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330F9" w14:textId="494D4C62" w:rsidR="00DA51A3" w:rsidRPr="00B32C1E" w:rsidRDefault="001171D1" w:rsidP="001171D1">
      <w:pPr>
        <w:snapToGrid w:val="0"/>
        <w:jc w:val="both"/>
        <w:rPr>
          <w:rFonts w:ascii="Times New Roman" w:eastAsia="MS PGothic" w:hAnsi="Times New Roman"/>
          <w:b/>
          <w:bCs/>
          <w:sz w:val="24"/>
          <w:szCs w:val="24"/>
          <w:lang w:val="en-GB"/>
        </w:rPr>
      </w:pPr>
      <w:r w:rsidRPr="00B32C1E">
        <w:rPr>
          <w:rFonts w:ascii="Times New Roman" w:eastAsia="MS PGothic" w:hAnsi="Times New Roman"/>
          <w:b/>
          <w:bCs/>
          <w:sz w:val="24"/>
          <w:szCs w:val="24"/>
          <w:lang w:val="en-GB"/>
        </w:rPr>
        <w:t>Investigation of the effect of aeration time, storage and heating on the microstructure of oil-continuous foams with X-ray tomography and radiography</w:t>
      </w:r>
    </w:p>
    <w:p w14:paraId="35782584" w14:textId="4B658EF1" w:rsidR="001171D1" w:rsidRPr="00B32C1E" w:rsidRDefault="001171D1" w:rsidP="00CB037F">
      <w:pPr>
        <w:snapToGrid w:val="0"/>
        <w:rPr>
          <w:rFonts w:ascii="Times New Roman" w:eastAsia="MS PGothic" w:hAnsi="Times New Roman"/>
          <w:b/>
          <w:bCs/>
          <w:sz w:val="24"/>
          <w:szCs w:val="24"/>
          <w:lang w:val="en-GB" w:eastAsia="ko-KR"/>
        </w:rPr>
      </w:pPr>
    </w:p>
    <w:p w14:paraId="243AAF34" w14:textId="1D389B25" w:rsidR="00DA51A3" w:rsidRPr="00B32C1E" w:rsidRDefault="000D0EE3" w:rsidP="00DA51A3">
      <w:pPr>
        <w:snapToGrid w:val="0"/>
        <w:jc w:val="center"/>
        <w:rPr>
          <w:rFonts w:ascii="Times New Roman" w:eastAsia="MS PGothic" w:hAnsi="Times New Roman"/>
          <w:sz w:val="24"/>
          <w:szCs w:val="24"/>
          <w:lang w:val="en-GB"/>
        </w:rPr>
      </w:pPr>
      <w:r w:rsidRPr="00B32C1E">
        <w:rPr>
          <w:rFonts w:ascii="Times New Roman" w:eastAsia="SimSun" w:hAnsi="Times New Roman"/>
          <w:sz w:val="24"/>
          <w:szCs w:val="24"/>
          <w:u w:val="single"/>
          <w:lang w:val="en-GB" w:eastAsia="zh-CN"/>
        </w:rPr>
        <w:t>Lorenzo Metilli</w:t>
      </w:r>
      <w:r w:rsidRPr="00B32C1E">
        <w:rPr>
          <w:rFonts w:ascii="Times New Roman" w:eastAsia="SimSun" w:hAnsi="Times New Roman"/>
          <w:sz w:val="24"/>
          <w:szCs w:val="24"/>
          <w:u w:val="single"/>
          <w:vertAlign w:val="superscript"/>
          <w:lang w:val="en-GB" w:eastAsia="zh-CN"/>
        </w:rPr>
        <w:t>1</w:t>
      </w:r>
      <w:r w:rsidR="00DA51A3" w:rsidRPr="00B32C1E">
        <w:rPr>
          <w:rFonts w:ascii="Times New Roman" w:eastAsia="SimSun" w:hAnsi="Times New Roman"/>
          <w:sz w:val="24"/>
          <w:szCs w:val="24"/>
          <w:lang w:val="en-GB" w:eastAsia="zh-CN"/>
        </w:rPr>
        <w:t xml:space="preserve">, </w:t>
      </w:r>
      <w:r w:rsidR="00933FF0" w:rsidRPr="00B32C1E">
        <w:rPr>
          <w:rFonts w:ascii="Times New Roman" w:eastAsia="SimSun" w:hAnsi="Times New Roman"/>
          <w:sz w:val="24"/>
          <w:szCs w:val="24"/>
          <w:lang w:val="en-GB" w:eastAsia="zh-CN"/>
        </w:rPr>
        <w:t>Malte Storm</w:t>
      </w:r>
      <w:r w:rsidR="009F17F7" w:rsidRPr="00B32C1E">
        <w:rPr>
          <w:rFonts w:ascii="Times New Roman" w:eastAsia="SimSun" w:hAnsi="Times New Roman"/>
          <w:sz w:val="24"/>
          <w:szCs w:val="24"/>
          <w:vertAlign w:val="superscript"/>
          <w:lang w:val="en-GB" w:eastAsia="zh-CN"/>
        </w:rPr>
        <w:t>2</w:t>
      </w:r>
      <w:r w:rsidR="00933FF0" w:rsidRPr="00B32C1E">
        <w:rPr>
          <w:rFonts w:ascii="Times New Roman" w:eastAsia="SimSun" w:hAnsi="Times New Roman"/>
          <w:sz w:val="24"/>
          <w:szCs w:val="24"/>
          <w:lang w:val="en-GB" w:eastAsia="zh-CN"/>
        </w:rPr>
        <w:t>, Shashidhara Marathe</w:t>
      </w:r>
      <w:r w:rsidR="009F17F7" w:rsidRPr="00B32C1E">
        <w:rPr>
          <w:rFonts w:ascii="Times New Roman" w:eastAsia="SimSun" w:hAnsi="Times New Roman"/>
          <w:sz w:val="24"/>
          <w:szCs w:val="24"/>
          <w:vertAlign w:val="superscript"/>
          <w:lang w:val="en-GB" w:eastAsia="zh-CN"/>
        </w:rPr>
        <w:t>3</w:t>
      </w:r>
      <w:r w:rsidR="00933FF0" w:rsidRPr="00B32C1E">
        <w:rPr>
          <w:rFonts w:ascii="Times New Roman" w:eastAsia="SimSun" w:hAnsi="Times New Roman"/>
          <w:sz w:val="24"/>
          <w:szCs w:val="24"/>
          <w:lang w:val="en-GB" w:eastAsia="zh-CN"/>
        </w:rPr>
        <w:t>, Aris Lazidis</w:t>
      </w:r>
      <w:r w:rsidR="009F17F7" w:rsidRPr="00B32C1E">
        <w:rPr>
          <w:rFonts w:ascii="Times New Roman" w:eastAsia="SimSun" w:hAnsi="Times New Roman"/>
          <w:sz w:val="24"/>
          <w:szCs w:val="24"/>
          <w:vertAlign w:val="superscript"/>
          <w:lang w:val="en-GB" w:eastAsia="zh-CN"/>
        </w:rPr>
        <w:t>4</w:t>
      </w:r>
      <w:r w:rsidR="00933FF0" w:rsidRPr="00B32C1E">
        <w:rPr>
          <w:rFonts w:ascii="Times New Roman" w:eastAsia="SimSun" w:hAnsi="Times New Roman"/>
          <w:sz w:val="24"/>
          <w:szCs w:val="24"/>
          <w:lang w:val="en-GB" w:eastAsia="zh-CN"/>
        </w:rPr>
        <w:t>, Stephanie Marty-Terrade</w:t>
      </w:r>
      <w:r w:rsidR="009F17F7" w:rsidRPr="00B32C1E">
        <w:rPr>
          <w:rFonts w:ascii="Times New Roman" w:eastAsia="SimSun" w:hAnsi="Times New Roman"/>
          <w:sz w:val="24"/>
          <w:szCs w:val="24"/>
          <w:vertAlign w:val="superscript"/>
          <w:lang w:val="en-GB" w:eastAsia="zh-CN"/>
        </w:rPr>
        <w:t>5</w:t>
      </w:r>
      <w:r w:rsidR="00933FF0" w:rsidRPr="00B32C1E">
        <w:rPr>
          <w:rFonts w:ascii="Times New Roman" w:eastAsia="SimSun" w:hAnsi="Times New Roman"/>
          <w:sz w:val="24"/>
          <w:szCs w:val="24"/>
          <w:lang w:val="en-GB" w:eastAsia="zh-CN"/>
        </w:rPr>
        <w:t xml:space="preserve">, and </w:t>
      </w:r>
      <w:r w:rsidRPr="00B32C1E">
        <w:rPr>
          <w:rFonts w:ascii="Times New Roman" w:eastAsia="SimSun" w:hAnsi="Times New Roman"/>
          <w:sz w:val="24"/>
          <w:szCs w:val="24"/>
          <w:lang w:val="en-GB" w:eastAsia="zh-CN"/>
        </w:rPr>
        <w:t>Elena Simone</w:t>
      </w:r>
      <w:r w:rsidR="009F17F7" w:rsidRPr="00B32C1E">
        <w:rPr>
          <w:rFonts w:ascii="Times New Roman" w:eastAsia="SimSun" w:hAnsi="Times New Roman"/>
          <w:sz w:val="24"/>
          <w:szCs w:val="24"/>
          <w:vertAlign w:val="superscript"/>
          <w:lang w:val="en-GB" w:eastAsia="zh-CN"/>
        </w:rPr>
        <w:t>6</w:t>
      </w:r>
      <w:r w:rsidR="00DA51A3" w:rsidRPr="00B32C1E">
        <w:rPr>
          <w:rFonts w:ascii="Times New Roman" w:eastAsia="SimSun" w:hAnsi="Times New Roman"/>
          <w:sz w:val="24"/>
          <w:szCs w:val="24"/>
          <w:lang w:val="en-GB" w:eastAsia="zh-CN"/>
        </w:rPr>
        <w:t>*</w:t>
      </w:r>
    </w:p>
    <w:p w14:paraId="45644415" w14:textId="1F754D8F" w:rsidR="009F17F7" w:rsidRPr="00B32C1E" w:rsidRDefault="00DA51A3" w:rsidP="00DA51A3">
      <w:pPr>
        <w:snapToGrid w:val="0"/>
        <w:spacing w:after="120"/>
        <w:jc w:val="center"/>
        <w:rPr>
          <w:rFonts w:ascii="Times New Roman" w:eastAsia="MS PGothic" w:hAnsi="Times New Roman"/>
          <w:i/>
          <w:iCs/>
          <w:sz w:val="20"/>
          <w:lang w:val="en-GB"/>
        </w:rPr>
      </w:pPr>
      <w:r w:rsidRPr="00B32C1E">
        <w:rPr>
          <w:rFonts w:ascii="Times New Roman" w:eastAsia="MS PGothic" w:hAnsi="Times New Roman"/>
          <w:i/>
          <w:iCs/>
          <w:sz w:val="20"/>
          <w:lang w:val="en-GB"/>
        </w:rPr>
        <w:t xml:space="preserve">1 </w:t>
      </w:r>
      <w:r w:rsidR="009F17F7" w:rsidRPr="00B32C1E">
        <w:rPr>
          <w:rFonts w:ascii="Times New Roman" w:eastAsia="MS PGothic" w:hAnsi="Times New Roman"/>
          <w:i/>
          <w:iCs/>
          <w:sz w:val="20"/>
          <w:lang w:val="en-GB"/>
        </w:rPr>
        <w:t>Laboratoire Rh</w:t>
      </w:r>
      <w:r w:rsidR="004D782B">
        <w:rPr>
          <w:rFonts w:ascii="Times New Roman" w:eastAsia="MS PGothic" w:hAnsi="Times New Roman"/>
          <w:i/>
          <w:iCs/>
          <w:sz w:val="20"/>
          <w:lang w:val="en-GB"/>
        </w:rPr>
        <w:t>é</w:t>
      </w:r>
      <w:r w:rsidR="009F17F7" w:rsidRPr="00B32C1E">
        <w:rPr>
          <w:rFonts w:ascii="Times New Roman" w:eastAsia="MS PGothic" w:hAnsi="Times New Roman"/>
          <w:i/>
          <w:iCs/>
          <w:sz w:val="20"/>
          <w:lang w:val="en-GB"/>
        </w:rPr>
        <w:t>ologi</w:t>
      </w:r>
      <w:r w:rsidR="004D782B">
        <w:rPr>
          <w:rFonts w:ascii="Times New Roman" w:eastAsia="MS PGothic" w:hAnsi="Times New Roman"/>
          <w:i/>
          <w:iCs/>
          <w:sz w:val="20"/>
          <w:lang w:val="en-GB"/>
        </w:rPr>
        <w:t>e</w:t>
      </w:r>
      <w:r w:rsidR="009F17F7" w:rsidRPr="00B32C1E">
        <w:rPr>
          <w:rFonts w:ascii="Times New Roman" w:eastAsia="MS PGothic" w:hAnsi="Times New Roman"/>
          <w:i/>
          <w:iCs/>
          <w:sz w:val="20"/>
          <w:lang w:val="en-GB"/>
        </w:rPr>
        <w:t xml:space="preserve"> et Procédés, Université Grenoble Alpes, Grenoble 38000 (France)</w:t>
      </w:r>
    </w:p>
    <w:p w14:paraId="56FDB1AE" w14:textId="461432FE" w:rsidR="009F17F7" w:rsidRPr="00B32C1E" w:rsidRDefault="009F17F7" w:rsidP="00DA51A3">
      <w:pPr>
        <w:snapToGrid w:val="0"/>
        <w:spacing w:after="120"/>
        <w:jc w:val="center"/>
        <w:rPr>
          <w:rFonts w:ascii="Times New Roman" w:eastAsia="MS PGothic" w:hAnsi="Times New Roman"/>
          <w:i/>
          <w:iCs/>
          <w:sz w:val="20"/>
          <w:lang w:val="en-GB"/>
        </w:rPr>
      </w:pPr>
      <w:r w:rsidRPr="00B32C1E">
        <w:rPr>
          <w:rFonts w:ascii="Times New Roman" w:eastAsia="MS PGothic" w:hAnsi="Times New Roman"/>
          <w:i/>
          <w:iCs/>
          <w:sz w:val="20"/>
          <w:lang w:val="en-GB"/>
        </w:rPr>
        <w:t>2 Helmholtz-Zentrum hereon, 21502 Geesthacht (Germany)</w:t>
      </w:r>
    </w:p>
    <w:p w14:paraId="484897D2" w14:textId="46F7BAE1" w:rsidR="009F17F7" w:rsidRPr="00B32C1E" w:rsidRDefault="009F17F7" w:rsidP="00DA51A3">
      <w:pPr>
        <w:snapToGrid w:val="0"/>
        <w:spacing w:after="120"/>
        <w:jc w:val="center"/>
        <w:rPr>
          <w:rFonts w:ascii="Times New Roman" w:eastAsia="MS PGothic" w:hAnsi="Times New Roman"/>
          <w:i/>
          <w:iCs/>
          <w:sz w:val="20"/>
          <w:lang w:val="en-GB"/>
        </w:rPr>
      </w:pPr>
      <w:r w:rsidRPr="00B32C1E">
        <w:rPr>
          <w:rFonts w:ascii="Times New Roman" w:eastAsia="MS PGothic" w:hAnsi="Times New Roman"/>
          <w:i/>
          <w:iCs/>
          <w:sz w:val="20"/>
          <w:lang w:val="en-GB"/>
        </w:rPr>
        <w:t>3 Diamond Light Source Ltd., Harwell Science and Innovation Campus, Didcot OX110DE (UK)</w:t>
      </w:r>
    </w:p>
    <w:p w14:paraId="4F555670" w14:textId="4A5D944C" w:rsidR="009F17F7" w:rsidRPr="00B32C1E" w:rsidRDefault="009F17F7" w:rsidP="00DA51A3">
      <w:pPr>
        <w:snapToGrid w:val="0"/>
        <w:spacing w:after="120"/>
        <w:jc w:val="center"/>
        <w:rPr>
          <w:rFonts w:ascii="Times New Roman" w:eastAsia="MS PGothic" w:hAnsi="Times New Roman"/>
          <w:i/>
          <w:iCs/>
          <w:sz w:val="20"/>
          <w:lang w:val="en-GB"/>
        </w:rPr>
      </w:pPr>
      <w:r w:rsidRPr="00B32C1E">
        <w:rPr>
          <w:rFonts w:ascii="Times New Roman" w:eastAsia="MS PGothic" w:hAnsi="Times New Roman"/>
          <w:i/>
          <w:iCs/>
          <w:sz w:val="20"/>
          <w:lang w:val="en-GB"/>
        </w:rPr>
        <w:t>4 Nestlé Product Technology Centre Confectionery, York YO318TA (UK)</w:t>
      </w:r>
    </w:p>
    <w:p w14:paraId="3B4AF47B" w14:textId="6F954305" w:rsidR="009F17F7" w:rsidRPr="00B32C1E" w:rsidRDefault="009F17F7" w:rsidP="00DA51A3">
      <w:pPr>
        <w:snapToGrid w:val="0"/>
        <w:spacing w:after="120"/>
        <w:jc w:val="center"/>
        <w:rPr>
          <w:rFonts w:ascii="Times New Roman" w:eastAsia="MS PGothic" w:hAnsi="Times New Roman"/>
          <w:i/>
          <w:iCs/>
          <w:sz w:val="20"/>
          <w:lang w:val="en-GB"/>
        </w:rPr>
      </w:pPr>
      <w:r w:rsidRPr="00B32C1E">
        <w:rPr>
          <w:rFonts w:ascii="Times New Roman" w:eastAsia="MS PGothic" w:hAnsi="Times New Roman"/>
          <w:i/>
          <w:iCs/>
          <w:sz w:val="20"/>
          <w:lang w:val="en-GB"/>
        </w:rPr>
        <w:t>5 Nestlé Research, Lausanne 26 1000 (Switzerland)</w:t>
      </w:r>
    </w:p>
    <w:p w14:paraId="5A6FAB81" w14:textId="77777777" w:rsidR="009F17F7" w:rsidRPr="00B32C1E" w:rsidRDefault="009F17F7" w:rsidP="009F17F7">
      <w:pPr>
        <w:snapToGrid w:val="0"/>
        <w:spacing w:after="120"/>
        <w:jc w:val="center"/>
        <w:rPr>
          <w:rFonts w:ascii="Times New Roman" w:eastAsia="MS PGothic" w:hAnsi="Times New Roman"/>
          <w:i/>
          <w:iCs/>
          <w:sz w:val="20"/>
          <w:lang w:val="en-GB"/>
        </w:rPr>
      </w:pPr>
      <w:r w:rsidRPr="00B32C1E">
        <w:rPr>
          <w:rFonts w:ascii="Times New Roman" w:eastAsia="MS PGothic" w:hAnsi="Times New Roman"/>
          <w:i/>
          <w:iCs/>
          <w:sz w:val="20"/>
          <w:lang w:val="en-GB"/>
        </w:rPr>
        <w:t>6 Department of Applied Science and Technology (DISAT), Politecnico di Torino, Torino 10129 (Italy)</w:t>
      </w:r>
    </w:p>
    <w:p w14:paraId="5533360A" w14:textId="104FB4EA" w:rsidR="00DA51A3" w:rsidRPr="00B32C1E" w:rsidRDefault="00DA51A3" w:rsidP="00DA51A3">
      <w:pPr>
        <w:snapToGrid w:val="0"/>
        <w:jc w:val="center"/>
        <w:rPr>
          <w:rFonts w:ascii="Times New Roman" w:eastAsia="MS PGothic" w:hAnsi="Times New Roman"/>
          <w:bCs/>
          <w:i/>
          <w:iCs/>
          <w:sz w:val="20"/>
          <w:lang w:val="en-GB"/>
        </w:rPr>
      </w:pPr>
      <w:r w:rsidRPr="00B32C1E">
        <w:rPr>
          <w:rFonts w:ascii="Times New Roman" w:eastAsia="MS PGothic" w:hAnsi="Times New Roman"/>
          <w:bCs/>
          <w:i/>
          <w:iCs/>
          <w:sz w:val="20"/>
          <w:lang w:val="en-GB"/>
        </w:rPr>
        <w:t>*Corresponding author</w:t>
      </w:r>
      <w:r w:rsidRPr="00B32C1E">
        <w:rPr>
          <w:rFonts w:ascii="Times New Roman" w:eastAsia="MS PGothic" w:hAnsi="Times New Roman"/>
          <w:bCs/>
          <w:i/>
          <w:iCs/>
          <w:sz w:val="20"/>
          <w:lang w:val="en-GB" w:eastAsia="ko-KR"/>
        </w:rPr>
        <w:t xml:space="preserve"> E-Mail: </w:t>
      </w:r>
      <w:r w:rsidRPr="00B32C1E">
        <w:rPr>
          <w:rFonts w:ascii="Times New Roman" w:eastAsia="MS PGothic" w:hAnsi="Times New Roman"/>
          <w:bCs/>
          <w:i/>
          <w:iCs/>
          <w:sz w:val="20"/>
          <w:lang w:val="en-GB"/>
        </w:rPr>
        <w:t xml:space="preserve"> </w:t>
      </w:r>
      <w:r w:rsidR="002F6757">
        <w:rPr>
          <w:rFonts w:ascii="Times New Roman" w:eastAsia="MS PGothic" w:hAnsi="Times New Roman"/>
          <w:bCs/>
          <w:i/>
          <w:iCs/>
          <w:sz w:val="20"/>
          <w:lang w:val="en-GB"/>
        </w:rPr>
        <w:t>elena.simone</w:t>
      </w:r>
      <w:r w:rsidRPr="00B32C1E">
        <w:rPr>
          <w:rFonts w:ascii="Times New Roman" w:eastAsia="MS PGothic" w:hAnsi="Times New Roman"/>
          <w:bCs/>
          <w:i/>
          <w:iCs/>
          <w:sz w:val="20"/>
          <w:lang w:val="en-GB"/>
        </w:rPr>
        <w:t>@</w:t>
      </w:r>
      <w:r w:rsidR="002F6757">
        <w:rPr>
          <w:rFonts w:ascii="Times New Roman" w:eastAsia="MS PGothic" w:hAnsi="Times New Roman"/>
          <w:bCs/>
          <w:i/>
          <w:iCs/>
          <w:sz w:val="20"/>
          <w:lang w:val="en-GB"/>
        </w:rPr>
        <w:t>polito.it</w:t>
      </w:r>
    </w:p>
    <w:p w14:paraId="28AD07A8" w14:textId="77777777" w:rsidR="00DA51A3" w:rsidRPr="00B32C1E" w:rsidRDefault="00DA51A3" w:rsidP="00DA51A3">
      <w:pPr>
        <w:snapToGrid w:val="0"/>
        <w:spacing w:after="120"/>
        <w:jc w:val="center"/>
        <w:rPr>
          <w:rFonts w:ascii="Times New Roman" w:eastAsia="SimSun" w:hAnsi="Times New Roman"/>
          <w:bCs/>
          <w:i/>
          <w:iCs/>
          <w:sz w:val="20"/>
          <w:lang w:val="en-GB" w:eastAsia="zh-CN"/>
        </w:rPr>
      </w:pPr>
    </w:p>
    <w:p w14:paraId="110B92B3" w14:textId="77777777" w:rsidR="00DA51A3" w:rsidRPr="00B32C1E" w:rsidRDefault="00DA51A3" w:rsidP="00DA51A3">
      <w:pPr>
        <w:snapToGrid w:val="0"/>
        <w:spacing w:line="300" w:lineRule="auto"/>
        <w:rPr>
          <w:rFonts w:ascii="Times New Roman" w:eastAsia="MS PGothic" w:hAnsi="Times New Roman"/>
          <w:b/>
          <w:bCs/>
          <w:lang w:val="en-GB" w:eastAsia="ko-KR"/>
        </w:rPr>
      </w:pPr>
      <w:r w:rsidRPr="00B32C1E">
        <w:rPr>
          <w:rFonts w:ascii="Times New Roman" w:eastAsia="MS PGothic" w:hAnsi="Times New Roman"/>
          <w:b/>
          <w:bCs/>
          <w:lang w:val="en-GB"/>
        </w:rPr>
        <w:t>1.</w:t>
      </w:r>
      <w:r w:rsidR="003F160A" w:rsidRPr="00B32C1E">
        <w:rPr>
          <w:rFonts w:ascii="Times New Roman" w:eastAsia="MS PGothic" w:hAnsi="Times New Roman"/>
          <w:b/>
          <w:bCs/>
          <w:lang w:val="en-GB"/>
        </w:rPr>
        <w:t>Introduction</w:t>
      </w:r>
    </w:p>
    <w:p w14:paraId="21E5BBF4" w14:textId="17F88D70" w:rsidR="00957B43" w:rsidRPr="00B32C1E" w:rsidRDefault="001171D1" w:rsidP="000D0EE3">
      <w:pPr>
        <w:snapToGrid w:val="0"/>
        <w:spacing w:after="120"/>
        <w:jc w:val="both"/>
        <w:rPr>
          <w:rFonts w:ascii="Times New Roman" w:eastAsia="MS PGothic" w:hAnsi="Times New Roman"/>
          <w:lang w:val="en-GB"/>
        </w:rPr>
      </w:pPr>
      <w:r w:rsidRPr="00B32C1E">
        <w:rPr>
          <w:rFonts w:ascii="Times New Roman" w:eastAsia="MS PGothic" w:hAnsi="Times New Roman"/>
          <w:lang w:val="en-GB"/>
        </w:rPr>
        <w:t xml:space="preserve">Oil-continuous foams (also called oleofoams) are an emerging type of soft matter, which comprise a continuous liquid oil phase and a </w:t>
      </w:r>
      <w:r w:rsidR="00515E5C" w:rsidRPr="00B32C1E">
        <w:rPr>
          <w:rFonts w:ascii="Times New Roman" w:eastAsia="MS PGothic" w:hAnsi="Times New Roman"/>
          <w:lang w:val="en-GB"/>
        </w:rPr>
        <w:t xml:space="preserve">dispersed </w:t>
      </w:r>
      <w:r w:rsidRPr="00B32C1E">
        <w:rPr>
          <w:rFonts w:ascii="Times New Roman" w:eastAsia="MS PGothic" w:hAnsi="Times New Roman"/>
          <w:lang w:val="en-GB"/>
        </w:rPr>
        <w:t>gas phase stabilized by fat crystals through a Pickering mechanism</w:t>
      </w:r>
      <w:r w:rsidR="00B32C1E">
        <w:rPr>
          <w:rFonts w:ascii="Times New Roman" w:eastAsia="MS PGothic" w:hAnsi="Times New Roman"/>
          <w:lang w:val="en-GB"/>
        </w:rPr>
        <w:t xml:space="preserve"> </w:t>
      </w:r>
      <w:r w:rsidR="00B32C1E">
        <w:rPr>
          <w:rFonts w:ascii="Times New Roman" w:eastAsia="MS PGothic" w:hAnsi="Times New Roman"/>
          <w:lang w:val="en-GB"/>
        </w:rPr>
        <w:fldChar w:fldCharType="begin" w:fldLock="1"/>
      </w:r>
      <w:r w:rsidR="00B32C1E">
        <w:rPr>
          <w:rFonts w:ascii="Times New Roman" w:eastAsia="MS PGothic" w:hAnsi="Times New Roman"/>
          <w:lang w:val="en-GB"/>
        </w:rPr>
        <w:instrText>ADDIN CSL_CITATION {"citationItems":[{"id":"ITEM-1","itemData":{"DOI":"10.1016/j.cis.2021.102404","ISSN":"00018686","PMID":"33839623","abstract":"The area of oil foams although important industrially has received little academic attention until the last decade. The early work using molecular surfactants for stabilisation was limited and as such it is difficult to obtain general rules of thumb. Recently however, interest has grown in the area partly fuelled by the understanding gained in the general area of colloidal particles at fluid interfaces. We review the use of solid particles as foaming agents for oil foams in cases where particles (inorganic or polymer) are prepared ex situ and in cases where crystals of surfactant or fat are prepared in situ. There is considerable activity in the latter area which is particularly relevant to the food industry. Discussion of crude oil/lubricating oil foams is excluded from this review.","author":[{"dropping-particle":"","family":"Binks","given":"Bernard P.","non-dropping-particle":"","parse-names":false,"suffix":""},{"dropping-particle":"","family":"Vishal","given":"Badri","non-dropping-particle":"","parse-names":false,"suffix":""}],"container-title":"Advances in Colloid and Interface Science","id":"ITEM-1","issued":{"date-parts":[["2021"]]},"page":"102404","publisher":"Elsevier B.V.","title":"Particle-stabilized oil foams","type":"article-journal","volume":"291"},"uris":["http://www.mendeley.com/documents/?uuid=4690d0ab-d313-4ce5-8fe3-32219580bfe2"]},{"id":"ITEM-2","itemData":{"DOI":"10.1021/acs.langmuir.1c00410","ISSN":"15205827","PMID":"33825479","abstract":"Surfactant crystals can stabilize liquid foams. The crystals are adsorbed at bubble surfaces, slowing down coarsening and coalescence. Excess crystals in the liquid channels between bubbles arrest drainage, leading to ultrastable foams. The melting of crystals upon raising the temperature allows thermoresponsive foams to be designed. In the case of oil foams, the stabilization by crystals received substantial renewed interest in the last 5 years due to their potential applications, particularly in the food industry. For aqueous foams, several reports exist on foams stabilized by crystals. However, these two kinds of liquid foams possess similarities in terms of stabilization mechanisms and the design of surfactant crystal systems. This field will certainly grow in the coming years, and it will contribute to the engineering of new soft materials not only for food but also for cosmetics, pharmaceuticals, and biomedical applications.","author":[{"dropping-particle":"","family":"Fameau","given":"Anne Laure","non-dropping-particle":"","parse-names":false,"suffix":""},{"dropping-particle":"","family":"Binks","given":"Bernard P.","non-dropping-particle":"","parse-names":false,"suffix":""}],"container-title":"Langmuir","id":"ITEM-2","issue":"15","issued":{"date-parts":[["2021"]]},"page":"4411-4418","title":"Aqueous and Oil Foams Stabilized by Surfactant Crystals: New Concepts and Perspectives","type":"article-journal","volume":"37"},"uris":["http://www.mendeley.com/documents/?uuid=04abca31-eb83-420a-b701-25817735cc10"]}],"mendeley":{"formattedCitation":"[1,2]","plainTextFormattedCitation":"[1,2]","previouslyFormattedCitation":"[1,2]"},"properties":{"noteIndex":0},"schema":"https://github.com/citation-style-language/schema/raw/master/csl-citation.json"}</w:instrText>
      </w:r>
      <w:r w:rsidR="00B32C1E">
        <w:rPr>
          <w:rFonts w:ascii="Times New Roman" w:eastAsia="MS PGothic" w:hAnsi="Times New Roman"/>
          <w:lang w:val="en-GB"/>
        </w:rPr>
        <w:fldChar w:fldCharType="separate"/>
      </w:r>
      <w:r w:rsidR="00B32C1E" w:rsidRPr="00B32C1E">
        <w:rPr>
          <w:rFonts w:ascii="Times New Roman" w:eastAsia="MS PGothic" w:hAnsi="Times New Roman"/>
          <w:noProof/>
          <w:lang w:val="en-GB"/>
        </w:rPr>
        <w:t>[1,2]</w:t>
      </w:r>
      <w:r w:rsidR="00B32C1E">
        <w:rPr>
          <w:rFonts w:ascii="Times New Roman" w:eastAsia="MS PGothic" w:hAnsi="Times New Roman"/>
          <w:lang w:val="en-GB"/>
        </w:rPr>
        <w:fldChar w:fldCharType="end"/>
      </w:r>
      <w:r w:rsidRPr="00B32C1E">
        <w:rPr>
          <w:rFonts w:ascii="Times New Roman" w:eastAsia="MS PGothic" w:hAnsi="Times New Roman"/>
          <w:lang w:val="en-GB"/>
        </w:rPr>
        <w:t>. Oleofoams possess untapped potential for application in several manufacturing industries, such as</w:t>
      </w:r>
      <w:r w:rsidR="00E046C8" w:rsidRPr="00B32C1E">
        <w:rPr>
          <w:rFonts w:ascii="Times New Roman" w:eastAsia="MS PGothic" w:hAnsi="Times New Roman"/>
          <w:lang w:val="en-GB"/>
        </w:rPr>
        <w:t xml:space="preserve"> food products with reduced calorific density</w:t>
      </w:r>
      <w:r w:rsidR="00515E5C" w:rsidRPr="00B32C1E">
        <w:rPr>
          <w:rFonts w:ascii="Times New Roman" w:eastAsia="MS PGothic" w:hAnsi="Times New Roman"/>
          <w:lang w:val="en-GB"/>
        </w:rPr>
        <w:t>,</w:t>
      </w:r>
      <w:r w:rsidR="00E046C8" w:rsidRPr="00B32C1E">
        <w:rPr>
          <w:rFonts w:ascii="Times New Roman" w:eastAsia="MS PGothic" w:hAnsi="Times New Roman"/>
          <w:lang w:val="en-GB"/>
        </w:rPr>
        <w:t xml:space="preserve"> and topical delivery systems for active pharmaceutical ingredients.</w:t>
      </w:r>
      <w:r w:rsidR="00B210A6" w:rsidRPr="00B32C1E">
        <w:rPr>
          <w:rFonts w:ascii="Times New Roman" w:eastAsia="MS PGothic" w:hAnsi="Times New Roman"/>
          <w:lang w:val="en-GB"/>
        </w:rPr>
        <w:t xml:space="preserve"> </w:t>
      </w:r>
      <w:r w:rsidR="00957B43" w:rsidRPr="00B32C1E">
        <w:rPr>
          <w:rFonts w:ascii="Times New Roman" w:eastAsia="MS PGothic" w:hAnsi="Times New Roman"/>
          <w:lang w:val="en-GB"/>
        </w:rPr>
        <w:t>However, there is limited information available on these systems compared to their aqueous counterparts, due to the narrower choice of suitable stabilizers for the air/oil interface.</w:t>
      </w:r>
      <w:r w:rsidR="00680800" w:rsidRPr="00B32C1E">
        <w:rPr>
          <w:rFonts w:ascii="Times New Roman" w:eastAsia="MS PGothic" w:hAnsi="Times New Roman"/>
          <w:lang w:val="en-GB"/>
        </w:rPr>
        <w:t xml:space="preserve"> </w:t>
      </w:r>
      <w:r w:rsidR="00515E5C" w:rsidRPr="00B32C1E">
        <w:rPr>
          <w:rFonts w:ascii="Times New Roman" w:eastAsia="MS PGothic" w:hAnsi="Times New Roman"/>
          <w:lang w:val="en-GB"/>
        </w:rPr>
        <w:t>Over the last 5 years research has focused on the relationship between the properties of the stabilizing crystals (size, shape, polymorphism) and the related foamability and stability of the oleofoams</w:t>
      </w:r>
      <w:r w:rsidR="00B32C1E">
        <w:rPr>
          <w:rFonts w:ascii="Times New Roman" w:eastAsia="MS PGothic" w:hAnsi="Times New Roman"/>
          <w:lang w:val="en-GB"/>
        </w:rPr>
        <w:t xml:space="preserve"> </w:t>
      </w:r>
      <w:r w:rsidR="00B32C1E">
        <w:rPr>
          <w:rFonts w:ascii="Times New Roman" w:eastAsia="MS PGothic" w:hAnsi="Times New Roman"/>
          <w:lang w:val="en-GB"/>
        </w:rPr>
        <w:fldChar w:fldCharType="begin" w:fldLock="1"/>
      </w:r>
      <w:r w:rsidR="00B32C1E">
        <w:rPr>
          <w:rFonts w:ascii="Times New Roman" w:eastAsia="MS PGothic" w:hAnsi="Times New Roman"/>
          <w:lang w:val="en-GB"/>
        </w:rPr>
        <w:instrText>ADDIN CSL_CITATION {"citationItems":[{"id":"ITEM-1","itemData":{"DOI":"10.1016/j.cis.2021.102404","ISSN":"00018686","PMID":"33839623","abstract":"The area of oil foams although important industrially has received little academic attention until the last decade. The early work using molecular surfactants for stabilisation was limited and as such it is difficult to obtain general rules of thumb. Recently however, interest has grown in the area partly fuelled by the understanding gained in the general area of colloidal particles at fluid interfaces. We review the use of solid particles as foaming agents for oil foams in cases where particles (inorganic or polymer) are prepared ex situ and in cases where crystals of surfactant or fat are prepared in situ. There is considerable activity in the latter area which is particularly relevant to the food industry. Discussion of crude oil/lubricating oil foams is excluded from this review.","author":[{"dropping-particle":"","family":"Binks","given":"Bernard P.","non-dropping-particle":"","parse-names":false,"suffix":""},{"dropping-particle":"","family":"Vishal","given":"Badri","non-dropping-particle":"","parse-names":false,"suffix":""}],"container-title":"Advances in Colloid and Interface Science","id":"ITEM-1","issued":{"date-parts":[["2021"]]},"page":"102404","publisher":"Elsevier B.V.","title":"Particle-stabilized oil foams","type":"article-journal","volume":"291"},"uris":["http://www.mendeley.com/documents/?uuid=4690d0ab-d313-4ce5-8fe3-32219580bfe2"]}],"mendeley":{"formattedCitation":"[1]","plainTextFormattedCitation":"[1]","previouslyFormattedCitation":"[1]"},"properties":{"noteIndex":0},"schema":"https://github.com/citation-style-language/schema/raw/master/csl-citation.json"}</w:instrText>
      </w:r>
      <w:r w:rsidR="00B32C1E">
        <w:rPr>
          <w:rFonts w:ascii="Times New Roman" w:eastAsia="MS PGothic" w:hAnsi="Times New Roman"/>
          <w:lang w:val="en-GB"/>
        </w:rPr>
        <w:fldChar w:fldCharType="separate"/>
      </w:r>
      <w:r w:rsidR="00B32C1E" w:rsidRPr="00B32C1E">
        <w:rPr>
          <w:rFonts w:ascii="Times New Roman" w:eastAsia="MS PGothic" w:hAnsi="Times New Roman"/>
          <w:noProof/>
          <w:lang w:val="en-GB"/>
        </w:rPr>
        <w:t>[1]</w:t>
      </w:r>
      <w:r w:rsidR="00B32C1E">
        <w:rPr>
          <w:rFonts w:ascii="Times New Roman" w:eastAsia="MS PGothic" w:hAnsi="Times New Roman"/>
          <w:lang w:val="en-GB"/>
        </w:rPr>
        <w:fldChar w:fldCharType="end"/>
      </w:r>
      <w:r w:rsidR="00515E5C" w:rsidRPr="00B32C1E">
        <w:rPr>
          <w:rFonts w:ascii="Times New Roman" w:eastAsia="MS PGothic" w:hAnsi="Times New Roman"/>
          <w:lang w:val="en-GB"/>
        </w:rPr>
        <w:t>. However, due to the</w:t>
      </w:r>
      <w:r w:rsidR="00E745F4" w:rsidRPr="00B32C1E">
        <w:rPr>
          <w:rFonts w:ascii="Times New Roman" w:eastAsia="MS PGothic" w:hAnsi="Times New Roman"/>
          <w:lang w:val="en-GB"/>
        </w:rPr>
        <w:t>ir</w:t>
      </w:r>
      <w:r w:rsidR="00515E5C" w:rsidRPr="00B32C1E">
        <w:rPr>
          <w:rFonts w:ascii="Times New Roman" w:eastAsia="MS PGothic" w:hAnsi="Times New Roman"/>
          <w:lang w:val="en-GB"/>
        </w:rPr>
        <w:t xml:space="preserve"> opaque and soft nature, </w:t>
      </w:r>
      <w:r w:rsidR="002A324D" w:rsidRPr="00B32C1E">
        <w:rPr>
          <w:rFonts w:ascii="Times New Roman" w:eastAsia="MS PGothic" w:hAnsi="Times New Roman"/>
          <w:lang w:val="en-GB"/>
        </w:rPr>
        <w:t>investigating the foam microstructure in a non-invasive fashion is challenging</w:t>
      </w:r>
      <w:r w:rsidR="00B32C1E">
        <w:rPr>
          <w:rFonts w:ascii="Times New Roman" w:eastAsia="MS PGothic" w:hAnsi="Times New Roman"/>
          <w:lang w:val="en-GB"/>
        </w:rPr>
        <w:t xml:space="preserve"> </w:t>
      </w:r>
      <w:r w:rsidR="00B32C1E">
        <w:rPr>
          <w:rFonts w:ascii="Times New Roman" w:eastAsia="MS PGothic" w:hAnsi="Times New Roman"/>
          <w:lang w:val="en-GB"/>
        </w:rPr>
        <w:fldChar w:fldCharType="begin" w:fldLock="1"/>
      </w:r>
      <w:r w:rsidR="00B32C1E">
        <w:rPr>
          <w:rFonts w:ascii="Times New Roman" w:eastAsia="MS PGothic" w:hAnsi="Times New Roman"/>
          <w:lang w:val="en-GB"/>
        </w:rPr>
        <w:instrText>ADDIN CSL_CITATION {"citationItems":[{"id":"ITEM-1","itemData":{"DOI":"10.1016/j.matchar.2021.111408","ISSN":"10445803","abstract":"Soft porous matter is commonly encountered in artificial tissue applications, pharmaceuticals delivery systems and in cosmetic and food products. These materials are typically opaque and tend to deform under very small levels of shear; this makes the characterization of their microstructure very challenging, particularly in the native state. Air-in-oil systems (oleofoams) are an emerging type of soft material with promising applications in cosmetics and foods, which contain air bubbles stabilized by Pickering fat crystals dispersed in a liquid oil phase. Synchrotron radiation X-ray computed tomography (SR - XCT) is a non-invasive, non-destructive technique increasingly used to investigate multiphasic, porous materials, owing to its high flux which enables sub-micron resolution and significant statistics at rapid acquisition speed. While the penetration of high energy X-rays can provide high resolution images and allows the reconstruction of the 3D structure of samples, the experimental setup and measuring parameters need to be carefully designed to avoid sample deformation or beam damage. In this work, a robust methodology for investigating the 3D microstructure of soft, porous matter was developed. Sample preparation and experimental setup were chosen to allow synchrotron tomographic analysis of soft oleofoams with a low melting point (&lt;30 °C). In particular, the use of cryogenic conditions (plunge-freeze in liquid nitrogen) provided stability against melting during the acquisition. Additionally, an image processing workflow was designed for analysing the 3D microstructure of the samples using ImageJ. Hence, the size and shape distribution of the air phase, as well as the thickness of the continuous gel phase could be determined for samples with significantly different microstructures (fresh vs. heated). Furthermore, the use of time-resolved X-ray radiography (XRR) allowed to study dynamic changes in the microstructure of the samples during thermal destabilization, visualizing bubble coalescence and growth in optically opaque foam samples with a sub-second timescale.","author":[{"dropping-particle":"","family":"Metilli","given":"Lorenzo","non-dropping-particle":"","parse-names":false,"suffix":""},{"dropping-particle":"","family":"Storm","given":"Malte","non-dropping-particle":"","parse-names":false,"suffix":""},{"dropping-particle":"","family":"Bodey","given":"Andrew J.","non-dropping-particle":"","parse-names":false,"suffix":""},{"dropping-particle":"","family":"Wanelik","given":"Kaz","non-dropping-particle":"","parse-names":false,"suffix":""},{"dropping-particle":"","family":"Tyler","given":"Arwen I.I.","non-dropping-particle":"","parse-names":false,"suffix":""},{"dropping-particle":"","family":"Lazidis","given":"Aris","non-dropping-particle":"","parse-names":false,"suffix":""},{"dropping-particle":"","family":"Marty-Terrade","given":"Stephanie","non-dropping-particle":"","parse-names":false,"suffix":""},{"dropping-particle":"","family":"Simone","given":"Elena","non-dropping-particle":"","parse-names":false,"suffix":""}],"container-title":"Materials Characterization","id":"ITEM-1","issue":"August","issued":{"date-parts":[["2021"]]},"page":"111408","publisher":"Elsevier Inc.","title":"Investigating the microstructure of soft, microporous matter with synchrotron X-ray tomography","type":"article-journal","volume":"180"},"uris":["http://www.mendeley.com/documents/?uuid=b324969f-806f-409a-8937-3e165b1f3a03"]}],"mendeley":{"formattedCitation":"[3]","plainTextFormattedCitation":"[3]","previouslyFormattedCitation":"[3]"},"properties":{"noteIndex":0},"schema":"https://github.com/citation-style-language/schema/raw/master/csl-citation.json"}</w:instrText>
      </w:r>
      <w:r w:rsidR="00B32C1E">
        <w:rPr>
          <w:rFonts w:ascii="Times New Roman" w:eastAsia="MS PGothic" w:hAnsi="Times New Roman"/>
          <w:lang w:val="en-GB"/>
        </w:rPr>
        <w:fldChar w:fldCharType="separate"/>
      </w:r>
      <w:r w:rsidR="00B32C1E" w:rsidRPr="00B32C1E">
        <w:rPr>
          <w:rFonts w:ascii="Times New Roman" w:eastAsia="MS PGothic" w:hAnsi="Times New Roman"/>
          <w:noProof/>
          <w:lang w:val="en-GB"/>
        </w:rPr>
        <w:t>[3]</w:t>
      </w:r>
      <w:r w:rsidR="00B32C1E">
        <w:rPr>
          <w:rFonts w:ascii="Times New Roman" w:eastAsia="MS PGothic" w:hAnsi="Times New Roman"/>
          <w:lang w:val="en-GB"/>
        </w:rPr>
        <w:fldChar w:fldCharType="end"/>
      </w:r>
      <w:r w:rsidR="002A324D" w:rsidRPr="00B32C1E">
        <w:rPr>
          <w:rFonts w:ascii="Times New Roman" w:eastAsia="MS PGothic" w:hAnsi="Times New Roman"/>
          <w:lang w:val="en-GB"/>
        </w:rPr>
        <w:t xml:space="preserve">. Such knowledge is required to understand </w:t>
      </w:r>
      <w:r w:rsidR="00260673" w:rsidRPr="00B32C1E">
        <w:rPr>
          <w:rFonts w:ascii="Times New Roman" w:eastAsia="MS PGothic" w:hAnsi="Times New Roman"/>
          <w:lang w:val="en-GB"/>
        </w:rPr>
        <w:t xml:space="preserve">the process-structure-function relationship, which in turn is required to prepare oleofoams with fine-tuned properties. In this work, a novel methodology for visualizing </w:t>
      </w:r>
      <w:r w:rsidR="00F60884" w:rsidRPr="00B32C1E">
        <w:rPr>
          <w:rFonts w:ascii="Times New Roman" w:eastAsia="MS PGothic" w:hAnsi="Times New Roman"/>
          <w:lang w:val="en-GB"/>
        </w:rPr>
        <w:t xml:space="preserve">the microstructure of oil-continuous foams using synchrotron </w:t>
      </w:r>
      <w:r w:rsidR="00E745F4" w:rsidRPr="00B32C1E">
        <w:rPr>
          <w:rFonts w:ascii="Times New Roman" w:eastAsia="MS PGothic" w:hAnsi="Times New Roman"/>
          <w:lang w:val="en-GB"/>
        </w:rPr>
        <w:t xml:space="preserve">radiation </w:t>
      </w:r>
      <w:r w:rsidR="00F60884" w:rsidRPr="00B32C1E">
        <w:rPr>
          <w:rFonts w:ascii="Times New Roman" w:eastAsia="MS PGothic" w:hAnsi="Times New Roman"/>
          <w:lang w:val="en-GB"/>
        </w:rPr>
        <w:t xml:space="preserve">X-Ray Tomography </w:t>
      </w:r>
      <w:r w:rsidR="00E745F4" w:rsidRPr="00B32C1E">
        <w:rPr>
          <w:rFonts w:ascii="Times New Roman" w:eastAsia="MS PGothic" w:hAnsi="Times New Roman"/>
          <w:lang w:val="en-GB"/>
        </w:rPr>
        <w:t xml:space="preserve">(SR-XCT) </w:t>
      </w:r>
      <w:r w:rsidR="00F60884" w:rsidRPr="00B32C1E">
        <w:rPr>
          <w:rFonts w:ascii="Times New Roman" w:eastAsia="MS PGothic" w:hAnsi="Times New Roman"/>
          <w:lang w:val="en-GB"/>
        </w:rPr>
        <w:t>and Radiography</w:t>
      </w:r>
      <w:r w:rsidR="00E745F4" w:rsidRPr="00B32C1E">
        <w:rPr>
          <w:rFonts w:ascii="Times New Roman" w:eastAsia="MS PGothic" w:hAnsi="Times New Roman"/>
          <w:lang w:val="en-GB"/>
        </w:rPr>
        <w:t xml:space="preserve"> (SR-XRR) is presented.</w:t>
      </w:r>
      <w:r w:rsidR="00410656" w:rsidRPr="00B32C1E">
        <w:rPr>
          <w:rFonts w:ascii="Times New Roman" w:eastAsia="MS PGothic" w:hAnsi="Times New Roman"/>
          <w:lang w:val="en-GB"/>
        </w:rPr>
        <w:t xml:space="preserve"> A model system featuring cocoa butter and sunflower oil was chosen, due to the prominent role of these natural lipids in food and consumer products.</w:t>
      </w:r>
      <w:r w:rsidR="00E745F4" w:rsidRPr="00B32C1E">
        <w:rPr>
          <w:rFonts w:ascii="Times New Roman" w:eastAsia="MS PGothic" w:hAnsi="Times New Roman"/>
          <w:lang w:val="en-GB"/>
        </w:rPr>
        <w:t xml:space="preserve"> The methodology was subsequently applied to the study of oleofoam microstructure during aeration, storage and heating, as these conditions are relevant for improving their manufacturing process, their shelf life and physical behaviour upon dissolution</w:t>
      </w:r>
      <w:r w:rsidR="00B32C1E">
        <w:rPr>
          <w:rFonts w:ascii="Times New Roman" w:eastAsia="MS PGothic" w:hAnsi="Times New Roman"/>
          <w:lang w:val="en-GB"/>
        </w:rPr>
        <w:t xml:space="preserve"> </w:t>
      </w:r>
      <w:r w:rsidR="00B32C1E">
        <w:rPr>
          <w:rFonts w:ascii="Times New Roman" w:eastAsia="MS PGothic" w:hAnsi="Times New Roman"/>
          <w:lang w:val="en-GB"/>
        </w:rPr>
        <w:fldChar w:fldCharType="begin" w:fldLock="1"/>
      </w:r>
      <w:r w:rsidR="00B32C1E">
        <w:rPr>
          <w:rFonts w:ascii="Times New Roman" w:eastAsia="MS PGothic" w:hAnsi="Times New Roman"/>
          <w:lang w:val="en-GB"/>
        </w:rPr>
        <w:instrText>ADDIN CSL_CITATION {"citationItems":[{"id":"ITEM-1","itemData":{"DOI":"10.1021/acs.langmuir.1c03318","ISSN":"15205827","PMID":"35050635","abstract":"Oleofoams are a novel, versatile, and biocompatible soft material that finds application in drug, cosmetic or nutraceuticals delivery. However, due to their temperature-sensitive and opaque nature, the characterization of oleofoams’ microstructure is challenging. Here, synchrotron X-ray microcomputed tomography and radiography are applied to study the microstructure of a triglyceride-based oleofoam. These techniques enable non-destructive, quantitative, 3D measurements of native samples to determine the thermodynamic and kinetic behavior of oleofoams at different stages of their life cycle. During processing, a constant bubble size distribution is reached after few minutes of shearing, while the number of bubbles incorporated keeps increasing until saturation of the continuous phase. Low amounts of solid triglycerides in oleofoams allow faster aeration and a more homogeneous microstructure but lower thermodynamic stability, with bubble disproportionation and shape relaxation over time. Radiography shows that heating causes Ostwald ripening and coalescence of bubbles, with an increase of their diameter and sphericity.","author":[{"dropping-particle":"","family":"Metilli","given":"Lorenzo","non-dropping-particle":"","parse-names":false,"suffix":""},{"dropping-particle":"","family":"Storm","given":"Malte","non-dropping-particle":"","parse-names":false,"suffix":""},{"dropping-particle":"","family":"Marathe","given":"Shashidhara","non-dropping-particle":"","parse-names":false,"suffix":""},{"dropping-particle":"","family":"Lazidis","given":"Aris","non-dropping-particle":"","parse-names":false,"suffix":""},{"dropping-particle":"","family":"Marty-Terrade","given":"Stephanie","non-dropping-particle":"","parse-names":false,"suffix":""},{"dropping-particle":"","family":"Simone","given":"Elena","non-dropping-particle":"","parse-names":false,"suffix":""}],"container-title":"Langmuir","id":"ITEM-1","issue":"4","issued":{"date-parts":[["2022"]]},"page":"1638-1650","title":"Application of X-ray Microcomputed Tomography for the Static and Dynamic Characterization of the Microstructure of Oleofoams","type":"article-journal","volume":"38"},"uris":["http://www.mendeley.com/documents/?uuid=83fc3155-91d4-3a88-a6d0-aa86544cc2d3"]}],"mendeley":{"formattedCitation":"[4]","plainTextFormattedCitation":"[4]","previouslyFormattedCitation":"[4]"},"properties":{"noteIndex":0},"schema":"https://github.com/citation-style-language/schema/raw/master/csl-citation.json"}</w:instrText>
      </w:r>
      <w:r w:rsidR="00B32C1E">
        <w:rPr>
          <w:rFonts w:ascii="Times New Roman" w:eastAsia="MS PGothic" w:hAnsi="Times New Roman"/>
          <w:lang w:val="en-GB"/>
        </w:rPr>
        <w:fldChar w:fldCharType="separate"/>
      </w:r>
      <w:r w:rsidR="00B32C1E" w:rsidRPr="00B32C1E">
        <w:rPr>
          <w:rFonts w:ascii="Times New Roman" w:eastAsia="MS PGothic" w:hAnsi="Times New Roman"/>
          <w:noProof/>
          <w:lang w:val="en-GB"/>
        </w:rPr>
        <w:t>[4]</w:t>
      </w:r>
      <w:r w:rsidR="00B32C1E">
        <w:rPr>
          <w:rFonts w:ascii="Times New Roman" w:eastAsia="MS PGothic" w:hAnsi="Times New Roman"/>
          <w:lang w:val="en-GB"/>
        </w:rPr>
        <w:fldChar w:fldCharType="end"/>
      </w:r>
      <w:r w:rsidR="00E745F4" w:rsidRPr="00B32C1E">
        <w:rPr>
          <w:rFonts w:ascii="Times New Roman" w:eastAsia="MS PGothic" w:hAnsi="Times New Roman"/>
          <w:lang w:val="en-GB"/>
        </w:rPr>
        <w:t>.</w:t>
      </w:r>
    </w:p>
    <w:p w14:paraId="0871BF31" w14:textId="77777777" w:rsidR="00DA51A3" w:rsidRPr="00B32C1E" w:rsidRDefault="00DA51A3" w:rsidP="00DA51A3">
      <w:pPr>
        <w:snapToGrid w:val="0"/>
        <w:spacing w:before="240" w:line="300" w:lineRule="auto"/>
        <w:rPr>
          <w:rFonts w:ascii="Times New Roman" w:eastAsia="MS PGothic" w:hAnsi="Times New Roman"/>
          <w:lang w:val="en-GB"/>
        </w:rPr>
      </w:pPr>
      <w:r w:rsidRPr="00B32C1E">
        <w:rPr>
          <w:rFonts w:ascii="Times New Roman" w:eastAsia="MS PGothic" w:hAnsi="Times New Roman"/>
          <w:b/>
          <w:bCs/>
          <w:lang w:val="en-GB"/>
        </w:rPr>
        <w:t>2. Methods</w:t>
      </w:r>
    </w:p>
    <w:p w14:paraId="0EC05FD2" w14:textId="26A872F4" w:rsidR="00DA51A3" w:rsidRPr="00B32C1E" w:rsidRDefault="00933FF0" w:rsidP="00FF030F">
      <w:pPr>
        <w:snapToGrid w:val="0"/>
        <w:spacing w:after="120"/>
        <w:jc w:val="both"/>
        <w:rPr>
          <w:rFonts w:ascii="Times New Roman" w:eastAsia="MS PGothic" w:hAnsi="Times New Roman"/>
          <w:lang w:val="en-GB"/>
        </w:rPr>
      </w:pPr>
      <w:r w:rsidRPr="00B32C1E">
        <w:rPr>
          <w:rFonts w:ascii="Times New Roman" w:eastAsia="MS PGothic" w:hAnsi="Times New Roman"/>
          <w:lang w:val="en-GB"/>
        </w:rPr>
        <w:t>Mixtures of cocoa butter (CB) and high oleic sunflower oil (HOSO) were prepared by melting CB at 65°C and adding it to HOSO with a weight concentration of either 15% or 30%. The mixtures were cooled down</w:t>
      </w:r>
      <w:r w:rsidR="00FF030F" w:rsidRPr="00B32C1E">
        <w:rPr>
          <w:rFonts w:ascii="Times New Roman" w:eastAsia="MS PGothic" w:hAnsi="Times New Roman"/>
          <w:lang w:val="en-GB"/>
        </w:rPr>
        <w:t xml:space="preserve"> using a Huber thermostat (Huber, Germany)</w:t>
      </w:r>
      <w:r w:rsidR="00E05DC7" w:rsidRPr="00B32C1E">
        <w:rPr>
          <w:rFonts w:ascii="Times New Roman" w:eastAsia="MS PGothic" w:hAnsi="Times New Roman"/>
          <w:lang w:val="en-GB"/>
        </w:rPr>
        <w:t xml:space="preserve"> </w:t>
      </w:r>
      <w:r w:rsidRPr="00B32C1E">
        <w:rPr>
          <w:rFonts w:ascii="Times New Roman" w:eastAsia="MS PGothic" w:hAnsi="Times New Roman"/>
          <w:lang w:val="en-GB"/>
        </w:rPr>
        <w:t>under shear</w:t>
      </w:r>
      <w:r w:rsidR="00FF030F" w:rsidRPr="00B32C1E">
        <w:rPr>
          <w:rFonts w:ascii="Times New Roman" w:eastAsia="MS PGothic" w:hAnsi="Times New Roman"/>
          <w:lang w:val="en-GB"/>
        </w:rPr>
        <w:t xml:space="preserve"> (DLH overhead stirrer, VELP Scientifica Italy) </w:t>
      </w:r>
      <w:r w:rsidRPr="00B32C1E">
        <w:rPr>
          <w:rFonts w:ascii="Times New Roman" w:eastAsia="MS PGothic" w:hAnsi="Times New Roman"/>
          <w:lang w:val="en-GB"/>
        </w:rPr>
        <w:t>in a 1L capacity vessel until the formation of a gel (oleogel)</w:t>
      </w:r>
      <w:r w:rsidR="00E05DC7" w:rsidRPr="00B32C1E">
        <w:rPr>
          <w:rFonts w:ascii="Times New Roman" w:eastAsia="MS PGothic" w:hAnsi="Times New Roman"/>
          <w:lang w:val="en-GB"/>
        </w:rPr>
        <w:t>. The sample temperature was monitored with a Pt-100 thermocouple. Sample “15S” was prepared with 15% CB w/w and a cooling rate of -0.10 °C/min, while sample “30F” was prepared</w:t>
      </w:r>
      <w:r w:rsidR="00FF030F" w:rsidRPr="00B32C1E">
        <w:rPr>
          <w:rFonts w:ascii="Times New Roman" w:eastAsia="MS PGothic" w:hAnsi="Times New Roman"/>
          <w:lang w:val="en-GB"/>
        </w:rPr>
        <w:t xml:space="preserve"> with 30% CB w/w and a cooling rate of -0.75 °C/min. The oleogels were then transferred to a planetary mixer (model 5KPM50, Kitchenaid, USA) and whipped with a constant shear rate (250 rpm).</w:t>
      </w:r>
      <w:r w:rsidR="008258F9" w:rsidRPr="00B32C1E">
        <w:rPr>
          <w:rFonts w:ascii="Times New Roman" w:eastAsia="MS PGothic" w:hAnsi="Times New Roman"/>
          <w:lang w:val="en-GB"/>
        </w:rPr>
        <w:t xml:space="preserve"> The oleogels were aerated for a total time of 30 minutes, pausing every 5 minutes to measure the amount of incorporated air (overrun). The overrun was calculated by filling a cup of a fixed volume (30 mL) with the foam and measuring its weight. The overrun is then calculated with Equation 1:</w:t>
      </w:r>
    </w:p>
    <w:p w14:paraId="274ECA84" w14:textId="5C6419DF" w:rsidR="008258F9" w:rsidRPr="00B32C1E" w:rsidRDefault="008258F9" w:rsidP="00FF030F">
      <w:pPr>
        <w:snapToGrid w:val="0"/>
        <w:spacing w:after="120"/>
        <w:jc w:val="both"/>
        <w:rPr>
          <w:rFonts w:ascii="Times New Roman" w:eastAsia="MS PGothic" w:hAnsi="Times New Roman"/>
          <w:i/>
          <w:lang w:val="en-GB"/>
        </w:rPr>
      </w:pPr>
      <m:oMathPara>
        <m:oMath>
          <m:r>
            <w:rPr>
              <w:rFonts w:ascii="Cambria Math" w:eastAsia="MS PGothic" w:hAnsi="Cambria Math"/>
              <w:lang w:val="en-GB"/>
            </w:rPr>
            <m:t>OR</m:t>
          </m:r>
          <m:d>
            <m:dPr>
              <m:ctrlPr>
                <w:rPr>
                  <w:rFonts w:ascii="Cambria Math" w:eastAsia="MS PGothic" w:hAnsi="Cambria Math"/>
                  <w:i/>
                  <w:lang w:val="en-GB"/>
                </w:rPr>
              </m:ctrlPr>
            </m:dPr>
            <m:e>
              <m:r>
                <w:rPr>
                  <w:rFonts w:ascii="Cambria Math" w:eastAsia="MS PGothic" w:hAnsi="Cambria Math"/>
                  <w:lang w:val="en-GB"/>
                </w:rPr>
                <m:t>%</m:t>
              </m:r>
            </m:e>
          </m:d>
          <m:r>
            <w:rPr>
              <w:rFonts w:ascii="Cambria Math" w:eastAsia="MS PGothic" w:hAnsi="Cambria Math"/>
              <w:lang w:val="en-GB"/>
            </w:rPr>
            <m:t>=100×</m:t>
          </m:r>
          <m:f>
            <m:fPr>
              <m:ctrlPr>
                <w:rPr>
                  <w:rFonts w:ascii="Cambria Math" w:eastAsia="MS PGothic" w:hAnsi="Cambria Math"/>
                  <w:i/>
                  <w:lang w:val="en-GB"/>
                </w:rPr>
              </m:ctrlPr>
            </m:fPr>
            <m:num>
              <m:r>
                <w:rPr>
                  <w:rFonts w:ascii="Cambria Math" w:eastAsia="MS PGothic" w:hAnsi="Cambria Math"/>
                  <w:lang w:val="en-GB"/>
                </w:rPr>
                <m:t>(</m:t>
              </m:r>
              <m:sSub>
                <m:sSubPr>
                  <m:ctrlPr>
                    <w:rPr>
                      <w:rFonts w:ascii="Cambria Math" w:eastAsia="MS PGothic" w:hAnsi="Cambria Math"/>
                      <w:i/>
                      <w:lang w:val="en-GB"/>
                    </w:rPr>
                  </m:ctrlPr>
                </m:sSubPr>
                <m:e>
                  <m:r>
                    <w:rPr>
                      <w:rFonts w:ascii="Cambria Math" w:eastAsia="MS PGothic" w:hAnsi="Cambria Math"/>
                      <w:lang w:val="en-GB"/>
                    </w:rPr>
                    <m:t>w</m:t>
                  </m:r>
                </m:e>
                <m:sub>
                  <m:r>
                    <w:rPr>
                      <w:rFonts w:ascii="Cambria Math" w:eastAsia="MS PGothic" w:hAnsi="Cambria Math"/>
                      <w:lang w:val="en-GB"/>
                    </w:rPr>
                    <m:t>gel</m:t>
                  </m:r>
                </m:sub>
              </m:sSub>
              <m:r>
                <w:rPr>
                  <w:rFonts w:ascii="Cambria Math" w:eastAsia="MS PGothic" w:hAnsi="Cambria Math"/>
                  <w:lang w:val="en-GB"/>
                </w:rPr>
                <m:t>-</m:t>
              </m:r>
              <m:sSub>
                <m:sSubPr>
                  <m:ctrlPr>
                    <w:rPr>
                      <w:rFonts w:ascii="Cambria Math" w:eastAsia="MS PGothic" w:hAnsi="Cambria Math"/>
                      <w:i/>
                      <w:lang w:val="en-GB"/>
                    </w:rPr>
                  </m:ctrlPr>
                </m:sSubPr>
                <m:e>
                  <m:r>
                    <w:rPr>
                      <w:rFonts w:ascii="Cambria Math" w:eastAsia="MS PGothic" w:hAnsi="Cambria Math"/>
                      <w:lang w:val="en-GB"/>
                    </w:rPr>
                    <m:t>w</m:t>
                  </m:r>
                </m:e>
                <m:sub>
                  <m:r>
                    <w:rPr>
                      <w:rFonts w:ascii="Cambria Math" w:eastAsia="MS PGothic" w:hAnsi="Cambria Math"/>
                      <w:lang w:val="en-GB"/>
                    </w:rPr>
                    <m:t>foam</m:t>
                  </m:r>
                </m:sub>
              </m:sSub>
              <m:r>
                <w:rPr>
                  <w:rFonts w:ascii="Cambria Math" w:eastAsia="MS PGothic" w:hAnsi="Cambria Math"/>
                  <w:lang w:val="en-GB"/>
                </w:rPr>
                <m:t>)</m:t>
              </m:r>
            </m:num>
            <m:den>
              <m:sSub>
                <m:sSubPr>
                  <m:ctrlPr>
                    <w:rPr>
                      <w:rFonts w:ascii="Cambria Math" w:eastAsia="MS PGothic" w:hAnsi="Cambria Math"/>
                      <w:i/>
                      <w:lang w:val="en-GB"/>
                    </w:rPr>
                  </m:ctrlPr>
                </m:sSubPr>
                <m:e>
                  <m:r>
                    <w:rPr>
                      <w:rFonts w:ascii="Cambria Math" w:eastAsia="MS PGothic" w:hAnsi="Cambria Math"/>
                      <w:lang w:val="en-GB"/>
                    </w:rPr>
                    <m:t>w</m:t>
                  </m:r>
                </m:e>
                <m:sub>
                  <m:r>
                    <w:rPr>
                      <w:rFonts w:ascii="Cambria Math" w:eastAsia="MS PGothic" w:hAnsi="Cambria Math"/>
                      <w:lang w:val="en-GB"/>
                    </w:rPr>
                    <m:t>foam</m:t>
                  </m:r>
                </m:sub>
              </m:sSub>
            </m:den>
          </m:f>
          <m:r>
            <w:rPr>
              <w:rFonts w:ascii="Cambria Math" w:eastAsia="MS PGothic" w:hAnsi="Cambria Math"/>
              <w:lang w:val="en-GB"/>
            </w:rPr>
            <m:t xml:space="preserve">  </m:t>
          </m:r>
        </m:oMath>
      </m:oMathPara>
    </w:p>
    <w:p w14:paraId="074164DE" w14:textId="4FC90AC0" w:rsidR="000801FB" w:rsidRPr="00B32C1E" w:rsidRDefault="000801FB" w:rsidP="00FF030F">
      <w:pPr>
        <w:snapToGrid w:val="0"/>
        <w:spacing w:after="120"/>
        <w:jc w:val="both"/>
        <w:rPr>
          <w:rFonts w:ascii="Times New Roman" w:eastAsia="MS PGothic" w:hAnsi="Times New Roman"/>
          <w:iCs/>
          <w:lang w:val="en-GB"/>
        </w:rPr>
      </w:pPr>
      <w:r w:rsidRPr="00B32C1E">
        <w:rPr>
          <w:rFonts w:ascii="Times New Roman" w:eastAsia="MS PGothic" w:hAnsi="Times New Roman"/>
          <w:iCs/>
          <w:lang w:val="en-GB"/>
        </w:rPr>
        <w:lastRenderedPageBreak/>
        <w:t>Where w</w:t>
      </w:r>
      <w:r w:rsidRPr="00B32C1E">
        <w:rPr>
          <w:rFonts w:ascii="Times New Roman" w:eastAsia="MS PGothic" w:hAnsi="Times New Roman"/>
          <w:iCs/>
          <w:vertAlign w:val="subscript"/>
          <w:lang w:val="en-GB"/>
        </w:rPr>
        <w:t>gel</w:t>
      </w:r>
      <w:r w:rsidRPr="00B32C1E">
        <w:rPr>
          <w:rFonts w:ascii="Times New Roman" w:eastAsia="MS PGothic" w:hAnsi="Times New Roman"/>
          <w:iCs/>
          <w:lang w:val="en-GB"/>
        </w:rPr>
        <w:t xml:space="preserve"> and w</w:t>
      </w:r>
      <w:r w:rsidRPr="00B32C1E">
        <w:rPr>
          <w:rFonts w:ascii="Times New Roman" w:eastAsia="MS PGothic" w:hAnsi="Times New Roman"/>
          <w:iCs/>
          <w:vertAlign w:val="subscript"/>
          <w:lang w:val="en-GB"/>
        </w:rPr>
        <w:t>foam</w:t>
      </w:r>
      <w:r w:rsidRPr="00B32C1E">
        <w:rPr>
          <w:rFonts w:ascii="Times New Roman" w:eastAsia="MS PGothic" w:hAnsi="Times New Roman"/>
          <w:iCs/>
          <w:lang w:val="en-GB"/>
        </w:rPr>
        <w:t xml:space="preserve"> are the weight of the unwhipped gel and the oleofoam, respectively. The samples were </w:t>
      </w:r>
      <w:r w:rsidR="00B32C1E" w:rsidRPr="00B32C1E">
        <w:rPr>
          <w:rFonts w:ascii="Times New Roman" w:eastAsia="MS PGothic" w:hAnsi="Times New Roman"/>
          <w:iCs/>
          <w:lang w:val="en-GB"/>
        </w:rPr>
        <w:t>analysed</w:t>
      </w:r>
      <w:r w:rsidRPr="00B32C1E">
        <w:rPr>
          <w:rFonts w:ascii="Times New Roman" w:eastAsia="MS PGothic" w:hAnsi="Times New Roman"/>
          <w:iCs/>
          <w:lang w:val="en-GB"/>
        </w:rPr>
        <w:t xml:space="preserve"> with SR-XCT after each aeration step. For the stored samples, oleofoams kept at 20°C for 3 and 15 months were </w:t>
      </w:r>
      <w:r w:rsidR="00B32C1E" w:rsidRPr="00B32C1E">
        <w:rPr>
          <w:rFonts w:ascii="Times New Roman" w:eastAsia="MS PGothic" w:hAnsi="Times New Roman"/>
          <w:iCs/>
          <w:lang w:val="en-GB"/>
        </w:rPr>
        <w:t>analysed</w:t>
      </w:r>
      <w:r w:rsidRPr="00B32C1E">
        <w:rPr>
          <w:rFonts w:ascii="Times New Roman" w:eastAsia="MS PGothic" w:hAnsi="Times New Roman"/>
          <w:iCs/>
          <w:lang w:val="en-GB"/>
        </w:rPr>
        <w:t xml:space="preserve"> as well. </w:t>
      </w:r>
    </w:p>
    <w:p w14:paraId="0EE31AEB" w14:textId="3709A5B8" w:rsidR="008258F9" w:rsidRPr="00B32C1E" w:rsidRDefault="000801FB" w:rsidP="000801FB">
      <w:pPr>
        <w:jc w:val="both"/>
        <w:rPr>
          <w:rFonts w:ascii="Times New Roman" w:eastAsia="MS PGothic" w:hAnsi="Times New Roman"/>
          <w:iCs/>
          <w:lang w:val="en-GB"/>
        </w:rPr>
      </w:pPr>
      <w:r w:rsidRPr="00B32C1E">
        <w:rPr>
          <w:rFonts w:ascii="Times New Roman" w:eastAsia="MS PGothic" w:hAnsi="Times New Roman"/>
          <w:iCs/>
          <w:lang w:val="en-GB"/>
        </w:rPr>
        <w:t>The tomographic analysis was carried out at the I13-2 beamline at Diamond Light Source (DLS) synchrotron (Didcot, UK), using a pink beam source of 27 keV. The 2D projections were acquired with a PCO edge 5.5 CMOS camera (2560 x 2160 pixels). The effective pixel size was 0.8125 µm. A small amount of sample (approximately 1 mm</w:t>
      </w:r>
      <w:r w:rsidRPr="00B32C1E">
        <w:rPr>
          <w:rFonts w:ascii="Times New Roman" w:eastAsia="MS PGothic" w:hAnsi="Times New Roman"/>
          <w:iCs/>
          <w:vertAlign w:val="superscript"/>
          <w:lang w:val="en-GB"/>
        </w:rPr>
        <w:t>3</w:t>
      </w:r>
      <w:r w:rsidRPr="00B32C1E">
        <w:rPr>
          <w:rFonts w:ascii="Times New Roman" w:eastAsia="MS PGothic" w:hAnsi="Times New Roman"/>
          <w:iCs/>
          <w:lang w:val="en-GB"/>
        </w:rPr>
        <w:t xml:space="preserve">) was placed on the top of a toothpick glued to the base of the cryocap. The samples were quickly immersed in liquid nitrogen (-196 °C) and installed on the tomography stage. </w:t>
      </w:r>
      <w:r w:rsidR="00F11ABE" w:rsidRPr="00B32C1E">
        <w:rPr>
          <w:rFonts w:ascii="Times New Roman" w:eastAsia="MS PGothic" w:hAnsi="Times New Roman"/>
          <w:iCs/>
          <w:lang w:val="en-GB"/>
        </w:rPr>
        <w:t>The sample temperature was controlled using a Cryojet device (Cryojet XL, Oxford Instruments, UK) and set to -40 °C during the tomography acquisitions. The exposure time for each projection was set to 100 ms for 1001 projects, with a total time of 5 minutes. Each acquisition was repeated three times per sample.</w:t>
      </w:r>
    </w:p>
    <w:p w14:paraId="08274868" w14:textId="7392094D" w:rsidR="00C51F05" w:rsidRPr="00B32C1E" w:rsidRDefault="00C51F05" w:rsidP="00C51F05">
      <w:pPr>
        <w:jc w:val="both"/>
        <w:rPr>
          <w:rFonts w:ascii="Times New Roman" w:hAnsi="Times New Roman" w:cs="Times New Roman"/>
          <w:lang w:val="en-GB"/>
        </w:rPr>
      </w:pPr>
      <w:r w:rsidRPr="00B32C1E">
        <w:rPr>
          <w:rFonts w:ascii="Times New Roman" w:eastAsia="MS PGothic" w:hAnsi="Times New Roman"/>
          <w:iCs/>
          <w:lang w:val="en-GB"/>
        </w:rPr>
        <w:t xml:space="preserve">The oleofoam samples were also subjected to controlled heating, and the changes in microstructure were studied using both SR-XCT and SR-XRR. The heating profile started from 20 °C until the melting temperature of the oleofoams (25 or 27°C) at a heating rate of 2 °C/min. Afterwards, the sample was cooled to 0°C at a rate of 6 °C/min and maintained at 0 °C for 5 minutes. A tomography acquisition was then performed. Radiography images were collected during the temperature ramp every 0.5 s. </w:t>
      </w:r>
      <w:r w:rsidR="00687D40" w:rsidRPr="00B32C1E">
        <w:rPr>
          <w:rFonts w:ascii="Times New Roman" w:eastAsia="MS PGothic" w:hAnsi="Times New Roman"/>
          <w:iCs/>
          <w:lang w:val="en-GB"/>
        </w:rPr>
        <w:t xml:space="preserve">The radiography images were normalized and used to produce a set of difference images – where the </w:t>
      </w:r>
      <w:r w:rsidR="00687D40" w:rsidRPr="00B32C1E">
        <w:rPr>
          <w:rFonts w:ascii="Times New Roman" w:eastAsia="MS PGothic" w:hAnsi="Times New Roman"/>
          <w:i/>
          <w:lang w:val="en-GB"/>
        </w:rPr>
        <w:t>i-th</w:t>
      </w:r>
      <w:r w:rsidR="00687D40" w:rsidRPr="00B32C1E">
        <w:rPr>
          <w:rFonts w:ascii="Times New Roman" w:eastAsia="MS PGothic" w:hAnsi="Times New Roman"/>
          <w:iCs/>
          <w:lang w:val="en-GB"/>
        </w:rPr>
        <w:t xml:space="preserve"> image is subtracted from the </w:t>
      </w:r>
      <w:r w:rsidR="00687D40" w:rsidRPr="00B32C1E">
        <w:rPr>
          <w:rFonts w:ascii="Times New Roman" w:eastAsia="MS PGothic" w:hAnsi="Times New Roman"/>
          <w:i/>
          <w:lang w:val="en-GB"/>
        </w:rPr>
        <w:t>i+1-</w:t>
      </w:r>
      <w:r w:rsidR="00687D40" w:rsidRPr="00B32C1E">
        <w:rPr>
          <w:rFonts w:ascii="Times New Roman" w:eastAsia="MS PGothic" w:hAnsi="Times New Roman" w:cs="Times New Roman"/>
          <w:i/>
          <w:lang w:val="en-GB"/>
        </w:rPr>
        <w:t xml:space="preserve">th </w:t>
      </w:r>
      <w:r w:rsidR="00687D40" w:rsidRPr="00B32C1E">
        <w:rPr>
          <w:rFonts w:ascii="Times New Roman" w:hAnsi="Times New Roman" w:cs="Times New Roman"/>
          <w:lang w:val="en-GB"/>
        </w:rPr>
        <w:t xml:space="preserve">image – to highlight changes in the microstructure. The difference image stack was further </w:t>
      </w:r>
      <w:r w:rsidR="00B32C1E" w:rsidRPr="00B32C1E">
        <w:rPr>
          <w:rFonts w:ascii="Times New Roman" w:hAnsi="Times New Roman" w:cs="Times New Roman"/>
          <w:lang w:val="en-GB"/>
        </w:rPr>
        <w:t>analysed</w:t>
      </w:r>
      <w:r w:rsidR="00687D40" w:rsidRPr="00B32C1E">
        <w:rPr>
          <w:rFonts w:ascii="Times New Roman" w:hAnsi="Times New Roman" w:cs="Times New Roman"/>
          <w:lang w:val="en-GB"/>
        </w:rPr>
        <w:t xml:space="preserve"> with Principal Component Analysis (PCA) using MATLAB R2021a (Mathworks, USA). The score of the first principal component was plotted against the temperature to detect the onset of structural changes in the oleofoam during heating.</w:t>
      </w:r>
    </w:p>
    <w:p w14:paraId="18071937" w14:textId="6EAE591D" w:rsidR="00B6669A" w:rsidRPr="00B32C1E" w:rsidRDefault="00B6669A" w:rsidP="00C51F05">
      <w:pPr>
        <w:jc w:val="both"/>
        <w:rPr>
          <w:rFonts w:ascii="Times New Roman" w:hAnsi="Times New Roman" w:cs="Times New Roman"/>
          <w:u w:val="single"/>
          <w:lang w:val="en-GB"/>
        </w:rPr>
      </w:pPr>
      <w:r w:rsidRPr="00B32C1E">
        <w:rPr>
          <w:rFonts w:ascii="Times New Roman" w:hAnsi="Times New Roman" w:cs="Times New Roman"/>
          <w:lang w:val="en-GB"/>
        </w:rPr>
        <w:t xml:space="preserve">The tomographic images were </w:t>
      </w:r>
      <w:r w:rsidR="00B32C1E" w:rsidRPr="00B32C1E">
        <w:rPr>
          <w:rFonts w:ascii="Times New Roman" w:hAnsi="Times New Roman" w:cs="Times New Roman"/>
          <w:lang w:val="en-GB"/>
        </w:rPr>
        <w:t>reconstructed</w:t>
      </w:r>
      <w:r w:rsidRPr="00B32C1E">
        <w:rPr>
          <w:rFonts w:ascii="Times New Roman" w:hAnsi="Times New Roman" w:cs="Times New Roman"/>
          <w:lang w:val="en-GB"/>
        </w:rPr>
        <w:t xml:space="preserve"> using the </w:t>
      </w:r>
      <w:r w:rsidRPr="00B32C1E">
        <w:rPr>
          <w:rFonts w:ascii="Times New Roman" w:hAnsi="Times New Roman" w:cs="Times New Roman"/>
          <w:i/>
          <w:iCs/>
          <w:lang w:val="en-GB"/>
        </w:rPr>
        <w:t xml:space="preserve">savu </w:t>
      </w:r>
      <w:r w:rsidRPr="00B32C1E">
        <w:rPr>
          <w:rFonts w:ascii="Times New Roman" w:hAnsi="Times New Roman" w:cs="Times New Roman"/>
          <w:lang w:val="en-GB"/>
        </w:rPr>
        <w:t xml:space="preserve">framework developed at the Diamond Light source; the projections were corrected for dark images and flat-fields images, and a ring-removal algorithm was applied. </w:t>
      </w:r>
      <w:r w:rsidR="004967BF" w:rsidRPr="00B32C1E">
        <w:rPr>
          <w:rFonts w:ascii="Times New Roman" w:hAnsi="Times New Roman" w:cs="Times New Roman"/>
          <w:lang w:val="en-GB"/>
        </w:rPr>
        <w:t>A Paganin filter was applied to further enhance the contrast</w:t>
      </w:r>
      <w:r w:rsidR="0058730A" w:rsidRPr="00B32C1E">
        <w:rPr>
          <w:rFonts w:ascii="Times New Roman" w:hAnsi="Times New Roman" w:cs="Times New Roman"/>
          <w:lang w:val="en-GB"/>
        </w:rPr>
        <w:t xml:space="preserve"> between the bubbles and the </w:t>
      </w:r>
      <w:r w:rsidR="00B32C1E" w:rsidRPr="00B32C1E">
        <w:rPr>
          <w:rFonts w:ascii="Times New Roman" w:hAnsi="Times New Roman" w:cs="Times New Roman"/>
          <w:lang w:val="en-GB"/>
        </w:rPr>
        <w:t>continuous</w:t>
      </w:r>
      <w:r w:rsidR="0058730A" w:rsidRPr="00B32C1E">
        <w:rPr>
          <w:rFonts w:ascii="Times New Roman" w:hAnsi="Times New Roman" w:cs="Times New Roman"/>
          <w:lang w:val="en-GB"/>
        </w:rPr>
        <w:t xml:space="preserve"> phase.</w:t>
      </w:r>
      <w:r w:rsidR="000629B9" w:rsidRPr="00B32C1E">
        <w:rPr>
          <w:rFonts w:ascii="Times New Roman" w:hAnsi="Times New Roman" w:cs="Times New Roman"/>
          <w:lang w:val="en-GB"/>
        </w:rPr>
        <w:t xml:space="preserve"> The reconstructed volumes were then processed using a custom ImageJ routine (National Institute of Health, USA), which includes median filtering, Otsu thresholding, and segmentation based on the 3D Euclidean distance map. Bubbles were counted using the BoneJ plugin, and their volume and surface area measured. BoneJ was also used to measure the thickness of the </w:t>
      </w:r>
      <w:r w:rsidR="00B32C1E" w:rsidRPr="00B32C1E">
        <w:rPr>
          <w:rFonts w:ascii="Times New Roman" w:hAnsi="Times New Roman" w:cs="Times New Roman"/>
          <w:lang w:val="en-GB"/>
        </w:rPr>
        <w:t>continuous</w:t>
      </w:r>
      <w:r w:rsidR="000629B9" w:rsidRPr="00B32C1E">
        <w:rPr>
          <w:rFonts w:ascii="Times New Roman" w:hAnsi="Times New Roman" w:cs="Times New Roman"/>
          <w:lang w:val="en-GB"/>
        </w:rPr>
        <w:t xml:space="preserve"> phase.</w:t>
      </w:r>
    </w:p>
    <w:p w14:paraId="0528A46E" w14:textId="77777777" w:rsidR="00DA51A3" w:rsidRPr="00B32C1E" w:rsidRDefault="00DA51A3" w:rsidP="00DA51A3">
      <w:pPr>
        <w:snapToGrid w:val="0"/>
        <w:spacing w:before="240" w:line="300" w:lineRule="auto"/>
        <w:rPr>
          <w:rFonts w:ascii="Times New Roman" w:eastAsia="MS PGothic" w:hAnsi="Times New Roman"/>
          <w:lang w:val="en-GB"/>
        </w:rPr>
      </w:pPr>
      <w:r w:rsidRPr="00B32C1E">
        <w:rPr>
          <w:rFonts w:ascii="Times New Roman" w:eastAsia="MS PGothic" w:hAnsi="Times New Roman"/>
          <w:b/>
          <w:bCs/>
          <w:lang w:val="en-GB"/>
        </w:rPr>
        <w:t>3. Results and discussion</w:t>
      </w:r>
    </w:p>
    <w:p w14:paraId="13D593A1" w14:textId="0EFAE3F6" w:rsidR="000D0EE3" w:rsidRPr="00B32C1E" w:rsidRDefault="000D0EE3" w:rsidP="000D0EE3">
      <w:pPr>
        <w:snapToGrid w:val="0"/>
        <w:spacing w:after="120"/>
        <w:jc w:val="both"/>
        <w:rPr>
          <w:rFonts w:ascii="Times New Roman" w:eastAsia="MS PGothic" w:hAnsi="Times New Roman"/>
          <w:lang w:val="en-GB"/>
        </w:rPr>
      </w:pPr>
      <w:r w:rsidRPr="00B32C1E">
        <w:rPr>
          <w:rFonts w:ascii="Times New Roman" w:eastAsia="MS PGothic" w:hAnsi="Times New Roman"/>
          <w:lang w:val="en-GB"/>
        </w:rPr>
        <w:t>Result show</w:t>
      </w:r>
      <w:r w:rsidR="00CD27D4" w:rsidRPr="00B32C1E">
        <w:rPr>
          <w:rFonts w:ascii="Times New Roman" w:eastAsia="MS PGothic" w:hAnsi="Times New Roman"/>
          <w:lang w:val="en-GB"/>
        </w:rPr>
        <w:t>ed</w:t>
      </w:r>
      <w:r w:rsidR="00140B9D" w:rsidRPr="00B32C1E">
        <w:rPr>
          <w:rFonts w:ascii="Times New Roman" w:eastAsia="MS PGothic" w:hAnsi="Times New Roman"/>
          <w:lang w:val="en-GB"/>
        </w:rPr>
        <w:t xml:space="preserve"> that both type of oleofoams (15S and 30F) display</w:t>
      </w:r>
      <w:r w:rsidR="00CD27D4" w:rsidRPr="00B32C1E">
        <w:rPr>
          <w:rFonts w:ascii="Times New Roman" w:eastAsia="MS PGothic" w:hAnsi="Times New Roman"/>
          <w:lang w:val="en-GB"/>
        </w:rPr>
        <w:t>ed</w:t>
      </w:r>
      <w:r w:rsidR="00140B9D" w:rsidRPr="00B32C1E">
        <w:rPr>
          <w:rFonts w:ascii="Times New Roman" w:eastAsia="MS PGothic" w:hAnsi="Times New Roman"/>
          <w:lang w:val="en-GB"/>
        </w:rPr>
        <w:t xml:space="preserve"> an average bubbles size of 20 µm, with a mean sphericity of 0.88. These values remain</w:t>
      </w:r>
      <w:r w:rsidR="00CD27D4" w:rsidRPr="00B32C1E">
        <w:rPr>
          <w:rFonts w:ascii="Times New Roman" w:eastAsia="MS PGothic" w:hAnsi="Times New Roman"/>
          <w:lang w:val="en-GB"/>
        </w:rPr>
        <w:t xml:space="preserve">ed </w:t>
      </w:r>
      <w:r w:rsidR="00140B9D" w:rsidRPr="00B32C1E">
        <w:rPr>
          <w:rFonts w:ascii="Times New Roman" w:eastAsia="MS PGothic" w:hAnsi="Times New Roman"/>
          <w:lang w:val="en-GB"/>
        </w:rPr>
        <w:t xml:space="preserve">similar from 5 until 30 minutes of aeration, suggesting that an equilibrium size and shape distribution </w:t>
      </w:r>
      <w:r w:rsidR="00CD27D4" w:rsidRPr="00B32C1E">
        <w:rPr>
          <w:rFonts w:ascii="Times New Roman" w:eastAsia="MS PGothic" w:hAnsi="Times New Roman"/>
          <w:lang w:val="en-GB"/>
        </w:rPr>
        <w:t>wa</w:t>
      </w:r>
      <w:r w:rsidR="00140B9D" w:rsidRPr="00B32C1E">
        <w:rPr>
          <w:rFonts w:ascii="Times New Roman" w:eastAsia="MS PGothic" w:hAnsi="Times New Roman"/>
          <w:lang w:val="en-GB"/>
        </w:rPr>
        <w:t>s reached at the beginning the process</w:t>
      </w:r>
      <w:r w:rsidR="00CD27D4" w:rsidRPr="00B32C1E">
        <w:rPr>
          <w:rFonts w:ascii="Times New Roman" w:eastAsia="MS PGothic" w:hAnsi="Times New Roman"/>
          <w:lang w:val="en-GB"/>
        </w:rPr>
        <w:t xml:space="preserve"> (Figure 1)</w:t>
      </w:r>
      <w:r w:rsidR="00140B9D" w:rsidRPr="00B32C1E">
        <w:rPr>
          <w:rFonts w:ascii="Times New Roman" w:eastAsia="MS PGothic" w:hAnsi="Times New Roman"/>
          <w:lang w:val="en-GB"/>
        </w:rPr>
        <w:t>.</w:t>
      </w:r>
      <w:r w:rsidR="00CD27D4" w:rsidRPr="00B32C1E">
        <w:rPr>
          <w:rFonts w:ascii="Times New Roman" w:eastAsia="MS PGothic" w:hAnsi="Times New Roman"/>
          <w:lang w:val="en-GB"/>
        </w:rPr>
        <w:t xml:space="preserve"> The main difference between the two samples was seen in the overrun and the oleogel thickness. In particular, sample 15S reached a higher overrun (180%) and a thinner oleogel thickness </w:t>
      </w:r>
      <w:r w:rsidR="00774B8F" w:rsidRPr="00B32C1E">
        <w:rPr>
          <w:rFonts w:ascii="Times New Roman" w:eastAsia="MS PGothic" w:hAnsi="Times New Roman"/>
          <w:lang w:val="en-GB"/>
        </w:rPr>
        <w:t xml:space="preserve">(11 ± 6 µm) </w:t>
      </w:r>
      <w:r w:rsidR="00CD27D4" w:rsidRPr="00B32C1E">
        <w:rPr>
          <w:rFonts w:ascii="Times New Roman" w:eastAsia="MS PGothic" w:hAnsi="Times New Roman"/>
          <w:lang w:val="en-GB"/>
        </w:rPr>
        <w:t>in less time, compared to sample 30F which could reach only 130% overrun and retained a significant volume of unwhipped oleogel domains, resulting in a larger oleogel thickness</w:t>
      </w:r>
      <w:r w:rsidR="00774B8F" w:rsidRPr="00B32C1E">
        <w:rPr>
          <w:rFonts w:ascii="Times New Roman" w:eastAsia="MS PGothic" w:hAnsi="Times New Roman"/>
          <w:lang w:val="en-GB"/>
        </w:rPr>
        <w:t xml:space="preserve"> (20 ± 13 µm)</w:t>
      </w:r>
      <w:r w:rsidR="00CD27D4" w:rsidRPr="00B32C1E">
        <w:rPr>
          <w:rFonts w:ascii="Times New Roman" w:eastAsia="MS PGothic" w:hAnsi="Times New Roman"/>
          <w:lang w:val="en-GB"/>
        </w:rPr>
        <w:t xml:space="preserve"> after 30 minutes of whipping.</w:t>
      </w:r>
    </w:p>
    <w:p w14:paraId="49D7402B" w14:textId="36FD1ADE" w:rsidR="00774B8F" w:rsidRPr="00B32C1E" w:rsidRDefault="00CD7432" w:rsidP="000D0EE3">
      <w:pPr>
        <w:snapToGrid w:val="0"/>
        <w:spacing w:after="120"/>
        <w:jc w:val="both"/>
        <w:rPr>
          <w:rFonts w:ascii="Times New Roman" w:eastAsia="MS PGothic" w:hAnsi="Times New Roman"/>
          <w:lang w:val="en-GB"/>
        </w:rPr>
      </w:pPr>
      <w:r w:rsidRPr="00B32C1E">
        <w:rPr>
          <w:rFonts w:ascii="Times New Roman" w:eastAsia="MS PGothic" w:hAnsi="Times New Roman"/>
          <w:lang w:val="en-GB"/>
        </w:rPr>
        <w:t>Sample stored for 3 months displayed a decrease in the amount of bubbles (hence the overrun), and an increase in the oleogel thickness. This change was more significant for 15S samples; after 15 months, only sample 30F retained a</w:t>
      </w:r>
      <w:r w:rsidR="00CD60BB" w:rsidRPr="00B32C1E">
        <w:rPr>
          <w:rFonts w:ascii="Times New Roman" w:eastAsia="MS PGothic" w:hAnsi="Times New Roman"/>
          <w:lang w:val="en-GB"/>
        </w:rPr>
        <w:t xml:space="preserve"> sufficiently </w:t>
      </w:r>
      <w:r w:rsidRPr="00B32C1E">
        <w:rPr>
          <w:rFonts w:ascii="Times New Roman" w:eastAsia="MS PGothic" w:hAnsi="Times New Roman"/>
          <w:lang w:val="en-GB"/>
        </w:rPr>
        <w:t>aerated structure, however displaying a further decrease in overrun and a slightly larger bubble size distribution owing to occurrence of Ostwald ripening (Figure 2).</w:t>
      </w:r>
      <w:r w:rsidR="00304C2E" w:rsidRPr="00B32C1E">
        <w:rPr>
          <w:rFonts w:ascii="Times New Roman" w:eastAsia="MS PGothic" w:hAnsi="Times New Roman"/>
          <w:lang w:val="en-GB"/>
        </w:rPr>
        <w:t xml:space="preserve"> Concurrently, growth of the CB crystals could be seen in the continuous phase.</w:t>
      </w:r>
    </w:p>
    <w:p w14:paraId="26FC7C69" w14:textId="3982966F" w:rsidR="002473D6" w:rsidRPr="00B32C1E" w:rsidRDefault="002473D6" w:rsidP="000D0EE3">
      <w:pPr>
        <w:snapToGrid w:val="0"/>
        <w:spacing w:after="120"/>
        <w:jc w:val="both"/>
        <w:rPr>
          <w:rFonts w:ascii="Times New Roman" w:eastAsia="MS PGothic" w:hAnsi="Times New Roman"/>
          <w:lang w:val="en-GB"/>
        </w:rPr>
      </w:pPr>
      <w:r w:rsidRPr="00B32C1E">
        <w:rPr>
          <w:rFonts w:ascii="Times New Roman" w:eastAsia="MS PGothic" w:hAnsi="Times New Roman"/>
          <w:lang w:val="en-GB"/>
        </w:rPr>
        <w:t xml:space="preserve">Heating the oleofoams resulted in an increase in the volume-weighted bubble size, due to the melting of the stabilizing fat crystals and the resulting bubble coalescence. </w:t>
      </w:r>
      <w:r w:rsidR="008642EC" w:rsidRPr="00B32C1E">
        <w:rPr>
          <w:rFonts w:ascii="Times New Roman" w:eastAsia="MS PGothic" w:hAnsi="Times New Roman"/>
          <w:lang w:val="en-GB"/>
        </w:rPr>
        <w:t xml:space="preserve">The average size increased by 130% for sample 15S and by 109% for sample 30F. </w:t>
      </w:r>
      <w:r w:rsidRPr="00B32C1E">
        <w:rPr>
          <w:rFonts w:ascii="Times New Roman" w:eastAsia="MS PGothic" w:hAnsi="Times New Roman"/>
          <w:lang w:val="en-GB"/>
        </w:rPr>
        <w:t>At the same time, the bubble sphericity increased from 0.88 to 0.95</w:t>
      </w:r>
      <w:r w:rsidR="007E7774" w:rsidRPr="00B32C1E">
        <w:rPr>
          <w:rFonts w:ascii="Times New Roman" w:eastAsia="MS PGothic" w:hAnsi="Times New Roman"/>
          <w:lang w:val="en-GB"/>
        </w:rPr>
        <w:t xml:space="preserve"> (Figure 3)</w:t>
      </w:r>
      <w:r w:rsidRPr="00B32C1E">
        <w:rPr>
          <w:rFonts w:ascii="Times New Roman" w:eastAsia="MS PGothic" w:hAnsi="Times New Roman"/>
          <w:lang w:val="en-GB"/>
        </w:rPr>
        <w:t>. By employing SR-XRR, it was possible to visualize in real time the coalescence of the air bubbles, which occurred over the span of few seconds.</w:t>
      </w:r>
      <w:r w:rsidR="007E7774" w:rsidRPr="00B32C1E">
        <w:rPr>
          <w:rFonts w:ascii="Times New Roman" w:eastAsia="MS PGothic" w:hAnsi="Times New Roman"/>
          <w:lang w:val="en-GB"/>
        </w:rPr>
        <w:t xml:space="preserve"> Furthermore, the PCA analysis of the radiography images showed that the destabilisation of the oleofoams due to heating could be promptly arrested by lowering the temperature below the melting point of the fat crystals</w:t>
      </w:r>
    </w:p>
    <w:p w14:paraId="3930D05C" w14:textId="77777777" w:rsidR="002E2E24" w:rsidRPr="00B32C1E" w:rsidRDefault="002E2E24" w:rsidP="002E2E24">
      <w:pPr>
        <w:keepNext/>
        <w:snapToGrid w:val="0"/>
        <w:spacing w:after="120"/>
        <w:jc w:val="center"/>
        <w:rPr>
          <w:lang w:val="en-GB"/>
        </w:rPr>
      </w:pPr>
      <w:r w:rsidRPr="00B32C1E">
        <w:rPr>
          <w:rFonts w:ascii="Times New Roman" w:eastAsia="MS PGothic" w:hAnsi="Times New Roman"/>
          <w:noProof/>
          <w:lang w:val="en-GB"/>
        </w:rPr>
        <w:lastRenderedPageBreak/>
        <w:drawing>
          <wp:inline distT="0" distB="0" distL="0" distR="0" wp14:anchorId="33FBE7D2" wp14:editId="0F4EF2EC">
            <wp:extent cx="2922882" cy="2351225"/>
            <wp:effectExtent l="0" t="0" r="0" b="0"/>
            <wp:docPr id="16" name="Immagine 15">
              <a:extLst xmlns:a="http://schemas.openxmlformats.org/drawingml/2006/main">
                <a:ext uri="{FF2B5EF4-FFF2-40B4-BE49-F238E27FC236}">
                  <a16:creationId xmlns:a16="http://schemas.microsoft.com/office/drawing/2014/main" id="{639D1F17-E1EF-41F6-9256-12A9A71717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5">
                      <a:extLst>
                        <a:ext uri="{FF2B5EF4-FFF2-40B4-BE49-F238E27FC236}">
                          <a16:creationId xmlns:a16="http://schemas.microsoft.com/office/drawing/2014/main" id="{639D1F17-E1EF-41F6-9256-12A9A71717AB}"/>
                        </a:ext>
                      </a:extLst>
                    </pic:cNvPr>
                    <pic:cNvPicPr>
                      <a:picLocks noChangeAspect="1"/>
                    </pic:cNvPicPr>
                  </pic:nvPicPr>
                  <pic:blipFill>
                    <a:blip r:embed="rId8"/>
                    <a:stretch>
                      <a:fillRect/>
                    </a:stretch>
                  </pic:blipFill>
                  <pic:spPr>
                    <a:xfrm>
                      <a:off x="0" y="0"/>
                      <a:ext cx="2941989" cy="2366595"/>
                    </a:xfrm>
                    <a:prstGeom prst="rect">
                      <a:avLst/>
                    </a:prstGeom>
                  </pic:spPr>
                </pic:pic>
              </a:graphicData>
            </a:graphic>
          </wp:inline>
        </w:drawing>
      </w:r>
    </w:p>
    <w:p w14:paraId="5512E7F2" w14:textId="4AA11AFD" w:rsidR="002E2E24" w:rsidRPr="00B32C1E" w:rsidRDefault="002E2E24" w:rsidP="002E2E24">
      <w:pPr>
        <w:pStyle w:val="Didascalia"/>
        <w:jc w:val="both"/>
        <w:rPr>
          <w:rFonts w:ascii="Times New Roman" w:eastAsia="MS PGothic" w:hAnsi="Times New Roman"/>
          <w:lang w:val="en-GB"/>
        </w:rPr>
      </w:pPr>
      <w:r w:rsidRPr="00B32C1E">
        <w:rPr>
          <w:lang w:val="en-GB"/>
        </w:rPr>
        <w:t xml:space="preserve">Figure </w:t>
      </w:r>
      <w:r w:rsidRPr="00B32C1E">
        <w:rPr>
          <w:lang w:val="en-GB"/>
        </w:rPr>
        <w:fldChar w:fldCharType="begin"/>
      </w:r>
      <w:r w:rsidRPr="00B32C1E">
        <w:rPr>
          <w:lang w:val="en-GB"/>
        </w:rPr>
        <w:instrText xml:space="preserve"> SEQ Figure \* ARABIC </w:instrText>
      </w:r>
      <w:r w:rsidRPr="00B32C1E">
        <w:rPr>
          <w:lang w:val="en-GB"/>
        </w:rPr>
        <w:fldChar w:fldCharType="separate"/>
      </w:r>
      <w:r w:rsidR="00DE4B94" w:rsidRPr="00B32C1E">
        <w:rPr>
          <w:noProof/>
          <w:lang w:val="en-GB"/>
        </w:rPr>
        <w:t>1</w:t>
      </w:r>
      <w:r w:rsidRPr="00B32C1E">
        <w:rPr>
          <w:lang w:val="en-GB"/>
        </w:rPr>
        <w:fldChar w:fldCharType="end"/>
      </w:r>
      <w:r w:rsidRPr="00B32C1E">
        <w:rPr>
          <w:lang w:val="en-GB"/>
        </w:rPr>
        <w:t>. 3D rendering</w:t>
      </w:r>
      <w:r w:rsidR="00A42486">
        <w:rPr>
          <w:lang w:val="en-GB"/>
        </w:rPr>
        <w:t>s</w:t>
      </w:r>
      <w:r w:rsidRPr="00B32C1E">
        <w:rPr>
          <w:lang w:val="en-GB"/>
        </w:rPr>
        <w:t xml:space="preserve"> of two </w:t>
      </w:r>
      <w:r w:rsidR="00CD7432" w:rsidRPr="00B32C1E">
        <w:rPr>
          <w:lang w:val="en-GB"/>
        </w:rPr>
        <w:t>V</w:t>
      </w:r>
      <w:r w:rsidRPr="00B32C1E">
        <w:rPr>
          <w:lang w:val="en-GB"/>
        </w:rPr>
        <w:t xml:space="preserve">olumes of </w:t>
      </w:r>
      <w:r w:rsidR="00CD7432" w:rsidRPr="00B32C1E">
        <w:rPr>
          <w:lang w:val="en-GB"/>
        </w:rPr>
        <w:t>I</w:t>
      </w:r>
      <w:r w:rsidRPr="00B32C1E">
        <w:rPr>
          <w:lang w:val="en-GB"/>
        </w:rPr>
        <w:t>nterest of a 15S (left) and a 30F sample (right) after 30 minutes of aeration. Scale bar is 250 µm. The bubble size distribution evolution during the aeration is plotted on the lower part of the figure.</w:t>
      </w:r>
    </w:p>
    <w:p w14:paraId="17475CAC" w14:textId="77777777" w:rsidR="00CD7432" w:rsidRPr="00B32C1E" w:rsidRDefault="00CD7432" w:rsidP="00CD7432">
      <w:pPr>
        <w:keepNext/>
        <w:snapToGrid w:val="0"/>
        <w:spacing w:after="120"/>
        <w:jc w:val="center"/>
        <w:rPr>
          <w:lang w:val="en-GB"/>
        </w:rPr>
      </w:pPr>
      <w:r w:rsidRPr="00B32C1E">
        <w:rPr>
          <w:rFonts w:ascii="Times New Roman" w:eastAsia="MS PGothic" w:hAnsi="Times New Roman"/>
          <w:noProof/>
          <w:lang w:val="en-GB"/>
        </w:rPr>
        <w:drawing>
          <wp:inline distT="0" distB="0" distL="0" distR="0" wp14:anchorId="67E9CEF9" wp14:editId="71D4EC8B">
            <wp:extent cx="3079631" cy="2345350"/>
            <wp:effectExtent l="0" t="0" r="6985" b="0"/>
            <wp:docPr id="3" name="Immagine 2">
              <a:extLst xmlns:a="http://schemas.openxmlformats.org/drawingml/2006/main">
                <a:ext uri="{FF2B5EF4-FFF2-40B4-BE49-F238E27FC236}">
                  <a16:creationId xmlns:a16="http://schemas.microsoft.com/office/drawing/2014/main" id="{E9FDB7FF-E56B-4E46-8215-5DC3636DD9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a16="http://schemas.microsoft.com/office/drawing/2014/main" id="{E9FDB7FF-E56B-4E46-8215-5DC3636DD98A}"/>
                        </a:ext>
                      </a:extLst>
                    </pic:cNvPr>
                    <pic:cNvPicPr>
                      <a:picLocks noChangeAspect="1"/>
                    </pic:cNvPicPr>
                  </pic:nvPicPr>
                  <pic:blipFill rotWithShape="1">
                    <a:blip r:embed="rId9"/>
                    <a:srcRect l="55119" t="20209" r="13928" b="8072"/>
                    <a:stretch/>
                  </pic:blipFill>
                  <pic:spPr>
                    <a:xfrm>
                      <a:off x="0" y="0"/>
                      <a:ext cx="3095040" cy="2357085"/>
                    </a:xfrm>
                    <a:prstGeom prst="rect">
                      <a:avLst/>
                    </a:prstGeom>
                  </pic:spPr>
                </pic:pic>
              </a:graphicData>
            </a:graphic>
          </wp:inline>
        </w:drawing>
      </w:r>
    </w:p>
    <w:p w14:paraId="42EA4981" w14:textId="61D4BD27" w:rsidR="00B72AFF" w:rsidRPr="00B32C1E" w:rsidRDefault="00CD7432" w:rsidP="00CD7432">
      <w:pPr>
        <w:pStyle w:val="Didascalia"/>
        <w:jc w:val="center"/>
        <w:rPr>
          <w:rFonts w:ascii="Times New Roman" w:eastAsia="MS PGothic" w:hAnsi="Times New Roman"/>
          <w:lang w:val="en-GB"/>
        </w:rPr>
      </w:pPr>
      <w:r w:rsidRPr="00B32C1E">
        <w:rPr>
          <w:lang w:val="en-GB"/>
        </w:rPr>
        <w:t xml:space="preserve">Figure </w:t>
      </w:r>
      <w:r w:rsidRPr="00B32C1E">
        <w:rPr>
          <w:lang w:val="en-GB"/>
        </w:rPr>
        <w:fldChar w:fldCharType="begin"/>
      </w:r>
      <w:r w:rsidRPr="00B32C1E">
        <w:rPr>
          <w:lang w:val="en-GB"/>
        </w:rPr>
        <w:instrText xml:space="preserve"> SEQ Figure \* ARABIC </w:instrText>
      </w:r>
      <w:r w:rsidRPr="00B32C1E">
        <w:rPr>
          <w:lang w:val="en-GB"/>
        </w:rPr>
        <w:fldChar w:fldCharType="separate"/>
      </w:r>
      <w:r w:rsidR="00DE4B94" w:rsidRPr="00B32C1E">
        <w:rPr>
          <w:noProof/>
          <w:lang w:val="en-GB"/>
        </w:rPr>
        <w:t>2</w:t>
      </w:r>
      <w:r w:rsidRPr="00B32C1E">
        <w:rPr>
          <w:lang w:val="en-GB"/>
        </w:rPr>
        <w:fldChar w:fldCharType="end"/>
      </w:r>
      <w:r w:rsidRPr="00B32C1E">
        <w:rPr>
          <w:lang w:val="en-GB"/>
        </w:rPr>
        <w:t>. 3D renderings of representative Volumes of Interest for each of the aged oleofoam samples: 15S 3 months (a), 30F 3 months (b), 15S 15 months (c), and 30F 15 months (d). The scale bar is 250 μm.</w:t>
      </w:r>
    </w:p>
    <w:p w14:paraId="33DE4513" w14:textId="710CBB46" w:rsidR="00B72AFF" w:rsidRPr="00B32C1E" w:rsidRDefault="00B72AFF" w:rsidP="000D0EE3">
      <w:pPr>
        <w:snapToGrid w:val="0"/>
        <w:spacing w:after="120"/>
        <w:jc w:val="both"/>
        <w:rPr>
          <w:rFonts w:ascii="Times New Roman" w:eastAsia="MS PGothic" w:hAnsi="Times New Roman"/>
          <w:lang w:val="en-GB"/>
        </w:rPr>
      </w:pPr>
    </w:p>
    <w:p w14:paraId="7737AFAA" w14:textId="363D7952" w:rsidR="00DE4B94" w:rsidRPr="00B32C1E" w:rsidRDefault="00DE4B94" w:rsidP="00DE4B94">
      <w:pPr>
        <w:keepNext/>
        <w:snapToGrid w:val="0"/>
        <w:spacing w:after="120"/>
        <w:jc w:val="center"/>
        <w:rPr>
          <w:lang w:val="en-GB"/>
        </w:rPr>
      </w:pPr>
      <w:r w:rsidRPr="00B32C1E">
        <w:rPr>
          <w:noProof/>
          <w:lang w:val="en-GB"/>
        </w:rPr>
        <w:drawing>
          <wp:inline distT="0" distB="0" distL="0" distR="0" wp14:anchorId="6F64024C" wp14:editId="5DB4F803">
            <wp:extent cx="3281188" cy="2596551"/>
            <wp:effectExtent l="0" t="0" r="0" b="0"/>
            <wp:docPr id="7" name="Immagine 6">
              <a:extLst xmlns:a="http://schemas.openxmlformats.org/drawingml/2006/main">
                <a:ext uri="{FF2B5EF4-FFF2-40B4-BE49-F238E27FC236}">
                  <a16:creationId xmlns:a16="http://schemas.microsoft.com/office/drawing/2014/main" id="{4A878019-569E-4B22-AEDC-9A040B4E0E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a:extLst>
                        <a:ext uri="{FF2B5EF4-FFF2-40B4-BE49-F238E27FC236}">
                          <a16:creationId xmlns:a16="http://schemas.microsoft.com/office/drawing/2014/main" id="{4A878019-569E-4B22-AEDC-9A040B4E0EBC}"/>
                        </a:ext>
                      </a:extLst>
                    </pic:cNvPr>
                    <pic:cNvPicPr>
                      <a:picLocks noChangeAspect="1"/>
                    </pic:cNvPicPr>
                  </pic:nvPicPr>
                  <pic:blipFill>
                    <a:blip r:embed="rId10"/>
                    <a:stretch>
                      <a:fillRect/>
                    </a:stretch>
                  </pic:blipFill>
                  <pic:spPr>
                    <a:xfrm>
                      <a:off x="0" y="0"/>
                      <a:ext cx="3305861" cy="2616076"/>
                    </a:xfrm>
                    <a:prstGeom prst="rect">
                      <a:avLst/>
                    </a:prstGeom>
                  </pic:spPr>
                </pic:pic>
              </a:graphicData>
            </a:graphic>
          </wp:inline>
        </w:drawing>
      </w:r>
    </w:p>
    <w:p w14:paraId="10795050" w14:textId="682ABCFD" w:rsidR="00B72AFF" w:rsidRPr="00B32C1E" w:rsidRDefault="00DE4B94" w:rsidP="00DE4B94">
      <w:pPr>
        <w:pStyle w:val="Didascalia"/>
        <w:jc w:val="center"/>
        <w:rPr>
          <w:rFonts w:ascii="Times New Roman" w:eastAsia="MS PGothic" w:hAnsi="Times New Roman"/>
          <w:lang w:val="en-GB"/>
        </w:rPr>
      </w:pPr>
      <w:r w:rsidRPr="00B32C1E">
        <w:rPr>
          <w:lang w:val="en-GB"/>
        </w:rPr>
        <w:t xml:space="preserve">Figure </w:t>
      </w:r>
      <w:r w:rsidRPr="00B32C1E">
        <w:rPr>
          <w:lang w:val="en-GB"/>
        </w:rPr>
        <w:fldChar w:fldCharType="begin"/>
      </w:r>
      <w:r w:rsidRPr="00B32C1E">
        <w:rPr>
          <w:lang w:val="en-GB"/>
        </w:rPr>
        <w:instrText xml:space="preserve"> SEQ Figure \* ARABIC </w:instrText>
      </w:r>
      <w:r w:rsidRPr="00B32C1E">
        <w:rPr>
          <w:lang w:val="en-GB"/>
        </w:rPr>
        <w:fldChar w:fldCharType="separate"/>
      </w:r>
      <w:r w:rsidRPr="00B32C1E">
        <w:rPr>
          <w:noProof/>
          <w:lang w:val="en-GB"/>
        </w:rPr>
        <w:t>3</w:t>
      </w:r>
      <w:r w:rsidRPr="00B32C1E">
        <w:rPr>
          <w:lang w:val="en-GB"/>
        </w:rPr>
        <w:fldChar w:fldCharType="end"/>
      </w:r>
      <w:r w:rsidRPr="00B32C1E">
        <w:rPr>
          <w:lang w:val="en-GB"/>
        </w:rPr>
        <w:t>. 3D renderings of samples 15S (a) and 30F (b) after being heated. The scale bar for the 3D renderings is 250 μm. Volume-weighed size distributions of sample 15S heated (e) and 30F heated (f) compared with their respective fresh samples.</w:t>
      </w:r>
    </w:p>
    <w:p w14:paraId="0DE817AB" w14:textId="77777777" w:rsidR="00DA51A3" w:rsidRPr="00B32C1E" w:rsidRDefault="00DA51A3" w:rsidP="00DA51A3">
      <w:pPr>
        <w:snapToGrid w:val="0"/>
        <w:spacing w:before="240" w:line="300" w:lineRule="auto"/>
        <w:rPr>
          <w:rFonts w:ascii="Times New Roman" w:eastAsia="MS PGothic" w:hAnsi="Times New Roman"/>
          <w:lang w:val="en-GB" w:eastAsia="ko-KR"/>
        </w:rPr>
      </w:pPr>
      <w:r w:rsidRPr="00B32C1E">
        <w:rPr>
          <w:rFonts w:ascii="Times New Roman" w:eastAsia="MS PGothic" w:hAnsi="Times New Roman"/>
          <w:b/>
          <w:bCs/>
          <w:lang w:val="en-GB"/>
        </w:rPr>
        <w:lastRenderedPageBreak/>
        <w:t>4. Conclusion</w:t>
      </w:r>
      <w:r w:rsidRPr="00B32C1E">
        <w:rPr>
          <w:rFonts w:ascii="Times New Roman" w:eastAsia="MS PGothic" w:hAnsi="Times New Roman"/>
          <w:b/>
          <w:bCs/>
          <w:lang w:val="en-GB" w:eastAsia="ko-KR"/>
        </w:rPr>
        <w:t>s</w:t>
      </w:r>
    </w:p>
    <w:p w14:paraId="3D22CB89" w14:textId="21953706" w:rsidR="00DE4B94" w:rsidRPr="00B32C1E" w:rsidRDefault="00B32C1E" w:rsidP="00DE4B94">
      <w:pPr>
        <w:snapToGrid w:val="0"/>
        <w:spacing w:before="240" w:line="300" w:lineRule="auto"/>
        <w:jc w:val="both"/>
        <w:rPr>
          <w:rFonts w:ascii="Times New Roman" w:eastAsia="MS PGothic" w:hAnsi="Times New Roman"/>
          <w:lang w:val="en-GB"/>
        </w:rPr>
      </w:pPr>
      <w:r w:rsidRPr="00B32C1E">
        <w:rPr>
          <w:rFonts w:ascii="Times New Roman" w:eastAsia="MS PGothic" w:hAnsi="Times New Roman"/>
          <w:lang w:val="en-GB"/>
        </w:rPr>
        <w:t>In this work,</w:t>
      </w:r>
      <w:r w:rsidR="00DE4B94" w:rsidRPr="00B32C1E">
        <w:rPr>
          <w:rFonts w:ascii="Times New Roman" w:eastAsia="MS PGothic" w:hAnsi="Times New Roman"/>
          <w:lang w:val="en-GB"/>
        </w:rPr>
        <w:t xml:space="preserve"> the three-dimensional native microstructure of fat-stabilized oleofoams was investigated for the first time, both in static and dynamic experiments, using X-ray tomography and radiography. The aeration of oleofoams proceeded with a gradual increase in volume, concomitant with a decrease in the continuous phase thickness. Low-cocoa butter samples displayed a higher overrun (170%) and a lower oleogel thickness (10 μm), reaching an overrun equilibrium value after 15 min of whipping. High-cocoa butter samples, on the other hand, incorporated less air (125% overrun) and featured a coarse final microstructure, retaining fragments of unwhipped oleogel. The air bubble size distribution, centred at 20 μm, was not affected by the amount of solid fat or by the whipping time, suggesting that the shear induced during aeration produced stabilizing crystals with similar properties, regardless of the sample composition and the duration of whipping.</w:t>
      </w:r>
    </w:p>
    <w:p w14:paraId="10CBE334" w14:textId="5A56990B" w:rsidR="00B32C1E" w:rsidRPr="00B32C1E" w:rsidRDefault="00DE4B94" w:rsidP="00DE4B94">
      <w:pPr>
        <w:snapToGrid w:val="0"/>
        <w:spacing w:before="240" w:line="300" w:lineRule="auto"/>
        <w:jc w:val="both"/>
        <w:rPr>
          <w:rFonts w:ascii="Times New Roman" w:eastAsia="MS PGothic" w:hAnsi="Times New Roman"/>
          <w:lang w:val="en-GB"/>
        </w:rPr>
      </w:pPr>
      <w:r w:rsidRPr="00B32C1E">
        <w:rPr>
          <w:rFonts w:ascii="Times New Roman" w:eastAsia="MS PGothic" w:hAnsi="Times New Roman"/>
          <w:lang w:val="en-GB"/>
        </w:rPr>
        <w:t>Oleofoam samples showed significant structural changes during storage, with the oleogel phase increasing its thickness, while the overrun decreased significantly for both samples analy</w:t>
      </w:r>
      <w:r w:rsidR="007F568B">
        <w:rPr>
          <w:rFonts w:ascii="Times New Roman" w:eastAsia="MS PGothic" w:hAnsi="Times New Roman"/>
          <w:lang w:val="en-GB"/>
        </w:rPr>
        <w:t>s</w:t>
      </w:r>
      <w:r w:rsidRPr="00B32C1E">
        <w:rPr>
          <w:rFonts w:ascii="Times New Roman" w:eastAsia="MS PGothic" w:hAnsi="Times New Roman"/>
          <w:lang w:val="en-GB"/>
        </w:rPr>
        <w:t>ed. The higher concentration of solid fat in the sample contributed to slowing down the disproportionation of the air bubbles, with sample 30F retaining a similar size distribution profile after 3 months. After prolonged storage conditions, however, only samples with 30% w/w CB maintained an aerated structure. Therefore, higher amounts of stabilizing crystals were beneficial to retaining the overrun and counteracting phase separation.</w:t>
      </w:r>
    </w:p>
    <w:p w14:paraId="10264A9D" w14:textId="49C7CA54" w:rsidR="00DE4B94" w:rsidRPr="00B32C1E" w:rsidRDefault="00DE4B94" w:rsidP="00DE4B94">
      <w:pPr>
        <w:snapToGrid w:val="0"/>
        <w:spacing w:before="240" w:line="300" w:lineRule="auto"/>
        <w:jc w:val="both"/>
        <w:rPr>
          <w:rFonts w:ascii="Times New Roman" w:eastAsia="MS PGothic" w:hAnsi="Times New Roman"/>
          <w:lang w:val="en-GB"/>
        </w:rPr>
      </w:pPr>
      <w:r w:rsidRPr="00B32C1E">
        <w:rPr>
          <w:rFonts w:ascii="Times New Roman" w:eastAsia="MS PGothic" w:hAnsi="Times New Roman"/>
          <w:lang w:val="en-GB"/>
        </w:rPr>
        <w:t>Heating the oleofoam samples to their melting point resulted in an increase in bubble sphericity, bubble coalescence, oleogel thickness, and a reduction of the total number of air bubbles. Sample 15S was more prone to coalescence than sample 30F, potentially due to the lower amount of stabilizing crystals. The increase in the bubble size followed by melting of the crystals both at the interface and in the bulk support the hypothesis that bulk contribution to stability in oleofoams is fundamental to prevent gas diffusion. The dynamic changes in the oleofoam microstructure were captured for the first time with XRR, showing clear evidence of bubble coalescence during heating. This body of work, owing to the non-invasive, three-dimensional approach to the study of oleofoams, contains significant information on the physical behavio</w:t>
      </w:r>
      <w:r w:rsidR="00FD7280">
        <w:rPr>
          <w:rFonts w:ascii="Times New Roman" w:eastAsia="MS PGothic" w:hAnsi="Times New Roman"/>
          <w:lang w:val="en-GB"/>
        </w:rPr>
        <w:t>u</w:t>
      </w:r>
      <w:r w:rsidRPr="00B32C1E">
        <w:rPr>
          <w:rFonts w:ascii="Times New Roman" w:eastAsia="MS PGothic" w:hAnsi="Times New Roman"/>
          <w:lang w:val="en-GB"/>
        </w:rPr>
        <w:t>r of these emerging materials, in relation to relevant processes such as their aeration, storage conditions that will contribute to their understanding, and their use in material formulation.</w:t>
      </w:r>
    </w:p>
    <w:p w14:paraId="1845F659" w14:textId="1A8EDD0C" w:rsidR="00DA51A3" w:rsidRDefault="00DA51A3" w:rsidP="00DA51A3">
      <w:pPr>
        <w:snapToGrid w:val="0"/>
        <w:spacing w:before="240" w:line="300" w:lineRule="auto"/>
        <w:rPr>
          <w:rFonts w:ascii="Times New Roman" w:eastAsia="MS PGothic" w:hAnsi="Times New Roman"/>
          <w:b/>
          <w:bCs/>
          <w:lang w:val="en-GB"/>
        </w:rPr>
      </w:pPr>
      <w:r w:rsidRPr="00B32C1E">
        <w:rPr>
          <w:rFonts w:ascii="Times New Roman" w:eastAsia="MS PGothic" w:hAnsi="Times New Roman"/>
          <w:b/>
          <w:bCs/>
          <w:lang w:val="en-GB"/>
        </w:rPr>
        <w:t xml:space="preserve">References </w:t>
      </w:r>
    </w:p>
    <w:p w14:paraId="47188B25" w14:textId="47B4F67E" w:rsidR="00B32C1E" w:rsidRPr="00B32C1E" w:rsidRDefault="00B32C1E" w:rsidP="00447DB2">
      <w:pPr>
        <w:widowControl w:val="0"/>
        <w:autoSpaceDE w:val="0"/>
        <w:autoSpaceDN w:val="0"/>
        <w:adjustRightInd w:val="0"/>
        <w:spacing w:before="240" w:line="240" w:lineRule="auto"/>
        <w:ind w:left="640" w:hanging="640"/>
        <w:jc w:val="both"/>
        <w:rPr>
          <w:rFonts w:ascii="Times New Roman" w:hAnsi="Times New Roman" w:cs="Times New Roman"/>
          <w:noProof/>
          <w:sz w:val="20"/>
          <w:szCs w:val="20"/>
        </w:rPr>
      </w:pPr>
      <w:r w:rsidRPr="00B32C1E">
        <w:rPr>
          <w:rFonts w:ascii="Times New Roman" w:eastAsia="SimSun" w:hAnsi="Times New Roman"/>
          <w:b/>
          <w:bCs/>
          <w:sz w:val="20"/>
          <w:szCs w:val="20"/>
          <w:lang w:val="en-GB" w:eastAsia="zh-CN"/>
        </w:rPr>
        <w:fldChar w:fldCharType="begin" w:fldLock="1"/>
      </w:r>
      <w:r w:rsidRPr="00B32C1E">
        <w:rPr>
          <w:rFonts w:ascii="Times New Roman" w:eastAsia="SimSun" w:hAnsi="Times New Roman"/>
          <w:b/>
          <w:bCs/>
          <w:sz w:val="20"/>
          <w:szCs w:val="20"/>
          <w:lang w:val="en-GB" w:eastAsia="zh-CN"/>
        </w:rPr>
        <w:instrText xml:space="preserve">ADDIN Mendeley Bibliography CSL_BIBLIOGRAPHY </w:instrText>
      </w:r>
      <w:r w:rsidRPr="00B32C1E">
        <w:rPr>
          <w:rFonts w:ascii="Times New Roman" w:eastAsia="SimSun" w:hAnsi="Times New Roman"/>
          <w:b/>
          <w:bCs/>
          <w:sz w:val="20"/>
          <w:szCs w:val="20"/>
          <w:lang w:val="en-GB" w:eastAsia="zh-CN"/>
        </w:rPr>
        <w:fldChar w:fldCharType="separate"/>
      </w:r>
      <w:r w:rsidRPr="00B32C1E">
        <w:rPr>
          <w:rFonts w:ascii="Times New Roman" w:hAnsi="Times New Roman" w:cs="Times New Roman"/>
          <w:noProof/>
          <w:sz w:val="20"/>
          <w:szCs w:val="20"/>
        </w:rPr>
        <w:t>[1]</w:t>
      </w:r>
      <w:r w:rsidRPr="00B32C1E">
        <w:rPr>
          <w:rFonts w:ascii="Times New Roman" w:hAnsi="Times New Roman" w:cs="Times New Roman"/>
          <w:noProof/>
          <w:sz w:val="20"/>
          <w:szCs w:val="20"/>
        </w:rPr>
        <w:tab/>
        <w:t>Binks BP, Vishal B. Particle-stabilized oil foams. Adv Colloid Interface Sci 2021;291:102404. doi:10.1016/j.cis.2021.102404.</w:t>
      </w:r>
    </w:p>
    <w:p w14:paraId="139EF55E" w14:textId="77777777" w:rsidR="00B32C1E" w:rsidRPr="00B32C1E" w:rsidRDefault="00B32C1E" w:rsidP="00447DB2">
      <w:pPr>
        <w:widowControl w:val="0"/>
        <w:autoSpaceDE w:val="0"/>
        <w:autoSpaceDN w:val="0"/>
        <w:adjustRightInd w:val="0"/>
        <w:spacing w:before="240" w:line="240" w:lineRule="auto"/>
        <w:ind w:left="640" w:hanging="640"/>
        <w:jc w:val="both"/>
        <w:rPr>
          <w:rFonts w:ascii="Times New Roman" w:hAnsi="Times New Roman" w:cs="Times New Roman"/>
          <w:noProof/>
          <w:sz w:val="20"/>
          <w:szCs w:val="20"/>
        </w:rPr>
      </w:pPr>
      <w:r w:rsidRPr="00B32C1E">
        <w:rPr>
          <w:rFonts w:ascii="Times New Roman" w:hAnsi="Times New Roman" w:cs="Times New Roman"/>
          <w:noProof/>
          <w:sz w:val="20"/>
          <w:szCs w:val="20"/>
        </w:rPr>
        <w:t>[2]</w:t>
      </w:r>
      <w:r w:rsidRPr="00B32C1E">
        <w:rPr>
          <w:rFonts w:ascii="Times New Roman" w:hAnsi="Times New Roman" w:cs="Times New Roman"/>
          <w:noProof/>
          <w:sz w:val="20"/>
          <w:szCs w:val="20"/>
        </w:rPr>
        <w:tab/>
        <w:t>Fameau AL, Binks BP. Aqueous and Oil Foams Stabilized by Surfactant Crystals: New Concepts and Perspectives. Langmuir 2021;37:4411–8. doi:10.1021/acs.langmuir.1c00410.</w:t>
      </w:r>
    </w:p>
    <w:p w14:paraId="5437D257" w14:textId="77777777" w:rsidR="00B32C1E" w:rsidRPr="00B32C1E" w:rsidRDefault="00B32C1E" w:rsidP="00447DB2">
      <w:pPr>
        <w:widowControl w:val="0"/>
        <w:autoSpaceDE w:val="0"/>
        <w:autoSpaceDN w:val="0"/>
        <w:adjustRightInd w:val="0"/>
        <w:spacing w:before="240" w:line="240" w:lineRule="auto"/>
        <w:ind w:left="640" w:hanging="640"/>
        <w:jc w:val="both"/>
        <w:rPr>
          <w:rFonts w:ascii="Times New Roman" w:hAnsi="Times New Roman" w:cs="Times New Roman"/>
          <w:noProof/>
          <w:sz w:val="20"/>
          <w:szCs w:val="20"/>
        </w:rPr>
      </w:pPr>
      <w:r w:rsidRPr="00B32C1E">
        <w:rPr>
          <w:rFonts w:ascii="Times New Roman" w:hAnsi="Times New Roman" w:cs="Times New Roman"/>
          <w:noProof/>
          <w:sz w:val="20"/>
          <w:szCs w:val="20"/>
        </w:rPr>
        <w:t>[3]</w:t>
      </w:r>
      <w:r w:rsidRPr="00B32C1E">
        <w:rPr>
          <w:rFonts w:ascii="Times New Roman" w:hAnsi="Times New Roman" w:cs="Times New Roman"/>
          <w:noProof/>
          <w:sz w:val="20"/>
          <w:szCs w:val="20"/>
        </w:rPr>
        <w:tab/>
        <w:t>Metilli L, Storm M, Bodey AJ, Wanelik K, Tyler AII, Lazidis A, et al. Investigating the microstructure of soft, microporous matter with synchrotron X-ray tomography. Mater Charact 2021;180:111408. doi:10.1016/j.matchar.2021.111408.</w:t>
      </w:r>
    </w:p>
    <w:p w14:paraId="7C8D4079" w14:textId="77777777" w:rsidR="00B32C1E" w:rsidRPr="00B32C1E" w:rsidRDefault="00B32C1E" w:rsidP="00447DB2">
      <w:pPr>
        <w:widowControl w:val="0"/>
        <w:autoSpaceDE w:val="0"/>
        <w:autoSpaceDN w:val="0"/>
        <w:adjustRightInd w:val="0"/>
        <w:spacing w:before="240" w:line="240" w:lineRule="auto"/>
        <w:ind w:left="640" w:hanging="640"/>
        <w:jc w:val="both"/>
        <w:rPr>
          <w:rFonts w:ascii="Times New Roman" w:hAnsi="Times New Roman" w:cs="Times New Roman"/>
          <w:noProof/>
          <w:sz w:val="20"/>
          <w:szCs w:val="20"/>
        </w:rPr>
      </w:pPr>
      <w:r w:rsidRPr="00B32C1E">
        <w:rPr>
          <w:rFonts w:ascii="Times New Roman" w:hAnsi="Times New Roman" w:cs="Times New Roman"/>
          <w:noProof/>
          <w:sz w:val="20"/>
          <w:szCs w:val="20"/>
        </w:rPr>
        <w:t>[4]</w:t>
      </w:r>
      <w:r w:rsidRPr="00B32C1E">
        <w:rPr>
          <w:rFonts w:ascii="Times New Roman" w:hAnsi="Times New Roman" w:cs="Times New Roman"/>
          <w:noProof/>
          <w:sz w:val="20"/>
          <w:szCs w:val="20"/>
        </w:rPr>
        <w:tab/>
        <w:t>Metilli L, Storm M, Marathe S, Lazidis A, Marty-Terrade S, Simone E. Application of X-ray Microcomputed Tomography for the Static and Dynamic Characterization of the Microstructure of Oleofoams. Langmuir 2022;38:1638–50. doi:10.1021/acs.langmuir.1c03318.</w:t>
      </w:r>
    </w:p>
    <w:p w14:paraId="5A650773" w14:textId="0A5832C2" w:rsidR="005B71B2" w:rsidRPr="00B32C1E" w:rsidRDefault="00B32C1E" w:rsidP="00447DB2">
      <w:pPr>
        <w:snapToGrid w:val="0"/>
        <w:spacing w:before="240" w:line="300" w:lineRule="auto"/>
        <w:jc w:val="both"/>
        <w:rPr>
          <w:lang w:val="en-GB"/>
        </w:rPr>
      </w:pPr>
      <w:r w:rsidRPr="00B32C1E">
        <w:rPr>
          <w:rFonts w:ascii="Times New Roman" w:eastAsia="SimSun" w:hAnsi="Times New Roman"/>
          <w:b/>
          <w:bCs/>
          <w:sz w:val="20"/>
          <w:szCs w:val="20"/>
          <w:lang w:val="en-GB" w:eastAsia="zh-CN"/>
        </w:rPr>
        <w:fldChar w:fldCharType="end"/>
      </w:r>
    </w:p>
    <w:sectPr w:rsidR="005B71B2" w:rsidRPr="00B32C1E" w:rsidSect="001D0E0C">
      <w:headerReference w:type="default" r:id="rId11"/>
      <w:headerReference w:type="first" r:id="rId12"/>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099F0" w14:textId="77777777" w:rsidR="00990DFE" w:rsidRDefault="00990DFE" w:rsidP="001D0E0C">
      <w:pPr>
        <w:spacing w:after="0" w:line="240" w:lineRule="auto"/>
      </w:pPr>
      <w:r>
        <w:separator/>
      </w:r>
    </w:p>
  </w:endnote>
  <w:endnote w:type="continuationSeparator" w:id="0">
    <w:p w14:paraId="61CCCB1B" w14:textId="77777777" w:rsidR="00990DFE" w:rsidRDefault="00990DFE" w:rsidP="001D0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A7E55" w14:textId="77777777" w:rsidR="00990DFE" w:rsidRDefault="00990DFE" w:rsidP="001D0E0C">
      <w:pPr>
        <w:spacing w:after="0" w:line="240" w:lineRule="auto"/>
      </w:pPr>
      <w:r>
        <w:separator/>
      </w:r>
    </w:p>
  </w:footnote>
  <w:footnote w:type="continuationSeparator" w:id="0">
    <w:p w14:paraId="3239EE77" w14:textId="77777777" w:rsidR="00990DFE" w:rsidRDefault="00990DFE" w:rsidP="001D0E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1BBF7" w14:textId="24434349" w:rsidR="001D0E0C" w:rsidRPr="001B060D" w:rsidRDefault="001B060D" w:rsidP="001B060D">
    <w:pPr>
      <w:pStyle w:val="Intestazione"/>
      <w:jc w:val="center"/>
    </w:pPr>
    <w:r w:rsidRPr="005C2A12">
      <w:rPr>
        <w:b/>
        <w:i/>
        <w:color w:val="2E74B5" w:themeColor="accent5" w:themeShade="BF"/>
        <w:sz w:val="24"/>
        <w:szCs w:val="24"/>
      </w:rPr>
      <w:t>GRICU 2022, Ischia, (Italy), July 3-6,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65D5F" w14:textId="292CCFE8" w:rsidR="001D0E0C" w:rsidRDefault="00F24290" w:rsidP="000517B4">
    <w:pPr>
      <w:pStyle w:val="Intestazione"/>
      <w:tabs>
        <w:tab w:val="left" w:pos="1188"/>
      </w:tabs>
      <w:jc w:val="center"/>
      <w:rPr>
        <w:b/>
        <w:i/>
        <w:color w:val="2E74B5" w:themeColor="accent5" w:themeShade="BF"/>
        <w:sz w:val="24"/>
        <w:szCs w:val="24"/>
      </w:rPr>
    </w:pPr>
    <w:r>
      <w:rPr>
        <w:b/>
        <w:i/>
        <w:noProof/>
        <w:color w:val="2E74B5" w:themeColor="accent5" w:themeShade="BF"/>
        <w:sz w:val="24"/>
        <w:szCs w:val="24"/>
      </w:rPr>
      <w:drawing>
        <wp:anchor distT="0" distB="0" distL="114300" distR="114300" simplePos="0" relativeHeight="251660288" behindDoc="0" locked="0" layoutInCell="1" allowOverlap="1" wp14:anchorId="5A213143" wp14:editId="773337C5">
          <wp:simplePos x="0" y="0"/>
          <wp:positionH relativeFrom="column">
            <wp:posOffset>614128</wp:posOffset>
          </wp:positionH>
          <wp:positionV relativeFrom="paragraph">
            <wp:posOffset>-170180</wp:posOffset>
          </wp:positionV>
          <wp:extent cx="1494000" cy="529200"/>
          <wp:effectExtent l="0" t="0" r="5080" b="444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pped-LOGO_GRICU.jpg"/>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1494000" cy="529200"/>
                  </a:xfrm>
                  <a:prstGeom prst="rect">
                    <a:avLst/>
                  </a:prstGeom>
                </pic:spPr>
              </pic:pic>
            </a:graphicData>
          </a:graphic>
          <wp14:sizeRelH relativeFrom="margin">
            <wp14:pctWidth>0</wp14:pctWidth>
          </wp14:sizeRelH>
          <wp14:sizeRelV relativeFrom="margin">
            <wp14:pctHeight>0</wp14:pctHeight>
          </wp14:sizeRelV>
        </wp:anchor>
      </w:drawing>
    </w:r>
    <w:r>
      <w:rPr>
        <w:b/>
        <w:i/>
        <w:color w:val="2E74B5" w:themeColor="accent5" w:themeShade="BF"/>
        <w:sz w:val="24"/>
        <w:szCs w:val="24"/>
      </w:rPr>
      <w:t xml:space="preserve"> </w:t>
    </w:r>
    <w:r w:rsidR="008871B1">
      <w:rPr>
        <w:b/>
        <w:i/>
        <w:color w:val="2E74B5" w:themeColor="accent5" w:themeShade="BF"/>
        <w:sz w:val="24"/>
        <w:szCs w:val="24"/>
      </w:rPr>
      <w:tab/>
    </w:r>
    <w:r w:rsidR="000517B4" w:rsidRPr="005C2A12">
      <w:rPr>
        <w:b/>
        <w:i/>
        <w:color w:val="2E74B5" w:themeColor="accent5" w:themeShade="BF"/>
        <w:sz w:val="24"/>
        <w:szCs w:val="24"/>
      </w:rPr>
      <w:t>GRICU 2022, Ischia, (Italy), July 3-6, 2022</w:t>
    </w:r>
  </w:p>
  <w:p w14:paraId="14E4AC61" w14:textId="77777777" w:rsidR="008871B1" w:rsidRPr="005C2A12" w:rsidRDefault="008871B1" w:rsidP="000517B4">
    <w:pPr>
      <w:pStyle w:val="Intestazione"/>
      <w:tabs>
        <w:tab w:val="left" w:pos="1188"/>
      </w:tabs>
      <w:jc w:val="center"/>
      <w:rPr>
        <w:b/>
        <w:i/>
        <w:color w:val="2E74B5" w:themeColor="accent5" w:themeShade="BF"/>
        <w:sz w:val="24"/>
        <w:szCs w:val="24"/>
      </w:rPr>
    </w:pPr>
  </w:p>
  <w:p w14:paraId="2DF8C760" w14:textId="77777777" w:rsidR="001D0E0C" w:rsidRDefault="000517B4" w:rsidP="001D0E0C">
    <w:pPr>
      <w:pStyle w:val="Intestazione"/>
      <w:jc w:val="center"/>
    </w:pPr>
    <w:r w:rsidRPr="005C2A12">
      <w:rPr>
        <w:noProof/>
        <w:color w:val="00B0F0"/>
      </w:rPr>
      <mc:AlternateContent>
        <mc:Choice Requires="wps">
          <w:drawing>
            <wp:anchor distT="0" distB="0" distL="114300" distR="114300" simplePos="0" relativeHeight="251659264" behindDoc="0" locked="0" layoutInCell="1" allowOverlap="1" wp14:anchorId="2FAF1E66" wp14:editId="6C2DECB8">
              <wp:simplePos x="0" y="0"/>
              <wp:positionH relativeFrom="column">
                <wp:posOffset>57150</wp:posOffset>
              </wp:positionH>
              <wp:positionV relativeFrom="paragraph">
                <wp:posOffset>103505</wp:posOffset>
              </wp:positionV>
              <wp:extent cx="5631180" cy="7620"/>
              <wp:effectExtent l="0" t="0" r="26670" b="30480"/>
              <wp:wrapNone/>
              <wp:docPr id="1" name="Connettore diritto 1"/>
              <wp:cNvGraphicFramePr/>
              <a:graphic xmlns:a="http://schemas.openxmlformats.org/drawingml/2006/main">
                <a:graphicData uri="http://schemas.microsoft.com/office/word/2010/wordprocessingShape">
                  <wps:wsp>
                    <wps:cNvCnPr/>
                    <wps:spPr>
                      <a:xfrm>
                        <a:off x="0" y="0"/>
                        <a:ext cx="5631180" cy="7620"/>
                      </a:xfrm>
                      <a:prstGeom prst="line">
                        <a:avLst/>
                      </a:prstGeom>
                      <a:ln>
                        <a:solidFill>
                          <a:srgbClr val="0070C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DD1064" id="Connettore dirit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8.15pt" to="447.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" strokecolor="#0070c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1A3"/>
    <w:rsid w:val="0000725F"/>
    <w:rsid w:val="000517B4"/>
    <w:rsid w:val="000629B9"/>
    <w:rsid w:val="000801FB"/>
    <w:rsid w:val="000D0EE3"/>
    <w:rsid w:val="001171D1"/>
    <w:rsid w:val="00140B9D"/>
    <w:rsid w:val="00154104"/>
    <w:rsid w:val="0018667F"/>
    <w:rsid w:val="001B060D"/>
    <w:rsid w:val="001D0E0C"/>
    <w:rsid w:val="001D19E4"/>
    <w:rsid w:val="002473D6"/>
    <w:rsid w:val="00260673"/>
    <w:rsid w:val="002A324D"/>
    <w:rsid w:val="002E2E24"/>
    <w:rsid w:val="002F6757"/>
    <w:rsid w:val="00304C2E"/>
    <w:rsid w:val="00382460"/>
    <w:rsid w:val="003B5972"/>
    <w:rsid w:val="003D4B48"/>
    <w:rsid w:val="003F160A"/>
    <w:rsid w:val="003F4F22"/>
    <w:rsid w:val="00402674"/>
    <w:rsid w:val="00410656"/>
    <w:rsid w:val="00447DB2"/>
    <w:rsid w:val="004967BF"/>
    <w:rsid w:val="004C56B4"/>
    <w:rsid w:val="004D782B"/>
    <w:rsid w:val="00515E5C"/>
    <w:rsid w:val="0058730A"/>
    <w:rsid w:val="005B71B2"/>
    <w:rsid w:val="005C2A12"/>
    <w:rsid w:val="005E0A0F"/>
    <w:rsid w:val="00680800"/>
    <w:rsid w:val="00687D40"/>
    <w:rsid w:val="00697CD6"/>
    <w:rsid w:val="00774B8F"/>
    <w:rsid w:val="007E7774"/>
    <w:rsid w:val="007F568B"/>
    <w:rsid w:val="008258F9"/>
    <w:rsid w:val="00861D62"/>
    <w:rsid w:val="008642EC"/>
    <w:rsid w:val="008871B1"/>
    <w:rsid w:val="008E6482"/>
    <w:rsid w:val="008F6A90"/>
    <w:rsid w:val="00933FF0"/>
    <w:rsid w:val="0094384D"/>
    <w:rsid w:val="00957B43"/>
    <w:rsid w:val="00990DFE"/>
    <w:rsid w:val="009F17F7"/>
    <w:rsid w:val="00A42486"/>
    <w:rsid w:val="00AB1801"/>
    <w:rsid w:val="00B210A6"/>
    <w:rsid w:val="00B32C1E"/>
    <w:rsid w:val="00B550C5"/>
    <w:rsid w:val="00B6669A"/>
    <w:rsid w:val="00B72AFF"/>
    <w:rsid w:val="00C40840"/>
    <w:rsid w:val="00C51F05"/>
    <w:rsid w:val="00CB037F"/>
    <w:rsid w:val="00CD27D4"/>
    <w:rsid w:val="00CD60BB"/>
    <w:rsid w:val="00CD7432"/>
    <w:rsid w:val="00D03DB3"/>
    <w:rsid w:val="00D322F1"/>
    <w:rsid w:val="00D412A9"/>
    <w:rsid w:val="00DA51A3"/>
    <w:rsid w:val="00DD2D8C"/>
    <w:rsid w:val="00DE4B94"/>
    <w:rsid w:val="00E046C8"/>
    <w:rsid w:val="00E05DC7"/>
    <w:rsid w:val="00E745F4"/>
    <w:rsid w:val="00F11ABE"/>
    <w:rsid w:val="00F24290"/>
    <w:rsid w:val="00F40217"/>
    <w:rsid w:val="00F60884"/>
    <w:rsid w:val="00FC73C3"/>
    <w:rsid w:val="00FD7280"/>
    <w:rsid w:val="00FF030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FA12EF"/>
  <w15:chartTrackingRefBased/>
  <w15:docId w15:val="{703246FC-8267-4F37-8037-AA1D01B4B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A51A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irstParagraph">
    <w:name w:val="First Paragraph"/>
    <w:basedOn w:val="Normale"/>
    <w:rsid w:val="00DA51A3"/>
    <w:pPr>
      <w:spacing w:after="0" w:line="240" w:lineRule="atLeast"/>
      <w:jc w:val="both"/>
    </w:pPr>
    <w:rPr>
      <w:rFonts w:ascii="Times" w:eastAsia="Times New Roman" w:hAnsi="Times" w:cs="Times New Roman"/>
      <w:sz w:val="20"/>
      <w:szCs w:val="20"/>
      <w:lang w:val="en-US"/>
    </w:rPr>
  </w:style>
  <w:style w:type="paragraph" w:styleId="Intestazione">
    <w:name w:val="header"/>
    <w:basedOn w:val="Normale"/>
    <w:link w:val="IntestazioneCarattere"/>
    <w:uiPriority w:val="99"/>
    <w:unhideWhenUsed/>
    <w:rsid w:val="001D0E0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D0E0C"/>
  </w:style>
  <w:style w:type="paragraph" w:styleId="Pidipagina">
    <w:name w:val="footer"/>
    <w:basedOn w:val="Normale"/>
    <w:link w:val="PidipaginaCarattere"/>
    <w:uiPriority w:val="99"/>
    <w:unhideWhenUsed/>
    <w:rsid w:val="001D0E0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D0E0C"/>
  </w:style>
  <w:style w:type="paragraph" w:styleId="Testofumetto">
    <w:name w:val="Balloon Text"/>
    <w:basedOn w:val="Normale"/>
    <w:link w:val="TestofumettoCarattere"/>
    <w:uiPriority w:val="99"/>
    <w:semiHidden/>
    <w:unhideWhenUsed/>
    <w:rsid w:val="003F160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F160A"/>
    <w:rPr>
      <w:rFonts w:ascii="Segoe UI" w:hAnsi="Segoe UI" w:cs="Segoe UI"/>
      <w:sz w:val="18"/>
      <w:szCs w:val="18"/>
    </w:rPr>
  </w:style>
  <w:style w:type="character" w:styleId="Testosegnaposto">
    <w:name w:val="Placeholder Text"/>
    <w:basedOn w:val="Carpredefinitoparagrafo"/>
    <w:uiPriority w:val="99"/>
    <w:semiHidden/>
    <w:rsid w:val="008258F9"/>
    <w:rPr>
      <w:color w:val="808080"/>
    </w:rPr>
  </w:style>
  <w:style w:type="paragraph" w:styleId="Didascalia">
    <w:name w:val="caption"/>
    <w:basedOn w:val="Normale"/>
    <w:next w:val="Normale"/>
    <w:uiPriority w:val="35"/>
    <w:unhideWhenUsed/>
    <w:qFormat/>
    <w:rsid w:val="002E2E2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E876C-1A95-48E8-B254-BF0BB175C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3602</Words>
  <Characters>20533</Characters>
  <Application>Microsoft Office Word</Application>
  <DocSecurity>0</DocSecurity>
  <Lines>171</Lines>
  <Paragraphs>48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Sauro Pierucci</dc:creator>
  <cp:keywords/>
  <dc:description/>
  <cp:lastModifiedBy>Lorenzo Metilli</cp:lastModifiedBy>
  <cp:revision>8</cp:revision>
  <cp:lastPrinted>2022-01-31T11:56:00Z</cp:lastPrinted>
  <dcterms:created xsi:type="dcterms:W3CDTF">2022-03-24T15:41:00Z</dcterms:created>
  <dcterms:modified xsi:type="dcterms:W3CDTF">2022-03-24T15:49:00Z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b4a9329f-9ec2-3cca-ad8a-694316a398a3</vt:lpwstr>
  </property>
  <property fmtid="{D5CDD505-2E9C-101B-9397-08002B2CF9AE}" pid="4" name="Mendeley Citation Style_1">
    <vt:lpwstr>http://www.zotero.org/styles/advances-in-colloid-and-interface-science</vt:lpwstr>
  </property>
  <property fmtid="{D5CDD505-2E9C-101B-9397-08002B2CF9AE}" pid="5" name="Mendeley Recent Style Id 0_1">
    <vt:lpwstr>http://www.zotero.org/styles/advances-in-colloid-and-interface-science</vt:lpwstr>
  </property>
  <property fmtid="{D5CDD505-2E9C-101B-9397-08002B2CF9AE}" pid="6" name="Mendeley Recent Style Name 0_1">
    <vt:lpwstr>Advances in Colloid and Interface Science</vt:lpwstr>
  </property>
  <property fmtid="{D5CDD505-2E9C-101B-9397-08002B2CF9AE}" pid="7" name="Mendeley Recent Style Id 1_1">
    <vt:lpwstr>http://www.zotero.org/styles/american-chemical-society</vt:lpwstr>
  </property>
  <property fmtid="{D5CDD505-2E9C-101B-9397-08002B2CF9AE}" pid="8" name="Mendeley Recent Style Name 1_1">
    <vt:lpwstr>American Chemical Society</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edition_lorenzo</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http://www.zotero.org/styles/wiley-vch-books</vt:lpwstr>
  </property>
  <property fmtid="{D5CDD505-2E9C-101B-9397-08002B2CF9AE}" pid="24" name="Mendeley Recent Style Name 9_1">
    <vt:lpwstr>Wiley-VCH books</vt:lpwstr>
  </property>
</Properties>
</file>