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CE7BE" w14:textId="5A4CEFA5" w:rsidR="00DA51A3" w:rsidRPr="00466FFD" w:rsidRDefault="00816C24" w:rsidP="00DA51A3">
      <w:pPr>
        <w:snapToGrid w:val="0"/>
        <w:jc w:val="center"/>
        <w:rPr>
          <w:rFonts w:ascii="Times New Roman" w:eastAsia="MS PGothic" w:hAnsi="Times New Roman"/>
          <w:b/>
          <w:bCs/>
          <w:sz w:val="24"/>
          <w:szCs w:val="24"/>
          <w:lang w:val="en-US"/>
        </w:rPr>
      </w:pPr>
      <w:r w:rsidRPr="00816C24">
        <w:rPr>
          <w:rFonts w:ascii="Times New Roman" w:eastAsia="MS PGothic" w:hAnsi="Times New Roman"/>
          <w:b/>
          <w:bCs/>
          <w:sz w:val="24"/>
          <w:szCs w:val="24"/>
          <w:lang w:val="en-US"/>
        </w:rPr>
        <w:t>Evaluating the mass transfer properties of 3D printed catalyst substrates with catalytic H</w:t>
      </w:r>
      <w:r w:rsidRPr="00816C24">
        <w:rPr>
          <w:rFonts w:ascii="Times New Roman" w:eastAsia="MS PGothic" w:hAnsi="Times New Roman"/>
          <w:b/>
          <w:bCs/>
          <w:sz w:val="24"/>
          <w:szCs w:val="24"/>
          <w:vertAlign w:val="subscript"/>
          <w:lang w:val="en-US"/>
        </w:rPr>
        <w:t>2</w:t>
      </w:r>
      <w:r w:rsidRPr="00816C24">
        <w:rPr>
          <w:rFonts w:ascii="Times New Roman" w:eastAsia="MS PGothic" w:hAnsi="Times New Roman"/>
          <w:b/>
          <w:bCs/>
          <w:sz w:val="24"/>
          <w:szCs w:val="24"/>
          <w:lang w:val="en-US"/>
        </w:rPr>
        <w:t xml:space="preserve"> oxidation in rich conditions</w:t>
      </w:r>
    </w:p>
    <w:p w14:paraId="5DC330F9" w14:textId="77777777" w:rsidR="00DA51A3" w:rsidRPr="00466FFD" w:rsidRDefault="00DA51A3" w:rsidP="00DA51A3">
      <w:pPr>
        <w:snapToGrid w:val="0"/>
        <w:jc w:val="center"/>
        <w:rPr>
          <w:rFonts w:ascii="Times New Roman" w:eastAsia="MS PGothic" w:hAnsi="Times New Roman"/>
          <w:b/>
          <w:bCs/>
          <w:sz w:val="24"/>
          <w:szCs w:val="24"/>
          <w:lang w:val="en-US" w:eastAsia="ko-KR"/>
        </w:rPr>
      </w:pPr>
    </w:p>
    <w:p w14:paraId="243AAF34" w14:textId="4D09D59F" w:rsidR="00DA51A3" w:rsidRPr="00466FFD" w:rsidRDefault="00FE6A5C" w:rsidP="00DA51A3">
      <w:pPr>
        <w:snapToGrid w:val="0"/>
        <w:jc w:val="center"/>
        <w:rPr>
          <w:rFonts w:ascii="Times New Roman" w:eastAsia="MS PGothic" w:hAnsi="Times New Roman"/>
          <w:sz w:val="24"/>
          <w:szCs w:val="24"/>
          <w:lang w:val="en-US"/>
        </w:rPr>
      </w:pPr>
      <w:r>
        <w:rPr>
          <w:rFonts w:ascii="Times New Roman" w:eastAsia="SimSun" w:hAnsi="Times New Roman"/>
          <w:sz w:val="24"/>
          <w:szCs w:val="24"/>
          <w:u w:val="single"/>
          <w:lang w:val="en-US" w:eastAsia="zh-CN"/>
        </w:rPr>
        <w:t>F</w:t>
      </w:r>
      <w:r w:rsidR="00DA51A3" w:rsidRPr="00466FFD">
        <w:rPr>
          <w:rFonts w:ascii="Times New Roman" w:eastAsia="SimSun" w:hAnsi="Times New Roman"/>
          <w:sz w:val="24"/>
          <w:szCs w:val="24"/>
          <w:u w:val="single"/>
          <w:lang w:val="en-US" w:eastAsia="zh-CN"/>
        </w:rPr>
        <w:t>e</w:t>
      </w:r>
      <w:r>
        <w:rPr>
          <w:rFonts w:ascii="Times New Roman" w:eastAsia="SimSun" w:hAnsi="Times New Roman"/>
          <w:sz w:val="24"/>
          <w:szCs w:val="24"/>
          <w:u w:val="single"/>
          <w:lang w:val="en-US" w:eastAsia="zh-CN"/>
        </w:rPr>
        <w:t>derico S. Franchi</w:t>
      </w:r>
      <w:r w:rsidR="00DA51A3" w:rsidRPr="00466FFD">
        <w:rPr>
          <w:rFonts w:ascii="Times New Roman" w:eastAsia="SimSun" w:hAnsi="Times New Roman"/>
          <w:sz w:val="24"/>
          <w:szCs w:val="24"/>
          <w:u w:val="single"/>
          <w:vertAlign w:val="superscript"/>
          <w:lang w:val="en-US" w:eastAsia="zh-CN"/>
        </w:rPr>
        <w:t>1</w:t>
      </w:r>
      <w:r w:rsidR="00DA51A3" w:rsidRPr="00466FFD">
        <w:rPr>
          <w:rFonts w:ascii="Times New Roman" w:eastAsia="SimSun" w:hAnsi="Times New Roman"/>
          <w:sz w:val="24"/>
          <w:szCs w:val="24"/>
          <w:lang w:val="en-US" w:eastAsia="zh-CN"/>
        </w:rPr>
        <w:t xml:space="preserve">, </w:t>
      </w:r>
      <w:r>
        <w:rPr>
          <w:rFonts w:ascii="Times New Roman" w:eastAsia="SimSun" w:hAnsi="Times New Roman"/>
          <w:sz w:val="24"/>
          <w:szCs w:val="24"/>
          <w:lang w:val="en-US" w:eastAsia="zh-CN"/>
        </w:rPr>
        <w:t>Matteo Ambrosetti</w:t>
      </w:r>
      <w:r>
        <w:rPr>
          <w:rFonts w:ascii="Times New Roman" w:eastAsia="SimSun" w:hAnsi="Times New Roman"/>
          <w:sz w:val="24"/>
          <w:szCs w:val="24"/>
          <w:vertAlign w:val="superscript"/>
          <w:lang w:val="en-US" w:eastAsia="zh-CN"/>
        </w:rPr>
        <w:t>1</w:t>
      </w:r>
      <w:r>
        <w:rPr>
          <w:rFonts w:ascii="Times New Roman" w:eastAsia="SimSun" w:hAnsi="Times New Roman"/>
          <w:sz w:val="24"/>
          <w:szCs w:val="24"/>
          <w:lang w:val="en-US" w:eastAsia="zh-CN"/>
        </w:rPr>
        <w:t>, Mauro Bracconi</w:t>
      </w:r>
      <w:r>
        <w:rPr>
          <w:rFonts w:ascii="Times New Roman" w:eastAsia="SimSun" w:hAnsi="Times New Roman"/>
          <w:sz w:val="24"/>
          <w:szCs w:val="24"/>
          <w:vertAlign w:val="superscript"/>
          <w:lang w:val="en-US" w:eastAsia="zh-CN"/>
        </w:rPr>
        <w:t>1</w:t>
      </w:r>
      <w:r>
        <w:rPr>
          <w:rFonts w:ascii="Times New Roman" w:eastAsia="SimSun" w:hAnsi="Times New Roman"/>
          <w:sz w:val="24"/>
          <w:szCs w:val="24"/>
          <w:lang w:val="en-US" w:eastAsia="zh-CN"/>
        </w:rPr>
        <w:t>, Riccardo Balzarotti</w:t>
      </w:r>
      <w:r>
        <w:rPr>
          <w:rFonts w:ascii="Times New Roman" w:eastAsia="SimSun" w:hAnsi="Times New Roman"/>
          <w:sz w:val="24"/>
          <w:szCs w:val="24"/>
          <w:vertAlign w:val="superscript"/>
          <w:lang w:val="en-US" w:eastAsia="zh-CN"/>
        </w:rPr>
        <w:t>1</w:t>
      </w:r>
      <w:r>
        <w:rPr>
          <w:rFonts w:ascii="Times New Roman" w:eastAsia="SimSun" w:hAnsi="Times New Roman"/>
          <w:sz w:val="24"/>
          <w:szCs w:val="24"/>
          <w:lang w:val="en-US" w:eastAsia="zh-CN"/>
        </w:rPr>
        <w:t xml:space="preserve">, </w:t>
      </w:r>
      <w:proofErr w:type="spellStart"/>
      <w:r>
        <w:rPr>
          <w:rFonts w:ascii="Times New Roman" w:eastAsia="SimSun" w:hAnsi="Times New Roman"/>
          <w:sz w:val="24"/>
          <w:szCs w:val="24"/>
          <w:lang w:val="en-US" w:eastAsia="zh-CN"/>
        </w:rPr>
        <w:t>Gianpiero</w:t>
      </w:r>
      <w:proofErr w:type="spellEnd"/>
      <w:r>
        <w:rPr>
          <w:rFonts w:ascii="Times New Roman" w:eastAsia="SimSun" w:hAnsi="Times New Roman"/>
          <w:sz w:val="24"/>
          <w:szCs w:val="24"/>
          <w:lang w:val="en-US" w:eastAsia="zh-CN"/>
        </w:rPr>
        <w:t xml:space="preserve"> Groppi</w:t>
      </w:r>
      <w:r>
        <w:rPr>
          <w:rFonts w:ascii="Times New Roman" w:eastAsia="SimSun" w:hAnsi="Times New Roman"/>
          <w:sz w:val="24"/>
          <w:szCs w:val="24"/>
          <w:vertAlign w:val="superscript"/>
          <w:lang w:val="en-US" w:eastAsia="zh-CN"/>
        </w:rPr>
        <w:t>1</w:t>
      </w:r>
      <w:r w:rsidRPr="00466FFD">
        <w:rPr>
          <w:rFonts w:ascii="Times New Roman" w:eastAsia="SimSun" w:hAnsi="Times New Roman"/>
          <w:sz w:val="24"/>
          <w:szCs w:val="24"/>
          <w:lang w:val="en-US" w:eastAsia="zh-CN"/>
        </w:rPr>
        <w:t>*</w:t>
      </w:r>
      <w:r>
        <w:rPr>
          <w:rFonts w:ascii="Times New Roman" w:eastAsia="SimSun" w:hAnsi="Times New Roman"/>
          <w:sz w:val="24"/>
          <w:szCs w:val="24"/>
          <w:lang w:val="en-US" w:eastAsia="zh-CN"/>
        </w:rPr>
        <w:t>, Enrico tronconi</w:t>
      </w:r>
      <w:r>
        <w:rPr>
          <w:rFonts w:ascii="Times New Roman" w:eastAsia="SimSun" w:hAnsi="Times New Roman"/>
          <w:sz w:val="24"/>
          <w:szCs w:val="24"/>
          <w:vertAlign w:val="superscript"/>
          <w:lang w:val="en-US" w:eastAsia="zh-CN"/>
        </w:rPr>
        <w:t>1</w:t>
      </w:r>
    </w:p>
    <w:p w14:paraId="7A602332" w14:textId="2171A777" w:rsidR="00DA51A3" w:rsidRPr="00466FFD" w:rsidRDefault="00DA51A3" w:rsidP="00DA51A3">
      <w:pPr>
        <w:snapToGrid w:val="0"/>
        <w:spacing w:after="120"/>
        <w:jc w:val="center"/>
        <w:rPr>
          <w:rFonts w:ascii="Times New Roman" w:eastAsia="MS PGothic" w:hAnsi="Times New Roman"/>
          <w:i/>
          <w:iCs/>
          <w:sz w:val="20"/>
          <w:lang w:val="en-US"/>
        </w:rPr>
      </w:pPr>
      <w:r w:rsidRPr="00466FFD">
        <w:rPr>
          <w:rFonts w:ascii="Times New Roman" w:eastAsia="MS PGothic" w:hAnsi="Times New Roman"/>
          <w:i/>
          <w:iCs/>
          <w:sz w:val="20"/>
          <w:lang w:val="en-US"/>
        </w:rPr>
        <w:t xml:space="preserve">1 </w:t>
      </w:r>
      <w:proofErr w:type="spellStart"/>
      <w:r w:rsidR="00FE6A5C">
        <w:rPr>
          <w:rFonts w:ascii="Times New Roman" w:eastAsia="MS PGothic" w:hAnsi="Times New Roman"/>
          <w:i/>
          <w:iCs/>
          <w:sz w:val="20"/>
          <w:lang w:val="en-US"/>
        </w:rPr>
        <w:t>Dipartimento</w:t>
      </w:r>
      <w:proofErr w:type="spellEnd"/>
      <w:r w:rsidR="00FE6A5C">
        <w:rPr>
          <w:rFonts w:ascii="Times New Roman" w:eastAsia="MS PGothic" w:hAnsi="Times New Roman"/>
          <w:i/>
          <w:iCs/>
          <w:sz w:val="20"/>
          <w:lang w:val="en-US"/>
        </w:rPr>
        <w:t xml:space="preserve"> di </w:t>
      </w:r>
      <w:proofErr w:type="spellStart"/>
      <w:r w:rsidR="00FE6A5C">
        <w:rPr>
          <w:rFonts w:ascii="Times New Roman" w:eastAsia="MS PGothic" w:hAnsi="Times New Roman"/>
          <w:i/>
          <w:iCs/>
          <w:sz w:val="20"/>
          <w:lang w:val="en-US"/>
        </w:rPr>
        <w:t>Energia</w:t>
      </w:r>
      <w:proofErr w:type="spellEnd"/>
      <w:r w:rsidR="00FE6A5C">
        <w:rPr>
          <w:rFonts w:ascii="Times New Roman" w:eastAsia="MS PGothic" w:hAnsi="Times New Roman"/>
          <w:i/>
          <w:iCs/>
          <w:sz w:val="20"/>
          <w:lang w:val="en-US"/>
        </w:rPr>
        <w:t xml:space="preserve">, </w:t>
      </w:r>
      <w:proofErr w:type="spellStart"/>
      <w:r w:rsidR="00FE6A5C">
        <w:rPr>
          <w:rFonts w:ascii="Times New Roman" w:eastAsia="MS PGothic" w:hAnsi="Times New Roman"/>
          <w:i/>
          <w:iCs/>
          <w:sz w:val="20"/>
          <w:lang w:val="en-US"/>
        </w:rPr>
        <w:t>Politecnico</w:t>
      </w:r>
      <w:proofErr w:type="spellEnd"/>
      <w:r w:rsidR="00FE6A5C">
        <w:rPr>
          <w:rFonts w:ascii="Times New Roman" w:eastAsia="MS PGothic" w:hAnsi="Times New Roman"/>
          <w:i/>
          <w:iCs/>
          <w:sz w:val="20"/>
          <w:lang w:val="en-US"/>
        </w:rPr>
        <w:t xml:space="preserve"> di Milano, Via La Masa, 34, Milano (Italy)</w:t>
      </w:r>
    </w:p>
    <w:p w14:paraId="5533360A" w14:textId="09DC2B3E" w:rsidR="00DA51A3" w:rsidRPr="00466FFD" w:rsidRDefault="00DA51A3" w:rsidP="00DA51A3">
      <w:pPr>
        <w:snapToGrid w:val="0"/>
        <w:jc w:val="center"/>
        <w:rPr>
          <w:rFonts w:ascii="Times New Roman" w:eastAsia="MS PGothic" w:hAnsi="Times New Roman"/>
          <w:bCs/>
          <w:i/>
          <w:iCs/>
          <w:sz w:val="20"/>
          <w:lang w:val="en-US"/>
        </w:rPr>
      </w:pPr>
      <w:r w:rsidRPr="00466FFD">
        <w:rPr>
          <w:rFonts w:ascii="Times New Roman" w:eastAsia="MS PGothic" w:hAnsi="Times New Roman"/>
          <w:bCs/>
          <w:i/>
          <w:iCs/>
          <w:sz w:val="20"/>
          <w:lang w:val="en-US"/>
        </w:rPr>
        <w:t>*Corresponding author</w:t>
      </w:r>
      <w:r w:rsidRPr="00466FFD">
        <w:rPr>
          <w:rFonts w:ascii="Times New Roman" w:eastAsia="MS PGothic" w:hAnsi="Times New Roman"/>
          <w:bCs/>
          <w:i/>
          <w:iCs/>
          <w:sz w:val="20"/>
          <w:lang w:val="en-US" w:eastAsia="ko-KR"/>
        </w:rPr>
        <w:t xml:space="preserve"> E-Mail: </w:t>
      </w:r>
      <w:r w:rsidR="00FE6A5C">
        <w:rPr>
          <w:rFonts w:ascii="Times New Roman" w:eastAsia="MS PGothic" w:hAnsi="Times New Roman"/>
          <w:bCs/>
          <w:i/>
          <w:iCs/>
          <w:sz w:val="20"/>
          <w:lang w:val="en-US"/>
        </w:rPr>
        <w:t>gianpiero.groppi@polimi.it</w:t>
      </w:r>
    </w:p>
    <w:p w14:paraId="28AD07A8" w14:textId="77777777" w:rsidR="00DA51A3" w:rsidRPr="00466FFD" w:rsidRDefault="00DA51A3" w:rsidP="00DA51A3">
      <w:pPr>
        <w:snapToGrid w:val="0"/>
        <w:spacing w:after="120"/>
        <w:jc w:val="center"/>
        <w:rPr>
          <w:rFonts w:ascii="Times New Roman" w:eastAsia="SimSun" w:hAnsi="Times New Roman"/>
          <w:bCs/>
          <w:i/>
          <w:iCs/>
          <w:sz w:val="20"/>
          <w:lang w:val="en-US" w:eastAsia="zh-CN"/>
        </w:rPr>
      </w:pPr>
    </w:p>
    <w:p w14:paraId="110B92B3" w14:textId="77777777" w:rsidR="00DA51A3" w:rsidRPr="00466FFD" w:rsidRDefault="00DA51A3" w:rsidP="00DA51A3">
      <w:pPr>
        <w:snapToGrid w:val="0"/>
        <w:spacing w:line="300" w:lineRule="auto"/>
        <w:rPr>
          <w:rFonts w:ascii="Times New Roman" w:eastAsia="MS PGothic" w:hAnsi="Times New Roman"/>
          <w:b/>
          <w:bCs/>
          <w:lang w:val="en-US" w:eastAsia="ko-KR"/>
        </w:rPr>
      </w:pPr>
      <w:r w:rsidRPr="00466FFD">
        <w:rPr>
          <w:rFonts w:ascii="Times New Roman" w:eastAsia="MS PGothic" w:hAnsi="Times New Roman"/>
          <w:b/>
          <w:bCs/>
          <w:lang w:val="en-US"/>
        </w:rPr>
        <w:t>1.</w:t>
      </w:r>
      <w:r w:rsidR="003F160A">
        <w:rPr>
          <w:rFonts w:ascii="Times New Roman" w:eastAsia="MS PGothic" w:hAnsi="Times New Roman"/>
          <w:b/>
          <w:bCs/>
          <w:lang w:val="en-US"/>
        </w:rPr>
        <w:t>Introduction</w:t>
      </w:r>
    </w:p>
    <w:p w14:paraId="6688DE74" w14:textId="77777777" w:rsidR="00FE6A5C" w:rsidRPr="00FE6A5C" w:rsidRDefault="00FE6A5C" w:rsidP="00FC3FDB">
      <w:pPr>
        <w:snapToGrid w:val="0"/>
        <w:spacing w:after="120"/>
        <w:jc w:val="both"/>
        <w:rPr>
          <w:rFonts w:ascii="Times New Roman" w:eastAsia="MS PGothic" w:hAnsi="Times New Roman"/>
          <w:lang w:val="en-US"/>
        </w:rPr>
      </w:pPr>
      <w:r w:rsidRPr="00FE6A5C">
        <w:rPr>
          <w:rFonts w:ascii="Times New Roman" w:eastAsia="MS PGothic" w:hAnsi="Times New Roman"/>
          <w:lang w:val="en-US"/>
        </w:rPr>
        <w:t>Nowadays, the need to comply with more and more stringent environmental legislations is leading towards the implementation of innovative, high performance catalytic systems. The advancement in 3D printing technologies is enabling the manufacture of catalyst supports with better tradeoffs between gas/solid mass transfer and pressure drops than state of the art honeycomb monoliths [1]. To characterize the large number of geometries that can be manufactured with these techniques, an efficient screening methodology is required. Among the different addictive manufacturing techniques, stereolithography (SLA) combine high precision and accuracy with low cost and fast production times resulting in the ideal technology for fast prototyping machines. The technique can use a wide range of polymeric materials, of which, a resin with a significant resistance to high temperature is selected. CO oxidation over noble metal catalysts in external mass transfer regime, was used in previous works [2-4], as a probe to evaluate the gas/solid mass transfer performances. However, the range in which this reaction is limited by external mass transfer is usually limited to temperatures above 300°C which will lead to the degradation of the resin substrate. To cope with the temperature limits of the resin samples (290°C), catalytic H</w:t>
      </w:r>
      <w:r w:rsidRPr="00FE6A5C">
        <w:rPr>
          <w:rFonts w:ascii="Times New Roman" w:eastAsia="MS PGothic" w:hAnsi="Times New Roman"/>
          <w:vertAlign w:val="subscript"/>
          <w:lang w:val="en-US"/>
        </w:rPr>
        <w:t>2</w:t>
      </w:r>
      <w:r w:rsidRPr="00FE6A5C">
        <w:rPr>
          <w:rFonts w:ascii="Times New Roman" w:eastAsia="MS PGothic" w:hAnsi="Times New Roman"/>
          <w:lang w:val="en-US"/>
        </w:rPr>
        <w:t xml:space="preserve"> oxidation is a good candidate. Moreover, O</w:t>
      </w:r>
      <w:r w:rsidRPr="00FE6A5C">
        <w:rPr>
          <w:rFonts w:ascii="Times New Roman" w:eastAsia="MS PGothic" w:hAnsi="Times New Roman"/>
          <w:vertAlign w:val="subscript"/>
          <w:lang w:val="en-US"/>
        </w:rPr>
        <w:t>2</w:t>
      </w:r>
      <w:r w:rsidRPr="00FE6A5C">
        <w:rPr>
          <w:rFonts w:ascii="Times New Roman" w:eastAsia="MS PGothic" w:hAnsi="Times New Roman"/>
          <w:lang w:val="en-US"/>
        </w:rPr>
        <w:t xml:space="preserve"> was used as the limiting reactant to reduce the conversion in the mass transfer regime.</w:t>
      </w:r>
    </w:p>
    <w:p w14:paraId="1793D58F" w14:textId="2BCAE3A1" w:rsidR="00FE6A5C" w:rsidRDefault="00FE6A5C" w:rsidP="00FC3FDB">
      <w:pPr>
        <w:snapToGrid w:val="0"/>
        <w:spacing w:after="120"/>
        <w:jc w:val="both"/>
        <w:rPr>
          <w:rFonts w:ascii="Times New Roman" w:eastAsia="MS PGothic" w:hAnsi="Times New Roman"/>
          <w:lang w:val="en-US"/>
        </w:rPr>
      </w:pPr>
      <w:r w:rsidRPr="00FE6A5C">
        <w:rPr>
          <w:rFonts w:ascii="Times New Roman" w:eastAsia="MS PGothic" w:hAnsi="Times New Roman"/>
          <w:lang w:val="en-US"/>
        </w:rPr>
        <w:t>SLA 3D printed samples have been used for other process intensification devices (</w:t>
      </w:r>
      <w:proofErr w:type="gramStart"/>
      <w:r w:rsidRPr="00FE6A5C">
        <w:rPr>
          <w:rFonts w:ascii="Times New Roman" w:eastAsia="MS PGothic" w:hAnsi="Times New Roman"/>
          <w:lang w:val="en-US"/>
        </w:rPr>
        <w:t>e.g.</w:t>
      </w:r>
      <w:proofErr w:type="gramEnd"/>
      <w:r w:rsidRPr="00FE6A5C">
        <w:rPr>
          <w:rFonts w:ascii="Times New Roman" w:eastAsia="MS PGothic" w:hAnsi="Times New Roman"/>
          <w:lang w:val="en-US"/>
        </w:rPr>
        <w:t xml:space="preserve"> static mixers), however, no catalytic applications have been yet reported in the literature. In this work, we propose the use of 3D printed resin samples for the investigation of external mass transfer properties by running H</w:t>
      </w:r>
      <w:r w:rsidRPr="00FE6A5C">
        <w:rPr>
          <w:rFonts w:ascii="Times New Roman" w:eastAsia="MS PGothic" w:hAnsi="Times New Roman"/>
          <w:vertAlign w:val="subscript"/>
          <w:lang w:val="en-US"/>
        </w:rPr>
        <w:t>2</w:t>
      </w:r>
      <w:r w:rsidRPr="00FE6A5C">
        <w:rPr>
          <w:rFonts w:ascii="Times New Roman" w:eastAsia="MS PGothic" w:hAnsi="Times New Roman"/>
          <w:lang w:val="en-US"/>
        </w:rPr>
        <w:t xml:space="preserve"> oxidation catalytic tests in rich conditions.</w:t>
      </w:r>
    </w:p>
    <w:p w14:paraId="0871BF31" w14:textId="77777777" w:rsidR="00DA51A3" w:rsidRPr="00466FFD" w:rsidRDefault="00DA51A3" w:rsidP="00DA51A3">
      <w:pPr>
        <w:snapToGrid w:val="0"/>
        <w:spacing w:before="240" w:line="300" w:lineRule="auto"/>
        <w:rPr>
          <w:rFonts w:ascii="Times New Roman" w:eastAsia="MS PGothic" w:hAnsi="Times New Roman"/>
          <w:lang w:val="en-US"/>
        </w:rPr>
      </w:pPr>
      <w:r w:rsidRPr="00466FFD">
        <w:rPr>
          <w:rFonts w:ascii="Times New Roman" w:eastAsia="MS PGothic" w:hAnsi="Times New Roman"/>
          <w:b/>
          <w:bCs/>
          <w:lang w:val="en-US"/>
        </w:rPr>
        <w:t>2. Methods</w:t>
      </w:r>
    </w:p>
    <w:p w14:paraId="51645C7A" w14:textId="123C8F36" w:rsidR="00B37FEE" w:rsidRDefault="00FC3FDB" w:rsidP="00FC3FDB">
      <w:pPr>
        <w:snapToGrid w:val="0"/>
        <w:spacing w:after="120"/>
        <w:jc w:val="both"/>
        <w:rPr>
          <w:rFonts w:ascii="Times New Roman" w:eastAsia="MS PGothic" w:hAnsi="Times New Roman"/>
          <w:lang w:val="en-US"/>
        </w:rPr>
      </w:pPr>
      <w:r w:rsidRPr="00FC3FDB">
        <w:rPr>
          <w:rFonts w:ascii="Times New Roman" w:eastAsia="MS PGothic" w:hAnsi="Times New Roman"/>
          <w:lang w:val="en-US"/>
        </w:rPr>
        <w:t>POCS samples (cylinders, id = 9 mm, length = 15 mm) are printed using FLHTAM01 high-temperature (HT) resin (HDT</w:t>
      </w:r>
      <w:r w:rsidRPr="00FC3FDB">
        <w:rPr>
          <w:rFonts w:ascii="Times New Roman" w:eastAsia="MS PGothic" w:hAnsi="Times New Roman"/>
          <w:vertAlign w:val="subscript"/>
          <w:lang w:val="en-US"/>
        </w:rPr>
        <w:t>@0.45MPa</w:t>
      </w:r>
      <w:r w:rsidRPr="00FC3FDB">
        <w:rPr>
          <w:rFonts w:ascii="Times New Roman" w:eastAsia="MS PGothic" w:hAnsi="Times New Roman"/>
          <w:lang w:val="en-US"/>
        </w:rPr>
        <w:t xml:space="preserve"> = 289°C) and a Form2 SLA 3D printer. The finished samples are washcoated with a 3% Pd/CeO</w:t>
      </w:r>
      <w:r w:rsidRPr="00FC3FDB">
        <w:rPr>
          <w:rFonts w:ascii="Times New Roman" w:eastAsia="MS PGothic" w:hAnsi="Times New Roman"/>
          <w:vertAlign w:val="subscript"/>
          <w:lang w:val="en-US"/>
        </w:rPr>
        <w:t>2</w:t>
      </w:r>
      <w:r w:rsidRPr="00FC3FDB">
        <w:rPr>
          <w:rFonts w:ascii="Times New Roman" w:eastAsia="MS PGothic" w:hAnsi="Times New Roman"/>
          <w:lang w:val="en-US"/>
        </w:rPr>
        <w:t xml:space="preserve"> slurry and the excess slurry is removed by spin-coating and flash dried in air at 200°C for 3 min. Samples are then reduced in situ at 200°C in a 2.5% v/v H</w:t>
      </w:r>
      <w:r w:rsidRPr="00FC3FDB">
        <w:rPr>
          <w:rFonts w:ascii="Times New Roman" w:eastAsia="MS PGothic" w:hAnsi="Times New Roman"/>
          <w:vertAlign w:val="subscript"/>
          <w:lang w:val="en-US"/>
        </w:rPr>
        <w:t>2</w:t>
      </w:r>
      <w:r w:rsidRPr="00FC3FDB">
        <w:rPr>
          <w:rFonts w:ascii="Times New Roman" w:eastAsia="MS PGothic" w:hAnsi="Times New Roman"/>
          <w:lang w:val="en-US"/>
        </w:rPr>
        <w:t xml:space="preserve"> in N</w:t>
      </w:r>
      <w:r w:rsidRPr="00FC3FDB">
        <w:rPr>
          <w:rFonts w:ascii="Times New Roman" w:eastAsia="MS PGothic" w:hAnsi="Times New Roman"/>
          <w:vertAlign w:val="subscript"/>
          <w:lang w:val="en-US"/>
        </w:rPr>
        <w:t>2</w:t>
      </w:r>
      <w:r w:rsidRPr="00FC3FDB">
        <w:rPr>
          <w:rFonts w:ascii="Times New Roman" w:eastAsia="MS PGothic" w:hAnsi="Times New Roman"/>
          <w:lang w:val="en-US"/>
        </w:rPr>
        <w:t xml:space="preserve"> feed mixture. Catalytic tests are performed using a N</w:t>
      </w:r>
      <w:r w:rsidRPr="00FC3FDB">
        <w:rPr>
          <w:rFonts w:ascii="Times New Roman" w:eastAsia="MS PGothic" w:hAnsi="Times New Roman"/>
          <w:vertAlign w:val="subscript"/>
          <w:lang w:val="en-US"/>
        </w:rPr>
        <w:t>2</w:t>
      </w:r>
      <w:r w:rsidRPr="00FC3FDB">
        <w:rPr>
          <w:rFonts w:ascii="Times New Roman" w:eastAsia="MS PGothic" w:hAnsi="Times New Roman"/>
          <w:lang w:val="en-US"/>
        </w:rPr>
        <w:t>/H</w:t>
      </w:r>
      <w:r w:rsidRPr="00FC3FDB">
        <w:rPr>
          <w:rFonts w:ascii="Times New Roman" w:eastAsia="MS PGothic" w:hAnsi="Times New Roman"/>
          <w:vertAlign w:val="subscript"/>
          <w:lang w:val="en-US"/>
        </w:rPr>
        <w:t>2</w:t>
      </w:r>
      <w:r w:rsidRPr="00FC3FDB">
        <w:rPr>
          <w:rFonts w:ascii="Times New Roman" w:eastAsia="MS PGothic" w:hAnsi="Times New Roman"/>
          <w:lang w:val="en-US"/>
        </w:rPr>
        <w:t>/O</w:t>
      </w:r>
      <w:r w:rsidRPr="00FC3FDB">
        <w:rPr>
          <w:rFonts w:ascii="Times New Roman" w:eastAsia="MS PGothic" w:hAnsi="Times New Roman"/>
          <w:vertAlign w:val="subscript"/>
          <w:lang w:val="en-US"/>
        </w:rPr>
        <w:t>2</w:t>
      </w:r>
      <w:r w:rsidRPr="00FC3FDB">
        <w:rPr>
          <w:rFonts w:ascii="Times New Roman" w:eastAsia="MS PGothic" w:hAnsi="Times New Roman"/>
          <w:lang w:val="en-US"/>
        </w:rPr>
        <w:t xml:space="preserve"> 95/4/1 % v/v feed mixture</w:t>
      </w:r>
      <w:r>
        <w:rPr>
          <w:rFonts w:ascii="Times New Roman" w:eastAsia="MS PGothic" w:hAnsi="Times New Roman"/>
          <w:lang w:val="en-US"/>
        </w:rPr>
        <w:t xml:space="preserve">. </w:t>
      </w:r>
      <w:r w:rsidRPr="00FC3FDB">
        <w:rPr>
          <w:rFonts w:ascii="Times New Roman" w:eastAsia="MS PGothic" w:hAnsi="Times New Roman"/>
          <w:lang w:val="en-US"/>
        </w:rPr>
        <w:t>Operation with H</w:t>
      </w:r>
      <w:r w:rsidRPr="00FC3FDB">
        <w:rPr>
          <w:rFonts w:ascii="Times New Roman" w:eastAsia="MS PGothic" w:hAnsi="Times New Roman"/>
          <w:vertAlign w:val="subscript"/>
          <w:lang w:val="en-US"/>
        </w:rPr>
        <w:t>2</w:t>
      </w:r>
      <w:r w:rsidRPr="00FC3FDB">
        <w:rPr>
          <w:rFonts w:ascii="Times New Roman" w:eastAsia="MS PGothic" w:hAnsi="Times New Roman"/>
          <w:lang w:val="en-US"/>
        </w:rPr>
        <w:t xml:space="preserve"> excess allows to avoid the potential oxidation and degradation of the polymer; furthermore, O</w:t>
      </w:r>
      <w:r w:rsidRPr="00FC3FDB">
        <w:rPr>
          <w:rFonts w:ascii="Times New Roman" w:eastAsia="MS PGothic" w:hAnsi="Times New Roman"/>
          <w:vertAlign w:val="subscript"/>
          <w:lang w:val="en-US"/>
        </w:rPr>
        <w:t>2</w:t>
      </w:r>
      <w:r w:rsidRPr="00FC3FDB">
        <w:rPr>
          <w:rFonts w:ascii="Times New Roman" w:eastAsia="MS PGothic" w:hAnsi="Times New Roman"/>
          <w:lang w:val="en-US"/>
        </w:rPr>
        <w:t xml:space="preserve"> diffusion (5.6*10</w:t>
      </w:r>
      <w:r w:rsidRPr="00FC3FDB">
        <w:rPr>
          <w:rFonts w:ascii="Times New Roman" w:eastAsia="MS PGothic" w:hAnsi="Times New Roman"/>
          <w:vertAlign w:val="superscript"/>
          <w:lang w:val="en-US"/>
        </w:rPr>
        <w:t>-5</w:t>
      </w:r>
      <w:r w:rsidRPr="00FC3FDB">
        <w:rPr>
          <w:rFonts w:ascii="Times New Roman" w:eastAsia="MS PGothic" w:hAnsi="Times New Roman"/>
          <w:lang w:val="en-US"/>
        </w:rPr>
        <w:t xml:space="preserve"> m</w:t>
      </w:r>
      <w:r w:rsidRPr="00FC3FDB">
        <w:rPr>
          <w:rFonts w:ascii="Times New Roman" w:eastAsia="MS PGothic" w:hAnsi="Times New Roman"/>
          <w:vertAlign w:val="superscript"/>
          <w:lang w:val="en-US"/>
        </w:rPr>
        <w:t>2</w:t>
      </w:r>
      <w:r w:rsidRPr="00FC3FDB">
        <w:rPr>
          <w:rFonts w:ascii="Times New Roman" w:eastAsia="MS PGothic" w:hAnsi="Times New Roman"/>
          <w:lang w:val="en-US"/>
        </w:rPr>
        <w:t xml:space="preserve">/s @ 250°C) avoid the reach of complete conversion. </w:t>
      </w:r>
      <w:r w:rsidR="00B37FEE">
        <w:rPr>
          <w:rFonts w:ascii="Times New Roman" w:eastAsia="MS PGothic" w:hAnsi="Times New Roman"/>
          <w:lang w:val="en-US"/>
        </w:rPr>
        <w:t>O</w:t>
      </w:r>
      <w:r w:rsidR="00B37FEE">
        <w:rPr>
          <w:rFonts w:ascii="Times New Roman" w:eastAsia="MS PGothic" w:hAnsi="Times New Roman"/>
          <w:vertAlign w:val="subscript"/>
          <w:lang w:val="en-US"/>
        </w:rPr>
        <w:t>2</w:t>
      </w:r>
      <w:r w:rsidR="00B37FEE">
        <w:rPr>
          <w:rFonts w:ascii="Times New Roman" w:eastAsia="MS PGothic" w:hAnsi="Times New Roman"/>
          <w:lang w:val="en-US"/>
        </w:rPr>
        <w:t xml:space="preserve"> conversion is evaluated at increasingly high temperatures until full external mass transfer limited regime is reached.</w:t>
      </w:r>
    </w:p>
    <w:p w14:paraId="7C48638A" w14:textId="79C68EE2" w:rsidR="00FE6A5C" w:rsidRDefault="00FC3FDB" w:rsidP="00FC3FDB">
      <w:pPr>
        <w:snapToGrid w:val="0"/>
        <w:spacing w:after="120"/>
        <w:jc w:val="both"/>
        <w:rPr>
          <w:rFonts w:ascii="Times New Roman" w:eastAsia="MS PGothic" w:hAnsi="Times New Roman"/>
          <w:lang w:val="en-US"/>
        </w:rPr>
      </w:pPr>
      <w:r w:rsidRPr="00FC3FDB">
        <w:rPr>
          <w:rFonts w:ascii="Times New Roman" w:eastAsia="MS PGothic" w:hAnsi="Times New Roman"/>
          <w:lang w:val="en-US"/>
        </w:rPr>
        <w:t xml:space="preserve">For validation purposes, a resin POCS tested with the presented protocol, is directly compared with an identical </w:t>
      </w:r>
      <w:proofErr w:type="spellStart"/>
      <w:r w:rsidRPr="00FC3FDB">
        <w:rPr>
          <w:rFonts w:ascii="Times New Roman" w:eastAsia="MS PGothic" w:hAnsi="Times New Roman"/>
          <w:lang w:val="en-US"/>
        </w:rPr>
        <w:t>FeCrAlloy</w:t>
      </w:r>
      <w:proofErr w:type="spellEnd"/>
      <w:r w:rsidRPr="00FC3FDB">
        <w:rPr>
          <w:rFonts w:ascii="Times New Roman" w:eastAsia="MS PGothic" w:hAnsi="Times New Roman"/>
          <w:lang w:val="en-US"/>
        </w:rPr>
        <w:t xml:space="preserve"> sample tested in mass transfer limited CO oxidation tests (1.5% CO in Air). Mass transfer coefficients, expressed as ShSc</w:t>
      </w:r>
      <w:r w:rsidRPr="00FC3FDB">
        <w:rPr>
          <w:rFonts w:ascii="Times New Roman" w:eastAsia="MS PGothic" w:hAnsi="Times New Roman"/>
          <w:vertAlign w:val="superscript"/>
          <w:lang w:val="en-US"/>
        </w:rPr>
        <w:t>-1/3</w:t>
      </w:r>
      <w:r w:rsidRPr="00FC3FDB">
        <w:rPr>
          <w:rFonts w:ascii="Times New Roman" w:eastAsia="MS PGothic" w:hAnsi="Times New Roman"/>
          <w:lang w:val="en-US"/>
        </w:rPr>
        <w:t>, are calculated from O</w:t>
      </w:r>
      <w:r w:rsidRPr="00B37FEE">
        <w:rPr>
          <w:rFonts w:ascii="Times New Roman" w:eastAsia="MS PGothic" w:hAnsi="Times New Roman"/>
          <w:vertAlign w:val="subscript"/>
          <w:lang w:val="en-US"/>
        </w:rPr>
        <w:t>2</w:t>
      </w:r>
      <w:r w:rsidRPr="00FC3FDB">
        <w:rPr>
          <w:rFonts w:ascii="Times New Roman" w:eastAsia="MS PGothic" w:hAnsi="Times New Roman"/>
          <w:lang w:val="en-US"/>
        </w:rPr>
        <w:t xml:space="preserve"> conversion (for the resin sample) and CO conversion (for the </w:t>
      </w:r>
      <w:proofErr w:type="spellStart"/>
      <w:r w:rsidRPr="00FC3FDB">
        <w:rPr>
          <w:rFonts w:ascii="Times New Roman" w:eastAsia="MS PGothic" w:hAnsi="Times New Roman"/>
          <w:lang w:val="en-US"/>
        </w:rPr>
        <w:t>FeCrAlloy</w:t>
      </w:r>
      <w:proofErr w:type="spellEnd"/>
      <w:r w:rsidRPr="00FC3FDB">
        <w:rPr>
          <w:rFonts w:ascii="Times New Roman" w:eastAsia="MS PGothic" w:hAnsi="Times New Roman"/>
          <w:lang w:val="en-US"/>
        </w:rPr>
        <w:t xml:space="preserve"> POCS) in the external mass transfer regime assuming a PFR behavior. </w:t>
      </w:r>
    </w:p>
    <w:p w14:paraId="0528A46E" w14:textId="77777777" w:rsidR="00DA51A3" w:rsidRPr="00466FFD" w:rsidRDefault="00DA51A3" w:rsidP="00DA51A3">
      <w:pPr>
        <w:snapToGrid w:val="0"/>
        <w:spacing w:before="240" w:line="300" w:lineRule="auto"/>
        <w:rPr>
          <w:rFonts w:ascii="Times New Roman" w:eastAsia="MS PGothic" w:hAnsi="Times New Roman"/>
          <w:lang w:val="en-US"/>
        </w:rPr>
      </w:pPr>
      <w:r w:rsidRPr="00466FFD">
        <w:rPr>
          <w:rFonts w:ascii="Times New Roman" w:eastAsia="MS PGothic" w:hAnsi="Times New Roman"/>
          <w:b/>
          <w:bCs/>
          <w:lang w:val="en-US"/>
        </w:rPr>
        <w:t>3. Results and discussion</w:t>
      </w:r>
    </w:p>
    <w:p w14:paraId="343FC6A7" w14:textId="7710B192" w:rsidR="00FC3FDB" w:rsidRDefault="00FC3FDB" w:rsidP="00385D3D">
      <w:pPr>
        <w:snapToGrid w:val="0"/>
        <w:spacing w:after="120"/>
        <w:jc w:val="both"/>
        <w:rPr>
          <w:rFonts w:ascii="Times New Roman" w:eastAsia="MS PGothic" w:hAnsi="Times New Roman"/>
          <w:lang w:val="en-US"/>
        </w:rPr>
      </w:pPr>
      <w:r w:rsidRPr="00FC3FDB">
        <w:rPr>
          <w:rFonts w:ascii="Times New Roman" w:eastAsia="MS PGothic" w:hAnsi="Times New Roman"/>
          <w:lang w:val="en-US"/>
        </w:rPr>
        <w:t>The</w:t>
      </w:r>
      <w:r w:rsidR="00B37FEE">
        <w:rPr>
          <w:rFonts w:ascii="Times New Roman" w:eastAsia="MS PGothic" w:hAnsi="Times New Roman"/>
          <w:lang w:val="en-US"/>
        </w:rPr>
        <w:t xml:space="preserve"> dip/spin-coating</w:t>
      </w:r>
      <w:r w:rsidRPr="00FC3FDB">
        <w:rPr>
          <w:rFonts w:ascii="Times New Roman" w:eastAsia="MS PGothic" w:hAnsi="Times New Roman"/>
          <w:lang w:val="en-US"/>
        </w:rPr>
        <w:t xml:space="preserve"> procedure</w:t>
      </w:r>
      <w:r w:rsidR="00B37FEE">
        <w:rPr>
          <w:rFonts w:ascii="Times New Roman" w:eastAsia="MS PGothic" w:hAnsi="Times New Roman"/>
          <w:lang w:val="en-US"/>
        </w:rPr>
        <w:t xml:space="preserve"> followed by flash </w:t>
      </w:r>
      <w:r w:rsidR="00074E9A">
        <w:rPr>
          <w:rFonts w:ascii="Times New Roman" w:eastAsia="MS PGothic" w:hAnsi="Times New Roman"/>
          <w:lang w:val="en-US"/>
        </w:rPr>
        <w:t>drying</w:t>
      </w:r>
      <w:r w:rsidRPr="00FC3FDB">
        <w:rPr>
          <w:rFonts w:ascii="Times New Roman" w:eastAsia="MS PGothic" w:hAnsi="Times New Roman"/>
          <w:lang w:val="en-US"/>
        </w:rPr>
        <w:t xml:space="preserve"> resulted in a thin and homogeneous catalyst layer</w:t>
      </w:r>
      <w:r w:rsidR="00074E9A">
        <w:rPr>
          <w:rFonts w:ascii="Times New Roman" w:eastAsia="MS PGothic" w:hAnsi="Times New Roman"/>
          <w:lang w:val="en-US"/>
        </w:rPr>
        <w:t xml:space="preserve"> that does not significantly modify the geometrical properties of the investigated structures</w:t>
      </w:r>
      <w:r w:rsidRPr="00FC3FDB">
        <w:rPr>
          <w:rFonts w:ascii="Times New Roman" w:eastAsia="MS PGothic" w:hAnsi="Times New Roman"/>
          <w:lang w:val="en-US"/>
        </w:rPr>
        <w:t>.</w:t>
      </w:r>
      <w:r w:rsidR="00074E9A">
        <w:rPr>
          <w:rFonts w:ascii="Times New Roman" w:eastAsia="MS PGothic" w:hAnsi="Times New Roman"/>
          <w:lang w:val="en-US"/>
        </w:rPr>
        <w:t xml:space="preserve"> Moreover, </w:t>
      </w:r>
      <w:r w:rsidRPr="00074E9A">
        <w:rPr>
          <w:rFonts w:ascii="Times New Roman" w:eastAsia="MS PGothic" w:hAnsi="Times New Roman"/>
          <w:lang w:val="en-US"/>
        </w:rPr>
        <w:t>the Pd</w:t>
      </w:r>
      <w:r w:rsidR="00074E9A" w:rsidRPr="00074E9A">
        <w:rPr>
          <w:rFonts w:ascii="Times New Roman" w:eastAsia="MS PGothic" w:hAnsi="Times New Roman"/>
          <w:lang w:val="en-US"/>
        </w:rPr>
        <w:t>-based</w:t>
      </w:r>
      <w:r w:rsidRPr="00074E9A">
        <w:rPr>
          <w:rFonts w:ascii="Times New Roman" w:eastAsia="MS PGothic" w:hAnsi="Times New Roman"/>
          <w:lang w:val="en-US"/>
        </w:rPr>
        <w:t xml:space="preserve"> </w:t>
      </w:r>
      <w:r w:rsidRPr="00074E9A">
        <w:rPr>
          <w:rFonts w:ascii="Times New Roman" w:eastAsia="MS PGothic" w:hAnsi="Times New Roman"/>
          <w:lang w:val="en-US"/>
        </w:rPr>
        <w:lastRenderedPageBreak/>
        <w:t>catalyst used for the activation procedure,</w:t>
      </w:r>
      <w:r w:rsidR="00074E9A" w:rsidRPr="00074E9A">
        <w:rPr>
          <w:rFonts w:ascii="Times New Roman" w:eastAsia="MS PGothic" w:hAnsi="Times New Roman"/>
          <w:lang w:val="en-US"/>
        </w:rPr>
        <w:t xml:space="preserve"> resulted in the light-off of </w:t>
      </w:r>
      <w:r w:rsidRPr="00074E9A">
        <w:rPr>
          <w:rFonts w:ascii="Times New Roman" w:eastAsia="MS PGothic" w:hAnsi="Times New Roman"/>
          <w:lang w:val="en-US"/>
        </w:rPr>
        <w:t xml:space="preserve">the reaction at room temperature and </w:t>
      </w:r>
      <w:r w:rsidR="00074E9A" w:rsidRPr="00074E9A">
        <w:rPr>
          <w:rFonts w:ascii="Times New Roman" w:eastAsia="MS PGothic" w:hAnsi="Times New Roman"/>
          <w:lang w:val="en-US"/>
        </w:rPr>
        <w:t xml:space="preserve">allows to </w:t>
      </w:r>
      <w:r w:rsidRPr="00074E9A">
        <w:rPr>
          <w:rFonts w:ascii="Times New Roman" w:eastAsia="MS PGothic" w:hAnsi="Times New Roman"/>
          <w:lang w:val="en-US"/>
        </w:rPr>
        <w:t>reach the diffusional regime at a temperature of 200°C, as shown in Fig 1 A).</w:t>
      </w:r>
    </w:p>
    <w:p w14:paraId="62890710" w14:textId="64E29D20" w:rsidR="00B37FEE" w:rsidRDefault="00074E9A" w:rsidP="00385D3D">
      <w:pPr>
        <w:snapToGrid w:val="0"/>
        <w:spacing w:after="120"/>
        <w:jc w:val="both"/>
        <w:rPr>
          <w:rFonts w:ascii="Times New Roman" w:eastAsia="MS PGothic" w:hAnsi="Times New Roman"/>
          <w:lang w:val="en-US"/>
        </w:rPr>
      </w:pPr>
      <w:r>
        <w:rPr>
          <w:rFonts w:ascii="Times New Roman" w:eastAsia="MS PGothic" w:hAnsi="Times New Roman"/>
          <w:lang w:val="en-US"/>
        </w:rPr>
        <w:t xml:space="preserve">As shown in </w:t>
      </w:r>
      <w:r w:rsidR="00B37FEE" w:rsidRPr="00FC3FDB">
        <w:rPr>
          <w:rFonts w:ascii="Times New Roman" w:eastAsia="MS PGothic" w:hAnsi="Times New Roman"/>
          <w:lang w:val="en-US"/>
        </w:rPr>
        <w:t>Fig 1 B)</w:t>
      </w:r>
      <w:r>
        <w:rPr>
          <w:rFonts w:ascii="Times New Roman" w:eastAsia="MS PGothic" w:hAnsi="Times New Roman"/>
          <w:lang w:val="en-US"/>
        </w:rPr>
        <w:t xml:space="preserve">, </w:t>
      </w:r>
      <w:r w:rsidR="00B37FEE" w:rsidRPr="00FC3FDB">
        <w:rPr>
          <w:rFonts w:ascii="Times New Roman" w:eastAsia="MS PGothic" w:hAnsi="Times New Roman"/>
          <w:lang w:val="en-US"/>
        </w:rPr>
        <w:t>that the dimensionless mass transfer coefficients</w:t>
      </w:r>
      <w:r>
        <w:rPr>
          <w:rFonts w:ascii="Times New Roman" w:eastAsia="MS PGothic" w:hAnsi="Times New Roman"/>
          <w:lang w:val="en-US"/>
        </w:rPr>
        <w:t xml:space="preserve"> evaluated trough the use of the presented protocol</w:t>
      </w:r>
      <w:r w:rsidR="00B37FEE" w:rsidRPr="00FC3FDB">
        <w:rPr>
          <w:rFonts w:ascii="Times New Roman" w:eastAsia="MS PGothic" w:hAnsi="Times New Roman"/>
          <w:lang w:val="en-US"/>
        </w:rPr>
        <w:t xml:space="preserve"> are </w:t>
      </w:r>
      <w:r w:rsidR="00385D3D">
        <w:rPr>
          <w:rFonts w:ascii="Times New Roman" w:eastAsia="MS PGothic" w:hAnsi="Times New Roman"/>
          <w:lang w:val="en-US"/>
        </w:rPr>
        <w:t>in very good agreement with</w:t>
      </w:r>
      <w:r>
        <w:rPr>
          <w:rFonts w:ascii="Times New Roman" w:eastAsia="MS PGothic" w:hAnsi="Times New Roman"/>
          <w:lang w:val="en-US"/>
        </w:rPr>
        <w:t xml:space="preserve"> the results </w:t>
      </w:r>
      <w:r w:rsidR="00385D3D">
        <w:rPr>
          <w:rFonts w:ascii="Times New Roman" w:eastAsia="MS PGothic" w:hAnsi="Times New Roman"/>
          <w:lang w:val="en-US"/>
        </w:rPr>
        <w:t>provided by CO oxidation</w:t>
      </w:r>
      <w:r w:rsidR="00B37FEE" w:rsidRPr="00FC3FDB">
        <w:rPr>
          <w:rFonts w:ascii="Times New Roman" w:eastAsia="MS PGothic" w:hAnsi="Times New Roman"/>
          <w:lang w:val="en-US"/>
        </w:rPr>
        <w:t xml:space="preserve">. A parametric </w:t>
      </w:r>
      <w:r w:rsidR="00385D3D">
        <w:rPr>
          <w:rFonts w:ascii="Times New Roman" w:eastAsia="MS PGothic" w:hAnsi="Times New Roman"/>
          <w:lang w:val="en-US"/>
        </w:rPr>
        <w:t>i</w:t>
      </w:r>
      <w:r w:rsidR="00B37FEE" w:rsidRPr="00FC3FDB">
        <w:rPr>
          <w:rFonts w:ascii="Times New Roman" w:eastAsia="MS PGothic" w:hAnsi="Times New Roman"/>
          <w:lang w:val="en-US"/>
        </w:rPr>
        <w:t>nvestigation of mass transfer properties in POCS structures is currently ongoing.</w:t>
      </w:r>
    </w:p>
    <w:p w14:paraId="321363DB" w14:textId="32195CBE" w:rsidR="00DA51A3" w:rsidRPr="00466FFD" w:rsidRDefault="00074E9A" w:rsidP="00DA51A3">
      <w:pPr>
        <w:snapToGrid w:val="0"/>
        <w:spacing w:after="120"/>
        <w:jc w:val="center"/>
        <w:rPr>
          <w:rFonts w:ascii="Times New Roman" w:eastAsia="MS PGothic" w:hAnsi="Times New Roman"/>
        </w:rPr>
      </w:pPr>
      <w:r>
        <w:rPr>
          <w:noProof/>
          <w:highlight w:val="yellow"/>
        </w:rPr>
        <w:drawing>
          <wp:inline distT="0" distB="0" distL="0" distR="0" wp14:anchorId="1207C48F" wp14:editId="64B2CEFB">
            <wp:extent cx="5677614" cy="1951567"/>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0" y="0"/>
                      <a:ext cx="5716675" cy="1964993"/>
                    </a:xfrm>
                    <a:prstGeom prst="rect">
                      <a:avLst/>
                    </a:prstGeom>
                    <a:noFill/>
                    <a:ln>
                      <a:noFill/>
                    </a:ln>
                  </pic:spPr>
                </pic:pic>
              </a:graphicData>
            </a:graphic>
          </wp:inline>
        </w:drawing>
      </w:r>
    </w:p>
    <w:p w14:paraId="2CEA8973" w14:textId="310008FD" w:rsidR="00DA51A3" w:rsidRPr="00385D3D" w:rsidRDefault="00DA51A3" w:rsidP="00385D3D">
      <w:pPr>
        <w:snapToGrid w:val="0"/>
        <w:spacing w:after="120"/>
        <w:ind w:left="851" w:right="849"/>
        <w:jc w:val="center"/>
        <w:rPr>
          <w:rFonts w:ascii="Times New Roman" w:eastAsia="MS PGothic" w:hAnsi="Times New Roman"/>
          <w:sz w:val="18"/>
          <w:szCs w:val="14"/>
          <w:lang w:val="en-US"/>
        </w:rPr>
      </w:pPr>
      <w:r w:rsidRPr="00385D3D">
        <w:rPr>
          <w:rFonts w:ascii="Times New Roman" w:eastAsia="MS PGothic" w:hAnsi="Times New Roman"/>
          <w:b/>
          <w:sz w:val="18"/>
          <w:szCs w:val="14"/>
          <w:lang w:val="en-US"/>
        </w:rPr>
        <w:t>Figure 1</w:t>
      </w:r>
      <w:r w:rsidRPr="00385D3D">
        <w:rPr>
          <w:rFonts w:ascii="Times New Roman" w:eastAsia="MS PGothic" w:hAnsi="Times New Roman"/>
          <w:b/>
          <w:sz w:val="18"/>
          <w:szCs w:val="14"/>
          <w:lang w:val="en-US" w:eastAsia="ko-KR"/>
        </w:rPr>
        <w:t>.</w:t>
      </w:r>
      <w:r w:rsidRPr="00385D3D">
        <w:rPr>
          <w:rFonts w:ascii="Times New Roman" w:eastAsia="MS PGothic" w:hAnsi="Times New Roman"/>
          <w:sz w:val="18"/>
          <w:szCs w:val="14"/>
          <w:lang w:val="en-US"/>
        </w:rPr>
        <w:t xml:space="preserve"> </w:t>
      </w:r>
      <w:r w:rsidRPr="00385D3D">
        <w:rPr>
          <w:rFonts w:ascii="Times New Roman" w:hAnsi="Times New Roman"/>
          <w:sz w:val="18"/>
          <w:szCs w:val="18"/>
          <w:lang w:val="en-US"/>
        </w:rPr>
        <w:t xml:space="preserve"> </w:t>
      </w:r>
      <w:r w:rsidR="00385D3D" w:rsidRPr="00385D3D">
        <w:rPr>
          <w:rFonts w:ascii="Times New Roman" w:eastAsia="MS PGothic" w:hAnsi="Times New Roman"/>
          <w:sz w:val="18"/>
          <w:szCs w:val="14"/>
          <w:lang w:val="en-US"/>
        </w:rPr>
        <w:t>Limiting reactant conversion for CO and H</w:t>
      </w:r>
      <w:r w:rsidR="00385D3D" w:rsidRPr="00385D3D">
        <w:rPr>
          <w:rFonts w:ascii="Times New Roman" w:eastAsia="MS PGothic" w:hAnsi="Times New Roman"/>
          <w:sz w:val="18"/>
          <w:szCs w:val="14"/>
          <w:vertAlign w:val="subscript"/>
          <w:lang w:val="en-US"/>
        </w:rPr>
        <w:t>2</w:t>
      </w:r>
      <w:r w:rsidR="00385D3D" w:rsidRPr="00385D3D">
        <w:rPr>
          <w:rFonts w:ascii="Times New Roman" w:eastAsia="MS PGothic" w:hAnsi="Times New Roman"/>
          <w:sz w:val="18"/>
          <w:szCs w:val="14"/>
          <w:lang w:val="en-US"/>
        </w:rPr>
        <w:t xml:space="preserve"> oxidation. Q = 3 l/min (STP), (A) and ε</w:t>
      </w:r>
      <w:r w:rsidR="00385D3D" w:rsidRPr="00385D3D">
        <w:rPr>
          <w:rFonts w:ascii="Times New Roman" w:eastAsia="MS PGothic" w:hAnsi="Times New Roman"/>
          <w:sz w:val="18"/>
          <w:szCs w:val="14"/>
          <w:vertAlign w:val="superscript"/>
          <w:lang w:val="en-US"/>
        </w:rPr>
        <w:t>1.5</w:t>
      </w:r>
      <w:r w:rsidR="00385D3D" w:rsidRPr="00385D3D">
        <w:rPr>
          <w:rFonts w:ascii="Times New Roman" w:eastAsia="MS PGothic" w:hAnsi="Times New Roman"/>
          <w:sz w:val="18"/>
          <w:szCs w:val="14"/>
          <w:lang w:val="en-US"/>
        </w:rPr>
        <w:t>ShSc</w:t>
      </w:r>
      <w:r w:rsidR="00385D3D" w:rsidRPr="00385D3D">
        <w:rPr>
          <w:rFonts w:ascii="Times New Roman" w:eastAsia="MS PGothic" w:hAnsi="Times New Roman"/>
          <w:sz w:val="18"/>
          <w:szCs w:val="14"/>
          <w:vertAlign w:val="superscript"/>
          <w:lang w:val="en-US"/>
        </w:rPr>
        <w:t>-1/3</w:t>
      </w:r>
      <w:r w:rsidR="00385D3D" w:rsidRPr="00385D3D">
        <w:rPr>
          <w:rFonts w:ascii="Times New Roman" w:eastAsia="MS PGothic" w:hAnsi="Times New Roman"/>
          <w:sz w:val="18"/>
          <w:szCs w:val="14"/>
          <w:lang w:val="en-US"/>
        </w:rPr>
        <w:t xml:space="preserve"> vs. Re for TKKD POCS: cell diameter = 2.5mm, ε = 0.90 (B)</w:t>
      </w:r>
    </w:p>
    <w:p w14:paraId="0DE817AB" w14:textId="77777777" w:rsidR="00DA51A3" w:rsidRPr="00466FFD" w:rsidRDefault="00DA51A3" w:rsidP="00DA51A3">
      <w:pPr>
        <w:snapToGrid w:val="0"/>
        <w:spacing w:before="240" w:line="300" w:lineRule="auto"/>
        <w:rPr>
          <w:rFonts w:ascii="Times New Roman" w:eastAsia="MS PGothic" w:hAnsi="Times New Roman"/>
          <w:lang w:val="en-US" w:eastAsia="ko-KR"/>
        </w:rPr>
      </w:pPr>
      <w:r w:rsidRPr="00466FFD">
        <w:rPr>
          <w:rFonts w:ascii="Times New Roman" w:eastAsia="MS PGothic" w:hAnsi="Times New Roman"/>
          <w:b/>
          <w:bCs/>
          <w:lang w:val="en-US"/>
        </w:rPr>
        <w:t>4. Conclusion</w:t>
      </w:r>
      <w:r w:rsidRPr="00466FFD">
        <w:rPr>
          <w:rFonts w:ascii="Times New Roman" w:eastAsia="MS PGothic" w:hAnsi="Times New Roman"/>
          <w:b/>
          <w:bCs/>
          <w:lang w:val="en-US" w:eastAsia="ko-KR"/>
        </w:rPr>
        <w:t>s</w:t>
      </w:r>
    </w:p>
    <w:p w14:paraId="76036876" w14:textId="77777777" w:rsidR="003A6632" w:rsidRDefault="003A6632" w:rsidP="003A6632">
      <w:pPr>
        <w:snapToGrid w:val="0"/>
        <w:spacing w:before="240" w:line="300" w:lineRule="auto"/>
        <w:jc w:val="both"/>
        <w:rPr>
          <w:rFonts w:ascii="Times New Roman" w:eastAsia="MS PGothic" w:hAnsi="Times New Roman"/>
          <w:lang w:val="en-US"/>
        </w:rPr>
      </w:pPr>
      <w:r w:rsidRPr="003A6632">
        <w:rPr>
          <w:rFonts w:ascii="Times New Roman" w:eastAsia="MS PGothic" w:hAnsi="Times New Roman"/>
          <w:lang w:val="en-US"/>
        </w:rPr>
        <w:t xml:space="preserve">A novel experimental protocol has been developed to allow accurate, fast and low-cost screening of complex 3D cellular substrates through the use </w:t>
      </w:r>
      <w:proofErr w:type="gramStart"/>
      <w:r w:rsidRPr="003A6632">
        <w:rPr>
          <w:rFonts w:ascii="Times New Roman" w:eastAsia="MS PGothic" w:hAnsi="Times New Roman"/>
          <w:lang w:val="en-US"/>
        </w:rPr>
        <w:t>of:</w:t>
      </w:r>
      <w:proofErr w:type="gramEnd"/>
      <w:r w:rsidRPr="003A6632">
        <w:rPr>
          <w:rFonts w:ascii="Times New Roman" w:eastAsia="MS PGothic" w:hAnsi="Times New Roman"/>
          <w:lang w:val="en-US"/>
        </w:rPr>
        <w:t xml:space="preserve"> </w:t>
      </w:r>
      <w:proofErr w:type="spellStart"/>
      <w:r w:rsidRPr="003A6632">
        <w:rPr>
          <w:rFonts w:ascii="Times New Roman" w:eastAsia="MS PGothic" w:hAnsi="Times New Roman"/>
          <w:lang w:val="en-US"/>
        </w:rPr>
        <w:t>i</w:t>
      </w:r>
      <w:proofErr w:type="spellEnd"/>
      <w:r w:rsidRPr="003A6632">
        <w:rPr>
          <w:rFonts w:ascii="Times New Roman" w:eastAsia="MS PGothic" w:hAnsi="Times New Roman"/>
          <w:lang w:val="en-US"/>
        </w:rPr>
        <w:t>) HT resin for the manufacturing of 3D printed catalyst supports, and ii) rich H</w:t>
      </w:r>
      <w:r w:rsidRPr="003A6632">
        <w:rPr>
          <w:rFonts w:ascii="Times New Roman" w:eastAsia="MS PGothic" w:hAnsi="Times New Roman"/>
          <w:vertAlign w:val="subscript"/>
          <w:lang w:val="en-US"/>
        </w:rPr>
        <w:t>2</w:t>
      </w:r>
      <w:r w:rsidRPr="003A6632">
        <w:rPr>
          <w:rFonts w:ascii="Times New Roman" w:eastAsia="MS PGothic" w:hAnsi="Times New Roman"/>
          <w:lang w:val="en-US"/>
        </w:rPr>
        <w:t xml:space="preserve"> oxidation as the test reaction.</w:t>
      </w:r>
    </w:p>
    <w:p w14:paraId="1845F659" w14:textId="62F67D56" w:rsidR="00DA51A3" w:rsidRPr="003A6632" w:rsidRDefault="003A6632" w:rsidP="003A6632">
      <w:pPr>
        <w:snapToGrid w:val="0"/>
        <w:spacing w:before="240" w:line="300" w:lineRule="auto"/>
        <w:jc w:val="both"/>
        <w:rPr>
          <w:rFonts w:ascii="Times New Roman" w:eastAsia="SimSun" w:hAnsi="Times New Roman"/>
          <w:b/>
          <w:bCs/>
          <w:lang w:val="en-US" w:eastAsia="zh-CN"/>
        </w:rPr>
      </w:pPr>
      <w:r>
        <w:rPr>
          <w:rFonts w:ascii="Times New Roman" w:eastAsia="MS PGothic" w:hAnsi="Times New Roman"/>
          <w:b/>
          <w:bCs/>
          <w:lang w:val="en-US"/>
        </w:rPr>
        <w:t xml:space="preserve">5. </w:t>
      </w:r>
      <w:r w:rsidR="00DA51A3" w:rsidRPr="003A6632">
        <w:rPr>
          <w:rFonts w:ascii="Times New Roman" w:eastAsia="MS PGothic" w:hAnsi="Times New Roman"/>
          <w:b/>
          <w:bCs/>
          <w:lang w:val="en-US"/>
        </w:rPr>
        <w:t>References</w:t>
      </w:r>
    </w:p>
    <w:p w14:paraId="20D1A14A" w14:textId="77777777" w:rsidR="003A6632" w:rsidRPr="003A6632" w:rsidRDefault="003A6632" w:rsidP="003A6632">
      <w:pPr>
        <w:pStyle w:val="FirstParagraph"/>
        <w:numPr>
          <w:ilvl w:val="0"/>
          <w:numId w:val="1"/>
        </w:numPr>
        <w:tabs>
          <w:tab w:val="left" w:pos="426"/>
        </w:tabs>
        <w:spacing w:line="240" w:lineRule="auto"/>
        <w:rPr>
          <w:rFonts w:ascii="Times New Roman" w:hAnsi="Times New Roman"/>
        </w:rPr>
      </w:pPr>
      <w:proofErr w:type="spellStart"/>
      <w:r w:rsidRPr="003A6632">
        <w:rPr>
          <w:rFonts w:ascii="Times New Roman" w:hAnsi="Times New Roman"/>
        </w:rPr>
        <w:t>Busse</w:t>
      </w:r>
      <w:proofErr w:type="spellEnd"/>
      <w:r w:rsidRPr="003A6632">
        <w:rPr>
          <w:rFonts w:ascii="Times New Roman" w:hAnsi="Times New Roman"/>
        </w:rPr>
        <w:t xml:space="preserve"> C., et al., Chem. Eng. Process., (2018), 124, 199</w:t>
      </w:r>
    </w:p>
    <w:p w14:paraId="2525627C" w14:textId="77777777" w:rsidR="003A6632" w:rsidRPr="003A6632" w:rsidRDefault="003A6632" w:rsidP="003A6632">
      <w:pPr>
        <w:pStyle w:val="FirstParagraph"/>
        <w:numPr>
          <w:ilvl w:val="0"/>
          <w:numId w:val="1"/>
        </w:numPr>
        <w:tabs>
          <w:tab w:val="left" w:pos="426"/>
        </w:tabs>
        <w:spacing w:line="240" w:lineRule="auto"/>
        <w:rPr>
          <w:rFonts w:ascii="Times New Roman" w:hAnsi="Times New Roman"/>
        </w:rPr>
      </w:pPr>
      <w:proofErr w:type="spellStart"/>
      <w:r w:rsidRPr="003A6632">
        <w:rPr>
          <w:rFonts w:ascii="Times New Roman" w:hAnsi="Times New Roman"/>
        </w:rPr>
        <w:t>Groppi</w:t>
      </w:r>
      <w:proofErr w:type="spellEnd"/>
      <w:r w:rsidRPr="003A6632">
        <w:rPr>
          <w:rFonts w:ascii="Times New Roman" w:hAnsi="Times New Roman"/>
        </w:rPr>
        <w:t xml:space="preserve"> G., et al., Ind. Eng. Chem. Res., (2007), 46, 3955</w:t>
      </w:r>
    </w:p>
    <w:p w14:paraId="263FF748" w14:textId="77777777" w:rsidR="003A6632" w:rsidRPr="003A6632" w:rsidRDefault="003A6632" w:rsidP="003A6632">
      <w:pPr>
        <w:pStyle w:val="FirstParagraph"/>
        <w:numPr>
          <w:ilvl w:val="0"/>
          <w:numId w:val="1"/>
        </w:numPr>
        <w:tabs>
          <w:tab w:val="left" w:pos="426"/>
        </w:tabs>
        <w:spacing w:line="240" w:lineRule="auto"/>
        <w:rPr>
          <w:rFonts w:ascii="Times New Roman" w:hAnsi="Times New Roman"/>
        </w:rPr>
      </w:pPr>
      <w:r w:rsidRPr="003A6632">
        <w:rPr>
          <w:rFonts w:ascii="Times New Roman" w:hAnsi="Times New Roman"/>
        </w:rPr>
        <w:t xml:space="preserve">Ullah U., and </w:t>
      </w:r>
      <w:proofErr w:type="spellStart"/>
      <w:r w:rsidRPr="003A6632">
        <w:rPr>
          <w:rFonts w:ascii="Times New Roman" w:hAnsi="Times New Roman"/>
        </w:rPr>
        <w:t>Waldram</w:t>
      </w:r>
      <w:proofErr w:type="spellEnd"/>
      <w:r w:rsidRPr="003A6632">
        <w:rPr>
          <w:rFonts w:ascii="Times New Roman" w:hAnsi="Times New Roman"/>
        </w:rPr>
        <w:t xml:space="preserve"> S.P., Chem. Eng. Sci., (1992), 47, 2413</w:t>
      </w:r>
    </w:p>
    <w:p w14:paraId="5A650773" w14:textId="0904A17E" w:rsidR="005B71B2" w:rsidRPr="003A6632" w:rsidRDefault="003A6632" w:rsidP="003A6632">
      <w:pPr>
        <w:pStyle w:val="FirstParagraph"/>
        <w:numPr>
          <w:ilvl w:val="0"/>
          <w:numId w:val="1"/>
        </w:numPr>
        <w:tabs>
          <w:tab w:val="left" w:pos="426"/>
        </w:tabs>
        <w:spacing w:line="240" w:lineRule="auto"/>
        <w:rPr>
          <w:rFonts w:ascii="Times New Roman" w:hAnsi="Times New Roman"/>
        </w:rPr>
      </w:pPr>
      <w:proofErr w:type="spellStart"/>
      <w:r w:rsidRPr="003A6632">
        <w:rPr>
          <w:rFonts w:ascii="Times New Roman" w:hAnsi="Times New Roman"/>
        </w:rPr>
        <w:t>Bracconi</w:t>
      </w:r>
      <w:proofErr w:type="spellEnd"/>
      <w:r w:rsidRPr="003A6632">
        <w:rPr>
          <w:rFonts w:ascii="Times New Roman" w:hAnsi="Times New Roman"/>
        </w:rPr>
        <w:t xml:space="preserve"> M., et al., Chem Eng. J., (2018), 352, 558</w:t>
      </w:r>
    </w:p>
    <w:sectPr w:rsidR="005B71B2" w:rsidRPr="003A6632" w:rsidSect="001D0E0C">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68D18" w14:textId="77777777" w:rsidR="00861DA7" w:rsidRDefault="00861DA7" w:rsidP="001D0E0C">
      <w:pPr>
        <w:spacing w:after="0" w:line="240" w:lineRule="auto"/>
      </w:pPr>
      <w:r>
        <w:separator/>
      </w:r>
    </w:p>
  </w:endnote>
  <w:endnote w:type="continuationSeparator" w:id="0">
    <w:p w14:paraId="6C9C1B72" w14:textId="77777777" w:rsidR="00861DA7" w:rsidRDefault="00861DA7" w:rsidP="001D0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DB03" w14:textId="77777777" w:rsidR="005C2A12" w:rsidRDefault="005C2A1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72D2" w14:textId="77777777" w:rsidR="005C2A12" w:rsidRDefault="005C2A1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2FF87" w14:textId="77777777" w:rsidR="005C2A12" w:rsidRDefault="005C2A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FF7A1" w14:textId="77777777" w:rsidR="00861DA7" w:rsidRDefault="00861DA7" w:rsidP="001D0E0C">
      <w:pPr>
        <w:spacing w:after="0" w:line="240" w:lineRule="auto"/>
      </w:pPr>
      <w:r>
        <w:separator/>
      </w:r>
    </w:p>
  </w:footnote>
  <w:footnote w:type="continuationSeparator" w:id="0">
    <w:p w14:paraId="4583B939" w14:textId="77777777" w:rsidR="00861DA7" w:rsidRDefault="00861DA7" w:rsidP="001D0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D8880" w14:textId="77777777" w:rsidR="005C2A12" w:rsidRDefault="005C2A1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BBF7" w14:textId="24434349" w:rsidR="001D0E0C" w:rsidRPr="001B060D" w:rsidRDefault="001B060D" w:rsidP="001B060D">
    <w:pPr>
      <w:pStyle w:val="Intestazione"/>
      <w:jc w:val="center"/>
    </w:pPr>
    <w:r w:rsidRPr="005C2A12">
      <w:rPr>
        <w:b/>
        <w:i/>
        <w:color w:val="2E74B5" w:themeColor="accent5" w:themeShade="BF"/>
        <w:sz w:val="24"/>
        <w:szCs w:val="24"/>
      </w:rPr>
      <w:t>GRICU 2022, Ischia, (</w:t>
    </w:r>
    <w:proofErr w:type="spellStart"/>
    <w:r w:rsidRPr="005C2A12">
      <w:rPr>
        <w:b/>
        <w:i/>
        <w:color w:val="2E74B5" w:themeColor="accent5" w:themeShade="BF"/>
        <w:sz w:val="24"/>
        <w:szCs w:val="24"/>
      </w:rPr>
      <w:t>Italy</w:t>
    </w:r>
    <w:proofErr w:type="spellEnd"/>
    <w:r w:rsidRPr="005C2A12">
      <w:rPr>
        <w:b/>
        <w:i/>
        <w:color w:val="2E74B5" w:themeColor="accent5" w:themeShade="BF"/>
        <w:sz w:val="24"/>
        <w:szCs w:val="24"/>
      </w:rPr>
      <w:t xml:space="preserve">), </w:t>
    </w:r>
    <w:proofErr w:type="spellStart"/>
    <w:r w:rsidRPr="005C2A12">
      <w:rPr>
        <w:b/>
        <w:i/>
        <w:color w:val="2E74B5" w:themeColor="accent5" w:themeShade="BF"/>
        <w:sz w:val="24"/>
        <w:szCs w:val="24"/>
      </w:rPr>
      <w:t>July</w:t>
    </w:r>
    <w:proofErr w:type="spellEnd"/>
    <w:r w:rsidRPr="005C2A12">
      <w:rPr>
        <w:b/>
        <w:i/>
        <w:color w:val="2E74B5" w:themeColor="accent5" w:themeShade="BF"/>
        <w:sz w:val="24"/>
        <w:szCs w:val="24"/>
      </w:rPr>
      <w:t xml:space="preserve"> 3-6,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5D5F" w14:textId="292CCFE8" w:rsidR="001D0E0C" w:rsidRDefault="00F24290" w:rsidP="000517B4">
    <w:pPr>
      <w:pStyle w:val="Intestazione"/>
      <w:tabs>
        <w:tab w:val="left" w:pos="1188"/>
      </w:tabs>
      <w:jc w:val="center"/>
      <w:rPr>
        <w:b/>
        <w:i/>
        <w:color w:val="2E74B5" w:themeColor="accent5" w:themeShade="BF"/>
        <w:sz w:val="24"/>
        <w:szCs w:val="24"/>
      </w:rPr>
    </w:pPr>
    <w:r>
      <w:rPr>
        <w:b/>
        <w:i/>
        <w:noProof/>
        <w:color w:val="2E74B5" w:themeColor="accent5" w:themeShade="BF"/>
        <w:sz w:val="24"/>
        <w:szCs w:val="24"/>
      </w:rPr>
      <w:drawing>
        <wp:anchor distT="0" distB="0" distL="114300" distR="114300" simplePos="0" relativeHeight="251660288" behindDoc="0" locked="0" layoutInCell="1" allowOverlap="1" wp14:anchorId="5A213143" wp14:editId="773337C5">
          <wp:simplePos x="0" y="0"/>
          <wp:positionH relativeFrom="column">
            <wp:posOffset>614128</wp:posOffset>
          </wp:positionH>
          <wp:positionV relativeFrom="paragraph">
            <wp:posOffset>-170180</wp:posOffset>
          </wp:positionV>
          <wp:extent cx="1494000" cy="529200"/>
          <wp:effectExtent l="0" t="0" r="5080" b="444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pped-LOGO_GRICU.jpg"/>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494000" cy="529200"/>
                  </a:xfrm>
                  <a:prstGeom prst="rect">
                    <a:avLst/>
                  </a:prstGeom>
                </pic:spPr>
              </pic:pic>
            </a:graphicData>
          </a:graphic>
          <wp14:sizeRelH relativeFrom="margin">
            <wp14:pctWidth>0</wp14:pctWidth>
          </wp14:sizeRelH>
          <wp14:sizeRelV relativeFrom="margin">
            <wp14:pctHeight>0</wp14:pctHeight>
          </wp14:sizeRelV>
        </wp:anchor>
      </w:drawing>
    </w:r>
    <w:r>
      <w:rPr>
        <w:b/>
        <w:i/>
        <w:color w:val="2E74B5" w:themeColor="accent5" w:themeShade="BF"/>
        <w:sz w:val="24"/>
        <w:szCs w:val="24"/>
      </w:rPr>
      <w:t xml:space="preserve"> </w:t>
    </w:r>
    <w:r w:rsidR="008871B1">
      <w:rPr>
        <w:b/>
        <w:i/>
        <w:color w:val="2E74B5" w:themeColor="accent5" w:themeShade="BF"/>
        <w:sz w:val="24"/>
        <w:szCs w:val="24"/>
      </w:rPr>
      <w:tab/>
    </w:r>
    <w:r w:rsidR="000517B4" w:rsidRPr="005C2A12">
      <w:rPr>
        <w:b/>
        <w:i/>
        <w:color w:val="2E74B5" w:themeColor="accent5" w:themeShade="BF"/>
        <w:sz w:val="24"/>
        <w:szCs w:val="24"/>
      </w:rPr>
      <w:t>GRICU 2022, Ischia, (</w:t>
    </w:r>
    <w:proofErr w:type="spellStart"/>
    <w:r w:rsidR="000517B4" w:rsidRPr="005C2A12">
      <w:rPr>
        <w:b/>
        <w:i/>
        <w:color w:val="2E74B5" w:themeColor="accent5" w:themeShade="BF"/>
        <w:sz w:val="24"/>
        <w:szCs w:val="24"/>
      </w:rPr>
      <w:t>Italy</w:t>
    </w:r>
    <w:proofErr w:type="spellEnd"/>
    <w:r w:rsidR="000517B4" w:rsidRPr="005C2A12">
      <w:rPr>
        <w:b/>
        <w:i/>
        <w:color w:val="2E74B5" w:themeColor="accent5" w:themeShade="BF"/>
        <w:sz w:val="24"/>
        <w:szCs w:val="24"/>
      </w:rPr>
      <w:t xml:space="preserve">), </w:t>
    </w:r>
    <w:proofErr w:type="spellStart"/>
    <w:r w:rsidR="000517B4" w:rsidRPr="005C2A12">
      <w:rPr>
        <w:b/>
        <w:i/>
        <w:color w:val="2E74B5" w:themeColor="accent5" w:themeShade="BF"/>
        <w:sz w:val="24"/>
        <w:szCs w:val="24"/>
      </w:rPr>
      <w:t>July</w:t>
    </w:r>
    <w:proofErr w:type="spellEnd"/>
    <w:r w:rsidR="000517B4" w:rsidRPr="005C2A12">
      <w:rPr>
        <w:b/>
        <w:i/>
        <w:color w:val="2E74B5" w:themeColor="accent5" w:themeShade="BF"/>
        <w:sz w:val="24"/>
        <w:szCs w:val="24"/>
      </w:rPr>
      <w:t xml:space="preserve"> 3-6, 2022</w:t>
    </w:r>
  </w:p>
  <w:p w14:paraId="14E4AC61" w14:textId="77777777" w:rsidR="008871B1" w:rsidRPr="005C2A12" w:rsidRDefault="008871B1" w:rsidP="000517B4">
    <w:pPr>
      <w:pStyle w:val="Intestazione"/>
      <w:tabs>
        <w:tab w:val="left" w:pos="1188"/>
      </w:tabs>
      <w:jc w:val="center"/>
      <w:rPr>
        <w:b/>
        <w:i/>
        <w:color w:val="2E74B5" w:themeColor="accent5" w:themeShade="BF"/>
        <w:sz w:val="24"/>
        <w:szCs w:val="24"/>
      </w:rPr>
    </w:pPr>
  </w:p>
  <w:p w14:paraId="2DF8C760" w14:textId="77777777" w:rsidR="001D0E0C" w:rsidRDefault="000517B4" w:rsidP="001D0E0C">
    <w:pPr>
      <w:pStyle w:val="Intestazione"/>
      <w:jc w:val="center"/>
    </w:pPr>
    <w:r w:rsidRPr="005C2A12">
      <w:rPr>
        <w:noProof/>
        <w:color w:val="00B0F0"/>
      </w:rPr>
      <mc:AlternateContent>
        <mc:Choice Requires="wps">
          <w:drawing>
            <wp:anchor distT="0" distB="0" distL="114300" distR="114300" simplePos="0" relativeHeight="251659264" behindDoc="0" locked="0" layoutInCell="1" allowOverlap="1" wp14:anchorId="2FAF1E66" wp14:editId="6C2DECB8">
              <wp:simplePos x="0" y="0"/>
              <wp:positionH relativeFrom="column">
                <wp:posOffset>57150</wp:posOffset>
              </wp:positionH>
              <wp:positionV relativeFrom="paragraph">
                <wp:posOffset>103505</wp:posOffset>
              </wp:positionV>
              <wp:extent cx="5631180" cy="7620"/>
              <wp:effectExtent l="0" t="0" r="26670" b="30480"/>
              <wp:wrapNone/>
              <wp:docPr id="1" name="Connettore diritto 1"/>
              <wp:cNvGraphicFramePr/>
              <a:graphic xmlns:a="http://schemas.openxmlformats.org/drawingml/2006/main">
                <a:graphicData uri="http://schemas.microsoft.com/office/word/2010/wordprocessingShape">
                  <wps:wsp>
                    <wps:cNvCnPr/>
                    <wps:spPr>
                      <a:xfrm>
                        <a:off x="0" y="0"/>
                        <a:ext cx="5631180" cy="7620"/>
                      </a:xfrm>
                      <a:prstGeom prst="line">
                        <a:avLst/>
                      </a:prstGeom>
                      <a:ln>
                        <a:solidFill>
                          <a:srgbClr val="0070C0"/>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DD1064" id="Connettore dirit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8.15pt" to="447.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" strokecolor="#0070c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7BCA455E"/>
    <w:multiLevelType w:val="hybridMultilevel"/>
    <w:tmpl w:val="D8BA0C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A3"/>
    <w:rsid w:val="000517B4"/>
    <w:rsid w:val="00074E9A"/>
    <w:rsid w:val="0018667F"/>
    <w:rsid w:val="001910CC"/>
    <w:rsid w:val="001B060D"/>
    <w:rsid w:val="001D0E0C"/>
    <w:rsid w:val="002F1A4E"/>
    <w:rsid w:val="00385D3D"/>
    <w:rsid w:val="003A6632"/>
    <w:rsid w:val="003F160A"/>
    <w:rsid w:val="00402674"/>
    <w:rsid w:val="004C56B4"/>
    <w:rsid w:val="005B71B2"/>
    <w:rsid w:val="005C2A12"/>
    <w:rsid w:val="00673E84"/>
    <w:rsid w:val="00697CD6"/>
    <w:rsid w:val="00816C24"/>
    <w:rsid w:val="00861DA7"/>
    <w:rsid w:val="008871B1"/>
    <w:rsid w:val="00AB1801"/>
    <w:rsid w:val="00B37FEE"/>
    <w:rsid w:val="00C40840"/>
    <w:rsid w:val="00D03DB3"/>
    <w:rsid w:val="00D322F1"/>
    <w:rsid w:val="00D412A9"/>
    <w:rsid w:val="00DA51A3"/>
    <w:rsid w:val="00DD2D8C"/>
    <w:rsid w:val="00F24290"/>
    <w:rsid w:val="00FA2F39"/>
    <w:rsid w:val="00FC3FDB"/>
    <w:rsid w:val="00FE6A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A12EF"/>
  <w15:chartTrackingRefBased/>
  <w15:docId w15:val="{703246FC-8267-4F37-8037-AA1D01B4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51A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irstParagraph">
    <w:name w:val="First Paragraph"/>
    <w:basedOn w:val="Normale"/>
    <w:rsid w:val="00DA51A3"/>
    <w:pPr>
      <w:spacing w:after="0" w:line="240" w:lineRule="atLeast"/>
      <w:jc w:val="both"/>
    </w:pPr>
    <w:rPr>
      <w:rFonts w:ascii="Times" w:eastAsia="Times New Roman" w:hAnsi="Times" w:cs="Times New Roman"/>
      <w:sz w:val="20"/>
      <w:szCs w:val="20"/>
      <w:lang w:val="en-US"/>
    </w:rPr>
  </w:style>
  <w:style w:type="paragraph" w:styleId="Intestazione">
    <w:name w:val="header"/>
    <w:basedOn w:val="Normale"/>
    <w:link w:val="IntestazioneCarattere"/>
    <w:uiPriority w:val="99"/>
    <w:unhideWhenUsed/>
    <w:rsid w:val="001D0E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D0E0C"/>
  </w:style>
  <w:style w:type="paragraph" w:styleId="Pidipagina">
    <w:name w:val="footer"/>
    <w:basedOn w:val="Normale"/>
    <w:link w:val="PidipaginaCarattere"/>
    <w:uiPriority w:val="99"/>
    <w:unhideWhenUsed/>
    <w:rsid w:val="001D0E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0E0C"/>
  </w:style>
  <w:style w:type="paragraph" w:styleId="Testofumetto">
    <w:name w:val="Balloon Text"/>
    <w:basedOn w:val="Normale"/>
    <w:link w:val="TestofumettoCarattere"/>
    <w:uiPriority w:val="99"/>
    <w:semiHidden/>
    <w:unhideWhenUsed/>
    <w:rsid w:val="003F160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F160A"/>
    <w:rPr>
      <w:rFonts w:ascii="Segoe UI" w:hAnsi="Segoe UI" w:cs="Segoe UI"/>
      <w:sz w:val="18"/>
      <w:szCs w:val="18"/>
    </w:rPr>
  </w:style>
  <w:style w:type="paragraph" w:styleId="Paragrafoelenco">
    <w:name w:val="List Paragraph"/>
    <w:basedOn w:val="Normale"/>
    <w:uiPriority w:val="34"/>
    <w:qFormat/>
    <w:rsid w:val="003A6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721</Words>
  <Characters>4112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Sauro Pierucci</dc:creator>
  <cp:keywords/>
  <dc:description/>
  <cp:lastModifiedBy>Federico, Sascha Franchi</cp:lastModifiedBy>
  <cp:revision>6</cp:revision>
  <cp:lastPrinted>2022-01-31T11:56:00Z</cp:lastPrinted>
  <dcterms:created xsi:type="dcterms:W3CDTF">2022-02-01T10:57:00Z</dcterms:created>
  <dcterms:modified xsi:type="dcterms:W3CDTF">2022-03-16T09:46:00Z</dcterms:modified>
</cp:coreProperties>
</file>