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55E4" w14:textId="11C0FEB1" w:rsidR="009A5BF6" w:rsidRDefault="00E82DA1" w:rsidP="009A5BF6">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 </w:t>
      </w:r>
      <w:r w:rsidR="009A5BF6">
        <w:rPr>
          <w:rFonts w:ascii="Times New Roman" w:eastAsia="MS PGothic" w:hAnsi="Times New Roman"/>
          <w:b/>
          <w:bCs/>
          <w:sz w:val="24"/>
          <w:szCs w:val="24"/>
          <w:lang w:val="en-US"/>
        </w:rPr>
        <w:t>Production of acidic and alkaline solutions via Electrodialysis with bipolar membranes from synthetic and real brines from saltworks</w:t>
      </w:r>
    </w:p>
    <w:p w14:paraId="718DF94C" w14:textId="77777777" w:rsidR="009A5BF6" w:rsidRDefault="009A5BF6" w:rsidP="009A5BF6">
      <w:pPr>
        <w:snapToGrid w:val="0"/>
        <w:jc w:val="center"/>
        <w:rPr>
          <w:rFonts w:ascii="Times New Roman" w:eastAsia="MS PGothic" w:hAnsi="Times New Roman"/>
          <w:b/>
          <w:bCs/>
          <w:sz w:val="24"/>
          <w:szCs w:val="24"/>
          <w:lang w:val="en-US" w:eastAsia="ko-KR"/>
        </w:rPr>
      </w:pPr>
    </w:p>
    <w:p w14:paraId="6EA1C0E8" w14:textId="0DA350FB" w:rsidR="009A5BF6" w:rsidRDefault="009A5BF6" w:rsidP="009A5BF6">
      <w:pPr>
        <w:snapToGrid w:val="0"/>
        <w:jc w:val="center"/>
        <w:rPr>
          <w:rFonts w:ascii="Times New Roman" w:eastAsia="MS PGothic" w:hAnsi="Times New Roman"/>
          <w:sz w:val="24"/>
          <w:szCs w:val="24"/>
        </w:rPr>
      </w:pPr>
      <w:r>
        <w:rPr>
          <w:rFonts w:ascii="Times New Roman" w:eastAsia="SimSun" w:hAnsi="Times New Roman"/>
          <w:sz w:val="24"/>
          <w:szCs w:val="24"/>
          <w:u w:val="single"/>
          <w:lang w:eastAsia="zh-CN"/>
        </w:rPr>
        <w:t>Antonia Filingeri</w:t>
      </w:r>
      <w:r>
        <w:rPr>
          <w:rFonts w:ascii="Times New Roman" w:eastAsia="SimSun" w:hAnsi="Times New Roman"/>
          <w:sz w:val="24"/>
          <w:szCs w:val="24"/>
          <w:u w:val="single"/>
          <w:vertAlign w:val="superscript"/>
          <w:lang w:eastAsia="zh-CN"/>
        </w:rPr>
        <w:t>1</w:t>
      </w:r>
      <w:r>
        <w:rPr>
          <w:rFonts w:ascii="Times New Roman" w:eastAsia="SimSun" w:hAnsi="Times New Roman"/>
          <w:sz w:val="24"/>
          <w:szCs w:val="24"/>
          <w:lang w:eastAsia="zh-CN"/>
        </w:rPr>
        <w:t>, Andrea Culcasi</w:t>
      </w:r>
      <w:r>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Andrea Cipollina</w:t>
      </w:r>
      <w:r>
        <w:rPr>
          <w:rFonts w:ascii="Times New Roman" w:eastAsia="SimSun" w:hAnsi="Times New Roman"/>
          <w:sz w:val="24"/>
          <w:szCs w:val="24"/>
          <w:vertAlign w:val="superscript"/>
          <w:lang w:eastAsia="zh-CN"/>
        </w:rPr>
        <w:t>1</w:t>
      </w:r>
      <w:r>
        <w:rPr>
          <w:rFonts w:ascii="Times New Roman" w:eastAsia="SimSun" w:hAnsi="Times New Roman"/>
          <w:sz w:val="24"/>
          <w:szCs w:val="24"/>
          <w:lang w:eastAsia="zh-CN"/>
        </w:rPr>
        <w:t>*, Alessandro Tamburini</w:t>
      </w:r>
      <w:r w:rsidR="00D02E36">
        <w:rPr>
          <w:rFonts w:ascii="Times New Roman" w:eastAsia="SimSun" w:hAnsi="Times New Roman"/>
          <w:sz w:val="24"/>
          <w:szCs w:val="24"/>
          <w:vertAlign w:val="superscript"/>
          <w:lang w:eastAsia="zh-CN"/>
        </w:rPr>
        <w:t>1,2</w:t>
      </w:r>
      <w:r>
        <w:rPr>
          <w:rFonts w:ascii="Times New Roman" w:eastAsia="SimSun" w:hAnsi="Times New Roman"/>
          <w:sz w:val="24"/>
          <w:szCs w:val="24"/>
          <w:lang w:eastAsia="zh-CN"/>
        </w:rPr>
        <w:t>, Giorgio Micale</w:t>
      </w:r>
      <w:r>
        <w:rPr>
          <w:rFonts w:ascii="Times New Roman" w:eastAsia="SimSun" w:hAnsi="Times New Roman"/>
          <w:sz w:val="24"/>
          <w:szCs w:val="24"/>
          <w:vertAlign w:val="superscript"/>
          <w:lang w:eastAsia="zh-CN"/>
        </w:rPr>
        <w:t>1</w:t>
      </w:r>
    </w:p>
    <w:p w14:paraId="4E727E7D" w14:textId="77777777" w:rsidR="009A5BF6" w:rsidRDefault="009A5BF6" w:rsidP="009A5BF6">
      <w:pPr>
        <w:snapToGrid w:val="0"/>
        <w:spacing w:after="120"/>
        <w:jc w:val="center"/>
        <w:rPr>
          <w:rFonts w:ascii="Times New Roman" w:eastAsia="MS PGothic" w:hAnsi="Times New Roman"/>
          <w:i/>
          <w:iCs/>
          <w:sz w:val="20"/>
        </w:rPr>
      </w:pPr>
      <w:r>
        <w:rPr>
          <w:rFonts w:ascii="Times New Roman" w:eastAsia="MS PGothic" w:hAnsi="Times New Roman"/>
          <w:i/>
          <w:iCs/>
          <w:sz w:val="20"/>
        </w:rPr>
        <w:t xml:space="preserve">1 Dipartimento di Ingegneria, Università degli Studi di Palermo - viale delle Scienze Ed.6, 90128 Palermo, </w:t>
      </w:r>
      <w:proofErr w:type="spellStart"/>
      <w:r>
        <w:rPr>
          <w:rFonts w:ascii="Times New Roman" w:eastAsia="MS PGothic" w:hAnsi="Times New Roman"/>
          <w:i/>
          <w:iCs/>
          <w:sz w:val="20"/>
        </w:rPr>
        <w:t>Italy</w:t>
      </w:r>
      <w:proofErr w:type="spellEnd"/>
      <w:r>
        <w:rPr>
          <w:rFonts w:ascii="Times New Roman" w:eastAsia="MS PGothic" w:hAnsi="Times New Roman"/>
          <w:i/>
          <w:iCs/>
          <w:sz w:val="20"/>
        </w:rPr>
        <w:t xml:space="preserve">; </w:t>
      </w:r>
    </w:p>
    <w:p w14:paraId="196B6524" w14:textId="53648D60" w:rsidR="009A5BF6" w:rsidRDefault="009A5BF6" w:rsidP="009A5BF6">
      <w:pPr>
        <w:snapToGrid w:val="0"/>
        <w:spacing w:after="120"/>
        <w:jc w:val="center"/>
        <w:rPr>
          <w:rFonts w:ascii="Times New Roman" w:eastAsia="MS PGothic" w:hAnsi="Times New Roman"/>
          <w:i/>
          <w:iCs/>
          <w:sz w:val="20"/>
        </w:rPr>
      </w:pPr>
      <w:r>
        <w:rPr>
          <w:rFonts w:ascii="Times New Roman" w:eastAsia="MS PGothic" w:hAnsi="Times New Roman"/>
          <w:i/>
          <w:iCs/>
          <w:sz w:val="20"/>
        </w:rPr>
        <w:t xml:space="preserve">2 </w:t>
      </w:r>
      <w:proofErr w:type="spellStart"/>
      <w:r>
        <w:rPr>
          <w:rFonts w:ascii="Times New Roman" w:eastAsia="MS PGothic" w:hAnsi="Times New Roman"/>
          <w:i/>
          <w:iCs/>
          <w:sz w:val="20"/>
        </w:rPr>
        <w:t>Resou</w:t>
      </w:r>
      <w:r w:rsidR="00A2520B">
        <w:rPr>
          <w:rFonts w:ascii="Times New Roman" w:eastAsia="MS PGothic" w:hAnsi="Times New Roman"/>
          <w:i/>
          <w:iCs/>
          <w:sz w:val="20"/>
        </w:rPr>
        <w:t>r</w:t>
      </w:r>
      <w:r>
        <w:rPr>
          <w:rFonts w:ascii="Times New Roman" w:eastAsia="MS PGothic" w:hAnsi="Times New Roman"/>
          <w:i/>
          <w:iCs/>
          <w:sz w:val="20"/>
        </w:rPr>
        <w:t>SEAs</w:t>
      </w:r>
      <w:proofErr w:type="spellEnd"/>
      <w:r>
        <w:rPr>
          <w:rFonts w:ascii="Times New Roman" w:eastAsia="MS PGothic" w:hAnsi="Times New Roman"/>
          <w:i/>
          <w:iCs/>
          <w:sz w:val="20"/>
        </w:rPr>
        <w:t xml:space="preserve"> </w:t>
      </w:r>
      <w:proofErr w:type="spellStart"/>
      <w:r>
        <w:rPr>
          <w:rFonts w:ascii="Times New Roman" w:eastAsia="MS PGothic" w:hAnsi="Times New Roman"/>
          <w:i/>
          <w:iCs/>
          <w:sz w:val="20"/>
        </w:rPr>
        <w:t>SrL</w:t>
      </w:r>
      <w:proofErr w:type="spellEnd"/>
      <w:r>
        <w:rPr>
          <w:rFonts w:ascii="Times New Roman" w:eastAsia="MS PGothic" w:hAnsi="Times New Roman"/>
          <w:i/>
          <w:iCs/>
          <w:sz w:val="20"/>
        </w:rPr>
        <w:t>, viale delle Scienze Ed.16, 90128 Palermo</w:t>
      </w:r>
    </w:p>
    <w:p w14:paraId="4813E6DA" w14:textId="77777777" w:rsidR="009A5BF6" w:rsidRDefault="009A5BF6" w:rsidP="009A5BF6">
      <w:pPr>
        <w:snapToGrid w:val="0"/>
        <w:jc w:val="center"/>
        <w:rPr>
          <w:rFonts w:ascii="Times New Roman" w:eastAsia="MS PGothic" w:hAnsi="Times New Roman"/>
          <w:bCs/>
          <w:i/>
          <w:iCs/>
          <w:sz w:val="20"/>
          <w:lang w:val="en-US"/>
        </w:rPr>
      </w:pPr>
      <w:r>
        <w:rPr>
          <w:rFonts w:ascii="Times New Roman" w:eastAsia="MS PGothic" w:hAnsi="Times New Roman"/>
          <w:bCs/>
          <w:i/>
          <w:iCs/>
          <w:sz w:val="20"/>
          <w:lang w:val="en-US"/>
        </w:rPr>
        <w:t>*Corresponding author</w:t>
      </w:r>
      <w:r>
        <w:rPr>
          <w:rFonts w:ascii="Times New Roman" w:eastAsia="MS PGothic" w:hAnsi="Times New Roman"/>
          <w:bCs/>
          <w:i/>
          <w:iCs/>
          <w:sz w:val="20"/>
          <w:lang w:val="en-US" w:eastAsia="ko-KR"/>
        </w:rPr>
        <w:t xml:space="preserve"> E-Mail:</w:t>
      </w:r>
      <w:r>
        <w:rPr>
          <w:rFonts w:ascii="Times New Roman" w:eastAsia="MS PGothic" w:hAnsi="Times New Roman"/>
          <w:bCs/>
          <w:i/>
          <w:iCs/>
          <w:sz w:val="20"/>
          <w:lang w:val="en-US"/>
        </w:rPr>
        <w:t xml:space="preserve"> andrea.cipollina@unipa.it</w:t>
      </w:r>
    </w:p>
    <w:p w14:paraId="1DA95E9E" w14:textId="54930112" w:rsidR="009A5BF6" w:rsidRDefault="009A5BF6" w:rsidP="009A5BF6">
      <w:pPr>
        <w:snapToGrid w:val="0"/>
        <w:spacing w:line="300" w:lineRule="auto"/>
        <w:rPr>
          <w:rFonts w:ascii="Times New Roman" w:eastAsia="MS PGothic" w:hAnsi="Times New Roman"/>
          <w:b/>
          <w:bCs/>
          <w:lang w:val="en-US" w:eastAsia="ko-KR"/>
        </w:rPr>
      </w:pPr>
      <w:r>
        <w:rPr>
          <w:rFonts w:ascii="Times New Roman" w:eastAsia="MS PGothic" w:hAnsi="Times New Roman"/>
          <w:b/>
          <w:bCs/>
          <w:lang w:val="en-US"/>
        </w:rPr>
        <w:t>1.</w:t>
      </w:r>
      <w:r w:rsidR="008A1864">
        <w:rPr>
          <w:rFonts w:ascii="Times New Roman" w:eastAsia="MS PGothic" w:hAnsi="Times New Roman"/>
          <w:b/>
          <w:bCs/>
          <w:lang w:val="en-US"/>
        </w:rPr>
        <w:t xml:space="preserve"> </w:t>
      </w:r>
      <w:r>
        <w:rPr>
          <w:rFonts w:ascii="Times New Roman" w:eastAsia="MS PGothic" w:hAnsi="Times New Roman"/>
          <w:b/>
          <w:bCs/>
          <w:lang w:val="en-US"/>
        </w:rPr>
        <w:t>Introduction</w:t>
      </w:r>
    </w:p>
    <w:p w14:paraId="059F9AA9" w14:textId="6580B7F1" w:rsidR="009A5BF6" w:rsidRDefault="009A5BF6" w:rsidP="009A5BF6">
      <w:pPr>
        <w:snapToGrid w:val="0"/>
        <w:spacing w:after="120"/>
        <w:jc w:val="both"/>
        <w:rPr>
          <w:rFonts w:ascii="Times New Roman" w:eastAsia="MS PGothic" w:hAnsi="Times New Roman"/>
          <w:lang w:val="en-US"/>
        </w:rPr>
      </w:pPr>
      <w:r>
        <w:rPr>
          <w:rFonts w:ascii="Times New Roman" w:eastAsia="MS PGothic" w:hAnsi="Times New Roman"/>
          <w:lang w:val="en-US"/>
        </w:rPr>
        <w:t xml:space="preserve">In recent decades, there has been a great deal of interest at both the industrial and academic levels in identifying unconventional sources for chemical production and raw material recovery. In this context, brine disposal, which was previously addressed as a priority to reduce environmental problems, is now </w:t>
      </w:r>
      <w:r w:rsidR="00573CFC">
        <w:rPr>
          <w:rFonts w:ascii="Times New Roman" w:eastAsia="MS PGothic" w:hAnsi="Times New Roman"/>
          <w:lang w:val="en-US"/>
        </w:rPr>
        <w:t>seen</w:t>
      </w:r>
      <w:r>
        <w:rPr>
          <w:rFonts w:ascii="Times New Roman" w:eastAsia="MS PGothic" w:hAnsi="Times New Roman"/>
          <w:lang w:val="en-US"/>
        </w:rPr>
        <w:t xml:space="preserve"> as an opportunity to apply new or existing technologies in circular processes that allow for the valorization of previously considered waste solutions [1]. In this regard, Electrodialysis with bipolar membranes (EDBM) can be used to produce acidic and alkaline solutions from salty solutions. EDBM is an electro-membrane process distinguished by the alternated position of Ion Exchange Membranes (IEMs) for selective ion separation and the use of bipolar membranes that allow water dissociation [2]. In this work, a novel application of EDBM was proposed to valorize the remaining brine provided by the saltworks, which is typically returned to the sea despite being a highly concentrated solution (i.e., 20</w:t>
      </w:r>
      <w:r>
        <w:rPr>
          <w:lang w:val="en-US"/>
        </w:rPr>
        <w:t>–</w:t>
      </w:r>
      <w:r>
        <w:rPr>
          <w:rFonts w:ascii="Times New Roman" w:eastAsia="MS PGothic" w:hAnsi="Times New Roman"/>
          <w:lang w:val="en-US"/>
        </w:rPr>
        <w:t>40 times more concentrated than seawater). In more detail, an EDBM unit was tested for the first time with (</w:t>
      </w:r>
      <w:proofErr w:type="spellStart"/>
      <w:r>
        <w:rPr>
          <w:rFonts w:ascii="Times New Roman" w:eastAsia="MS PGothic" w:hAnsi="Times New Roman"/>
          <w:lang w:val="en-US"/>
        </w:rPr>
        <w:t>i</w:t>
      </w:r>
      <w:proofErr w:type="spellEnd"/>
      <w:r>
        <w:rPr>
          <w:rFonts w:ascii="Times New Roman" w:eastAsia="MS PGothic" w:hAnsi="Times New Roman"/>
          <w:lang w:val="en-US"/>
        </w:rPr>
        <w:t>) synthetic and (ii) real brines from Trapani’s saltworks (Italy), which had previously been treated for mineral recovery.</w:t>
      </w:r>
    </w:p>
    <w:p w14:paraId="56FCEEE7" w14:textId="77777777" w:rsidR="009A5BF6" w:rsidRDefault="009A5BF6" w:rsidP="009A5BF6">
      <w:pPr>
        <w:snapToGrid w:val="0"/>
        <w:spacing w:before="240" w:line="300" w:lineRule="auto"/>
        <w:rPr>
          <w:rFonts w:ascii="Times New Roman" w:eastAsia="MS PGothic" w:hAnsi="Times New Roman"/>
          <w:lang w:val="en-US"/>
        </w:rPr>
      </w:pPr>
      <w:bookmarkStart w:id="0" w:name="_Hlk98057664"/>
      <w:r>
        <w:rPr>
          <w:rFonts w:ascii="Times New Roman" w:eastAsia="MS PGothic" w:hAnsi="Times New Roman"/>
          <w:b/>
          <w:bCs/>
          <w:lang w:val="en-US"/>
        </w:rPr>
        <w:t>2. Methods</w:t>
      </w:r>
    </w:p>
    <w:p w14:paraId="406605E2" w14:textId="3BF91D05" w:rsidR="009A5BF6" w:rsidRDefault="009A5BF6" w:rsidP="009A5BF6">
      <w:pPr>
        <w:snapToGrid w:val="0"/>
        <w:spacing w:after="120"/>
        <w:jc w:val="both"/>
        <w:rPr>
          <w:rFonts w:ascii="Times New Roman" w:eastAsia="MS PGothic" w:hAnsi="Times New Roman"/>
          <w:lang w:val="en-US"/>
        </w:rPr>
      </w:pPr>
      <w:r>
        <w:rPr>
          <w:rFonts w:ascii="Times New Roman" w:eastAsia="MS PGothic" w:hAnsi="Times New Roman"/>
          <w:lang w:val="en-US"/>
        </w:rPr>
        <w:t>A laboratory-scale EDBM unit, supplied by SUEZ-WTS France®, was equipped with 5 triplets of commercial IEMs (0.028 m</w:t>
      </w:r>
      <w:r>
        <w:rPr>
          <w:rFonts w:ascii="Times New Roman" w:eastAsia="MS PGothic" w:hAnsi="Times New Roman"/>
          <w:vertAlign w:val="superscript"/>
          <w:lang w:val="en-US"/>
        </w:rPr>
        <w:t>2</w:t>
      </w:r>
      <w:r>
        <w:rPr>
          <w:rFonts w:ascii="Times New Roman" w:eastAsia="MS PGothic" w:hAnsi="Times New Roman"/>
          <w:lang w:val="en-US"/>
        </w:rPr>
        <w:t xml:space="preserve"> of membrane active area). Closed-loop tests (see Figure 1) were carried out at constant current (typically 100-300 A m</w:t>
      </w:r>
      <w:r>
        <w:rPr>
          <w:rFonts w:ascii="Times New Roman" w:eastAsia="MS PGothic" w:hAnsi="Times New Roman"/>
          <w:vertAlign w:val="superscript"/>
          <w:lang w:val="en-US"/>
        </w:rPr>
        <w:t>-2</w:t>
      </w:r>
      <w:r>
        <w:rPr>
          <w:rFonts w:ascii="Times New Roman" w:eastAsia="MS PGothic" w:hAnsi="Times New Roman"/>
          <w:lang w:val="en-US"/>
        </w:rPr>
        <w:t>) and for a time duration sufficient to achieve a target NaOH concentration of 1M in the base compartment. Tests with various compositions were carried out in the salt compartment: (</w:t>
      </w:r>
      <w:proofErr w:type="spellStart"/>
      <w:r>
        <w:rPr>
          <w:rFonts w:ascii="Times New Roman" w:eastAsia="MS PGothic" w:hAnsi="Times New Roman"/>
          <w:lang w:val="en-US"/>
        </w:rPr>
        <w:t>i</w:t>
      </w:r>
      <w:proofErr w:type="spellEnd"/>
      <w:r>
        <w:rPr>
          <w:rFonts w:ascii="Times New Roman" w:eastAsia="MS PGothic" w:hAnsi="Times New Roman"/>
          <w:lang w:val="en-US"/>
        </w:rPr>
        <w:t>) a reference case with pure NaCl solutions, (ii) synthetic brines containing NaCl, Na</w:t>
      </w:r>
      <w:r>
        <w:rPr>
          <w:rFonts w:ascii="Times New Roman" w:eastAsia="MS PGothic" w:hAnsi="Times New Roman"/>
          <w:vertAlign w:val="subscript"/>
          <w:lang w:val="en-US"/>
        </w:rPr>
        <w:t>2</w:t>
      </w:r>
      <w:r>
        <w:rPr>
          <w:rFonts w:ascii="Times New Roman" w:eastAsia="MS PGothic" w:hAnsi="Times New Roman"/>
          <w:lang w:val="en-US"/>
        </w:rPr>
        <w:t>SO</w:t>
      </w:r>
      <w:r>
        <w:rPr>
          <w:rFonts w:ascii="Times New Roman" w:eastAsia="MS PGothic" w:hAnsi="Times New Roman"/>
          <w:vertAlign w:val="subscript"/>
          <w:lang w:val="en-US"/>
        </w:rPr>
        <w:t>4</w:t>
      </w:r>
      <w:r>
        <w:rPr>
          <w:rFonts w:ascii="Times New Roman" w:eastAsia="MS PGothic" w:hAnsi="Times New Roman"/>
          <w:lang w:val="en-US"/>
        </w:rPr>
        <w:t xml:space="preserve">, and </w:t>
      </w:r>
      <w:proofErr w:type="spellStart"/>
      <w:r>
        <w:rPr>
          <w:rFonts w:ascii="Times New Roman" w:eastAsia="MS PGothic" w:hAnsi="Times New Roman"/>
          <w:lang w:val="en-US"/>
        </w:rPr>
        <w:t>KCl</w:t>
      </w:r>
      <w:proofErr w:type="spellEnd"/>
      <w:r>
        <w:rPr>
          <w:rFonts w:ascii="Times New Roman" w:eastAsia="MS PGothic" w:hAnsi="Times New Roman"/>
          <w:lang w:val="en-US"/>
        </w:rPr>
        <w:t xml:space="preserve">, and (iii) real bitterns, containing traces of other </w:t>
      </w:r>
      <w:r w:rsidR="00742A1A">
        <w:rPr>
          <w:rFonts w:ascii="Times New Roman" w:eastAsia="MS PGothic" w:hAnsi="Times New Roman"/>
          <w:lang w:val="en-US"/>
        </w:rPr>
        <w:t xml:space="preserve">minor </w:t>
      </w:r>
      <w:r>
        <w:rPr>
          <w:rFonts w:ascii="Times New Roman" w:eastAsia="MS PGothic" w:hAnsi="Times New Roman"/>
          <w:lang w:val="en-US"/>
        </w:rPr>
        <w:t>elements. The initial</w:t>
      </w:r>
      <w:r w:rsidR="00573CFC">
        <w:rPr>
          <w:rFonts w:ascii="Times New Roman" w:eastAsia="MS PGothic" w:hAnsi="Times New Roman"/>
          <w:lang w:val="en-US"/>
        </w:rPr>
        <w:t xml:space="preserve"> </w:t>
      </w:r>
      <w:r>
        <w:rPr>
          <w:rFonts w:ascii="Times New Roman" w:eastAsia="MS PGothic" w:hAnsi="Times New Roman"/>
          <w:lang w:val="en-US"/>
        </w:rPr>
        <w:t>composition</w:t>
      </w:r>
      <w:r w:rsidR="00573CFC">
        <w:rPr>
          <w:rFonts w:ascii="Times New Roman" w:eastAsia="MS PGothic" w:hAnsi="Times New Roman"/>
          <w:lang w:val="en-US"/>
        </w:rPr>
        <w:t xml:space="preserve"> of the feeds</w:t>
      </w:r>
      <w:r>
        <w:rPr>
          <w:rFonts w:ascii="Times New Roman" w:eastAsia="MS PGothic" w:hAnsi="Times New Roman"/>
          <w:lang w:val="en-US"/>
        </w:rPr>
        <w:t xml:space="preserve"> was assumed to be variable between </w:t>
      </w:r>
      <w:r w:rsidR="00A56610">
        <w:rPr>
          <w:rFonts w:ascii="Times New Roman" w:eastAsia="MS PGothic" w:hAnsi="Times New Roman"/>
          <w:lang w:val="en-US"/>
        </w:rPr>
        <w:t>several</w:t>
      </w:r>
      <w:r>
        <w:rPr>
          <w:rFonts w:ascii="Times New Roman" w:eastAsia="MS PGothic" w:hAnsi="Times New Roman"/>
          <w:lang w:val="en-US"/>
        </w:rPr>
        <w:t xml:space="preserve"> scenarios </w:t>
      </w:r>
      <w:r w:rsidR="00742A1A">
        <w:rPr>
          <w:rFonts w:ascii="Times New Roman" w:eastAsia="MS PGothic" w:hAnsi="Times New Roman"/>
          <w:lang w:val="en-US"/>
        </w:rPr>
        <w:t xml:space="preserve">in the ranges reported in </w:t>
      </w:r>
      <w:r w:rsidR="00A56610">
        <w:rPr>
          <w:rFonts w:ascii="Times New Roman" w:eastAsia="MS PGothic" w:hAnsi="Times New Roman"/>
          <w:lang w:val="en-US"/>
        </w:rPr>
        <w:t xml:space="preserve">Table 1 </w:t>
      </w:r>
      <w:r>
        <w:rPr>
          <w:rFonts w:ascii="Times New Roman" w:eastAsia="MS PGothic" w:hAnsi="Times New Roman"/>
          <w:lang w:val="en-US"/>
        </w:rPr>
        <w:t>in order to analyze the effect of different feeds in the process performance and acid and base solutions purities</w:t>
      </w:r>
      <w:r w:rsidR="00A56610">
        <w:rPr>
          <w:rFonts w:ascii="Times New Roman" w:eastAsia="MS PGothic" w:hAnsi="Times New Roman"/>
          <w:lang w:val="en-US"/>
        </w:rPr>
        <w:t xml:space="preserve">. </w:t>
      </w:r>
      <w:r>
        <w:rPr>
          <w:rFonts w:ascii="Times New Roman" w:eastAsia="MS PGothic" w:hAnsi="Times New Roman"/>
          <w:lang w:val="en-US"/>
        </w:rPr>
        <w:t>Specific energy consumption, current efficiency, yield, and products purities were evaluated as performance indicators.</w:t>
      </w:r>
    </w:p>
    <w:p w14:paraId="0CEE9030" w14:textId="2BAD3670" w:rsidR="00A56610" w:rsidRDefault="00A56610" w:rsidP="004940C8">
      <w:pPr>
        <w:snapToGrid w:val="0"/>
        <w:spacing w:after="120"/>
        <w:jc w:val="center"/>
        <w:rPr>
          <w:rFonts w:ascii="Times New Roman" w:eastAsia="MS PGothic" w:hAnsi="Times New Roman"/>
          <w:lang w:val="en-US"/>
        </w:rPr>
      </w:pPr>
      <w:r>
        <w:rPr>
          <w:rFonts w:ascii="Times New Roman" w:eastAsia="MS PGothic" w:hAnsi="Times New Roman"/>
          <w:b/>
          <w:szCs w:val="18"/>
          <w:lang w:val="en-US"/>
        </w:rPr>
        <w:t>Table 1</w:t>
      </w:r>
      <w:r>
        <w:rPr>
          <w:rFonts w:ascii="Times New Roman" w:eastAsia="MS PGothic" w:hAnsi="Times New Roman"/>
          <w:b/>
          <w:szCs w:val="18"/>
          <w:lang w:val="en-US" w:eastAsia="ko-KR"/>
        </w:rPr>
        <w:t>.</w:t>
      </w:r>
      <w:r>
        <w:rPr>
          <w:rFonts w:ascii="Times New Roman" w:eastAsia="MS PGothic" w:hAnsi="Times New Roman"/>
          <w:szCs w:val="18"/>
          <w:lang w:val="en-US"/>
        </w:rPr>
        <w:t xml:space="preserve"> </w:t>
      </w:r>
      <w:r w:rsidR="00146E17">
        <w:rPr>
          <w:rFonts w:ascii="Times New Roman" w:eastAsia="MS PGothic" w:hAnsi="Times New Roman"/>
          <w:szCs w:val="18"/>
          <w:lang w:val="en-US"/>
        </w:rPr>
        <w:t>Initial</w:t>
      </w:r>
      <w:r w:rsidR="00573CFC">
        <w:rPr>
          <w:rFonts w:ascii="Times New Roman" w:eastAsia="MS PGothic" w:hAnsi="Times New Roman"/>
          <w:szCs w:val="18"/>
          <w:lang w:val="en-US"/>
        </w:rPr>
        <w:t xml:space="preserve"> </w:t>
      </w:r>
      <w:r w:rsidR="004940C8">
        <w:rPr>
          <w:rFonts w:ascii="Times New Roman" w:eastAsia="MS PGothic" w:hAnsi="Times New Roman"/>
          <w:szCs w:val="18"/>
          <w:lang w:val="en-US"/>
        </w:rPr>
        <w:t>composition</w:t>
      </w:r>
      <w:r w:rsidR="00BF6BBB">
        <w:rPr>
          <w:rFonts w:ascii="Times New Roman" w:eastAsia="MS PGothic" w:hAnsi="Times New Roman"/>
          <w:szCs w:val="18"/>
          <w:lang w:val="en-US"/>
        </w:rPr>
        <w:t xml:space="preserve"> </w:t>
      </w:r>
      <w:r w:rsidR="00573CFC">
        <w:rPr>
          <w:rFonts w:ascii="Times New Roman" w:eastAsia="MS PGothic" w:hAnsi="Times New Roman"/>
          <w:szCs w:val="18"/>
          <w:lang w:val="en-US"/>
        </w:rPr>
        <w:t xml:space="preserve">of the feeds </w:t>
      </w:r>
      <w:r w:rsidR="008509CC">
        <w:rPr>
          <w:rFonts w:ascii="Times New Roman" w:eastAsia="MS PGothic" w:hAnsi="Times New Roman"/>
          <w:szCs w:val="18"/>
          <w:lang w:val="en-US"/>
        </w:rPr>
        <w:t>for closed-loop experiments</w:t>
      </w:r>
      <w:r w:rsidR="004940C8">
        <w:rPr>
          <w:rFonts w:ascii="Times New Roman" w:eastAsia="MS PGothic" w:hAnsi="Times New Roman"/>
          <w:szCs w:val="18"/>
          <w:lang w:val="en-US"/>
        </w:rPr>
        <w:t>.</w:t>
      </w:r>
    </w:p>
    <w:tbl>
      <w:tblPr>
        <w:tblStyle w:val="Grigliatabella"/>
        <w:tblW w:w="0" w:type="auto"/>
        <w:tblLook w:val="04A0" w:firstRow="1" w:lastRow="0" w:firstColumn="1" w:lastColumn="0" w:noHBand="0" w:noVBand="1"/>
      </w:tblPr>
      <w:tblGrid>
        <w:gridCol w:w="1706"/>
        <w:gridCol w:w="1759"/>
        <w:gridCol w:w="1776"/>
        <w:gridCol w:w="1601"/>
        <w:gridCol w:w="1393"/>
        <w:gridCol w:w="1393"/>
      </w:tblGrid>
      <w:tr w:rsidR="00146E17" w14:paraId="56FE1F04" w14:textId="6680A240" w:rsidTr="00D92F76">
        <w:tc>
          <w:tcPr>
            <w:tcW w:w="1706" w:type="dxa"/>
            <w:vMerge w:val="restart"/>
            <w:vAlign w:val="center"/>
          </w:tcPr>
          <w:p w14:paraId="4A8D1C69" w14:textId="77777777" w:rsidR="00146E17" w:rsidRPr="00146E17" w:rsidRDefault="00146E17" w:rsidP="00D92F76">
            <w:pPr>
              <w:snapToGrid w:val="0"/>
              <w:spacing w:after="120"/>
              <w:jc w:val="center"/>
              <w:rPr>
                <w:rFonts w:ascii="Times New Roman" w:eastAsia="MS PGothic" w:hAnsi="Times New Roman"/>
                <w:lang w:val="en-US"/>
              </w:rPr>
            </w:pPr>
          </w:p>
        </w:tc>
        <w:tc>
          <w:tcPr>
            <w:tcW w:w="5136" w:type="dxa"/>
            <w:gridSpan w:val="3"/>
            <w:vAlign w:val="center"/>
          </w:tcPr>
          <w:p w14:paraId="031EFDE0" w14:textId="6870A3D6" w:rsidR="00146E17" w:rsidRPr="00146E17" w:rsidRDefault="00146E17"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Salt compartment</w:t>
            </w:r>
          </w:p>
        </w:tc>
        <w:tc>
          <w:tcPr>
            <w:tcW w:w="1393" w:type="dxa"/>
            <w:vMerge w:val="restart"/>
            <w:vAlign w:val="center"/>
          </w:tcPr>
          <w:p w14:paraId="6FDD5487" w14:textId="0EEE1405" w:rsidR="00146E17" w:rsidRPr="00146E17" w:rsidRDefault="00146E17" w:rsidP="00D92F76">
            <w:pPr>
              <w:snapToGrid w:val="0"/>
              <w:spacing w:after="120"/>
              <w:jc w:val="center"/>
              <w:rPr>
                <w:rFonts w:ascii="Times New Roman" w:eastAsia="MS PGothic" w:hAnsi="Times New Roman"/>
                <w:lang w:val="en-US"/>
              </w:rPr>
            </w:pPr>
            <w:r>
              <w:rPr>
                <w:rFonts w:ascii="Times New Roman" w:eastAsia="MS PGothic" w:hAnsi="Times New Roman"/>
                <w:lang w:val="en-US"/>
              </w:rPr>
              <w:t xml:space="preserve">Base </w:t>
            </w:r>
            <w:r w:rsidRPr="00146E17">
              <w:rPr>
                <w:rFonts w:ascii="Times New Roman" w:eastAsia="MS PGothic" w:hAnsi="Times New Roman"/>
                <w:lang w:val="en-US"/>
              </w:rPr>
              <w:t>compartment</w:t>
            </w:r>
          </w:p>
        </w:tc>
        <w:tc>
          <w:tcPr>
            <w:tcW w:w="1393" w:type="dxa"/>
            <w:vMerge w:val="restart"/>
            <w:vAlign w:val="center"/>
          </w:tcPr>
          <w:p w14:paraId="3772BA3A" w14:textId="77777777" w:rsidR="00146E17" w:rsidRDefault="00146E17"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Acid</w:t>
            </w:r>
          </w:p>
          <w:p w14:paraId="1900B2BC" w14:textId="05195230" w:rsidR="00146E17" w:rsidRPr="00146E17" w:rsidRDefault="00146E17"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compartment</w:t>
            </w:r>
          </w:p>
        </w:tc>
      </w:tr>
      <w:tr w:rsidR="00146E17" w14:paraId="02E3CD17" w14:textId="4AD59B28" w:rsidTr="00D92F76">
        <w:tc>
          <w:tcPr>
            <w:tcW w:w="1706" w:type="dxa"/>
            <w:vMerge/>
            <w:vAlign w:val="center"/>
          </w:tcPr>
          <w:p w14:paraId="128D4EE1" w14:textId="77777777" w:rsidR="00146E17" w:rsidRPr="00146E17" w:rsidRDefault="00146E17" w:rsidP="00D92F76">
            <w:pPr>
              <w:snapToGrid w:val="0"/>
              <w:spacing w:after="120"/>
              <w:jc w:val="center"/>
              <w:rPr>
                <w:rFonts w:ascii="Times New Roman" w:eastAsia="MS PGothic" w:hAnsi="Times New Roman"/>
                <w:lang w:val="en-US"/>
              </w:rPr>
            </w:pPr>
          </w:p>
        </w:tc>
        <w:tc>
          <w:tcPr>
            <w:tcW w:w="1759" w:type="dxa"/>
            <w:vAlign w:val="center"/>
          </w:tcPr>
          <w:p w14:paraId="5217B6A6" w14:textId="18011BD1" w:rsidR="00146E17" w:rsidRPr="00146E17" w:rsidRDefault="00146E17"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Pure NaCl solutions</w:t>
            </w:r>
          </w:p>
        </w:tc>
        <w:tc>
          <w:tcPr>
            <w:tcW w:w="1776" w:type="dxa"/>
            <w:vAlign w:val="center"/>
          </w:tcPr>
          <w:p w14:paraId="72C6DEE2" w14:textId="5EDB238E" w:rsidR="00146E17" w:rsidRPr="00146E17" w:rsidRDefault="00146E17"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Synthetic brine</w:t>
            </w:r>
            <w:r w:rsidR="00573CFC">
              <w:rPr>
                <w:rFonts w:ascii="Times New Roman" w:eastAsia="MS PGothic" w:hAnsi="Times New Roman"/>
                <w:lang w:val="en-US"/>
              </w:rPr>
              <w:t>s</w:t>
            </w:r>
          </w:p>
        </w:tc>
        <w:tc>
          <w:tcPr>
            <w:tcW w:w="1601" w:type="dxa"/>
            <w:vAlign w:val="center"/>
          </w:tcPr>
          <w:p w14:paraId="52618979" w14:textId="17EFD727" w:rsidR="00146E17" w:rsidRPr="00146E17" w:rsidRDefault="00146E17"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Real brine</w:t>
            </w:r>
            <w:r w:rsidR="00573CFC">
              <w:rPr>
                <w:rFonts w:ascii="Times New Roman" w:eastAsia="MS PGothic" w:hAnsi="Times New Roman"/>
                <w:lang w:val="en-US"/>
              </w:rPr>
              <w:t>s</w:t>
            </w:r>
          </w:p>
        </w:tc>
        <w:tc>
          <w:tcPr>
            <w:tcW w:w="1393" w:type="dxa"/>
            <w:vMerge/>
            <w:vAlign w:val="center"/>
          </w:tcPr>
          <w:p w14:paraId="7FAE2498" w14:textId="678C9C76" w:rsidR="00146E17" w:rsidRPr="00146E17" w:rsidRDefault="00146E17" w:rsidP="00D92F76">
            <w:pPr>
              <w:snapToGrid w:val="0"/>
              <w:spacing w:after="120"/>
              <w:jc w:val="center"/>
              <w:rPr>
                <w:rFonts w:ascii="Times New Roman" w:eastAsia="MS PGothic" w:hAnsi="Times New Roman"/>
                <w:lang w:val="en-US"/>
              </w:rPr>
            </w:pPr>
          </w:p>
        </w:tc>
        <w:tc>
          <w:tcPr>
            <w:tcW w:w="1393" w:type="dxa"/>
            <w:vMerge/>
            <w:vAlign w:val="center"/>
          </w:tcPr>
          <w:p w14:paraId="56BEDDF8" w14:textId="11B85474" w:rsidR="00146E17" w:rsidRPr="00146E17" w:rsidRDefault="00146E17" w:rsidP="00D92F76">
            <w:pPr>
              <w:snapToGrid w:val="0"/>
              <w:spacing w:after="120"/>
              <w:jc w:val="center"/>
              <w:rPr>
                <w:rFonts w:ascii="Times New Roman" w:eastAsia="MS PGothic" w:hAnsi="Times New Roman"/>
                <w:lang w:val="en-US"/>
              </w:rPr>
            </w:pPr>
          </w:p>
        </w:tc>
      </w:tr>
      <w:tr w:rsidR="00146E17" w14:paraId="42671AF4" w14:textId="73564B95" w:rsidTr="00D92F76">
        <w:tc>
          <w:tcPr>
            <w:tcW w:w="1706" w:type="dxa"/>
            <w:vAlign w:val="center"/>
          </w:tcPr>
          <w:p w14:paraId="783F8E92" w14:textId="7FE09A9C"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NaCl</w:t>
            </w:r>
          </w:p>
        </w:tc>
        <w:tc>
          <w:tcPr>
            <w:tcW w:w="1759" w:type="dxa"/>
            <w:vAlign w:val="center"/>
          </w:tcPr>
          <w:p w14:paraId="394D5F1E" w14:textId="7E6DB926"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1-3 M</w:t>
            </w:r>
          </w:p>
        </w:tc>
        <w:tc>
          <w:tcPr>
            <w:tcW w:w="1776" w:type="dxa"/>
            <w:vAlign w:val="center"/>
          </w:tcPr>
          <w:p w14:paraId="6846D7D7" w14:textId="085AF177"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0.5-4 M</w:t>
            </w:r>
          </w:p>
        </w:tc>
        <w:tc>
          <w:tcPr>
            <w:tcW w:w="1601" w:type="dxa"/>
            <w:vAlign w:val="center"/>
          </w:tcPr>
          <w:p w14:paraId="00D33A10" w14:textId="201E2355"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0.5-4 M</w:t>
            </w:r>
          </w:p>
        </w:tc>
        <w:tc>
          <w:tcPr>
            <w:tcW w:w="1393" w:type="dxa"/>
            <w:vAlign w:val="center"/>
          </w:tcPr>
          <w:p w14:paraId="509E80D3" w14:textId="4594169D"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w:t>
            </w:r>
            <w:r w:rsidR="00A56610" w:rsidRPr="00146E17">
              <w:rPr>
                <w:rFonts w:ascii="Times New Roman" w:eastAsia="MS PGothic" w:hAnsi="Times New Roman"/>
                <w:lang w:val="en-US"/>
              </w:rPr>
              <w:t>4</w:t>
            </w:r>
            <w:r w:rsidRPr="00146E17">
              <w:rPr>
                <w:rFonts w:ascii="Times New Roman" w:eastAsia="MS PGothic" w:hAnsi="Times New Roman"/>
                <w:lang w:val="en-US"/>
              </w:rPr>
              <w:t xml:space="preserve"> M</w:t>
            </w:r>
          </w:p>
        </w:tc>
        <w:tc>
          <w:tcPr>
            <w:tcW w:w="1393" w:type="dxa"/>
            <w:vAlign w:val="center"/>
          </w:tcPr>
          <w:p w14:paraId="6BC0F57E" w14:textId="1F5C982D"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0-4 M</w:t>
            </w:r>
          </w:p>
        </w:tc>
      </w:tr>
      <w:tr w:rsidR="00146E17" w14:paraId="227F35CE" w14:textId="6496D09E" w:rsidTr="00D92F76">
        <w:tc>
          <w:tcPr>
            <w:tcW w:w="1706" w:type="dxa"/>
            <w:vAlign w:val="center"/>
          </w:tcPr>
          <w:p w14:paraId="0881E3C1" w14:textId="551C0782"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Na</w:t>
            </w:r>
            <w:r w:rsidRPr="00146E17">
              <w:rPr>
                <w:rFonts w:ascii="Times New Roman" w:eastAsia="MS PGothic" w:hAnsi="Times New Roman"/>
                <w:vertAlign w:val="subscript"/>
                <w:lang w:val="en-US"/>
              </w:rPr>
              <w:t>2</w:t>
            </w:r>
            <w:r w:rsidRPr="00146E17">
              <w:rPr>
                <w:rFonts w:ascii="Times New Roman" w:eastAsia="MS PGothic" w:hAnsi="Times New Roman"/>
                <w:lang w:val="en-US"/>
              </w:rPr>
              <w:t>SO</w:t>
            </w:r>
            <w:r w:rsidRPr="00146E17">
              <w:rPr>
                <w:rFonts w:ascii="Times New Roman" w:eastAsia="MS PGothic" w:hAnsi="Times New Roman"/>
                <w:vertAlign w:val="subscript"/>
                <w:lang w:val="en-US"/>
              </w:rPr>
              <w:t>4</w:t>
            </w:r>
          </w:p>
        </w:tc>
        <w:tc>
          <w:tcPr>
            <w:tcW w:w="1759" w:type="dxa"/>
            <w:vAlign w:val="center"/>
          </w:tcPr>
          <w:p w14:paraId="7A0B0B46" w14:textId="43F1B0FD"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776" w:type="dxa"/>
            <w:vAlign w:val="center"/>
          </w:tcPr>
          <w:p w14:paraId="14BC640F" w14:textId="5992D9F1"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0.1-1.2 M</w:t>
            </w:r>
          </w:p>
        </w:tc>
        <w:tc>
          <w:tcPr>
            <w:tcW w:w="1601" w:type="dxa"/>
            <w:vAlign w:val="center"/>
          </w:tcPr>
          <w:p w14:paraId="1A574F05" w14:textId="3F3E2D46"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0.1-1.2 M</w:t>
            </w:r>
          </w:p>
        </w:tc>
        <w:tc>
          <w:tcPr>
            <w:tcW w:w="1393" w:type="dxa"/>
            <w:vAlign w:val="center"/>
          </w:tcPr>
          <w:p w14:paraId="08CE2255" w14:textId="71A14E75"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0.1-1.2</w:t>
            </w:r>
          </w:p>
        </w:tc>
        <w:tc>
          <w:tcPr>
            <w:tcW w:w="1393" w:type="dxa"/>
            <w:vAlign w:val="center"/>
          </w:tcPr>
          <w:p w14:paraId="6707BDB1" w14:textId="3E46B8BC"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0.1-1.2</w:t>
            </w:r>
          </w:p>
        </w:tc>
      </w:tr>
      <w:tr w:rsidR="00146E17" w14:paraId="4C6617A1" w14:textId="2F050C96" w:rsidTr="00D92F76">
        <w:tc>
          <w:tcPr>
            <w:tcW w:w="1706" w:type="dxa"/>
            <w:vAlign w:val="center"/>
          </w:tcPr>
          <w:p w14:paraId="07D92985" w14:textId="468B3AEC" w:rsidR="00D92F76" w:rsidRPr="00146E17" w:rsidRDefault="00D92F76" w:rsidP="00D92F76">
            <w:pPr>
              <w:snapToGrid w:val="0"/>
              <w:spacing w:after="120"/>
              <w:jc w:val="center"/>
              <w:rPr>
                <w:rFonts w:ascii="Times New Roman" w:eastAsia="MS PGothic" w:hAnsi="Times New Roman"/>
                <w:lang w:val="en-US"/>
              </w:rPr>
            </w:pPr>
            <w:proofErr w:type="spellStart"/>
            <w:r w:rsidRPr="00146E17">
              <w:rPr>
                <w:rFonts w:ascii="Times New Roman" w:eastAsia="MS PGothic" w:hAnsi="Times New Roman"/>
                <w:lang w:val="en-US"/>
              </w:rPr>
              <w:t>KCl</w:t>
            </w:r>
            <w:proofErr w:type="spellEnd"/>
          </w:p>
        </w:tc>
        <w:tc>
          <w:tcPr>
            <w:tcW w:w="1759" w:type="dxa"/>
            <w:vAlign w:val="center"/>
          </w:tcPr>
          <w:p w14:paraId="311A9362" w14:textId="2A1FAF1B"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776" w:type="dxa"/>
            <w:vAlign w:val="center"/>
          </w:tcPr>
          <w:p w14:paraId="6394D5B0" w14:textId="70520635"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0.1-0.7 M</w:t>
            </w:r>
          </w:p>
        </w:tc>
        <w:tc>
          <w:tcPr>
            <w:tcW w:w="1601" w:type="dxa"/>
            <w:vAlign w:val="center"/>
          </w:tcPr>
          <w:p w14:paraId="5FD6BEE4" w14:textId="4F5BB583"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0.1-0.7 M</w:t>
            </w:r>
          </w:p>
        </w:tc>
        <w:tc>
          <w:tcPr>
            <w:tcW w:w="1393" w:type="dxa"/>
            <w:vAlign w:val="center"/>
          </w:tcPr>
          <w:p w14:paraId="6FC0B5CC" w14:textId="3EADB1FC"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0.1-0.7 M</w:t>
            </w:r>
          </w:p>
        </w:tc>
        <w:tc>
          <w:tcPr>
            <w:tcW w:w="1393" w:type="dxa"/>
            <w:vAlign w:val="center"/>
          </w:tcPr>
          <w:p w14:paraId="4F0B551C" w14:textId="3A29DB97"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0.1-0.7 M</w:t>
            </w:r>
          </w:p>
        </w:tc>
      </w:tr>
      <w:tr w:rsidR="00146E17" w14:paraId="20018000" w14:textId="00CCF2B6" w:rsidTr="00D92F76">
        <w:tc>
          <w:tcPr>
            <w:tcW w:w="1706" w:type="dxa"/>
            <w:vAlign w:val="center"/>
          </w:tcPr>
          <w:p w14:paraId="03A55D6C" w14:textId="55586002"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HCl</w:t>
            </w:r>
          </w:p>
        </w:tc>
        <w:tc>
          <w:tcPr>
            <w:tcW w:w="1759" w:type="dxa"/>
            <w:vAlign w:val="center"/>
          </w:tcPr>
          <w:p w14:paraId="79FDBB38" w14:textId="1C8D6671"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776" w:type="dxa"/>
            <w:vAlign w:val="center"/>
          </w:tcPr>
          <w:p w14:paraId="16043C05" w14:textId="43550482"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601" w:type="dxa"/>
            <w:vAlign w:val="center"/>
          </w:tcPr>
          <w:p w14:paraId="3B7F5C37" w14:textId="2F9ADAD3"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393" w:type="dxa"/>
            <w:vAlign w:val="center"/>
          </w:tcPr>
          <w:p w14:paraId="5187D3EF" w14:textId="4C4513A1"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393" w:type="dxa"/>
            <w:vAlign w:val="center"/>
          </w:tcPr>
          <w:p w14:paraId="62DA4AEB" w14:textId="24BB11A4" w:rsidR="00D92F76" w:rsidRPr="00146E17" w:rsidRDefault="00146E17"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w:t>
            </w:r>
            <w:r w:rsidR="00D92F76" w:rsidRPr="00146E17">
              <w:rPr>
                <w:rFonts w:ascii="Times New Roman" w:eastAsia="MS PGothic" w:hAnsi="Times New Roman"/>
                <w:lang w:val="en-US"/>
              </w:rPr>
              <w:t>0.05</w:t>
            </w:r>
            <w:r w:rsidR="00742A1A" w:rsidRPr="00146E17">
              <w:rPr>
                <w:rFonts w:ascii="Times New Roman" w:eastAsia="MS PGothic" w:hAnsi="Times New Roman"/>
                <w:lang w:val="en-US"/>
              </w:rPr>
              <w:t xml:space="preserve"> M</w:t>
            </w:r>
          </w:p>
        </w:tc>
      </w:tr>
      <w:tr w:rsidR="00146E17" w14:paraId="6FF756E3" w14:textId="6B790F88" w:rsidTr="00D92F76">
        <w:tc>
          <w:tcPr>
            <w:tcW w:w="1706" w:type="dxa"/>
            <w:vAlign w:val="center"/>
          </w:tcPr>
          <w:p w14:paraId="42F3B2C3" w14:textId="73021FF4"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NaOH</w:t>
            </w:r>
          </w:p>
        </w:tc>
        <w:tc>
          <w:tcPr>
            <w:tcW w:w="1759" w:type="dxa"/>
            <w:vAlign w:val="center"/>
          </w:tcPr>
          <w:p w14:paraId="1A1DA96D" w14:textId="779FC966"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776" w:type="dxa"/>
            <w:vAlign w:val="center"/>
          </w:tcPr>
          <w:p w14:paraId="7EF9721E" w14:textId="62C9A432"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601" w:type="dxa"/>
            <w:vAlign w:val="center"/>
          </w:tcPr>
          <w:p w14:paraId="429BD997" w14:textId="6CAD004E"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393" w:type="dxa"/>
            <w:vAlign w:val="center"/>
          </w:tcPr>
          <w:p w14:paraId="1E55BF68" w14:textId="23265C86" w:rsidR="00D92F76" w:rsidRPr="00146E17" w:rsidRDefault="00146E17"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0-</w:t>
            </w:r>
            <w:r w:rsidR="00D92F76" w:rsidRPr="00146E17">
              <w:rPr>
                <w:rFonts w:ascii="Times New Roman" w:eastAsia="MS PGothic" w:hAnsi="Times New Roman"/>
                <w:lang w:val="en-US"/>
              </w:rPr>
              <w:t>0.05</w:t>
            </w:r>
            <w:r w:rsidR="00742A1A" w:rsidRPr="00146E17">
              <w:rPr>
                <w:rFonts w:ascii="Times New Roman" w:eastAsia="MS PGothic" w:hAnsi="Times New Roman"/>
                <w:lang w:val="en-US"/>
              </w:rPr>
              <w:t xml:space="preserve"> M</w:t>
            </w:r>
          </w:p>
        </w:tc>
        <w:tc>
          <w:tcPr>
            <w:tcW w:w="1393" w:type="dxa"/>
            <w:vAlign w:val="center"/>
          </w:tcPr>
          <w:p w14:paraId="5A9CBAF1" w14:textId="38BFE628"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r>
      <w:tr w:rsidR="00146E17" w14:paraId="1C0B961D" w14:textId="49BC984D" w:rsidTr="00D92F76">
        <w:tc>
          <w:tcPr>
            <w:tcW w:w="1706" w:type="dxa"/>
            <w:vAlign w:val="center"/>
          </w:tcPr>
          <w:p w14:paraId="7ECD24EB" w14:textId="6F4EB838" w:rsidR="00D92F76" w:rsidRPr="00146E17" w:rsidRDefault="00146E17" w:rsidP="00D92F76">
            <w:pPr>
              <w:snapToGrid w:val="0"/>
              <w:spacing w:after="120"/>
              <w:jc w:val="center"/>
              <w:rPr>
                <w:rFonts w:ascii="Times New Roman" w:eastAsia="MS PGothic" w:hAnsi="Times New Roman"/>
                <w:lang w:val="en-US"/>
              </w:rPr>
            </w:pPr>
            <w:r>
              <w:rPr>
                <w:rFonts w:ascii="Times New Roman" w:eastAsia="MS PGothic" w:hAnsi="Times New Roman"/>
                <w:lang w:val="en-US"/>
              </w:rPr>
              <w:t>Other elements</w:t>
            </w:r>
          </w:p>
        </w:tc>
        <w:tc>
          <w:tcPr>
            <w:tcW w:w="1759" w:type="dxa"/>
            <w:vAlign w:val="center"/>
          </w:tcPr>
          <w:p w14:paraId="1F0E3F4A" w14:textId="47FE51C7"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776" w:type="dxa"/>
            <w:vAlign w:val="center"/>
          </w:tcPr>
          <w:p w14:paraId="009EAD5D" w14:textId="51E117A5"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601" w:type="dxa"/>
            <w:vAlign w:val="center"/>
          </w:tcPr>
          <w:p w14:paraId="626D7418" w14:textId="79BC8FAF"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traces</w:t>
            </w:r>
          </w:p>
        </w:tc>
        <w:tc>
          <w:tcPr>
            <w:tcW w:w="1393" w:type="dxa"/>
            <w:vAlign w:val="center"/>
          </w:tcPr>
          <w:p w14:paraId="632B9943" w14:textId="79404376"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c>
          <w:tcPr>
            <w:tcW w:w="1393" w:type="dxa"/>
            <w:vAlign w:val="center"/>
          </w:tcPr>
          <w:p w14:paraId="1AA390A2" w14:textId="31690399" w:rsidR="00D92F76" w:rsidRPr="00146E17" w:rsidRDefault="00D92F76" w:rsidP="00D92F76">
            <w:pPr>
              <w:snapToGrid w:val="0"/>
              <w:spacing w:after="120"/>
              <w:jc w:val="center"/>
              <w:rPr>
                <w:rFonts w:ascii="Times New Roman" w:eastAsia="MS PGothic" w:hAnsi="Times New Roman"/>
                <w:lang w:val="en-US"/>
              </w:rPr>
            </w:pPr>
            <w:r w:rsidRPr="00146E17">
              <w:rPr>
                <w:rFonts w:ascii="Times New Roman" w:eastAsia="MS PGothic" w:hAnsi="Times New Roman"/>
                <w:lang w:val="en-US"/>
              </w:rPr>
              <w:t>-</w:t>
            </w:r>
          </w:p>
        </w:tc>
      </w:tr>
    </w:tbl>
    <w:bookmarkEnd w:id="0"/>
    <w:p w14:paraId="24FC9382" w14:textId="00B8C07F" w:rsidR="009A5BF6" w:rsidRDefault="00535DA2" w:rsidP="009A5BF6">
      <w:pPr>
        <w:snapToGrid w:val="0"/>
        <w:spacing w:after="120"/>
        <w:jc w:val="center"/>
        <w:rPr>
          <w:rFonts w:ascii="Times New Roman" w:eastAsia="MS PGothic" w:hAnsi="Times New Roman"/>
          <w:lang w:val="en-US"/>
        </w:rPr>
      </w:pPr>
      <w:r>
        <w:rPr>
          <w:rFonts w:ascii="Times New Roman" w:eastAsia="MS PGothic" w:hAnsi="Times New Roman"/>
          <w:noProof/>
          <w:lang w:val="en-US"/>
        </w:rPr>
        <w:lastRenderedPageBreak/>
        <w:drawing>
          <wp:inline distT="0" distB="0" distL="0" distR="0" wp14:anchorId="4ABD6DE6" wp14:editId="74DFDBB0">
            <wp:extent cx="3939023" cy="3384000"/>
            <wp:effectExtent l="0" t="0" r="444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9023" cy="3384000"/>
                    </a:xfrm>
                    <a:prstGeom prst="rect">
                      <a:avLst/>
                    </a:prstGeom>
                  </pic:spPr>
                </pic:pic>
              </a:graphicData>
            </a:graphic>
          </wp:inline>
        </w:drawing>
      </w:r>
    </w:p>
    <w:p w14:paraId="08B3A4FE" w14:textId="77777777" w:rsidR="009A5BF6" w:rsidRDefault="009A5BF6" w:rsidP="009A5BF6">
      <w:pPr>
        <w:snapToGrid w:val="0"/>
        <w:spacing w:after="120"/>
        <w:jc w:val="center"/>
        <w:rPr>
          <w:rFonts w:ascii="Times New Roman" w:eastAsia="MS PGothic" w:hAnsi="Times New Roman"/>
          <w:szCs w:val="18"/>
          <w:lang w:val="en-US"/>
        </w:rPr>
      </w:pPr>
      <w:r>
        <w:rPr>
          <w:rFonts w:ascii="Times New Roman" w:eastAsia="MS PGothic" w:hAnsi="Times New Roman"/>
          <w:b/>
          <w:szCs w:val="18"/>
          <w:lang w:val="en-US"/>
        </w:rPr>
        <w:t>Figure 1</w:t>
      </w:r>
      <w:r>
        <w:rPr>
          <w:rFonts w:ascii="Times New Roman" w:eastAsia="MS PGothic" w:hAnsi="Times New Roman"/>
          <w:b/>
          <w:szCs w:val="18"/>
          <w:lang w:val="en-US" w:eastAsia="ko-KR"/>
        </w:rPr>
        <w:t>.</w:t>
      </w:r>
      <w:r>
        <w:rPr>
          <w:rFonts w:ascii="Times New Roman" w:eastAsia="MS PGothic" w:hAnsi="Times New Roman"/>
          <w:szCs w:val="18"/>
          <w:lang w:val="en-US"/>
        </w:rPr>
        <w:t xml:space="preserve"> </w:t>
      </w:r>
      <w:r>
        <w:rPr>
          <w:rFonts w:ascii="Times New Roman" w:hAnsi="Times New Roman"/>
          <w:lang w:val="en-US"/>
        </w:rPr>
        <w:t xml:space="preserve"> </w:t>
      </w:r>
      <w:proofErr w:type="gramStart"/>
      <w:r>
        <w:rPr>
          <w:rFonts w:ascii="Times New Roman" w:eastAsia="MS PGothic" w:hAnsi="Times New Roman"/>
          <w:szCs w:val="18"/>
          <w:lang w:val="en-US"/>
        </w:rPr>
        <w:t>Closed-loop</w:t>
      </w:r>
      <w:proofErr w:type="gramEnd"/>
      <w:r>
        <w:rPr>
          <w:rFonts w:ascii="Times New Roman" w:eastAsia="MS PGothic" w:hAnsi="Times New Roman"/>
          <w:szCs w:val="18"/>
          <w:lang w:val="en-US"/>
        </w:rPr>
        <w:t xml:space="preserve"> (batch) experimental configuration (adapted from [2]).</w:t>
      </w:r>
    </w:p>
    <w:p w14:paraId="6ECD51AD" w14:textId="77777777" w:rsidR="009A5BF6" w:rsidRDefault="009A5BF6" w:rsidP="009A5BF6">
      <w:pPr>
        <w:snapToGrid w:val="0"/>
        <w:spacing w:before="240" w:line="300" w:lineRule="auto"/>
        <w:rPr>
          <w:rFonts w:ascii="Times New Roman" w:eastAsia="MS PGothic" w:hAnsi="Times New Roman"/>
          <w:lang w:val="en-US"/>
        </w:rPr>
      </w:pPr>
      <w:r>
        <w:rPr>
          <w:rFonts w:ascii="Times New Roman" w:eastAsia="MS PGothic" w:hAnsi="Times New Roman"/>
          <w:b/>
          <w:bCs/>
          <w:lang w:val="en-US"/>
        </w:rPr>
        <w:t>3. Results and discussion</w:t>
      </w:r>
    </w:p>
    <w:p w14:paraId="55C35CE5" w14:textId="74B74A47" w:rsidR="009A5BF6" w:rsidRDefault="009A5BF6" w:rsidP="009A5BF6">
      <w:pPr>
        <w:snapToGrid w:val="0"/>
        <w:spacing w:after="120"/>
        <w:jc w:val="both"/>
        <w:rPr>
          <w:rFonts w:ascii="Times New Roman" w:eastAsia="MS PGothic" w:hAnsi="Times New Roman"/>
          <w:lang w:val="en-US"/>
        </w:rPr>
      </w:pPr>
      <w:r>
        <w:rPr>
          <w:rFonts w:ascii="Times New Roman" w:eastAsia="MS PGothic" w:hAnsi="Times New Roman"/>
          <w:lang w:val="en-US"/>
        </w:rPr>
        <w:t xml:space="preserve">For tests performed at the highest current density, the target concentration of 1M </w:t>
      </w:r>
      <w:r w:rsidR="00573CFC">
        <w:rPr>
          <w:rFonts w:ascii="Times New Roman" w:eastAsia="MS PGothic" w:hAnsi="Times New Roman"/>
          <w:lang w:val="en-US"/>
        </w:rPr>
        <w:t xml:space="preserve">of </w:t>
      </w:r>
      <w:r>
        <w:rPr>
          <w:rFonts w:ascii="Times New Roman" w:eastAsia="MS PGothic" w:hAnsi="Times New Roman"/>
          <w:lang w:val="en-US"/>
        </w:rPr>
        <w:t xml:space="preserve">NaOH for the alkaline solution was reached after </w:t>
      </w:r>
      <m:oMath>
        <m:r>
          <w:rPr>
            <w:rFonts w:ascii="Cambria Math" w:eastAsia="MS PGothic" w:hAnsi="Cambria Math"/>
            <w:lang w:val="en-US"/>
          </w:rPr>
          <m:t>~</m:t>
        </m:r>
      </m:oMath>
      <w:r>
        <w:rPr>
          <w:rFonts w:ascii="Times New Roman" w:eastAsia="MS PGothic" w:hAnsi="Times New Roman"/>
          <w:lang w:val="en-US"/>
        </w:rPr>
        <w:t xml:space="preserve">45 minutes. Specific energy consumptions (SEC) of </w:t>
      </w:r>
      <m:oMath>
        <m:r>
          <w:rPr>
            <w:rFonts w:ascii="Cambria Math" w:eastAsia="MS PGothic" w:hAnsi="Cambria Math"/>
            <w:lang w:val="en-US"/>
          </w:rPr>
          <m:t>~</m:t>
        </m:r>
      </m:oMath>
      <w:r>
        <w:rPr>
          <w:rFonts w:ascii="Times New Roman" w:eastAsia="MS PGothic" w:hAnsi="Times New Roman"/>
          <w:lang w:val="en-US"/>
        </w:rPr>
        <w:t>2.4 kWh kg</w:t>
      </w:r>
      <w:r>
        <w:rPr>
          <w:rFonts w:ascii="Times New Roman" w:eastAsia="MS PGothic" w:hAnsi="Times New Roman"/>
          <w:vertAlign w:val="superscript"/>
          <w:lang w:val="en-US"/>
        </w:rPr>
        <w:t>-1</w:t>
      </w:r>
      <w:r>
        <w:rPr>
          <w:rFonts w:ascii="Times New Roman" w:eastAsia="MS PGothic" w:hAnsi="Times New Roman"/>
          <w:vertAlign w:val="subscript"/>
          <w:lang w:val="en-US"/>
        </w:rPr>
        <w:t>NaOH</w:t>
      </w:r>
      <w:r>
        <w:rPr>
          <w:rFonts w:ascii="Times New Roman" w:eastAsia="MS PGothic" w:hAnsi="Times New Roman"/>
          <w:lang w:val="en-US"/>
        </w:rPr>
        <w:t xml:space="preserve"> were obtained at the target condition with pure NaCl solutions in the salt compartment at an initial concentration of 2M, whereas the use of a more concentrated synthetic brine reduced SECs to values less than 2 kWh kg</w:t>
      </w:r>
      <w:r>
        <w:rPr>
          <w:rFonts w:ascii="Times New Roman" w:eastAsia="MS PGothic" w:hAnsi="Times New Roman"/>
          <w:vertAlign w:val="superscript"/>
          <w:lang w:val="en-US"/>
        </w:rPr>
        <w:t>-1</w:t>
      </w:r>
      <w:r>
        <w:rPr>
          <w:rFonts w:ascii="Times New Roman" w:eastAsia="MS PGothic" w:hAnsi="Times New Roman"/>
          <w:vertAlign w:val="subscript"/>
          <w:lang w:val="en-US"/>
        </w:rPr>
        <w:t>NaOH</w:t>
      </w:r>
      <w:r>
        <w:rPr>
          <w:rFonts w:ascii="Times New Roman" w:eastAsia="MS PGothic" w:hAnsi="Times New Roman"/>
          <w:lang w:val="en-US"/>
        </w:rPr>
        <w:t xml:space="preserve">. Current efficiency as a function of time showed a decreasing trend, but it remained relatively high (in the </w:t>
      </w:r>
      <m:oMath>
        <m:r>
          <w:rPr>
            <w:rFonts w:ascii="Cambria Math" w:eastAsia="MS PGothic" w:hAnsi="Cambria Math"/>
            <w:lang w:val="en-US"/>
          </w:rPr>
          <m:t>~</m:t>
        </m:r>
      </m:oMath>
      <w:r>
        <w:rPr>
          <w:rFonts w:ascii="Times New Roman" w:eastAsia="MS PGothic" w:hAnsi="Times New Roman"/>
          <w:lang w:val="en-US"/>
        </w:rPr>
        <w:t xml:space="preserve">70-80% range) at the end of the test. In the case of ion mixtures, purities of </w:t>
      </w:r>
      <m:oMath>
        <m:r>
          <w:rPr>
            <w:rFonts w:ascii="Cambria Math" w:eastAsia="MS PGothic" w:hAnsi="Cambria Math"/>
            <w:lang w:val="en-US"/>
          </w:rPr>
          <m:t>~</m:t>
        </m:r>
      </m:oMath>
      <w:r>
        <w:rPr>
          <w:rFonts w:ascii="Times New Roman" w:eastAsia="MS PGothic" w:hAnsi="Times New Roman"/>
          <w:lang w:val="en-US"/>
        </w:rPr>
        <w:t>90% were obtained in acid and base compartments, respectively.</w:t>
      </w:r>
    </w:p>
    <w:p w14:paraId="42CFB18E" w14:textId="77777777" w:rsidR="009A5BF6" w:rsidRDefault="009A5BF6" w:rsidP="009A5BF6">
      <w:pPr>
        <w:snapToGrid w:val="0"/>
        <w:spacing w:before="240" w:line="300" w:lineRule="auto"/>
        <w:rPr>
          <w:rFonts w:ascii="Times New Roman" w:eastAsia="MS PGothic" w:hAnsi="Times New Roman"/>
          <w:lang w:val="en-US" w:eastAsia="ko-KR"/>
        </w:rPr>
      </w:pPr>
      <w:r>
        <w:rPr>
          <w:rFonts w:ascii="Times New Roman" w:eastAsia="MS PGothic" w:hAnsi="Times New Roman"/>
          <w:b/>
          <w:bCs/>
          <w:lang w:val="en-US"/>
        </w:rPr>
        <w:t>4. Conclusion</w:t>
      </w:r>
      <w:r>
        <w:rPr>
          <w:rFonts w:ascii="Times New Roman" w:eastAsia="MS PGothic" w:hAnsi="Times New Roman"/>
          <w:b/>
          <w:bCs/>
          <w:lang w:val="en-US" w:eastAsia="ko-KR"/>
        </w:rPr>
        <w:t>s</w:t>
      </w:r>
    </w:p>
    <w:p w14:paraId="34DB71CC" w14:textId="15E72A9E" w:rsidR="009A5BF6" w:rsidRDefault="009A5BF6" w:rsidP="009A5BF6">
      <w:pPr>
        <w:snapToGrid w:val="0"/>
        <w:spacing w:after="120"/>
        <w:jc w:val="both"/>
        <w:rPr>
          <w:rFonts w:ascii="Times New Roman" w:eastAsia="MS PGothic" w:hAnsi="Times New Roman"/>
          <w:lang w:val="en-US"/>
        </w:rPr>
      </w:pPr>
      <w:r>
        <w:rPr>
          <w:rFonts w:ascii="Times New Roman" w:eastAsia="MS PGothic" w:hAnsi="Times New Roman"/>
          <w:lang w:val="en-US"/>
        </w:rPr>
        <w:t xml:space="preserve">A new application of EDBM for the valorization of highly concentrated brines from the saltworks process was proposed. The results obtained at laboratory-scale unit demonstrated the feasibility of the process for producing chemicals, specifically HCl and NaOH solutions, as an alternative to brine disposal. The process could then be tested at the pilot scale with long-run tests to determine its scalability at the industrial level. </w:t>
      </w:r>
    </w:p>
    <w:p w14:paraId="3D585689" w14:textId="77777777" w:rsidR="009A5BF6" w:rsidRDefault="009A5BF6" w:rsidP="009A5BF6">
      <w:pPr>
        <w:snapToGrid w:val="0"/>
        <w:spacing w:before="240" w:line="300" w:lineRule="auto"/>
        <w:rPr>
          <w:rFonts w:ascii="Times New Roman" w:eastAsia="MS PGothic" w:hAnsi="Times New Roman"/>
          <w:b/>
          <w:bCs/>
          <w:lang w:val="en-US"/>
        </w:rPr>
      </w:pPr>
      <w:r>
        <w:rPr>
          <w:rFonts w:ascii="Times New Roman" w:eastAsia="MS PGothic" w:hAnsi="Times New Roman"/>
          <w:b/>
          <w:bCs/>
          <w:lang w:val="en-US"/>
        </w:rPr>
        <w:t>Acknowledgements</w:t>
      </w:r>
    </w:p>
    <w:p w14:paraId="00FCA4DC" w14:textId="77777777" w:rsidR="009A5BF6" w:rsidRDefault="009A5BF6" w:rsidP="009A5BF6">
      <w:pPr>
        <w:pStyle w:val="NormaleWeb"/>
        <w:spacing w:before="0" w:beforeAutospacing="0" w:after="0" w:afterAutospacing="0"/>
        <w:jc w:val="both"/>
        <w:rPr>
          <w:sz w:val="20"/>
          <w:szCs w:val="20"/>
        </w:rPr>
      </w:pPr>
      <w:r>
        <w:rPr>
          <w:noProof/>
          <w:sz w:val="22"/>
          <w:szCs w:val="22"/>
          <w:lang w:val="en-GB" w:eastAsia="en-GB"/>
        </w:rPr>
        <w:t>This project has received funding from the European Union’s Horizon 2020 research and innovation programme under Grant Agreement No. 869467 (SEArcularMINE). This output reflects only the author’s view. The European Health and Digital Executive Agency (HaDEA) and the European Commission cannot be held responsible for any use that may be made of the information contained therein.</w:t>
      </w:r>
    </w:p>
    <w:p w14:paraId="774D2C4A" w14:textId="77777777" w:rsidR="009A5BF6" w:rsidRDefault="009A5BF6" w:rsidP="009A5BF6">
      <w:pPr>
        <w:snapToGrid w:val="0"/>
        <w:spacing w:before="240" w:line="300" w:lineRule="auto"/>
        <w:rPr>
          <w:rFonts w:ascii="Times New Roman" w:eastAsia="SimSun" w:hAnsi="Times New Roman"/>
          <w:b/>
          <w:bCs/>
          <w:lang w:val="en-US" w:eastAsia="zh-CN"/>
        </w:rPr>
      </w:pPr>
      <w:r>
        <w:rPr>
          <w:rFonts w:ascii="Times New Roman" w:eastAsia="MS PGothic" w:hAnsi="Times New Roman"/>
          <w:b/>
          <w:bCs/>
          <w:lang w:val="en-US"/>
        </w:rPr>
        <w:t xml:space="preserve">References </w:t>
      </w:r>
    </w:p>
    <w:p w14:paraId="66A8FEB4" w14:textId="77777777" w:rsidR="009A5BF6" w:rsidRDefault="009A5BF6" w:rsidP="009A5BF6">
      <w:pPr>
        <w:pStyle w:val="FirstParagraph"/>
        <w:numPr>
          <w:ilvl w:val="0"/>
          <w:numId w:val="2"/>
        </w:numPr>
        <w:tabs>
          <w:tab w:val="left" w:pos="426"/>
        </w:tabs>
        <w:ind w:left="426" w:hanging="426"/>
        <w:rPr>
          <w:rFonts w:ascii="Times New Roman" w:hAnsi="Times New Roman"/>
        </w:rPr>
      </w:pPr>
      <w:r>
        <w:rPr>
          <w:rFonts w:ascii="Times New Roman" w:hAnsi="Times New Roman"/>
        </w:rPr>
        <w:t xml:space="preserve">A. Panagopoulos, K.J. </w:t>
      </w:r>
      <w:proofErr w:type="spellStart"/>
      <w:r>
        <w:rPr>
          <w:rFonts w:ascii="Times New Roman" w:hAnsi="Times New Roman"/>
        </w:rPr>
        <w:t>Haralambous</w:t>
      </w:r>
      <w:proofErr w:type="spellEnd"/>
      <w:r>
        <w:rPr>
          <w:rFonts w:ascii="Times New Roman" w:hAnsi="Times New Roman"/>
        </w:rPr>
        <w:t xml:space="preserve">, M. </w:t>
      </w:r>
      <w:proofErr w:type="spellStart"/>
      <w:r>
        <w:rPr>
          <w:rFonts w:ascii="Times New Roman" w:hAnsi="Times New Roman"/>
        </w:rPr>
        <w:t>Loizidou</w:t>
      </w:r>
      <w:proofErr w:type="spellEnd"/>
      <w:r>
        <w:rPr>
          <w:rFonts w:ascii="Times New Roman" w:hAnsi="Times New Roman"/>
        </w:rPr>
        <w:t>, Desalination brine disposal methods and treatment technologies - A review, Sci. Total Environ. 693 (2019) 133545. https://doi.org/10.1016/j.scitotenv.2019.07.351</w:t>
      </w:r>
      <w:r>
        <w:t>.</w:t>
      </w:r>
    </w:p>
    <w:p w14:paraId="7C403374" w14:textId="77777777" w:rsidR="009A5BF6" w:rsidRDefault="009A5BF6" w:rsidP="009A5BF6">
      <w:pPr>
        <w:pStyle w:val="FirstParagraph"/>
        <w:tabs>
          <w:tab w:val="left" w:pos="426"/>
        </w:tabs>
        <w:rPr>
          <w:rFonts w:ascii="Times New Roman" w:hAnsi="Times New Roman"/>
        </w:rPr>
      </w:pPr>
    </w:p>
    <w:p w14:paraId="5A650773" w14:textId="46D2FEF1" w:rsidR="005B71B2" w:rsidRPr="00535DA2" w:rsidRDefault="009A5BF6" w:rsidP="009A5BF6">
      <w:pPr>
        <w:pStyle w:val="FirstParagraph"/>
        <w:numPr>
          <w:ilvl w:val="0"/>
          <w:numId w:val="2"/>
        </w:numPr>
        <w:tabs>
          <w:tab w:val="left" w:pos="426"/>
        </w:tabs>
        <w:ind w:left="426" w:hanging="426"/>
        <w:rPr>
          <w:rFonts w:ascii="Times New Roman" w:hAnsi="Times New Roman"/>
          <w:lang w:val="it-IT"/>
        </w:rPr>
      </w:pPr>
      <w:r>
        <w:rPr>
          <w:rFonts w:ascii="Times New Roman" w:hAnsi="Times New Roman"/>
          <w:lang w:val="it-IT"/>
        </w:rPr>
        <w:t xml:space="preserve">Culcasi, A., Gurreri, L., Cipollina, A., Tamburini, A., &amp; Micale, G. (2022). </w:t>
      </w:r>
      <w:r w:rsidRPr="008A1864">
        <w:rPr>
          <w:rFonts w:ascii="Times New Roman" w:hAnsi="Times New Roman"/>
          <w:lang w:val="it-IT"/>
        </w:rPr>
        <w:t xml:space="preserve">A </w:t>
      </w:r>
      <w:proofErr w:type="spellStart"/>
      <w:r w:rsidRPr="008A1864">
        <w:rPr>
          <w:rFonts w:ascii="Times New Roman" w:hAnsi="Times New Roman"/>
          <w:lang w:val="it-IT"/>
        </w:rPr>
        <w:t>comprehensive</w:t>
      </w:r>
      <w:proofErr w:type="spellEnd"/>
      <w:r w:rsidRPr="008A1864">
        <w:rPr>
          <w:rFonts w:ascii="Times New Roman" w:hAnsi="Times New Roman"/>
          <w:lang w:val="it-IT"/>
        </w:rPr>
        <w:t xml:space="preserve"> multi-scale model for </w:t>
      </w:r>
      <w:proofErr w:type="spellStart"/>
      <w:r w:rsidRPr="008A1864">
        <w:rPr>
          <w:rFonts w:ascii="Times New Roman" w:hAnsi="Times New Roman"/>
          <w:lang w:val="it-IT"/>
        </w:rPr>
        <w:t>bipolar</w:t>
      </w:r>
      <w:proofErr w:type="spellEnd"/>
      <w:r w:rsidRPr="008A1864">
        <w:rPr>
          <w:rFonts w:ascii="Times New Roman" w:hAnsi="Times New Roman"/>
          <w:lang w:val="it-IT"/>
        </w:rPr>
        <w:t xml:space="preserve"> membrane </w:t>
      </w:r>
      <w:proofErr w:type="spellStart"/>
      <w:r w:rsidRPr="008A1864">
        <w:rPr>
          <w:rFonts w:ascii="Times New Roman" w:hAnsi="Times New Roman"/>
          <w:lang w:val="it-IT"/>
        </w:rPr>
        <w:t>electrodialysis</w:t>
      </w:r>
      <w:proofErr w:type="spellEnd"/>
      <w:r w:rsidRPr="008A1864">
        <w:rPr>
          <w:rFonts w:ascii="Times New Roman" w:hAnsi="Times New Roman"/>
          <w:lang w:val="it-IT"/>
        </w:rPr>
        <w:t xml:space="preserve"> (BMED). </w:t>
      </w:r>
      <w:r>
        <w:rPr>
          <w:rFonts w:ascii="Times New Roman" w:hAnsi="Times New Roman"/>
          <w:i/>
          <w:iCs/>
        </w:rPr>
        <w:t>Chemical Engineering Journal</w:t>
      </w:r>
      <w:r>
        <w:rPr>
          <w:rFonts w:ascii="Times New Roman" w:hAnsi="Times New Roman"/>
        </w:rPr>
        <w:t xml:space="preserve">, </w:t>
      </w:r>
      <w:r>
        <w:rPr>
          <w:rFonts w:ascii="Times New Roman" w:hAnsi="Times New Roman"/>
          <w:i/>
          <w:iCs/>
        </w:rPr>
        <w:t>437</w:t>
      </w:r>
      <w:r>
        <w:rPr>
          <w:rFonts w:ascii="Times New Roman" w:hAnsi="Times New Roman"/>
        </w:rPr>
        <w:t xml:space="preserve">(P1), 135317. </w:t>
      </w:r>
      <w:hyperlink r:id="rId8" w:history="1">
        <w:r>
          <w:rPr>
            <w:rStyle w:val="Collegamentoipertestuale"/>
            <w:rFonts w:ascii="Times New Roman" w:hAnsi="Times New Roman"/>
            <w:lang w:val="it-IT"/>
          </w:rPr>
          <w:t>https://doi.org/10.1016/j.cej.2022.135317</w:t>
        </w:r>
      </w:hyperlink>
    </w:p>
    <w:sectPr w:rsidR="005B71B2" w:rsidRPr="00535DA2" w:rsidSect="001D0E0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85B6" w14:textId="77777777" w:rsidR="00202712" w:rsidRDefault="00202712" w:rsidP="001D0E0C">
      <w:pPr>
        <w:spacing w:after="0" w:line="240" w:lineRule="auto"/>
      </w:pPr>
      <w:r>
        <w:separator/>
      </w:r>
    </w:p>
  </w:endnote>
  <w:endnote w:type="continuationSeparator" w:id="0">
    <w:p w14:paraId="4C357DFE" w14:textId="77777777" w:rsidR="00202712" w:rsidRDefault="00202712"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962C" w14:textId="77777777" w:rsidR="00202712" w:rsidRDefault="00202712" w:rsidP="001D0E0C">
      <w:pPr>
        <w:spacing w:after="0" w:line="240" w:lineRule="auto"/>
      </w:pPr>
      <w:r>
        <w:separator/>
      </w:r>
    </w:p>
  </w:footnote>
  <w:footnote w:type="continuationSeparator" w:id="0">
    <w:p w14:paraId="209B4142" w14:textId="77777777" w:rsidR="00202712" w:rsidRDefault="00202712"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22D71"/>
    <w:rsid w:val="000517B4"/>
    <w:rsid w:val="00073118"/>
    <w:rsid w:val="00092C7A"/>
    <w:rsid w:val="000F5EF6"/>
    <w:rsid w:val="00146E17"/>
    <w:rsid w:val="00164220"/>
    <w:rsid w:val="0018667F"/>
    <w:rsid w:val="00192406"/>
    <w:rsid w:val="001B060D"/>
    <w:rsid w:val="001D0E0C"/>
    <w:rsid w:val="0020057F"/>
    <w:rsid w:val="00201A28"/>
    <w:rsid w:val="00202712"/>
    <w:rsid w:val="002077A8"/>
    <w:rsid w:val="002A535D"/>
    <w:rsid w:val="002E4E5B"/>
    <w:rsid w:val="002F1882"/>
    <w:rsid w:val="00316452"/>
    <w:rsid w:val="00343C52"/>
    <w:rsid w:val="003B3A7A"/>
    <w:rsid w:val="003F160A"/>
    <w:rsid w:val="003F1F28"/>
    <w:rsid w:val="00402674"/>
    <w:rsid w:val="004340DE"/>
    <w:rsid w:val="0044046C"/>
    <w:rsid w:val="0045488A"/>
    <w:rsid w:val="004618D2"/>
    <w:rsid w:val="004731A9"/>
    <w:rsid w:val="00487F00"/>
    <w:rsid w:val="004940C8"/>
    <w:rsid w:val="004C56B4"/>
    <w:rsid w:val="004D1DAD"/>
    <w:rsid w:val="004E0751"/>
    <w:rsid w:val="00501B07"/>
    <w:rsid w:val="00501BAC"/>
    <w:rsid w:val="00535DA2"/>
    <w:rsid w:val="00573CFC"/>
    <w:rsid w:val="00585B06"/>
    <w:rsid w:val="00592FEC"/>
    <w:rsid w:val="005B71B2"/>
    <w:rsid w:val="005C2A12"/>
    <w:rsid w:val="005F37FE"/>
    <w:rsid w:val="00636838"/>
    <w:rsid w:val="00641D8A"/>
    <w:rsid w:val="00697CD6"/>
    <w:rsid w:val="00715F0B"/>
    <w:rsid w:val="007164EF"/>
    <w:rsid w:val="00742A1A"/>
    <w:rsid w:val="00743927"/>
    <w:rsid w:val="007D0E70"/>
    <w:rsid w:val="00803E6A"/>
    <w:rsid w:val="00846ED5"/>
    <w:rsid w:val="008509CC"/>
    <w:rsid w:val="00873402"/>
    <w:rsid w:val="008871B1"/>
    <w:rsid w:val="008A1864"/>
    <w:rsid w:val="00993176"/>
    <w:rsid w:val="009960B4"/>
    <w:rsid w:val="009A2696"/>
    <w:rsid w:val="009A3A1F"/>
    <w:rsid w:val="009A5BF6"/>
    <w:rsid w:val="009E6A91"/>
    <w:rsid w:val="00A2520B"/>
    <w:rsid w:val="00A56610"/>
    <w:rsid w:val="00A66C04"/>
    <w:rsid w:val="00A77BDB"/>
    <w:rsid w:val="00A95400"/>
    <w:rsid w:val="00AB1801"/>
    <w:rsid w:val="00AB1CF6"/>
    <w:rsid w:val="00AE7148"/>
    <w:rsid w:val="00BB0515"/>
    <w:rsid w:val="00BB311B"/>
    <w:rsid w:val="00BE11AB"/>
    <w:rsid w:val="00BE3607"/>
    <w:rsid w:val="00BF654E"/>
    <w:rsid w:val="00BF6BBB"/>
    <w:rsid w:val="00C373BD"/>
    <w:rsid w:val="00C40840"/>
    <w:rsid w:val="00CB5438"/>
    <w:rsid w:val="00CE5FCD"/>
    <w:rsid w:val="00D02E36"/>
    <w:rsid w:val="00D03DB3"/>
    <w:rsid w:val="00D322F1"/>
    <w:rsid w:val="00D412A9"/>
    <w:rsid w:val="00D86124"/>
    <w:rsid w:val="00D92F76"/>
    <w:rsid w:val="00D93DD4"/>
    <w:rsid w:val="00DA51A3"/>
    <w:rsid w:val="00DC3600"/>
    <w:rsid w:val="00DD2D8C"/>
    <w:rsid w:val="00E02E6F"/>
    <w:rsid w:val="00E82DA1"/>
    <w:rsid w:val="00F24290"/>
    <w:rsid w:val="00F44277"/>
    <w:rsid w:val="00FB1831"/>
    <w:rsid w:val="00FE67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5BF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uiPriority w:val="99"/>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NormaleWeb">
    <w:name w:val="Normal (Web)"/>
    <w:basedOn w:val="Normale"/>
    <w:uiPriority w:val="99"/>
    <w:unhideWhenUsed/>
    <w:rsid w:val="004D1D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stosegnaposto">
    <w:name w:val="Placeholder Text"/>
    <w:basedOn w:val="Carpredefinitoparagrafo"/>
    <w:uiPriority w:val="99"/>
    <w:semiHidden/>
    <w:rsid w:val="00BE11AB"/>
    <w:rPr>
      <w:color w:val="808080"/>
    </w:rPr>
  </w:style>
  <w:style w:type="paragraph" w:styleId="Paragrafoelenco">
    <w:name w:val="List Paragraph"/>
    <w:basedOn w:val="Normale"/>
    <w:uiPriority w:val="34"/>
    <w:qFormat/>
    <w:rsid w:val="00501BAC"/>
    <w:pPr>
      <w:spacing w:line="259" w:lineRule="auto"/>
      <w:ind w:left="720"/>
      <w:contextualSpacing/>
    </w:pPr>
  </w:style>
  <w:style w:type="character" w:styleId="Collegamentoipertestuale">
    <w:name w:val="Hyperlink"/>
    <w:basedOn w:val="Carpredefinitoparagrafo"/>
    <w:uiPriority w:val="99"/>
    <w:unhideWhenUsed/>
    <w:rsid w:val="00501BAC"/>
    <w:rPr>
      <w:color w:val="0563C1" w:themeColor="hyperlink"/>
      <w:u w:val="single"/>
    </w:rPr>
  </w:style>
  <w:style w:type="character" w:styleId="Menzionenonrisolta">
    <w:name w:val="Unresolved Mention"/>
    <w:basedOn w:val="Carpredefinitoparagrafo"/>
    <w:uiPriority w:val="99"/>
    <w:semiHidden/>
    <w:unhideWhenUsed/>
    <w:rsid w:val="00501BAC"/>
    <w:rPr>
      <w:color w:val="605E5C"/>
      <w:shd w:val="clear" w:color="auto" w:fill="E1DFDD"/>
    </w:rPr>
  </w:style>
  <w:style w:type="character" w:styleId="Rimandocommento">
    <w:name w:val="annotation reference"/>
    <w:basedOn w:val="Carpredefinitoparagrafo"/>
    <w:uiPriority w:val="99"/>
    <w:semiHidden/>
    <w:unhideWhenUsed/>
    <w:rsid w:val="00501BAC"/>
    <w:rPr>
      <w:sz w:val="16"/>
      <w:szCs w:val="16"/>
    </w:rPr>
  </w:style>
  <w:style w:type="paragraph" w:styleId="Testocommento">
    <w:name w:val="annotation text"/>
    <w:basedOn w:val="Normale"/>
    <w:link w:val="TestocommentoCarattere"/>
    <w:uiPriority w:val="99"/>
    <w:semiHidden/>
    <w:unhideWhenUsed/>
    <w:rsid w:val="00501B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01BAC"/>
    <w:rPr>
      <w:sz w:val="20"/>
      <w:szCs w:val="20"/>
    </w:rPr>
  </w:style>
  <w:style w:type="paragraph" w:styleId="Soggettocommento">
    <w:name w:val="annotation subject"/>
    <w:basedOn w:val="Testocommento"/>
    <w:next w:val="Testocommento"/>
    <w:link w:val="SoggettocommentoCarattere"/>
    <w:uiPriority w:val="99"/>
    <w:semiHidden/>
    <w:unhideWhenUsed/>
    <w:rsid w:val="00501BAC"/>
    <w:rPr>
      <w:b/>
      <w:bCs/>
    </w:rPr>
  </w:style>
  <w:style w:type="character" w:customStyle="1" w:styleId="SoggettocommentoCarattere">
    <w:name w:val="Soggetto commento Carattere"/>
    <w:basedOn w:val="TestocommentoCarattere"/>
    <w:link w:val="Soggettocommento"/>
    <w:uiPriority w:val="99"/>
    <w:semiHidden/>
    <w:rsid w:val="00501BAC"/>
    <w:rPr>
      <w:b/>
      <w:bCs/>
      <w:sz w:val="20"/>
      <w:szCs w:val="20"/>
    </w:rPr>
  </w:style>
  <w:style w:type="paragraph" w:styleId="Revisione">
    <w:name w:val="Revision"/>
    <w:hidden/>
    <w:uiPriority w:val="99"/>
    <w:semiHidden/>
    <w:rsid w:val="009A5BF6"/>
    <w:pPr>
      <w:spacing w:after="0" w:line="240" w:lineRule="auto"/>
    </w:pPr>
  </w:style>
  <w:style w:type="table" w:styleId="Grigliatabella">
    <w:name w:val="Table Grid"/>
    <w:basedOn w:val="Tabellanormale"/>
    <w:uiPriority w:val="39"/>
    <w:rsid w:val="009A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27028">
      <w:bodyDiv w:val="1"/>
      <w:marLeft w:val="0"/>
      <w:marRight w:val="0"/>
      <w:marTop w:val="0"/>
      <w:marBottom w:val="0"/>
      <w:divBdr>
        <w:top w:val="none" w:sz="0" w:space="0" w:color="auto"/>
        <w:left w:val="none" w:sz="0" w:space="0" w:color="auto"/>
        <w:bottom w:val="none" w:sz="0" w:space="0" w:color="auto"/>
        <w:right w:val="none" w:sz="0" w:space="0" w:color="auto"/>
      </w:divBdr>
    </w:div>
    <w:div w:id="1124468401">
      <w:bodyDiv w:val="1"/>
      <w:marLeft w:val="0"/>
      <w:marRight w:val="0"/>
      <w:marTop w:val="0"/>
      <w:marBottom w:val="0"/>
      <w:divBdr>
        <w:top w:val="none" w:sz="0" w:space="0" w:color="auto"/>
        <w:left w:val="none" w:sz="0" w:space="0" w:color="auto"/>
        <w:bottom w:val="none" w:sz="0" w:space="0" w:color="auto"/>
        <w:right w:val="none" w:sz="0" w:space="0" w:color="auto"/>
      </w:divBdr>
    </w:div>
    <w:div w:id="1270164708">
      <w:bodyDiv w:val="1"/>
      <w:marLeft w:val="0"/>
      <w:marRight w:val="0"/>
      <w:marTop w:val="0"/>
      <w:marBottom w:val="0"/>
      <w:divBdr>
        <w:top w:val="none" w:sz="0" w:space="0" w:color="auto"/>
        <w:left w:val="none" w:sz="0" w:space="0" w:color="auto"/>
        <w:bottom w:val="none" w:sz="0" w:space="0" w:color="auto"/>
        <w:right w:val="none" w:sz="0" w:space="0" w:color="auto"/>
      </w:divBdr>
    </w:div>
    <w:div w:id="1515537955">
      <w:bodyDiv w:val="1"/>
      <w:marLeft w:val="0"/>
      <w:marRight w:val="0"/>
      <w:marTop w:val="0"/>
      <w:marBottom w:val="0"/>
      <w:divBdr>
        <w:top w:val="none" w:sz="0" w:space="0" w:color="auto"/>
        <w:left w:val="none" w:sz="0" w:space="0" w:color="auto"/>
        <w:bottom w:val="none" w:sz="0" w:space="0" w:color="auto"/>
        <w:right w:val="none" w:sz="0" w:space="0" w:color="auto"/>
      </w:divBdr>
    </w:div>
    <w:div w:id="1643728903">
      <w:bodyDiv w:val="1"/>
      <w:marLeft w:val="0"/>
      <w:marRight w:val="0"/>
      <w:marTop w:val="0"/>
      <w:marBottom w:val="0"/>
      <w:divBdr>
        <w:top w:val="none" w:sz="0" w:space="0" w:color="auto"/>
        <w:left w:val="none" w:sz="0" w:space="0" w:color="auto"/>
        <w:bottom w:val="none" w:sz="0" w:space="0" w:color="auto"/>
        <w:right w:val="none" w:sz="0" w:space="0" w:color="auto"/>
      </w:divBdr>
    </w:div>
    <w:div w:id="21186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ej.2022.1353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782</Words>
  <Characters>4460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ANTONIA FILINGERI</cp:lastModifiedBy>
  <cp:revision>7</cp:revision>
  <cp:lastPrinted>2022-01-31T11:56:00Z</cp:lastPrinted>
  <dcterms:created xsi:type="dcterms:W3CDTF">2022-03-13T09:52:00Z</dcterms:created>
  <dcterms:modified xsi:type="dcterms:W3CDTF">2022-03-14T17:18:00Z</dcterms:modified>
</cp:coreProperties>
</file>