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CE7BE" w14:textId="0A5B7D01" w:rsidR="00DA51A3" w:rsidRPr="00935E68" w:rsidRDefault="00D12B3B" w:rsidP="00DA51A3">
      <w:pPr>
        <w:snapToGrid w:val="0"/>
        <w:jc w:val="center"/>
        <w:rPr>
          <w:rFonts w:ascii="Times New Roman" w:eastAsia="MS PGothic" w:hAnsi="Times New Roman"/>
          <w:b/>
          <w:bCs/>
          <w:sz w:val="24"/>
          <w:szCs w:val="24"/>
          <w:lang w:val="en-GB"/>
        </w:rPr>
      </w:pPr>
      <w:r>
        <w:rPr>
          <w:rFonts w:ascii="Times New Roman" w:eastAsia="MS PGothic" w:hAnsi="Times New Roman"/>
          <w:b/>
          <w:bCs/>
          <w:sz w:val="24"/>
          <w:szCs w:val="24"/>
          <w:lang w:val="en-US"/>
        </w:rPr>
        <w:t>Scale up of a dechlorinating microbial consortium based on chemostat approach</w:t>
      </w:r>
    </w:p>
    <w:p w14:paraId="243AAF34" w14:textId="5DB4FE29" w:rsidR="00DA51A3" w:rsidRPr="00571202" w:rsidRDefault="00571202" w:rsidP="00DA51A3">
      <w:pPr>
        <w:snapToGrid w:val="0"/>
        <w:jc w:val="center"/>
        <w:rPr>
          <w:rFonts w:ascii="Times New Roman" w:eastAsia="MS PGothic" w:hAnsi="Times New Roman"/>
          <w:sz w:val="24"/>
          <w:szCs w:val="24"/>
        </w:rPr>
      </w:pPr>
      <w:r w:rsidRPr="00571202">
        <w:rPr>
          <w:rFonts w:ascii="Times New Roman" w:eastAsia="SimSun" w:hAnsi="Times New Roman"/>
          <w:sz w:val="24"/>
          <w:szCs w:val="24"/>
          <w:u w:val="single"/>
          <w:lang w:eastAsia="zh-CN"/>
        </w:rPr>
        <w:t>Edoardo Dell’Armi</w:t>
      </w:r>
      <w:r w:rsidR="00DA51A3" w:rsidRPr="00571202">
        <w:rPr>
          <w:rFonts w:ascii="Times New Roman" w:eastAsia="SimSun" w:hAnsi="Times New Roman"/>
          <w:sz w:val="24"/>
          <w:szCs w:val="24"/>
          <w:u w:val="single"/>
          <w:vertAlign w:val="superscript"/>
          <w:lang w:eastAsia="zh-CN"/>
        </w:rPr>
        <w:t>1</w:t>
      </w:r>
      <w:r w:rsidR="00DA51A3" w:rsidRPr="00571202">
        <w:rPr>
          <w:rFonts w:ascii="Times New Roman" w:eastAsia="SimSun" w:hAnsi="Times New Roman"/>
          <w:sz w:val="24"/>
          <w:szCs w:val="24"/>
          <w:lang w:eastAsia="zh-CN"/>
        </w:rPr>
        <w:t xml:space="preserve">, </w:t>
      </w:r>
      <w:r w:rsidRPr="00571202">
        <w:rPr>
          <w:rFonts w:ascii="Times New Roman" w:eastAsia="SimSun" w:hAnsi="Times New Roman"/>
          <w:sz w:val="24"/>
          <w:szCs w:val="24"/>
          <w:lang w:eastAsia="zh-CN"/>
        </w:rPr>
        <w:t xml:space="preserve">Marco Zeppilli, Mauro </w:t>
      </w:r>
      <w:proofErr w:type="spellStart"/>
      <w:r w:rsidRPr="00571202">
        <w:rPr>
          <w:rFonts w:ascii="Times New Roman" w:eastAsia="SimSun" w:hAnsi="Times New Roman"/>
          <w:sz w:val="24"/>
          <w:szCs w:val="24"/>
          <w:lang w:eastAsia="zh-CN"/>
        </w:rPr>
        <w:t>Majone</w:t>
      </w:r>
      <w:proofErr w:type="spellEnd"/>
      <w:r w:rsidRPr="00571202">
        <w:rPr>
          <w:rFonts w:ascii="Times New Roman" w:eastAsia="SimSun" w:hAnsi="Times New Roman"/>
          <w:sz w:val="24"/>
          <w:szCs w:val="24"/>
          <w:lang w:eastAsia="zh-CN"/>
        </w:rPr>
        <w:t>, Ma</w:t>
      </w:r>
      <w:r>
        <w:rPr>
          <w:rFonts w:ascii="Times New Roman" w:eastAsia="SimSun" w:hAnsi="Times New Roman"/>
          <w:sz w:val="24"/>
          <w:szCs w:val="24"/>
          <w:lang w:eastAsia="zh-CN"/>
        </w:rPr>
        <w:t>rco Petrangeli Papini</w:t>
      </w:r>
    </w:p>
    <w:p w14:paraId="7A602332" w14:textId="1EE2A935" w:rsidR="00DA51A3" w:rsidRPr="00466FFD" w:rsidRDefault="00DA51A3" w:rsidP="00DA51A3">
      <w:pPr>
        <w:snapToGrid w:val="0"/>
        <w:spacing w:after="120"/>
        <w:jc w:val="center"/>
        <w:rPr>
          <w:rFonts w:ascii="Times New Roman" w:eastAsia="MS PGothic" w:hAnsi="Times New Roman"/>
          <w:i/>
          <w:iCs/>
          <w:sz w:val="20"/>
          <w:lang w:val="en-US"/>
        </w:rPr>
      </w:pPr>
      <w:r w:rsidRPr="00466FFD">
        <w:rPr>
          <w:rFonts w:ascii="Times New Roman" w:eastAsia="MS PGothic" w:hAnsi="Times New Roman"/>
          <w:i/>
          <w:iCs/>
          <w:sz w:val="20"/>
          <w:lang w:val="en-US"/>
        </w:rPr>
        <w:t xml:space="preserve">1 </w:t>
      </w:r>
      <w:r w:rsidR="00571202">
        <w:rPr>
          <w:rFonts w:ascii="Times New Roman" w:eastAsia="MS PGothic" w:hAnsi="Times New Roman"/>
          <w:i/>
          <w:iCs/>
          <w:sz w:val="20"/>
          <w:lang w:val="en-US"/>
        </w:rPr>
        <w:t xml:space="preserve">Department of Chemistry, “Sapienza” University of Rome, </w:t>
      </w:r>
      <w:proofErr w:type="spellStart"/>
      <w:proofErr w:type="gramStart"/>
      <w:r w:rsidR="00571202">
        <w:rPr>
          <w:rFonts w:ascii="Times New Roman" w:eastAsia="MS PGothic" w:hAnsi="Times New Roman"/>
          <w:i/>
          <w:iCs/>
          <w:sz w:val="20"/>
          <w:lang w:val="en-US"/>
        </w:rPr>
        <w:t>P.zale</w:t>
      </w:r>
      <w:proofErr w:type="spellEnd"/>
      <w:proofErr w:type="gramEnd"/>
      <w:r w:rsidR="00571202">
        <w:rPr>
          <w:rFonts w:ascii="Times New Roman" w:eastAsia="MS PGothic" w:hAnsi="Times New Roman"/>
          <w:i/>
          <w:iCs/>
          <w:sz w:val="20"/>
          <w:lang w:val="en-US"/>
        </w:rPr>
        <w:t xml:space="preserve"> Aldo Moro,5, 00185, Rome, Italy</w:t>
      </w:r>
      <w:r w:rsidRPr="00466FFD">
        <w:rPr>
          <w:rFonts w:ascii="Times New Roman" w:eastAsia="MS PGothic" w:hAnsi="Times New Roman"/>
          <w:i/>
          <w:iCs/>
          <w:sz w:val="20"/>
          <w:lang w:val="en-US"/>
        </w:rPr>
        <w:t xml:space="preserve">; </w:t>
      </w:r>
    </w:p>
    <w:p w14:paraId="5533360A" w14:textId="7F8DE65B" w:rsidR="00DA51A3" w:rsidRPr="00466FFD" w:rsidRDefault="00DA51A3" w:rsidP="00DA51A3">
      <w:pPr>
        <w:snapToGrid w:val="0"/>
        <w:jc w:val="center"/>
        <w:rPr>
          <w:rFonts w:ascii="Times New Roman" w:eastAsia="MS PGothic" w:hAnsi="Times New Roman"/>
          <w:bCs/>
          <w:i/>
          <w:iCs/>
          <w:sz w:val="20"/>
          <w:lang w:val="en-US"/>
        </w:rPr>
      </w:pPr>
      <w:r w:rsidRPr="00466FFD">
        <w:rPr>
          <w:rFonts w:ascii="Times New Roman" w:eastAsia="MS PGothic" w:hAnsi="Times New Roman"/>
          <w:bCs/>
          <w:i/>
          <w:iCs/>
          <w:sz w:val="20"/>
          <w:lang w:val="en-US"/>
        </w:rPr>
        <w:t>*Corresponding author</w:t>
      </w:r>
      <w:r w:rsidRPr="00466FFD">
        <w:rPr>
          <w:rFonts w:ascii="Times New Roman" w:eastAsia="MS PGothic" w:hAnsi="Times New Roman"/>
          <w:bCs/>
          <w:i/>
          <w:iCs/>
          <w:sz w:val="20"/>
          <w:lang w:val="en-US" w:eastAsia="ko-KR"/>
        </w:rPr>
        <w:t xml:space="preserve"> E-Mail: </w:t>
      </w:r>
      <w:r w:rsidRPr="00466FFD">
        <w:rPr>
          <w:rFonts w:ascii="Times New Roman" w:eastAsia="MS PGothic" w:hAnsi="Times New Roman"/>
          <w:bCs/>
          <w:i/>
          <w:iCs/>
          <w:sz w:val="20"/>
          <w:lang w:val="en-US"/>
        </w:rPr>
        <w:t xml:space="preserve"> </w:t>
      </w:r>
      <w:r w:rsidR="00571202">
        <w:rPr>
          <w:rFonts w:ascii="Times New Roman" w:eastAsia="MS PGothic" w:hAnsi="Times New Roman"/>
          <w:bCs/>
          <w:i/>
          <w:iCs/>
          <w:sz w:val="20"/>
          <w:lang w:val="en-US"/>
        </w:rPr>
        <w:t>edoardo.dellarmi@uniroma1.it</w:t>
      </w:r>
    </w:p>
    <w:p w14:paraId="110B92B3" w14:textId="77777777" w:rsidR="00DA51A3" w:rsidRPr="00466FFD" w:rsidRDefault="00DA51A3" w:rsidP="00DA51A3">
      <w:pPr>
        <w:snapToGrid w:val="0"/>
        <w:spacing w:line="300" w:lineRule="auto"/>
        <w:rPr>
          <w:rFonts w:ascii="Times New Roman" w:eastAsia="MS PGothic" w:hAnsi="Times New Roman"/>
          <w:b/>
          <w:bCs/>
          <w:lang w:val="en-US" w:eastAsia="ko-KR"/>
        </w:rPr>
      </w:pPr>
      <w:r w:rsidRPr="00466FFD">
        <w:rPr>
          <w:rFonts w:ascii="Times New Roman" w:eastAsia="MS PGothic" w:hAnsi="Times New Roman"/>
          <w:b/>
          <w:bCs/>
          <w:lang w:val="en-US"/>
        </w:rPr>
        <w:t>1.</w:t>
      </w:r>
      <w:r w:rsidR="003F160A">
        <w:rPr>
          <w:rFonts w:ascii="Times New Roman" w:eastAsia="MS PGothic" w:hAnsi="Times New Roman"/>
          <w:b/>
          <w:bCs/>
          <w:lang w:val="en-US"/>
        </w:rPr>
        <w:t>Introduction</w:t>
      </w:r>
    </w:p>
    <w:p w14:paraId="2921E14B" w14:textId="766775CE" w:rsidR="00A05600" w:rsidRPr="00A713C7" w:rsidRDefault="00A05600" w:rsidP="00D12B3B">
      <w:pPr>
        <w:snapToGrid w:val="0"/>
        <w:spacing w:after="120"/>
        <w:jc w:val="both"/>
        <w:rPr>
          <w:rFonts w:ascii="Times New Roman" w:eastAsia="MS PGothic" w:hAnsi="Times New Roman"/>
          <w:lang w:val="en-GB"/>
        </w:rPr>
      </w:pPr>
      <w:r w:rsidRPr="00A713C7">
        <w:rPr>
          <w:rFonts w:ascii="Times New Roman" w:eastAsia="MS PGothic" w:hAnsi="Times New Roman"/>
          <w:lang w:val="en-GB"/>
        </w:rPr>
        <w:t>Chlorinated aliphatic hydrocarbons (CAHs) (</w:t>
      </w:r>
      <w:proofErr w:type="spellStart"/>
      <w:proofErr w:type="gramStart"/>
      <w:r w:rsidRPr="00A713C7">
        <w:rPr>
          <w:rFonts w:ascii="Times New Roman" w:eastAsia="MS PGothic" w:hAnsi="Times New Roman"/>
          <w:lang w:val="en-GB"/>
        </w:rPr>
        <w:t>eg</w:t>
      </w:r>
      <w:proofErr w:type="spellEnd"/>
      <w:proofErr w:type="gramEnd"/>
      <w:r w:rsidRPr="00A713C7">
        <w:rPr>
          <w:rFonts w:ascii="Times New Roman" w:eastAsia="MS PGothic" w:hAnsi="Times New Roman"/>
          <w:lang w:val="en-GB"/>
        </w:rPr>
        <w:t xml:space="preserve"> </w:t>
      </w:r>
      <w:proofErr w:type="spellStart"/>
      <w:r w:rsidRPr="00A713C7">
        <w:rPr>
          <w:rFonts w:ascii="Times New Roman" w:eastAsia="MS PGothic" w:hAnsi="Times New Roman"/>
          <w:lang w:val="en-GB"/>
        </w:rPr>
        <w:t>Perchlorethylene</w:t>
      </w:r>
      <w:proofErr w:type="spellEnd"/>
      <w:r w:rsidRPr="00A713C7">
        <w:rPr>
          <w:rFonts w:ascii="Times New Roman" w:eastAsia="MS PGothic" w:hAnsi="Times New Roman"/>
          <w:lang w:val="en-GB"/>
        </w:rPr>
        <w:t xml:space="preserve"> (PCE), Trichlorethylene (TCE)) are organic compounds in which the chlorine atoms are directly bound to the carbon skeleton. Due to their peculiar chemical-physical properties, chlorinated solvents have been widely used for many industrial activities. The widespread utilization and the improper storage and disposal have made the CAHs ubiquitous pollutants of various types of environmental matrices</w:t>
      </w:r>
      <w:r w:rsidR="00EC4E9A" w:rsidRPr="00A713C7">
        <w:rPr>
          <w:rFonts w:ascii="Times New Roman" w:eastAsia="MS PGothic" w:hAnsi="Times New Roman"/>
          <w:lang w:val="en-GB"/>
        </w:rPr>
        <w:t xml:space="preserve"> </w:t>
      </w:r>
      <w:r w:rsidR="00EC4E9A" w:rsidRPr="00A713C7">
        <w:rPr>
          <w:rFonts w:ascii="Times New Roman" w:eastAsia="MS PGothic" w:hAnsi="Times New Roman"/>
          <w:lang w:val="en-GB"/>
        </w:rPr>
        <w:fldChar w:fldCharType="begin" w:fldLock="1"/>
      </w:r>
      <w:r w:rsidR="00EC4E9A" w:rsidRPr="00A713C7">
        <w:rPr>
          <w:rFonts w:ascii="Times New Roman" w:eastAsia="MS PGothic" w:hAnsi="Times New Roman"/>
          <w:lang w:val="en-GB"/>
        </w:rPr>
        <w:instrText>ADDIN CSL_CITATION {"citationItems":[{"id":"ITEM-1","itemData":{"DOI":"10.1006/enfo.2000.0010","ISSN":"15275922","abstract":"Carbon tetrachloride (CTC), tetrachloroethylene (PCE), trichloroethylene (TCE) and 1,1,1-trichloroethane (TCA) were four of the most widely used cleaning and degreasing solvents in the United States. These compounds were also used in a wide variety of other applications. The history of the production and use of these four compounds is linked to the development and growth of the United States' synthetic organic chemical industry, and historical events that affected the development and use of chlorinated solvents in general. Part 1 of this article includes a discussion of the historical background common to each of the four solvents, followed by discussion on the history of CTC and PCE. In the early years of the 20th century, CTC became the first of the four solvents to come into widespread use. CTC was used as a replacement for petroleum distillates in the dry-cleaning industry, but was later replaced by PCE. In the 1990s, CTC was phased out under the Montreal Protocol due to its role in stratospheric ozone depletion. © 2000 Association for Environmental Health and Sciences.","author":[{"dropping-particle":"","family":"Doherty","given":"Richard E.","non-dropping-particle":"","parse-names":false,"suffix":""}],"container-title":"Environmental Forensics","id":"ITEM-1","issue":"2","issued":{"date-parts":[["2000"]]},"page":"69-81","title":"A History of the Production and Use of Carbon Tetrachloride, Tetrachloroethylene, Trichloroethylene and 1,1,1-Trichloroethane in the United States: Part 1 - Historical Background; Carbon Tetrachloride and Tetrachloroethylene","type":"article-journal","volume":"1"},"uris":["http://www.mendeley.com/documents/?uuid=2b599c5e-cb6f-487a-88df-e4f765979f58"]}],"mendeley":{"formattedCitation":"[1]","plainTextFormattedCitation":"[1]","previouslyFormattedCitation":"[1]"},"properties":{"noteIndex":0},"schema":"https://github.com/citation-style-language/schema/raw/master/csl-citation.json"}</w:instrText>
      </w:r>
      <w:r w:rsidR="00EC4E9A" w:rsidRPr="00A713C7">
        <w:rPr>
          <w:rFonts w:ascii="Times New Roman" w:eastAsia="MS PGothic" w:hAnsi="Times New Roman"/>
          <w:lang w:val="en-GB"/>
        </w:rPr>
        <w:fldChar w:fldCharType="separate"/>
      </w:r>
      <w:r w:rsidR="00EC4E9A" w:rsidRPr="00A713C7">
        <w:rPr>
          <w:rFonts w:ascii="Times New Roman" w:eastAsia="MS PGothic" w:hAnsi="Times New Roman"/>
          <w:noProof/>
          <w:lang w:val="en-GB"/>
        </w:rPr>
        <w:t>[1]</w:t>
      </w:r>
      <w:r w:rsidR="00EC4E9A" w:rsidRPr="00A713C7">
        <w:rPr>
          <w:rFonts w:ascii="Times New Roman" w:eastAsia="MS PGothic" w:hAnsi="Times New Roman"/>
          <w:lang w:val="en-GB"/>
        </w:rPr>
        <w:fldChar w:fldCharType="end"/>
      </w:r>
      <w:r w:rsidRPr="00A713C7">
        <w:rPr>
          <w:rFonts w:ascii="Times New Roman" w:eastAsia="MS PGothic" w:hAnsi="Times New Roman"/>
          <w:lang w:val="en-GB"/>
        </w:rPr>
        <w:t>. Very often these matrices are remediate using technologies that exploit chemical-physical treatment technologies, even if in recent years are gaining the scientific community interest the technologies that utilize the microbial consortia naturally present in the contaminated matrices</w:t>
      </w:r>
      <w:r w:rsidR="00EC4E9A" w:rsidRPr="00A713C7">
        <w:rPr>
          <w:rFonts w:ascii="Times New Roman" w:eastAsia="MS PGothic" w:hAnsi="Times New Roman"/>
          <w:lang w:val="en-GB"/>
        </w:rPr>
        <w:t xml:space="preserve"> </w:t>
      </w:r>
      <w:r w:rsidR="00EC4E9A" w:rsidRPr="00A713C7">
        <w:rPr>
          <w:rFonts w:ascii="Times New Roman" w:eastAsia="MS PGothic" w:hAnsi="Times New Roman"/>
          <w:lang w:val="en-GB"/>
        </w:rPr>
        <w:fldChar w:fldCharType="begin" w:fldLock="1"/>
      </w:r>
      <w:r w:rsidR="00F52BAB" w:rsidRPr="00A713C7">
        <w:rPr>
          <w:rFonts w:ascii="Times New Roman" w:eastAsia="MS PGothic" w:hAnsi="Times New Roman"/>
          <w:lang w:val="en-GB"/>
        </w:rPr>
        <w:instrText>ADDIN CSL_CITATION {"citationItems":[{"id":"ITEM-1","itemData":{"DOI":"10.3303/CET1649016","ISBN":"9788895608402","ISSN":"22839216","abstract":"The remediation of aged source zone affected by residual chlorinated aliphatic hydrocarbons (CAHs) represents one of the main challenges in contaminated aquifers. Groundwater Circulation Wells (GCWs) could be considered a strategy for the progressive source zone remediation; this in situ remediation technology is designed to create an in situ vertical groundwater circulation cells by drawing groundwater from an aquifer through one screened section of a multi-screened well and discharging it through another screened section. The pressure gradient between the two hydraulically separated screen sections in the well induces a circulation flow in the aquifer forcing water through less permeable layer where usually CAHs residual source are located. The groundwater moves through the treatment zone both horizontally and vertically and as a consequence the low permeable layer is constantly penetrated by the vertical flow of the GCWs. We tested the possibility to use GCW to enhance in-situ bioremediation (ISB) in an operative industrial site heavily contaminated by different chlorinated solvents (at concentration up to 100 mg/L) in a complex hydrogeological saturated zone. A 30 mts deep GCW, with three screen sections, was designed and installed at the site for a pilot testing. Groundwater is pumped towards two screen sections of the GCW and is reinjected into the aquifer by another screen section after passing through an external unit treatment. External treatment unit is composed of a sand filter tank and two reactors: one reactor was filled with a biodegradable polymer (polyhydroxy-butyrrate, PHB) and the other one with a mixture of zero-valent iron (ZVI) and PHB. Results from the first eight months of operation clearly demonstrated how groundwater recirculation through the PHB reactor allowed delivering continuously electron donors in the contaminated aquifer enhancing the mobilization of CAHs and stimulating Natural Attenuation biological processes.","author":[{"dropping-particle":"","family":"Papini","given":"Marco Petrangeli","non-dropping-particle":"","parse-names":false,"suffix":""},{"dropping-particle":"","family":"Majone","given":"Mauro","non-dropping-particle":"","parse-names":false,"suffix":""},{"dropping-particle":"","family":"Arjmand","given":"Firoozeh","non-dropping-particle":"","parse-names":false,"suffix":""},{"dropping-particle":"","family":"Silvestri","given":"Daniele","non-dropping-particle":"","parse-names":false,"suffix":""},{"dropping-particle":"","family":"Sagliaschi","given":"Marco","non-dropping-particle":"","parse-names":false,"suffix":""},{"dropping-particle":"","family":"Sucato","given":"Salvatore","non-dropping-particle":"","parse-names":false,"suffix":""},{"dropping-particle":"","family":"Alesi","given":"Eduard","non-dropping-particle":"","parse-names":false,"suffix":""},{"dropping-particle":"","family":"Barstch","given":"Ernst","non-dropping-particle":"","parse-names":false,"suffix":""},{"dropping-particle":"","family":"Pierro","given":"Lucia","non-dropping-particle":"","parse-names":false,"suffix":""}],"container-title":"Chemical Engineering Transactions","id":"ITEM-1","issued":{"date-parts":[["2016"]]},"page":"91-96","title":"First pilot test on the integration of GCW (groundwater circulation well) with ENA (enhanced natural attenuation) for chlorinated solvents source remediation","type":"article-journal","volume":"49"},"uris":["http://www.mendeley.com/documents/?uuid=2eb36bec-caa0-4127-be22-abee2b256e74"]}],"mendeley":{"formattedCitation":"[2]","plainTextFormattedCitation":"[2]","previouslyFormattedCitation":"[2]"},"properties":{"noteIndex":0},"schema":"https://github.com/citation-style-language/schema/raw/master/csl-citation.json"}</w:instrText>
      </w:r>
      <w:r w:rsidR="00EC4E9A" w:rsidRPr="00A713C7">
        <w:rPr>
          <w:rFonts w:ascii="Times New Roman" w:eastAsia="MS PGothic" w:hAnsi="Times New Roman"/>
          <w:lang w:val="en-GB"/>
        </w:rPr>
        <w:fldChar w:fldCharType="separate"/>
      </w:r>
      <w:r w:rsidR="00EC4E9A" w:rsidRPr="00A713C7">
        <w:rPr>
          <w:rFonts w:ascii="Times New Roman" w:eastAsia="MS PGothic" w:hAnsi="Times New Roman"/>
          <w:noProof/>
          <w:lang w:val="en-GB"/>
        </w:rPr>
        <w:t>[2]</w:t>
      </w:r>
      <w:r w:rsidR="00EC4E9A" w:rsidRPr="00A713C7">
        <w:rPr>
          <w:rFonts w:ascii="Times New Roman" w:eastAsia="MS PGothic" w:hAnsi="Times New Roman"/>
          <w:lang w:val="en-GB"/>
        </w:rPr>
        <w:fldChar w:fldCharType="end"/>
      </w:r>
      <w:r w:rsidRPr="00A713C7">
        <w:rPr>
          <w:rFonts w:ascii="Times New Roman" w:eastAsia="MS PGothic" w:hAnsi="Times New Roman"/>
          <w:lang w:val="en-GB"/>
        </w:rPr>
        <w:t xml:space="preserve">. One of these technologies can take advantage of in situ reduction through a reaction called reductive </w:t>
      </w:r>
      <w:proofErr w:type="spellStart"/>
      <w:r w:rsidRPr="00A713C7">
        <w:rPr>
          <w:rFonts w:ascii="Times New Roman" w:eastAsia="MS PGothic" w:hAnsi="Times New Roman"/>
          <w:lang w:val="en-GB"/>
        </w:rPr>
        <w:t>dechlorination</w:t>
      </w:r>
      <w:proofErr w:type="spellEnd"/>
      <w:r w:rsidR="00BB3CB5" w:rsidRPr="00A713C7">
        <w:rPr>
          <w:rFonts w:ascii="Times New Roman" w:eastAsia="MS PGothic" w:hAnsi="Times New Roman"/>
          <w:lang w:val="en-GB"/>
        </w:rPr>
        <w:t xml:space="preserve"> </w:t>
      </w:r>
      <w:r w:rsidR="00BB3CB5" w:rsidRPr="00A713C7">
        <w:rPr>
          <w:rFonts w:ascii="Times New Roman" w:eastAsia="MS PGothic" w:hAnsi="Times New Roman"/>
          <w:lang w:val="en-GB"/>
        </w:rPr>
        <w:fldChar w:fldCharType="begin" w:fldLock="1"/>
      </w:r>
      <w:r w:rsidR="00C25811" w:rsidRPr="00A713C7">
        <w:rPr>
          <w:rFonts w:ascii="Times New Roman" w:eastAsia="MS PGothic" w:hAnsi="Times New Roman"/>
          <w:lang w:val="en-GB"/>
        </w:rPr>
        <w:instrText>ADDIN CSL_CITATION {"citationItems":[{"id":"ITEM-1","itemData":{"DOI":"10.3390/bioengineering8080109","abstract":"Groundwater remediation is one of the main objectives to minimize environmental impacts and health risks. Chlorinated aliphatic hydrocarbons contamination is prevalent and presents partic- ularly challenging scenarios to manage with a single strategy. Different technologies can manage contamination sources and plumes, although they are usually energy-intensive processes. Interesting alternatives involve in-situ bioremediation strategies, which allow the chlorinated contaminant to be converted into non-toxic compounds by indigenous microbial activity. Despite several advantages offered by the bioremediation approaches, some limitations, like the relatively low reaction rates and the difficulty in the management and control of the microbial activity, can affect the effectiveness of a bioremediation approach. However, those issues can be addressed through coupling differ- ent strategies to increase the efficiency of the bioremediation strategy. This mini review describes different strategies to induce the reduction dechlorination reaction by the utilization of innovative strategies, which include the increase or the reduction of contaminant mobility as well as the use of innovative strategies of the reductive power supply. Subsequently, three future approaches for a greener and more sustainable intervention are proposed. In particular, two bio-based materials from renewable resources are intended as alternative, long-lasting electron-donor sources (e.g., poly- hydroxyalkanoates from mixed microbial cultures) and a low-cost adsorbent (e.g., biochar from bio-waste). Finally, attention is drawn to novel bio-electrochemical systems that use electric current to stimulate biological reactions.","author":[{"dropping-particle":"","family":"Rossi","given":"M. M.","non-dropping-particle":"","parse-names":false,"suffix":""},{"dropping-particle":"","family":"Dell’Armi","given":"Edoardo","non-dropping-particle":"","parse-names":false,"suffix":""},{"dropping-particle":"","family":"Lorini","given":"Laura","non-dropping-particle":"","parse-names":false,"suffix":""},{"dropping-particle":"","family":"Amanat","given":"Neda","non-dropping-particle":"","parse-names":false,"suffix":""},{"dropping-particle":"","family":"Zeppilli","given":"Marco","non-dropping-particle":"","parse-names":false,"suffix":""},{"dropping-particle":"","family":"Villano","given":"Marianna","non-dropping-particle":"","parse-names":false,"suffix":""},{"dropping-particle":"","family":"Petrangeli Papini","given":"Marco","non-dropping-particle":"","parse-names":false,"suffix":""}],"container-title":"Bioengineering","id":"ITEM-1","issued":{"date-parts":[["2021"]]},"page":"109","title":"Combined Strategies to Prompt the Biological Reduction of Chlorinated Aliphatic Hydrocarbons : New Sustainable Options for Bioremediation Application","type":"article-journal","volume":"8"},"uris":["http://www.mendeley.com/documents/?uuid=e0bdd174-a268-4c26-840a-dae46e7d0e74"]}],"mendeley":{"formattedCitation":"[3]","plainTextFormattedCitation":"[3]","previouslyFormattedCitation":"[3]"},"properties":{"noteIndex":0},"schema":"https://github.com/citation-style-language/schema/raw/master/csl-citation.json"}</w:instrText>
      </w:r>
      <w:r w:rsidR="00BB3CB5" w:rsidRPr="00A713C7">
        <w:rPr>
          <w:rFonts w:ascii="Times New Roman" w:eastAsia="MS PGothic" w:hAnsi="Times New Roman"/>
          <w:lang w:val="en-GB"/>
        </w:rPr>
        <w:fldChar w:fldCharType="separate"/>
      </w:r>
      <w:r w:rsidR="00BB3CB5" w:rsidRPr="00A713C7">
        <w:rPr>
          <w:rFonts w:ascii="Times New Roman" w:eastAsia="MS PGothic" w:hAnsi="Times New Roman"/>
          <w:noProof/>
          <w:lang w:val="en-GB"/>
        </w:rPr>
        <w:t>[3]</w:t>
      </w:r>
      <w:r w:rsidR="00BB3CB5" w:rsidRPr="00A713C7">
        <w:rPr>
          <w:rFonts w:ascii="Times New Roman" w:eastAsia="MS PGothic" w:hAnsi="Times New Roman"/>
          <w:lang w:val="en-GB"/>
        </w:rPr>
        <w:fldChar w:fldCharType="end"/>
      </w:r>
      <w:r w:rsidRPr="00A713C7">
        <w:rPr>
          <w:rFonts w:ascii="Times New Roman" w:eastAsia="MS PGothic" w:hAnsi="Times New Roman"/>
          <w:lang w:val="en-GB"/>
        </w:rPr>
        <w:t xml:space="preserve">. This is a reaction in which molecular hydrogen provides the reducing power to reduce the halogenated molecule. This study </w:t>
      </w:r>
      <w:r w:rsidR="00097F92" w:rsidRPr="00A713C7">
        <w:rPr>
          <w:rFonts w:ascii="Times New Roman" w:eastAsia="MS PGothic" w:hAnsi="Times New Roman"/>
          <w:lang w:val="en-GB"/>
        </w:rPr>
        <w:t>reports the increas</w:t>
      </w:r>
      <w:r w:rsidR="00A713C7" w:rsidRPr="00A713C7">
        <w:rPr>
          <w:rFonts w:ascii="Times New Roman" w:eastAsia="MS PGothic" w:hAnsi="Times New Roman"/>
          <w:lang w:val="en-GB"/>
        </w:rPr>
        <w:t>ing</w:t>
      </w:r>
      <w:r w:rsidR="00097F92" w:rsidRPr="00A713C7">
        <w:rPr>
          <w:rFonts w:ascii="Times New Roman" w:eastAsia="MS PGothic" w:hAnsi="Times New Roman"/>
          <w:lang w:val="en-GB"/>
        </w:rPr>
        <w:t xml:space="preserve"> of the volume of a</w:t>
      </w:r>
      <w:r w:rsidR="00A713C7">
        <w:rPr>
          <w:rFonts w:ascii="Times New Roman" w:eastAsia="MS PGothic" w:hAnsi="Times New Roman"/>
          <w:lang w:val="en-GB"/>
        </w:rPr>
        <w:t xml:space="preserve"> dechlorinating biomass with the chemostat approach in order to obtain a larger volume of active consortia with </w:t>
      </w:r>
      <w:proofErr w:type="gramStart"/>
      <w:r w:rsidR="00A713C7">
        <w:rPr>
          <w:rFonts w:ascii="Times New Roman" w:eastAsia="MS PGothic" w:hAnsi="Times New Roman"/>
          <w:lang w:val="en-GB"/>
        </w:rPr>
        <w:t>an</w:t>
      </w:r>
      <w:proofErr w:type="gramEnd"/>
      <w:r w:rsidR="00A713C7">
        <w:rPr>
          <w:rFonts w:ascii="Times New Roman" w:eastAsia="MS PGothic" w:hAnsi="Times New Roman"/>
          <w:lang w:val="en-GB"/>
        </w:rPr>
        <w:t xml:space="preserve"> high concentration of genes.</w:t>
      </w:r>
      <w:r w:rsidR="00097F92" w:rsidRPr="00A713C7">
        <w:rPr>
          <w:rFonts w:ascii="Times New Roman" w:eastAsia="MS PGothic" w:hAnsi="Times New Roman"/>
          <w:lang w:val="en-GB"/>
        </w:rPr>
        <w:t xml:space="preserve"> </w:t>
      </w:r>
    </w:p>
    <w:p w14:paraId="0871BF31" w14:textId="3A3EB9AD" w:rsidR="00DA51A3" w:rsidRDefault="00DA51A3" w:rsidP="00A05600">
      <w:pPr>
        <w:snapToGrid w:val="0"/>
        <w:spacing w:after="120"/>
        <w:rPr>
          <w:rFonts w:ascii="Times New Roman" w:eastAsia="MS PGothic" w:hAnsi="Times New Roman"/>
          <w:b/>
          <w:bCs/>
          <w:lang w:val="en-US"/>
        </w:rPr>
      </w:pPr>
      <w:r w:rsidRPr="00466FFD">
        <w:rPr>
          <w:rFonts w:ascii="Times New Roman" w:eastAsia="MS PGothic" w:hAnsi="Times New Roman"/>
          <w:b/>
          <w:bCs/>
          <w:lang w:val="en-US"/>
        </w:rPr>
        <w:t>2. Methods</w:t>
      </w:r>
    </w:p>
    <w:p w14:paraId="714E1321" w14:textId="62602D96" w:rsidR="00D12B3B" w:rsidRDefault="000B1EB5" w:rsidP="00C026FA">
      <w:pPr>
        <w:snapToGrid w:val="0"/>
        <w:spacing w:after="120"/>
        <w:jc w:val="both"/>
        <w:rPr>
          <w:rFonts w:ascii="Times New Roman" w:eastAsia="MS PGothic" w:hAnsi="Times New Roman"/>
          <w:lang w:val="en-US"/>
        </w:rPr>
      </w:pPr>
      <w:r>
        <w:rPr>
          <w:rFonts w:ascii="Times New Roman" w:eastAsia="MS PGothic" w:hAnsi="Times New Roman"/>
          <w:lang w:val="en-US"/>
        </w:rPr>
        <w:t>The scale up activity was</w:t>
      </w:r>
      <w:r w:rsidRPr="000B1EB5">
        <w:rPr>
          <w:rFonts w:ascii="Times New Roman" w:eastAsia="MS PGothic" w:hAnsi="Times New Roman"/>
          <w:lang w:val="en-US"/>
        </w:rPr>
        <w:t xml:space="preserve"> carried out by PCE fed dechlorinating anaerobic culture, which was composed of 75% of D. </w:t>
      </w:r>
      <w:proofErr w:type="spellStart"/>
      <w:r w:rsidRPr="000B1EB5">
        <w:rPr>
          <w:rFonts w:ascii="Times New Roman" w:eastAsia="MS PGothic" w:hAnsi="Times New Roman"/>
          <w:lang w:val="en-US"/>
        </w:rPr>
        <w:t>mccaryi</w:t>
      </w:r>
      <w:proofErr w:type="spellEnd"/>
      <w:r w:rsidRPr="000B1EB5">
        <w:rPr>
          <w:rFonts w:ascii="Times New Roman" w:eastAsia="MS PGothic" w:hAnsi="Times New Roman"/>
          <w:lang w:val="en-US"/>
        </w:rPr>
        <w:t>. Raw data of the 16S rRNA gene amplicon se-</w:t>
      </w:r>
      <w:proofErr w:type="spellStart"/>
      <w:r w:rsidRPr="000B1EB5">
        <w:rPr>
          <w:rFonts w:ascii="Times New Roman" w:eastAsia="MS PGothic" w:hAnsi="Times New Roman"/>
          <w:lang w:val="en-US"/>
        </w:rPr>
        <w:t>quencing</w:t>
      </w:r>
      <w:proofErr w:type="spellEnd"/>
      <w:r w:rsidRPr="000B1EB5">
        <w:rPr>
          <w:rFonts w:ascii="Times New Roman" w:eastAsia="MS PGothic" w:hAnsi="Times New Roman"/>
          <w:lang w:val="en-US"/>
        </w:rPr>
        <w:t xml:space="preserve"> of the consortium is available at the DDBJ/ENA/GenBank under the </w:t>
      </w:r>
      <w:proofErr w:type="spellStart"/>
      <w:r w:rsidRPr="000B1EB5">
        <w:rPr>
          <w:rFonts w:ascii="Times New Roman" w:eastAsia="MS PGothic" w:hAnsi="Times New Roman"/>
          <w:lang w:val="en-US"/>
        </w:rPr>
        <w:t>BioProject</w:t>
      </w:r>
      <w:proofErr w:type="spellEnd"/>
      <w:r w:rsidRPr="000B1EB5">
        <w:rPr>
          <w:rFonts w:ascii="Times New Roman" w:eastAsia="MS PGothic" w:hAnsi="Times New Roman"/>
          <w:lang w:val="en-US"/>
        </w:rPr>
        <w:t xml:space="preserve"> PRJNA705054 (SRA: SRX10172732)</w:t>
      </w:r>
      <w:r>
        <w:rPr>
          <w:rFonts w:ascii="Times New Roman" w:eastAsia="MS PGothic" w:hAnsi="Times New Roman"/>
          <w:lang w:val="en-US"/>
        </w:rPr>
        <w:t xml:space="preserve">. </w:t>
      </w:r>
      <w:r w:rsidR="00D12B3B" w:rsidRPr="00D12B3B">
        <w:rPr>
          <w:rFonts w:ascii="Times New Roman" w:eastAsia="MS PGothic" w:hAnsi="Times New Roman"/>
          <w:lang w:val="en-US"/>
        </w:rPr>
        <w:t xml:space="preserve">The anaerobic dechlorinating consortium used </w:t>
      </w:r>
      <w:r w:rsidR="00C026FA">
        <w:rPr>
          <w:rFonts w:ascii="Times New Roman" w:eastAsia="MS PGothic" w:hAnsi="Times New Roman"/>
          <w:lang w:val="en-US"/>
        </w:rPr>
        <w:t xml:space="preserve">as inoculum </w:t>
      </w:r>
      <w:r w:rsidR="00D12B3B" w:rsidRPr="00D12B3B">
        <w:rPr>
          <w:rFonts w:ascii="Times New Roman" w:eastAsia="MS PGothic" w:hAnsi="Times New Roman"/>
          <w:lang w:val="en-US"/>
        </w:rPr>
        <w:t xml:space="preserve">a 150 mL </w:t>
      </w:r>
      <w:r>
        <w:rPr>
          <w:rFonts w:ascii="Times New Roman" w:eastAsia="MS PGothic" w:hAnsi="Times New Roman"/>
          <w:lang w:val="en-US"/>
        </w:rPr>
        <w:t>PCE</w:t>
      </w:r>
      <w:r w:rsidR="00D12B3B" w:rsidRPr="00D12B3B">
        <w:rPr>
          <w:rFonts w:ascii="Times New Roman" w:eastAsia="MS PGothic" w:hAnsi="Times New Roman"/>
          <w:lang w:val="en-US"/>
        </w:rPr>
        <w:t xml:space="preserve">-fed enriched culture acclimated on lactate as electron donor and maintained under fill-and-draw conditions with </w:t>
      </w:r>
      <w:r w:rsidR="00C026FA" w:rsidRPr="00D12B3B">
        <w:rPr>
          <w:rFonts w:ascii="Times New Roman" w:eastAsia="MS PGothic" w:hAnsi="Times New Roman"/>
          <w:lang w:val="en-US"/>
        </w:rPr>
        <w:t>a</w:t>
      </w:r>
      <w:r w:rsidR="00D12B3B" w:rsidRPr="00D12B3B">
        <w:rPr>
          <w:rFonts w:ascii="Times New Roman" w:eastAsia="MS PGothic" w:hAnsi="Times New Roman"/>
          <w:lang w:val="en-US"/>
        </w:rPr>
        <w:t xml:space="preserve"> </w:t>
      </w:r>
      <w:r w:rsidR="00C026FA">
        <w:rPr>
          <w:rFonts w:ascii="Times New Roman" w:eastAsia="MS PGothic" w:hAnsi="Times New Roman"/>
          <w:lang w:val="en-US"/>
        </w:rPr>
        <w:t>h</w:t>
      </w:r>
      <w:r w:rsidR="00D12B3B" w:rsidRPr="00D12B3B">
        <w:rPr>
          <w:rFonts w:ascii="Times New Roman" w:eastAsia="MS PGothic" w:hAnsi="Times New Roman"/>
          <w:lang w:val="en-US"/>
        </w:rPr>
        <w:t xml:space="preserve">ydraulic </w:t>
      </w:r>
      <w:r w:rsidR="00C026FA">
        <w:rPr>
          <w:rFonts w:ascii="Times New Roman" w:eastAsia="MS PGothic" w:hAnsi="Times New Roman"/>
          <w:lang w:val="en-US"/>
        </w:rPr>
        <w:t>r</w:t>
      </w:r>
      <w:r w:rsidR="00D12B3B" w:rsidRPr="00D12B3B">
        <w:rPr>
          <w:rFonts w:ascii="Times New Roman" w:eastAsia="MS PGothic" w:hAnsi="Times New Roman"/>
          <w:lang w:val="en-US"/>
        </w:rPr>
        <w:t xml:space="preserve">etention </w:t>
      </w:r>
      <w:r w:rsidR="00C026FA">
        <w:rPr>
          <w:rFonts w:ascii="Times New Roman" w:eastAsia="MS PGothic" w:hAnsi="Times New Roman"/>
          <w:lang w:val="en-US"/>
        </w:rPr>
        <w:t>t</w:t>
      </w:r>
      <w:r w:rsidR="00D12B3B" w:rsidRPr="00D12B3B">
        <w:rPr>
          <w:rFonts w:ascii="Times New Roman" w:eastAsia="MS PGothic" w:hAnsi="Times New Roman"/>
          <w:lang w:val="en-US"/>
        </w:rPr>
        <w:t>ime (HRT) of 30 days.</w:t>
      </w:r>
      <w:r>
        <w:rPr>
          <w:rFonts w:ascii="Times New Roman" w:eastAsia="MS PGothic" w:hAnsi="Times New Roman"/>
          <w:lang w:val="en-US"/>
        </w:rPr>
        <w:t xml:space="preserve"> </w:t>
      </w:r>
      <w:r w:rsidR="00D12B3B" w:rsidRPr="00D12B3B">
        <w:rPr>
          <w:rFonts w:ascii="Times New Roman" w:eastAsia="MS PGothic" w:hAnsi="Times New Roman"/>
          <w:lang w:val="en-US"/>
        </w:rPr>
        <w:t xml:space="preserve">The </w:t>
      </w:r>
      <w:r w:rsidR="00C026FA">
        <w:rPr>
          <w:rFonts w:ascii="Times New Roman" w:eastAsia="MS PGothic" w:hAnsi="Times New Roman"/>
          <w:lang w:val="en-US"/>
        </w:rPr>
        <w:t xml:space="preserve">dechlorinating </w:t>
      </w:r>
      <w:r w:rsidR="00D12B3B" w:rsidRPr="00D12B3B">
        <w:rPr>
          <w:rFonts w:ascii="Times New Roman" w:eastAsia="MS PGothic" w:hAnsi="Times New Roman"/>
          <w:lang w:val="en-US"/>
        </w:rPr>
        <w:t xml:space="preserve">culture maintenance has been performed by the periodic feeding of </w:t>
      </w:r>
      <w:r w:rsidR="00C026FA">
        <w:rPr>
          <w:rFonts w:ascii="Times New Roman" w:eastAsia="MS PGothic" w:hAnsi="Times New Roman"/>
          <w:lang w:val="en-US"/>
        </w:rPr>
        <w:t>T</w:t>
      </w:r>
      <w:r w:rsidR="00D12B3B" w:rsidRPr="00D12B3B">
        <w:rPr>
          <w:rFonts w:ascii="Times New Roman" w:eastAsia="MS PGothic" w:hAnsi="Times New Roman"/>
          <w:lang w:val="en-US"/>
        </w:rPr>
        <w:t>CE (0.</w:t>
      </w:r>
      <w:r w:rsidR="00C026FA">
        <w:rPr>
          <w:rFonts w:ascii="Times New Roman" w:eastAsia="MS PGothic" w:hAnsi="Times New Roman"/>
          <w:lang w:val="en-US"/>
        </w:rPr>
        <w:t>5</w:t>
      </w:r>
      <w:r w:rsidR="00D12B3B" w:rsidRPr="00D12B3B">
        <w:rPr>
          <w:rFonts w:ascii="Times New Roman" w:eastAsia="MS PGothic" w:hAnsi="Times New Roman"/>
          <w:lang w:val="en-US"/>
        </w:rPr>
        <w:t xml:space="preserve"> mM) and a lactate 5 mM solution as </w:t>
      </w:r>
      <w:r w:rsidR="00C026FA">
        <w:rPr>
          <w:rFonts w:ascii="Times New Roman" w:eastAsia="MS PGothic" w:hAnsi="Times New Roman"/>
          <w:lang w:val="en-US"/>
        </w:rPr>
        <w:t xml:space="preserve">hydrogen source through </w:t>
      </w:r>
      <w:r w:rsidR="00D12B3B" w:rsidRPr="00D12B3B">
        <w:rPr>
          <w:rFonts w:ascii="Times New Roman" w:eastAsia="MS PGothic" w:hAnsi="Times New Roman"/>
          <w:lang w:val="en-US"/>
        </w:rPr>
        <w:t>electron donor. Before each new feeding, any organic volatile metabolites were removed by flushing the liquid phase with a mixture of N</w:t>
      </w:r>
      <w:r w:rsidR="00D12B3B" w:rsidRPr="00C026FA">
        <w:rPr>
          <w:rFonts w:ascii="Times New Roman" w:eastAsia="MS PGothic" w:hAnsi="Times New Roman"/>
          <w:vertAlign w:val="subscript"/>
          <w:lang w:val="en-US"/>
        </w:rPr>
        <w:t>2</w:t>
      </w:r>
      <w:r w:rsidR="00D12B3B" w:rsidRPr="00D12B3B">
        <w:rPr>
          <w:rFonts w:ascii="Times New Roman" w:eastAsia="MS PGothic" w:hAnsi="Times New Roman"/>
          <w:lang w:val="en-US"/>
        </w:rPr>
        <w:t>/CO</w:t>
      </w:r>
      <w:r w:rsidR="00D12B3B" w:rsidRPr="00C026FA">
        <w:rPr>
          <w:rFonts w:ascii="Times New Roman" w:eastAsia="MS PGothic" w:hAnsi="Times New Roman"/>
          <w:vertAlign w:val="subscript"/>
          <w:lang w:val="en-US"/>
        </w:rPr>
        <w:t>2</w:t>
      </w:r>
      <w:r w:rsidR="00D12B3B" w:rsidRPr="00D12B3B">
        <w:rPr>
          <w:rFonts w:ascii="Times New Roman" w:eastAsia="MS PGothic" w:hAnsi="Times New Roman"/>
          <w:lang w:val="en-US"/>
        </w:rPr>
        <w:t xml:space="preserve"> (70:30</w:t>
      </w:r>
      <w:r w:rsidR="00097F92">
        <w:rPr>
          <w:rFonts w:ascii="Times New Roman" w:eastAsia="MS PGothic" w:hAnsi="Times New Roman"/>
          <w:lang w:val="en-US"/>
        </w:rPr>
        <w:t xml:space="preserve"> %v/v</w:t>
      </w:r>
      <w:r w:rsidR="00D12B3B" w:rsidRPr="00D12B3B">
        <w:rPr>
          <w:rFonts w:ascii="Times New Roman" w:eastAsia="MS PGothic" w:hAnsi="Times New Roman"/>
          <w:lang w:val="en-US"/>
        </w:rPr>
        <w:t>) which ensured the anaerobic environment necessary to the dechlorinating microorganisms.</w:t>
      </w:r>
      <w:r>
        <w:rPr>
          <w:rFonts w:ascii="Times New Roman" w:eastAsia="MS PGothic" w:hAnsi="Times New Roman"/>
          <w:lang w:val="en-US"/>
        </w:rPr>
        <w:t xml:space="preserve"> </w:t>
      </w:r>
      <w:r w:rsidR="00C026FA">
        <w:rPr>
          <w:rFonts w:ascii="Times New Roman" w:eastAsia="MS PGothic" w:hAnsi="Times New Roman"/>
          <w:lang w:val="en-US"/>
        </w:rPr>
        <w:t xml:space="preserve">The </w:t>
      </w:r>
      <w:r w:rsidR="00E008DE">
        <w:rPr>
          <w:rFonts w:ascii="Times New Roman" w:eastAsia="MS PGothic" w:hAnsi="Times New Roman"/>
          <w:lang w:val="en-US"/>
        </w:rPr>
        <w:t>scaled-up</w:t>
      </w:r>
      <w:r w:rsidR="00C026FA">
        <w:rPr>
          <w:rFonts w:ascii="Times New Roman" w:eastAsia="MS PGothic" w:hAnsi="Times New Roman"/>
          <w:lang w:val="en-US"/>
        </w:rPr>
        <w:t xml:space="preserve"> tank was constituted by a 25 L glass tank sealed with a rubber cap and provided with three glass tube for the liquid phase and gas phase sampling</w:t>
      </w:r>
      <w:r w:rsidR="00EC51D3">
        <w:rPr>
          <w:rFonts w:ascii="Times New Roman" w:eastAsia="MS PGothic" w:hAnsi="Times New Roman"/>
          <w:lang w:val="en-US"/>
        </w:rPr>
        <w:t xml:space="preserve"> (Figure 1)</w:t>
      </w:r>
      <w:r w:rsidR="00C026FA">
        <w:rPr>
          <w:rFonts w:ascii="Times New Roman" w:eastAsia="MS PGothic" w:hAnsi="Times New Roman"/>
          <w:lang w:val="en-US"/>
        </w:rPr>
        <w:t xml:space="preserve">. he 25 L tank was provided with an internal recirculation </w:t>
      </w:r>
      <w:r w:rsidR="00E008DE">
        <w:rPr>
          <w:rFonts w:ascii="Times New Roman" w:eastAsia="MS PGothic" w:hAnsi="Times New Roman"/>
          <w:lang w:val="en-US"/>
        </w:rPr>
        <w:t>loop by using a membrane pump which recirculate the liquid phase</w:t>
      </w:r>
      <w:r w:rsidR="00EC51D3" w:rsidRPr="00EC51D3">
        <w:rPr>
          <w:rFonts w:ascii="Times New Roman" w:eastAsia="MS PGothic" w:hAnsi="Times New Roman"/>
          <w:lang w:val="en-US"/>
        </w:rPr>
        <w:t xml:space="preserve"> </w:t>
      </w:r>
      <w:r w:rsidR="00EC51D3">
        <w:rPr>
          <w:rFonts w:ascii="Times New Roman" w:eastAsia="MS PGothic" w:hAnsi="Times New Roman"/>
          <w:lang w:val="en-US"/>
        </w:rPr>
        <w:t>to avoid mass transfer limitation</w:t>
      </w:r>
      <w:r w:rsidR="00E008DE">
        <w:rPr>
          <w:rFonts w:ascii="Times New Roman" w:eastAsia="MS PGothic" w:hAnsi="Times New Roman"/>
          <w:lang w:val="en-US"/>
        </w:rPr>
        <w:t xml:space="preserve">. The 25 L bioreactor was operated with the same HRT of 30 days which consists in the weekly substitution of 6 L of liquid phase with fresh mineral medium while the TCE and lactate concentration were maintained at 0.5 </w:t>
      </w:r>
      <w:proofErr w:type="spellStart"/>
      <w:r w:rsidR="00E008DE">
        <w:rPr>
          <w:rFonts w:ascii="Times New Roman" w:eastAsia="MS PGothic" w:hAnsi="Times New Roman"/>
          <w:lang w:val="en-US"/>
        </w:rPr>
        <w:t>mM.</w:t>
      </w:r>
      <w:proofErr w:type="spellEnd"/>
      <w:r w:rsidR="00E008DE">
        <w:rPr>
          <w:rFonts w:ascii="Times New Roman" w:eastAsia="MS PGothic" w:hAnsi="Times New Roman"/>
          <w:lang w:val="en-US"/>
        </w:rPr>
        <w:t xml:space="preserve"> During the volumetric increase of the liquid phase, the headspace was filled with a gas mixture of </w:t>
      </w:r>
      <w:r w:rsidR="00097F92" w:rsidRPr="00D12B3B">
        <w:rPr>
          <w:rFonts w:ascii="Times New Roman" w:eastAsia="MS PGothic" w:hAnsi="Times New Roman"/>
          <w:lang w:val="en-US"/>
        </w:rPr>
        <w:t>N</w:t>
      </w:r>
      <w:r w:rsidR="00097F92" w:rsidRPr="00C026FA">
        <w:rPr>
          <w:rFonts w:ascii="Times New Roman" w:eastAsia="MS PGothic" w:hAnsi="Times New Roman"/>
          <w:vertAlign w:val="subscript"/>
          <w:lang w:val="en-US"/>
        </w:rPr>
        <w:t>2</w:t>
      </w:r>
      <w:r w:rsidR="00097F92" w:rsidRPr="00D12B3B">
        <w:rPr>
          <w:rFonts w:ascii="Times New Roman" w:eastAsia="MS PGothic" w:hAnsi="Times New Roman"/>
          <w:lang w:val="en-US"/>
        </w:rPr>
        <w:t>/CO</w:t>
      </w:r>
      <w:r w:rsidR="00097F92" w:rsidRPr="00C026FA">
        <w:rPr>
          <w:rFonts w:ascii="Times New Roman" w:eastAsia="MS PGothic" w:hAnsi="Times New Roman"/>
          <w:vertAlign w:val="subscript"/>
          <w:lang w:val="en-US"/>
        </w:rPr>
        <w:t>2</w:t>
      </w:r>
      <w:r w:rsidR="00097F92" w:rsidRPr="00D12B3B">
        <w:rPr>
          <w:rFonts w:ascii="Times New Roman" w:eastAsia="MS PGothic" w:hAnsi="Times New Roman"/>
          <w:lang w:val="en-US"/>
        </w:rPr>
        <w:t xml:space="preserve"> (70:30</w:t>
      </w:r>
      <w:r w:rsidR="00097F92">
        <w:rPr>
          <w:rFonts w:ascii="Times New Roman" w:eastAsia="MS PGothic" w:hAnsi="Times New Roman"/>
          <w:lang w:val="en-US"/>
        </w:rPr>
        <w:t xml:space="preserve"> %v/v</w:t>
      </w:r>
      <w:r w:rsidR="00097F92" w:rsidRPr="00D12B3B">
        <w:rPr>
          <w:rFonts w:ascii="Times New Roman" w:eastAsia="MS PGothic" w:hAnsi="Times New Roman"/>
          <w:lang w:val="en-US"/>
        </w:rPr>
        <w:t>)</w:t>
      </w:r>
      <w:r w:rsidR="00097F92">
        <w:rPr>
          <w:rFonts w:ascii="Times New Roman" w:eastAsia="MS PGothic" w:hAnsi="Times New Roman"/>
          <w:lang w:val="en-US"/>
        </w:rPr>
        <w:t>.</w:t>
      </w:r>
    </w:p>
    <w:p w14:paraId="6F3E22EC" w14:textId="77777777" w:rsidR="00B25A2E" w:rsidRDefault="00E008DE" w:rsidP="00B25A2E">
      <w:pPr>
        <w:keepNext/>
        <w:snapToGrid w:val="0"/>
        <w:spacing w:after="120"/>
        <w:jc w:val="center"/>
      </w:pPr>
      <w:r>
        <w:rPr>
          <w:rFonts w:ascii="Times New Roman" w:eastAsia="MS PGothic" w:hAnsi="Times New Roman"/>
          <w:noProof/>
          <w:lang w:val="en-US"/>
        </w:rPr>
        <w:drawing>
          <wp:inline distT="0" distB="0" distL="0" distR="0" wp14:anchorId="646866E0" wp14:editId="66969FD3">
            <wp:extent cx="2895026" cy="233362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8">
                      <a:extLst>
                        <a:ext uri="{28A0092B-C50C-407E-A947-70E740481C1C}">
                          <a14:useLocalDpi xmlns:a14="http://schemas.microsoft.com/office/drawing/2010/main" val="0"/>
                        </a:ext>
                      </a:extLst>
                    </a:blip>
                    <a:srcRect t="4075"/>
                    <a:stretch/>
                  </pic:blipFill>
                  <pic:spPr bwMode="auto">
                    <a:xfrm>
                      <a:off x="0" y="0"/>
                      <a:ext cx="2957257" cy="2383788"/>
                    </a:xfrm>
                    <a:prstGeom prst="rect">
                      <a:avLst/>
                    </a:prstGeom>
                    <a:ln>
                      <a:noFill/>
                    </a:ln>
                    <a:extLst>
                      <a:ext uri="{53640926-AAD7-44D8-BBD7-CCE9431645EC}">
                        <a14:shadowObscured xmlns:a14="http://schemas.microsoft.com/office/drawing/2010/main"/>
                      </a:ext>
                    </a:extLst>
                  </pic:spPr>
                </pic:pic>
              </a:graphicData>
            </a:graphic>
          </wp:inline>
        </w:drawing>
      </w:r>
    </w:p>
    <w:p w14:paraId="12C11B2D" w14:textId="177CC6A5" w:rsidR="00E008DE" w:rsidRPr="00B25A2E" w:rsidRDefault="00B25A2E" w:rsidP="00B25A2E">
      <w:pPr>
        <w:pStyle w:val="Didascalia"/>
        <w:jc w:val="center"/>
        <w:rPr>
          <w:rFonts w:ascii="Times New Roman" w:eastAsia="MS PGothic" w:hAnsi="Times New Roman"/>
          <w:i w:val="0"/>
          <w:iCs w:val="0"/>
          <w:color w:val="auto"/>
          <w:sz w:val="22"/>
          <w:szCs w:val="22"/>
          <w:lang w:val="en-US"/>
        </w:rPr>
      </w:pPr>
      <w:r w:rsidRPr="00B25A2E">
        <w:rPr>
          <w:rFonts w:ascii="Times New Roman" w:eastAsia="MS PGothic" w:hAnsi="Times New Roman"/>
          <w:b/>
          <w:bCs/>
          <w:i w:val="0"/>
          <w:iCs w:val="0"/>
          <w:color w:val="auto"/>
          <w:sz w:val="22"/>
          <w:szCs w:val="22"/>
          <w:lang w:val="en-US"/>
        </w:rPr>
        <w:t xml:space="preserve">Figure </w:t>
      </w:r>
      <w:r w:rsidRPr="00B25A2E">
        <w:rPr>
          <w:rFonts w:ascii="Times New Roman" w:eastAsia="MS PGothic" w:hAnsi="Times New Roman"/>
          <w:b/>
          <w:bCs/>
          <w:i w:val="0"/>
          <w:iCs w:val="0"/>
          <w:color w:val="auto"/>
          <w:sz w:val="22"/>
          <w:szCs w:val="22"/>
          <w:lang w:val="en-US"/>
        </w:rPr>
        <w:fldChar w:fldCharType="begin"/>
      </w:r>
      <w:r w:rsidRPr="00B25A2E">
        <w:rPr>
          <w:rFonts w:ascii="Times New Roman" w:eastAsia="MS PGothic" w:hAnsi="Times New Roman"/>
          <w:b/>
          <w:bCs/>
          <w:i w:val="0"/>
          <w:iCs w:val="0"/>
          <w:color w:val="auto"/>
          <w:sz w:val="22"/>
          <w:szCs w:val="22"/>
          <w:lang w:val="en-US"/>
        </w:rPr>
        <w:instrText xml:space="preserve"> SEQ Figure \* ARABIC </w:instrText>
      </w:r>
      <w:r w:rsidRPr="00B25A2E">
        <w:rPr>
          <w:rFonts w:ascii="Times New Roman" w:eastAsia="MS PGothic" w:hAnsi="Times New Roman"/>
          <w:b/>
          <w:bCs/>
          <w:i w:val="0"/>
          <w:iCs w:val="0"/>
          <w:color w:val="auto"/>
          <w:sz w:val="22"/>
          <w:szCs w:val="22"/>
          <w:lang w:val="en-US"/>
        </w:rPr>
        <w:fldChar w:fldCharType="separate"/>
      </w:r>
      <w:r w:rsidRPr="00B25A2E">
        <w:rPr>
          <w:rFonts w:ascii="Times New Roman" w:eastAsia="MS PGothic" w:hAnsi="Times New Roman"/>
          <w:b/>
          <w:bCs/>
          <w:i w:val="0"/>
          <w:iCs w:val="0"/>
          <w:color w:val="auto"/>
          <w:sz w:val="22"/>
          <w:szCs w:val="22"/>
          <w:lang w:val="en-US"/>
        </w:rPr>
        <w:t>1</w:t>
      </w:r>
      <w:r w:rsidRPr="00B25A2E">
        <w:rPr>
          <w:rFonts w:ascii="Times New Roman" w:eastAsia="MS PGothic" w:hAnsi="Times New Roman"/>
          <w:b/>
          <w:bCs/>
          <w:i w:val="0"/>
          <w:iCs w:val="0"/>
          <w:color w:val="auto"/>
          <w:sz w:val="22"/>
          <w:szCs w:val="22"/>
          <w:lang w:val="en-US"/>
        </w:rPr>
        <w:fldChar w:fldCharType="end"/>
      </w:r>
      <w:r w:rsidRPr="00B25A2E">
        <w:rPr>
          <w:rFonts w:ascii="Times New Roman" w:eastAsia="MS PGothic" w:hAnsi="Times New Roman"/>
          <w:i w:val="0"/>
          <w:iCs w:val="0"/>
          <w:color w:val="auto"/>
          <w:sz w:val="22"/>
          <w:szCs w:val="22"/>
          <w:lang w:val="en-US"/>
        </w:rPr>
        <w:t>. Schematic representation of the scale up activity</w:t>
      </w:r>
    </w:p>
    <w:p w14:paraId="3404B12F" w14:textId="77777777" w:rsidR="005A35CD" w:rsidRDefault="00DA51A3" w:rsidP="005A35CD">
      <w:pPr>
        <w:snapToGrid w:val="0"/>
        <w:spacing w:before="240" w:line="300" w:lineRule="auto"/>
        <w:rPr>
          <w:rFonts w:ascii="Times New Roman" w:eastAsia="MS PGothic" w:hAnsi="Times New Roman"/>
          <w:b/>
          <w:bCs/>
          <w:lang w:val="en-US"/>
        </w:rPr>
      </w:pPr>
      <w:r w:rsidRPr="00466FFD">
        <w:rPr>
          <w:rFonts w:ascii="Times New Roman" w:eastAsia="MS PGothic" w:hAnsi="Times New Roman"/>
          <w:b/>
          <w:bCs/>
          <w:lang w:val="en-US"/>
        </w:rPr>
        <w:lastRenderedPageBreak/>
        <w:t>3. Results and discussion</w:t>
      </w:r>
    </w:p>
    <w:p w14:paraId="3E617758" w14:textId="569284C3" w:rsidR="005A35CD" w:rsidRDefault="00B25A2E" w:rsidP="005A35CD">
      <w:pPr>
        <w:snapToGrid w:val="0"/>
        <w:spacing w:before="240" w:line="300" w:lineRule="auto"/>
        <w:rPr>
          <w:rFonts w:ascii="Times New Roman" w:eastAsia="MS PGothic" w:hAnsi="Times New Roman"/>
          <w:lang w:val="en-US"/>
        </w:rPr>
      </w:pPr>
      <w:r>
        <w:rPr>
          <w:rFonts w:ascii="Times New Roman" w:eastAsia="MS PGothic" w:hAnsi="Times New Roman"/>
          <w:lang w:val="en-US"/>
        </w:rPr>
        <w:t xml:space="preserve">The increase of the </w:t>
      </w:r>
      <w:r w:rsidR="0051336B">
        <w:rPr>
          <w:rFonts w:ascii="Times New Roman" w:eastAsia="MS PGothic" w:hAnsi="Times New Roman"/>
          <w:lang w:val="en-US"/>
        </w:rPr>
        <w:t xml:space="preserve">biomass volume with the chemostat approach had reported a good capability of the biomass to </w:t>
      </w:r>
      <w:proofErr w:type="spellStart"/>
      <w:r w:rsidR="0051336B">
        <w:rPr>
          <w:rFonts w:ascii="Times New Roman" w:eastAsia="MS PGothic" w:hAnsi="Times New Roman"/>
          <w:lang w:val="en-US"/>
        </w:rPr>
        <w:t>fullfill</w:t>
      </w:r>
      <w:proofErr w:type="spellEnd"/>
      <w:r w:rsidR="0051336B">
        <w:rPr>
          <w:rFonts w:ascii="Times New Roman" w:eastAsia="MS PGothic" w:hAnsi="Times New Roman"/>
          <w:lang w:val="en-US"/>
        </w:rPr>
        <w:t xml:space="preserve"> the PCE reductive </w:t>
      </w:r>
      <w:proofErr w:type="spellStart"/>
      <w:r w:rsidR="0051336B">
        <w:rPr>
          <w:rFonts w:ascii="Times New Roman" w:eastAsia="MS PGothic" w:hAnsi="Times New Roman"/>
          <w:lang w:val="en-US"/>
        </w:rPr>
        <w:t>dechlorination</w:t>
      </w:r>
      <w:proofErr w:type="spellEnd"/>
      <w:r w:rsidR="0051336B">
        <w:rPr>
          <w:rFonts w:ascii="Times New Roman" w:eastAsia="MS PGothic" w:hAnsi="Times New Roman"/>
          <w:lang w:val="en-US"/>
        </w:rPr>
        <w:t xml:space="preserve">. After a small period of acclimatation the biomass gained the capability to completely reduce PCE in </w:t>
      </w:r>
      <w:r w:rsidR="00C16364">
        <w:rPr>
          <w:rFonts w:ascii="Times New Roman" w:eastAsia="MS PGothic" w:hAnsi="Times New Roman"/>
          <w:lang w:val="en-US"/>
        </w:rPr>
        <w:t xml:space="preserve">five days with the production of only vinyl chloride and ethylene with a concentration of 0.32 </w:t>
      </w:r>
      <w:r w:rsidR="00C16364" w:rsidRPr="006452EE">
        <w:rPr>
          <w:rFonts w:ascii="Times New Roman" w:eastAsia="MS PGothic" w:hAnsi="Times New Roman"/>
          <w:lang w:val="en-US"/>
        </w:rPr>
        <w:t xml:space="preserve">± </w:t>
      </w:r>
      <w:r w:rsidR="006452EE" w:rsidRPr="006452EE">
        <w:rPr>
          <w:rFonts w:ascii="Times New Roman" w:eastAsia="MS PGothic" w:hAnsi="Times New Roman"/>
          <w:lang w:val="en-US"/>
        </w:rPr>
        <w:t>0.03</w:t>
      </w:r>
      <w:r w:rsidR="006452EE">
        <w:rPr>
          <w:rFonts w:ascii="Times New Roman" w:eastAsia="MS PGothic" w:hAnsi="Times New Roman"/>
          <w:lang w:val="en-US"/>
        </w:rPr>
        <w:t xml:space="preserve"> mM and 0.2 </w:t>
      </w:r>
      <w:r w:rsidR="006452EE" w:rsidRPr="006452EE">
        <w:rPr>
          <w:rFonts w:ascii="Times New Roman" w:eastAsia="MS PGothic" w:hAnsi="Times New Roman"/>
          <w:lang w:val="en-US"/>
        </w:rPr>
        <w:t>±</w:t>
      </w:r>
      <w:r w:rsidR="006452EE">
        <w:rPr>
          <w:rFonts w:ascii="Times New Roman" w:eastAsia="MS PGothic" w:hAnsi="Times New Roman"/>
          <w:lang w:val="en-US"/>
        </w:rPr>
        <w:t xml:space="preserve"> 0.1 mM</w:t>
      </w:r>
      <w:r w:rsidR="006065CD">
        <w:rPr>
          <w:rFonts w:ascii="Times New Roman" w:eastAsia="MS PGothic" w:hAnsi="Times New Roman"/>
          <w:lang w:val="en-US"/>
        </w:rPr>
        <w:t xml:space="preserve"> (fig2)</w:t>
      </w:r>
      <w:r w:rsidR="006452EE">
        <w:rPr>
          <w:rFonts w:ascii="Times New Roman" w:eastAsia="MS PGothic" w:hAnsi="Times New Roman"/>
          <w:lang w:val="en-US"/>
        </w:rPr>
        <w:t xml:space="preserve">. The reductive </w:t>
      </w:r>
      <w:proofErr w:type="spellStart"/>
      <w:r w:rsidR="006452EE">
        <w:rPr>
          <w:rFonts w:ascii="Times New Roman" w:eastAsia="MS PGothic" w:hAnsi="Times New Roman"/>
          <w:lang w:val="en-US"/>
        </w:rPr>
        <w:t>dechlorination</w:t>
      </w:r>
      <w:proofErr w:type="spellEnd"/>
      <w:r w:rsidR="006452EE">
        <w:rPr>
          <w:rFonts w:ascii="Times New Roman" w:eastAsia="MS PGothic" w:hAnsi="Times New Roman"/>
          <w:lang w:val="en-US"/>
        </w:rPr>
        <w:t xml:space="preserve"> reduction rate resulted 0.1 mmol/L*d and the total amount of spiked PCE was utilized fo</w:t>
      </w:r>
      <w:r w:rsidR="00190FA3">
        <w:rPr>
          <w:rFonts w:ascii="Times New Roman" w:eastAsia="MS PGothic" w:hAnsi="Times New Roman"/>
          <w:lang w:val="en-US"/>
        </w:rPr>
        <w:t>r</w:t>
      </w:r>
      <w:r w:rsidR="006452EE">
        <w:rPr>
          <w:rFonts w:ascii="Times New Roman" w:eastAsia="MS PGothic" w:hAnsi="Times New Roman"/>
          <w:lang w:val="en-US"/>
        </w:rPr>
        <w:t xml:space="preserve"> the biomass growth as indicated by the mass recovery balance </w:t>
      </w:r>
      <w:r w:rsidR="00190FA3">
        <w:rPr>
          <w:rFonts w:ascii="Times New Roman" w:eastAsia="MS PGothic" w:hAnsi="Times New Roman"/>
          <w:lang w:val="en-US"/>
        </w:rPr>
        <w:t>higher than the 95%.</w:t>
      </w:r>
    </w:p>
    <w:p w14:paraId="7BADDD41" w14:textId="77777777" w:rsidR="006065CD" w:rsidRDefault="00C16364" w:rsidP="006065CD">
      <w:pPr>
        <w:keepNext/>
        <w:snapToGrid w:val="0"/>
        <w:spacing w:before="240" w:line="300" w:lineRule="auto"/>
      </w:pPr>
      <w:r>
        <w:rPr>
          <w:noProof/>
        </w:rPr>
        <mc:AlternateContent>
          <mc:Choice Requires="wps">
            <w:drawing>
              <wp:anchor distT="0" distB="0" distL="114300" distR="114300" simplePos="0" relativeHeight="251663360" behindDoc="0" locked="0" layoutInCell="1" allowOverlap="1" wp14:anchorId="6A787F2F" wp14:editId="669CCCD4">
                <wp:simplePos x="0" y="0"/>
                <wp:positionH relativeFrom="column">
                  <wp:posOffset>2264410</wp:posOffset>
                </wp:positionH>
                <wp:positionV relativeFrom="paragraph">
                  <wp:posOffset>64770</wp:posOffset>
                </wp:positionV>
                <wp:extent cx="406400" cy="260350"/>
                <wp:effectExtent l="0" t="0" r="0" b="6350"/>
                <wp:wrapNone/>
                <wp:docPr id="8" name="Casella di testo 8"/>
                <wp:cNvGraphicFramePr/>
                <a:graphic xmlns:a="http://schemas.openxmlformats.org/drawingml/2006/main">
                  <a:graphicData uri="http://schemas.microsoft.com/office/word/2010/wordprocessingShape">
                    <wps:wsp>
                      <wps:cNvSpPr txBox="1"/>
                      <wps:spPr>
                        <a:xfrm>
                          <a:off x="0" y="0"/>
                          <a:ext cx="406400" cy="260350"/>
                        </a:xfrm>
                        <a:prstGeom prst="rect">
                          <a:avLst/>
                        </a:prstGeom>
                        <a:solidFill>
                          <a:schemeClr val="lt1"/>
                        </a:solidFill>
                        <a:ln w="6350">
                          <a:noFill/>
                        </a:ln>
                      </wps:spPr>
                      <wps:txbx>
                        <w:txbxContent>
                          <w:p w14:paraId="346B9E6D" w14:textId="164C4600" w:rsidR="00C16364" w:rsidRPr="00C16364" w:rsidRDefault="00C16364" w:rsidP="00C16364">
                            <w:pPr>
                              <w:rPr>
                                <w:b/>
                                <w:bCs/>
                              </w:rPr>
                            </w:pPr>
                            <w:r w:rsidRPr="00C16364">
                              <w:rPr>
                                <w:b/>
                                <w:bCs/>
                              </w:rPr>
                              <w:t>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87F2F" id="_x0000_t202" coordsize="21600,21600" o:spt="202" path="m,l,21600r21600,l21600,xe">
                <v:stroke joinstyle="miter"/>
                <v:path gradientshapeok="t" o:connecttype="rect"/>
              </v:shapetype>
              <v:shape id="Casella di testo 8" o:spid="_x0000_s1026" type="#_x0000_t202" style="position:absolute;margin-left:178.3pt;margin-top:5.1pt;width:32pt;height: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" fillcolor="white [3201]" stroked="f" strokeweight=".5pt">
                <v:textbox>
                  <w:txbxContent>
                    <w:p w14:paraId="346B9E6D" w14:textId="164C4600" w:rsidR="00C16364" w:rsidRPr="00C16364" w:rsidRDefault="00C16364" w:rsidP="00C16364">
                      <w:pPr>
                        <w:rPr>
                          <w:b/>
                          <w:bCs/>
                        </w:rPr>
                      </w:pPr>
                      <w:r w:rsidRPr="00C16364">
                        <w:rPr>
                          <w:b/>
                          <w:bCs/>
                        </w:rPr>
                        <w:t>Eth.</w:t>
                      </w:r>
                    </w:p>
                  </w:txbxContent>
                </v:textbox>
              </v:shape>
            </w:pict>
          </mc:Fallback>
        </mc:AlternateContent>
      </w:r>
      <w:r w:rsidR="0051336B">
        <w:rPr>
          <w:noProof/>
        </w:rPr>
        <mc:AlternateContent>
          <mc:Choice Requires="wps">
            <w:drawing>
              <wp:anchor distT="0" distB="0" distL="114300" distR="114300" simplePos="0" relativeHeight="251661312" behindDoc="0" locked="0" layoutInCell="1" allowOverlap="1" wp14:anchorId="140FA7DA" wp14:editId="0389AA0C">
                <wp:simplePos x="0" y="0"/>
                <wp:positionH relativeFrom="margin">
                  <wp:posOffset>2353310</wp:posOffset>
                </wp:positionH>
                <wp:positionV relativeFrom="paragraph">
                  <wp:posOffset>3086735</wp:posOffset>
                </wp:positionV>
                <wp:extent cx="2123758" cy="216000"/>
                <wp:effectExtent l="0" t="0" r="10160" b="12700"/>
                <wp:wrapNone/>
                <wp:docPr id="7" name="Casella di testo 7"/>
                <wp:cNvGraphicFramePr/>
                <a:graphic xmlns:a="http://schemas.openxmlformats.org/drawingml/2006/main">
                  <a:graphicData uri="http://schemas.microsoft.com/office/word/2010/wordprocessingShape">
                    <wps:wsp>
                      <wps:cNvSpPr txBox="1"/>
                      <wps:spPr>
                        <a:xfrm>
                          <a:off x="0" y="0"/>
                          <a:ext cx="2123758" cy="216000"/>
                        </a:xfrm>
                        <a:prstGeom prst="rect">
                          <a:avLst/>
                        </a:prstGeom>
                        <a:solidFill>
                          <a:schemeClr val="lt1"/>
                        </a:solidFill>
                        <a:ln w="6350">
                          <a:solidFill>
                            <a:prstClr val="black"/>
                          </a:solidFill>
                        </a:ln>
                      </wps:spPr>
                      <wps:txbx>
                        <w:txbxContent>
                          <w:p w14:paraId="165CDF96" w14:textId="06495153" w:rsidR="004044C6" w:rsidRPr="0051336B" w:rsidRDefault="0051336B" w:rsidP="004044C6">
                            <w:pPr>
                              <w:jc w:val="center"/>
                              <w:rPr>
                                <w:sz w:val="16"/>
                                <w:szCs w:val="16"/>
                              </w:rPr>
                            </w:pPr>
                            <w:r w:rsidRPr="0051336B">
                              <w:rPr>
                                <w:sz w:val="16"/>
                                <w:szCs w:val="16"/>
                              </w:rPr>
                              <w:t>Time</w:t>
                            </w:r>
                            <w:r w:rsidR="004044C6" w:rsidRPr="0051336B">
                              <w:rPr>
                                <w:sz w:val="16"/>
                                <w:szCs w:val="16"/>
                              </w:rPr>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FA7DA" id="Casella di testo 7" o:spid="_x0000_s1027" type="#_x0000_t202" style="position:absolute;margin-left:185.3pt;margin-top:243.05pt;width:167.25pt;height:1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" fillcolor="white [3201]" strokeweight=".5pt">
                <v:textbox>
                  <w:txbxContent>
                    <w:p w14:paraId="165CDF96" w14:textId="06495153" w:rsidR="004044C6" w:rsidRPr="0051336B" w:rsidRDefault="0051336B" w:rsidP="004044C6">
                      <w:pPr>
                        <w:jc w:val="center"/>
                        <w:rPr>
                          <w:sz w:val="16"/>
                          <w:szCs w:val="16"/>
                        </w:rPr>
                      </w:pPr>
                      <w:r w:rsidRPr="0051336B">
                        <w:rPr>
                          <w:sz w:val="16"/>
                          <w:szCs w:val="16"/>
                        </w:rPr>
                        <w:t>Time</w:t>
                      </w:r>
                      <w:r w:rsidR="004044C6" w:rsidRPr="0051336B">
                        <w:rPr>
                          <w:sz w:val="16"/>
                          <w:szCs w:val="16"/>
                        </w:rPr>
                        <w:t xml:space="preserve"> (d)</w:t>
                      </w:r>
                    </w:p>
                  </w:txbxContent>
                </v:textbox>
                <w10:wrap anchorx="margin"/>
              </v:shape>
            </w:pict>
          </mc:Fallback>
        </mc:AlternateContent>
      </w:r>
      <w:r w:rsidR="0051336B">
        <w:rPr>
          <w:noProof/>
        </w:rPr>
        <mc:AlternateContent>
          <mc:Choice Requires="wps">
            <w:drawing>
              <wp:anchor distT="0" distB="0" distL="114300" distR="114300" simplePos="0" relativeHeight="251659264" behindDoc="0" locked="0" layoutInCell="1" allowOverlap="1" wp14:anchorId="223471A0" wp14:editId="526ACAB0">
                <wp:simplePos x="0" y="0"/>
                <wp:positionH relativeFrom="column">
                  <wp:posOffset>-20636</wp:posOffset>
                </wp:positionH>
                <wp:positionV relativeFrom="paragraph">
                  <wp:posOffset>1306514</wp:posOffset>
                </wp:positionV>
                <wp:extent cx="2123758" cy="235903"/>
                <wp:effectExtent l="0" t="8573" r="20638" b="20637"/>
                <wp:wrapNone/>
                <wp:docPr id="6" name="Casella di testo 6"/>
                <wp:cNvGraphicFramePr/>
                <a:graphic xmlns:a="http://schemas.openxmlformats.org/drawingml/2006/main">
                  <a:graphicData uri="http://schemas.microsoft.com/office/word/2010/wordprocessingShape">
                    <wps:wsp>
                      <wps:cNvSpPr txBox="1"/>
                      <wps:spPr>
                        <a:xfrm rot="16200000">
                          <a:off x="0" y="0"/>
                          <a:ext cx="2123758" cy="235903"/>
                        </a:xfrm>
                        <a:prstGeom prst="rect">
                          <a:avLst/>
                        </a:prstGeom>
                        <a:solidFill>
                          <a:schemeClr val="lt1"/>
                        </a:solidFill>
                        <a:ln w="6350">
                          <a:solidFill>
                            <a:prstClr val="black"/>
                          </a:solidFill>
                        </a:ln>
                      </wps:spPr>
                      <wps:txbx>
                        <w:txbxContent>
                          <w:p w14:paraId="30D4DAD2" w14:textId="0E52152C" w:rsidR="004044C6" w:rsidRDefault="004044C6" w:rsidP="004044C6">
                            <w:pPr>
                              <w:jc w:val="center"/>
                            </w:pPr>
                            <w:r>
                              <w:t>CAHs (mmol/L)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471A0" id="Casella di testo 6" o:spid="_x0000_s1028" type="#_x0000_t202" style="position:absolute;margin-left:-1.6pt;margin-top:102.9pt;width:167.25pt;height:18.6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" fillcolor="white [3201]" strokeweight=".5pt">
                <v:textbox>
                  <w:txbxContent>
                    <w:p w14:paraId="30D4DAD2" w14:textId="0E52152C" w:rsidR="004044C6" w:rsidRDefault="004044C6" w:rsidP="004044C6">
                      <w:pPr>
                        <w:jc w:val="center"/>
                      </w:pPr>
                      <w:r>
                        <w:t>CAHs (mmol/L)</w:t>
                      </w:r>
                    </w:p>
                  </w:txbxContent>
                </v:textbox>
              </v:shape>
            </w:pict>
          </mc:Fallback>
        </mc:AlternateContent>
      </w:r>
      <w:r w:rsidR="0051336B" w:rsidRPr="0051336B">
        <w:rPr>
          <w:rFonts w:ascii="Times New Roman" w:eastAsia="MS PGothic" w:hAnsi="Times New Roman"/>
          <w:b/>
          <w:bCs/>
          <w:lang w:val="en-GB"/>
        </w:rPr>
        <w:t xml:space="preserve">                         </w:t>
      </w:r>
      <w:r w:rsidR="004044C6" w:rsidRPr="004044C6">
        <w:rPr>
          <w:noProof/>
        </w:rPr>
        <w:drawing>
          <wp:inline distT="0" distB="0" distL="0" distR="0" wp14:anchorId="4F89655B" wp14:editId="0E2E57AE">
            <wp:extent cx="4974542" cy="32400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4542" cy="3240000"/>
                    </a:xfrm>
                    <a:prstGeom prst="rect">
                      <a:avLst/>
                    </a:prstGeom>
                    <a:noFill/>
                    <a:ln>
                      <a:noFill/>
                    </a:ln>
                  </pic:spPr>
                </pic:pic>
              </a:graphicData>
            </a:graphic>
          </wp:inline>
        </w:drawing>
      </w:r>
    </w:p>
    <w:p w14:paraId="1E330FB4" w14:textId="61C9DF4D" w:rsidR="00B25A2E" w:rsidRPr="006065CD" w:rsidRDefault="006065CD" w:rsidP="006065CD">
      <w:pPr>
        <w:pStyle w:val="Didascalia"/>
        <w:rPr>
          <w:rFonts w:ascii="Times New Roman" w:eastAsia="MS PGothic" w:hAnsi="Times New Roman"/>
          <w:b/>
          <w:bCs/>
          <w:lang w:val="en-GB"/>
        </w:rPr>
      </w:pPr>
      <w:r>
        <w:rPr>
          <w:rFonts w:ascii="Times New Roman" w:hAnsi="Times New Roman" w:cs="Times New Roman"/>
          <w:b/>
          <w:bCs/>
          <w:i w:val="0"/>
          <w:iCs w:val="0"/>
          <w:color w:val="000000" w:themeColor="text1"/>
          <w:sz w:val="22"/>
          <w:szCs w:val="22"/>
          <w:lang w:val="en-GB"/>
        </w:rPr>
        <w:t xml:space="preserve">                           </w:t>
      </w:r>
      <w:r w:rsidRPr="006065CD">
        <w:rPr>
          <w:rFonts w:ascii="Times New Roman" w:hAnsi="Times New Roman" w:cs="Times New Roman"/>
          <w:b/>
          <w:bCs/>
          <w:i w:val="0"/>
          <w:iCs w:val="0"/>
          <w:color w:val="000000" w:themeColor="text1"/>
          <w:sz w:val="22"/>
          <w:szCs w:val="22"/>
          <w:lang w:val="en-GB"/>
        </w:rPr>
        <w:t xml:space="preserve">Figure </w:t>
      </w:r>
      <w:r w:rsidRPr="006065CD">
        <w:rPr>
          <w:rFonts w:ascii="Times New Roman" w:hAnsi="Times New Roman" w:cs="Times New Roman"/>
          <w:b/>
          <w:bCs/>
          <w:i w:val="0"/>
          <w:iCs w:val="0"/>
          <w:color w:val="000000" w:themeColor="text1"/>
          <w:sz w:val="22"/>
          <w:szCs w:val="22"/>
        </w:rPr>
        <w:fldChar w:fldCharType="begin"/>
      </w:r>
      <w:r w:rsidRPr="006065CD">
        <w:rPr>
          <w:rFonts w:ascii="Times New Roman" w:hAnsi="Times New Roman" w:cs="Times New Roman"/>
          <w:b/>
          <w:bCs/>
          <w:i w:val="0"/>
          <w:iCs w:val="0"/>
          <w:color w:val="000000" w:themeColor="text1"/>
          <w:sz w:val="22"/>
          <w:szCs w:val="22"/>
          <w:lang w:val="en-GB"/>
        </w:rPr>
        <w:instrText xml:space="preserve"> SEQ Figura \* ARABIC </w:instrText>
      </w:r>
      <w:r w:rsidRPr="006065CD">
        <w:rPr>
          <w:rFonts w:ascii="Times New Roman" w:hAnsi="Times New Roman" w:cs="Times New Roman"/>
          <w:b/>
          <w:bCs/>
          <w:i w:val="0"/>
          <w:iCs w:val="0"/>
          <w:color w:val="000000" w:themeColor="text1"/>
          <w:sz w:val="22"/>
          <w:szCs w:val="22"/>
        </w:rPr>
        <w:fldChar w:fldCharType="separate"/>
      </w:r>
      <w:r w:rsidRPr="006065CD">
        <w:rPr>
          <w:rFonts w:ascii="Times New Roman" w:hAnsi="Times New Roman" w:cs="Times New Roman"/>
          <w:b/>
          <w:bCs/>
          <w:i w:val="0"/>
          <w:iCs w:val="0"/>
          <w:noProof/>
          <w:color w:val="000000" w:themeColor="text1"/>
          <w:sz w:val="22"/>
          <w:szCs w:val="22"/>
          <w:lang w:val="en-GB"/>
        </w:rPr>
        <w:t>1</w:t>
      </w:r>
      <w:r w:rsidRPr="006065CD">
        <w:rPr>
          <w:rFonts w:ascii="Times New Roman" w:hAnsi="Times New Roman" w:cs="Times New Roman"/>
          <w:b/>
          <w:bCs/>
          <w:i w:val="0"/>
          <w:iCs w:val="0"/>
          <w:color w:val="000000" w:themeColor="text1"/>
          <w:sz w:val="22"/>
          <w:szCs w:val="22"/>
        </w:rPr>
        <w:fldChar w:fldCharType="end"/>
      </w:r>
      <w:r w:rsidRPr="006065CD">
        <w:rPr>
          <w:rFonts w:ascii="Times New Roman" w:hAnsi="Times New Roman" w:cs="Times New Roman"/>
          <w:b/>
          <w:bCs/>
          <w:i w:val="0"/>
          <w:iCs w:val="0"/>
          <w:color w:val="000000" w:themeColor="text1"/>
          <w:sz w:val="22"/>
          <w:szCs w:val="22"/>
          <w:lang w:val="en-GB"/>
        </w:rPr>
        <w:t>.</w:t>
      </w:r>
      <w:r w:rsidRPr="006065CD">
        <w:rPr>
          <w:rFonts w:ascii="Times New Roman" w:hAnsi="Times New Roman" w:cs="Times New Roman"/>
          <w:b/>
          <w:bCs/>
          <w:color w:val="000000" w:themeColor="text1"/>
          <w:sz w:val="22"/>
          <w:szCs w:val="22"/>
          <w:lang w:val="en-GB"/>
        </w:rPr>
        <w:t xml:space="preserve"> </w:t>
      </w:r>
      <w:r w:rsidRPr="006065CD">
        <w:rPr>
          <w:rFonts w:ascii="Times New Roman" w:hAnsi="Times New Roman" w:cs="Times New Roman"/>
          <w:i w:val="0"/>
          <w:iCs w:val="0"/>
          <w:color w:val="000000" w:themeColor="text1"/>
          <w:sz w:val="22"/>
          <w:szCs w:val="22"/>
          <w:lang w:val="en-GB"/>
        </w:rPr>
        <w:t xml:space="preserve">Time course of reductive </w:t>
      </w:r>
      <w:proofErr w:type="spellStart"/>
      <w:r w:rsidRPr="006065CD">
        <w:rPr>
          <w:rFonts w:ascii="Times New Roman" w:hAnsi="Times New Roman" w:cs="Times New Roman"/>
          <w:i w:val="0"/>
          <w:iCs w:val="0"/>
          <w:color w:val="000000" w:themeColor="text1"/>
          <w:sz w:val="22"/>
          <w:szCs w:val="22"/>
          <w:lang w:val="en-GB"/>
        </w:rPr>
        <w:t>dechlorination</w:t>
      </w:r>
      <w:proofErr w:type="spellEnd"/>
      <w:r w:rsidRPr="006065CD">
        <w:rPr>
          <w:rFonts w:ascii="Times New Roman" w:hAnsi="Times New Roman" w:cs="Times New Roman"/>
          <w:i w:val="0"/>
          <w:iCs w:val="0"/>
          <w:color w:val="000000" w:themeColor="text1"/>
          <w:sz w:val="22"/>
          <w:szCs w:val="22"/>
          <w:lang w:val="en-GB"/>
        </w:rPr>
        <w:t xml:space="preserve"> reaction in the 25L biological reactor</w:t>
      </w:r>
    </w:p>
    <w:p w14:paraId="0DE817AB" w14:textId="12422A63" w:rsidR="00DA51A3" w:rsidRDefault="00DA51A3" w:rsidP="005A35CD">
      <w:pPr>
        <w:snapToGrid w:val="0"/>
        <w:spacing w:before="240" w:line="300" w:lineRule="auto"/>
        <w:rPr>
          <w:rFonts w:ascii="Times New Roman" w:eastAsia="MS PGothic" w:hAnsi="Times New Roman"/>
          <w:b/>
          <w:bCs/>
          <w:lang w:eastAsia="ko-KR"/>
        </w:rPr>
      </w:pPr>
      <w:r w:rsidRPr="00B25A2E">
        <w:rPr>
          <w:rFonts w:ascii="Times New Roman" w:eastAsia="MS PGothic" w:hAnsi="Times New Roman"/>
          <w:b/>
          <w:bCs/>
        </w:rPr>
        <w:t xml:space="preserve">4. </w:t>
      </w:r>
      <w:proofErr w:type="spellStart"/>
      <w:r w:rsidRPr="00B25A2E">
        <w:rPr>
          <w:rFonts w:ascii="Times New Roman" w:eastAsia="MS PGothic" w:hAnsi="Times New Roman"/>
          <w:b/>
          <w:bCs/>
        </w:rPr>
        <w:t>Conclusion</w:t>
      </w:r>
      <w:r w:rsidRPr="00B25A2E">
        <w:rPr>
          <w:rFonts w:ascii="Times New Roman" w:eastAsia="MS PGothic" w:hAnsi="Times New Roman"/>
          <w:b/>
          <w:bCs/>
          <w:lang w:eastAsia="ko-KR"/>
        </w:rPr>
        <w:t>s</w:t>
      </w:r>
      <w:proofErr w:type="spellEnd"/>
    </w:p>
    <w:p w14:paraId="0F60C18E" w14:textId="553CE992" w:rsidR="00190FA3" w:rsidRPr="00FF21B4" w:rsidRDefault="006065CD" w:rsidP="005A35CD">
      <w:pPr>
        <w:snapToGrid w:val="0"/>
        <w:spacing w:before="240" w:line="300" w:lineRule="auto"/>
        <w:rPr>
          <w:rFonts w:ascii="Times New Roman" w:eastAsia="MS PGothic" w:hAnsi="Times New Roman"/>
          <w:lang w:val="en-GB"/>
        </w:rPr>
      </w:pPr>
      <w:r>
        <w:rPr>
          <w:rFonts w:ascii="Times New Roman" w:eastAsia="MS PGothic" w:hAnsi="Times New Roman"/>
          <w:lang w:val="en-GB"/>
        </w:rPr>
        <w:t>After the good performances offered by this consortia augmentation t</w:t>
      </w:r>
      <w:r w:rsidR="00190FA3" w:rsidRPr="00FF21B4">
        <w:rPr>
          <w:rFonts w:ascii="Times New Roman" w:eastAsia="MS PGothic" w:hAnsi="Times New Roman"/>
          <w:lang w:val="en-GB"/>
        </w:rPr>
        <w:t>his biomass</w:t>
      </w:r>
      <w:r w:rsidR="00FF21B4" w:rsidRPr="00FF21B4">
        <w:rPr>
          <w:rFonts w:ascii="Times New Roman" w:eastAsia="MS PGothic" w:hAnsi="Times New Roman"/>
          <w:lang w:val="en-GB"/>
        </w:rPr>
        <w:t xml:space="preserve"> incrementation h</w:t>
      </w:r>
      <w:r w:rsidR="00FF21B4">
        <w:rPr>
          <w:rFonts w:ascii="Times New Roman" w:eastAsia="MS PGothic" w:hAnsi="Times New Roman"/>
          <w:lang w:val="en-GB"/>
        </w:rPr>
        <w:t xml:space="preserve">as allowed the inoculation and the biofilm formation on the </w:t>
      </w:r>
      <w:proofErr w:type="spellStart"/>
      <w:r w:rsidR="00FF21B4">
        <w:rPr>
          <w:rFonts w:ascii="Times New Roman" w:eastAsia="MS PGothic" w:hAnsi="Times New Roman"/>
          <w:lang w:val="en-GB"/>
        </w:rPr>
        <w:t>electrodic</w:t>
      </w:r>
      <w:proofErr w:type="spellEnd"/>
      <w:r w:rsidR="00FF21B4">
        <w:rPr>
          <w:rFonts w:ascii="Times New Roman" w:eastAsia="MS PGothic" w:hAnsi="Times New Roman"/>
          <w:lang w:val="en-GB"/>
        </w:rPr>
        <w:t xml:space="preserve"> surface</w:t>
      </w:r>
      <w:r w:rsidR="00547F89">
        <w:rPr>
          <w:rFonts w:ascii="Times New Roman" w:eastAsia="MS PGothic" w:hAnsi="Times New Roman"/>
          <w:lang w:val="en-GB"/>
        </w:rPr>
        <w:t xml:space="preserve"> on a 400 L </w:t>
      </w:r>
      <w:proofErr w:type="spellStart"/>
      <w:r w:rsidR="00547F89">
        <w:rPr>
          <w:rFonts w:ascii="Times New Roman" w:eastAsia="MS PGothic" w:hAnsi="Times New Roman"/>
          <w:lang w:val="en-GB"/>
        </w:rPr>
        <w:t>bioelectrochemical</w:t>
      </w:r>
      <w:proofErr w:type="spellEnd"/>
      <w:r w:rsidR="00547F89">
        <w:rPr>
          <w:rFonts w:ascii="Times New Roman" w:eastAsia="MS PGothic" w:hAnsi="Times New Roman"/>
          <w:lang w:val="en-GB"/>
        </w:rPr>
        <w:t xml:space="preserve"> reactor for a field test on a real contaminated site situated in northern </w:t>
      </w:r>
      <w:proofErr w:type="spellStart"/>
      <w:r w:rsidR="00547F89">
        <w:rPr>
          <w:rFonts w:ascii="Times New Roman" w:eastAsia="MS PGothic" w:hAnsi="Times New Roman"/>
          <w:lang w:val="en-GB"/>
        </w:rPr>
        <w:t>italy</w:t>
      </w:r>
      <w:proofErr w:type="spellEnd"/>
      <w:r w:rsidR="00547F89">
        <w:rPr>
          <w:rFonts w:ascii="Times New Roman" w:eastAsia="MS PGothic" w:hAnsi="Times New Roman"/>
          <w:lang w:val="en-GB"/>
        </w:rPr>
        <w:t>.</w:t>
      </w:r>
      <w:r w:rsidR="00FF21B4">
        <w:rPr>
          <w:rFonts w:ascii="Times New Roman" w:eastAsia="MS PGothic" w:hAnsi="Times New Roman"/>
          <w:lang w:val="en-GB"/>
        </w:rPr>
        <w:t xml:space="preserve"> </w:t>
      </w:r>
    </w:p>
    <w:p w14:paraId="10FCA0E1" w14:textId="77777777" w:rsidR="00B25A2E" w:rsidRPr="004C4C8D" w:rsidRDefault="00B25A2E" w:rsidP="00B25A2E">
      <w:pPr>
        <w:snapToGrid w:val="0"/>
        <w:spacing w:after="120"/>
        <w:jc w:val="both"/>
        <w:rPr>
          <w:rFonts w:ascii="Times New Roman" w:eastAsia="MS PGothic" w:hAnsi="Times New Roman"/>
          <w:b/>
          <w:bCs/>
          <w:lang w:val="en-US"/>
        </w:rPr>
      </w:pPr>
      <w:r w:rsidRPr="004C4C8D">
        <w:rPr>
          <w:rFonts w:ascii="Times New Roman" w:eastAsia="MS PGothic" w:hAnsi="Times New Roman"/>
          <w:b/>
          <w:bCs/>
          <w:lang w:val="en-US"/>
        </w:rPr>
        <w:t xml:space="preserve">Acknowledgements </w:t>
      </w:r>
    </w:p>
    <w:p w14:paraId="46B4957B" w14:textId="6611227C" w:rsidR="00B25A2E" w:rsidRDefault="00B25A2E" w:rsidP="00B25A2E">
      <w:pPr>
        <w:snapToGrid w:val="0"/>
        <w:spacing w:after="120"/>
        <w:jc w:val="both"/>
        <w:rPr>
          <w:rFonts w:ascii="Times New Roman" w:eastAsia="MS PGothic" w:hAnsi="Times New Roman"/>
          <w:lang w:val="en-US"/>
        </w:rPr>
      </w:pPr>
      <w:r w:rsidRPr="004C4C8D">
        <w:rPr>
          <w:rFonts w:ascii="Times New Roman" w:eastAsia="MS PGothic" w:hAnsi="Times New Roman"/>
          <w:lang w:val="en-US"/>
        </w:rPr>
        <w:t>This project has received funding from the European Union’s Horizon 2020 research and innovation program under grant agreement No 826244-ELECTRA.</w:t>
      </w:r>
    </w:p>
    <w:p w14:paraId="3A3F662F" w14:textId="50EE574E" w:rsidR="00C25811" w:rsidRPr="00A713C7" w:rsidRDefault="00C25811" w:rsidP="00C25811">
      <w:pPr>
        <w:snapToGrid w:val="0"/>
        <w:spacing w:before="240" w:line="300" w:lineRule="auto"/>
        <w:rPr>
          <w:rFonts w:ascii="Times New Roman" w:eastAsia="MS PGothic" w:hAnsi="Times New Roman"/>
          <w:b/>
          <w:bCs/>
          <w:lang w:val="en-GB"/>
        </w:rPr>
      </w:pPr>
      <w:r w:rsidRPr="00A713C7">
        <w:rPr>
          <w:rFonts w:ascii="Times New Roman" w:eastAsia="MS PGothic" w:hAnsi="Times New Roman"/>
          <w:b/>
          <w:bCs/>
          <w:lang w:val="en-GB"/>
        </w:rPr>
        <w:t>Bibliography</w:t>
      </w:r>
    </w:p>
    <w:p w14:paraId="2ED923ED" w14:textId="234DCD50" w:rsidR="00C25811" w:rsidRPr="00D12B3B" w:rsidRDefault="00C25811" w:rsidP="00C25811">
      <w:pPr>
        <w:widowControl w:val="0"/>
        <w:autoSpaceDE w:val="0"/>
        <w:autoSpaceDN w:val="0"/>
        <w:adjustRightInd w:val="0"/>
        <w:spacing w:before="240" w:line="240" w:lineRule="auto"/>
        <w:ind w:left="640" w:hanging="640"/>
        <w:rPr>
          <w:rFonts w:ascii="Times New Roman" w:hAnsi="Times New Roman" w:cs="Times New Roman"/>
          <w:noProof/>
          <w:sz w:val="20"/>
          <w:szCs w:val="20"/>
          <w:lang w:val="en-GB"/>
        </w:rPr>
      </w:pPr>
      <w:r>
        <w:rPr>
          <w:rFonts w:ascii="Times New Roman" w:eastAsia="MS PGothic" w:hAnsi="Times New Roman"/>
          <w:lang w:val="en-US"/>
        </w:rPr>
        <w:fldChar w:fldCharType="begin" w:fldLock="1"/>
      </w:r>
      <w:r>
        <w:rPr>
          <w:rFonts w:ascii="Times New Roman" w:eastAsia="MS PGothic" w:hAnsi="Times New Roman"/>
          <w:lang w:val="en-US"/>
        </w:rPr>
        <w:instrText xml:space="preserve">ADDIN Mendeley Bibliography CSL_BIBLIOGRAPHY </w:instrText>
      </w:r>
      <w:r>
        <w:rPr>
          <w:rFonts w:ascii="Times New Roman" w:eastAsia="MS PGothic" w:hAnsi="Times New Roman"/>
          <w:lang w:val="en-US"/>
        </w:rPr>
        <w:fldChar w:fldCharType="separate"/>
      </w:r>
      <w:r w:rsidRPr="00D12B3B">
        <w:rPr>
          <w:rFonts w:ascii="Times New Roman" w:hAnsi="Times New Roman" w:cs="Times New Roman"/>
          <w:noProof/>
          <w:sz w:val="20"/>
          <w:szCs w:val="20"/>
          <w:lang w:val="en-GB"/>
        </w:rPr>
        <w:t>[1]</w:t>
      </w:r>
      <w:r w:rsidRPr="00D12B3B">
        <w:rPr>
          <w:rFonts w:ascii="Times New Roman" w:hAnsi="Times New Roman" w:cs="Times New Roman"/>
          <w:noProof/>
          <w:sz w:val="20"/>
          <w:szCs w:val="20"/>
          <w:lang w:val="en-GB"/>
        </w:rPr>
        <w:tab/>
        <w:t>R.E. Doherty, Environ. Forensics. 1 (2000) 69–81.</w:t>
      </w:r>
    </w:p>
    <w:p w14:paraId="5B44044D" w14:textId="3CD89491" w:rsidR="00C25811" w:rsidRPr="00D12B3B" w:rsidRDefault="00C25811" w:rsidP="00C25811">
      <w:pPr>
        <w:widowControl w:val="0"/>
        <w:autoSpaceDE w:val="0"/>
        <w:autoSpaceDN w:val="0"/>
        <w:adjustRightInd w:val="0"/>
        <w:spacing w:before="240" w:line="240" w:lineRule="auto"/>
        <w:ind w:left="640" w:hanging="640"/>
        <w:rPr>
          <w:rFonts w:ascii="Times New Roman" w:hAnsi="Times New Roman" w:cs="Times New Roman"/>
          <w:noProof/>
          <w:sz w:val="20"/>
          <w:szCs w:val="20"/>
          <w:lang w:val="en-GB"/>
        </w:rPr>
      </w:pPr>
      <w:r w:rsidRPr="00547F89">
        <w:rPr>
          <w:rFonts w:ascii="Times New Roman" w:hAnsi="Times New Roman" w:cs="Times New Roman"/>
          <w:noProof/>
          <w:sz w:val="20"/>
          <w:szCs w:val="20"/>
        </w:rPr>
        <w:t>[2]</w:t>
      </w:r>
      <w:r w:rsidRPr="00547F89">
        <w:rPr>
          <w:rFonts w:ascii="Times New Roman" w:hAnsi="Times New Roman" w:cs="Times New Roman"/>
          <w:noProof/>
          <w:sz w:val="20"/>
          <w:szCs w:val="20"/>
        </w:rPr>
        <w:tab/>
        <w:t xml:space="preserve">M.P. Papini, M. Majone, F. Arjmand, D. Silvestri, M. Sagliaschi, S. Sucato, E. Alesi, E. Barstch, L. Pierro, Chem. Eng. </w:t>
      </w:r>
      <w:r w:rsidRPr="00D12B3B">
        <w:rPr>
          <w:rFonts w:ascii="Times New Roman" w:hAnsi="Times New Roman" w:cs="Times New Roman"/>
          <w:noProof/>
          <w:sz w:val="20"/>
          <w:szCs w:val="20"/>
          <w:lang w:val="en-GB"/>
        </w:rPr>
        <w:t xml:space="preserve">Trans. 49 (2016) 91–96. </w:t>
      </w:r>
    </w:p>
    <w:p w14:paraId="6FBE5995" w14:textId="2F8596CD" w:rsidR="00C25811" w:rsidRPr="00B25A2E" w:rsidRDefault="00C25811" w:rsidP="00B25A2E">
      <w:pPr>
        <w:widowControl w:val="0"/>
        <w:autoSpaceDE w:val="0"/>
        <w:autoSpaceDN w:val="0"/>
        <w:adjustRightInd w:val="0"/>
        <w:spacing w:before="240" w:line="240" w:lineRule="auto"/>
        <w:ind w:left="640" w:hanging="640"/>
        <w:rPr>
          <w:rFonts w:ascii="Times New Roman" w:hAnsi="Times New Roman" w:cs="Times New Roman"/>
          <w:noProof/>
          <w:sz w:val="20"/>
          <w:szCs w:val="20"/>
          <w:lang w:val="en-GB"/>
        </w:rPr>
      </w:pPr>
      <w:r w:rsidRPr="00547F89">
        <w:rPr>
          <w:rFonts w:ascii="Times New Roman" w:hAnsi="Times New Roman" w:cs="Times New Roman"/>
          <w:noProof/>
          <w:sz w:val="20"/>
          <w:szCs w:val="20"/>
        </w:rPr>
        <w:t>[3]</w:t>
      </w:r>
      <w:r w:rsidRPr="00547F89">
        <w:rPr>
          <w:rFonts w:ascii="Times New Roman" w:hAnsi="Times New Roman" w:cs="Times New Roman"/>
          <w:noProof/>
          <w:sz w:val="20"/>
          <w:szCs w:val="20"/>
        </w:rPr>
        <w:tab/>
        <w:t xml:space="preserve">M.M. Rossi, E. Dell’Armi, L. Lorini, N. Amanat, M. Zeppilli, M. Villano, M. Petrangeli Papini, Bioengineering. </w:t>
      </w:r>
      <w:r w:rsidRPr="00D12B3B">
        <w:rPr>
          <w:rFonts w:ascii="Times New Roman" w:hAnsi="Times New Roman" w:cs="Times New Roman"/>
          <w:noProof/>
          <w:sz w:val="20"/>
          <w:szCs w:val="20"/>
          <w:lang w:val="en-GB"/>
        </w:rPr>
        <w:t>8 (2021) 109.</w:t>
      </w:r>
    </w:p>
    <w:p w14:paraId="3CE50D63" w14:textId="39A591C8" w:rsidR="00C25811" w:rsidRPr="00466FFD" w:rsidRDefault="00C25811" w:rsidP="006065CD">
      <w:pPr>
        <w:pStyle w:val="FirstParagraph"/>
        <w:tabs>
          <w:tab w:val="left" w:pos="426"/>
        </w:tabs>
        <w:spacing w:line="240" w:lineRule="auto"/>
        <w:rPr>
          <w:rFonts w:ascii="Times New Roman" w:eastAsia="MS PGothic" w:hAnsi="Times New Roman"/>
        </w:rPr>
      </w:pPr>
      <w:r>
        <w:rPr>
          <w:rFonts w:ascii="Times New Roman" w:eastAsia="MS PGothic" w:hAnsi="Times New Roman"/>
        </w:rPr>
        <w:fldChar w:fldCharType="end"/>
      </w:r>
    </w:p>
    <w:sectPr w:rsidR="00C25811" w:rsidRPr="00466FFD" w:rsidSect="001D0E0C">
      <w:headerReference w:type="default" r:id="rId10"/>
      <w:headerReference w:type="first" r:id="rId11"/>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06983" w14:textId="77777777" w:rsidR="004F2BD8" w:rsidRDefault="004F2BD8" w:rsidP="001D0E0C">
      <w:pPr>
        <w:spacing w:after="0" w:line="240" w:lineRule="auto"/>
      </w:pPr>
      <w:r>
        <w:separator/>
      </w:r>
    </w:p>
  </w:endnote>
  <w:endnote w:type="continuationSeparator" w:id="0">
    <w:p w14:paraId="7A04EF12" w14:textId="77777777" w:rsidR="004F2BD8" w:rsidRDefault="004F2BD8" w:rsidP="001D0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9DBC0" w14:textId="77777777" w:rsidR="004F2BD8" w:rsidRDefault="004F2BD8" w:rsidP="001D0E0C">
      <w:pPr>
        <w:spacing w:after="0" w:line="240" w:lineRule="auto"/>
      </w:pPr>
      <w:r>
        <w:separator/>
      </w:r>
    </w:p>
  </w:footnote>
  <w:footnote w:type="continuationSeparator" w:id="0">
    <w:p w14:paraId="367D0A78" w14:textId="77777777" w:rsidR="004F2BD8" w:rsidRDefault="004F2BD8" w:rsidP="001D0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BBF7" w14:textId="24434349" w:rsidR="001D0E0C" w:rsidRPr="001B060D" w:rsidRDefault="001B060D" w:rsidP="001B060D">
    <w:pPr>
      <w:pStyle w:val="Intestazione"/>
      <w:jc w:val="center"/>
    </w:pPr>
    <w:r w:rsidRPr="005C2A12">
      <w:rPr>
        <w:b/>
        <w:i/>
        <w:color w:val="2E74B5" w:themeColor="accent5" w:themeShade="BF"/>
        <w:sz w:val="24"/>
        <w:szCs w:val="24"/>
      </w:rPr>
      <w:t>GRICU 2022, Ischia, (</w:t>
    </w:r>
    <w:proofErr w:type="spellStart"/>
    <w:r w:rsidRPr="005C2A12">
      <w:rPr>
        <w:b/>
        <w:i/>
        <w:color w:val="2E74B5" w:themeColor="accent5" w:themeShade="BF"/>
        <w:sz w:val="24"/>
        <w:szCs w:val="24"/>
      </w:rPr>
      <w:t>Italy</w:t>
    </w:r>
    <w:proofErr w:type="spellEnd"/>
    <w:r w:rsidRPr="005C2A12">
      <w:rPr>
        <w:b/>
        <w:i/>
        <w:color w:val="2E74B5" w:themeColor="accent5" w:themeShade="BF"/>
        <w:sz w:val="24"/>
        <w:szCs w:val="24"/>
      </w:rPr>
      <w:t xml:space="preserve">), </w:t>
    </w:r>
    <w:proofErr w:type="spellStart"/>
    <w:r w:rsidRPr="005C2A12">
      <w:rPr>
        <w:b/>
        <w:i/>
        <w:color w:val="2E74B5" w:themeColor="accent5" w:themeShade="BF"/>
        <w:sz w:val="24"/>
        <w:szCs w:val="24"/>
      </w:rPr>
      <w:t>July</w:t>
    </w:r>
    <w:proofErr w:type="spellEnd"/>
    <w:r w:rsidRPr="005C2A12">
      <w:rPr>
        <w:b/>
        <w:i/>
        <w:color w:val="2E74B5" w:themeColor="accent5" w:themeShade="BF"/>
        <w:sz w:val="24"/>
        <w:szCs w:val="24"/>
      </w:rPr>
      <w:t xml:space="preserve"> 3-6,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5D5F" w14:textId="292CCFE8" w:rsidR="001D0E0C" w:rsidRDefault="00F24290" w:rsidP="000517B4">
    <w:pPr>
      <w:pStyle w:val="Intestazione"/>
      <w:tabs>
        <w:tab w:val="left" w:pos="1188"/>
      </w:tabs>
      <w:jc w:val="center"/>
      <w:rPr>
        <w:b/>
        <w:i/>
        <w:color w:val="2E74B5" w:themeColor="accent5" w:themeShade="BF"/>
        <w:sz w:val="24"/>
        <w:szCs w:val="24"/>
      </w:rPr>
    </w:pPr>
    <w:r>
      <w:rPr>
        <w:b/>
        <w:i/>
        <w:noProof/>
        <w:color w:val="2E74B5" w:themeColor="accent5" w:themeShade="BF"/>
        <w:sz w:val="24"/>
        <w:szCs w:val="24"/>
      </w:rPr>
      <w:drawing>
        <wp:anchor distT="0" distB="0" distL="114300" distR="114300" simplePos="0" relativeHeight="251660288" behindDoc="0" locked="0" layoutInCell="1" allowOverlap="1" wp14:anchorId="5A213143" wp14:editId="773337C5">
          <wp:simplePos x="0" y="0"/>
          <wp:positionH relativeFrom="column">
            <wp:posOffset>614128</wp:posOffset>
          </wp:positionH>
          <wp:positionV relativeFrom="paragraph">
            <wp:posOffset>-170180</wp:posOffset>
          </wp:positionV>
          <wp:extent cx="1494000" cy="529200"/>
          <wp:effectExtent l="0" t="0" r="5080"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Pr>
        <w:b/>
        <w:i/>
        <w:color w:val="2E74B5" w:themeColor="accent5" w:themeShade="BF"/>
        <w:sz w:val="24"/>
        <w:szCs w:val="24"/>
      </w:rPr>
      <w:t xml:space="preserve"> </w:t>
    </w:r>
    <w:r w:rsidR="008871B1">
      <w:rPr>
        <w:b/>
        <w:i/>
        <w:color w:val="2E74B5" w:themeColor="accent5" w:themeShade="BF"/>
        <w:sz w:val="24"/>
        <w:szCs w:val="24"/>
      </w:rPr>
      <w:tab/>
    </w:r>
    <w:r w:rsidR="000517B4" w:rsidRPr="005C2A12">
      <w:rPr>
        <w:b/>
        <w:i/>
        <w:color w:val="2E74B5" w:themeColor="accent5" w:themeShade="BF"/>
        <w:sz w:val="24"/>
        <w:szCs w:val="24"/>
      </w:rPr>
      <w:t>GRICU 2022, Ischia, (</w:t>
    </w:r>
    <w:proofErr w:type="spellStart"/>
    <w:r w:rsidR="000517B4" w:rsidRPr="005C2A12">
      <w:rPr>
        <w:b/>
        <w:i/>
        <w:color w:val="2E74B5" w:themeColor="accent5" w:themeShade="BF"/>
        <w:sz w:val="24"/>
        <w:szCs w:val="24"/>
      </w:rPr>
      <w:t>Italy</w:t>
    </w:r>
    <w:proofErr w:type="spellEnd"/>
    <w:r w:rsidR="000517B4" w:rsidRPr="005C2A12">
      <w:rPr>
        <w:b/>
        <w:i/>
        <w:color w:val="2E74B5" w:themeColor="accent5" w:themeShade="BF"/>
        <w:sz w:val="24"/>
        <w:szCs w:val="24"/>
      </w:rPr>
      <w:t xml:space="preserve">), </w:t>
    </w:r>
    <w:proofErr w:type="spellStart"/>
    <w:r w:rsidR="000517B4" w:rsidRPr="005C2A12">
      <w:rPr>
        <w:b/>
        <w:i/>
        <w:color w:val="2E74B5" w:themeColor="accent5" w:themeShade="BF"/>
        <w:sz w:val="24"/>
        <w:szCs w:val="24"/>
      </w:rPr>
      <w:t>July</w:t>
    </w:r>
    <w:proofErr w:type="spellEnd"/>
    <w:r w:rsidR="000517B4" w:rsidRPr="005C2A12">
      <w:rPr>
        <w:b/>
        <w:i/>
        <w:color w:val="2E74B5" w:themeColor="accent5" w:themeShade="BF"/>
        <w:sz w:val="24"/>
        <w:szCs w:val="24"/>
      </w:rPr>
      <w:t xml:space="preserve"> 3-6, 2022</w:t>
    </w:r>
  </w:p>
  <w:p w14:paraId="14E4AC61" w14:textId="77777777" w:rsidR="008871B1" w:rsidRPr="005C2A12" w:rsidRDefault="008871B1" w:rsidP="000517B4">
    <w:pPr>
      <w:pStyle w:val="Intestazione"/>
      <w:tabs>
        <w:tab w:val="left" w:pos="1188"/>
      </w:tabs>
      <w:jc w:val="center"/>
      <w:rPr>
        <w:b/>
        <w:i/>
        <w:color w:val="2E74B5" w:themeColor="accent5" w:themeShade="BF"/>
        <w:sz w:val="24"/>
        <w:szCs w:val="24"/>
      </w:rPr>
    </w:pPr>
  </w:p>
  <w:p w14:paraId="2DF8C760" w14:textId="7526195E" w:rsidR="001D0E0C" w:rsidRDefault="00B25A2E" w:rsidP="001D0E0C">
    <w:pPr>
      <w:pStyle w:val="Intestazione"/>
      <w:jc w:val="center"/>
    </w:pPr>
    <w:r>
      <w:rPr>
        <w:noProof/>
      </w:rPr>
      <mc:AlternateContent>
        <mc:Choice Requires="wps">
          <w:drawing>
            <wp:anchor distT="0" distB="0" distL="114300" distR="114300" simplePos="0" relativeHeight="251659264" behindDoc="0" locked="0" layoutInCell="1" allowOverlap="1" wp14:anchorId="2D5F8811" wp14:editId="3AC6BBF9">
              <wp:simplePos x="0" y="0"/>
              <wp:positionH relativeFrom="column">
                <wp:posOffset>57150</wp:posOffset>
              </wp:positionH>
              <wp:positionV relativeFrom="paragraph">
                <wp:posOffset>103505</wp:posOffset>
              </wp:positionV>
              <wp:extent cx="5631180" cy="7620"/>
              <wp:effectExtent l="0" t="0" r="7620" b="11430"/>
              <wp:wrapNone/>
              <wp:docPr id="3" name="Connettore dirit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9E335" id="Connettore dirit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447.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" strokecolor="#0070c0" strokeweight="1.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A3"/>
    <w:rsid w:val="000517B4"/>
    <w:rsid w:val="000533C8"/>
    <w:rsid w:val="00097F92"/>
    <w:rsid w:val="000B1EB5"/>
    <w:rsid w:val="000E7326"/>
    <w:rsid w:val="0018667F"/>
    <w:rsid w:val="00190FA3"/>
    <w:rsid w:val="00195C4C"/>
    <w:rsid w:val="001B060D"/>
    <w:rsid w:val="001D0E0C"/>
    <w:rsid w:val="002149DB"/>
    <w:rsid w:val="00276B12"/>
    <w:rsid w:val="00347219"/>
    <w:rsid w:val="003C31E1"/>
    <w:rsid w:val="003F160A"/>
    <w:rsid w:val="00402674"/>
    <w:rsid w:val="004044C6"/>
    <w:rsid w:val="00445FF0"/>
    <w:rsid w:val="004C56B4"/>
    <w:rsid w:val="004F2BD8"/>
    <w:rsid w:val="0051336B"/>
    <w:rsid w:val="00547F89"/>
    <w:rsid w:val="00571202"/>
    <w:rsid w:val="005A35CD"/>
    <w:rsid w:val="005B71B2"/>
    <w:rsid w:val="005C2A12"/>
    <w:rsid w:val="005D15AE"/>
    <w:rsid w:val="005D4EE8"/>
    <w:rsid w:val="005E22B3"/>
    <w:rsid w:val="005F6192"/>
    <w:rsid w:val="006065CD"/>
    <w:rsid w:val="00641B6E"/>
    <w:rsid w:val="006452EE"/>
    <w:rsid w:val="00653965"/>
    <w:rsid w:val="00697CD6"/>
    <w:rsid w:val="006D293E"/>
    <w:rsid w:val="00752071"/>
    <w:rsid w:val="0080396E"/>
    <w:rsid w:val="008871B1"/>
    <w:rsid w:val="008F474A"/>
    <w:rsid w:val="00935E68"/>
    <w:rsid w:val="00A05600"/>
    <w:rsid w:val="00A713C7"/>
    <w:rsid w:val="00AB1801"/>
    <w:rsid w:val="00B04DED"/>
    <w:rsid w:val="00B25A2E"/>
    <w:rsid w:val="00B860B1"/>
    <w:rsid w:val="00BB3CB5"/>
    <w:rsid w:val="00BC6938"/>
    <w:rsid w:val="00C026FA"/>
    <w:rsid w:val="00C16364"/>
    <w:rsid w:val="00C25811"/>
    <w:rsid w:val="00C320C3"/>
    <w:rsid w:val="00C40840"/>
    <w:rsid w:val="00C5170F"/>
    <w:rsid w:val="00C95E0E"/>
    <w:rsid w:val="00D03DB3"/>
    <w:rsid w:val="00D1139E"/>
    <w:rsid w:val="00D12B3B"/>
    <w:rsid w:val="00D322F1"/>
    <w:rsid w:val="00D412A9"/>
    <w:rsid w:val="00D93CA3"/>
    <w:rsid w:val="00DA51A3"/>
    <w:rsid w:val="00DB42D7"/>
    <w:rsid w:val="00DB597E"/>
    <w:rsid w:val="00DC2971"/>
    <w:rsid w:val="00DD219E"/>
    <w:rsid w:val="00DD2D8C"/>
    <w:rsid w:val="00DD53C2"/>
    <w:rsid w:val="00E008DE"/>
    <w:rsid w:val="00EC4E9A"/>
    <w:rsid w:val="00EC51D3"/>
    <w:rsid w:val="00F24290"/>
    <w:rsid w:val="00F52BAB"/>
    <w:rsid w:val="00FC1EA6"/>
    <w:rsid w:val="00FD5CBB"/>
    <w:rsid w:val="00FF21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A12EF"/>
  <w15:docId w15:val="{FD08E313-CA8D-42C3-A69F-2CCD3425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A51A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rstParagraph">
    <w:name w:val="First Paragraph"/>
    <w:basedOn w:val="Normale"/>
    <w:rsid w:val="00DA51A3"/>
    <w:pPr>
      <w:spacing w:after="0" w:line="240" w:lineRule="atLeast"/>
      <w:jc w:val="both"/>
    </w:pPr>
    <w:rPr>
      <w:rFonts w:ascii="Times" w:eastAsia="Times New Roman" w:hAnsi="Times" w:cs="Times New Roman"/>
      <w:sz w:val="20"/>
      <w:szCs w:val="20"/>
      <w:lang w:val="en-US"/>
    </w:rPr>
  </w:style>
  <w:style w:type="paragraph" w:styleId="Intestazione">
    <w:name w:val="header"/>
    <w:basedOn w:val="Normale"/>
    <w:link w:val="IntestazioneCarattere"/>
    <w:uiPriority w:val="99"/>
    <w:unhideWhenUsed/>
    <w:rsid w:val="001D0E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D0E0C"/>
  </w:style>
  <w:style w:type="paragraph" w:styleId="Pidipagina">
    <w:name w:val="footer"/>
    <w:basedOn w:val="Normale"/>
    <w:link w:val="PidipaginaCarattere"/>
    <w:uiPriority w:val="99"/>
    <w:unhideWhenUsed/>
    <w:rsid w:val="001D0E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0E0C"/>
  </w:style>
  <w:style w:type="paragraph" w:styleId="Testofumetto">
    <w:name w:val="Balloon Text"/>
    <w:basedOn w:val="Normale"/>
    <w:link w:val="TestofumettoCarattere"/>
    <w:uiPriority w:val="99"/>
    <w:semiHidden/>
    <w:unhideWhenUsed/>
    <w:rsid w:val="003F160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F160A"/>
    <w:rPr>
      <w:rFonts w:ascii="Segoe UI" w:hAnsi="Segoe UI" w:cs="Segoe UI"/>
      <w:sz w:val="18"/>
      <w:szCs w:val="18"/>
    </w:rPr>
  </w:style>
  <w:style w:type="paragraph" w:styleId="Didascalia">
    <w:name w:val="caption"/>
    <w:basedOn w:val="Normale"/>
    <w:next w:val="Normale"/>
    <w:uiPriority w:val="35"/>
    <w:unhideWhenUsed/>
    <w:qFormat/>
    <w:rsid w:val="00641B6E"/>
    <w:pPr>
      <w:spacing w:after="200" w:line="240" w:lineRule="auto"/>
    </w:pPr>
    <w:rPr>
      <w:i/>
      <w:iCs/>
      <w:color w:val="44546A" w:themeColor="text2"/>
      <w:sz w:val="18"/>
      <w:szCs w:val="18"/>
    </w:rPr>
  </w:style>
  <w:style w:type="character" w:styleId="Rimandocommento">
    <w:name w:val="annotation reference"/>
    <w:rsid w:val="00641B6E"/>
    <w:rPr>
      <w:sz w:val="16"/>
      <w:szCs w:val="16"/>
    </w:rPr>
  </w:style>
  <w:style w:type="paragraph" w:styleId="Testocommento">
    <w:name w:val="annotation text"/>
    <w:basedOn w:val="Normale"/>
    <w:link w:val="TestocommentoCarattere"/>
    <w:rsid w:val="00641B6E"/>
    <w:pPr>
      <w:widowControl w:val="0"/>
      <w:autoSpaceDE w:val="0"/>
      <w:autoSpaceDN w:val="0"/>
      <w:adjustRightInd w:val="0"/>
      <w:spacing w:after="0" w:line="240" w:lineRule="auto"/>
    </w:pPr>
    <w:rPr>
      <w:rFonts w:ascii="Courier" w:eastAsia="Times New Roman" w:hAnsi="Courier" w:cs="Times New Roman"/>
      <w:sz w:val="20"/>
      <w:szCs w:val="20"/>
      <w:lang w:val="en-GB"/>
    </w:rPr>
  </w:style>
  <w:style w:type="character" w:customStyle="1" w:styleId="TestocommentoCarattere">
    <w:name w:val="Testo commento Carattere"/>
    <w:basedOn w:val="Carpredefinitoparagrafo"/>
    <w:link w:val="Testocommento"/>
    <w:rsid w:val="00641B6E"/>
    <w:rPr>
      <w:rFonts w:ascii="Courier" w:eastAsia="Times New Roman" w:hAnsi="Courier" w:cs="Times New Roman"/>
      <w:sz w:val="20"/>
      <w:szCs w:val="20"/>
      <w:lang w:val="en-GB"/>
    </w:rPr>
  </w:style>
  <w:style w:type="paragraph" w:customStyle="1" w:styleId="CETBodytext">
    <w:name w:val="CET Body text"/>
    <w:link w:val="CETBodytextCarattere"/>
    <w:qFormat/>
    <w:rsid w:val="00C25811"/>
    <w:pPr>
      <w:tabs>
        <w:tab w:val="right" w:pos="7100"/>
      </w:tabs>
      <w:spacing w:after="0" w:line="264" w:lineRule="auto"/>
      <w:jc w:val="both"/>
    </w:pPr>
    <w:rPr>
      <w:rFonts w:ascii="Arial" w:eastAsia="Times New Roman" w:hAnsi="Arial" w:cs="Times New Roman"/>
      <w:sz w:val="18"/>
      <w:szCs w:val="20"/>
      <w:lang w:val="en-US"/>
    </w:rPr>
  </w:style>
  <w:style w:type="character" w:customStyle="1" w:styleId="CETBodytextCarattere">
    <w:name w:val="CET Body text Carattere"/>
    <w:link w:val="CETBodytext"/>
    <w:rsid w:val="00C25811"/>
    <w:rPr>
      <w:rFonts w:ascii="Arial" w:eastAsia="Times New Roman" w:hAnsi="Arial" w:cs="Times New Roman"/>
      <w:sz w:val="18"/>
      <w:szCs w:val="20"/>
      <w:lang w:val="en-US"/>
    </w:rPr>
  </w:style>
  <w:style w:type="table" w:styleId="Grigliatabella">
    <w:name w:val="Table Grid"/>
    <w:basedOn w:val="Tabellanormale"/>
    <w:uiPriority w:val="39"/>
    <w:rsid w:val="00803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ggettocommento">
    <w:name w:val="annotation subject"/>
    <w:basedOn w:val="Testocommento"/>
    <w:next w:val="Testocommento"/>
    <w:link w:val="SoggettocommentoCarattere"/>
    <w:uiPriority w:val="99"/>
    <w:semiHidden/>
    <w:unhideWhenUsed/>
    <w:rsid w:val="00B25A2E"/>
    <w:pPr>
      <w:widowControl/>
      <w:autoSpaceDE/>
      <w:autoSpaceDN/>
      <w:adjustRightInd/>
      <w:spacing w:after="160"/>
    </w:pPr>
    <w:rPr>
      <w:rFonts w:asciiTheme="minorHAnsi" w:eastAsiaTheme="minorHAnsi" w:hAnsiTheme="minorHAnsi" w:cstheme="minorBidi"/>
      <w:b/>
      <w:bCs/>
      <w:lang w:val="it-IT"/>
    </w:rPr>
  </w:style>
  <w:style w:type="character" w:customStyle="1" w:styleId="SoggettocommentoCarattere">
    <w:name w:val="Soggetto commento Carattere"/>
    <w:basedOn w:val="TestocommentoCarattere"/>
    <w:link w:val="Soggettocommento"/>
    <w:uiPriority w:val="99"/>
    <w:semiHidden/>
    <w:rsid w:val="00B25A2E"/>
    <w:rPr>
      <w:rFonts w:ascii="Courier" w:eastAsia="Times New Roman" w:hAnsi="Courier"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460286">
      <w:bodyDiv w:val="1"/>
      <w:marLeft w:val="0"/>
      <w:marRight w:val="0"/>
      <w:marTop w:val="0"/>
      <w:marBottom w:val="0"/>
      <w:divBdr>
        <w:top w:val="none" w:sz="0" w:space="0" w:color="auto"/>
        <w:left w:val="none" w:sz="0" w:space="0" w:color="auto"/>
        <w:bottom w:val="none" w:sz="0" w:space="0" w:color="auto"/>
        <w:right w:val="none" w:sz="0" w:space="0" w:color="auto"/>
      </w:divBdr>
    </w:div>
    <w:div w:id="7770650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88675-08CD-4FCF-AAC3-D8759D91F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2100</Words>
  <Characters>11974</Characters>
  <Application>Microsoft Office Word</Application>
  <DocSecurity>0</DocSecurity>
  <Lines>99</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Sauro Pierucci</dc:creator>
  <cp:keywords/>
  <dc:description/>
  <cp:lastModifiedBy>Edoardo  Dell'Armi</cp:lastModifiedBy>
  <cp:revision>2</cp:revision>
  <cp:lastPrinted>2022-01-31T11:56:00Z</cp:lastPrinted>
  <dcterms:created xsi:type="dcterms:W3CDTF">2022-03-21T10:50:00Z</dcterms:created>
  <dcterms:modified xsi:type="dcterms:W3CDTF">2022-03-21T10:50:00Z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667c050e-d3d8-3ef1-95c6-1d1f27528303</vt:lpwstr>
  </property>
  <property fmtid="{D5CDD505-2E9C-101B-9397-08002B2CF9AE}" pid="4" name="Mendeley Citation Style_1">
    <vt:lpwstr>http://www.zotero.org/styles/chemical-engineering-journal</vt:lpwstr>
  </property>
</Properties>
</file>