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17FA" w14:textId="77777777" w:rsidR="00DD02C3" w:rsidRPr="00466FFD" w:rsidRDefault="00DD02C3" w:rsidP="00DD02C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bookmarkStart w:id="0" w:name="_Hlk97887054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Multi-Objective Optimization of a Carbon Capture and Sequestration Chain Under Seismic Risk Constraints</w:t>
      </w:r>
    </w:p>
    <w:bookmarkEnd w:id="0"/>
    <w:p w14:paraId="0AECAD16" w14:textId="77777777" w:rsidR="00DD02C3" w:rsidRPr="00466FFD" w:rsidRDefault="00DD02C3" w:rsidP="00DD02C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34B8E19C" w14:textId="77777777" w:rsidR="00DD02C3" w:rsidRPr="006F7920" w:rsidRDefault="00DD02C3" w:rsidP="00DD02C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6F7920">
        <w:rPr>
          <w:rFonts w:ascii="Times New Roman" w:eastAsia="SimSun" w:hAnsi="Times New Roman"/>
          <w:sz w:val="24"/>
          <w:szCs w:val="24"/>
          <w:u w:val="single"/>
          <w:lang w:eastAsia="zh-CN"/>
        </w:rPr>
        <w:t>Daniel Crîstiu</w:t>
      </w:r>
      <w:r w:rsidRPr="006F7920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Pr="006F7920">
        <w:rPr>
          <w:rFonts w:ascii="Times New Roman" w:eastAsia="SimSun" w:hAnsi="Times New Roman"/>
          <w:sz w:val="24"/>
          <w:szCs w:val="24"/>
          <w:lang w:eastAsia="zh-CN"/>
        </w:rPr>
        <w:t>, Federico d’Amore</w:t>
      </w:r>
      <w:r w:rsidRPr="006F792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6F7920">
        <w:rPr>
          <w:rFonts w:ascii="Times New Roman" w:eastAsia="SimSun" w:hAnsi="Times New Roman"/>
          <w:sz w:val="24"/>
          <w:szCs w:val="24"/>
          <w:lang w:eastAsia="zh-CN"/>
        </w:rPr>
        <w:t>, Paolo Mocellin</w:t>
      </w:r>
      <w:r w:rsidRPr="006F792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6F7920">
        <w:rPr>
          <w:rFonts w:ascii="Times New Roman" w:eastAsia="SimSun" w:hAnsi="Times New Roman"/>
          <w:sz w:val="24"/>
          <w:szCs w:val="24"/>
          <w:lang w:eastAsia="zh-CN"/>
        </w:rPr>
        <w:t>, Fabrizio Bezzo</w:t>
      </w:r>
      <w:r w:rsidRPr="006F792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6F7920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33B3F57D" w14:textId="77777777" w:rsidR="00DD02C3" w:rsidRPr="006F7920" w:rsidRDefault="00DD02C3" w:rsidP="00DD02C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GB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Pr="00C41141">
        <w:rPr>
          <w:rFonts w:ascii="Times New Roman" w:eastAsia="MS PGothic" w:hAnsi="Times New Roman"/>
          <w:i/>
          <w:iCs/>
          <w:sz w:val="20"/>
          <w:lang w:val="en-US"/>
        </w:rPr>
        <w:t xml:space="preserve">CAPE-Lab - Computer-Aided Process Engineering Laboratory, Department of Industrial Engineering, University of Padova, via </w:t>
      </w:r>
      <w:proofErr w:type="spellStart"/>
      <w:r w:rsidRPr="00C41141">
        <w:rPr>
          <w:rFonts w:ascii="Times New Roman" w:eastAsia="MS PGothic" w:hAnsi="Times New Roman"/>
          <w:i/>
          <w:iCs/>
          <w:sz w:val="20"/>
          <w:lang w:val="en-US"/>
        </w:rPr>
        <w:t>Marzolo</w:t>
      </w:r>
      <w:proofErr w:type="spellEnd"/>
      <w:r w:rsidRPr="00C41141">
        <w:rPr>
          <w:rFonts w:ascii="Times New Roman" w:eastAsia="MS PGothic" w:hAnsi="Times New Roman"/>
          <w:i/>
          <w:iCs/>
          <w:sz w:val="20"/>
          <w:lang w:val="en-US"/>
        </w:rPr>
        <w:t xml:space="preserve"> 9, IT-35131 Padova, Italy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>;</w:t>
      </w:r>
      <w:r>
        <w:rPr>
          <w:rFonts w:ascii="Times New Roman" w:eastAsia="MS PGothic" w:hAnsi="Times New Roman"/>
          <w:i/>
          <w:iCs/>
          <w:sz w:val="20"/>
          <w:lang w:val="en-US"/>
        </w:rPr>
        <w:t xml:space="preserve"> 2 </w:t>
      </w:r>
      <w:proofErr w:type="spellStart"/>
      <w:r w:rsidRPr="006F792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Politecnico</w:t>
      </w:r>
      <w:proofErr w:type="spellEnd"/>
      <w:r w:rsidRPr="006F792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di Milano, Department of Energy, via </w:t>
      </w:r>
      <w:proofErr w:type="spellStart"/>
      <w:r w:rsidRPr="006F792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Lambruschini</w:t>
      </w:r>
      <w:proofErr w:type="spellEnd"/>
      <w:r w:rsidRPr="006F792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4, IT-20156 Milano (Italy)</w:t>
      </w:r>
    </w:p>
    <w:p w14:paraId="19DD91C2" w14:textId="77777777" w:rsidR="00DD02C3" w:rsidRPr="00466FFD" w:rsidRDefault="00DD02C3" w:rsidP="00DD02C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</w:t>
      </w:r>
      <w:r>
        <w:rPr>
          <w:rFonts w:ascii="Times New Roman" w:eastAsia="MS PGothic" w:hAnsi="Times New Roman"/>
          <w:bCs/>
          <w:i/>
          <w:iCs/>
          <w:sz w:val="20"/>
          <w:lang w:val="en-US"/>
        </w:rPr>
        <w:t>fabrizio.bezzo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>
        <w:rPr>
          <w:rFonts w:ascii="Times New Roman" w:eastAsia="MS PGothic" w:hAnsi="Times New Roman"/>
          <w:bCs/>
          <w:i/>
          <w:iCs/>
          <w:sz w:val="20"/>
          <w:lang w:val="en-US"/>
        </w:rPr>
        <w:t>unipd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.</w:t>
      </w:r>
      <w:r>
        <w:rPr>
          <w:rFonts w:ascii="Times New Roman" w:eastAsia="MS PGothic" w:hAnsi="Times New Roman"/>
          <w:bCs/>
          <w:i/>
          <w:iCs/>
          <w:sz w:val="20"/>
          <w:lang w:val="en-US"/>
        </w:rPr>
        <w:t>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CF1AC2A" w14:textId="67151FF9" w:rsidR="00520EC5" w:rsidRPr="00B77875" w:rsidRDefault="00076EF1" w:rsidP="00AF4E80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 w:rsidRPr="00076EF1">
        <w:rPr>
          <w:rFonts w:ascii="Times New Roman" w:eastAsia="MS PGothic" w:hAnsi="Times New Roman"/>
          <w:lang w:val="en-US"/>
        </w:rPr>
        <w:t>Carbon dioxide (CO</w:t>
      </w:r>
      <w:r w:rsidRPr="00076EF1">
        <w:rPr>
          <w:rFonts w:ascii="Times New Roman" w:eastAsia="MS PGothic" w:hAnsi="Times New Roman"/>
          <w:vertAlign w:val="subscript"/>
          <w:lang w:val="en-US"/>
        </w:rPr>
        <w:t>2</w:t>
      </w:r>
      <w:r w:rsidRPr="00076EF1">
        <w:rPr>
          <w:rFonts w:ascii="Times New Roman" w:eastAsia="MS PGothic" w:hAnsi="Times New Roman"/>
          <w:lang w:val="en-US"/>
        </w:rPr>
        <w:t>) remains the primary anthropogenic greenhouse gas (GHG</w:t>
      </w:r>
      <w:r w:rsidR="00026583">
        <w:rPr>
          <w:rFonts w:ascii="Times New Roman" w:eastAsia="MS PGothic" w:hAnsi="Times New Roman"/>
          <w:lang w:val="en-US"/>
        </w:rPr>
        <w:t>)</w:t>
      </w:r>
      <w:r w:rsidRPr="00076EF1">
        <w:rPr>
          <w:rFonts w:ascii="Times New Roman" w:eastAsia="MS PGothic" w:hAnsi="Times New Roman"/>
          <w:bCs/>
          <w:lang w:val="en-GB"/>
        </w:rPr>
        <w:t xml:space="preserve">. It is expected that global surface temperature will surpass the limit established by the Paris </w:t>
      </w:r>
      <w:r w:rsidR="00B77875">
        <w:rPr>
          <w:rFonts w:ascii="Times New Roman" w:eastAsia="MS PGothic" w:hAnsi="Times New Roman"/>
          <w:bCs/>
          <w:lang w:val="en-GB"/>
        </w:rPr>
        <w:t>A</w:t>
      </w:r>
      <w:r w:rsidRPr="00076EF1">
        <w:rPr>
          <w:rFonts w:ascii="Times New Roman" w:eastAsia="MS PGothic" w:hAnsi="Times New Roman"/>
          <w:bCs/>
          <w:lang w:val="en-GB"/>
        </w:rPr>
        <w:t xml:space="preserve">greement of 2°C unless, in the near future, </w:t>
      </w:r>
      <w:r w:rsidR="00B77875" w:rsidRPr="00076EF1">
        <w:rPr>
          <w:rFonts w:ascii="Times New Roman" w:eastAsia="MS PGothic" w:hAnsi="Times New Roman"/>
          <w:lang w:val="en-US"/>
        </w:rPr>
        <w:t xml:space="preserve">urgent actions are </w:t>
      </w:r>
      <w:r w:rsidR="00B77875">
        <w:rPr>
          <w:rFonts w:ascii="Times New Roman" w:eastAsia="MS PGothic" w:hAnsi="Times New Roman"/>
          <w:lang w:val="en-US"/>
        </w:rPr>
        <w:t>taken</w:t>
      </w:r>
      <w:r w:rsidR="00B77875">
        <w:rPr>
          <w:rFonts w:ascii="Times New Roman" w:eastAsia="MS PGothic" w:hAnsi="Times New Roman"/>
          <w:bCs/>
          <w:lang w:val="en-GB"/>
        </w:rPr>
        <w:t xml:space="preserve"> </w:t>
      </w:r>
      <w:r w:rsidRPr="00076EF1">
        <w:rPr>
          <w:rFonts w:ascii="Times New Roman" w:eastAsia="MS PGothic" w:hAnsi="Times New Roman"/>
          <w:bCs/>
          <w:lang w:val="en-GB"/>
        </w:rPr>
        <w:t xml:space="preserve">in </w:t>
      </w:r>
      <w:r w:rsidR="00B77875">
        <w:rPr>
          <w:rFonts w:ascii="Times New Roman" w:eastAsia="MS PGothic" w:hAnsi="Times New Roman"/>
          <w:bCs/>
          <w:lang w:val="en-GB"/>
        </w:rPr>
        <w:t xml:space="preserve">reducing </w:t>
      </w:r>
      <w:r w:rsidRPr="00076EF1">
        <w:rPr>
          <w:rFonts w:ascii="Times New Roman" w:eastAsia="MS PGothic" w:hAnsi="Times New Roman"/>
          <w:bCs/>
          <w:lang w:val="en-GB"/>
        </w:rPr>
        <w:t>CO</w:t>
      </w:r>
      <w:r w:rsidRPr="00B77875">
        <w:rPr>
          <w:rFonts w:ascii="Times New Roman" w:eastAsia="MS PGothic" w:hAnsi="Times New Roman"/>
          <w:bCs/>
          <w:vertAlign w:val="subscript"/>
          <w:lang w:val="en-GB"/>
        </w:rPr>
        <w:t>2</w:t>
      </w:r>
      <w:r w:rsidRPr="00076EF1">
        <w:rPr>
          <w:rFonts w:ascii="Times New Roman" w:eastAsia="MS PGothic" w:hAnsi="Times New Roman"/>
          <w:bCs/>
          <w:lang w:val="en-GB"/>
        </w:rPr>
        <w:t xml:space="preserve"> emissions </w:t>
      </w:r>
      <w:r w:rsidRPr="00076EF1">
        <w:rPr>
          <w:rFonts w:ascii="Times New Roman" w:eastAsia="MS PGothic" w:hAnsi="Times New Roman"/>
          <w:lang w:val="en-US"/>
        </w:rPr>
        <w:t>on a global scale</w:t>
      </w:r>
      <w:r w:rsidR="00B77875">
        <w:rPr>
          <w:rFonts w:ascii="Times New Roman" w:eastAsia="MS PGothic" w:hAnsi="Times New Roman"/>
          <w:lang w:val="en-US"/>
        </w:rPr>
        <w:t xml:space="preserve"> [1]</w:t>
      </w:r>
      <w:r w:rsidRPr="00076EF1">
        <w:rPr>
          <w:rFonts w:ascii="Times New Roman" w:eastAsia="MS PGothic" w:hAnsi="Times New Roman"/>
          <w:lang w:val="en-US"/>
        </w:rPr>
        <w:t>. CO</w:t>
      </w:r>
      <w:r w:rsidRPr="00076EF1">
        <w:rPr>
          <w:rFonts w:ascii="Times New Roman" w:eastAsia="MS PGothic" w:hAnsi="Times New Roman"/>
          <w:vertAlign w:val="subscript"/>
          <w:lang w:val="en-US"/>
        </w:rPr>
        <w:t>2</w:t>
      </w:r>
      <w:r w:rsidRPr="00076EF1">
        <w:rPr>
          <w:rFonts w:ascii="Times New Roman" w:eastAsia="MS PGothic" w:hAnsi="Times New Roman"/>
          <w:lang w:val="en-US"/>
        </w:rPr>
        <w:t xml:space="preserve"> (carbon) capture and </w:t>
      </w:r>
      <w:r w:rsidRPr="00076EF1">
        <w:rPr>
          <w:rFonts w:ascii="Times New Roman" w:eastAsia="MS PGothic" w:hAnsi="Times New Roman"/>
          <w:lang w:val="en-GB"/>
        </w:rPr>
        <w:t>sequestration</w:t>
      </w:r>
      <w:r w:rsidRPr="00076EF1">
        <w:rPr>
          <w:rFonts w:ascii="Times New Roman" w:eastAsia="MS PGothic" w:hAnsi="Times New Roman"/>
          <w:lang w:val="en-US"/>
        </w:rPr>
        <w:t xml:space="preserve"> (CCS)</w:t>
      </w:r>
      <w:r w:rsidR="00BA3CE0">
        <w:rPr>
          <w:rFonts w:ascii="Times New Roman" w:eastAsia="MS PGothic" w:hAnsi="Times New Roman"/>
          <w:lang w:val="en-US"/>
        </w:rPr>
        <w:t xml:space="preserve">, which is </w:t>
      </w:r>
      <w:r w:rsidR="00BA3CE0" w:rsidRPr="00076EF1">
        <w:rPr>
          <w:rFonts w:ascii="Times New Roman" w:eastAsia="MS PGothic" w:hAnsi="Times New Roman"/>
          <w:lang w:val="en-GB"/>
        </w:rPr>
        <w:t>a sequence of technologies targeted at cutting anthropogenic CO</w:t>
      </w:r>
      <w:r w:rsidR="00BA3CE0" w:rsidRPr="00026583">
        <w:rPr>
          <w:rFonts w:ascii="Times New Roman" w:eastAsia="MS PGothic" w:hAnsi="Times New Roman"/>
          <w:vertAlign w:val="subscript"/>
          <w:lang w:val="en-GB"/>
        </w:rPr>
        <w:t>2</w:t>
      </w:r>
      <w:r w:rsidR="00BA3CE0" w:rsidRPr="00076EF1">
        <w:rPr>
          <w:rFonts w:ascii="Times New Roman" w:eastAsia="MS PGothic" w:hAnsi="Times New Roman"/>
          <w:lang w:val="en-GB"/>
        </w:rPr>
        <w:t xml:space="preserve"> emissions</w:t>
      </w:r>
      <w:r w:rsidR="00BA3CE0">
        <w:rPr>
          <w:rFonts w:ascii="Times New Roman" w:eastAsia="MS PGothic" w:hAnsi="Times New Roman"/>
          <w:lang w:val="en-GB"/>
        </w:rPr>
        <w:t>,</w:t>
      </w:r>
      <w:r w:rsidRPr="00076EF1">
        <w:rPr>
          <w:rFonts w:ascii="Times New Roman" w:eastAsia="MS PGothic" w:hAnsi="Times New Roman"/>
          <w:lang w:val="en-US"/>
        </w:rPr>
        <w:t xml:space="preserve"> has been acknowledged as a key technology for decarbonizing carbon intensive industries</w:t>
      </w:r>
      <w:r w:rsidRPr="00076EF1">
        <w:rPr>
          <w:rFonts w:ascii="Times New Roman" w:eastAsia="MS PGothic" w:hAnsi="Times New Roman"/>
          <w:lang w:val="en-GB"/>
        </w:rPr>
        <w:t>. In particular, CO</w:t>
      </w:r>
      <w:r w:rsidRPr="00076EF1">
        <w:rPr>
          <w:rFonts w:ascii="Times New Roman" w:eastAsia="MS PGothic" w:hAnsi="Times New Roman"/>
          <w:vertAlign w:val="subscript"/>
          <w:lang w:val="en-GB"/>
        </w:rPr>
        <w:t>2</w:t>
      </w:r>
      <w:r w:rsidRPr="00076EF1">
        <w:rPr>
          <w:rFonts w:ascii="Times New Roman" w:eastAsia="MS PGothic" w:hAnsi="Times New Roman"/>
          <w:lang w:val="en-GB"/>
        </w:rPr>
        <w:t xml:space="preserve"> capture entails separating CO</w:t>
      </w:r>
      <w:r w:rsidRPr="00076EF1">
        <w:rPr>
          <w:rFonts w:ascii="Times New Roman" w:eastAsia="MS PGothic" w:hAnsi="Times New Roman"/>
          <w:vertAlign w:val="subscript"/>
          <w:lang w:val="en-GB"/>
        </w:rPr>
        <w:t>2</w:t>
      </w:r>
      <w:r w:rsidRPr="00076EF1">
        <w:rPr>
          <w:rFonts w:ascii="Times New Roman" w:eastAsia="MS PGothic" w:hAnsi="Times New Roman"/>
          <w:lang w:val="en-GB"/>
        </w:rPr>
        <w:t xml:space="preserve"> from a process stream using various methods depending on the industry and technology used, followed by a transport step of the captured CO</w:t>
      </w:r>
      <w:r w:rsidRPr="00026583">
        <w:rPr>
          <w:rFonts w:ascii="Times New Roman" w:eastAsia="MS PGothic" w:hAnsi="Times New Roman"/>
          <w:vertAlign w:val="subscript"/>
          <w:lang w:val="en-GB"/>
        </w:rPr>
        <w:t>2</w:t>
      </w:r>
      <w:r w:rsidRPr="00076EF1">
        <w:rPr>
          <w:rFonts w:ascii="Times New Roman" w:eastAsia="MS PGothic" w:hAnsi="Times New Roman"/>
          <w:lang w:val="en-GB"/>
        </w:rPr>
        <w:t xml:space="preserve"> from emission sources to areas suitable for sequestration in deep underground geological formations.</w:t>
      </w:r>
      <w:r w:rsidR="00B77875">
        <w:rPr>
          <w:rFonts w:ascii="Times New Roman" w:eastAsia="MS PGothic" w:hAnsi="Times New Roman"/>
          <w:lang w:val="en-GB"/>
        </w:rPr>
        <w:t xml:space="preserve"> </w:t>
      </w:r>
      <w:r w:rsidRPr="00076EF1">
        <w:rPr>
          <w:rFonts w:ascii="Times New Roman" w:eastAsia="MS PGothic" w:hAnsi="Times New Roman"/>
          <w:lang w:val="en-GB"/>
        </w:rPr>
        <w:t xml:space="preserve">Among the large stationary sources, cement plants, refineries and steel mills </w:t>
      </w:r>
      <w:r w:rsidR="00026583">
        <w:rPr>
          <w:rFonts w:ascii="Times New Roman" w:eastAsia="MS PGothic" w:hAnsi="Times New Roman"/>
          <w:lang w:val="en-GB"/>
        </w:rPr>
        <w:t xml:space="preserve">represent </w:t>
      </w:r>
      <w:r w:rsidR="00026583" w:rsidRPr="00304C3A">
        <w:rPr>
          <w:rFonts w:ascii="Times New Roman" w:eastAsia="MS PGothic" w:hAnsi="Times New Roman"/>
          <w:lang w:val="en-GB"/>
        </w:rPr>
        <w:t>the most relevant sources of</w:t>
      </w:r>
      <w:r w:rsidRPr="00304C3A">
        <w:rPr>
          <w:rFonts w:ascii="Times New Roman" w:eastAsia="MS PGothic" w:hAnsi="Times New Roman"/>
          <w:lang w:val="en-GB"/>
        </w:rPr>
        <w:t xml:space="preserve"> carbon dioxide emissions as part of the industrial sector around the world</w:t>
      </w:r>
      <w:r w:rsidR="00B77875" w:rsidRPr="00304C3A">
        <w:rPr>
          <w:rFonts w:ascii="Times New Roman" w:eastAsia="MS PGothic" w:hAnsi="Times New Roman"/>
          <w:lang w:val="en-GB"/>
        </w:rPr>
        <w:t xml:space="preserve"> </w:t>
      </w:r>
      <w:r w:rsidRPr="00304C3A">
        <w:rPr>
          <w:rFonts w:ascii="Times New Roman" w:eastAsia="MS PGothic" w:hAnsi="Times New Roman"/>
          <w:lang w:val="en-GB"/>
        </w:rPr>
        <w:t xml:space="preserve">[2]. </w:t>
      </w:r>
      <w:r w:rsidR="00304C3A" w:rsidRPr="00304C3A">
        <w:rPr>
          <w:rFonts w:ascii="Times New Roman" w:eastAsia="MS PGothic" w:hAnsi="Times New Roman"/>
          <w:bCs/>
          <w:lang w:val="en-GB"/>
        </w:rPr>
        <w:t>However</w:t>
      </w:r>
      <w:r w:rsidR="00B148EC" w:rsidRPr="00304C3A">
        <w:rPr>
          <w:rFonts w:ascii="Times New Roman" w:eastAsia="MS PGothic" w:hAnsi="Times New Roman"/>
          <w:bCs/>
          <w:lang w:val="en-GB"/>
        </w:rPr>
        <w:t>, transporting CO</w:t>
      </w:r>
      <w:r w:rsidR="00B148EC" w:rsidRPr="00304C3A">
        <w:rPr>
          <w:rFonts w:ascii="Times New Roman" w:eastAsia="MS PGothic" w:hAnsi="Times New Roman"/>
          <w:bCs/>
          <w:vertAlign w:val="subscript"/>
          <w:lang w:val="en-GB"/>
        </w:rPr>
        <w:t xml:space="preserve">2 </w:t>
      </w:r>
      <w:r w:rsidR="00B148EC" w:rsidRPr="00304C3A">
        <w:rPr>
          <w:rFonts w:ascii="Times New Roman" w:eastAsia="MS PGothic" w:hAnsi="Times New Roman"/>
          <w:bCs/>
          <w:lang w:val="en-GB"/>
        </w:rPr>
        <w:t xml:space="preserve">via pipelines </w:t>
      </w:r>
      <w:r w:rsidR="00304C3A" w:rsidRPr="00304C3A">
        <w:rPr>
          <w:rFonts w:ascii="Times New Roman" w:eastAsia="MS PGothic" w:hAnsi="Times New Roman"/>
          <w:bCs/>
          <w:lang w:val="en-GB"/>
        </w:rPr>
        <w:t>may raise</w:t>
      </w:r>
      <w:r w:rsidR="00B148EC" w:rsidRPr="00304C3A">
        <w:rPr>
          <w:rFonts w:ascii="Times New Roman" w:eastAsia="MS PGothic" w:hAnsi="Times New Roman"/>
          <w:bCs/>
          <w:lang w:val="en-GB"/>
        </w:rPr>
        <w:t xml:space="preserve"> public concern </w:t>
      </w:r>
      <w:r w:rsidR="00304C3A" w:rsidRPr="00304C3A">
        <w:rPr>
          <w:rFonts w:ascii="Times New Roman" w:eastAsia="MS PGothic" w:hAnsi="Times New Roman"/>
          <w:bCs/>
          <w:lang w:val="en-GB"/>
        </w:rPr>
        <w:t>with respect</w:t>
      </w:r>
      <w:r w:rsidR="00B148EC" w:rsidRPr="00304C3A">
        <w:rPr>
          <w:rFonts w:ascii="Times New Roman" w:eastAsia="MS PGothic" w:hAnsi="Times New Roman"/>
          <w:bCs/>
          <w:lang w:val="en-GB"/>
        </w:rPr>
        <w:t xml:space="preserve"> the possibility of leakages. </w:t>
      </w:r>
      <w:r w:rsidR="00304C3A" w:rsidRPr="00304C3A">
        <w:rPr>
          <w:rFonts w:ascii="Times New Roman" w:eastAsia="MS PGothic" w:hAnsi="Times New Roman"/>
          <w:bCs/>
          <w:lang w:val="en-GB"/>
        </w:rPr>
        <w:t xml:space="preserve">This is particularly </w:t>
      </w:r>
      <w:r w:rsidR="00304C3A">
        <w:rPr>
          <w:rFonts w:ascii="Times New Roman" w:eastAsia="MS PGothic" w:hAnsi="Times New Roman"/>
          <w:bCs/>
          <w:lang w:val="en-GB"/>
        </w:rPr>
        <w:t>critical</w:t>
      </w:r>
      <w:r w:rsidR="00304C3A" w:rsidRPr="00304C3A">
        <w:rPr>
          <w:rFonts w:ascii="Times New Roman" w:eastAsia="MS PGothic" w:hAnsi="Times New Roman"/>
          <w:bCs/>
          <w:lang w:val="en-GB"/>
        </w:rPr>
        <w:t xml:space="preserve"> </w:t>
      </w:r>
      <w:r w:rsidR="00304C3A">
        <w:rPr>
          <w:rFonts w:ascii="Times New Roman" w:eastAsia="MS PGothic" w:hAnsi="Times New Roman"/>
          <w:bCs/>
          <w:lang w:val="en-GB"/>
        </w:rPr>
        <w:t>in the Italian context as</w:t>
      </w:r>
      <w:r w:rsidR="00304C3A" w:rsidRPr="00304C3A">
        <w:rPr>
          <w:rFonts w:ascii="Times New Roman" w:eastAsia="MS PGothic" w:hAnsi="Times New Roman"/>
          <w:bCs/>
          <w:lang w:val="en-GB"/>
        </w:rPr>
        <w:t xml:space="preserve"> widespread seismic activity poses an additional requirement during the planning, installation, and operation of a CCS system, particularly with regards to pipelining</w:t>
      </w:r>
      <w:r w:rsidR="00304C3A">
        <w:rPr>
          <w:rFonts w:ascii="Times New Roman" w:eastAsia="MS PGothic" w:hAnsi="Times New Roman"/>
          <w:bCs/>
          <w:lang w:val="en-GB"/>
        </w:rPr>
        <w:t xml:space="preserve">. </w:t>
      </w:r>
      <w:r w:rsidR="00026583">
        <w:rPr>
          <w:rFonts w:ascii="Times New Roman" w:eastAsia="MS PGothic" w:hAnsi="Times New Roman"/>
          <w:bCs/>
          <w:lang w:val="en-GB"/>
        </w:rPr>
        <w:t xml:space="preserve">In this contribution, a </w:t>
      </w:r>
      <w:r w:rsidR="00520EC5">
        <w:rPr>
          <w:rFonts w:ascii="Times New Roman" w:eastAsia="MS PGothic" w:hAnsi="Times New Roman"/>
          <w:bCs/>
          <w:lang w:val="en-GB"/>
        </w:rPr>
        <w:t>mixed integer linear programming</w:t>
      </w:r>
      <w:r w:rsidR="00026583">
        <w:rPr>
          <w:rFonts w:ascii="Times New Roman" w:eastAsia="MS PGothic" w:hAnsi="Times New Roman"/>
          <w:bCs/>
          <w:lang w:val="en-GB"/>
        </w:rPr>
        <w:t xml:space="preserve"> modelling approach is employed to perform</w:t>
      </w:r>
      <w:r w:rsidR="00520EC5">
        <w:rPr>
          <w:rFonts w:ascii="Times New Roman" w:eastAsia="MS PGothic" w:hAnsi="Times New Roman"/>
          <w:bCs/>
          <w:lang w:val="en-GB"/>
        </w:rPr>
        <w:t xml:space="preserve"> a countrywide multi-objective optimisation </w:t>
      </w:r>
      <w:r w:rsidR="00EF4764">
        <w:rPr>
          <w:rFonts w:ascii="Times New Roman" w:eastAsia="MS PGothic" w:hAnsi="Times New Roman"/>
          <w:bCs/>
          <w:lang w:val="en-GB"/>
        </w:rPr>
        <w:t>for the adoption of a CCS network. The multi-objective optimisation aims at minimizing the total cost of the CCS network, while simultaneously minimizing the seismic risk which</w:t>
      </w:r>
      <w:r w:rsidR="000A2A37">
        <w:rPr>
          <w:rFonts w:ascii="Times New Roman" w:eastAsia="MS PGothic" w:hAnsi="Times New Roman"/>
          <w:bCs/>
          <w:lang w:val="en-GB"/>
        </w:rPr>
        <w:t>, considering the seismic profile of the Italian Peninsula,</w:t>
      </w:r>
      <w:r w:rsidR="00EF4764">
        <w:rPr>
          <w:rFonts w:ascii="Times New Roman" w:eastAsia="MS PGothic" w:hAnsi="Times New Roman"/>
          <w:bCs/>
          <w:lang w:val="en-GB"/>
        </w:rPr>
        <w:t xml:space="preserve"> can </w:t>
      </w:r>
      <w:r w:rsidR="000A2A37">
        <w:rPr>
          <w:rFonts w:ascii="Times New Roman" w:eastAsia="MS PGothic" w:hAnsi="Times New Roman"/>
          <w:bCs/>
          <w:lang w:val="en-GB"/>
        </w:rPr>
        <w:t>represent a vulnerability</w:t>
      </w:r>
      <w:r w:rsidR="00EF4764">
        <w:rPr>
          <w:rFonts w:ascii="Times New Roman" w:eastAsia="MS PGothic" w:hAnsi="Times New Roman"/>
          <w:bCs/>
          <w:lang w:val="en-GB"/>
        </w:rPr>
        <w:t xml:space="preserve"> for the installation and operation of a CCS system</w:t>
      </w:r>
      <w:r w:rsidR="000A2A37">
        <w:rPr>
          <w:rFonts w:ascii="Times New Roman" w:eastAsia="MS PGothic" w:hAnsi="Times New Roman"/>
          <w:bCs/>
          <w:lang w:val="en-GB"/>
        </w:rPr>
        <w:t>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193D42F0" w14:textId="1CCB4BCF" w:rsidR="00127CA9" w:rsidRPr="00127CA9" w:rsidRDefault="00234FEE" w:rsidP="00AF4E8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location of industrial plants and their corresponding</w:t>
      </w:r>
      <w:r w:rsidR="006B405F">
        <w:rPr>
          <w:rFonts w:ascii="Times New Roman" w:eastAsia="MS PGothic" w:hAnsi="Times New Roman"/>
          <w:lang w:val="en-US"/>
        </w:rPr>
        <w:t xml:space="preserve"> annual</w:t>
      </w:r>
      <w:r>
        <w:rPr>
          <w:rFonts w:ascii="Times New Roman" w:eastAsia="MS PGothic" w:hAnsi="Times New Roman"/>
          <w:lang w:val="en-US"/>
        </w:rPr>
        <w:t xml:space="preserve"> </w:t>
      </w:r>
      <w:r w:rsidRPr="00234FEE">
        <w:rPr>
          <w:rFonts w:ascii="Times New Roman" w:eastAsia="MS PGothic" w:hAnsi="Times New Roman"/>
          <w:lang w:val="en-US"/>
        </w:rPr>
        <w:t>CO</w:t>
      </w:r>
      <w:r w:rsidRPr="00234FEE">
        <w:rPr>
          <w:rFonts w:ascii="Times New Roman" w:eastAsia="MS PGothic" w:hAnsi="Times New Roman"/>
          <w:vertAlign w:val="subscript"/>
          <w:lang w:val="en-US"/>
        </w:rPr>
        <w:t>2</w:t>
      </w:r>
      <w:r w:rsidRPr="00234FEE">
        <w:rPr>
          <w:rFonts w:ascii="Times New Roman" w:eastAsia="MS PGothic" w:hAnsi="Times New Roman"/>
          <w:lang w:val="en-US"/>
        </w:rPr>
        <w:t xml:space="preserve"> emissions </w:t>
      </w:r>
      <w:r w:rsidR="006B405F">
        <w:rPr>
          <w:rFonts w:ascii="Times New Roman" w:eastAsia="MS PGothic" w:hAnsi="Times New Roman"/>
          <w:lang w:val="en-US"/>
        </w:rPr>
        <w:t xml:space="preserve">in 2019 </w:t>
      </w:r>
      <w:r w:rsidRPr="00234FEE">
        <w:rPr>
          <w:rFonts w:ascii="Times New Roman" w:eastAsia="MS PGothic" w:hAnsi="Times New Roman"/>
          <w:lang w:val="en-US"/>
        </w:rPr>
        <w:t xml:space="preserve">are taken from EEA (2020) </w:t>
      </w:r>
      <w:r>
        <w:rPr>
          <w:rFonts w:ascii="Times New Roman" w:eastAsia="MS PGothic" w:hAnsi="Times New Roman"/>
          <w:lang w:val="en-US"/>
        </w:rPr>
        <w:t>database</w:t>
      </w:r>
      <w:r w:rsidRPr="00234FEE">
        <w:rPr>
          <w:rFonts w:ascii="Times New Roman" w:eastAsia="MS PGothic" w:hAnsi="Times New Roman"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The dataset</w:t>
      </w:r>
      <w:r w:rsidRPr="00234FEE">
        <w:rPr>
          <w:rFonts w:ascii="Times New Roman" w:eastAsia="MS PGothic" w:hAnsi="Times New Roman"/>
          <w:lang w:val="en-US"/>
        </w:rPr>
        <w:t xml:space="preserve"> of CO</w:t>
      </w:r>
      <w:r w:rsidRPr="00234FEE">
        <w:rPr>
          <w:rFonts w:ascii="Times New Roman" w:eastAsia="MS PGothic" w:hAnsi="Times New Roman"/>
          <w:vertAlign w:val="subscript"/>
          <w:lang w:val="en-US"/>
        </w:rPr>
        <w:t>2</w:t>
      </w:r>
      <w:r w:rsidRPr="00234FEE">
        <w:rPr>
          <w:rFonts w:ascii="Times New Roman" w:eastAsia="MS PGothic" w:hAnsi="Times New Roman"/>
          <w:lang w:val="en-US"/>
        </w:rPr>
        <w:t xml:space="preserve"> emitting nodes</w:t>
      </w:r>
      <w:r w:rsidRPr="00234FEE">
        <w:rPr>
          <w:rFonts w:ascii="Times New Roman" w:eastAsia="MS PGothic" w:hAnsi="Times New Roman"/>
          <w:i/>
          <w:iCs/>
          <w:lang w:val="en-US"/>
        </w:rPr>
        <w:t xml:space="preserve"> n</w:t>
      </w:r>
      <w:r>
        <w:rPr>
          <w:rFonts w:ascii="Times New Roman" w:eastAsia="MS PGothic" w:hAnsi="Times New Roman"/>
          <w:lang w:val="en-US"/>
        </w:rPr>
        <w:t xml:space="preserve"> </w:t>
      </w:r>
      <w:r w:rsidR="006B405F">
        <w:rPr>
          <w:rFonts w:ascii="Times New Roman" w:eastAsia="MS PGothic" w:hAnsi="Times New Roman"/>
          <w:lang w:val="en-US"/>
        </w:rPr>
        <w:t xml:space="preserve">is </w:t>
      </w:r>
      <w:r w:rsidR="006B405F" w:rsidRPr="00234FEE">
        <w:rPr>
          <w:rFonts w:ascii="Times New Roman" w:eastAsia="MS PGothic" w:hAnsi="Times New Roman"/>
          <w:lang w:val="en-US"/>
        </w:rPr>
        <w:t>subdivided into 23 cement plants (</w:t>
      </w:r>
      <w:r w:rsidR="006B405F" w:rsidRPr="00234FEE">
        <w:rPr>
          <w:rFonts w:ascii="Times New Roman" w:eastAsia="MS PGothic" w:hAnsi="Times New Roman"/>
          <w:i/>
          <w:iCs/>
          <w:lang w:val="en-US"/>
        </w:rPr>
        <w:t>c</w:t>
      </w:r>
      <w:r w:rsidR="006B405F" w:rsidRPr="00234FEE">
        <w:rPr>
          <w:rFonts w:ascii="Times New Roman" w:eastAsia="MS PGothic" w:hAnsi="Times New Roman"/>
          <w:lang w:val="en-US"/>
        </w:rPr>
        <w:t>), 7 refineries (</w:t>
      </w:r>
      <w:r w:rsidR="006B405F" w:rsidRPr="00234FEE">
        <w:rPr>
          <w:rFonts w:ascii="Times New Roman" w:eastAsia="MS PGothic" w:hAnsi="Times New Roman"/>
          <w:i/>
          <w:iCs/>
          <w:lang w:val="en-US"/>
        </w:rPr>
        <w:t>r</w:t>
      </w:r>
      <w:r w:rsidR="006B405F" w:rsidRPr="00234FEE">
        <w:rPr>
          <w:rFonts w:ascii="Times New Roman" w:eastAsia="MS PGothic" w:hAnsi="Times New Roman"/>
          <w:lang w:val="en-US"/>
        </w:rPr>
        <w:t>) and 2 steel mills (</w:t>
      </w:r>
      <w:r w:rsidR="006B405F" w:rsidRPr="00234FEE">
        <w:rPr>
          <w:rFonts w:ascii="Times New Roman" w:eastAsia="MS PGothic" w:hAnsi="Times New Roman"/>
          <w:i/>
          <w:iCs/>
          <w:lang w:val="en-US"/>
        </w:rPr>
        <w:t>s</w:t>
      </w:r>
      <w:r w:rsidR="006B405F" w:rsidRPr="00234FEE">
        <w:rPr>
          <w:rFonts w:ascii="Times New Roman" w:eastAsia="MS PGothic" w:hAnsi="Times New Roman"/>
          <w:lang w:val="en-US"/>
        </w:rPr>
        <w:t>)</w:t>
      </w:r>
      <w:r w:rsidR="006B405F">
        <w:rPr>
          <w:rFonts w:ascii="Times New Roman" w:eastAsia="MS PGothic" w:hAnsi="Times New Roman"/>
          <w:lang w:val="en-US"/>
        </w:rPr>
        <w:t xml:space="preserve">, </w:t>
      </w:r>
      <w:r>
        <w:rPr>
          <w:rFonts w:ascii="Times New Roman" w:eastAsia="MS PGothic" w:hAnsi="Times New Roman"/>
          <w:lang w:val="en-US"/>
        </w:rPr>
        <w:t>selected in such way to account for at least 80%</w:t>
      </w:r>
      <w:r w:rsidRPr="00234FEE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of the emissions from each sector.</w:t>
      </w:r>
      <w:r w:rsidR="001D27DE">
        <w:rPr>
          <w:rFonts w:ascii="Times New Roman" w:eastAsia="MS PGothic" w:hAnsi="Times New Roman"/>
          <w:lang w:val="en-US"/>
        </w:rPr>
        <w:t xml:space="preserve"> </w:t>
      </w:r>
      <w:r w:rsidR="004C23A7">
        <w:rPr>
          <w:rFonts w:ascii="Times New Roman" w:eastAsia="MS PGothic" w:hAnsi="Times New Roman"/>
          <w:lang w:val="en-US"/>
        </w:rPr>
        <w:t>A comprehensive explanation of the model</w:t>
      </w:r>
      <w:r w:rsidR="00AF4E80">
        <w:rPr>
          <w:rFonts w:ascii="Times New Roman" w:eastAsia="MS PGothic" w:hAnsi="Times New Roman"/>
          <w:lang w:val="en-US"/>
        </w:rPr>
        <w:t>ling approach</w:t>
      </w:r>
      <w:r w:rsidR="004C23A7" w:rsidRPr="0053538C">
        <w:rPr>
          <w:rFonts w:ascii="Times New Roman" w:eastAsia="MS PGothic" w:hAnsi="Times New Roman"/>
          <w:lang w:val="en-US"/>
        </w:rPr>
        <w:t xml:space="preserve"> can be found in </w:t>
      </w:r>
      <w:r w:rsidR="004C23A7">
        <w:rPr>
          <w:rFonts w:ascii="Times New Roman" w:eastAsia="MS PGothic" w:hAnsi="Times New Roman"/>
          <w:lang w:val="en-US"/>
        </w:rPr>
        <w:t>[</w:t>
      </w:r>
      <w:r w:rsidR="00304C3A">
        <w:rPr>
          <w:rFonts w:ascii="Times New Roman" w:eastAsia="MS PGothic" w:hAnsi="Times New Roman"/>
          <w:lang w:val="en-US"/>
        </w:rPr>
        <w:t>3</w:t>
      </w:r>
      <w:r w:rsidR="004C23A7">
        <w:rPr>
          <w:rFonts w:ascii="Times New Roman" w:eastAsia="MS PGothic" w:hAnsi="Times New Roman"/>
          <w:lang w:val="en-US"/>
        </w:rPr>
        <w:t>]</w:t>
      </w:r>
      <w:r w:rsidR="00E15304">
        <w:rPr>
          <w:rFonts w:ascii="Times New Roman" w:eastAsia="MS PGothic" w:hAnsi="Times New Roman"/>
          <w:lang w:val="en-US"/>
        </w:rPr>
        <w:t xml:space="preserve">. The </w:t>
      </w:r>
      <w:r w:rsidR="00AF4E80">
        <w:rPr>
          <w:rFonts w:ascii="Times New Roman" w:eastAsia="MS PGothic" w:hAnsi="Times New Roman"/>
          <w:lang w:val="en-US"/>
        </w:rPr>
        <w:t>CO</w:t>
      </w:r>
      <w:r w:rsidR="00AF4E80" w:rsidRPr="00AF4E80">
        <w:rPr>
          <w:rFonts w:ascii="Times New Roman" w:eastAsia="MS PGothic" w:hAnsi="Times New Roman"/>
          <w:vertAlign w:val="subscript"/>
          <w:lang w:val="en-US"/>
        </w:rPr>
        <w:t>2</w:t>
      </w:r>
      <w:r w:rsidR="00AF4E80">
        <w:rPr>
          <w:rFonts w:ascii="Times New Roman" w:eastAsia="MS PGothic" w:hAnsi="Times New Roman"/>
          <w:lang w:val="en-US"/>
        </w:rPr>
        <w:t xml:space="preserve"> </w:t>
      </w:r>
      <w:r w:rsidR="00E15304">
        <w:rPr>
          <w:rFonts w:ascii="Times New Roman" w:eastAsia="MS PGothic" w:hAnsi="Times New Roman"/>
          <w:lang w:val="en-US"/>
        </w:rPr>
        <w:t xml:space="preserve">transportation is </w:t>
      </w:r>
      <w:r w:rsidR="00AF4E80">
        <w:rPr>
          <w:rFonts w:ascii="Times New Roman" w:eastAsia="MS PGothic" w:hAnsi="Times New Roman"/>
          <w:lang w:val="en-US"/>
        </w:rPr>
        <w:t>achieved</w:t>
      </w:r>
      <w:r w:rsidR="00E15304">
        <w:rPr>
          <w:rFonts w:ascii="Times New Roman" w:eastAsia="MS PGothic" w:hAnsi="Times New Roman"/>
          <w:lang w:val="en-US"/>
        </w:rPr>
        <w:t xml:space="preserve"> through onshore or offshore pipelines</w:t>
      </w:r>
      <w:r w:rsidR="00AF4E80">
        <w:rPr>
          <w:rFonts w:ascii="Times New Roman" w:eastAsia="MS PGothic" w:hAnsi="Times New Roman"/>
          <w:lang w:val="en-US"/>
        </w:rPr>
        <w:t>, while</w:t>
      </w:r>
      <w:r w:rsidR="00E15304">
        <w:rPr>
          <w:rFonts w:ascii="Times New Roman" w:eastAsia="MS PGothic" w:hAnsi="Times New Roman"/>
          <w:lang w:val="en-US"/>
        </w:rPr>
        <w:t xml:space="preserve"> the sequestration stage </w:t>
      </w:r>
      <w:r w:rsidR="00AF4E80">
        <w:rPr>
          <w:rFonts w:ascii="Times New Roman" w:eastAsia="MS PGothic" w:hAnsi="Times New Roman"/>
          <w:lang w:val="en-US"/>
        </w:rPr>
        <w:t>takes into account</w:t>
      </w:r>
      <w:r w:rsidR="00E15304">
        <w:rPr>
          <w:rFonts w:ascii="Times New Roman" w:eastAsia="MS PGothic" w:hAnsi="Times New Roman"/>
          <w:lang w:val="en-US"/>
        </w:rPr>
        <w:t xml:space="preserve"> both onshore and offshore </w:t>
      </w:r>
      <w:r w:rsidR="009D5840">
        <w:rPr>
          <w:rFonts w:ascii="Times New Roman" w:eastAsia="MS PGothic" w:hAnsi="Times New Roman"/>
          <w:lang w:val="en-US"/>
        </w:rPr>
        <w:t>sites</w:t>
      </w:r>
      <w:r w:rsidR="00E15304">
        <w:rPr>
          <w:rFonts w:ascii="Times New Roman" w:eastAsia="MS PGothic" w:hAnsi="Times New Roman"/>
          <w:lang w:val="en-US"/>
        </w:rPr>
        <w:t>.</w:t>
      </w:r>
      <w:r w:rsidR="001D27DE">
        <w:rPr>
          <w:rFonts w:ascii="Times New Roman" w:eastAsia="MS PGothic" w:hAnsi="Times New Roman"/>
          <w:lang w:val="en-US"/>
        </w:rPr>
        <w:t xml:space="preserve"> </w:t>
      </w:r>
      <w:r w:rsidR="00127CA9" w:rsidRPr="00127CA9">
        <w:rPr>
          <w:rFonts w:ascii="Times New Roman" w:eastAsia="MS PGothic" w:hAnsi="Times New Roman"/>
          <w:lang w:val="en-US"/>
        </w:rPr>
        <w:t xml:space="preserve">The seismicity-related parameters </w:t>
      </w:r>
      <w:r w:rsidR="001D27DE" w:rsidRPr="00127CA9">
        <w:rPr>
          <w:rFonts w:ascii="Times New Roman" w:eastAsia="MS PGothic" w:hAnsi="Times New Roman"/>
          <w:lang w:val="en-US"/>
        </w:rPr>
        <w:t xml:space="preserve">over the entire Italian peninsula </w:t>
      </w:r>
      <w:r w:rsidR="00127CA9" w:rsidRPr="00127CA9">
        <w:rPr>
          <w:rFonts w:ascii="Times New Roman" w:eastAsia="MS PGothic" w:hAnsi="Times New Roman"/>
          <w:lang w:val="en-US"/>
        </w:rPr>
        <w:t>are</w:t>
      </w:r>
      <w:r w:rsidR="001D27DE">
        <w:rPr>
          <w:rFonts w:ascii="Times New Roman" w:eastAsia="MS PGothic" w:hAnsi="Times New Roman"/>
          <w:lang w:val="en-US"/>
        </w:rPr>
        <w:t xml:space="preserve"> </w:t>
      </w:r>
      <w:r w:rsidR="00127CA9" w:rsidRPr="00127CA9">
        <w:rPr>
          <w:rFonts w:ascii="Times New Roman" w:eastAsia="MS PGothic" w:hAnsi="Times New Roman"/>
          <w:lang w:val="en-US"/>
        </w:rPr>
        <w:t>averaged into seismic areas</w:t>
      </w:r>
      <w:r w:rsidR="006136D9">
        <w:rPr>
          <w:rFonts w:ascii="Times New Roman" w:eastAsia="MS PGothic" w:hAnsi="Times New Roman"/>
          <w:lang w:val="en-US"/>
        </w:rPr>
        <w:t xml:space="preserve"> and</w:t>
      </w:r>
      <w:r w:rsidR="00B66B94">
        <w:rPr>
          <w:rFonts w:ascii="Times New Roman" w:eastAsia="MS PGothic" w:hAnsi="Times New Roman"/>
          <w:lang w:val="en-US"/>
        </w:rPr>
        <w:t xml:space="preserve"> are</w:t>
      </w:r>
      <w:r w:rsidR="00127CA9" w:rsidRPr="00127CA9">
        <w:rPr>
          <w:rFonts w:ascii="Times New Roman" w:eastAsia="MS PGothic" w:hAnsi="Times New Roman"/>
          <w:lang w:val="en-US"/>
        </w:rPr>
        <w:t xml:space="preserve"> </w:t>
      </w:r>
      <w:r w:rsidR="001D27DE">
        <w:rPr>
          <w:rFonts w:ascii="Times New Roman" w:eastAsia="MS PGothic" w:hAnsi="Times New Roman"/>
          <w:lang w:val="en-US"/>
        </w:rPr>
        <w:t>used</w:t>
      </w:r>
      <w:r w:rsidR="00127CA9" w:rsidRPr="00127CA9">
        <w:rPr>
          <w:rFonts w:ascii="Times New Roman" w:eastAsia="MS PGothic" w:hAnsi="Times New Roman"/>
          <w:lang w:val="en-US"/>
        </w:rPr>
        <w:t xml:space="preserve"> to calculate the risk specific to each pipeline in the transport stage.</w:t>
      </w:r>
    </w:p>
    <w:p w14:paraId="5E3DA6D6" w14:textId="550F2431" w:rsidR="00127CA9" w:rsidRPr="004314D3" w:rsidRDefault="00127CA9" w:rsidP="00AF4E80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 w:rsidRPr="00127CA9">
        <w:rPr>
          <w:rFonts w:ascii="Times New Roman" w:eastAsia="MS PGothic" w:hAnsi="Times New Roman"/>
          <w:lang w:val="en-US"/>
        </w:rPr>
        <w:t xml:space="preserve">The MILP model </w:t>
      </w:r>
      <w:r w:rsidR="00EE181D">
        <w:rPr>
          <w:rFonts w:ascii="Times New Roman" w:eastAsia="MS PGothic" w:hAnsi="Times New Roman"/>
          <w:lang w:val="en-US"/>
        </w:rPr>
        <w:t xml:space="preserve">is formulated as </w:t>
      </w:r>
      <w:r w:rsidR="004314D3">
        <w:rPr>
          <w:rFonts w:ascii="Times New Roman" w:eastAsia="MS PGothic" w:hAnsi="Times New Roman"/>
          <w:lang w:val="en-US"/>
        </w:rPr>
        <w:t xml:space="preserve">minimizing total cost </w:t>
      </w:r>
      <w:r w:rsidR="004314D3" w:rsidRPr="004314D3">
        <w:rPr>
          <w:rFonts w:ascii="Times New Roman" w:eastAsia="MS PGothic" w:hAnsi="Times New Roman"/>
          <w:i/>
          <w:iCs/>
          <w:lang w:val="en-GB"/>
        </w:rPr>
        <w:t>TC</w:t>
      </w:r>
      <w:r w:rsidR="004314D3" w:rsidRPr="004314D3">
        <w:rPr>
          <w:rFonts w:ascii="Times New Roman" w:eastAsia="MS PGothic" w:hAnsi="Times New Roman"/>
          <w:lang w:val="en-GB"/>
        </w:rPr>
        <w:t xml:space="preserve"> [€/year] and the total risk </w:t>
      </w:r>
      <w:r w:rsidR="004314D3" w:rsidRPr="004314D3">
        <w:rPr>
          <w:rFonts w:ascii="Times New Roman" w:eastAsia="MS PGothic" w:hAnsi="Times New Roman"/>
          <w:i/>
          <w:iCs/>
          <w:lang w:val="en-GB"/>
        </w:rPr>
        <w:t>TR</w:t>
      </w:r>
      <w:r w:rsidR="004314D3" w:rsidRPr="004314D3">
        <w:rPr>
          <w:rFonts w:ascii="Times New Roman" w:eastAsia="MS PGothic" w:hAnsi="Times New Roman"/>
          <w:lang w:val="en-GB"/>
        </w:rPr>
        <w:t xml:space="preserve"> [ruptures/year]: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1613"/>
        <w:gridCol w:w="1613"/>
        <w:gridCol w:w="1613"/>
        <w:gridCol w:w="652"/>
      </w:tblGrid>
      <w:tr w:rsidR="004314D3" w:rsidRPr="00127CA9" w14:paraId="786648ED" w14:textId="77777777" w:rsidTr="004314D3">
        <w:tc>
          <w:tcPr>
            <w:tcW w:w="4007" w:type="dxa"/>
          </w:tcPr>
          <w:p w14:paraId="7E363BAD" w14:textId="75BE1388" w:rsidR="004314D3" w:rsidRPr="00127CA9" w:rsidRDefault="004314D3" w:rsidP="00127CA9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PGothic" w:hAnsi="Cambria Math"/>
                    <w:lang w:val="en-US"/>
                  </w:rPr>
                  <m:t>objectve=</m:t>
                </m:r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min⁡</m:t>
                </m:r>
                <m:r>
                  <w:rPr>
                    <w:rFonts w:ascii="Cambria Math" w:eastAsia="MS PGothic" w:hAnsi="Cambria Math"/>
                    <w:lang w:val="en-US"/>
                  </w:rPr>
                  <m:t>{TC;TR}</m:t>
                </m:r>
              </m:oMath>
            </m:oMathPara>
          </w:p>
        </w:tc>
        <w:tc>
          <w:tcPr>
            <w:tcW w:w="1613" w:type="dxa"/>
          </w:tcPr>
          <w:p w14:paraId="4F157AE0" w14:textId="77777777" w:rsidR="004314D3" w:rsidRPr="00127CA9" w:rsidRDefault="004314D3" w:rsidP="00127CA9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1613" w:type="dxa"/>
          </w:tcPr>
          <w:p w14:paraId="0A40B647" w14:textId="77777777" w:rsidR="004314D3" w:rsidRPr="00127CA9" w:rsidRDefault="004314D3" w:rsidP="00127CA9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1613" w:type="dxa"/>
          </w:tcPr>
          <w:p w14:paraId="019C572F" w14:textId="13B7B8FE" w:rsidR="004314D3" w:rsidRPr="00127CA9" w:rsidRDefault="004314D3" w:rsidP="00127CA9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65C958F3" w14:textId="77777777" w:rsidR="004314D3" w:rsidRPr="00127CA9" w:rsidRDefault="004314D3" w:rsidP="00127CA9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  <w:r w:rsidRPr="00127CA9">
              <w:rPr>
                <w:rFonts w:ascii="Times New Roman" w:eastAsia="MS PGothic" w:hAnsi="Times New Roman"/>
                <w:lang w:val="en-US"/>
              </w:rPr>
              <w:t>(1)</w:t>
            </w:r>
          </w:p>
        </w:tc>
      </w:tr>
    </w:tbl>
    <w:p w14:paraId="6C55718B" w14:textId="2A6E579A" w:rsidR="004314D3" w:rsidRPr="004314D3" w:rsidRDefault="004314D3" w:rsidP="00AF4E8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4314D3">
        <w:rPr>
          <w:rFonts w:ascii="Times New Roman" w:eastAsia="MS PGothic" w:hAnsi="Times New Roman"/>
          <w:lang w:val="en-US"/>
        </w:rPr>
        <w:t xml:space="preserve">The </w:t>
      </w:r>
      <w:r w:rsidR="00375A81">
        <w:rPr>
          <w:rFonts w:ascii="Times New Roman" w:eastAsia="MS PGothic" w:hAnsi="Times New Roman"/>
          <w:lang w:val="en-US"/>
        </w:rPr>
        <w:t xml:space="preserve">TC is a sum </w:t>
      </w:r>
      <w:r w:rsidRPr="004314D3">
        <w:rPr>
          <w:rFonts w:ascii="Times New Roman" w:eastAsia="MS PGothic" w:hAnsi="Times New Roman"/>
          <w:lang w:val="en-US"/>
        </w:rPr>
        <w:t>of capture (</w:t>
      </w:r>
      <w:r w:rsidRPr="004314D3">
        <w:rPr>
          <w:rFonts w:ascii="Times New Roman" w:eastAsia="MS PGothic" w:hAnsi="Times New Roman"/>
          <w:i/>
          <w:iCs/>
          <w:lang w:val="en-US"/>
        </w:rPr>
        <w:t>TCC</w:t>
      </w:r>
      <w:r w:rsidRPr="004314D3">
        <w:rPr>
          <w:rFonts w:ascii="Times New Roman" w:eastAsia="MS PGothic" w:hAnsi="Times New Roman"/>
          <w:lang w:val="en-US"/>
        </w:rPr>
        <w:t xml:space="preserve"> [€/year]), transport (</w:t>
      </w:r>
      <w:r w:rsidRPr="004314D3">
        <w:rPr>
          <w:rFonts w:ascii="Times New Roman" w:eastAsia="MS PGothic" w:hAnsi="Times New Roman"/>
          <w:i/>
          <w:iCs/>
          <w:lang w:val="en-US"/>
        </w:rPr>
        <w:t>TTC</w:t>
      </w:r>
      <w:r w:rsidRPr="004314D3">
        <w:rPr>
          <w:rFonts w:ascii="Times New Roman" w:eastAsia="MS PGothic" w:hAnsi="Times New Roman"/>
          <w:lang w:val="en-US"/>
        </w:rPr>
        <w:t xml:space="preserve"> [€/year]), and sequestration stages (</w:t>
      </w:r>
      <w:r w:rsidRPr="004314D3">
        <w:rPr>
          <w:rFonts w:ascii="Times New Roman" w:eastAsia="MS PGothic" w:hAnsi="Times New Roman"/>
          <w:i/>
          <w:iCs/>
          <w:lang w:val="en-US"/>
        </w:rPr>
        <w:t>TSC</w:t>
      </w:r>
      <w:r w:rsidRPr="004314D3">
        <w:rPr>
          <w:rFonts w:ascii="Times New Roman" w:eastAsia="MS PGothic" w:hAnsi="Times New Roman"/>
          <w:lang w:val="en-US"/>
        </w:rPr>
        <w:t xml:space="preserve"> [€/year]):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635"/>
        <w:gridCol w:w="1375"/>
        <w:gridCol w:w="1895"/>
        <w:gridCol w:w="657"/>
      </w:tblGrid>
      <w:tr w:rsidR="004314D3" w:rsidRPr="004314D3" w14:paraId="079DA893" w14:textId="77777777" w:rsidTr="001D6595">
        <w:tc>
          <w:tcPr>
            <w:tcW w:w="3936" w:type="dxa"/>
          </w:tcPr>
          <w:p w14:paraId="24F1E299" w14:textId="15BCA2FA" w:rsidR="004314D3" w:rsidRPr="004314D3" w:rsidRDefault="004314D3" w:rsidP="004314D3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PGothic" w:hAnsi="Cambria Math"/>
                    <w:lang w:val="en-US"/>
                  </w:rPr>
                  <m:t>TC=TCC+TTC+TSC</m:t>
                </m:r>
              </m:oMath>
            </m:oMathPara>
          </w:p>
        </w:tc>
        <w:tc>
          <w:tcPr>
            <w:tcW w:w="1635" w:type="dxa"/>
          </w:tcPr>
          <w:p w14:paraId="4B72049E" w14:textId="77777777" w:rsidR="004314D3" w:rsidRPr="004314D3" w:rsidRDefault="004314D3" w:rsidP="004314D3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1375" w:type="dxa"/>
          </w:tcPr>
          <w:p w14:paraId="5B3674F5" w14:textId="77777777" w:rsidR="004314D3" w:rsidRPr="004314D3" w:rsidRDefault="004314D3" w:rsidP="004314D3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1895" w:type="dxa"/>
          </w:tcPr>
          <w:p w14:paraId="6E8EE038" w14:textId="79AF755D" w:rsidR="004314D3" w:rsidRPr="004314D3" w:rsidRDefault="004314D3" w:rsidP="004314D3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A3CBFF9" w14:textId="77777777" w:rsidR="004314D3" w:rsidRPr="004314D3" w:rsidRDefault="004314D3" w:rsidP="004314D3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  <w:r w:rsidRPr="004314D3">
              <w:rPr>
                <w:rFonts w:ascii="Times New Roman" w:eastAsia="MS PGothic" w:hAnsi="Times New Roman"/>
                <w:lang w:val="en-US"/>
              </w:rPr>
              <w:t>(2)</w:t>
            </w:r>
          </w:p>
        </w:tc>
      </w:tr>
    </w:tbl>
    <w:p w14:paraId="73AA50A0" w14:textId="33CB8B9B" w:rsidR="0047244F" w:rsidRPr="0047244F" w:rsidRDefault="0047244F" w:rsidP="0047244F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47244F">
        <w:rPr>
          <w:rFonts w:ascii="Times New Roman" w:eastAsia="MS PGothic" w:hAnsi="Times New Roman"/>
          <w:i/>
          <w:iCs/>
          <w:lang w:val="en-US"/>
        </w:rPr>
        <w:t>TR</w:t>
      </w:r>
      <w:r w:rsidRPr="0047244F">
        <w:rPr>
          <w:rFonts w:ascii="Times New Roman" w:eastAsia="MS PGothic" w:hAnsi="Times New Roman"/>
          <w:lang w:val="en-US"/>
        </w:rPr>
        <w:t xml:space="preserve"> is the sum of all the repair rates </w:t>
      </w:r>
      <w:proofErr w:type="spellStart"/>
      <w:proofErr w:type="gramStart"/>
      <w:r w:rsidRPr="0047244F">
        <w:rPr>
          <w:rFonts w:ascii="Times New Roman" w:eastAsia="MS PGothic" w:hAnsi="Times New Roman"/>
          <w:i/>
          <w:iCs/>
          <w:lang w:val="en-US"/>
        </w:rPr>
        <w:t>RR</w:t>
      </w:r>
      <w:r w:rsidRPr="0047244F">
        <w:rPr>
          <w:rFonts w:ascii="Times New Roman" w:eastAsia="MS PGothic" w:hAnsi="Times New Roman"/>
          <w:i/>
          <w:iCs/>
          <w:vertAlign w:val="subscript"/>
          <w:lang w:val="en-US"/>
        </w:rPr>
        <w:t>n,n</w:t>
      </w:r>
      <w:proofErr w:type="spellEnd"/>
      <w:proofErr w:type="gramEnd"/>
      <w:r w:rsidRPr="0047244F">
        <w:rPr>
          <w:rFonts w:ascii="Times New Roman" w:eastAsia="MS PGothic" w:hAnsi="Times New Roman"/>
          <w:i/>
          <w:iCs/>
          <w:vertAlign w:val="subscript"/>
          <w:lang w:val="en-US"/>
        </w:rPr>
        <w:t>’</w:t>
      </w:r>
      <w:r w:rsidRPr="0047244F">
        <w:rPr>
          <w:rFonts w:ascii="Times New Roman" w:eastAsia="MS PGothic" w:hAnsi="Times New Roman"/>
          <w:lang w:val="en-US"/>
        </w:rPr>
        <w:t xml:space="preserve"> [ruptures/year]</w:t>
      </w:r>
      <w:r w:rsidR="00C00B22">
        <w:rPr>
          <w:rFonts w:ascii="Times New Roman" w:eastAsia="MS PGothic" w:hAnsi="Times New Roman"/>
          <w:lang w:val="en-US"/>
        </w:rPr>
        <w:t xml:space="preserve"> </w:t>
      </w:r>
      <w:r w:rsidR="00C00B22" w:rsidRPr="00AF4E80">
        <w:rPr>
          <w:rFonts w:ascii="Times New Roman" w:eastAsia="Times New Roman" w:hAnsi="Times New Roman" w:cs="Times New Roman"/>
          <w:szCs w:val="20"/>
          <w:lang w:val="en-GB"/>
        </w:rPr>
        <w:t>concerning the pipelines of the transport stage: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749"/>
        <w:gridCol w:w="843"/>
        <w:gridCol w:w="971"/>
        <w:gridCol w:w="567"/>
        <w:gridCol w:w="851"/>
      </w:tblGrid>
      <w:tr w:rsidR="0047244F" w:rsidRPr="0047244F" w14:paraId="71EA4507" w14:textId="77777777" w:rsidTr="001D6595">
        <w:tc>
          <w:tcPr>
            <w:tcW w:w="5517" w:type="dxa"/>
          </w:tcPr>
          <w:p w14:paraId="67E40528" w14:textId="73B35246" w:rsidR="0047244F" w:rsidRPr="0047244F" w:rsidRDefault="0047244F" w:rsidP="0047244F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PGothic" w:hAnsi="Cambria Math"/>
                    <w:lang w:val="en-US"/>
                  </w:rPr>
                  <m:t>TR=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n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eastAsia="MS PGothic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S PGothic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S PGothic" w:hAnsi="Cambria Math"/>
                                <w:lang w:val="en-US"/>
                              </w:rPr>
                              <m:t>RR</m:t>
                            </m:r>
                          </m:e>
                          <m:sub>
                            <m:r>
                              <w:rPr>
                                <w:rFonts w:ascii="Cambria Math" w:eastAsia="MS PGothic" w:hAnsi="Cambria Math"/>
                                <w:lang w:val="en-US"/>
                              </w:rPr>
                              <m:t>n,n'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749" w:type="dxa"/>
          </w:tcPr>
          <w:p w14:paraId="31A6B343" w14:textId="77777777" w:rsidR="0047244F" w:rsidRPr="0047244F" w:rsidRDefault="0047244F" w:rsidP="0047244F">
            <w:pPr>
              <w:snapToGrid w:val="0"/>
              <w:spacing w:after="120" w:line="259" w:lineRule="auto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843" w:type="dxa"/>
          </w:tcPr>
          <w:p w14:paraId="009663E5" w14:textId="77777777" w:rsidR="0047244F" w:rsidRPr="0047244F" w:rsidRDefault="0047244F" w:rsidP="0047244F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971" w:type="dxa"/>
          </w:tcPr>
          <w:p w14:paraId="0886070D" w14:textId="77777777" w:rsidR="0047244F" w:rsidRPr="0047244F" w:rsidRDefault="0047244F" w:rsidP="0047244F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567" w:type="dxa"/>
          </w:tcPr>
          <w:p w14:paraId="4E5775A9" w14:textId="1D42166E" w:rsidR="0047244F" w:rsidRPr="0047244F" w:rsidRDefault="0047244F" w:rsidP="0047244F">
            <w:p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337E21C" w14:textId="6228B292" w:rsidR="0047244F" w:rsidRPr="0047244F" w:rsidRDefault="0047244F" w:rsidP="001D6595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  <w:lang w:val="en-US"/>
              </w:rPr>
            </w:pPr>
            <w:r w:rsidRPr="0047244F">
              <w:rPr>
                <w:rFonts w:ascii="Times New Roman" w:eastAsia="MS PGothic" w:hAnsi="Times New Roman"/>
                <w:lang w:val="en-US"/>
              </w:rPr>
              <w:t>(</w:t>
            </w:r>
            <w:r>
              <w:rPr>
                <w:rFonts w:ascii="Times New Roman" w:eastAsia="MS PGothic" w:hAnsi="Times New Roman"/>
                <w:lang w:val="en-US"/>
              </w:rPr>
              <w:t>3</w:t>
            </w:r>
            <w:r w:rsidRPr="0047244F">
              <w:rPr>
                <w:rFonts w:ascii="Times New Roman" w:eastAsia="MS PGothic" w:hAnsi="Times New Roman"/>
                <w:lang w:val="en-US"/>
              </w:rPr>
              <w:t>)</w:t>
            </w:r>
          </w:p>
        </w:tc>
      </w:tr>
    </w:tbl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lastRenderedPageBreak/>
        <w:t>3. Results and discussion</w:t>
      </w:r>
    </w:p>
    <w:p w14:paraId="65B918F7" w14:textId="18D8AF63" w:rsidR="00961B2A" w:rsidRDefault="00EA21D1" w:rsidP="00AF4E8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</w:t>
      </w:r>
      <w:r w:rsidRPr="00242E44">
        <w:rPr>
          <w:rFonts w:ascii="Times New Roman" w:eastAsia="MS PGothic" w:hAnsi="Times New Roman"/>
          <w:lang w:val="en-US"/>
        </w:rPr>
        <w:t xml:space="preserve"> CPLEX solver</w:t>
      </w:r>
      <w:r>
        <w:rPr>
          <w:rFonts w:ascii="Times New Roman" w:eastAsia="MS PGothic" w:hAnsi="Times New Roman"/>
          <w:lang w:val="en-US"/>
        </w:rPr>
        <w:t xml:space="preserve"> in </w:t>
      </w:r>
      <w:r w:rsidRPr="00242E44">
        <w:rPr>
          <w:rFonts w:ascii="Times New Roman" w:eastAsia="MS PGothic" w:hAnsi="Times New Roman"/>
          <w:lang w:val="en-US"/>
        </w:rPr>
        <w:t xml:space="preserve">GAMS software </w:t>
      </w:r>
      <w:r>
        <w:rPr>
          <w:rFonts w:ascii="Times New Roman" w:eastAsia="MS PGothic" w:hAnsi="Times New Roman"/>
          <w:lang w:val="en-US"/>
        </w:rPr>
        <w:t>was used to</w:t>
      </w:r>
      <w:r w:rsidR="005A44A4">
        <w:rPr>
          <w:rFonts w:ascii="Times New Roman" w:eastAsia="MS PGothic" w:hAnsi="Times New Roman"/>
          <w:lang w:val="en-US"/>
        </w:rPr>
        <w:t xml:space="preserve"> solv</w:t>
      </w:r>
      <w:r>
        <w:rPr>
          <w:rFonts w:ascii="Times New Roman" w:eastAsia="MS PGothic" w:hAnsi="Times New Roman"/>
          <w:lang w:val="en-US"/>
        </w:rPr>
        <w:t>e</w:t>
      </w:r>
      <w:r w:rsidR="005A44A4">
        <w:rPr>
          <w:rFonts w:ascii="Times New Roman" w:eastAsia="MS PGothic" w:hAnsi="Times New Roman"/>
          <w:lang w:val="en-US"/>
        </w:rPr>
        <w:t xml:space="preserve"> t</w:t>
      </w:r>
      <w:r w:rsidR="00242E44" w:rsidRPr="00242E44">
        <w:rPr>
          <w:rFonts w:ascii="Times New Roman" w:eastAsia="MS PGothic" w:hAnsi="Times New Roman"/>
          <w:lang w:val="en-US"/>
        </w:rPr>
        <w:t xml:space="preserve">he MILP multi-objective </w:t>
      </w:r>
      <w:r>
        <w:rPr>
          <w:rFonts w:ascii="Times New Roman" w:eastAsia="MS PGothic" w:hAnsi="Times New Roman"/>
          <w:lang w:val="en-US"/>
        </w:rPr>
        <w:t xml:space="preserve">optimization </w:t>
      </w:r>
      <w:r w:rsidR="00FC4B61" w:rsidRPr="00242E44">
        <w:rPr>
          <w:rFonts w:ascii="Times New Roman" w:eastAsia="MS PGothic" w:hAnsi="Times New Roman"/>
          <w:lang w:val="en-US"/>
        </w:rPr>
        <w:t>problem</w:t>
      </w:r>
      <w:r w:rsidR="00242E44" w:rsidRPr="006A4010">
        <w:rPr>
          <w:rFonts w:ascii="Times New Roman" w:eastAsia="MS PGothic" w:hAnsi="Times New Roman"/>
          <w:lang w:val="en-US"/>
        </w:rPr>
        <w:t>.</w:t>
      </w:r>
      <w:r w:rsidR="00FC4B61" w:rsidRPr="006A4010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The</w:t>
      </w:r>
      <w:r w:rsidR="00BF723F">
        <w:rPr>
          <w:rFonts w:ascii="Times New Roman" w:eastAsia="MS PGothic" w:hAnsi="Times New Roman"/>
          <w:lang w:val="en-US"/>
        </w:rPr>
        <w:t xml:space="preserve"> Pareto optimal solution </w:t>
      </w:r>
      <w:r>
        <w:rPr>
          <w:rFonts w:ascii="Times New Roman" w:eastAsia="MS PGothic" w:hAnsi="Times New Roman"/>
          <w:lang w:val="en-US"/>
        </w:rPr>
        <w:t xml:space="preserve">allows assessing how the CCS chain configuration changes when moving from a purely economic optimization to the solution where seismic risk is minimized. </w:t>
      </w:r>
      <w:r w:rsidR="00AF4E80">
        <w:rPr>
          <w:rFonts w:ascii="Times New Roman" w:eastAsia="MS PGothic" w:hAnsi="Times New Roman"/>
          <w:lang w:val="en-US"/>
        </w:rPr>
        <w:t xml:space="preserve">As a matter of example, </w:t>
      </w:r>
      <w:r w:rsidR="006A4010">
        <w:rPr>
          <w:rFonts w:ascii="Times New Roman" w:eastAsia="MS PGothic" w:hAnsi="Times New Roman"/>
          <w:lang w:val="en-US"/>
        </w:rPr>
        <w:t xml:space="preserve">by </w:t>
      </w:r>
      <w:r w:rsidR="00BF723F">
        <w:rPr>
          <w:rFonts w:ascii="Times New Roman" w:eastAsia="MS PGothic" w:hAnsi="Times New Roman"/>
          <w:lang w:val="en-US"/>
        </w:rPr>
        <w:t xml:space="preserve">equally </w:t>
      </w:r>
      <w:r w:rsidR="006A4010">
        <w:rPr>
          <w:rFonts w:ascii="Times New Roman" w:eastAsia="MS PGothic" w:hAnsi="Times New Roman"/>
          <w:lang w:val="en-US"/>
        </w:rPr>
        <w:t xml:space="preserve">weighting the </w:t>
      </w:r>
      <w:r w:rsidR="00481448">
        <w:rPr>
          <w:rFonts w:ascii="Times New Roman" w:eastAsia="MS PGothic" w:hAnsi="Times New Roman"/>
          <w:lang w:val="en-US"/>
        </w:rPr>
        <w:t>cost and the risk functions</w:t>
      </w:r>
      <w:r w:rsidR="006A4010">
        <w:rPr>
          <w:rFonts w:ascii="Times New Roman" w:eastAsia="MS PGothic" w:hAnsi="Times New Roman"/>
          <w:lang w:val="en-US"/>
        </w:rPr>
        <w:t xml:space="preserve"> into the objective function, </w:t>
      </w:r>
      <w:r w:rsidR="00481448" w:rsidRPr="006A4010">
        <w:rPr>
          <w:rFonts w:ascii="Times New Roman" w:eastAsia="MS PGothic" w:hAnsi="Times New Roman"/>
          <w:lang w:val="en-US"/>
        </w:rPr>
        <w:t>a trade-o</w:t>
      </w:r>
      <w:r w:rsidR="00481448" w:rsidRPr="00242E44">
        <w:rPr>
          <w:rFonts w:ascii="Times New Roman" w:eastAsia="MS PGothic" w:hAnsi="Times New Roman"/>
          <w:lang w:val="en-US"/>
        </w:rPr>
        <w:t xml:space="preserve">ff </w:t>
      </w:r>
      <w:r>
        <w:rPr>
          <w:rFonts w:ascii="Times New Roman" w:eastAsia="MS PGothic" w:hAnsi="Times New Roman"/>
          <w:lang w:val="en-US"/>
        </w:rPr>
        <w:t xml:space="preserve">is found </w:t>
      </w:r>
      <w:r w:rsidR="00481448" w:rsidRPr="00242E44">
        <w:rPr>
          <w:rFonts w:ascii="Times New Roman" w:eastAsia="MS PGothic" w:hAnsi="Times New Roman"/>
          <w:lang w:val="en-US"/>
        </w:rPr>
        <w:t xml:space="preserve">between the two </w:t>
      </w:r>
      <w:r w:rsidR="00481448" w:rsidRPr="00481448">
        <w:rPr>
          <w:rFonts w:ascii="Times New Roman" w:eastAsia="MS PGothic" w:hAnsi="Times New Roman"/>
          <w:lang w:val="en-US"/>
        </w:rPr>
        <w:t>conflicting objectives</w:t>
      </w:r>
      <w:r>
        <w:rPr>
          <w:rFonts w:ascii="Times New Roman" w:eastAsia="MS PGothic" w:hAnsi="Times New Roman"/>
          <w:lang w:val="en-US"/>
        </w:rPr>
        <w:t>: the resulting infrastructure is illustrated</w:t>
      </w:r>
      <w:r w:rsidR="002F2143">
        <w:rPr>
          <w:rFonts w:ascii="Times New Roman" w:eastAsia="MS PGothic" w:hAnsi="Times New Roman"/>
          <w:lang w:val="en-US"/>
        </w:rPr>
        <w:t xml:space="preserve"> in</w:t>
      </w:r>
      <w:r w:rsidR="002F2143" w:rsidRPr="00242E44">
        <w:rPr>
          <w:rFonts w:ascii="Times New Roman" w:eastAsia="MS PGothic" w:hAnsi="Times New Roman"/>
          <w:lang w:val="en-US"/>
        </w:rPr>
        <w:t xml:space="preserve"> </w:t>
      </w:r>
      <w:r w:rsidR="002F2143">
        <w:rPr>
          <w:rFonts w:ascii="Times New Roman" w:eastAsia="MS PGothic" w:hAnsi="Times New Roman"/>
          <w:lang w:val="en-US"/>
        </w:rPr>
        <w:t>Figure 1</w:t>
      </w:r>
      <w:r>
        <w:rPr>
          <w:rFonts w:ascii="Times New Roman" w:eastAsia="MS PGothic" w:hAnsi="Times New Roman"/>
          <w:lang w:val="en-US"/>
        </w:rPr>
        <w:t xml:space="preserve"> for a carbon capture target of 50%</w:t>
      </w:r>
      <w:r w:rsidR="00BF723F">
        <w:rPr>
          <w:rFonts w:ascii="Times New Roman" w:eastAsia="MS PGothic" w:hAnsi="Times New Roman"/>
          <w:lang w:val="en-US"/>
        </w:rPr>
        <w:t>.</w:t>
      </w:r>
    </w:p>
    <w:p w14:paraId="321363DB" w14:textId="4AF25FBC" w:rsidR="00DA51A3" w:rsidRPr="00466FFD" w:rsidRDefault="00DB124E" w:rsidP="00DA51A3">
      <w:pPr>
        <w:snapToGrid w:val="0"/>
        <w:spacing w:after="120"/>
        <w:jc w:val="center"/>
        <w:rPr>
          <w:rFonts w:ascii="Times New Roman" w:eastAsia="MS PGothic" w:hAnsi="Times New Roman"/>
        </w:rPr>
      </w:pPr>
      <w:r>
        <w:rPr>
          <w:rFonts w:ascii="Times New Roman" w:eastAsia="MS PGothic" w:hAnsi="Times New Roman"/>
          <w:noProof/>
        </w:rPr>
        <w:drawing>
          <wp:inline distT="0" distB="0" distL="0" distR="0" wp14:anchorId="4F4F7CB2" wp14:editId="5FA6ECF1">
            <wp:extent cx="2403231" cy="2829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fa50_sel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708" cy="292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8973" w14:textId="24FC77B3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  <w:r w:rsidRPr="00466FFD">
        <w:rPr>
          <w:rFonts w:ascii="Times New Roman" w:eastAsia="MS PGothic" w:hAnsi="Times New Roman"/>
          <w:b/>
          <w:szCs w:val="18"/>
          <w:lang w:val="en-US"/>
        </w:rPr>
        <w:t>Figure 1</w:t>
      </w:r>
      <w:r w:rsidRPr="00466FFD">
        <w:rPr>
          <w:rFonts w:ascii="Times New Roman" w:eastAsia="MS PGothic" w:hAnsi="Times New Roman"/>
          <w:b/>
          <w:szCs w:val="18"/>
          <w:lang w:val="en-US" w:eastAsia="ko-KR"/>
        </w:rPr>
        <w:t>.</w:t>
      </w:r>
      <w:r w:rsidRPr="00466FFD">
        <w:rPr>
          <w:rFonts w:ascii="Times New Roman" w:eastAsia="MS PGothic" w:hAnsi="Times New Roman"/>
          <w:szCs w:val="18"/>
          <w:lang w:val="en-US"/>
        </w:rPr>
        <w:t xml:space="preserve"> </w:t>
      </w:r>
      <w:r w:rsidR="00033585">
        <w:rPr>
          <w:rFonts w:ascii="Times New Roman" w:eastAsia="MS PGothic" w:hAnsi="Times New Roman"/>
          <w:szCs w:val="18"/>
          <w:lang w:val="en-US"/>
        </w:rPr>
        <w:t xml:space="preserve">Trade-off </w:t>
      </w:r>
      <w:r w:rsidR="00885B77">
        <w:rPr>
          <w:rFonts w:ascii="Times New Roman" w:eastAsia="MS PGothic" w:hAnsi="Times New Roman"/>
          <w:szCs w:val="18"/>
          <w:lang w:val="en-US"/>
        </w:rPr>
        <w:t xml:space="preserve">configuration for the </w:t>
      </w:r>
      <w:r w:rsidR="00033585">
        <w:rPr>
          <w:rFonts w:ascii="Times New Roman" w:eastAsia="MS PGothic" w:hAnsi="Times New Roman"/>
          <w:szCs w:val="18"/>
          <w:lang w:val="en-US"/>
        </w:rPr>
        <w:t>CCS supply chain</w:t>
      </w:r>
      <w:r w:rsidRPr="00466FFD">
        <w:rPr>
          <w:rFonts w:ascii="Times New Roman" w:eastAsia="MS PGothic" w:hAnsi="Times New Roman"/>
          <w:szCs w:val="18"/>
          <w:lang w:val="en-US"/>
        </w:rPr>
        <w:t>.</w:t>
      </w:r>
    </w:p>
    <w:p w14:paraId="3CA7D6CC" w14:textId="4BCD39BD" w:rsidR="00DA51A3" w:rsidRPr="00752620" w:rsidRDefault="00E770B9" w:rsidP="00AF4E80">
      <w:pPr>
        <w:snapToGrid w:val="0"/>
        <w:spacing w:before="240"/>
        <w:jc w:val="both"/>
        <w:rPr>
          <w:rFonts w:ascii="Times New Roman" w:eastAsia="MS PGothic" w:hAnsi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lang w:val="en-GB"/>
        </w:rPr>
        <w:t>This configuration gives a Total Risk of 2.36 ruptures/year with a Total Cost of 81</w:t>
      </w:r>
      <w:r w:rsidRPr="00E770B9">
        <w:rPr>
          <w:rFonts w:ascii="Times New Roman" w:eastAsia="Times New Roman" w:hAnsi="Times New Roman" w:cs="Times New Roman"/>
          <w:lang w:val="en-GB"/>
        </w:rPr>
        <w:t>.</w:t>
      </w:r>
      <w:r>
        <w:rPr>
          <w:rFonts w:ascii="Times New Roman" w:eastAsia="Times New Roman" w:hAnsi="Times New Roman" w:cs="Times New Roman"/>
          <w:lang w:val="en-GB"/>
        </w:rPr>
        <w:t>3</w:t>
      </w:r>
      <w:r w:rsidRPr="00E770B9">
        <w:rPr>
          <w:rFonts w:ascii="Times New Roman" w:eastAsia="Times New Roman" w:hAnsi="Times New Roman" w:cs="Times New Roman"/>
          <w:lang w:val="en-GB"/>
        </w:rPr>
        <w:t xml:space="preserve"> €/t</w:t>
      </w:r>
      <w:r>
        <w:rPr>
          <w:rFonts w:ascii="Times New Roman" w:eastAsia="Times New Roman" w:hAnsi="Times New Roman" w:cs="Times New Roman"/>
          <w:lang w:val="en-GB"/>
        </w:rPr>
        <w:t xml:space="preserve"> of CO</w:t>
      </w:r>
      <w:r>
        <w:rPr>
          <w:rFonts w:ascii="Times New Roman" w:eastAsia="Times New Roman" w:hAnsi="Times New Roman" w:cs="Times New Roman"/>
          <w:vertAlign w:val="subscript"/>
          <w:lang w:val="en-GB"/>
        </w:rPr>
        <w:t>2</w:t>
      </w:r>
      <w:r w:rsidRPr="00E770B9">
        <w:rPr>
          <w:rFonts w:ascii="Times New Roman" w:eastAsia="Times New Roman" w:hAnsi="Times New Roman" w:cs="Times New Roman"/>
          <w:lang w:val="en-GB"/>
        </w:rPr>
        <w:t xml:space="preserve">. </w:t>
      </w:r>
      <w:r w:rsidR="00885B77">
        <w:rPr>
          <w:rFonts w:ascii="Times New Roman" w:eastAsia="Times New Roman" w:hAnsi="Times New Roman" w:cs="Times New Roman"/>
          <w:lang w:val="en-GB"/>
        </w:rPr>
        <w:t xml:space="preserve">By analysing the three components of the Total Cost, </w:t>
      </w:r>
      <w:r w:rsidRPr="00E770B9">
        <w:rPr>
          <w:rFonts w:ascii="Times New Roman" w:eastAsia="Times New Roman" w:hAnsi="Times New Roman" w:cs="Times New Roman"/>
          <w:lang w:val="en-GB"/>
        </w:rPr>
        <w:t xml:space="preserve">the significant contribution </w:t>
      </w:r>
      <w:r w:rsidR="00885B77">
        <w:rPr>
          <w:rFonts w:ascii="Times New Roman" w:eastAsia="Times New Roman" w:hAnsi="Times New Roman" w:cs="Times New Roman"/>
          <w:lang w:val="en-GB"/>
        </w:rPr>
        <w:t>is seen in</w:t>
      </w:r>
      <w:r w:rsidRPr="00E770B9">
        <w:rPr>
          <w:rFonts w:ascii="Times New Roman" w:eastAsia="Times New Roman" w:hAnsi="Times New Roman" w:cs="Times New Roman"/>
          <w:lang w:val="en-GB"/>
        </w:rPr>
        <w:t xml:space="preserve"> the capture </w:t>
      </w:r>
      <w:r w:rsidR="00C776F9" w:rsidRPr="00E770B9">
        <w:rPr>
          <w:rFonts w:ascii="Times New Roman" w:eastAsia="Times New Roman" w:hAnsi="Times New Roman" w:cs="Times New Roman"/>
          <w:lang w:val="en-GB"/>
        </w:rPr>
        <w:t>step</w:t>
      </w:r>
      <w:r>
        <w:rPr>
          <w:rFonts w:ascii="Times New Roman" w:eastAsia="Times New Roman" w:hAnsi="Times New Roman" w:cs="Times New Roman"/>
          <w:lang w:val="en-GB"/>
        </w:rPr>
        <w:t xml:space="preserve"> which accounts for 64</w:t>
      </w:r>
      <w:r w:rsidRPr="00E770B9">
        <w:rPr>
          <w:rFonts w:ascii="Times New Roman" w:eastAsia="Times New Roman" w:hAnsi="Times New Roman" w:cs="Times New Roman"/>
          <w:lang w:val="en-GB"/>
        </w:rPr>
        <w:t>.</w:t>
      </w:r>
      <w:r>
        <w:rPr>
          <w:rFonts w:ascii="Times New Roman" w:eastAsia="Times New Roman" w:hAnsi="Times New Roman" w:cs="Times New Roman"/>
          <w:lang w:val="en-GB"/>
        </w:rPr>
        <w:t>8</w:t>
      </w:r>
      <w:r w:rsidRPr="00E770B9">
        <w:rPr>
          <w:rFonts w:ascii="Times New Roman" w:eastAsia="Times New Roman" w:hAnsi="Times New Roman" w:cs="Times New Roman"/>
          <w:lang w:val="en-GB"/>
        </w:rPr>
        <w:t xml:space="preserve"> €/t</w:t>
      </w:r>
      <w:r>
        <w:rPr>
          <w:rFonts w:ascii="Times New Roman" w:eastAsia="Times New Roman" w:hAnsi="Times New Roman" w:cs="Times New Roman"/>
          <w:lang w:val="en-GB"/>
        </w:rPr>
        <w:t xml:space="preserve"> of CO</w:t>
      </w:r>
      <w:r>
        <w:rPr>
          <w:rFonts w:ascii="Times New Roman" w:eastAsia="Times New Roman" w:hAnsi="Times New Roman" w:cs="Times New Roman"/>
          <w:vertAlign w:val="subscript"/>
          <w:lang w:val="en-GB"/>
        </w:rPr>
        <w:t>2</w:t>
      </w:r>
      <w:r>
        <w:rPr>
          <w:rFonts w:ascii="Times New Roman" w:eastAsia="Times New Roman" w:hAnsi="Times New Roman" w:cs="Times New Roman"/>
          <w:lang w:val="en-GB"/>
        </w:rPr>
        <w:t>, while the transportation and sequestration costs give the value of 9</w:t>
      </w:r>
      <w:r w:rsidRPr="00E770B9">
        <w:rPr>
          <w:rFonts w:ascii="Times New Roman" w:eastAsia="Times New Roman" w:hAnsi="Times New Roman" w:cs="Times New Roman"/>
          <w:lang w:val="en-GB"/>
        </w:rPr>
        <w:t>.</w:t>
      </w:r>
      <w:r>
        <w:rPr>
          <w:rFonts w:ascii="Times New Roman" w:eastAsia="Times New Roman" w:hAnsi="Times New Roman" w:cs="Times New Roman"/>
          <w:lang w:val="en-GB"/>
        </w:rPr>
        <w:t>2</w:t>
      </w:r>
      <w:r w:rsidRPr="00E770B9">
        <w:rPr>
          <w:rFonts w:ascii="Times New Roman" w:eastAsia="Times New Roman" w:hAnsi="Times New Roman" w:cs="Times New Roman"/>
          <w:lang w:val="en-GB"/>
        </w:rPr>
        <w:t xml:space="preserve"> €/t</w:t>
      </w:r>
      <w:r>
        <w:rPr>
          <w:rFonts w:ascii="Times New Roman" w:eastAsia="Times New Roman" w:hAnsi="Times New Roman" w:cs="Times New Roman"/>
          <w:lang w:val="en-GB"/>
        </w:rPr>
        <w:t xml:space="preserve"> of CO</w:t>
      </w:r>
      <w:r>
        <w:rPr>
          <w:rFonts w:ascii="Times New Roman" w:eastAsia="Times New Roman" w:hAnsi="Times New Roman" w:cs="Times New Roman"/>
          <w:vertAlign w:val="subscript"/>
          <w:lang w:val="en-GB"/>
        </w:rPr>
        <w:t>2</w:t>
      </w:r>
      <w:r>
        <w:rPr>
          <w:rFonts w:ascii="Times New Roman" w:eastAsia="Times New Roman" w:hAnsi="Times New Roman" w:cs="Times New Roman"/>
          <w:lang w:val="en-GB"/>
        </w:rPr>
        <w:t xml:space="preserve">, </w:t>
      </w:r>
      <w:r w:rsidR="00752620">
        <w:rPr>
          <w:rFonts w:ascii="Times New Roman" w:eastAsia="Times New Roman" w:hAnsi="Times New Roman" w:cs="Times New Roman"/>
          <w:lang w:val="en-GB"/>
        </w:rPr>
        <w:t>respectively 7</w:t>
      </w:r>
      <w:r w:rsidR="00752620" w:rsidRPr="00E770B9">
        <w:rPr>
          <w:rFonts w:ascii="Times New Roman" w:eastAsia="Times New Roman" w:hAnsi="Times New Roman" w:cs="Times New Roman"/>
          <w:lang w:val="en-GB"/>
        </w:rPr>
        <w:t>.</w:t>
      </w:r>
      <w:r w:rsidR="00752620">
        <w:rPr>
          <w:rFonts w:ascii="Times New Roman" w:eastAsia="Times New Roman" w:hAnsi="Times New Roman" w:cs="Times New Roman"/>
          <w:lang w:val="en-GB"/>
        </w:rPr>
        <w:t>2</w:t>
      </w:r>
      <w:r w:rsidR="00752620" w:rsidRPr="00E770B9">
        <w:rPr>
          <w:rFonts w:ascii="Times New Roman" w:eastAsia="Times New Roman" w:hAnsi="Times New Roman" w:cs="Times New Roman"/>
          <w:lang w:val="en-GB"/>
        </w:rPr>
        <w:t xml:space="preserve"> €/t</w:t>
      </w:r>
      <w:r w:rsidR="00752620">
        <w:rPr>
          <w:rFonts w:ascii="Times New Roman" w:eastAsia="Times New Roman" w:hAnsi="Times New Roman" w:cs="Times New Roman"/>
          <w:lang w:val="en-GB"/>
        </w:rPr>
        <w:t xml:space="preserve"> of CO</w:t>
      </w:r>
      <w:r w:rsidR="00752620">
        <w:rPr>
          <w:rFonts w:ascii="Times New Roman" w:eastAsia="Times New Roman" w:hAnsi="Times New Roman" w:cs="Times New Roman"/>
          <w:vertAlign w:val="subscript"/>
          <w:lang w:val="en-GB"/>
        </w:rPr>
        <w:t>2</w:t>
      </w:r>
      <w:r w:rsidR="00752620">
        <w:rPr>
          <w:rFonts w:ascii="Times New Roman" w:eastAsia="Times New Roman" w:hAnsi="Times New Roman" w:cs="Times New Roman"/>
          <w:lang w:val="en-GB"/>
        </w:rPr>
        <w:t>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618F394C" w:rsidR="00DA51A3" w:rsidRPr="00466FFD" w:rsidRDefault="0096619F" w:rsidP="00AF4E8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For decarbonizing the Italian</w:t>
      </w:r>
      <w:r w:rsidRPr="0096619F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industry, a countrywide</w:t>
      </w:r>
      <w:r w:rsidRPr="0096619F">
        <w:rPr>
          <w:rFonts w:ascii="Times New Roman" w:eastAsia="MS PGothic" w:hAnsi="Times New Roman"/>
          <w:lang w:val="en-US"/>
        </w:rPr>
        <w:t xml:space="preserve"> carbon capture and </w:t>
      </w:r>
      <w:r>
        <w:rPr>
          <w:rFonts w:ascii="Times New Roman" w:eastAsia="MS PGothic" w:hAnsi="Times New Roman"/>
          <w:lang w:val="en-US"/>
        </w:rPr>
        <w:t>sequestration</w:t>
      </w:r>
      <w:r w:rsidRPr="0096619F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supply </w:t>
      </w:r>
      <w:r w:rsidRPr="0096619F">
        <w:rPr>
          <w:rFonts w:ascii="Times New Roman" w:eastAsia="MS PGothic" w:hAnsi="Times New Roman"/>
          <w:lang w:val="en-US"/>
        </w:rPr>
        <w:t xml:space="preserve">chain was optimized through a mixed integer linear programming framework. The model aimed at minimizing </w:t>
      </w:r>
      <w:r>
        <w:rPr>
          <w:rFonts w:ascii="Times New Roman" w:eastAsia="MS PGothic" w:hAnsi="Times New Roman"/>
          <w:lang w:val="en-US"/>
        </w:rPr>
        <w:t>simultaneously</w:t>
      </w:r>
      <w:r w:rsidRPr="0096619F">
        <w:rPr>
          <w:rFonts w:ascii="Times New Roman" w:eastAsia="MS PGothic" w:hAnsi="Times New Roman"/>
          <w:lang w:val="en-US"/>
        </w:rPr>
        <w:t xml:space="preserve"> the total cost (economic objective) and the total seismic risk (risk objective)</w:t>
      </w:r>
      <w:r w:rsidR="00AF4E80">
        <w:rPr>
          <w:rFonts w:ascii="Times New Roman" w:eastAsia="MS PGothic" w:hAnsi="Times New Roman"/>
          <w:lang w:val="en-US"/>
        </w:rPr>
        <w:t xml:space="preserve"> by means of a multi-objective framework capable of providing useful insights to investors and policy makers</w:t>
      </w:r>
      <w:r w:rsidR="00F61632" w:rsidRPr="00F61632">
        <w:rPr>
          <w:rFonts w:ascii="Times New Roman" w:eastAsia="MS PGothic" w:hAnsi="Times New Roman"/>
          <w:lang w:val="en-US"/>
        </w:rPr>
        <w:t>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7D325E8A" w14:textId="1061BCD0" w:rsidR="00054C74" w:rsidRDefault="00054C74" w:rsidP="00054C74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eastAsia="zh-CN"/>
        </w:rPr>
      </w:pPr>
      <w:r w:rsidRPr="00D841B0">
        <w:rPr>
          <w:rFonts w:ascii="Times New Roman" w:eastAsia="SimSun" w:hAnsi="Times New Roman"/>
          <w:lang w:eastAsia="zh-CN"/>
        </w:rPr>
        <w:t>IPCC, 2021: Climate Change 2021: Report of the Intergovernmental Panel on Climate Change. Cambridge University Press. In Press.</w:t>
      </w:r>
    </w:p>
    <w:p w14:paraId="1095219A" w14:textId="2A6FA4FC" w:rsidR="00054C74" w:rsidRPr="00054C74" w:rsidRDefault="00054C74" w:rsidP="00054C74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eastAsia="zh-CN"/>
        </w:rPr>
      </w:pPr>
      <w:r w:rsidRPr="00054C74">
        <w:rPr>
          <w:rFonts w:ascii="Times New Roman" w:eastAsia="SimSun" w:hAnsi="Times New Roman"/>
          <w:lang w:eastAsia="zh-CN"/>
        </w:rPr>
        <w:t>EEA, 2020, European Pollutant Release and Transfer Register, https://prtr.eea.europa.eu/#/pollutantreleases.</w:t>
      </w:r>
    </w:p>
    <w:p w14:paraId="4C299D7F" w14:textId="4CAA4665" w:rsidR="00054C74" w:rsidRPr="004C23A7" w:rsidRDefault="00054C74" w:rsidP="00054C74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val="it-IT" w:eastAsia="zh-CN"/>
        </w:rPr>
      </w:pPr>
      <w:r w:rsidRPr="00054C74">
        <w:rPr>
          <w:rFonts w:ascii="Times New Roman" w:hAnsi="Times New Roman"/>
          <w:lang w:val="it-IT"/>
        </w:rPr>
        <w:t xml:space="preserve">F. d’Amore, M.C. Romano, F. Bezzo, J. </w:t>
      </w:r>
      <w:proofErr w:type="spellStart"/>
      <w:r w:rsidRPr="00054C74">
        <w:rPr>
          <w:rFonts w:ascii="Times New Roman" w:hAnsi="Times New Roman"/>
          <w:lang w:val="it-IT"/>
        </w:rPr>
        <w:t>Clean</w:t>
      </w:r>
      <w:proofErr w:type="spellEnd"/>
      <w:r w:rsidR="00210F5D">
        <w:rPr>
          <w:rFonts w:ascii="Times New Roman" w:hAnsi="Times New Roman"/>
          <w:lang w:val="it-IT"/>
        </w:rPr>
        <w:t xml:space="preserve">. </w:t>
      </w:r>
      <w:proofErr w:type="spellStart"/>
      <w:r w:rsidR="00210F5D">
        <w:rPr>
          <w:rFonts w:ascii="Times New Roman" w:hAnsi="Times New Roman"/>
          <w:lang w:val="it-IT"/>
        </w:rPr>
        <w:t>Prod</w:t>
      </w:r>
      <w:proofErr w:type="spellEnd"/>
      <w:r w:rsidR="00210F5D">
        <w:rPr>
          <w:rFonts w:ascii="Times New Roman" w:hAnsi="Times New Roman"/>
          <w:lang w:val="it-IT"/>
        </w:rPr>
        <w:t>.</w:t>
      </w:r>
      <w:r w:rsidRPr="00054C74">
        <w:rPr>
          <w:rFonts w:ascii="Times New Roman" w:hAnsi="Times New Roman"/>
          <w:lang w:val="it-IT"/>
        </w:rPr>
        <w:t>, 65 (2021) 99-116.</w:t>
      </w:r>
      <w:bookmarkStart w:id="1" w:name="_GoBack"/>
      <w:bookmarkEnd w:id="1"/>
    </w:p>
    <w:p w14:paraId="5A650773" w14:textId="4DE18D3B" w:rsidR="005B71B2" w:rsidRPr="006A4010" w:rsidRDefault="005B71B2" w:rsidP="00E90E2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val="it-IT" w:eastAsia="zh-CN"/>
        </w:rPr>
      </w:pPr>
    </w:p>
    <w:sectPr w:rsidR="005B71B2" w:rsidRPr="006A4010" w:rsidSect="001D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13C4" w14:textId="77777777" w:rsidR="009C4E64" w:rsidRDefault="009C4E64" w:rsidP="001D0E0C">
      <w:pPr>
        <w:spacing w:after="0" w:line="240" w:lineRule="auto"/>
      </w:pPr>
      <w:r>
        <w:separator/>
      </w:r>
    </w:p>
  </w:endnote>
  <w:endnote w:type="continuationSeparator" w:id="0">
    <w:p w14:paraId="13D072CA" w14:textId="77777777" w:rsidR="009C4E64" w:rsidRDefault="009C4E64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DB03" w14:textId="77777777" w:rsidR="005C2A12" w:rsidRDefault="005C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72D2" w14:textId="77777777" w:rsidR="005C2A12" w:rsidRDefault="005C2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FF87" w14:textId="77777777" w:rsidR="005C2A12" w:rsidRDefault="005C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24339" w14:textId="77777777" w:rsidR="009C4E64" w:rsidRDefault="009C4E64" w:rsidP="001D0E0C">
      <w:pPr>
        <w:spacing w:after="0" w:line="240" w:lineRule="auto"/>
      </w:pPr>
      <w:r>
        <w:separator/>
      </w:r>
    </w:p>
  </w:footnote>
  <w:footnote w:type="continuationSeparator" w:id="0">
    <w:p w14:paraId="6A0FEE2B" w14:textId="77777777" w:rsidR="009C4E64" w:rsidRDefault="009C4E64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8880" w14:textId="77777777" w:rsidR="005C2A12" w:rsidRDefault="005C2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Header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04C1"/>
    <w:rsid w:val="00010F5D"/>
    <w:rsid w:val="0001536C"/>
    <w:rsid w:val="00026583"/>
    <w:rsid w:val="00033585"/>
    <w:rsid w:val="000517B4"/>
    <w:rsid w:val="00054C74"/>
    <w:rsid w:val="00076EF1"/>
    <w:rsid w:val="000A2A37"/>
    <w:rsid w:val="000C4495"/>
    <w:rsid w:val="000E2C1D"/>
    <w:rsid w:val="00127CA9"/>
    <w:rsid w:val="001373C7"/>
    <w:rsid w:val="0018667F"/>
    <w:rsid w:val="00187804"/>
    <w:rsid w:val="001B060D"/>
    <w:rsid w:val="001D0E0C"/>
    <w:rsid w:val="001D27DE"/>
    <w:rsid w:val="001D6595"/>
    <w:rsid w:val="001E404A"/>
    <w:rsid w:val="001F095D"/>
    <w:rsid w:val="00205EC8"/>
    <w:rsid w:val="00210B69"/>
    <w:rsid w:val="00210F5D"/>
    <w:rsid w:val="00225A2E"/>
    <w:rsid w:val="00234FEE"/>
    <w:rsid w:val="002363FB"/>
    <w:rsid w:val="00242E44"/>
    <w:rsid w:val="002C27B3"/>
    <w:rsid w:val="002E7959"/>
    <w:rsid w:val="002F2143"/>
    <w:rsid w:val="002F3318"/>
    <w:rsid w:val="00304C3A"/>
    <w:rsid w:val="003171E7"/>
    <w:rsid w:val="00375A81"/>
    <w:rsid w:val="003F160A"/>
    <w:rsid w:val="00402674"/>
    <w:rsid w:val="004175EB"/>
    <w:rsid w:val="004314D3"/>
    <w:rsid w:val="00432246"/>
    <w:rsid w:val="004673F0"/>
    <w:rsid w:val="0047244F"/>
    <w:rsid w:val="00481448"/>
    <w:rsid w:val="004819E1"/>
    <w:rsid w:val="004C23A7"/>
    <w:rsid w:val="004C39D6"/>
    <w:rsid w:val="004C56B4"/>
    <w:rsid w:val="005137BA"/>
    <w:rsid w:val="00520EC5"/>
    <w:rsid w:val="0053538C"/>
    <w:rsid w:val="00553ACC"/>
    <w:rsid w:val="00586A05"/>
    <w:rsid w:val="005A44A4"/>
    <w:rsid w:val="005B71B2"/>
    <w:rsid w:val="005C2A12"/>
    <w:rsid w:val="005E3AB9"/>
    <w:rsid w:val="005E6FA1"/>
    <w:rsid w:val="005F667C"/>
    <w:rsid w:val="00607748"/>
    <w:rsid w:val="006136D9"/>
    <w:rsid w:val="00671BD5"/>
    <w:rsid w:val="00671C74"/>
    <w:rsid w:val="00697CD6"/>
    <w:rsid w:val="006A4010"/>
    <w:rsid w:val="006B405F"/>
    <w:rsid w:val="006C499E"/>
    <w:rsid w:val="006F7920"/>
    <w:rsid w:val="00752620"/>
    <w:rsid w:val="00763871"/>
    <w:rsid w:val="00777969"/>
    <w:rsid w:val="00802B51"/>
    <w:rsid w:val="00812367"/>
    <w:rsid w:val="00814061"/>
    <w:rsid w:val="00814846"/>
    <w:rsid w:val="00843CE9"/>
    <w:rsid w:val="008813D6"/>
    <w:rsid w:val="008845A7"/>
    <w:rsid w:val="00885B77"/>
    <w:rsid w:val="008871B1"/>
    <w:rsid w:val="008A7727"/>
    <w:rsid w:val="008B7C7C"/>
    <w:rsid w:val="008D35B8"/>
    <w:rsid w:val="008D3996"/>
    <w:rsid w:val="008F0EF9"/>
    <w:rsid w:val="00961B2A"/>
    <w:rsid w:val="0096619F"/>
    <w:rsid w:val="00970B3D"/>
    <w:rsid w:val="00995C3E"/>
    <w:rsid w:val="009C4E64"/>
    <w:rsid w:val="009D5840"/>
    <w:rsid w:val="00AB1801"/>
    <w:rsid w:val="00AF4E80"/>
    <w:rsid w:val="00B11820"/>
    <w:rsid w:val="00B148EC"/>
    <w:rsid w:val="00B66B94"/>
    <w:rsid w:val="00B74A8D"/>
    <w:rsid w:val="00B77875"/>
    <w:rsid w:val="00BA3CE0"/>
    <w:rsid w:val="00BF723F"/>
    <w:rsid w:val="00C00B22"/>
    <w:rsid w:val="00C231CC"/>
    <w:rsid w:val="00C40840"/>
    <w:rsid w:val="00C41141"/>
    <w:rsid w:val="00C62927"/>
    <w:rsid w:val="00C776F9"/>
    <w:rsid w:val="00D03DB3"/>
    <w:rsid w:val="00D06032"/>
    <w:rsid w:val="00D322F1"/>
    <w:rsid w:val="00D412A9"/>
    <w:rsid w:val="00D63B2E"/>
    <w:rsid w:val="00D841B0"/>
    <w:rsid w:val="00DA51A3"/>
    <w:rsid w:val="00DB124E"/>
    <w:rsid w:val="00DD02C3"/>
    <w:rsid w:val="00DD2D8C"/>
    <w:rsid w:val="00DD68A9"/>
    <w:rsid w:val="00E15304"/>
    <w:rsid w:val="00E50A89"/>
    <w:rsid w:val="00E566F2"/>
    <w:rsid w:val="00E770B9"/>
    <w:rsid w:val="00E9062D"/>
    <w:rsid w:val="00E90E27"/>
    <w:rsid w:val="00EA21D1"/>
    <w:rsid w:val="00EE181D"/>
    <w:rsid w:val="00EF4764"/>
    <w:rsid w:val="00F13E65"/>
    <w:rsid w:val="00F24290"/>
    <w:rsid w:val="00F61632"/>
    <w:rsid w:val="00F813A7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EC8"/>
    <w:pPr>
      <w:ind w:left="720"/>
      <w:contextualSpacing/>
    </w:pPr>
  </w:style>
  <w:style w:type="table" w:styleId="TableGrid">
    <w:name w:val="Table Grid"/>
    <w:basedOn w:val="TableNormal"/>
    <w:uiPriority w:val="39"/>
    <w:rsid w:val="0012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4314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Crîstiu Daniel</cp:lastModifiedBy>
  <cp:revision>3</cp:revision>
  <cp:lastPrinted>2022-01-31T11:56:00Z</cp:lastPrinted>
  <dcterms:created xsi:type="dcterms:W3CDTF">2022-03-12T11:02:00Z</dcterms:created>
  <dcterms:modified xsi:type="dcterms:W3CDTF">2022-03-12T14:33:00Z</dcterms:modified>
</cp:coreProperties>
</file>