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05DA3845" w:rsidR="00DA51A3" w:rsidRPr="00466FFD" w:rsidRDefault="00792FCF"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Sorption-enhanced gasification in dual interconnected fluidised beds – Behaviour of limestone-based sorbents</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66C2F754" w:rsidR="00DA51A3" w:rsidRPr="00792FCF" w:rsidRDefault="00792FCF" w:rsidP="00DA51A3">
      <w:pPr>
        <w:snapToGrid w:val="0"/>
        <w:jc w:val="center"/>
        <w:rPr>
          <w:rFonts w:ascii="Times New Roman" w:eastAsia="MS PGothic" w:hAnsi="Times New Roman"/>
          <w:sz w:val="24"/>
          <w:szCs w:val="24"/>
        </w:rPr>
      </w:pPr>
      <w:r w:rsidRPr="00792FCF">
        <w:rPr>
          <w:rFonts w:ascii="Times New Roman" w:eastAsia="SimSun" w:hAnsi="Times New Roman"/>
          <w:sz w:val="24"/>
          <w:szCs w:val="24"/>
          <w:lang w:eastAsia="zh-CN"/>
        </w:rPr>
        <w:t>Antonio Coppola</w:t>
      </w:r>
      <w:r w:rsidR="00DA51A3" w:rsidRPr="00792FCF">
        <w:rPr>
          <w:rFonts w:ascii="Times New Roman" w:eastAsia="SimSun" w:hAnsi="Times New Roman"/>
          <w:sz w:val="24"/>
          <w:szCs w:val="24"/>
          <w:vertAlign w:val="superscript"/>
          <w:lang w:eastAsia="zh-CN"/>
        </w:rPr>
        <w:t>1</w:t>
      </w:r>
      <w:r w:rsidR="00DA51A3" w:rsidRPr="00792FCF">
        <w:rPr>
          <w:rFonts w:ascii="Times New Roman" w:eastAsia="SimSun" w:hAnsi="Times New Roman"/>
          <w:sz w:val="24"/>
          <w:szCs w:val="24"/>
          <w:lang w:eastAsia="zh-CN"/>
        </w:rPr>
        <w:t xml:space="preserve">, </w:t>
      </w:r>
      <w:r w:rsidRPr="00792FCF">
        <w:rPr>
          <w:rFonts w:ascii="Times New Roman" w:eastAsia="SimSun" w:hAnsi="Times New Roman"/>
          <w:sz w:val="24"/>
          <w:szCs w:val="24"/>
          <w:lang w:eastAsia="zh-CN"/>
        </w:rPr>
        <w:t>Fabio Montagnaro</w:t>
      </w:r>
      <w:r w:rsidRPr="00792FCF">
        <w:rPr>
          <w:rFonts w:ascii="Times New Roman" w:eastAsia="SimSun" w:hAnsi="Times New Roman"/>
          <w:sz w:val="24"/>
          <w:szCs w:val="24"/>
          <w:vertAlign w:val="superscript"/>
          <w:lang w:eastAsia="zh-CN"/>
        </w:rPr>
        <w:t>2</w:t>
      </w:r>
      <w:r w:rsidRPr="00792FCF">
        <w:rPr>
          <w:rFonts w:ascii="Times New Roman" w:eastAsia="SimSun" w:hAnsi="Times New Roman"/>
          <w:sz w:val="24"/>
          <w:szCs w:val="24"/>
          <w:lang w:eastAsia="zh-CN"/>
        </w:rPr>
        <w:t>*</w:t>
      </w:r>
      <w:r w:rsidR="00DA51A3" w:rsidRPr="00792FCF">
        <w:rPr>
          <w:rFonts w:ascii="Times New Roman" w:eastAsia="SimSun" w:hAnsi="Times New Roman"/>
          <w:sz w:val="24"/>
          <w:szCs w:val="24"/>
          <w:lang w:eastAsia="zh-CN"/>
        </w:rPr>
        <w:t xml:space="preserve">, </w:t>
      </w:r>
      <w:r w:rsidR="009B2234">
        <w:rPr>
          <w:rFonts w:ascii="Times New Roman" w:eastAsia="SimSun" w:hAnsi="Times New Roman"/>
          <w:sz w:val="24"/>
          <w:szCs w:val="24"/>
          <w:lang w:eastAsia="zh-CN"/>
        </w:rPr>
        <w:t>Piero Salatino</w:t>
      </w:r>
      <w:r w:rsidR="009B2234">
        <w:rPr>
          <w:rFonts w:ascii="Times New Roman" w:eastAsia="SimSun" w:hAnsi="Times New Roman"/>
          <w:sz w:val="24"/>
          <w:szCs w:val="24"/>
          <w:vertAlign w:val="superscript"/>
          <w:lang w:eastAsia="zh-CN"/>
        </w:rPr>
        <w:t>3</w:t>
      </w:r>
      <w:r w:rsidR="009B2234">
        <w:rPr>
          <w:rFonts w:ascii="Times New Roman" w:eastAsia="SimSun" w:hAnsi="Times New Roman"/>
          <w:sz w:val="24"/>
          <w:szCs w:val="24"/>
          <w:lang w:eastAsia="zh-CN"/>
        </w:rPr>
        <w:t xml:space="preserve">, </w:t>
      </w:r>
      <w:r>
        <w:rPr>
          <w:rFonts w:ascii="Times New Roman" w:eastAsia="SimSun" w:hAnsi="Times New Roman"/>
          <w:sz w:val="24"/>
          <w:szCs w:val="24"/>
          <w:lang w:eastAsia="zh-CN"/>
        </w:rPr>
        <w:t>Fabrizio Scala</w:t>
      </w:r>
      <w:r>
        <w:rPr>
          <w:rFonts w:ascii="Times New Roman" w:eastAsia="SimSun" w:hAnsi="Times New Roman"/>
          <w:sz w:val="24"/>
          <w:szCs w:val="24"/>
          <w:vertAlign w:val="superscript"/>
          <w:lang w:eastAsia="zh-CN"/>
        </w:rPr>
        <w:t>1,3</w:t>
      </w:r>
    </w:p>
    <w:p w14:paraId="3A72C67B" w14:textId="76A0FDAD" w:rsidR="00792FCF" w:rsidRDefault="00DA51A3" w:rsidP="00DA51A3">
      <w:pPr>
        <w:snapToGrid w:val="0"/>
        <w:spacing w:after="120"/>
        <w:jc w:val="center"/>
        <w:rPr>
          <w:rFonts w:ascii="Times New Roman" w:eastAsia="MS PGothic" w:hAnsi="Times New Roman"/>
          <w:i/>
          <w:iCs/>
          <w:sz w:val="20"/>
        </w:rPr>
      </w:pPr>
      <w:r w:rsidRPr="00792FCF">
        <w:rPr>
          <w:rFonts w:ascii="Times New Roman" w:eastAsia="MS PGothic" w:hAnsi="Times New Roman"/>
          <w:i/>
          <w:iCs/>
          <w:sz w:val="20"/>
        </w:rPr>
        <w:t xml:space="preserve">1 </w:t>
      </w:r>
      <w:r w:rsidR="00792FCF" w:rsidRPr="00792FCF">
        <w:rPr>
          <w:rFonts w:ascii="Times New Roman" w:eastAsia="MS PGothic" w:hAnsi="Times New Roman"/>
          <w:i/>
          <w:iCs/>
          <w:sz w:val="20"/>
        </w:rPr>
        <w:t>STEMS, Consiglio Nazionale delle Rice</w:t>
      </w:r>
      <w:r w:rsidR="00792FCF">
        <w:rPr>
          <w:rFonts w:ascii="Times New Roman" w:eastAsia="MS PGothic" w:hAnsi="Times New Roman"/>
          <w:i/>
          <w:iCs/>
          <w:sz w:val="20"/>
        </w:rPr>
        <w:t>rche, 80125 Napoli</w:t>
      </w:r>
    </w:p>
    <w:p w14:paraId="220B24D7" w14:textId="00209307" w:rsidR="00792FCF" w:rsidRDefault="00DA51A3" w:rsidP="00DA51A3">
      <w:pPr>
        <w:snapToGrid w:val="0"/>
        <w:spacing w:after="120"/>
        <w:jc w:val="center"/>
        <w:rPr>
          <w:rFonts w:ascii="Times New Roman" w:eastAsia="MS PGothic" w:hAnsi="Times New Roman"/>
          <w:i/>
          <w:iCs/>
          <w:sz w:val="20"/>
        </w:rPr>
      </w:pPr>
      <w:r w:rsidRPr="00792FCF">
        <w:rPr>
          <w:rFonts w:ascii="Times New Roman" w:eastAsia="MS PGothic" w:hAnsi="Times New Roman"/>
          <w:i/>
          <w:iCs/>
          <w:sz w:val="20"/>
        </w:rPr>
        <w:t xml:space="preserve">2 </w:t>
      </w:r>
      <w:r w:rsidR="00792FCF">
        <w:rPr>
          <w:rFonts w:ascii="Times New Roman" w:eastAsia="MS PGothic" w:hAnsi="Times New Roman"/>
          <w:i/>
          <w:iCs/>
          <w:sz w:val="20"/>
        </w:rPr>
        <w:t>DSC, Università degli Studi di Napoli Federico II, 80126 Napoli</w:t>
      </w:r>
    </w:p>
    <w:p w14:paraId="7A602332" w14:textId="75037E24" w:rsidR="00DA51A3" w:rsidRPr="00792FCF" w:rsidRDefault="00792FCF" w:rsidP="00DA51A3">
      <w:pPr>
        <w:snapToGrid w:val="0"/>
        <w:spacing w:after="120"/>
        <w:jc w:val="center"/>
        <w:rPr>
          <w:rFonts w:ascii="Times New Roman" w:eastAsia="MS PGothic" w:hAnsi="Times New Roman"/>
          <w:i/>
          <w:iCs/>
          <w:sz w:val="20"/>
        </w:rPr>
      </w:pPr>
      <w:r>
        <w:rPr>
          <w:rFonts w:ascii="Times New Roman" w:eastAsia="MS PGothic" w:hAnsi="Times New Roman"/>
          <w:i/>
          <w:iCs/>
          <w:sz w:val="20"/>
        </w:rPr>
        <w:t>3 DICMaPI, Università degli Studi di Napoli Federico II, 80125 Napoli, Italy</w:t>
      </w:r>
    </w:p>
    <w:p w14:paraId="5533360A" w14:textId="25E729AC" w:rsidR="00DA51A3" w:rsidRPr="00D40426" w:rsidRDefault="00DA51A3" w:rsidP="00DA51A3">
      <w:pPr>
        <w:snapToGrid w:val="0"/>
        <w:jc w:val="center"/>
        <w:rPr>
          <w:rFonts w:ascii="Times New Roman" w:eastAsia="MS PGothic" w:hAnsi="Times New Roman"/>
          <w:bCs/>
          <w:i/>
          <w:iCs/>
          <w:sz w:val="20"/>
          <w:lang w:val="en-US"/>
        </w:rPr>
      </w:pPr>
      <w:r w:rsidRPr="00D40426">
        <w:rPr>
          <w:rFonts w:ascii="Times New Roman" w:eastAsia="MS PGothic" w:hAnsi="Times New Roman"/>
          <w:bCs/>
          <w:i/>
          <w:iCs/>
          <w:sz w:val="20"/>
          <w:lang w:val="en-US"/>
        </w:rPr>
        <w:t>*Corresponding author</w:t>
      </w:r>
      <w:r w:rsidRPr="00D40426">
        <w:rPr>
          <w:rFonts w:ascii="Times New Roman" w:eastAsia="MS PGothic" w:hAnsi="Times New Roman"/>
          <w:bCs/>
          <w:i/>
          <w:iCs/>
          <w:sz w:val="20"/>
          <w:lang w:val="en-US" w:eastAsia="ko-KR"/>
        </w:rPr>
        <w:t xml:space="preserve"> E-Mail: </w:t>
      </w:r>
      <w:hyperlink r:id="rId7" w:history="1">
        <w:r w:rsidR="00D40426" w:rsidRPr="004A5CF8">
          <w:rPr>
            <w:rStyle w:val="Collegamentoipertestuale"/>
            <w:rFonts w:ascii="Times New Roman" w:eastAsia="MS PGothic" w:hAnsi="Times New Roman"/>
            <w:bCs/>
            <w:i/>
            <w:iCs/>
            <w:sz w:val="20"/>
            <w:lang w:val="en-US"/>
          </w:rPr>
          <w:t>fabio.montagnaro@unina.it</w:t>
        </w:r>
      </w:hyperlink>
      <w:r w:rsidR="00D40426">
        <w:rPr>
          <w:rFonts w:ascii="Times New Roman" w:eastAsia="MS PGothic" w:hAnsi="Times New Roman"/>
          <w:bCs/>
          <w:i/>
          <w:iCs/>
          <w:sz w:val="20"/>
          <w:lang w:val="en-US"/>
        </w:rPr>
        <w:t xml:space="preserve"> </w:t>
      </w:r>
    </w:p>
    <w:p w14:paraId="28AD07A8" w14:textId="77777777" w:rsidR="00DA51A3" w:rsidRPr="00D40426" w:rsidRDefault="00DA51A3" w:rsidP="00DA51A3">
      <w:pPr>
        <w:snapToGrid w:val="0"/>
        <w:spacing w:after="120"/>
        <w:jc w:val="center"/>
        <w:rPr>
          <w:rFonts w:ascii="Times New Roman" w:eastAsia="SimSun" w:hAnsi="Times New Roman"/>
          <w:bCs/>
          <w:i/>
          <w:iCs/>
          <w:sz w:val="20"/>
          <w:lang w:val="en-US" w:eastAsia="zh-CN"/>
        </w:rPr>
      </w:pPr>
    </w:p>
    <w:p w14:paraId="110B92B3" w14:textId="30367AFC"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D40426">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300344C3" w14:textId="094DEB38" w:rsidR="00DA51A3" w:rsidRPr="00D40426" w:rsidRDefault="00D40426" w:rsidP="003C06F1">
      <w:pPr>
        <w:snapToGrid w:val="0"/>
        <w:spacing w:after="120"/>
        <w:jc w:val="both"/>
        <w:rPr>
          <w:rFonts w:ascii="Times New Roman" w:eastAsia="MS PGothic" w:hAnsi="Times New Roman"/>
          <w:lang w:val="en-US"/>
        </w:rPr>
      </w:pPr>
      <w:r w:rsidRPr="00D40426">
        <w:rPr>
          <w:rFonts w:ascii="Times New Roman" w:eastAsia="MS PGothic" w:hAnsi="Times New Roman"/>
          <w:lang w:val="en-US"/>
        </w:rPr>
        <w:t>Sorption-Enhanced Gasification (SEG) is a promising technology that can be based, Figure 1, on the use of Ca-based sorbents (like limestone) to selectively remove CO</w:t>
      </w:r>
      <w:r w:rsidRPr="00D40426">
        <w:rPr>
          <w:rFonts w:ascii="Times New Roman" w:eastAsia="MS PGothic" w:hAnsi="Times New Roman"/>
          <w:vertAlign w:val="subscript"/>
          <w:lang w:val="en-US"/>
        </w:rPr>
        <w:t>2</w:t>
      </w:r>
      <w:r w:rsidRPr="00D40426">
        <w:rPr>
          <w:rFonts w:ascii="Times New Roman" w:eastAsia="MS PGothic" w:hAnsi="Times New Roman"/>
          <w:lang w:val="en-US"/>
        </w:rPr>
        <w:t xml:space="preserve"> from the gasification environment for production of a hydrogen rich syngas [1–</w:t>
      </w:r>
      <w:r w:rsidR="00D90269">
        <w:rPr>
          <w:rFonts w:ascii="Times New Roman" w:eastAsia="MS PGothic" w:hAnsi="Times New Roman"/>
          <w:lang w:val="en-US"/>
        </w:rPr>
        <w:t>3</w:t>
      </w:r>
      <w:r w:rsidRPr="00D40426">
        <w:rPr>
          <w:rFonts w:ascii="Times New Roman" w:eastAsia="MS PGothic" w:hAnsi="Times New Roman"/>
          <w:lang w:val="en-US"/>
        </w:rPr>
        <w:t>]. The SEG process benefits from the extensive understanding of the “calcium looping” process, a post-combustion technique aimed at removing CO</w:t>
      </w:r>
      <w:r w:rsidRPr="00D40426">
        <w:rPr>
          <w:rFonts w:ascii="Times New Roman" w:eastAsia="MS PGothic" w:hAnsi="Times New Roman"/>
          <w:vertAlign w:val="subscript"/>
          <w:lang w:val="en-US"/>
        </w:rPr>
        <w:t>2</w:t>
      </w:r>
      <w:r w:rsidRPr="00D40426">
        <w:rPr>
          <w:rFonts w:ascii="Times New Roman" w:eastAsia="MS PGothic" w:hAnsi="Times New Roman"/>
          <w:lang w:val="en-US"/>
        </w:rPr>
        <w:t xml:space="preserve"> from combustion flue gas [</w:t>
      </w:r>
      <w:r w:rsidR="00D90269">
        <w:rPr>
          <w:rFonts w:ascii="Times New Roman" w:eastAsia="MS PGothic" w:hAnsi="Times New Roman"/>
          <w:lang w:val="en-US"/>
        </w:rPr>
        <w:t>4</w:t>
      </w:r>
      <w:r w:rsidRPr="00D40426">
        <w:rPr>
          <w:rFonts w:ascii="Times New Roman" w:eastAsia="MS PGothic" w:hAnsi="Times New Roman"/>
          <w:lang w:val="en-US"/>
        </w:rPr>
        <w:t>–</w:t>
      </w:r>
      <w:r w:rsidR="00D90269">
        <w:rPr>
          <w:rFonts w:ascii="Times New Roman" w:eastAsia="MS PGothic" w:hAnsi="Times New Roman"/>
          <w:lang w:val="en-US"/>
        </w:rPr>
        <w:t>6</w:t>
      </w:r>
      <w:r w:rsidRPr="00D40426">
        <w:rPr>
          <w:rFonts w:ascii="Times New Roman" w:eastAsia="MS PGothic" w:hAnsi="Times New Roman"/>
          <w:lang w:val="en-US"/>
        </w:rPr>
        <w:t>]. Calcium looping is most typically carried out in a Dual Interconnected Fluidised Bed (DIFB) reactor system, where the Ca-based sorbent is cycled between a carbonator, where it captures CO</w:t>
      </w:r>
      <w:r w:rsidRPr="00D40426">
        <w:rPr>
          <w:rFonts w:ascii="Times New Roman" w:eastAsia="MS PGothic" w:hAnsi="Times New Roman"/>
          <w:vertAlign w:val="subscript"/>
          <w:lang w:val="en-US"/>
        </w:rPr>
        <w:t>2</w:t>
      </w:r>
      <w:r w:rsidRPr="00D40426">
        <w:rPr>
          <w:rFonts w:ascii="Times New Roman" w:eastAsia="MS PGothic" w:hAnsi="Times New Roman"/>
          <w:lang w:val="en-US"/>
        </w:rPr>
        <w:t xml:space="preserve"> from flue gas, and a calciner where the sorbent releases CO</w:t>
      </w:r>
      <w:r w:rsidRPr="00D40426">
        <w:rPr>
          <w:rFonts w:ascii="Times New Roman" w:eastAsia="MS PGothic" w:hAnsi="Times New Roman"/>
          <w:vertAlign w:val="subscript"/>
          <w:lang w:val="en-US"/>
        </w:rPr>
        <w:t>2</w:t>
      </w:r>
      <w:r w:rsidRPr="00D40426">
        <w:rPr>
          <w:rFonts w:ascii="Times New Roman" w:eastAsia="MS PGothic" w:hAnsi="Times New Roman"/>
          <w:lang w:val="en-US"/>
        </w:rPr>
        <w:t xml:space="preserve"> and is regenerated for another cycle. Design of sorbent looping processes in DIFB reactors must consider: 1) sorbent deactivation (i.e., decay of CO</w:t>
      </w:r>
      <w:r w:rsidRPr="00D40426">
        <w:rPr>
          <w:rFonts w:ascii="Times New Roman" w:eastAsia="MS PGothic" w:hAnsi="Times New Roman"/>
          <w:vertAlign w:val="subscript"/>
          <w:lang w:val="en-US"/>
        </w:rPr>
        <w:t xml:space="preserve">2 </w:t>
      </w:r>
      <w:r w:rsidRPr="00D40426">
        <w:rPr>
          <w:rFonts w:ascii="Times New Roman" w:eastAsia="MS PGothic" w:hAnsi="Times New Roman"/>
          <w:lang w:val="en-US"/>
        </w:rPr>
        <w:t>capture performance) over repeated cycling; 2) loss of sorbent material due to elutriation, that may be enhanced by attrition and fragmentation. The aim of this study was to investigate the performance of six different commercial limestones in terms of sorbent performance and attrition/fragmentation tendency under simulated SEG conditions.</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11AA6CF5" w:rsidR="00DA51A3" w:rsidRPr="00466FFD" w:rsidRDefault="00D40426" w:rsidP="003C06F1">
      <w:pPr>
        <w:snapToGrid w:val="0"/>
        <w:spacing w:after="120"/>
        <w:jc w:val="both"/>
        <w:rPr>
          <w:rFonts w:ascii="Times New Roman" w:eastAsia="MS PGothic" w:hAnsi="Times New Roman"/>
          <w:i/>
          <w:lang w:val="en-US"/>
        </w:rPr>
      </w:pPr>
      <w:r w:rsidRPr="00D40426">
        <w:rPr>
          <w:rFonts w:ascii="Times New Roman" w:eastAsia="MS PGothic" w:hAnsi="Times New Roman"/>
          <w:lang w:val="en-US"/>
        </w:rPr>
        <w:t>The experimental campaign was carried out in a batch-operated lab-scale DIFB reactor, electrically heated. The six sorbents were different limestones coming from different parts of Europe. A synthetic gas including air, CO</w:t>
      </w:r>
      <w:r w:rsidRPr="00D40426">
        <w:rPr>
          <w:rFonts w:ascii="Times New Roman" w:eastAsia="MS PGothic" w:hAnsi="Times New Roman"/>
          <w:vertAlign w:val="subscript"/>
          <w:lang w:val="en-US"/>
        </w:rPr>
        <w:t>2</w:t>
      </w:r>
      <w:r w:rsidRPr="00D40426">
        <w:rPr>
          <w:rFonts w:ascii="Times New Roman" w:eastAsia="MS PGothic" w:hAnsi="Times New Roman"/>
          <w:lang w:val="en-US"/>
        </w:rPr>
        <w:t xml:space="preserve"> and N</w:t>
      </w:r>
      <w:r w:rsidRPr="00D40426">
        <w:rPr>
          <w:rFonts w:ascii="Times New Roman" w:eastAsia="MS PGothic" w:hAnsi="Times New Roman"/>
          <w:vertAlign w:val="subscript"/>
          <w:lang w:val="en-US"/>
        </w:rPr>
        <w:t>2</w:t>
      </w:r>
      <w:r w:rsidRPr="00D40426">
        <w:rPr>
          <w:rFonts w:ascii="Times New Roman" w:eastAsia="MS PGothic" w:hAnsi="Times New Roman"/>
          <w:lang w:val="en-US"/>
        </w:rPr>
        <w:t xml:space="preserve">, was used to simulate SEG conditions. A “test” consisted </w:t>
      </w:r>
      <w:r w:rsidRPr="00D40426">
        <w:rPr>
          <w:rFonts w:ascii="Times New Roman" w:eastAsia="MS PGothic" w:hAnsi="Times New Roman"/>
          <w:lang w:val="en-GB"/>
        </w:rPr>
        <w:t>of ten complete cycles of calcination/carbonation. Calcination was performed at 850°C fluidising the bed with a stream of 10% CO</w:t>
      </w:r>
      <w:r w:rsidRPr="00D40426">
        <w:rPr>
          <w:rFonts w:ascii="Times New Roman" w:eastAsia="MS PGothic" w:hAnsi="Times New Roman"/>
          <w:vertAlign w:val="subscript"/>
          <w:lang w:val="en-GB"/>
        </w:rPr>
        <w:t>2</w:t>
      </w:r>
      <w:r w:rsidRPr="00D40426">
        <w:rPr>
          <w:rFonts w:ascii="Times New Roman" w:eastAsia="MS PGothic" w:hAnsi="Times New Roman"/>
          <w:lang w:val="en-GB"/>
        </w:rPr>
        <w:t xml:space="preserve"> (balance air) so as to simulate oxidising conditions typical of the combustor-calciner. In the carbonation stage, the temperature was kept at 650°C and the CO</w:t>
      </w:r>
      <w:r w:rsidRPr="00D40426">
        <w:rPr>
          <w:rFonts w:ascii="Times New Roman" w:eastAsia="MS PGothic" w:hAnsi="Times New Roman"/>
          <w:vertAlign w:val="subscript"/>
          <w:lang w:val="en-GB"/>
        </w:rPr>
        <w:t xml:space="preserve">2 </w:t>
      </w:r>
      <w:r w:rsidRPr="00D40426">
        <w:rPr>
          <w:rFonts w:ascii="Times New Roman" w:eastAsia="MS PGothic" w:hAnsi="Times New Roman"/>
          <w:lang w:val="en-GB"/>
        </w:rPr>
        <w:t>concentration was set at 10% (balance nitrogen) to account for reducing conditions typical of the gasifier-carbonator.</w:t>
      </w:r>
      <w:r>
        <w:rPr>
          <w:rFonts w:ascii="Times New Roman" w:eastAsia="MS PGothic" w:hAnsi="Times New Roman"/>
          <w:lang w:val="en-GB"/>
        </w:rPr>
        <w:t xml:space="preserve"> </w:t>
      </w:r>
      <w:r w:rsidR="003C06F1">
        <w:rPr>
          <w:rFonts w:ascii="Times New Roman" w:eastAsia="MS PGothic" w:hAnsi="Times New Roman"/>
          <w:lang w:val="en-GB"/>
        </w:rPr>
        <w:t xml:space="preserve">Operating conditions are summarised in Table 1. </w:t>
      </w:r>
      <w:r w:rsidRPr="00D40426">
        <w:rPr>
          <w:rFonts w:ascii="Times New Roman" w:eastAsia="MS PGothic" w:hAnsi="Times New Roman"/>
          <w:lang w:val="en-GB"/>
        </w:rPr>
        <w:t>During each carbonation stage, the CO</w:t>
      </w:r>
      <w:r w:rsidRPr="00D40426">
        <w:rPr>
          <w:rFonts w:ascii="Times New Roman" w:eastAsia="MS PGothic" w:hAnsi="Times New Roman"/>
          <w:vertAlign w:val="subscript"/>
          <w:lang w:val="en-GB"/>
        </w:rPr>
        <w:t>2</w:t>
      </w:r>
      <w:r w:rsidRPr="00D40426">
        <w:rPr>
          <w:rFonts w:ascii="Times New Roman" w:eastAsia="MS PGothic" w:hAnsi="Times New Roman"/>
          <w:lang w:val="en-GB"/>
        </w:rPr>
        <w:t xml:space="preserve"> concentration at the exhaust was continuously monitored to calculate the CO</w:t>
      </w:r>
      <w:r w:rsidRPr="00D40426">
        <w:rPr>
          <w:rFonts w:ascii="Times New Roman" w:eastAsia="MS PGothic" w:hAnsi="Times New Roman"/>
          <w:vertAlign w:val="subscript"/>
          <w:lang w:val="en-GB"/>
        </w:rPr>
        <w:t>2</w:t>
      </w:r>
      <w:r w:rsidRPr="00D40426">
        <w:rPr>
          <w:rFonts w:ascii="Times New Roman" w:eastAsia="MS PGothic" w:hAnsi="Times New Roman"/>
          <w:lang w:val="en-GB"/>
        </w:rPr>
        <w:t xml:space="preserve"> specific capture performance. The sorbent attrition rate was determined by working out the mass of fines elutriated at the exhaust and collected in the filters, for each calcination and carbonation stage. After a test, each exhaust sorbent sample was sieve-analysed to obtain the particle size distribution and the fraction of generated fragments.</w:t>
      </w:r>
    </w:p>
    <w:p w14:paraId="0528A46E" w14:textId="0602DD55"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w:t>
      </w:r>
      <w:r w:rsidR="00D40426">
        <w:rPr>
          <w:rFonts w:ascii="Times New Roman" w:eastAsia="MS PGothic" w:hAnsi="Times New Roman"/>
          <w:b/>
          <w:bCs/>
          <w:lang w:val="en-US"/>
        </w:rPr>
        <w:t xml:space="preserve">, </w:t>
      </w:r>
      <w:r w:rsidRPr="00466FFD">
        <w:rPr>
          <w:rFonts w:ascii="Times New Roman" w:eastAsia="MS PGothic" w:hAnsi="Times New Roman"/>
          <w:b/>
          <w:bCs/>
          <w:lang w:val="en-US"/>
        </w:rPr>
        <w:t>discussion</w:t>
      </w:r>
      <w:r w:rsidR="00D40426">
        <w:rPr>
          <w:rFonts w:ascii="Times New Roman" w:eastAsia="MS PGothic" w:hAnsi="Times New Roman"/>
          <w:b/>
          <w:bCs/>
          <w:lang w:val="en-US"/>
        </w:rPr>
        <w:t xml:space="preserve"> and concluding remarks</w:t>
      </w:r>
    </w:p>
    <w:p w14:paraId="0338B8BA" w14:textId="013DE3ED" w:rsidR="00DA51A3" w:rsidRDefault="00D40426" w:rsidP="003C06F1">
      <w:pPr>
        <w:snapToGrid w:val="0"/>
        <w:spacing w:after="120"/>
        <w:jc w:val="both"/>
        <w:rPr>
          <w:rFonts w:ascii="Times New Roman" w:eastAsia="MS PGothic" w:hAnsi="Times New Roman"/>
          <w:bCs/>
          <w:lang w:val="en-GB"/>
        </w:rPr>
      </w:pPr>
      <w:r w:rsidRPr="00D40426">
        <w:rPr>
          <w:rFonts w:ascii="Times New Roman" w:eastAsia="MS PGothic" w:hAnsi="Times New Roman"/>
          <w:bCs/>
          <w:lang w:val="en-GB"/>
        </w:rPr>
        <w:t>The preliminary characterisation of the six sorbents presented in this abstract shows that three of them (termed EBW, CZA and SAR) have good CO</w:t>
      </w:r>
      <w:r w:rsidRPr="00D40426">
        <w:rPr>
          <w:rFonts w:ascii="Times New Roman" w:eastAsia="MS PGothic" w:hAnsi="Times New Roman"/>
          <w:bCs/>
          <w:vertAlign w:val="subscript"/>
          <w:lang w:val="en-GB"/>
        </w:rPr>
        <w:t>2</w:t>
      </w:r>
      <w:r w:rsidRPr="00D40426">
        <w:rPr>
          <w:rFonts w:ascii="Times New Roman" w:eastAsia="MS PGothic" w:hAnsi="Times New Roman"/>
          <w:bCs/>
          <w:lang w:val="en-GB"/>
        </w:rPr>
        <w:t xml:space="preserve"> capture performance</w:t>
      </w:r>
      <w:r>
        <w:rPr>
          <w:rFonts w:ascii="Times New Roman" w:eastAsia="MS PGothic" w:hAnsi="Times New Roman"/>
          <w:bCs/>
          <w:lang w:val="en-GB"/>
        </w:rPr>
        <w:t xml:space="preserve"> (Figure 2)</w:t>
      </w:r>
      <w:r w:rsidRPr="00D40426">
        <w:rPr>
          <w:rFonts w:ascii="Times New Roman" w:eastAsia="MS PGothic" w:hAnsi="Times New Roman"/>
          <w:bCs/>
          <w:lang w:val="en-GB"/>
        </w:rPr>
        <w:t>, coupled with a limited production of both in-bed fragments and elutriable fines, while the sorbent named TAR is the worst in terms of the three features listed above. While results here presented can be useful for the determination of the make-up of fresh sorbent required for steady operation, and for optimal design and operation of sorption-enhanced gasification, further work is currently being carried out and concerns: i) the morphological (via SEM analyses) and porosimetric characterisation of the samples, in order to explain the features observed here; ii) the study of the impact fragmentation tendency of these sorbents, under a variety of impact velocity conditions.</w:t>
      </w:r>
    </w:p>
    <w:p w14:paraId="3E5DB385" w14:textId="2BBCC68B" w:rsidR="003C06F1" w:rsidRDefault="003C06F1" w:rsidP="00D40426">
      <w:pPr>
        <w:snapToGrid w:val="0"/>
        <w:spacing w:after="120"/>
        <w:jc w:val="both"/>
        <w:rPr>
          <w:rFonts w:ascii="Times New Roman" w:eastAsia="MS PGothic" w:hAnsi="Times New Roman"/>
          <w:bCs/>
          <w:lang w:val="en-GB"/>
        </w:rPr>
      </w:pPr>
    </w:p>
    <w:p w14:paraId="04197D8B" w14:textId="3783E9AC" w:rsidR="003C06F1" w:rsidRDefault="003C06F1" w:rsidP="003C06F1">
      <w:pPr>
        <w:snapToGrid w:val="0"/>
        <w:spacing w:after="120"/>
        <w:jc w:val="center"/>
        <w:rPr>
          <w:rFonts w:ascii="Times New Roman" w:eastAsia="MS PGothic" w:hAnsi="Times New Roman"/>
          <w:bCs/>
          <w:lang w:val="en-GB"/>
        </w:rPr>
      </w:pPr>
      <w:r>
        <w:rPr>
          <w:rFonts w:ascii="Times New Roman" w:eastAsia="MS PGothic" w:hAnsi="Times New Roman"/>
          <w:b/>
          <w:szCs w:val="18"/>
          <w:lang w:val="en-US"/>
        </w:rPr>
        <w:t>Table</w:t>
      </w:r>
      <w:r w:rsidRPr="00466FFD">
        <w:rPr>
          <w:rFonts w:ascii="Times New Roman" w:eastAsia="MS PGothic" w:hAnsi="Times New Roman"/>
          <w:b/>
          <w:szCs w:val="18"/>
          <w:lang w:val="en-US"/>
        </w:rPr>
        <w:t xml:space="preserv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Pr>
          <w:rFonts w:ascii="Times New Roman" w:eastAsia="MS PGothic" w:hAnsi="Times New Roman"/>
          <w:szCs w:val="18"/>
          <w:lang w:val="en-US"/>
        </w:rPr>
        <w:t>Main operating conditions for simulated SEG tests.</w:t>
      </w:r>
    </w:p>
    <w:tbl>
      <w:tblPr>
        <w:tblStyle w:val="Grigliatabella"/>
        <w:tblW w:w="0" w:type="auto"/>
        <w:jc w:val="center"/>
        <w:tblLook w:val="04A0" w:firstRow="1" w:lastRow="0" w:firstColumn="1" w:lastColumn="0" w:noHBand="0" w:noVBand="1"/>
      </w:tblPr>
      <w:tblGrid>
        <w:gridCol w:w="1488"/>
        <w:gridCol w:w="1697"/>
        <w:gridCol w:w="1468"/>
        <w:gridCol w:w="1470"/>
        <w:gridCol w:w="1483"/>
      </w:tblGrid>
      <w:tr w:rsidR="003C06F1" w14:paraId="371DBEFE" w14:textId="77777777" w:rsidTr="00F34097">
        <w:trPr>
          <w:jc w:val="center"/>
        </w:trPr>
        <w:tc>
          <w:tcPr>
            <w:tcW w:w="1488" w:type="dxa"/>
            <w:vAlign w:val="center"/>
          </w:tcPr>
          <w:p w14:paraId="2DBA595F" w14:textId="77777777" w:rsidR="003C06F1" w:rsidRDefault="003C06F1" w:rsidP="00F34097">
            <w:pPr>
              <w:jc w:val="center"/>
              <w:rPr>
                <w:rFonts w:cs="Arial"/>
                <w:szCs w:val="20"/>
              </w:rPr>
            </w:pPr>
          </w:p>
        </w:tc>
        <w:tc>
          <w:tcPr>
            <w:tcW w:w="1697" w:type="dxa"/>
            <w:vAlign w:val="center"/>
          </w:tcPr>
          <w:p w14:paraId="61036129" w14:textId="77777777" w:rsidR="003C06F1" w:rsidRDefault="003C06F1" w:rsidP="00F34097">
            <w:pPr>
              <w:jc w:val="center"/>
              <w:rPr>
                <w:rFonts w:cs="Arial"/>
                <w:szCs w:val="20"/>
              </w:rPr>
            </w:pPr>
            <w:proofErr w:type="spellStart"/>
            <w:r>
              <w:rPr>
                <w:rFonts w:cs="Arial"/>
                <w:szCs w:val="20"/>
              </w:rPr>
              <w:t>Temperature</w:t>
            </w:r>
            <w:proofErr w:type="spellEnd"/>
            <w:r>
              <w:rPr>
                <w:rFonts w:cs="Arial"/>
                <w:szCs w:val="20"/>
              </w:rPr>
              <w:t>, °C</w:t>
            </w:r>
          </w:p>
        </w:tc>
        <w:tc>
          <w:tcPr>
            <w:tcW w:w="1468" w:type="dxa"/>
            <w:vAlign w:val="center"/>
          </w:tcPr>
          <w:p w14:paraId="59B33EF4" w14:textId="77777777" w:rsidR="003C06F1" w:rsidRDefault="003C06F1" w:rsidP="00F34097">
            <w:pPr>
              <w:jc w:val="center"/>
              <w:rPr>
                <w:rFonts w:cs="Arial"/>
                <w:szCs w:val="20"/>
              </w:rPr>
            </w:pPr>
            <w:r>
              <w:rPr>
                <w:rFonts w:cs="Arial"/>
                <w:szCs w:val="20"/>
              </w:rPr>
              <w:t>Duration, min</w:t>
            </w:r>
          </w:p>
        </w:tc>
        <w:tc>
          <w:tcPr>
            <w:tcW w:w="1470" w:type="dxa"/>
            <w:vAlign w:val="center"/>
          </w:tcPr>
          <w:p w14:paraId="4C830768" w14:textId="77777777" w:rsidR="003C06F1" w:rsidRDefault="003C06F1" w:rsidP="00F34097">
            <w:pPr>
              <w:jc w:val="center"/>
              <w:rPr>
                <w:rFonts w:cs="Arial"/>
                <w:szCs w:val="20"/>
              </w:rPr>
            </w:pPr>
            <w:r>
              <w:rPr>
                <w:rFonts w:cs="Arial"/>
                <w:szCs w:val="20"/>
              </w:rPr>
              <w:t>%vol. CO</w:t>
            </w:r>
            <w:r w:rsidRPr="005909B1">
              <w:rPr>
                <w:rFonts w:cs="Arial"/>
                <w:szCs w:val="20"/>
                <w:vertAlign w:val="subscript"/>
              </w:rPr>
              <w:t>2</w:t>
            </w:r>
            <w:r>
              <w:rPr>
                <w:rFonts w:cs="Arial"/>
                <w:szCs w:val="20"/>
              </w:rPr>
              <w:t xml:space="preserve"> (</w:t>
            </w:r>
            <w:proofErr w:type="spellStart"/>
            <w:r>
              <w:rPr>
                <w:rFonts w:cs="Arial"/>
                <w:szCs w:val="20"/>
              </w:rPr>
              <w:t>balance</w:t>
            </w:r>
            <w:proofErr w:type="spellEnd"/>
            <w:r>
              <w:rPr>
                <w:rFonts w:cs="Arial"/>
                <w:szCs w:val="20"/>
              </w:rPr>
              <w:t>)</w:t>
            </w:r>
          </w:p>
        </w:tc>
        <w:tc>
          <w:tcPr>
            <w:tcW w:w="1483" w:type="dxa"/>
            <w:vAlign w:val="center"/>
          </w:tcPr>
          <w:p w14:paraId="59C008C8" w14:textId="77777777" w:rsidR="003C06F1" w:rsidRDefault="003C06F1" w:rsidP="00F34097">
            <w:pPr>
              <w:jc w:val="center"/>
              <w:rPr>
                <w:rFonts w:cs="Arial"/>
                <w:szCs w:val="20"/>
              </w:rPr>
            </w:pPr>
            <w:r>
              <w:rPr>
                <w:rFonts w:cs="Arial"/>
                <w:szCs w:val="20"/>
              </w:rPr>
              <w:t>Fluidisation velocity, m/s</w:t>
            </w:r>
          </w:p>
        </w:tc>
      </w:tr>
      <w:tr w:rsidR="003C06F1" w14:paraId="261977EB" w14:textId="77777777" w:rsidTr="00F34097">
        <w:trPr>
          <w:jc w:val="center"/>
        </w:trPr>
        <w:tc>
          <w:tcPr>
            <w:tcW w:w="1488" w:type="dxa"/>
            <w:vAlign w:val="center"/>
          </w:tcPr>
          <w:p w14:paraId="0B34E40D" w14:textId="77777777" w:rsidR="003C06F1" w:rsidRDefault="003C06F1" w:rsidP="00F34097">
            <w:pPr>
              <w:jc w:val="center"/>
              <w:rPr>
                <w:rFonts w:cs="Arial"/>
                <w:szCs w:val="20"/>
              </w:rPr>
            </w:pPr>
            <w:r>
              <w:rPr>
                <w:rFonts w:cs="Arial"/>
                <w:szCs w:val="20"/>
              </w:rPr>
              <w:t>Calcination</w:t>
            </w:r>
          </w:p>
        </w:tc>
        <w:tc>
          <w:tcPr>
            <w:tcW w:w="1697" w:type="dxa"/>
            <w:vAlign w:val="center"/>
          </w:tcPr>
          <w:p w14:paraId="071D8F08" w14:textId="77777777" w:rsidR="003C06F1" w:rsidRDefault="003C06F1" w:rsidP="00F34097">
            <w:pPr>
              <w:jc w:val="center"/>
              <w:rPr>
                <w:rFonts w:cs="Arial"/>
                <w:szCs w:val="20"/>
              </w:rPr>
            </w:pPr>
            <w:r>
              <w:rPr>
                <w:rFonts w:cs="Arial"/>
                <w:szCs w:val="20"/>
              </w:rPr>
              <w:t>850</w:t>
            </w:r>
          </w:p>
        </w:tc>
        <w:tc>
          <w:tcPr>
            <w:tcW w:w="1468" w:type="dxa"/>
            <w:vMerge w:val="restart"/>
            <w:vAlign w:val="center"/>
          </w:tcPr>
          <w:p w14:paraId="1404E440" w14:textId="77777777" w:rsidR="003C06F1" w:rsidRDefault="003C06F1" w:rsidP="00F34097">
            <w:pPr>
              <w:jc w:val="center"/>
              <w:rPr>
                <w:rFonts w:cs="Arial"/>
                <w:szCs w:val="20"/>
              </w:rPr>
            </w:pPr>
            <w:r>
              <w:rPr>
                <w:rFonts w:cs="Arial"/>
                <w:szCs w:val="20"/>
              </w:rPr>
              <w:t>10</w:t>
            </w:r>
          </w:p>
        </w:tc>
        <w:tc>
          <w:tcPr>
            <w:tcW w:w="1470" w:type="dxa"/>
            <w:vAlign w:val="center"/>
          </w:tcPr>
          <w:p w14:paraId="1AB52386" w14:textId="77777777" w:rsidR="003C06F1" w:rsidRDefault="003C06F1" w:rsidP="00F34097">
            <w:pPr>
              <w:jc w:val="center"/>
              <w:rPr>
                <w:rFonts w:cs="Arial"/>
                <w:szCs w:val="20"/>
              </w:rPr>
            </w:pPr>
            <w:r>
              <w:rPr>
                <w:rFonts w:cs="Arial"/>
                <w:szCs w:val="20"/>
              </w:rPr>
              <w:t>10 (air)</w:t>
            </w:r>
          </w:p>
        </w:tc>
        <w:tc>
          <w:tcPr>
            <w:tcW w:w="1483" w:type="dxa"/>
            <w:vMerge w:val="restart"/>
            <w:vAlign w:val="center"/>
          </w:tcPr>
          <w:p w14:paraId="32208EF7" w14:textId="77777777" w:rsidR="003C06F1" w:rsidRDefault="003C06F1" w:rsidP="00F34097">
            <w:pPr>
              <w:jc w:val="center"/>
              <w:rPr>
                <w:rFonts w:cs="Arial"/>
                <w:szCs w:val="20"/>
              </w:rPr>
            </w:pPr>
            <w:r>
              <w:rPr>
                <w:rFonts w:cs="Arial"/>
                <w:szCs w:val="20"/>
              </w:rPr>
              <w:t>0.5</w:t>
            </w:r>
          </w:p>
        </w:tc>
      </w:tr>
      <w:tr w:rsidR="003C06F1" w14:paraId="57C37A76" w14:textId="77777777" w:rsidTr="00F34097">
        <w:trPr>
          <w:jc w:val="center"/>
        </w:trPr>
        <w:tc>
          <w:tcPr>
            <w:tcW w:w="1488" w:type="dxa"/>
            <w:vAlign w:val="center"/>
          </w:tcPr>
          <w:p w14:paraId="3A1A3236" w14:textId="77777777" w:rsidR="003C06F1" w:rsidRDefault="003C06F1" w:rsidP="00F34097">
            <w:pPr>
              <w:jc w:val="center"/>
              <w:rPr>
                <w:rFonts w:cs="Arial"/>
                <w:szCs w:val="20"/>
              </w:rPr>
            </w:pPr>
            <w:r>
              <w:rPr>
                <w:rFonts w:cs="Arial"/>
                <w:szCs w:val="20"/>
              </w:rPr>
              <w:t>Carbonation</w:t>
            </w:r>
          </w:p>
        </w:tc>
        <w:tc>
          <w:tcPr>
            <w:tcW w:w="1697" w:type="dxa"/>
            <w:vAlign w:val="center"/>
          </w:tcPr>
          <w:p w14:paraId="1A05122B" w14:textId="77777777" w:rsidR="003C06F1" w:rsidRDefault="003C06F1" w:rsidP="00F34097">
            <w:pPr>
              <w:jc w:val="center"/>
              <w:rPr>
                <w:rFonts w:cs="Arial"/>
                <w:szCs w:val="20"/>
              </w:rPr>
            </w:pPr>
            <w:r>
              <w:rPr>
                <w:rFonts w:cs="Arial"/>
                <w:szCs w:val="20"/>
              </w:rPr>
              <w:t>650</w:t>
            </w:r>
          </w:p>
        </w:tc>
        <w:tc>
          <w:tcPr>
            <w:tcW w:w="1468" w:type="dxa"/>
            <w:vMerge/>
            <w:vAlign w:val="center"/>
          </w:tcPr>
          <w:p w14:paraId="4F96B936" w14:textId="77777777" w:rsidR="003C06F1" w:rsidRDefault="003C06F1" w:rsidP="00F34097">
            <w:pPr>
              <w:jc w:val="center"/>
              <w:rPr>
                <w:rFonts w:cs="Arial"/>
                <w:szCs w:val="20"/>
              </w:rPr>
            </w:pPr>
          </w:p>
        </w:tc>
        <w:tc>
          <w:tcPr>
            <w:tcW w:w="1470" w:type="dxa"/>
            <w:vAlign w:val="center"/>
          </w:tcPr>
          <w:p w14:paraId="644C324B" w14:textId="77777777" w:rsidR="003C06F1" w:rsidRDefault="003C06F1" w:rsidP="00F34097">
            <w:pPr>
              <w:jc w:val="center"/>
              <w:rPr>
                <w:rFonts w:cs="Arial"/>
                <w:szCs w:val="20"/>
              </w:rPr>
            </w:pPr>
            <w:r>
              <w:rPr>
                <w:rFonts w:cs="Arial"/>
                <w:szCs w:val="20"/>
              </w:rPr>
              <w:t>10 (N</w:t>
            </w:r>
            <w:r w:rsidRPr="008B3860">
              <w:rPr>
                <w:rFonts w:cs="Arial"/>
                <w:szCs w:val="20"/>
                <w:vertAlign w:val="subscript"/>
              </w:rPr>
              <w:t>2</w:t>
            </w:r>
            <w:r>
              <w:rPr>
                <w:rFonts w:cs="Arial"/>
                <w:szCs w:val="20"/>
              </w:rPr>
              <w:t>)</w:t>
            </w:r>
          </w:p>
        </w:tc>
        <w:tc>
          <w:tcPr>
            <w:tcW w:w="1483" w:type="dxa"/>
            <w:vMerge/>
            <w:vAlign w:val="center"/>
          </w:tcPr>
          <w:p w14:paraId="5A3253BE" w14:textId="77777777" w:rsidR="003C06F1" w:rsidRDefault="003C06F1" w:rsidP="00F34097">
            <w:pPr>
              <w:jc w:val="center"/>
              <w:rPr>
                <w:rFonts w:cs="Arial"/>
                <w:szCs w:val="20"/>
              </w:rPr>
            </w:pPr>
          </w:p>
        </w:tc>
      </w:tr>
    </w:tbl>
    <w:p w14:paraId="203F0BF4" w14:textId="77777777" w:rsidR="003C06F1" w:rsidRPr="00D40426" w:rsidRDefault="003C06F1" w:rsidP="00D40426">
      <w:pPr>
        <w:snapToGrid w:val="0"/>
        <w:spacing w:after="120"/>
        <w:jc w:val="both"/>
        <w:rPr>
          <w:rFonts w:ascii="Times New Roman" w:eastAsia="MS PGothic" w:hAnsi="Times New Roman"/>
          <w:lang w:val="en-US"/>
        </w:rPr>
      </w:pPr>
    </w:p>
    <w:p w14:paraId="321363DB" w14:textId="56D982B6" w:rsidR="00DA51A3" w:rsidRPr="00466FFD" w:rsidRDefault="00D40426" w:rsidP="00DA51A3">
      <w:pPr>
        <w:snapToGrid w:val="0"/>
        <w:spacing w:after="120"/>
        <w:jc w:val="center"/>
        <w:rPr>
          <w:rFonts w:ascii="Times New Roman" w:eastAsia="MS PGothic" w:hAnsi="Times New Roman"/>
        </w:rPr>
      </w:pPr>
      <w:r w:rsidRPr="00884891">
        <w:rPr>
          <w:noProof/>
          <w:lang w:eastAsia="it-IT"/>
        </w:rPr>
        <w:drawing>
          <wp:inline distT="0" distB="0" distL="0" distR="0" wp14:anchorId="71786917" wp14:editId="3364838E">
            <wp:extent cx="5575935" cy="136155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5935" cy="1361551"/>
                    </a:xfrm>
                    <a:prstGeom prst="rect">
                      <a:avLst/>
                    </a:prstGeom>
                  </pic:spPr>
                </pic:pic>
              </a:graphicData>
            </a:graphic>
          </wp:inline>
        </w:drawing>
      </w:r>
    </w:p>
    <w:p w14:paraId="2CEA8973" w14:textId="4647EBA8" w:rsidR="00DA51A3"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Figure 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00D40426">
        <w:rPr>
          <w:rFonts w:ascii="Times New Roman" w:eastAsia="MS PGothic" w:hAnsi="Times New Roman"/>
          <w:szCs w:val="18"/>
          <w:lang w:val="en-US"/>
        </w:rPr>
        <w:t>Sorption-enhanced gasification in dual interconnected fluidised beds reactor.</w:t>
      </w:r>
    </w:p>
    <w:p w14:paraId="39021157" w14:textId="1F5FFA92" w:rsidR="00D40426" w:rsidRDefault="00D40426" w:rsidP="00DA51A3">
      <w:pPr>
        <w:snapToGrid w:val="0"/>
        <w:spacing w:after="120"/>
        <w:jc w:val="center"/>
        <w:rPr>
          <w:rFonts w:ascii="Times New Roman" w:eastAsia="MS PGothic" w:hAnsi="Times New Roman"/>
          <w:szCs w:val="18"/>
          <w:lang w:val="en-US"/>
        </w:rPr>
      </w:pPr>
    </w:p>
    <w:p w14:paraId="401C6850" w14:textId="68EFD7C7" w:rsidR="00D40426" w:rsidRDefault="00D90269" w:rsidP="00DA51A3">
      <w:pPr>
        <w:snapToGrid w:val="0"/>
        <w:spacing w:after="120"/>
        <w:jc w:val="center"/>
        <w:rPr>
          <w:rFonts w:ascii="Times New Roman" w:eastAsia="MS PGothic" w:hAnsi="Times New Roman"/>
          <w:szCs w:val="18"/>
          <w:lang w:val="en-US"/>
        </w:rPr>
      </w:pPr>
      <w:r>
        <w:rPr>
          <w:bCs/>
          <w:noProof/>
          <w:lang w:eastAsia="it-IT"/>
        </w:rPr>
        <w:drawing>
          <wp:inline distT="0" distB="0" distL="0" distR="0" wp14:anchorId="5435CFD3" wp14:editId="2F72A606">
            <wp:extent cx="4161600" cy="3066563"/>
            <wp:effectExtent l="0" t="0" r="444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1600" cy="3066563"/>
                    </a:xfrm>
                    <a:prstGeom prst="rect">
                      <a:avLst/>
                    </a:prstGeom>
                  </pic:spPr>
                </pic:pic>
              </a:graphicData>
            </a:graphic>
          </wp:inline>
        </w:drawing>
      </w:r>
    </w:p>
    <w:p w14:paraId="0AE66BE5" w14:textId="5028553C" w:rsidR="00D40426" w:rsidRPr="00466FFD" w:rsidRDefault="00D40426"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00D90269" w:rsidRPr="00D90269">
        <w:rPr>
          <w:rFonts w:ascii="Times New Roman" w:eastAsia="MS PGothic" w:hAnsi="Times New Roman"/>
          <w:bCs/>
          <w:szCs w:val="18"/>
          <w:lang w:val="en-GB"/>
        </w:rPr>
        <w:t>CO</w:t>
      </w:r>
      <w:r w:rsidR="00D90269" w:rsidRPr="00D90269">
        <w:rPr>
          <w:rFonts w:ascii="Times New Roman" w:eastAsia="MS PGothic" w:hAnsi="Times New Roman"/>
          <w:bCs/>
          <w:szCs w:val="18"/>
          <w:vertAlign w:val="subscript"/>
          <w:lang w:val="en-GB"/>
        </w:rPr>
        <w:t>2</w:t>
      </w:r>
      <w:r w:rsidR="00D90269" w:rsidRPr="00D90269">
        <w:rPr>
          <w:rFonts w:ascii="Times New Roman" w:eastAsia="MS PGothic" w:hAnsi="Times New Roman"/>
          <w:bCs/>
          <w:szCs w:val="18"/>
          <w:lang w:val="en-GB"/>
        </w:rPr>
        <w:t xml:space="preserve"> specific capture performance </w:t>
      </w:r>
      <w:r w:rsidR="00D90269" w:rsidRPr="00D90269">
        <w:rPr>
          <w:rFonts w:ascii="Times New Roman" w:eastAsia="MS PGothic" w:hAnsi="Times New Roman"/>
          <w:bCs/>
          <w:i/>
          <w:szCs w:val="18"/>
          <w:lang w:val="en-GB"/>
        </w:rPr>
        <w:t>ξ</w:t>
      </w:r>
      <w:r w:rsidR="00D90269" w:rsidRPr="00D90269">
        <w:rPr>
          <w:rFonts w:ascii="Times New Roman" w:eastAsia="MS PGothic" w:hAnsi="Times New Roman"/>
          <w:bCs/>
          <w:iCs/>
          <w:szCs w:val="18"/>
          <w:lang w:val="en-GB"/>
        </w:rPr>
        <w:t xml:space="preserve"> as a function of </w:t>
      </w:r>
      <w:r w:rsidR="00D90269" w:rsidRPr="00D90269">
        <w:rPr>
          <w:rFonts w:ascii="Times New Roman" w:eastAsia="MS PGothic" w:hAnsi="Times New Roman"/>
          <w:bCs/>
          <w:i/>
          <w:szCs w:val="18"/>
          <w:lang w:val="en-GB"/>
        </w:rPr>
        <w:t>N</w:t>
      </w:r>
      <w:r w:rsidR="00D90269" w:rsidRPr="00D90269">
        <w:rPr>
          <w:rFonts w:ascii="Times New Roman" w:eastAsia="MS PGothic" w:hAnsi="Times New Roman"/>
          <w:bCs/>
          <w:iCs/>
          <w:szCs w:val="18"/>
          <w:lang w:val="en-GB"/>
        </w:rPr>
        <w:t>, the number of carbonation stage, for DIFB-SEG tests (six different limestones</w:t>
      </w:r>
      <w:r w:rsidR="00D90269">
        <w:rPr>
          <w:rFonts w:ascii="Times New Roman" w:eastAsia="MS PGothic" w:hAnsi="Times New Roman"/>
          <w:bCs/>
          <w:iCs/>
          <w:szCs w:val="18"/>
          <w:lang w:val="en-GB"/>
        </w:rPr>
        <w:t>).</w:t>
      </w:r>
    </w:p>
    <w:p w14:paraId="1BE0C082" w14:textId="36F1BADB" w:rsidR="00DA51A3" w:rsidRPr="00466FFD" w:rsidRDefault="00DA51A3" w:rsidP="00DA51A3">
      <w:pPr>
        <w:snapToGrid w:val="0"/>
        <w:spacing w:after="120"/>
        <w:rPr>
          <w:rFonts w:ascii="Times New Roman" w:eastAsia="MS PGothic" w:hAnsi="Times New Roman"/>
          <w:lang w:val="en-US"/>
        </w:rPr>
      </w:pPr>
    </w:p>
    <w:p w14:paraId="4F0873DF" w14:textId="1EDC8A23" w:rsidR="00DA51A3" w:rsidRPr="00D40426" w:rsidRDefault="00DA51A3" w:rsidP="00D40426">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12520D0D" w14:textId="16C9557D" w:rsidR="00DA51A3" w:rsidRDefault="00D90269" w:rsidP="00DA51A3">
      <w:pPr>
        <w:pStyle w:val="FirstParagraph"/>
        <w:numPr>
          <w:ilvl w:val="0"/>
          <w:numId w:val="1"/>
        </w:numPr>
        <w:tabs>
          <w:tab w:val="left" w:pos="426"/>
        </w:tabs>
        <w:spacing w:line="240" w:lineRule="auto"/>
        <w:ind w:left="426" w:hanging="426"/>
        <w:rPr>
          <w:rFonts w:ascii="Times New Roman" w:hAnsi="Times New Roman"/>
          <w:lang w:val="it-IT"/>
        </w:rPr>
      </w:pPr>
      <w:r w:rsidRPr="00D90269">
        <w:rPr>
          <w:rFonts w:ascii="Times New Roman" w:hAnsi="Times New Roman"/>
          <w:lang w:val="it-IT"/>
        </w:rPr>
        <w:t>A</w:t>
      </w:r>
      <w:r w:rsidR="00DA51A3" w:rsidRPr="00D90269">
        <w:rPr>
          <w:rFonts w:ascii="Times New Roman" w:hAnsi="Times New Roman"/>
          <w:lang w:val="it-IT"/>
        </w:rPr>
        <w:t xml:space="preserve">. </w:t>
      </w:r>
      <w:r w:rsidRPr="00D90269">
        <w:rPr>
          <w:rFonts w:ascii="Times New Roman" w:hAnsi="Times New Roman"/>
          <w:lang w:val="it-IT"/>
        </w:rPr>
        <w:t>Di Giuliano</w:t>
      </w:r>
      <w:r w:rsidR="00DA51A3" w:rsidRPr="00D90269">
        <w:rPr>
          <w:rFonts w:ascii="Times New Roman" w:hAnsi="Times New Roman"/>
          <w:lang w:val="it-IT"/>
        </w:rPr>
        <w:t xml:space="preserve">, </w:t>
      </w:r>
      <w:r w:rsidRPr="00D90269">
        <w:rPr>
          <w:rFonts w:ascii="Times New Roman" w:hAnsi="Times New Roman"/>
          <w:lang w:val="it-IT"/>
        </w:rPr>
        <w:t>K</w:t>
      </w:r>
      <w:r w:rsidR="00DA51A3" w:rsidRPr="00D90269">
        <w:rPr>
          <w:rFonts w:ascii="Times New Roman" w:hAnsi="Times New Roman"/>
          <w:lang w:val="it-IT"/>
        </w:rPr>
        <w:t xml:space="preserve">. </w:t>
      </w:r>
      <w:r w:rsidRPr="00D90269">
        <w:rPr>
          <w:rFonts w:ascii="Times New Roman" w:hAnsi="Times New Roman"/>
          <w:lang w:val="it-IT"/>
        </w:rPr>
        <w:t>Gallucci</w:t>
      </w:r>
      <w:r w:rsidR="00DA51A3" w:rsidRPr="00D90269">
        <w:rPr>
          <w:rFonts w:ascii="Times New Roman" w:hAnsi="Times New Roman"/>
          <w:lang w:val="it-IT"/>
        </w:rPr>
        <w:t xml:space="preserve">, </w:t>
      </w:r>
      <w:r>
        <w:rPr>
          <w:rFonts w:ascii="Times New Roman" w:hAnsi="Times New Roman"/>
          <w:lang w:val="it-IT"/>
        </w:rPr>
        <w:t>P</w:t>
      </w:r>
      <w:r w:rsidR="00DA51A3" w:rsidRPr="00D90269">
        <w:rPr>
          <w:rFonts w:ascii="Times New Roman" w:hAnsi="Times New Roman"/>
          <w:lang w:val="it-IT"/>
        </w:rPr>
        <w:t>.</w:t>
      </w:r>
      <w:r>
        <w:rPr>
          <w:rFonts w:ascii="Times New Roman" w:hAnsi="Times New Roman"/>
          <w:lang w:val="it-IT"/>
        </w:rPr>
        <w:t>U.</w:t>
      </w:r>
      <w:r w:rsidR="00DA51A3" w:rsidRPr="00D90269">
        <w:rPr>
          <w:rFonts w:ascii="Times New Roman" w:hAnsi="Times New Roman"/>
          <w:lang w:val="it-IT"/>
        </w:rPr>
        <w:t xml:space="preserve"> </w:t>
      </w:r>
      <w:r>
        <w:rPr>
          <w:rFonts w:ascii="Times New Roman" w:hAnsi="Times New Roman"/>
          <w:lang w:val="it-IT"/>
        </w:rPr>
        <w:t>Foscolo</w:t>
      </w:r>
      <w:r w:rsidR="00DA51A3" w:rsidRPr="00D90269">
        <w:rPr>
          <w:rFonts w:ascii="Times New Roman" w:hAnsi="Times New Roman"/>
          <w:lang w:val="it-IT"/>
        </w:rPr>
        <w:t xml:space="preserve">, </w:t>
      </w:r>
      <w:r>
        <w:rPr>
          <w:rFonts w:ascii="Times New Roman" w:hAnsi="Times New Roman"/>
          <w:lang w:val="it-IT"/>
        </w:rPr>
        <w:t>Ind. Eng. Chem. Res.</w:t>
      </w:r>
      <w:r w:rsidR="00DA51A3" w:rsidRPr="00D90269">
        <w:rPr>
          <w:rFonts w:ascii="Times New Roman" w:hAnsi="Times New Roman"/>
          <w:lang w:val="it-IT"/>
        </w:rPr>
        <w:t xml:space="preserve"> </w:t>
      </w:r>
      <w:r>
        <w:rPr>
          <w:rFonts w:ascii="Times New Roman" w:hAnsi="Times New Roman"/>
          <w:lang w:val="it-IT"/>
        </w:rPr>
        <w:t>59</w:t>
      </w:r>
      <w:r w:rsidR="00DA51A3" w:rsidRPr="00D90269">
        <w:rPr>
          <w:rFonts w:ascii="Times New Roman" w:hAnsi="Times New Roman"/>
          <w:lang w:val="it-IT"/>
        </w:rPr>
        <w:t xml:space="preserve"> (20</w:t>
      </w:r>
      <w:r>
        <w:rPr>
          <w:rFonts w:ascii="Times New Roman" w:hAnsi="Times New Roman"/>
          <w:lang w:val="it-IT"/>
        </w:rPr>
        <w:t>20</w:t>
      </w:r>
      <w:r w:rsidR="00DA51A3" w:rsidRPr="00D90269">
        <w:rPr>
          <w:rFonts w:ascii="Times New Roman" w:hAnsi="Times New Roman"/>
          <w:lang w:val="it-IT"/>
        </w:rPr>
        <w:t xml:space="preserve">) </w:t>
      </w:r>
      <w:r>
        <w:rPr>
          <w:rFonts w:ascii="Times New Roman" w:hAnsi="Times New Roman"/>
          <w:lang w:val="it-IT"/>
        </w:rPr>
        <w:t>6840</w:t>
      </w:r>
      <w:r w:rsidR="00DA51A3" w:rsidRPr="00D90269">
        <w:rPr>
          <w:rFonts w:ascii="Times New Roman" w:hAnsi="Times New Roman"/>
          <w:lang w:val="it-IT"/>
        </w:rPr>
        <w:t>–</w:t>
      </w:r>
      <w:r>
        <w:rPr>
          <w:rFonts w:ascii="Times New Roman" w:hAnsi="Times New Roman"/>
          <w:lang w:val="it-IT"/>
        </w:rPr>
        <w:t>6854</w:t>
      </w:r>
      <w:r w:rsidR="00DA51A3" w:rsidRPr="00D90269">
        <w:rPr>
          <w:rFonts w:ascii="Times New Roman" w:hAnsi="Times New Roman"/>
          <w:lang w:val="it-IT"/>
        </w:rPr>
        <w:t xml:space="preserve"> </w:t>
      </w:r>
    </w:p>
    <w:p w14:paraId="44E14A14" w14:textId="5EE3FAD2" w:rsidR="00D90269" w:rsidRDefault="00D90269" w:rsidP="00DA51A3">
      <w:pPr>
        <w:pStyle w:val="FirstParagraph"/>
        <w:numPr>
          <w:ilvl w:val="0"/>
          <w:numId w:val="1"/>
        </w:numPr>
        <w:tabs>
          <w:tab w:val="left" w:pos="426"/>
        </w:tabs>
        <w:spacing w:line="240" w:lineRule="auto"/>
        <w:ind w:left="426" w:hanging="426"/>
        <w:rPr>
          <w:rFonts w:ascii="Times New Roman" w:hAnsi="Times New Roman"/>
        </w:rPr>
      </w:pPr>
      <w:r>
        <w:rPr>
          <w:rFonts w:ascii="Times New Roman" w:hAnsi="Times New Roman"/>
          <w:bCs/>
          <w:lang w:val="en-GB"/>
        </w:rPr>
        <w:t xml:space="preserve">A.M. </w:t>
      </w:r>
      <w:r w:rsidRPr="00D90269">
        <w:rPr>
          <w:rFonts w:ascii="Times New Roman" w:hAnsi="Times New Roman"/>
          <w:bCs/>
          <w:lang w:val="en-GB"/>
        </w:rPr>
        <w:t>Parvez</w:t>
      </w:r>
      <w:r>
        <w:rPr>
          <w:rFonts w:ascii="Times New Roman" w:hAnsi="Times New Roman"/>
          <w:bCs/>
          <w:lang w:val="en-GB"/>
        </w:rPr>
        <w:t>,</w:t>
      </w:r>
      <w:r w:rsidRPr="00D90269">
        <w:rPr>
          <w:rFonts w:ascii="Times New Roman" w:hAnsi="Times New Roman"/>
          <w:bCs/>
          <w:lang w:val="en-GB"/>
        </w:rPr>
        <w:t xml:space="preserve"> </w:t>
      </w:r>
      <w:r>
        <w:rPr>
          <w:rFonts w:ascii="Times New Roman" w:hAnsi="Times New Roman"/>
          <w:bCs/>
          <w:lang w:val="en-GB"/>
        </w:rPr>
        <w:t xml:space="preserve">S. </w:t>
      </w:r>
      <w:r w:rsidRPr="00D90269">
        <w:rPr>
          <w:rFonts w:ascii="Times New Roman" w:hAnsi="Times New Roman"/>
          <w:bCs/>
          <w:lang w:val="en-GB"/>
        </w:rPr>
        <w:t>Hafner</w:t>
      </w:r>
      <w:r>
        <w:rPr>
          <w:rFonts w:ascii="Times New Roman" w:hAnsi="Times New Roman"/>
          <w:bCs/>
          <w:lang w:val="en-GB"/>
        </w:rPr>
        <w:t>,</w:t>
      </w:r>
      <w:r w:rsidRPr="00D90269">
        <w:rPr>
          <w:rFonts w:ascii="Times New Roman" w:hAnsi="Times New Roman"/>
          <w:bCs/>
          <w:lang w:val="en-GB"/>
        </w:rPr>
        <w:t xml:space="preserve"> </w:t>
      </w:r>
      <w:r>
        <w:rPr>
          <w:rFonts w:ascii="Times New Roman" w:hAnsi="Times New Roman"/>
          <w:bCs/>
          <w:lang w:val="en-GB"/>
        </w:rPr>
        <w:t xml:space="preserve">M. </w:t>
      </w:r>
      <w:r w:rsidRPr="00D90269">
        <w:rPr>
          <w:rFonts w:ascii="Times New Roman" w:hAnsi="Times New Roman"/>
          <w:bCs/>
          <w:lang w:val="en-GB"/>
        </w:rPr>
        <w:t>Hornberger</w:t>
      </w:r>
      <w:r>
        <w:rPr>
          <w:rFonts w:ascii="Times New Roman" w:hAnsi="Times New Roman"/>
          <w:bCs/>
          <w:lang w:val="en-GB"/>
        </w:rPr>
        <w:t>,</w:t>
      </w:r>
      <w:r w:rsidRPr="00D90269">
        <w:rPr>
          <w:rFonts w:ascii="Times New Roman" w:hAnsi="Times New Roman"/>
          <w:bCs/>
          <w:lang w:val="en-GB"/>
        </w:rPr>
        <w:t xml:space="preserve"> </w:t>
      </w:r>
      <w:r>
        <w:rPr>
          <w:rFonts w:ascii="Times New Roman" w:hAnsi="Times New Roman"/>
          <w:bCs/>
          <w:lang w:val="en-GB"/>
        </w:rPr>
        <w:t xml:space="preserve">M. </w:t>
      </w:r>
      <w:r w:rsidRPr="00D90269">
        <w:rPr>
          <w:rFonts w:ascii="Times New Roman" w:hAnsi="Times New Roman"/>
          <w:bCs/>
          <w:lang w:val="en-GB"/>
        </w:rPr>
        <w:t>Schmid</w:t>
      </w:r>
      <w:r>
        <w:rPr>
          <w:rFonts w:ascii="Times New Roman" w:hAnsi="Times New Roman"/>
          <w:bCs/>
          <w:lang w:val="en-GB"/>
        </w:rPr>
        <w:t>,</w:t>
      </w:r>
      <w:r w:rsidRPr="00D90269">
        <w:rPr>
          <w:rFonts w:ascii="Times New Roman" w:hAnsi="Times New Roman"/>
          <w:bCs/>
          <w:lang w:val="en-GB"/>
        </w:rPr>
        <w:t xml:space="preserve"> </w:t>
      </w:r>
      <w:r>
        <w:rPr>
          <w:rFonts w:ascii="Times New Roman" w:hAnsi="Times New Roman"/>
          <w:bCs/>
          <w:lang w:val="en-GB"/>
        </w:rPr>
        <w:t xml:space="preserve">G. </w:t>
      </w:r>
      <w:r w:rsidRPr="00D90269">
        <w:rPr>
          <w:rFonts w:ascii="Times New Roman" w:hAnsi="Times New Roman"/>
          <w:bCs/>
        </w:rPr>
        <w:t>Scheffknecht</w:t>
      </w:r>
      <w:r>
        <w:rPr>
          <w:rFonts w:ascii="Times New Roman" w:hAnsi="Times New Roman"/>
          <w:bCs/>
        </w:rPr>
        <w:t>,</w:t>
      </w:r>
      <w:r w:rsidRPr="00D90269">
        <w:rPr>
          <w:rFonts w:ascii="Times New Roman" w:hAnsi="Times New Roman"/>
        </w:rPr>
        <w:t xml:space="preserve"> </w:t>
      </w:r>
      <w:r w:rsidRPr="00D90269">
        <w:rPr>
          <w:rFonts w:ascii="Times New Roman" w:hAnsi="Times New Roman"/>
          <w:bCs/>
          <w:lang w:val="en-GB"/>
        </w:rPr>
        <w:t xml:space="preserve">Renew. </w:t>
      </w:r>
      <w:r w:rsidRPr="00D90269">
        <w:rPr>
          <w:rFonts w:ascii="Times New Roman" w:hAnsi="Times New Roman"/>
          <w:bCs/>
        </w:rPr>
        <w:t>Sust. Energy Rev.</w:t>
      </w:r>
      <w:r>
        <w:rPr>
          <w:rFonts w:ascii="Times New Roman" w:hAnsi="Times New Roman"/>
        </w:rPr>
        <w:t xml:space="preserve"> 141 (2021)</w:t>
      </w:r>
      <w:r w:rsidRPr="00D90269">
        <w:rPr>
          <w:rFonts w:ascii="Times New Roman" w:hAnsi="Times New Roman"/>
        </w:rPr>
        <w:t xml:space="preserve"> 110756</w:t>
      </w:r>
    </w:p>
    <w:p w14:paraId="6B1A434C" w14:textId="002D4726" w:rsidR="00D90269" w:rsidRDefault="00D90269" w:rsidP="00DA51A3">
      <w:pPr>
        <w:pStyle w:val="FirstParagraph"/>
        <w:numPr>
          <w:ilvl w:val="0"/>
          <w:numId w:val="1"/>
        </w:numPr>
        <w:tabs>
          <w:tab w:val="left" w:pos="426"/>
        </w:tabs>
        <w:spacing w:line="240" w:lineRule="auto"/>
        <w:ind w:left="426" w:hanging="426"/>
        <w:rPr>
          <w:rFonts w:ascii="Times New Roman" w:hAnsi="Times New Roman"/>
          <w:lang w:val="it-IT"/>
        </w:rPr>
      </w:pPr>
      <w:r>
        <w:rPr>
          <w:rFonts w:ascii="Times New Roman" w:hAnsi="Times New Roman"/>
          <w:bCs/>
          <w:lang w:val="it-IT"/>
        </w:rPr>
        <w:t xml:space="preserve">A. </w:t>
      </w:r>
      <w:r w:rsidRPr="00D90269">
        <w:rPr>
          <w:rFonts w:ascii="Times New Roman" w:hAnsi="Times New Roman"/>
          <w:bCs/>
          <w:lang w:val="it-IT"/>
        </w:rPr>
        <w:t>Coppola</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A. </w:t>
      </w:r>
      <w:r w:rsidRPr="00D90269">
        <w:rPr>
          <w:rFonts w:ascii="Times New Roman" w:hAnsi="Times New Roman"/>
          <w:bCs/>
          <w:lang w:val="it-IT"/>
        </w:rPr>
        <w:t>Sattari</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F. </w:t>
      </w:r>
      <w:r w:rsidRPr="00D90269">
        <w:rPr>
          <w:rFonts w:ascii="Times New Roman" w:hAnsi="Times New Roman"/>
          <w:bCs/>
          <w:lang w:val="it-IT"/>
        </w:rPr>
        <w:t>Montagnaro</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F. </w:t>
      </w:r>
      <w:r w:rsidRPr="00D90269">
        <w:rPr>
          <w:rFonts w:ascii="Times New Roman" w:hAnsi="Times New Roman"/>
          <w:bCs/>
          <w:lang w:val="it-IT"/>
        </w:rPr>
        <w:t>Scala</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P. </w:t>
      </w:r>
      <w:r w:rsidRPr="00D90269">
        <w:rPr>
          <w:rFonts w:ascii="Times New Roman" w:hAnsi="Times New Roman"/>
          <w:bCs/>
          <w:lang w:val="it-IT"/>
        </w:rPr>
        <w:t>Salatino</w:t>
      </w:r>
      <w:r>
        <w:rPr>
          <w:rFonts w:ascii="Times New Roman" w:hAnsi="Times New Roman"/>
          <w:bCs/>
          <w:lang w:val="it-IT"/>
        </w:rPr>
        <w:t>,</w:t>
      </w:r>
      <w:r w:rsidRPr="00D90269">
        <w:rPr>
          <w:rFonts w:ascii="Times New Roman" w:hAnsi="Times New Roman"/>
          <w:lang w:val="it-IT"/>
        </w:rPr>
        <w:t xml:space="preserve"> </w:t>
      </w:r>
      <w:r w:rsidRPr="00D90269">
        <w:rPr>
          <w:rFonts w:ascii="Times New Roman" w:hAnsi="Times New Roman"/>
          <w:bCs/>
          <w:lang w:val="it-IT"/>
        </w:rPr>
        <w:t>AIChE J.</w:t>
      </w:r>
      <w:r>
        <w:rPr>
          <w:rFonts w:ascii="Times New Roman" w:hAnsi="Times New Roman"/>
          <w:lang w:val="it-IT"/>
        </w:rPr>
        <w:t xml:space="preserve"> (2022)</w:t>
      </w:r>
      <w:r w:rsidRPr="00D90269">
        <w:rPr>
          <w:rFonts w:ascii="Times New Roman" w:hAnsi="Times New Roman"/>
          <w:lang w:val="it-IT"/>
        </w:rPr>
        <w:t xml:space="preserve"> </w:t>
      </w:r>
      <w:hyperlink r:id="rId10" w:history="1">
        <w:r w:rsidRPr="00D90269">
          <w:rPr>
            <w:rStyle w:val="Collegamentoipertestuale"/>
            <w:rFonts w:ascii="Times New Roman" w:hAnsi="Times New Roman"/>
            <w:lang w:val="it-IT"/>
          </w:rPr>
          <w:t>https://doi.org/10.1002/aic.17588</w:t>
        </w:r>
      </w:hyperlink>
    </w:p>
    <w:p w14:paraId="640F1F6B" w14:textId="407E778E" w:rsidR="00D90269" w:rsidRDefault="00D90269" w:rsidP="00DA51A3">
      <w:pPr>
        <w:pStyle w:val="FirstParagraph"/>
        <w:numPr>
          <w:ilvl w:val="0"/>
          <w:numId w:val="1"/>
        </w:numPr>
        <w:tabs>
          <w:tab w:val="left" w:pos="426"/>
        </w:tabs>
        <w:spacing w:line="240" w:lineRule="auto"/>
        <w:ind w:left="426" w:hanging="426"/>
        <w:rPr>
          <w:rFonts w:ascii="Times New Roman" w:hAnsi="Times New Roman"/>
        </w:rPr>
      </w:pPr>
      <w:r w:rsidRPr="00D90269">
        <w:rPr>
          <w:rFonts w:ascii="Times New Roman" w:hAnsi="Times New Roman"/>
        </w:rPr>
        <w:t xml:space="preserve">N. Rodríguez, M. Alonso, J.C. Abanades, AIChE J. </w:t>
      </w:r>
      <w:r>
        <w:rPr>
          <w:rFonts w:ascii="Times New Roman" w:hAnsi="Times New Roman"/>
        </w:rPr>
        <w:t xml:space="preserve">57 (2011) </w:t>
      </w:r>
      <w:r w:rsidRPr="00D90269">
        <w:rPr>
          <w:rFonts w:ascii="Times New Roman" w:hAnsi="Times New Roman"/>
        </w:rPr>
        <w:t>1356–1366</w:t>
      </w:r>
    </w:p>
    <w:p w14:paraId="4EBD5348" w14:textId="0E55EE12" w:rsidR="00D90269" w:rsidRDefault="00D90269" w:rsidP="00DA51A3">
      <w:pPr>
        <w:pStyle w:val="FirstParagraph"/>
        <w:numPr>
          <w:ilvl w:val="0"/>
          <w:numId w:val="1"/>
        </w:numPr>
        <w:tabs>
          <w:tab w:val="left" w:pos="426"/>
        </w:tabs>
        <w:spacing w:line="240" w:lineRule="auto"/>
        <w:ind w:left="426" w:hanging="426"/>
        <w:rPr>
          <w:rFonts w:ascii="Times New Roman" w:hAnsi="Times New Roman"/>
          <w:lang w:val="it-IT"/>
        </w:rPr>
      </w:pPr>
      <w:r w:rsidRPr="00D90269">
        <w:rPr>
          <w:rFonts w:ascii="Times New Roman" w:hAnsi="Times New Roman"/>
          <w:bCs/>
          <w:lang w:val="it-IT"/>
        </w:rPr>
        <w:t>A. Perejón, L.M. Romeo</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Y. </w:t>
      </w:r>
      <w:r w:rsidRPr="00D90269">
        <w:rPr>
          <w:rFonts w:ascii="Times New Roman" w:hAnsi="Times New Roman"/>
          <w:bCs/>
          <w:lang w:val="it-IT"/>
        </w:rPr>
        <w:t>Lara</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P. </w:t>
      </w:r>
      <w:r w:rsidRPr="00D90269">
        <w:rPr>
          <w:rFonts w:ascii="Times New Roman" w:hAnsi="Times New Roman"/>
          <w:bCs/>
          <w:lang w:val="it-IT"/>
        </w:rPr>
        <w:t>Lisbona</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A. </w:t>
      </w:r>
      <w:r w:rsidRPr="00D90269">
        <w:rPr>
          <w:rFonts w:ascii="Times New Roman" w:hAnsi="Times New Roman"/>
          <w:bCs/>
          <w:lang w:val="it-IT"/>
        </w:rPr>
        <w:t>Martínez</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J.M. </w:t>
      </w:r>
      <w:r w:rsidRPr="00D90269">
        <w:rPr>
          <w:rFonts w:ascii="Times New Roman" w:hAnsi="Times New Roman"/>
          <w:bCs/>
          <w:lang w:val="it-IT"/>
        </w:rPr>
        <w:t>Valverde</w:t>
      </w:r>
      <w:r>
        <w:rPr>
          <w:rFonts w:ascii="Times New Roman" w:hAnsi="Times New Roman"/>
          <w:bCs/>
          <w:lang w:val="it-IT"/>
        </w:rPr>
        <w:t>,</w:t>
      </w:r>
      <w:r w:rsidRPr="00D90269">
        <w:rPr>
          <w:rFonts w:ascii="Times New Roman" w:hAnsi="Times New Roman"/>
          <w:lang w:val="it-IT"/>
        </w:rPr>
        <w:t xml:space="preserve"> Appl. Energy </w:t>
      </w:r>
      <w:r>
        <w:rPr>
          <w:rFonts w:ascii="Times New Roman" w:hAnsi="Times New Roman"/>
          <w:lang w:val="it-IT"/>
        </w:rPr>
        <w:t xml:space="preserve">162 (2016) </w:t>
      </w:r>
      <w:r w:rsidRPr="00D90269">
        <w:rPr>
          <w:rFonts w:ascii="Times New Roman" w:hAnsi="Times New Roman"/>
          <w:lang w:val="it-IT"/>
        </w:rPr>
        <w:t>787–807</w:t>
      </w:r>
    </w:p>
    <w:p w14:paraId="5A650773" w14:textId="0CD392C4" w:rsidR="005B71B2" w:rsidRPr="00D90269" w:rsidRDefault="00D90269" w:rsidP="00D90269">
      <w:pPr>
        <w:pStyle w:val="FirstParagraph"/>
        <w:numPr>
          <w:ilvl w:val="0"/>
          <w:numId w:val="1"/>
        </w:numPr>
        <w:tabs>
          <w:tab w:val="left" w:pos="426"/>
        </w:tabs>
        <w:spacing w:line="240" w:lineRule="auto"/>
        <w:ind w:left="426" w:hanging="426"/>
        <w:rPr>
          <w:rFonts w:ascii="Times New Roman" w:hAnsi="Times New Roman"/>
          <w:lang w:val="it-IT"/>
        </w:rPr>
      </w:pPr>
      <w:r>
        <w:rPr>
          <w:rFonts w:ascii="Times New Roman" w:hAnsi="Times New Roman"/>
          <w:bCs/>
          <w:lang w:val="it-IT"/>
        </w:rPr>
        <w:t xml:space="preserve">A. </w:t>
      </w:r>
      <w:r w:rsidRPr="00D90269">
        <w:rPr>
          <w:rFonts w:ascii="Times New Roman" w:hAnsi="Times New Roman"/>
          <w:bCs/>
          <w:lang w:val="it-IT"/>
        </w:rPr>
        <w:t>Coppola</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O. </w:t>
      </w:r>
      <w:r w:rsidRPr="00D90269">
        <w:rPr>
          <w:rFonts w:ascii="Times New Roman" w:hAnsi="Times New Roman"/>
          <w:bCs/>
          <w:lang w:val="it-IT"/>
        </w:rPr>
        <w:t>Senneca</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F. </w:t>
      </w:r>
      <w:r w:rsidRPr="00D90269">
        <w:rPr>
          <w:rFonts w:ascii="Times New Roman" w:hAnsi="Times New Roman"/>
          <w:bCs/>
          <w:lang w:val="it-IT"/>
        </w:rPr>
        <w:t>Scala</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F. </w:t>
      </w:r>
      <w:r w:rsidRPr="00D90269">
        <w:rPr>
          <w:rFonts w:ascii="Times New Roman" w:hAnsi="Times New Roman"/>
          <w:bCs/>
          <w:lang w:val="it-IT"/>
        </w:rPr>
        <w:t>Montagnaro</w:t>
      </w:r>
      <w:r>
        <w:rPr>
          <w:rFonts w:ascii="Times New Roman" w:hAnsi="Times New Roman"/>
          <w:bCs/>
          <w:lang w:val="it-IT"/>
        </w:rPr>
        <w:t>,</w:t>
      </w:r>
      <w:r w:rsidRPr="00D90269">
        <w:rPr>
          <w:rFonts w:ascii="Times New Roman" w:hAnsi="Times New Roman"/>
          <w:bCs/>
          <w:lang w:val="it-IT"/>
        </w:rPr>
        <w:t xml:space="preserve"> </w:t>
      </w:r>
      <w:r>
        <w:rPr>
          <w:rFonts w:ascii="Times New Roman" w:hAnsi="Times New Roman"/>
          <w:bCs/>
          <w:lang w:val="it-IT"/>
        </w:rPr>
        <w:t xml:space="preserve">P. </w:t>
      </w:r>
      <w:r w:rsidRPr="00D90269">
        <w:rPr>
          <w:rFonts w:ascii="Times New Roman" w:hAnsi="Times New Roman"/>
          <w:bCs/>
          <w:lang w:val="it-IT"/>
        </w:rPr>
        <w:t>Salatino</w:t>
      </w:r>
      <w:r>
        <w:rPr>
          <w:rFonts w:ascii="Times New Roman" w:hAnsi="Times New Roman"/>
          <w:bCs/>
          <w:lang w:val="it-IT"/>
        </w:rPr>
        <w:t>,</w:t>
      </w:r>
      <w:r w:rsidRPr="00D90269">
        <w:rPr>
          <w:rFonts w:ascii="Times New Roman" w:hAnsi="Times New Roman"/>
          <w:bCs/>
          <w:i/>
          <w:iCs/>
          <w:lang w:val="it-IT"/>
        </w:rPr>
        <w:t xml:space="preserve"> </w:t>
      </w:r>
      <w:r w:rsidRPr="00D90269">
        <w:rPr>
          <w:rFonts w:ascii="Times New Roman" w:hAnsi="Times New Roman"/>
          <w:lang w:val="it-IT"/>
        </w:rPr>
        <w:t>Fuel</w:t>
      </w:r>
      <w:r>
        <w:rPr>
          <w:rFonts w:ascii="Times New Roman" w:hAnsi="Times New Roman"/>
          <w:lang w:val="it-IT"/>
        </w:rPr>
        <w:t xml:space="preserve"> 268 (2020)</w:t>
      </w:r>
      <w:r w:rsidRPr="00D90269">
        <w:rPr>
          <w:rFonts w:ascii="Times New Roman" w:hAnsi="Times New Roman"/>
          <w:lang w:val="it-IT"/>
        </w:rPr>
        <w:t xml:space="preserve"> 117371</w:t>
      </w:r>
    </w:p>
    <w:sectPr w:rsidR="005B71B2" w:rsidRPr="00D90269" w:rsidSect="001D0E0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ED70" w14:textId="77777777" w:rsidR="00CB352E" w:rsidRDefault="00CB352E" w:rsidP="001D0E0C">
      <w:pPr>
        <w:spacing w:after="0" w:line="240" w:lineRule="auto"/>
      </w:pPr>
      <w:r>
        <w:separator/>
      </w:r>
    </w:p>
  </w:endnote>
  <w:endnote w:type="continuationSeparator" w:id="0">
    <w:p w14:paraId="3D9C0D5C" w14:textId="77777777" w:rsidR="00CB352E" w:rsidRDefault="00CB352E"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F93A" w14:textId="77777777" w:rsidR="00CB352E" w:rsidRDefault="00CB352E" w:rsidP="001D0E0C">
      <w:pPr>
        <w:spacing w:after="0" w:line="240" w:lineRule="auto"/>
      </w:pPr>
      <w:r>
        <w:separator/>
      </w:r>
    </w:p>
  </w:footnote>
  <w:footnote w:type="continuationSeparator" w:id="0">
    <w:p w14:paraId="754E6FFB" w14:textId="77777777" w:rsidR="00CB352E" w:rsidRDefault="00CB352E"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8667F"/>
    <w:rsid w:val="001B060D"/>
    <w:rsid w:val="001D0E0C"/>
    <w:rsid w:val="003C06F1"/>
    <w:rsid w:val="003F160A"/>
    <w:rsid w:val="00402674"/>
    <w:rsid w:val="004C56B4"/>
    <w:rsid w:val="005B71B2"/>
    <w:rsid w:val="005C2A12"/>
    <w:rsid w:val="00697CD6"/>
    <w:rsid w:val="00792FCF"/>
    <w:rsid w:val="008871B1"/>
    <w:rsid w:val="009B2234"/>
    <w:rsid w:val="00AB1801"/>
    <w:rsid w:val="00B65164"/>
    <w:rsid w:val="00C40840"/>
    <w:rsid w:val="00CB352E"/>
    <w:rsid w:val="00D03DB3"/>
    <w:rsid w:val="00D322F1"/>
    <w:rsid w:val="00D40426"/>
    <w:rsid w:val="00D412A9"/>
    <w:rsid w:val="00D90269"/>
    <w:rsid w:val="00DA51A3"/>
    <w:rsid w:val="00DD2D8C"/>
    <w:rsid w:val="00F24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unhideWhenUsed/>
    <w:rsid w:val="00D40426"/>
    <w:rPr>
      <w:color w:val="0563C1" w:themeColor="hyperlink"/>
      <w:u w:val="single"/>
    </w:rPr>
  </w:style>
  <w:style w:type="character" w:styleId="Menzionenonrisolta">
    <w:name w:val="Unresolved Mention"/>
    <w:basedOn w:val="Carpredefinitoparagrafo"/>
    <w:uiPriority w:val="99"/>
    <w:semiHidden/>
    <w:unhideWhenUsed/>
    <w:rsid w:val="00D40426"/>
    <w:rPr>
      <w:color w:val="605E5C"/>
      <w:shd w:val="clear" w:color="auto" w:fill="E1DFDD"/>
    </w:rPr>
  </w:style>
  <w:style w:type="paragraph" w:styleId="Paragrafoelenco">
    <w:name w:val="List Paragraph"/>
    <w:basedOn w:val="Normale"/>
    <w:uiPriority w:val="34"/>
    <w:qFormat/>
    <w:rsid w:val="00D40426"/>
    <w:pPr>
      <w:ind w:left="720"/>
      <w:contextualSpacing/>
    </w:pPr>
  </w:style>
  <w:style w:type="paragraph" w:customStyle="1" w:styleId="Standa">
    <w:name w:val="Standa"/>
    <w:rsid w:val="00D404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en-GB"/>
    </w:rPr>
  </w:style>
  <w:style w:type="table" w:styleId="Grigliatabella">
    <w:name w:val="Table Grid"/>
    <w:basedOn w:val="Tabellanormale"/>
    <w:uiPriority w:val="39"/>
    <w:rsid w:val="003C06F1"/>
    <w:pPr>
      <w:spacing w:after="0" w:line="240" w:lineRule="auto"/>
    </w:pPr>
    <w:rPr>
      <w:rFonts w:eastAsiaTheme="minorEastAsia"/>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bio.montagnaro@unina.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2/aic.1758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FABIO MONTAGNARO</cp:lastModifiedBy>
  <cp:revision>4</cp:revision>
  <cp:lastPrinted>2022-01-31T11:56:00Z</cp:lastPrinted>
  <dcterms:created xsi:type="dcterms:W3CDTF">2022-02-01T10:57:00Z</dcterms:created>
  <dcterms:modified xsi:type="dcterms:W3CDTF">2022-03-08T09:21:00Z</dcterms:modified>
</cp:coreProperties>
</file>