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CE7BE" w14:textId="0C999710" w:rsidR="00DA51A3" w:rsidRPr="00882288" w:rsidRDefault="001D434A" w:rsidP="00DA51A3">
      <w:pPr>
        <w:snapToGrid w:val="0"/>
        <w:jc w:val="center"/>
        <w:rPr>
          <w:rFonts w:ascii="Times New Roman" w:eastAsia="MS PGothic" w:hAnsi="Times New Roman"/>
          <w:b/>
          <w:bCs/>
          <w:sz w:val="24"/>
          <w:szCs w:val="24"/>
          <w:lang w:val="en-GB"/>
        </w:rPr>
      </w:pPr>
      <w:r w:rsidRPr="00882288">
        <w:rPr>
          <w:rFonts w:ascii="Times New Roman" w:eastAsia="MS PGothic" w:hAnsi="Times New Roman"/>
          <w:b/>
          <w:bCs/>
          <w:sz w:val="24"/>
          <w:szCs w:val="24"/>
          <w:lang w:val="en-US"/>
        </w:rPr>
        <w:t>Basing offshore energy vectors production on optimized energy mixes: a methanol facility</w:t>
      </w:r>
      <w:r w:rsidR="00DB2E81" w:rsidRPr="00882288">
        <w:rPr>
          <w:rFonts w:ascii="Times New Roman" w:eastAsia="MS PGothic" w:hAnsi="Times New Roman"/>
          <w:b/>
          <w:bCs/>
          <w:sz w:val="24"/>
          <w:szCs w:val="24"/>
          <w:lang w:val="en-US"/>
        </w:rPr>
        <w:t xml:space="preserve"> in the Adriatic Sea</w:t>
      </w:r>
      <w:r w:rsidRPr="00882288">
        <w:rPr>
          <w:rFonts w:ascii="Times New Roman" w:eastAsia="MS PGothic" w:hAnsi="Times New Roman"/>
          <w:b/>
          <w:bCs/>
          <w:sz w:val="24"/>
          <w:szCs w:val="24"/>
          <w:lang w:val="en-US"/>
        </w:rPr>
        <w:t xml:space="preserve"> </w:t>
      </w:r>
    </w:p>
    <w:p w14:paraId="243AAF34" w14:textId="7099BBC2" w:rsidR="00DA51A3" w:rsidRPr="00882288" w:rsidRDefault="001D434A" w:rsidP="00DA51A3">
      <w:pPr>
        <w:snapToGrid w:val="0"/>
        <w:jc w:val="center"/>
        <w:rPr>
          <w:rFonts w:ascii="Times New Roman" w:eastAsia="MS PGothic" w:hAnsi="Times New Roman"/>
          <w:sz w:val="24"/>
          <w:szCs w:val="24"/>
        </w:rPr>
      </w:pPr>
      <w:r w:rsidRPr="00882288">
        <w:rPr>
          <w:rFonts w:ascii="Times New Roman" w:eastAsia="SimSun" w:hAnsi="Times New Roman"/>
          <w:sz w:val="24"/>
          <w:szCs w:val="24"/>
          <w:u w:val="single"/>
          <w:lang w:eastAsia="zh-CN"/>
        </w:rPr>
        <w:t>Mariasole Cipolletta</w:t>
      </w:r>
      <w:r w:rsidR="00C07B75" w:rsidRPr="00882288">
        <w:rPr>
          <w:rFonts w:ascii="Times New Roman" w:eastAsia="SimSun" w:hAnsi="Times New Roman"/>
          <w:sz w:val="24"/>
          <w:szCs w:val="24"/>
          <w:u w:val="single"/>
          <w:vertAlign w:val="superscript"/>
          <w:lang w:eastAsia="zh-CN"/>
        </w:rPr>
        <w:t>*</w:t>
      </w:r>
      <w:r w:rsidR="00DA51A3" w:rsidRPr="00882288">
        <w:rPr>
          <w:rFonts w:ascii="Times New Roman" w:eastAsia="SimSun" w:hAnsi="Times New Roman"/>
          <w:sz w:val="24"/>
          <w:szCs w:val="24"/>
          <w:lang w:eastAsia="zh-CN"/>
        </w:rPr>
        <w:t xml:space="preserve">, </w:t>
      </w:r>
      <w:r w:rsidRPr="00882288">
        <w:rPr>
          <w:rFonts w:ascii="Times New Roman" w:eastAsia="SimSun" w:hAnsi="Times New Roman"/>
          <w:sz w:val="24"/>
          <w:szCs w:val="24"/>
          <w:lang w:eastAsia="zh-CN"/>
        </w:rPr>
        <w:t>Valeria Casson Moreno, Valerio Cozzani</w:t>
      </w:r>
    </w:p>
    <w:p w14:paraId="5024DC12" w14:textId="381F7E4E" w:rsidR="001D434A" w:rsidRPr="00882288" w:rsidRDefault="001D434A" w:rsidP="001D434A">
      <w:pPr>
        <w:snapToGrid w:val="0"/>
        <w:spacing w:after="0" w:line="240" w:lineRule="auto"/>
        <w:jc w:val="center"/>
        <w:rPr>
          <w:rFonts w:ascii="Times New Roman" w:eastAsia="MS PGothic" w:hAnsi="Times New Roman"/>
          <w:i/>
          <w:iCs/>
          <w:sz w:val="20"/>
          <w:lang w:val="en-US"/>
        </w:rPr>
      </w:pPr>
      <w:r w:rsidRPr="00882288">
        <w:rPr>
          <w:rFonts w:ascii="Times New Roman" w:eastAsia="MS PGothic" w:hAnsi="Times New Roman"/>
          <w:i/>
          <w:iCs/>
          <w:sz w:val="20"/>
          <w:lang w:val="en-US"/>
        </w:rPr>
        <w:t>Laboratory of Industrial Safety and Environmental Sustainability – DICAM</w:t>
      </w:r>
    </w:p>
    <w:p w14:paraId="2B3D3F8B" w14:textId="77777777" w:rsidR="001D434A" w:rsidRPr="00882288" w:rsidRDefault="001D434A" w:rsidP="001D434A">
      <w:pPr>
        <w:snapToGrid w:val="0"/>
        <w:spacing w:after="0" w:line="240" w:lineRule="auto"/>
        <w:jc w:val="center"/>
        <w:rPr>
          <w:rFonts w:ascii="Times New Roman" w:eastAsia="MS PGothic" w:hAnsi="Times New Roman"/>
          <w:i/>
          <w:iCs/>
          <w:sz w:val="20"/>
        </w:rPr>
      </w:pPr>
      <w:r w:rsidRPr="00882288">
        <w:rPr>
          <w:rFonts w:ascii="Times New Roman" w:eastAsia="MS PGothic" w:hAnsi="Times New Roman"/>
          <w:i/>
          <w:iCs/>
          <w:sz w:val="20"/>
        </w:rPr>
        <w:t>University of Bologna, Via Terracini 28, Bologna, 40131, Italy</w:t>
      </w:r>
    </w:p>
    <w:p w14:paraId="28AD07A8" w14:textId="008CF3A5" w:rsidR="00DA51A3" w:rsidRPr="00882288" w:rsidRDefault="00DA51A3" w:rsidP="00DA0813">
      <w:pPr>
        <w:snapToGrid w:val="0"/>
        <w:spacing w:after="0" w:line="240" w:lineRule="auto"/>
        <w:jc w:val="center"/>
        <w:rPr>
          <w:rFonts w:ascii="Times New Roman" w:eastAsia="MS PGothic" w:hAnsi="Times New Roman"/>
          <w:i/>
          <w:iCs/>
          <w:sz w:val="20"/>
          <w:lang w:val="en-GB"/>
        </w:rPr>
      </w:pPr>
      <w:r w:rsidRPr="00882288">
        <w:rPr>
          <w:rFonts w:ascii="Times New Roman" w:eastAsia="MS PGothic" w:hAnsi="Times New Roman"/>
          <w:bCs/>
          <w:i/>
          <w:iCs/>
          <w:sz w:val="20"/>
          <w:lang w:val="en-GB"/>
        </w:rPr>
        <w:t xml:space="preserve">* </w:t>
      </w:r>
      <w:r w:rsidR="001D434A" w:rsidRPr="00882288">
        <w:rPr>
          <w:rFonts w:ascii="Times New Roman" w:eastAsia="MS PGothic" w:hAnsi="Times New Roman"/>
          <w:bCs/>
          <w:i/>
          <w:iCs/>
          <w:sz w:val="20"/>
          <w:lang w:val="en-GB"/>
        </w:rPr>
        <w:t>mariasole.cipolletta</w:t>
      </w:r>
      <w:r w:rsidRPr="00882288">
        <w:rPr>
          <w:rFonts w:ascii="Times New Roman" w:eastAsia="MS PGothic" w:hAnsi="Times New Roman"/>
          <w:bCs/>
          <w:i/>
          <w:iCs/>
          <w:sz w:val="20"/>
          <w:lang w:val="en-GB"/>
        </w:rPr>
        <w:t>@</w:t>
      </w:r>
      <w:r w:rsidR="001D434A" w:rsidRPr="00882288">
        <w:rPr>
          <w:rFonts w:ascii="Times New Roman" w:eastAsia="MS PGothic" w:hAnsi="Times New Roman"/>
          <w:bCs/>
          <w:i/>
          <w:iCs/>
          <w:sz w:val="20"/>
          <w:lang w:val="en-GB"/>
        </w:rPr>
        <w:t>unibo.it</w:t>
      </w:r>
    </w:p>
    <w:p w14:paraId="110B92B3" w14:textId="346EE9FA" w:rsidR="00DA51A3" w:rsidRPr="00882288" w:rsidRDefault="00DA51A3" w:rsidP="00DA51A3">
      <w:pPr>
        <w:snapToGrid w:val="0"/>
        <w:spacing w:line="300" w:lineRule="auto"/>
        <w:rPr>
          <w:rFonts w:ascii="Times New Roman" w:eastAsia="MS PGothic" w:hAnsi="Times New Roman"/>
          <w:b/>
          <w:bCs/>
          <w:lang w:val="en-US" w:eastAsia="ko-KR"/>
        </w:rPr>
      </w:pPr>
      <w:r w:rsidRPr="00882288">
        <w:rPr>
          <w:rFonts w:ascii="Times New Roman" w:eastAsia="MS PGothic" w:hAnsi="Times New Roman"/>
          <w:b/>
          <w:bCs/>
          <w:lang w:val="en-US"/>
        </w:rPr>
        <w:t>1.</w:t>
      </w:r>
      <w:r w:rsidR="00390463" w:rsidRPr="00882288">
        <w:rPr>
          <w:rFonts w:ascii="Times New Roman" w:eastAsia="MS PGothic" w:hAnsi="Times New Roman"/>
          <w:b/>
          <w:bCs/>
          <w:lang w:val="en-US"/>
        </w:rPr>
        <w:t xml:space="preserve"> </w:t>
      </w:r>
      <w:r w:rsidR="003F160A" w:rsidRPr="00882288">
        <w:rPr>
          <w:rFonts w:ascii="Times New Roman" w:eastAsia="MS PGothic" w:hAnsi="Times New Roman"/>
          <w:b/>
          <w:bCs/>
          <w:lang w:val="en-US"/>
        </w:rPr>
        <w:t>Introduction</w:t>
      </w:r>
    </w:p>
    <w:p w14:paraId="1E5A3785" w14:textId="6336483D" w:rsidR="001B2730" w:rsidRDefault="008A5C40" w:rsidP="00321C2C">
      <w:pPr>
        <w:snapToGrid w:val="0"/>
        <w:spacing w:after="0"/>
        <w:rPr>
          <w:rFonts w:ascii="Times New Roman" w:eastAsia="MS PGothic" w:hAnsi="Times New Roman"/>
          <w:lang w:val="en-US"/>
        </w:rPr>
      </w:pPr>
      <w:r>
        <w:rPr>
          <w:rFonts w:ascii="Times New Roman" w:eastAsia="MS PGothic" w:hAnsi="Times New Roman"/>
          <w:lang w:val="en-US"/>
        </w:rPr>
        <w:t>W</w:t>
      </w:r>
      <w:r w:rsidR="00807495" w:rsidRPr="00882288">
        <w:rPr>
          <w:rFonts w:ascii="Times New Roman" w:eastAsia="MS PGothic" w:hAnsi="Times New Roman"/>
          <w:lang w:val="en-US"/>
        </w:rPr>
        <w:t>h</w:t>
      </w:r>
      <w:r w:rsidR="004C34F3" w:rsidRPr="00882288">
        <w:rPr>
          <w:rFonts w:ascii="Times New Roman" w:eastAsia="MS PGothic" w:hAnsi="Times New Roman"/>
          <w:lang w:val="en-US"/>
        </w:rPr>
        <w:t xml:space="preserve">en the </w:t>
      </w:r>
      <w:r w:rsidR="00807495" w:rsidRPr="00882288">
        <w:rPr>
          <w:rFonts w:ascii="Times New Roman" w:eastAsia="MS PGothic" w:hAnsi="Times New Roman"/>
          <w:lang w:val="en-US"/>
        </w:rPr>
        <w:t xml:space="preserve">extraction </w:t>
      </w:r>
      <w:r>
        <w:rPr>
          <w:rFonts w:ascii="Times New Roman" w:eastAsia="MS PGothic" w:hAnsi="Times New Roman"/>
          <w:lang w:val="en-US"/>
        </w:rPr>
        <w:t xml:space="preserve">from end-of-life wells </w:t>
      </w:r>
      <w:r w:rsidR="00807495" w:rsidRPr="00882288">
        <w:rPr>
          <w:rFonts w:ascii="Times New Roman" w:eastAsia="MS PGothic" w:hAnsi="Times New Roman"/>
          <w:lang w:val="en-US"/>
        </w:rPr>
        <w:t xml:space="preserve">is </w:t>
      </w:r>
      <w:r w:rsidR="004C34F3" w:rsidRPr="00882288">
        <w:rPr>
          <w:rFonts w:ascii="Times New Roman" w:eastAsia="MS PGothic" w:hAnsi="Times New Roman"/>
          <w:lang w:val="en-US"/>
        </w:rPr>
        <w:t xml:space="preserve">claimed to be </w:t>
      </w:r>
      <w:r w:rsidR="00807495" w:rsidRPr="00882288">
        <w:rPr>
          <w:rFonts w:ascii="Times New Roman" w:eastAsia="MS PGothic" w:hAnsi="Times New Roman"/>
          <w:lang w:val="en-US"/>
        </w:rPr>
        <w:t>no more economically viable</w:t>
      </w:r>
      <w:r>
        <w:rPr>
          <w:rFonts w:ascii="Times New Roman" w:eastAsia="MS PGothic" w:hAnsi="Times New Roman"/>
          <w:lang w:val="en-US"/>
        </w:rPr>
        <w:t>, reservoirs</w:t>
      </w:r>
      <w:r w:rsidRPr="00882288">
        <w:rPr>
          <w:rFonts w:ascii="Times New Roman" w:eastAsia="MS PGothic" w:hAnsi="Times New Roman"/>
          <w:lang w:val="en-US"/>
        </w:rPr>
        <w:t xml:space="preserve"> </w:t>
      </w:r>
      <w:r>
        <w:rPr>
          <w:rFonts w:ascii="Times New Roman" w:eastAsia="MS PGothic" w:hAnsi="Times New Roman"/>
          <w:lang w:val="en-US"/>
        </w:rPr>
        <w:t>still have</w:t>
      </w:r>
      <w:r w:rsidR="001B2730">
        <w:rPr>
          <w:rFonts w:ascii="Times New Roman" w:eastAsia="MS PGothic" w:hAnsi="Times New Roman"/>
          <w:lang w:val="en-US"/>
        </w:rPr>
        <w:t xml:space="preserve"> high amounts of potentially exploitable </w:t>
      </w:r>
      <w:r w:rsidRPr="00882288">
        <w:rPr>
          <w:rFonts w:ascii="Times New Roman" w:eastAsia="MS PGothic" w:hAnsi="Times New Roman"/>
          <w:lang w:val="en-US"/>
        </w:rPr>
        <w:t xml:space="preserve">fossil fuels </w:t>
      </w:r>
      <w:r w:rsidR="00807495" w:rsidRPr="00882288">
        <w:rPr>
          <w:rFonts w:ascii="Times New Roman" w:eastAsia="MS PGothic" w:hAnsi="Times New Roman"/>
          <w:lang w:val="en-US"/>
        </w:rPr>
        <w:fldChar w:fldCharType="begin" w:fldLock="1"/>
      </w:r>
      <w:r w:rsidR="00001A39" w:rsidRPr="00882288">
        <w:rPr>
          <w:rFonts w:ascii="Times New Roman" w:eastAsia="MS PGothic" w:hAnsi="Times New Roman"/>
          <w:lang w:val="en-US"/>
        </w:rPr>
        <w:instrText>ADDIN CSL_CITATION {"citationItems":[{"id":"ITEM-1","itemData":{"DOI":"10.3390/en13092153","ISSN":"19961073","abstract":"The paper presents the assessment of the resources of methane considered as the main mineral in the most prospective selected areas of the Upper Silesian Coal Basin, Poland in the region of undeveloped deposits. The methane resources were estimated by means of a volumetric method at three depth levels, 1000, 1250, and 1500 m. A part of the Studzienice deposit comprising three coal seams, 333, 336, and 337, located in a methane zone was chosen for the numerical modeling of simulated methane production. The presented static 3D model has been developed using Petrel Schlumberger software. The total resources of methane in the area amount to approximately 446.5 million of Nm3. Numerical simulations of methane production from the selected coal seams with hydraulic fracturing were conducted by means of Schlumberger ECLIPSE reservoir simulator. Based on the simulations, it was concluded that, in the first six months of the simulations, water is produced from the seams, which is connected with the decrease in the rock mass pressure. The process prompts methane desorption from the coal matrix, which in turn results in a total methane production of 76.2 million of Nm3 within the five-year period of the simulations, which constitutes about 17% of total methane resources (GIP). The paper also presents a detailed analysis of Polish legislation concerning the activities aimed at prospecting, exploring, and extracting the deposits of hydrocarbons.","author":[{"dropping-particle":"","family":"Chécko","given":"Jarosław","non-dropping-particle":"","parse-names":false,"suffix":""},{"dropping-particle":"","family":"Urych","given":"Tomasz","non-dropping-particle":"","parse-names":false,"suffix":""},{"dropping-particle":"","family":"Magdziarczyk","given":"Małgorzata","non-dropping-particle":"","parse-names":false,"suffix":""},{"dropping-particle":"","family":"Smolínski","given":"Adam","non-dropping-particle":"","parse-names":false,"suffix":""}],"container-title":"Energies","id":"ITEM-1","issue":"9","issued":{"date-parts":[["2020"]]},"page":"1-20","title":"Resource assessment and numerical modeling of CBM extraction in the upper Silesian coal Basin, Poland","type":"article-journal","volume":"13"},"uris":["http://www.mendeley.com/documents/?uuid=6e08580a-691a-4f41-9c9f-5892b5f2abd4"]}],"mendeley":{"formattedCitation":"[1]","plainTextFormattedCitation":"[1]","previouslyFormattedCitation":"[1]"},"properties":{"noteIndex":0},"schema":"https://github.com/citation-style-language/schema/raw/master/csl-citation.json"}</w:instrText>
      </w:r>
      <w:r w:rsidR="00807495" w:rsidRPr="00882288">
        <w:rPr>
          <w:rFonts w:ascii="Times New Roman" w:eastAsia="MS PGothic" w:hAnsi="Times New Roman"/>
          <w:lang w:val="en-US"/>
        </w:rPr>
        <w:fldChar w:fldCharType="separate"/>
      </w:r>
      <w:r w:rsidR="00807495" w:rsidRPr="00882288">
        <w:rPr>
          <w:rFonts w:ascii="Times New Roman" w:eastAsia="MS PGothic" w:hAnsi="Times New Roman"/>
          <w:noProof/>
          <w:lang w:val="en-US"/>
        </w:rPr>
        <w:t>[1]</w:t>
      </w:r>
      <w:r w:rsidR="00807495" w:rsidRPr="00882288">
        <w:rPr>
          <w:rFonts w:ascii="Times New Roman" w:eastAsia="MS PGothic" w:hAnsi="Times New Roman"/>
          <w:lang w:val="en-US"/>
        </w:rPr>
        <w:fldChar w:fldCharType="end"/>
      </w:r>
      <w:r w:rsidR="00807495" w:rsidRPr="00882288">
        <w:rPr>
          <w:rFonts w:ascii="Times New Roman" w:eastAsia="MS PGothic" w:hAnsi="Times New Roman"/>
          <w:lang w:val="en-US"/>
        </w:rPr>
        <w:t xml:space="preserve">. </w:t>
      </w:r>
      <w:r w:rsidR="004C34F3" w:rsidRPr="00882288">
        <w:rPr>
          <w:rFonts w:ascii="Times New Roman" w:eastAsia="MS PGothic" w:hAnsi="Times New Roman"/>
          <w:lang w:val="en-US"/>
        </w:rPr>
        <w:t>Th</w:t>
      </w:r>
      <w:r w:rsidR="00C50084">
        <w:rPr>
          <w:rFonts w:ascii="Times New Roman" w:eastAsia="MS PGothic" w:hAnsi="Times New Roman"/>
          <w:lang w:val="en-US"/>
        </w:rPr>
        <w:t>ese</w:t>
      </w:r>
      <w:r w:rsidR="00807495" w:rsidRPr="00882288">
        <w:rPr>
          <w:rFonts w:ascii="Times New Roman" w:eastAsia="MS PGothic" w:hAnsi="Times New Roman"/>
          <w:lang w:val="en-US"/>
        </w:rPr>
        <w:t xml:space="preserve"> resi</w:t>
      </w:r>
      <w:r w:rsidR="003B7E19" w:rsidRPr="00882288">
        <w:rPr>
          <w:rFonts w:ascii="Times New Roman" w:eastAsia="MS PGothic" w:hAnsi="Times New Roman"/>
          <w:lang w:val="en-US"/>
        </w:rPr>
        <w:t>dual resource</w:t>
      </w:r>
      <w:r w:rsidR="001B2730">
        <w:rPr>
          <w:rFonts w:ascii="Times New Roman" w:eastAsia="MS PGothic" w:hAnsi="Times New Roman"/>
          <w:lang w:val="en-US"/>
        </w:rPr>
        <w:t>s</w:t>
      </w:r>
      <w:r w:rsidR="003B7E19" w:rsidRPr="00882288">
        <w:rPr>
          <w:rFonts w:ascii="Times New Roman" w:eastAsia="MS PGothic" w:hAnsi="Times New Roman"/>
          <w:lang w:val="en-US"/>
        </w:rPr>
        <w:t xml:space="preserve"> may be valorized if combined with</w:t>
      </w:r>
      <w:r w:rsidR="00807495" w:rsidRPr="00882288">
        <w:rPr>
          <w:rFonts w:ascii="Times New Roman" w:eastAsia="MS PGothic" w:hAnsi="Times New Roman"/>
          <w:lang w:val="en-US"/>
        </w:rPr>
        <w:t xml:space="preserve"> offshore energy generation</w:t>
      </w:r>
      <w:r w:rsidR="004C34F3" w:rsidRPr="00882288">
        <w:rPr>
          <w:rFonts w:ascii="Times New Roman" w:eastAsia="MS PGothic" w:hAnsi="Times New Roman"/>
          <w:lang w:val="en-US"/>
        </w:rPr>
        <w:t>,</w:t>
      </w:r>
      <w:r w:rsidR="00AF2546">
        <w:rPr>
          <w:rFonts w:ascii="Times New Roman" w:eastAsia="MS PGothic" w:hAnsi="Times New Roman"/>
          <w:lang w:val="en-US"/>
        </w:rPr>
        <w:t xml:space="preserve"> where near-to-decommissioning</w:t>
      </w:r>
      <w:r w:rsidR="00807495" w:rsidRPr="00882288">
        <w:rPr>
          <w:rFonts w:ascii="Times New Roman" w:eastAsia="MS PGothic" w:hAnsi="Times New Roman"/>
          <w:lang w:val="en-US"/>
        </w:rPr>
        <w:t xml:space="preserve"> platforms </w:t>
      </w:r>
      <w:r w:rsidR="00AF2546">
        <w:rPr>
          <w:rFonts w:ascii="Times New Roman" w:eastAsia="MS PGothic" w:hAnsi="Times New Roman"/>
          <w:lang w:val="en-US"/>
        </w:rPr>
        <w:t>can be</w:t>
      </w:r>
      <w:r w:rsidR="00807495" w:rsidRPr="00882288">
        <w:rPr>
          <w:rFonts w:ascii="Times New Roman" w:eastAsia="MS PGothic" w:hAnsi="Times New Roman"/>
          <w:lang w:val="en-US"/>
        </w:rPr>
        <w:t xml:space="preserve"> converted into stations for energy collection</w:t>
      </w:r>
      <w:r w:rsidR="00AF2546">
        <w:rPr>
          <w:rFonts w:ascii="Times New Roman" w:eastAsia="MS PGothic" w:hAnsi="Times New Roman"/>
          <w:lang w:val="en-US"/>
        </w:rPr>
        <w:t>, transmission</w:t>
      </w:r>
      <w:r w:rsidR="00286CE5" w:rsidRPr="00882288">
        <w:rPr>
          <w:rFonts w:ascii="Times New Roman" w:eastAsia="MS PGothic" w:hAnsi="Times New Roman"/>
          <w:lang w:val="en-US"/>
        </w:rPr>
        <w:t xml:space="preserve"> and</w:t>
      </w:r>
      <w:r w:rsidR="00807495" w:rsidRPr="00882288">
        <w:rPr>
          <w:rFonts w:ascii="Times New Roman" w:eastAsia="MS PGothic" w:hAnsi="Times New Roman"/>
          <w:lang w:val="en-US"/>
        </w:rPr>
        <w:t xml:space="preserve"> storage</w:t>
      </w:r>
      <w:r w:rsidR="00AF2546">
        <w:rPr>
          <w:rFonts w:ascii="Times New Roman" w:eastAsia="MS PGothic" w:hAnsi="Times New Roman"/>
          <w:lang w:val="en-US"/>
        </w:rPr>
        <w:t>, once the structure’s</w:t>
      </w:r>
      <w:r w:rsidR="00807495" w:rsidRPr="00882288">
        <w:rPr>
          <w:rFonts w:ascii="Times New Roman" w:eastAsia="MS PGothic" w:hAnsi="Times New Roman"/>
          <w:lang w:val="en-US"/>
        </w:rPr>
        <w:t xml:space="preserve"> integrity is ascertained </w:t>
      </w:r>
      <w:r w:rsidR="005D6E2B" w:rsidRPr="00882288">
        <w:rPr>
          <w:rFonts w:ascii="Times New Roman" w:eastAsia="MS PGothic" w:hAnsi="Times New Roman"/>
          <w:lang w:val="en-US"/>
        </w:rPr>
        <w:fldChar w:fldCharType="begin" w:fldLock="1"/>
      </w:r>
      <w:r w:rsidR="00001A39" w:rsidRPr="00882288">
        <w:rPr>
          <w:rFonts w:ascii="Times New Roman" w:eastAsia="MS PGothic" w:hAnsi="Times New Roman"/>
          <w:lang w:val="en-US"/>
        </w:rPr>
        <w:instrText xml:space="preserve">ADDIN CSL_CITATION {"citationItems":[{"id":"ITEM-1","itemData":{"DOI":"10.1016/j.ocecoaman.2018.10.002","ISSN":"09645691","abstract":"The number of fixed oil and gas platforms are declining in the Gulf of Mexico, there were </w:instrText>
      </w:r>
      <w:r w:rsidR="00001A39" w:rsidRPr="00882288">
        <w:rPr>
          <w:rFonts w:ascii="Cambria Math" w:eastAsia="MS PGothic" w:hAnsi="Cambria Math" w:cs="Cambria Math"/>
          <w:lang w:val="en-US"/>
        </w:rPr>
        <w:instrText>∼</w:instrText>
      </w:r>
      <w:r w:rsidR="00001A39" w:rsidRPr="00882288">
        <w:rPr>
          <w:rFonts w:ascii="Times New Roman" w:eastAsia="MS PGothic" w:hAnsi="Times New Roman"/>
          <w:lang w:val="en-US"/>
        </w:rPr>
        <w:instrText xml:space="preserve">3674 platforms installed the since 1942 and today there are </w:instrText>
      </w:r>
      <w:r w:rsidR="00001A39" w:rsidRPr="00882288">
        <w:rPr>
          <w:rFonts w:ascii="Cambria Math" w:eastAsia="MS PGothic" w:hAnsi="Cambria Math" w:cs="Cambria Math"/>
          <w:lang w:val="en-US"/>
        </w:rPr>
        <w:instrText>∼</w:instrText>
      </w:r>
      <w:r w:rsidR="00001A39" w:rsidRPr="00882288">
        <w:rPr>
          <w:rFonts w:ascii="Times New Roman" w:eastAsia="MS PGothic" w:hAnsi="Times New Roman"/>
          <w:lang w:val="en-US"/>
        </w:rPr>
        <w:instrText xml:space="preserve">1320. Eventually, </w:instrText>
      </w:r>
      <w:r w:rsidR="00001A39" w:rsidRPr="00882288">
        <w:rPr>
          <w:rFonts w:ascii="Cambria Math" w:eastAsia="MS PGothic" w:hAnsi="Cambria Math" w:cs="Cambria Math"/>
          <w:lang w:val="en-US"/>
        </w:rPr>
        <w:instrText>∼</w:instrText>
      </w:r>
      <w:r w:rsidR="00001A39" w:rsidRPr="00882288">
        <w:rPr>
          <w:rFonts w:ascii="Times New Roman" w:eastAsia="MS PGothic" w:hAnsi="Times New Roman"/>
          <w:lang w:val="en-US"/>
        </w:rPr>
        <w:instrText>30,000 jobs will be lost in related industries because of platform removals. Retired oil and gas platforms could be redeployed for alternate uses such as CO2 capture and storage, renewable wind energy, and sustainable fisheries and employ citizens in coastal areas. Elsewhere around the world, offshore platforms are used for purposes other than producing oil and gas. U.S. Federal legislation (Energy Policy Act 2005 Section 388 of Pufile:///C:/Users/mariasole.cipollett2/Documents/PhD/WaveG2P/Sole_work/fonti/4695894.pdf file:///C:/Users/mariasole.cipollett2/Documents/PhD/WaveG2P/Sole_work/fonti/1220339-007-zks-0001-r-kustgenese_2_0_available_measurements_and_bathymetric_data_at_ameland_inlet.pdf file:///C:/Users/mariasole.cipollett2/Documents/PhD/WaveG2P/Sole_work/fonti/fmars-06-00548.pdf blic Law [PL] 109-58); 30 CFR 285.1000 Subpart J) authorizes the use of retired oil and gas platforms for alternate uses. If the retired oil and gas structures are preserved, the infrastructure could also be used to recover stranded petroleum using CO2 enhanced oil recovery (CO2-EOR). We examined the socio-economic incentives, environmental impacts, and regulatory issues associated with the alternate uses. We suggest that CO2-EOR is the most economically efficient way to store CO2 offshore and that offshore wind turbines may assist with the energy requirements for oil and gas production and CO2-EOR. Data suggest that in our study area offshore platforms are more successful at producing fish and invertebrates if they are left standing instead of toppled over. The greatest regulatory issue facing the use of retired platforms is the transfer of liability. If the structures are redeployed, the previous oil and gas owner/operators are still responsible for eventual removal and catastrophic events. A variety of future economic activity in the Gulf of Mexico could take advantage of this infrastructure, if it remains in place.","author":[{"dropping-particle":"","family":"Kolian","given":"Stephan R.","non-dropping-particle":"","parse-names":false,"suffix":""},{"dropping-particle":"","family":"Godec","given":"Michael","non-dropping-particle":"","parse-names":false,"suffix":""},{"dropping-particle":"","family":"Sammarco","given":"Paul W.","non-dropping-particle":"","parse-names":false,"suffix":""}],"container-title":"Ocean and Coastal Management","id":"ITEM-1","issue":"March 2018","issued":{"date-parts":[["2019"]]},"page":"52-59","publisher":"Elsevier","title":"Alternate uses of retired oil and gas platforms in the Gulf of Mexico","type":"article-journal","volume":"167"},"uris":["http://www.mendeley.com/documents/?uuid=3b8f70ec-7712-49f5-8299-802d7c331027"]}],"mendeley":{"formattedCitation":"[2]","plainTextFormattedCitation":"[2]","previouslyFormattedCitation":"[2]"},"properties":{"noteIndex":0},"schema":"https://github.com/citation-style-language/schema/raw/master/csl-citation.json"}</w:instrText>
      </w:r>
      <w:r w:rsidR="005D6E2B" w:rsidRPr="00882288">
        <w:rPr>
          <w:rFonts w:ascii="Times New Roman" w:eastAsia="MS PGothic" w:hAnsi="Times New Roman"/>
          <w:lang w:val="en-US"/>
        </w:rPr>
        <w:fldChar w:fldCharType="separate"/>
      </w:r>
      <w:r w:rsidR="00807495" w:rsidRPr="00882288">
        <w:rPr>
          <w:rFonts w:ascii="Times New Roman" w:eastAsia="MS PGothic" w:hAnsi="Times New Roman"/>
          <w:noProof/>
          <w:lang w:val="en-US"/>
        </w:rPr>
        <w:t>[2]</w:t>
      </w:r>
      <w:r w:rsidR="005D6E2B" w:rsidRPr="00882288">
        <w:rPr>
          <w:rFonts w:ascii="Times New Roman" w:eastAsia="MS PGothic" w:hAnsi="Times New Roman"/>
          <w:lang w:val="en-US"/>
        </w:rPr>
        <w:fldChar w:fldCharType="end"/>
      </w:r>
      <w:r w:rsidR="00196FBA" w:rsidRPr="00882288">
        <w:rPr>
          <w:rFonts w:ascii="Times New Roman" w:eastAsia="MS PGothic" w:hAnsi="Times New Roman"/>
          <w:lang w:val="en-US"/>
        </w:rPr>
        <w:t xml:space="preserve">. </w:t>
      </w:r>
      <w:r w:rsidR="007738D8" w:rsidRPr="00882288">
        <w:rPr>
          <w:rFonts w:ascii="Times New Roman" w:eastAsia="MS PGothic" w:hAnsi="Times New Roman"/>
          <w:lang w:val="en-US"/>
        </w:rPr>
        <w:t xml:space="preserve">Power to X (PtX) strategies enable to </w:t>
      </w:r>
      <w:r w:rsidR="00286CE5" w:rsidRPr="00882288">
        <w:rPr>
          <w:rFonts w:ascii="Times New Roman" w:eastAsia="MS PGothic" w:hAnsi="Times New Roman"/>
          <w:lang w:val="en-US"/>
        </w:rPr>
        <w:t>convert</w:t>
      </w:r>
      <w:r w:rsidR="00374004">
        <w:rPr>
          <w:rFonts w:ascii="Times New Roman" w:eastAsia="MS PGothic" w:hAnsi="Times New Roman"/>
          <w:lang w:val="en-US"/>
        </w:rPr>
        <w:t xml:space="preserve"> Renewable E</w:t>
      </w:r>
      <w:r w:rsidR="007738D8" w:rsidRPr="00882288">
        <w:rPr>
          <w:rFonts w:ascii="Times New Roman" w:eastAsia="MS PGothic" w:hAnsi="Times New Roman"/>
          <w:lang w:val="en-US"/>
        </w:rPr>
        <w:t xml:space="preserve">nergy </w:t>
      </w:r>
      <w:r w:rsidR="00374004">
        <w:rPr>
          <w:rFonts w:ascii="Times New Roman" w:eastAsia="MS PGothic" w:hAnsi="Times New Roman"/>
          <w:lang w:val="en-US"/>
        </w:rPr>
        <w:t xml:space="preserve">(RE) </w:t>
      </w:r>
      <w:r w:rsidR="007738D8" w:rsidRPr="00882288">
        <w:rPr>
          <w:rFonts w:ascii="Times New Roman" w:eastAsia="MS PGothic" w:hAnsi="Times New Roman"/>
          <w:lang w:val="en-US"/>
        </w:rPr>
        <w:t xml:space="preserve">into liquid or gaseous </w:t>
      </w:r>
      <w:r w:rsidR="00603B60" w:rsidRPr="00882288">
        <w:rPr>
          <w:rFonts w:ascii="Times New Roman" w:eastAsia="MS PGothic" w:hAnsi="Times New Roman"/>
          <w:lang w:val="en-US"/>
        </w:rPr>
        <w:t>chemical</w:t>
      </w:r>
      <w:r w:rsidR="007738D8" w:rsidRPr="00882288">
        <w:rPr>
          <w:rFonts w:ascii="Times New Roman" w:eastAsia="MS PGothic" w:hAnsi="Times New Roman"/>
          <w:lang w:val="en-US"/>
        </w:rPr>
        <w:t xml:space="preserve"> vectors that can be transported </w:t>
      </w:r>
      <w:r w:rsidR="00603B60" w:rsidRPr="00882288">
        <w:rPr>
          <w:rFonts w:ascii="Times New Roman" w:eastAsia="MS PGothic" w:hAnsi="Times New Roman"/>
          <w:lang w:val="en-US"/>
        </w:rPr>
        <w:t>anywhere</w:t>
      </w:r>
      <w:r w:rsidR="007738D8" w:rsidRPr="00882288">
        <w:rPr>
          <w:rFonts w:ascii="Times New Roman" w:eastAsia="MS PGothic" w:hAnsi="Times New Roman"/>
          <w:lang w:val="en-US"/>
        </w:rPr>
        <w:t xml:space="preserve"> easily by conventional means, </w:t>
      </w:r>
      <w:r w:rsidR="001B2730">
        <w:rPr>
          <w:rFonts w:ascii="Times New Roman" w:eastAsia="MS PGothic" w:hAnsi="Times New Roman"/>
          <w:lang w:val="en-US"/>
        </w:rPr>
        <w:t>overcoming</w:t>
      </w:r>
      <w:r w:rsidR="007738D8" w:rsidRPr="00A47792">
        <w:rPr>
          <w:rFonts w:ascii="Times New Roman" w:eastAsia="MS PGothic" w:hAnsi="Times New Roman"/>
          <w:color w:val="FF0000"/>
          <w:lang w:val="en-US"/>
        </w:rPr>
        <w:t xml:space="preserve"> </w:t>
      </w:r>
      <w:r w:rsidR="007738D8" w:rsidRPr="00882288">
        <w:rPr>
          <w:rFonts w:ascii="Times New Roman" w:eastAsia="MS PGothic" w:hAnsi="Times New Roman"/>
          <w:lang w:val="en-US"/>
        </w:rPr>
        <w:t xml:space="preserve">the issues of </w:t>
      </w:r>
      <w:r w:rsidR="004F296E">
        <w:rPr>
          <w:rFonts w:ascii="Times New Roman" w:eastAsia="MS PGothic" w:hAnsi="Times New Roman"/>
          <w:lang w:val="en-US"/>
        </w:rPr>
        <w:t xml:space="preserve">either </w:t>
      </w:r>
      <w:r w:rsidR="007738D8" w:rsidRPr="00882288">
        <w:rPr>
          <w:rFonts w:ascii="Times New Roman" w:eastAsia="MS PGothic" w:hAnsi="Times New Roman"/>
          <w:lang w:val="en-US"/>
        </w:rPr>
        <w:t>lack of electricity infrastructure or grid saturation</w:t>
      </w:r>
      <w:r w:rsidR="00321C2C">
        <w:rPr>
          <w:rFonts w:ascii="Times New Roman" w:eastAsia="MS PGothic" w:hAnsi="Times New Roman"/>
          <w:lang w:val="en-US"/>
        </w:rPr>
        <w:t xml:space="preserve"> </w:t>
      </w:r>
      <w:r w:rsidR="00321C2C">
        <w:rPr>
          <w:rFonts w:ascii="Times New Roman" w:eastAsia="MS PGothic" w:hAnsi="Times New Roman"/>
          <w:lang w:val="en-US"/>
        </w:rPr>
        <w:fldChar w:fldCharType="begin" w:fldLock="1"/>
      </w:r>
      <w:r w:rsidR="00321C2C">
        <w:rPr>
          <w:rFonts w:ascii="Times New Roman" w:eastAsia="MS PGothic" w:hAnsi="Times New Roman"/>
          <w:lang w:val="en-US"/>
        </w:rPr>
        <w:instrText>ADDIN CSL_CITATION {"citationItems":[{"id":"ITEM-1","itemData":{"DOI":"10.1016/j.rser.2017.09.003","ISSN":"18790690","abstract":"Water electrolysis has the potential to become a key element in coupling the electricity, mobility, heating and chemical sector via Power-to-Liquids (PtL) or Power-to-Gas (PtG) in a future sustainable energy system. Based on an extensive market survey, discussions with manufacturers, project reports and literature, an overview of the current status of alkaline, PEM and solid oxide electrolysis on the way to large-scale flexible energy storage is presented. These main water electrolysis technologies were compared in terms of available capacity, nominal and part-load performance, flexibility (load range, load gradients, start-up time, stand-by losses) lifetime and investment costs. This review provides a basis of the parameters required and the necessary understanding of electrolysis fundamentals and technologies for a techno-economic analysis of water electrolysis-based concepts and an evaluation of PtG and PtL in energy system studies.","author":[{"dropping-particle":"","family":"Buttler","given":"Alexander","non-dropping-particle":"","parse-names":false,"suffix":""},{"dropping-particle":"","family":"Spliethoff","given":"Hartmut","non-dropping-particle":"","parse-names":false,"suffix":""}],"container-title":"Renewable and Sustainable Energy Reviews","id":"ITEM-1","issue":"February 2017","issued":{"date-parts":[["2018"]]},"page":"2440-2454","title":"Current status of water electrolysis for energy storage, grid balancing and sector coupling via power-to-gas and power-to-liquids: A review","type":"article-journal","volume":"82"},"uris":["http://www.mendeley.com/documents/?uuid=8152c356-636f-4490-a799-b64944d11fce"]}],"mendeley":{"formattedCitation":"[3]","plainTextFormattedCitation":"[3]","previouslyFormattedCitation":"[3]"},"properties":{"noteIndex":0},"schema":"https://github.com/citation-style-language/schema/raw/master/csl-citation.json"}</w:instrText>
      </w:r>
      <w:r w:rsidR="00321C2C">
        <w:rPr>
          <w:rFonts w:ascii="Times New Roman" w:eastAsia="MS PGothic" w:hAnsi="Times New Roman"/>
          <w:lang w:val="en-US"/>
        </w:rPr>
        <w:fldChar w:fldCharType="separate"/>
      </w:r>
      <w:r w:rsidR="00321C2C" w:rsidRPr="00321C2C">
        <w:rPr>
          <w:rFonts w:ascii="Times New Roman" w:eastAsia="MS PGothic" w:hAnsi="Times New Roman"/>
          <w:noProof/>
          <w:lang w:val="en-US"/>
        </w:rPr>
        <w:t>[3]</w:t>
      </w:r>
      <w:r w:rsidR="00321C2C">
        <w:rPr>
          <w:rFonts w:ascii="Times New Roman" w:eastAsia="MS PGothic" w:hAnsi="Times New Roman"/>
          <w:lang w:val="en-US"/>
        </w:rPr>
        <w:fldChar w:fldCharType="end"/>
      </w:r>
      <w:r w:rsidR="007738D8" w:rsidRPr="00882288">
        <w:rPr>
          <w:rFonts w:ascii="Times New Roman" w:eastAsia="MS PGothic" w:hAnsi="Times New Roman"/>
          <w:lang w:val="en-US"/>
        </w:rPr>
        <w:t>.</w:t>
      </w:r>
      <w:r w:rsidR="004C34F3" w:rsidRPr="00882288">
        <w:rPr>
          <w:rFonts w:ascii="Times New Roman" w:eastAsia="MS PGothic" w:hAnsi="Times New Roman"/>
          <w:lang w:val="en-US"/>
        </w:rPr>
        <w:t xml:space="preserve"> </w:t>
      </w:r>
      <w:r w:rsidR="00286CE5" w:rsidRPr="00882288">
        <w:rPr>
          <w:rFonts w:ascii="Times New Roman" w:eastAsia="MS PGothic" w:hAnsi="Times New Roman"/>
          <w:lang w:val="en-US"/>
        </w:rPr>
        <w:t xml:space="preserve">This solution is particularly </w:t>
      </w:r>
      <w:r w:rsidR="002F67CB">
        <w:rPr>
          <w:rFonts w:ascii="Times New Roman" w:eastAsia="MS PGothic" w:hAnsi="Times New Roman"/>
          <w:lang w:val="en-US"/>
        </w:rPr>
        <w:t>interesting</w:t>
      </w:r>
      <w:r w:rsidR="004C34F3" w:rsidRPr="00882288">
        <w:rPr>
          <w:rFonts w:ascii="Times New Roman" w:eastAsia="MS PGothic" w:hAnsi="Times New Roman"/>
          <w:lang w:val="en-US"/>
        </w:rPr>
        <w:t xml:space="preserve"> in the framework of energy transition to boost Blue Economy and exploit the offshore</w:t>
      </w:r>
      <w:r w:rsidR="00001A39" w:rsidRPr="00882288">
        <w:rPr>
          <w:rFonts w:ascii="Times New Roman" w:eastAsia="MS PGothic" w:hAnsi="Times New Roman"/>
          <w:lang w:val="en-US"/>
        </w:rPr>
        <w:t xml:space="preserve"> potential</w:t>
      </w:r>
      <w:r w:rsidR="004C34F3" w:rsidRPr="00882288">
        <w:rPr>
          <w:rFonts w:ascii="Times New Roman" w:eastAsia="MS PGothic" w:hAnsi="Times New Roman"/>
          <w:lang w:val="en-US"/>
        </w:rPr>
        <w:t xml:space="preserve"> of </w:t>
      </w:r>
      <w:r w:rsidR="00001A39" w:rsidRPr="00882288">
        <w:rPr>
          <w:rFonts w:ascii="Times New Roman" w:eastAsia="MS PGothic" w:hAnsi="Times New Roman"/>
          <w:lang w:val="en-US"/>
        </w:rPr>
        <w:t xml:space="preserve">multiple </w:t>
      </w:r>
      <w:r w:rsidR="00876E0B">
        <w:rPr>
          <w:rFonts w:ascii="Times New Roman" w:eastAsia="MS PGothic" w:hAnsi="Times New Roman"/>
          <w:lang w:val="en-US"/>
        </w:rPr>
        <w:t>Renewable Energy Sources (RESs)</w:t>
      </w:r>
      <w:r w:rsidR="00321C2C">
        <w:rPr>
          <w:rFonts w:ascii="Times New Roman" w:eastAsia="MS PGothic" w:hAnsi="Times New Roman"/>
          <w:lang w:val="en-US"/>
        </w:rPr>
        <w:t xml:space="preserve"> </w:t>
      </w:r>
      <w:r w:rsidR="00321C2C">
        <w:rPr>
          <w:rFonts w:ascii="Times New Roman" w:eastAsia="MS PGothic" w:hAnsi="Times New Roman"/>
          <w:lang w:val="en-US"/>
        </w:rPr>
        <w:fldChar w:fldCharType="begin" w:fldLock="1"/>
      </w:r>
      <w:r w:rsidR="002F67CB">
        <w:rPr>
          <w:rFonts w:ascii="Times New Roman" w:eastAsia="MS PGothic" w:hAnsi="Times New Roman"/>
          <w:lang w:val="en-US"/>
        </w:rPr>
        <w:instrText>ADDIN CSL_CITATION {"citationItems":[{"id":"ITEM-1","itemData":{"DOI":"10.1016/j.psep.2020.10.016","ISSN":"09575820","abstract":"Sustainable use of the ocean for food and energy production is an emerging area of research in different countries around the world. This goal is pursued by the Australian aquaculture, offshore engineering and renewable energy industries, research organisations and the government through the “Blue Economy Cooperative Research Centre”. To address the challenges of offshore food and energy production, leveraging the benefits of co-location, vertical integration, infrastructure and shared services, will be enabled through the development of novel Multi-Purpose Offshore-Platforms (MPOP). The structural integrity of the designed systems when being deployed in the harsh offshore environment is one of the main challenges in developing the MPOPs. Employing structural reliability analysis methods for assessing the structural safety of the novel aquaculture-MPOPs comes with different limitations. This review aims at shedding light on these limitations and discusses the current status and future directions for structural reliability analysis of a novel aquaculture-MPOP considering Australia's unique environment. To achieve this aim, challenges which exist at different stages of reliability assessment, from data collection and uncertainty quantification to load and structural modelling and reliability analysis implementation, are discussed. Furthermore, several solutions to these challenges are proposed based on the existing knowledge in other sectors, and particularly from the offshore oil and gas industry. Based on the identified gaps in the review process, potential areas for future research are introduced to enable a safer and more reliable operation of the MPOPs.","author":[{"dropping-particle":"","family":"Aryai","given":"Vahid","non-dropping-particle":"","parse-names":false,"suffix":""},{"dropping-particle":"","family":"Abbassi","given":"Roquzbeh","non-dropping-particle":"","parse-names":false,"suffix":""},{"dropping-particle":"","family":"Abdussamie","given":"Nagi","non-dropping-particle":"","parse-names":false,"suffix":""},{"dropping-particle":"","family":"Salehi","given":"Fatemeh","non-dropping-particle":"","parse-names":false,"suffix":""},{"dropping-particle":"","family":"Garaniya","given":"Vikram","non-dropping-particle":"","parse-names":false,"suffix":""},{"dropping-particle":"","family":"Asadnia","given":"Mohsen","non-dropping-particle":"","parse-names":false,"suffix":""},{"dropping-particle":"","family":"Baksh","given":"Al Amin","non-dropping-particle":"","parse-names":false,"suffix":""},{"dropping-particle":"","family":"Penesis","given":"Irene","non-dropping-particle":"","parse-names":false,"suffix":""},{"dropping-particle":"","family":"Karampour","given":"Hassan","non-dropping-particle":"","parse-names":false,"suffix":""},{"dropping-particle":"","family":"Draper","given":"Scott","non-dropping-particle":"","parse-names":false,"suffix":""},{"dropping-particle":"","family":"Magee","given":"Allan","non-dropping-particle":"","parse-names":false,"suffix":""},{"dropping-particle":"","family":"Keng","given":"Ang Kok","non-dropping-particle":"","parse-names":false,"suffix":""},{"dropping-particle":"","family":"Shearer","given":"Chris","non-dropping-particle":"","parse-names":false,"suffix":""},{"dropping-particle":"","family":"Sivandran","given":"Suba","non-dropping-particle":"","parse-names":false,"suffix":""},{"dropping-particle":"","family":"Yew","given":"Lim Kian","non-dropping-particle":"","parse-names":false,"suffix":""},{"dropping-particle":"","family":"Cook","given":"Denham","non-dropping-particle":"","parse-names":false,"suffix":""},{"dropping-particle":"","family":"Underwood","given":"Mark","non-dropping-particle":"","parse-names":false,"suffix":""},{"dropping-particle":"","family":"Martini","given":"Andrew","non-dropping-particle":"","parse-names":false,"suffix":""},{"dropping-particle":"","family":"Heasman","given":"Kevin","non-dropping-particle":"","parse-names":false,"suffix":""},{"dropping-particle":"","family":"Abrahams","given":"Jonathan","non-dropping-particle":"","parse-names":false,"suffix":""},{"dropping-particle":"","family":"Wang","given":"Chien Ming","non-dropping-particle":"","parse-names":false,"suffix":""}],"container-title":"Process Safety and Environmental Protection","id":"ITEM-1","issued":{"date-parts":[["2021"]]},"page":"437-461","publisher":"Institution of Chemical Engineers","title":"Reliability of multi-purpose offshore-facilities: Present status and future direction in Australia","type":"article-journal","volume":"148"},"uris":["http://www.mendeley.com/documents/?uuid=427b586e-15c4-4279-9aea-da54272c107d"]}],"mendeley":{"formattedCitation":"[4]","plainTextFormattedCitation":"[4]","previouslyFormattedCitation":"[4]"},"properties":{"noteIndex":0},"schema":"https://github.com/citation-style-language/schema/raw/master/csl-citation.json"}</w:instrText>
      </w:r>
      <w:r w:rsidR="00321C2C">
        <w:rPr>
          <w:rFonts w:ascii="Times New Roman" w:eastAsia="MS PGothic" w:hAnsi="Times New Roman"/>
          <w:lang w:val="en-US"/>
        </w:rPr>
        <w:fldChar w:fldCharType="separate"/>
      </w:r>
      <w:r w:rsidR="00321C2C" w:rsidRPr="00321C2C">
        <w:rPr>
          <w:rFonts w:ascii="Times New Roman" w:eastAsia="MS PGothic" w:hAnsi="Times New Roman"/>
          <w:noProof/>
          <w:lang w:val="en-US"/>
        </w:rPr>
        <w:t>[4]</w:t>
      </w:r>
      <w:r w:rsidR="00321C2C">
        <w:rPr>
          <w:rFonts w:ascii="Times New Roman" w:eastAsia="MS PGothic" w:hAnsi="Times New Roman"/>
          <w:lang w:val="en-US"/>
        </w:rPr>
        <w:fldChar w:fldCharType="end"/>
      </w:r>
      <w:r w:rsidR="00876E0B">
        <w:rPr>
          <w:rFonts w:ascii="Times New Roman" w:eastAsia="MS PGothic" w:hAnsi="Times New Roman"/>
          <w:lang w:val="en-US"/>
        </w:rPr>
        <w:t>.</w:t>
      </w:r>
    </w:p>
    <w:p w14:paraId="08707286" w14:textId="2ECB8407" w:rsidR="00001A39" w:rsidRPr="00882288" w:rsidRDefault="00321C2C" w:rsidP="00321C2C">
      <w:pPr>
        <w:snapToGrid w:val="0"/>
        <w:spacing w:after="0"/>
        <w:rPr>
          <w:rFonts w:ascii="Times New Roman" w:eastAsia="MS PGothic" w:hAnsi="Times New Roman"/>
          <w:lang w:val="en-US"/>
        </w:rPr>
      </w:pPr>
      <w:r>
        <w:rPr>
          <w:rFonts w:ascii="Times New Roman" w:eastAsia="MS PGothic" w:hAnsi="Times New Roman"/>
          <w:lang w:val="en-US"/>
        </w:rPr>
        <w:t xml:space="preserve">This contribution introduces a methodology for the valorization of </w:t>
      </w:r>
      <w:r w:rsidRPr="00882288">
        <w:rPr>
          <w:rFonts w:ascii="Times New Roman" w:eastAsia="MS PGothic" w:hAnsi="Times New Roman"/>
          <w:lang w:val="en-US"/>
        </w:rPr>
        <w:t xml:space="preserve">multiple RESs </w:t>
      </w:r>
      <w:r>
        <w:rPr>
          <w:rFonts w:ascii="Times New Roman" w:eastAsia="MS PGothic" w:hAnsi="Times New Roman"/>
          <w:lang w:val="en-US"/>
        </w:rPr>
        <w:t>in a selected site</w:t>
      </w:r>
      <w:r w:rsidR="001B2730">
        <w:rPr>
          <w:rFonts w:ascii="Times New Roman" w:eastAsia="MS PGothic" w:hAnsi="Times New Roman"/>
          <w:lang w:val="en-US"/>
        </w:rPr>
        <w:t>. T</w:t>
      </w:r>
      <w:r w:rsidR="002F67CB">
        <w:rPr>
          <w:rFonts w:ascii="Times New Roman" w:eastAsia="MS PGothic" w:hAnsi="Times New Roman"/>
          <w:lang w:val="en-US"/>
        </w:rPr>
        <w:t xml:space="preserve">he </w:t>
      </w:r>
      <w:r w:rsidR="001B2730">
        <w:rPr>
          <w:rFonts w:ascii="Times New Roman" w:eastAsia="MS PGothic" w:hAnsi="Times New Roman"/>
          <w:lang w:val="en-US"/>
        </w:rPr>
        <w:t>outcome</w:t>
      </w:r>
      <w:r w:rsidR="002F67CB">
        <w:rPr>
          <w:rFonts w:ascii="Times New Roman" w:eastAsia="MS PGothic" w:hAnsi="Times New Roman"/>
          <w:lang w:val="en-US"/>
        </w:rPr>
        <w:t xml:space="preserve"> is </w:t>
      </w:r>
      <w:r>
        <w:rPr>
          <w:rFonts w:ascii="Times New Roman" w:eastAsia="MS PGothic" w:hAnsi="Times New Roman"/>
          <w:lang w:val="en-US"/>
        </w:rPr>
        <w:t xml:space="preserve">the </w:t>
      </w:r>
      <w:r w:rsidR="004C34F3" w:rsidRPr="00882288">
        <w:rPr>
          <w:rFonts w:ascii="Times New Roman" w:eastAsia="MS PGothic" w:hAnsi="Times New Roman"/>
          <w:lang w:val="en-US"/>
        </w:rPr>
        <w:t xml:space="preserve">design </w:t>
      </w:r>
      <w:r>
        <w:rPr>
          <w:rFonts w:ascii="Times New Roman" w:eastAsia="MS PGothic" w:hAnsi="Times New Roman"/>
          <w:lang w:val="en-US"/>
        </w:rPr>
        <w:t xml:space="preserve">of </w:t>
      </w:r>
      <w:r w:rsidR="004C34F3" w:rsidRPr="00882288">
        <w:rPr>
          <w:rFonts w:ascii="Times New Roman" w:eastAsia="MS PGothic" w:hAnsi="Times New Roman"/>
          <w:lang w:val="en-US"/>
        </w:rPr>
        <w:t xml:space="preserve">an integrated </w:t>
      </w:r>
      <w:r>
        <w:rPr>
          <w:rFonts w:ascii="Times New Roman" w:eastAsia="MS PGothic" w:hAnsi="Times New Roman"/>
          <w:lang w:val="en-US"/>
        </w:rPr>
        <w:t xml:space="preserve">energy </w:t>
      </w:r>
      <w:r w:rsidR="004C34F3" w:rsidRPr="00882288">
        <w:rPr>
          <w:rFonts w:ascii="Times New Roman" w:eastAsia="MS PGothic" w:hAnsi="Times New Roman"/>
          <w:lang w:val="en-US"/>
        </w:rPr>
        <w:t>system based on offshore RESs</w:t>
      </w:r>
      <w:r w:rsidR="00AA3135" w:rsidRPr="00882288">
        <w:rPr>
          <w:rFonts w:ascii="Times New Roman" w:eastAsia="MS PGothic" w:hAnsi="Times New Roman"/>
          <w:lang w:val="en-US"/>
        </w:rPr>
        <w:t xml:space="preserve"> that ca</w:t>
      </w:r>
      <w:r w:rsidR="001B2730">
        <w:rPr>
          <w:rFonts w:ascii="Times New Roman" w:eastAsia="MS PGothic" w:hAnsi="Times New Roman"/>
          <w:lang w:val="en-US"/>
        </w:rPr>
        <w:t>n provide the required energy to</w:t>
      </w:r>
      <w:r w:rsidR="009927E8" w:rsidRPr="00882288">
        <w:rPr>
          <w:rFonts w:ascii="Times New Roman" w:eastAsia="MS PGothic" w:hAnsi="Times New Roman"/>
          <w:lang w:val="en-US"/>
        </w:rPr>
        <w:t xml:space="preserve"> an offshore facility </w:t>
      </w:r>
      <w:r>
        <w:rPr>
          <w:rFonts w:ascii="Times New Roman" w:eastAsia="MS PGothic" w:hAnsi="Times New Roman"/>
          <w:lang w:val="en-US"/>
        </w:rPr>
        <w:t xml:space="preserve">producing </w:t>
      </w:r>
      <w:r w:rsidR="002F67CB">
        <w:rPr>
          <w:rFonts w:ascii="Times New Roman" w:eastAsia="MS PGothic" w:hAnsi="Times New Roman"/>
          <w:lang w:val="en-US"/>
        </w:rPr>
        <w:t>a targeted energy vector</w:t>
      </w:r>
      <w:r w:rsidR="00001A39" w:rsidRPr="00882288">
        <w:rPr>
          <w:rFonts w:ascii="Times New Roman" w:eastAsia="MS PGothic" w:hAnsi="Times New Roman"/>
          <w:lang w:val="en-US"/>
        </w:rPr>
        <w:t xml:space="preserve">. The </w:t>
      </w:r>
      <w:r>
        <w:rPr>
          <w:rFonts w:ascii="Times New Roman" w:eastAsia="MS PGothic" w:hAnsi="Times New Roman"/>
          <w:lang w:val="en-US"/>
        </w:rPr>
        <w:t xml:space="preserve">proposed </w:t>
      </w:r>
      <w:r w:rsidR="00001A39" w:rsidRPr="00882288">
        <w:rPr>
          <w:rFonts w:ascii="Times New Roman" w:eastAsia="MS PGothic" w:hAnsi="Times New Roman"/>
          <w:lang w:val="en-US"/>
        </w:rPr>
        <w:t>method has two main aims</w:t>
      </w:r>
      <w:r w:rsidR="008511A0">
        <w:rPr>
          <w:rFonts w:ascii="Times New Roman" w:eastAsia="MS PGothic" w:hAnsi="Times New Roman"/>
          <w:lang w:val="en-US"/>
        </w:rPr>
        <w:t xml:space="preserve">: i) </w:t>
      </w:r>
      <w:r w:rsidR="00001A39" w:rsidRPr="00882288">
        <w:rPr>
          <w:rFonts w:ascii="Times New Roman" w:eastAsia="MS PGothic" w:hAnsi="Times New Roman"/>
          <w:lang w:val="en-US"/>
        </w:rPr>
        <w:t xml:space="preserve">identifying the more sustainable energy </w:t>
      </w:r>
      <w:r w:rsidR="00286CE5" w:rsidRPr="00882288">
        <w:rPr>
          <w:rFonts w:ascii="Times New Roman" w:eastAsia="MS PGothic" w:hAnsi="Times New Roman"/>
          <w:lang w:val="en-US"/>
        </w:rPr>
        <w:t xml:space="preserve">mix in any location where </w:t>
      </w:r>
      <w:r w:rsidR="001B2730">
        <w:rPr>
          <w:rFonts w:ascii="Times New Roman" w:eastAsia="MS PGothic" w:hAnsi="Times New Roman"/>
          <w:lang w:val="en-US"/>
        </w:rPr>
        <w:t>a</w:t>
      </w:r>
      <w:r w:rsidR="00286CE5" w:rsidRPr="00882288">
        <w:rPr>
          <w:rFonts w:ascii="Times New Roman" w:eastAsia="MS PGothic" w:hAnsi="Times New Roman"/>
          <w:lang w:val="en-US"/>
        </w:rPr>
        <w:t xml:space="preserve"> RES </w:t>
      </w:r>
      <w:r w:rsidR="001B2730">
        <w:rPr>
          <w:rFonts w:ascii="Times New Roman" w:eastAsia="MS PGothic" w:hAnsi="Times New Roman"/>
          <w:lang w:val="en-US"/>
        </w:rPr>
        <w:t>exploitation</w:t>
      </w:r>
      <w:r w:rsidR="00286CE5" w:rsidRPr="00882288">
        <w:rPr>
          <w:rFonts w:ascii="Times New Roman" w:eastAsia="MS PGothic" w:hAnsi="Times New Roman"/>
          <w:lang w:val="en-US"/>
        </w:rPr>
        <w:t xml:space="preserve"> opportunity</w:t>
      </w:r>
      <w:r w:rsidR="001B2730">
        <w:rPr>
          <w:rFonts w:ascii="Times New Roman" w:eastAsia="MS PGothic" w:hAnsi="Times New Roman"/>
          <w:lang w:val="en-US"/>
        </w:rPr>
        <w:t xml:space="preserve"> is present</w:t>
      </w:r>
      <w:r w:rsidR="008511A0">
        <w:rPr>
          <w:rFonts w:ascii="Times New Roman" w:eastAsia="MS PGothic" w:hAnsi="Times New Roman"/>
          <w:lang w:val="en-US"/>
        </w:rPr>
        <w:t>; ii)</w:t>
      </w:r>
      <w:r w:rsidR="00286CE5" w:rsidRPr="00882288">
        <w:rPr>
          <w:rFonts w:ascii="Times New Roman" w:eastAsia="MS PGothic" w:hAnsi="Times New Roman"/>
          <w:lang w:val="en-US"/>
        </w:rPr>
        <w:t xml:space="preserve"> </w:t>
      </w:r>
      <w:r w:rsidR="00001A39" w:rsidRPr="00882288">
        <w:rPr>
          <w:rFonts w:ascii="Times New Roman" w:eastAsia="MS PGothic" w:hAnsi="Times New Roman"/>
          <w:lang w:val="en-US"/>
        </w:rPr>
        <w:t xml:space="preserve">optimally designing the hybrid power system </w:t>
      </w:r>
      <w:r w:rsidR="004F296E">
        <w:rPr>
          <w:rFonts w:ascii="Times New Roman" w:eastAsia="MS PGothic" w:hAnsi="Times New Roman"/>
          <w:lang w:val="en-US"/>
        </w:rPr>
        <w:t>so that it can</w:t>
      </w:r>
      <w:r w:rsidR="00001A39" w:rsidRPr="00882288">
        <w:rPr>
          <w:rFonts w:ascii="Times New Roman" w:eastAsia="MS PGothic" w:hAnsi="Times New Roman"/>
          <w:lang w:val="en-US"/>
        </w:rPr>
        <w:t xml:space="preserve"> independently s</w:t>
      </w:r>
      <w:r w:rsidR="001B2730">
        <w:rPr>
          <w:rFonts w:ascii="Times New Roman" w:eastAsia="MS PGothic" w:hAnsi="Times New Roman"/>
          <w:lang w:val="en-US"/>
        </w:rPr>
        <w:t>upport</w:t>
      </w:r>
      <w:r w:rsidR="00001A39" w:rsidRPr="00882288">
        <w:rPr>
          <w:rFonts w:ascii="Times New Roman" w:eastAsia="MS PGothic" w:hAnsi="Times New Roman"/>
          <w:lang w:val="en-US"/>
        </w:rPr>
        <w:t xml:space="preserve"> a facility producing an energy carrier of interest. The method is demonstrated </w:t>
      </w:r>
      <w:r w:rsidR="001B2730">
        <w:rPr>
          <w:rFonts w:ascii="Times New Roman" w:eastAsia="MS PGothic" w:hAnsi="Times New Roman"/>
          <w:lang w:val="en-US"/>
        </w:rPr>
        <w:t>by its</w:t>
      </w:r>
      <w:r w:rsidR="00001A39" w:rsidRPr="00882288">
        <w:rPr>
          <w:rFonts w:ascii="Times New Roman" w:eastAsia="MS PGothic" w:hAnsi="Times New Roman"/>
          <w:lang w:val="en-US"/>
        </w:rPr>
        <w:t xml:space="preserve"> </w:t>
      </w:r>
      <w:r w:rsidR="004F296E">
        <w:rPr>
          <w:rFonts w:ascii="Times New Roman" w:eastAsia="MS PGothic" w:hAnsi="Times New Roman"/>
          <w:lang w:val="en-US"/>
        </w:rPr>
        <w:t xml:space="preserve">application to </w:t>
      </w:r>
      <w:r w:rsidR="00001A39" w:rsidRPr="00882288">
        <w:rPr>
          <w:rFonts w:ascii="Times New Roman" w:eastAsia="MS PGothic" w:hAnsi="Times New Roman"/>
          <w:lang w:val="en-US"/>
        </w:rPr>
        <w:t>an offshore platform in Northern Adriatic Sea where residu</w:t>
      </w:r>
      <w:r w:rsidR="00286CE5" w:rsidRPr="00882288">
        <w:rPr>
          <w:rFonts w:ascii="Times New Roman" w:eastAsia="MS PGothic" w:hAnsi="Times New Roman"/>
          <w:lang w:val="en-US"/>
        </w:rPr>
        <w:t xml:space="preserve">al natural gas (NG) </w:t>
      </w:r>
      <w:r w:rsidR="00374004">
        <w:rPr>
          <w:rFonts w:ascii="Times New Roman" w:eastAsia="MS PGothic" w:hAnsi="Times New Roman"/>
          <w:lang w:val="en-US"/>
        </w:rPr>
        <w:t xml:space="preserve">and </w:t>
      </w:r>
      <w:r w:rsidR="001B2730">
        <w:rPr>
          <w:rFonts w:ascii="Times New Roman" w:eastAsia="MS PGothic" w:hAnsi="Times New Roman"/>
          <w:lang w:val="en-US"/>
        </w:rPr>
        <w:t xml:space="preserve">oxygen in </w:t>
      </w:r>
      <w:r w:rsidR="00374004">
        <w:rPr>
          <w:rFonts w:ascii="Times New Roman" w:eastAsia="MS PGothic" w:hAnsi="Times New Roman"/>
          <w:lang w:val="en-US"/>
        </w:rPr>
        <w:t xml:space="preserve">air are the in-loco substrates used </w:t>
      </w:r>
      <w:r w:rsidR="00001A39" w:rsidRPr="00882288">
        <w:rPr>
          <w:rFonts w:ascii="Times New Roman" w:eastAsia="MS PGothic" w:hAnsi="Times New Roman"/>
          <w:lang w:val="en-US"/>
        </w:rPr>
        <w:t xml:space="preserve">for methanol production </w:t>
      </w:r>
      <w:r w:rsidR="002D2317" w:rsidRPr="00882288">
        <w:rPr>
          <w:rFonts w:ascii="Times New Roman" w:eastAsia="MS PGothic" w:hAnsi="Times New Roman"/>
          <w:lang w:val="en-US"/>
        </w:rPr>
        <w:t>via</w:t>
      </w:r>
      <w:r w:rsidR="00001A39" w:rsidRPr="00882288">
        <w:rPr>
          <w:rFonts w:ascii="Times New Roman" w:eastAsia="MS PGothic" w:hAnsi="Times New Roman"/>
          <w:lang w:val="en-US"/>
        </w:rPr>
        <w:t xml:space="preserve"> methane partial oxidation </w:t>
      </w:r>
      <w:r w:rsidR="00001A39" w:rsidRPr="00882288">
        <w:rPr>
          <w:rFonts w:ascii="Times New Roman" w:eastAsia="MS PGothic" w:hAnsi="Times New Roman"/>
          <w:lang w:val="en-US"/>
        </w:rPr>
        <w:fldChar w:fldCharType="begin" w:fldLock="1"/>
      </w:r>
      <w:r w:rsidR="002F67CB">
        <w:rPr>
          <w:rFonts w:ascii="Times New Roman" w:eastAsia="MS PGothic" w:hAnsi="Times New Roman"/>
          <w:lang w:val="en-US"/>
        </w:rPr>
        <w:instrText>ADDIN CSL_CITATION {"citationItems":[{"id":"ITEM-1","itemData":{"author":[{"dropping-particle":"","family":"Olah","given":"George Andrew","non-dropping-particle":"","parse-names":false,"suffix":""},{"dropping-particle":"","family":"Goeppert","given":"Alain","non-dropping-particle":"","parse-names":false,"suffix":""},{"dropping-particle":"","family":"Prakash","given":"G K Surya","non-dropping-particle":"","parse-names":false,"suffix":""}],"edition":"3rd","id":"ITEM-1","issued":{"date-parts":[["2018"]]},"publisher":"Wiley-VCH","title":"Beyond Oil and Gas: the Methanol Economy","type":"book"},"uris":["http://www.mendeley.com/documents/?uuid=cdb587c9-3680-47a5-af6b-914791c2d304"]}],"mendeley":{"formattedCitation":"[5]","plainTextFormattedCitation":"[5]","previouslyFormattedCitation":"[5]"},"properties":{"noteIndex":0},"schema":"https://github.com/citation-style-language/schema/raw/master/csl-citation.json"}</w:instrText>
      </w:r>
      <w:r w:rsidR="00001A39" w:rsidRPr="00882288">
        <w:rPr>
          <w:rFonts w:ascii="Times New Roman" w:eastAsia="MS PGothic" w:hAnsi="Times New Roman"/>
          <w:lang w:val="en-US"/>
        </w:rPr>
        <w:fldChar w:fldCharType="separate"/>
      </w:r>
      <w:r w:rsidRPr="00321C2C">
        <w:rPr>
          <w:rFonts w:ascii="Times New Roman" w:eastAsia="MS PGothic" w:hAnsi="Times New Roman"/>
          <w:noProof/>
          <w:lang w:val="en-US"/>
        </w:rPr>
        <w:t>[5]</w:t>
      </w:r>
      <w:r w:rsidR="00001A39" w:rsidRPr="00882288">
        <w:rPr>
          <w:rFonts w:ascii="Times New Roman" w:eastAsia="MS PGothic" w:hAnsi="Times New Roman"/>
          <w:lang w:val="en-US"/>
        </w:rPr>
        <w:fldChar w:fldCharType="end"/>
      </w:r>
      <w:r w:rsidR="00001A39" w:rsidRPr="00882288">
        <w:rPr>
          <w:rFonts w:ascii="Times New Roman" w:eastAsia="MS PGothic" w:hAnsi="Times New Roman"/>
          <w:lang w:val="en-US"/>
        </w:rPr>
        <w:t xml:space="preserve">. </w:t>
      </w:r>
    </w:p>
    <w:p w14:paraId="0871BF31" w14:textId="77777777" w:rsidR="00DA51A3" w:rsidRPr="00882288" w:rsidRDefault="00DA51A3" w:rsidP="00DA51A3">
      <w:pPr>
        <w:snapToGrid w:val="0"/>
        <w:spacing w:before="240" w:line="300" w:lineRule="auto"/>
        <w:rPr>
          <w:rFonts w:ascii="Times New Roman" w:eastAsia="MS PGothic" w:hAnsi="Times New Roman"/>
          <w:lang w:val="en-US"/>
        </w:rPr>
      </w:pPr>
      <w:r w:rsidRPr="00882288">
        <w:rPr>
          <w:rFonts w:ascii="Times New Roman" w:eastAsia="MS PGothic" w:hAnsi="Times New Roman"/>
          <w:b/>
          <w:bCs/>
          <w:lang w:val="en-US"/>
        </w:rPr>
        <w:t>2. Methods</w:t>
      </w:r>
    </w:p>
    <w:p w14:paraId="15B32033" w14:textId="4B9DD4D4" w:rsidR="001D434A" w:rsidRPr="00882288" w:rsidRDefault="005535DD" w:rsidP="000947EA">
      <w:pPr>
        <w:snapToGrid w:val="0"/>
        <w:spacing w:before="240"/>
        <w:rPr>
          <w:rFonts w:ascii="Times New Roman" w:eastAsia="MS PGothic" w:hAnsi="Times New Roman"/>
          <w:b/>
          <w:lang w:val="en-US"/>
        </w:rPr>
      </w:pPr>
      <w:r w:rsidRPr="00882288">
        <w:rPr>
          <w:rFonts w:ascii="Times New Roman" w:eastAsia="MS PGothic" w:hAnsi="Times New Roman"/>
          <w:lang w:val="en-US"/>
        </w:rPr>
        <w:t xml:space="preserve">The </w:t>
      </w:r>
      <w:r w:rsidR="002D2317" w:rsidRPr="00882288">
        <w:rPr>
          <w:rFonts w:ascii="Times New Roman" w:eastAsia="MS PGothic" w:hAnsi="Times New Roman"/>
          <w:lang w:val="en-US"/>
        </w:rPr>
        <w:t xml:space="preserve">methodology </w:t>
      </w:r>
      <w:r w:rsidR="00D307FB" w:rsidRPr="00882288">
        <w:rPr>
          <w:rFonts w:ascii="Times New Roman" w:eastAsia="MS PGothic" w:hAnsi="Times New Roman"/>
          <w:lang w:val="en-US"/>
        </w:rPr>
        <w:t xml:space="preserve">starts with the selection </w:t>
      </w:r>
      <w:r w:rsidR="00320201">
        <w:rPr>
          <w:rFonts w:ascii="Times New Roman" w:eastAsia="MS PGothic" w:hAnsi="Times New Roman"/>
          <w:lang w:val="en-US"/>
        </w:rPr>
        <w:t xml:space="preserve">of </w:t>
      </w:r>
      <w:r w:rsidR="001B2730">
        <w:rPr>
          <w:rFonts w:ascii="Times New Roman" w:eastAsia="MS PGothic" w:hAnsi="Times New Roman"/>
          <w:lang w:val="en-US"/>
        </w:rPr>
        <w:t xml:space="preserve">a site </w:t>
      </w:r>
      <w:r w:rsidR="001D434A" w:rsidRPr="00882288">
        <w:rPr>
          <w:rFonts w:ascii="Times New Roman" w:eastAsia="MS PGothic" w:hAnsi="Times New Roman"/>
          <w:lang w:val="en-US"/>
        </w:rPr>
        <w:t xml:space="preserve">where the </w:t>
      </w:r>
      <w:r w:rsidR="00D307FB" w:rsidRPr="00882288">
        <w:rPr>
          <w:rFonts w:ascii="Times New Roman" w:eastAsia="MS PGothic" w:hAnsi="Times New Roman"/>
          <w:lang w:val="en-US"/>
        </w:rPr>
        <w:t xml:space="preserve">exploitation </w:t>
      </w:r>
      <w:r w:rsidR="001D434A" w:rsidRPr="00882288">
        <w:rPr>
          <w:rFonts w:ascii="Times New Roman" w:eastAsia="MS PGothic" w:hAnsi="Times New Roman"/>
          <w:lang w:val="en-US"/>
        </w:rPr>
        <w:t>potential of multiple RESs is a</w:t>
      </w:r>
      <w:r w:rsidR="001B2730">
        <w:rPr>
          <w:rFonts w:ascii="Times New Roman" w:eastAsia="MS PGothic" w:hAnsi="Times New Roman"/>
          <w:lang w:val="en-US"/>
        </w:rPr>
        <w:t>ttractive</w:t>
      </w:r>
      <w:r w:rsidR="001D434A" w:rsidRPr="00882288">
        <w:rPr>
          <w:rFonts w:ascii="Times New Roman" w:eastAsia="MS PGothic" w:hAnsi="Times New Roman"/>
          <w:lang w:val="en-US"/>
        </w:rPr>
        <w:t xml:space="preserve">. </w:t>
      </w:r>
      <w:r w:rsidR="00D307FB" w:rsidRPr="00882288">
        <w:rPr>
          <w:rFonts w:ascii="Times New Roman" w:eastAsia="MS PGothic" w:hAnsi="Times New Roman"/>
          <w:lang w:val="en-US"/>
        </w:rPr>
        <w:t>A</w:t>
      </w:r>
      <w:r w:rsidR="001D434A" w:rsidRPr="00882288">
        <w:rPr>
          <w:rFonts w:ascii="Times New Roman" w:eastAsia="MS PGothic" w:hAnsi="Times New Roman"/>
          <w:lang w:val="en-US"/>
        </w:rPr>
        <w:t xml:space="preserve"> set of factors that represent constraints for the application of the methodology</w:t>
      </w:r>
      <w:r w:rsidR="002D2317" w:rsidRPr="00882288">
        <w:rPr>
          <w:rFonts w:ascii="Times New Roman" w:eastAsia="MS PGothic" w:hAnsi="Times New Roman"/>
          <w:lang w:val="en-US"/>
        </w:rPr>
        <w:t xml:space="preserve"> </w:t>
      </w:r>
      <w:r w:rsidR="00D307FB" w:rsidRPr="00882288">
        <w:rPr>
          <w:rFonts w:ascii="Times New Roman" w:eastAsia="MS PGothic" w:hAnsi="Times New Roman"/>
          <w:lang w:val="en-US"/>
        </w:rPr>
        <w:t>are then</w:t>
      </w:r>
      <w:r w:rsidR="00541299" w:rsidRPr="00882288">
        <w:rPr>
          <w:rFonts w:ascii="Times New Roman" w:eastAsia="MS PGothic" w:hAnsi="Times New Roman"/>
          <w:lang w:val="en-US"/>
        </w:rPr>
        <w:t xml:space="preserve"> </w:t>
      </w:r>
      <w:r w:rsidR="001B2730">
        <w:rPr>
          <w:rFonts w:ascii="Times New Roman" w:eastAsia="MS PGothic" w:hAnsi="Times New Roman"/>
          <w:lang w:val="en-US"/>
        </w:rPr>
        <w:t>checked</w:t>
      </w:r>
      <w:r w:rsidR="00541299" w:rsidRPr="00882288">
        <w:rPr>
          <w:rFonts w:ascii="Times New Roman" w:eastAsia="MS PGothic" w:hAnsi="Times New Roman"/>
          <w:lang w:val="en-US"/>
        </w:rPr>
        <w:t xml:space="preserve">, </w:t>
      </w:r>
      <w:r w:rsidR="00E3024F">
        <w:rPr>
          <w:rFonts w:ascii="Times New Roman" w:eastAsia="MS PGothic" w:hAnsi="Times New Roman"/>
          <w:lang w:val="en-US"/>
        </w:rPr>
        <w:t>i.e.</w:t>
      </w:r>
      <w:r w:rsidR="002D2317" w:rsidRPr="00882288">
        <w:rPr>
          <w:rFonts w:ascii="Times New Roman" w:eastAsia="MS PGothic" w:hAnsi="Times New Roman"/>
          <w:lang w:val="en-US"/>
        </w:rPr>
        <w:t xml:space="preserve"> </w:t>
      </w:r>
      <w:r w:rsidR="00196FBA" w:rsidRPr="00882288">
        <w:rPr>
          <w:rFonts w:ascii="Times New Roman" w:eastAsia="MS PGothic" w:hAnsi="Times New Roman"/>
          <w:lang w:val="en-US"/>
        </w:rPr>
        <w:t>s</w:t>
      </w:r>
      <w:r w:rsidR="001D434A" w:rsidRPr="00882288">
        <w:rPr>
          <w:rFonts w:ascii="Times New Roman" w:eastAsia="MS PGothic" w:hAnsi="Times New Roman"/>
          <w:lang w:val="en-US"/>
        </w:rPr>
        <w:t xml:space="preserve">urface limitations </w:t>
      </w:r>
      <w:r w:rsidR="00D307FB" w:rsidRPr="00882288">
        <w:rPr>
          <w:rFonts w:ascii="Times New Roman" w:eastAsia="MS PGothic" w:hAnsi="Times New Roman"/>
          <w:lang w:val="en-US"/>
        </w:rPr>
        <w:t>and</w:t>
      </w:r>
      <w:r w:rsidR="00196FBA" w:rsidRPr="00882288">
        <w:rPr>
          <w:rFonts w:ascii="Times New Roman" w:eastAsia="MS PGothic" w:hAnsi="Times New Roman"/>
          <w:lang w:val="en-US"/>
        </w:rPr>
        <w:t xml:space="preserve"> r</w:t>
      </w:r>
      <w:r w:rsidR="001D434A" w:rsidRPr="00882288">
        <w:rPr>
          <w:rFonts w:ascii="Times New Roman" w:eastAsia="MS PGothic" w:hAnsi="Times New Roman"/>
          <w:lang w:val="en-US"/>
        </w:rPr>
        <w:t xml:space="preserve">egulations in force for the installation of </w:t>
      </w:r>
      <w:r w:rsidR="002D2317" w:rsidRPr="00882288">
        <w:rPr>
          <w:rFonts w:ascii="Times New Roman" w:eastAsia="MS PGothic" w:hAnsi="Times New Roman"/>
          <w:lang w:val="en-US"/>
        </w:rPr>
        <w:t>renewable</w:t>
      </w:r>
      <w:r w:rsidR="001D434A" w:rsidRPr="00882288">
        <w:rPr>
          <w:rFonts w:ascii="Times New Roman" w:eastAsia="MS PGothic" w:hAnsi="Times New Roman"/>
          <w:lang w:val="en-US"/>
        </w:rPr>
        <w:t xml:space="preserve"> systems</w:t>
      </w:r>
      <w:r w:rsidR="00D307FB" w:rsidRPr="00882288">
        <w:rPr>
          <w:rFonts w:ascii="Times New Roman" w:eastAsia="MS PGothic" w:hAnsi="Times New Roman"/>
          <w:lang w:val="en-US"/>
        </w:rPr>
        <w:t xml:space="preserve">. </w:t>
      </w:r>
      <w:r w:rsidR="001B2730">
        <w:rPr>
          <w:rFonts w:ascii="Times New Roman" w:eastAsia="MS PGothic" w:hAnsi="Times New Roman"/>
          <w:lang w:val="en-US"/>
        </w:rPr>
        <w:t>Then</w:t>
      </w:r>
      <w:r w:rsidR="00D307FB" w:rsidRPr="00882288">
        <w:rPr>
          <w:rFonts w:ascii="Times New Roman" w:eastAsia="MS PGothic" w:hAnsi="Times New Roman"/>
          <w:lang w:val="en-US"/>
        </w:rPr>
        <w:t xml:space="preserve">, </w:t>
      </w:r>
      <w:r w:rsidRPr="00882288">
        <w:rPr>
          <w:rFonts w:ascii="Times New Roman" w:eastAsia="MS PGothic" w:hAnsi="Times New Roman"/>
          <w:lang w:val="en-US"/>
        </w:rPr>
        <w:t>t</w:t>
      </w:r>
      <w:r w:rsidR="001D434A" w:rsidRPr="00882288">
        <w:rPr>
          <w:rFonts w:ascii="Times New Roman" w:eastAsia="MS PGothic" w:hAnsi="Times New Roman"/>
          <w:lang w:val="en-US"/>
        </w:rPr>
        <w:t xml:space="preserve">he available energy from each RES is estimated in order to evaluate the site energetic </w:t>
      </w:r>
      <w:r w:rsidR="001B2730">
        <w:rPr>
          <w:rFonts w:ascii="Times New Roman" w:eastAsia="MS PGothic" w:hAnsi="Times New Roman"/>
          <w:lang w:val="en-US"/>
        </w:rPr>
        <w:t>potential</w:t>
      </w:r>
      <w:r w:rsidR="00D307FB" w:rsidRPr="00882288">
        <w:rPr>
          <w:rFonts w:ascii="Times New Roman" w:eastAsia="MS PGothic" w:hAnsi="Times New Roman"/>
          <w:lang w:val="en-US"/>
        </w:rPr>
        <w:t xml:space="preserve">. </w:t>
      </w:r>
      <w:r w:rsidR="001D434A" w:rsidRPr="00882288">
        <w:rPr>
          <w:rFonts w:ascii="Times New Roman" w:eastAsia="MS PGothic" w:hAnsi="Times New Roman"/>
          <w:lang w:val="en-US"/>
        </w:rPr>
        <w:t xml:space="preserve">The estimation of </w:t>
      </w:r>
      <w:r w:rsidR="001B2730">
        <w:rPr>
          <w:rFonts w:ascii="Times New Roman" w:eastAsia="MS PGothic" w:hAnsi="Times New Roman"/>
          <w:lang w:val="en-US"/>
        </w:rPr>
        <w:t xml:space="preserve">the </w:t>
      </w:r>
      <w:r w:rsidR="001D434A" w:rsidRPr="00882288">
        <w:rPr>
          <w:rFonts w:ascii="Times New Roman" w:eastAsia="MS PGothic" w:hAnsi="Times New Roman"/>
          <w:lang w:val="en-US"/>
        </w:rPr>
        <w:t xml:space="preserve">available power </w:t>
      </w:r>
      <w:r w:rsidR="00D307FB" w:rsidRPr="00882288">
        <w:rPr>
          <w:rFonts w:ascii="Times New Roman" w:eastAsia="MS PGothic" w:hAnsi="Times New Roman"/>
          <w:lang w:val="en-US"/>
        </w:rPr>
        <w:t>starts from real</w:t>
      </w:r>
      <w:r w:rsidR="001D434A" w:rsidRPr="00882288">
        <w:rPr>
          <w:rFonts w:ascii="Times New Roman" w:eastAsia="MS PGothic" w:hAnsi="Times New Roman"/>
          <w:lang w:val="en-US"/>
        </w:rPr>
        <w:t xml:space="preserve"> site </w:t>
      </w:r>
      <w:r w:rsidR="002F1731">
        <w:rPr>
          <w:rFonts w:ascii="Times New Roman" w:eastAsia="MS PGothic" w:hAnsi="Times New Roman"/>
          <w:lang w:val="en-US"/>
        </w:rPr>
        <w:t>data</w:t>
      </w:r>
      <w:r w:rsidR="001D434A" w:rsidRPr="00882288">
        <w:rPr>
          <w:rFonts w:ascii="Times New Roman" w:eastAsia="MS PGothic" w:hAnsi="Times New Roman"/>
          <w:lang w:val="en-US"/>
        </w:rPr>
        <w:t xml:space="preserve"> </w:t>
      </w:r>
      <w:r w:rsidR="00D307FB" w:rsidRPr="00882288">
        <w:rPr>
          <w:rFonts w:ascii="Times New Roman" w:eastAsia="MS PGothic" w:hAnsi="Times New Roman"/>
          <w:lang w:val="en-US"/>
        </w:rPr>
        <w:t xml:space="preserve">retrieved on a reference period on </w:t>
      </w:r>
      <w:r w:rsidR="001B2730">
        <w:rPr>
          <w:rFonts w:ascii="Times New Roman" w:eastAsia="MS PGothic" w:hAnsi="Times New Roman"/>
          <w:lang w:val="en-US"/>
        </w:rPr>
        <w:t xml:space="preserve">a </w:t>
      </w:r>
      <w:r w:rsidR="00D307FB" w:rsidRPr="00882288">
        <w:rPr>
          <w:rFonts w:ascii="Times New Roman" w:eastAsia="MS PGothic" w:hAnsi="Times New Roman"/>
          <w:lang w:val="en-US"/>
        </w:rPr>
        <w:t>hourly basis</w:t>
      </w:r>
      <w:r w:rsidR="002F1731">
        <w:rPr>
          <w:rFonts w:ascii="Times New Roman" w:eastAsia="MS PGothic" w:hAnsi="Times New Roman"/>
          <w:lang w:val="en-US"/>
        </w:rPr>
        <w:t>, specifically</w:t>
      </w:r>
      <w:r w:rsidR="001D434A" w:rsidRPr="00882288">
        <w:rPr>
          <w:rFonts w:ascii="Times New Roman" w:eastAsia="MS PGothic" w:hAnsi="Times New Roman"/>
          <w:lang w:val="en-US"/>
        </w:rPr>
        <w:t xml:space="preserve"> for each source</w:t>
      </w:r>
      <w:r w:rsidRPr="00882288">
        <w:rPr>
          <w:rFonts w:ascii="Times New Roman" w:eastAsia="MS PGothic" w:hAnsi="Times New Roman"/>
          <w:lang w:val="en-US"/>
        </w:rPr>
        <w:t xml:space="preserve"> </w:t>
      </w:r>
      <w:r w:rsidRPr="00882288">
        <w:rPr>
          <w:rFonts w:ascii="Times New Roman" w:eastAsia="MS PGothic" w:hAnsi="Times New Roman"/>
          <w:lang w:val="en-US"/>
        </w:rPr>
        <w:fldChar w:fldCharType="begin" w:fldLock="1"/>
      </w:r>
      <w:r w:rsidR="002F67CB">
        <w:rPr>
          <w:rFonts w:ascii="Times New Roman" w:eastAsia="MS PGothic" w:hAnsi="Times New Roman"/>
          <w:lang w:val="en-US"/>
        </w:rPr>
        <w:instrText>ADDIN CSL_CITATION {"citationItems":[{"id":"ITEM-1","itemData":{"DOI":"10.1016/j.renene.2021.04.044","ISSN":"09601481","author":[{"dropping-particle":"","family":"Dallavalle","given":"Elisa","non-dropping-particle":"","parse-names":false,"suffix":""},{"dropping-particle":"","family":"Cipolletta","given":"Mariasole","non-dropping-particle":"","parse-names":false,"suffix":""},{"dropping-particle":"","family":"Moreno","given":"Valeria Casson","non-dropping-particle":"","parse-names":false,"suffix":""},{"dropping-particle":"","family":"Cozzani","given":"Valerio","non-dropping-particle":"","parse-names":false,"suffix":""},{"dropping-particle":"","family":"Zanuttigh","given":"Barbara","non-dropping-particle":"","parse-names":false,"suffix":""}],"container-title":"Renewable Energy","id":"ITEM-1","issued":{"date-parts":[["2021"]]},"page":"426-443","publisher":"Elsevier Ltd","title":"Towards green transition of touristic islands through hybrid renewable energy systems. A case study in Tenerife, Canary Islands","type":"article-journal","volume":"174"},"uris":["http://www.mendeley.com/documents/?uuid=9c8fa122-0e8c-4e67-856e-57a2f554fdc8"]}],"mendeley":{"formattedCitation":"[6]","plainTextFormattedCitation":"[6]","previouslyFormattedCitation":"[6]"},"properties":{"noteIndex":0},"schema":"https://github.com/citation-style-language/schema/raw/master/csl-citation.json"}</w:instrText>
      </w:r>
      <w:r w:rsidRPr="00882288">
        <w:rPr>
          <w:rFonts w:ascii="Times New Roman" w:eastAsia="MS PGothic" w:hAnsi="Times New Roman"/>
          <w:lang w:val="en-US"/>
        </w:rPr>
        <w:fldChar w:fldCharType="separate"/>
      </w:r>
      <w:r w:rsidR="00321C2C" w:rsidRPr="00321C2C">
        <w:rPr>
          <w:rFonts w:ascii="Times New Roman" w:eastAsia="MS PGothic" w:hAnsi="Times New Roman"/>
          <w:noProof/>
          <w:lang w:val="en-US"/>
        </w:rPr>
        <w:t>[6]</w:t>
      </w:r>
      <w:r w:rsidRPr="00882288">
        <w:rPr>
          <w:rFonts w:ascii="Times New Roman" w:eastAsia="MS PGothic" w:hAnsi="Times New Roman"/>
          <w:lang w:val="en-US"/>
        </w:rPr>
        <w:fldChar w:fldCharType="end"/>
      </w:r>
      <w:r w:rsidR="001D434A" w:rsidRPr="00882288">
        <w:rPr>
          <w:rFonts w:ascii="Times New Roman" w:eastAsia="MS PGothic" w:hAnsi="Times New Roman"/>
          <w:lang w:val="en-US"/>
        </w:rPr>
        <w:t xml:space="preserve">. </w:t>
      </w:r>
      <w:r w:rsidR="00D307FB" w:rsidRPr="00882288">
        <w:rPr>
          <w:rFonts w:ascii="Times New Roman" w:eastAsia="MS PGothic" w:hAnsi="Times New Roman"/>
          <w:lang w:val="en-US"/>
        </w:rPr>
        <w:t>Then</w:t>
      </w:r>
      <w:r w:rsidR="00631BE0">
        <w:rPr>
          <w:rFonts w:ascii="Times New Roman" w:eastAsia="MS PGothic" w:hAnsi="Times New Roman"/>
          <w:lang w:val="en-US"/>
        </w:rPr>
        <w:t>,</w:t>
      </w:r>
      <w:r w:rsidR="00D307FB" w:rsidRPr="00882288">
        <w:rPr>
          <w:rFonts w:ascii="Times New Roman" w:eastAsia="MS PGothic" w:hAnsi="Times New Roman"/>
          <w:lang w:val="en-US"/>
        </w:rPr>
        <w:t xml:space="preserve"> </w:t>
      </w:r>
      <w:r w:rsidR="00191F53" w:rsidRPr="00882288">
        <w:rPr>
          <w:rFonts w:ascii="Times New Roman" w:eastAsia="MS PGothic" w:hAnsi="Times New Roman"/>
          <w:lang w:val="en-US"/>
        </w:rPr>
        <w:t xml:space="preserve">the </w:t>
      </w:r>
      <w:r w:rsidR="0003022D" w:rsidRPr="00882288">
        <w:rPr>
          <w:rFonts w:ascii="Times New Roman" w:eastAsia="MS PGothic" w:hAnsi="Times New Roman"/>
          <w:lang w:val="en-US"/>
        </w:rPr>
        <w:t>s</w:t>
      </w:r>
      <w:r w:rsidR="000A0D7C" w:rsidRPr="00882288">
        <w:rPr>
          <w:rFonts w:ascii="Times New Roman" w:eastAsia="MS PGothic" w:hAnsi="Times New Roman"/>
          <w:lang w:val="en-US"/>
        </w:rPr>
        <w:t>election of the</w:t>
      </w:r>
      <w:r w:rsidR="001D434A" w:rsidRPr="00882288">
        <w:rPr>
          <w:rFonts w:ascii="Times New Roman" w:eastAsia="MS PGothic" w:hAnsi="Times New Roman"/>
          <w:lang w:val="en-US"/>
        </w:rPr>
        <w:t xml:space="preserve"> Renewable Energy Conversion Technologies (RECT)</w:t>
      </w:r>
      <w:r w:rsidR="00191F53" w:rsidRPr="00882288">
        <w:rPr>
          <w:rFonts w:ascii="Times New Roman" w:eastAsia="MS PGothic" w:hAnsi="Times New Roman"/>
          <w:lang w:val="en-US"/>
        </w:rPr>
        <w:t xml:space="preserve"> is </w:t>
      </w:r>
      <w:r w:rsidR="00631BE0">
        <w:rPr>
          <w:rFonts w:ascii="Times New Roman" w:eastAsia="MS PGothic" w:hAnsi="Times New Roman"/>
          <w:lang w:val="en-US"/>
        </w:rPr>
        <w:t>carried out</w:t>
      </w:r>
      <w:r w:rsidR="00F7576E" w:rsidRPr="00882288">
        <w:rPr>
          <w:rFonts w:ascii="Times New Roman" w:eastAsia="MS PGothic" w:hAnsi="Times New Roman"/>
          <w:b/>
          <w:lang w:val="en-US"/>
        </w:rPr>
        <w:t xml:space="preserve"> </w:t>
      </w:r>
      <w:r w:rsidRPr="00882288">
        <w:rPr>
          <w:rFonts w:ascii="Times New Roman" w:eastAsia="MS PGothic" w:hAnsi="Times New Roman"/>
          <w:lang w:val="en-US"/>
        </w:rPr>
        <w:t>o</w:t>
      </w:r>
      <w:r w:rsidR="001D434A" w:rsidRPr="00882288">
        <w:rPr>
          <w:rFonts w:ascii="Times New Roman" w:eastAsia="MS PGothic" w:hAnsi="Times New Roman"/>
          <w:lang w:val="en-US"/>
        </w:rPr>
        <w:t>n the bas</w:t>
      </w:r>
      <w:r w:rsidR="00631BE0">
        <w:rPr>
          <w:rFonts w:ascii="Times New Roman" w:eastAsia="MS PGothic" w:hAnsi="Times New Roman"/>
          <w:lang w:val="en-US"/>
        </w:rPr>
        <w:t>is</w:t>
      </w:r>
      <w:r w:rsidR="001D434A" w:rsidRPr="00882288">
        <w:rPr>
          <w:rFonts w:ascii="Times New Roman" w:eastAsia="MS PGothic" w:hAnsi="Times New Roman"/>
          <w:lang w:val="en-US"/>
        </w:rPr>
        <w:t xml:space="preserve"> of </w:t>
      </w:r>
      <w:r w:rsidR="000A0D7C" w:rsidRPr="00882288">
        <w:rPr>
          <w:rFonts w:ascii="Times New Roman" w:eastAsia="MS PGothic" w:hAnsi="Times New Roman"/>
          <w:lang w:val="en-US"/>
        </w:rPr>
        <w:t xml:space="preserve">RESs potentials </w:t>
      </w:r>
      <w:r w:rsidR="00631BE0">
        <w:rPr>
          <w:rFonts w:ascii="Times New Roman" w:eastAsia="MS PGothic" w:hAnsi="Times New Roman"/>
          <w:lang w:val="en-US"/>
        </w:rPr>
        <w:t>o</w:t>
      </w:r>
      <w:r w:rsidR="001D434A" w:rsidRPr="00882288">
        <w:rPr>
          <w:rFonts w:ascii="Times New Roman" w:eastAsia="MS PGothic" w:hAnsi="Times New Roman"/>
          <w:lang w:val="en-US"/>
        </w:rPr>
        <w:t>n the site</w:t>
      </w:r>
      <w:r w:rsidR="00191F53" w:rsidRPr="00882288">
        <w:rPr>
          <w:rFonts w:ascii="Times New Roman" w:eastAsia="MS PGothic" w:hAnsi="Times New Roman"/>
          <w:lang w:val="en-US"/>
        </w:rPr>
        <w:t xml:space="preserve">. </w:t>
      </w:r>
      <w:r w:rsidR="001D434A" w:rsidRPr="00882288">
        <w:rPr>
          <w:rFonts w:ascii="Times New Roman" w:eastAsia="MS PGothic" w:hAnsi="Times New Roman"/>
          <w:lang w:val="en-US"/>
        </w:rPr>
        <w:t>Per each RES, a first screening step is performed to exclude th</w:t>
      </w:r>
      <w:r w:rsidR="00631BE0">
        <w:rPr>
          <w:rFonts w:ascii="Times New Roman" w:eastAsia="MS PGothic" w:hAnsi="Times New Roman"/>
          <w:lang w:val="en-US"/>
        </w:rPr>
        <w:t>e</w:t>
      </w:r>
      <w:r w:rsidR="001D434A" w:rsidRPr="00882288">
        <w:rPr>
          <w:rFonts w:ascii="Times New Roman" w:eastAsia="MS PGothic" w:hAnsi="Times New Roman"/>
          <w:lang w:val="en-US"/>
        </w:rPr>
        <w:t xml:space="preserve"> converters that </w:t>
      </w:r>
      <w:r w:rsidR="00191F53" w:rsidRPr="00882288">
        <w:rPr>
          <w:rFonts w:ascii="Times New Roman" w:eastAsia="MS PGothic" w:hAnsi="Times New Roman"/>
          <w:lang w:val="en-US"/>
        </w:rPr>
        <w:t xml:space="preserve">do not suit the location features in terms of observed RES parameters, </w:t>
      </w:r>
      <w:r w:rsidR="001D434A" w:rsidRPr="00882288">
        <w:rPr>
          <w:rFonts w:ascii="Times New Roman" w:eastAsia="MS PGothic" w:hAnsi="Times New Roman"/>
          <w:lang w:val="en-US"/>
        </w:rPr>
        <w:t>site characteristics and installation requirements.</w:t>
      </w:r>
      <w:r w:rsidR="00F7576E" w:rsidRPr="00882288">
        <w:rPr>
          <w:rFonts w:ascii="Times New Roman" w:eastAsia="MS PGothic" w:hAnsi="Times New Roman"/>
          <w:b/>
          <w:lang w:val="en-US"/>
        </w:rPr>
        <w:t xml:space="preserve"> </w:t>
      </w:r>
      <w:r w:rsidR="000A0D7C" w:rsidRPr="00882288">
        <w:rPr>
          <w:rFonts w:ascii="Times New Roman" w:eastAsia="MS PGothic" w:hAnsi="Times New Roman"/>
          <w:lang w:val="en-US"/>
        </w:rPr>
        <w:t>T</w:t>
      </w:r>
      <w:r w:rsidR="001D434A" w:rsidRPr="00882288">
        <w:rPr>
          <w:rFonts w:ascii="Times New Roman" w:eastAsia="MS PGothic" w:hAnsi="Times New Roman"/>
          <w:lang w:val="en-US"/>
        </w:rPr>
        <w:t xml:space="preserve">he </w:t>
      </w:r>
      <w:r w:rsidR="00191F53" w:rsidRPr="00882288">
        <w:rPr>
          <w:rFonts w:ascii="Times New Roman" w:eastAsia="MS PGothic" w:hAnsi="Times New Roman"/>
          <w:lang w:val="en-US"/>
        </w:rPr>
        <w:t xml:space="preserve">operation performance </w:t>
      </w:r>
      <w:r w:rsidR="00E3024F">
        <w:rPr>
          <w:rFonts w:ascii="Times New Roman" w:eastAsia="MS PGothic" w:hAnsi="Times New Roman"/>
          <w:lang w:val="en-US"/>
        </w:rPr>
        <w:t xml:space="preserve">of </w:t>
      </w:r>
      <w:r w:rsidR="00E3024F" w:rsidRPr="00882288">
        <w:rPr>
          <w:rFonts w:ascii="Times New Roman" w:eastAsia="MS PGothic" w:hAnsi="Times New Roman"/>
          <w:lang w:val="en-US"/>
        </w:rPr>
        <w:t>remaining RECTs</w:t>
      </w:r>
      <w:r w:rsidR="00E3024F">
        <w:rPr>
          <w:rFonts w:ascii="Times New Roman" w:eastAsia="MS PGothic" w:hAnsi="Times New Roman"/>
          <w:lang w:val="en-US"/>
        </w:rPr>
        <w:t xml:space="preserve"> </w:t>
      </w:r>
      <w:r w:rsidR="00191F53" w:rsidRPr="00882288">
        <w:rPr>
          <w:rFonts w:ascii="Times New Roman" w:eastAsia="MS PGothic" w:hAnsi="Times New Roman"/>
          <w:lang w:val="en-US"/>
        </w:rPr>
        <w:t xml:space="preserve">is </w:t>
      </w:r>
      <w:r w:rsidR="001D434A" w:rsidRPr="00882288">
        <w:rPr>
          <w:rFonts w:ascii="Times New Roman" w:eastAsia="MS PGothic" w:hAnsi="Times New Roman"/>
          <w:lang w:val="en-US"/>
        </w:rPr>
        <w:t>simulated in the reference period. Each power output profile is studied</w:t>
      </w:r>
      <w:r w:rsidR="00191F53" w:rsidRPr="00882288">
        <w:rPr>
          <w:rFonts w:ascii="Times New Roman" w:eastAsia="MS PGothic" w:hAnsi="Times New Roman"/>
          <w:lang w:val="en-US"/>
        </w:rPr>
        <w:t xml:space="preserve"> through p</w:t>
      </w:r>
      <w:r w:rsidR="001D434A" w:rsidRPr="00882288">
        <w:rPr>
          <w:rFonts w:ascii="Times New Roman" w:eastAsia="MS PGothic" w:hAnsi="Times New Roman"/>
          <w:lang w:val="en-US"/>
        </w:rPr>
        <w:t xml:space="preserve">ower classes </w:t>
      </w:r>
      <w:r w:rsidR="00191F53" w:rsidRPr="00882288">
        <w:rPr>
          <w:rFonts w:ascii="Times New Roman" w:eastAsia="MS PGothic" w:hAnsi="Times New Roman"/>
          <w:lang w:val="en-US"/>
        </w:rPr>
        <w:t>in order to identify the optimal RECT for each source.</w:t>
      </w:r>
      <w:r w:rsidR="001D434A" w:rsidRPr="00882288">
        <w:rPr>
          <w:rFonts w:ascii="Times New Roman" w:eastAsia="MS PGothic" w:hAnsi="Times New Roman"/>
          <w:lang w:val="en-US"/>
        </w:rPr>
        <w:t xml:space="preserve"> </w:t>
      </w:r>
      <w:r w:rsidR="000947EA" w:rsidRPr="00882288">
        <w:rPr>
          <w:rFonts w:ascii="Times New Roman" w:eastAsia="MS PGothic" w:hAnsi="Times New Roman"/>
          <w:lang w:val="en-US"/>
        </w:rPr>
        <w:t xml:space="preserve">Subsequently, </w:t>
      </w:r>
      <w:r w:rsidR="00591AA2" w:rsidRPr="00882288">
        <w:rPr>
          <w:rFonts w:ascii="Times New Roman" w:eastAsia="MS PGothic" w:hAnsi="Times New Roman"/>
          <w:lang w:val="en-US"/>
        </w:rPr>
        <w:t>s</w:t>
      </w:r>
      <w:r w:rsidR="001D434A" w:rsidRPr="00882288">
        <w:rPr>
          <w:rFonts w:ascii="Times New Roman" w:eastAsia="MS PGothic" w:hAnsi="Times New Roman"/>
          <w:lang w:val="en-US"/>
        </w:rPr>
        <w:t xml:space="preserve">everal energy mixes are considered by varying </w:t>
      </w:r>
      <w:r w:rsidR="000947EA" w:rsidRPr="00882288">
        <w:rPr>
          <w:rFonts w:ascii="Times New Roman" w:eastAsia="MS PGothic" w:hAnsi="Times New Roman"/>
          <w:lang w:val="en-US"/>
        </w:rPr>
        <w:t xml:space="preserve">properly </w:t>
      </w:r>
      <w:r w:rsidR="001D434A" w:rsidRPr="00882288">
        <w:rPr>
          <w:rFonts w:ascii="Times New Roman" w:eastAsia="MS PGothic" w:hAnsi="Times New Roman"/>
          <w:lang w:val="en-US"/>
        </w:rPr>
        <w:t xml:space="preserve">the number of </w:t>
      </w:r>
      <w:r w:rsidR="00591AA2" w:rsidRPr="00882288">
        <w:rPr>
          <w:rFonts w:ascii="Times New Roman" w:eastAsia="MS PGothic" w:hAnsi="Times New Roman"/>
          <w:lang w:val="en-US"/>
        </w:rPr>
        <w:t>RECTs</w:t>
      </w:r>
      <w:r w:rsidR="000947EA" w:rsidRPr="00882288">
        <w:rPr>
          <w:rFonts w:ascii="Times New Roman" w:eastAsia="MS PGothic" w:hAnsi="Times New Roman"/>
          <w:lang w:val="en-US"/>
        </w:rPr>
        <w:t xml:space="preserve"> applied to each RES</w:t>
      </w:r>
      <w:r w:rsidR="001D434A" w:rsidRPr="00882288">
        <w:rPr>
          <w:rFonts w:ascii="Times New Roman" w:eastAsia="MS PGothic" w:hAnsi="Times New Roman"/>
          <w:lang w:val="en-US"/>
        </w:rPr>
        <w:t>. In parallel,</w:t>
      </w:r>
      <w:r w:rsidR="00631BE0">
        <w:rPr>
          <w:rFonts w:ascii="Times New Roman" w:eastAsia="MS PGothic" w:hAnsi="Times New Roman"/>
          <w:lang w:val="en-US"/>
        </w:rPr>
        <w:t xml:space="preserve"> a set</w:t>
      </w:r>
      <w:r w:rsidR="001D434A" w:rsidRPr="00A47792">
        <w:rPr>
          <w:rFonts w:ascii="Times New Roman" w:eastAsia="MS PGothic" w:hAnsi="Times New Roman"/>
          <w:color w:val="FF0000"/>
          <w:lang w:val="en-US"/>
        </w:rPr>
        <w:t xml:space="preserve"> </w:t>
      </w:r>
      <w:r w:rsidR="001D434A" w:rsidRPr="00882288">
        <w:rPr>
          <w:rFonts w:ascii="Times New Roman" w:eastAsia="MS PGothic" w:hAnsi="Times New Roman"/>
          <w:lang w:val="en-US"/>
        </w:rPr>
        <w:t>of power duties likely to be coupled with the energy mixes are al</w:t>
      </w:r>
      <w:r w:rsidR="000947EA" w:rsidRPr="00882288">
        <w:rPr>
          <w:rFonts w:ascii="Times New Roman" w:eastAsia="MS PGothic" w:hAnsi="Times New Roman"/>
          <w:lang w:val="en-US"/>
        </w:rPr>
        <w:t xml:space="preserve">so defined. Finally, </w:t>
      </w:r>
      <w:r w:rsidR="00591AA2" w:rsidRPr="00882288">
        <w:rPr>
          <w:rFonts w:ascii="Times New Roman" w:eastAsia="MS PGothic" w:hAnsi="Times New Roman"/>
          <w:lang w:val="en-US"/>
        </w:rPr>
        <w:t>t</w:t>
      </w:r>
      <w:r w:rsidR="000947EA" w:rsidRPr="00882288">
        <w:rPr>
          <w:rFonts w:ascii="Times New Roman" w:eastAsia="MS PGothic" w:hAnsi="Times New Roman"/>
          <w:lang w:val="en-US"/>
        </w:rPr>
        <w:t>he optimal coupling</w:t>
      </w:r>
      <w:r w:rsidR="001D434A" w:rsidRPr="00882288">
        <w:rPr>
          <w:rFonts w:ascii="Times New Roman" w:eastAsia="MS PGothic" w:hAnsi="Times New Roman"/>
          <w:lang w:val="en-US"/>
        </w:rPr>
        <w:t xml:space="preserve"> “energy mix – duty” </w:t>
      </w:r>
      <w:r w:rsidR="000947EA" w:rsidRPr="00882288">
        <w:rPr>
          <w:rFonts w:ascii="Times New Roman" w:eastAsia="MS PGothic" w:hAnsi="Times New Roman"/>
          <w:lang w:val="en-US"/>
        </w:rPr>
        <w:t>is</w:t>
      </w:r>
      <w:r w:rsidR="002F1731">
        <w:rPr>
          <w:rFonts w:ascii="Times New Roman" w:eastAsia="MS PGothic" w:hAnsi="Times New Roman"/>
          <w:lang w:val="en-US"/>
        </w:rPr>
        <w:t xml:space="preserve"> found as</w:t>
      </w:r>
      <w:r w:rsidR="000947EA" w:rsidRPr="00882288">
        <w:rPr>
          <w:rFonts w:ascii="Times New Roman" w:eastAsia="MS PGothic" w:hAnsi="Times New Roman"/>
          <w:lang w:val="en-US"/>
        </w:rPr>
        <w:t xml:space="preserve"> the</w:t>
      </w:r>
      <w:r w:rsidR="001D434A" w:rsidRPr="00882288">
        <w:rPr>
          <w:rFonts w:ascii="Times New Roman" w:eastAsia="MS PGothic" w:hAnsi="Times New Roman"/>
          <w:lang w:val="en-US"/>
        </w:rPr>
        <w:t xml:space="preserve"> one assuring the higher </w:t>
      </w:r>
      <w:r w:rsidR="00631BE0">
        <w:rPr>
          <w:rFonts w:ascii="Times New Roman" w:eastAsia="MS PGothic" w:hAnsi="Times New Roman"/>
          <w:lang w:val="en-US"/>
        </w:rPr>
        <w:t>number</w:t>
      </w:r>
      <w:r w:rsidR="001D434A" w:rsidRPr="00882288">
        <w:rPr>
          <w:rFonts w:ascii="Times New Roman" w:eastAsia="MS PGothic" w:hAnsi="Times New Roman"/>
          <w:lang w:val="en-US"/>
        </w:rPr>
        <w:t xml:space="preserve"> of </w:t>
      </w:r>
      <w:r w:rsidR="000947EA" w:rsidRPr="00882288">
        <w:rPr>
          <w:rFonts w:ascii="Times New Roman" w:eastAsia="MS PGothic" w:hAnsi="Times New Roman"/>
          <w:lang w:val="en-US"/>
        </w:rPr>
        <w:t>energy</w:t>
      </w:r>
      <w:r w:rsidR="00631BE0">
        <w:rPr>
          <w:rFonts w:ascii="Times New Roman" w:eastAsia="MS PGothic" w:hAnsi="Times New Roman"/>
          <w:lang w:val="en-US"/>
        </w:rPr>
        <w:t>-</w:t>
      </w:r>
      <w:r w:rsidR="001D434A" w:rsidRPr="00882288">
        <w:rPr>
          <w:rFonts w:ascii="Times New Roman" w:eastAsia="MS PGothic" w:hAnsi="Times New Roman"/>
          <w:lang w:val="en-US"/>
        </w:rPr>
        <w:t>independen</w:t>
      </w:r>
      <w:r w:rsidR="00631BE0">
        <w:rPr>
          <w:rFonts w:ascii="Times New Roman" w:eastAsia="MS PGothic" w:hAnsi="Times New Roman"/>
          <w:lang w:val="en-US"/>
        </w:rPr>
        <w:t>t</w:t>
      </w:r>
      <w:r w:rsidR="001D434A" w:rsidRPr="00882288">
        <w:rPr>
          <w:rFonts w:ascii="Times New Roman" w:eastAsia="MS PGothic" w:hAnsi="Times New Roman"/>
          <w:lang w:val="en-US"/>
        </w:rPr>
        <w:t xml:space="preserve"> hours with respect to the minimal relative increase of nominal potentiality of the integrated system. </w:t>
      </w:r>
      <w:r w:rsidR="000947EA" w:rsidRPr="00882288">
        <w:rPr>
          <w:rFonts w:ascii="Times New Roman" w:eastAsia="MS PGothic" w:hAnsi="Times New Roman"/>
          <w:lang w:val="en-US"/>
        </w:rPr>
        <w:t>The</w:t>
      </w:r>
      <w:r w:rsidR="001D434A" w:rsidRPr="00882288">
        <w:rPr>
          <w:rFonts w:ascii="Times New Roman" w:eastAsia="MS PGothic" w:hAnsi="Times New Roman"/>
          <w:lang w:val="en-US"/>
        </w:rPr>
        <w:t xml:space="preserve"> resulting conservative steady power provision </w:t>
      </w:r>
      <w:r w:rsidR="00631BE0">
        <w:rPr>
          <w:rFonts w:ascii="Times New Roman" w:eastAsia="MS PGothic" w:hAnsi="Times New Roman"/>
          <w:lang w:val="en-US"/>
        </w:rPr>
        <w:t>that is assured by the system</w:t>
      </w:r>
      <w:r w:rsidR="001D434A" w:rsidRPr="00882288">
        <w:rPr>
          <w:rFonts w:ascii="Times New Roman" w:eastAsia="MS PGothic" w:hAnsi="Times New Roman"/>
          <w:lang w:val="en-US"/>
        </w:rPr>
        <w:t xml:space="preserve"> is set as the total energy </w:t>
      </w:r>
      <w:r w:rsidR="00631BE0">
        <w:rPr>
          <w:rFonts w:ascii="Times New Roman" w:eastAsia="MS PGothic" w:hAnsi="Times New Roman"/>
          <w:lang w:val="en-US"/>
        </w:rPr>
        <w:t xml:space="preserve">supply available for </w:t>
      </w:r>
      <w:r w:rsidR="004E06A0" w:rsidRPr="00882288">
        <w:rPr>
          <w:rFonts w:ascii="Times New Roman" w:eastAsia="MS PGothic" w:hAnsi="Times New Roman"/>
          <w:lang w:val="en-US"/>
        </w:rPr>
        <w:t xml:space="preserve">methanol </w:t>
      </w:r>
      <w:r w:rsidR="00631BE0">
        <w:rPr>
          <w:rFonts w:ascii="Times New Roman" w:eastAsia="MS PGothic" w:hAnsi="Times New Roman"/>
          <w:lang w:val="en-US"/>
        </w:rPr>
        <w:t>production,</w:t>
      </w:r>
      <w:r w:rsidR="00BE4D96" w:rsidRPr="00882288">
        <w:rPr>
          <w:rFonts w:ascii="Times New Roman" w:eastAsia="MS PGothic" w:hAnsi="Times New Roman"/>
          <w:lang w:val="en-US"/>
        </w:rPr>
        <w:t xml:space="preserve"> based on t</w:t>
      </w:r>
      <w:r w:rsidR="001D434A" w:rsidRPr="00882288">
        <w:rPr>
          <w:rFonts w:ascii="Times New Roman" w:eastAsia="MS PGothic" w:hAnsi="Times New Roman"/>
          <w:lang w:val="en-US"/>
        </w:rPr>
        <w:t xml:space="preserve">he most appropriate production </w:t>
      </w:r>
      <w:r w:rsidR="00631BE0">
        <w:rPr>
          <w:rFonts w:ascii="Times New Roman" w:eastAsia="MS PGothic" w:hAnsi="Times New Roman"/>
          <w:lang w:val="en-US"/>
        </w:rPr>
        <w:t>process</w:t>
      </w:r>
      <w:r w:rsidR="00BE4D96" w:rsidRPr="00882288">
        <w:rPr>
          <w:rFonts w:ascii="Times New Roman" w:eastAsia="MS PGothic" w:hAnsi="Times New Roman"/>
          <w:lang w:val="en-US"/>
        </w:rPr>
        <w:t>. The</w:t>
      </w:r>
      <w:r w:rsidR="001D434A" w:rsidRPr="00882288">
        <w:rPr>
          <w:rFonts w:ascii="Times New Roman" w:eastAsia="MS PGothic" w:hAnsi="Times New Roman"/>
          <w:lang w:val="en-US"/>
        </w:rPr>
        <w:t xml:space="preserve"> plant </w:t>
      </w:r>
      <w:r w:rsidR="00631BE0">
        <w:rPr>
          <w:rFonts w:ascii="Times New Roman" w:eastAsia="MS PGothic" w:hAnsi="Times New Roman"/>
          <w:lang w:val="en-US"/>
        </w:rPr>
        <w:t>potential</w:t>
      </w:r>
      <w:r w:rsidR="001D434A" w:rsidRPr="00882288">
        <w:rPr>
          <w:rFonts w:ascii="Times New Roman" w:eastAsia="MS PGothic" w:hAnsi="Times New Roman"/>
          <w:lang w:val="en-US"/>
        </w:rPr>
        <w:t xml:space="preserve"> is </w:t>
      </w:r>
      <w:r w:rsidR="00631BE0">
        <w:rPr>
          <w:rFonts w:ascii="Times New Roman" w:eastAsia="MS PGothic" w:hAnsi="Times New Roman"/>
          <w:lang w:val="en-US"/>
        </w:rPr>
        <w:t xml:space="preserve">thus </w:t>
      </w:r>
      <w:r w:rsidR="001D434A" w:rsidRPr="00882288">
        <w:rPr>
          <w:rFonts w:ascii="Times New Roman" w:eastAsia="MS PGothic" w:hAnsi="Times New Roman"/>
          <w:lang w:val="en-US"/>
        </w:rPr>
        <w:t>derived using an iterative scal</w:t>
      </w:r>
      <w:r w:rsidR="00631BE0">
        <w:rPr>
          <w:rFonts w:ascii="Times New Roman" w:eastAsia="MS PGothic" w:hAnsi="Times New Roman"/>
          <w:lang w:val="en-US"/>
        </w:rPr>
        <w:t>e-up</w:t>
      </w:r>
      <w:r w:rsidR="001D434A" w:rsidRPr="00882288">
        <w:rPr>
          <w:rFonts w:ascii="Times New Roman" w:eastAsia="MS PGothic" w:hAnsi="Times New Roman"/>
          <w:lang w:val="en-US"/>
        </w:rPr>
        <w:t xml:space="preserve"> procedure</w:t>
      </w:r>
      <w:r w:rsidR="00631BE0">
        <w:rPr>
          <w:rFonts w:ascii="Times New Roman" w:eastAsia="MS PGothic" w:hAnsi="Times New Roman"/>
          <w:lang w:val="en-US"/>
        </w:rPr>
        <w:t>. Th</w:t>
      </w:r>
      <w:r w:rsidR="00BE4D96" w:rsidRPr="00882288">
        <w:rPr>
          <w:rFonts w:ascii="Times New Roman" w:eastAsia="MS PGothic" w:hAnsi="Times New Roman"/>
          <w:lang w:val="en-US"/>
        </w:rPr>
        <w:t xml:space="preserve">e facility </w:t>
      </w:r>
      <w:r w:rsidR="00631BE0">
        <w:rPr>
          <w:rFonts w:ascii="Times New Roman" w:eastAsia="MS PGothic" w:hAnsi="Times New Roman"/>
          <w:lang w:val="en-US"/>
        </w:rPr>
        <w:t xml:space="preserve">technical, safety and environmental </w:t>
      </w:r>
      <w:r w:rsidR="00BE4D96" w:rsidRPr="00882288">
        <w:rPr>
          <w:rFonts w:ascii="Times New Roman" w:eastAsia="MS PGothic" w:hAnsi="Times New Roman"/>
          <w:lang w:val="en-US"/>
        </w:rPr>
        <w:t>performance</w:t>
      </w:r>
      <w:r w:rsidR="00631BE0">
        <w:rPr>
          <w:rFonts w:ascii="Times New Roman" w:eastAsia="MS PGothic" w:hAnsi="Times New Roman"/>
          <w:lang w:val="en-US"/>
        </w:rPr>
        <w:t>s are then assessed by specific key performance indicators (KPIs).</w:t>
      </w:r>
    </w:p>
    <w:p w14:paraId="0528A46E" w14:textId="12D9D2F0" w:rsidR="00DA51A3" w:rsidRPr="00882288" w:rsidRDefault="00DA51A3" w:rsidP="001D434A">
      <w:pPr>
        <w:snapToGrid w:val="0"/>
        <w:spacing w:before="240" w:line="300" w:lineRule="auto"/>
        <w:rPr>
          <w:rFonts w:ascii="Times New Roman" w:eastAsia="MS PGothic" w:hAnsi="Times New Roman"/>
          <w:b/>
          <w:bCs/>
          <w:lang w:val="en-GB"/>
        </w:rPr>
      </w:pPr>
      <w:r w:rsidRPr="00882288">
        <w:rPr>
          <w:rFonts w:ascii="Times New Roman" w:eastAsia="MS PGothic" w:hAnsi="Times New Roman"/>
          <w:b/>
          <w:bCs/>
          <w:lang w:val="en-GB"/>
        </w:rPr>
        <w:t>3. Results and discussion</w:t>
      </w:r>
    </w:p>
    <w:p w14:paraId="1517A376" w14:textId="7F6F4971" w:rsidR="00321C2C" w:rsidRDefault="009075D8" w:rsidP="001921E7">
      <w:pPr>
        <w:snapToGrid w:val="0"/>
        <w:spacing w:after="0"/>
        <w:rPr>
          <w:rFonts w:ascii="Times New Roman" w:eastAsia="MS PGothic" w:hAnsi="Times New Roman"/>
          <w:lang w:val="en-US"/>
        </w:rPr>
      </w:pPr>
      <w:r w:rsidRPr="00882288">
        <w:rPr>
          <w:rFonts w:ascii="Times New Roman" w:eastAsia="MS PGothic" w:hAnsi="Times New Roman"/>
          <w:lang w:val="en-US"/>
        </w:rPr>
        <w:t xml:space="preserve">The site </w:t>
      </w:r>
      <w:r w:rsidR="009D48BE" w:rsidRPr="00882288">
        <w:rPr>
          <w:rFonts w:ascii="Times New Roman" w:eastAsia="MS PGothic" w:hAnsi="Times New Roman"/>
          <w:lang w:val="en-US"/>
        </w:rPr>
        <w:t>considered</w:t>
      </w:r>
      <w:r w:rsidRPr="00882288">
        <w:rPr>
          <w:rFonts w:ascii="Times New Roman" w:eastAsia="MS PGothic" w:hAnsi="Times New Roman"/>
          <w:lang w:val="en-US"/>
        </w:rPr>
        <w:t xml:space="preserve"> </w:t>
      </w:r>
      <w:r w:rsidR="00631BE0">
        <w:rPr>
          <w:rFonts w:ascii="Times New Roman" w:eastAsia="MS PGothic" w:hAnsi="Times New Roman"/>
          <w:lang w:val="en-US"/>
        </w:rPr>
        <w:t xml:space="preserve">for a case-study with the aim of demonstrating the method </w:t>
      </w:r>
      <w:r w:rsidRPr="00882288">
        <w:rPr>
          <w:rFonts w:ascii="Times New Roman" w:eastAsia="MS PGothic" w:hAnsi="Times New Roman"/>
          <w:lang w:val="en-US"/>
        </w:rPr>
        <w:t>is the offshore Garibaldi C platform in the Northern Adriatic Sea</w:t>
      </w:r>
      <w:r w:rsidR="00B012CB" w:rsidRPr="00882288">
        <w:rPr>
          <w:rFonts w:ascii="Times New Roman" w:eastAsia="MS PGothic" w:hAnsi="Times New Roman"/>
          <w:lang w:val="en-US"/>
        </w:rPr>
        <w:t>,</w:t>
      </w:r>
      <w:r w:rsidRPr="00882288">
        <w:rPr>
          <w:rFonts w:ascii="Times New Roman" w:eastAsia="MS PGothic" w:hAnsi="Times New Roman"/>
          <w:lang w:val="en-US"/>
        </w:rPr>
        <w:t xml:space="preserve"> close to decommissioning</w:t>
      </w:r>
      <w:r w:rsidR="00E3024F">
        <w:rPr>
          <w:rFonts w:ascii="Times New Roman" w:eastAsia="MS PGothic" w:hAnsi="Times New Roman"/>
          <w:lang w:val="en-US"/>
        </w:rPr>
        <w:t xml:space="preserve"> </w:t>
      </w:r>
      <w:r w:rsidR="00E3024F">
        <w:rPr>
          <w:rFonts w:ascii="Times New Roman" w:eastAsia="MS PGothic" w:hAnsi="Times New Roman"/>
          <w:lang w:val="en-US"/>
        </w:rPr>
        <w:fldChar w:fldCharType="begin" w:fldLock="1"/>
      </w:r>
      <w:r w:rsidR="002F67CB">
        <w:rPr>
          <w:rFonts w:ascii="Times New Roman" w:eastAsia="MS PGothic" w:hAnsi="Times New Roman"/>
          <w:lang w:val="en-US"/>
        </w:rPr>
        <w:instrText>ADDIN CSL_CITATION {"citationItems":[{"id":"ITEM-1","itemData":{"author":[{"dropping-particle":"","family":"Ministero dello Sviluppo Economico","given":"","non-dropping-particle":"","parse-names":false,"suffix":""}],"id":"ITEM-1","issued":{"date-parts":[["2020"]]},"number-of-pages":"1-6","title":"Piattaforme e teste pozzo sottomarine","type":"report"},"uris":["http://www.mendeley.com/documents/?uuid=8854ecae-1618-462c-b39a-ae0414496ab5"]}],"mendeley":{"formattedCitation":"[7]","plainTextFormattedCitation":"[7]","previouslyFormattedCitation":"[7]"},"properties":{"noteIndex":0},"schema":"https://github.com/citation-style-language/schema/raw/master/csl-citation.json"}</w:instrText>
      </w:r>
      <w:r w:rsidR="00E3024F">
        <w:rPr>
          <w:rFonts w:ascii="Times New Roman" w:eastAsia="MS PGothic" w:hAnsi="Times New Roman"/>
          <w:lang w:val="en-US"/>
        </w:rPr>
        <w:fldChar w:fldCharType="separate"/>
      </w:r>
      <w:r w:rsidR="00321C2C" w:rsidRPr="00321C2C">
        <w:rPr>
          <w:rFonts w:ascii="Times New Roman" w:eastAsia="MS PGothic" w:hAnsi="Times New Roman"/>
          <w:noProof/>
          <w:lang w:val="en-US"/>
        </w:rPr>
        <w:t>[7]</w:t>
      </w:r>
      <w:r w:rsidR="00E3024F">
        <w:rPr>
          <w:rFonts w:ascii="Times New Roman" w:eastAsia="MS PGothic" w:hAnsi="Times New Roman"/>
          <w:lang w:val="en-US"/>
        </w:rPr>
        <w:fldChar w:fldCharType="end"/>
      </w:r>
      <w:r w:rsidRPr="00882288">
        <w:rPr>
          <w:rFonts w:ascii="Times New Roman" w:eastAsia="MS PGothic" w:hAnsi="Times New Roman"/>
          <w:lang w:val="en-US"/>
        </w:rPr>
        <w:t xml:space="preserve">. </w:t>
      </w:r>
      <w:r w:rsidR="00B012CB" w:rsidRPr="00882288">
        <w:rPr>
          <w:rFonts w:ascii="Times New Roman" w:eastAsia="MS PGothic" w:hAnsi="Times New Roman"/>
          <w:lang w:val="en-US"/>
        </w:rPr>
        <w:t xml:space="preserve">After data retrieval, RESs potential are </w:t>
      </w:r>
      <w:r w:rsidR="00B012CB" w:rsidRPr="00882288">
        <w:rPr>
          <w:rFonts w:ascii="Times New Roman" w:eastAsia="MS PGothic" w:hAnsi="Times New Roman"/>
          <w:lang w:val="en-US"/>
        </w:rPr>
        <w:lastRenderedPageBreak/>
        <w:t>evaluated for</w:t>
      </w:r>
      <w:r w:rsidRPr="00882288">
        <w:rPr>
          <w:rFonts w:ascii="Times New Roman" w:eastAsia="MS PGothic" w:hAnsi="Times New Roman"/>
          <w:lang w:val="en-US"/>
        </w:rPr>
        <w:t xml:space="preserve"> year </w:t>
      </w:r>
      <w:r w:rsidR="00B012CB" w:rsidRPr="00882288">
        <w:rPr>
          <w:rFonts w:ascii="Times New Roman" w:eastAsia="MS PGothic" w:hAnsi="Times New Roman"/>
          <w:lang w:val="en-US"/>
        </w:rPr>
        <w:t>2017</w:t>
      </w:r>
      <w:r w:rsidR="00F54FB6" w:rsidRPr="00882288">
        <w:rPr>
          <w:rFonts w:ascii="Times New Roman" w:eastAsia="MS PGothic" w:hAnsi="Times New Roman"/>
          <w:lang w:val="en-US"/>
        </w:rPr>
        <w:t xml:space="preserve">: yearly averages obtained are </w:t>
      </w:r>
      <w:r w:rsidR="002E77F5">
        <w:rPr>
          <w:rFonts w:ascii="Times New Roman" w:eastAsia="MS PGothic" w:hAnsi="Times New Roman"/>
          <w:lang w:val="en-US"/>
        </w:rPr>
        <w:t xml:space="preserve">1 </w:t>
      </w:r>
      <w:r w:rsidR="00F54FB6" w:rsidRPr="00882288">
        <w:rPr>
          <w:rFonts w:ascii="Times New Roman" w:eastAsia="MS PGothic" w:hAnsi="Times New Roman"/>
          <w:lang w:val="en-US"/>
        </w:rPr>
        <w:t xml:space="preserve">kW/m for waves, </w:t>
      </w:r>
      <w:r w:rsidR="002E77F5">
        <w:rPr>
          <w:rFonts w:ascii="Times New Roman" w:eastAsia="MS PGothic" w:hAnsi="Times New Roman"/>
          <w:lang w:val="en-US"/>
        </w:rPr>
        <w:t xml:space="preserve">189 </w:t>
      </w:r>
      <w:r w:rsidR="00F54FB6" w:rsidRPr="00882288">
        <w:rPr>
          <w:rFonts w:ascii="Times New Roman" w:eastAsia="MS PGothic" w:hAnsi="Times New Roman"/>
          <w:lang w:val="en-US"/>
        </w:rPr>
        <w:t>W/m</w:t>
      </w:r>
      <w:r w:rsidR="00F54FB6" w:rsidRPr="001921E7">
        <w:rPr>
          <w:rFonts w:ascii="Times New Roman" w:eastAsia="MS PGothic" w:hAnsi="Times New Roman"/>
          <w:vertAlign w:val="superscript"/>
          <w:lang w:val="en-US"/>
        </w:rPr>
        <w:t>2</w:t>
      </w:r>
      <w:r w:rsidR="00F54FB6" w:rsidRPr="00882288">
        <w:rPr>
          <w:rFonts w:ascii="Times New Roman" w:eastAsia="MS PGothic" w:hAnsi="Times New Roman"/>
          <w:lang w:val="en-US"/>
        </w:rPr>
        <w:t xml:space="preserve"> for solar power, </w:t>
      </w:r>
      <w:r w:rsidR="002E77F5">
        <w:rPr>
          <w:rFonts w:ascii="Times New Roman" w:eastAsia="MS PGothic" w:hAnsi="Times New Roman"/>
          <w:lang w:val="en-US"/>
        </w:rPr>
        <w:t xml:space="preserve">114 </w:t>
      </w:r>
      <w:r w:rsidR="00F54FB6" w:rsidRPr="00882288">
        <w:rPr>
          <w:rFonts w:ascii="Times New Roman" w:eastAsia="MS PGothic" w:hAnsi="Times New Roman"/>
          <w:lang w:val="en-US"/>
        </w:rPr>
        <w:t>W/m</w:t>
      </w:r>
      <w:r w:rsidR="00F54FB6" w:rsidRPr="001921E7">
        <w:rPr>
          <w:rFonts w:ascii="Times New Roman" w:eastAsia="MS PGothic" w:hAnsi="Times New Roman"/>
          <w:vertAlign w:val="superscript"/>
          <w:lang w:val="en-US"/>
        </w:rPr>
        <w:t>2</w:t>
      </w:r>
      <w:r w:rsidR="00F54FB6" w:rsidRPr="00882288">
        <w:rPr>
          <w:rFonts w:ascii="Times New Roman" w:eastAsia="MS PGothic" w:hAnsi="Times New Roman"/>
          <w:lang w:val="en-US"/>
        </w:rPr>
        <w:t xml:space="preserve"> for wind energy.</w:t>
      </w:r>
      <w:r w:rsidR="00515EAC" w:rsidRPr="00882288">
        <w:rPr>
          <w:rFonts w:ascii="Times New Roman" w:eastAsia="MS PGothic" w:hAnsi="Times New Roman"/>
          <w:lang w:val="en-US"/>
        </w:rPr>
        <w:t xml:space="preserve"> </w:t>
      </w:r>
    </w:p>
    <w:p w14:paraId="657346C7" w14:textId="5A812367" w:rsidR="00F80D03" w:rsidRDefault="00876E0B" w:rsidP="001921E7">
      <w:pPr>
        <w:snapToGrid w:val="0"/>
        <w:spacing w:after="0"/>
        <w:rPr>
          <w:rFonts w:ascii="Times New Roman" w:eastAsia="MS PGothic" w:hAnsi="Times New Roman"/>
          <w:lang w:val="en-US"/>
        </w:rPr>
      </w:pPr>
      <w:r>
        <w:rPr>
          <w:rFonts w:ascii="Times New Roman" w:eastAsia="MS PGothic" w:hAnsi="Times New Roman"/>
          <w:lang w:val="en-US"/>
        </w:rPr>
        <w:t>B</w:t>
      </w:r>
      <w:r w:rsidR="00515EAC" w:rsidRPr="00882288">
        <w:rPr>
          <w:rFonts w:ascii="Times New Roman" w:eastAsia="MS PGothic" w:hAnsi="Times New Roman"/>
          <w:lang w:val="en-US"/>
        </w:rPr>
        <w:t>ased on the low marine</w:t>
      </w:r>
      <w:r w:rsidR="009D48BE" w:rsidRPr="00882288">
        <w:rPr>
          <w:rFonts w:ascii="Times New Roman" w:eastAsia="MS PGothic" w:hAnsi="Times New Roman"/>
          <w:lang w:val="en-US"/>
        </w:rPr>
        <w:t xml:space="preserve"> potential, wave energy converte</w:t>
      </w:r>
      <w:r w:rsidR="00515EAC" w:rsidRPr="00882288">
        <w:rPr>
          <w:rFonts w:ascii="Times New Roman" w:eastAsia="MS PGothic" w:hAnsi="Times New Roman"/>
          <w:lang w:val="en-US"/>
        </w:rPr>
        <w:t>rs</w:t>
      </w:r>
      <w:r>
        <w:rPr>
          <w:rFonts w:ascii="Times New Roman" w:eastAsia="MS PGothic" w:hAnsi="Times New Roman"/>
          <w:lang w:val="en-US"/>
        </w:rPr>
        <w:t xml:space="preserve"> are excluded from the project</w:t>
      </w:r>
      <w:r w:rsidR="00CA358D">
        <w:rPr>
          <w:rFonts w:ascii="Times New Roman" w:eastAsia="MS PGothic" w:hAnsi="Times New Roman"/>
          <w:lang w:val="en-US"/>
        </w:rPr>
        <w:t xml:space="preserve">. </w:t>
      </w:r>
      <w:r w:rsidRPr="00882288">
        <w:rPr>
          <w:rFonts w:ascii="Times New Roman" w:eastAsia="MS PGothic" w:hAnsi="Times New Roman"/>
          <w:lang w:val="en-US"/>
        </w:rPr>
        <w:t>RECT</w:t>
      </w:r>
      <w:r w:rsidR="00713F95">
        <w:rPr>
          <w:rFonts w:ascii="Times New Roman" w:eastAsia="MS PGothic" w:hAnsi="Times New Roman"/>
          <w:lang w:val="en-US"/>
        </w:rPr>
        <w:t>s</w:t>
      </w:r>
      <w:r w:rsidRPr="00882288">
        <w:rPr>
          <w:rFonts w:ascii="Times New Roman" w:eastAsia="MS PGothic" w:hAnsi="Times New Roman"/>
          <w:lang w:val="en-US"/>
        </w:rPr>
        <w:t xml:space="preserve"> screening and simulation </w:t>
      </w:r>
      <w:r w:rsidR="00D76285">
        <w:rPr>
          <w:rFonts w:ascii="Times New Roman" w:eastAsia="MS PGothic" w:hAnsi="Times New Roman"/>
          <w:lang w:val="en-US"/>
        </w:rPr>
        <w:t xml:space="preserve">provide </w:t>
      </w:r>
      <w:r w:rsidR="00131E83" w:rsidRPr="00882288">
        <w:rPr>
          <w:rFonts w:ascii="Times New Roman" w:eastAsia="MS PGothic" w:hAnsi="Times New Roman"/>
          <w:lang w:val="en-US"/>
        </w:rPr>
        <w:t xml:space="preserve">an average-performance </w:t>
      </w:r>
      <w:r w:rsidR="00B012CB" w:rsidRPr="00882288">
        <w:rPr>
          <w:rFonts w:ascii="Times New Roman" w:eastAsia="MS PGothic" w:hAnsi="Times New Roman"/>
          <w:lang w:val="en-US"/>
        </w:rPr>
        <w:t xml:space="preserve">PV panel </w:t>
      </w:r>
      <w:r w:rsidR="00131E83" w:rsidRPr="00882288">
        <w:rPr>
          <w:rFonts w:ascii="Times New Roman" w:eastAsia="MS PGothic" w:hAnsi="Times New Roman"/>
          <w:lang w:val="en-US"/>
        </w:rPr>
        <w:fldChar w:fldCharType="begin" w:fldLock="1"/>
      </w:r>
      <w:r w:rsidR="002F67CB">
        <w:rPr>
          <w:rFonts w:ascii="Times New Roman" w:eastAsia="MS PGothic" w:hAnsi="Times New Roman"/>
          <w:lang w:val="en-US"/>
        </w:rPr>
        <w:instrText>ADDIN CSL_CITATION {"citationItems":[{"id":"ITEM-1","itemData":{"author":[{"dropping-particle":"","family":"SUNPOWER","given":"","non-dropping-particle":"","parse-names":false,"suffix":""}],"id":"ITEM-1","issued":{"date-parts":[["2020"]]},"title":"Datasheet MAXEON 3 - 400 W","type":"report"},"uris":["http://www.mendeley.com/documents/?uuid=3c2a1ffa-dbc2-4e61-bdb6-241c5a99ff59"]}],"mendeley":{"formattedCitation":"[8]","plainTextFormattedCitation":"[8]","previouslyFormattedCitation":"[8]"},"properties":{"noteIndex":0},"schema":"https://github.com/citation-style-language/schema/raw/master/csl-citation.json"}</w:instrText>
      </w:r>
      <w:r w:rsidR="00131E83" w:rsidRPr="00882288">
        <w:rPr>
          <w:rFonts w:ascii="Times New Roman" w:eastAsia="MS PGothic" w:hAnsi="Times New Roman"/>
          <w:lang w:val="en-US"/>
        </w:rPr>
        <w:fldChar w:fldCharType="separate"/>
      </w:r>
      <w:r w:rsidR="00321C2C" w:rsidRPr="00321C2C">
        <w:rPr>
          <w:rFonts w:ascii="Times New Roman" w:eastAsia="MS PGothic" w:hAnsi="Times New Roman"/>
          <w:noProof/>
          <w:lang w:val="en-US"/>
        </w:rPr>
        <w:t>[8]</w:t>
      </w:r>
      <w:r w:rsidR="00131E83" w:rsidRPr="00882288">
        <w:rPr>
          <w:rFonts w:ascii="Times New Roman" w:eastAsia="MS PGothic" w:hAnsi="Times New Roman"/>
          <w:lang w:val="en-US"/>
        </w:rPr>
        <w:fldChar w:fldCharType="end"/>
      </w:r>
      <w:r w:rsidR="00131E83" w:rsidRPr="00882288">
        <w:rPr>
          <w:rFonts w:ascii="Times New Roman" w:eastAsia="MS PGothic" w:hAnsi="Times New Roman"/>
          <w:lang w:val="en-US"/>
        </w:rPr>
        <w:t xml:space="preserve"> </w:t>
      </w:r>
      <w:r w:rsidR="00B012CB" w:rsidRPr="00882288">
        <w:rPr>
          <w:rFonts w:ascii="Times New Roman" w:eastAsia="MS PGothic" w:hAnsi="Times New Roman"/>
          <w:lang w:val="en-US"/>
        </w:rPr>
        <w:t xml:space="preserve">and </w:t>
      </w:r>
      <w:r>
        <w:rPr>
          <w:rFonts w:ascii="Times New Roman" w:eastAsia="MS PGothic" w:hAnsi="Times New Roman"/>
          <w:lang w:val="en-US"/>
        </w:rPr>
        <w:t>a</w:t>
      </w:r>
      <w:r w:rsidR="00BC6507" w:rsidRPr="00882288">
        <w:rPr>
          <w:rFonts w:ascii="Times New Roman" w:eastAsia="MS PGothic" w:hAnsi="Times New Roman"/>
          <w:lang w:val="en-US"/>
        </w:rPr>
        <w:t xml:space="preserve"> 1.</w:t>
      </w:r>
      <w:r w:rsidR="00131E83" w:rsidRPr="00882288">
        <w:rPr>
          <w:rFonts w:ascii="Times New Roman" w:eastAsia="MS PGothic" w:hAnsi="Times New Roman"/>
          <w:lang w:val="en-US"/>
        </w:rPr>
        <w:t>5 MW horizontal-axis</w:t>
      </w:r>
      <w:r w:rsidR="00B012CB" w:rsidRPr="00882288">
        <w:rPr>
          <w:rFonts w:ascii="Times New Roman" w:eastAsia="MS PGothic" w:hAnsi="Times New Roman"/>
          <w:lang w:val="en-US"/>
        </w:rPr>
        <w:t xml:space="preserve"> wind turbine </w:t>
      </w:r>
      <w:r w:rsidR="00131E83" w:rsidRPr="00882288">
        <w:rPr>
          <w:rFonts w:ascii="Times New Roman" w:eastAsia="MS PGothic" w:hAnsi="Times New Roman"/>
          <w:lang w:val="en-US"/>
        </w:rPr>
        <w:fldChar w:fldCharType="begin" w:fldLock="1"/>
      </w:r>
      <w:r w:rsidR="002F67CB">
        <w:rPr>
          <w:rFonts w:ascii="Times New Roman" w:eastAsia="MS PGothic" w:hAnsi="Times New Roman"/>
          <w:lang w:val="en-US"/>
        </w:rPr>
        <w:instrText>ADDIN CSL_CITATION {"citationItems":[{"id":"ITEM-1","itemData":{"author":[{"dropping-particle":"","family":"GOLDWIND","given":"","non-dropping-particle":"","parse-names":false,"suffix":""}],"id":"ITEM-1","issued":{"date-parts":[["2020"]]},"title":"1.5 MW PMDD wind turbine - Technical report","type":"report"},"uris":["http://www.mendeley.com/documents/?uuid=1945e8c0-bfb6-4219-bcdd-0930007e0c5e"]}],"mendeley":{"formattedCitation":"[9]","plainTextFormattedCitation":"[9]","previouslyFormattedCitation":"[9]"},"properties":{"noteIndex":0},"schema":"https://github.com/citation-style-language/schema/raw/master/csl-citation.json"}</w:instrText>
      </w:r>
      <w:r w:rsidR="00131E83" w:rsidRPr="00882288">
        <w:rPr>
          <w:rFonts w:ascii="Times New Roman" w:eastAsia="MS PGothic" w:hAnsi="Times New Roman"/>
          <w:lang w:val="en-US"/>
        </w:rPr>
        <w:fldChar w:fldCharType="separate"/>
      </w:r>
      <w:r w:rsidR="00321C2C" w:rsidRPr="00321C2C">
        <w:rPr>
          <w:rFonts w:ascii="Times New Roman" w:eastAsia="MS PGothic" w:hAnsi="Times New Roman"/>
          <w:noProof/>
          <w:lang w:val="en-US"/>
        </w:rPr>
        <w:t>[9]</w:t>
      </w:r>
      <w:r w:rsidR="00131E83" w:rsidRPr="00882288">
        <w:rPr>
          <w:rFonts w:ascii="Times New Roman" w:eastAsia="MS PGothic" w:hAnsi="Times New Roman"/>
          <w:lang w:val="en-US"/>
        </w:rPr>
        <w:fldChar w:fldCharType="end"/>
      </w:r>
      <w:r w:rsidR="00131E83" w:rsidRPr="00882288">
        <w:rPr>
          <w:rFonts w:ascii="Times New Roman" w:eastAsia="MS PGothic" w:hAnsi="Times New Roman"/>
          <w:lang w:val="en-US"/>
        </w:rPr>
        <w:t xml:space="preserve"> </w:t>
      </w:r>
      <w:r w:rsidR="00B012CB" w:rsidRPr="00882288">
        <w:rPr>
          <w:rFonts w:ascii="Times New Roman" w:eastAsia="MS PGothic" w:hAnsi="Times New Roman"/>
          <w:lang w:val="en-US"/>
        </w:rPr>
        <w:t xml:space="preserve">to </w:t>
      </w:r>
      <w:r w:rsidR="009D48BE" w:rsidRPr="00882288">
        <w:rPr>
          <w:rFonts w:ascii="Times New Roman" w:eastAsia="MS PGothic" w:hAnsi="Times New Roman"/>
          <w:lang w:val="en-US"/>
        </w:rPr>
        <w:t>properly</w:t>
      </w:r>
      <w:r w:rsidR="00D76285" w:rsidRPr="00882288">
        <w:rPr>
          <w:rFonts w:ascii="Times New Roman" w:eastAsia="MS PGothic" w:hAnsi="Times New Roman"/>
          <w:lang w:val="en-US"/>
        </w:rPr>
        <w:t xml:space="preserve"> exploit</w:t>
      </w:r>
      <w:r w:rsidR="009D48BE" w:rsidRPr="00882288">
        <w:rPr>
          <w:rFonts w:ascii="Times New Roman" w:eastAsia="MS PGothic" w:hAnsi="Times New Roman"/>
          <w:lang w:val="en-US"/>
        </w:rPr>
        <w:t xml:space="preserve"> </w:t>
      </w:r>
      <w:r w:rsidR="00B012CB" w:rsidRPr="00882288">
        <w:rPr>
          <w:rFonts w:ascii="Times New Roman" w:eastAsia="MS PGothic" w:hAnsi="Times New Roman"/>
          <w:lang w:val="en-US"/>
        </w:rPr>
        <w:t xml:space="preserve">solar irradiation and wind speeds. </w:t>
      </w:r>
      <w:r w:rsidR="00020FBE" w:rsidRPr="00882288">
        <w:rPr>
          <w:rFonts w:ascii="Times New Roman" w:eastAsia="MS PGothic" w:hAnsi="Times New Roman"/>
          <w:lang w:val="en-US"/>
        </w:rPr>
        <w:t xml:space="preserve">The optimal combination “energy mix – duty” </w:t>
      </w:r>
      <w:r w:rsidR="00966108">
        <w:rPr>
          <w:rFonts w:ascii="Times New Roman" w:eastAsia="MS PGothic" w:hAnsi="Times New Roman"/>
          <w:lang w:val="en-US"/>
        </w:rPr>
        <w:t xml:space="preserve">results in </w:t>
      </w:r>
      <w:r w:rsidR="00020FBE" w:rsidRPr="00882288">
        <w:rPr>
          <w:rFonts w:ascii="Times New Roman" w:eastAsia="MS PGothic" w:hAnsi="Times New Roman"/>
          <w:lang w:val="en-US"/>
        </w:rPr>
        <w:t xml:space="preserve">an integrated renewable energy plant of </w:t>
      </w:r>
      <w:r w:rsidR="005C6F26" w:rsidRPr="00882288">
        <w:rPr>
          <w:rFonts w:ascii="Times New Roman" w:eastAsia="MS PGothic" w:hAnsi="Times New Roman"/>
          <w:lang w:val="en-US"/>
        </w:rPr>
        <w:t xml:space="preserve">1.68 </w:t>
      </w:r>
      <w:r w:rsidR="00020FBE" w:rsidRPr="00882288">
        <w:rPr>
          <w:rFonts w:ascii="Times New Roman" w:eastAsia="MS PGothic" w:hAnsi="Times New Roman"/>
          <w:lang w:val="en-US"/>
        </w:rPr>
        <w:t>MW nominal capacity (780 m</w:t>
      </w:r>
      <w:r w:rsidR="00020FBE" w:rsidRPr="00882288">
        <w:rPr>
          <w:rFonts w:ascii="Times New Roman" w:eastAsia="MS PGothic" w:hAnsi="Times New Roman"/>
          <w:vertAlign w:val="superscript"/>
          <w:lang w:val="en-US"/>
        </w:rPr>
        <w:t>2</w:t>
      </w:r>
      <w:r w:rsidR="00020FBE" w:rsidRPr="00882288">
        <w:rPr>
          <w:rFonts w:ascii="Times New Roman" w:eastAsia="MS PGothic" w:hAnsi="Times New Roman"/>
          <w:lang w:val="en-US"/>
        </w:rPr>
        <w:t xml:space="preserve"> of PV panels</w:t>
      </w:r>
      <w:r w:rsidR="00B93F52" w:rsidRPr="00882288">
        <w:rPr>
          <w:rFonts w:ascii="Times New Roman" w:eastAsia="MS PGothic" w:hAnsi="Times New Roman"/>
          <w:lang w:val="en-US"/>
        </w:rPr>
        <w:t xml:space="preserve">, </w:t>
      </w:r>
      <w:r w:rsidR="00020FBE" w:rsidRPr="00882288">
        <w:rPr>
          <w:rFonts w:ascii="Times New Roman" w:eastAsia="MS PGothic" w:hAnsi="Times New Roman"/>
          <w:lang w:val="en-US"/>
        </w:rPr>
        <w:t xml:space="preserve">1 wind turbine) coupled to a </w:t>
      </w:r>
      <w:r w:rsidR="005C6F26" w:rsidRPr="00882288">
        <w:rPr>
          <w:rFonts w:ascii="Times New Roman" w:eastAsia="MS PGothic" w:hAnsi="Times New Roman"/>
          <w:lang w:val="en-US"/>
        </w:rPr>
        <w:t xml:space="preserve">fixed </w:t>
      </w:r>
      <w:r w:rsidR="00020FBE" w:rsidRPr="00882288">
        <w:rPr>
          <w:rFonts w:ascii="Times New Roman" w:eastAsia="MS PGothic" w:hAnsi="Times New Roman"/>
          <w:lang w:val="en-US"/>
        </w:rPr>
        <w:t>duty of</w:t>
      </w:r>
      <w:r w:rsidR="005C6F26" w:rsidRPr="00882288">
        <w:rPr>
          <w:rFonts w:ascii="Times New Roman" w:eastAsia="MS PGothic" w:hAnsi="Times New Roman"/>
          <w:lang w:val="en-US"/>
        </w:rPr>
        <w:t xml:space="preserve"> 150 kW</w:t>
      </w:r>
      <w:r w:rsidR="002607D4" w:rsidRPr="00882288">
        <w:rPr>
          <w:rFonts w:ascii="Times New Roman" w:eastAsia="MS PGothic" w:hAnsi="Times New Roman"/>
          <w:lang w:val="en-US"/>
        </w:rPr>
        <w:t xml:space="preserve"> insured for the 50% of time by RES</w:t>
      </w:r>
      <w:r w:rsidR="00020FBE" w:rsidRPr="00882288">
        <w:rPr>
          <w:rFonts w:ascii="Times New Roman" w:eastAsia="MS PGothic" w:hAnsi="Times New Roman"/>
          <w:lang w:val="en-US"/>
        </w:rPr>
        <w:t xml:space="preserve">. </w:t>
      </w:r>
      <w:r w:rsidR="00B93F52" w:rsidRPr="00882288">
        <w:rPr>
          <w:rFonts w:ascii="Times New Roman" w:eastAsia="MS PGothic" w:hAnsi="Times New Roman"/>
          <w:lang w:val="en-US"/>
        </w:rPr>
        <w:t>T</w:t>
      </w:r>
      <w:r w:rsidR="00020FBE" w:rsidRPr="00882288">
        <w:rPr>
          <w:rFonts w:ascii="Times New Roman" w:eastAsia="MS PGothic" w:hAnsi="Times New Roman"/>
          <w:lang w:val="en-US"/>
        </w:rPr>
        <w:t xml:space="preserve">he final methanol facility </w:t>
      </w:r>
      <w:r w:rsidR="00B93F52" w:rsidRPr="00882288">
        <w:rPr>
          <w:rFonts w:ascii="Times New Roman" w:eastAsia="MS PGothic" w:hAnsi="Times New Roman"/>
          <w:lang w:val="en-US"/>
        </w:rPr>
        <w:t xml:space="preserve">(in </w:t>
      </w:r>
      <w:r w:rsidR="00B93F52" w:rsidRPr="00882288">
        <w:rPr>
          <w:rFonts w:ascii="Times New Roman" w:eastAsia="MS PGothic" w:hAnsi="Times New Roman"/>
          <w:lang w:val="en-US"/>
        </w:rPr>
        <w:fldChar w:fldCharType="begin"/>
      </w:r>
      <w:r w:rsidR="00B93F52" w:rsidRPr="00882288">
        <w:rPr>
          <w:rFonts w:ascii="Times New Roman" w:eastAsia="MS PGothic" w:hAnsi="Times New Roman"/>
          <w:lang w:val="en-US"/>
        </w:rPr>
        <w:instrText xml:space="preserve"> REF _Ref96961004 \h  \* MERGEFORMAT </w:instrText>
      </w:r>
      <w:r w:rsidR="00B93F52" w:rsidRPr="00882288">
        <w:rPr>
          <w:rFonts w:ascii="Times New Roman" w:eastAsia="MS PGothic" w:hAnsi="Times New Roman"/>
          <w:lang w:val="en-US"/>
        </w:rPr>
      </w:r>
      <w:r w:rsidR="00B93F52" w:rsidRPr="00882288">
        <w:rPr>
          <w:rFonts w:ascii="Times New Roman" w:eastAsia="MS PGothic" w:hAnsi="Times New Roman"/>
          <w:lang w:val="en-US"/>
        </w:rPr>
        <w:fldChar w:fldCharType="separate"/>
      </w:r>
      <w:r w:rsidR="00D811EE" w:rsidRPr="00D811EE">
        <w:rPr>
          <w:rFonts w:ascii="Times New Roman" w:eastAsia="MS PGothic" w:hAnsi="Times New Roman"/>
          <w:lang w:val="en-US"/>
        </w:rPr>
        <w:t>Figure 1</w:t>
      </w:r>
      <w:r w:rsidR="00B93F52" w:rsidRPr="00882288">
        <w:rPr>
          <w:rFonts w:ascii="Times New Roman" w:eastAsia="MS PGothic" w:hAnsi="Times New Roman"/>
          <w:lang w:val="en-US"/>
        </w:rPr>
        <w:fldChar w:fldCharType="end"/>
      </w:r>
      <w:r w:rsidR="00B93F52" w:rsidRPr="00882288">
        <w:rPr>
          <w:rFonts w:ascii="Times New Roman" w:eastAsia="MS PGothic" w:hAnsi="Times New Roman"/>
          <w:lang w:val="en-US"/>
        </w:rPr>
        <w:t xml:space="preserve">) </w:t>
      </w:r>
      <w:r w:rsidR="00020FBE" w:rsidRPr="00882288">
        <w:rPr>
          <w:rFonts w:ascii="Times New Roman" w:eastAsia="MS PGothic" w:hAnsi="Times New Roman"/>
          <w:lang w:val="en-US"/>
        </w:rPr>
        <w:t xml:space="preserve">is </w:t>
      </w:r>
      <w:r w:rsidR="00D76285">
        <w:rPr>
          <w:rFonts w:ascii="Times New Roman" w:eastAsia="MS PGothic" w:hAnsi="Times New Roman"/>
          <w:lang w:val="en-US"/>
        </w:rPr>
        <w:t xml:space="preserve">thus </w:t>
      </w:r>
      <w:r w:rsidR="00020FBE" w:rsidRPr="00882288">
        <w:rPr>
          <w:rFonts w:ascii="Times New Roman" w:eastAsia="MS PGothic" w:hAnsi="Times New Roman"/>
          <w:lang w:val="en-US"/>
        </w:rPr>
        <w:t xml:space="preserve">designed in order to steadily operate with </w:t>
      </w:r>
      <w:r w:rsidR="00B93F52" w:rsidRPr="00882288">
        <w:rPr>
          <w:rFonts w:ascii="Times New Roman" w:eastAsia="MS PGothic" w:hAnsi="Times New Roman"/>
          <w:lang w:val="en-US"/>
        </w:rPr>
        <w:t>150 kW</w:t>
      </w:r>
      <w:r w:rsidR="00882288" w:rsidRPr="00882288">
        <w:rPr>
          <w:rFonts w:ascii="Times New Roman" w:eastAsia="MS PGothic" w:hAnsi="Times New Roman"/>
          <w:lang w:val="en-US"/>
        </w:rPr>
        <w:t xml:space="preserve"> supply</w:t>
      </w:r>
      <w:r w:rsidR="00DC4A04" w:rsidRPr="00882288">
        <w:rPr>
          <w:rFonts w:ascii="Times New Roman" w:eastAsia="MS PGothic" w:hAnsi="Times New Roman"/>
          <w:lang w:val="en-US"/>
        </w:rPr>
        <w:t xml:space="preserve">. </w:t>
      </w:r>
    </w:p>
    <w:p w14:paraId="26BB84D1" w14:textId="39F93B90" w:rsidR="000843B6" w:rsidRPr="00882288" w:rsidRDefault="00B93F52" w:rsidP="001921E7">
      <w:pPr>
        <w:snapToGrid w:val="0"/>
        <w:spacing w:after="0"/>
        <w:rPr>
          <w:rFonts w:ascii="Times New Roman" w:eastAsia="MS PGothic" w:hAnsi="Times New Roman"/>
          <w:lang w:val="en-US"/>
        </w:rPr>
      </w:pPr>
      <w:r w:rsidRPr="00882288">
        <w:rPr>
          <w:rFonts w:ascii="Times New Roman" w:eastAsia="MS PGothic" w:hAnsi="Times New Roman"/>
          <w:lang w:val="en-US"/>
        </w:rPr>
        <w:t>S</w:t>
      </w:r>
      <w:r w:rsidR="00020FBE" w:rsidRPr="00882288">
        <w:rPr>
          <w:rFonts w:ascii="Times New Roman" w:eastAsia="MS PGothic" w:hAnsi="Times New Roman"/>
          <w:lang w:val="en-US"/>
        </w:rPr>
        <w:t>ection 1</w:t>
      </w:r>
      <w:r w:rsidRPr="00882288">
        <w:rPr>
          <w:rFonts w:ascii="Times New Roman" w:eastAsia="MS PGothic" w:hAnsi="Times New Roman"/>
          <w:lang w:val="en-US"/>
        </w:rPr>
        <w:t xml:space="preserve"> aims</w:t>
      </w:r>
      <w:r w:rsidR="005C6F26" w:rsidRPr="00882288">
        <w:rPr>
          <w:rFonts w:ascii="Times New Roman" w:eastAsia="MS PGothic" w:hAnsi="Times New Roman"/>
          <w:lang w:val="en-US"/>
        </w:rPr>
        <w:t xml:space="preserve"> at</w:t>
      </w:r>
      <w:r w:rsidR="00020FBE" w:rsidRPr="00882288">
        <w:rPr>
          <w:rFonts w:ascii="Times New Roman" w:eastAsia="MS PGothic" w:hAnsi="Times New Roman"/>
          <w:lang w:val="en-US"/>
        </w:rPr>
        <w:t xml:space="preserve"> NG</w:t>
      </w:r>
      <w:r w:rsidR="005C6F26" w:rsidRPr="00882288">
        <w:rPr>
          <w:rFonts w:ascii="Times New Roman" w:eastAsia="MS PGothic" w:hAnsi="Times New Roman"/>
          <w:lang w:val="en-US"/>
        </w:rPr>
        <w:t xml:space="preserve"> dewatering</w:t>
      </w:r>
      <w:r w:rsidRPr="00882288">
        <w:rPr>
          <w:rFonts w:ascii="Times New Roman" w:eastAsia="MS PGothic" w:hAnsi="Times New Roman"/>
          <w:lang w:val="en-US"/>
        </w:rPr>
        <w:t>,</w:t>
      </w:r>
      <w:r w:rsidR="00020FBE" w:rsidRPr="00882288">
        <w:rPr>
          <w:rFonts w:ascii="Times New Roman" w:eastAsia="MS PGothic" w:hAnsi="Times New Roman"/>
          <w:lang w:val="en-US"/>
        </w:rPr>
        <w:t xml:space="preserve"> section 2 </w:t>
      </w:r>
      <w:r w:rsidRPr="00882288">
        <w:rPr>
          <w:rFonts w:ascii="Times New Roman" w:eastAsia="MS PGothic" w:hAnsi="Times New Roman"/>
          <w:lang w:val="en-US"/>
        </w:rPr>
        <w:t xml:space="preserve">consists </w:t>
      </w:r>
      <w:r w:rsidRPr="00713F95">
        <w:rPr>
          <w:rFonts w:ascii="Times New Roman" w:eastAsia="MS PGothic" w:hAnsi="Times New Roman"/>
          <w:lang w:val="en-US"/>
        </w:rPr>
        <w:t xml:space="preserve">of </w:t>
      </w:r>
      <w:r w:rsidR="00D76285" w:rsidRPr="00713F95">
        <w:rPr>
          <w:rFonts w:ascii="Times New Roman" w:eastAsia="MS PGothic" w:hAnsi="Times New Roman"/>
          <w:lang w:val="en-US"/>
        </w:rPr>
        <w:t>an</w:t>
      </w:r>
      <w:r w:rsidRPr="00882288">
        <w:rPr>
          <w:rFonts w:ascii="Times New Roman" w:eastAsia="MS PGothic" w:hAnsi="Times New Roman"/>
          <w:lang w:val="en-US"/>
        </w:rPr>
        <w:t xml:space="preserve"> </w:t>
      </w:r>
      <w:r w:rsidR="00F5792D" w:rsidRPr="00882288">
        <w:rPr>
          <w:rFonts w:ascii="Times New Roman" w:eastAsia="MS PGothic" w:hAnsi="Times New Roman"/>
          <w:lang w:val="en-US"/>
        </w:rPr>
        <w:t>a</w:t>
      </w:r>
      <w:r w:rsidR="00020FBE" w:rsidRPr="00882288">
        <w:rPr>
          <w:rFonts w:ascii="Times New Roman" w:eastAsia="MS PGothic" w:hAnsi="Times New Roman"/>
          <w:lang w:val="en-US"/>
        </w:rPr>
        <w:t xml:space="preserve">ir </w:t>
      </w:r>
      <w:r w:rsidR="00F5792D" w:rsidRPr="00882288">
        <w:rPr>
          <w:rFonts w:ascii="Times New Roman" w:eastAsia="MS PGothic" w:hAnsi="Times New Roman"/>
          <w:lang w:val="en-US"/>
        </w:rPr>
        <w:t xml:space="preserve">separation unit </w:t>
      </w:r>
      <w:r w:rsidR="00020FBE" w:rsidRPr="00882288">
        <w:rPr>
          <w:rFonts w:ascii="Times New Roman" w:eastAsia="MS PGothic" w:hAnsi="Times New Roman"/>
          <w:lang w:val="en-US"/>
        </w:rPr>
        <w:t xml:space="preserve">and </w:t>
      </w:r>
      <w:r w:rsidR="005C6F26" w:rsidRPr="00882288">
        <w:rPr>
          <w:rFonts w:ascii="Times New Roman" w:eastAsia="MS PGothic" w:hAnsi="Times New Roman"/>
          <w:lang w:val="en-US"/>
        </w:rPr>
        <w:t>the related</w:t>
      </w:r>
      <w:r w:rsidR="00020FBE" w:rsidRPr="00882288">
        <w:rPr>
          <w:rFonts w:ascii="Times New Roman" w:eastAsia="MS PGothic" w:hAnsi="Times New Roman"/>
          <w:lang w:val="en-US"/>
        </w:rPr>
        <w:t xml:space="preserve"> </w:t>
      </w:r>
      <w:r w:rsidR="00320201">
        <w:rPr>
          <w:rFonts w:ascii="Times New Roman" w:eastAsia="MS PGothic" w:hAnsi="Times New Roman"/>
          <w:lang w:val="en-US"/>
        </w:rPr>
        <w:t xml:space="preserve">oxygen </w:t>
      </w:r>
      <w:r w:rsidR="00020FBE" w:rsidRPr="00882288">
        <w:rPr>
          <w:rFonts w:ascii="Times New Roman" w:eastAsia="MS PGothic" w:hAnsi="Times New Roman"/>
          <w:lang w:val="en-US"/>
        </w:rPr>
        <w:t>compression train</w:t>
      </w:r>
      <w:r w:rsidR="00D76285">
        <w:rPr>
          <w:rFonts w:ascii="Times New Roman" w:eastAsia="MS PGothic" w:hAnsi="Times New Roman"/>
          <w:lang w:val="en-US"/>
        </w:rPr>
        <w:t>. I</w:t>
      </w:r>
      <w:r w:rsidRPr="00882288">
        <w:rPr>
          <w:rFonts w:ascii="Times New Roman" w:eastAsia="MS PGothic" w:hAnsi="Times New Roman"/>
          <w:lang w:val="en-US"/>
        </w:rPr>
        <w:t xml:space="preserve">n </w:t>
      </w:r>
      <w:r w:rsidR="00F5792D" w:rsidRPr="00882288">
        <w:rPr>
          <w:rFonts w:ascii="Times New Roman" w:eastAsia="MS PGothic" w:hAnsi="Times New Roman"/>
          <w:lang w:val="en-US"/>
        </w:rPr>
        <w:t>section 3</w:t>
      </w:r>
      <w:r w:rsidR="00D76285">
        <w:rPr>
          <w:rFonts w:ascii="Times New Roman" w:eastAsia="MS PGothic" w:hAnsi="Times New Roman"/>
          <w:lang w:val="en-US"/>
        </w:rPr>
        <w:t>,</w:t>
      </w:r>
      <w:r w:rsidRPr="00882288">
        <w:rPr>
          <w:rFonts w:ascii="Times New Roman" w:eastAsia="MS PGothic" w:hAnsi="Times New Roman"/>
          <w:lang w:val="en-US"/>
        </w:rPr>
        <w:t xml:space="preserve"> the </w:t>
      </w:r>
      <w:r w:rsidR="00020FBE" w:rsidRPr="00882288">
        <w:rPr>
          <w:rFonts w:ascii="Times New Roman" w:eastAsia="MS PGothic" w:hAnsi="Times New Roman"/>
          <w:lang w:val="en-US"/>
        </w:rPr>
        <w:t xml:space="preserve">reactants are heated before </w:t>
      </w:r>
      <w:r w:rsidR="00F5792D" w:rsidRPr="00882288">
        <w:rPr>
          <w:rFonts w:ascii="Times New Roman" w:eastAsia="MS PGothic" w:hAnsi="Times New Roman"/>
          <w:lang w:val="en-US"/>
        </w:rPr>
        <w:t>entering</w:t>
      </w:r>
      <w:r w:rsidR="00020FBE" w:rsidRPr="00882288">
        <w:rPr>
          <w:rFonts w:ascii="Times New Roman" w:eastAsia="MS PGothic" w:hAnsi="Times New Roman"/>
          <w:lang w:val="en-US"/>
        </w:rPr>
        <w:t xml:space="preserve"> the </w:t>
      </w:r>
      <w:r w:rsidR="00D76285" w:rsidRPr="00882288">
        <w:rPr>
          <w:rFonts w:ascii="Times New Roman" w:eastAsia="MS PGothic" w:hAnsi="Times New Roman"/>
          <w:lang w:val="en-US"/>
        </w:rPr>
        <w:t xml:space="preserve">methane partial oxidation </w:t>
      </w:r>
      <w:r w:rsidR="00020FBE" w:rsidRPr="00882288">
        <w:rPr>
          <w:rFonts w:ascii="Times New Roman" w:eastAsia="MS PGothic" w:hAnsi="Times New Roman"/>
          <w:lang w:val="en-US"/>
        </w:rPr>
        <w:t>reactor</w:t>
      </w:r>
      <w:r w:rsidR="002F1731">
        <w:rPr>
          <w:rFonts w:ascii="Times New Roman" w:eastAsia="MS PGothic" w:hAnsi="Times New Roman"/>
          <w:lang w:val="en-US"/>
        </w:rPr>
        <w:t>, which operates at 50 bar and 450 °C</w:t>
      </w:r>
      <w:r w:rsidR="005C6F26" w:rsidRPr="00882288">
        <w:rPr>
          <w:rFonts w:ascii="Times New Roman" w:eastAsia="MS PGothic" w:hAnsi="Times New Roman"/>
          <w:lang w:val="en-US"/>
        </w:rPr>
        <w:t xml:space="preserve"> </w:t>
      </w:r>
      <w:r w:rsidR="00020FBE" w:rsidRPr="00882288">
        <w:rPr>
          <w:rFonts w:ascii="Times New Roman" w:eastAsia="MS PGothic" w:hAnsi="Times New Roman"/>
          <w:lang w:val="en-US"/>
        </w:rPr>
        <w:fldChar w:fldCharType="begin" w:fldLock="1"/>
      </w:r>
      <w:r w:rsidR="002F67CB">
        <w:rPr>
          <w:rFonts w:ascii="Times New Roman" w:eastAsia="MS PGothic" w:hAnsi="Times New Roman"/>
          <w:lang w:val="en-US"/>
        </w:rPr>
        <w:instrText>ADDIN CSL_CITATION {"citationItems":[{"id":"ITEM-1","itemData":{"DOI":"10.1021/ie00074a008","ISSN":"15205045","abstract":"The gas-phase homogeneous partial oxidation of methane with oxygen was studied over a range of operating conditions in a high-pressure tubular reactor. The experimental data indicated that methanol selectivities of 70-80% could be achieved at methane conversions of 8-10% by operating at suitable reaction conditions. The higher methanol selectivities obtained in this study were probably due to the use of a Pyrex glass liner in the reactor, which may have minimized surface reactions. © 1988, American Chemical Society. All rights reserved.","author":[{"dropping-particle":"","family":"Yarlagadda","given":"Prasad S.","non-dropping-particle":"","parse-names":false,"suffix":""},{"dropping-particle":"","family":"Morton","given":"Lawrence A.","non-dropping-particle":"","parse-names":false,"suffix":""},{"dropping-particle":"","family":"Hunter","given":"Norman R.","non-dropping-particle":"","parse-names":false,"suffix":""},{"dropping-particle":"","family":"Gesser","given":"Hyman D.","non-dropping-particle":"","parse-names":false,"suffix":""}],"container-title":"Industrial and Engineering Chemistry Research","id":"ITEM-1","issue":"2","issued":{"date-parts":[["1988"]]},"page":"252-256","title":"Direct conversion of methane to methanol in a flow reactor","type":"article-journal","volume":"27"},"uris":["http://www.mendeley.com/documents/?uuid=f3533ce8-0a91-437f-85a4-7e74a2dce28a"]}],"mendeley":{"formattedCitation":"[10]","plainTextFormattedCitation":"[10]","previouslyFormattedCitation":"[10]"},"properties":{"noteIndex":0},"schema":"https://github.com/citation-style-language/schema/raw/master/csl-citation.json"}</w:instrText>
      </w:r>
      <w:r w:rsidR="00020FBE" w:rsidRPr="00882288">
        <w:rPr>
          <w:rFonts w:ascii="Times New Roman" w:eastAsia="MS PGothic" w:hAnsi="Times New Roman"/>
          <w:lang w:val="en-US"/>
        </w:rPr>
        <w:fldChar w:fldCharType="separate"/>
      </w:r>
      <w:r w:rsidR="00321C2C" w:rsidRPr="00321C2C">
        <w:rPr>
          <w:rFonts w:ascii="Times New Roman" w:eastAsia="MS PGothic" w:hAnsi="Times New Roman"/>
          <w:noProof/>
          <w:lang w:val="en-US"/>
        </w:rPr>
        <w:t>[10]</w:t>
      </w:r>
      <w:r w:rsidR="00020FBE" w:rsidRPr="00882288">
        <w:rPr>
          <w:rFonts w:ascii="Times New Roman" w:eastAsia="MS PGothic" w:hAnsi="Times New Roman"/>
          <w:lang w:val="en-US"/>
        </w:rPr>
        <w:fldChar w:fldCharType="end"/>
      </w:r>
      <w:r w:rsidR="00020FBE" w:rsidRPr="00882288">
        <w:rPr>
          <w:rFonts w:ascii="Times New Roman" w:eastAsia="MS PGothic" w:hAnsi="Times New Roman"/>
          <w:lang w:val="en-US"/>
        </w:rPr>
        <w:t xml:space="preserve">. </w:t>
      </w:r>
      <w:r w:rsidRPr="00882288">
        <w:rPr>
          <w:rFonts w:ascii="Times New Roman" w:eastAsia="MS PGothic" w:hAnsi="Times New Roman"/>
          <w:lang w:val="en-US"/>
        </w:rPr>
        <w:t>T</w:t>
      </w:r>
      <w:r w:rsidR="00020FBE" w:rsidRPr="00882288">
        <w:rPr>
          <w:rFonts w:ascii="Times New Roman" w:eastAsia="MS PGothic" w:hAnsi="Times New Roman"/>
          <w:lang w:val="en-US"/>
        </w:rPr>
        <w:t>he reacted gases are separated in s</w:t>
      </w:r>
      <w:r w:rsidR="005C6F26" w:rsidRPr="00882288">
        <w:rPr>
          <w:rFonts w:ascii="Times New Roman" w:eastAsia="MS PGothic" w:hAnsi="Times New Roman"/>
          <w:lang w:val="en-US"/>
        </w:rPr>
        <w:t>ection 4</w:t>
      </w:r>
      <w:r w:rsidR="009927E8" w:rsidRPr="00882288">
        <w:rPr>
          <w:rFonts w:ascii="Times New Roman" w:eastAsia="MS PGothic" w:hAnsi="Times New Roman"/>
          <w:lang w:val="en-US"/>
        </w:rPr>
        <w:t xml:space="preserve"> where </w:t>
      </w:r>
      <w:r w:rsidR="00D76285" w:rsidRPr="00882288">
        <w:rPr>
          <w:rFonts w:ascii="Times New Roman" w:eastAsia="MS PGothic" w:hAnsi="Times New Roman"/>
          <w:lang w:val="en-US"/>
        </w:rPr>
        <w:t xml:space="preserve">fuel grade </w:t>
      </w:r>
      <w:r w:rsidR="00D76285">
        <w:rPr>
          <w:rFonts w:ascii="Times New Roman" w:eastAsia="MS PGothic" w:hAnsi="Times New Roman"/>
          <w:lang w:val="en-US"/>
        </w:rPr>
        <w:t xml:space="preserve">purity </w:t>
      </w:r>
      <w:r w:rsidR="009927E8" w:rsidRPr="00882288">
        <w:rPr>
          <w:rFonts w:ascii="Times New Roman" w:eastAsia="MS PGothic" w:hAnsi="Times New Roman"/>
          <w:lang w:val="en-US"/>
        </w:rPr>
        <w:t xml:space="preserve">methanol is </w:t>
      </w:r>
      <w:r w:rsidR="00D76285">
        <w:rPr>
          <w:rFonts w:ascii="Times New Roman" w:eastAsia="MS PGothic" w:hAnsi="Times New Roman"/>
          <w:lang w:val="en-US"/>
        </w:rPr>
        <w:t>obtained. In</w:t>
      </w:r>
      <w:r w:rsidR="005C6F26" w:rsidRPr="00882288">
        <w:rPr>
          <w:rFonts w:ascii="Times New Roman" w:eastAsia="MS PGothic" w:hAnsi="Times New Roman"/>
          <w:lang w:val="en-US"/>
        </w:rPr>
        <w:t xml:space="preserve"> section 5</w:t>
      </w:r>
      <w:r w:rsidR="00320201">
        <w:rPr>
          <w:rFonts w:ascii="Times New Roman" w:eastAsia="MS PGothic" w:hAnsi="Times New Roman"/>
          <w:lang w:val="en-US"/>
        </w:rPr>
        <w:t>,</w:t>
      </w:r>
      <w:r w:rsidR="00020FBE" w:rsidRPr="00882288">
        <w:rPr>
          <w:rFonts w:ascii="Times New Roman" w:eastAsia="MS PGothic" w:hAnsi="Times New Roman"/>
          <w:lang w:val="en-US"/>
        </w:rPr>
        <w:t xml:space="preserve"> </w:t>
      </w:r>
      <w:r w:rsidR="005C6F26" w:rsidRPr="00882288">
        <w:rPr>
          <w:rFonts w:ascii="Times New Roman" w:eastAsia="MS PGothic" w:hAnsi="Times New Roman"/>
          <w:lang w:val="en-US"/>
        </w:rPr>
        <w:t xml:space="preserve">recovery, compression and storage of </w:t>
      </w:r>
      <w:r w:rsidRPr="00882288">
        <w:rPr>
          <w:rFonts w:ascii="Times New Roman" w:eastAsia="MS PGothic" w:hAnsi="Times New Roman"/>
          <w:lang w:val="en-US"/>
        </w:rPr>
        <w:t xml:space="preserve">propane-rich </w:t>
      </w:r>
      <w:r w:rsidR="005C6F26" w:rsidRPr="00882288">
        <w:rPr>
          <w:rFonts w:ascii="Times New Roman" w:eastAsia="MS PGothic" w:hAnsi="Times New Roman"/>
          <w:lang w:val="en-US"/>
        </w:rPr>
        <w:t>gase</w:t>
      </w:r>
      <w:r w:rsidR="0023071D">
        <w:rPr>
          <w:rFonts w:ascii="Times New Roman" w:eastAsia="MS PGothic" w:hAnsi="Times New Roman"/>
          <w:lang w:val="en-US"/>
        </w:rPr>
        <w:t>ou</w:t>
      </w:r>
      <w:r w:rsidR="005C6F26" w:rsidRPr="00882288">
        <w:rPr>
          <w:rFonts w:ascii="Times New Roman" w:eastAsia="MS PGothic" w:hAnsi="Times New Roman"/>
          <w:lang w:val="en-US"/>
        </w:rPr>
        <w:t>s</w:t>
      </w:r>
      <w:r w:rsidR="0023071D">
        <w:rPr>
          <w:rFonts w:ascii="Times New Roman" w:eastAsia="MS PGothic" w:hAnsi="Times New Roman"/>
          <w:lang w:val="en-US"/>
        </w:rPr>
        <w:t xml:space="preserve"> streams</w:t>
      </w:r>
      <w:r w:rsidR="00D76285">
        <w:rPr>
          <w:rFonts w:ascii="Times New Roman" w:eastAsia="MS PGothic" w:hAnsi="Times New Roman"/>
          <w:lang w:val="en-US"/>
        </w:rPr>
        <w:t xml:space="preserve"> is carried out. These </w:t>
      </w:r>
      <w:r w:rsidR="009927E8" w:rsidRPr="00882288">
        <w:rPr>
          <w:rFonts w:ascii="Times New Roman" w:eastAsia="MS PGothic" w:hAnsi="Times New Roman"/>
          <w:lang w:val="en-US"/>
        </w:rPr>
        <w:t xml:space="preserve">can </w:t>
      </w:r>
      <w:r w:rsidR="00020FBE" w:rsidRPr="00882288">
        <w:rPr>
          <w:rFonts w:ascii="Times New Roman" w:eastAsia="MS PGothic" w:hAnsi="Times New Roman"/>
          <w:lang w:val="en-US"/>
        </w:rPr>
        <w:t xml:space="preserve">be directed to a flexible turbine operating as </w:t>
      </w:r>
      <w:r w:rsidR="00D76285">
        <w:rPr>
          <w:rFonts w:ascii="Times New Roman" w:eastAsia="MS PGothic" w:hAnsi="Times New Roman"/>
          <w:lang w:val="en-US"/>
        </w:rPr>
        <w:t xml:space="preserve">a </w:t>
      </w:r>
      <w:r w:rsidR="00020FBE" w:rsidRPr="00882288">
        <w:rPr>
          <w:rFonts w:ascii="Times New Roman" w:eastAsia="MS PGothic" w:hAnsi="Times New Roman"/>
          <w:lang w:val="en-US"/>
        </w:rPr>
        <w:t xml:space="preserve">back-up system. </w:t>
      </w:r>
      <w:r w:rsidR="00DC4A04" w:rsidRPr="00882288">
        <w:rPr>
          <w:rFonts w:ascii="Times New Roman" w:eastAsia="MS PGothic" w:hAnsi="Times New Roman"/>
          <w:lang w:val="en-US"/>
        </w:rPr>
        <w:t xml:space="preserve">The iterative sizing </w:t>
      </w:r>
      <w:r w:rsidR="00D82049" w:rsidRPr="00882288">
        <w:rPr>
          <w:rFonts w:ascii="Times New Roman" w:eastAsia="MS PGothic" w:hAnsi="Times New Roman"/>
          <w:lang w:val="en-US"/>
        </w:rPr>
        <w:t xml:space="preserve">leads to a methanol productivity of </w:t>
      </w:r>
      <w:r w:rsidR="00286CE5" w:rsidRPr="00882288">
        <w:rPr>
          <w:rFonts w:ascii="Times New Roman" w:eastAsia="MS PGothic" w:hAnsi="Times New Roman"/>
          <w:lang w:val="en-US"/>
        </w:rPr>
        <w:t>285</w:t>
      </w:r>
      <w:r w:rsidR="00D82049" w:rsidRPr="00882288">
        <w:rPr>
          <w:rFonts w:ascii="Times New Roman" w:eastAsia="MS PGothic" w:hAnsi="Times New Roman"/>
          <w:lang w:val="en-US"/>
        </w:rPr>
        <w:t xml:space="preserve"> </w:t>
      </w:r>
      <w:r w:rsidR="00286CE5" w:rsidRPr="00882288">
        <w:rPr>
          <w:rFonts w:ascii="Times New Roman" w:eastAsia="MS PGothic" w:hAnsi="Times New Roman"/>
          <w:lang w:val="en-US"/>
        </w:rPr>
        <w:t>t</w:t>
      </w:r>
      <w:r w:rsidR="00D82049" w:rsidRPr="00882288">
        <w:rPr>
          <w:rFonts w:ascii="Times New Roman" w:eastAsia="MS PGothic" w:hAnsi="Times New Roman"/>
          <w:lang w:val="en-US"/>
        </w:rPr>
        <w:t xml:space="preserve">/y, with a steady propane accumulation from purge gases of 97.5 kg/h, </w:t>
      </w:r>
      <w:r w:rsidR="00D76285">
        <w:rPr>
          <w:rFonts w:ascii="Times New Roman" w:eastAsia="MS PGothic" w:hAnsi="Times New Roman"/>
          <w:lang w:val="en-US"/>
        </w:rPr>
        <w:t xml:space="preserve">sufficient to </w:t>
      </w:r>
      <w:r w:rsidR="00D82049" w:rsidRPr="00713F95">
        <w:rPr>
          <w:rFonts w:ascii="Times New Roman" w:eastAsia="MS PGothic" w:hAnsi="Times New Roman"/>
          <w:lang w:val="en-US"/>
        </w:rPr>
        <w:t xml:space="preserve">satisfy the </w:t>
      </w:r>
      <w:r w:rsidR="00D82049" w:rsidRPr="00882288">
        <w:rPr>
          <w:rFonts w:ascii="Times New Roman" w:eastAsia="MS PGothic" w:hAnsi="Times New Roman"/>
          <w:lang w:val="en-US"/>
        </w:rPr>
        <w:t>power demand</w:t>
      </w:r>
      <w:r w:rsidR="00D76285">
        <w:rPr>
          <w:rFonts w:ascii="Times New Roman" w:eastAsia="MS PGothic" w:hAnsi="Times New Roman"/>
          <w:lang w:val="en-US"/>
        </w:rPr>
        <w:t xml:space="preserve"> by the back-up turbine</w:t>
      </w:r>
      <w:r w:rsidR="00D82049" w:rsidRPr="00882288">
        <w:rPr>
          <w:rFonts w:ascii="Times New Roman" w:eastAsia="MS PGothic" w:hAnsi="Times New Roman"/>
          <w:lang w:val="en-US"/>
        </w:rPr>
        <w:t xml:space="preserve"> </w:t>
      </w:r>
      <w:r w:rsidRPr="00882288">
        <w:rPr>
          <w:rFonts w:ascii="Times New Roman" w:eastAsia="MS PGothic" w:hAnsi="Times New Roman"/>
          <w:lang w:val="en-US"/>
        </w:rPr>
        <w:t xml:space="preserve">in </w:t>
      </w:r>
      <w:r w:rsidR="00D76285">
        <w:rPr>
          <w:rFonts w:ascii="Times New Roman" w:eastAsia="MS PGothic" w:hAnsi="Times New Roman"/>
          <w:lang w:val="en-US"/>
        </w:rPr>
        <w:t xml:space="preserve">the time periods </w:t>
      </w:r>
      <w:r w:rsidR="00D82049" w:rsidRPr="00882288">
        <w:rPr>
          <w:rFonts w:ascii="Times New Roman" w:eastAsia="MS PGothic" w:hAnsi="Times New Roman"/>
          <w:lang w:val="en-US"/>
        </w:rPr>
        <w:t xml:space="preserve">when RES generation </w:t>
      </w:r>
      <w:r w:rsidR="00882288" w:rsidRPr="00882288">
        <w:rPr>
          <w:rFonts w:ascii="Times New Roman" w:eastAsia="MS PGothic" w:hAnsi="Times New Roman"/>
          <w:lang w:val="en-US"/>
        </w:rPr>
        <w:t>is lower than</w:t>
      </w:r>
      <w:r w:rsidR="00D82049" w:rsidRPr="00882288">
        <w:rPr>
          <w:rFonts w:ascii="Times New Roman" w:eastAsia="MS PGothic" w:hAnsi="Times New Roman"/>
          <w:lang w:val="en-US"/>
        </w:rPr>
        <w:t xml:space="preserve"> 150 kW</w:t>
      </w:r>
      <w:r w:rsidR="00DC4A04" w:rsidRPr="00882288">
        <w:rPr>
          <w:rFonts w:ascii="Times New Roman" w:eastAsia="MS PGothic" w:hAnsi="Times New Roman"/>
          <w:lang w:val="en-US"/>
        </w:rPr>
        <w:t>.</w:t>
      </w:r>
      <w:r w:rsidR="0023071D">
        <w:rPr>
          <w:rFonts w:ascii="Times New Roman" w:eastAsia="MS PGothic" w:hAnsi="Times New Roman"/>
          <w:lang w:val="en-US"/>
        </w:rPr>
        <w:t xml:space="preserve"> </w:t>
      </w:r>
      <w:r w:rsidR="007F7D4A">
        <w:rPr>
          <w:rFonts w:ascii="Times New Roman" w:eastAsia="MS PGothic" w:hAnsi="Times New Roman"/>
          <w:lang w:val="en-US"/>
        </w:rPr>
        <w:t xml:space="preserve">The designed </w:t>
      </w:r>
      <w:r w:rsidR="00F80D03">
        <w:rPr>
          <w:rFonts w:ascii="Times New Roman" w:eastAsia="MS PGothic" w:hAnsi="Times New Roman"/>
          <w:lang w:val="en-US"/>
        </w:rPr>
        <w:t xml:space="preserve">methanol plant </w:t>
      </w:r>
      <w:r w:rsidR="0023071D">
        <w:rPr>
          <w:rFonts w:ascii="Times New Roman" w:eastAsia="MS PGothic" w:hAnsi="Times New Roman"/>
          <w:lang w:val="en-US"/>
        </w:rPr>
        <w:t xml:space="preserve">fully </w:t>
      </w:r>
      <w:r w:rsidR="00D76285">
        <w:rPr>
          <w:rFonts w:ascii="Times New Roman" w:eastAsia="MS PGothic" w:hAnsi="Times New Roman"/>
          <w:lang w:val="en-US"/>
        </w:rPr>
        <w:t xml:space="preserve">relies on the electric power obtained </w:t>
      </w:r>
      <w:r w:rsidR="0023071D">
        <w:rPr>
          <w:rFonts w:ascii="Times New Roman" w:eastAsia="MS PGothic" w:hAnsi="Times New Roman"/>
          <w:lang w:val="en-US"/>
        </w:rPr>
        <w:t xml:space="preserve">by </w:t>
      </w:r>
      <w:r w:rsidR="007F7D4A">
        <w:rPr>
          <w:rFonts w:ascii="Times New Roman" w:eastAsia="MS PGothic" w:hAnsi="Times New Roman"/>
          <w:lang w:val="en-US"/>
        </w:rPr>
        <w:t xml:space="preserve">the </w:t>
      </w:r>
      <w:r w:rsidR="0023071D">
        <w:rPr>
          <w:rFonts w:ascii="Times New Roman" w:eastAsia="MS PGothic" w:hAnsi="Times New Roman"/>
          <w:lang w:val="en-US"/>
        </w:rPr>
        <w:t xml:space="preserve">in </w:t>
      </w:r>
      <w:r w:rsidR="00D76285">
        <w:rPr>
          <w:rFonts w:ascii="Times New Roman" w:eastAsia="MS PGothic" w:hAnsi="Times New Roman"/>
          <w:lang w:val="en-US"/>
        </w:rPr>
        <w:t>situ</w:t>
      </w:r>
      <w:r w:rsidR="0023071D">
        <w:rPr>
          <w:rFonts w:ascii="Times New Roman" w:eastAsia="MS PGothic" w:hAnsi="Times New Roman"/>
          <w:lang w:val="en-US"/>
        </w:rPr>
        <w:t xml:space="preserve"> RE </w:t>
      </w:r>
      <w:r w:rsidR="00D76285">
        <w:rPr>
          <w:rFonts w:ascii="Times New Roman" w:eastAsia="MS PGothic" w:hAnsi="Times New Roman"/>
          <w:lang w:val="en-US"/>
        </w:rPr>
        <w:t>exploited</w:t>
      </w:r>
      <w:r w:rsidR="00F80D03">
        <w:rPr>
          <w:rFonts w:ascii="Times New Roman" w:eastAsia="MS PGothic" w:hAnsi="Times New Roman"/>
          <w:lang w:val="en-US"/>
        </w:rPr>
        <w:t>.</w:t>
      </w:r>
    </w:p>
    <w:p w14:paraId="18447172" w14:textId="77777777" w:rsidR="00B45736" w:rsidRPr="00882288" w:rsidRDefault="00B45736" w:rsidP="00B45736">
      <w:pPr>
        <w:keepNext/>
        <w:snapToGrid w:val="0"/>
        <w:spacing w:after="120"/>
      </w:pPr>
      <w:r w:rsidRPr="00882288">
        <w:rPr>
          <w:rFonts w:ascii="Times New Roman" w:hAnsi="Times New Roman" w:cs="Times New Roman"/>
          <w:noProof/>
          <w:sz w:val="24"/>
          <w:szCs w:val="24"/>
          <w:lang w:val="en-GB" w:eastAsia="en-GB"/>
        </w:rPr>
        <w:drawing>
          <wp:inline distT="0" distB="0" distL="0" distR="0" wp14:anchorId="684F2347" wp14:editId="3F0946C4">
            <wp:extent cx="5400040" cy="1938655"/>
            <wp:effectExtent l="0" t="0" r="0" b="4445"/>
            <wp:docPr id="35" name="Immagine 35" descr="Immagine che contiene testo, ci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magine 35" descr="Immagine che contiene testo, ciel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1938655"/>
                    </a:xfrm>
                    <a:prstGeom prst="rect">
                      <a:avLst/>
                    </a:prstGeom>
                    <a:noFill/>
                    <a:ln>
                      <a:noFill/>
                    </a:ln>
                  </pic:spPr>
                </pic:pic>
              </a:graphicData>
            </a:graphic>
          </wp:inline>
        </w:drawing>
      </w:r>
    </w:p>
    <w:p w14:paraId="518A4F86" w14:textId="6A4E41FF" w:rsidR="00FD6FA4" w:rsidRPr="008F60B6" w:rsidRDefault="00B45736" w:rsidP="00FC04A7">
      <w:pPr>
        <w:snapToGrid w:val="0"/>
        <w:spacing w:after="120"/>
        <w:jc w:val="center"/>
        <w:rPr>
          <w:rFonts w:ascii="Times New Roman" w:eastAsia="MS PGothic" w:hAnsi="Times New Roman"/>
          <w:szCs w:val="18"/>
          <w:lang w:val="en-US"/>
        </w:rPr>
      </w:pPr>
      <w:bookmarkStart w:id="0" w:name="_Ref96961004"/>
      <w:r w:rsidRPr="00882288">
        <w:rPr>
          <w:rFonts w:ascii="Times New Roman" w:eastAsia="MS PGothic" w:hAnsi="Times New Roman"/>
          <w:b/>
          <w:szCs w:val="18"/>
          <w:lang w:val="en-US"/>
        </w:rPr>
        <w:t xml:space="preserve">Figure </w:t>
      </w:r>
      <w:r w:rsidRPr="00882288">
        <w:rPr>
          <w:rFonts w:ascii="Times New Roman" w:eastAsia="MS PGothic" w:hAnsi="Times New Roman"/>
          <w:b/>
          <w:szCs w:val="18"/>
          <w:lang w:val="en-US"/>
        </w:rPr>
        <w:fldChar w:fldCharType="begin"/>
      </w:r>
      <w:r w:rsidRPr="00882288">
        <w:rPr>
          <w:rFonts w:ascii="Times New Roman" w:eastAsia="MS PGothic" w:hAnsi="Times New Roman"/>
          <w:b/>
          <w:szCs w:val="18"/>
          <w:lang w:val="en-US"/>
        </w:rPr>
        <w:instrText xml:space="preserve"> SEQ Figure \* ARABIC </w:instrText>
      </w:r>
      <w:r w:rsidRPr="00882288">
        <w:rPr>
          <w:rFonts w:ascii="Times New Roman" w:eastAsia="MS PGothic" w:hAnsi="Times New Roman"/>
          <w:b/>
          <w:szCs w:val="18"/>
          <w:lang w:val="en-US"/>
        </w:rPr>
        <w:fldChar w:fldCharType="separate"/>
      </w:r>
      <w:r w:rsidR="00D811EE">
        <w:rPr>
          <w:rFonts w:ascii="Times New Roman" w:eastAsia="MS PGothic" w:hAnsi="Times New Roman"/>
          <w:b/>
          <w:noProof/>
          <w:szCs w:val="18"/>
          <w:lang w:val="en-US"/>
        </w:rPr>
        <w:t>1</w:t>
      </w:r>
      <w:r w:rsidRPr="00882288">
        <w:rPr>
          <w:rFonts w:ascii="Times New Roman" w:eastAsia="MS PGothic" w:hAnsi="Times New Roman"/>
          <w:b/>
          <w:szCs w:val="18"/>
          <w:lang w:val="en-US"/>
        </w:rPr>
        <w:fldChar w:fldCharType="end"/>
      </w:r>
      <w:bookmarkEnd w:id="0"/>
      <w:r w:rsidR="008F60B6">
        <w:rPr>
          <w:rFonts w:ascii="Times New Roman" w:eastAsia="MS PGothic" w:hAnsi="Times New Roman"/>
          <w:b/>
          <w:szCs w:val="18"/>
          <w:lang w:val="en-US"/>
        </w:rPr>
        <w:t xml:space="preserve">. </w:t>
      </w:r>
      <w:r w:rsidR="008F60B6" w:rsidRPr="008F60B6">
        <w:rPr>
          <w:rFonts w:ascii="Times New Roman" w:eastAsia="MS PGothic" w:hAnsi="Times New Roman"/>
          <w:szCs w:val="18"/>
          <w:lang w:val="en-US"/>
        </w:rPr>
        <w:t xml:space="preserve">Process scheme of the methanol </w:t>
      </w:r>
      <w:r w:rsidR="008F60B6" w:rsidRPr="008F60B6">
        <w:rPr>
          <w:rFonts w:ascii="Times New Roman" w:eastAsia="MS PGothic" w:hAnsi="Times New Roman"/>
          <w:szCs w:val="18"/>
          <w:lang w:val="en-US"/>
        </w:rPr>
        <w:t>facility.</w:t>
      </w:r>
    </w:p>
    <w:p w14:paraId="0DE817AB" w14:textId="77777777" w:rsidR="00DA51A3" w:rsidRPr="00882288" w:rsidRDefault="00DA51A3" w:rsidP="00DA51A3">
      <w:pPr>
        <w:snapToGrid w:val="0"/>
        <w:spacing w:before="240" w:line="300" w:lineRule="auto"/>
        <w:rPr>
          <w:rFonts w:ascii="Times New Roman" w:eastAsia="MS PGothic" w:hAnsi="Times New Roman"/>
          <w:b/>
          <w:bCs/>
          <w:lang w:val="en-US" w:eastAsia="ko-KR"/>
        </w:rPr>
      </w:pPr>
      <w:r w:rsidRPr="00882288">
        <w:rPr>
          <w:rFonts w:ascii="Times New Roman" w:eastAsia="MS PGothic" w:hAnsi="Times New Roman"/>
          <w:b/>
          <w:bCs/>
          <w:lang w:val="en-US"/>
        </w:rPr>
        <w:t>4. Conclusion</w:t>
      </w:r>
      <w:r w:rsidRPr="00882288">
        <w:rPr>
          <w:rFonts w:ascii="Times New Roman" w:eastAsia="MS PGothic" w:hAnsi="Times New Roman"/>
          <w:b/>
          <w:bCs/>
          <w:lang w:val="en-US" w:eastAsia="ko-KR"/>
        </w:rPr>
        <w:t>s</w:t>
      </w:r>
    </w:p>
    <w:p w14:paraId="31C2D07B" w14:textId="1708E74B" w:rsidR="00357804" w:rsidRPr="00882288" w:rsidRDefault="00D76285" w:rsidP="003E3CAB">
      <w:pPr>
        <w:snapToGrid w:val="0"/>
        <w:spacing w:before="240"/>
        <w:rPr>
          <w:rFonts w:ascii="Times New Roman" w:eastAsia="MS PGothic" w:hAnsi="Times New Roman"/>
          <w:lang w:val="en-GB" w:eastAsia="ko-KR"/>
        </w:rPr>
      </w:pPr>
      <w:r>
        <w:rPr>
          <w:rFonts w:ascii="Times New Roman" w:eastAsia="MS PGothic" w:hAnsi="Times New Roman"/>
          <w:lang w:val="en-GB" w:eastAsia="ko-KR"/>
        </w:rPr>
        <w:t>A</w:t>
      </w:r>
      <w:r w:rsidR="00E3024F">
        <w:rPr>
          <w:rFonts w:ascii="Times New Roman" w:eastAsia="MS PGothic" w:hAnsi="Times New Roman"/>
          <w:lang w:val="en-GB" w:eastAsia="ko-KR"/>
        </w:rPr>
        <w:t xml:space="preserve"> methodology for the valoris</w:t>
      </w:r>
      <w:r w:rsidR="00357804" w:rsidRPr="00882288">
        <w:rPr>
          <w:rFonts w:ascii="Times New Roman" w:eastAsia="MS PGothic" w:hAnsi="Times New Roman"/>
          <w:lang w:val="en-GB" w:eastAsia="ko-KR"/>
        </w:rPr>
        <w:t xml:space="preserve">ation of </w:t>
      </w:r>
      <w:r w:rsidR="002B2317">
        <w:rPr>
          <w:rFonts w:ascii="Times New Roman" w:eastAsia="MS PGothic" w:hAnsi="Times New Roman"/>
          <w:lang w:val="en-GB" w:eastAsia="ko-KR"/>
        </w:rPr>
        <w:t xml:space="preserve">integrated </w:t>
      </w:r>
      <w:r w:rsidR="00357804" w:rsidRPr="00882288">
        <w:rPr>
          <w:rFonts w:ascii="Times New Roman" w:eastAsia="MS PGothic" w:hAnsi="Times New Roman"/>
          <w:lang w:val="en-GB" w:eastAsia="ko-KR"/>
        </w:rPr>
        <w:t>multiple offshore RES</w:t>
      </w:r>
      <w:r w:rsidR="00713F95">
        <w:rPr>
          <w:rFonts w:ascii="Times New Roman" w:eastAsia="MS PGothic" w:hAnsi="Times New Roman"/>
          <w:lang w:val="en-GB" w:eastAsia="ko-KR"/>
        </w:rPr>
        <w:t>s</w:t>
      </w:r>
      <w:r w:rsidR="00357804" w:rsidRPr="00882288">
        <w:rPr>
          <w:rFonts w:ascii="Times New Roman" w:eastAsia="MS PGothic" w:hAnsi="Times New Roman"/>
          <w:lang w:val="en-GB" w:eastAsia="ko-KR"/>
        </w:rPr>
        <w:t xml:space="preserve"> through </w:t>
      </w:r>
      <w:r w:rsidR="00713F95">
        <w:rPr>
          <w:rFonts w:ascii="Times New Roman" w:eastAsia="MS PGothic" w:hAnsi="Times New Roman"/>
          <w:lang w:val="en-GB" w:eastAsia="ko-KR"/>
        </w:rPr>
        <w:t>the coupling with</w:t>
      </w:r>
      <w:r w:rsidR="002B2317">
        <w:rPr>
          <w:rFonts w:ascii="Times New Roman" w:eastAsia="MS PGothic" w:hAnsi="Times New Roman"/>
          <w:lang w:val="en-GB" w:eastAsia="ko-KR"/>
        </w:rPr>
        <w:t xml:space="preserve"> </w:t>
      </w:r>
      <w:r>
        <w:rPr>
          <w:rFonts w:ascii="Times New Roman" w:eastAsia="MS PGothic" w:hAnsi="Times New Roman"/>
          <w:lang w:val="en-GB" w:eastAsia="ko-KR"/>
        </w:rPr>
        <w:t>Power-to-X process</w:t>
      </w:r>
      <w:r w:rsidR="00713F95">
        <w:rPr>
          <w:rFonts w:ascii="Times New Roman" w:eastAsia="MS PGothic" w:hAnsi="Times New Roman"/>
          <w:lang w:val="en-GB" w:eastAsia="ko-KR"/>
        </w:rPr>
        <w:t>es</w:t>
      </w:r>
      <w:r w:rsidR="00B30D06" w:rsidRPr="00882288">
        <w:rPr>
          <w:rFonts w:ascii="Times New Roman" w:eastAsia="MS PGothic" w:hAnsi="Times New Roman"/>
          <w:lang w:val="en-GB" w:eastAsia="ko-KR"/>
        </w:rPr>
        <w:t xml:space="preserve"> is presented and </w:t>
      </w:r>
      <w:r>
        <w:rPr>
          <w:rFonts w:ascii="Times New Roman" w:eastAsia="MS PGothic" w:hAnsi="Times New Roman"/>
          <w:lang w:val="en-GB" w:eastAsia="ko-KR"/>
        </w:rPr>
        <w:t xml:space="preserve">is </w:t>
      </w:r>
      <w:r w:rsidR="00B30D06" w:rsidRPr="00882288">
        <w:rPr>
          <w:rFonts w:ascii="Times New Roman" w:eastAsia="MS PGothic" w:hAnsi="Times New Roman"/>
          <w:lang w:val="en-GB" w:eastAsia="ko-KR"/>
        </w:rPr>
        <w:t>applied to</w:t>
      </w:r>
      <w:r>
        <w:rPr>
          <w:rFonts w:ascii="Times New Roman" w:eastAsia="MS PGothic" w:hAnsi="Times New Roman"/>
          <w:lang w:val="en-GB" w:eastAsia="ko-KR"/>
        </w:rPr>
        <w:t xml:space="preserve"> a case-study. Methanol production on an</w:t>
      </w:r>
      <w:r w:rsidR="00B30D06" w:rsidRPr="00882288">
        <w:rPr>
          <w:rFonts w:ascii="Times New Roman" w:eastAsia="MS PGothic" w:hAnsi="Times New Roman"/>
          <w:lang w:val="en-GB" w:eastAsia="ko-KR"/>
        </w:rPr>
        <w:t xml:space="preserve"> offshore platform in </w:t>
      </w:r>
      <w:r>
        <w:rPr>
          <w:rFonts w:ascii="Times New Roman" w:eastAsia="MS PGothic" w:hAnsi="Times New Roman"/>
          <w:lang w:val="en-GB" w:eastAsia="ko-KR"/>
        </w:rPr>
        <w:t xml:space="preserve">the </w:t>
      </w:r>
      <w:r w:rsidR="00B30D06" w:rsidRPr="00882288">
        <w:rPr>
          <w:rFonts w:ascii="Times New Roman" w:eastAsia="MS PGothic" w:hAnsi="Times New Roman"/>
          <w:lang w:val="en-GB" w:eastAsia="ko-KR"/>
        </w:rPr>
        <w:t xml:space="preserve">Adriatic Sea </w:t>
      </w:r>
      <w:r>
        <w:rPr>
          <w:rFonts w:ascii="Times New Roman" w:eastAsia="MS PGothic" w:hAnsi="Times New Roman"/>
          <w:lang w:val="en-GB" w:eastAsia="ko-KR"/>
        </w:rPr>
        <w:t>is considered</w:t>
      </w:r>
      <w:r w:rsidR="00C54462">
        <w:rPr>
          <w:rFonts w:ascii="Times New Roman" w:eastAsia="MS PGothic" w:hAnsi="Times New Roman"/>
          <w:lang w:val="en-GB" w:eastAsia="ko-KR"/>
        </w:rPr>
        <w:t xml:space="preserve">. The </w:t>
      </w:r>
      <w:r>
        <w:rPr>
          <w:rFonts w:ascii="Times New Roman" w:eastAsia="MS PGothic" w:hAnsi="Times New Roman"/>
          <w:lang w:val="en-GB" w:eastAsia="ko-KR"/>
        </w:rPr>
        <w:t>methodology allowed the definition of the</w:t>
      </w:r>
      <w:r w:rsidR="00B30D06" w:rsidRPr="00882288">
        <w:rPr>
          <w:rFonts w:ascii="Times New Roman" w:eastAsia="MS PGothic" w:hAnsi="Times New Roman"/>
          <w:lang w:val="en-GB" w:eastAsia="ko-KR"/>
        </w:rPr>
        <w:t xml:space="preserve"> optimal design </w:t>
      </w:r>
      <w:r w:rsidR="002B2317">
        <w:rPr>
          <w:rFonts w:ascii="Times New Roman" w:eastAsia="MS PGothic" w:hAnsi="Times New Roman"/>
          <w:lang w:val="en-GB" w:eastAsia="ko-KR"/>
        </w:rPr>
        <w:t>for</w:t>
      </w:r>
      <w:r w:rsidR="00B30D06" w:rsidRPr="00882288">
        <w:rPr>
          <w:rFonts w:ascii="Times New Roman" w:eastAsia="MS PGothic" w:hAnsi="Times New Roman"/>
          <w:lang w:val="en-GB" w:eastAsia="ko-KR"/>
        </w:rPr>
        <w:t xml:space="preserve"> both the </w:t>
      </w:r>
      <w:r>
        <w:rPr>
          <w:rFonts w:ascii="Times New Roman" w:eastAsia="MS PGothic" w:hAnsi="Times New Roman"/>
          <w:lang w:val="en-GB" w:eastAsia="ko-KR"/>
        </w:rPr>
        <w:t xml:space="preserve">RE exploitation systems and the methanol </w:t>
      </w:r>
      <w:r w:rsidR="00C54462">
        <w:rPr>
          <w:rFonts w:ascii="Times New Roman" w:eastAsia="MS PGothic" w:hAnsi="Times New Roman"/>
          <w:lang w:val="en-GB" w:eastAsia="ko-KR"/>
        </w:rPr>
        <w:t>facility</w:t>
      </w:r>
      <w:r w:rsidR="00412F94">
        <w:rPr>
          <w:rFonts w:ascii="Times New Roman" w:eastAsia="MS PGothic" w:hAnsi="Times New Roman"/>
          <w:lang w:val="en-GB" w:eastAsia="ko-KR"/>
        </w:rPr>
        <w:t xml:space="preserve">. The energy requirements of the methanol production process are </w:t>
      </w:r>
      <w:r w:rsidR="00C54462">
        <w:rPr>
          <w:rFonts w:ascii="Times New Roman" w:eastAsia="MS PGothic" w:hAnsi="Times New Roman"/>
          <w:lang w:val="en-GB" w:eastAsia="ko-KR"/>
        </w:rPr>
        <w:t>totally</w:t>
      </w:r>
      <w:r w:rsidR="00B30D06" w:rsidRPr="00882288">
        <w:rPr>
          <w:rFonts w:ascii="Times New Roman" w:eastAsia="MS PGothic" w:hAnsi="Times New Roman"/>
          <w:lang w:val="en-GB" w:eastAsia="ko-KR"/>
        </w:rPr>
        <w:t xml:space="preserve"> </w:t>
      </w:r>
      <w:r w:rsidR="00412F94">
        <w:rPr>
          <w:rFonts w:ascii="Times New Roman" w:eastAsia="MS PGothic" w:hAnsi="Times New Roman"/>
          <w:lang w:val="en-GB" w:eastAsia="ko-KR"/>
        </w:rPr>
        <w:t>satisfied by the RE exploitation system</w:t>
      </w:r>
      <w:r w:rsidR="002B2317">
        <w:rPr>
          <w:rFonts w:ascii="Times New Roman" w:eastAsia="MS PGothic" w:hAnsi="Times New Roman"/>
          <w:lang w:val="en-GB" w:eastAsia="ko-KR"/>
        </w:rPr>
        <w:t xml:space="preserve">. </w:t>
      </w:r>
      <w:r w:rsidR="00412F94">
        <w:rPr>
          <w:rFonts w:ascii="Times New Roman" w:eastAsia="MS PGothic" w:hAnsi="Times New Roman"/>
          <w:lang w:val="en-GB" w:eastAsia="ko-KR"/>
        </w:rPr>
        <w:t xml:space="preserve">The results also allow carrying out the assessment of the </w:t>
      </w:r>
      <w:r w:rsidR="002B2317">
        <w:rPr>
          <w:rFonts w:ascii="Times New Roman" w:eastAsia="MS PGothic" w:hAnsi="Times New Roman"/>
          <w:lang w:val="en-GB" w:eastAsia="ko-KR"/>
        </w:rPr>
        <w:t xml:space="preserve">broad sustainability of the </w:t>
      </w:r>
      <w:r w:rsidR="00C65102">
        <w:rPr>
          <w:rFonts w:ascii="Times New Roman" w:eastAsia="MS PGothic" w:hAnsi="Times New Roman"/>
          <w:lang w:val="en-GB" w:eastAsia="ko-KR"/>
        </w:rPr>
        <w:t>project</w:t>
      </w:r>
      <w:r w:rsidR="00B30D06" w:rsidRPr="00882288">
        <w:rPr>
          <w:rFonts w:ascii="Times New Roman" w:eastAsia="MS PGothic" w:hAnsi="Times New Roman"/>
          <w:lang w:val="en-GB" w:eastAsia="ko-KR"/>
        </w:rPr>
        <w:t>.</w:t>
      </w:r>
    </w:p>
    <w:p w14:paraId="6300D94B" w14:textId="69B3E83E" w:rsidR="00CA7D06" w:rsidRDefault="00DA51A3" w:rsidP="000F38A9">
      <w:pPr>
        <w:snapToGrid w:val="0"/>
        <w:spacing w:before="240" w:line="300" w:lineRule="auto"/>
        <w:rPr>
          <w:rFonts w:ascii="Times New Roman" w:eastAsia="MS PGothic" w:hAnsi="Times New Roman"/>
          <w:b/>
          <w:bCs/>
          <w:lang w:val="en-US"/>
        </w:rPr>
      </w:pPr>
      <w:r w:rsidRPr="00882288">
        <w:rPr>
          <w:rFonts w:ascii="Times New Roman" w:eastAsia="MS PGothic" w:hAnsi="Times New Roman"/>
          <w:b/>
          <w:bCs/>
          <w:lang w:val="en-US"/>
        </w:rPr>
        <w:t xml:space="preserve">References </w:t>
      </w:r>
    </w:p>
    <w:p w14:paraId="78374265" w14:textId="208AE936" w:rsidR="00CA7D06" w:rsidRPr="00625F27" w:rsidRDefault="00CA7D06" w:rsidP="00625F27">
      <w:pPr>
        <w:numPr>
          <w:ilvl w:val="0"/>
          <w:numId w:val="1"/>
        </w:numPr>
        <w:tabs>
          <w:tab w:val="left" w:pos="426"/>
        </w:tabs>
        <w:spacing w:after="0" w:line="240" w:lineRule="auto"/>
        <w:ind w:left="426" w:hanging="426"/>
        <w:jc w:val="both"/>
        <w:rPr>
          <w:rFonts w:ascii="Times New Roman" w:eastAsia="Times New Roman" w:hAnsi="Times New Roman" w:cs="Times New Roman"/>
          <w:sz w:val="20"/>
          <w:szCs w:val="20"/>
          <w:lang w:val="en-US"/>
        </w:rPr>
      </w:pPr>
      <w:r w:rsidRPr="00625F27">
        <w:rPr>
          <w:rFonts w:ascii="Times New Roman" w:eastAsia="Times New Roman" w:hAnsi="Times New Roman" w:cs="Times New Roman"/>
          <w:sz w:val="20"/>
          <w:szCs w:val="20"/>
          <w:lang w:val="en-US"/>
        </w:rPr>
        <w:t xml:space="preserve">J. Chécko, T. Urych, M. Magdziarczyk, A. Smolínski, Energies </w:t>
      </w:r>
      <w:r w:rsidR="00F02067" w:rsidRPr="00625F27">
        <w:rPr>
          <w:rFonts w:ascii="Times New Roman" w:eastAsia="Times New Roman" w:hAnsi="Times New Roman" w:cs="Times New Roman"/>
          <w:sz w:val="20"/>
          <w:szCs w:val="20"/>
          <w:lang w:val="en-US"/>
        </w:rPr>
        <w:t>13 (</w:t>
      </w:r>
      <w:r w:rsidRPr="00625F27">
        <w:rPr>
          <w:rFonts w:ascii="Times New Roman" w:eastAsia="Times New Roman" w:hAnsi="Times New Roman" w:cs="Times New Roman"/>
          <w:sz w:val="20"/>
          <w:szCs w:val="20"/>
          <w:lang w:val="en-US"/>
        </w:rPr>
        <w:t>2020</w:t>
      </w:r>
      <w:r w:rsidR="00F02067" w:rsidRPr="00625F27">
        <w:rPr>
          <w:rFonts w:ascii="Times New Roman" w:eastAsia="Times New Roman" w:hAnsi="Times New Roman" w:cs="Times New Roman"/>
          <w:sz w:val="20"/>
          <w:szCs w:val="20"/>
          <w:lang w:val="en-US"/>
        </w:rPr>
        <w:t>), 1–20</w:t>
      </w:r>
    </w:p>
    <w:p w14:paraId="1168470A" w14:textId="0C21708C" w:rsidR="001921E7" w:rsidRDefault="00CA7D06" w:rsidP="00625F27">
      <w:pPr>
        <w:numPr>
          <w:ilvl w:val="0"/>
          <w:numId w:val="1"/>
        </w:numPr>
        <w:tabs>
          <w:tab w:val="left" w:pos="426"/>
        </w:tabs>
        <w:spacing w:after="0" w:line="240" w:lineRule="auto"/>
        <w:ind w:left="426" w:hanging="426"/>
        <w:jc w:val="both"/>
        <w:rPr>
          <w:rFonts w:ascii="Times New Roman" w:eastAsia="Times New Roman" w:hAnsi="Times New Roman" w:cs="Times New Roman"/>
          <w:sz w:val="20"/>
          <w:szCs w:val="20"/>
          <w:lang w:val="en-US"/>
        </w:rPr>
      </w:pPr>
      <w:r w:rsidRPr="00625F27">
        <w:rPr>
          <w:rFonts w:ascii="Times New Roman" w:eastAsia="Times New Roman" w:hAnsi="Times New Roman" w:cs="Times New Roman"/>
          <w:sz w:val="20"/>
          <w:szCs w:val="20"/>
          <w:lang w:val="en-US"/>
        </w:rPr>
        <w:t xml:space="preserve">S. R. Kolian, M. Godec, P. W. Sammarco, Ocean. Coast. Manag. </w:t>
      </w:r>
      <w:r w:rsidR="00F02067" w:rsidRPr="00625F27">
        <w:rPr>
          <w:rFonts w:ascii="Times New Roman" w:eastAsia="Times New Roman" w:hAnsi="Times New Roman" w:cs="Times New Roman"/>
          <w:sz w:val="20"/>
          <w:szCs w:val="20"/>
          <w:lang w:val="en-US"/>
        </w:rPr>
        <w:t>167 (</w:t>
      </w:r>
      <w:r w:rsidRPr="00625F27">
        <w:rPr>
          <w:rFonts w:ascii="Times New Roman" w:eastAsia="Times New Roman" w:hAnsi="Times New Roman" w:cs="Times New Roman"/>
          <w:sz w:val="20"/>
          <w:szCs w:val="20"/>
          <w:lang w:val="en-US"/>
        </w:rPr>
        <w:t>2019</w:t>
      </w:r>
      <w:r w:rsidR="00F02067" w:rsidRPr="00625F27">
        <w:rPr>
          <w:rFonts w:ascii="Times New Roman" w:eastAsia="Times New Roman" w:hAnsi="Times New Roman" w:cs="Times New Roman"/>
          <w:sz w:val="20"/>
          <w:szCs w:val="20"/>
          <w:lang w:val="en-US"/>
        </w:rPr>
        <w:t xml:space="preserve">), </w:t>
      </w:r>
      <w:r w:rsidRPr="00625F27">
        <w:rPr>
          <w:rFonts w:ascii="Times New Roman" w:eastAsia="Times New Roman" w:hAnsi="Times New Roman" w:cs="Times New Roman"/>
          <w:sz w:val="20"/>
          <w:szCs w:val="20"/>
          <w:lang w:val="en-US"/>
        </w:rPr>
        <w:t>52–</w:t>
      </w:r>
      <w:r w:rsidR="00F02067" w:rsidRPr="00625F27">
        <w:rPr>
          <w:rFonts w:ascii="Times New Roman" w:eastAsia="Times New Roman" w:hAnsi="Times New Roman" w:cs="Times New Roman"/>
          <w:sz w:val="20"/>
          <w:szCs w:val="20"/>
          <w:lang w:val="en-US"/>
        </w:rPr>
        <w:t>59</w:t>
      </w:r>
      <w:r w:rsidRPr="00625F27">
        <w:rPr>
          <w:rFonts w:ascii="Times New Roman" w:eastAsia="Times New Roman" w:hAnsi="Times New Roman" w:cs="Times New Roman"/>
          <w:sz w:val="20"/>
          <w:szCs w:val="20"/>
          <w:lang w:val="en-US"/>
        </w:rPr>
        <w:t xml:space="preserve"> </w:t>
      </w:r>
    </w:p>
    <w:p w14:paraId="63332B55" w14:textId="77777777" w:rsidR="00625F27" w:rsidRPr="00625F27" w:rsidRDefault="001921E7" w:rsidP="001921E7">
      <w:pPr>
        <w:numPr>
          <w:ilvl w:val="0"/>
          <w:numId w:val="1"/>
        </w:numPr>
        <w:tabs>
          <w:tab w:val="left" w:pos="426"/>
        </w:tabs>
        <w:spacing w:after="0" w:line="240" w:lineRule="auto"/>
        <w:ind w:left="426" w:hanging="426"/>
        <w:jc w:val="both"/>
        <w:rPr>
          <w:rFonts w:ascii="Times New Roman" w:eastAsia="Times New Roman" w:hAnsi="Times New Roman" w:cs="Times New Roman"/>
          <w:sz w:val="20"/>
          <w:szCs w:val="20"/>
          <w:lang w:val="en-US"/>
        </w:rPr>
      </w:pPr>
      <w:r w:rsidRPr="00625F27">
        <w:rPr>
          <w:rFonts w:ascii="Times New Roman" w:eastAsia="Times New Roman" w:hAnsi="Times New Roman" w:cs="Times New Roman"/>
          <w:sz w:val="20"/>
          <w:szCs w:val="20"/>
          <w:lang w:val="en-US"/>
        </w:rPr>
        <w:t>A. Buttler, H. Spliethoff, Renew. Sustain. Energy Rev. 82 (2018), 2440–2454</w:t>
      </w:r>
    </w:p>
    <w:p w14:paraId="3D7EF07E" w14:textId="77777777" w:rsidR="00625F27" w:rsidRPr="00625F27" w:rsidRDefault="001921E7" w:rsidP="00CA7D06">
      <w:pPr>
        <w:numPr>
          <w:ilvl w:val="0"/>
          <w:numId w:val="1"/>
        </w:numPr>
        <w:tabs>
          <w:tab w:val="left" w:pos="426"/>
        </w:tabs>
        <w:spacing w:after="0" w:line="240" w:lineRule="auto"/>
        <w:ind w:left="426" w:hanging="426"/>
        <w:jc w:val="both"/>
        <w:rPr>
          <w:rFonts w:ascii="Times New Roman" w:eastAsia="Times New Roman" w:hAnsi="Times New Roman" w:cs="Times New Roman"/>
          <w:sz w:val="20"/>
          <w:szCs w:val="20"/>
          <w:lang w:val="en-US"/>
        </w:rPr>
      </w:pPr>
      <w:r w:rsidRPr="00D23BFF">
        <w:rPr>
          <w:rFonts w:ascii="Times New Roman" w:eastAsia="Times New Roman" w:hAnsi="Times New Roman" w:cs="Times New Roman"/>
          <w:sz w:val="20"/>
          <w:szCs w:val="20"/>
        </w:rPr>
        <w:t xml:space="preserve">V. Aryai, R. Abbassi, N. Abdussamie, F. Salehi, V. Garaniya, M. Asadnia, Process Saf. </w:t>
      </w:r>
      <w:r w:rsidRPr="00625F27">
        <w:rPr>
          <w:rFonts w:ascii="Times New Roman" w:eastAsia="Times New Roman" w:hAnsi="Times New Roman" w:cs="Times New Roman"/>
          <w:sz w:val="20"/>
          <w:szCs w:val="20"/>
          <w:lang w:val="en-US"/>
        </w:rPr>
        <w:t>Environ. Prot. 148 (2021), 437–461</w:t>
      </w:r>
    </w:p>
    <w:p w14:paraId="6AFF6E23" w14:textId="4F915310" w:rsidR="00625F27" w:rsidRPr="00625F27" w:rsidRDefault="00CA7D06" w:rsidP="00CA7D06">
      <w:pPr>
        <w:numPr>
          <w:ilvl w:val="0"/>
          <w:numId w:val="1"/>
        </w:numPr>
        <w:tabs>
          <w:tab w:val="left" w:pos="426"/>
        </w:tabs>
        <w:spacing w:after="0" w:line="240" w:lineRule="auto"/>
        <w:ind w:left="426" w:hanging="426"/>
        <w:jc w:val="both"/>
        <w:rPr>
          <w:rFonts w:ascii="Times New Roman" w:eastAsia="Times New Roman" w:hAnsi="Times New Roman" w:cs="Times New Roman"/>
          <w:sz w:val="20"/>
          <w:szCs w:val="20"/>
          <w:lang w:val="en-US"/>
        </w:rPr>
      </w:pPr>
      <w:r w:rsidRPr="00625F27">
        <w:rPr>
          <w:rFonts w:ascii="Times New Roman" w:eastAsia="Times New Roman" w:hAnsi="Times New Roman" w:cs="Times New Roman"/>
          <w:sz w:val="20"/>
          <w:szCs w:val="20"/>
          <w:lang w:val="en-US"/>
        </w:rPr>
        <w:t>G. A. Olah, A. Goeppert, G. K. S. Prakash</w:t>
      </w:r>
      <w:r w:rsidR="00D275F7" w:rsidRPr="00625F27">
        <w:rPr>
          <w:rFonts w:ascii="Times New Roman" w:eastAsia="Times New Roman" w:hAnsi="Times New Roman" w:cs="Times New Roman"/>
          <w:sz w:val="20"/>
          <w:szCs w:val="20"/>
          <w:lang w:val="en-US"/>
        </w:rPr>
        <w:t>,</w:t>
      </w:r>
      <w:r w:rsidRPr="00625F27">
        <w:rPr>
          <w:rFonts w:ascii="Times New Roman" w:eastAsia="Times New Roman" w:hAnsi="Times New Roman" w:cs="Times New Roman"/>
          <w:sz w:val="20"/>
          <w:szCs w:val="20"/>
          <w:lang w:val="en-US"/>
        </w:rPr>
        <w:t xml:space="preserve"> Beyond Oil an</w:t>
      </w:r>
      <w:r w:rsidR="00D275F7" w:rsidRPr="00625F27">
        <w:rPr>
          <w:rFonts w:ascii="Times New Roman" w:eastAsia="Times New Roman" w:hAnsi="Times New Roman" w:cs="Times New Roman"/>
          <w:sz w:val="20"/>
          <w:szCs w:val="20"/>
          <w:lang w:val="en-US"/>
        </w:rPr>
        <w:t>d Gas: the Methanol</w:t>
      </w:r>
      <w:r w:rsidR="00D275F7" w:rsidRPr="00625F27">
        <w:rPr>
          <w:rFonts w:ascii="Times New Roman" w:hAnsi="Times New Roman"/>
          <w:lang w:val="en-GB"/>
        </w:rPr>
        <w:t xml:space="preserve"> </w:t>
      </w:r>
      <w:r w:rsidR="00D275F7" w:rsidRPr="00625F27">
        <w:rPr>
          <w:rFonts w:ascii="Times New Roman" w:eastAsia="Times New Roman" w:hAnsi="Times New Roman" w:cs="Times New Roman"/>
          <w:sz w:val="20"/>
          <w:szCs w:val="20"/>
          <w:lang w:val="en-US"/>
        </w:rPr>
        <w:t>Economy, third</w:t>
      </w:r>
      <w:r w:rsidRPr="00625F27">
        <w:rPr>
          <w:rFonts w:ascii="Times New Roman" w:eastAsia="Times New Roman" w:hAnsi="Times New Roman" w:cs="Times New Roman"/>
          <w:sz w:val="20"/>
          <w:szCs w:val="20"/>
          <w:lang w:val="en-US"/>
        </w:rPr>
        <w:t xml:space="preserve"> ed.</w:t>
      </w:r>
      <w:r w:rsidR="00D275F7" w:rsidRPr="00625F27">
        <w:rPr>
          <w:rFonts w:ascii="Times New Roman" w:eastAsia="Times New Roman" w:hAnsi="Times New Roman" w:cs="Times New Roman"/>
          <w:sz w:val="20"/>
          <w:szCs w:val="20"/>
          <w:lang w:val="en-US"/>
        </w:rPr>
        <w:t>, Wiley-VCH,</w:t>
      </w:r>
      <w:r w:rsidR="00625F27" w:rsidRPr="00625F27">
        <w:rPr>
          <w:rFonts w:ascii="Times New Roman" w:eastAsia="Times New Roman" w:hAnsi="Times New Roman" w:cs="Times New Roman"/>
          <w:sz w:val="20"/>
          <w:szCs w:val="20"/>
          <w:lang w:val="en-US"/>
        </w:rPr>
        <w:t xml:space="preserve"> 2018</w:t>
      </w:r>
    </w:p>
    <w:p w14:paraId="31EC0569" w14:textId="77777777" w:rsidR="00625F27" w:rsidRPr="00625F27" w:rsidRDefault="00D275F7" w:rsidP="00CA7D06">
      <w:pPr>
        <w:numPr>
          <w:ilvl w:val="0"/>
          <w:numId w:val="1"/>
        </w:numPr>
        <w:tabs>
          <w:tab w:val="left" w:pos="426"/>
        </w:tabs>
        <w:spacing w:after="0" w:line="240" w:lineRule="auto"/>
        <w:ind w:left="426" w:hanging="426"/>
        <w:jc w:val="both"/>
        <w:rPr>
          <w:rFonts w:ascii="Times New Roman" w:eastAsia="Times New Roman" w:hAnsi="Times New Roman" w:cs="Times New Roman"/>
          <w:sz w:val="20"/>
          <w:szCs w:val="20"/>
          <w:lang w:val="en-US"/>
        </w:rPr>
      </w:pPr>
      <w:r w:rsidRPr="00D23BFF">
        <w:rPr>
          <w:rFonts w:ascii="Times New Roman" w:eastAsia="Times New Roman" w:hAnsi="Times New Roman" w:cs="Times New Roman"/>
          <w:sz w:val="20"/>
          <w:szCs w:val="20"/>
        </w:rPr>
        <w:t>E. Dallavalle</w:t>
      </w:r>
      <w:r w:rsidR="00CA7D06" w:rsidRPr="00D23BFF">
        <w:rPr>
          <w:rFonts w:ascii="Times New Roman" w:eastAsia="Times New Roman" w:hAnsi="Times New Roman" w:cs="Times New Roman"/>
          <w:sz w:val="20"/>
          <w:szCs w:val="20"/>
        </w:rPr>
        <w:t xml:space="preserve">, </w:t>
      </w:r>
      <w:r w:rsidRPr="00D23BFF">
        <w:rPr>
          <w:rFonts w:ascii="Times New Roman" w:eastAsia="Times New Roman" w:hAnsi="Times New Roman" w:cs="Times New Roman"/>
          <w:sz w:val="20"/>
          <w:szCs w:val="20"/>
        </w:rPr>
        <w:t>M. Cipolletta</w:t>
      </w:r>
      <w:r w:rsidR="00CA7D06" w:rsidRPr="00D23BFF">
        <w:rPr>
          <w:rFonts w:ascii="Times New Roman" w:eastAsia="Times New Roman" w:hAnsi="Times New Roman" w:cs="Times New Roman"/>
          <w:sz w:val="20"/>
          <w:szCs w:val="20"/>
        </w:rPr>
        <w:t xml:space="preserve">, </w:t>
      </w:r>
      <w:r w:rsidRPr="00D23BFF">
        <w:rPr>
          <w:rFonts w:ascii="Times New Roman" w:eastAsia="Times New Roman" w:hAnsi="Times New Roman" w:cs="Times New Roman"/>
          <w:sz w:val="20"/>
          <w:szCs w:val="20"/>
        </w:rPr>
        <w:t>V. Casson Moreno</w:t>
      </w:r>
      <w:r w:rsidR="00CA7D06" w:rsidRPr="00D23BFF">
        <w:rPr>
          <w:rFonts w:ascii="Times New Roman" w:eastAsia="Times New Roman" w:hAnsi="Times New Roman" w:cs="Times New Roman"/>
          <w:sz w:val="20"/>
          <w:szCs w:val="20"/>
        </w:rPr>
        <w:t xml:space="preserve">, </w:t>
      </w:r>
      <w:r w:rsidRPr="00D23BFF">
        <w:rPr>
          <w:rFonts w:ascii="Times New Roman" w:eastAsia="Times New Roman" w:hAnsi="Times New Roman" w:cs="Times New Roman"/>
          <w:sz w:val="20"/>
          <w:szCs w:val="20"/>
        </w:rPr>
        <w:t>V. Cozzani</w:t>
      </w:r>
      <w:r w:rsidR="00CA7D06" w:rsidRPr="00D23BFF">
        <w:rPr>
          <w:rFonts w:ascii="Times New Roman" w:eastAsia="Times New Roman" w:hAnsi="Times New Roman" w:cs="Times New Roman"/>
          <w:sz w:val="20"/>
          <w:szCs w:val="20"/>
        </w:rPr>
        <w:t xml:space="preserve">, </w:t>
      </w:r>
      <w:r w:rsidRPr="00D23BFF">
        <w:rPr>
          <w:rFonts w:ascii="Times New Roman" w:eastAsia="Times New Roman" w:hAnsi="Times New Roman" w:cs="Times New Roman"/>
          <w:sz w:val="20"/>
          <w:szCs w:val="20"/>
        </w:rPr>
        <w:t xml:space="preserve">B. Zanuttigh, </w:t>
      </w:r>
      <w:r w:rsidR="00CA7D06" w:rsidRPr="00D23BFF">
        <w:rPr>
          <w:rFonts w:ascii="Times New Roman" w:eastAsia="Times New Roman" w:hAnsi="Times New Roman" w:cs="Times New Roman"/>
          <w:sz w:val="20"/>
          <w:szCs w:val="20"/>
        </w:rPr>
        <w:t>Renew</w:t>
      </w:r>
      <w:r w:rsidRPr="00D23BFF">
        <w:rPr>
          <w:rFonts w:ascii="Times New Roman" w:eastAsia="Times New Roman" w:hAnsi="Times New Roman" w:cs="Times New Roman"/>
          <w:sz w:val="20"/>
          <w:szCs w:val="20"/>
        </w:rPr>
        <w:t>.</w:t>
      </w:r>
      <w:r w:rsidR="00CA7D06" w:rsidRPr="00D23BFF">
        <w:rPr>
          <w:rFonts w:ascii="Times New Roman" w:eastAsia="Times New Roman" w:hAnsi="Times New Roman" w:cs="Times New Roman"/>
          <w:sz w:val="20"/>
          <w:szCs w:val="20"/>
        </w:rPr>
        <w:t xml:space="preserve"> </w:t>
      </w:r>
      <w:r w:rsidR="00CA7D06" w:rsidRPr="00625F27">
        <w:rPr>
          <w:rFonts w:ascii="Times New Roman" w:eastAsia="Times New Roman" w:hAnsi="Times New Roman" w:cs="Times New Roman"/>
          <w:sz w:val="20"/>
          <w:szCs w:val="20"/>
          <w:lang w:val="en-US"/>
        </w:rPr>
        <w:t xml:space="preserve">Energy </w:t>
      </w:r>
      <w:r w:rsidR="00F02067" w:rsidRPr="00625F27">
        <w:rPr>
          <w:rFonts w:ascii="Times New Roman" w:eastAsia="Times New Roman" w:hAnsi="Times New Roman" w:cs="Times New Roman"/>
          <w:sz w:val="20"/>
          <w:szCs w:val="20"/>
          <w:lang w:val="en-US"/>
        </w:rPr>
        <w:t xml:space="preserve">174 </w:t>
      </w:r>
      <w:r w:rsidRPr="00625F27">
        <w:rPr>
          <w:rFonts w:ascii="Times New Roman" w:eastAsia="Times New Roman" w:hAnsi="Times New Roman" w:cs="Times New Roman"/>
          <w:sz w:val="20"/>
          <w:szCs w:val="20"/>
          <w:lang w:val="en-US"/>
        </w:rPr>
        <w:t>(</w:t>
      </w:r>
      <w:r w:rsidR="00CA7D06" w:rsidRPr="00625F27">
        <w:rPr>
          <w:rFonts w:ascii="Times New Roman" w:eastAsia="Times New Roman" w:hAnsi="Times New Roman" w:cs="Times New Roman"/>
          <w:sz w:val="20"/>
          <w:szCs w:val="20"/>
          <w:lang w:val="en-US"/>
        </w:rPr>
        <w:t>2021</w:t>
      </w:r>
      <w:r w:rsidRPr="00625F27">
        <w:rPr>
          <w:rFonts w:ascii="Times New Roman" w:eastAsia="Times New Roman" w:hAnsi="Times New Roman" w:cs="Times New Roman"/>
          <w:sz w:val="20"/>
          <w:szCs w:val="20"/>
          <w:lang w:val="en-US"/>
        </w:rPr>
        <w:t xml:space="preserve">), </w:t>
      </w:r>
      <w:r w:rsidR="00CA7D06" w:rsidRPr="00625F27">
        <w:rPr>
          <w:rFonts w:ascii="Times New Roman" w:eastAsia="Times New Roman" w:hAnsi="Times New Roman" w:cs="Times New Roman"/>
          <w:sz w:val="20"/>
          <w:szCs w:val="20"/>
          <w:lang w:val="en-US"/>
        </w:rPr>
        <w:t>426–4</w:t>
      </w:r>
      <w:r w:rsidR="00F02067" w:rsidRPr="00625F27">
        <w:rPr>
          <w:rFonts w:ascii="Times New Roman" w:eastAsia="Times New Roman" w:hAnsi="Times New Roman" w:cs="Times New Roman"/>
          <w:sz w:val="20"/>
          <w:szCs w:val="20"/>
          <w:lang w:val="en-US"/>
        </w:rPr>
        <w:t>43</w:t>
      </w:r>
    </w:p>
    <w:p w14:paraId="7F2C97ED" w14:textId="77777777" w:rsidR="00625F27" w:rsidRPr="00625F27" w:rsidRDefault="001921E7" w:rsidP="00CA7D06">
      <w:pPr>
        <w:numPr>
          <w:ilvl w:val="0"/>
          <w:numId w:val="1"/>
        </w:numPr>
        <w:tabs>
          <w:tab w:val="left" w:pos="426"/>
        </w:tabs>
        <w:spacing w:after="0" w:line="240" w:lineRule="auto"/>
        <w:ind w:left="426" w:hanging="426"/>
        <w:jc w:val="both"/>
        <w:rPr>
          <w:rFonts w:ascii="Times New Roman" w:eastAsia="Times New Roman" w:hAnsi="Times New Roman" w:cs="Times New Roman"/>
          <w:sz w:val="20"/>
          <w:szCs w:val="20"/>
          <w:lang w:val="en-US"/>
        </w:rPr>
      </w:pPr>
      <w:r w:rsidRPr="00625F27">
        <w:rPr>
          <w:rFonts w:ascii="Times New Roman" w:eastAsia="Times New Roman" w:hAnsi="Times New Roman" w:cs="Times New Roman"/>
          <w:sz w:val="20"/>
          <w:szCs w:val="20"/>
          <w:lang w:val="en-US"/>
        </w:rPr>
        <w:t>Ministero dello Sviluppo Economico, 2020</w:t>
      </w:r>
    </w:p>
    <w:p w14:paraId="76AB6DBE" w14:textId="3EAA00D2" w:rsidR="00625F27" w:rsidRPr="00625F27" w:rsidRDefault="00D275F7" w:rsidP="00CA7D06">
      <w:pPr>
        <w:numPr>
          <w:ilvl w:val="0"/>
          <w:numId w:val="1"/>
        </w:numPr>
        <w:tabs>
          <w:tab w:val="left" w:pos="426"/>
        </w:tabs>
        <w:spacing w:after="0" w:line="240" w:lineRule="auto"/>
        <w:ind w:left="426" w:hanging="426"/>
        <w:jc w:val="both"/>
        <w:rPr>
          <w:rFonts w:ascii="Times New Roman" w:eastAsia="Times New Roman" w:hAnsi="Times New Roman" w:cs="Times New Roman"/>
          <w:sz w:val="20"/>
          <w:szCs w:val="20"/>
          <w:lang w:val="en-US"/>
        </w:rPr>
      </w:pPr>
      <w:r w:rsidRPr="00625F27">
        <w:rPr>
          <w:rFonts w:ascii="Times New Roman" w:eastAsia="Times New Roman" w:hAnsi="Times New Roman" w:cs="Times New Roman"/>
          <w:sz w:val="20"/>
          <w:szCs w:val="20"/>
          <w:lang w:val="en-US"/>
        </w:rPr>
        <w:t>SUNPOWER, Da</w:t>
      </w:r>
      <w:r w:rsidR="00625F27" w:rsidRPr="00625F27">
        <w:rPr>
          <w:rFonts w:ascii="Times New Roman" w:eastAsia="Times New Roman" w:hAnsi="Times New Roman" w:cs="Times New Roman"/>
          <w:sz w:val="20"/>
          <w:szCs w:val="20"/>
          <w:lang w:val="en-US"/>
        </w:rPr>
        <w:t>tasheet MAXEON 3 - 400 W (2020)</w:t>
      </w:r>
    </w:p>
    <w:p w14:paraId="0CA13FF9" w14:textId="5CB05186" w:rsidR="00625F27" w:rsidRPr="00625F27" w:rsidRDefault="00D275F7" w:rsidP="00CA7D06">
      <w:pPr>
        <w:numPr>
          <w:ilvl w:val="0"/>
          <w:numId w:val="1"/>
        </w:numPr>
        <w:tabs>
          <w:tab w:val="left" w:pos="426"/>
        </w:tabs>
        <w:spacing w:after="0" w:line="240" w:lineRule="auto"/>
        <w:ind w:left="426" w:hanging="426"/>
        <w:jc w:val="both"/>
        <w:rPr>
          <w:rFonts w:ascii="Times New Roman" w:eastAsia="Times New Roman" w:hAnsi="Times New Roman" w:cs="Times New Roman"/>
          <w:sz w:val="20"/>
          <w:szCs w:val="20"/>
          <w:lang w:val="en-US"/>
        </w:rPr>
      </w:pPr>
      <w:r w:rsidRPr="00625F27">
        <w:rPr>
          <w:rFonts w:ascii="Times New Roman" w:eastAsia="Times New Roman" w:hAnsi="Times New Roman" w:cs="Times New Roman"/>
          <w:sz w:val="20"/>
          <w:szCs w:val="20"/>
          <w:lang w:val="en-US"/>
        </w:rPr>
        <w:t xml:space="preserve">GOLDWIND, </w:t>
      </w:r>
      <w:r w:rsidR="00CA7D06" w:rsidRPr="00625F27">
        <w:rPr>
          <w:rFonts w:ascii="Times New Roman" w:eastAsia="Times New Roman" w:hAnsi="Times New Roman" w:cs="Times New Roman"/>
          <w:sz w:val="20"/>
          <w:szCs w:val="20"/>
          <w:lang w:val="en-US"/>
        </w:rPr>
        <w:t>1.5 MW PMDD wind turbine -</w:t>
      </w:r>
      <w:r w:rsidR="00625F27" w:rsidRPr="00625F27">
        <w:rPr>
          <w:rFonts w:ascii="Times New Roman" w:eastAsia="Times New Roman" w:hAnsi="Times New Roman" w:cs="Times New Roman"/>
          <w:sz w:val="20"/>
          <w:szCs w:val="20"/>
          <w:lang w:val="en-US"/>
        </w:rPr>
        <w:t xml:space="preserve"> Technical report (2020)</w:t>
      </w:r>
    </w:p>
    <w:p w14:paraId="342CD915" w14:textId="2F076A6F" w:rsidR="00D23BFF" w:rsidRPr="00D23BFF" w:rsidRDefault="00D275F7" w:rsidP="00D23BFF">
      <w:pPr>
        <w:numPr>
          <w:ilvl w:val="0"/>
          <w:numId w:val="1"/>
        </w:numPr>
        <w:tabs>
          <w:tab w:val="left" w:pos="426"/>
        </w:tabs>
        <w:spacing w:after="0" w:line="240" w:lineRule="auto"/>
        <w:ind w:left="426" w:hanging="426"/>
        <w:jc w:val="both"/>
        <w:rPr>
          <w:rFonts w:ascii="Times New Roman" w:eastAsia="Times New Roman" w:hAnsi="Times New Roman" w:cs="Times New Roman"/>
          <w:sz w:val="20"/>
          <w:szCs w:val="20"/>
          <w:lang w:val="en-US"/>
        </w:rPr>
      </w:pPr>
      <w:r w:rsidRPr="00625F27">
        <w:rPr>
          <w:rFonts w:ascii="Times New Roman" w:eastAsia="Times New Roman" w:hAnsi="Times New Roman" w:cs="Times New Roman"/>
          <w:sz w:val="20"/>
          <w:szCs w:val="20"/>
          <w:lang w:val="en-US"/>
        </w:rPr>
        <w:t>P</w:t>
      </w:r>
      <w:bookmarkStart w:id="1" w:name="_GoBack"/>
      <w:bookmarkEnd w:id="1"/>
      <w:r w:rsidRPr="00625F27">
        <w:rPr>
          <w:rFonts w:ascii="Times New Roman" w:eastAsia="Times New Roman" w:hAnsi="Times New Roman" w:cs="Times New Roman"/>
          <w:sz w:val="20"/>
          <w:szCs w:val="20"/>
          <w:lang w:val="en-US"/>
        </w:rPr>
        <w:t>. S. Yarlagadda, L. A. Morton</w:t>
      </w:r>
      <w:r w:rsidR="00CA7D06" w:rsidRPr="00625F27">
        <w:rPr>
          <w:rFonts w:ascii="Times New Roman" w:eastAsia="Times New Roman" w:hAnsi="Times New Roman" w:cs="Times New Roman"/>
          <w:sz w:val="20"/>
          <w:szCs w:val="20"/>
          <w:lang w:val="en-US"/>
        </w:rPr>
        <w:t xml:space="preserve">, </w:t>
      </w:r>
      <w:r w:rsidRPr="00625F27">
        <w:rPr>
          <w:rFonts w:ascii="Times New Roman" w:eastAsia="Times New Roman" w:hAnsi="Times New Roman" w:cs="Times New Roman"/>
          <w:sz w:val="20"/>
          <w:szCs w:val="20"/>
          <w:lang w:val="en-US"/>
        </w:rPr>
        <w:t>N. R. Hunter</w:t>
      </w:r>
      <w:r w:rsidR="00CA7D06" w:rsidRPr="00625F27">
        <w:rPr>
          <w:rFonts w:ascii="Times New Roman" w:eastAsia="Times New Roman" w:hAnsi="Times New Roman" w:cs="Times New Roman"/>
          <w:sz w:val="20"/>
          <w:szCs w:val="20"/>
          <w:lang w:val="en-US"/>
        </w:rPr>
        <w:t xml:space="preserve">, </w:t>
      </w:r>
      <w:r w:rsidRPr="00625F27">
        <w:rPr>
          <w:rFonts w:ascii="Times New Roman" w:eastAsia="Times New Roman" w:hAnsi="Times New Roman" w:cs="Times New Roman"/>
          <w:sz w:val="20"/>
          <w:szCs w:val="20"/>
          <w:lang w:val="en-US"/>
        </w:rPr>
        <w:t xml:space="preserve">H. D. Gesser, </w:t>
      </w:r>
      <w:r w:rsidR="00CA7D06" w:rsidRPr="00625F27">
        <w:rPr>
          <w:rFonts w:ascii="Times New Roman" w:eastAsia="Times New Roman" w:hAnsi="Times New Roman" w:cs="Times New Roman"/>
          <w:sz w:val="20"/>
          <w:szCs w:val="20"/>
          <w:lang w:val="en-US"/>
        </w:rPr>
        <w:t>Ind</w:t>
      </w:r>
      <w:r w:rsidRPr="00625F27">
        <w:rPr>
          <w:rFonts w:ascii="Times New Roman" w:eastAsia="Times New Roman" w:hAnsi="Times New Roman" w:cs="Times New Roman"/>
          <w:sz w:val="20"/>
          <w:szCs w:val="20"/>
          <w:lang w:val="en-US"/>
        </w:rPr>
        <w:t>.</w:t>
      </w:r>
      <w:r w:rsidR="00CA7D06" w:rsidRPr="00625F27">
        <w:rPr>
          <w:rFonts w:ascii="Times New Roman" w:eastAsia="Times New Roman" w:hAnsi="Times New Roman" w:cs="Times New Roman"/>
          <w:sz w:val="20"/>
          <w:szCs w:val="20"/>
          <w:lang w:val="en-US"/>
        </w:rPr>
        <w:t xml:space="preserve"> Eng</w:t>
      </w:r>
      <w:r w:rsidRPr="00625F27">
        <w:rPr>
          <w:rFonts w:ascii="Times New Roman" w:eastAsia="Times New Roman" w:hAnsi="Times New Roman" w:cs="Times New Roman"/>
          <w:sz w:val="20"/>
          <w:szCs w:val="20"/>
          <w:lang w:val="en-US"/>
        </w:rPr>
        <w:t>.</w:t>
      </w:r>
      <w:r w:rsidR="00CA7D06" w:rsidRPr="00625F27">
        <w:rPr>
          <w:rFonts w:ascii="Times New Roman" w:eastAsia="Times New Roman" w:hAnsi="Times New Roman" w:cs="Times New Roman"/>
          <w:sz w:val="20"/>
          <w:szCs w:val="20"/>
          <w:lang w:val="en-US"/>
        </w:rPr>
        <w:t xml:space="preserve"> Chem</w:t>
      </w:r>
      <w:r w:rsidRPr="00625F27">
        <w:rPr>
          <w:rFonts w:ascii="Times New Roman" w:eastAsia="Times New Roman" w:hAnsi="Times New Roman" w:cs="Times New Roman"/>
          <w:sz w:val="20"/>
          <w:szCs w:val="20"/>
          <w:lang w:val="en-US"/>
        </w:rPr>
        <w:t>.</w:t>
      </w:r>
      <w:r w:rsidR="00CA7D06" w:rsidRPr="00625F27">
        <w:rPr>
          <w:rFonts w:ascii="Times New Roman" w:eastAsia="Times New Roman" w:hAnsi="Times New Roman" w:cs="Times New Roman"/>
          <w:sz w:val="20"/>
          <w:szCs w:val="20"/>
          <w:lang w:val="en-US"/>
        </w:rPr>
        <w:t xml:space="preserve"> Res</w:t>
      </w:r>
      <w:r w:rsidRPr="00625F27">
        <w:rPr>
          <w:rFonts w:ascii="Times New Roman" w:eastAsia="Times New Roman" w:hAnsi="Times New Roman" w:cs="Times New Roman"/>
          <w:sz w:val="20"/>
          <w:szCs w:val="20"/>
          <w:lang w:val="en-US"/>
        </w:rPr>
        <w:t xml:space="preserve">. 27 (1988) 252-256 </w:t>
      </w:r>
    </w:p>
    <w:sectPr w:rsidR="00D23BFF" w:rsidRPr="00D23BFF" w:rsidSect="001D0E0C">
      <w:headerReference w:type="default" r:id="rId9"/>
      <w:headerReference w:type="first" r:id="rId10"/>
      <w:pgSz w:w="11906" w:h="16838"/>
      <w:pgMar w:top="1417" w:right="1134" w:bottom="1134" w:left="1134"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E803F6" w16cid:durableId="25D05F06"/>
  <w16cid:commentId w16cid:paraId="46DDC654" w16cid:durableId="25D060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D5D5A" w14:textId="77777777" w:rsidR="00BA4AFE" w:rsidRDefault="00BA4AFE" w:rsidP="001D0E0C">
      <w:pPr>
        <w:spacing w:after="0" w:line="240" w:lineRule="auto"/>
      </w:pPr>
      <w:r>
        <w:separator/>
      </w:r>
    </w:p>
  </w:endnote>
  <w:endnote w:type="continuationSeparator" w:id="0">
    <w:p w14:paraId="74FF1193" w14:textId="77777777" w:rsidR="00BA4AFE" w:rsidRDefault="00BA4AFE"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B6176" w14:textId="77777777" w:rsidR="00BA4AFE" w:rsidRDefault="00BA4AFE" w:rsidP="001D0E0C">
      <w:pPr>
        <w:spacing w:after="0" w:line="240" w:lineRule="auto"/>
      </w:pPr>
      <w:r>
        <w:separator/>
      </w:r>
    </w:p>
  </w:footnote>
  <w:footnote w:type="continuationSeparator" w:id="0">
    <w:p w14:paraId="156C8597" w14:textId="77777777" w:rsidR="00BA4AFE" w:rsidRDefault="00BA4AFE" w:rsidP="001D0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1BBF7" w14:textId="24434349" w:rsidR="001D0E0C" w:rsidRPr="001B060D" w:rsidRDefault="001B060D" w:rsidP="001B060D">
    <w:pPr>
      <w:pStyle w:val="Header"/>
      <w:jc w:val="center"/>
    </w:pPr>
    <w:r w:rsidRPr="005C2A12">
      <w:rPr>
        <w:b/>
        <w:i/>
        <w:color w:val="2E74B5" w:themeColor="accent5" w:themeShade="BF"/>
        <w:sz w:val="24"/>
        <w:szCs w:val="24"/>
      </w:rPr>
      <w:t>GRICU 2022, Ischia, (Italy), July 3-6,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65D5F" w14:textId="292CCFE8" w:rsidR="001D0E0C" w:rsidRDefault="00F24290" w:rsidP="000517B4">
    <w:pPr>
      <w:pStyle w:val="Header"/>
      <w:tabs>
        <w:tab w:val="left" w:pos="1188"/>
      </w:tabs>
      <w:jc w:val="center"/>
      <w:rPr>
        <w:b/>
        <w:i/>
        <w:color w:val="2E74B5" w:themeColor="accent5" w:themeShade="BF"/>
        <w:sz w:val="24"/>
        <w:szCs w:val="24"/>
      </w:rPr>
    </w:pPr>
    <w:r>
      <w:rPr>
        <w:b/>
        <w:i/>
        <w:noProof/>
        <w:color w:val="2E74B5" w:themeColor="accent5" w:themeShade="BF"/>
        <w:sz w:val="24"/>
        <w:szCs w:val="24"/>
        <w:lang w:val="en-GB" w:eastAsia="en-GB"/>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(Italy), July 3-6, 2022</w:t>
    </w:r>
  </w:p>
  <w:p w14:paraId="14E4AC61" w14:textId="77777777" w:rsidR="008871B1" w:rsidRPr="005C2A12" w:rsidRDefault="008871B1" w:rsidP="000517B4">
    <w:pPr>
      <w:pStyle w:val="Header"/>
      <w:tabs>
        <w:tab w:val="left" w:pos="1188"/>
      </w:tabs>
      <w:jc w:val="center"/>
      <w:rPr>
        <w:b/>
        <w:i/>
        <w:color w:val="2E74B5" w:themeColor="accent5" w:themeShade="BF"/>
        <w:sz w:val="24"/>
        <w:szCs w:val="24"/>
      </w:rPr>
    </w:pPr>
  </w:p>
  <w:p w14:paraId="2DF8C760" w14:textId="77777777" w:rsidR="001D0E0C" w:rsidRDefault="000517B4" w:rsidP="001D0E0C">
    <w:pPr>
      <w:pStyle w:val="Header"/>
      <w:jc w:val="center"/>
    </w:pPr>
    <w:r w:rsidRPr="005C2A12">
      <w:rPr>
        <w:noProof/>
        <w:color w:val="00B0F0"/>
        <w:lang w:val="en-GB" w:eastAsia="en-GB"/>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DD1064"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15pt" to="447.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strokecolor="#0070c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3F4F"/>
    <w:multiLevelType w:val="hybridMultilevel"/>
    <w:tmpl w:val="DD48B2BE"/>
    <w:lvl w:ilvl="0" w:tplc="AB4E523A">
      <w:start w:val="1"/>
      <w:numFmt w:val="decimal"/>
      <w:lvlText w:val="2.%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D77DAC"/>
    <w:multiLevelType w:val="hybridMultilevel"/>
    <w:tmpl w:val="BA9C7924"/>
    <w:lvl w:ilvl="0" w:tplc="F81E5040">
      <w:start w:val="1"/>
      <w:numFmt w:val="decimal"/>
      <w:lvlText w:val="[%1]"/>
      <w:lvlJc w:val="left"/>
      <w:pPr>
        <w:ind w:left="1211" w:hanging="360"/>
      </w:pPr>
      <w:rPr>
        <w:rFonts w:hint="default"/>
        <w:sz w:val="18"/>
        <w:szCs w:val="18"/>
      </w:rPr>
    </w:lvl>
    <w:lvl w:ilvl="1" w:tplc="04090019" w:tentative="1">
      <w:start w:val="1"/>
      <w:numFmt w:val="lowerLetter"/>
      <w:lvlText w:val="%2."/>
      <w:lvlJc w:val="left"/>
      <w:pPr>
        <w:ind w:left="4361" w:hanging="360"/>
      </w:pPr>
    </w:lvl>
    <w:lvl w:ilvl="2" w:tplc="0409001B" w:tentative="1">
      <w:start w:val="1"/>
      <w:numFmt w:val="lowerRoman"/>
      <w:lvlText w:val="%3."/>
      <w:lvlJc w:val="right"/>
      <w:pPr>
        <w:ind w:left="5081" w:hanging="180"/>
      </w:pPr>
    </w:lvl>
    <w:lvl w:ilvl="3" w:tplc="0409000F" w:tentative="1">
      <w:start w:val="1"/>
      <w:numFmt w:val="decimal"/>
      <w:lvlText w:val="%4."/>
      <w:lvlJc w:val="left"/>
      <w:pPr>
        <w:ind w:left="5801" w:hanging="360"/>
      </w:pPr>
    </w:lvl>
    <w:lvl w:ilvl="4" w:tplc="04090019" w:tentative="1">
      <w:start w:val="1"/>
      <w:numFmt w:val="lowerLetter"/>
      <w:lvlText w:val="%5."/>
      <w:lvlJc w:val="left"/>
      <w:pPr>
        <w:ind w:left="6521" w:hanging="360"/>
      </w:pPr>
    </w:lvl>
    <w:lvl w:ilvl="5" w:tplc="0409001B" w:tentative="1">
      <w:start w:val="1"/>
      <w:numFmt w:val="lowerRoman"/>
      <w:lvlText w:val="%6."/>
      <w:lvlJc w:val="right"/>
      <w:pPr>
        <w:ind w:left="7241" w:hanging="180"/>
      </w:pPr>
    </w:lvl>
    <w:lvl w:ilvl="6" w:tplc="0409000F" w:tentative="1">
      <w:start w:val="1"/>
      <w:numFmt w:val="decimal"/>
      <w:lvlText w:val="%7."/>
      <w:lvlJc w:val="left"/>
      <w:pPr>
        <w:ind w:left="7961" w:hanging="360"/>
      </w:pPr>
    </w:lvl>
    <w:lvl w:ilvl="7" w:tplc="04090019" w:tentative="1">
      <w:start w:val="1"/>
      <w:numFmt w:val="lowerLetter"/>
      <w:lvlText w:val="%8."/>
      <w:lvlJc w:val="left"/>
      <w:pPr>
        <w:ind w:left="8681" w:hanging="360"/>
      </w:pPr>
    </w:lvl>
    <w:lvl w:ilvl="8" w:tplc="0409001B" w:tentative="1">
      <w:start w:val="1"/>
      <w:numFmt w:val="lowerRoman"/>
      <w:lvlText w:val="%9."/>
      <w:lvlJc w:val="right"/>
      <w:pPr>
        <w:ind w:left="9401" w:hanging="180"/>
      </w:pPr>
    </w:lvl>
  </w:abstractNum>
  <w:abstractNum w:abstractNumId="2" w15:restartNumberingAfterBreak="0">
    <w:nsid w:val="0C8F6B4F"/>
    <w:multiLevelType w:val="hybridMultilevel"/>
    <w:tmpl w:val="95A45DDC"/>
    <w:lvl w:ilvl="0" w:tplc="A6E0506C">
      <w:start w:val="1"/>
      <w:numFmt w:val="decimal"/>
      <w:lvlText w:val="%1."/>
      <w:lvlJc w:val="left"/>
      <w:pPr>
        <w:ind w:left="1065" w:hanging="70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1A3"/>
    <w:rsid w:val="00001A39"/>
    <w:rsid w:val="00020FBE"/>
    <w:rsid w:val="0002239D"/>
    <w:rsid w:val="0003022D"/>
    <w:rsid w:val="000517B4"/>
    <w:rsid w:val="000843B6"/>
    <w:rsid w:val="00084B0C"/>
    <w:rsid w:val="000947EA"/>
    <w:rsid w:val="000A0D7C"/>
    <w:rsid w:val="000F38A9"/>
    <w:rsid w:val="00100D2A"/>
    <w:rsid w:val="00131E83"/>
    <w:rsid w:val="00154E00"/>
    <w:rsid w:val="00157E73"/>
    <w:rsid w:val="0018667F"/>
    <w:rsid w:val="00187FCF"/>
    <w:rsid w:val="00191F53"/>
    <w:rsid w:val="001921E7"/>
    <w:rsid w:val="00196FBA"/>
    <w:rsid w:val="001B060D"/>
    <w:rsid w:val="001B2730"/>
    <w:rsid w:val="001D0E0C"/>
    <w:rsid w:val="001D434A"/>
    <w:rsid w:val="001F664B"/>
    <w:rsid w:val="0022490C"/>
    <w:rsid w:val="0023071D"/>
    <w:rsid w:val="00230F8F"/>
    <w:rsid w:val="002607D4"/>
    <w:rsid w:val="00286CE5"/>
    <w:rsid w:val="002B2317"/>
    <w:rsid w:val="002D2317"/>
    <w:rsid w:val="002E77F5"/>
    <w:rsid w:val="002F1731"/>
    <w:rsid w:val="002F67CB"/>
    <w:rsid w:val="00320201"/>
    <w:rsid w:val="00321C2C"/>
    <w:rsid w:val="003336B7"/>
    <w:rsid w:val="00357804"/>
    <w:rsid w:val="00374004"/>
    <w:rsid w:val="00390463"/>
    <w:rsid w:val="003B7E19"/>
    <w:rsid w:val="003C438D"/>
    <w:rsid w:val="003E3CAB"/>
    <w:rsid w:val="003F160A"/>
    <w:rsid w:val="00402674"/>
    <w:rsid w:val="00412F94"/>
    <w:rsid w:val="00426C8A"/>
    <w:rsid w:val="004B2D93"/>
    <w:rsid w:val="004C34F3"/>
    <w:rsid w:val="004C56B4"/>
    <w:rsid w:val="004E06A0"/>
    <w:rsid w:val="004F296E"/>
    <w:rsid w:val="0050165C"/>
    <w:rsid w:val="00515EAC"/>
    <w:rsid w:val="00541299"/>
    <w:rsid w:val="005535DD"/>
    <w:rsid w:val="00591AA2"/>
    <w:rsid w:val="005B71B2"/>
    <w:rsid w:val="005C2A12"/>
    <w:rsid w:val="005C6F26"/>
    <w:rsid w:val="005D6E2B"/>
    <w:rsid w:val="00603B60"/>
    <w:rsid w:val="00604E0F"/>
    <w:rsid w:val="00625F27"/>
    <w:rsid w:val="00631BE0"/>
    <w:rsid w:val="00656810"/>
    <w:rsid w:val="00697CD6"/>
    <w:rsid w:val="006E0689"/>
    <w:rsid w:val="0070371A"/>
    <w:rsid w:val="00713F95"/>
    <w:rsid w:val="007738D8"/>
    <w:rsid w:val="0077662C"/>
    <w:rsid w:val="007A0C67"/>
    <w:rsid w:val="007B567B"/>
    <w:rsid w:val="007F7D4A"/>
    <w:rsid w:val="00807495"/>
    <w:rsid w:val="008129E3"/>
    <w:rsid w:val="00816179"/>
    <w:rsid w:val="00823D9A"/>
    <w:rsid w:val="008430CC"/>
    <w:rsid w:val="008511A0"/>
    <w:rsid w:val="00876E0B"/>
    <w:rsid w:val="00882288"/>
    <w:rsid w:val="008871B1"/>
    <w:rsid w:val="00895E00"/>
    <w:rsid w:val="00897FB1"/>
    <w:rsid w:val="008A5C40"/>
    <w:rsid w:val="008F23E5"/>
    <w:rsid w:val="008F60B6"/>
    <w:rsid w:val="00900EB9"/>
    <w:rsid w:val="009075D8"/>
    <w:rsid w:val="0095263D"/>
    <w:rsid w:val="00966108"/>
    <w:rsid w:val="009927E8"/>
    <w:rsid w:val="009D48BE"/>
    <w:rsid w:val="009F7AB1"/>
    <w:rsid w:val="00A47792"/>
    <w:rsid w:val="00AA1022"/>
    <w:rsid w:val="00AA3135"/>
    <w:rsid w:val="00AB1801"/>
    <w:rsid w:val="00AF2546"/>
    <w:rsid w:val="00B012CB"/>
    <w:rsid w:val="00B30D06"/>
    <w:rsid w:val="00B45736"/>
    <w:rsid w:val="00B45761"/>
    <w:rsid w:val="00B74229"/>
    <w:rsid w:val="00B85742"/>
    <w:rsid w:val="00B93F52"/>
    <w:rsid w:val="00BA4AFE"/>
    <w:rsid w:val="00BB35A2"/>
    <w:rsid w:val="00BC6507"/>
    <w:rsid w:val="00BE4D96"/>
    <w:rsid w:val="00BE4EE2"/>
    <w:rsid w:val="00C07B75"/>
    <w:rsid w:val="00C37DFF"/>
    <w:rsid w:val="00C40840"/>
    <w:rsid w:val="00C50084"/>
    <w:rsid w:val="00C54462"/>
    <w:rsid w:val="00C65102"/>
    <w:rsid w:val="00C875FB"/>
    <w:rsid w:val="00C9723D"/>
    <w:rsid w:val="00CA358D"/>
    <w:rsid w:val="00CA7D06"/>
    <w:rsid w:val="00D03DB3"/>
    <w:rsid w:val="00D23BFF"/>
    <w:rsid w:val="00D275F7"/>
    <w:rsid w:val="00D307FB"/>
    <w:rsid w:val="00D322F1"/>
    <w:rsid w:val="00D412A9"/>
    <w:rsid w:val="00D76285"/>
    <w:rsid w:val="00D811EE"/>
    <w:rsid w:val="00D82049"/>
    <w:rsid w:val="00DA0813"/>
    <w:rsid w:val="00DA51A3"/>
    <w:rsid w:val="00DB2E81"/>
    <w:rsid w:val="00DC4A04"/>
    <w:rsid w:val="00DD2D8C"/>
    <w:rsid w:val="00E3024F"/>
    <w:rsid w:val="00EC5F60"/>
    <w:rsid w:val="00F02067"/>
    <w:rsid w:val="00F22095"/>
    <w:rsid w:val="00F24290"/>
    <w:rsid w:val="00F54FB6"/>
    <w:rsid w:val="00F5792D"/>
    <w:rsid w:val="00F7576E"/>
    <w:rsid w:val="00F80D03"/>
    <w:rsid w:val="00F96F4C"/>
    <w:rsid w:val="00FA084E"/>
    <w:rsid w:val="00FC04A7"/>
    <w:rsid w:val="00FD335E"/>
    <w:rsid w:val="00FD6F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graph">
    <w:name w:val="First Paragraph"/>
    <w:basedOn w:val="Normal"/>
    <w:rsid w:val="00DA51A3"/>
    <w:pPr>
      <w:spacing w:after="0" w:line="240" w:lineRule="atLeast"/>
      <w:jc w:val="both"/>
    </w:pPr>
    <w:rPr>
      <w:rFonts w:ascii="Times" w:eastAsia="Times New Roman" w:hAnsi="Times" w:cs="Times New Roman"/>
      <w:sz w:val="20"/>
      <w:szCs w:val="20"/>
      <w:lang w:val="en-US"/>
    </w:rPr>
  </w:style>
  <w:style w:type="paragraph" w:styleId="Header">
    <w:name w:val="header"/>
    <w:basedOn w:val="Normal"/>
    <w:link w:val="HeaderChar"/>
    <w:uiPriority w:val="99"/>
    <w:unhideWhenUsed/>
    <w:rsid w:val="001D0E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1D0E0C"/>
  </w:style>
  <w:style w:type="paragraph" w:styleId="Footer">
    <w:name w:val="footer"/>
    <w:basedOn w:val="Normal"/>
    <w:link w:val="FooterChar"/>
    <w:uiPriority w:val="99"/>
    <w:unhideWhenUsed/>
    <w:rsid w:val="001D0E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1D0E0C"/>
  </w:style>
  <w:style w:type="paragraph" w:styleId="BalloonText">
    <w:name w:val="Balloon Text"/>
    <w:basedOn w:val="Normal"/>
    <w:link w:val="BalloonTextChar"/>
    <w:uiPriority w:val="99"/>
    <w:semiHidden/>
    <w:unhideWhenUsed/>
    <w:rsid w:val="003F1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60A"/>
    <w:rPr>
      <w:rFonts w:ascii="Segoe UI" w:hAnsi="Segoe UI" w:cs="Segoe UI"/>
      <w:sz w:val="18"/>
      <w:szCs w:val="18"/>
    </w:rPr>
  </w:style>
  <w:style w:type="character" w:styleId="Hyperlink">
    <w:name w:val="Hyperlink"/>
    <w:basedOn w:val="DefaultParagraphFont"/>
    <w:uiPriority w:val="99"/>
    <w:unhideWhenUsed/>
    <w:rsid w:val="001D434A"/>
    <w:rPr>
      <w:color w:val="0563C1" w:themeColor="hyperlink"/>
      <w:u w:val="single"/>
    </w:rPr>
  </w:style>
  <w:style w:type="paragraph" w:styleId="ListParagraph">
    <w:name w:val="List Paragraph"/>
    <w:basedOn w:val="Normal"/>
    <w:uiPriority w:val="34"/>
    <w:qFormat/>
    <w:rsid w:val="00196FBA"/>
    <w:pPr>
      <w:ind w:left="720"/>
      <w:contextualSpacing/>
    </w:pPr>
  </w:style>
  <w:style w:type="character" w:styleId="CommentReference">
    <w:name w:val="annotation reference"/>
    <w:basedOn w:val="DefaultParagraphFont"/>
    <w:uiPriority w:val="99"/>
    <w:semiHidden/>
    <w:unhideWhenUsed/>
    <w:rsid w:val="00900EB9"/>
    <w:rPr>
      <w:sz w:val="16"/>
      <w:szCs w:val="16"/>
    </w:rPr>
  </w:style>
  <w:style w:type="paragraph" w:styleId="CommentText">
    <w:name w:val="annotation text"/>
    <w:basedOn w:val="Normal"/>
    <w:link w:val="CommentTextChar"/>
    <w:uiPriority w:val="99"/>
    <w:unhideWhenUsed/>
    <w:rsid w:val="00900EB9"/>
    <w:pPr>
      <w:spacing w:line="240" w:lineRule="auto"/>
    </w:pPr>
    <w:rPr>
      <w:sz w:val="20"/>
      <w:szCs w:val="20"/>
    </w:rPr>
  </w:style>
  <w:style w:type="character" w:customStyle="1" w:styleId="CommentTextChar">
    <w:name w:val="Comment Text Char"/>
    <w:basedOn w:val="DefaultParagraphFont"/>
    <w:link w:val="CommentText"/>
    <w:uiPriority w:val="99"/>
    <w:rsid w:val="00900EB9"/>
    <w:rPr>
      <w:sz w:val="20"/>
      <w:szCs w:val="20"/>
    </w:rPr>
  </w:style>
  <w:style w:type="paragraph" w:styleId="CommentSubject">
    <w:name w:val="annotation subject"/>
    <w:basedOn w:val="CommentText"/>
    <w:next w:val="CommentText"/>
    <w:link w:val="CommentSubjectChar"/>
    <w:uiPriority w:val="99"/>
    <w:semiHidden/>
    <w:unhideWhenUsed/>
    <w:rsid w:val="00900EB9"/>
    <w:rPr>
      <w:b/>
      <w:bCs/>
    </w:rPr>
  </w:style>
  <w:style w:type="character" w:customStyle="1" w:styleId="CommentSubjectChar">
    <w:name w:val="Comment Subject Char"/>
    <w:basedOn w:val="CommentTextChar"/>
    <w:link w:val="CommentSubject"/>
    <w:uiPriority w:val="99"/>
    <w:semiHidden/>
    <w:rsid w:val="00900EB9"/>
    <w:rPr>
      <w:b/>
      <w:bCs/>
      <w:sz w:val="20"/>
      <w:szCs w:val="20"/>
    </w:rPr>
  </w:style>
  <w:style w:type="paragraph" w:styleId="Caption">
    <w:name w:val="caption"/>
    <w:basedOn w:val="Normal"/>
    <w:next w:val="Normal"/>
    <w:uiPriority w:val="35"/>
    <w:unhideWhenUsed/>
    <w:qFormat/>
    <w:rsid w:val="00B4573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07719BD-24C2-437E-BF11-4DC3E7F5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3909</Words>
  <Characters>22282</Characters>
  <Application>Microsoft Office Word</Application>
  <DocSecurity>0</DocSecurity>
  <Lines>185</Lines>
  <Paragraphs>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Mariasole Cipolletta</cp:lastModifiedBy>
  <cp:revision>4</cp:revision>
  <cp:lastPrinted>2022-01-31T11:56:00Z</cp:lastPrinted>
  <dcterms:created xsi:type="dcterms:W3CDTF">2022-03-07T20:00:00Z</dcterms:created>
  <dcterms:modified xsi:type="dcterms:W3CDTF">2022-03-08T08:40:00Z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http://www.zotero.org/styles/applied-energy</vt:lpwstr>
  </property>
  <property fmtid="{D5CDD505-2E9C-101B-9397-08002B2CF9AE}" pid="5" name="Mendeley Recent Style Name 1_1">
    <vt:lpwstr>Applied Energy</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http://www.zotero.org/styles/elsevier-harvard2</vt:lpwstr>
  </property>
  <property fmtid="{D5CDD505-2E9C-101B-9397-08002B2CF9AE}" pid="9" name="Mendeley Recent Style Name 3_1">
    <vt:lpwstr>Elsevier - Harvard 2</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http://www.zotero.org/styles/journal-of-cleaner-production</vt:lpwstr>
  </property>
  <property fmtid="{D5CDD505-2E9C-101B-9397-08002B2CF9AE}" pid="15" name="Mendeley Recent Style Name 6_1">
    <vt:lpwstr>Journal of Cleaner Production</vt:lpwstr>
  </property>
  <property fmtid="{D5CDD505-2E9C-101B-9397-08002B2CF9AE}" pid="16" name="Mendeley Recent Style Id 7_1">
    <vt:lpwstr>http://www.zotero.org/styles/journal-of-loss-prevention-in-the-process-industries</vt:lpwstr>
  </property>
  <property fmtid="{D5CDD505-2E9C-101B-9397-08002B2CF9AE}" pid="17" name="Mendeley Recent Style Name 7_1">
    <vt:lpwstr>Journal of Loss Prevention in the Process Industries</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http://www.zotero.org/styles/renewable-energy</vt:lpwstr>
  </property>
  <property fmtid="{D5CDD505-2E9C-101B-9397-08002B2CF9AE}" pid="21" name="Mendeley Recent Style Name 9_1">
    <vt:lpwstr>Renewable Energy</vt:lpwstr>
  </property>
  <property fmtid="{D5CDD505-2E9C-101B-9397-08002B2CF9AE}" pid="22" name="Mendeley Document_1">
    <vt:lpwstr>True</vt:lpwstr>
  </property>
  <property fmtid="{D5CDD505-2E9C-101B-9397-08002B2CF9AE}" pid="23" name="Mendeley Unique User Id_1">
    <vt:lpwstr>9fe1af85-1e63-3bf6-b2e8-40d07e8012c1</vt:lpwstr>
  </property>
  <property fmtid="{D5CDD505-2E9C-101B-9397-08002B2CF9AE}" pid="24" name="Mendeley Citation Style_1">
    <vt:lpwstr>http://www.zotero.org/styles/applied-energy</vt:lpwstr>
  </property>
</Properties>
</file>