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30F9" w14:textId="64E01BF8" w:rsidR="00DA51A3" w:rsidRPr="00F864D1" w:rsidRDefault="004C242E" w:rsidP="00DA51A3">
      <w:pPr>
        <w:snapToGrid w:val="0"/>
        <w:jc w:val="center"/>
        <w:rPr>
          <w:rFonts w:ascii="Times New Roman" w:eastAsia="MS PGothic" w:hAnsi="Times New Roman"/>
          <w:b/>
          <w:bCs/>
          <w:sz w:val="24"/>
          <w:szCs w:val="24"/>
          <w:lang w:val="en-US" w:eastAsia="ko-KR"/>
        </w:rPr>
      </w:pPr>
      <w:r>
        <w:rPr>
          <w:rFonts w:ascii="Times New Roman" w:eastAsia="MS PGothic" w:hAnsi="Times New Roman"/>
          <w:b/>
          <w:bCs/>
          <w:sz w:val="24"/>
          <w:szCs w:val="24"/>
          <w:lang w:val="en-US"/>
        </w:rPr>
        <w:t xml:space="preserve">Categorical Multifactor </w:t>
      </w:r>
      <w:r w:rsidR="002717E7">
        <w:rPr>
          <w:rFonts w:ascii="Times New Roman" w:eastAsia="MS PGothic" w:hAnsi="Times New Roman"/>
          <w:b/>
          <w:bCs/>
          <w:sz w:val="24"/>
          <w:szCs w:val="24"/>
          <w:lang w:val="en-US"/>
        </w:rPr>
        <w:t>Design</w:t>
      </w:r>
      <w:r w:rsidR="00CF2D1F" w:rsidRPr="00CF2D1F">
        <w:rPr>
          <w:rFonts w:ascii="Times New Roman" w:eastAsia="MS PGothic" w:hAnsi="Times New Roman"/>
          <w:b/>
          <w:bCs/>
          <w:sz w:val="24"/>
          <w:szCs w:val="24"/>
          <w:lang w:val="en-US"/>
        </w:rPr>
        <w:t xml:space="preserve"> </w:t>
      </w:r>
      <w:r w:rsidR="00A85AEB">
        <w:rPr>
          <w:rFonts w:ascii="Times New Roman" w:eastAsia="MS PGothic" w:hAnsi="Times New Roman"/>
          <w:b/>
          <w:bCs/>
          <w:sz w:val="24"/>
          <w:szCs w:val="24"/>
          <w:lang w:val="en-US"/>
        </w:rPr>
        <w:t>to</w:t>
      </w:r>
      <w:r w:rsidR="00CF2D1F" w:rsidRPr="00CF2D1F">
        <w:rPr>
          <w:rFonts w:ascii="Times New Roman" w:eastAsia="MS PGothic" w:hAnsi="Times New Roman"/>
          <w:b/>
          <w:bCs/>
          <w:sz w:val="24"/>
          <w:szCs w:val="24"/>
          <w:lang w:val="en-US"/>
        </w:rPr>
        <w:t xml:space="preserve"> Evaluate Different Operative Parameters </w:t>
      </w:r>
      <w:r w:rsidR="002717E7">
        <w:rPr>
          <w:rFonts w:ascii="Times New Roman" w:eastAsia="MS PGothic" w:hAnsi="Times New Roman"/>
          <w:b/>
          <w:bCs/>
          <w:sz w:val="24"/>
          <w:szCs w:val="24"/>
          <w:lang w:val="en-US"/>
        </w:rPr>
        <w:t xml:space="preserve">During the </w:t>
      </w:r>
      <w:r w:rsidR="00CF2D1F" w:rsidRPr="00CF2D1F">
        <w:rPr>
          <w:rFonts w:ascii="Times New Roman" w:eastAsia="MS PGothic" w:hAnsi="Times New Roman"/>
          <w:b/>
          <w:bCs/>
          <w:sz w:val="24"/>
          <w:szCs w:val="24"/>
          <w:lang w:val="en-US"/>
        </w:rPr>
        <w:t>Bioremediation of Hydrocarbon-Polluted Soil</w:t>
      </w:r>
      <w:r>
        <w:rPr>
          <w:rFonts w:ascii="Times New Roman" w:eastAsia="MS PGothic" w:hAnsi="Times New Roman"/>
          <w:b/>
          <w:bCs/>
          <w:sz w:val="24"/>
          <w:szCs w:val="24"/>
          <w:lang w:val="en-US"/>
        </w:rPr>
        <w:t xml:space="preserve"> </w:t>
      </w:r>
      <w:r w:rsidR="002717E7">
        <w:rPr>
          <w:rFonts w:ascii="Times New Roman" w:eastAsia="MS PGothic" w:hAnsi="Times New Roman"/>
          <w:b/>
          <w:bCs/>
          <w:sz w:val="24"/>
          <w:szCs w:val="24"/>
          <w:lang w:val="en-US"/>
        </w:rPr>
        <w:t>in E</w:t>
      </w:r>
      <w:r>
        <w:rPr>
          <w:rFonts w:ascii="Times New Roman" w:eastAsia="MS PGothic" w:hAnsi="Times New Roman"/>
          <w:b/>
          <w:bCs/>
          <w:sz w:val="24"/>
          <w:szCs w:val="24"/>
          <w:lang w:val="en-US"/>
        </w:rPr>
        <w:t xml:space="preserve">arly </w:t>
      </w:r>
      <w:r w:rsidR="002717E7">
        <w:rPr>
          <w:rFonts w:ascii="Times New Roman" w:eastAsia="MS PGothic" w:hAnsi="Times New Roman"/>
          <w:b/>
          <w:bCs/>
          <w:sz w:val="24"/>
          <w:szCs w:val="24"/>
          <w:lang w:val="en-US"/>
        </w:rPr>
        <w:t>Experimental S</w:t>
      </w:r>
      <w:r>
        <w:rPr>
          <w:rFonts w:ascii="Times New Roman" w:eastAsia="MS PGothic" w:hAnsi="Times New Roman"/>
          <w:b/>
          <w:bCs/>
          <w:sz w:val="24"/>
          <w:szCs w:val="24"/>
          <w:lang w:val="en-US"/>
        </w:rPr>
        <w:t>tages.</w:t>
      </w:r>
    </w:p>
    <w:p w14:paraId="243AAF34" w14:textId="390F627C" w:rsidR="00DA51A3" w:rsidRPr="00F864D1" w:rsidRDefault="00E9642C" w:rsidP="00DA51A3">
      <w:pPr>
        <w:snapToGrid w:val="0"/>
        <w:jc w:val="center"/>
        <w:rPr>
          <w:rFonts w:ascii="Times New Roman" w:eastAsia="MS PGothic" w:hAnsi="Times New Roman"/>
          <w:sz w:val="24"/>
          <w:szCs w:val="24"/>
        </w:rPr>
      </w:pPr>
      <w:r w:rsidRPr="00F864D1">
        <w:rPr>
          <w:rFonts w:ascii="Times New Roman" w:eastAsia="SimSun" w:hAnsi="Times New Roman"/>
          <w:sz w:val="24"/>
          <w:szCs w:val="24"/>
          <w:u w:val="single"/>
          <w:lang w:eastAsia="zh-CN"/>
        </w:rPr>
        <w:t>David Javier Castro Rodriguez</w:t>
      </w:r>
      <w:r w:rsidR="00DA51A3" w:rsidRPr="00F864D1">
        <w:rPr>
          <w:rFonts w:ascii="Times New Roman" w:eastAsia="SimSun" w:hAnsi="Times New Roman"/>
          <w:sz w:val="24"/>
          <w:szCs w:val="24"/>
          <w:u w:val="single"/>
          <w:vertAlign w:val="superscript"/>
          <w:lang w:eastAsia="zh-CN"/>
        </w:rPr>
        <w:t>1</w:t>
      </w:r>
      <w:r w:rsidR="00427175" w:rsidRPr="00F864D1">
        <w:rPr>
          <w:rFonts w:ascii="Times New Roman" w:eastAsia="SimSun" w:hAnsi="Times New Roman"/>
          <w:sz w:val="24"/>
          <w:szCs w:val="24"/>
          <w:lang w:eastAsia="zh-CN"/>
        </w:rPr>
        <w:t>*</w:t>
      </w:r>
      <w:r w:rsidR="00DA51A3" w:rsidRPr="00F864D1">
        <w:rPr>
          <w:rFonts w:ascii="Times New Roman" w:eastAsia="SimSun" w:hAnsi="Times New Roman"/>
          <w:sz w:val="24"/>
          <w:szCs w:val="24"/>
          <w:lang w:eastAsia="zh-CN"/>
        </w:rPr>
        <w:t xml:space="preserve">, </w:t>
      </w:r>
      <w:r w:rsidR="00F864D1" w:rsidRPr="00F864D1">
        <w:rPr>
          <w:rFonts w:ascii="Times New Roman" w:eastAsia="SimSun" w:hAnsi="Times New Roman"/>
          <w:sz w:val="24"/>
          <w:szCs w:val="24"/>
          <w:lang w:eastAsia="zh-CN"/>
        </w:rPr>
        <w:t>Omar Gutiérrez Benítez</w:t>
      </w:r>
      <w:r w:rsidR="00F864D1" w:rsidRPr="00F864D1">
        <w:rPr>
          <w:rFonts w:ascii="Times New Roman" w:eastAsia="SimSun" w:hAnsi="Times New Roman"/>
          <w:sz w:val="24"/>
          <w:szCs w:val="24"/>
          <w:vertAlign w:val="superscript"/>
          <w:lang w:eastAsia="zh-CN"/>
        </w:rPr>
        <w:t>2</w:t>
      </w:r>
      <w:r w:rsidR="00F864D1" w:rsidRPr="00F864D1">
        <w:rPr>
          <w:rFonts w:ascii="Times New Roman" w:eastAsia="SimSun" w:hAnsi="Times New Roman"/>
          <w:sz w:val="24"/>
          <w:szCs w:val="24"/>
          <w:lang w:eastAsia="zh-CN"/>
        </w:rPr>
        <w:t>, Enmanuel Casals Perez</w:t>
      </w:r>
      <w:r w:rsidR="00F864D1" w:rsidRPr="00F864D1">
        <w:rPr>
          <w:rFonts w:ascii="Times New Roman" w:eastAsia="SimSun" w:hAnsi="Times New Roman"/>
          <w:sz w:val="24"/>
          <w:szCs w:val="24"/>
          <w:vertAlign w:val="superscript"/>
          <w:lang w:eastAsia="zh-CN"/>
        </w:rPr>
        <w:t>2</w:t>
      </w:r>
      <w:r w:rsidR="00F864D1" w:rsidRPr="00F864D1">
        <w:rPr>
          <w:rFonts w:ascii="Times New Roman" w:eastAsia="SimSun" w:hAnsi="Times New Roman"/>
          <w:sz w:val="24"/>
          <w:szCs w:val="24"/>
          <w:lang w:eastAsia="zh-CN"/>
        </w:rPr>
        <w:t>, Micaela Demichela</w:t>
      </w:r>
      <w:r w:rsidR="00F864D1" w:rsidRPr="00F864D1">
        <w:rPr>
          <w:rFonts w:ascii="Times New Roman" w:eastAsia="SimSun" w:hAnsi="Times New Roman"/>
          <w:sz w:val="24"/>
          <w:szCs w:val="24"/>
          <w:vertAlign w:val="superscript"/>
          <w:lang w:eastAsia="zh-CN"/>
        </w:rPr>
        <w:t>1</w:t>
      </w:r>
      <w:r w:rsidR="00F864D1" w:rsidRPr="00F864D1">
        <w:rPr>
          <w:rFonts w:ascii="Times New Roman" w:eastAsia="SimSun" w:hAnsi="Times New Roman"/>
          <w:sz w:val="24"/>
          <w:szCs w:val="24"/>
          <w:lang w:eastAsia="zh-CN"/>
        </w:rPr>
        <w:t>, Alberto Godio</w:t>
      </w:r>
      <w:r w:rsidR="005D6B25">
        <w:rPr>
          <w:rFonts w:ascii="Times New Roman" w:eastAsia="SimSun" w:hAnsi="Times New Roman"/>
          <w:sz w:val="24"/>
          <w:szCs w:val="24"/>
          <w:vertAlign w:val="superscript"/>
          <w:lang w:eastAsia="zh-CN"/>
        </w:rPr>
        <w:t>1</w:t>
      </w:r>
      <w:r w:rsidR="00F864D1" w:rsidRPr="00F864D1">
        <w:rPr>
          <w:rFonts w:ascii="Times New Roman" w:eastAsia="SimSun" w:hAnsi="Times New Roman"/>
          <w:sz w:val="24"/>
          <w:szCs w:val="24"/>
          <w:lang w:eastAsia="zh-CN"/>
        </w:rPr>
        <w:t>, Fulvia Chiampo</w:t>
      </w:r>
      <w:r w:rsidR="00F864D1" w:rsidRPr="00F864D1">
        <w:rPr>
          <w:rFonts w:ascii="Times New Roman" w:eastAsia="SimSun" w:hAnsi="Times New Roman"/>
          <w:sz w:val="24"/>
          <w:szCs w:val="24"/>
          <w:vertAlign w:val="superscript"/>
          <w:lang w:eastAsia="zh-CN"/>
        </w:rPr>
        <w:t>1</w:t>
      </w:r>
      <w:r w:rsidR="00F864D1">
        <w:rPr>
          <w:rFonts w:ascii="Times New Roman" w:eastAsia="SimSun" w:hAnsi="Times New Roman"/>
          <w:sz w:val="24"/>
          <w:szCs w:val="24"/>
          <w:lang w:eastAsia="zh-CN"/>
        </w:rPr>
        <w:t>.</w:t>
      </w:r>
    </w:p>
    <w:p w14:paraId="7A602332" w14:textId="4B16B56E" w:rsidR="00DA51A3" w:rsidRDefault="00DA51A3" w:rsidP="00DA51A3">
      <w:pPr>
        <w:snapToGrid w:val="0"/>
        <w:spacing w:after="120"/>
        <w:jc w:val="center"/>
        <w:rPr>
          <w:rFonts w:ascii="Times New Roman" w:eastAsia="MS PGothic" w:hAnsi="Times New Roman"/>
          <w:i/>
          <w:iCs/>
          <w:sz w:val="20"/>
        </w:rPr>
      </w:pPr>
      <w:r w:rsidRPr="005D6B25">
        <w:rPr>
          <w:rFonts w:ascii="Times New Roman" w:eastAsia="MS PGothic" w:hAnsi="Times New Roman"/>
          <w:i/>
          <w:iCs/>
          <w:sz w:val="20"/>
          <w:vertAlign w:val="superscript"/>
        </w:rPr>
        <w:t>1</w:t>
      </w:r>
      <w:r w:rsidR="000656C0" w:rsidRPr="00F20240">
        <w:rPr>
          <w:rFonts w:ascii="Times New Roman" w:eastAsia="MS PGothic" w:hAnsi="Times New Roman"/>
          <w:i/>
          <w:iCs/>
          <w:sz w:val="20"/>
        </w:rPr>
        <w:t xml:space="preserve"> Politecnico di Torino, Corso Duca degli Abruzzi 24, 10129 Torino, Italy.</w:t>
      </w:r>
      <w:r w:rsidRPr="00F20240">
        <w:rPr>
          <w:rFonts w:ascii="Times New Roman" w:eastAsia="MS PGothic" w:hAnsi="Times New Roman"/>
          <w:i/>
          <w:iCs/>
          <w:sz w:val="20"/>
        </w:rPr>
        <w:t xml:space="preserve"> </w:t>
      </w:r>
    </w:p>
    <w:p w14:paraId="5DAC80F5" w14:textId="763F7B6A" w:rsidR="00F864D1" w:rsidRPr="005D6B25" w:rsidRDefault="005D6B25" w:rsidP="00DA51A3">
      <w:pPr>
        <w:snapToGrid w:val="0"/>
        <w:spacing w:after="120"/>
        <w:jc w:val="center"/>
        <w:rPr>
          <w:rFonts w:ascii="Times New Roman" w:eastAsia="MS PGothic" w:hAnsi="Times New Roman"/>
          <w:i/>
          <w:iCs/>
          <w:sz w:val="20"/>
          <w:lang w:val="es-ES"/>
        </w:rPr>
      </w:pPr>
      <w:r w:rsidRPr="005D6B25">
        <w:rPr>
          <w:rFonts w:ascii="Times New Roman" w:eastAsia="MS PGothic" w:hAnsi="Times New Roman"/>
          <w:i/>
          <w:iCs/>
          <w:sz w:val="20"/>
          <w:vertAlign w:val="superscript"/>
          <w:lang w:val="es-ES"/>
        </w:rPr>
        <w:t>2</w:t>
      </w:r>
      <w:r w:rsidRPr="005D6B25">
        <w:rPr>
          <w:rFonts w:ascii="Times New Roman" w:eastAsia="MS PGothic" w:hAnsi="Times New Roman"/>
          <w:i/>
          <w:iCs/>
          <w:sz w:val="20"/>
          <w:lang w:val="es-ES"/>
        </w:rPr>
        <w:t xml:space="preserve"> Centro de Estudios Ambientales de Cienfuegos (CEAC), Post mail 5, 59350, Ciudad Nuclear, Cuba</w:t>
      </w:r>
    </w:p>
    <w:p w14:paraId="5533360A" w14:textId="5E5C1C6B" w:rsidR="00DA51A3" w:rsidRPr="000656C0" w:rsidRDefault="00DA51A3" w:rsidP="00DA51A3">
      <w:pPr>
        <w:snapToGrid w:val="0"/>
        <w:jc w:val="center"/>
        <w:rPr>
          <w:rFonts w:ascii="Times New Roman" w:eastAsia="MS PGothic" w:hAnsi="Times New Roman"/>
          <w:bCs/>
          <w:i/>
          <w:iCs/>
          <w:sz w:val="20"/>
        </w:rPr>
      </w:pPr>
      <w:r w:rsidRPr="000656C0">
        <w:rPr>
          <w:rFonts w:ascii="Times New Roman" w:eastAsia="MS PGothic" w:hAnsi="Times New Roman"/>
          <w:bCs/>
          <w:i/>
          <w:iCs/>
          <w:sz w:val="20"/>
        </w:rPr>
        <w:t>*</w:t>
      </w:r>
      <w:r w:rsidR="000656C0" w:rsidRPr="000656C0">
        <w:t xml:space="preserve"> </w:t>
      </w:r>
      <w:r w:rsidR="000656C0" w:rsidRPr="000656C0">
        <w:rPr>
          <w:rFonts w:ascii="Times New Roman" w:eastAsia="MS PGothic" w:hAnsi="Times New Roman"/>
          <w:bCs/>
          <w:i/>
          <w:iCs/>
          <w:sz w:val="20"/>
        </w:rPr>
        <w:t xml:space="preserve">David Castro </w:t>
      </w:r>
      <w:r w:rsidRPr="000656C0">
        <w:rPr>
          <w:rFonts w:ascii="Times New Roman" w:eastAsia="MS PGothic" w:hAnsi="Times New Roman"/>
          <w:bCs/>
          <w:i/>
          <w:iCs/>
          <w:sz w:val="20"/>
          <w:lang w:eastAsia="ko-KR"/>
        </w:rPr>
        <w:t>E-Mail:</w:t>
      </w:r>
      <w:r w:rsidR="00F20240">
        <w:rPr>
          <w:rFonts w:ascii="Times New Roman" w:eastAsia="MS PGothic" w:hAnsi="Times New Roman"/>
          <w:bCs/>
          <w:i/>
          <w:iCs/>
          <w:sz w:val="20"/>
          <w:lang w:eastAsia="ko-KR"/>
        </w:rPr>
        <w:t xml:space="preserve"> </w:t>
      </w:r>
      <w:hyperlink r:id="rId7" w:history="1">
        <w:r w:rsidR="00F20240" w:rsidRPr="00C369E9">
          <w:rPr>
            <w:rStyle w:val="Hipervnculo"/>
            <w:rFonts w:ascii="Times New Roman" w:eastAsia="MS PGothic" w:hAnsi="Times New Roman"/>
            <w:bCs/>
            <w:i/>
            <w:iCs/>
            <w:sz w:val="20"/>
          </w:rPr>
          <w:t>david.castro@polito.it</w:t>
        </w:r>
      </w:hyperlink>
      <w:r w:rsidR="00F20240">
        <w:rPr>
          <w:rFonts w:ascii="Times New Roman" w:eastAsia="MS PGothic" w:hAnsi="Times New Roman"/>
          <w:bCs/>
          <w:i/>
          <w:iCs/>
          <w:sz w:val="20"/>
        </w:rPr>
        <w:t xml:space="preserve">  </w:t>
      </w: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5CD132DD" w14:textId="4CA17F7E" w:rsidR="008239BC" w:rsidRDefault="00A8448E" w:rsidP="00BE04DF">
      <w:pPr>
        <w:snapToGrid w:val="0"/>
        <w:spacing w:after="120" w:line="240" w:lineRule="auto"/>
        <w:jc w:val="both"/>
        <w:rPr>
          <w:rFonts w:ascii="Times New Roman" w:eastAsia="MS PGothic" w:hAnsi="Times New Roman"/>
          <w:lang w:val="en-US"/>
        </w:rPr>
      </w:pPr>
      <w:r w:rsidRPr="00A8448E">
        <w:rPr>
          <w:rFonts w:ascii="Times New Roman" w:eastAsia="MS PGothic" w:hAnsi="Times New Roman"/>
          <w:lang w:val="en-US"/>
        </w:rPr>
        <w:t xml:space="preserve">Pollution by hydrocarbons is associated with different industrial activities which may harm the environment and human health Shahryar </w:t>
      </w:r>
      <w:r w:rsidR="00E54624">
        <w:rPr>
          <w:rFonts w:ascii="Times New Roman" w:eastAsia="MS PGothic" w:hAnsi="Times New Roman"/>
          <w:lang w:val="en-US"/>
        </w:rPr>
        <w:t>[</w:t>
      </w:r>
      <w:r w:rsidRPr="00A8448E">
        <w:rPr>
          <w:rFonts w:ascii="Times New Roman" w:eastAsia="MS PGothic" w:hAnsi="Times New Roman"/>
          <w:lang w:val="en-US"/>
        </w:rPr>
        <w:t>1</w:t>
      </w:r>
      <w:r w:rsidR="00E54624">
        <w:rPr>
          <w:rFonts w:ascii="Times New Roman" w:eastAsia="MS PGothic" w:hAnsi="Times New Roman"/>
          <w:lang w:val="en-US"/>
        </w:rPr>
        <w:t>]</w:t>
      </w:r>
      <w:r w:rsidRPr="00A8448E">
        <w:rPr>
          <w:rFonts w:ascii="Times New Roman" w:eastAsia="MS PGothic" w:hAnsi="Times New Roman"/>
          <w:lang w:val="en-US"/>
        </w:rPr>
        <w:t xml:space="preserve">. It is generally accepted that this kind of pollution has an anthropogenic origin, often due to accidental spills from production units and transport pipelines, leakages from storage facilities and underground tanks, mining, human activities in the production, transportation, and improper or illegal behaviors in waste treatment and disposal. These contaminants can be accumulated in soil due to their low degradation rates, affecting the physical, physiological, and biochemical properties of this valuable resource </w:t>
      </w:r>
      <w:r w:rsidR="00227737">
        <w:rPr>
          <w:rFonts w:ascii="Times New Roman" w:eastAsia="MS PGothic" w:hAnsi="Times New Roman"/>
          <w:lang w:val="en-US"/>
        </w:rPr>
        <w:t>[</w:t>
      </w:r>
      <w:r w:rsidRPr="00A8448E">
        <w:rPr>
          <w:rFonts w:ascii="Times New Roman" w:eastAsia="MS PGothic" w:hAnsi="Times New Roman"/>
          <w:lang w:val="en-US"/>
        </w:rPr>
        <w:t>2</w:t>
      </w:r>
      <w:r w:rsidR="00227737">
        <w:rPr>
          <w:rFonts w:ascii="Times New Roman" w:eastAsia="MS PGothic" w:hAnsi="Times New Roman"/>
          <w:lang w:val="en-US"/>
        </w:rPr>
        <w:t>]</w:t>
      </w:r>
      <w:r w:rsidRPr="00A8448E">
        <w:rPr>
          <w:rFonts w:ascii="Times New Roman" w:eastAsia="MS PGothic" w:hAnsi="Times New Roman"/>
          <w:lang w:val="en-US"/>
        </w:rPr>
        <w:t xml:space="preserve">. The bioremediation of soils polluted with hydrocarbons demonstrated to be a simple and cheap technique, even if it needs a long time </w:t>
      </w:r>
      <w:r w:rsidR="00FD6E45">
        <w:rPr>
          <w:rFonts w:ascii="Times New Roman" w:eastAsia="MS PGothic" w:hAnsi="Times New Roman"/>
          <w:lang w:val="en-US"/>
        </w:rPr>
        <w:t>[</w:t>
      </w:r>
      <w:r w:rsidRPr="00A8448E">
        <w:rPr>
          <w:rFonts w:ascii="Times New Roman" w:eastAsia="MS PGothic" w:hAnsi="Times New Roman"/>
          <w:lang w:val="en-US"/>
        </w:rPr>
        <w:t>3</w:t>
      </w:r>
      <w:r w:rsidR="00FD6E45">
        <w:rPr>
          <w:rFonts w:ascii="Times New Roman" w:eastAsia="MS PGothic" w:hAnsi="Times New Roman"/>
          <w:lang w:val="en-US"/>
        </w:rPr>
        <w:t>]</w:t>
      </w:r>
      <w:r w:rsidRPr="00A8448E">
        <w:rPr>
          <w:rFonts w:ascii="Times New Roman" w:eastAsia="MS PGothic" w:hAnsi="Times New Roman"/>
          <w:lang w:val="en-US"/>
        </w:rPr>
        <w:t xml:space="preserve">. The current paper shows the application of statistical analysis, based on two factors involved in the </w:t>
      </w:r>
      <w:r w:rsidRPr="003E6216">
        <w:rPr>
          <w:rFonts w:ascii="Times New Roman" w:eastAsia="MS PGothic" w:hAnsi="Times New Roman"/>
          <w:lang w:val="en-US"/>
        </w:rPr>
        <w:t>biological process at several levels. We focus on the Design of Experiments to determine the number and kind of experimental runs, whereas the use of the categorical factors has not been widely exploited up to now. This method is especially useful to analyze factors with levels constituted by categories and define the interaction effects.</w:t>
      </w:r>
      <w:r w:rsidR="007D053B" w:rsidRPr="003E6216">
        <w:rPr>
          <w:lang w:val="en-US"/>
        </w:rPr>
        <w:t xml:space="preserve"> </w:t>
      </w:r>
      <w:r w:rsidR="007D053B" w:rsidRPr="003E6216">
        <w:rPr>
          <w:rFonts w:ascii="Times New Roman" w:eastAsia="MS PGothic" w:hAnsi="Times New Roman"/>
          <w:lang w:val="en-US"/>
        </w:rPr>
        <w:t>Categories or labels built from the combination of interest predetermined variables should be useful especially in the early</w:t>
      </w:r>
      <w:r w:rsidR="007D053B" w:rsidRPr="007D053B">
        <w:rPr>
          <w:rFonts w:ascii="Times New Roman" w:eastAsia="MS PGothic" w:hAnsi="Times New Roman"/>
          <w:lang w:val="en-US"/>
        </w:rPr>
        <w:t xml:space="preserve"> stages of bioremediation projects, where the effects of multiple ideas are tested at the same time.</w:t>
      </w:r>
      <w:r w:rsidR="007D053B">
        <w:rPr>
          <w:rFonts w:ascii="Times New Roman" w:eastAsia="MS PGothic" w:hAnsi="Times New Roman"/>
          <w:lang w:val="en-US"/>
        </w:rPr>
        <w:t xml:space="preserve"> </w:t>
      </w:r>
      <w:r w:rsidRPr="00A8448E">
        <w:rPr>
          <w:rFonts w:ascii="Times New Roman" w:eastAsia="MS PGothic" w:hAnsi="Times New Roman"/>
          <w:lang w:val="en-US"/>
        </w:rPr>
        <w:t xml:space="preserve"> Particularly, we focused on the statistical analysis of 1) experimental runs carried out at laboratory scale (test M, in microcosm), on soil polluted with diesel oil, and 2) bench scale runs (test B, in </w:t>
      </w:r>
      <w:proofErr w:type="spellStart"/>
      <w:r w:rsidRPr="00A8448E">
        <w:rPr>
          <w:rFonts w:ascii="Times New Roman" w:eastAsia="MS PGothic" w:hAnsi="Times New Roman"/>
          <w:lang w:val="en-US"/>
        </w:rPr>
        <w:t>biopile</w:t>
      </w:r>
      <w:proofErr w:type="spellEnd"/>
      <w:r w:rsidRPr="00A8448E">
        <w:rPr>
          <w:rFonts w:ascii="Times New Roman" w:eastAsia="MS PGothic" w:hAnsi="Times New Roman"/>
          <w:lang w:val="en-US"/>
        </w:rPr>
        <w:t>), on refinery oil sludge mixed with industrial or agricultural biodegradable wastes. Finally, the main purpose was to identify the factor's significance in both the tests and their potential interactions against the different response variables, by applying ANOVA.</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3E51BDC6" w14:textId="77777777" w:rsidR="00402761" w:rsidRPr="00402761" w:rsidRDefault="00402761" w:rsidP="00BE04DF">
      <w:pPr>
        <w:snapToGrid w:val="0"/>
        <w:spacing w:after="120" w:line="240" w:lineRule="auto"/>
        <w:jc w:val="both"/>
        <w:rPr>
          <w:rFonts w:ascii="Times New Roman" w:eastAsia="MS PGothic" w:hAnsi="Times New Roman"/>
          <w:lang w:val="en-US"/>
        </w:rPr>
      </w:pPr>
      <w:r w:rsidRPr="00402761">
        <w:rPr>
          <w:rFonts w:ascii="Times New Roman" w:eastAsia="MS PGothic" w:hAnsi="Times New Roman"/>
          <w:lang w:val="en-US"/>
        </w:rPr>
        <w:t xml:space="preserve">Two categorical multifactor arrays were designed, randomized, and performed. In both cases, the effects of two factors on the interest response variables concentration were assessed. For each study case, the experimental runs are described, namely: </w:t>
      </w:r>
      <w:proofErr w:type="spellStart"/>
      <w:r w:rsidRPr="00402761">
        <w:rPr>
          <w:rFonts w:ascii="Times New Roman" w:eastAsia="MS PGothic" w:hAnsi="Times New Roman"/>
          <w:lang w:val="en-US"/>
        </w:rPr>
        <w:t>i</w:t>
      </w:r>
      <w:proofErr w:type="spellEnd"/>
      <w:r w:rsidRPr="00402761">
        <w:rPr>
          <w:rFonts w:ascii="Times New Roman" w:eastAsia="MS PGothic" w:hAnsi="Times New Roman"/>
          <w:lang w:val="en-US"/>
        </w:rPr>
        <w:t xml:space="preserve">) </w:t>
      </w:r>
      <w:proofErr w:type="gramStart"/>
      <w:r w:rsidRPr="00402761">
        <w:rPr>
          <w:rFonts w:ascii="Times New Roman" w:eastAsia="MS PGothic" w:hAnsi="Times New Roman"/>
          <w:lang w:val="en-US"/>
        </w:rPr>
        <w:t>Microcosms</w:t>
      </w:r>
      <w:proofErr w:type="gramEnd"/>
      <w:r w:rsidRPr="00402761">
        <w:rPr>
          <w:rFonts w:ascii="Times New Roman" w:eastAsia="MS PGothic" w:hAnsi="Times New Roman"/>
          <w:lang w:val="en-US"/>
        </w:rPr>
        <w:t xml:space="preserve"> test (test M), based on a small amount of polluted soil (200 g); ii) Bench test (test B), based on a larger polluted mass (around 38 kg).</w:t>
      </w:r>
    </w:p>
    <w:p w14:paraId="2A56DCE3" w14:textId="77777777" w:rsidR="000E0D0C" w:rsidRDefault="00402761" w:rsidP="00BE04DF">
      <w:pPr>
        <w:snapToGrid w:val="0"/>
        <w:spacing w:after="120" w:line="240" w:lineRule="auto"/>
        <w:jc w:val="both"/>
        <w:rPr>
          <w:rFonts w:ascii="Times New Roman" w:eastAsia="MS PGothic" w:hAnsi="Times New Roman"/>
          <w:lang w:val="en-US"/>
        </w:rPr>
      </w:pPr>
      <w:r w:rsidRPr="00402761">
        <w:rPr>
          <w:rFonts w:ascii="Times New Roman" w:eastAsia="MS PGothic" w:hAnsi="Times New Roman"/>
          <w:lang w:val="en-US"/>
        </w:rPr>
        <w:t>For both tests, a 6-levels categorical factor called “Treatment” was defined. In test M, the treatments Mi (</w:t>
      </w:r>
      <w:proofErr w:type="spellStart"/>
      <w:r w:rsidRPr="00402761">
        <w:rPr>
          <w:rFonts w:ascii="Times New Roman" w:eastAsia="MS PGothic" w:hAnsi="Times New Roman"/>
          <w:lang w:val="en-US"/>
        </w:rPr>
        <w:t>i</w:t>
      </w:r>
      <w:proofErr w:type="spellEnd"/>
      <w:r w:rsidRPr="00402761">
        <w:rPr>
          <w:rFonts w:ascii="Times New Roman" w:eastAsia="MS PGothic" w:hAnsi="Times New Roman"/>
          <w:lang w:val="en-US"/>
        </w:rPr>
        <w:t xml:space="preserve">= 1, 2…6), corresponding to a combination of values water content (WC%) and carbon to nitrogen ratio (C/N). These combinations are labeled: M1(8 WC%-120 C/N); M2 (8 WC%-180 C/N); M3 (12 WC%-120 C/N); M4 (12 WC%-180 C/N); M5 (15 WC%-120 C/N); M6 (15 WC%-180 C/N). On the other hand, the categorical factor levels in test B, Bi, correspond to the different treatments of the </w:t>
      </w:r>
      <w:proofErr w:type="spellStart"/>
      <w:r w:rsidRPr="00402761">
        <w:rPr>
          <w:rFonts w:ascii="Times New Roman" w:eastAsia="MS PGothic" w:hAnsi="Times New Roman"/>
          <w:lang w:val="en-US"/>
        </w:rPr>
        <w:t>biopiles</w:t>
      </w:r>
      <w:proofErr w:type="spellEnd"/>
      <w:r w:rsidRPr="00402761">
        <w:rPr>
          <w:rFonts w:ascii="Times New Roman" w:eastAsia="MS PGothic" w:hAnsi="Times New Roman"/>
          <w:lang w:val="en-US"/>
        </w:rPr>
        <w:t xml:space="preserve"> technique. Each run had a supplement of a specific organic waste as an additive bulking agent in the mixtures of soil and hydrocarbons. The levels were labeled as follows: B1 (sugarcane bagasse); B2 (sugarcane filter cake); B3 (sawdust); B4 (coffee pulp); B5 (beef manure); B6 (</w:t>
      </w:r>
      <w:proofErr w:type="spellStart"/>
      <w:r w:rsidRPr="00402761">
        <w:rPr>
          <w:rFonts w:ascii="Times New Roman" w:eastAsia="MS PGothic" w:hAnsi="Times New Roman"/>
          <w:lang w:val="en-US"/>
        </w:rPr>
        <w:t>Thalassia</w:t>
      </w:r>
      <w:proofErr w:type="spellEnd"/>
      <w:r w:rsidRPr="00402761">
        <w:rPr>
          <w:rFonts w:ascii="Times New Roman" w:eastAsia="MS PGothic" w:hAnsi="Times New Roman"/>
          <w:lang w:val="en-US"/>
        </w:rPr>
        <w:t xml:space="preserve"> </w:t>
      </w:r>
      <w:proofErr w:type="spellStart"/>
      <w:r w:rsidRPr="00402761">
        <w:rPr>
          <w:rFonts w:ascii="Times New Roman" w:eastAsia="MS PGothic" w:hAnsi="Times New Roman"/>
          <w:lang w:val="en-US"/>
        </w:rPr>
        <w:t>testudinum</w:t>
      </w:r>
      <w:proofErr w:type="spellEnd"/>
      <w:r w:rsidRPr="00402761">
        <w:rPr>
          <w:rFonts w:ascii="Times New Roman" w:eastAsia="MS PGothic" w:hAnsi="Times New Roman"/>
          <w:lang w:val="en-US"/>
        </w:rPr>
        <w:t xml:space="preserve"> residues). Likewise, in both the tests (M and B), the other factor was the “Time”, defined at 5 levels </w:t>
      </w:r>
      <w:proofErr w:type="spellStart"/>
      <w:r w:rsidRPr="00402761">
        <w:rPr>
          <w:rFonts w:ascii="Times New Roman" w:eastAsia="MS PGothic" w:hAnsi="Times New Roman"/>
          <w:lang w:val="en-US"/>
        </w:rPr>
        <w:t>Tmi</w:t>
      </w:r>
      <w:proofErr w:type="spellEnd"/>
      <w:r w:rsidRPr="00402761">
        <w:rPr>
          <w:rFonts w:ascii="Times New Roman" w:eastAsia="MS PGothic" w:hAnsi="Times New Roman"/>
          <w:lang w:val="en-US"/>
        </w:rPr>
        <w:t xml:space="preserve"> (</w:t>
      </w:r>
      <w:proofErr w:type="spellStart"/>
      <w:r w:rsidRPr="00402761">
        <w:rPr>
          <w:rFonts w:ascii="Times New Roman" w:eastAsia="MS PGothic" w:hAnsi="Times New Roman"/>
          <w:lang w:val="en-US"/>
        </w:rPr>
        <w:t>i</w:t>
      </w:r>
      <w:proofErr w:type="spellEnd"/>
      <w:r w:rsidRPr="00402761">
        <w:rPr>
          <w:rFonts w:ascii="Times New Roman" w:eastAsia="MS PGothic" w:hAnsi="Times New Roman"/>
          <w:lang w:val="en-US"/>
        </w:rPr>
        <w:t xml:space="preserve">=0, 15, 70, 112, 131). and </w:t>
      </w:r>
      <w:proofErr w:type="spellStart"/>
      <w:r w:rsidRPr="00402761">
        <w:rPr>
          <w:rFonts w:ascii="Times New Roman" w:eastAsia="MS PGothic" w:hAnsi="Times New Roman"/>
          <w:lang w:val="en-US"/>
        </w:rPr>
        <w:t>Tbj</w:t>
      </w:r>
      <w:proofErr w:type="spellEnd"/>
      <w:r w:rsidRPr="00402761">
        <w:rPr>
          <w:rFonts w:ascii="Times New Roman" w:eastAsia="MS PGothic" w:hAnsi="Times New Roman"/>
          <w:lang w:val="en-US"/>
        </w:rPr>
        <w:t xml:space="preserve"> (j= 0, 60, 90, 150, 240) respectively. Each level corresponded to the time when the residual TPH concentration was monitored after the run started. This second factor was chosen under the hypothesis that the different treatments could have interactions during the bioremediation. </w:t>
      </w:r>
    </w:p>
    <w:p w14:paraId="229FEB26" w14:textId="3AEE522A" w:rsidR="00BD400D" w:rsidRDefault="00402761" w:rsidP="00BE04DF">
      <w:pPr>
        <w:snapToGrid w:val="0"/>
        <w:spacing w:after="120" w:line="240" w:lineRule="auto"/>
        <w:jc w:val="both"/>
        <w:rPr>
          <w:rFonts w:ascii="Times New Roman" w:eastAsia="MS PGothic" w:hAnsi="Times New Roman"/>
          <w:lang w:val="en-US"/>
        </w:rPr>
      </w:pPr>
      <w:r w:rsidRPr="00402761">
        <w:rPr>
          <w:rFonts w:ascii="Times New Roman" w:eastAsia="MS PGothic" w:hAnsi="Times New Roman"/>
          <w:lang w:val="en-US"/>
        </w:rPr>
        <w:t xml:space="preserve">The Total Petroleum Hydrocarbon (TPH) concentration was the response variable in both tests. </w:t>
      </w:r>
      <w:r w:rsidR="00AA2143">
        <w:rPr>
          <w:rFonts w:ascii="Times New Roman" w:eastAsia="MS PGothic" w:hAnsi="Times New Roman"/>
          <w:lang w:val="en-US"/>
        </w:rPr>
        <w:t xml:space="preserve">In the </w:t>
      </w:r>
      <w:r w:rsidR="008E07B0">
        <w:rPr>
          <w:rFonts w:ascii="Times New Roman" w:eastAsia="MS PGothic" w:hAnsi="Times New Roman"/>
          <w:lang w:val="en-US"/>
        </w:rPr>
        <w:t>M</w:t>
      </w:r>
      <w:r w:rsidR="00AA2143">
        <w:rPr>
          <w:rFonts w:ascii="Times New Roman" w:eastAsia="MS PGothic" w:hAnsi="Times New Roman"/>
          <w:lang w:val="en-US"/>
        </w:rPr>
        <w:t xml:space="preserve"> test </w:t>
      </w:r>
      <w:r w:rsidR="00B52190">
        <w:rPr>
          <w:rFonts w:ascii="Times New Roman" w:eastAsia="MS PGothic" w:hAnsi="Times New Roman"/>
          <w:lang w:val="en-US"/>
        </w:rPr>
        <w:t>the TPH</w:t>
      </w:r>
      <w:r w:rsidR="00BD400D" w:rsidRPr="00BD400D">
        <w:rPr>
          <w:rFonts w:ascii="Times New Roman" w:eastAsia="MS PGothic" w:hAnsi="Times New Roman"/>
          <w:lang w:val="en-US"/>
        </w:rPr>
        <w:t xml:space="preserve"> </w:t>
      </w:r>
      <w:r w:rsidR="008E07B0">
        <w:rPr>
          <w:rFonts w:ascii="Times New Roman" w:eastAsia="MS PGothic" w:hAnsi="Times New Roman"/>
          <w:lang w:val="en-US"/>
        </w:rPr>
        <w:t>was</w:t>
      </w:r>
      <w:r w:rsidR="00BD400D" w:rsidRPr="00BD400D">
        <w:rPr>
          <w:rFonts w:ascii="Times New Roman" w:eastAsia="MS PGothic" w:hAnsi="Times New Roman"/>
          <w:lang w:val="en-US"/>
        </w:rPr>
        <w:t xml:space="preserve"> measured in sample extracts achieved from each microcosm. The extraction was done by the EPA method 3546 (moisture 15-30% </w:t>
      </w:r>
      <w:proofErr w:type="spellStart"/>
      <w:r w:rsidR="00BD400D" w:rsidRPr="00BD400D">
        <w:rPr>
          <w:rFonts w:ascii="Times New Roman" w:eastAsia="MS PGothic" w:hAnsi="Times New Roman"/>
          <w:lang w:val="en-US"/>
        </w:rPr>
        <w:t>b.w.</w:t>
      </w:r>
      <w:proofErr w:type="spellEnd"/>
      <w:r w:rsidR="00BD400D" w:rsidRPr="00BD400D">
        <w:rPr>
          <w:rFonts w:ascii="Times New Roman" w:eastAsia="MS PGothic" w:hAnsi="Times New Roman"/>
          <w:lang w:val="en-US"/>
        </w:rPr>
        <w:t>), based on microwave heating, as described in a previous paper [</w:t>
      </w:r>
      <w:r w:rsidR="00FA510F">
        <w:rPr>
          <w:rFonts w:ascii="Times New Roman" w:eastAsia="MS PGothic" w:hAnsi="Times New Roman"/>
          <w:lang w:val="en-US"/>
        </w:rPr>
        <w:t>2</w:t>
      </w:r>
      <w:r w:rsidR="00BD400D" w:rsidRPr="00BD400D">
        <w:rPr>
          <w:rFonts w:ascii="Times New Roman" w:eastAsia="MS PGothic" w:hAnsi="Times New Roman"/>
          <w:lang w:val="en-US"/>
        </w:rPr>
        <w:t>]. Then, each extract was analyzed twice by the EPA method 8015 to measure the TPH concentration.</w:t>
      </w:r>
      <w:r w:rsidR="00B52190">
        <w:rPr>
          <w:rFonts w:ascii="Times New Roman" w:eastAsia="MS PGothic" w:hAnsi="Times New Roman"/>
          <w:lang w:val="en-US"/>
        </w:rPr>
        <w:t xml:space="preserve"> </w:t>
      </w:r>
      <w:r w:rsidR="009115FF">
        <w:rPr>
          <w:rFonts w:ascii="Times New Roman" w:eastAsia="MS PGothic" w:hAnsi="Times New Roman"/>
          <w:lang w:val="en-US"/>
        </w:rPr>
        <w:t>On the other hand, t</w:t>
      </w:r>
      <w:r w:rsidR="009115FF" w:rsidRPr="009115FF">
        <w:rPr>
          <w:rFonts w:ascii="Times New Roman" w:eastAsia="MS PGothic" w:hAnsi="Times New Roman"/>
          <w:lang w:val="en-US"/>
        </w:rPr>
        <w:t xml:space="preserve">he </w:t>
      </w:r>
      <w:r w:rsidR="009115FF">
        <w:rPr>
          <w:rFonts w:ascii="Times New Roman" w:eastAsia="MS PGothic" w:hAnsi="Times New Roman"/>
          <w:lang w:val="en-US"/>
        </w:rPr>
        <w:t xml:space="preserve">TPH in the </w:t>
      </w:r>
      <w:r w:rsidR="008E07B0">
        <w:rPr>
          <w:rFonts w:ascii="Times New Roman" w:eastAsia="MS PGothic" w:hAnsi="Times New Roman"/>
          <w:lang w:val="en-US"/>
        </w:rPr>
        <w:t xml:space="preserve">B test </w:t>
      </w:r>
      <w:r w:rsidR="009115FF" w:rsidRPr="009115FF">
        <w:rPr>
          <w:rFonts w:ascii="Times New Roman" w:eastAsia="MS PGothic" w:hAnsi="Times New Roman"/>
          <w:lang w:val="en-US"/>
        </w:rPr>
        <w:t xml:space="preserve">was measured with samples collected from each </w:t>
      </w:r>
      <w:proofErr w:type="spellStart"/>
      <w:r w:rsidR="009115FF" w:rsidRPr="009115FF">
        <w:rPr>
          <w:rFonts w:ascii="Times New Roman" w:eastAsia="MS PGothic" w:hAnsi="Times New Roman"/>
          <w:lang w:val="en-US"/>
        </w:rPr>
        <w:t>biopile</w:t>
      </w:r>
      <w:proofErr w:type="spellEnd"/>
      <w:r w:rsidR="00425909">
        <w:rPr>
          <w:rFonts w:ascii="Times New Roman" w:eastAsia="MS PGothic" w:hAnsi="Times New Roman"/>
          <w:lang w:val="en-US"/>
        </w:rPr>
        <w:t xml:space="preserve">. </w:t>
      </w:r>
      <w:r w:rsidR="009115FF" w:rsidRPr="009115FF">
        <w:rPr>
          <w:rFonts w:ascii="Times New Roman" w:eastAsia="MS PGothic" w:hAnsi="Times New Roman"/>
          <w:lang w:val="en-US"/>
        </w:rPr>
        <w:t xml:space="preserve">The TPH </w:t>
      </w:r>
      <w:r w:rsidR="009115FF" w:rsidRPr="009115FF">
        <w:rPr>
          <w:rFonts w:ascii="Times New Roman" w:eastAsia="MS PGothic" w:hAnsi="Times New Roman"/>
          <w:lang w:val="en-US"/>
        </w:rPr>
        <w:lastRenderedPageBreak/>
        <w:t xml:space="preserve">concentration was determined by adapting the EPA Method 1664 to the </w:t>
      </w:r>
      <w:proofErr w:type="spellStart"/>
      <w:r w:rsidR="009115FF" w:rsidRPr="009115FF">
        <w:rPr>
          <w:rFonts w:ascii="Times New Roman" w:eastAsia="MS PGothic" w:hAnsi="Times New Roman"/>
          <w:lang w:val="en-US"/>
        </w:rPr>
        <w:t>biopile</w:t>
      </w:r>
      <w:proofErr w:type="spellEnd"/>
      <w:r w:rsidR="009115FF" w:rsidRPr="009115FF">
        <w:rPr>
          <w:rFonts w:ascii="Times New Roman" w:eastAsia="MS PGothic" w:hAnsi="Times New Roman"/>
          <w:lang w:val="en-US"/>
        </w:rPr>
        <w:t xml:space="preserve"> system. The analysis </w:t>
      </w:r>
      <w:r w:rsidR="00425909">
        <w:rPr>
          <w:rFonts w:ascii="Times New Roman" w:eastAsia="MS PGothic" w:hAnsi="Times New Roman"/>
          <w:lang w:val="en-US"/>
        </w:rPr>
        <w:t>was</w:t>
      </w:r>
      <w:r w:rsidR="009115FF" w:rsidRPr="009115FF">
        <w:rPr>
          <w:rFonts w:ascii="Times New Roman" w:eastAsia="MS PGothic" w:hAnsi="Times New Roman"/>
          <w:lang w:val="en-US"/>
        </w:rPr>
        <w:t xml:space="preserve"> based on the TPH extraction from solid by an organic solvent and evaluation of the TPH mass by gravimetry. This method </w:t>
      </w:r>
      <w:r w:rsidR="00425909">
        <w:rPr>
          <w:rFonts w:ascii="Times New Roman" w:eastAsia="MS PGothic" w:hAnsi="Times New Roman"/>
          <w:lang w:val="en-US"/>
        </w:rPr>
        <w:t>results</w:t>
      </w:r>
      <w:r w:rsidR="009115FF" w:rsidRPr="009115FF">
        <w:rPr>
          <w:rFonts w:ascii="Times New Roman" w:eastAsia="MS PGothic" w:hAnsi="Times New Roman"/>
          <w:lang w:val="en-US"/>
        </w:rPr>
        <w:t xml:space="preserve"> reliable </w:t>
      </w:r>
      <w:r w:rsidR="00425909">
        <w:rPr>
          <w:rFonts w:ascii="Times New Roman" w:eastAsia="MS PGothic" w:hAnsi="Times New Roman"/>
          <w:lang w:val="en-US"/>
        </w:rPr>
        <w:t>because</w:t>
      </w:r>
      <w:r w:rsidR="009115FF" w:rsidRPr="009115FF">
        <w:rPr>
          <w:rFonts w:ascii="Times New Roman" w:eastAsia="MS PGothic" w:hAnsi="Times New Roman"/>
          <w:lang w:val="en-US"/>
        </w:rPr>
        <w:t xml:space="preserve"> the solid sample </w:t>
      </w:r>
      <w:r w:rsidR="00425909">
        <w:rPr>
          <w:rFonts w:ascii="Times New Roman" w:eastAsia="MS PGothic" w:hAnsi="Times New Roman"/>
          <w:lang w:val="en-US"/>
        </w:rPr>
        <w:t>was</w:t>
      </w:r>
      <w:r w:rsidR="009115FF" w:rsidRPr="009115FF">
        <w:rPr>
          <w:rFonts w:ascii="Times New Roman" w:eastAsia="MS PGothic" w:hAnsi="Times New Roman"/>
          <w:lang w:val="en-US"/>
        </w:rPr>
        <w:t xml:space="preserve"> over 5 g and the TPH concentration over 0.3% by weight.</w:t>
      </w:r>
    </w:p>
    <w:p w14:paraId="315F6ED0" w14:textId="503AC969" w:rsidR="009B3B78" w:rsidRPr="005F661F" w:rsidRDefault="00D67458" w:rsidP="00BE04DF">
      <w:pPr>
        <w:snapToGrid w:val="0"/>
        <w:spacing w:after="120" w:line="240" w:lineRule="auto"/>
        <w:jc w:val="both"/>
        <w:rPr>
          <w:rFonts w:ascii="Times New Roman" w:eastAsia="MS PGothic" w:hAnsi="Times New Roman"/>
          <w:lang w:val="en-US"/>
        </w:rPr>
      </w:pPr>
      <w:r>
        <w:rPr>
          <w:rFonts w:ascii="Times New Roman" w:eastAsia="MS PGothic" w:hAnsi="Times New Roman"/>
          <w:lang w:val="en-US"/>
        </w:rPr>
        <w:t xml:space="preserve">Both </w:t>
      </w:r>
      <w:proofErr w:type="gramStart"/>
      <w:r>
        <w:rPr>
          <w:rFonts w:ascii="Times New Roman" w:eastAsia="MS PGothic" w:hAnsi="Times New Roman"/>
          <w:lang w:val="en-US"/>
        </w:rPr>
        <w:t xml:space="preserve">experiments </w:t>
      </w:r>
      <w:r w:rsidRPr="00D67458">
        <w:rPr>
          <w:rFonts w:ascii="Times New Roman" w:eastAsia="MS PGothic" w:hAnsi="Times New Roman"/>
          <w:lang w:val="en-US"/>
        </w:rPr>
        <w:t xml:space="preserve"> has</w:t>
      </w:r>
      <w:proofErr w:type="gramEnd"/>
      <w:r w:rsidRPr="00D67458">
        <w:rPr>
          <w:rFonts w:ascii="Times New Roman" w:eastAsia="MS PGothic" w:hAnsi="Times New Roman"/>
          <w:lang w:val="en-US"/>
        </w:rPr>
        <w:t xml:space="preserve"> combined all the levels of the factors (6x5). </w:t>
      </w:r>
      <w:r>
        <w:rPr>
          <w:rFonts w:ascii="Times New Roman" w:eastAsia="MS PGothic" w:hAnsi="Times New Roman"/>
          <w:lang w:val="en-US"/>
        </w:rPr>
        <w:t>For M test, s</w:t>
      </w:r>
      <w:r w:rsidRPr="00D67458">
        <w:rPr>
          <w:rFonts w:ascii="Times New Roman" w:eastAsia="MS PGothic" w:hAnsi="Times New Roman"/>
          <w:lang w:val="en-US"/>
        </w:rPr>
        <w:t>ince two replicas were carried out, a total of 60 runs were available, achieving 30 degrees of freedom (</w:t>
      </w:r>
      <w:proofErr w:type="spellStart"/>
      <w:r w:rsidRPr="00D67458">
        <w:rPr>
          <w:rFonts w:ascii="Times New Roman" w:eastAsia="MS PGothic" w:hAnsi="Times New Roman"/>
          <w:lang w:val="en-US"/>
        </w:rPr>
        <w:t>Df</w:t>
      </w:r>
      <w:proofErr w:type="spellEnd"/>
      <w:r w:rsidRPr="00D67458">
        <w:rPr>
          <w:rFonts w:ascii="Times New Roman" w:eastAsia="MS PGothic" w:hAnsi="Times New Roman"/>
          <w:lang w:val="en-US"/>
        </w:rPr>
        <w:t>). The statistical parameters of the DOE were considered statistically consistent with the strengths in the analytical determination method of the TPH concentration.</w:t>
      </w:r>
      <w:r w:rsidR="00153186">
        <w:rPr>
          <w:rFonts w:ascii="Times New Roman" w:eastAsia="MS PGothic" w:hAnsi="Times New Roman"/>
          <w:lang w:val="en-US"/>
        </w:rPr>
        <w:t xml:space="preserve"> On the other hand, for the B test </w:t>
      </w:r>
      <w:r w:rsidRPr="00D67458">
        <w:rPr>
          <w:rFonts w:ascii="Times New Roman" w:eastAsia="MS PGothic" w:hAnsi="Times New Roman"/>
          <w:lang w:val="en-US"/>
        </w:rPr>
        <w:t>a total of 120 runs due to 4 replicas of the experimental array. This ensured 90 degrees of freedom, which were considered statistically robust, compensating for the weakness of the gravimetric determination method if compared to the gas chromatographic one.</w:t>
      </w:r>
      <w:r w:rsidR="00153186">
        <w:rPr>
          <w:rFonts w:ascii="Times New Roman" w:eastAsia="MS PGothic" w:hAnsi="Times New Roman"/>
          <w:lang w:val="en-US"/>
        </w:rPr>
        <w:t xml:space="preserve"> </w:t>
      </w:r>
      <w:r w:rsidR="009B3B78" w:rsidRPr="00402761">
        <w:rPr>
          <w:rFonts w:ascii="Times New Roman" w:eastAsia="MS PGothic" w:hAnsi="Times New Roman"/>
          <w:lang w:val="en-US"/>
        </w:rPr>
        <w:t xml:space="preserve">All the analyses were performed using a confidence level of 95% </w:t>
      </w:r>
      <w:r w:rsidR="005F661F" w:rsidRPr="005F661F">
        <w:rPr>
          <w:rFonts w:ascii="Times New Roman" w:eastAsia="MS PGothic" w:hAnsi="Times New Roman"/>
          <w:lang w:val="en-US"/>
        </w:rPr>
        <w:t>employing the professional software STATGRAPHICS Centurion v. 16.1.18</w:t>
      </w:r>
      <w:r w:rsidR="006759CB">
        <w:rPr>
          <w:rFonts w:ascii="Times New Roman" w:eastAsia="MS PGothic" w:hAnsi="Times New Roman"/>
          <w:lang w:val="en-US"/>
        </w:rPr>
        <w:t xml:space="preserve">. Moreover, </w:t>
      </w:r>
      <w:r w:rsidR="009B3B78" w:rsidRPr="00402761">
        <w:rPr>
          <w:rFonts w:ascii="Times New Roman" w:eastAsia="MS PGothic" w:hAnsi="Times New Roman"/>
          <w:lang w:val="en-US"/>
        </w:rPr>
        <w:t>the assumptions</w:t>
      </w:r>
      <w:r w:rsidR="005F661F">
        <w:rPr>
          <w:rFonts w:ascii="Times New Roman" w:eastAsia="MS PGothic" w:hAnsi="Times New Roman"/>
          <w:lang w:val="en-US"/>
        </w:rPr>
        <w:t xml:space="preserve"> for the model</w:t>
      </w:r>
      <w:r w:rsidR="009B3B78" w:rsidRPr="00402761">
        <w:rPr>
          <w:rFonts w:ascii="Times New Roman" w:eastAsia="MS PGothic" w:hAnsi="Times New Roman"/>
          <w:lang w:val="en-US"/>
        </w:rPr>
        <w:t xml:space="preserve"> were corroborated</w:t>
      </w:r>
      <w:r w:rsidR="005F661F">
        <w:rPr>
          <w:rFonts w:ascii="Times New Roman" w:eastAsia="MS PGothic" w:hAnsi="Times New Roman"/>
          <w:lang w:val="en-US"/>
        </w:rPr>
        <w:t>.</w:t>
      </w:r>
      <w:r w:rsidR="00A35149">
        <w:rPr>
          <w:rFonts w:ascii="Times New Roman" w:eastAsia="MS PGothic" w:hAnsi="Times New Roman"/>
          <w:lang w:val="en-US"/>
        </w:rPr>
        <w:t xml:space="preserve"> </w:t>
      </w:r>
      <w:r w:rsidR="00A35149" w:rsidRPr="00A35149">
        <w:rPr>
          <w:rFonts w:ascii="Times New Roman" w:eastAsia="MS PGothic" w:hAnsi="Times New Roman"/>
          <w:lang w:val="en-US"/>
        </w:rPr>
        <w:t xml:space="preserve">Table 1 </w:t>
      </w:r>
      <w:r w:rsidR="000109D9">
        <w:rPr>
          <w:rFonts w:ascii="Times New Roman" w:eastAsia="MS PGothic" w:hAnsi="Times New Roman"/>
          <w:lang w:val="en-US"/>
        </w:rPr>
        <w:t>offers</w:t>
      </w:r>
      <w:r w:rsidR="00A35149" w:rsidRPr="00A35149">
        <w:rPr>
          <w:rFonts w:ascii="Times New Roman" w:eastAsia="MS PGothic" w:hAnsi="Times New Roman"/>
          <w:lang w:val="en-US"/>
        </w:rPr>
        <w:t xml:space="preserve"> the synthesized </w:t>
      </w:r>
      <w:r w:rsidR="000109D9" w:rsidRPr="00A35149">
        <w:rPr>
          <w:rFonts w:ascii="Times New Roman" w:eastAsia="MS PGothic" w:hAnsi="Times New Roman"/>
          <w:lang w:val="en-US"/>
        </w:rPr>
        <w:t xml:space="preserve">information </w:t>
      </w:r>
      <w:r w:rsidR="00A35149" w:rsidRPr="00A35149">
        <w:rPr>
          <w:rFonts w:ascii="Times New Roman" w:eastAsia="MS PGothic" w:hAnsi="Times New Roman"/>
          <w:lang w:val="en-US"/>
        </w:rPr>
        <w:t>for both tests.</w:t>
      </w:r>
      <w:r w:rsidR="005F661F">
        <w:rPr>
          <w:rFonts w:ascii="Times New Roman" w:eastAsia="MS PGothic" w:hAnsi="Times New Roman"/>
          <w:lang w:val="en-US"/>
        </w:rPr>
        <w:t xml:space="preserve"> </w:t>
      </w:r>
    </w:p>
    <w:p w14:paraId="7A576F20" w14:textId="77777777" w:rsidR="00BA35DA" w:rsidRPr="00BA35DA" w:rsidRDefault="00BA35DA" w:rsidP="00BA35DA">
      <w:pPr>
        <w:pStyle w:val="MDPI31text"/>
        <w:spacing w:before="120" w:after="240"/>
        <w:ind w:left="2606" w:firstLine="432"/>
        <w:rPr>
          <w:rFonts w:ascii="Times New Roman" w:eastAsia="MS PGothic" w:hAnsi="Times New Roman" w:cstheme="minorBidi"/>
          <w:snapToGrid/>
          <w:color w:val="auto"/>
          <w:sz w:val="22"/>
          <w:lang w:eastAsia="en-US" w:bidi="ar-SA"/>
        </w:rPr>
      </w:pPr>
      <w:r w:rsidRPr="00BA35DA">
        <w:rPr>
          <w:rFonts w:ascii="Times New Roman" w:eastAsia="MS PGothic" w:hAnsi="Times New Roman" w:cstheme="minorBidi"/>
          <w:b/>
          <w:bCs/>
          <w:snapToGrid/>
          <w:color w:val="auto"/>
          <w:sz w:val="22"/>
          <w:lang w:eastAsia="en-US" w:bidi="ar-SA"/>
        </w:rPr>
        <w:t>Table 1.</w:t>
      </w:r>
      <w:r w:rsidRPr="00BA35DA">
        <w:rPr>
          <w:rFonts w:ascii="Times New Roman" w:eastAsia="MS PGothic" w:hAnsi="Times New Roman" w:cstheme="minorBidi"/>
          <w:snapToGrid/>
          <w:color w:val="auto"/>
          <w:sz w:val="22"/>
          <w:lang w:eastAsia="en-US" w:bidi="ar-SA"/>
        </w:rPr>
        <w:t xml:space="preserve"> Operative conditions for the studied tests.</w:t>
      </w:r>
    </w:p>
    <w:tbl>
      <w:tblPr>
        <w:tblW w:w="0" w:type="auto"/>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960"/>
        <w:gridCol w:w="2579"/>
        <w:gridCol w:w="2227"/>
      </w:tblGrid>
      <w:tr w:rsidR="00996F4D" w:rsidRPr="00153186" w14:paraId="213A3E19" w14:textId="77777777" w:rsidTr="00996F4D">
        <w:trPr>
          <w:jc w:val="center"/>
        </w:trPr>
        <w:tc>
          <w:tcPr>
            <w:tcW w:w="2960" w:type="dxa"/>
            <w:tcBorders>
              <w:top w:val="single" w:sz="8" w:space="0" w:color="auto"/>
              <w:bottom w:val="single" w:sz="4" w:space="0" w:color="auto"/>
            </w:tcBorders>
            <w:shd w:val="clear" w:color="auto" w:fill="auto"/>
            <w:vAlign w:val="center"/>
          </w:tcPr>
          <w:p w14:paraId="5FEC9746" w14:textId="77777777" w:rsidR="00996F4D" w:rsidRPr="00153186" w:rsidRDefault="00996F4D" w:rsidP="00707F55">
            <w:pPr>
              <w:pStyle w:val="MDPI42tablebody"/>
              <w:spacing w:line="240" w:lineRule="auto"/>
              <w:rPr>
                <w:rFonts w:ascii="Times New Roman" w:hAnsi="Times New Roman"/>
                <w:b/>
                <w:bCs/>
              </w:rPr>
            </w:pPr>
            <w:r w:rsidRPr="00153186">
              <w:rPr>
                <w:rFonts w:ascii="Times New Roman" w:hAnsi="Times New Roman"/>
                <w:b/>
                <w:bCs/>
              </w:rPr>
              <w:t>Operative conditions</w:t>
            </w:r>
          </w:p>
        </w:tc>
        <w:tc>
          <w:tcPr>
            <w:tcW w:w="2579" w:type="dxa"/>
            <w:tcBorders>
              <w:top w:val="single" w:sz="8" w:space="0" w:color="auto"/>
              <w:bottom w:val="single" w:sz="4" w:space="0" w:color="auto"/>
            </w:tcBorders>
            <w:shd w:val="clear" w:color="auto" w:fill="auto"/>
            <w:vAlign w:val="center"/>
          </w:tcPr>
          <w:p w14:paraId="12745065" w14:textId="77777777" w:rsidR="00996F4D" w:rsidRPr="00153186" w:rsidRDefault="00996F4D" w:rsidP="00707F55">
            <w:pPr>
              <w:pStyle w:val="MDPI42tablebody"/>
              <w:spacing w:line="240" w:lineRule="auto"/>
              <w:rPr>
                <w:rFonts w:ascii="Times New Roman" w:hAnsi="Times New Roman"/>
                <w:b/>
                <w:bCs/>
              </w:rPr>
            </w:pPr>
            <w:r w:rsidRPr="00153186">
              <w:rPr>
                <w:rFonts w:ascii="Times New Roman" w:hAnsi="Times New Roman"/>
                <w:b/>
                <w:bCs/>
              </w:rPr>
              <w:t>Microcosms (Test M)</w:t>
            </w:r>
          </w:p>
        </w:tc>
        <w:tc>
          <w:tcPr>
            <w:tcW w:w="2227" w:type="dxa"/>
            <w:tcBorders>
              <w:top w:val="single" w:sz="8" w:space="0" w:color="auto"/>
              <w:bottom w:val="single" w:sz="4" w:space="0" w:color="auto"/>
            </w:tcBorders>
            <w:shd w:val="clear" w:color="auto" w:fill="auto"/>
            <w:vAlign w:val="center"/>
            <w:hideMark/>
          </w:tcPr>
          <w:p w14:paraId="133CDEC1" w14:textId="77777777" w:rsidR="00996F4D" w:rsidRPr="00153186" w:rsidRDefault="00996F4D" w:rsidP="00707F55">
            <w:pPr>
              <w:pStyle w:val="MDPI42tablebody"/>
              <w:spacing w:line="240" w:lineRule="auto"/>
              <w:rPr>
                <w:rFonts w:ascii="Times New Roman" w:hAnsi="Times New Roman"/>
                <w:b/>
                <w:bCs/>
              </w:rPr>
            </w:pPr>
            <w:proofErr w:type="spellStart"/>
            <w:r w:rsidRPr="00153186">
              <w:rPr>
                <w:rFonts w:ascii="Times New Roman" w:hAnsi="Times New Roman"/>
                <w:b/>
                <w:bCs/>
              </w:rPr>
              <w:t>Biopiles</w:t>
            </w:r>
            <w:proofErr w:type="spellEnd"/>
            <w:r w:rsidRPr="00153186">
              <w:rPr>
                <w:rFonts w:ascii="Times New Roman" w:hAnsi="Times New Roman"/>
                <w:b/>
                <w:bCs/>
              </w:rPr>
              <w:t xml:space="preserve"> (Test B)</w:t>
            </w:r>
          </w:p>
        </w:tc>
      </w:tr>
      <w:tr w:rsidR="00996F4D" w:rsidRPr="00153186" w14:paraId="4272BF13" w14:textId="77777777" w:rsidTr="00996F4D">
        <w:trPr>
          <w:jc w:val="center"/>
        </w:trPr>
        <w:tc>
          <w:tcPr>
            <w:tcW w:w="2960" w:type="dxa"/>
            <w:tcBorders>
              <w:top w:val="single" w:sz="4" w:space="0" w:color="auto"/>
            </w:tcBorders>
            <w:shd w:val="clear" w:color="auto" w:fill="auto"/>
            <w:vAlign w:val="center"/>
            <w:hideMark/>
          </w:tcPr>
          <w:p w14:paraId="526D1076"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Response variable</w:t>
            </w:r>
          </w:p>
        </w:tc>
        <w:tc>
          <w:tcPr>
            <w:tcW w:w="2579" w:type="dxa"/>
            <w:tcBorders>
              <w:top w:val="single" w:sz="4" w:space="0" w:color="auto"/>
              <w:bottom w:val="nil"/>
            </w:tcBorders>
            <w:shd w:val="clear" w:color="auto" w:fill="auto"/>
            <w:vAlign w:val="center"/>
            <w:hideMark/>
          </w:tcPr>
          <w:p w14:paraId="3D1D4E5E"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TPH</w:t>
            </w:r>
          </w:p>
        </w:tc>
        <w:tc>
          <w:tcPr>
            <w:tcW w:w="2227" w:type="dxa"/>
            <w:tcBorders>
              <w:top w:val="single" w:sz="4" w:space="0" w:color="auto"/>
              <w:bottom w:val="nil"/>
            </w:tcBorders>
            <w:shd w:val="clear" w:color="auto" w:fill="auto"/>
            <w:vAlign w:val="center"/>
          </w:tcPr>
          <w:p w14:paraId="28543B46"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TPH</w:t>
            </w:r>
          </w:p>
        </w:tc>
      </w:tr>
      <w:tr w:rsidR="00996F4D" w:rsidRPr="00153186" w14:paraId="4CC517DD" w14:textId="77777777" w:rsidTr="00996F4D">
        <w:trPr>
          <w:jc w:val="center"/>
        </w:trPr>
        <w:tc>
          <w:tcPr>
            <w:tcW w:w="2960" w:type="dxa"/>
            <w:vMerge w:val="restart"/>
            <w:tcBorders>
              <w:top w:val="single" w:sz="4" w:space="0" w:color="auto"/>
            </w:tcBorders>
            <w:shd w:val="clear" w:color="auto" w:fill="auto"/>
            <w:vAlign w:val="center"/>
            <w:hideMark/>
          </w:tcPr>
          <w:p w14:paraId="47192327"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Factor 1-Treatments</w:t>
            </w:r>
          </w:p>
          <w:p w14:paraId="2A66748C"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(6 categorical levels)</w:t>
            </w:r>
          </w:p>
        </w:tc>
        <w:tc>
          <w:tcPr>
            <w:tcW w:w="2579" w:type="dxa"/>
            <w:tcBorders>
              <w:top w:val="single" w:sz="4" w:space="0" w:color="auto"/>
              <w:bottom w:val="nil"/>
            </w:tcBorders>
            <w:shd w:val="clear" w:color="auto" w:fill="auto"/>
            <w:vAlign w:val="center"/>
            <w:hideMark/>
          </w:tcPr>
          <w:p w14:paraId="3791EF7C"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lang w:val="es-ES"/>
              </w:rPr>
              <w:t>M1(8 WC%-120 C/N)</w:t>
            </w:r>
          </w:p>
        </w:tc>
        <w:tc>
          <w:tcPr>
            <w:tcW w:w="2227" w:type="dxa"/>
            <w:tcBorders>
              <w:top w:val="single" w:sz="4" w:space="0" w:color="auto"/>
              <w:bottom w:val="nil"/>
            </w:tcBorders>
            <w:shd w:val="clear" w:color="auto" w:fill="auto"/>
            <w:vAlign w:val="center"/>
            <w:hideMark/>
          </w:tcPr>
          <w:p w14:paraId="749D2C9A"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B1 (sugarcane bagasse)</w:t>
            </w:r>
          </w:p>
        </w:tc>
      </w:tr>
      <w:tr w:rsidR="00996F4D" w:rsidRPr="00153186" w14:paraId="6FC50F21" w14:textId="77777777" w:rsidTr="00996F4D">
        <w:trPr>
          <w:jc w:val="center"/>
        </w:trPr>
        <w:tc>
          <w:tcPr>
            <w:tcW w:w="2960" w:type="dxa"/>
            <w:vMerge/>
            <w:shd w:val="clear" w:color="auto" w:fill="auto"/>
            <w:vAlign w:val="center"/>
          </w:tcPr>
          <w:p w14:paraId="4031664E" w14:textId="77777777" w:rsidR="00996F4D" w:rsidRPr="00153186" w:rsidRDefault="00996F4D" w:rsidP="00707F55">
            <w:pPr>
              <w:pStyle w:val="MDPI42tablebody"/>
              <w:spacing w:line="240" w:lineRule="auto"/>
              <w:rPr>
                <w:rFonts w:ascii="Times New Roman" w:hAnsi="Times New Roman"/>
              </w:rPr>
            </w:pPr>
          </w:p>
        </w:tc>
        <w:tc>
          <w:tcPr>
            <w:tcW w:w="2579" w:type="dxa"/>
            <w:tcBorders>
              <w:top w:val="nil"/>
              <w:bottom w:val="nil"/>
            </w:tcBorders>
            <w:shd w:val="clear" w:color="auto" w:fill="auto"/>
            <w:vAlign w:val="center"/>
          </w:tcPr>
          <w:p w14:paraId="422EA331"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lang w:val="es-ES"/>
              </w:rPr>
              <w:t>M2 (8 WC%-180 C/N)</w:t>
            </w:r>
          </w:p>
        </w:tc>
        <w:tc>
          <w:tcPr>
            <w:tcW w:w="2227" w:type="dxa"/>
            <w:tcBorders>
              <w:top w:val="nil"/>
              <w:bottom w:val="nil"/>
            </w:tcBorders>
            <w:shd w:val="clear" w:color="auto" w:fill="auto"/>
            <w:vAlign w:val="center"/>
          </w:tcPr>
          <w:p w14:paraId="12375503"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B2 (sugarcane filter cake)</w:t>
            </w:r>
          </w:p>
        </w:tc>
      </w:tr>
      <w:tr w:rsidR="00996F4D" w:rsidRPr="00153186" w14:paraId="0499151C" w14:textId="77777777" w:rsidTr="00996F4D">
        <w:trPr>
          <w:jc w:val="center"/>
        </w:trPr>
        <w:tc>
          <w:tcPr>
            <w:tcW w:w="2960" w:type="dxa"/>
            <w:vMerge/>
            <w:shd w:val="clear" w:color="auto" w:fill="auto"/>
            <w:vAlign w:val="center"/>
          </w:tcPr>
          <w:p w14:paraId="75E26A48" w14:textId="77777777" w:rsidR="00996F4D" w:rsidRPr="00153186" w:rsidRDefault="00996F4D" w:rsidP="00707F55">
            <w:pPr>
              <w:pStyle w:val="MDPI42tablebody"/>
              <w:spacing w:line="240" w:lineRule="auto"/>
              <w:rPr>
                <w:rFonts w:ascii="Times New Roman" w:hAnsi="Times New Roman"/>
              </w:rPr>
            </w:pPr>
          </w:p>
        </w:tc>
        <w:tc>
          <w:tcPr>
            <w:tcW w:w="2579" w:type="dxa"/>
            <w:tcBorders>
              <w:top w:val="nil"/>
              <w:bottom w:val="nil"/>
            </w:tcBorders>
            <w:shd w:val="clear" w:color="auto" w:fill="auto"/>
            <w:vAlign w:val="center"/>
          </w:tcPr>
          <w:p w14:paraId="0A1451C2"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lang w:val="es-ES"/>
              </w:rPr>
              <w:t>M3 (12 WC%-120 C/N)</w:t>
            </w:r>
          </w:p>
        </w:tc>
        <w:tc>
          <w:tcPr>
            <w:tcW w:w="2227" w:type="dxa"/>
            <w:tcBorders>
              <w:top w:val="nil"/>
              <w:bottom w:val="nil"/>
            </w:tcBorders>
            <w:shd w:val="clear" w:color="auto" w:fill="auto"/>
            <w:vAlign w:val="center"/>
          </w:tcPr>
          <w:p w14:paraId="48912DDB"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B3 (sawdust)</w:t>
            </w:r>
          </w:p>
        </w:tc>
      </w:tr>
      <w:tr w:rsidR="00996F4D" w:rsidRPr="00153186" w14:paraId="07E18B43" w14:textId="77777777" w:rsidTr="00996F4D">
        <w:trPr>
          <w:jc w:val="center"/>
        </w:trPr>
        <w:tc>
          <w:tcPr>
            <w:tcW w:w="2960" w:type="dxa"/>
            <w:vMerge/>
            <w:shd w:val="clear" w:color="auto" w:fill="auto"/>
            <w:vAlign w:val="center"/>
          </w:tcPr>
          <w:p w14:paraId="7FCB91E2" w14:textId="77777777" w:rsidR="00996F4D" w:rsidRPr="00153186" w:rsidRDefault="00996F4D" w:rsidP="00707F55">
            <w:pPr>
              <w:pStyle w:val="MDPI42tablebody"/>
              <w:spacing w:line="240" w:lineRule="auto"/>
              <w:rPr>
                <w:rFonts w:ascii="Times New Roman" w:hAnsi="Times New Roman"/>
              </w:rPr>
            </w:pPr>
          </w:p>
        </w:tc>
        <w:tc>
          <w:tcPr>
            <w:tcW w:w="2579" w:type="dxa"/>
            <w:tcBorders>
              <w:top w:val="nil"/>
              <w:bottom w:val="nil"/>
            </w:tcBorders>
            <w:shd w:val="clear" w:color="auto" w:fill="auto"/>
            <w:vAlign w:val="center"/>
          </w:tcPr>
          <w:p w14:paraId="3FA88C94"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lang w:val="es-ES"/>
              </w:rPr>
              <w:t>M4 (12 WC%-180 C/N)</w:t>
            </w:r>
          </w:p>
        </w:tc>
        <w:tc>
          <w:tcPr>
            <w:tcW w:w="2227" w:type="dxa"/>
            <w:tcBorders>
              <w:top w:val="nil"/>
              <w:bottom w:val="nil"/>
            </w:tcBorders>
            <w:shd w:val="clear" w:color="auto" w:fill="auto"/>
            <w:vAlign w:val="center"/>
          </w:tcPr>
          <w:p w14:paraId="4025DECF"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B4 (coffee pulp)</w:t>
            </w:r>
          </w:p>
        </w:tc>
      </w:tr>
      <w:tr w:rsidR="00996F4D" w:rsidRPr="00153186" w14:paraId="085EC57E" w14:textId="77777777" w:rsidTr="00996F4D">
        <w:trPr>
          <w:jc w:val="center"/>
        </w:trPr>
        <w:tc>
          <w:tcPr>
            <w:tcW w:w="2960" w:type="dxa"/>
            <w:vMerge/>
            <w:shd w:val="clear" w:color="auto" w:fill="auto"/>
            <w:vAlign w:val="center"/>
          </w:tcPr>
          <w:p w14:paraId="72A83791" w14:textId="77777777" w:rsidR="00996F4D" w:rsidRPr="00153186" w:rsidRDefault="00996F4D" w:rsidP="00707F55">
            <w:pPr>
              <w:pStyle w:val="MDPI42tablebody"/>
              <w:spacing w:line="240" w:lineRule="auto"/>
              <w:rPr>
                <w:rFonts w:ascii="Times New Roman" w:hAnsi="Times New Roman"/>
              </w:rPr>
            </w:pPr>
          </w:p>
        </w:tc>
        <w:tc>
          <w:tcPr>
            <w:tcW w:w="2579" w:type="dxa"/>
            <w:tcBorders>
              <w:top w:val="nil"/>
              <w:bottom w:val="nil"/>
            </w:tcBorders>
            <w:shd w:val="clear" w:color="auto" w:fill="auto"/>
            <w:vAlign w:val="center"/>
          </w:tcPr>
          <w:p w14:paraId="3A68B8A7"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lang w:val="es-ES"/>
              </w:rPr>
              <w:t>M5 (15 WC%-120 C/N)</w:t>
            </w:r>
          </w:p>
        </w:tc>
        <w:tc>
          <w:tcPr>
            <w:tcW w:w="2227" w:type="dxa"/>
            <w:tcBorders>
              <w:top w:val="nil"/>
              <w:bottom w:val="nil"/>
            </w:tcBorders>
            <w:shd w:val="clear" w:color="auto" w:fill="auto"/>
            <w:vAlign w:val="center"/>
          </w:tcPr>
          <w:p w14:paraId="5E80A5A0"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B5 (beef manure)</w:t>
            </w:r>
          </w:p>
        </w:tc>
      </w:tr>
      <w:tr w:rsidR="00996F4D" w:rsidRPr="00153186" w14:paraId="07B860F0" w14:textId="77777777" w:rsidTr="00996F4D">
        <w:trPr>
          <w:jc w:val="center"/>
        </w:trPr>
        <w:tc>
          <w:tcPr>
            <w:tcW w:w="2960" w:type="dxa"/>
            <w:vMerge/>
            <w:tcBorders>
              <w:bottom w:val="nil"/>
            </w:tcBorders>
            <w:shd w:val="clear" w:color="auto" w:fill="auto"/>
            <w:vAlign w:val="center"/>
          </w:tcPr>
          <w:p w14:paraId="36CB287F" w14:textId="77777777" w:rsidR="00996F4D" w:rsidRPr="00153186" w:rsidRDefault="00996F4D" w:rsidP="00707F55">
            <w:pPr>
              <w:pStyle w:val="MDPI42tablebody"/>
              <w:spacing w:line="240" w:lineRule="auto"/>
              <w:rPr>
                <w:rFonts w:ascii="Times New Roman" w:hAnsi="Times New Roman"/>
              </w:rPr>
            </w:pPr>
          </w:p>
        </w:tc>
        <w:tc>
          <w:tcPr>
            <w:tcW w:w="2579" w:type="dxa"/>
            <w:tcBorders>
              <w:top w:val="nil"/>
              <w:bottom w:val="nil"/>
            </w:tcBorders>
            <w:shd w:val="clear" w:color="auto" w:fill="auto"/>
            <w:vAlign w:val="center"/>
          </w:tcPr>
          <w:p w14:paraId="2ADD730B"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lang w:val="es-ES"/>
              </w:rPr>
              <w:t>M6 (15 WC%-180 C/N)</w:t>
            </w:r>
          </w:p>
        </w:tc>
        <w:tc>
          <w:tcPr>
            <w:tcW w:w="2227" w:type="dxa"/>
            <w:tcBorders>
              <w:top w:val="nil"/>
              <w:bottom w:val="nil"/>
            </w:tcBorders>
            <w:shd w:val="clear" w:color="auto" w:fill="auto"/>
            <w:vAlign w:val="center"/>
          </w:tcPr>
          <w:p w14:paraId="0C933DD9"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B6 (</w:t>
            </w:r>
            <w:proofErr w:type="spellStart"/>
            <w:r w:rsidRPr="00153186">
              <w:rPr>
                <w:rFonts w:ascii="Times New Roman" w:hAnsi="Times New Roman"/>
                <w:i/>
                <w:iCs/>
              </w:rPr>
              <w:t>Thalassia</w:t>
            </w:r>
            <w:proofErr w:type="spellEnd"/>
            <w:r w:rsidRPr="00153186">
              <w:rPr>
                <w:rFonts w:ascii="Times New Roman" w:hAnsi="Times New Roman"/>
                <w:i/>
                <w:iCs/>
              </w:rPr>
              <w:t xml:space="preserve"> </w:t>
            </w:r>
            <w:proofErr w:type="spellStart"/>
            <w:r w:rsidRPr="00153186">
              <w:rPr>
                <w:rFonts w:ascii="Times New Roman" w:hAnsi="Times New Roman"/>
                <w:i/>
                <w:iCs/>
              </w:rPr>
              <w:t>testudinum</w:t>
            </w:r>
            <w:proofErr w:type="spellEnd"/>
            <w:r w:rsidRPr="00153186">
              <w:rPr>
                <w:rFonts w:ascii="Times New Roman" w:hAnsi="Times New Roman"/>
              </w:rPr>
              <w:t>)</w:t>
            </w:r>
          </w:p>
        </w:tc>
      </w:tr>
      <w:tr w:rsidR="00996F4D" w:rsidRPr="00153186" w14:paraId="4D08A1D6" w14:textId="77777777" w:rsidTr="00996F4D">
        <w:trPr>
          <w:jc w:val="center"/>
        </w:trPr>
        <w:tc>
          <w:tcPr>
            <w:tcW w:w="2960" w:type="dxa"/>
            <w:tcBorders>
              <w:top w:val="single" w:sz="4" w:space="0" w:color="auto"/>
              <w:bottom w:val="nil"/>
            </w:tcBorders>
            <w:shd w:val="clear" w:color="auto" w:fill="auto"/>
            <w:vAlign w:val="center"/>
            <w:hideMark/>
          </w:tcPr>
          <w:p w14:paraId="476B8604"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 xml:space="preserve">Factor 2-Time </w:t>
            </w:r>
          </w:p>
          <w:p w14:paraId="03013574"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(5 levels)</w:t>
            </w:r>
          </w:p>
        </w:tc>
        <w:tc>
          <w:tcPr>
            <w:tcW w:w="2579" w:type="dxa"/>
            <w:tcBorders>
              <w:top w:val="single" w:sz="4" w:space="0" w:color="auto"/>
              <w:bottom w:val="nil"/>
            </w:tcBorders>
            <w:shd w:val="clear" w:color="auto" w:fill="auto"/>
            <w:vAlign w:val="center"/>
            <w:hideMark/>
          </w:tcPr>
          <w:p w14:paraId="606C4921"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0</w:t>
            </w:r>
          </w:p>
          <w:p w14:paraId="353E545A"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15 days</w:t>
            </w:r>
          </w:p>
          <w:p w14:paraId="3336D79D"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70 days</w:t>
            </w:r>
          </w:p>
          <w:p w14:paraId="59FA707C"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112 days</w:t>
            </w:r>
          </w:p>
          <w:p w14:paraId="77BA25B4"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131 days</w:t>
            </w:r>
          </w:p>
        </w:tc>
        <w:tc>
          <w:tcPr>
            <w:tcW w:w="2227" w:type="dxa"/>
            <w:tcBorders>
              <w:top w:val="single" w:sz="4" w:space="0" w:color="auto"/>
              <w:bottom w:val="nil"/>
            </w:tcBorders>
            <w:shd w:val="clear" w:color="auto" w:fill="auto"/>
            <w:vAlign w:val="center"/>
            <w:hideMark/>
          </w:tcPr>
          <w:p w14:paraId="3B45505E"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0</w:t>
            </w:r>
          </w:p>
          <w:p w14:paraId="6D29083A"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60 days</w:t>
            </w:r>
          </w:p>
          <w:p w14:paraId="5A2D905B"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90 days</w:t>
            </w:r>
          </w:p>
          <w:p w14:paraId="2107D37E"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150 days</w:t>
            </w:r>
          </w:p>
          <w:p w14:paraId="444959D9"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240 days</w:t>
            </w:r>
          </w:p>
        </w:tc>
      </w:tr>
      <w:tr w:rsidR="00996F4D" w:rsidRPr="00153186" w14:paraId="46B0F84C" w14:textId="77777777" w:rsidTr="00996F4D">
        <w:trPr>
          <w:jc w:val="center"/>
        </w:trPr>
        <w:tc>
          <w:tcPr>
            <w:tcW w:w="2960" w:type="dxa"/>
            <w:tcBorders>
              <w:top w:val="single" w:sz="4" w:space="0" w:color="auto"/>
              <w:bottom w:val="single" w:sz="4" w:space="0" w:color="auto"/>
            </w:tcBorders>
            <w:shd w:val="clear" w:color="auto" w:fill="auto"/>
            <w:vAlign w:val="center"/>
          </w:tcPr>
          <w:p w14:paraId="5F357DEF"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Mass</w:t>
            </w:r>
          </w:p>
        </w:tc>
        <w:tc>
          <w:tcPr>
            <w:tcW w:w="2579" w:type="dxa"/>
            <w:tcBorders>
              <w:top w:val="single" w:sz="4" w:space="0" w:color="auto"/>
              <w:bottom w:val="single" w:sz="4" w:space="0" w:color="auto"/>
            </w:tcBorders>
            <w:shd w:val="clear" w:color="auto" w:fill="auto"/>
            <w:vAlign w:val="center"/>
          </w:tcPr>
          <w:p w14:paraId="222D28F2"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200 g</w:t>
            </w:r>
          </w:p>
        </w:tc>
        <w:tc>
          <w:tcPr>
            <w:tcW w:w="2227" w:type="dxa"/>
            <w:tcBorders>
              <w:top w:val="single" w:sz="4" w:space="0" w:color="auto"/>
              <w:bottom w:val="single" w:sz="4" w:space="0" w:color="auto"/>
            </w:tcBorders>
            <w:shd w:val="clear" w:color="auto" w:fill="auto"/>
            <w:vAlign w:val="center"/>
          </w:tcPr>
          <w:p w14:paraId="39888DB4"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38 kg</w:t>
            </w:r>
          </w:p>
        </w:tc>
      </w:tr>
      <w:tr w:rsidR="00996F4D" w:rsidRPr="00153186" w14:paraId="5C8B3FB6" w14:textId="77777777" w:rsidTr="00996F4D">
        <w:trPr>
          <w:jc w:val="center"/>
        </w:trPr>
        <w:tc>
          <w:tcPr>
            <w:tcW w:w="2960" w:type="dxa"/>
            <w:tcBorders>
              <w:top w:val="single" w:sz="4" w:space="0" w:color="auto"/>
              <w:bottom w:val="single" w:sz="4" w:space="0" w:color="auto"/>
            </w:tcBorders>
            <w:shd w:val="clear" w:color="auto" w:fill="auto"/>
            <w:vAlign w:val="center"/>
          </w:tcPr>
          <w:p w14:paraId="0E326782"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Pollutant</w:t>
            </w:r>
          </w:p>
        </w:tc>
        <w:tc>
          <w:tcPr>
            <w:tcW w:w="2579" w:type="dxa"/>
            <w:tcBorders>
              <w:top w:val="single" w:sz="4" w:space="0" w:color="auto"/>
              <w:bottom w:val="single" w:sz="4" w:space="0" w:color="auto"/>
            </w:tcBorders>
            <w:shd w:val="clear" w:color="auto" w:fill="auto"/>
            <w:vAlign w:val="center"/>
          </w:tcPr>
          <w:p w14:paraId="3EB9AF48"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Diesel oil</w:t>
            </w:r>
          </w:p>
        </w:tc>
        <w:tc>
          <w:tcPr>
            <w:tcW w:w="2227" w:type="dxa"/>
            <w:tcBorders>
              <w:top w:val="single" w:sz="4" w:space="0" w:color="auto"/>
              <w:bottom w:val="single" w:sz="4" w:space="0" w:color="auto"/>
            </w:tcBorders>
            <w:shd w:val="clear" w:color="auto" w:fill="auto"/>
            <w:vAlign w:val="center"/>
          </w:tcPr>
          <w:p w14:paraId="74863AD0"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Oily Sludge</w:t>
            </w:r>
          </w:p>
        </w:tc>
      </w:tr>
      <w:tr w:rsidR="00996F4D" w:rsidRPr="00153186" w14:paraId="66F1174E" w14:textId="77777777" w:rsidTr="00996F4D">
        <w:trPr>
          <w:jc w:val="center"/>
        </w:trPr>
        <w:tc>
          <w:tcPr>
            <w:tcW w:w="2960" w:type="dxa"/>
            <w:tcBorders>
              <w:top w:val="single" w:sz="4" w:space="0" w:color="auto"/>
              <w:bottom w:val="single" w:sz="4" w:space="0" w:color="auto"/>
            </w:tcBorders>
            <w:shd w:val="clear" w:color="auto" w:fill="auto"/>
            <w:vAlign w:val="center"/>
          </w:tcPr>
          <w:p w14:paraId="65181696"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Water content (WC%)</w:t>
            </w:r>
          </w:p>
        </w:tc>
        <w:tc>
          <w:tcPr>
            <w:tcW w:w="2579" w:type="dxa"/>
            <w:tcBorders>
              <w:top w:val="single" w:sz="4" w:space="0" w:color="auto"/>
              <w:bottom w:val="single" w:sz="4" w:space="0" w:color="auto"/>
            </w:tcBorders>
            <w:shd w:val="clear" w:color="auto" w:fill="auto"/>
            <w:vAlign w:val="center"/>
          </w:tcPr>
          <w:p w14:paraId="682760CA"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8%</w:t>
            </w:r>
          </w:p>
          <w:p w14:paraId="49B91F97"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12%</w:t>
            </w:r>
          </w:p>
          <w:p w14:paraId="5DFDC782"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15%</w:t>
            </w:r>
          </w:p>
        </w:tc>
        <w:tc>
          <w:tcPr>
            <w:tcW w:w="2227" w:type="dxa"/>
            <w:tcBorders>
              <w:top w:val="single" w:sz="4" w:space="0" w:color="auto"/>
              <w:bottom w:val="single" w:sz="4" w:space="0" w:color="auto"/>
            </w:tcBorders>
            <w:shd w:val="clear" w:color="auto" w:fill="auto"/>
            <w:vAlign w:val="center"/>
          </w:tcPr>
          <w:p w14:paraId="6BDBB664"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20%</w:t>
            </w:r>
          </w:p>
        </w:tc>
      </w:tr>
      <w:tr w:rsidR="00996F4D" w:rsidRPr="00153186" w14:paraId="234546DF" w14:textId="77777777" w:rsidTr="00996F4D">
        <w:trPr>
          <w:jc w:val="center"/>
        </w:trPr>
        <w:tc>
          <w:tcPr>
            <w:tcW w:w="2960" w:type="dxa"/>
            <w:tcBorders>
              <w:top w:val="single" w:sz="4" w:space="0" w:color="auto"/>
              <w:bottom w:val="single" w:sz="4" w:space="0" w:color="auto"/>
            </w:tcBorders>
            <w:shd w:val="clear" w:color="auto" w:fill="auto"/>
            <w:vAlign w:val="center"/>
          </w:tcPr>
          <w:p w14:paraId="4A180AA4"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Carbon to nitrogen ratio (C/N)</w:t>
            </w:r>
          </w:p>
        </w:tc>
        <w:tc>
          <w:tcPr>
            <w:tcW w:w="2579" w:type="dxa"/>
            <w:tcBorders>
              <w:top w:val="single" w:sz="4" w:space="0" w:color="auto"/>
              <w:bottom w:val="single" w:sz="4" w:space="0" w:color="auto"/>
            </w:tcBorders>
            <w:shd w:val="clear" w:color="auto" w:fill="auto"/>
            <w:vAlign w:val="center"/>
          </w:tcPr>
          <w:p w14:paraId="175D005C" w14:textId="77777777" w:rsidR="00996F4D" w:rsidRPr="00153186" w:rsidRDefault="00996F4D" w:rsidP="00707F55">
            <w:pPr>
              <w:pStyle w:val="MDPI42tablebody"/>
              <w:spacing w:line="240" w:lineRule="auto"/>
              <w:rPr>
                <w:rFonts w:ascii="Times New Roman" w:hAnsi="Times New Roman"/>
              </w:rPr>
            </w:pPr>
            <w:bookmarkStart w:id="0" w:name="_Hlk93658107"/>
            <w:r w:rsidRPr="00153186">
              <w:rPr>
                <w:rFonts w:ascii="Times New Roman" w:hAnsi="Times New Roman"/>
              </w:rPr>
              <w:t>60</w:t>
            </w:r>
          </w:p>
          <w:p w14:paraId="65E38789"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120</w:t>
            </w:r>
          </w:p>
          <w:p w14:paraId="64D382DC"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180</w:t>
            </w:r>
          </w:p>
          <w:p w14:paraId="215027F0"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300</w:t>
            </w:r>
            <w:bookmarkEnd w:id="0"/>
          </w:p>
        </w:tc>
        <w:tc>
          <w:tcPr>
            <w:tcW w:w="2227" w:type="dxa"/>
            <w:tcBorders>
              <w:top w:val="single" w:sz="4" w:space="0" w:color="auto"/>
              <w:bottom w:val="single" w:sz="4" w:space="0" w:color="auto"/>
            </w:tcBorders>
            <w:shd w:val="clear" w:color="auto" w:fill="auto"/>
            <w:vAlign w:val="center"/>
          </w:tcPr>
          <w:p w14:paraId="1B18D8E3"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10</w:t>
            </w:r>
          </w:p>
        </w:tc>
      </w:tr>
      <w:tr w:rsidR="00996F4D" w:rsidRPr="00153186" w14:paraId="3CFBD85D" w14:textId="77777777" w:rsidTr="00996F4D">
        <w:trPr>
          <w:jc w:val="center"/>
        </w:trPr>
        <w:tc>
          <w:tcPr>
            <w:tcW w:w="2960" w:type="dxa"/>
            <w:tcBorders>
              <w:top w:val="single" w:sz="4" w:space="0" w:color="auto"/>
              <w:bottom w:val="single" w:sz="4" w:space="0" w:color="auto"/>
            </w:tcBorders>
            <w:shd w:val="clear" w:color="auto" w:fill="auto"/>
            <w:vAlign w:val="center"/>
          </w:tcPr>
          <w:p w14:paraId="33BC9AA6"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Kind of soil</w:t>
            </w:r>
          </w:p>
        </w:tc>
        <w:tc>
          <w:tcPr>
            <w:tcW w:w="2579" w:type="dxa"/>
            <w:tcBorders>
              <w:top w:val="single" w:sz="4" w:space="0" w:color="auto"/>
              <w:bottom w:val="single" w:sz="4" w:space="0" w:color="auto"/>
            </w:tcBorders>
            <w:shd w:val="clear" w:color="auto" w:fill="auto"/>
            <w:vAlign w:val="center"/>
          </w:tcPr>
          <w:p w14:paraId="6585B0A3"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Sandy soil</w:t>
            </w:r>
          </w:p>
        </w:tc>
        <w:tc>
          <w:tcPr>
            <w:tcW w:w="2227" w:type="dxa"/>
            <w:tcBorders>
              <w:top w:val="single" w:sz="4" w:space="0" w:color="auto"/>
              <w:bottom w:val="single" w:sz="4" w:space="0" w:color="auto"/>
            </w:tcBorders>
            <w:shd w:val="clear" w:color="auto" w:fill="auto"/>
            <w:vAlign w:val="center"/>
          </w:tcPr>
          <w:p w14:paraId="54D6515A"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Sandy soil</w:t>
            </w:r>
          </w:p>
        </w:tc>
      </w:tr>
      <w:tr w:rsidR="00996F4D" w:rsidRPr="00153186" w14:paraId="75D4F120" w14:textId="77777777" w:rsidTr="00996F4D">
        <w:trPr>
          <w:jc w:val="center"/>
        </w:trPr>
        <w:tc>
          <w:tcPr>
            <w:tcW w:w="2960" w:type="dxa"/>
            <w:tcBorders>
              <w:top w:val="single" w:sz="4" w:space="0" w:color="auto"/>
              <w:bottom w:val="single" w:sz="4" w:space="0" w:color="auto"/>
            </w:tcBorders>
            <w:shd w:val="clear" w:color="auto" w:fill="auto"/>
            <w:vAlign w:val="center"/>
          </w:tcPr>
          <w:p w14:paraId="24A84C7E"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pH</w:t>
            </w:r>
          </w:p>
        </w:tc>
        <w:tc>
          <w:tcPr>
            <w:tcW w:w="2579" w:type="dxa"/>
            <w:tcBorders>
              <w:top w:val="single" w:sz="4" w:space="0" w:color="auto"/>
              <w:bottom w:val="single" w:sz="4" w:space="0" w:color="auto"/>
            </w:tcBorders>
            <w:shd w:val="clear" w:color="auto" w:fill="auto"/>
            <w:vAlign w:val="center"/>
          </w:tcPr>
          <w:p w14:paraId="678B360B"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6-8</w:t>
            </w:r>
          </w:p>
        </w:tc>
        <w:tc>
          <w:tcPr>
            <w:tcW w:w="2227" w:type="dxa"/>
            <w:tcBorders>
              <w:top w:val="single" w:sz="4" w:space="0" w:color="auto"/>
              <w:bottom w:val="single" w:sz="4" w:space="0" w:color="auto"/>
            </w:tcBorders>
            <w:shd w:val="clear" w:color="auto" w:fill="auto"/>
            <w:vAlign w:val="center"/>
          </w:tcPr>
          <w:p w14:paraId="62A52DA5" w14:textId="77777777" w:rsidR="00996F4D" w:rsidRPr="00153186" w:rsidRDefault="00996F4D" w:rsidP="00707F55">
            <w:pPr>
              <w:pStyle w:val="MDPI42tablebody"/>
              <w:spacing w:line="240" w:lineRule="auto"/>
              <w:rPr>
                <w:rFonts w:ascii="Times New Roman" w:hAnsi="Times New Roman"/>
              </w:rPr>
            </w:pPr>
            <w:r w:rsidRPr="00153186">
              <w:rPr>
                <w:rFonts w:ascii="Times New Roman" w:hAnsi="Times New Roman"/>
              </w:rPr>
              <w:t>6-8</w:t>
            </w:r>
          </w:p>
        </w:tc>
      </w:tr>
    </w:tbl>
    <w:p w14:paraId="0528A46E" w14:textId="114AE1AD" w:rsidR="00DA51A3" w:rsidRPr="00466FFD" w:rsidRDefault="00DA51A3" w:rsidP="00402761">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54253724" w14:textId="45958828" w:rsidR="00007226" w:rsidRPr="00007226" w:rsidRDefault="00007226" w:rsidP="00007226">
      <w:pPr>
        <w:rPr>
          <w:rFonts w:ascii="Times New Roman" w:eastAsia="MS PGothic" w:hAnsi="Times New Roman"/>
          <w:lang w:val="en-US"/>
        </w:rPr>
      </w:pPr>
      <w:r w:rsidRPr="00007226">
        <w:rPr>
          <w:rFonts w:ascii="Times New Roman" w:eastAsia="MS PGothic" w:hAnsi="Times New Roman"/>
          <w:lang w:val="en-US"/>
        </w:rPr>
        <w:t xml:space="preserve">Since </w:t>
      </w:r>
      <w:r w:rsidR="00B24AE1">
        <w:rPr>
          <w:rFonts w:ascii="Times New Roman" w:eastAsia="MS PGothic" w:hAnsi="Times New Roman"/>
          <w:lang w:val="en-US"/>
        </w:rPr>
        <w:t xml:space="preserve">the categorical multifactor was used under the hypothesis </w:t>
      </w:r>
      <w:r w:rsidR="00D029C0">
        <w:rPr>
          <w:rFonts w:ascii="Times New Roman" w:eastAsia="MS PGothic" w:hAnsi="Times New Roman"/>
          <w:lang w:val="en-US"/>
        </w:rPr>
        <w:t xml:space="preserve">that </w:t>
      </w:r>
      <w:r w:rsidRPr="00007226">
        <w:rPr>
          <w:rFonts w:ascii="Times New Roman" w:eastAsia="MS PGothic" w:hAnsi="Times New Roman"/>
          <w:lang w:val="en-US"/>
        </w:rPr>
        <w:t xml:space="preserve">different </w:t>
      </w:r>
      <w:r w:rsidR="00D029C0">
        <w:rPr>
          <w:rFonts w:ascii="Times New Roman" w:eastAsia="MS PGothic" w:hAnsi="Times New Roman"/>
          <w:lang w:val="en-US"/>
        </w:rPr>
        <w:t>interaction</w:t>
      </w:r>
      <w:r w:rsidRPr="00007226">
        <w:rPr>
          <w:rFonts w:ascii="Times New Roman" w:eastAsia="MS PGothic" w:hAnsi="Times New Roman"/>
          <w:lang w:val="en-US"/>
        </w:rPr>
        <w:t xml:space="preserve"> </w:t>
      </w:r>
      <w:r w:rsidR="00D029C0">
        <w:rPr>
          <w:rFonts w:ascii="Times New Roman" w:eastAsia="MS PGothic" w:hAnsi="Times New Roman"/>
          <w:lang w:val="en-US"/>
        </w:rPr>
        <w:t>between</w:t>
      </w:r>
      <w:r w:rsidRPr="00007226">
        <w:rPr>
          <w:rFonts w:ascii="Times New Roman" w:eastAsia="MS PGothic" w:hAnsi="Times New Roman"/>
          <w:lang w:val="en-US"/>
        </w:rPr>
        <w:t xml:space="preserve"> </w:t>
      </w:r>
      <w:r>
        <w:rPr>
          <w:rFonts w:ascii="Times New Roman" w:eastAsia="MS PGothic" w:hAnsi="Times New Roman"/>
          <w:lang w:val="en-US"/>
        </w:rPr>
        <w:t>factors</w:t>
      </w:r>
      <w:r w:rsidR="00B24AE1">
        <w:rPr>
          <w:rFonts w:ascii="Times New Roman" w:eastAsia="MS PGothic" w:hAnsi="Times New Roman"/>
          <w:lang w:val="en-US"/>
        </w:rPr>
        <w:t xml:space="preserve"> could</w:t>
      </w:r>
      <w:r w:rsidRPr="00007226">
        <w:rPr>
          <w:rFonts w:ascii="Times New Roman" w:eastAsia="MS PGothic" w:hAnsi="Times New Roman"/>
          <w:lang w:val="en-US"/>
        </w:rPr>
        <w:t xml:space="preserve"> influence the removal of the hydrocarbons, it is of interest to know which combination of treatment and time would ensure better results for any process period. Figure </w:t>
      </w:r>
      <w:r w:rsidR="00D029C0">
        <w:rPr>
          <w:rFonts w:ascii="Times New Roman" w:eastAsia="MS PGothic" w:hAnsi="Times New Roman"/>
          <w:lang w:val="en-US"/>
        </w:rPr>
        <w:t>1</w:t>
      </w:r>
      <w:r w:rsidRPr="00007226">
        <w:rPr>
          <w:rFonts w:ascii="Times New Roman" w:eastAsia="MS PGothic" w:hAnsi="Times New Roman"/>
          <w:lang w:val="en-US"/>
        </w:rPr>
        <w:t xml:space="preserve"> shows the interactions</w:t>
      </w:r>
      <w:r w:rsidR="00D029C0">
        <w:rPr>
          <w:rFonts w:ascii="Times New Roman" w:eastAsia="MS PGothic" w:hAnsi="Times New Roman"/>
          <w:lang w:val="en-US"/>
        </w:rPr>
        <w:t xml:space="preserve"> plots</w:t>
      </w:r>
      <w:r w:rsidRPr="00007226">
        <w:rPr>
          <w:rFonts w:ascii="Times New Roman" w:eastAsia="MS PGothic" w:hAnsi="Times New Roman"/>
          <w:lang w:val="en-US"/>
        </w:rPr>
        <w:t xml:space="preserve"> of both factors</w:t>
      </w:r>
      <w:r w:rsidR="00461B9F">
        <w:rPr>
          <w:rFonts w:ascii="Times New Roman" w:eastAsia="MS PGothic" w:hAnsi="Times New Roman"/>
          <w:lang w:val="en-US"/>
        </w:rPr>
        <w:t xml:space="preserve"> in each </w:t>
      </w:r>
      <w:proofErr w:type="gramStart"/>
      <w:r w:rsidR="00461B9F">
        <w:rPr>
          <w:rFonts w:ascii="Times New Roman" w:eastAsia="MS PGothic" w:hAnsi="Times New Roman"/>
          <w:lang w:val="en-US"/>
        </w:rPr>
        <w:t>experiments</w:t>
      </w:r>
      <w:proofErr w:type="gramEnd"/>
      <w:r w:rsidR="00461B9F">
        <w:rPr>
          <w:rFonts w:ascii="Times New Roman" w:eastAsia="MS PGothic" w:hAnsi="Times New Roman"/>
          <w:lang w:val="en-US"/>
        </w:rPr>
        <w:t>.</w:t>
      </w:r>
    </w:p>
    <w:p w14:paraId="76C8CD8E" w14:textId="6BB8C5EF" w:rsidR="00BA7F54" w:rsidRDefault="00BA7F54" w:rsidP="00BA7F54">
      <w:pPr>
        <w:spacing w:line="360" w:lineRule="auto"/>
        <w:jc w:val="center"/>
        <w:rPr>
          <w:rFonts w:cs="Arial"/>
          <w:szCs w:val="18"/>
        </w:rPr>
      </w:pPr>
      <w:r>
        <w:rPr>
          <w:b/>
          <w:noProof/>
        </w:rPr>
        <w:drawing>
          <wp:inline distT="0" distB="0" distL="0" distR="0" wp14:anchorId="3A1346F8" wp14:editId="5C35D424">
            <wp:extent cx="2977872" cy="1462405"/>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extLst>
                        <a:ext uri="{28A0092B-C50C-407E-A947-70E740481C1C}">
                          <a14:useLocalDpi xmlns:a14="http://schemas.microsoft.com/office/drawing/2010/main" val="0"/>
                        </a:ext>
                      </a:extLst>
                    </a:blip>
                    <a:srcRect l="15829" t="19626" r="16463" b="15358"/>
                    <a:stretch>
                      <a:fillRect/>
                    </a:stretch>
                  </pic:blipFill>
                  <pic:spPr bwMode="auto">
                    <a:xfrm>
                      <a:off x="0" y="0"/>
                      <a:ext cx="2977872" cy="1462405"/>
                    </a:xfrm>
                    <a:prstGeom prst="rect">
                      <a:avLst/>
                    </a:prstGeom>
                    <a:noFill/>
                    <a:ln>
                      <a:noFill/>
                    </a:ln>
                  </pic:spPr>
                </pic:pic>
              </a:graphicData>
            </a:graphic>
          </wp:inline>
        </w:drawing>
      </w:r>
      <w:r>
        <w:rPr>
          <w:noProof/>
        </w:rPr>
        <w:drawing>
          <wp:inline distT="0" distB="0" distL="0" distR="0" wp14:anchorId="1096730F" wp14:editId="12301BB6">
            <wp:extent cx="3039110" cy="1479510"/>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809" t="17805" r="15335" b="15112"/>
                    <a:stretch/>
                  </pic:blipFill>
                  <pic:spPr bwMode="auto">
                    <a:xfrm>
                      <a:off x="0" y="0"/>
                      <a:ext cx="3039110" cy="1479510"/>
                    </a:xfrm>
                    <a:prstGeom prst="rect">
                      <a:avLst/>
                    </a:prstGeom>
                    <a:noFill/>
                    <a:ln>
                      <a:noFill/>
                    </a:ln>
                    <a:extLst>
                      <a:ext uri="{53640926-AAD7-44D8-BBD7-CCE9431645EC}">
                        <a14:shadowObscured xmlns:a14="http://schemas.microsoft.com/office/drawing/2010/main"/>
                      </a:ext>
                    </a:extLst>
                  </pic:spPr>
                </pic:pic>
              </a:graphicData>
            </a:graphic>
          </wp:inline>
        </w:drawing>
      </w:r>
    </w:p>
    <w:p w14:paraId="2CEA8973" w14:textId="5D45AD49" w:rsidR="00DA51A3" w:rsidRPr="00466FFD" w:rsidRDefault="00DA51A3" w:rsidP="00DA51A3">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Figure 1</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sidR="00F90F58" w:rsidRPr="00F90F58">
        <w:rPr>
          <w:rFonts w:ascii="Times New Roman" w:eastAsia="MS PGothic" w:hAnsi="Times New Roman"/>
          <w:szCs w:val="18"/>
          <w:lang w:val="en-US"/>
        </w:rPr>
        <w:t>Interaction plot for the factors. a) test M b) Test B</w:t>
      </w:r>
      <w:r w:rsidRPr="00466FFD">
        <w:rPr>
          <w:rFonts w:ascii="Times New Roman" w:eastAsia="MS PGothic" w:hAnsi="Times New Roman"/>
          <w:szCs w:val="18"/>
          <w:lang w:val="en-US"/>
        </w:rPr>
        <w:t>.</w:t>
      </w:r>
    </w:p>
    <w:p w14:paraId="5838D431" w14:textId="6276A290" w:rsidR="006F7C0F" w:rsidRDefault="006F7C0F" w:rsidP="00153186">
      <w:pPr>
        <w:snapToGrid w:val="0"/>
        <w:spacing w:before="240" w:after="120" w:line="300" w:lineRule="auto"/>
        <w:jc w:val="both"/>
        <w:rPr>
          <w:rFonts w:ascii="Times New Roman" w:hAnsi="Times New Roman"/>
          <w:lang w:val="en-US"/>
        </w:rPr>
      </w:pPr>
      <w:r w:rsidRPr="006F7C0F">
        <w:rPr>
          <w:rFonts w:ascii="Times New Roman" w:hAnsi="Times New Roman"/>
          <w:lang w:val="en-US"/>
        </w:rPr>
        <w:lastRenderedPageBreak/>
        <w:t xml:space="preserve">The lines in Figure 1 on both the left (a) and the right one (b) represents the interaction effect between the </w:t>
      </w:r>
      <w:r w:rsidR="00F9048D">
        <w:rPr>
          <w:rFonts w:ascii="Times New Roman" w:hAnsi="Times New Roman"/>
          <w:lang w:val="en-US"/>
        </w:rPr>
        <w:t xml:space="preserve">significative </w:t>
      </w:r>
      <w:r w:rsidRPr="006F7C0F">
        <w:rPr>
          <w:rFonts w:ascii="Times New Roman" w:hAnsi="Times New Roman"/>
          <w:lang w:val="en-US"/>
        </w:rPr>
        <w:t xml:space="preserve">factors obtained in the Analysis of Variance (P-value= 0.000 for test M; P-value= 0.0012 for test B) and indicates that during the process, some treatments alternated their order of degradation. </w:t>
      </w:r>
    </w:p>
    <w:p w14:paraId="012612C2" w14:textId="4468F3D0" w:rsidR="001924D1" w:rsidRPr="001924D1" w:rsidRDefault="001924D1" w:rsidP="001924D1">
      <w:pPr>
        <w:snapToGrid w:val="0"/>
        <w:spacing w:after="120" w:line="300" w:lineRule="auto"/>
        <w:jc w:val="both"/>
        <w:rPr>
          <w:rFonts w:ascii="Times New Roman" w:hAnsi="Times New Roman"/>
          <w:lang w:val="en-US"/>
        </w:rPr>
      </w:pPr>
      <w:r w:rsidRPr="001924D1">
        <w:rPr>
          <w:rFonts w:ascii="Times New Roman" w:hAnsi="Times New Roman"/>
          <w:lang w:val="en-US"/>
        </w:rPr>
        <w:t>Specifically, in test M, the Treatment M1 (8 WC%-120 C/N) had the lowest TPH concentration at each level of time after the first 15 days. Likewise, after 71 days M3 (12 WC%-120 C/N) was ranked second with lower TPH concentration, suggesting not only the best degradation of the treatments with the less C/N ratio but also the influence of water content in the first period of the run. These findings are consistent with the previous ones modelled by Raffa et al. [</w:t>
      </w:r>
      <w:r w:rsidR="0018628F">
        <w:rPr>
          <w:rFonts w:ascii="Times New Roman" w:hAnsi="Times New Roman"/>
          <w:lang w:val="en-US"/>
        </w:rPr>
        <w:t>2</w:t>
      </w:r>
      <w:r w:rsidRPr="001924D1">
        <w:rPr>
          <w:rFonts w:ascii="Times New Roman" w:hAnsi="Times New Roman"/>
          <w:lang w:val="en-US"/>
        </w:rPr>
        <w:t xml:space="preserve">] using an RSM model, confirming the accurateness of the </w:t>
      </w:r>
      <w:r w:rsidR="0018628F">
        <w:rPr>
          <w:rFonts w:ascii="Times New Roman" w:hAnsi="Times New Roman"/>
          <w:lang w:val="en-US"/>
        </w:rPr>
        <w:t xml:space="preserve">categorical multifactor </w:t>
      </w:r>
      <w:r w:rsidR="00306495">
        <w:rPr>
          <w:rFonts w:ascii="Times New Roman" w:hAnsi="Times New Roman"/>
          <w:lang w:val="en-US"/>
        </w:rPr>
        <w:t>design</w:t>
      </w:r>
      <w:r w:rsidRPr="001924D1">
        <w:rPr>
          <w:rFonts w:ascii="Times New Roman" w:hAnsi="Times New Roman"/>
          <w:lang w:val="en-US"/>
        </w:rPr>
        <w:t xml:space="preserve">. </w:t>
      </w:r>
      <w:r w:rsidR="006237E5">
        <w:rPr>
          <w:rFonts w:ascii="Times New Roman" w:hAnsi="Times New Roman"/>
          <w:lang w:val="en-US"/>
        </w:rPr>
        <w:t>A</w:t>
      </w:r>
      <w:r w:rsidRPr="001924D1">
        <w:rPr>
          <w:rFonts w:ascii="Times New Roman" w:hAnsi="Times New Roman"/>
          <w:lang w:val="en-US"/>
        </w:rPr>
        <w:t xml:space="preserve">fter the third month, the TPH concentration decreasing was negligible for all treatments. This could represent a crucial issue to estimate the times for the </w:t>
      </w:r>
      <w:proofErr w:type="gramStart"/>
      <w:r w:rsidRPr="001924D1">
        <w:rPr>
          <w:rFonts w:ascii="Times New Roman" w:hAnsi="Times New Roman"/>
          <w:lang w:val="en-US"/>
        </w:rPr>
        <w:t>in situ</w:t>
      </w:r>
      <w:proofErr w:type="gramEnd"/>
      <w:r w:rsidRPr="001924D1">
        <w:rPr>
          <w:rFonts w:ascii="Times New Roman" w:hAnsi="Times New Roman"/>
          <w:lang w:val="en-US"/>
        </w:rPr>
        <w:t xml:space="preserve"> exploitation of the technology.</w:t>
      </w:r>
    </w:p>
    <w:p w14:paraId="7C476140" w14:textId="06FDF047" w:rsidR="001924D1" w:rsidRDefault="001924D1" w:rsidP="001924D1">
      <w:pPr>
        <w:snapToGrid w:val="0"/>
        <w:spacing w:after="120" w:line="300" w:lineRule="auto"/>
        <w:jc w:val="both"/>
        <w:rPr>
          <w:rFonts w:ascii="Times New Roman" w:hAnsi="Times New Roman"/>
          <w:lang w:val="en-US"/>
        </w:rPr>
      </w:pPr>
      <w:r w:rsidRPr="001924D1">
        <w:rPr>
          <w:rFonts w:ascii="Times New Roman" w:hAnsi="Times New Roman"/>
          <w:lang w:val="en-US"/>
        </w:rPr>
        <w:t>In test B, in all treatments, the TPH concentration decreased until 240 days, with removal percentages between 40% and 60%. The treatments order rank was B5, B6, B2, B1, B4, B3. Specifically, Treatment B5 (beef manure) was the one that reported the lowest TPH concentrations at 240 days, keeping this trend after 60 days. The means obtained for B5 presented marked statistical differences with the rest of the treatment. In contrast, B3 (sawdust) presented the worst TPH removal, keeping this trend after the 60 days. Despite the rank order, the TPH means of B6, B2 and B1 do not present significative differences</w:t>
      </w:r>
      <w:r w:rsidR="006237E5">
        <w:rPr>
          <w:rFonts w:ascii="Times New Roman" w:hAnsi="Times New Roman"/>
          <w:lang w:val="en-US"/>
        </w:rPr>
        <w:t xml:space="preserve"> among them</w:t>
      </w:r>
      <w:r w:rsidRPr="001924D1">
        <w:rPr>
          <w:rFonts w:ascii="Times New Roman" w:hAnsi="Times New Roman"/>
          <w:lang w:val="en-US"/>
        </w:rPr>
        <w:t xml:space="preserve"> for a 95% confidence level. Furthermore, the differences between the levels in the factor Time evidence the evolution in the degradation process.</w:t>
      </w:r>
    </w:p>
    <w:p w14:paraId="0DE817AB" w14:textId="6BEF5911"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5392D737" w14:textId="2C01FA2B" w:rsidR="002743AB" w:rsidRPr="002743AB" w:rsidRDefault="002743AB" w:rsidP="0060797B">
      <w:pPr>
        <w:snapToGrid w:val="0"/>
        <w:spacing w:after="120" w:line="300" w:lineRule="auto"/>
        <w:jc w:val="both"/>
        <w:rPr>
          <w:rFonts w:ascii="Times New Roman" w:eastAsia="MS PGothic" w:hAnsi="Times New Roman"/>
          <w:lang w:val="en-US"/>
        </w:rPr>
      </w:pPr>
      <w:r w:rsidRPr="002743AB">
        <w:rPr>
          <w:rFonts w:ascii="Times New Roman" w:eastAsia="MS PGothic" w:hAnsi="Times New Roman"/>
          <w:lang w:val="en-US"/>
        </w:rPr>
        <w:t xml:space="preserve">The </w:t>
      </w:r>
      <w:r w:rsidR="000109D9">
        <w:rPr>
          <w:rFonts w:ascii="Times New Roman" w:eastAsia="MS PGothic" w:hAnsi="Times New Roman"/>
          <w:lang w:val="en-US"/>
        </w:rPr>
        <w:t xml:space="preserve">categorical multifactor </w:t>
      </w:r>
      <w:r w:rsidRPr="002743AB">
        <w:rPr>
          <w:rFonts w:ascii="Times New Roman" w:eastAsia="MS PGothic" w:hAnsi="Times New Roman"/>
          <w:lang w:val="en-US"/>
        </w:rPr>
        <w:t xml:space="preserve">array based on categorical factors assessed at different levels demonstrated its applicability to studies done in different operative conditions. Particularly, we focused on a laboratory experiment and bench-scale test to evaluate the reliability of the proposed statistical method in testing the performance of </w:t>
      </w:r>
      <w:proofErr w:type="spellStart"/>
      <w:r w:rsidRPr="002743AB">
        <w:rPr>
          <w:rFonts w:ascii="Times New Roman" w:eastAsia="MS PGothic" w:hAnsi="Times New Roman"/>
          <w:lang w:val="en-US"/>
        </w:rPr>
        <w:t>biostimulation</w:t>
      </w:r>
      <w:proofErr w:type="spellEnd"/>
      <w:r w:rsidRPr="002743AB">
        <w:rPr>
          <w:rFonts w:ascii="Times New Roman" w:eastAsia="MS PGothic" w:hAnsi="Times New Roman"/>
          <w:lang w:val="en-US"/>
        </w:rPr>
        <w:t xml:space="preserve"> processes of contaminated soil, but the application is not limited to this kind of experiment or scales.</w:t>
      </w:r>
    </w:p>
    <w:p w14:paraId="180485F0" w14:textId="7C502BBE" w:rsidR="0060797B" w:rsidRDefault="002743AB" w:rsidP="0060797B">
      <w:pPr>
        <w:snapToGrid w:val="0"/>
        <w:spacing w:after="120" w:line="300" w:lineRule="auto"/>
        <w:jc w:val="both"/>
        <w:rPr>
          <w:rFonts w:ascii="Times New Roman" w:eastAsia="MS PGothic" w:hAnsi="Times New Roman"/>
          <w:lang w:val="en-US"/>
        </w:rPr>
      </w:pPr>
      <w:r w:rsidRPr="002743AB">
        <w:rPr>
          <w:rFonts w:ascii="Times New Roman" w:eastAsia="MS PGothic" w:hAnsi="Times New Roman"/>
          <w:lang w:val="en-US"/>
        </w:rPr>
        <w:t xml:space="preserve">The structured method implemented in this study enables the identification of the best candidate in microcosms polluted with diesel oil (combinations of water content and carbon to nitrogen ratio were assumed as treatments). Specifically, the treatment M1 (8 WC%-120 C/N) showed the best diesel oil removal. In the experimental runs on </w:t>
      </w:r>
      <w:proofErr w:type="spellStart"/>
      <w:r w:rsidRPr="002743AB">
        <w:rPr>
          <w:rFonts w:ascii="Times New Roman" w:eastAsia="MS PGothic" w:hAnsi="Times New Roman"/>
          <w:lang w:val="en-US"/>
        </w:rPr>
        <w:t>biopiles</w:t>
      </w:r>
      <w:proofErr w:type="spellEnd"/>
      <w:r w:rsidRPr="002743AB">
        <w:rPr>
          <w:rFonts w:ascii="Times New Roman" w:eastAsia="MS PGothic" w:hAnsi="Times New Roman"/>
          <w:lang w:val="en-US"/>
        </w:rPr>
        <w:t xml:space="preserve"> to bioremediate oily sludge supplementing different renewable organic wastes as treatments, the treatment B5 (</w:t>
      </w:r>
      <w:proofErr w:type="spellStart"/>
      <w:r w:rsidRPr="002743AB">
        <w:rPr>
          <w:rFonts w:ascii="Times New Roman" w:eastAsia="MS PGothic" w:hAnsi="Times New Roman"/>
          <w:lang w:val="en-US"/>
        </w:rPr>
        <w:t>biopile</w:t>
      </w:r>
      <w:proofErr w:type="spellEnd"/>
      <w:r w:rsidRPr="002743AB">
        <w:rPr>
          <w:rFonts w:ascii="Times New Roman" w:eastAsia="MS PGothic" w:hAnsi="Times New Roman"/>
          <w:lang w:val="en-US"/>
        </w:rPr>
        <w:t xml:space="preserve"> with beef manure as a bulking agent) showed the best hydrocarbons removal.</w:t>
      </w:r>
    </w:p>
    <w:p w14:paraId="1845F659" w14:textId="2DE3D238" w:rsidR="00DA51A3" w:rsidRPr="00466FFD" w:rsidRDefault="00DA51A3" w:rsidP="0060797B">
      <w:pPr>
        <w:snapToGrid w:val="0"/>
        <w:spacing w:before="240" w:line="300" w:lineRule="auto"/>
        <w:jc w:val="both"/>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1A829B5F" w14:textId="77777777" w:rsidR="00450D8B" w:rsidRPr="00532ACA" w:rsidRDefault="00450D8B" w:rsidP="00532ACA">
      <w:pPr>
        <w:pStyle w:val="FirstParagraph"/>
        <w:numPr>
          <w:ilvl w:val="0"/>
          <w:numId w:val="1"/>
        </w:numPr>
        <w:tabs>
          <w:tab w:val="left" w:pos="426"/>
        </w:tabs>
        <w:spacing w:line="240" w:lineRule="auto"/>
        <w:ind w:left="426" w:hanging="426"/>
        <w:rPr>
          <w:rFonts w:ascii="Times New Roman" w:hAnsi="Times New Roman"/>
        </w:rPr>
      </w:pPr>
      <w:r w:rsidRPr="00450D8B">
        <w:rPr>
          <w:rFonts w:ascii="Times New Roman" w:hAnsi="Times New Roman"/>
        </w:rPr>
        <w:t>J. Shahryar. Butterworth-Heinemann (Eds.), Chapter 3: Environmental Impacts of the Petroleum Industry. in: Petroleum Waste Treatment and Pollution Control, Elsevier Inc: Oxford, UK, 2017, Volume 3 pp. 86–115</w:t>
      </w:r>
      <w:r>
        <w:rPr>
          <w:rFonts w:ascii="Times New Roman" w:hAnsi="Times New Roman"/>
        </w:rPr>
        <w:t>.</w:t>
      </w:r>
    </w:p>
    <w:p w14:paraId="70A36B58" w14:textId="77777777" w:rsidR="00450D8B" w:rsidRPr="00450D8B" w:rsidRDefault="00D0310F" w:rsidP="00532ACA">
      <w:pPr>
        <w:pStyle w:val="FirstParagraph"/>
        <w:numPr>
          <w:ilvl w:val="0"/>
          <w:numId w:val="1"/>
        </w:numPr>
        <w:tabs>
          <w:tab w:val="left" w:pos="426"/>
        </w:tabs>
        <w:spacing w:line="240" w:lineRule="auto"/>
        <w:ind w:left="426" w:hanging="426"/>
        <w:rPr>
          <w:rFonts w:ascii="Times New Roman" w:hAnsi="Times New Roman"/>
        </w:rPr>
      </w:pPr>
      <w:r w:rsidRPr="00D67458">
        <w:rPr>
          <w:rFonts w:ascii="Times New Roman" w:hAnsi="Times New Roman"/>
          <w:lang w:val="it-IT"/>
        </w:rPr>
        <w:t>C.M. Raffa, F. Chiampo, A. GodioVergnano, F. Bosco, B. Ruffino.</w:t>
      </w:r>
      <w:r w:rsidR="00DA51A3" w:rsidRPr="00D67458">
        <w:rPr>
          <w:rFonts w:ascii="Times New Roman" w:hAnsi="Times New Roman"/>
          <w:lang w:val="it-IT"/>
        </w:rPr>
        <w:t xml:space="preserve"> </w:t>
      </w:r>
      <w:r w:rsidRPr="00450D8B">
        <w:rPr>
          <w:rFonts w:ascii="Times New Roman" w:hAnsi="Times New Roman"/>
        </w:rPr>
        <w:t>Kinetics and Optimization by Response Surface Methodology of Aerobic Bioremediation. Geoelectrical Parameter Monitoring.</w:t>
      </w:r>
      <w:r w:rsidR="00DA51A3" w:rsidRPr="00532ACA">
        <w:rPr>
          <w:rFonts w:ascii="Times New Roman" w:hAnsi="Times New Roman"/>
        </w:rPr>
        <w:t xml:space="preserve">, </w:t>
      </w:r>
      <w:r w:rsidR="00227D87" w:rsidRPr="00450D8B">
        <w:rPr>
          <w:rFonts w:ascii="Times New Roman" w:hAnsi="Times New Roman"/>
        </w:rPr>
        <w:t xml:space="preserve">Appl. </w:t>
      </w:r>
      <w:proofErr w:type="gramStart"/>
      <w:r w:rsidR="00227D87" w:rsidRPr="00450D8B">
        <w:rPr>
          <w:rFonts w:ascii="Times New Roman" w:hAnsi="Times New Roman"/>
        </w:rPr>
        <w:t>Sci.</w:t>
      </w:r>
      <w:r w:rsidR="00DA51A3" w:rsidRPr="00532ACA">
        <w:rPr>
          <w:rFonts w:ascii="Times New Roman" w:hAnsi="Times New Roman"/>
        </w:rPr>
        <w:t>.</w:t>
      </w:r>
      <w:proofErr w:type="gramEnd"/>
      <w:r w:rsidR="00DA51A3" w:rsidRPr="00532ACA">
        <w:rPr>
          <w:rFonts w:ascii="Times New Roman" w:hAnsi="Times New Roman"/>
        </w:rPr>
        <w:t xml:space="preserve"> </w:t>
      </w:r>
      <w:r w:rsidR="00227D87" w:rsidRPr="00532ACA">
        <w:rPr>
          <w:rFonts w:ascii="Times New Roman" w:hAnsi="Times New Roman"/>
        </w:rPr>
        <w:t>10, 405</w:t>
      </w:r>
      <w:r w:rsidR="00DA51A3" w:rsidRPr="00532ACA">
        <w:rPr>
          <w:rFonts w:ascii="Times New Roman" w:hAnsi="Times New Roman"/>
        </w:rPr>
        <w:t xml:space="preserve"> (20</w:t>
      </w:r>
      <w:r w:rsidR="00227D87" w:rsidRPr="00532ACA">
        <w:rPr>
          <w:rFonts w:ascii="Times New Roman" w:hAnsi="Times New Roman"/>
        </w:rPr>
        <w:t>20</w:t>
      </w:r>
      <w:r w:rsidR="00DA51A3" w:rsidRPr="00532ACA">
        <w:rPr>
          <w:rFonts w:ascii="Times New Roman" w:hAnsi="Times New Roman"/>
        </w:rPr>
        <w:t xml:space="preserve">) </w:t>
      </w:r>
      <w:r w:rsidR="00227D87" w:rsidRPr="00532ACA">
        <w:rPr>
          <w:rFonts w:ascii="Times New Roman" w:hAnsi="Times New Roman"/>
        </w:rPr>
        <w:t>1</w:t>
      </w:r>
      <w:r w:rsidR="00DA51A3" w:rsidRPr="00532ACA">
        <w:rPr>
          <w:rFonts w:ascii="Times New Roman" w:hAnsi="Times New Roman"/>
        </w:rPr>
        <w:t>–</w:t>
      </w:r>
      <w:r w:rsidR="00227D87" w:rsidRPr="00532ACA">
        <w:rPr>
          <w:rFonts w:ascii="Times New Roman" w:hAnsi="Times New Roman"/>
        </w:rPr>
        <w:t>21.</w:t>
      </w:r>
      <w:r w:rsidR="00DA51A3" w:rsidRPr="00532ACA">
        <w:rPr>
          <w:rFonts w:ascii="Times New Roman" w:hAnsi="Times New Roman"/>
        </w:rPr>
        <w:t xml:space="preserve"> </w:t>
      </w:r>
    </w:p>
    <w:p w14:paraId="2ADD1312" w14:textId="6150B7AE" w:rsidR="00993B98" w:rsidRPr="00450D8B" w:rsidRDefault="00F9572F" w:rsidP="00532ACA">
      <w:pPr>
        <w:pStyle w:val="FirstParagraph"/>
        <w:numPr>
          <w:ilvl w:val="0"/>
          <w:numId w:val="1"/>
        </w:numPr>
        <w:tabs>
          <w:tab w:val="left" w:pos="426"/>
        </w:tabs>
        <w:spacing w:line="240" w:lineRule="auto"/>
        <w:ind w:left="426" w:hanging="426"/>
        <w:rPr>
          <w:rFonts w:ascii="Times New Roman" w:hAnsi="Times New Roman"/>
        </w:rPr>
      </w:pPr>
      <w:r w:rsidRPr="00450D8B">
        <w:rPr>
          <w:rFonts w:ascii="Times New Roman" w:hAnsi="Times New Roman"/>
        </w:rPr>
        <w:t xml:space="preserve">O. </w:t>
      </w:r>
      <w:r w:rsidR="00993B98" w:rsidRPr="00450D8B">
        <w:rPr>
          <w:rFonts w:ascii="Times New Roman" w:hAnsi="Times New Roman"/>
        </w:rPr>
        <w:t xml:space="preserve">Gutiérrez, </w:t>
      </w:r>
      <w:r w:rsidRPr="00450D8B">
        <w:rPr>
          <w:rFonts w:ascii="Times New Roman" w:hAnsi="Times New Roman"/>
        </w:rPr>
        <w:t xml:space="preserve">D. </w:t>
      </w:r>
      <w:r w:rsidR="00993B98" w:rsidRPr="00450D8B">
        <w:rPr>
          <w:rFonts w:ascii="Times New Roman" w:hAnsi="Times New Roman"/>
        </w:rPr>
        <w:t xml:space="preserve">Castro, </w:t>
      </w:r>
      <w:r w:rsidRPr="00450D8B">
        <w:rPr>
          <w:rFonts w:ascii="Times New Roman" w:hAnsi="Times New Roman"/>
        </w:rPr>
        <w:t xml:space="preserve">O. </w:t>
      </w:r>
      <w:r w:rsidR="00993B98" w:rsidRPr="00450D8B">
        <w:rPr>
          <w:rFonts w:ascii="Times New Roman" w:hAnsi="Times New Roman"/>
        </w:rPr>
        <w:t xml:space="preserve">Viera, </w:t>
      </w:r>
      <w:r w:rsidRPr="00450D8B">
        <w:rPr>
          <w:rFonts w:ascii="Times New Roman" w:hAnsi="Times New Roman"/>
        </w:rPr>
        <w:t xml:space="preserve">E. </w:t>
      </w:r>
      <w:r w:rsidR="00993B98" w:rsidRPr="00450D8B">
        <w:rPr>
          <w:rFonts w:ascii="Times New Roman" w:hAnsi="Times New Roman"/>
        </w:rPr>
        <w:t xml:space="preserve">Casals, </w:t>
      </w:r>
      <w:r w:rsidRPr="00450D8B">
        <w:rPr>
          <w:rFonts w:ascii="Times New Roman" w:hAnsi="Times New Roman"/>
        </w:rPr>
        <w:t>D.</w:t>
      </w:r>
      <w:r w:rsidR="00993B98" w:rsidRPr="00450D8B">
        <w:rPr>
          <w:rFonts w:ascii="Times New Roman" w:hAnsi="Times New Roman"/>
        </w:rPr>
        <w:t xml:space="preserve"> </w:t>
      </w:r>
      <w:proofErr w:type="spellStart"/>
      <w:r w:rsidR="00993B98" w:rsidRPr="00450D8B">
        <w:rPr>
          <w:rFonts w:ascii="Times New Roman" w:hAnsi="Times New Roman"/>
        </w:rPr>
        <w:t>Rabassa</w:t>
      </w:r>
      <w:proofErr w:type="spellEnd"/>
      <w:r w:rsidR="00993B98" w:rsidRPr="00450D8B">
        <w:rPr>
          <w:rFonts w:ascii="Times New Roman" w:hAnsi="Times New Roman"/>
        </w:rPr>
        <w:t xml:space="preserve">, Kinetic of hydrocarbon degradation by </w:t>
      </w:r>
      <w:proofErr w:type="spellStart"/>
      <w:r w:rsidR="00993B98" w:rsidRPr="00450D8B">
        <w:rPr>
          <w:rFonts w:ascii="Times New Roman" w:hAnsi="Times New Roman"/>
        </w:rPr>
        <w:t>biopile</w:t>
      </w:r>
      <w:proofErr w:type="spellEnd"/>
      <w:r w:rsidR="00993B98" w:rsidRPr="00450D8B">
        <w:rPr>
          <w:rFonts w:ascii="Times New Roman" w:hAnsi="Times New Roman"/>
        </w:rPr>
        <w:t xml:space="preserve"> at a bench-scale (In Spanish). </w:t>
      </w:r>
      <w:proofErr w:type="spellStart"/>
      <w:r w:rsidR="00993B98" w:rsidRPr="00450D8B">
        <w:rPr>
          <w:rFonts w:ascii="Times New Roman" w:hAnsi="Times New Roman"/>
        </w:rPr>
        <w:t>Tecnología</w:t>
      </w:r>
      <w:proofErr w:type="spellEnd"/>
      <w:r w:rsidR="00993B98" w:rsidRPr="00450D8B">
        <w:rPr>
          <w:rFonts w:ascii="Times New Roman" w:hAnsi="Times New Roman"/>
        </w:rPr>
        <w:t xml:space="preserve"> </w:t>
      </w:r>
      <w:proofErr w:type="spellStart"/>
      <w:r w:rsidR="00993B98" w:rsidRPr="00450D8B">
        <w:rPr>
          <w:rFonts w:ascii="Times New Roman" w:hAnsi="Times New Roman"/>
        </w:rPr>
        <w:t>Química</w:t>
      </w:r>
      <w:proofErr w:type="spellEnd"/>
      <w:r w:rsidR="00993B98" w:rsidRPr="00450D8B">
        <w:rPr>
          <w:rFonts w:ascii="Times New Roman" w:hAnsi="Times New Roman"/>
        </w:rPr>
        <w:t>, 41</w:t>
      </w:r>
      <w:r w:rsidRPr="00450D8B">
        <w:rPr>
          <w:rFonts w:ascii="Times New Roman" w:hAnsi="Times New Roman"/>
        </w:rPr>
        <w:t xml:space="preserve">, </w:t>
      </w:r>
      <w:r w:rsidR="00993B98" w:rsidRPr="00450D8B">
        <w:rPr>
          <w:rFonts w:ascii="Times New Roman" w:hAnsi="Times New Roman"/>
        </w:rPr>
        <w:t>2,</w:t>
      </w:r>
      <w:r w:rsidR="00450D8B" w:rsidRPr="00450D8B">
        <w:rPr>
          <w:rFonts w:ascii="Times New Roman" w:hAnsi="Times New Roman"/>
        </w:rPr>
        <w:t xml:space="preserve"> (2021)</w:t>
      </w:r>
      <w:r w:rsidR="00993B98" w:rsidRPr="00450D8B">
        <w:rPr>
          <w:rFonts w:ascii="Times New Roman" w:hAnsi="Times New Roman"/>
        </w:rPr>
        <w:t xml:space="preserve"> 349-369. </w:t>
      </w:r>
    </w:p>
    <w:p w14:paraId="5A650773" w14:textId="574A0287" w:rsidR="005B71B2" w:rsidRPr="00DA51A3" w:rsidRDefault="005B71B2">
      <w:pPr>
        <w:rPr>
          <w:lang w:val="en-US"/>
        </w:rPr>
      </w:pPr>
    </w:p>
    <w:sectPr w:rsidR="005B71B2" w:rsidRPr="00DA51A3" w:rsidSect="001D0E0C">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57598" w14:textId="77777777" w:rsidR="00347493" w:rsidRDefault="00347493" w:rsidP="001D0E0C">
      <w:pPr>
        <w:spacing w:after="0" w:line="240" w:lineRule="auto"/>
      </w:pPr>
      <w:r>
        <w:separator/>
      </w:r>
    </w:p>
  </w:endnote>
  <w:endnote w:type="continuationSeparator" w:id="0">
    <w:p w14:paraId="64E0F80D" w14:textId="77777777" w:rsidR="00347493" w:rsidRDefault="00347493"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0F3D0" w14:textId="77777777" w:rsidR="00347493" w:rsidRDefault="00347493" w:rsidP="001D0E0C">
      <w:pPr>
        <w:spacing w:after="0" w:line="240" w:lineRule="auto"/>
      </w:pPr>
      <w:r>
        <w:separator/>
      </w:r>
    </w:p>
  </w:footnote>
  <w:footnote w:type="continuationSeparator" w:id="0">
    <w:p w14:paraId="632B035E" w14:textId="77777777" w:rsidR="00347493" w:rsidRDefault="00347493"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Encabezado"/>
      <w:jc w:val="center"/>
    </w:pPr>
    <w:r w:rsidRPr="005C2A12">
      <w:rPr>
        <w:b/>
        <w:i/>
        <w:color w:val="2E74B5" w:themeColor="accent5" w:themeShade="BF"/>
        <w:sz w:val="24"/>
        <w:szCs w:val="24"/>
      </w:rPr>
      <w:t>GRICU 2022, Ischia, (Italy), July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Encabezado"/>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(Italy), July 3-6, 2022</w:t>
    </w:r>
  </w:p>
  <w:p w14:paraId="14E4AC61" w14:textId="77777777" w:rsidR="008871B1" w:rsidRPr="005C2A12" w:rsidRDefault="008871B1" w:rsidP="000517B4">
    <w:pPr>
      <w:pStyle w:val="Encabezado"/>
      <w:tabs>
        <w:tab w:val="left" w:pos="1188"/>
      </w:tabs>
      <w:jc w:val="center"/>
      <w:rPr>
        <w:b/>
        <w:i/>
        <w:color w:val="2E74B5" w:themeColor="accent5" w:themeShade="BF"/>
        <w:sz w:val="24"/>
        <w:szCs w:val="24"/>
      </w:rPr>
    </w:pPr>
  </w:p>
  <w:p w14:paraId="2DF8C760" w14:textId="77777777" w:rsidR="001D0E0C" w:rsidRDefault="000517B4" w:rsidP="001D0E0C">
    <w:pPr>
      <w:pStyle w:val="Encabezado"/>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xNDUyNDUzNLAwNzNT0lEKTi0uzszPAykwqwUAJ5uQciwAAAA="/>
  </w:docVars>
  <w:rsids>
    <w:rsidRoot w:val="00DA51A3"/>
    <w:rsid w:val="00007226"/>
    <w:rsid w:val="000109D9"/>
    <w:rsid w:val="000517B4"/>
    <w:rsid w:val="000656C0"/>
    <w:rsid w:val="00071F81"/>
    <w:rsid w:val="00083AB6"/>
    <w:rsid w:val="000A436E"/>
    <w:rsid w:val="000A6689"/>
    <w:rsid w:val="000E0D0C"/>
    <w:rsid w:val="00102030"/>
    <w:rsid w:val="00102A89"/>
    <w:rsid w:val="001200E2"/>
    <w:rsid w:val="00126B0A"/>
    <w:rsid w:val="0015182D"/>
    <w:rsid w:val="00153186"/>
    <w:rsid w:val="0018628F"/>
    <w:rsid w:val="0018667F"/>
    <w:rsid w:val="00186821"/>
    <w:rsid w:val="001924D1"/>
    <w:rsid w:val="001B060D"/>
    <w:rsid w:val="001C3EF4"/>
    <w:rsid w:val="001D0E0C"/>
    <w:rsid w:val="001D19AA"/>
    <w:rsid w:val="002156A2"/>
    <w:rsid w:val="00220D6A"/>
    <w:rsid w:val="00227737"/>
    <w:rsid w:val="00227D87"/>
    <w:rsid w:val="00237A2F"/>
    <w:rsid w:val="002717E7"/>
    <w:rsid w:val="002743AB"/>
    <w:rsid w:val="002D4B28"/>
    <w:rsid w:val="00306495"/>
    <w:rsid w:val="003362D7"/>
    <w:rsid w:val="00347493"/>
    <w:rsid w:val="00352178"/>
    <w:rsid w:val="00397945"/>
    <w:rsid w:val="003E6216"/>
    <w:rsid w:val="003E7824"/>
    <w:rsid w:val="003F160A"/>
    <w:rsid w:val="003F7898"/>
    <w:rsid w:val="00402674"/>
    <w:rsid w:val="00402761"/>
    <w:rsid w:val="00421EE3"/>
    <w:rsid w:val="00425909"/>
    <w:rsid w:val="00427175"/>
    <w:rsid w:val="004416D9"/>
    <w:rsid w:val="00450D8B"/>
    <w:rsid w:val="00461B9F"/>
    <w:rsid w:val="00467A0E"/>
    <w:rsid w:val="004C242E"/>
    <w:rsid w:val="004C5618"/>
    <w:rsid w:val="004C56B4"/>
    <w:rsid w:val="004F2875"/>
    <w:rsid w:val="00532ACA"/>
    <w:rsid w:val="00566B1A"/>
    <w:rsid w:val="00580C54"/>
    <w:rsid w:val="005832B4"/>
    <w:rsid w:val="005B71B2"/>
    <w:rsid w:val="005C2A12"/>
    <w:rsid w:val="005D6B25"/>
    <w:rsid w:val="005F661F"/>
    <w:rsid w:val="0060797B"/>
    <w:rsid w:val="0061539F"/>
    <w:rsid w:val="006237E5"/>
    <w:rsid w:val="00652248"/>
    <w:rsid w:val="006759CB"/>
    <w:rsid w:val="00687CA1"/>
    <w:rsid w:val="00697CD6"/>
    <w:rsid w:val="006A5376"/>
    <w:rsid w:val="006B7754"/>
    <w:rsid w:val="006D42D0"/>
    <w:rsid w:val="006F797C"/>
    <w:rsid w:val="006F7C0F"/>
    <w:rsid w:val="00701A7F"/>
    <w:rsid w:val="00704A5B"/>
    <w:rsid w:val="00707F55"/>
    <w:rsid w:val="007154D3"/>
    <w:rsid w:val="00790480"/>
    <w:rsid w:val="007B514E"/>
    <w:rsid w:val="007C05EB"/>
    <w:rsid w:val="007C232D"/>
    <w:rsid w:val="007D053B"/>
    <w:rsid w:val="007D2C24"/>
    <w:rsid w:val="007F0868"/>
    <w:rsid w:val="008239BC"/>
    <w:rsid w:val="00852AEF"/>
    <w:rsid w:val="008871B1"/>
    <w:rsid w:val="008E07B0"/>
    <w:rsid w:val="009115FF"/>
    <w:rsid w:val="009204CC"/>
    <w:rsid w:val="00993B98"/>
    <w:rsid w:val="00996F4D"/>
    <w:rsid w:val="009B3B78"/>
    <w:rsid w:val="00A05B7A"/>
    <w:rsid w:val="00A238B5"/>
    <w:rsid w:val="00A35149"/>
    <w:rsid w:val="00A36B3D"/>
    <w:rsid w:val="00A60225"/>
    <w:rsid w:val="00A81359"/>
    <w:rsid w:val="00A8448E"/>
    <w:rsid w:val="00A85AEB"/>
    <w:rsid w:val="00AA2143"/>
    <w:rsid w:val="00AA56EF"/>
    <w:rsid w:val="00AB1801"/>
    <w:rsid w:val="00B24AE1"/>
    <w:rsid w:val="00B52190"/>
    <w:rsid w:val="00B52425"/>
    <w:rsid w:val="00B66266"/>
    <w:rsid w:val="00B72D0E"/>
    <w:rsid w:val="00B86928"/>
    <w:rsid w:val="00B92513"/>
    <w:rsid w:val="00BA35DA"/>
    <w:rsid w:val="00BA7F54"/>
    <w:rsid w:val="00BD400D"/>
    <w:rsid w:val="00BE04DF"/>
    <w:rsid w:val="00C01E51"/>
    <w:rsid w:val="00C21719"/>
    <w:rsid w:val="00C35D37"/>
    <w:rsid w:val="00C40840"/>
    <w:rsid w:val="00C468BF"/>
    <w:rsid w:val="00C71735"/>
    <w:rsid w:val="00CF2D1F"/>
    <w:rsid w:val="00D029C0"/>
    <w:rsid w:val="00D0310F"/>
    <w:rsid w:val="00D03DB3"/>
    <w:rsid w:val="00D118F2"/>
    <w:rsid w:val="00D322F1"/>
    <w:rsid w:val="00D412A9"/>
    <w:rsid w:val="00D46AB8"/>
    <w:rsid w:val="00D67458"/>
    <w:rsid w:val="00D9181F"/>
    <w:rsid w:val="00DA51A3"/>
    <w:rsid w:val="00DD2D8C"/>
    <w:rsid w:val="00DF6E37"/>
    <w:rsid w:val="00E0651A"/>
    <w:rsid w:val="00E27A5F"/>
    <w:rsid w:val="00E357F0"/>
    <w:rsid w:val="00E54624"/>
    <w:rsid w:val="00E9642C"/>
    <w:rsid w:val="00EC1CD4"/>
    <w:rsid w:val="00EC3775"/>
    <w:rsid w:val="00EF5191"/>
    <w:rsid w:val="00F14264"/>
    <w:rsid w:val="00F20240"/>
    <w:rsid w:val="00F2138D"/>
    <w:rsid w:val="00F24290"/>
    <w:rsid w:val="00F41389"/>
    <w:rsid w:val="00F44A6B"/>
    <w:rsid w:val="00F56413"/>
    <w:rsid w:val="00F6472E"/>
    <w:rsid w:val="00F864D1"/>
    <w:rsid w:val="00F9048D"/>
    <w:rsid w:val="00F90F58"/>
    <w:rsid w:val="00F9572F"/>
    <w:rsid w:val="00FA510F"/>
    <w:rsid w:val="00FD6E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1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irstParagraph">
    <w:name w:val="First Paragraph"/>
    <w:basedOn w:val="Normal"/>
    <w:rsid w:val="00DA51A3"/>
    <w:pPr>
      <w:spacing w:after="0" w:line="240" w:lineRule="atLeast"/>
      <w:jc w:val="both"/>
    </w:pPr>
    <w:rPr>
      <w:rFonts w:ascii="Times" w:eastAsia="Times New Roman" w:hAnsi="Times" w:cs="Times New Roman"/>
      <w:sz w:val="20"/>
      <w:szCs w:val="20"/>
      <w:lang w:val="en-US"/>
    </w:rPr>
  </w:style>
  <w:style w:type="paragraph" w:styleId="Encabezado">
    <w:name w:val="header"/>
    <w:basedOn w:val="Normal"/>
    <w:link w:val="EncabezadoCar"/>
    <w:uiPriority w:val="99"/>
    <w:unhideWhenUsed/>
    <w:rsid w:val="001D0E0C"/>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1D0E0C"/>
  </w:style>
  <w:style w:type="paragraph" w:styleId="Piedepgina">
    <w:name w:val="footer"/>
    <w:basedOn w:val="Normal"/>
    <w:link w:val="PiedepginaCar"/>
    <w:uiPriority w:val="99"/>
    <w:unhideWhenUsed/>
    <w:rsid w:val="001D0E0C"/>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1D0E0C"/>
  </w:style>
  <w:style w:type="paragraph" w:styleId="Textodeglobo">
    <w:name w:val="Balloon Text"/>
    <w:basedOn w:val="Normal"/>
    <w:link w:val="TextodegloboCar"/>
    <w:uiPriority w:val="99"/>
    <w:semiHidden/>
    <w:unhideWhenUsed/>
    <w:rsid w:val="003F16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160A"/>
    <w:rPr>
      <w:rFonts w:ascii="Segoe UI" w:hAnsi="Segoe UI" w:cs="Segoe UI"/>
      <w:sz w:val="18"/>
      <w:szCs w:val="18"/>
    </w:rPr>
  </w:style>
  <w:style w:type="character" w:styleId="Hipervnculo">
    <w:name w:val="Hyperlink"/>
    <w:basedOn w:val="Fuentedeprrafopredeter"/>
    <w:uiPriority w:val="99"/>
    <w:unhideWhenUsed/>
    <w:rsid w:val="00F20240"/>
    <w:rPr>
      <w:color w:val="0563C1" w:themeColor="hyperlink"/>
      <w:u w:val="single"/>
    </w:rPr>
  </w:style>
  <w:style w:type="character" w:styleId="Mencinsinresolver">
    <w:name w:val="Unresolved Mention"/>
    <w:basedOn w:val="Fuentedeprrafopredeter"/>
    <w:uiPriority w:val="99"/>
    <w:semiHidden/>
    <w:unhideWhenUsed/>
    <w:rsid w:val="00F20240"/>
    <w:rPr>
      <w:color w:val="605E5C"/>
      <w:shd w:val="clear" w:color="auto" w:fill="E1DFDD"/>
    </w:rPr>
  </w:style>
  <w:style w:type="paragraph" w:styleId="Prrafodelista">
    <w:name w:val="List Paragraph"/>
    <w:basedOn w:val="Normal"/>
    <w:uiPriority w:val="34"/>
    <w:qFormat/>
    <w:rsid w:val="003F7898"/>
    <w:pPr>
      <w:ind w:left="720"/>
      <w:contextualSpacing/>
    </w:pPr>
  </w:style>
  <w:style w:type="paragraph" w:styleId="Bibliografa">
    <w:name w:val="Bibliography"/>
    <w:basedOn w:val="Normal"/>
    <w:next w:val="Normal"/>
    <w:uiPriority w:val="37"/>
    <w:semiHidden/>
    <w:unhideWhenUsed/>
    <w:rsid w:val="00993B98"/>
    <w:pPr>
      <w:spacing w:after="180" w:line="240" w:lineRule="auto"/>
      <w:jc w:val="both"/>
    </w:pPr>
    <w:rPr>
      <w:rFonts w:ascii="Arial" w:eastAsia="Times New Roman" w:hAnsi="Arial" w:cs="Times New Roman"/>
      <w:sz w:val="18"/>
      <w:szCs w:val="20"/>
      <w:lang w:val="en-GB" w:eastAsia="en-GB"/>
    </w:rPr>
  </w:style>
  <w:style w:type="paragraph" w:customStyle="1" w:styleId="MDPI42tablebody">
    <w:name w:val="MDPI_4.2_table_body"/>
    <w:qFormat/>
    <w:rsid w:val="00996F4D"/>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31text">
    <w:name w:val="MDPI_3.1_text"/>
    <w:qFormat/>
    <w:rsid w:val="00BA35DA"/>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69308">
      <w:bodyDiv w:val="1"/>
      <w:marLeft w:val="0"/>
      <w:marRight w:val="0"/>
      <w:marTop w:val="0"/>
      <w:marBottom w:val="0"/>
      <w:divBdr>
        <w:top w:val="none" w:sz="0" w:space="0" w:color="auto"/>
        <w:left w:val="none" w:sz="0" w:space="0" w:color="auto"/>
        <w:bottom w:val="none" w:sz="0" w:space="0" w:color="auto"/>
        <w:right w:val="none" w:sz="0" w:space="0" w:color="auto"/>
      </w:divBdr>
    </w:div>
    <w:div w:id="6500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vid.castro@polito.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3</Pages>
  <Words>1569</Words>
  <Characters>8949</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Castro Rodriguez  David Javier</cp:lastModifiedBy>
  <cp:revision>135</cp:revision>
  <cp:lastPrinted>2022-01-31T11:56:00Z</cp:lastPrinted>
  <dcterms:created xsi:type="dcterms:W3CDTF">2022-02-15T16:14:00Z</dcterms:created>
  <dcterms:modified xsi:type="dcterms:W3CDTF">2022-03-15T17:38:00Z</dcterms:modified>
</cp:coreProperties>
</file>