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E7BE" w14:textId="739FEF69" w:rsidR="00DA51A3" w:rsidRPr="00E533B3" w:rsidRDefault="00284ADB"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Data-driven o</w:t>
      </w:r>
      <w:r w:rsidR="00E533B3">
        <w:rPr>
          <w:rFonts w:ascii="Times New Roman" w:eastAsia="MS PGothic" w:hAnsi="Times New Roman"/>
          <w:b/>
          <w:bCs/>
          <w:sz w:val="24"/>
          <w:szCs w:val="24"/>
          <w:lang w:val="en-US"/>
        </w:rPr>
        <w:t>ptimiz</w:t>
      </w:r>
      <w:r w:rsidR="0059608F">
        <w:rPr>
          <w:rFonts w:ascii="Times New Roman" w:eastAsia="MS PGothic" w:hAnsi="Times New Roman"/>
          <w:b/>
          <w:bCs/>
          <w:sz w:val="24"/>
          <w:szCs w:val="24"/>
          <w:lang w:val="en-US"/>
        </w:rPr>
        <w:t>ation</w:t>
      </w:r>
      <w:r w:rsidR="00E533B3">
        <w:rPr>
          <w:rFonts w:ascii="Times New Roman" w:eastAsia="MS PGothic" w:hAnsi="Times New Roman"/>
          <w:b/>
          <w:bCs/>
          <w:sz w:val="24"/>
          <w:szCs w:val="24"/>
          <w:lang w:val="en-US"/>
        </w:rPr>
        <w:t xml:space="preserve"> of a freeze-drying unit </w:t>
      </w:r>
      <w:r>
        <w:rPr>
          <w:rFonts w:ascii="Times New Roman" w:eastAsia="MS PGothic" w:hAnsi="Times New Roman"/>
          <w:b/>
          <w:bCs/>
          <w:sz w:val="24"/>
          <w:szCs w:val="24"/>
          <w:lang w:val="en-US"/>
        </w:rPr>
        <w:t>using</w:t>
      </w:r>
      <w:r w:rsidR="0059608F">
        <w:rPr>
          <w:rFonts w:ascii="Times New Roman" w:eastAsia="MS PGothic" w:hAnsi="Times New Roman"/>
          <w:b/>
          <w:bCs/>
          <w:sz w:val="24"/>
          <w:szCs w:val="24"/>
          <w:lang w:val="en-US"/>
        </w:rPr>
        <w:t xml:space="preserve"> </w:t>
      </w:r>
      <w:r>
        <w:rPr>
          <w:rFonts w:ascii="Times New Roman" w:eastAsia="MS PGothic" w:hAnsi="Times New Roman"/>
          <w:b/>
          <w:bCs/>
          <w:sz w:val="24"/>
          <w:szCs w:val="24"/>
          <w:lang w:val="en-US"/>
        </w:rPr>
        <w:t>d</w:t>
      </w:r>
      <w:r w:rsidR="0059608F" w:rsidRPr="00E533B3">
        <w:rPr>
          <w:rFonts w:ascii="Times New Roman" w:eastAsia="MS PGothic" w:hAnsi="Times New Roman"/>
          <w:b/>
          <w:bCs/>
          <w:sz w:val="24"/>
          <w:szCs w:val="24"/>
          <w:lang w:val="en-US"/>
        </w:rPr>
        <w:t xml:space="preserve">esign of </w:t>
      </w:r>
      <w:r>
        <w:rPr>
          <w:rFonts w:ascii="Times New Roman" w:eastAsia="MS PGothic" w:hAnsi="Times New Roman"/>
          <w:b/>
          <w:bCs/>
          <w:sz w:val="24"/>
          <w:szCs w:val="24"/>
          <w:lang w:val="en-US"/>
        </w:rPr>
        <w:t>d</w:t>
      </w:r>
      <w:r w:rsidR="0059608F" w:rsidRPr="00E533B3">
        <w:rPr>
          <w:rFonts w:ascii="Times New Roman" w:eastAsia="MS PGothic" w:hAnsi="Times New Roman"/>
          <w:b/>
          <w:bCs/>
          <w:sz w:val="24"/>
          <w:szCs w:val="24"/>
          <w:lang w:val="en-US"/>
        </w:rPr>
        <w:t xml:space="preserve">ynamic </w:t>
      </w:r>
      <w:r>
        <w:rPr>
          <w:rFonts w:ascii="Times New Roman" w:eastAsia="MS PGothic" w:hAnsi="Times New Roman"/>
          <w:b/>
          <w:bCs/>
          <w:sz w:val="24"/>
          <w:szCs w:val="24"/>
          <w:lang w:val="en-US"/>
        </w:rPr>
        <w:t>e</w:t>
      </w:r>
      <w:r w:rsidR="0059608F" w:rsidRPr="00E533B3">
        <w:rPr>
          <w:rFonts w:ascii="Times New Roman" w:eastAsia="MS PGothic" w:hAnsi="Times New Roman"/>
          <w:b/>
          <w:bCs/>
          <w:sz w:val="24"/>
          <w:szCs w:val="24"/>
          <w:lang w:val="en-US"/>
        </w:rPr>
        <w:t>xperiments</w:t>
      </w:r>
    </w:p>
    <w:p w14:paraId="5DC330F9" w14:textId="77777777" w:rsidR="00DA51A3" w:rsidRPr="00E533B3" w:rsidRDefault="00DA51A3" w:rsidP="00DA51A3">
      <w:pPr>
        <w:snapToGrid w:val="0"/>
        <w:jc w:val="center"/>
        <w:rPr>
          <w:rFonts w:ascii="Times New Roman" w:eastAsia="MS PGothic" w:hAnsi="Times New Roman"/>
          <w:b/>
          <w:bCs/>
          <w:sz w:val="24"/>
          <w:szCs w:val="24"/>
          <w:lang w:val="en-US" w:eastAsia="ko-KR"/>
        </w:rPr>
      </w:pPr>
    </w:p>
    <w:p w14:paraId="243AAF34" w14:textId="722D57BB" w:rsidR="00DA51A3" w:rsidRPr="000956F0" w:rsidRDefault="000956F0" w:rsidP="00DA51A3">
      <w:pPr>
        <w:snapToGrid w:val="0"/>
        <w:jc w:val="center"/>
        <w:rPr>
          <w:rFonts w:ascii="Times New Roman" w:eastAsia="MS PGothic" w:hAnsi="Times New Roman"/>
          <w:sz w:val="24"/>
          <w:szCs w:val="24"/>
        </w:rPr>
      </w:pPr>
      <w:r w:rsidRPr="000956F0">
        <w:rPr>
          <w:rFonts w:ascii="Times New Roman" w:eastAsia="SimSun" w:hAnsi="Times New Roman"/>
          <w:sz w:val="24"/>
          <w:szCs w:val="24"/>
          <w:u w:val="single"/>
          <w:lang w:eastAsia="zh-CN"/>
        </w:rPr>
        <w:t>Christopher Castaldello</w:t>
      </w:r>
      <w:r w:rsidR="00DA51A3" w:rsidRPr="000956F0">
        <w:rPr>
          <w:rFonts w:ascii="Times New Roman" w:eastAsia="SimSun" w:hAnsi="Times New Roman"/>
          <w:sz w:val="24"/>
          <w:szCs w:val="24"/>
          <w:u w:val="single"/>
          <w:vertAlign w:val="superscript"/>
          <w:lang w:eastAsia="zh-CN"/>
        </w:rPr>
        <w:t>1</w:t>
      </w:r>
      <w:r w:rsidR="00DA51A3" w:rsidRPr="000956F0">
        <w:rPr>
          <w:rFonts w:ascii="Times New Roman" w:eastAsia="SimSun" w:hAnsi="Times New Roman"/>
          <w:sz w:val="24"/>
          <w:szCs w:val="24"/>
          <w:lang w:eastAsia="zh-CN"/>
        </w:rPr>
        <w:t xml:space="preserve">, </w:t>
      </w:r>
      <w:r w:rsidRPr="000956F0">
        <w:rPr>
          <w:rFonts w:ascii="Times New Roman" w:eastAsia="SimSun" w:hAnsi="Times New Roman"/>
          <w:sz w:val="24"/>
          <w:szCs w:val="24"/>
          <w:lang w:eastAsia="zh-CN"/>
        </w:rPr>
        <w:t>Pierantonio Facco</w:t>
      </w:r>
      <w:r w:rsidRPr="000956F0">
        <w:rPr>
          <w:rFonts w:ascii="Times New Roman" w:eastAsia="SimSun" w:hAnsi="Times New Roman"/>
          <w:sz w:val="24"/>
          <w:szCs w:val="24"/>
          <w:vertAlign w:val="superscript"/>
          <w:lang w:eastAsia="zh-CN"/>
        </w:rPr>
        <w:t>1</w:t>
      </w:r>
      <w:r w:rsidR="00DA51A3" w:rsidRPr="000956F0">
        <w:rPr>
          <w:rFonts w:ascii="Times New Roman" w:eastAsia="SimSun" w:hAnsi="Times New Roman"/>
          <w:sz w:val="24"/>
          <w:szCs w:val="24"/>
          <w:lang w:eastAsia="zh-CN"/>
        </w:rPr>
        <w:t xml:space="preserve">, </w:t>
      </w:r>
      <w:r>
        <w:rPr>
          <w:rFonts w:ascii="Times New Roman" w:eastAsia="SimSun" w:hAnsi="Times New Roman"/>
          <w:sz w:val="24"/>
          <w:szCs w:val="24"/>
          <w:lang w:eastAsia="zh-CN"/>
        </w:rPr>
        <w:t>Fabrizio Bezzo</w:t>
      </w:r>
      <w:r w:rsidRPr="000956F0">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w:t>
      </w:r>
      <w:r w:rsidR="00F04FB9">
        <w:rPr>
          <w:rFonts w:ascii="Times New Roman" w:eastAsia="SimSun" w:hAnsi="Times New Roman"/>
          <w:sz w:val="24"/>
          <w:szCs w:val="24"/>
          <w:lang w:eastAsia="zh-CN"/>
        </w:rPr>
        <w:br/>
      </w:r>
      <w:proofErr w:type="spellStart"/>
      <w:r>
        <w:rPr>
          <w:rFonts w:ascii="Times New Roman" w:eastAsia="SimSun" w:hAnsi="Times New Roman"/>
          <w:sz w:val="24"/>
          <w:szCs w:val="24"/>
          <w:lang w:eastAsia="zh-CN"/>
        </w:rPr>
        <w:t>Christos</w:t>
      </w:r>
      <w:proofErr w:type="spellEnd"/>
      <w:r>
        <w:rPr>
          <w:rFonts w:ascii="Times New Roman" w:eastAsia="SimSun" w:hAnsi="Times New Roman"/>
          <w:sz w:val="24"/>
          <w:szCs w:val="24"/>
          <w:lang w:eastAsia="zh-CN"/>
        </w:rPr>
        <w:t xml:space="preserve"> Georgakis</w:t>
      </w:r>
      <w:r w:rsidRPr="000956F0">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Massimiliano Barolo</w:t>
      </w:r>
      <w:r w:rsidRPr="000956F0">
        <w:rPr>
          <w:rFonts w:ascii="Times New Roman" w:eastAsia="SimSun" w:hAnsi="Times New Roman"/>
          <w:sz w:val="24"/>
          <w:szCs w:val="24"/>
          <w:vertAlign w:val="superscript"/>
          <w:lang w:eastAsia="zh-CN"/>
        </w:rPr>
        <w:t>1</w:t>
      </w:r>
      <w:r w:rsidR="00DA51A3" w:rsidRPr="000956F0">
        <w:rPr>
          <w:rFonts w:ascii="Times New Roman" w:eastAsia="SimSun" w:hAnsi="Times New Roman"/>
          <w:sz w:val="24"/>
          <w:szCs w:val="24"/>
          <w:lang w:eastAsia="zh-CN"/>
        </w:rPr>
        <w:t>*</w:t>
      </w:r>
    </w:p>
    <w:p w14:paraId="3954EBF6" w14:textId="219AD49E" w:rsidR="000956F0" w:rsidRPr="000956F0" w:rsidRDefault="00DA51A3" w:rsidP="00121B86">
      <w:pPr>
        <w:snapToGrid w:val="0"/>
        <w:spacing w:after="0"/>
        <w:jc w:val="center"/>
        <w:rPr>
          <w:rFonts w:ascii="Times New Roman" w:eastAsia="MS PGothic" w:hAnsi="Times New Roman"/>
          <w:i/>
          <w:iCs/>
          <w:sz w:val="20"/>
          <w:lang w:val="en-US"/>
        </w:rPr>
      </w:pPr>
      <w:r w:rsidRPr="00A75C8A">
        <w:rPr>
          <w:rFonts w:ascii="Times New Roman" w:eastAsia="MS PGothic" w:hAnsi="Times New Roman"/>
          <w:i/>
          <w:iCs/>
          <w:sz w:val="20"/>
          <w:vertAlign w:val="superscript"/>
          <w:lang w:val="en-US"/>
        </w:rPr>
        <w:t>1</w:t>
      </w:r>
      <w:r w:rsidR="000956F0" w:rsidRPr="000956F0">
        <w:rPr>
          <w:rFonts w:ascii="Times New Roman" w:eastAsia="MS PGothic" w:hAnsi="Times New Roman"/>
          <w:i/>
          <w:iCs/>
          <w:sz w:val="20"/>
          <w:lang w:val="en-US"/>
        </w:rPr>
        <w:t>CAPE-Lab – Computer-Aided Process Engineering Laboratory</w:t>
      </w:r>
    </w:p>
    <w:p w14:paraId="09ED1097" w14:textId="77777777" w:rsidR="000956F0" w:rsidRPr="000956F0" w:rsidRDefault="000956F0" w:rsidP="00121B86">
      <w:pPr>
        <w:snapToGrid w:val="0"/>
        <w:spacing w:after="0"/>
        <w:jc w:val="center"/>
        <w:rPr>
          <w:rFonts w:ascii="Times New Roman" w:eastAsia="MS PGothic" w:hAnsi="Times New Roman"/>
          <w:i/>
          <w:iCs/>
          <w:sz w:val="20"/>
          <w:lang w:val="en-US"/>
        </w:rPr>
      </w:pPr>
      <w:r w:rsidRPr="000956F0">
        <w:rPr>
          <w:rFonts w:ascii="Times New Roman" w:eastAsia="MS PGothic" w:hAnsi="Times New Roman"/>
          <w:i/>
          <w:iCs/>
          <w:sz w:val="20"/>
          <w:lang w:val="en-US"/>
        </w:rPr>
        <w:t>Department of Industrial Engineering, University of Padova</w:t>
      </w:r>
    </w:p>
    <w:p w14:paraId="137B936E" w14:textId="77777777" w:rsidR="000956F0" w:rsidRDefault="000956F0" w:rsidP="000956F0">
      <w:pPr>
        <w:snapToGrid w:val="0"/>
        <w:spacing w:after="120"/>
        <w:jc w:val="center"/>
        <w:rPr>
          <w:rFonts w:ascii="Times New Roman" w:eastAsia="MS PGothic" w:hAnsi="Times New Roman"/>
          <w:i/>
          <w:iCs/>
          <w:sz w:val="20"/>
          <w:lang w:val="en-US"/>
        </w:rPr>
      </w:pPr>
      <w:r w:rsidRPr="000956F0">
        <w:rPr>
          <w:rFonts w:ascii="Times New Roman" w:eastAsia="MS PGothic" w:hAnsi="Times New Roman"/>
          <w:i/>
          <w:iCs/>
          <w:sz w:val="20"/>
          <w:lang w:val="en-US"/>
        </w:rPr>
        <w:t>35131 Padova, ITALY</w:t>
      </w:r>
      <w:r w:rsidR="00DA51A3" w:rsidRPr="00466FFD">
        <w:rPr>
          <w:rFonts w:ascii="Times New Roman" w:eastAsia="MS PGothic" w:hAnsi="Times New Roman"/>
          <w:i/>
          <w:iCs/>
          <w:sz w:val="20"/>
          <w:lang w:val="en-US"/>
        </w:rPr>
        <w:t xml:space="preserve">; </w:t>
      </w:r>
    </w:p>
    <w:p w14:paraId="7C40A08D" w14:textId="4BDB676C" w:rsidR="000956F0" w:rsidRPr="000956F0" w:rsidRDefault="00DA51A3" w:rsidP="00121B86">
      <w:pPr>
        <w:snapToGrid w:val="0"/>
        <w:spacing w:after="0"/>
        <w:jc w:val="center"/>
        <w:rPr>
          <w:rFonts w:ascii="Times New Roman" w:eastAsia="MS PGothic" w:hAnsi="Times New Roman"/>
          <w:i/>
          <w:iCs/>
          <w:sz w:val="20"/>
          <w:lang w:val="en-US"/>
        </w:rPr>
      </w:pPr>
      <w:r w:rsidRPr="00A75C8A">
        <w:rPr>
          <w:rFonts w:ascii="Times New Roman" w:eastAsia="MS PGothic" w:hAnsi="Times New Roman"/>
          <w:i/>
          <w:iCs/>
          <w:sz w:val="20"/>
          <w:vertAlign w:val="superscript"/>
          <w:lang w:val="en-US"/>
        </w:rPr>
        <w:t>2</w:t>
      </w:r>
      <w:r w:rsidR="000956F0" w:rsidRPr="000956F0">
        <w:rPr>
          <w:rFonts w:ascii="Times New Roman" w:eastAsia="MS PGothic" w:hAnsi="Times New Roman"/>
          <w:i/>
          <w:iCs/>
          <w:sz w:val="20"/>
          <w:lang w:val="en-US"/>
        </w:rPr>
        <w:t>Department of Chemical and Biological Engineering &amp;</w:t>
      </w:r>
    </w:p>
    <w:p w14:paraId="565C4B9D" w14:textId="77777777" w:rsidR="000956F0" w:rsidRPr="000956F0" w:rsidRDefault="000956F0" w:rsidP="00121B86">
      <w:pPr>
        <w:snapToGrid w:val="0"/>
        <w:spacing w:after="0"/>
        <w:jc w:val="center"/>
        <w:rPr>
          <w:rFonts w:ascii="Times New Roman" w:eastAsia="MS PGothic" w:hAnsi="Times New Roman"/>
          <w:i/>
          <w:iCs/>
          <w:sz w:val="20"/>
          <w:lang w:val="en-US"/>
        </w:rPr>
      </w:pPr>
      <w:r w:rsidRPr="000956F0">
        <w:rPr>
          <w:rFonts w:ascii="Times New Roman" w:eastAsia="MS PGothic" w:hAnsi="Times New Roman"/>
          <w:i/>
          <w:iCs/>
          <w:sz w:val="20"/>
          <w:lang w:val="en-US"/>
        </w:rPr>
        <w:t>Systems Research Institute for Chemical and Biological Processes</w:t>
      </w:r>
    </w:p>
    <w:p w14:paraId="7A602332" w14:textId="2DCDB2C2" w:rsidR="00DA51A3" w:rsidRPr="00466FFD" w:rsidRDefault="000956F0" w:rsidP="000956F0">
      <w:pPr>
        <w:snapToGrid w:val="0"/>
        <w:spacing w:after="120"/>
        <w:jc w:val="center"/>
        <w:rPr>
          <w:rFonts w:ascii="Times New Roman" w:eastAsia="MS PGothic" w:hAnsi="Times New Roman"/>
          <w:i/>
          <w:iCs/>
          <w:sz w:val="20"/>
          <w:lang w:val="en-US"/>
        </w:rPr>
      </w:pPr>
      <w:r w:rsidRPr="000956F0">
        <w:rPr>
          <w:rFonts w:ascii="Times New Roman" w:eastAsia="MS PGothic" w:hAnsi="Times New Roman"/>
          <w:i/>
          <w:iCs/>
          <w:sz w:val="20"/>
          <w:lang w:val="en-US"/>
        </w:rPr>
        <w:t>Tufts University, Medford, MA 02155, USA</w:t>
      </w:r>
      <w:bookmarkStart w:id="0" w:name="_GoBack"/>
      <w:bookmarkEnd w:id="0"/>
    </w:p>
    <w:p w14:paraId="5533360A" w14:textId="189F84AE" w:rsidR="00DA51A3"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hyperlink r:id="rId8" w:history="1">
        <w:r w:rsidR="00550272" w:rsidRPr="00643FFF">
          <w:rPr>
            <w:rStyle w:val="Collegamentoipertestuale"/>
            <w:rFonts w:ascii="Times New Roman" w:eastAsia="MS PGothic" w:hAnsi="Times New Roman"/>
            <w:bCs/>
            <w:i/>
            <w:iCs/>
            <w:sz w:val="20"/>
            <w:lang w:val="en-US"/>
          </w:rPr>
          <w:t>max.barolo@unipd.it</w:t>
        </w:r>
      </w:hyperlink>
    </w:p>
    <w:p w14:paraId="5AAD3913" w14:textId="77777777" w:rsidR="00550272" w:rsidRPr="00466FFD" w:rsidRDefault="00550272" w:rsidP="00DA51A3">
      <w:pPr>
        <w:snapToGrid w:val="0"/>
        <w:jc w:val="center"/>
        <w:rPr>
          <w:rFonts w:ascii="Times New Roman" w:eastAsia="MS PGothic" w:hAnsi="Times New Roman"/>
          <w:bCs/>
          <w:i/>
          <w:iCs/>
          <w:sz w:val="20"/>
          <w:lang w:val="en-US"/>
        </w:rPr>
      </w:pPr>
    </w:p>
    <w:p w14:paraId="110B92B3" w14:textId="3D1EEB82" w:rsidR="00DA51A3" w:rsidRPr="001366E4" w:rsidRDefault="001366E4" w:rsidP="001366E4">
      <w:pPr>
        <w:snapToGrid w:val="0"/>
        <w:spacing w:line="300" w:lineRule="auto"/>
        <w:rPr>
          <w:rFonts w:ascii="Times New Roman" w:eastAsia="MS PGothic" w:hAnsi="Times New Roman"/>
          <w:b/>
          <w:bCs/>
          <w:lang w:val="en-US"/>
        </w:rPr>
      </w:pPr>
      <w:r w:rsidRPr="001366E4">
        <w:rPr>
          <w:rFonts w:ascii="Times New Roman" w:eastAsia="MS PGothic" w:hAnsi="Times New Roman"/>
          <w:b/>
          <w:bCs/>
          <w:lang w:val="en-US"/>
        </w:rPr>
        <w:t>1.</w:t>
      </w:r>
      <w:r>
        <w:rPr>
          <w:rFonts w:ascii="Times New Roman" w:eastAsia="MS PGothic" w:hAnsi="Times New Roman"/>
          <w:b/>
          <w:bCs/>
          <w:lang w:val="en-US"/>
        </w:rPr>
        <w:t xml:space="preserve"> </w:t>
      </w:r>
      <w:r w:rsidR="001411DC">
        <w:rPr>
          <w:rFonts w:ascii="Times New Roman" w:eastAsia="MS PGothic" w:hAnsi="Times New Roman"/>
          <w:b/>
          <w:bCs/>
          <w:lang w:val="en-US"/>
        </w:rPr>
        <w:t>Introduction</w:t>
      </w:r>
      <w:r w:rsidR="00DE19B4">
        <w:rPr>
          <w:rFonts w:ascii="Times New Roman" w:eastAsia="MS PGothic" w:hAnsi="Times New Roman"/>
          <w:b/>
          <w:bCs/>
          <w:lang w:val="en-US"/>
        </w:rPr>
        <w:t xml:space="preserve"> and methods</w:t>
      </w:r>
    </w:p>
    <w:p w14:paraId="05F51860" w14:textId="0FB62B87" w:rsidR="00DD7D7D" w:rsidRDefault="007C75DE" w:rsidP="005A1544">
      <w:pPr>
        <w:snapToGrid w:val="0"/>
        <w:spacing w:after="120"/>
        <w:jc w:val="both"/>
        <w:rPr>
          <w:rFonts w:ascii="Times New Roman" w:eastAsia="MS PGothic" w:hAnsi="Times New Roman"/>
          <w:lang w:val="en-US"/>
        </w:rPr>
      </w:pPr>
      <w:r>
        <w:rPr>
          <w:rFonts w:ascii="Times New Roman" w:eastAsia="MS PGothic" w:hAnsi="Times New Roman"/>
          <w:lang w:val="en-US"/>
        </w:rPr>
        <w:t>Freeze-drying</w:t>
      </w:r>
      <w:r w:rsidR="00741477">
        <w:rPr>
          <w:rFonts w:ascii="Times New Roman" w:eastAsia="MS PGothic" w:hAnsi="Times New Roman"/>
          <w:lang w:val="en-US"/>
        </w:rPr>
        <w:t xml:space="preserve"> (lyophilization)</w:t>
      </w:r>
      <w:r>
        <w:rPr>
          <w:rFonts w:ascii="Times New Roman" w:eastAsia="MS PGothic" w:hAnsi="Times New Roman"/>
          <w:lang w:val="en-US"/>
        </w:rPr>
        <w:t xml:space="preserve"> is </w:t>
      </w:r>
      <w:r w:rsidR="00741477">
        <w:rPr>
          <w:rFonts w:ascii="Times New Roman" w:eastAsia="MS PGothic" w:hAnsi="Times New Roman"/>
          <w:lang w:val="en-US"/>
        </w:rPr>
        <w:t xml:space="preserve">a unit operation </w:t>
      </w:r>
      <w:r w:rsidR="00175E40">
        <w:rPr>
          <w:rFonts w:ascii="Times New Roman" w:eastAsia="MS PGothic" w:hAnsi="Times New Roman"/>
          <w:lang w:val="en-US"/>
        </w:rPr>
        <w:t xml:space="preserve">commonly used in the biopharmaceutical industry to </w:t>
      </w:r>
      <w:r w:rsidR="00483DEA">
        <w:rPr>
          <w:rFonts w:ascii="Times New Roman" w:eastAsia="MS PGothic" w:hAnsi="Times New Roman"/>
          <w:lang w:val="en-US"/>
        </w:rPr>
        <w:t>ext</w:t>
      </w:r>
      <w:r w:rsidR="00175E40">
        <w:rPr>
          <w:rFonts w:ascii="Times New Roman" w:eastAsia="MS PGothic" w:hAnsi="Times New Roman"/>
          <w:lang w:val="en-US"/>
        </w:rPr>
        <w:t>end shelf-life of drugs in aqueous solutio</w:t>
      </w:r>
      <w:r w:rsidR="00483DEA">
        <w:rPr>
          <w:rFonts w:ascii="Times New Roman" w:eastAsia="MS PGothic" w:hAnsi="Times New Roman"/>
          <w:lang w:val="en-US"/>
        </w:rPr>
        <w:t>n</w:t>
      </w:r>
      <w:r w:rsidR="00741477">
        <w:rPr>
          <w:rFonts w:ascii="Times New Roman" w:eastAsia="MS PGothic" w:hAnsi="Times New Roman"/>
          <w:lang w:val="en-US"/>
        </w:rPr>
        <w:t>. Due to the very low temperature and low pressure, it is</w:t>
      </w:r>
      <w:r w:rsidR="00741477" w:rsidRPr="00BA397F">
        <w:rPr>
          <w:rFonts w:ascii="Times New Roman" w:eastAsia="MS PGothic" w:hAnsi="Times New Roman"/>
          <w:lang w:val="en-US"/>
        </w:rPr>
        <w:t xml:space="preserve"> energy intensive and time-consuming </w:t>
      </w:r>
      <w:r w:rsidR="00741477" w:rsidRPr="00BA397F">
        <w:rPr>
          <w:rFonts w:ascii="Times New Roman" w:eastAsia="MS PGothic" w:hAnsi="Times New Roman"/>
          <w:lang w:val="en-US"/>
        </w:rPr>
        <w:fldChar w:fldCharType="begin" w:fldLock="1"/>
      </w:r>
      <w:r w:rsidR="00741477">
        <w:rPr>
          <w:rFonts w:ascii="Times New Roman" w:eastAsia="MS PGothic" w:hAnsi="Times New Roman"/>
          <w:lang w:val="en-US"/>
        </w:rPr>
        <w:instrText>ADDIN CSL_CITATION {"citationItems":[{"id":"ITEM-1","itemData":{"DOI":"10.1016/S0260-8774(00)00228-4","ISBN":"1418656372","ISSN":"02608774","abstract":"Drying is an ancient process used to preserve foods. Conventional drying (hot air) offers dehydrated products that can have an extended life of a year. Unfortunately, the quality of a conventionally dried product is drastically reduced from that of the original foodstuff. Freeze-drying is based on the dehydration by sublimation of a frozen product. Due to the absence of liquid water and the low temperatures required for the process, most of deterioration and microbiological reactions are stopped which gives a final product of excellent quality. The comparison of both preservation processes, hot air and freeze-drying, was done taking into account several important characteristics such as shrinkage, glass transition temperature, process-quality interaction, drying kinetics, costs and new improvements. An updated bibliographic research served to compare both drying processes. Experimental data as well as theoretical results, from several years of research in the subject, were presented and compiled in order to support conclusions. © 2001 Elsevier Science Ltd.","author":[{"dropping-particle":"","family":"Ratti","given":"C.","non-dropping-particle":"","parse-names":false,"suffix":""}],"container-title":"Journal of Food Engineering","id":"ITEM-1","issue":"4","issued":{"date-parts":[["2001"]]},"page":"311-319","title":"Hot air and freeze-drying of high-value foods: A review","type":"article-journal","volume":"49"},"uris":["http://www.mendeley.com/documents/?uuid=5a0b439c-dc17-4961-bdd6-d299eb28ab8d"]},{"id":"ITEM-2","itemData":{"DOI":"10.1016/j.ejps.2018.07.016","ISSN":"18790720","PMID":"30006178","abstract":"Fre</w:instrText>
      </w:r>
      <w:r w:rsidR="00741477">
        <w:rPr>
          <w:rFonts w:ascii="Times New Roman" w:eastAsia="MS PGothic" w:hAnsi="Times New Roman" w:hint="eastAsia"/>
          <w:lang w:val="en-US"/>
        </w:rPr>
        <w:instrText>eze-drying is the method of choice to dry formulations with biopharmaceutical drugs, to enhance protein stability. This is usually done below the glass transition temperature of maximally freeze-concentrated solutions (Tg</w:instrText>
      </w:r>
      <w:r w:rsidR="00741477">
        <w:rPr>
          <w:rFonts w:ascii="Times New Roman" w:eastAsia="MS PGothic" w:hAnsi="Times New Roman" w:hint="eastAsia"/>
          <w:lang w:val="en-US"/>
        </w:rPr>
        <w:instrText>′</w:instrText>
      </w:r>
      <w:r w:rsidR="00741477">
        <w:rPr>
          <w:rFonts w:ascii="Times New Roman" w:eastAsia="MS PGothic" w:hAnsi="Times New Roman" w:hint="eastAsia"/>
          <w:lang w:val="en-US"/>
        </w:rPr>
        <w:instrText xml:space="preserve">), to avoid protein aggregation, preserve protein activity, and obtain pharmaceutically </w:instrText>
      </w:r>
      <w:r w:rsidR="00741477">
        <w:rPr>
          <w:rFonts w:ascii="Times New Roman" w:eastAsia="MS PGothic" w:hAnsi="Times New Roman" w:hint="eastAsia"/>
          <w:lang w:val="en-US"/>
        </w:rPr>
        <w:instrText>‘</w:instrText>
      </w:r>
      <w:r w:rsidR="00741477">
        <w:rPr>
          <w:rFonts w:ascii="Times New Roman" w:eastAsia="MS PGothic" w:hAnsi="Times New Roman" w:hint="eastAsia"/>
          <w:lang w:val="en-US"/>
        </w:rPr>
        <w:instrText>elegant</w:instrText>
      </w:r>
      <w:r w:rsidR="00741477">
        <w:rPr>
          <w:rFonts w:ascii="Times New Roman" w:eastAsia="MS PGothic" w:hAnsi="Times New Roman" w:hint="eastAsia"/>
          <w:lang w:val="en-US"/>
        </w:rPr>
        <w:instrText>’</w:instrText>
      </w:r>
      <w:r w:rsidR="00741477">
        <w:rPr>
          <w:rFonts w:ascii="Times New Roman" w:eastAsia="MS PGothic" w:hAnsi="Times New Roman" w:hint="eastAsia"/>
          <w:lang w:val="en-US"/>
        </w:rPr>
        <w:instrText xml:space="preserve"> cakes. Unfortunately, this is a lengthy and energy-consuming process. However, it was recently shown that drying above Tg</w:instrText>
      </w:r>
      <w:r w:rsidR="00741477">
        <w:rPr>
          <w:rFonts w:ascii="Times New Roman" w:eastAsia="MS PGothic" w:hAnsi="Times New Roman" w:hint="eastAsia"/>
          <w:lang w:val="en-US"/>
        </w:rPr>
        <w:instrText>′</w:instrText>
      </w:r>
      <w:r w:rsidR="00741477">
        <w:rPr>
          <w:rFonts w:ascii="Times New Roman" w:eastAsia="MS PGothic" w:hAnsi="Times New Roman" w:hint="eastAsia"/>
          <w:lang w:val="en-US"/>
        </w:rPr>
        <w:instrText xml:space="preserve"> or even above the collapse temperature (Tc) is not necessarily detr</w:instrText>
      </w:r>
      <w:r w:rsidR="00741477">
        <w:rPr>
          <w:rFonts w:ascii="Times New Roman" w:eastAsia="MS PGothic" w:hAnsi="Times New Roman"/>
          <w:lang w:val="en-US"/>
        </w:rPr>
        <w:instrText>imental for stability of biopharmaceuticals, and hence provides an attractive option for freeze-drying cycle optimisation. The goal of the present study was to optimise the freeze-drying cycle for a model IgG monoclonal antibody (20 mg/mL) in sucrose and sucrose/glycine formulations, by reducing primary drying time. To study the impact of shelf temperature (Ts) and chamber pressure on product temperature (Tp), one conventional and five aggressive cycles were tested. Aggressive conditions during primary drying were achieved by increasing Ts from −20 °C (conventional cycle) to 30 °C, with chamber pressure set to 0.1 mbar, 0.2 mbar or 0.3 mbar. These combinations of Ts and chamber pressure resulted in Tp well above Tg</w:instrText>
      </w:r>
      <w:r w:rsidR="00741477">
        <w:rPr>
          <w:rFonts w:ascii="Times New Roman" w:eastAsia="MS PGothic" w:hAnsi="Times New Roman" w:hint="eastAsia"/>
          <w:lang w:val="en-US"/>
        </w:rPr>
        <w:instrText>′</w:instrText>
      </w:r>
      <w:r w:rsidR="00741477">
        <w:rPr>
          <w:rFonts w:ascii="Times New Roman" w:eastAsia="MS PGothic" w:hAnsi="Times New Roman"/>
          <w:lang w:val="en-US"/>
        </w:rPr>
        <w:instrText xml:space="preserve"> and in some cases, even above Tc, without causing macrocollapse. Other critical quality attributes of the products were also within the expected ranges, such as reconstitution time and residual water content. Physical stability was tested using size exclusion chromatography, dynamic light scattering, and micro-flow imaging. All of the lyophilised samples were exposed to stress and the intended storage conditions, with no impacts on the product seen. These data show that implementation of aggressive conditions for the investigated formulations is possible and can significantly contribute to the reduction of primary drying times by up to 54% (from 48 to 22 h) in comparison to conventional freeze-drying.","author":[{"dropping-particle":"","family":"Bjelošević","given":"Maja","non-dropping-particle":"","parse-names":false,"suffix":""},{"dropping-particle":"","family":"Seljak","given":"Katarina Bolko","non-dropping-particle":"","parse-names":false,"suffix":""},{"dropping-particle":"","family":"Trstenjak","given":"Uroš","non-dropping-particle":"","parse-names":false,"suffix":""},{"dropping-particle":"","family":"Logar","given":"Manca","non-dropping-particle":"","parse-names":false,"suffix":""},{"dropping-particle":"","family":"Brus","given":"Boris","non-dropping-particle":"","parse-names":false,"suffix":""},{"dropping-particle":"","family":"Ahlin Grabnar","given":"Pegi","non-dropping-particle":"","parse-names":false,"suffix":""}],"container-title":"European Journal of Pharmaceutical Sciences","id":"ITEM-2","issue":"May","issued":{"date-parts":[["2018"]]},"page":"292-302","title":"Aggressive conditions during primary drying as a contemporary approach to optimise freeze-drying cycles of biopharmaceuticals","type":"article-journal","volume":"122"},"uris":["http://www.mendeley.com/documents/?uuid=3aff7c15-6721-4e9c-997c-0f5ae66c55e5"]}],"mendeley":{"formattedCitation":"[1,2]","plainTextFormattedCitation":"[1,2]","previouslyFormattedCitation":"[1]"},"properties":{"noteIndex":0},"schema":"https://github.com/citation-style-language/schema/raw/master/csl-citation.json"}</w:instrText>
      </w:r>
      <w:r w:rsidR="00741477" w:rsidRPr="00BA397F">
        <w:rPr>
          <w:rFonts w:ascii="Times New Roman" w:eastAsia="MS PGothic" w:hAnsi="Times New Roman"/>
          <w:lang w:val="en-US"/>
        </w:rPr>
        <w:fldChar w:fldCharType="separate"/>
      </w:r>
      <w:r w:rsidR="00741477" w:rsidRPr="00CC0A11">
        <w:rPr>
          <w:rFonts w:ascii="Times New Roman" w:eastAsia="MS PGothic" w:hAnsi="Times New Roman"/>
          <w:noProof/>
          <w:lang w:val="en-US"/>
        </w:rPr>
        <w:t>[1,2]</w:t>
      </w:r>
      <w:r w:rsidR="00741477" w:rsidRPr="00BA397F">
        <w:rPr>
          <w:rFonts w:ascii="Times New Roman" w:eastAsia="MS PGothic" w:hAnsi="Times New Roman"/>
          <w:lang w:val="en-US"/>
        </w:rPr>
        <w:fldChar w:fldCharType="end"/>
      </w:r>
      <w:r w:rsidR="00741477">
        <w:rPr>
          <w:rFonts w:ascii="Times New Roman" w:eastAsia="MS PGothic" w:hAnsi="Times New Roman"/>
          <w:lang w:val="en-US"/>
        </w:rPr>
        <w:t xml:space="preserve">. </w:t>
      </w:r>
      <w:r w:rsidR="00D226B3">
        <w:rPr>
          <w:rFonts w:ascii="Times New Roman" w:eastAsia="MS PGothic" w:hAnsi="Times New Roman"/>
          <w:lang w:val="en-US"/>
        </w:rPr>
        <w:t>A</w:t>
      </w:r>
      <w:r w:rsidR="00741477">
        <w:rPr>
          <w:rFonts w:ascii="Times New Roman" w:eastAsia="MS PGothic" w:hAnsi="Times New Roman"/>
          <w:lang w:val="en-US"/>
        </w:rPr>
        <w:t>doption of</w:t>
      </w:r>
      <w:r w:rsidR="00756F43" w:rsidRPr="00BA397F">
        <w:rPr>
          <w:rFonts w:ascii="Times New Roman" w:eastAsia="MS PGothic" w:hAnsi="Times New Roman"/>
          <w:lang w:val="en-US"/>
        </w:rPr>
        <w:t xml:space="preserve"> time-varying </w:t>
      </w:r>
      <w:r w:rsidR="00741477">
        <w:rPr>
          <w:rFonts w:ascii="Times New Roman" w:eastAsia="MS PGothic" w:hAnsi="Times New Roman"/>
          <w:lang w:val="en-US"/>
        </w:rPr>
        <w:t>inputs</w:t>
      </w:r>
      <w:r w:rsidR="00756F43" w:rsidRPr="00BA397F">
        <w:rPr>
          <w:rFonts w:ascii="Times New Roman" w:eastAsia="MS PGothic" w:hAnsi="Times New Roman"/>
          <w:lang w:val="en-US"/>
        </w:rPr>
        <w:t xml:space="preserve"> </w:t>
      </w:r>
      <w:r w:rsidR="00D226B3">
        <w:rPr>
          <w:rFonts w:ascii="Times New Roman" w:eastAsia="MS PGothic" w:hAnsi="Times New Roman"/>
          <w:lang w:val="en-US"/>
        </w:rPr>
        <w:t xml:space="preserve">(namely, </w:t>
      </w:r>
      <w:r w:rsidR="00D226B3" w:rsidRPr="00BA397F">
        <w:rPr>
          <w:rFonts w:ascii="Times New Roman" w:eastAsia="MS PGothic" w:hAnsi="Times New Roman"/>
          <w:lang w:val="en-US"/>
        </w:rPr>
        <w:t>shelf temperature and chamber pressure</w:t>
      </w:r>
      <w:r w:rsidR="00D226B3">
        <w:rPr>
          <w:rFonts w:ascii="Times New Roman" w:eastAsia="MS PGothic" w:hAnsi="Times New Roman"/>
          <w:lang w:val="en-US"/>
        </w:rPr>
        <w:t xml:space="preserve">) </w:t>
      </w:r>
      <w:r w:rsidR="00284ADB">
        <w:rPr>
          <w:rFonts w:ascii="Times New Roman" w:eastAsia="MS PGothic" w:hAnsi="Times New Roman"/>
          <w:lang w:val="en-US"/>
        </w:rPr>
        <w:t>allow</w:t>
      </w:r>
      <w:r w:rsidR="00D226B3">
        <w:rPr>
          <w:rFonts w:ascii="Times New Roman" w:eastAsia="MS PGothic" w:hAnsi="Times New Roman"/>
          <w:lang w:val="en-US"/>
        </w:rPr>
        <w:t>s</w:t>
      </w:r>
      <w:r w:rsidR="00741477">
        <w:rPr>
          <w:rFonts w:ascii="Times New Roman" w:eastAsia="MS PGothic" w:hAnsi="Times New Roman"/>
          <w:lang w:val="en-US"/>
        </w:rPr>
        <w:t xml:space="preserve"> faster </w:t>
      </w:r>
      <w:r w:rsidR="00284ADB">
        <w:rPr>
          <w:rFonts w:ascii="Times New Roman" w:eastAsia="MS PGothic" w:hAnsi="Times New Roman"/>
          <w:lang w:val="en-US"/>
        </w:rPr>
        <w:t>operation</w:t>
      </w:r>
      <w:r w:rsidR="00756F43" w:rsidRPr="00BA397F">
        <w:rPr>
          <w:rFonts w:ascii="Times New Roman" w:eastAsia="MS PGothic" w:hAnsi="Times New Roman"/>
          <w:lang w:val="en-US"/>
        </w:rPr>
        <w:t xml:space="preserve"> </w:t>
      </w:r>
      <w:r w:rsidR="00756F43" w:rsidRPr="00BA397F">
        <w:rPr>
          <w:rFonts w:ascii="Times New Roman" w:eastAsia="MS PGothic" w:hAnsi="Times New Roman"/>
          <w:lang w:val="en-US"/>
        </w:rPr>
        <w:fldChar w:fldCharType="begin" w:fldLock="1"/>
      </w:r>
      <w:r w:rsidR="00CC0A11">
        <w:rPr>
          <w:rFonts w:ascii="Times New Roman" w:eastAsia="MS PGothic" w:hAnsi="Times New Roman"/>
          <w:lang w:val="en-US"/>
        </w:rPr>
        <w:instrText>ADDIN CSL_CITATION {"citationItems":[{"id":"ITEM-1","itemData":{"DOI":"10.1080/07373937.2012.662711","ISSN":"07373937","abstract":"This article is focused on the design of pharmaceutical freeze-drying recipes using in-line or off-line tools. In particular, the model predictive control system is here used to optimize the in-line process, and the design space is used for off-line optimization. Because both methods uses a mathematical model of the process, the problem of estimating the model parameters, including their uncertainty or variability in the lot of vials, is addressed. Then, the strengths and the weaknesses of the various methods are discussed, with particular emphasis on their robustness and their application in industrial-scale freeze dryers. In particular, the ability of the model predictive control tool to obtain the optimal recipe in only one run and its capacity to manage the system in case of an in-line modification of the product properties are shown. For this purpose, experimental results obtained for sucrose- and mannitol-based formulations are presented. © 2012 Copyright Taylor and Francis Group, LLC.","author":[{"dropping-particle":"","family":"Fissore","given":"Davide","non-dropping-particle":"","parse-names":false,"suffix":""},{"dropping-particle":"","family":"Pisano","given":"Roberto","non-dropping-particle":"","parse-names":false,"suffix":""},{"dropping-particle":"","family":"Barresi","given":"Antonello A.","non-dropping-particle":"","parse-names":false,"suffix":""}],"container-title":"Drying Technology","id":"ITEM-1","issue":"9","issued":{"date-parts":[["2012"]]},"page":"946-958","title":"A Model-Based Framework to Optimize Pharmaceuticals Freeze Drying","type":"article-journal","volume":"30"},"uris":["http://www.mendeley.com/documents/?uuid=627bf9bb-0d2a-4339-9f7d-e3553fefd3a7"]},{"id":"ITEM-2","itemData":{"DOI":"10.1021/acs.iecr.0c03115","ISSN":"0888-5885","author":[{"dropping-particle":"","family":"De-Luca","given":"Riccardo","non-dropping-particle":"","parse-names":false,"suffix":""},{"dropping-particle":"","family":"Bano","given":"Gabriele","non-dropping-particle":"","parse-names":false,"suffix":""},{"dropping-particle":"","family":"Tomba","given":"Emanuele","non-dropping-particle":"","parse-names":false,"suffix":""},{"dropping-particle":"","family":"Bezzo","given":"Fabrizio","non-dropping-particle":"","parse-names":false,"suffix":""},{"dropping-particle":"","family":"Barolo","given":"Massimiliano","non-dropping-particle":"","parse-names":false,"suffix":""}],"container-title":"Industrial &amp; Engineering Chemistry Research","id":"ITEM-2","issue":"45","issued":{"date-parts":[["2020","11","11"]]},"page":"20071-20085","title":"Accelerating the Development and Transfer of Freeze-Drying Operations for the Manufacturing of Biopharmaceuticals by Model-Based Design of Experiments","type":"article-journal","volume":"59"},"uris":["http://www.mendeley.com/documents/?uuid=6bda2974-2500-4e40-8912-7ca70d428267"]}],"mendeley":{"formattedCitation":"[3,4]","plainTextFormattedCitation":"[3,4]","previouslyFormattedCitation":"[2,3]"},"properties":{"noteIndex":0},"schema":"https://github.com/citation-style-language/schema/raw/master/csl-citation.json"}</w:instrText>
      </w:r>
      <w:r w:rsidR="00756F43" w:rsidRPr="00BA397F">
        <w:rPr>
          <w:rFonts w:ascii="Times New Roman" w:eastAsia="MS PGothic" w:hAnsi="Times New Roman"/>
          <w:lang w:val="en-US"/>
        </w:rPr>
        <w:fldChar w:fldCharType="separate"/>
      </w:r>
      <w:r w:rsidR="00CC0A11" w:rsidRPr="00CC0A11">
        <w:rPr>
          <w:rFonts w:ascii="Times New Roman" w:eastAsia="MS PGothic" w:hAnsi="Times New Roman"/>
          <w:noProof/>
          <w:lang w:val="en-US"/>
        </w:rPr>
        <w:t>[3,4]</w:t>
      </w:r>
      <w:r w:rsidR="00756F43" w:rsidRPr="00BA397F">
        <w:rPr>
          <w:rFonts w:ascii="Times New Roman" w:eastAsia="MS PGothic" w:hAnsi="Times New Roman"/>
          <w:lang w:val="en-US"/>
        </w:rPr>
        <w:fldChar w:fldCharType="end"/>
      </w:r>
      <w:r w:rsidR="00115569">
        <w:rPr>
          <w:rFonts w:ascii="Times New Roman" w:eastAsia="MS PGothic" w:hAnsi="Times New Roman"/>
          <w:lang w:val="en-US"/>
        </w:rPr>
        <w:t>, but f</w:t>
      </w:r>
      <w:r w:rsidR="00284ADB">
        <w:rPr>
          <w:rFonts w:ascii="Times New Roman" w:eastAsia="MS PGothic" w:hAnsi="Times New Roman"/>
          <w:lang w:val="en-US"/>
        </w:rPr>
        <w:t xml:space="preserve">inding the optimal </w:t>
      </w:r>
      <w:r w:rsidR="00115569">
        <w:rPr>
          <w:rFonts w:ascii="Times New Roman" w:eastAsia="MS PGothic" w:hAnsi="Times New Roman"/>
          <w:lang w:val="en-US"/>
        </w:rPr>
        <w:t xml:space="preserve">input </w:t>
      </w:r>
      <w:r w:rsidR="00284ADB">
        <w:rPr>
          <w:rFonts w:ascii="Times New Roman" w:eastAsia="MS PGothic" w:hAnsi="Times New Roman"/>
          <w:lang w:val="en-US"/>
        </w:rPr>
        <w:t>profiles</w:t>
      </w:r>
      <w:r w:rsidR="00E92658">
        <w:rPr>
          <w:rFonts w:ascii="Times New Roman" w:eastAsia="MS PGothic" w:hAnsi="Times New Roman"/>
          <w:lang w:val="en-US"/>
        </w:rPr>
        <w:t xml:space="preserve"> </w:t>
      </w:r>
      <w:r w:rsidR="00284ADB">
        <w:rPr>
          <w:rFonts w:ascii="Times New Roman" w:eastAsia="MS PGothic" w:hAnsi="Times New Roman"/>
          <w:lang w:val="en-US"/>
        </w:rPr>
        <w:t xml:space="preserve">experimentally is not trivial, because constraints exist on </w:t>
      </w:r>
      <w:r w:rsidR="00765D93" w:rsidRPr="00BA397F">
        <w:rPr>
          <w:rFonts w:ascii="Times New Roman" w:eastAsia="MS PGothic" w:hAnsi="Times New Roman"/>
          <w:lang w:val="en-US"/>
        </w:rPr>
        <w:t>product temperature and sublimation rate</w:t>
      </w:r>
      <w:r w:rsidR="00BC4F95">
        <w:rPr>
          <w:rFonts w:ascii="Times New Roman" w:eastAsia="MS PGothic" w:hAnsi="Times New Roman"/>
          <w:lang w:val="en-US"/>
        </w:rPr>
        <w:t>.</w:t>
      </w:r>
      <w:r w:rsidR="00FA04EF" w:rsidRPr="00BA397F">
        <w:rPr>
          <w:rFonts w:ascii="Times New Roman" w:eastAsia="MS PGothic" w:hAnsi="Times New Roman"/>
          <w:lang w:val="en-US"/>
        </w:rPr>
        <w:t xml:space="preserve"> </w:t>
      </w:r>
      <w:r w:rsidR="00761AA2">
        <w:rPr>
          <w:rFonts w:ascii="Times New Roman" w:eastAsia="MS PGothic" w:hAnsi="Times New Roman"/>
          <w:lang w:val="en-US"/>
        </w:rPr>
        <w:t>A recent</w:t>
      </w:r>
      <w:r w:rsidR="00284ADB">
        <w:rPr>
          <w:rFonts w:ascii="Times New Roman" w:eastAsia="MS PGothic" w:hAnsi="Times New Roman"/>
          <w:lang w:val="en-US"/>
        </w:rPr>
        <w:t>ly developed</w:t>
      </w:r>
      <w:r w:rsidR="00D226B3">
        <w:rPr>
          <w:rFonts w:ascii="Times New Roman" w:eastAsia="MS PGothic" w:hAnsi="Times New Roman"/>
          <w:lang w:val="en-US"/>
        </w:rPr>
        <w:t xml:space="preserve"> detailed</w:t>
      </w:r>
      <w:r w:rsidR="00761AA2">
        <w:rPr>
          <w:rFonts w:ascii="Times New Roman" w:eastAsia="MS PGothic" w:hAnsi="Times New Roman"/>
          <w:lang w:val="en-US"/>
        </w:rPr>
        <w:t xml:space="preserve"> first</w:t>
      </w:r>
      <w:r w:rsidR="00284ADB">
        <w:rPr>
          <w:rFonts w:ascii="Times New Roman" w:eastAsia="MS PGothic" w:hAnsi="Times New Roman"/>
          <w:lang w:val="en-US"/>
        </w:rPr>
        <w:t>-</w:t>
      </w:r>
      <w:r w:rsidR="00761AA2">
        <w:rPr>
          <w:rFonts w:ascii="Times New Roman" w:eastAsia="MS PGothic" w:hAnsi="Times New Roman"/>
          <w:lang w:val="en-US"/>
        </w:rPr>
        <w:t>principle</w:t>
      </w:r>
      <w:r w:rsidR="00115569">
        <w:rPr>
          <w:rFonts w:ascii="Times New Roman" w:eastAsia="MS PGothic" w:hAnsi="Times New Roman"/>
          <w:lang w:val="en-US"/>
        </w:rPr>
        <w:t>s</w:t>
      </w:r>
      <w:r w:rsidR="00761AA2">
        <w:rPr>
          <w:rFonts w:ascii="Times New Roman" w:eastAsia="MS PGothic" w:hAnsi="Times New Roman"/>
          <w:lang w:val="en-US"/>
        </w:rPr>
        <w:t xml:space="preserve"> model </w:t>
      </w:r>
      <w:r w:rsidR="00284ADB">
        <w:rPr>
          <w:rFonts w:ascii="Times New Roman" w:eastAsia="MS PGothic" w:hAnsi="Times New Roman"/>
          <w:lang w:val="en-US"/>
        </w:rPr>
        <w:t xml:space="preserve">of the </w:t>
      </w:r>
      <w:r w:rsidR="00115569">
        <w:rPr>
          <w:rFonts w:ascii="Times New Roman" w:eastAsia="MS PGothic" w:hAnsi="Times New Roman"/>
          <w:lang w:val="en-US"/>
        </w:rPr>
        <w:t xml:space="preserve">process </w:t>
      </w:r>
      <w:r w:rsidR="00761AA2">
        <w:rPr>
          <w:rFonts w:ascii="Times New Roman" w:eastAsia="MS PGothic" w:hAnsi="Times New Roman"/>
          <w:lang w:val="en-US"/>
        </w:rPr>
        <w:t xml:space="preserve">may help virtualize </w:t>
      </w:r>
      <w:r w:rsidR="00115569">
        <w:rPr>
          <w:rFonts w:ascii="Times New Roman" w:eastAsia="MS PGothic" w:hAnsi="Times New Roman"/>
          <w:lang w:val="en-US"/>
        </w:rPr>
        <w:t>it</w:t>
      </w:r>
      <w:r w:rsidR="005A1544">
        <w:rPr>
          <w:rFonts w:ascii="Times New Roman" w:eastAsia="MS PGothic" w:hAnsi="Times New Roman"/>
          <w:lang w:val="en-US"/>
        </w:rPr>
        <w:t xml:space="preserve"> </w:t>
      </w:r>
      <w:r w:rsidR="00823CAC" w:rsidRPr="00BA397F">
        <w:rPr>
          <w:rFonts w:ascii="Times New Roman" w:eastAsia="MS PGothic" w:hAnsi="Times New Roman"/>
          <w:lang w:val="en-US"/>
        </w:rPr>
        <w:fldChar w:fldCharType="begin" w:fldLock="1"/>
      </w:r>
      <w:r w:rsidR="00CC0A11">
        <w:rPr>
          <w:rFonts w:ascii="Times New Roman" w:eastAsia="MS PGothic" w:hAnsi="Times New Roman"/>
          <w:lang w:val="en-US"/>
        </w:rPr>
        <w:instrText>ADDIN CSL_CITATION {"citationItems":[{"id":"ITEM-1","itemData":{"DOI":"10.1021/acs.iecr.9b06402","ISSN":"0888-5885","abstract":"Primary drying is the most time-consuming and energy-intensive step in pharmaceutical freeze-drying. Minimizing the duration of this stage is of paramount importance to speed up process development and product manufacturing. In this study, we propose a stochastic modeling framework that can help to reach this target. The framework is composed of five sequential steps: Model development, sensitivity analysis, model calibration, model validation, and dynamic optimization. Three critical issues are addressed and accounted for in the model structure, namely, (i) the effect of time-varying operating conditions on the process key performance indicators (KPIs); (ii) the dynamic evolution of the water vapor partial pressure inside the drying chamber; and (iii) the impact of drying heterogeneity on the primary drying duration. We cope with the first two issues by introducing macroscopic energy and mass balances within the model formulation. The third issue is addressed by allocating intralot variability as a parametric uncertainty in the model parameter with the strongest sensitivity toward the process KPIs. The proposed stochastic model is calibrated and validated with data generated from industrial experiments. Nonlinear dynamic optimization is then exploited to minimize the duration of primary drying while simultaneously guaranteeing the fulfillment of tight constraints on the product temperature and sublimation rate. Experimental results show a reduction of â&amp;circ;20% of the primary drying duration with the optimized protocol when compared to standard (i.e., at constant shelf temperature and chamber pressure) protocols, while ensuring the same product quality.","author":[{"dropping-particle":"","family":"Bano","given":"Gabriele","non-dropping-particle":"","parse-names":false,"suffix":""},{"dropping-particle":"","family":"De-Luca","given":"Riccardo","non-dropping-particle":"","parse-names":false,"suffix":""},{"dropping-particle":"","family":"Tomba","given":"Emanuele","non-dropping-particle":"","parse-names":false,"suffix":""},{"dropping-particle":"","family":"Marcelli","given":"Agnese","non-dropping-particle":"","parse-names":false,"suffix":""},{"dropping-particle":"","family":"Bezzo","given":"Fabrizio","non-dropping-particle":"","parse-names":false,"suffix":""},{"dropping-particle":"","family":"Barolo","given":"Massimiliano","non-dropping-particle":"","parse-names":false,"suffix":""}],"container-title":"Industrial &amp; Engineering Chemistry Research","id":"ITEM-1","issue":"11","issued":{"date-parts":[["2020","3","18"]]},"page":"5056-5071","title":"Primary Drying Optimization in Pharmaceutical Freeze-Drying: A Multivial Stochastic Modeling Framework","type":"article-journal","volume":"59"},"uris":["http://www.mendeley.com/documents/?uuid=50955be8-eb9c-40c9-a09c-c00483e68084"]}],"mendeley":{"formattedCitation":"[5]","plainTextFormattedCitation":"[5]","previouslyFormattedCitation":"[4]"},"properties":{"noteIndex":0},"schema":"https://github.com/citation-style-language/schema/raw/master/csl-citation.json"}</w:instrText>
      </w:r>
      <w:r w:rsidR="00823CAC" w:rsidRPr="00BA397F">
        <w:rPr>
          <w:rFonts w:ascii="Times New Roman" w:eastAsia="MS PGothic" w:hAnsi="Times New Roman"/>
          <w:lang w:val="en-US"/>
        </w:rPr>
        <w:fldChar w:fldCharType="separate"/>
      </w:r>
      <w:r w:rsidR="00CC0A11" w:rsidRPr="00CC0A11">
        <w:rPr>
          <w:rFonts w:ascii="Times New Roman" w:eastAsia="MS PGothic" w:hAnsi="Times New Roman"/>
          <w:noProof/>
          <w:lang w:val="en-US"/>
        </w:rPr>
        <w:t>[5]</w:t>
      </w:r>
      <w:r w:rsidR="00823CAC" w:rsidRPr="00BA397F">
        <w:rPr>
          <w:rFonts w:ascii="Times New Roman" w:eastAsia="MS PGothic" w:hAnsi="Times New Roman"/>
          <w:lang w:val="en-US"/>
        </w:rPr>
        <w:fldChar w:fldCharType="end"/>
      </w:r>
      <w:r w:rsidR="00D524F7" w:rsidRPr="00BA397F">
        <w:rPr>
          <w:rFonts w:ascii="Times New Roman" w:eastAsia="MS PGothic" w:hAnsi="Times New Roman"/>
          <w:lang w:val="en-US"/>
        </w:rPr>
        <w:t>.</w:t>
      </w:r>
      <w:r w:rsidR="009B00A6" w:rsidRPr="00BA397F">
        <w:rPr>
          <w:rFonts w:ascii="Times New Roman" w:eastAsia="MS PGothic" w:hAnsi="Times New Roman"/>
          <w:lang w:val="en-US"/>
        </w:rPr>
        <w:t xml:space="preserve"> </w:t>
      </w:r>
      <w:r w:rsidR="00D226B3">
        <w:rPr>
          <w:rFonts w:ascii="Times New Roman" w:eastAsia="MS PGothic" w:hAnsi="Times New Roman"/>
          <w:lang w:val="en-US"/>
        </w:rPr>
        <w:t xml:space="preserve">However, optimization of the process performance using this </w:t>
      </w:r>
      <w:r w:rsidR="00BA3713">
        <w:rPr>
          <w:rFonts w:ascii="Times New Roman" w:eastAsia="MS PGothic" w:hAnsi="Times New Roman"/>
          <w:lang w:val="en-US"/>
        </w:rPr>
        <w:t xml:space="preserve">knowledge-driven </w:t>
      </w:r>
      <w:r w:rsidR="00D226B3">
        <w:rPr>
          <w:rFonts w:ascii="Times New Roman" w:eastAsia="MS PGothic" w:hAnsi="Times New Roman"/>
          <w:lang w:val="en-US"/>
        </w:rPr>
        <w:t>model is computationally expensive</w:t>
      </w:r>
      <w:r w:rsidR="00115569">
        <w:rPr>
          <w:rFonts w:ascii="Times New Roman" w:eastAsia="MS PGothic" w:hAnsi="Times New Roman"/>
          <w:lang w:val="en-US"/>
        </w:rPr>
        <w:t>, due to model stochasticity.</w:t>
      </w:r>
    </w:p>
    <w:p w14:paraId="6938EBA9" w14:textId="6EACC92E" w:rsidR="00E223AB" w:rsidRPr="00E223AB" w:rsidRDefault="005A1544" w:rsidP="005A1544">
      <w:pPr>
        <w:snapToGrid w:val="0"/>
        <w:spacing w:after="120"/>
        <w:jc w:val="both"/>
        <w:rPr>
          <w:rFonts w:ascii="Times New Roman" w:eastAsia="MS PGothic" w:hAnsi="Times New Roman"/>
          <w:lang w:val="en-US"/>
        </w:rPr>
      </w:pPr>
      <w:r>
        <w:rPr>
          <w:rFonts w:ascii="Times New Roman" w:eastAsia="MS PGothic" w:hAnsi="Times New Roman"/>
          <w:lang w:val="en-US"/>
        </w:rPr>
        <w:t xml:space="preserve">In this study, a data-driven approach </w:t>
      </w:r>
      <w:r w:rsidR="00D226B3">
        <w:rPr>
          <w:rFonts w:ascii="Times New Roman" w:eastAsia="MS PGothic" w:hAnsi="Times New Roman"/>
          <w:lang w:val="en-US"/>
        </w:rPr>
        <w:t xml:space="preserve">to process optimization </w:t>
      </w:r>
      <w:r w:rsidR="00284ADB">
        <w:rPr>
          <w:rFonts w:ascii="Times New Roman" w:eastAsia="MS PGothic" w:hAnsi="Times New Roman"/>
          <w:lang w:val="en-US"/>
        </w:rPr>
        <w:t>is</w:t>
      </w:r>
      <w:r>
        <w:rPr>
          <w:rFonts w:ascii="Times New Roman" w:eastAsia="MS PGothic" w:hAnsi="Times New Roman"/>
          <w:lang w:val="en-US"/>
        </w:rPr>
        <w:t xml:space="preserve"> </w:t>
      </w:r>
      <w:r w:rsidR="00284ADB">
        <w:rPr>
          <w:rFonts w:ascii="Times New Roman" w:eastAsia="MS PGothic" w:hAnsi="Times New Roman"/>
          <w:lang w:val="en-US"/>
        </w:rPr>
        <w:t>developed</w:t>
      </w:r>
      <w:r>
        <w:rPr>
          <w:rFonts w:ascii="Times New Roman" w:eastAsia="MS PGothic" w:hAnsi="Times New Roman"/>
          <w:lang w:val="en-US"/>
        </w:rPr>
        <w:t xml:space="preserve"> </w:t>
      </w:r>
      <w:r w:rsidR="00BC4F95">
        <w:rPr>
          <w:rFonts w:ascii="Times New Roman" w:eastAsia="MS PGothic" w:hAnsi="Times New Roman"/>
          <w:lang w:val="en-US"/>
        </w:rPr>
        <w:t xml:space="preserve">by </w:t>
      </w:r>
      <w:r w:rsidR="00EA6E42">
        <w:rPr>
          <w:rFonts w:ascii="Times New Roman" w:eastAsia="MS PGothic" w:hAnsi="Times New Roman"/>
          <w:lang w:val="en-US"/>
        </w:rPr>
        <w:t>designing</w:t>
      </w:r>
      <w:r>
        <w:rPr>
          <w:rFonts w:ascii="Times New Roman" w:eastAsia="MS PGothic" w:hAnsi="Times New Roman"/>
          <w:lang w:val="en-US"/>
        </w:rPr>
        <w:t xml:space="preserve"> time-varying inputs through</w:t>
      </w:r>
      <w:r w:rsidR="00B85BD0" w:rsidRPr="00BA397F">
        <w:rPr>
          <w:rFonts w:ascii="Times New Roman" w:eastAsia="MS PGothic" w:hAnsi="Times New Roman"/>
          <w:lang w:val="en-US"/>
        </w:rPr>
        <w:t xml:space="preserve"> </w:t>
      </w:r>
      <w:r w:rsidR="00284ADB">
        <w:rPr>
          <w:rFonts w:ascii="Times New Roman" w:eastAsia="MS PGothic" w:hAnsi="Times New Roman"/>
          <w:lang w:val="en-US"/>
        </w:rPr>
        <w:t>d</w:t>
      </w:r>
      <w:r w:rsidR="00B85BD0" w:rsidRPr="00BA397F">
        <w:rPr>
          <w:rFonts w:ascii="Times New Roman" w:eastAsia="MS PGothic" w:hAnsi="Times New Roman"/>
          <w:lang w:val="en-US"/>
        </w:rPr>
        <w:t xml:space="preserve">esign of </w:t>
      </w:r>
      <w:r w:rsidR="00284ADB">
        <w:rPr>
          <w:rFonts w:ascii="Times New Roman" w:eastAsia="MS PGothic" w:hAnsi="Times New Roman"/>
          <w:lang w:val="en-US"/>
        </w:rPr>
        <w:t>d</w:t>
      </w:r>
      <w:r w:rsidR="00B85BD0" w:rsidRPr="00BA397F">
        <w:rPr>
          <w:rFonts w:ascii="Times New Roman" w:eastAsia="MS PGothic" w:hAnsi="Times New Roman"/>
          <w:lang w:val="en-US"/>
        </w:rPr>
        <w:t xml:space="preserve">ynamic </w:t>
      </w:r>
      <w:r w:rsidR="00284ADB">
        <w:rPr>
          <w:rFonts w:ascii="Times New Roman" w:eastAsia="MS PGothic" w:hAnsi="Times New Roman"/>
          <w:lang w:val="en-US"/>
        </w:rPr>
        <w:t>e</w:t>
      </w:r>
      <w:r w:rsidR="00B85BD0" w:rsidRPr="00BA397F">
        <w:rPr>
          <w:rFonts w:ascii="Times New Roman" w:eastAsia="MS PGothic" w:hAnsi="Times New Roman"/>
          <w:lang w:val="en-US"/>
        </w:rPr>
        <w:t>xperiments</w:t>
      </w:r>
      <w:r w:rsidR="00284ADB">
        <w:rPr>
          <w:rFonts w:ascii="Times New Roman" w:eastAsia="MS PGothic" w:hAnsi="Times New Roman"/>
          <w:lang w:val="en-US"/>
        </w:rPr>
        <w:t xml:space="preserve"> (DoDE)</w:t>
      </w:r>
      <w:r w:rsidR="00B85BD0" w:rsidRPr="00BA397F">
        <w:rPr>
          <w:rFonts w:ascii="Times New Roman" w:eastAsia="MS PGothic" w:hAnsi="Times New Roman"/>
          <w:lang w:val="en-US"/>
        </w:rPr>
        <w:t xml:space="preserve"> </w:t>
      </w:r>
      <w:r w:rsidR="00B85BD0" w:rsidRPr="00BA397F">
        <w:rPr>
          <w:rFonts w:ascii="Times New Roman" w:eastAsia="MS PGothic" w:hAnsi="Times New Roman"/>
          <w:lang w:val="en-US"/>
        </w:rPr>
        <w:fldChar w:fldCharType="begin" w:fldLock="1"/>
      </w:r>
      <w:r w:rsidR="00CC0A11">
        <w:rPr>
          <w:rFonts w:ascii="Times New Roman" w:eastAsia="MS PGothic" w:hAnsi="Times New Roman"/>
          <w:lang w:val="en-US"/>
        </w:rPr>
        <w:instrText>ADDIN CSL_CITATION {"citationItems":[{"id":"ITEM-1","itemData":{"DOI":"10.1021/ie3035114","ISSN":"0888-5885","abstract":"A new methodology for the design of experiments is presented that provides a way to optimize the operation of a variety of batch and semibatch or fed-batch processes without the use of a knowledge-driven or fundamental model describing the inner workings of the process, when one or more time-varying decision variables must be selected. The types of processes that can benefit from this approach include those producing specialty chemical, pharmaceutical, or food products whose production rate is not high enough to justify the development of a knowledge-driven model. The approach generalizes the classical and widely used Design of Experiments (DoE), which considers only decision variables, or factors, which are constant with time. The new approach, called the Design of Dynamic Experiments (DoDE), systematically designs experiments that explore a considerable number of dynamic signatures, called dynamic subfactors (DSFs), in the time dependency of the unknown decision variables or factors. Two example processes - a batch nonisothermal reactor and a semibatch penicillin fermentation process - amply demonstrate the utility of the method. In both cases, a small number of experiments lead to the quick and accurate optimization of the process. The calculated optimal operating conditions through the proposed DoDE approach are only slightly different from the optimum that would have been obtained if a knowledge-driven model were available. © 2013 American Chemical Society.","author":[{"dropping-particle":"","family":"Georgakis","given":"Christos","non-dropping-particle":"","parse-names":false,"suffix":""}],"container-title":"Industrial &amp; Engineering Chemistry Research","id":"ITEM-1","issue":"35","issued":{"date-parts":[["2013","9","4"]]},"page":"12369-12382","title":"Design of Dynamic Experiments: A Data-Driven Methodology for the Optimization of Time-Varying Processes","type":"article-journal","volume":"52"},"uris":["http://www.mendeley.com/documents/?uuid=bdf1b345-bce6-4c68-a90a-7bcd1bbaa743"]}],"mendeley":{"formattedCitation":"[6]","plainTextFormattedCitation":"[6]","previouslyFormattedCitation":"[5]"},"properties":{"noteIndex":0},"schema":"https://github.com/citation-style-language/schema/raw/master/csl-citation.json"}</w:instrText>
      </w:r>
      <w:r w:rsidR="00B85BD0" w:rsidRPr="00BA397F">
        <w:rPr>
          <w:rFonts w:ascii="Times New Roman" w:eastAsia="MS PGothic" w:hAnsi="Times New Roman"/>
          <w:lang w:val="en-US"/>
        </w:rPr>
        <w:fldChar w:fldCharType="separate"/>
      </w:r>
      <w:r w:rsidR="00CC0A11" w:rsidRPr="00CC0A11">
        <w:rPr>
          <w:rFonts w:ascii="Times New Roman" w:eastAsia="MS PGothic" w:hAnsi="Times New Roman"/>
          <w:noProof/>
          <w:lang w:val="en-US"/>
        </w:rPr>
        <w:t>[6]</w:t>
      </w:r>
      <w:r w:rsidR="00B85BD0" w:rsidRPr="00BA397F">
        <w:rPr>
          <w:rFonts w:ascii="Times New Roman" w:eastAsia="MS PGothic" w:hAnsi="Times New Roman"/>
          <w:lang w:val="en-US"/>
        </w:rPr>
        <w:fldChar w:fldCharType="end"/>
      </w:r>
      <w:r w:rsidR="00AF576C">
        <w:rPr>
          <w:rFonts w:ascii="Times New Roman" w:eastAsia="MS PGothic" w:hAnsi="Times New Roman"/>
          <w:lang w:val="en-US"/>
        </w:rPr>
        <w:t xml:space="preserve">. </w:t>
      </w:r>
      <w:r w:rsidR="0053524E">
        <w:rPr>
          <w:rFonts w:ascii="Times New Roman" w:eastAsia="MS PGothic" w:hAnsi="Times New Roman"/>
          <w:lang w:val="en-US"/>
        </w:rPr>
        <w:t xml:space="preserve">The </w:t>
      </w:r>
      <w:r w:rsidR="00D226B3">
        <w:rPr>
          <w:rFonts w:ascii="Times New Roman" w:eastAsia="MS PGothic" w:hAnsi="Times New Roman"/>
          <w:lang w:val="en-US"/>
        </w:rPr>
        <w:t xml:space="preserve">first-principles </w:t>
      </w:r>
      <w:r w:rsidR="00BC4F95">
        <w:rPr>
          <w:rFonts w:ascii="Times New Roman" w:eastAsia="MS PGothic" w:hAnsi="Times New Roman"/>
          <w:lang w:val="en-US"/>
        </w:rPr>
        <w:t xml:space="preserve">model </w:t>
      </w:r>
      <w:r w:rsidR="00284ADB">
        <w:rPr>
          <w:rFonts w:ascii="Times New Roman" w:eastAsia="MS PGothic" w:hAnsi="Times New Roman"/>
          <w:lang w:val="en-US"/>
        </w:rPr>
        <w:t>is</w:t>
      </w:r>
      <w:r w:rsidR="00FF29F4">
        <w:rPr>
          <w:rFonts w:ascii="Times New Roman" w:eastAsia="MS PGothic" w:hAnsi="Times New Roman"/>
          <w:lang w:val="en-US"/>
        </w:rPr>
        <w:t xml:space="preserve"> </w:t>
      </w:r>
      <w:r w:rsidR="0053524E">
        <w:rPr>
          <w:rFonts w:ascii="Times New Roman" w:eastAsia="MS PGothic" w:hAnsi="Times New Roman"/>
          <w:lang w:val="en-US"/>
        </w:rPr>
        <w:t xml:space="preserve">used </w:t>
      </w:r>
      <w:r w:rsidR="00BC4F95">
        <w:rPr>
          <w:rFonts w:ascii="Times New Roman" w:eastAsia="MS PGothic" w:hAnsi="Times New Roman"/>
          <w:lang w:val="en-US"/>
        </w:rPr>
        <w:t xml:space="preserve">to </w:t>
      </w:r>
      <w:r w:rsidR="00284ADB">
        <w:rPr>
          <w:rFonts w:ascii="Times New Roman" w:eastAsia="MS PGothic" w:hAnsi="Times New Roman"/>
          <w:lang w:val="en-US"/>
        </w:rPr>
        <w:t>carry out the designed experiments</w:t>
      </w:r>
      <w:r w:rsidR="00115569">
        <w:rPr>
          <w:rFonts w:ascii="Times New Roman" w:eastAsia="MS PGothic" w:hAnsi="Times New Roman"/>
          <w:lang w:val="en-US"/>
        </w:rPr>
        <w:t xml:space="preserve">, through which one can </w:t>
      </w:r>
      <w:r w:rsidR="00BC4F95">
        <w:rPr>
          <w:rFonts w:ascii="Times New Roman" w:eastAsia="MS PGothic" w:hAnsi="Times New Roman"/>
          <w:lang w:val="en-US"/>
        </w:rPr>
        <w:t xml:space="preserve">calibrate </w:t>
      </w:r>
      <w:r w:rsidR="00284ADB">
        <w:rPr>
          <w:rFonts w:ascii="Times New Roman" w:eastAsia="MS PGothic" w:hAnsi="Times New Roman"/>
          <w:lang w:val="en-US"/>
        </w:rPr>
        <w:t>appropriate response surface models (RSMs)</w:t>
      </w:r>
      <w:r w:rsidR="00421BB7">
        <w:rPr>
          <w:rFonts w:ascii="Times New Roman" w:eastAsia="MS PGothic" w:hAnsi="Times New Roman"/>
          <w:lang w:val="en-US"/>
        </w:rPr>
        <w:t xml:space="preserve"> describing the </w:t>
      </w:r>
      <w:r w:rsidR="00816E49">
        <w:rPr>
          <w:rFonts w:ascii="Times New Roman" w:eastAsia="MS PGothic" w:hAnsi="Times New Roman"/>
          <w:lang w:val="en-US"/>
        </w:rPr>
        <w:t xml:space="preserve">main response variables of the </w:t>
      </w:r>
      <w:r w:rsidR="00421BB7">
        <w:rPr>
          <w:rFonts w:ascii="Times New Roman" w:eastAsia="MS PGothic" w:hAnsi="Times New Roman"/>
          <w:lang w:val="en-US"/>
        </w:rPr>
        <w:t xml:space="preserve">process. </w:t>
      </w:r>
      <w:r w:rsidR="002C60DE">
        <w:rPr>
          <w:rFonts w:ascii="Times New Roman" w:eastAsia="MS PGothic" w:hAnsi="Times New Roman"/>
          <w:lang w:val="en-US"/>
        </w:rPr>
        <w:t xml:space="preserve">The best trajectories of the manipulated inputs are calculated </w:t>
      </w:r>
      <w:r w:rsidR="002F30C0">
        <w:rPr>
          <w:rFonts w:ascii="Times New Roman" w:eastAsia="MS PGothic" w:hAnsi="Times New Roman"/>
          <w:lang w:val="en-US"/>
        </w:rPr>
        <w:t xml:space="preserve">by </w:t>
      </w:r>
      <w:r w:rsidR="002C60DE">
        <w:rPr>
          <w:rFonts w:ascii="Times New Roman" w:eastAsia="MS PGothic" w:hAnsi="Times New Roman"/>
          <w:lang w:val="en-US"/>
        </w:rPr>
        <w:t xml:space="preserve">optimization </w:t>
      </w:r>
      <w:r w:rsidR="002F30C0">
        <w:rPr>
          <w:rFonts w:ascii="Times New Roman" w:eastAsia="MS PGothic" w:hAnsi="Times New Roman"/>
          <w:lang w:val="en-US"/>
        </w:rPr>
        <w:t xml:space="preserve">from </w:t>
      </w:r>
      <w:r w:rsidR="002C60DE">
        <w:rPr>
          <w:rFonts w:ascii="Times New Roman" w:eastAsia="MS PGothic" w:hAnsi="Times New Roman"/>
          <w:lang w:val="en-US"/>
        </w:rPr>
        <w:t>the RSMs</w:t>
      </w:r>
      <w:r w:rsidR="002F30C0">
        <w:rPr>
          <w:rFonts w:ascii="Times New Roman" w:eastAsia="MS PGothic" w:hAnsi="Times New Roman"/>
          <w:lang w:val="en-US"/>
        </w:rPr>
        <w:t>, which are computationally inexpensive</w:t>
      </w:r>
      <w:r w:rsidR="00A07DB6">
        <w:rPr>
          <w:rFonts w:ascii="Times New Roman" w:eastAsia="MS PGothic" w:hAnsi="Times New Roman"/>
          <w:lang w:val="en-US"/>
        </w:rPr>
        <w:t>.</w:t>
      </w:r>
      <w:r w:rsidR="00117DC4">
        <w:rPr>
          <w:rFonts w:ascii="Times New Roman" w:eastAsia="MS PGothic" w:hAnsi="Times New Roman"/>
          <w:lang w:val="en-US"/>
        </w:rPr>
        <w:t xml:space="preserve"> Results are then compared with the direct optimization of the </w:t>
      </w:r>
      <w:r w:rsidR="000B0E2B">
        <w:rPr>
          <w:rFonts w:ascii="Times New Roman" w:eastAsia="MS PGothic" w:hAnsi="Times New Roman"/>
          <w:lang w:val="en-US"/>
        </w:rPr>
        <w:t>first-principle</w:t>
      </w:r>
      <w:r w:rsidR="00D226B3">
        <w:rPr>
          <w:rFonts w:ascii="Times New Roman" w:eastAsia="MS PGothic" w:hAnsi="Times New Roman"/>
          <w:lang w:val="en-US"/>
        </w:rPr>
        <w:t>s</w:t>
      </w:r>
      <w:r w:rsidR="000B0E2B">
        <w:rPr>
          <w:rFonts w:ascii="Times New Roman" w:eastAsia="MS PGothic" w:hAnsi="Times New Roman"/>
          <w:lang w:val="en-US"/>
        </w:rPr>
        <w:t xml:space="preserve"> model.</w:t>
      </w:r>
    </w:p>
    <w:p w14:paraId="0528A46E" w14:textId="241E918A" w:rsidR="00DA51A3" w:rsidRPr="00466FFD" w:rsidRDefault="00D640E5" w:rsidP="00DA51A3">
      <w:pPr>
        <w:snapToGrid w:val="0"/>
        <w:spacing w:before="240" w:line="300" w:lineRule="auto"/>
        <w:rPr>
          <w:rFonts w:ascii="Times New Roman" w:eastAsia="MS PGothic" w:hAnsi="Times New Roman"/>
          <w:lang w:val="en-US"/>
        </w:rPr>
      </w:pPr>
      <w:r>
        <w:rPr>
          <w:rFonts w:ascii="Times New Roman" w:eastAsia="MS PGothic" w:hAnsi="Times New Roman"/>
          <w:b/>
          <w:bCs/>
          <w:lang w:val="en-US"/>
        </w:rPr>
        <w:t>2</w:t>
      </w:r>
      <w:r w:rsidR="00DA51A3" w:rsidRPr="00466FFD">
        <w:rPr>
          <w:rFonts w:ascii="Times New Roman" w:eastAsia="MS PGothic" w:hAnsi="Times New Roman"/>
          <w:b/>
          <w:bCs/>
          <w:lang w:val="en-US"/>
        </w:rPr>
        <w:t xml:space="preserve">. Results and </w:t>
      </w:r>
      <w:r w:rsidR="001411DC">
        <w:rPr>
          <w:rFonts w:ascii="Times New Roman" w:eastAsia="MS PGothic" w:hAnsi="Times New Roman"/>
          <w:b/>
          <w:bCs/>
          <w:lang w:val="en-US"/>
        </w:rPr>
        <w:t>conclusions</w:t>
      </w:r>
    </w:p>
    <w:p w14:paraId="69C6B081" w14:textId="116ABDAE" w:rsidR="00D51064" w:rsidRPr="00466FFD" w:rsidRDefault="00AA4B46" w:rsidP="001411DC">
      <w:pPr>
        <w:snapToGrid w:val="0"/>
        <w:spacing w:after="120"/>
        <w:jc w:val="both"/>
        <w:rPr>
          <w:rFonts w:ascii="Times New Roman" w:eastAsia="MS PGothic" w:hAnsi="Times New Roman"/>
          <w:lang w:val="en-US"/>
        </w:rPr>
      </w:pPr>
      <w:r>
        <w:rPr>
          <w:rFonts w:ascii="Times New Roman" w:eastAsia="MS PGothic" w:hAnsi="Times New Roman"/>
          <w:lang w:val="en-US"/>
        </w:rPr>
        <w:t>Both optimization approaches</w:t>
      </w:r>
      <w:r w:rsidR="005224B6">
        <w:rPr>
          <w:rFonts w:ascii="Times New Roman" w:eastAsia="MS PGothic" w:hAnsi="Times New Roman"/>
          <w:lang w:val="en-US"/>
        </w:rPr>
        <w:t xml:space="preserve"> (via first-principles or data-driven modeling)</w:t>
      </w:r>
      <w:r>
        <w:rPr>
          <w:rFonts w:ascii="Times New Roman" w:eastAsia="MS PGothic" w:hAnsi="Times New Roman"/>
          <w:lang w:val="en-US"/>
        </w:rPr>
        <w:t xml:space="preserve"> allowed </w:t>
      </w:r>
      <w:r w:rsidR="00F204A5">
        <w:rPr>
          <w:rFonts w:ascii="Times New Roman" w:eastAsia="MS PGothic" w:hAnsi="Times New Roman"/>
          <w:lang w:val="en-US"/>
        </w:rPr>
        <w:t>reduc</w:t>
      </w:r>
      <w:r w:rsidR="005224B6">
        <w:rPr>
          <w:rFonts w:ascii="Times New Roman" w:eastAsia="MS PGothic" w:hAnsi="Times New Roman"/>
          <w:lang w:val="en-US"/>
        </w:rPr>
        <w:t>ing</w:t>
      </w:r>
      <w:r>
        <w:rPr>
          <w:rFonts w:ascii="Times New Roman" w:eastAsia="MS PGothic" w:hAnsi="Times New Roman"/>
          <w:lang w:val="en-US"/>
        </w:rPr>
        <w:t xml:space="preserve"> the</w:t>
      </w:r>
      <w:r w:rsidR="000F2787">
        <w:rPr>
          <w:rFonts w:ascii="Times New Roman" w:eastAsia="MS PGothic" w:hAnsi="Times New Roman"/>
          <w:lang w:val="en-US"/>
        </w:rPr>
        <w:t xml:space="preserve"> duration of the freeze</w:t>
      </w:r>
      <w:r>
        <w:rPr>
          <w:rFonts w:ascii="Times New Roman" w:eastAsia="MS PGothic" w:hAnsi="Times New Roman"/>
          <w:lang w:val="en-US"/>
        </w:rPr>
        <w:t>-</w:t>
      </w:r>
      <w:r w:rsidR="000F2787">
        <w:rPr>
          <w:rFonts w:ascii="Times New Roman" w:eastAsia="MS PGothic" w:hAnsi="Times New Roman"/>
          <w:lang w:val="en-US"/>
        </w:rPr>
        <w:t>dry</w:t>
      </w:r>
      <w:r>
        <w:rPr>
          <w:rFonts w:ascii="Times New Roman" w:eastAsia="MS PGothic" w:hAnsi="Times New Roman"/>
          <w:lang w:val="en-US"/>
        </w:rPr>
        <w:t>i</w:t>
      </w:r>
      <w:r w:rsidR="000F2787">
        <w:rPr>
          <w:rFonts w:ascii="Times New Roman" w:eastAsia="MS PGothic" w:hAnsi="Times New Roman"/>
          <w:lang w:val="en-US"/>
        </w:rPr>
        <w:t>ng operation</w:t>
      </w:r>
      <w:r w:rsidR="00F204A5">
        <w:rPr>
          <w:rFonts w:ascii="Times New Roman" w:eastAsia="MS PGothic" w:hAnsi="Times New Roman"/>
          <w:lang w:val="en-US"/>
        </w:rPr>
        <w:t xml:space="preserve"> </w:t>
      </w:r>
      <w:r w:rsidR="002F30C0">
        <w:rPr>
          <w:rFonts w:ascii="Times New Roman" w:eastAsia="MS PGothic" w:hAnsi="Times New Roman"/>
          <w:lang w:val="en-US"/>
        </w:rPr>
        <w:t xml:space="preserve">significantly </w:t>
      </w:r>
      <w:r w:rsidR="00F204A5">
        <w:rPr>
          <w:rFonts w:ascii="Times New Roman" w:eastAsia="MS PGothic" w:hAnsi="Times New Roman"/>
          <w:lang w:val="en-US"/>
        </w:rPr>
        <w:t>with respect to a time-invariant recipe</w:t>
      </w:r>
      <w:r w:rsidR="002F30C0">
        <w:rPr>
          <w:rFonts w:ascii="Times New Roman" w:eastAsia="MS PGothic" w:hAnsi="Times New Roman"/>
          <w:lang w:val="en-US"/>
        </w:rPr>
        <w:t xml:space="preserve"> (Figure 1)</w:t>
      </w:r>
      <w:r w:rsidR="000F2787">
        <w:rPr>
          <w:rFonts w:ascii="Times New Roman" w:eastAsia="MS PGothic" w:hAnsi="Times New Roman"/>
          <w:lang w:val="en-US"/>
        </w:rPr>
        <w:t>.</w:t>
      </w:r>
      <w:r w:rsidR="00A320C1">
        <w:rPr>
          <w:rFonts w:ascii="Times New Roman" w:eastAsia="MS PGothic" w:hAnsi="Times New Roman"/>
          <w:lang w:val="en-US"/>
        </w:rPr>
        <w:t xml:space="preserve"> In particular, the data-driven approach</w:t>
      </w:r>
      <w:r>
        <w:rPr>
          <w:rFonts w:ascii="Times New Roman" w:eastAsia="MS PGothic" w:hAnsi="Times New Roman"/>
          <w:lang w:val="en-US"/>
        </w:rPr>
        <w:t xml:space="preserve"> </w:t>
      </w:r>
      <w:r w:rsidR="00A320C1">
        <w:rPr>
          <w:rFonts w:ascii="Times New Roman" w:eastAsia="MS PGothic" w:hAnsi="Times New Roman"/>
          <w:lang w:val="en-US"/>
        </w:rPr>
        <w:t>is shorter by 15%, while the knowledge</w:t>
      </w:r>
      <w:r w:rsidR="00BA3713">
        <w:rPr>
          <w:rFonts w:ascii="Times New Roman" w:eastAsia="MS PGothic" w:hAnsi="Times New Roman"/>
          <w:lang w:val="en-US"/>
        </w:rPr>
        <w:t>-driven one</w:t>
      </w:r>
      <w:r w:rsidR="00A320C1">
        <w:rPr>
          <w:rFonts w:ascii="Times New Roman" w:eastAsia="MS PGothic" w:hAnsi="Times New Roman"/>
          <w:lang w:val="en-US"/>
        </w:rPr>
        <w:t xml:space="preserve"> by 26%. </w:t>
      </w:r>
      <w:r w:rsidR="004862CF">
        <w:rPr>
          <w:rFonts w:ascii="Times New Roman" w:eastAsia="MS PGothic" w:hAnsi="Times New Roman"/>
          <w:lang w:val="en-US"/>
        </w:rPr>
        <w:t>However, the data</w:t>
      </w:r>
      <w:r w:rsidR="00560C38">
        <w:rPr>
          <w:rFonts w:ascii="Times New Roman" w:eastAsia="MS PGothic" w:hAnsi="Times New Roman"/>
          <w:lang w:val="en-US"/>
        </w:rPr>
        <w:t>-</w:t>
      </w:r>
      <w:r w:rsidR="004862CF">
        <w:rPr>
          <w:rFonts w:ascii="Times New Roman" w:eastAsia="MS PGothic" w:hAnsi="Times New Roman"/>
          <w:lang w:val="en-US"/>
        </w:rPr>
        <w:t>driven approach</w:t>
      </w:r>
      <w:r w:rsidR="00560C38">
        <w:rPr>
          <w:rFonts w:ascii="Times New Roman" w:eastAsia="MS PGothic" w:hAnsi="Times New Roman"/>
          <w:lang w:val="en-US"/>
        </w:rPr>
        <w:t xml:space="preserve"> required about one-third of the computational time of the knowledge-driven </w:t>
      </w:r>
      <w:r w:rsidR="002F30C0">
        <w:rPr>
          <w:rFonts w:ascii="Times New Roman" w:eastAsia="MS PGothic" w:hAnsi="Times New Roman"/>
          <w:lang w:val="en-US"/>
        </w:rPr>
        <w:t>approach</w:t>
      </w:r>
      <w:r w:rsidR="004862CF">
        <w:rPr>
          <w:rFonts w:ascii="Times New Roman" w:eastAsia="MS PGothic" w:hAnsi="Times New Roman"/>
          <w:lang w:val="en-US"/>
        </w:rPr>
        <w:t xml:space="preserve">. </w:t>
      </w:r>
      <w:r w:rsidR="00932934">
        <w:rPr>
          <w:rFonts w:ascii="Times New Roman" w:eastAsia="MS PGothic" w:hAnsi="Times New Roman"/>
          <w:lang w:val="en-US"/>
        </w:rPr>
        <w:t>For the data-driven approach</w:t>
      </w:r>
      <w:r w:rsidR="004862CF">
        <w:rPr>
          <w:rFonts w:ascii="Times New Roman" w:eastAsia="MS PGothic" w:hAnsi="Times New Roman"/>
          <w:lang w:val="en-US"/>
        </w:rPr>
        <w:t xml:space="preserve">, the main drawback was related to a slight violation on the constraint of the maximum product temperature. </w:t>
      </w:r>
      <w:r w:rsidR="00F204A5">
        <w:rPr>
          <w:rFonts w:ascii="Times New Roman" w:eastAsia="MS PGothic" w:hAnsi="Times New Roman"/>
          <w:lang w:val="en-US"/>
        </w:rPr>
        <w:t xml:space="preserve">This behavior </w:t>
      </w:r>
      <w:r>
        <w:rPr>
          <w:rFonts w:ascii="Times New Roman" w:eastAsia="MS PGothic" w:hAnsi="Times New Roman"/>
          <w:lang w:val="en-US"/>
        </w:rPr>
        <w:t xml:space="preserve">was expected as </w:t>
      </w:r>
      <w:r w:rsidR="00F204A5">
        <w:rPr>
          <w:rFonts w:ascii="Times New Roman" w:eastAsia="MS PGothic" w:hAnsi="Times New Roman"/>
          <w:lang w:val="en-US"/>
        </w:rPr>
        <w:t xml:space="preserve">no prior input-output relationship was available when </w:t>
      </w:r>
      <w:r w:rsidR="00560C38">
        <w:rPr>
          <w:rFonts w:ascii="Times New Roman" w:eastAsia="MS PGothic" w:hAnsi="Times New Roman"/>
          <w:lang w:val="en-US"/>
        </w:rPr>
        <w:t xml:space="preserve">the </w:t>
      </w:r>
      <w:r w:rsidR="00F204A5">
        <w:rPr>
          <w:rFonts w:ascii="Times New Roman" w:eastAsia="MS PGothic" w:hAnsi="Times New Roman"/>
          <w:lang w:val="en-US"/>
        </w:rPr>
        <w:t xml:space="preserve">DoDE </w:t>
      </w:r>
      <w:r w:rsidR="00560C38">
        <w:rPr>
          <w:rFonts w:ascii="Times New Roman" w:eastAsia="MS PGothic" w:hAnsi="Times New Roman"/>
          <w:lang w:val="en-US"/>
        </w:rPr>
        <w:t xml:space="preserve">exercise </w:t>
      </w:r>
      <w:r w:rsidR="00F204A5">
        <w:rPr>
          <w:rFonts w:ascii="Times New Roman" w:eastAsia="MS PGothic" w:hAnsi="Times New Roman"/>
          <w:lang w:val="en-US"/>
        </w:rPr>
        <w:t xml:space="preserve">was </w:t>
      </w:r>
      <w:r w:rsidR="00560C38">
        <w:rPr>
          <w:rFonts w:ascii="Times New Roman" w:eastAsia="MS PGothic" w:hAnsi="Times New Roman"/>
          <w:lang w:val="en-US"/>
        </w:rPr>
        <w:t>carried out</w:t>
      </w:r>
      <w:r w:rsidR="00F204A5">
        <w:rPr>
          <w:rFonts w:ascii="Times New Roman" w:eastAsia="MS PGothic" w:hAnsi="Times New Roman"/>
          <w:lang w:val="en-US"/>
        </w:rPr>
        <w:t xml:space="preserve">, thus making its RSM slightly less accurate. This explains also why the duration is slightly increased </w:t>
      </w:r>
      <w:r w:rsidR="005224B6">
        <w:rPr>
          <w:rFonts w:ascii="Times New Roman" w:eastAsia="MS PGothic" w:hAnsi="Times New Roman"/>
          <w:lang w:val="en-US"/>
        </w:rPr>
        <w:t>with respect to optimization using the first-principles model.</w:t>
      </w:r>
    </w:p>
    <w:p w14:paraId="622C7470" w14:textId="1588A1DB" w:rsidR="00CF0754" w:rsidRPr="00466FFD" w:rsidRDefault="00560C38" w:rsidP="00D51064">
      <w:pPr>
        <w:snapToGrid w:val="0"/>
        <w:spacing w:after="120"/>
        <w:jc w:val="both"/>
        <w:rPr>
          <w:rFonts w:ascii="Times New Roman" w:eastAsia="MS PGothic" w:hAnsi="Times New Roman"/>
          <w:lang w:val="en-US"/>
        </w:rPr>
      </w:pPr>
      <w:r>
        <w:rPr>
          <w:rFonts w:ascii="Times New Roman" w:eastAsia="MS PGothic" w:hAnsi="Times New Roman"/>
          <w:lang w:val="en-US"/>
        </w:rPr>
        <w:t>From a general perspective, t</w:t>
      </w:r>
      <w:r w:rsidR="00A76C30">
        <w:rPr>
          <w:rFonts w:ascii="Times New Roman" w:eastAsia="MS PGothic" w:hAnsi="Times New Roman"/>
          <w:lang w:val="en-US"/>
        </w:rPr>
        <w:t xml:space="preserve">he data-driven approach </w:t>
      </w:r>
      <w:r>
        <w:rPr>
          <w:rFonts w:ascii="Times New Roman" w:eastAsia="MS PGothic" w:hAnsi="Times New Roman"/>
          <w:lang w:val="en-US"/>
        </w:rPr>
        <w:t>can be very useful</w:t>
      </w:r>
      <w:r w:rsidR="00A76C30">
        <w:rPr>
          <w:rFonts w:ascii="Times New Roman" w:eastAsia="MS PGothic" w:hAnsi="Times New Roman"/>
          <w:lang w:val="en-US"/>
        </w:rPr>
        <w:t xml:space="preserve"> when dealing with complex models such as the one used in this case study</w:t>
      </w:r>
      <w:r w:rsidR="00153F06">
        <w:rPr>
          <w:rFonts w:ascii="Times New Roman" w:eastAsia="MS PGothic" w:hAnsi="Times New Roman"/>
          <w:lang w:val="en-US"/>
        </w:rPr>
        <w:t>, with results comparable to the knowledge-driven approach</w:t>
      </w:r>
      <w:r>
        <w:rPr>
          <w:rFonts w:ascii="Times New Roman" w:eastAsia="MS PGothic" w:hAnsi="Times New Roman"/>
          <w:lang w:val="en-US"/>
        </w:rPr>
        <w:t>,</w:t>
      </w:r>
      <w:r w:rsidR="00153F06">
        <w:rPr>
          <w:rFonts w:ascii="Times New Roman" w:eastAsia="MS PGothic" w:hAnsi="Times New Roman"/>
          <w:lang w:val="en-US"/>
        </w:rPr>
        <w:t xml:space="preserve"> but achieved in a </w:t>
      </w:r>
      <w:r>
        <w:rPr>
          <w:rFonts w:ascii="Times New Roman" w:eastAsia="MS PGothic" w:hAnsi="Times New Roman"/>
          <w:lang w:val="en-US"/>
        </w:rPr>
        <w:t xml:space="preserve">much </w:t>
      </w:r>
      <w:r w:rsidR="00153F06">
        <w:rPr>
          <w:rFonts w:ascii="Times New Roman" w:eastAsia="MS PGothic" w:hAnsi="Times New Roman"/>
          <w:lang w:val="en-US"/>
        </w:rPr>
        <w:t>shorter computational time</w:t>
      </w:r>
      <w:r w:rsidR="003F0F14">
        <w:rPr>
          <w:rFonts w:ascii="Times New Roman" w:eastAsia="MS PGothic" w:hAnsi="Times New Roman"/>
          <w:lang w:val="en-US"/>
        </w:rPr>
        <w:t>.</w:t>
      </w:r>
      <w:r w:rsidR="00D51064">
        <w:rPr>
          <w:rFonts w:ascii="Times New Roman" w:eastAsia="MS PGothic" w:hAnsi="Times New Roman"/>
          <w:lang w:val="en-US"/>
        </w:rPr>
        <w:t xml:space="preserve"> </w:t>
      </w:r>
    </w:p>
    <w:p w14:paraId="0B0F6C9E" w14:textId="77777777" w:rsidR="00D51064" w:rsidRDefault="00D51064" w:rsidP="009957C8">
      <w:pPr>
        <w:snapToGrid w:val="0"/>
        <w:spacing w:after="120"/>
        <w:jc w:val="both"/>
        <w:rPr>
          <w:rFonts w:ascii="Times New Roman" w:eastAsia="MS PGothic" w:hAnsi="Times New Roman"/>
          <w:b/>
          <w:sz w:val="18"/>
          <w:szCs w:val="18"/>
          <w:lang w:val="en-US"/>
        </w:rPr>
      </w:pPr>
    </w:p>
    <w:p w14:paraId="1EBB7707" w14:textId="46FB76E1" w:rsidR="000B6AE0" w:rsidRPr="00F04FB9" w:rsidRDefault="00F04FB9" w:rsidP="000B6AE0">
      <w:pPr>
        <w:snapToGrid w:val="0"/>
        <w:spacing w:after="120"/>
        <w:jc w:val="center"/>
        <w:rPr>
          <w:rFonts w:ascii="Times New Roman" w:eastAsia="MS PGothic" w:hAnsi="Times New Roman"/>
          <w:b/>
          <w:sz w:val="18"/>
          <w:szCs w:val="18"/>
        </w:rPr>
      </w:pPr>
      <w:r w:rsidRPr="00F04FB9">
        <w:lastRenderedPageBreak/>
        <w:drawing>
          <wp:inline distT="0" distB="0" distL="0" distR="0" wp14:anchorId="0727CE10" wp14:editId="593193C4">
            <wp:extent cx="3399790" cy="27260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9790" cy="2726055"/>
                    </a:xfrm>
                    <a:prstGeom prst="rect">
                      <a:avLst/>
                    </a:prstGeom>
                    <a:noFill/>
                    <a:ln>
                      <a:noFill/>
                    </a:ln>
                  </pic:spPr>
                </pic:pic>
              </a:graphicData>
            </a:graphic>
          </wp:inline>
        </w:drawing>
      </w:r>
    </w:p>
    <w:p w14:paraId="2CEA8973" w14:textId="7BD5DAE3" w:rsidR="00DA51A3" w:rsidRDefault="00DA51A3" w:rsidP="009957C8">
      <w:pPr>
        <w:snapToGrid w:val="0"/>
        <w:spacing w:after="120"/>
        <w:jc w:val="both"/>
        <w:rPr>
          <w:rFonts w:ascii="Times New Roman" w:eastAsia="MS PGothic" w:hAnsi="Times New Roman"/>
          <w:sz w:val="18"/>
          <w:szCs w:val="18"/>
          <w:lang w:val="en-US"/>
        </w:rPr>
      </w:pPr>
      <w:r w:rsidRPr="00FB1047">
        <w:rPr>
          <w:rFonts w:ascii="Times New Roman" w:eastAsia="MS PGothic" w:hAnsi="Times New Roman"/>
          <w:b/>
          <w:sz w:val="18"/>
          <w:szCs w:val="18"/>
          <w:lang w:val="en-US"/>
        </w:rPr>
        <w:t>Figure 1</w:t>
      </w:r>
      <w:r w:rsidRPr="00FB1047">
        <w:rPr>
          <w:rFonts w:ascii="Times New Roman" w:eastAsia="MS PGothic" w:hAnsi="Times New Roman"/>
          <w:b/>
          <w:sz w:val="18"/>
          <w:szCs w:val="18"/>
          <w:lang w:val="en-US" w:eastAsia="ko-KR"/>
        </w:rPr>
        <w:t>.</w:t>
      </w:r>
      <w:r w:rsidRPr="00FB1047">
        <w:rPr>
          <w:rFonts w:ascii="Times New Roman" w:eastAsia="MS PGothic" w:hAnsi="Times New Roman"/>
          <w:sz w:val="18"/>
          <w:szCs w:val="18"/>
          <w:lang w:val="en-US"/>
        </w:rPr>
        <w:t xml:space="preserve"> </w:t>
      </w:r>
      <w:r w:rsidR="00176206">
        <w:rPr>
          <w:rFonts w:ascii="Times New Roman" w:hAnsi="Times New Roman"/>
          <w:sz w:val="18"/>
          <w:szCs w:val="18"/>
          <w:lang w:val="en-US"/>
        </w:rPr>
        <w:t>Maximum product temperature profiles for the time-invariant recipe and the two optimization approaches</w:t>
      </w:r>
      <w:r w:rsidR="000154C6">
        <w:rPr>
          <w:rFonts w:ascii="Times New Roman" w:eastAsia="MS PGothic" w:hAnsi="Times New Roman"/>
          <w:sz w:val="18"/>
          <w:szCs w:val="18"/>
          <w:lang w:val="en-US"/>
        </w:rPr>
        <w:t>.</w:t>
      </w:r>
      <w:r w:rsidR="009957C8">
        <w:rPr>
          <w:rFonts w:ascii="Times New Roman" w:eastAsia="MS PGothic" w:hAnsi="Times New Roman"/>
          <w:sz w:val="18"/>
          <w:szCs w:val="18"/>
          <w:lang w:val="en-US"/>
        </w:rPr>
        <w:t xml:space="preserve"> </w:t>
      </w:r>
      <w:r w:rsidR="00CB688D">
        <w:rPr>
          <w:rFonts w:ascii="Times New Roman" w:eastAsia="MS PGothic" w:hAnsi="Times New Roman"/>
          <w:sz w:val="18"/>
          <w:szCs w:val="18"/>
          <w:lang w:val="en-US"/>
        </w:rPr>
        <w:t>End of sublimation is represented by a vertical line.</w:t>
      </w:r>
      <w:r w:rsidR="005E0267">
        <w:rPr>
          <w:rFonts w:ascii="Times New Roman" w:eastAsia="MS PGothic" w:hAnsi="Times New Roman"/>
          <w:sz w:val="18"/>
          <w:szCs w:val="18"/>
          <w:lang w:val="en-US"/>
        </w:rPr>
        <w:t xml:space="preserve"> Upper constraint is represented by the dotted gray line.</w:t>
      </w:r>
    </w:p>
    <w:p w14:paraId="0A0066BB" w14:textId="2ADE2A45" w:rsidR="009C03FF" w:rsidRDefault="00DA51A3" w:rsidP="009A551F">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 xml:space="preserve">References </w:t>
      </w:r>
    </w:p>
    <w:p w14:paraId="546012BD" w14:textId="2D05B372" w:rsidR="00CC0A11" w:rsidRPr="00E533B3" w:rsidRDefault="008E547B" w:rsidP="00CC0A11">
      <w:pPr>
        <w:widowControl w:val="0"/>
        <w:autoSpaceDE w:val="0"/>
        <w:autoSpaceDN w:val="0"/>
        <w:adjustRightInd w:val="0"/>
        <w:spacing w:after="0" w:line="240" w:lineRule="auto"/>
        <w:ind w:left="640" w:hanging="640"/>
        <w:rPr>
          <w:rFonts w:ascii="Times New Roman" w:hAnsi="Times New Roman" w:cs="Times New Roman"/>
          <w:noProof/>
          <w:sz w:val="20"/>
          <w:szCs w:val="24"/>
          <w:lang w:val="en-US"/>
        </w:rPr>
      </w:pPr>
      <w:r w:rsidRPr="008E547B">
        <w:rPr>
          <w:rFonts w:ascii="Times New Roman" w:eastAsia="MS PGothic" w:hAnsi="Times New Roman"/>
          <w:sz w:val="20"/>
          <w:szCs w:val="20"/>
          <w:lang w:val="en-US"/>
        </w:rPr>
        <w:fldChar w:fldCharType="begin" w:fldLock="1"/>
      </w:r>
      <w:r w:rsidRPr="008E547B">
        <w:rPr>
          <w:rFonts w:ascii="Times New Roman" w:eastAsia="MS PGothic" w:hAnsi="Times New Roman"/>
          <w:sz w:val="20"/>
          <w:szCs w:val="20"/>
          <w:lang w:val="en-US"/>
        </w:rPr>
        <w:instrText xml:space="preserve">ADDIN Mendeley Bibliography CSL_BIBLIOGRAPHY </w:instrText>
      </w:r>
      <w:r w:rsidRPr="008E547B">
        <w:rPr>
          <w:rFonts w:ascii="Times New Roman" w:eastAsia="MS PGothic" w:hAnsi="Times New Roman"/>
          <w:sz w:val="20"/>
          <w:szCs w:val="20"/>
          <w:lang w:val="en-US"/>
        </w:rPr>
        <w:fldChar w:fldCharType="separate"/>
      </w:r>
      <w:r w:rsidR="00CC0A11" w:rsidRPr="00E533B3">
        <w:rPr>
          <w:rFonts w:ascii="Times New Roman" w:hAnsi="Times New Roman" w:cs="Times New Roman"/>
          <w:noProof/>
          <w:sz w:val="20"/>
          <w:szCs w:val="24"/>
          <w:lang w:val="en-US"/>
        </w:rPr>
        <w:t>[1]</w:t>
      </w:r>
      <w:r w:rsidR="00CC0A11" w:rsidRPr="00E533B3">
        <w:rPr>
          <w:rFonts w:ascii="Times New Roman" w:hAnsi="Times New Roman" w:cs="Times New Roman"/>
          <w:noProof/>
          <w:sz w:val="20"/>
          <w:szCs w:val="24"/>
          <w:lang w:val="en-US"/>
        </w:rPr>
        <w:tab/>
        <w:t>C. Ratti, J. Food Eng. 49 (2001) 311–319.</w:t>
      </w:r>
    </w:p>
    <w:p w14:paraId="04BBB6F4" w14:textId="77777777" w:rsidR="00CC0A11" w:rsidRPr="00CC0A11" w:rsidRDefault="00CC0A11" w:rsidP="00CC0A11">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E533B3">
        <w:rPr>
          <w:rFonts w:ascii="Times New Roman" w:hAnsi="Times New Roman" w:cs="Times New Roman"/>
          <w:noProof/>
          <w:sz w:val="20"/>
          <w:szCs w:val="24"/>
          <w:lang w:val="en-US"/>
        </w:rPr>
        <w:t>[2]</w:t>
      </w:r>
      <w:r w:rsidRPr="00E533B3">
        <w:rPr>
          <w:rFonts w:ascii="Times New Roman" w:hAnsi="Times New Roman" w:cs="Times New Roman"/>
          <w:noProof/>
          <w:sz w:val="20"/>
          <w:szCs w:val="24"/>
          <w:lang w:val="en-US"/>
        </w:rPr>
        <w:tab/>
        <w:t xml:space="preserve">M. Bjelošević, K.B. Seljak, U. Trstenjak, M. Logar, B. Brus, P. Ahlin Grabnar, Eur. J. Pharm. </w:t>
      </w:r>
      <w:r w:rsidRPr="00CC0A11">
        <w:rPr>
          <w:rFonts w:ascii="Times New Roman" w:hAnsi="Times New Roman" w:cs="Times New Roman"/>
          <w:noProof/>
          <w:sz w:val="20"/>
          <w:szCs w:val="24"/>
        </w:rPr>
        <w:t>Sci. 122 (2018) 292–302.</w:t>
      </w:r>
    </w:p>
    <w:p w14:paraId="30665D66" w14:textId="77777777" w:rsidR="00CC0A11" w:rsidRPr="00CC0A11" w:rsidRDefault="00CC0A11" w:rsidP="00CC0A11">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CC0A11">
        <w:rPr>
          <w:rFonts w:ascii="Times New Roman" w:hAnsi="Times New Roman" w:cs="Times New Roman"/>
          <w:noProof/>
          <w:sz w:val="20"/>
          <w:szCs w:val="24"/>
        </w:rPr>
        <w:t>[3]</w:t>
      </w:r>
      <w:r w:rsidRPr="00CC0A11">
        <w:rPr>
          <w:rFonts w:ascii="Times New Roman" w:hAnsi="Times New Roman" w:cs="Times New Roman"/>
          <w:noProof/>
          <w:sz w:val="20"/>
          <w:szCs w:val="24"/>
        </w:rPr>
        <w:tab/>
        <w:t>D. Fissore, R. Pisano, A.A. Barresi, Dry. Technol. 30 (2012) 946–958.</w:t>
      </w:r>
    </w:p>
    <w:p w14:paraId="6219D2B7" w14:textId="77777777" w:rsidR="00CC0A11" w:rsidRPr="00CC0A11" w:rsidRDefault="00CC0A11" w:rsidP="00CC0A11">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CC0A11">
        <w:rPr>
          <w:rFonts w:ascii="Times New Roman" w:hAnsi="Times New Roman" w:cs="Times New Roman"/>
          <w:noProof/>
          <w:sz w:val="20"/>
          <w:szCs w:val="24"/>
        </w:rPr>
        <w:t>[4]</w:t>
      </w:r>
      <w:r w:rsidRPr="00CC0A11">
        <w:rPr>
          <w:rFonts w:ascii="Times New Roman" w:hAnsi="Times New Roman" w:cs="Times New Roman"/>
          <w:noProof/>
          <w:sz w:val="20"/>
          <w:szCs w:val="24"/>
        </w:rPr>
        <w:tab/>
        <w:t>R. De-Luca, G. Bano, E. Tomba, F. Bezzo, M. Barolo, Ind. Eng. Chem. Res. 59 (2020) 20071–20085.</w:t>
      </w:r>
    </w:p>
    <w:p w14:paraId="13B5AD52" w14:textId="77777777" w:rsidR="00CC0A11" w:rsidRPr="00CC0A11" w:rsidRDefault="00CC0A11" w:rsidP="00CC0A11">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CC0A11">
        <w:rPr>
          <w:rFonts w:ascii="Times New Roman" w:hAnsi="Times New Roman" w:cs="Times New Roman"/>
          <w:noProof/>
          <w:sz w:val="20"/>
          <w:szCs w:val="24"/>
        </w:rPr>
        <w:t>[5]</w:t>
      </w:r>
      <w:r w:rsidRPr="00CC0A11">
        <w:rPr>
          <w:rFonts w:ascii="Times New Roman" w:hAnsi="Times New Roman" w:cs="Times New Roman"/>
          <w:noProof/>
          <w:sz w:val="20"/>
          <w:szCs w:val="24"/>
        </w:rPr>
        <w:tab/>
        <w:t>G. Bano, R. De-Luca, E. Tomba, A. Marcelli, F. Bezzo, M. Barolo, Ind. Eng. Chem. Res. 59 (2020) 5056–5071.</w:t>
      </w:r>
    </w:p>
    <w:p w14:paraId="3BC6D96A" w14:textId="77777777" w:rsidR="00CC0A11" w:rsidRPr="00CC0A11" w:rsidRDefault="00CC0A11" w:rsidP="00CC0A11">
      <w:pPr>
        <w:widowControl w:val="0"/>
        <w:autoSpaceDE w:val="0"/>
        <w:autoSpaceDN w:val="0"/>
        <w:adjustRightInd w:val="0"/>
        <w:spacing w:after="0" w:line="240" w:lineRule="auto"/>
        <w:ind w:left="640" w:hanging="640"/>
        <w:rPr>
          <w:rFonts w:ascii="Times New Roman" w:hAnsi="Times New Roman" w:cs="Times New Roman"/>
          <w:noProof/>
          <w:sz w:val="20"/>
        </w:rPr>
      </w:pPr>
      <w:r w:rsidRPr="00CC0A11">
        <w:rPr>
          <w:rFonts w:ascii="Times New Roman" w:hAnsi="Times New Roman" w:cs="Times New Roman"/>
          <w:noProof/>
          <w:sz w:val="20"/>
          <w:szCs w:val="24"/>
        </w:rPr>
        <w:t>[6]</w:t>
      </w:r>
      <w:r w:rsidRPr="00CC0A11">
        <w:rPr>
          <w:rFonts w:ascii="Times New Roman" w:hAnsi="Times New Roman" w:cs="Times New Roman"/>
          <w:noProof/>
          <w:sz w:val="20"/>
          <w:szCs w:val="24"/>
        </w:rPr>
        <w:tab/>
        <w:t>C. Georgakis, Ind. Eng. Chem. Res. 52 (2013) 12369–12382.</w:t>
      </w:r>
    </w:p>
    <w:p w14:paraId="3A59CD78" w14:textId="5BA5A227" w:rsidR="0096323D" w:rsidRDefault="008E547B" w:rsidP="008E547B">
      <w:pPr>
        <w:snapToGrid w:val="0"/>
        <w:spacing w:after="0" w:line="240" w:lineRule="auto"/>
        <w:rPr>
          <w:rFonts w:ascii="Times New Roman" w:eastAsia="MS PGothic" w:hAnsi="Times New Roman"/>
          <w:lang w:val="en-US"/>
        </w:rPr>
      </w:pPr>
      <w:r w:rsidRPr="008E547B">
        <w:rPr>
          <w:rFonts w:ascii="Times New Roman" w:eastAsia="MS PGothic" w:hAnsi="Times New Roman"/>
          <w:sz w:val="20"/>
          <w:szCs w:val="20"/>
          <w:lang w:val="en-US"/>
        </w:rPr>
        <w:fldChar w:fldCharType="end"/>
      </w:r>
    </w:p>
    <w:sectPr w:rsidR="0096323D"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C5483" w14:textId="77777777" w:rsidR="00611757" w:rsidRDefault="00611757" w:rsidP="001D0E0C">
      <w:pPr>
        <w:spacing w:after="0" w:line="240" w:lineRule="auto"/>
      </w:pPr>
      <w:r>
        <w:separator/>
      </w:r>
    </w:p>
  </w:endnote>
  <w:endnote w:type="continuationSeparator" w:id="0">
    <w:p w14:paraId="06FBDE03" w14:textId="77777777" w:rsidR="00611757" w:rsidRDefault="00611757"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8B2B" w14:textId="77777777" w:rsidR="00611757" w:rsidRDefault="00611757" w:rsidP="001D0E0C">
      <w:pPr>
        <w:spacing w:after="0" w:line="240" w:lineRule="auto"/>
      </w:pPr>
      <w:r>
        <w:separator/>
      </w:r>
    </w:p>
  </w:footnote>
  <w:footnote w:type="continuationSeparator" w:id="0">
    <w:p w14:paraId="1CF4BE38" w14:textId="77777777" w:rsidR="00611757" w:rsidRDefault="00611757"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02967" w:rsidRPr="001B060D" w:rsidRDefault="00102967"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02967" w:rsidRDefault="00102967"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Pr>
        <w:b/>
        <w:i/>
        <w:color w:val="2E74B5" w:themeColor="accent5" w:themeShade="BF"/>
        <w:sz w:val="24"/>
        <w:szCs w:val="24"/>
      </w:rPr>
      <w:tab/>
    </w: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p w14:paraId="14E4AC61" w14:textId="77777777" w:rsidR="00102967" w:rsidRPr="005C2A12" w:rsidRDefault="00102967" w:rsidP="000517B4">
    <w:pPr>
      <w:pStyle w:val="Intestazione"/>
      <w:tabs>
        <w:tab w:val="left" w:pos="1188"/>
      </w:tabs>
      <w:jc w:val="center"/>
      <w:rPr>
        <w:b/>
        <w:i/>
        <w:color w:val="2E74B5" w:themeColor="accent5" w:themeShade="BF"/>
        <w:sz w:val="24"/>
        <w:szCs w:val="24"/>
      </w:rPr>
    </w:pPr>
  </w:p>
  <w:p w14:paraId="2DF8C760" w14:textId="77777777" w:rsidR="00102967" w:rsidRDefault="00102967"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1E5A27D4"/>
    <w:multiLevelType w:val="hybridMultilevel"/>
    <w:tmpl w:val="D47C33E4"/>
    <w:lvl w:ilvl="0" w:tplc="4E101D3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007420"/>
    <w:multiLevelType w:val="hybridMultilevel"/>
    <w:tmpl w:val="A4D64D14"/>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3" w15:restartNumberingAfterBreak="0">
    <w:nsid w:val="68B07609"/>
    <w:multiLevelType w:val="hybridMultilevel"/>
    <w:tmpl w:val="08F03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D90CC9"/>
    <w:multiLevelType w:val="hybridMultilevel"/>
    <w:tmpl w:val="C8E2FC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195FAB"/>
    <w:multiLevelType w:val="hybridMultilevel"/>
    <w:tmpl w:val="E58CB31E"/>
    <w:lvl w:ilvl="0" w:tplc="04100001">
      <w:start w:val="1"/>
      <w:numFmt w:val="bullet"/>
      <w:lvlText w:val=""/>
      <w:lvlJc w:val="left"/>
      <w:pPr>
        <w:ind w:left="778" w:hanging="360"/>
      </w:pPr>
      <w:rPr>
        <w:rFonts w:ascii="Symbol" w:hAnsi="Symbol" w:hint="default"/>
      </w:rPr>
    </w:lvl>
    <w:lvl w:ilvl="1" w:tplc="04100003">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A3"/>
    <w:rsid w:val="00000CF4"/>
    <w:rsid w:val="000154C6"/>
    <w:rsid w:val="00022A55"/>
    <w:rsid w:val="000313AA"/>
    <w:rsid w:val="000517B4"/>
    <w:rsid w:val="000622D7"/>
    <w:rsid w:val="00070877"/>
    <w:rsid w:val="00084432"/>
    <w:rsid w:val="000956F0"/>
    <w:rsid w:val="000A1D5B"/>
    <w:rsid w:val="000A2465"/>
    <w:rsid w:val="000B0E2B"/>
    <w:rsid w:val="000B6AE0"/>
    <w:rsid w:val="000C15E1"/>
    <w:rsid w:val="000D3D22"/>
    <w:rsid w:val="000D75AE"/>
    <w:rsid w:val="000F2787"/>
    <w:rsid w:val="000F5DA5"/>
    <w:rsid w:val="000F5E8E"/>
    <w:rsid w:val="00102967"/>
    <w:rsid w:val="00115569"/>
    <w:rsid w:val="001158B1"/>
    <w:rsid w:val="00117DC4"/>
    <w:rsid w:val="00121B86"/>
    <w:rsid w:val="00125524"/>
    <w:rsid w:val="00126634"/>
    <w:rsid w:val="001366E4"/>
    <w:rsid w:val="001411DC"/>
    <w:rsid w:val="0014371F"/>
    <w:rsid w:val="00153F06"/>
    <w:rsid w:val="00172138"/>
    <w:rsid w:val="00175E40"/>
    <w:rsid w:val="00176206"/>
    <w:rsid w:val="001835FA"/>
    <w:rsid w:val="00184A44"/>
    <w:rsid w:val="0018667F"/>
    <w:rsid w:val="00197685"/>
    <w:rsid w:val="001A7221"/>
    <w:rsid w:val="001B060D"/>
    <w:rsid w:val="001D0E0C"/>
    <w:rsid w:val="002131BD"/>
    <w:rsid w:val="00222034"/>
    <w:rsid w:val="00237173"/>
    <w:rsid w:val="00237F15"/>
    <w:rsid w:val="0026553C"/>
    <w:rsid w:val="002753F6"/>
    <w:rsid w:val="00276D88"/>
    <w:rsid w:val="00280821"/>
    <w:rsid w:val="00284ADB"/>
    <w:rsid w:val="00286B81"/>
    <w:rsid w:val="00290B91"/>
    <w:rsid w:val="002A349C"/>
    <w:rsid w:val="002A4898"/>
    <w:rsid w:val="002C24F1"/>
    <w:rsid w:val="002C60DE"/>
    <w:rsid w:val="002E613F"/>
    <w:rsid w:val="002F1436"/>
    <w:rsid w:val="002F30C0"/>
    <w:rsid w:val="00307762"/>
    <w:rsid w:val="003243D5"/>
    <w:rsid w:val="00370272"/>
    <w:rsid w:val="003848D8"/>
    <w:rsid w:val="003A24AD"/>
    <w:rsid w:val="003A455C"/>
    <w:rsid w:val="003A7F25"/>
    <w:rsid w:val="003C5488"/>
    <w:rsid w:val="003D3A0D"/>
    <w:rsid w:val="003D429C"/>
    <w:rsid w:val="003D4428"/>
    <w:rsid w:val="003E359A"/>
    <w:rsid w:val="003F0F14"/>
    <w:rsid w:val="003F160A"/>
    <w:rsid w:val="00402674"/>
    <w:rsid w:val="0041601D"/>
    <w:rsid w:val="00421BB7"/>
    <w:rsid w:val="0044392A"/>
    <w:rsid w:val="00445E1A"/>
    <w:rsid w:val="004516FF"/>
    <w:rsid w:val="00454B33"/>
    <w:rsid w:val="00471EFC"/>
    <w:rsid w:val="00472FEA"/>
    <w:rsid w:val="00483A5D"/>
    <w:rsid w:val="00483DEA"/>
    <w:rsid w:val="004862CF"/>
    <w:rsid w:val="004943CD"/>
    <w:rsid w:val="004B4D82"/>
    <w:rsid w:val="004B598F"/>
    <w:rsid w:val="004B72FE"/>
    <w:rsid w:val="004C1C6B"/>
    <w:rsid w:val="004C213E"/>
    <w:rsid w:val="004C56B4"/>
    <w:rsid w:val="004C6640"/>
    <w:rsid w:val="004D2FDE"/>
    <w:rsid w:val="005224B6"/>
    <w:rsid w:val="00532554"/>
    <w:rsid w:val="0053524E"/>
    <w:rsid w:val="00542000"/>
    <w:rsid w:val="00550272"/>
    <w:rsid w:val="00560C38"/>
    <w:rsid w:val="005737E3"/>
    <w:rsid w:val="005845E6"/>
    <w:rsid w:val="0059608F"/>
    <w:rsid w:val="005A1544"/>
    <w:rsid w:val="005B71B2"/>
    <w:rsid w:val="005C1525"/>
    <w:rsid w:val="005C2A12"/>
    <w:rsid w:val="005E0267"/>
    <w:rsid w:val="00600104"/>
    <w:rsid w:val="006010CC"/>
    <w:rsid w:val="00607363"/>
    <w:rsid w:val="00611757"/>
    <w:rsid w:val="006213F6"/>
    <w:rsid w:val="00640A05"/>
    <w:rsid w:val="00650042"/>
    <w:rsid w:val="00671798"/>
    <w:rsid w:val="00694189"/>
    <w:rsid w:val="00697CD6"/>
    <w:rsid w:val="006A4047"/>
    <w:rsid w:val="006B2333"/>
    <w:rsid w:val="006B4427"/>
    <w:rsid w:val="006C0985"/>
    <w:rsid w:val="006E48F8"/>
    <w:rsid w:val="006F2292"/>
    <w:rsid w:val="0070103F"/>
    <w:rsid w:val="00741477"/>
    <w:rsid w:val="00744C5B"/>
    <w:rsid w:val="007458F9"/>
    <w:rsid w:val="00745A5F"/>
    <w:rsid w:val="007545D5"/>
    <w:rsid w:val="00756F43"/>
    <w:rsid w:val="00761AA2"/>
    <w:rsid w:val="00762B93"/>
    <w:rsid w:val="00763CD2"/>
    <w:rsid w:val="00765D93"/>
    <w:rsid w:val="00766628"/>
    <w:rsid w:val="00777AE5"/>
    <w:rsid w:val="007828A3"/>
    <w:rsid w:val="00797482"/>
    <w:rsid w:val="007C6FDD"/>
    <w:rsid w:val="007C75DE"/>
    <w:rsid w:val="007D2951"/>
    <w:rsid w:val="00816E49"/>
    <w:rsid w:val="00823CAC"/>
    <w:rsid w:val="00830FFA"/>
    <w:rsid w:val="00835FB0"/>
    <w:rsid w:val="008473B0"/>
    <w:rsid w:val="008871B1"/>
    <w:rsid w:val="008A1571"/>
    <w:rsid w:val="008B71AD"/>
    <w:rsid w:val="008E547B"/>
    <w:rsid w:val="009073A4"/>
    <w:rsid w:val="00916D91"/>
    <w:rsid w:val="00930554"/>
    <w:rsid w:val="00932934"/>
    <w:rsid w:val="00954E50"/>
    <w:rsid w:val="0096323D"/>
    <w:rsid w:val="00993759"/>
    <w:rsid w:val="009957C8"/>
    <w:rsid w:val="009A4620"/>
    <w:rsid w:val="009A551F"/>
    <w:rsid w:val="009B00A6"/>
    <w:rsid w:val="009C03FF"/>
    <w:rsid w:val="009D274E"/>
    <w:rsid w:val="009D631B"/>
    <w:rsid w:val="00A00081"/>
    <w:rsid w:val="00A00E4A"/>
    <w:rsid w:val="00A03745"/>
    <w:rsid w:val="00A07DB6"/>
    <w:rsid w:val="00A320C1"/>
    <w:rsid w:val="00A322B4"/>
    <w:rsid w:val="00A75C8A"/>
    <w:rsid w:val="00A76C30"/>
    <w:rsid w:val="00A83ACE"/>
    <w:rsid w:val="00A90C3A"/>
    <w:rsid w:val="00AA08F4"/>
    <w:rsid w:val="00AA4B46"/>
    <w:rsid w:val="00AB1801"/>
    <w:rsid w:val="00AB2DAF"/>
    <w:rsid w:val="00AB3B40"/>
    <w:rsid w:val="00AC49AA"/>
    <w:rsid w:val="00AC5C2D"/>
    <w:rsid w:val="00AD4ED1"/>
    <w:rsid w:val="00AD69B0"/>
    <w:rsid w:val="00AF576C"/>
    <w:rsid w:val="00B0211D"/>
    <w:rsid w:val="00B17650"/>
    <w:rsid w:val="00B23923"/>
    <w:rsid w:val="00B3070B"/>
    <w:rsid w:val="00B43DE3"/>
    <w:rsid w:val="00B54592"/>
    <w:rsid w:val="00B5459D"/>
    <w:rsid w:val="00B76623"/>
    <w:rsid w:val="00B81E2C"/>
    <w:rsid w:val="00B85BD0"/>
    <w:rsid w:val="00B97C5E"/>
    <w:rsid w:val="00BA3212"/>
    <w:rsid w:val="00BA3713"/>
    <w:rsid w:val="00BA397F"/>
    <w:rsid w:val="00BB671F"/>
    <w:rsid w:val="00BC1384"/>
    <w:rsid w:val="00BC4F95"/>
    <w:rsid w:val="00BE0105"/>
    <w:rsid w:val="00BE0F57"/>
    <w:rsid w:val="00BF0533"/>
    <w:rsid w:val="00C1075E"/>
    <w:rsid w:val="00C40840"/>
    <w:rsid w:val="00C62D87"/>
    <w:rsid w:val="00C64278"/>
    <w:rsid w:val="00C867C8"/>
    <w:rsid w:val="00C92031"/>
    <w:rsid w:val="00CA7A5A"/>
    <w:rsid w:val="00CB688D"/>
    <w:rsid w:val="00CC0A11"/>
    <w:rsid w:val="00CC1398"/>
    <w:rsid w:val="00CF0754"/>
    <w:rsid w:val="00D03DB3"/>
    <w:rsid w:val="00D2004F"/>
    <w:rsid w:val="00D200CE"/>
    <w:rsid w:val="00D226B3"/>
    <w:rsid w:val="00D322F1"/>
    <w:rsid w:val="00D33DA4"/>
    <w:rsid w:val="00D37F5E"/>
    <w:rsid w:val="00D412A9"/>
    <w:rsid w:val="00D51064"/>
    <w:rsid w:val="00D524F7"/>
    <w:rsid w:val="00D61F6F"/>
    <w:rsid w:val="00D640E5"/>
    <w:rsid w:val="00D663CA"/>
    <w:rsid w:val="00D71B64"/>
    <w:rsid w:val="00DA51A3"/>
    <w:rsid w:val="00DD2D8C"/>
    <w:rsid w:val="00DD7D7D"/>
    <w:rsid w:val="00DE19B4"/>
    <w:rsid w:val="00E03930"/>
    <w:rsid w:val="00E12BAC"/>
    <w:rsid w:val="00E223AB"/>
    <w:rsid w:val="00E22795"/>
    <w:rsid w:val="00E3011D"/>
    <w:rsid w:val="00E43214"/>
    <w:rsid w:val="00E52E02"/>
    <w:rsid w:val="00E533B3"/>
    <w:rsid w:val="00E662CE"/>
    <w:rsid w:val="00E80A3C"/>
    <w:rsid w:val="00E92658"/>
    <w:rsid w:val="00E94656"/>
    <w:rsid w:val="00E96343"/>
    <w:rsid w:val="00EA6E42"/>
    <w:rsid w:val="00EB06D7"/>
    <w:rsid w:val="00EE6DE0"/>
    <w:rsid w:val="00EF3CF5"/>
    <w:rsid w:val="00F04FB9"/>
    <w:rsid w:val="00F05380"/>
    <w:rsid w:val="00F05AC8"/>
    <w:rsid w:val="00F204A5"/>
    <w:rsid w:val="00F24290"/>
    <w:rsid w:val="00F350E2"/>
    <w:rsid w:val="00F7265F"/>
    <w:rsid w:val="00F74D66"/>
    <w:rsid w:val="00FA04EF"/>
    <w:rsid w:val="00FA1A13"/>
    <w:rsid w:val="00FB1047"/>
    <w:rsid w:val="00FB400F"/>
    <w:rsid w:val="00FE37E1"/>
    <w:rsid w:val="00FF29F4"/>
    <w:rsid w:val="00FF6B5C"/>
    <w:rsid w:val="00FF70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765D93"/>
    <w:pPr>
      <w:ind w:left="720"/>
      <w:contextualSpacing/>
    </w:pPr>
  </w:style>
  <w:style w:type="character" w:styleId="Testosegnaposto">
    <w:name w:val="Placeholder Text"/>
    <w:basedOn w:val="Carpredefinitoparagrafo"/>
    <w:uiPriority w:val="99"/>
    <w:semiHidden/>
    <w:rsid w:val="00D663CA"/>
    <w:rPr>
      <w:color w:val="808080"/>
    </w:rPr>
  </w:style>
  <w:style w:type="table" w:styleId="Grigliatabella">
    <w:name w:val="Table Grid"/>
    <w:basedOn w:val="Tabellanormale"/>
    <w:rsid w:val="00D6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EE6DE0"/>
    <w:pPr>
      <w:spacing w:after="0" w:line="240" w:lineRule="auto"/>
    </w:pPr>
  </w:style>
  <w:style w:type="character" w:styleId="Collegamentoipertestuale">
    <w:name w:val="Hyperlink"/>
    <w:basedOn w:val="Carpredefinitoparagrafo"/>
    <w:uiPriority w:val="99"/>
    <w:unhideWhenUsed/>
    <w:rsid w:val="00550272"/>
    <w:rPr>
      <w:color w:val="0563C1" w:themeColor="hyperlink"/>
      <w:u w:val="single"/>
    </w:rPr>
  </w:style>
  <w:style w:type="character" w:styleId="Menzionenonrisolta">
    <w:name w:val="Unresolved Mention"/>
    <w:basedOn w:val="Carpredefinitoparagrafo"/>
    <w:uiPriority w:val="99"/>
    <w:semiHidden/>
    <w:unhideWhenUsed/>
    <w:rsid w:val="00550272"/>
    <w:rPr>
      <w:color w:val="605E5C"/>
      <w:shd w:val="clear" w:color="auto" w:fill="E1DFDD"/>
    </w:rPr>
  </w:style>
  <w:style w:type="character" w:styleId="Rimandocommento">
    <w:name w:val="annotation reference"/>
    <w:basedOn w:val="Carpredefinitoparagrafo"/>
    <w:uiPriority w:val="99"/>
    <w:semiHidden/>
    <w:unhideWhenUsed/>
    <w:rsid w:val="00421BB7"/>
    <w:rPr>
      <w:sz w:val="16"/>
      <w:szCs w:val="16"/>
    </w:rPr>
  </w:style>
  <w:style w:type="paragraph" w:styleId="Testocommento">
    <w:name w:val="annotation text"/>
    <w:basedOn w:val="Normale"/>
    <w:link w:val="TestocommentoCarattere"/>
    <w:uiPriority w:val="99"/>
    <w:semiHidden/>
    <w:unhideWhenUsed/>
    <w:rsid w:val="00421B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21BB7"/>
    <w:rPr>
      <w:sz w:val="20"/>
      <w:szCs w:val="20"/>
    </w:rPr>
  </w:style>
  <w:style w:type="paragraph" w:styleId="Soggettocommento">
    <w:name w:val="annotation subject"/>
    <w:basedOn w:val="Testocommento"/>
    <w:next w:val="Testocommento"/>
    <w:link w:val="SoggettocommentoCarattere"/>
    <w:uiPriority w:val="99"/>
    <w:semiHidden/>
    <w:unhideWhenUsed/>
    <w:rsid w:val="00421BB7"/>
    <w:rPr>
      <w:b/>
      <w:bCs/>
    </w:rPr>
  </w:style>
  <w:style w:type="character" w:customStyle="1" w:styleId="SoggettocommentoCarattere">
    <w:name w:val="Soggetto commento Carattere"/>
    <w:basedOn w:val="TestocommentoCarattere"/>
    <w:link w:val="Soggettocommento"/>
    <w:uiPriority w:val="99"/>
    <w:semiHidden/>
    <w:rsid w:val="00421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barolo@unip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EAB46-8DCF-4BF6-A22D-3C64865A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2649</Words>
  <Characters>15102</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Barolo Massimiliano</cp:lastModifiedBy>
  <cp:revision>3</cp:revision>
  <cp:lastPrinted>2022-01-31T11:56:00Z</cp:lastPrinted>
  <dcterms:created xsi:type="dcterms:W3CDTF">2022-03-07T13:32:00Z</dcterms:created>
  <dcterms:modified xsi:type="dcterms:W3CDTF">2022-03-07T13:32:00Z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8f33ccc7-e784-3ac9-ad8a-34388fde4dfe</vt:lpwstr>
  </property>
  <property fmtid="{D5CDD505-2E9C-101B-9397-08002B2CF9AE}" pid="4" name="Mendeley Citation Style_1">
    <vt:lpwstr>http://csl.mendeley.com/styles/508463651/elsevier-with-titles</vt:lpwstr>
  </property>
  <property fmtid="{D5CDD505-2E9C-101B-9397-08002B2CF9AE}" pid="5" name="Mendeley Recent Style Id 0_1">
    <vt:lpwstr>http://www.zotero.org/styles/algal-research</vt:lpwstr>
  </property>
  <property fmtid="{D5CDD505-2E9C-101B-9397-08002B2CF9AE}" pid="6" name="Mendeley Recent Style Name 0_1">
    <vt:lpwstr>Algal Research</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http://www.zotero.org/styles/chemengineering</vt:lpwstr>
  </property>
  <property fmtid="{D5CDD505-2E9C-101B-9397-08002B2CF9AE}" pid="12" name="Mendeley Recent Style Name 3_1">
    <vt:lpwstr>ChemEngineering</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http://csl.mendeley.com/styles/508463651/elsevier-with-titles</vt:lpwstr>
  </property>
  <property fmtid="{D5CDD505-2E9C-101B-9397-08002B2CF9AE}" pid="16" name="Mendeley Recent Style Name 5_1">
    <vt:lpwstr>Gricu2022</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http://www.zotero.org/styles/industrial-and-engineering-chemistry-research</vt:lpwstr>
  </property>
  <property fmtid="{D5CDD505-2E9C-101B-9397-08002B2CF9AE}" pid="20" name="Mendeley Recent Style Name 7_1">
    <vt:lpwstr>Industrial &amp; Engineering Chemistry Research</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