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1596251F" w:rsidR="00DA51A3" w:rsidRPr="00466FFD" w:rsidRDefault="00F63F5E" w:rsidP="00DA51A3">
      <w:pPr>
        <w:snapToGrid w:val="0"/>
        <w:jc w:val="center"/>
        <w:rPr>
          <w:rFonts w:ascii="Times New Roman" w:eastAsia="MS PGothic" w:hAnsi="Times New Roman"/>
          <w:b/>
          <w:bCs/>
          <w:sz w:val="24"/>
          <w:szCs w:val="24"/>
          <w:lang w:val="en-US"/>
        </w:rPr>
      </w:pPr>
      <w:r w:rsidRPr="00F63F5E">
        <w:rPr>
          <w:rFonts w:ascii="Times New Roman" w:eastAsia="MS PGothic" w:hAnsi="Times New Roman"/>
          <w:b/>
          <w:bCs/>
          <w:sz w:val="24"/>
          <w:szCs w:val="24"/>
          <w:lang w:val="en-US"/>
        </w:rPr>
        <w:t>Scale-up of electrodialysis with bipolar membrane</w:t>
      </w:r>
      <w:r>
        <w:rPr>
          <w:rFonts w:ascii="Times New Roman" w:eastAsia="MS PGothic" w:hAnsi="Times New Roman"/>
          <w:b/>
          <w:bCs/>
          <w:sz w:val="24"/>
          <w:szCs w:val="24"/>
          <w:lang w:val="en-US"/>
        </w:rPr>
        <w:t xml:space="preserve"> (EDBM) </w:t>
      </w:r>
      <w:r w:rsidRPr="00F63F5E">
        <w:rPr>
          <w:rFonts w:ascii="Times New Roman" w:eastAsia="MS PGothic" w:hAnsi="Times New Roman"/>
          <w:b/>
          <w:bCs/>
          <w:sz w:val="24"/>
          <w:szCs w:val="24"/>
          <w:lang w:val="en-US"/>
        </w:rPr>
        <w:t xml:space="preserve">unit for </w:t>
      </w:r>
      <w:proofErr w:type="spellStart"/>
      <w:r w:rsidRPr="00F63F5E">
        <w:rPr>
          <w:rFonts w:ascii="Times New Roman" w:eastAsia="MS PGothic" w:hAnsi="Times New Roman"/>
          <w:b/>
          <w:bCs/>
          <w:sz w:val="24"/>
          <w:szCs w:val="24"/>
          <w:lang w:val="en-US"/>
        </w:rPr>
        <w:t>valorisation</w:t>
      </w:r>
      <w:proofErr w:type="spellEnd"/>
      <w:r w:rsidRPr="00F63F5E">
        <w:rPr>
          <w:rFonts w:ascii="Times New Roman" w:eastAsia="MS PGothic" w:hAnsi="Times New Roman"/>
          <w:b/>
          <w:bCs/>
          <w:sz w:val="24"/>
          <w:szCs w:val="24"/>
          <w:lang w:val="en-US"/>
        </w:rPr>
        <w:t xml:space="preserve"> of waste brine by experimental analysis</w:t>
      </w:r>
    </w:p>
    <w:p w14:paraId="243AAF34" w14:textId="220F3B59" w:rsidR="00DA51A3" w:rsidRPr="000330FD" w:rsidRDefault="000330FD" w:rsidP="00DA51A3">
      <w:pPr>
        <w:snapToGrid w:val="0"/>
        <w:jc w:val="center"/>
        <w:rPr>
          <w:rFonts w:ascii="Times New Roman" w:eastAsia="MS PGothic" w:hAnsi="Times New Roman"/>
          <w:sz w:val="24"/>
          <w:szCs w:val="24"/>
        </w:rPr>
      </w:pPr>
      <w:r w:rsidRPr="000330FD">
        <w:rPr>
          <w:rFonts w:ascii="Times New Roman" w:eastAsia="SimSun" w:hAnsi="Times New Roman"/>
          <w:sz w:val="24"/>
          <w:szCs w:val="24"/>
          <w:u w:val="single"/>
          <w:lang w:eastAsia="zh-CN"/>
        </w:rPr>
        <w:t>Calogero Cassaro</w:t>
      </w:r>
      <w:r w:rsidR="00DA51A3" w:rsidRPr="000330FD">
        <w:rPr>
          <w:rFonts w:ascii="Times New Roman" w:eastAsia="SimSun" w:hAnsi="Times New Roman"/>
          <w:sz w:val="24"/>
          <w:szCs w:val="24"/>
          <w:lang w:eastAsia="zh-CN"/>
        </w:rPr>
        <w:t xml:space="preserve">, </w:t>
      </w:r>
      <w:r w:rsidRPr="000330FD">
        <w:rPr>
          <w:rFonts w:ascii="Times New Roman" w:eastAsia="SimSun" w:hAnsi="Times New Roman"/>
          <w:sz w:val="24"/>
          <w:szCs w:val="24"/>
          <w:lang w:eastAsia="zh-CN"/>
        </w:rPr>
        <w:t>Andrea Culcasi, Andrea Cipol</w:t>
      </w:r>
      <w:r>
        <w:rPr>
          <w:rFonts w:ascii="Times New Roman" w:eastAsia="SimSun" w:hAnsi="Times New Roman"/>
          <w:sz w:val="24"/>
          <w:szCs w:val="24"/>
          <w:lang w:eastAsia="zh-CN"/>
        </w:rPr>
        <w:t>lina*, Alessandro Tamburini, Giorgio Micale</w:t>
      </w:r>
    </w:p>
    <w:p w14:paraId="686D6336" w14:textId="77777777" w:rsidR="00523A9A" w:rsidRDefault="00523A9A" w:rsidP="00523A9A">
      <w:pPr>
        <w:snapToGrid w:val="0"/>
        <w:spacing w:after="120"/>
        <w:jc w:val="center"/>
        <w:rPr>
          <w:rFonts w:ascii="Times New Roman" w:eastAsia="MS PGothic" w:hAnsi="Times New Roman"/>
          <w:i/>
          <w:iCs/>
          <w:sz w:val="20"/>
        </w:rPr>
      </w:pPr>
      <w:r w:rsidRPr="00DC5EC6">
        <w:rPr>
          <w:rFonts w:ascii="Times New Roman" w:eastAsia="MS PGothic" w:hAnsi="Times New Roman"/>
          <w:i/>
          <w:iCs/>
          <w:sz w:val="20"/>
        </w:rPr>
        <w:t xml:space="preserve">Dipartimento di Ingegneria, </w:t>
      </w:r>
      <w:r>
        <w:rPr>
          <w:rFonts w:ascii="Times New Roman" w:eastAsia="MS PGothic" w:hAnsi="Times New Roman"/>
          <w:i/>
          <w:iCs/>
          <w:sz w:val="20"/>
        </w:rPr>
        <w:t xml:space="preserve">Università degli Studi di Palermo - </w:t>
      </w:r>
      <w:r w:rsidRPr="00DC5EC6">
        <w:rPr>
          <w:rFonts w:ascii="Times New Roman" w:eastAsia="MS PGothic" w:hAnsi="Times New Roman"/>
          <w:i/>
          <w:iCs/>
          <w:sz w:val="20"/>
        </w:rPr>
        <w:t>viale de</w:t>
      </w:r>
      <w:r>
        <w:rPr>
          <w:rFonts w:ascii="Times New Roman" w:eastAsia="MS PGothic" w:hAnsi="Times New Roman"/>
          <w:i/>
          <w:iCs/>
          <w:sz w:val="20"/>
        </w:rPr>
        <w:t xml:space="preserve">lle Scienze Ed.6, 90128 Palermo, </w:t>
      </w:r>
      <w:proofErr w:type="spellStart"/>
      <w:r>
        <w:rPr>
          <w:rFonts w:ascii="Times New Roman" w:eastAsia="MS PGothic" w:hAnsi="Times New Roman"/>
          <w:i/>
          <w:iCs/>
          <w:sz w:val="20"/>
        </w:rPr>
        <w:t>Italy</w:t>
      </w:r>
      <w:proofErr w:type="spellEnd"/>
      <w:r w:rsidRPr="00DC5EC6">
        <w:rPr>
          <w:rFonts w:ascii="Times New Roman" w:eastAsia="MS PGothic" w:hAnsi="Times New Roman"/>
          <w:i/>
          <w:iCs/>
          <w:sz w:val="20"/>
        </w:rPr>
        <w:t xml:space="preserve">; </w:t>
      </w:r>
    </w:p>
    <w:p w14:paraId="2C6AEBCE" w14:textId="77777777" w:rsidR="00523A9A" w:rsidRPr="00466FFD" w:rsidRDefault="00523A9A" w:rsidP="00523A9A">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sidRPr="00466FFD">
        <w:rPr>
          <w:rFonts w:ascii="Times New Roman" w:eastAsia="MS PGothic" w:hAnsi="Times New Roman"/>
          <w:bCs/>
          <w:i/>
          <w:iCs/>
          <w:sz w:val="20"/>
          <w:lang w:val="en-US"/>
        </w:rPr>
        <w:t xml:space="preserve"> </w:t>
      </w:r>
      <w:r>
        <w:rPr>
          <w:rFonts w:ascii="Times New Roman" w:eastAsia="MS PGothic" w:hAnsi="Times New Roman"/>
          <w:bCs/>
          <w:i/>
          <w:iCs/>
          <w:sz w:val="20"/>
          <w:lang w:val="en-US"/>
        </w:rPr>
        <w:t>andrea.cipollina@unipa.it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172B2ED2" w14:textId="4C712AE8" w:rsidR="001063C1" w:rsidRDefault="00247258" w:rsidP="006E3773">
      <w:pPr>
        <w:snapToGrid w:val="0"/>
        <w:spacing w:before="240" w:line="300" w:lineRule="auto"/>
        <w:jc w:val="both"/>
        <w:rPr>
          <w:rFonts w:ascii="Times New Roman" w:eastAsia="MS PGothic" w:hAnsi="Times New Roman"/>
          <w:lang w:val="en-US"/>
        </w:rPr>
      </w:pPr>
      <w:r w:rsidRPr="00247258">
        <w:rPr>
          <w:rFonts w:ascii="Times New Roman" w:eastAsia="MS PGothic" w:hAnsi="Times New Roman"/>
          <w:lang w:val="en-US"/>
        </w:rPr>
        <w:t xml:space="preserve">The </w:t>
      </w:r>
      <w:proofErr w:type="spellStart"/>
      <w:r>
        <w:rPr>
          <w:rFonts w:ascii="Times New Roman" w:eastAsia="MS PGothic" w:hAnsi="Times New Roman"/>
          <w:lang w:val="en-US"/>
        </w:rPr>
        <w:t>valorisation</w:t>
      </w:r>
      <w:proofErr w:type="spellEnd"/>
      <w:r w:rsidRPr="00247258">
        <w:rPr>
          <w:rFonts w:ascii="Times New Roman" w:eastAsia="MS PGothic" w:hAnsi="Times New Roman"/>
          <w:lang w:val="en-US"/>
        </w:rPr>
        <w:t xml:space="preserve"> of brines, of both natural and industrial origin, represents one of the most important challenges of modern society. Another equally desirable</w:t>
      </w:r>
      <w:r w:rsidR="00FC3046">
        <w:rPr>
          <w:rFonts w:ascii="Times New Roman" w:eastAsia="MS PGothic" w:hAnsi="Times New Roman"/>
          <w:lang w:val="en-US"/>
        </w:rPr>
        <w:t xml:space="preserve"> aspect</w:t>
      </w:r>
      <w:r w:rsidRPr="00247258">
        <w:rPr>
          <w:rFonts w:ascii="Times New Roman" w:eastAsia="MS PGothic" w:hAnsi="Times New Roman"/>
          <w:lang w:val="en-US"/>
        </w:rPr>
        <w:t xml:space="preserve"> concerns achiev</w:t>
      </w:r>
      <w:r w:rsidR="00FC3046">
        <w:rPr>
          <w:rFonts w:ascii="Times New Roman" w:eastAsia="MS PGothic" w:hAnsi="Times New Roman"/>
          <w:lang w:val="en-US"/>
        </w:rPr>
        <w:t>ing</w:t>
      </w:r>
      <w:r w:rsidRPr="00247258">
        <w:rPr>
          <w:rFonts w:ascii="Times New Roman" w:eastAsia="MS PGothic" w:hAnsi="Times New Roman"/>
          <w:lang w:val="en-US"/>
        </w:rPr>
        <w:t xml:space="preserve"> a circular economy within various industrial processes to make the process itself more sustainable, from an economic and environmental point of view.</w:t>
      </w:r>
      <w:r w:rsidR="00994444" w:rsidRPr="00994444">
        <w:rPr>
          <w:rFonts w:ascii="Times New Roman" w:eastAsia="MS PGothic" w:hAnsi="Times New Roman"/>
          <w:lang w:val="en-US"/>
        </w:rPr>
        <w:t xml:space="preserve"> </w:t>
      </w:r>
      <w:r w:rsidRPr="00247258">
        <w:rPr>
          <w:rFonts w:ascii="Times New Roman" w:eastAsia="MS PGothic" w:hAnsi="Times New Roman"/>
          <w:lang w:val="en-US"/>
        </w:rPr>
        <w:t>The bipolar membrane electrodialysis (EDBM) process is particularly suited to achieving these goals</w:t>
      </w:r>
      <w:r w:rsidR="00FC3046">
        <w:rPr>
          <w:rFonts w:ascii="Times New Roman" w:eastAsia="MS PGothic" w:hAnsi="Times New Roman"/>
          <w:lang w:val="en-US"/>
        </w:rPr>
        <w:t xml:space="preserve"> </w:t>
      </w:r>
      <w:r w:rsidR="00093C64">
        <w:rPr>
          <w:rFonts w:ascii="Times New Roman" w:eastAsia="MS PGothic" w:hAnsi="Times New Roman"/>
          <w:lang w:val="en-US"/>
        </w:rPr>
        <w:fldChar w:fldCharType="begin" w:fldLock="1"/>
      </w:r>
      <w:r w:rsidR="00093C64">
        <w:rPr>
          <w:rFonts w:ascii="Times New Roman" w:eastAsia="MS PGothic" w:hAnsi="Times New Roman"/>
          <w:lang w:val="en-US"/>
        </w:rPr>
        <w:instrText>ADDIN CSL_CITATION {"citationItems":[{"id":"ITEM-1","itemData":{"DOI":"10.3390/membranes10070146","ISSN":"20770375","abstract":"This paper presents a comprehensive review of studies on electrodialysis (ED) applications in wastewater treatment, outlining the current status and the future prospect. ED is a membrane process of separation under the action of an electric field, where ions are selectively transported across ion-exchange membranes. ED of both conventional or unconventional fashion has been tested to treat several waste or spent aqueous solutions, including effluents from various industrial processes, municipal wastewater or salt water treatment plants, and animal farms. Properties such as selectivity, high separation efficiency, and chemical-free treatment make ED methods adequate for desalination and other treatments with significant environmental benefits. ED technologies can be used in operations of concentration, dilution, desalination, regeneration, and valorisation to reclaim wastewater and recover water and/or other products, e.g., heavy metal ions, salts, acids/bases, nutrients, and organics, or electrical energy. Intense research activity has been directed towards developing enhanced or novel systems, showing that zero or minimal liquid discharge approaches can be techno-economically affordable and competitive. Despite few real plants having been installed, recent developments are opening new routes for the large-scale use of ED techniques in a plethora of treatment processes for wastewater.","author":[{"dropping-particle":"","family":"Gurreri","given":"Luigi","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Membranes","id":"ITEM-1","issue":"7","issued":{"date-parts":[["2020"]]},"title":"Electrodialysis applications in wastewater treatment for environmental protection and resources recovery: A systematic review on progress and perspectives","type":"article","volume":"10"},"uris":["http://www.mendeley.com/documents/?uuid=68fd3863-8ccd-3b00-890b-4cd16b204193"]}],"mendeley":{"formattedCitation":"[1]","plainTextFormattedCitation":"[1]","previouslyFormattedCitation":"[1]"},"properties":{"noteIndex":0},"schema":"https://github.com/citation-style-language/schema/raw/master/csl-citation.json"}</w:instrText>
      </w:r>
      <w:r w:rsidR="00093C64">
        <w:rPr>
          <w:rFonts w:ascii="Times New Roman" w:eastAsia="MS PGothic" w:hAnsi="Times New Roman"/>
          <w:lang w:val="en-US"/>
        </w:rPr>
        <w:fldChar w:fldCharType="separate"/>
      </w:r>
      <w:r w:rsidR="00093C64" w:rsidRPr="00093C64">
        <w:rPr>
          <w:rFonts w:ascii="Times New Roman" w:eastAsia="MS PGothic" w:hAnsi="Times New Roman"/>
          <w:noProof/>
          <w:lang w:val="en-US"/>
        </w:rPr>
        <w:t>[1]</w:t>
      </w:r>
      <w:r w:rsidR="00093C64">
        <w:rPr>
          <w:rFonts w:ascii="Times New Roman" w:eastAsia="MS PGothic" w:hAnsi="Times New Roman"/>
          <w:lang w:val="en-US"/>
        </w:rPr>
        <w:fldChar w:fldCharType="end"/>
      </w:r>
      <w:r w:rsidR="00994444" w:rsidRPr="00994444">
        <w:rPr>
          <w:rFonts w:ascii="Times New Roman" w:eastAsia="MS PGothic" w:hAnsi="Times New Roman"/>
          <w:lang w:val="en-US"/>
        </w:rPr>
        <w:t xml:space="preserve">. </w:t>
      </w:r>
      <w:r w:rsidR="00742731" w:rsidRPr="00742731">
        <w:rPr>
          <w:rFonts w:ascii="Times New Roman" w:eastAsia="MS PGothic" w:hAnsi="Times New Roman"/>
          <w:lang w:val="en-US"/>
        </w:rPr>
        <w:t xml:space="preserve">It is an electro-membrane process </w:t>
      </w:r>
      <w:r w:rsidR="00742731">
        <w:rPr>
          <w:rFonts w:ascii="Times New Roman" w:eastAsia="MS PGothic" w:hAnsi="Times New Roman"/>
          <w:lang w:val="en-US"/>
        </w:rPr>
        <w:t>that can valorize</w:t>
      </w:r>
      <w:r w:rsidR="00742731" w:rsidRPr="00742731">
        <w:rPr>
          <w:rFonts w:ascii="Times New Roman" w:eastAsia="MS PGothic" w:hAnsi="Times New Roman"/>
          <w:lang w:val="en-US"/>
        </w:rPr>
        <w:t xml:space="preserve"> waste brines and produc</w:t>
      </w:r>
      <w:r w:rsidR="00742731">
        <w:rPr>
          <w:rFonts w:ascii="Times New Roman" w:eastAsia="MS PGothic" w:hAnsi="Times New Roman"/>
          <w:lang w:val="en-US"/>
        </w:rPr>
        <w:t>e</w:t>
      </w:r>
      <w:r w:rsidR="00742731" w:rsidRPr="00742731">
        <w:rPr>
          <w:rFonts w:ascii="Times New Roman" w:eastAsia="MS PGothic" w:hAnsi="Times New Roman"/>
          <w:lang w:val="en-US"/>
        </w:rPr>
        <w:t xml:space="preserve"> acid and alkaline solutions, which can be recirculated inside the equipment located upstream</w:t>
      </w:r>
      <w:r w:rsidR="00A1421F">
        <w:rPr>
          <w:rFonts w:ascii="Times New Roman" w:eastAsia="MS PGothic" w:hAnsi="Times New Roman"/>
          <w:lang w:val="en-US"/>
        </w:rPr>
        <w:t>/downstream</w:t>
      </w:r>
      <w:r w:rsidR="00742731" w:rsidRPr="00742731">
        <w:rPr>
          <w:rFonts w:ascii="Times New Roman" w:eastAsia="MS PGothic" w:hAnsi="Times New Roman"/>
          <w:lang w:val="en-US"/>
        </w:rPr>
        <w:t>.</w:t>
      </w:r>
      <w:r w:rsidR="006E3773">
        <w:rPr>
          <w:rFonts w:ascii="Times New Roman" w:eastAsia="MS PGothic" w:hAnsi="Times New Roman"/>
          <w:lang w:val="en-US"/>
        </w:rPr>
        <w:t xml:space="preserve"> </w:t>
      </w:r>
      <w:r w:rsidR="00994444" w:rsidRPr="00994444">
        <w:rPr>
          <w:rFonts w:ascii="Times New Roman" w:eastAsia="MS PGothic" w:hAnsi="Times New Roman"/>
          <w:lang w:val="en-US"/>
        </w:rPr>
        <w:t>The bipolar membranes, which allow the dissociation of water into H</w:t>
      </w:r>
      <w:r w:rsidR="00994444" w:rsidRPr="002E714A">
        <w:rPr>
          <w:rFonts w:ascii="Times New Roman" w:eastAsia="MS PGothic" w:hAnsi="Times New Roman"/>
          <w:vertAlign w:val="superscript"/>
          <w:lang w:val="en-US"/>
        </w:rPr>
        <w:t>+</w:t>
      </w:r>
      <w:r w:rsidR="00994444" w:rsidRPr="00994444">
        <w:rPr>
          <w:rFonts w:ascii="Times New Roman" w:eastAsia="MS PGothic" w:hAnsi="Times New Roman"/>
          <w:lang w:val="en-US"/>
        </w:rPr>
        <w:t xml:space="preserve"> and OH</w:t>
      </w:r>
      <w:r w:rsidR="00994444" w:rsidRPr="002E714A">
        <w:rPr>
          <w:rFonts w:ascii="Times New Roman" w:eastAsia="MS PGothic" w:hAnsi="Times New Roman"/>
          <w:vertAlign w:val="superscript"/>
          <w:lang w:val="en-US"/>
        </w:rPr>
        <w:t>-</w:t>
      </w:r>
      <w:r w:rsidR="00994444" w:rsidRPr="00994444">
        <w:rPr>
          <w:rFonts w:ascii="Times New Roman" w:eastAsia="MS PGothic" w:hAnsi="Times New Roman"/>
          <w:lang w:val="en-US"/>
        </w:rPr>
        <w:t xml:space="preserve"> ions, play a critical role. These ions, in turn, combine with those of the salt present in the waste brine, resulting in </w:t>
      </w:r>
      <w:r w:rsidR="006E3773" w:rsidRPr="006E3773">
        <w:rPr>
          <w:rFonts w:ascii="Times New Roman" w:eastAsia="MS PGothic" w:hAnsi="Times New Roman"/>
          <w:lang w:val="en-US"/>
        </w:rPr>
        <w:t>high value</w:t>
      </w:r>
      <w:r w:rsidR="002B2FCB">
        <w:rPr>
          <w:rFonts w:ascii="Times New Roman" w:eastAsia="MS PGothic" w:hAnsi="Times New Roman"/>
          <w:lang w:val="en-US"/>
        </w:rPr>
        <w:t>-</w:t>
      </w:r>
      <w:r w:rsidR="006E3773" w:rsidRPr="006E3773">
        <w:rPr>
          <w:rFonts w:ascii="Times New Roman" w:eastAsia="MS PGothic" w:hAnsi="Times New Roman"/>
          <w:lang w:val="en-US"/>
        </w:rPr>
        <w:t>added chemicals</w:t>
      </w:r>
      <w:r w:rsidR="00994444" w:rsidRPr="00994444">
        <w:rPr>
          <w:rFonts w:ascii="Times New Roman" w:eastAsia="MS PGothic" w:hAnsi="Times New Roman"/>
          <w:lang w:val="en-US"/>
        </w:rPr>
        <w:t>. The enormous potential inherent in this technology has piqued the European Community's interest. The European project H2020 WATER-MINING</w:t>
      </w:r>
      <w:proofErr w:type="gramStart"/>
      <w:r w:rsidR="00994444" w:rsidRPr="00994444">
        <w:rPr>
          <w:rFonts w:ascii="Times New Roman" w:eastAsia="MS PGothic" w:hAnsi="Times New Roman"/>
          <w:lang w:val="en-US"/>
        </w:rPr>
        <w:t>, in particular, has</w:t>
      </w:r>
      <w:proofErr w:type="gramEnd"/>
      <w:r w:rsidR="00994444" w:rsidRPr="00994444">
        <w:rPr>
          <w:rFonts w:ascii="Times New Roman" w:eastAsia="MS PGothic" w:hAnsi="Times New Roman"/>
          <w:lang w:val="en-US"/>
        </w:rPr>
        <w:t xml:space="preserve"> integrated this technology into a pilot-scale demonstrative treatment chain. The goal of using the EDBM is to produce chemicals in-situ, allowing for resource circularity and, ultimately, waste minimization. </w:t>
      </w:r>
      <w:r w:rsidR="001063C1" w:rsidRPr="001063C1">
        <w:rPr>
          <w:rFonts w:ascii="Times New Roman" w:eastAsia="MS PGothic" w:hAnsi="Times New Roman"/>
          <w:lang w:val="en-US"/>
        </w:rPr>
        <w:t>Th</w:t>
      </w:r>
      <w:r w:rsidR="002B2FCB">
        <w:rPr>
          <w:rFonts w:ascii="Times New Roman" w:eastAsia="MS PGothic" w:hAnsi="Times New Roman"/>
          <w:lang w:val="en-US"/>
        </w:rPr>
        <w:t>is</w:t>
      </w:r>
      <w:r w:rsidR="001063C1" w:rsidRPr="001063C1">
        <w:rPr>
          <w:rFonts w:ascii="Times New Roman" w:eastAsia="MS PGothic" w:hAnsi="Times New Roman"/>
          <w:lang w:val="en-US"/>
        </w:rPr>
        <w:t xml:space="preserve"> work</w:t>
      </w:r>
      <w:r w:rsidR="002B2FCB">
        <w:rPr>
          <w:rFonts w:ascii="Times New Roman" w:eastAsia="MS PGothic" w:hAnsi="Times New Roman"/>
          <w:lang w:val="en-US"/>
        </w:rPr>
        <w:t xml:space="preserve"> aims to </w:t>
      </w:r>
      <w:r w:rsidR="001063C1" w:rsidRPr="001063C1">
        <w:rPr>
          <w:rFonts w:ascii="Times New Roman" w:eastAsia="MS PGothic" w:hAnsi="Times New Roman"/>
          <w:lang w:val="en-US"/>
        </w:rPr>
        <w:t>design of an EDBM stack at the pilot scale exploiting the data collected by a laboratory</w:t>
      </w:r>
      <w:r w:rsidR="001063C1">
        <w:rPr>
          <w:rFonts w:ascii="Times New Roman" w:eastAsia="MS PGothic" w:hAnsi="Times New Roman"/>
          <w:lang w:val="en-US"/>
        </w:rPr>
        <w:t>-</w:t>
      </w:r>
      <w:r w:rsidR="001063C1" w:rsidRPr="001063C1">
        <w:rPr>
          <w:rFonts w:ascii="Times New Roman" w:eastAsia="MS PGothic" w:hAnsi="Times New Roman"/>
          <w:lang w:val="en-US"/>
        </w:rPr>
        <w:t xml:space="preserve">scale unit, with operating conditions </w:t>
      </w:r>
      <w:proofErr w:type="gramStart"/>
      <w:r w:rsidR="001063C1" w:rsidRPr="001063C1">
        <w:rPr>
          <w:rFonts w:ascii="Times New Roman" w:eastAsia="MS PGothic" w:hAnsi="Times New Roman"/>
          <w:lang w:val="en-US"/>
        </w:rPr>
        <w:t>similar to</w:t>
      </w:r>
      <w:proofErr w:type="gramEnd"/>
      <w:r w:rsidR="001063C1" w:rsidRPr="001063C1">
        <w:rPr>
          <w:rFonts w:ascii="Times New Roman" w:eastAsia="MS PGothic" w:hAnsi="Times New Roman"/>
          <w:lang w:val="en-US"/>
        </w:rPr>
        <w:t xml:space="preserve"> those of an industrial context.</w:t>
      </w:r>
    </w:p>
    <w:p w14:paraId="0871BF31" w14:textId="657A12AC" w:rsidR="00DA51A3" w:rsidRPr="00466FFD" w:rsidRDefault="00DA51A3" w:rsidP="006E3773">
      <w:pPr>
        <w:snapToGrid w:val="0"/>
        <w:spacing w:before="240" w:line="300" w:lineRule="auto"/>
        <w:jc w:val="both"/>
        <w:rPr>
          <w:rFonts w:ascii="Times New Roman" w:eastAsia="MS PGothic" w:hAnsi="Times New Roman"/>
          <w:lang w:val="en-US"/>
        </w:rPr>
      </w:pPr>
      <w:r w:rsidRPr="00466FFD">
        <w:rPr>
          <w:rFonts w:ascii="Times New Roman" w:eastAsia="MS PGothic" w:hAnsi="Times New Roman"/>
          <w:b/>
          <w:bCs/>
          <w:lang w:val="en-US"/>
        </w:rPr>
        <w:t>2. Methods</w:t>
      </w:r>
    </w:p>
    <w:p w14:paraId="6E87A089" w14:textId="1A229DE3" w:rsidR="00D600AD" w:rsidRDefault="00994444" w:rsidP="00D600AD">
      <w:pPr>
        <w:snapToGrid w:val="0"/>
        <w:spacing w:before="240" w:line="300" w:lineRule="auto"/>
        <w:jc w:val="both"/>
        <w:rPr>
          <w:rFonts w:ascii="Times New Roman" w:eastAsia="MS PGothic" w:hAnsi="Times New Roman"/>
          <w:lang w:val="en-US"/>
        </w:rPr>
      </w:pPr>
      <w:r w:rsidRPr="00994444">
        <w:rPr>
          <w:rFonts w:ascii="Times New Roman" w:eastAsia="MS PGothic" w:hAnsi="Times New Roman"/>
          <w:lang w:val="en-US"/>
        </w:rPr>
        <w:t xml:space="preserve">The experiments were conducted using a Fumatech® laboratory unit equipped with FAB®, FKB®, and FBM® membranes, as well as PVC/ECTFE spacers. Five repeating units were used to assemble the stack. The experiments were carried out in closed-loop mode (i.e., with recirculation) to achieve a target concentration of 1M NaOH in the base compartment. The saline compartment was initially filled with 1.5M or 2M NaCl solutions, while the acid and base compartments were filled with 0.05M HCl and NaOH, respectively. The experiments were carried out </w:t>
      </w:r>
      <w:proofErr w:type="spellStart"/>
      <w:r w:rsidRPr="00994444">
        <w:rPr>
          <w:rFonts w:ascii="Times New Roman" w:eastAsia="MS PGothic" w:hAnsi="Times New Roman"/>
          <w:lang w:val="en-US"/>
        </w:rPr>
        <w:t>galvanostatically</w:t>
      </w:r>
      <w:proofErr w:type="spellEnd"/>
      <w:r w:rsidRPr="00994444">
        <w:rPr>
          <w:rFonts w:ascii="Times New Roman" w:eastAsia="MS PGothic" w:hAnsi="Times New Roman"/>
          <w:lang w:val="en-US"/>
        </w:rPr>
        <w:t xml:space="preserve"> with current densities ranging between 100 and 300 Am</w:t>
      </w:r>
      <w:r w:rsidRPr="002E714A">
        <w:rPr>
          <w:rFonts w:ascii="Times New Roman" w:eastAsia="MS PGothic" w:hAnsi="Times New Roman"/>
          <w:vertAlign w:val="superscript"/>
          <w:lang w:val="en-US"/>
        </w:rPr>
        <w:t>-2</w:t>
      </w:r>
      <w:r w:rsidRPr="00994444">
        <w:rPr>
          <w:rFonts w:ascii="Times New Roman" w:eastAsia="MS PGothic" w:hAnsi="Times New Roman"/>
          <w:lang w:val="en-US"/>
        </w:rPr>
        <w:t xml:space="preserve">. </w:t>
      </w:r>
      <w:r w:rsidR="00D600AD" w:rsidRPr="00D600AD">
        <w:rPr>
          <w:rFonts w:ascii="Times New Roman" w:eastAsia="MS PGothic" w:hAnsi="Times New Roman"/>
          <w:lang w:val="en-US"/>
        </w:rPr>
        <w:t>The identification of the best operating condition for the laboratory</w:t>
      </w:r>
      <w:r w:rsidR="00D600AD">
        <w:rPr>
          <w:rFonts w:ascii="Times New Roman" w:eastAsia="MS PGothic" w:hAnsi="Times New Roman"/>
          <w:lang w:val="en-US"/>
        </w:rPr>
        <w:t>-</w:t>
      </w:r>
      <w:r w:rsidR="00D600AD" w:rsidRPr="00D600AD">
        <w:rPr>
          <w:rFonts w:ascii="Times New Roman" w:eastAsia="MS PGothic" w:hAnsi="Times New Roman"/>
          <w:lang w:val="en-US"/>
        </w:rPr>
        <w:t>scale stack allowed the calculation of parameters independent of the membrane surface. These parameters</w:t>
      </w:r>
      <w:r w:rsidR="00AD5EEA">
        <w:rPr>
          <w:rFonts w:ascii="Times New Roman" w:eastAsia="MS PGothic" w:hAnsi="Times New Roman"/>
          <w:lang w:val="en-US"/>
        </w:rPr>
        <w:t>, along with the design constraints,</w:t>
      </w:r>
      <w:r w:rsidR="00D600AD" w:rsidRPr="00D600AD">
        <w:rPr>
          <w:rFonts w:ascii="Times New Roman" w:eastAsia="MS PGothic" w:hAnsi="Times New Roman"/>
          <w:lang w:val="en-US"/>
        </w:rPr>
        <w:t xml:space="preserve"> were </w:t>
      </w:r>
      <w:r w:rsidR="00AD5EEA">
        <w:rPr>
          <w:rFonts w:ascii="Times New Roman" w:eastAsia="MS PGothic" w:hAnsi="Times New Roman"/>
          <w:lang w:val="en-US"/>
        </w:rPr>
        <w:t>then</w:t>
      </w:r>
      <w:r w:rsidR="00AD5EEA" w:rsidRPr="00D600AD">
        <w:rPr>
          <w:rFonts w:ascii="Times New Roman" w:eastAsia="MS PGothic" w:hAnsi="Times New Roman"/>
          <w:lang w:val="en-US"/>
        </w:rPr>
        <w:t xml:space="preserve"> </w:t>
      </w:r>
      <w:r w:rsidR="00D600AD" w:rsidRPr="00D600AD">
        <w:rPr>
          <w:rFonts w:ascii="Times New Roman" w:eastAsia="MS PGothic" w:hAnsi="Times New Roman"/>
          <w:lang w:val="en-US"/>
        </w:rPr>
        <w:t>inserted into a mathematical algorithm that provided the design of the equipment at the pilot</w:t>
      </w:r>
      <w:r w:rsidR="00AD5EEA">
        <w:rPr>
          <w:rFonts w:ascii="Times New Roman" w:eastAsia="MS PGothic" w:hAnsi="Times New Roman"/>
          <w:lang w:val="en-US"/>
        </w:rPr>
        <w:t xml:space="preserve"> </w:t>
      </w:r>
      <w:r w:rsidR="00D600AD" w:rsidRPr="00D600AD">
        <w:rPr>
          <w:rFonts w:ascii="Times New Roman" w:eastAsia="MS PGothic" w:hAnsi="Times New Roman"/>
          <w:lang w:val="en-US"/>
        </w:rPr>
        <w:t>scale.</w:t>
      </w:r>
    </w:p>
    <w:p w14:paraId="0528A46E" w14:textId="3CA3AF44" w:rsidR="00DA51A3" w:rsidRPr="00DE693D" w:rsidRDefault="00DA51A3" w:rsidP="00D600AD">
      <w:pPr>
        <w:snapToGrid w:val="0"/>
        <w:spacing w:before="240" w:line="300" w:lineRule="auto"/>
        <w:jc w:val="both"/>
        <w:rPr>
          <w:rFonts w:ascii="Times New Roman" w:eastAsia="MS PGothic" w:hAnsi="Times New Roman"/>
          <w:lang w:val="en-US"/>
        </w:rPr>
      </w:pPr>
      <w:r w:rsidRPr="00DE693D">
        <w:rPr>
          <w:rFonts w:ascii="Times New Roman" w:eastAsia="MS PGothic" w:hAnsi="Times New Roman"/>
          <w:b/>
          <w:bCs/>
          <w:lang w:val="en-US"/>
        </w:rPr>
        <w:t>3. Results and discussion</w:t>
      </w:r>
    </w:p>
    <w:p w14:paraId="511926B7" w14:textId="0CBB5DDF" w:rsidR="00994444" w:rsidRPr="00994444" w:rsidRDefault="00994444" w:rsidP="0040456C">
      <w:pPr>
        <w:snapToGrid w:val="0"/>
        <w:spacing w:before="240" w:after="120"/>
        <w:jc w:val="both"/>
        <w:rPr>
          <w:rFonts w:ascii="Times New Roman" w:eastAsia="MS PGothic" w:hAnsi="Times New Roman"/>
          <w:lang w:val="en-US"/>
        </w:rPr>
      </w:pPr>
      <w:r w:rsidRPr="00994444">
        <w:rPr>
          <w:rFonts w:ascii="Times New Roman" w:eastAsia="MS PGothic" w:hAnsi="Times New Roman"/>
          <w:lang w:val="en-US"/>
        </w:rPr>
        <w:t>The results show that the tests at 200 A</w:t>
      </w:r>
      <w:r w:rsidR="001063C1">
        <w:rPr>
          <w:rFonts w:ascii="Times New Roman" w:eastAsia="MS PGothic" w:hAnsi="Times New Roman"/>
          <w:lang w:val="en-US"/>
        </w:rPr>
        <w:t xml:space="preserve"> </w:t>
      </w:r>
      <w:r w:rsidRPr="00994444">
        <w:rPr>
          <w:rFonts w:ascii="Times New Roman" w:eastAsia="MS PGothic" w:hAnsi="Times New Roman"/>
          <w:lang w:val="en-US"/>
        </w:rPr>
        <w:t>m</w:t>
      </w:r>
      <w:r w:rsidR="002E714A" w:rsidRPr="0040456C">
        <w:rPr>
          <w:rFonts w:ascii="Times New Roman" w:eastAsia="MS PGothic" w:hAnsi="Times New Roman"/>
          <w:vertAlign w:val="superscript"/>
          <w:lang w:val="en-US"/>
        </w:rPr>
        <w:t>-</w:t>
      </w:r>
      <w:r w:rsidRPr="0040456C">
        <w:rPr>
          <w:rFonts w:ascii="Times New Roman" w:eastAsia="MS PGothic" w:hAnsi="Times New Roman"/>
          <w:vertAlign w:val="superscript"/>
          <w:lang w:val="en-US"/>
        </w:rPr>
        <w:t>2</w:t>
      </w:r>
      <w:r w:rsidRPr="00994444">
        <w:rPr>
          <w:rFonts w:ascii="Times New Roman" w:eastAsia="MS PGothic" w:hAnsi="Times New Roman"/>
          <w:lang w:val="en-US"/>
        </w:rPr>
        <w:t xml:space="preserve"> and a salt input concentration of 2M are the best compromises between </w:t>
      </w:r>
      <w:r w:rsidR="00BE66B1">
        <w:rPr>
          <w:rFonts w:ascii="Times New Roman" w:eastAsia="MS PGothic" w:hAnsi="Times New Roman"/>
          <w:lang w:val="en-US"/>
        </w:rPr>
        <w:t xml:space="preserve">NaOH </w:t>
      </w:r>
      <w:r w:rsidR="002E714A">
        <w:rPr>
          <w:rFonts w:ascii="Times New Roman" w:eastAsia="MS PGothic" w:hAnsi="Times New Roman"/>
          <w:lang w:val="en-US"/>
        </w:rPr>
        <w:t>S</w:t>
      </w:r>
      <w:r w:rsidRPr="00994444">
        <w:rPr>
          <w:rFonts w:ascii="Times New Roman" w:eastAsia="MS PGothic" w:hAnsi="Times New Roman"/>
          <w:lang w:val="en-US"/>
        </w:rPr>
        <w:t xml:space="preserve">pecific </w:t>
      </w:r>
      <w:r w:rsidR="002E714A">
        <w:rPr>
          <w:rFonts w:ascii="Times New Roman" w:eastAsia="MS PGothic" w:hAnsi="Times New Roman"/>
          <w:lang w:val="en-US"/>
        </w:rPr>
        <w:t>E</w:t>
      </w:r>
      <w:r w:rsidRPr="00994444">
        <w:rPr>
          <w:rFonts w:ascii="Times New Roman" w:eastAsia="MS PGothic" w:hAnsi="Times New Roman"/>
          <w:lang w:val="en-US"/>
        </w:rPr>
        <w:t xml:space="preserve">nergy </w:t>
      </w:r>
      <w:r w:rsidR="002E714A">
        <w:rPr>
          <w:rFonts w:ascii="Times New Roman" w:eastAsia="MS PGothic" w:hAnsi="Times New Roman"/>
          <w:lang w:val="en-US"/>
        </w:rPr>
        <w:t>Co</w:t>
      </w:r>
      <w:r w:rsidRPr="00994444">
        <w:rPr>
          <w:rFonts w:ascii="Times New Roman" w:eastAsia="MS PGothic" w:hAnsi="Times New Roman"/>
          <w:lang w:val="en-US"/>
        </w:rPr>
        <w:t>nsumption (SEC) and current efficiency. Indeed, this operating condition has a current efficiency of</w:t>
      </w:r>
      <w:r w:rsidR="00F51655">
        <w:rPr>
          <w:rFonts w:ascii="Times New Roman" w:eastAsia="MS PGothic" w:hAnsi="Times New Roman"/>
          <w:lang w:val="en-US"/>
        </w:rPr>
        <w:t xml:space="preserve"> 79.9</w:t>
      </w:r>
      <w:r w:rsidRPr="00994444">
        <w:rPr>
          <w:rFonts w:ascii="Times New Roman" w:eastAsia="MS PGothic" w:hAnsi="Times New Roman"/>
          <w:lang w:val="en-US"/>
        </w:rPr>
        <w:t xml:space="preserve"> percent, </w:t>
      </w:r>
      <w:proofErr w:type="gramStart"/>
      <w:r w:rsidRPr="00994444">
        <w:rPr>
          <w:rFonts w:ascii="Times New Roman" w:eastAsia="MS PGothic" w:hAnsi="Times New Roman"/>
          <w:lang w:val="en-US"/>
        </w:rPr>
        <w:t>similar to</w:t>
      </w:r>
      <w:proofErr w:type="gramEnd"/>
      <w:r w:rsidRPr="00994444">
        <w:rPr>
          <w:rFonts w:ascii="Times New Roman" w:eastAsia="MS PGothic" w:hAnsi="Times New Roman"/>
          <w:lang w:val="en-US"/>
        </w:rPr>
        <w:t xml:space="preserve"> the </w:t>
      </w:r>
      <w:r w:rsidR="00C24005">
        <w:rPr>
          <w:rFonts w:ascii="Times New Roman" w:eastAsia="MS PGothic" w:hAnsi="Times New Roman"/>
          <w:lang w:val="en-US"/>
        </w:rPr>
        <w:t>8</w:t>
      </w:r>
      <w:r w:rsidR="00F51655">
        <w:rPr>
          <w:rFonts w:ascii="Times New Roman" w:eastAsia="MS PGothic" w:hAnsi="Times New Roman"/>
          <w:lang w:val="en-US"/>
        </w:rPr>
        <w:t>0.8</w:t>
      </w:r>
      <w:r w:rsidR="00C24005">
        <w:rPr>
          <w:rFonts w:ascii="Times New Roman" w:eastAsia="MS PGothic" w:hAnsi="Times New Roman"/>
          <w:lang w:val="en-US"/>
        </w:rPr>
        <w:t xml:space="preserve"> </w:t>
      </w:r>
      <w:r w:rsidRPr="00994444">
        <w:rPr>
          <w:rFonts w:ascii="Times New Roman" w:eastAsia="MS PGothic" w:hAnsi="Times New Roman"/>
          <w:lang w:val="en-US"/>
        </w:rPr>
        <w:t>percent obtained in the tests at 300 A m</w:t>
      </w:r>
      <w:r w:rsidR="002E714A" w:rsidRPr="0040456C">
        <w:rPr>
          <w:rFonts w:ascii="Times New Roman" w:eastAsia="MS PGothic" w:hAnsi="Times New Roman"/>
          <w:vertAlign w:val="superscript"/>
          <w:lang w:val="en-US"/>
        </w:rPr>
        <w:t>-</w:t>
      </w:r>
      <w:r w:rsidRPr="0040456C">
        <w:rPr>
          <w:rFonts w:ascii="Times New Roman" w:eastAsia="MS PGothic" w:hAnsi="Times New Roman"/>
          <w:vertAlign w:val="superscript"/>
          <w:lang w:val="en-US"/>
        </w:rPr>
        <w:t>2</w:t>
      </w:r>
      <w:r w:rsidRPr="00994444">
        <w:rPr>
          <w:rFonts w:ascii="Times New Roman" w:eastAsia="MS PGothic" w:hAnsi="Times New Roman"/>
          <w:lang w:val="en-US"/>
        </w:rPr>
        <w:t xml:space="preserve">. </w:t>
      </w:r>
      <w:r w:rsidR="007C46D6" w:rsidRPr="007C46D6">
        <w:rPr>
          <w:rFonts w:ascii="Times New Roman" w:eastAsia="MS PGothic" w:hAnsi="Times New Roman"/>
          <w:lang w:val="en-US"/>
        </w:rPr>
        <w:t>Excellent results were also achieved in terms of the relationship between real time and theoretical test time. This in fact, at 200 A</w:t>
      </w:r>
      <w:r w:rsidR="001063C1">
        <w:rPr>
          <w:rFonts w:ascii="Times New Roman" w:eastAsia="MS PGothic" w:hAnsi="Times New Roman"/>
          <w:lang w:val="en-US"/>
        </w:rPr>
        <w:t xml:space="preserve"> </w:t>
      </w:r>
      <w:r w:rsidR="007C46D6" w:rsidRPr="007C46D6">
        <w:rPr>
          <w:rFonts w:ascii="Times New Roman" w:eastAsia="MS PGothic" w:hAnsi="Times New Roman"/>
          <w:lang w:val="en-US"/>
        </w:rPr>
        <w:t>m</w:t>
      </w:r>
      <w:r w:rsidR="007C46D6" w:rsidRPr="007C46D6">
        <w:rPr>
          <w:rFonts w:ascii="Times New Roman" w:eastAsia="MS PGothic" w:hAnsi="Times New Roman"/>
          <w:vertAlign w:val="superscript"/>
          <w:lang w:val="en-US"/>
        </w:rPr>
        <w:t>-2</w:t>
      </w:r>
      <w:r w:rsidR="007C46D6" w:rsidRPr="007C46D6">
        <w:rPr>
          <w:rFonts w:ascii="Times New Roman" w:eastAsia="MS PGothic" w:hAnsi="Times New Roman"/>
          <w:lang w:val="en-US"/>
        </w:rPr>
        <w:t xml:space="preserve">, turns out to be equal to 1.25 which is </w:t>
      </w:r>
      <w:r w:rsidR="007C46D6">
        <w:rPr>
          <w:rFonts w:ascii="Times New Roman" w:eastAsia="MS PGothic" w:hAnsi="Times New Roman"/>
          <w:lang w:val="en-US"/>
        </w:rPr>
        <w:t xml:space="preserve">close </w:t>
      </w:r>
      <w:r w:rsidR="007C46D6" w:rsidRPr="007C46D6">
        <w:rPr>
          <w:rFonts w:ascii="Times New Roman" w:eastAsia="MS PGothic" w:hAnsi="Times New Roman"/>
          <w:lang w:val="en-US"/>
        </w:rPr>
        <w:t>to the 1.2 obtained at 300 A m</w:t>
      </w:r>
      <w:r w:rsidR="007C46D6" w:rsidRPr="007C46D6">
        <w:rPr>
          <w:rFonts w:ascii="Times New Roman" w:eastAsia="MS PGothic" w:hAnsi="Times New Roman"/>
          <w:vertAlign w:val="superscript"/>
          <w:lang w:val="en-US"/>
        </w:rPr>
        <w:t>-2</w:t>
      </w:r>
      <w:r w:rsidR="007C46D6" w:rsidRPr="007C46D6">
        <w:rPr>
          <w:rFonts w:ascii="Times New Roman" w:eastAsia="MS PGothic" w:hAnsi="Times New Roman"/>
          <w:lang w:val="en-US"/>
        </w:rPr>
        <w:t>.</w:t>
      </w:r>
      <w:r w:rsidR="007C46D6">
        <w:rPr>
          <w:rFonts w:ascii="Times New Roman" w:eastAsia="MS PGothic" w:hAnsi="Times New Roman"/>
          <w:lang w:val="en-US"/>
        </w:rPr>
        <w:t xml:space="preserve"> </w:t>
      </w:r>
      <w:r w:rsidRPr="00994444">
        <w:rPr>
          <w:rFonts w:ascii="Times New Roman" w:eastAsia="MS PGothic" w:hAnsi="Times New Roman"/>
          <w:lang w:val="en-US"/>
        </w:rPr>
        <w:t>However, the specific consumption at 200 A</w:t>
      </w:r>
      <w:r w:rsidR="002E714A">
        <w:rPr>
          <w:rFonts w:ascii="Times New Roman" w:eastAsia="MS PGothic" w:hAnsi="Times New Roman"/>
          <w:lang w:val="en-US"/>
        </w:rPr>
        <w:t xml:space="preserve"> </w:t>
      </w:r>
      <w:r w:rsidRPr="00994444">
        <w:rPr>
          <w:rFonts w:ascii="Times New Roman" w:eastAsia="MS PGothic" w:hAnsi="Times New Roman"/>
          <w:lang w:val="en-US"/>
        </w:rPr>
        <w:t>m</w:t>
      </w:r>
      <w:r w:rsidR="002E714A" w:rsidRPr="0040456C">
        <w:rPr>
          <w:rFonts w:ascii="Times New Roman" w:eastAsia="MS PGothic" w:hAnsi="Times New Roman"/>
          <w:vertAlign w:val="superscript"/>
          <w:lang w:val="en-US"/>
        </w:rPr>
        <w:t>-</w:t>
      </w:r>
      <w:r w:rsidRPr="0040456C">
        <w:rPr>
          <w:rFonts w:ascii="Times New Roman" w:eastAsia="MS PGothic" w:hAnsi="Times New Roman"/>
          <w:vertAlign w:val="superscript"/>
          <w:lang w:val="en-US"/>
        </w:rPr>
        <w:t>2</w:t>
      </w:r>
      <w:r w:rsidRPr="00994444">
        <w:rPr>
          <w:rFonts w:ascii="Times New Roman" w:eastAsia="MS PGothic" w:hAnsi="Times New Roman"/>
          <w:lang w:val="en-US"/>
        </w:rPr>
        <w:t xml:space="preserve"> is equal to </w:t>
      </w:r>
      <w:r w:rsidR="00C24005">
        <w:rPr>
          <w:rFonts w:ascii="Times New Roman" w:eastAsia="MS PGothic" w:hAnsi="Times New Roman"/>
          <w:lang w:val="en-US"/>
        </w:rPr>
        <w:t>1.</w:t>
      </w:r>
      <w:r w:rsidR="00F51655">
        <w:rPr>
          <w:rFonts w:ascii="Times New Roman" w:eastAsia="MS PGothic" w:hAnsi="Times New Roman"/>
          <w:lang w:val="en-US"/>
        </w:rPr>
        <w:t>27</w:t>
      </w:r>
      <w:r w:rsidRPr="00994444">
        <w:rPr>
          <w:rFonts w:ascii="Times New Roman" w:eastAsia="MS PGothic" w:hAnsi="Times New Roman"/>
          <w:lang w:val="en-US"/>
        </w:rPr>
        <w:t xml:space="preserve"> kWh kg</w:t>
      </w:r>
      <w:r w:rsidR="0040456C" w:rsidRPr="0040456C">
        <w:rPr>
          <w:rFonts w:ascii="Times New Roman" w:eastAsia="MS PGothic" w:hAnsi="Times New Roman"/>
          <w:vertAlign w:val="superscript"/>
          <w:lang w:val="en-US"/>
        </w:rPr>
        <w:t>-1</w:t>
      </w:r>
      <w:r w:rsidRPr="0040456C">
        <w:rPr>
          <w:rFonts w:ascii="Times New Roman" w:eastAsia="MS PGothic" w:hAnsi="Times New Roman"/>
          <w:vertAlign w:val="subscript"/>
          <w:lang w:val="en-US"/>
        </w:rPr>
        <w:t>NaOH</w:t>
      </w:r>
      <w:r w:rsidRPr="00994444">
        <w:rPr>
          <w:rFonts w:ascii="Times New Roman" w:eastAsia="MS PGothic" w:hAnsi="Times New Roman"/>
          <w:lang w:val="en-US"/>
        </w:rPr>
        <w:t>, which is comparable to the SEC obtained at 100 A</w:t>
      </w:r>
      <w:r w:rsidR="002E714A">
        <w:rPr>
          <w:rFonts w:ascii="Times New Roman" w:eastAsia="MS PGothic" w:hAnsi="Times New Roman"/>
          <w:lang w:val="en-US"/>
        </w:rPr>
        <w:t xml:space="preserve"> </w:t>
      </w:r>
      <w:r w:rsidRPr="00994444">
        <w:rPr>
          <w:rFonts w:ascii="Times New Roman" w:eastAsia="MS PGothic" w:hAnsi="Times New Roman"/>
          <w:lang w:val="en-US"/>
        </w:rPr>
        <w:t>m</w:t>
      </w:r>
      <w:r w:rsidR="002E714A" w:rsidRPr="0040456C">
        <w:rPr>
          <w:rFonts w:ascii="Times New Roman" w:eastAsia="MS PGothic" w:hAnsi="Times New Roman"/>
          <w:vertAlign w:val="superscript"/>
          <w:lang w:val="en-US"/>
        </w:rPr>
        <w:t>-</w:t>
      </w:r>
      <w:r w:rsidRPr="0040456C">
        <w:rPr>
          <w:rFonts w:ascii="Times New Roman" w:eastAsia="MS PGothic" w:hAnsi="Times New Roman"/>
          <w:vertAlign w:val="superscript"/>
          <w:lang w:val="en-US"/>
        </w:rPr>
        <w:t>2</w:t>
      </w:r>
      <w:r w:rsidRPr="00994444">
        <w:rPr>
          <w:rFonts w:ascii="Times New Roman" w:eastAsia="MS PGothic" w:hAnsi="Times New Roman"/>
          <w:lang w:val="en-US"/>
        </w:rPr>
        <w:t>. Furthermore, using a salt input concentration of 2M allows for the achievement of and exceeding the NaOH target.</w:t>
      </w:r>
    </w:p>
    <w:p w14:paraId="5BFFC903" w14:textId="7ECF71FF" w:rsidR="00093C64" w:rsidRDefault="00994444" w:rsidP="00994444">
      <w:pPr>
        <w:snapToGrid w:val="0"/>
        <w:spacing w:after="120"/>
        <w:jc w:val="both"/>
        <w:rPr>
          <w:rFonts w:ascii="Times New Roman" w:eastAsia="MS PGothic" w:hAnsi="Times New Roman"/>
          <w:lang w:val="en-US"/>
        </w:rPr>
      </w:pPr>
      <w:r w:rsidRPr="00994444">
        <w:rPr>
          <w:rFonts w:ascii="Times New Roman" w:eastAsia="MS PGothic" w:hAnsi="Times New Roman"/>
          <w:lang w:val="en-US"/>
        </w:rPr>
        <w:lastRenderedPageBreak/>
        <w:t xml:space="preserve">The developed mathematical algorithm enabled the design of the EDBM pilot plant to be identified. The results show that a total membrane area of </w:t>
      </w:r>
      <w:r w:rsidR="00C24005">
        <w:rPr>
          <w:rFonts w:ascii="Times New Roman" w:eastAsia="MS PGothic" w:hAnsi="Times New Roman"/>
          <w:lang w:val="en-US"/>
        </w:rPr>
        <w:t>6.71</w:t>
      </w:r>
      <w:r w:rsidRPr="00994444">
        <w:rPr>
          <w:rFonts w:ascii="Times New Roman" w:eastAsia="MS PGothic" w:hAnsi="Times New Roman"/>
          <w:lang w:val="en-US"/>
        </w:rPr>
        <w:t xml:space="preserve"> m</w:t>
      </w:r>
      <w:r w:rsidRPr="002E714A">
        <w:rPr>
          <w:rFonts w:ascii="Times New Roman" w:eastAsia="MS PGothic" w:hAnsi="Times New Roman"/>
          <w:vertAlign w:val="superscript"/>
          <w:lang w:val="en-US"/>
        </w:rPr>
        <w:t>2</w:t>
      </w:r>
      <w:r w:rsidRPr="00994444">
        <w:rPr>
          <w:rFonts w:ascii="Times New Roman" w:eastAsia="MS PGothic" w:hAnsi="Times New Roman"/>
          <w:lang w:val="en-US"/>
        </w:rPr>
        <w:t xml:space="preserve"> is required to produce 500 moles of NaOH (corresponding to a solution of 500 liters and a NaOH concentration of 1M) over a 5h process time.</w:t>
      </w:r>
      <w:r>
        <w:rPr>
          <w:rFonts w:ascii="Times New Roman" w:eastAsia="MS PGothic" w:hAnsi="Times New Roman"/>
          <w:lang w:val="en-US"/>
        </w:rPr>
        <w:t xml:space="preserve"> </w:t>
      </w:r>
    </w:p>
    <w:p w14:paraId="55FF9157" w14:textId="1FD3D5B1" w:rsidR="001E445B" w:rsidRPr="00BB6EAC" w:rsidRDefault="00612373" w:rsidP="00C51B25">
      <w:pPr>
        <w:snapToGrid w:val="0"/>
        <w:spacing w:after="120"/>
        <w:jc w:val="center"/>
        <w:rPr>
          <w:rFonts w:ascii="Times New Roman" w:eastAsia="MS PGothic" w:hAnsi="Times New Roman"/>
          <w:b/>
          <w:szCs w:val="18"/>
          <w:u w:val="single"/>
          <w:lang w:val="en-US"/>
        </w:rPr>
      </w:pPr>
      <w:r>
        <w:rPr>
          <w:rFonts w:ascii="Times New Roman" w:eastAsia="MS PGothic" w:hAnsi="Times New Roman"/>
          <w:b/>
          <w:noProof/>
          <w:szCs w:val="18"/>
          <w:u w:val="single"/>
          <w:lang w:val="en-US"/>
        </w:rPr>
        <w:drawing>
          <wp:anchor distT="0" distB="0" distL="114300" distR="114300" simplePos="0" relativeHeight="251658240" behindDoc="0" locked="0" layoutInCell="1" allowOverlap="1" wp14:anchorId="1CB9A844" wp14:editId="2E9B501F">
            <wp:simplePos x="0" y="0"/>
            <wp:positionH relativeFrom="column">
              <wp:posOffset>-423</wp:posOffset>
            </wp:positionH>
            <wp:positionV relativeFrom="paragraph">
              <wp:posOffset>-1693</wp:posOffset>
            </wp:positionV>
            <wp:extent cx="6120130" cy="3860165"/>
            <wp:effectExtent l="0" t="0" r="0" b="6985"/>
            <wp:wrapSquare wrapText="bothSides"/>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magine 2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860165"/>
                    </a:xfrm>
                    <a:prstGeom prst="rect">
                      <a:avLst/>
                    </a:prstGeom>
                  </pic:spPr>
                </pic:pic>
              </a:graphicData>
            </a:graphic>
          </wp:anchor>
        </w:drawing>
      </w:r>
    </w:p>
    <w:p w14:paraId="09BF4A81" w14:textId="649AEE64" w:rsidR="00BB6EAC" w:rsidRDefault="00DA51A3" w:rsidP="00BB6EAC">
      <w:pPr>
        <w:snapToGrid w:val="0"/>
        <w:spacing w:after="120"/>
        <w:jc w:val="center"/>
        <w:rPr>
          <w:rFonts w:ascii="Times New Roman" w:hAnsi="Times New Roman"/>
          <w:sz w:val="18"/>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DF5F77">
        <w:rPr>
          <w:rFonts w:ascii="Times New Roman" w:hAnsi="Times New Roman"/>
          <w:sz w:val="18"/>
          <w:szCs w:val="18"/>
          <w:lang w:val="en-US"/>
        </w:rPr>
        <w:t>Illustration of the main results achieved. a)</w:t>
      </w:r>
      <w:r w:rsidR="00BB6EAC" w:rsidRPr="00BB6EAC">
        <w:rPr>
          <w:rFonts w:ascii="Times New Roman" w:hAnsi="Times New Roman"/>
          <w:sz w:val="18"/>
          <w:szCs w:val="18"/>
          <w:lang w:val="en-US"/>
        </w:rPr>
        <w:t xml:space="preserve"> </w:t>
      </w:r>
      <w:r w:rsidR="00DF5F77" w:rsidRPr="00BB6EAC">
        <w:rPr>
          <w:rFonts w:ascii="Times New Roman" w:hAnsi="Times New Roman"/>
          <w:sz w:val="18"/>
          <w:szCs w:val="18"/>
          <w:lang w:val="en-US"/>
        </w:rPr>
        <w:t>H + and OH-</w:t>
      </w:r>
      <w:r w:rsidR="00DF5F77">
        <w:rPr>
          <w:rFonts w:ascii="Times New Roman" w:hAnsi="Times New Roman"/>
          <w:sz w:val="18"/>
          <w:szCs w:val="18"/>
          <w:lang w:val="en-US"/>
        </w:rPr>
        <w:t xml:space="preserve"> </w:t>
      </w:r>
      <w:r w:rsidR="00BB6EAC" w:rsidRPr="00BB6EAC">
        <w:rPr>
          <w:rFonts w:ascii="Times New Roman" w:hAnsi="Times New Roman"/>
          <w:sz w:val="18"/>
          <w:szCs w:val="18"/>
          <w:lang w:val="en-US"/>
        </w:rPr>
        <w:t>concentration</w:t>
      </w:r>
      <w:r w:rsidR="00DF5F77">
        <w:rPr>
          <w:rFonts w:ascii="Times New Roman" w:hAnsi="Times New Roman"/>
          <w:sz w:val="18"/>
          <w:szCs w:val="18"/>
          <w:lang w:val="en-US"/>
        </w:rPr>
        <w:t xml:space="preserve"> profiles</w:t>
      </w:r>
      <w:r w:rsidR="00BB6EAC" w:rsidRPr="00BB6EAC">
        <w:rPr>
          <w:rFonts w:ascii="Times New Roman" w:hAnsi="Times New Roman"/>
          <w:sz w:val="18"/>
          <w:szCs w:val="18"/>
          <w:lang w:val="en-US"/>
        </w:rPr>
        <w:t xml:space="preserve">, </w:t>
      </w:r>
      <w:r w:rsidR="00DF5F77">
        <w:rPr>
          <w:rFonts w:ascii="Times New Roman" w:hAnsi="Times New Roman"/>
          <w:sz w:val="18"/>
          <w:szCs w:val="18"/>
          <w:lang w:val="en-US"/>
        </w:rPr>
        <w:t xml:space="preserve">b) </w:t>
      </w:r>
      <w:r w:rsidR="00BB6EAC" w:rsidRPr="00BB6EAC">
        <w:rPr>
          <w:rFonts w:ascii="Times New Roman" w:hAnsi="Times New Roman"/>
          <w:sz w:val="18"/>
          <w:szCs w:val="18"/>
          <w:lang w:val="en-US"/>
        </w:rPr>
        <w:t xml:space="preserve">voltage of the stack at three different </w:t>
      </w:r>
      <w:r w:rsidR="00DF5F77">
        <w:rPr>
          <w:rFonts w:ascii="Times New Roman" w:hAnsi="Times New Roman"/>
          <w:sz w:val="18"/>
          <w:szCs w:val="18"/>
          <w:lang w:val="en-US"/>
        </w:rPr>
        <w:t xml:space="preserve">applied </w:t>
      </w:r>
      <w:r w:rsidR="00BB6EAC" w:rsidRPr="00BB6EAC">
        <w:rPr>
          <w:rFonts w:ascii="Times New Roman" w:hAnsi="Times New Roman"/>
          <w:sz w:val="18"/>
          <w:szCs w:val="18"/>
          <w:lang w:val="en-US"/>
        </w:rPr>
        <w:t xml:space="preserve">current </w:t>
      </w:r>
      <w:proofErr w:type="gramStart"/>
      <w:r w:rsidR="00BB6EAC" w:rsidRPr="00BB6EAC">
        <w:rPr>
          <w:rFonts w:ascii="Times New Roman" w:hAnsi="Times New Roman"/>
          <w:sz w:val="18"/>
          <w:szCs w:val="18"/>
          <w:lang w:val="en-US"/>
        </w:rPr>
        <w:t>densities ,</w:t>
      </w:r>
      <w:proofErr w:type="gramEnd"/>
      <w:r w:rsidR="00BB6EAC" w:rsidRPr="00BB6EAC">
        <w:rPr>
          <w:rFonts w:ascii="Times New Roman" w:hAnsi="Times New Roman"/>
          <w:sz w:val="18"/>
          <w:szCs w:val="18"/>
          <w:lang w:val="en-US"/>
        </w:rPr>
        <w:t xml:space="preserve"> </w:t>
      </w:r>
      <w:r w:rsidR="00DF5F77">
        <w:rPr>
          <w:rFonts w:ascii="Times New Roman" w:hAnsi="Times New Roman"/>
          <w:sz w:val="18"/>
          <w:szCs w:val="18"/>
          <w:lang w:val="en-US"/>
        </w:rPr>
        <w:t>c) Flowchart of the</w:t>
      </w:r>
      <w:r w:rsidR="00DF5F77" w:rsidRPr="00BB6EAC">
        <w:rPr>
          <w:rFonts w:ascii="Times New Roman" w:hAnsi="Times New Roman"/>
          <w:sz w:val="18"/>
          <w:szCs w:val="18"/>
          <w:lang w:val="en-US"/>
        </w:rPr>
        <w:t xml:space="preserve"> </w:t>
      </w:r>
      <w:r w:rsidR="00BB6EAC" w:rsidRPr="00BB6EAC">
        <w:rPr>
          <w:rFonts w:ascii="Times New Roman" w:hAnsi="Times New Roman"/>
          <w:sz w:val="18"/>
          <w:szCs w:val="18"/>
          <w:lang w:val="en-US"/>
        </w:rPr>
        <w:t>mathematical tool used for the design</w:t>
      </w:r>
      <w:r w:rsidR="00DF5F77">
        <w:rPr>
          <w:rFonts w:ascii="Times New Roman" w:hAnsi="Times New Roman"/>
          <w:sz w:val="18"/>
          <w:szCs w:val="18"/>
          <w:lang w:val="en-US"/>
        </w:rPr>
        <w:t xml:space="preserve"> of the pilot plant</w:t>
      </w:r>
      <w:r w:rsidR="00BB6EAC" w:rsidRPr="00BB6EAC">
        <w:rPr>
          <w:rFonts w:ascii="Times New Roman" w:hAnsi="Times New Roman"/>
          <w:sz w:val="18"/>
          <w:szCs w:val="18"/>
          <w:lang w:val="en-US"/>
        </w:rPr>
        <w:t xml:space="preserve"> </w:t>
      </w:r>
      <w:r w:rsidR="00BB6EAC">
        <w:rPr>
          <w:rFonts w:ascii="Times New Roman" w:hAnsi="Times New Roman"/>
          <w:sz w:val="18"/>
          <w:szCs w:val="18"/>
          <w:lang w:val="en-US"/>
        </w:rPr>
        <w:t>.</w:t>
      </w:r>
    </w:p>
    <w:p w14:paraId="0DE817AB" w14:textId="0A99F3C9" w:rsidR="00DA51A3" w:rsidRDefault="00DA51A3" w:rsidP="00BB6EAC">
      <w:pPr>
        <w:snapToGrid w:val="0"/>
        <w:spacing w:after="120"/>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6BBC990" w14:textId="492526EF" w:rsidR="00136AF8" w:rsidRDefault="00136AF8" w:rsidP="00BB6EAC">
      <w:pPr>
        <w:snapToGrid w:val="0"/>
        <w:spacing w:before="240" w:line="300" w:lineRule="auto"/>
        <w:jc w:val="both"/>
        <w:rPr>
          <w:rFonts w:ascii="Times New Roman" w:eastAsia="MS PGothic" w:hAnsi="Times New Roman"/>
          <w:lang w:val="en-US" w:eastAsia="ko-KR"/>
        </w:rPr>
      </w:pPr>
      <w:r w:rsidRPr="00136AF8">
        <w:rPr>
          <w:rFonts w:ascii="Times New Roman" w:eastAsia="MS PGothic" w:hAnsi="Times New Roman"/>
          <w:lang w:val="en-US" w:eastAsia="ko-KR"/>
        </w:rPr>
        <w:t>This study investigated an EDBM unit on a laboratory scale, providing important insights into the best trade-off of process conditions in terms of current density and solution composition.</w:t>
      </w:r>
      <w:r>
        <w:rPr>
          <w:rFonts w:ascii="Times New Roman" w:eastAsia="MS PGothic" w:hAnsi="Times New Roman"/>
          <w:lang w:val="en-US" w:eastAsia="ko-KR"/>
        </w:rPr>
        <w:t xml:space="preserve"> </w:t>
      </w:r>
      <w:r w:rsidRPr="00136AF8">
        <w:rPr>
          <w:rFonts w:ascii="Times New Roman" w:eastAsia="MS PGothic" w:hAnsi="Times New Roman"/>
          <w:lang w:val="en-US" w:eastAsia="ko-KR"/>
        </w:rPr>
        <w:t>Finally, this work resulted in the design of a pilot-scale EDBM stack that will be built and installed as part of a waste brine treatment chain</w:t>
      </w:r>
      <w:r w:rsidR="00D74C1B">
        <w:rPr>
          <w:rFonts w:ascii="Times New Roman" w:eastAsia="MS PGothic" w:hAnsi="Times New Roman"/>
          <w:lang w:val="en-US" w:eastAsia="ko-KR"/>
        </w:rPr>
        <w:t>, which is one of the main goals of EU project WaterMi</w:t>
      </w:r>
      <w:r w:rsidR="00B83BAE">
        <w:rPr>
          <w:rFonts w:ascii="Times New Roman" w:eastAsia="MS PGothic" w:hAnsi="Times New Roman"/>
          <w:lang w:val="en-US" w:eastAsia="ko-KR"/>
        </w:rPr>
        <w:t>ning</w:t>
      </w:r>
      <w:r w:rsidRPr="00136AF8">
        <w:rPr>
          <w:rFonts w:ascii="Times New Roman" w:eastAsia="MS PGothic" w:hAnsi="Times New Roman"/>
          <w:lang w:val="en-US" w:eastAsia="ko-KR"/>
        </w:rPr>
        <w:t xml:space="preserve">. These studies may enable this system to progress from a Technology Readiness Level (TRL) of 4 to 7, laying the groundwork for future industrialization. </w:t>
      </w:r>
    </w:p>
    <w:p w14:paraId="3426DD5E" w14:textId="7CCCC558" w:rsidR="000977A4" w:rsidRDefault="000977A4" w:rsidP="00136AF8">
      <w:pPr>
        <w:snapToGrid w:val="0"/>
        <w:spacing w:before="240" w:line="300" w:lineRule="auto"/>
        <w:rPr>
          <w:rFonts w:ascii="Times New Roman" w:eastAsia="MS PGothic" w:hAnsi="Times New Roman"/>
          <w:b/>
          <w:bCs/>
          <w:lang w:val="en-US" w:eastAsia="ko-KR"/>
        </w:rPr>
      </w:pPr>
      <w:r>
        <w:rPr>
          <w:rFonts w:ascii="Times New Roman" w:eastAsia="MS PGothic" w:hAnsi="Times New Roman"/>
          <w:b/>
          <w:bCs/>
          <w:lang w:val="en-US"/>
        </w:rPr>
        <w:t>5</w:t>
      </w:r>
      <w:r w:rsidRPr="00466FFD">
        <w:rPr>
          <w:rFonts w:ascii="Times New Roman" w:eastAsia="MS PGothic" w:hAnsi="Times New Roman"/>
          <w:b/>
          <w:bCs/>
          <w:lang w:val="en-US"/>
        </w:rPr>
        <w:t xml:space="preserve">. </w:t>
      </w:r>
      <w:r>
        <w:rPr>
          <w:rFonts w:ascii="Times New Roman" w:eastAsia="MS PGothic" w:hAnsi="Times New Roman"/>
          <w:b/>
          <w:bCs/>
          <w:lang w:val="en-US"/>
        </w:rPr>
        <w:t>Acknowledgement</w:t>
      </w:r>
    </w:p>
    <w:p w14:paraId="1F8A2A36" w14:textId="1ACABCF2" w:rsidR="00093C64" w:rsidRPr="00F63F5E" w:rsidRDefault="00B63C38" w:rsidP="00F63F5E">
      <w:pPr>
        <w:snapToGrid w:val="0"/>
        <w:spacing w:before="240" w:line="300" w:lineRule="auto"/>
        <w:jc w:val="both"/>
        <w:rPr>
          <w:rFonts w:ascii="Times New Roman" w:eastAsia="MS PGothic" w:hAnsi="Times New Roman"/>
          <w:lang w:val="en-US" w:eastAsia="ko-KR"/>
        </w:rPr>
      </w:pPr>
      <w:r w:rsidRPr="00B63C38">
        <w:rPr>
          <w:rFonts w:ascii="Times New Roman" w:eastAsia="MS PGothic" w:hAnsi="Times New Roman"/>
          <w:lang w:val="en-US" w:eastAsia="ko-KR"/>
        </w:rPr>
        <w:t xml:space="preserve">This project has received funding from the European Union’s Horizon 2020 research and innovation program under Grant Agreement no. 869474 (WATER-MINING – Next generation water-smart management systems: large scale demonstrations for a circular economy and society). </w:t>
      </w:r>
      <w:hyperlink r:id="rId9" w:history="1">
        <w:r w:rsidR="00093C64" w:rsidRPr="00BF5A9D">
          <w:rPr>
            <w:rStyle w:val="Collegamentoipertestuale"/>
            <w:rFonts w:ascii="Times New Roman" w:eastAsia="MS PGothic" w:hAnsi="Times New Roman"/>
            <w:lang w:val="en-US" w:eastAsia="ko-KR"/>
          </w:rPr>
          <w:t>www.watermining.eu</w:t>
        </w:r>
      </w:hyperlink>
      <w:r w:rsidRPr="00B63C38">
        <w:rPr>
          <w:rFonts w:ascii="Times New Roman" w:eastAsia="MS PGothic" w:hAnsi="Times New Roman"/>
          <w:lang w:val="en-US" w:eastAsia="ko-KR"/>
        </w:rPr>
        <w:t>.</w:t>
      </w:r>
    </w:p>
    <w:p w14:paraId="5A650773" w14:textId="01E2BA7A" w:rsidR="005B71B2" w:rsidRDefault="00093C64">
      <w:pPr>
        <w:rPr>
          <w:rFonts w:ascii="Times New Roman" w:eastAsia="MS PGothic" w:hAnsi="Times New Roman"/>
          <w:b/>
          <w:bCs/>
          <w:lang w:val="en-US"/>
        </w:rPr>
      </w:pPr>
      <w:r>
        <w:rPr>
          <w:rFonts w:ascii="Times New Roman" w:eastAsia="MS PGothic" w:hAnsi="Times New Roman"/>
          <w:b/>
          <w:bCs/>
          <w:lang w:val="en-US"/>
        </w:rPr>
        <w:t>References</w:t>
      </w:r>
    </w:p>
    <w:p w14:paraId="6BF799C5" w14:textId="68B7CF04" w:rsidR="00093C64" w:rsidRPr="00093C64" w:rsidRDefault="00093C64" w:rsidP="00093C64">
      <w:pPr>
        <w:widowControl w:val="0"/>
        <w:autoSpaceDE w:val="0"/>
        <w:autoSpaceDN w:val="0"/>
        <w:adjustRightInd w:val="0"/>
        <w:spacing w:line="240" w:lineRule="auto"/>
        <w:ind w:left="640" w:hanging="640"/>
        <w:jc w:val="both"/>
        <w:rPr>
          <w:rFonts w:ascii="Times New Roman" w:hAnsi="Times New Roman" w:cs="Times New Roman"/>
          <w:noProof/>
          <w:sz w:val="20"/>
          <w:szCs w:val="20"/>
        </w:rPr>
      </w:pPr>
      <w:r w:rsidRPr="00093C64">
        <w:rPr>
          <w:rFonts w:ascii="Times New Roman" w:hAnsi="Times New Roman" w:cs="Times New Roman"/>
          <w:sz w:val="20"/>
          <w:szCs w:val="20"/>
          <w:lang w:val="en-US"/>
        </w:rPr>
        <w:fldChar w:fldCharType="begin" w:fldLock="1"/>
      </w:r>
      <w:r w:rsidRPr="00093C64">
        <w:rPr>
          <w:rFonts w:ascii="Times New Roman" w:hAnsi="Times New Roman" w:cs="Times New Roman"/>
          <w:sz w:val="20"/>
          <w:szCs w:val="20"/>
          <w:lang w:val="en-US"/>
        </w:rPr>
        <w:instrText xml:space="preserve">ADDIN Mendeley Bibliography CSL_BIBLIOGRAPHY </w:instrText>
      </w:r>
      <w:r w:rsidRPr="00093C64">
        <w:rPr>
          <w:rFonts w:ascii="Times New Roman" w:hAnsi="Times New Roman" w:cs="Times New Roman"/>
          <w:sz w:val="20"/>
          <w:szCs w:val="20"/>
          <w:lang w:val="en-US"/>
        </w:rPr>
        <w:fldChar w:fldCharType="separate"/>
      </w:r>
      <w:r w:rsidRPr="00707246">
        <w:rPr>
          <w:rFonts w:ascii="Times New Roman" w:hAnsi="Times New Roman" w:cs="Times New Roman"/>
          <w:noProof/>
          <w:sz w:val="20"/>
          <w:szCs w:val="20"/>
          <w:lang w:val="en-US"/>
        </w:rPr>
        <w:t>[1]</w:t>
      </w:r>
      <w:r w:rsidRPr="00707246">
        <w:rPr>
          <w:rFonts w:ascii="Times New Roman" w:hAnsi="Times New Roman" w:cs="Times New Roman"/>
          <w:noProof/>
          <w:sz w:val="20"/>
          <w:szCs w:val="20"/>
          <w:lang w:val="en-US"/>
        </w:rPr>
        <w:tab/>
        <w:t xml:space="preserve">L. Gurreri, A. Tamburini, A. Cipollina, and G. Micale, “Electrodialysis applications in wastewater treatment for environmental protection and resources recovery: A systematic review on progress and perspectives,” </w:t>
      </w:r>
      <w:r w:rsidRPr="00707246">
        <w:rPr>
          <w:rFonts w:ascii="Times New Roman" w:hAnsi="Times New Roman" w:cs="Times New Roman"/>
          <w:i/>
          <w:iCs/>
          <w:noProof/>
          <w:sz w:val="20"/>
          <w:szCs w:val="20"/>
          <w:lang w:val="en-US"/>
        </w:rPr>
        <w:t>Membranes</w:t>
      </w:r>
      <w:r w:rsidRPr="00707246">
        <w:rPr>
          <w:rFonts w:ascii="Times New Roman" w:hAnsi="Times New Roman" w:cs="Times New Roman"/>
          <w:noProof/>
          <w:sz w:val="20"/>
          <w:szCs w:val="20"/>
          <w:lang w:val="en-US"/>
        </w:rPr>
        <w:t xml:space="preserve">, vol. 10, no. 7. </w:t>
      </w:r>
      <w:r w:rsidRPr="00093C64">
        <w:rPr>
          <w:rFonts w:ascii="Times New Roman" w:hAnsi="Times New Roman" w:cs="Times New Roman"/>
          <w:noProof/>
          <w:sz w:val="20"/>
          <w:szCs w:val="20"/>
        </w:rPr>
        <w:t>2020. doi: 10.3390/membranes10070146.</w:t>
      </w:r>
    </w:p>
    <w:p w14:paraId="72187A76" w14:textId="2D5D2095" w:rsidR="00093C64" w:rsidRPr="00DA51A3" w:rsidRDefault="00093C64" w:rsidP="00093C64">
      <w:pPr>
        <w:jc w:val="both"/>
        <w:rPr>
          <w:lang w:val="en-US"/>
        </w:rPr>
      </w:pPr>
      <w:r w:rsidRPr="00093C64">
        <w:rPr>
          <w:rFonts w:ascii="Times New Roman" w:hAnsi="Times New Roman" w:cs="Times New Roman"/>
          <w:sz w:val="20"/>
          <w:szCs w:val="20"/>
          <w:lang w:val="en-US"/>
        </w:rPr>
        <w:fldChar w:fldCharType="end"/>
      </w:r>
    </w:p>
    <w:sectPr w:rsidR="00093C64" w:rsidRPr="00DA51A3"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ABFA" w14:textId="77777777" w:rsidR="00D17601" w:rsidRDefault="00D17601" w:rsidP="001D0E0C">
      <w:pPr>
        <w:spacing w:after="0" w:line="240" w:lineRule="auto"/>
      </w:pPr>
      <w:r>
        <w:separator/>
      </w:r>
    </w:p>
  </w:endnote>
  <w:endnote w:type="continuationSeparator" w:id="0">
    <w:p w14:paraId="339D5D2B" w14:textId="77777777" w:rsidR="00D17601" w:rsidRDefault="00D1760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5D68" w14:textId="77777777" w:rsidR="00D17601" w:rsidRDefault="00D17601" w:rsidP="001D0E0C">
      <w:pPr>
        <w:spacing w:after="0" w:line="240" w:lineRule="auto"/>
      </w:pPr>
      <w:r>
        <w:separator/>
      </w:r>
    </w:p>
  </w:footnote>
  <w:footnote w:type="continuationSeparator" w:id="0">
    <w:p w14:paraId="377941F2" w14:textId="77777777" w:rsidR="00D17601" w:rsidRDefault="00D1760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4950"/>
    <w:rsid w:val="000330FD"/>
    <w:rsid w:val="000517B4"/>
    <w:rsid w:val="00087E98"/>
    <w:rsid w:val="00093C64"/>
    <w:rsid w:val="000977A4"/>
    <w:rsid w:val="000E4FEC"/>
    <w:rsid w:val="0010108E"/>
    <w:rsid w:val="001063C1"/>
    <w:rsid w:val="00117909"/>
    <w:rsid w:val="00136AF8"/>
    <w:rsid w:val="00141459"/>
    <w:rsid w:val="0018667F"/>
    <w:rsid w:val="0019196E"/>
    <w:rsid w:val="001A1376"/>
    <w:rsid w:val="001A1FCB"/>
    <w:rsid w:val="001B060D"/>
    <w:rsid w:val="001D0E0C"/>
    <w:rsid w:val="001D637A"/>
    <w:rsid w:val="001E445B"/>
    <w:rsid w:val="00204E22"/>
    <w:rsid w:val="00247258"/>
    <w:rsid w:val="0027517F"/>
    <w:rsid w:val="002B2FCB"/>
    <w:rsid w:val="002D404F"/>
    <w:rsid w:val="002E714A"/>
    <w:rsid w:val="0032278E"/>
    <w:rsid w:val="00361798"/>
    <w:rsid w:val="0038160B"/>
    <w:rsid w:val="003A6330"/>
    <w:rsid w:val="003D1C2E"/>
    <w:rsid w:val="003F160A"/>
    <w:rsid w:val="00402674"/>
    <w:rsid w:val="0040456C"/>
    <w:rsid w:val="00424B82"/>
    <w:rsid w:val="00451190"/>
    <w:rsid w:val="004B5B14"/>
    <w:rsid w:val="004C56B4"/>
    <w:rsid w:val="005021B5"/>
    <w:rsid w:val="00523A9A"/>
    <w:rsid w:val="00566815"/>
    <w:rsid w:val="005B71B2"/>
    <w:rsid w:val="005C2A12"/>
    <w:rsid w:val="005F6E63"/>
    <w:rsid w:val="00612373"/>
    <w:rsid w:val="00625380"/>
    <w:rsid w:val="00636669"/>
    <w:rsid w:val="006717B3"/>
    <w:rsid w:val="00697010"/>
    <w:rsid w:val="00697CD6"/>
    <w:rsid w:val="006B002F"/>
    <w:rsid w:val="006E3773"/>
    <w:rsid w:val="00707246"/>
    <w:rsid w:val="00741BEC"/>
    <w:rsid w:val="00742731"/>
    <w:rsid w:val="007C46D6"/>
    <w:rsid w:val="007E0EB5"/>
    <w:rsid w:val="007E3350"/>
    <w:rsid w:val="007E43EE"/>
    <w:rsid w:val="008871B1"/>
    <w:rsid w:val="008B2F34"/>
    <w:rsid w:val="008B68FC"/>
    <w:rsid w:val="008E16AC"/>
    <w:rsid w:val="009150B5"/>
    <w:rsid w:val="00934B62"/>
    <w:rsid w:val="00994444"/>
    <w:rsid w:val="009D622F"/>
    <w:rsid w:val="00A1421F"/>
    <w:rsid w:val="00A17CDD"/>
    <w:rsid w:val="00A23FD3"/>
    <w:rsid w:val="00A52F4D"/>
    <w:rsid w:val="00AA109A"/>
    <w:rsid w:val="00AB1801"/>
    <w:rsid w:val="00AD5EEA"/>
    <w:rsid w:val="00B244FB"/>
    <w:rsid w:val="00B63C38"/>
    <w:rsid w:val="00B83BAE"/>
    <w:rsid w:val="00BB6EAC"/>
    <w:rsid w:val="00BE66B1"/>
    <w:rsid w:val="00BF5E84"/>
    <w:rsid w:val="00C24005"/>
    <w:rsid w:val="00C40840"/>
    <w:rsid w:val="00C51B25"/>
    <w:rsid w:val="00C7680C"/>
    <w:rsid w:val="00C9613C"/>
    <w:rsid w:val="00CA5F21"/>
    <w:rsid w:val="00CD42A0"/>
    <w:rsid w:val="00D03DB3"/>
    <w:rsid w:val="00D17601"/>
    <w:rsid w:val="00D322F1"/>
    <w:rsid w:val="00D412A9"/>
    <w:rsid w:val="00D41475"/>
    <w:rsid w:val="00D600AD"/>
    <w:rsid w:val="00D67E7C"/>
    <w:rsid w:val="00D74C1B"/>
    <w:rsid w:val="00DA51A3"/>
    <w:rsid w:val="00DD2D8C"/>
    <w:rsid w:val="00DE47F9"/>
    <w:rsid w:val="00DE693D"/>
    <w:rsid w:val="00DF5F77"/>
    <w:rsid w:val="00E31FB5"/>
    <w:rsid w:val="00E8793D"/>
    <w:rsid w:val="00EF3ABB"/>
    <w:rsid w:val="00F07442"/>
    <w:rsid w:val="00F24290"/>
    <w:rsid w:val="00F36610"/>
    <w:rsid w:val="00F51655"/>
    <w:rsid w:val="00F5695D"/>
    <w:rsid w:val="00F63F5E"/>
    <w:rsid w:val="00F8236B"/>
    <w:rsid w:val="00FC3046"/>
    <w:rsid w:val="00FD5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Revisione">
    <w:name w:val="Revision"/>
    <w:hidden/>
    <w:uiPriority w:val="99"/>
    <w:semiHidden/>
    <w:rsid w:val="00636669"/>
    <w:pPr>
      <w:spacing w:after="0" w:line="240" w:lineRule="auto"/>
    </w:pPr>
  </w:style>
  <w:style w:type="character" w:styleId="Collegamentoipertestuale">
    <w:name w:val="Hyperlink"/>
    <w:basedOn w:val="Carpredefinitoparagrafo"/>
    <w:uiPriority w:val="99"/>
    <w:unhideWhenUsed/>
    <w:rsid w:val="00093C64"/>
    <w:rPr>
      <w:color w:val="0563C1" w:themeColor="hyperlink"/>
      <w:u w:val="single"/>
    </w:rPr>
  </w:style>
  <w:style w:type="character" w:styleId="Menzionenonrisolta">
    <w:name w:val="Unresolved Mention"/>
    <w:basedOn w:val="Carpredefinitoparagrafo"/>
    <w:uiPriority w:val="99"/>
    <w:semiHidden/>
    <w:unhideWhenUsed/>
    <w:rsid w:val="00093C64"/>
    <w:rPr>
      <w:color w:val="605E5C"/>
      <w:shd w:val="clear" w:color="auto" w:fill="E1DFDD"/>
    </w:rPr>
  </w:style>
  <w:style w:type="character" w:styleId="Rimandocommento">
    <w:name w:val="annotation reference"/>
    <w:basedOn w:val="Carpredefinitoparagrafo"/>
    <w:uiPriority w:val="99"/>
    <w:semiHidden/>
    <w:unhideWhenUsed/>
    <w:rsid w:val="005F6E63"/>
    <w:rPr>
      <w:sz w:val="16"/>
      <w:szCs w:val="16"/>
    </w:rPr>
  </w:style>
  <w:style w:type="paragraph" w:styleId="Testocommento">
    <w:name w:val="annotation text"/>
    <w:basedOn w:val="Normale"/>
    <w:link w:val="TestocommentoCarattere"/>
    <w:uiPriority w:val="99"/>
    <w:semiHidden/>
    <w:unhideWhenUsed/>
    <w:rsid w:val="005F6E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6E63"/>
    <w:rPr>
      <w:sz w:val="20"/>
      <w:szCs w:val="20"/>
    </w:rPr>
  </w:style>
  <w:style w:type="paragraph" w:styleId="Soggettocommento">
    <w:name w:val="annotation subject"/>
    <w:basedOn w:val="Testocommento"/>
    <w:next w:val="Testocommento"/>
    <w:link w:val="SoggettocommentoCarattere"/>
    <w:uiPriority w:val="99"/>
    <w:semiHidden/>
    <w:unhideWhenUsed/>
    <w:rsid w:val="005F6E63"/>
    <w:rPr>
      <w:b/>
      <w:bCs/>
    </w:rPr>
  </w:style>
  <w:style w:type="character" w:customStyle="1" w:styleId="SoggettocommentoCarattere">
    <w:name w:val="Soggetto commento Carattere"/>
    <w:basedOn w:val="TestocommentoCarattere"/>
    <w:link w:val="Soggettocommento"/>
    <w:uiPriority w:val="99"/>
    <w:semiHidden/>
    <w:rsid w:val="005F6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4689">
      <w:bodyDiv w:val="1"/>
      <w:marLeft w:val="0"/>
      <w:marRight w:val="0"/>
      <w:marTop w:val="0"/>
      <w:marBottom w:val="0"/>
      <w:divBdr>
        <w:top w:val="none" w:sz="0" w:space="0" w:color="auto"/>
        <w:left w:val="none" w:sz="0" w:space="0" w:color="auto"/>
        <w:bottom w:val="none" w:sz="0" w:space="0" w:color="auto"/>
        <w:right w:val="none" w:sz="0" w:space="0" w:color="auto"/>
      </w:divBdr>
      <w:divsChild>
        <w:div w:id="140414121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termining.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92EEC81-D9FB-4EE4-9863-77EA30EA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1191</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CALOGERO CASSARO</cp:lastModifiedBy>
  <cp:revision>2</cp:revision>
  <cp:lastPrinted>2022-01-31T11:56:00Z</cp:lastPrinted>
  <dcterms:created xsi:type="dcterms:W3CDTF">2022-03-15T08:38:00Z</dcterms:created>
  <dcterms:modified xsi:type="dcterms:W3CDTF">2022-03-15T08:38:00Z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08e45b82-8ba1-38d7-ba6f-c0f803fa8a41</vt:lpwstr>
  </property>
  <property fmtid="{D5CDD505-2E9C-101B-9397-08002B2CF9AE}" pid="4" name="Mendeley Citation Style_1">
    <vt:lpwstr>http://www.zotero.org/styles/ieee</vt:lpwstr>
  </property>
</Properties>
</file>