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1681" w14:textId="77777777" w:rsidR="00636A59" w:rsidRPr="00860381" w:rsidRDefault="00860381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 w:rsidRPr="00860381">
        <w:rPr>
          <w:rFonts w:ascii="Times New Roman" w:eastAsia="MS PGothic" w:hAnsi="Times New Roman"/>
          <w:b/>
          <w:bCs/>
          <w:sz w:val="24"/>
          <w:szCs w:val="24"/>
          <w:lang w:val="en-US"/>
        </w:rPr>
        <w:t>A circular economy approach for olive oil industry: from olive pomace to microalgal biomass</w:t>
      </w:r>
    </w:p>
    <w:p w14:paraId="7920237C" w14:textId="77777777" w:rsidR="00636A59" w:rsidRPr="00860381" w:rsidRDefault="00636A59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60FE36F8" w14:textId="77777777" w:rsidR="00636A59" w:rsidRPr="00860381" w:rsidRDefault="00860381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860381">
        <w:rPr>
          <w:rFonts w:ascii="Times New Roman" w:eastAsia="SimSun" w:hAnsi="Times New Roman"/>
          <w:sz w:val="24"/>
          <w:szCs w:val="24"/>
          <w:u w:val="single"/>
          <w:lang w:eastAsia="zh-CN"/>
        </w:rPr>
        <w:t>Alessandro Alberto Casazza</w:t>
      </w:r>
      <w:r w:rsidRPr="00860381">
        <w:rPr>
          <w:rFonts w:ascii="Times New Roman" w:eastAsia="SimSun" w:hAnsi="Times New Roman"/>
          <w:sz w:val="24"/>
          <w:szCs w:val="24"/>
          <w:lang w:eastAsia="zh-CN"/>
        </w:rPr>
        <w:t>*, Patrizia Perego, Attilio Converti</w:t>
      </w:r>
    </w:p>
    <w:p w14:paraId="138FA9BA" w14:textId="77777777" w:rsidR="00636A59" w:rsidRPr="00860381" w:rsidRDefault="00860381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860381">
        <w:rPr>
          <w:rFonts w:ascii="Times New Roman" w:eastAsia="MS PGothic" w:hAnsi="Times New Roman"/>
          <w:i/>
          <w:iCs/>
          <w:sz w:val="20"/>
          <w:lang w:val="en-US"/>
        </w:rPr>
        <w:t xml:space="preserve">1 Department of Civil, Chemical and Environmental Engineering, via Opera Pia 15, 16145 </w:t>
      </w:r>
      <w:r w:rsidRPr="00860381">
        <w:rPr>
          <w:rFonts w:ascii="Times New Roman" w:eastAsia="MS PGothic" w:hAnsi="Times New Roman"/>
          <w:i/>
          <w:iCs/>
          <w:sz w:val="20"/>
          <w:lang w:val="en-US"/>
        </w:rPr>
        <w:t>Genova, Italy</w:t>
      </w:r>
    </w:p>
    <w:p w14:paraId="096F120D" w14:textId="77777777" w:rsidR="00636A59" w:rsidRPr="00860381" w:rsidRDefault="00860381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860381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860381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860381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alessandro.casazza@unige.it</w:t>
      </w:r>
    </w:p>
    <w:p w14:paraId="05142929" w14:textId="77777777" w:rsidR="00636A59" w:rsidRPr="00860381" w:rsidRDefault="00636A59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717BB25A" w14:textId="77777777" w:rsidR="00636A59" w:rsidRPr="00860381" w:rsidRDefault="00860381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860381">
        <w:rPr>
          <w:rFonts w:ascii="Times New Roman" w:eastAsia="MS PGothic" w:hAnsi="Times New Roman"/>
          <w:b/>
          <w:bCs/>
          <w:lang w:val="en-US"/>
        </w:rPr>
        <w:t>1.Introduction</w:t>
      </w:r>
    </w:p>
    <w:p w14:paraId="31762A32" w14:textId="05B1164B" w:rsidR="00636A59" w:rsidRPr="00860381" w:rsidRDefault="00860381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 w:rsidRPr="00860381">
        <w:rPr>
          <w:rFonts w:ascii="Times New Roman" w:eastAsia="MS PGothic" w:hAnsi="Times New Roman"/>
          <w:lang w:val="en-US"/>
        </w:rPr>
        <w:t xml:space="preserve">The circular economy is defined by the European parliament as </w:t>
      </w:r>
      <w:r>
        <w:rPr>
          <w:rFonts w:ascii="Times New Roman" w:eastAsia="MS PGothic" w:hAnsi="Times New Roman"/>
          <w:lang w:val="en-US"/>
        </w:rPr>
        <w:t>“</w:t>
      </w:r>
      <w:r w:rsidRPr="00860381">
        <w:rPr>
          <w:rFonts w:ascii="Times New Roman" w:eastAsia="MS PGothic" w:hAnsi="Times New Roman"/>
          <w:lang w:val="en-US"/>
        </w:rPr>
        <w:t xml:space="preserve">a model of production and consumption, which involves sharing, leasing, reusing, repairing, </w:t>
      </w:r>
      <w:r w:rsidRPr="00860381">
        <w:rPr>
          <w:rFonts w:ascii="Times New Roman" w:eastAsia="MS PGothic" w:hAnsi="Times New Roman"/>
          <w:lang w:val="en-US"/>
        </w:rPr>
        <w:t>refurbishing and recycling existing materials and products as long as possible</w:t>
      </w:r>
      <w:r>
        <w:rPr>
          <w:rFonts w:ascii="Times New Roman" w:eastAsia="MS PGothic" w:hAnsi="Times New Roman"/>
          <w:lang w:val="en-US"/>
        </w:rPr>
        <w:t>”</w:t>
      </w:r>
      <w:r w:rsidRPr="00860381">
        <w:rPr>
          <w:rFonts w:ascii="Times New Roman" w:eastAsia="MS PGothic" w:hAnsi="Times New Roman"/>
          <w:lang w:val="en-US"/>
        </w:rPr>
        <w:t xml:space="preserve"> [1]. This allows an extension of the life cycle of a product </w:t>
      </w:r>
      <w:r w:rsidRPr="00860381">
        <w:rPr>
          <w:rFonts w:ascii="Times New Roman" w:eastAsia="MS PGothic" w:hAnsi="Times New Roman"/>
          <w:lang w:val="en-US"/>
        </w:rPr>
        <w:t>to be</w:t>
      </w:r>
      <w:r w:rsidRPr="00860381">
        <w:rPr>
          <w:rFonts w:ascii="Times New Roman" w:eastAsia="MS PGothic" w:hAnsi="Times New Roman"/>
          <w:lang w:val="en-US"/>
        </w:rPr>
        <w:t xml:space="preserve"> reused, thus adding a further value to </w:t>
      </w:r>
      <w:r w:rsidRPr="00860381">
        <w:rPr>
          <w:rFonts w:ascii="Times New Roman" w:eastAsia="MS PGothic" w:hAnsi="Times New Roman"/>
          <w:lang w:val="en-US"/>
        </w:rPr>
        <w:t>it</w:t>
      </w:r>
      <w:r w:rsidRPr="00860381">
        <w:rPr>
          <w:rFonts w:ascii="Times New Roman" w:eastAsia="MS PGothic" w:hAnsi="Times New Roman"/>
          <w:lang w:val="en-US"/>
        </w:rPr>
        <w:t xml:space="preserve"> and reducing wastes. </w:t>
      </w:r>
      <w:r w:rsidRPr="00860381">
        <w:rPr>
          <w:rFonts w:ascii="Times New Roman" w:eastAsia="MS PGothic" w:hAnsi="Times New Roman"/>
          <w:lang w:val="en-US"/>
        </w:rPr>
        <w:t>I</w:t>
      </w:r>
      <w:r w:rsidRPr="00860381">
        <w:rPr>
          <w:rFonts w:ascii="Times New Roman" w:eastAsia="MS PGothic" w:hAnsi="Times New Roman"/>
          <w:lang w:val="en-US"/>
        </w:rPr>
        <w:t>n this context, particular attention must b</w:t>
      </w:r>
      <w:r w:rsidRPr="00860381">
        <w:rPr>
          <w:rFonts w:ascii="Times New Roman" w:eastAsia="MS PGothic" w:hAnsi="Times New Roman"/>
          <w:lang w:val="en-US"/>
        </w:rPr>
        <w:t xml:space="preserve">e paid to olive oil production residues [2]. </w:t>
      </w:r>
      <w:r w:rsidRPr="00860381">
        <w:rPr>
          <w:rFonts w:ascii="Times New Roman" w:eastAsia="MS PGothic" w:hAnsi="Times New Roman"/>
          <w:lang w:val="en-GB"/>
        </w:rPr>
        <w:t>Olive oil production</w:t>
      </w:r>
      <w:r w:rsidRPr="00860381">
        <w:rPr>
          <w:rFonts w:ascii="Times New Roman" w:eastAsia="MS PGothic" w:hAnsi="Times New Roman"/>
          <w:lang w:val="en-US"/>
        </w:rPr>
        <w:t>, which</w:t>
      </w:r>
      <w:r w:rsidRPr="00860381">
        <w:rPr>
          <w:rFonts w:ascii="Times New Roman" w:eastAsia="MS PGothic" w:hAnsi="Times New Roman"/>
          <w:lang w:val="en-GB"/>
        </w:rPr>
        <w:t xml:space="preserve"> is a major industrial field in the Mediterranean countries</w:t>
      </w:r>
      <w:r w:rsidRPr="00860381">
        <w:rPr>
          <w:rFonts w:ascii="Times New Roman" w:eastAsia="MS PGothic" w:hAnsi="Times New Roman"/>
          <w:lang w:val="en-GB"/>
        </w:rPr>
        <w:t>, r</w:t>
      </w:r>
      <w:r w:rsidRPr="00860381">
        <w:rPr>
          <w:rFonts w:ascii="Times New Roman" w:eastAsia="MS PGothic" w:hAnsi="Times New Roman"/>
          <w:lang w:val="en-GB"/>
        </w:rPr>
        <w:t>eached 1924 Mg</w:t>
      </w:r>
      <w:r w:rsidRPr="00860381">
        <w:rPr>
          <w:rFonts w:ascii="Times New Roman" w:eastAsia="MS PGothic" w:hAnsi="Times New Roman"/>
          <w:lang w:val="en-GB"/>
        </w:rPr>
        <w:t xml:space="preserve"> in the season 2019/2020, while the worldwide production was around 3207 Mg [3]. In this work </w:t>
      </w:r>
      <w:r w:rsidRPr="00860381">
        <w:rPr>
          <w:rFonts w:ascii="Times New Roman" w:eastAsia="MS PGothic" w:hAnsi="Times New Roman"/>
          <w:lang w:val="en-US"/>
        </w:rPr>
        <w:t>olive pomac</w:t>
      </w:r>
      <w:r w:rsidRPr="00860381">
        <w:rPr>
          <w:rFonts w:ascii="Times New Roman" w:eastAsia="MS PGothic" w:hAnsi="Times New Roman"/>
          <w:lang w:val="en-US"/>
        </w:rPr>
        <w:t xml:space="preserve">e </w:t>
      </w:r>
      <w:r w:rsidRPr="00860381">
        <w:rPr>
          <w:rFonts w:ascii="Times New Roman" w:eastAsia="MS PGothic" w:hAnsi="Times New Roman"/>
          <w:lang w:val="en-GB"/>
        </w:rPr>
        <w:t xml:space="preserve">was used </w:t>
      </w:r>
      <w:r w:rsidRPr="00860381">
        <w:rPr>
          <w:rFonts w:ascii="Times New Roman" w:eastAsia="MS PGothic" w:hAnsi="Times New Roman"/>
          <w:lang w:val="en-US"/>
        </w:rPr>
        <w:t>to</w:t>
      </w:r>
      <w:r w:rsidRPr="00860381">
        <w:rPr>
          <w:rFonts w:ascii="Times New Roman" w:eastAsia="MS PGothic" w:hAnsi="Times New Roman"/>
          <w:lang w:val="en-GB"/>
        </w:rPr>
        <w:t xml:space="preserve"> recove</w:t>
      </w:r>
      <w:r w:rsidRPr="00860381">
        <w:rPr>
          <w:rFonts w:ascii="Times New Roman" w:eastAsia="MS PGothic" w:hAnsi="Times New Roman"/>
          <w:lang w:val="en-GB"/>
        </w:rPr>
        <w:t xml:space="preserve">r </w:t>
      </w:r>
      <w:r w:rsidRPr="00860381">
        <w:rPr>
          <w:rFonts w:ascii="Times New Roman" w:eastAsia="MS PGothic" w:hAnsi="Times New Roman"/>
          <w:lang w:val="en-GB"/>
        </w:rPr>
        <w:t>high added value compounds an</w:t>
      </w:r>
      <w:r w:rsidRPr="00860381">
        <w:rPr>
          <w:rFonts w:ascii="Times New Roman" w:eastAsia="MS PGothic" w:hAnsi="Times New Roman"/>
          <w:lang w:val="en-GB"/>
        </w:rPr>
        <w:t xml:space="preserve">d </w:t>
      </w:r>
      <w:proofErr w:type="spellStart"/>
      <w:r w:rsidRPr="00860381">
        <w:rPr>
          <w:rFonts w:ascii="Times New Roman" w:eastAsia="MS PGothic" w:hAnsi="Times New Roman"/>
          <w:lang w:val="en-GB"/>
        </w:rPr>
        <w:t>p</w:t>
      </w:r>
      <w:r w:rsidRPr="00860381">
        <w:rPr>
          <w:rFonts w:ascii="Times New Roman" w:eastAsia="MS PGothic" w:hAnsi="Times New Roman"/>
          <w:lang w:val="en-GB"/>
        </w:rPr>
        <w:t>roduc</w:t>
      </w:r>
      <w:proofErr w:type="spellEnd"/>
      <w:r w:rsidRPr="00860381">
        <w:rPr>
          <w:rFonts w:ascii="Times New Roman" w:eastAsia="MS PGothic" w:hAnsi="Times New Roman"/>
          <w:lang w:val="en-US"/>
        </w:rPr>
        <w:t>e</w:t>
      </w:r>
      <w:r w:rsidRPr="00860381">
        <w:rPr>
          <w:rFonts w:ascii="Times New Roman" w:eastAsia="MS PGothic" w:hAnsi="Times New Roman"/>
          <w:lang w:val="en-GB"/>
        </w:rPr>
        <w:t xml:space="preserve"> biogas by anaerobic digestion. Moreover, in order to satisfy the circular economy concept, the digestate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from the latter process</w:t>
      </w:r>
      <w:r w:rsidRPr="00860381">
        <w:rPr>
          <w:rFonts w:ascii="Times New Roman" w:eastAsia="MS PGothic" w:hAnsi="Times New Roman"/>
          <w:lang w:val="en-GB"/>
        </w:rPr>
        <w:t xml:space="preserve"> </w:t>
      </w:r>
      <w:r w:rsidRPr="00860381">
        <w:rPr>
          <w:rFonts w:ascii="Times New Roman" w:eastAsia="MS PGothic" w:hAnsi="Times New Roman"/>
          <w:lang w:val="en-GB"/>
        </w:rPr>
        <w:t xml:space="preserve">was used as medium for the microalga </w:t>
      </w:r>
      <w:r w:rsidRPr="00860381">
        <w:rPr>
          <w:rFonts w:ascii="Times New Roman" w:eastAsia="MS PGothic" w:hAnsi="Times New Roman"/>
          <w:i/>
          <w:iCs/>
          <w:lang w:val="en-GB"/>
        </w:rPr>
        <w:t>Chlorella vulgaris</w:t>
      </w:r>
      <w:r w:rsidRPr="00860381">
        <w:rPr>
          <w:rFonts w:ascii="Times New Roman" w:eastAsia="MS PGothic" w:hAnsi="Times New Roman"/>
          <w:lang w:val="en-GB"/>
        </w:rPr>
        <w:t xml:space="preserve"> growth. Th</w:t>
      </w:r>
      <w:r w:rsidRPr="00860381">
        <w:rPr>
          <w:rFonts w:ascii="Times New Roman" w:eastAsia="MS PGothic" w:hAnsi="Times New Roman"/>
          <w:lang w:val="en-GB"/>
        </w:rPr>
        <w:t>e microalgal biomass represents an important source of chemicals, and in the future, its use will be increasingly significant.</w:t>
      </w:r>
    </w:p>
    <w:p w14:paraId="1221EEEA" w14:textId="77777777" w:rsidR="00636A59" w:rsidRPr="00860381" w:rsidRDefault="00860381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860381">
        <w:rPr>
          <w:rFonts w:ascii="Times New Roman" w:eastAsia="MS PGothic" w:hAnsi="Times New Roman"/>
          <w:b/>
          <w:bCs/>
          <w:lang w:val="en-US"/>
        </w:rPr>
        <w:t>2. Methods</w:t>
      </w:r>
    </w:p>
    <w:p w14:paraId="3AD73730" w14:textId="77777777" w:rsidR="00636A59" w:rsidRPr="00860381" w:rsidRDefault="00860381">
      <w:pPr>
        <w:snapToGrid w:val="0"/>
        <w:spacing w:after="120"/>
        <w:jc w:val="both"/>
        <w:rPr>
          <w:rFonts w:ascii="Times New Roman" w:eastAsia="MS PGothic" w:hAnsi="Times New Roman"/>
          <w:b/>
          <w:bCs/>
          <w:i/>
          <w:iCs/>
          <w:lang w:val="en-US"/>
        </w:rPr>
      </w:pPr>
      <w:r w:rsidRPr="00860381">
        <w:rPr>
          <w:rFonts w:ascii="Times New Roman" w:eastAsia="MS PGothic" w:hAnsi="Times New Roman"/>
          <w:b/>
          <w:bCs/>
          <w:i/>
          <w:iCs/>
          <w:lang w:val="en-US"/>
        </w:rPr>
        <w:t>2.1 Polyphenols extraction</w:t>
      </w:r>
    </w:p>
    <w:p w14:paraId="6D6CFE68" w14:textId="77777777" w:rsidR="00636A59" w:rsidRPr="00860381" w:rsidRDefault="00860381">
      <w:pPr>
        <w:snapToGrid w:val="0"/>
        <w:spacing w:after="120"/>
        <w:jc w:val="both"/>
        <w:rPr>
          <w:rFonts w:ascii="Times New Roman" w:eastAsia="MS PGothic" w:hAnsi="Times New Roman"/>
          <w:b/>
          <w:bCs/>
          <w:i/>
          <w:iCs/>
          <w:lang w:val="en-US"/>
        </w:rPr>
      </w:pPr>
      <w:r w:rsidRPr="00860381">
        <w:rPr>
          <w:rFonts w:ascii="Times New Roman" w:eastAsia="MS PGothic" w:hAnsi="Times New Roman"/>
          <w:lang w:val="en-US"/>
        </w:rPr>
        <w:t>Polyphenols were extracted from the olive pomace</w:t>
      </w:r>
      <w:r w:rsidRPr="00860381">
        <w:rPr>
          <w:rFonts w:ascii="Times New Roman" w:eastAsia="MS PGothic" w:hAnsi="Times New Roman"/>
          <w:lang w:val="en-US"/>
        </w:rPr>
        <w:t xml:space="preserve"> (OP)</w:t>
      </w:r>
      <w:r w:rsidRPr="00860381">
        <w:rPr>
          <w:rFonts w:ascii="Times New Roman" w:eastAsia="MS PGothic" w:hAnsi="Times New Roman"/>
          <w:lang w:val="en-US"/>
        </w:rPr>
        <w:t xml:space="preserve"> of </w:t>
      </w:r>
      <w:proofErr w:type="spellStart"/>
      <w:r w:rsidRPr="00860381">
        <w:rPr>
          <w:rFonts w:ascii="Times New Roman" w:eastAsia="MS PGothic" w:hAnsi="Times New Roman"/>
          <w:lang w:val="en-US"/>
        </w:rPr>
        <w:t>Taggiasca</w:t>
      </w:r>
      <w:proofErr w:type="spellEnd"/>
      <w:r w:rsidRPr="00860381">
        <w:rPr>
          <w:rFonts w:ascii="Times New Roman" w:eastAsia="MS PGothic" w:hAnsi="Times New Roman"/>
          <w:lang w:val="en-US"/>
        </w:rPr>
        <w:t xml:space="preserve"> cultivar by means of </w:t>
      </w:r>
      <w:r w:rsidRPr="00860381">
        <w:rPr>
          <w:rFonts w:ascii="Times New Roman" w:eastAsia="MS PGothic" w:hAnsi="Times New Roman"/>
          <w:lang w:val="en-US"/>
        </w:rPr>
        <w:t>a</w:t>
      </w:r>
      <w:r w:rsidRPr="00860381">
        <w:rPr>
          <w:rFonts w:ascii="Times New Roman" w:eastAsia="MS PGothic" w:hAnsi="Times New Roman"/>
          <w:lang w:val="en-US"/>
        </w:rPr>
        <w:t xml:space="preserve"> High Pressure High Temperature Extractor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(HTPE)</w:t>
      </w:r>
      <w:r w:rsidRPr="00860381">
        <w:rPr>
          <w:rFonts w:ascii="Times New Roman" w:eastAsia="MS PGothic" w:hAnsi="Times New Roman"/>
          <w:lang w:val="en-US"/>
        </w:rPr>
        <w:t xml:space="preserve"> (model 4560, PARR Instrument Company, Moline, IL, USA). HPTE was selected because of </w:t>
      </w:r>
      <w:r w:rsidRPr="00860381">
        <w:rPr>
          <w:rFonts w:ascii="Times New Roman" w:eastAsia="MS PGothic" w:hAnsi="Times New Roman"/>
          <w:lang w:val="en-US"/>
        </w:rPr>
        <w:t>better</w:t>
      </w:r>
      <w:r w:rsidRPr="00860381">
        <w:rPr>
          <w:rFonts w:ascii="Times New Roman" w:eastAsia="MS PGothic" w:hAnsi="Times New Roman"/>
          <w:lang w:val="en-US"/>
        </w:rPr>
        <w:t xml:space="preserve"> result</w:t>
      </w:r>
      <w:r w:rsidRPr="00860381">
        <w:rPr>
          <w:rFonts w:ascii="Times New Roman" w:eastAsia="MS PGothic" w:hAnsi="Times New Roman"/>
          <w:lang w:val="en-US"/>
        </w:rPr>
        <w:t>s</w:t>
      </w:r>
      <w:r w:rsidRPr="00860381">
        <w:rPr>
          <w:rFonts w:ascii="Times New Roman" w:eastAsia="MS PGothic" w:hAnsi="Times New Roman"/>
          <w:lang w:val="en-US"/>
        </w:rPr>
        <w:t xml:space="preserve"> obtained in polyphenols recovery if compared with other extraction meth</w:t>
      </w:r>
      <w:r w:rsidRPr="00860381">
        <w:rPr>
          <w:rFonts w:ascii="Times New Roman" w:eastAsia="MS PGothic" w:hAnsi="Times New Roman"/>
          <w:lang w:val="en-US"/>
        </w:rPr>
        <w:t>odologies [4]. Extraction parameters were selected based on previous works [2]. During the extraction, pressure and temperature inside the reactor reached 25 bar and 180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°C</w:t>
      </w:r>
      <w:r w:rsidRPr="00860381">
        <w:rPr>
          <w:rFonts w:ascii="Times New Roman" w:eastAsia="MS PGothic" w:hAnsi="Times New Roman"/>
          <w:lang w:val="en-US"/>
        </w:rPr>
        <w:t>, respectively</w:t>
      </w:r>
      <w:r w:rsidRPr="00860381">
        <w:rPr>
          <w:rFonts w:ascii="Times New Roman" w:eastAsia="MS PGothic" w:hAnsi="Times New Roman"/>
          <w:b/>
          <w:bCs/>
          <w:i/>
          <w:iCs/>
          <w:lang w:val="en-US"/>
        </w:rPr>
        <w:t>.</w:t>
      </w:r>
      <w:r w:rsidRPr="00860381">
        <w:rPr>
          <w:rFonts w:ascii="Times New Roman" w:eastAsia="MS PGothic" w:hAnsi="Times New Roman"/>
          <w:b/>
          <w:bCs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 xml:space="preserve">Total polyphenols were quantified using a modified version of the </w:t>
      </w:r>
      <w:proofErr w:type="spellStart"/>
      <w:r w:rsidRPr="00860381">
        <w:rPr>
          <w:rFonts w:ascii="Times New Roman" w:eastAsia="MS PGothic" w:hAnsi="Times New Roman"/>
          <w:lang w:val="en-US"/>
        </w:rPr>
        <w:t>Fo</w:t>
      </w:r>
      <w:r w:rsidRPr="00860381">
        <w:rPr>
          <w:rFonts w:ascii="Times New Roman" w:eastAsia="MS PGothic" w:hAnsi="Times New Roman"/>
          <w:lang w:val="en-US"/>
        </w:rPr>
        <w:t>lin</w:t>
      </w:r>
      <w:proofErr w:type="spellEnd"/>
      <w:r w:rsidRPr="00860381">
        <w:rPr>
          <w:rFonts w:ascii="Times New Roman" w:eastAsia="MS PGothic" w:hAnsi="Times New Roman"/>
          <w:lang w:val="en-US"/>
        </w:rPr>
        <w:t xml:space="preserve">-Ciocalteu </w:t>
      </w:r>
      <w:r w:rsidRPr="00860381">
        <w:rPr>
          <w:rFonts w:ascii="Times New Roman" w:eastAsia="MS PGothic" w:hAnsi="Times New Roman"/>
          <w:lang w:val="en-US"/>
        </w:rPr>
        <w:t>method</w:t>
      </w:r>
      <w:r w:rsidRPr="00860381">
        <w:rPr>
          <w:rFonts w:ascii="Times New Roman" w:eastAsia="MS PGothic" w:hAnsi="Times New Roman"/>
          <w:lang w:val="en-US"/>
        </w:rPr>
        <w:t xml:space="preserve"> [5].</w:t>
      </w:r>
    </w:p>
    <w:p w14:paraId="0968D10C" w14:textId="77777777" w:rsidR="00636A59" w:rsidRPr="00860381" w:rsidRDefault="00860381">
      <w:pPr>
        <w:snapToGrid w:val="0"/>
        <w:spacing w:after="120"/>
        <w:jc w:val="both"/>
        <w:rPr>
          <w:rFonts w:ascii="Times New Roman" w:eastAsia="MS PGothic" w:hAnsi="Times New Roman"/>
          <w:b/>
          <w:bCs/>
          <w:i/>
          <w:iCs/>
          <w:lang w:val="en-US"/>
        </w:rPr>
      </w:pPr>
      <w:r w:rsidRPr="00860381">
        <w:rPr>
          <w:rFonts w:ascii="Times New Roman" w:eastAsia="MS PGothic" w:hAnsi="Times New Roman"/>
          <w:b/>
          <w:bCs/>
          <w:i/>
          <w:iCs/>
          <w:lang w:val="en-US"/>
        </w:rPr>
        <w:t>2.2 Olive pomace anaerobic digestion</w:t>
      </w:r>
    </w:p>
    <w:p w14:paraId="1528772E" w14:textId="77777777" w:rsidR="00636A59" w:rsidRPr="00860381" w:rsidRDefault="00860381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60381">
        <w:rPr>
          <w:rFonts w:ascii="Times New Roman" w:eastAsia="MS PGothic" w:hAnsi="Times New Roman"/>
          <w:lang w:val="en-US"/>
        </w:rPr>
        <w:t xml:space="preserve">The digestion process was carried out in a bioreactor with a </w:t>
      </w:r>
      <w:r w:rsidRPr="00860381">
        <w:rPr>
          <w:rFonts w:ascii="Times New Roman" w:eastAsia="MS PGothic" w:hAnsi="Times New Roman"/>
          <w:lang w:val="en-US"/>
        </w:rPr>
        <w:t xml:space="preserve">total </w:t>
      </w:r>
      <w:r w:rsidRPr="00860381">
        <w:rPr>
          <w:rFonts w:ascii="Times New Roman" w:eastAsia="MS PGothic" w:hAnsi="Times New Roman"/>
          <w:lang w:val="en-US"/>
        </w:rPr>
        <w:t>volume of 6 L and</w:t>
      </w:r>
      <w:r w:rsidRPr="00860381">
        <w:rPr>
          <w:rFonts w:ascii="Times New Roman" w:eastAsia="MS PGothic" w:hAnsi="Times New Roman"/>
          <w:lang w:val="en-US"/>
        </w:rPr>
        <w:t xml:space="preserve"> a </w:t>
      </w:r>
      <w:r w:rsidRPr="00860381">
        <w:rPr>
          <w:rFonts w:ascii="Times New Roman" w:eastAsia="MS PGothic" w:hAnsi="Times New Roman"/>
          <w:lang w:val="en-US"/>
        </w:rPr>
        <w:t>working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volume of 5 L. After an initial period of acclimatization of the Anaerobic Digestion (AD) microorg</w:t>
      </w:r>
      <w:r w:rsidRPr="00860381">
        <w:rPr>
          <w:rFonts w:ascii="Times New Roman" w:eastAsia="MS PGothic" w:hAnsi="Times New Roman"/>
          <w:lang w:val="en-US"/>
        </w:rPr>
        <w:t xml:space="preserve">anisms present in the inoculum, the </w:t>
      </w:r>
      <w:r w:rsidRPr="00860381">
        <w:rPr>
          <w:rFonts w:ascii="Times New Roman" w:eastAsia="MS PGothic" w:hAnsi="Times New Roman"/>
          <w:lang w:val="en-US"/>
        </w:rPr>
        <w:t>OP</w:t>
      </w:r>
      <w:r w:rsidRPr="00860381">
        <w:rPr>
          <w:rFonts w:ascii="Times New Roman" w:eastAsia="MS PGothic" w:hAnsi="Times New Roman"/>
          <w:lang w:val="en-US"/>
        </w:rPr>
        <w:t xml:space="preserve"> was fed to the bioreactor. Initially </w:t>
      </w:r>
      <w:r w:rsidRPr="00860381">
        <w:rPr>
          <w:rFonts w:ascii="Times New Roman" w:eastAsia="MS PGothic" w:hAnsi="Times New Roman"/>
          <w:lang w:val="en-US"/>
        </w:rPr>
        <w:t>it</w:t>
      </w:r>
      <w:r w:rsidRPr="00860381">
        <w:rPr>
          <w:rFonts w:ascii="Times New Roman" w:eastAsia="MS PGothic" w:hAnsi="Times New Roman"/>
          <w:lang w:val="en-US"/>
        </w:rPr>
        <w:t xml:space="preserve"> was anaerobically co-digested with activated sludge and subsequentl</w:t>
      </w:r>
      <w:r w:rsidRPr="00860381">
        <w:rPr>
          <w:rFonts w:ascii="Times New Roman" w:eastAsia="MS PGothic" w:hAnsi="Times New Roman"/>
          <w:lang w:val="en-US"/>
        </w:rPr>
        <w:t>y m</w:t>
      </w:r>
      <w:r w:rsidRPr="00860381">
        <w:rPr>
          <w:rFonts w:ascii="Times New Roman" w:eastAsia="MS PGothic" w:hAnsi="Times New Roman"/>
          <w:lang w:val="en-US"/>
        </w:rPr>
        <w:t>ono-digest</w:t>
      </w:r>
      <w:r w:rsidRPr="00860381">
        <w:rPr>
          <w:rFonts w:ascii="Times New Roman" w:eastAsia="MS PGothic" w:hAnsi="Times New Roman"/>
          <w:lang w:val="en-US"/>
        </w:rPr>
        <w:t>ed</w:t>
      </w:r>
      <w:r w:rsidRPr="00860381">
        <w:rPr>
          <w:rFonts w:ascii="Times New Roman" w:eastAsia="MS PGothic" w:hAnsi="Times New Roman"/>
          <w:lang w:val="en-US"/>
        </w:rPr>
        <w:t xml:space="preserve"> a</w:t>
      </w:r>
      <w:r w:rsidRPr="00860381">
        <w:rPr>
          <w:rFonts w:ascii="Times New Roman" w:eastAsia="MS PGothic" w:hAnsi="Times New Roman"/>
          <w:lang w:val="en-US"/>
        </w:rPr>
        <w:t>lone (15 g of OP three times per week).</w:t>
      </w:r>
    </w:p>
    <w:p w14:paraId="4C70CD91" w14:textId="77777777" w:rsidR="00636A59" w:rsidRPr="00860381" w:rsidRDefault="00860381">
      <w:pPr>
        <w:snapToGrid w:val="0"/>
        <w:spacing w:after="120"/>
        <w:rPr>
          <w:rFonts w:ascii="Times New Roman" w:eastAsia="MS PGothic" w:hAnsi="Times New Roman"/>
          <w:b/>
          <w:bCs/>
          <w:i/>
          <w:iCs/>
          <w:lang w:val="en-US"/>
        </w:rPr>
      </w:pPr>
      <w:r w:rsidRPr="00860381">
        <w:rPr>
          <w:rFonts w:ascii="Times New Roman" w:eastAsia="MS PGothic" w:hAnsi="Times New Roman"/>
          <w:b/>
          <w:bCs/>
          <w:i/>
          <w:iCs/>
          <w:lang w:val="en-US"/>
        </w:rPr>
        <w:t xml:space="preserve">2.3 Chlorella vulgaris growth using digestate as </w:t>
      </w:r>
      <w:r w:rsidRPr="00860381">
        <w:rPr>
          <w:rFonts w:ascii="Times New Roman" w:eastAsia="MS PGothic" w:hAnsi="Times New Roman"/>
          <w:b/>
          <w:bCs/>
          <w:i/>
          <w:iCs/>
          <w:lang w:val="en-US"/>
        </w:rPr>
        <w:t>a</w:t>
      </w:r>
      <w:r w:rsidRPr="00860381">
        <w:rPr>
          <w:rFonts w:ascii="Times New Roman" w:eastAsia="MS PGothic" w:hAnsi="Times New Roman"/>
          <w:b/>
          <w:bCs/>
          <w:i/>
          <w:iCs/>
          <w:lang w:val="en-US"/>
        </w:rPr>
        <w:t xml:space="preserve"> </w:t>
      </w:r>
      <w:r w:rsidRPr="00860381">
        <w:rPr>
          <w:rFonts w:ascii="Times New Roman" w:eastAsia="MS PGothic" w:hAnsi="Times New Roman"/>
          <w:b/>
          <w:bCs/>
          <w:i/>
          <w:iCs/>
          <w:lang w:val="en-US"/>
        </w:rPr>
        <w:t>culture medium</w:t>
      </w:r>
    </w:p>
    <w:p w14:paraId="1E8B13D0" w14:textId="7E929F99" w:rsidR="00636A59" w:rsidRPr="00860381" w:rsidRDefault="00860381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860381">
        <w:rPr>
          <w:rFonts w:ascii="Times New Roman" w:eastAsia="MS PGothic" w:hAnsi="Times New Roman"/>
          <w:i/>
          <w:iCs/>
          <w:lang w:val="en-US"/>
        </w:rPr>
        <w:t>Chlorella vulgaris</w:t>
      </w:r>
      <w:r w:rsidRPr="00860381">
        <w:rPr>
          <w:rFonts w:ascii="Times New Roman" w:eastAsia="MS PGothic" w:hAnsi="Times New Roman"/>
          <w:lang w:val="en-US"/>
        </w:rPr>
        <w:t xml:space="preserve"> CCAP 211 (Culture Collection of Algae and Protozoa, Argyll, UK) was used </w:t>
      </w:r>
      <w:r w:rsidRPr="00860381">
        <w:rPr>
          <w:rFonts w:ascii="Times New Roman" w:eastAsia="MS PGothic" w:hAnsi="Times New Roman"/>
          <w:lang w:val="en-US"/>
        </w:rPr>
        <w:t>at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an initial concentration of 0.2 g/L in 0.6 L column photobioreactors. Different concentration of digestate (25 and 50%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v/v</w:t>
      </w:r>
      <w:r w:rsidRPr="00860381">
        <w:rPr>
          <w:rFonts w:ascii="Times New Roman" w:eastAsia="MS PGothic" w:hAnsi="Times New Roman"/>
          <w:lang w:val="en-US"/>
        </w:rPr>
        <w:t>) in Bold Basal Medium w</w:t>
      </w:r>
      <w:r w:rsidRPr="00860381">
        <w:rPr>
          <w:rFonts w:ascii="Times New Roman" w:eastAsia="MS PGothic" w:hAnsi="Times New Roman"/>
          <w:lang w:val="en-US"/>
        </w:rPr>
        <w:t xml:space="preserve">ere tested. </w:t>
      </w:r>
      <w:r w:rsidRPr="00860381">
        <w:rPr>
          <w:rFonts w:ascii="Times New Roman" w:eastAsia="MS PGothic" w:hAnsi="Times New Roman"/>
          <w:i/>
          <w:iCs/>
          <w:lang w:val="en-US"/>
        </w:rPr>
        <w:t>C. vulgaris</w:t>
      </w:r>
      <w:r w:rsidRPr="00860381">
        <w:rPr>
          <w:rFonts w:ascii="Times New Roman" w:eastAsia="MS PGothic" w:hAnsi="Times New Roman"/>
          <w:lang w:val="en-US"/>
        </w:rPr>
        <w:t xml:space="preserve"> concentration was </w:t>
      </w:r>
      <w:r w:rsidRPr="00860381">
        <w:rPr>
          <w:rFonts w:ascii="Times New Roman" w:eastAsia="MS PGothic" w:hAnsi="Times New Roman"/>
          <w:lang w:val="en-US"/>
        </w:rPr>
        <w:t xml:space="preserve">determined by optical density </w:t>
      </w:r>
      <w:r w:rsidRPr="00860381">
        <w:rPr>
          <w:rFonts w:ascii="Times New Roman" w:eastAsia="MS PGothic" w:hAnsi="Times New Roman"/>
          <w:lang w:val="en-US"/>
        </w:rPr>
        <w:t>(</w:t>
      </w:r>
      <w:r w:rsidRPr="00860381">
        <w:rPr>
          <w:rFonts w:ascii="Times New Roman" w:eastAsia="MS PGothic" w:hAnsi="Times New Roman" w:cs="Times New Roman"/>
          <w:lang w:val="en-US"/>
        </w:rPr>
        <w:t>λ</w:t>
      </w:r>
      <w:r w:rsidRPr="00860381">
        <w:rPr>
          <w:rFonts w:ascii="Times New Roman" w:eastAsia="MS PGothic" w:hAnsi="Times New Roman" w:cs="Times New Roman"/>
          <w:lang w:val="en-US"/>
        </w:rPr>
        <w:t xml:space="preserve"> </w:t>
      </w:r>
      <w:r w:rsidRPr="00860381">
        <w:rPr>
          <w:rFonts w:ascii="Times New Roman" w:eastAsia="MS PGothic" w:hAnsi="Times New Roman" w:cs="Times New Roman"/>
          <w:lang w:val="en-US"/>
        </w:rPr>
        <w:t>=</w:t>
      </w:r>
      <w:r w:rsidRPr="00860381">
        <w:rPr>
          <w:rFonts w:ascii="Times New Roman" w:eastAsia="MS PGothic" w:hAnsi="Times New Roman" w:cs="Times New Roman"/>
          <w:lang w:val="en-US"/>
        </w:rPr>
        <w:t xml:space="preserve"> </w:t>
      </w:r>
      <w:r w:rsidRPr="00860381">
        <w:rPr>
          <w:rFonts w:ascii="Times New Roman" w:eastAsia="MS PGothic" w:hAnsi="Times New Roman" w:cs="Times New Roman"/>
          <w:lang w:val="en-US"/>
        </w:rPr>
        <w:t xml:space="preserve">625 nm) </w:t>
      </w:r>
      <w:r w:rsidRPr="00860381">
        <w:rPr>
          <w:rFonts w:ascii="Times New Roman" w:eastAsia="MS PGothic" w:hAnsi="Times New Roman"/>
          <w:lang w:val="en-US"/>
        </w:rPr>
        <w:t>measurements</w:t>
      </w:r>
      <w:r w:rsidRPr="00860381">
        <w:rPr>
          <w:rFonts w:ascii="Times New Roman" w:eastAsia="MS PGothic" w:hAnsi="Times New Roman"/>
          <w:lang w:val="en-US"/>
        </w:rPr>
        <w:t xml:space="preserve"> using a </w:t>
      </w:r>
      <w:r w:rsidRPr="00860381">
        <w:rPr>
          <w:rFonts w:ascii="Times New Roman" w:eastAsia="MS PGothic" w:hAnsi="Times New Roman"/>
          <w:lang w:val="en-US"/>
        </w:rPr>
        <w:t>UV-Vis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spectrophotometer</w:t>
      </w:r>
      <w:r>
        <w:rPr>
          <w:rFonts w:ascii="Times New Roman" w:eastAsia="MS PGothic" w:hAnsi="Times New Roman"/>
          <w:lang w:val="en-US"/>
        </w:rPr>
        <w:t xml:space="preserve"> (Lambda 25, PerkinElmer)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and a calibration curve</w:t>
      </w:r>
      <w:r w:rsidRPr="00860381">
        <w:rPr>
          <w:rFonts w:ascii="Times New Roman" w:eastAsia="MS PGothic" w:hAnsi="Times New Roman"/>
          <w:lang w:val="en-US"/>
        </w:rPr>
        <w:t>,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 w:cs="Times New Roman"/>
          <w:lang w:val="en-US"/>
        </w:rPr>
        <w:t>and the Chemical Oxygen Demand</w:t>
      </w:r>
      <w:r w:rsidRPr="00860381">
        <w:rPr>
          <w:rFonts w:ascii="Times New Roman" w:eastAsia="MS PGothic" w:hAnsi="Times New Roman" w:cs="Times New Roman"/>
          <w:lang w:val="en-US"/>
        </w:rPr>
        <w:t xml:space="preserve"> </w:t>
      </w:r>
      <w:r w:rsidRPr="00860381">
        <w:rPr>
          <w:rFonts w:ascii="Times New Roman" w:eastAsia="MS PGothic" w:hAnsi="Times New Roman" w:cs="Times New Roman"/>
          <w:lang w:val="en-US"/>
        </w:rPr>
        <w:t>(COD)</w:t>
      </w:r>
      <w:r w:rsidRPr="00860381">
        <w:rPr>
          <w:rFonts w:ascii="Times New Roman" w:eastAsia="MS PGothic" w:hAnsi="Times New Roman" w:cs="Times New Roman"/>
          <w:lang w:val="en-US"/>
        </w:rPr>
        <w:t xml:space="preserve"> removal efficiency was quantified [6]. </w:t>
      </w:r>
      <w:r w:rsidRPr="00860381">
        <w:rPr>
          <w:rFonts w:ascii="Times New Roman" w:eastAsia="MS PGothic" w:hAnsi="Times New Roman" w:cs="Times New Roman"/>
          <w:lang w:val="en-US"/>
        </w:rPr>
        <w:t>The m</w:t>
      </w:r>
      <w:r w:rsidRPr="00860381">
        <w:rPr>
          <w:rFonts w:ascii="Times New Roman" w:eastAsia="MS PGothic" w:hAnsi="Times New Roman" w:cs="Times New Roman"/>
          <w:lang w:val="en-US"/>
        </w:rPr>
        <w:t>icroalg</w:t>
      </w:r>
      <w:r w:rsidRPr="00860381">
        <w:rPr>
          <w:rFonts w:ascii="Times New Roman" w:eastAsia="MS PGothic" w:hAnsi="Times New Roman" w:cs="Times New Roman"/>
          <w:lang w:val="en-US"/>
        </w:rPr>
        <w:t>a</w:t>
      </w:r>
      <w:r w:rsidRPr="00860381">
        <w:rPr>
          <w:rFonts w:ascii="Times New Roman" w:eastAsia="MS PGothic" w:hAnsi="Times New Roman" w:cs="Times New Roman"/>
          <w:lang w:val="en-US"/>
        </w:rPr>
        <w:t xml:space="preserve"> lipid content was quantified following the method described by </w:t>
      </w:r>
      <w:proofErr w:type="spellStart"/>
      <w:r w:rsidRPr="00860381">
        <w:rPr>
          <w:rFonts w:ascii="Times New Roman" w:eastAsia="MS PGothic" w:hAnsi="Times New Roman" w:cs="Times New Roman"/>
          <w:lang w:val="en-US"/>
        </w:rPr>
        <w:t>Converti</w:t>
      </w:r>
      <w:proofErr w:type="spellEnd"/>
      <w:r w:rsidRPr="00860381">
        <w:rPr>
          <w:rFonts w:ascii="Times New Roman" w:eastAsia="MS PGothic" w:hAnsi="Times New Roman" w:cs="Times New Roman"/>
          <w:lang w:val="en-US"/>
        </w:rPr>
        <w:t xml:space="preserve"> et al. [7].</w:t>
      </w:r>
    </w:p>
    <w:p w14:paraId="52935C54" w14:textId="77777777" w:rsidR="00636A59" w:rsidRPr="00860381" w:rsidRDefault="00860381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860381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7A49F035" w14:textId="6AEA1F54" w:rsidR="00636A59" w:rsidRPr="00860381" w:rsidRDefault="00860381">
      <w:pPr>
        <w:snapToGrid w:val="0"/>
        <w:spacing w:after="120"/>
        <w:jc w:val="both"/>
        <w:rPr>
          <w:rFonts w:ascii="Times New Roman" w:hAnsi="Times New Roman"/>
          <w:lang w:val="en-US"/>
        </w:rPr>
      </w:pPr>
      <w:r w:rsidRPr="00860381">
        <w:rPr>
          <w:rFonts w:ascii="Times New Roman" w:eastAsia="MS PGothic" w:hAnsi="Times New Roman"/>
          <w:lang w:val="en-US"/>
        </w:rPr>
        <w:t xml:space="preserve">After the extraction at 180 °C, an ethanolic solution rich in polyphenols was obtained. The concentration </w:t>
      </w:r>
      <w:r w:rsidRPr="00860381">
        <w:rPr>
          <w:rFonts w:ascii="Times New Roman" w:eastAsia="MS PGothic" w:hAnsi="Times New Roman"/>
          <w:lang w:val="en-US"/>
        </w:rPr>
        <w:t>of</w:t>
      </w:r>
      <w:r w:rsidRPr="00860381">
        <w:rPr>
          <w:rFonts w:ascii="Times New Roman" w:eastAsia="MS PGothic" w:hAnsi="Times New Roman"/>
          <w:lang w:val="en-US"/>
        </w:rPr>
        <w:t xml:space="preserve"> total polyphenols </w:t>
      </w:r>
      <w:r w:rsidRPr="00860381">
        <w:rPr>
          <w:rFonts w:ascii="Times New Roman" w:eastAsia="MS PGothic" w:hAnsi="Times New Roman"/>
          <w:lang w:val="en-US"/>
        </w:rPr>
        <w:t>in the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HPTE extrac</w:t>
      </w:r>
      <w:r w:rsidRPr="00860381">
        <w:rPr>
          <w:rFonts w:ascii="Times New Roman" w:eastAsia="MS PGothic" w:hAnsi="Times New Roman"/>
          <w:lang w:val="en-US"/>
        </w:rPr>
        <w:t>t</w:t>
      </w:r>
      <w:r w:rsidRPr="00860381">
        <w:rPr>
          <w:rFonts w:ascii="Times New Roman" w:eastAsia="MS PGothic" w:hAnsi="Times New Roman"/>
          <w:lang w:val="en-US"/>
        </w:rPr>
        <w:t xml:space="preserve">, </w:t>
      </w:r>
      <w:r w:rsidRPr="00860381">
        <w:rPr>
          <w:rFonts w:ascii="Times New Roman" w:eastAsia="MS PGothic" w:hAnsi="Times New Roman"/>
          <w:lang w:val="en-US"/>
        </w:rPr>
        <w:t>expressed as caffeic acid equivalents (CAE) per unit volume,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w</w:t>
      </w:r>
      <w:r w:rsidRPr="00860381">
        <w:rPr>
          <w:rFonts w:ascii="Times New Roman" w:eastAsia="MS PGothic" w:hAnsi="Times New Roman"/>
          <w:lang w:val="en-US"/>
        </w:rPr>
        <w:t>as</w:t>
      </w:r>
      <w:r w:rsidRPr="00860381">
        <w:rPr>
          <w:rFonts w:ascii="Times New Roman" w:eastAsia="MS PGothic" w:hAnsi="Times New Roman"/>
          <w:lang w:val="en-US"/>
        </w:rPr>
        <w:t xml:space="preserve"> 19.2 </w:t>
      </w:r>
      <w:proofErr w:type="spellStart"/>
      <w:r w:rsidRPr="00860381">
        <w:rPr>
          <w:rFonts w:ascii="Times New Roman" w:eastAsia="MS PGothic" w:hAnsi="Times New Roman"/>
          <w:lang w:val="en-US"/>
        </w:rPr>
        <w:t>mg</w:t>
      </w:r>
      <w:r w:rsidRPr="00860381">
        <w:rPr>
          <w:rFonts w:ascii="Times New Roman" w:eastAsia="MS PGothic" w:hAnsi="Times New Roman"/>
          <w:vertAlign w:val="subscript"/>
          <w:lang w:val="en-US"/>
        </w:rPr>
        <w:t>CAE</w:t>
      </w:r>
      <w:proofErr w:type="spellEnd"/>
      <w:r w:rsidRPr="00860381">
        <w:rPr>
          <w:rFonts w:ascii="Times New Roman" w:eastAsia="MS PGothic" w:hAnsi="Times New Roman"/>
          <w:lang w:val="en-US"/>
        </w:rPr>
        <w:t>/</w:t>
      </w:r>
      <w:proofErr w:type="spellStart"/>
      <w:r w:rsidRPr="00860381">
        <w:rPr>
          <w:rFonts w:ascii="Times New Roman" w:eastAsia="MS PGothic" w:hAnsi="Times New Roman"/>
          <w:lang w:val="en-US"/>
        </w:rPr>
        <w:t>mL.</w:t>
      </w:r>
      <w:proofErr w:type="spellEnd"/>
      <w:r w:rsidRPr="00860381">
        <w:rPr>
          <w:rFonts w:ascii="Times New Roman" w:eastAsia="MS PGothic" w:hAnsi="Times New Roman"/>
          <w:lang w:val="en-US"/>
        </w:rPr>
        <w:t xml:space="preserve"> Concentrations of 3.59, 0.51, 0.23, 0.18 and 0.08 </w:t>
      </w:r>
      <w:proofErr w:type="spellStart"/>
      <w:r w:rsidRPr="00860381">
        <w:rPr>
          <w:rFonts w:ascii="Times New Roman" w:eastAsia="MS PGothic" w:hAnsi="Times New Roman"/>
          <w:lang w:val="en-US"/>
        </w:rPr>
        <w:t>mg</w:t>
      </w:r>
      <w:r w:rsidRPr="00860381">
        <w:rPr>
          <w:rFonts w:ascii="Times New Roman" w:eastAsia="MS PGothic" w:hAnsi="Times New Roman"/>
          <w:vertAlign w:val="subscript"/>
          <w:lang w:val="en-US"/>
        </w:rPr>
        <w:t>CAE</w:t>
      </w:r>
      <w:proofErr w:type="spellEnd"/>
      <w:r w:rsidRPr="00860381">
        <w:rPr>
          <w:rFonts w:ascii="Times New Roman" w:eastAsia="MS PGothic" w:hAnsi="Times New Roman"/>
          <w:lang w:val="en-US"/>
        </w:rPr>
        <w:t>/mL were foun</w:t>
      </w:r>
      <w:r w:rsidRPr="00860381">
        <w:rPr>
          <w:rFonts w:ascii="Times New Roman" w:eastAsia="MS PGothic" w:hAnsi="Times New Roman"/>
          <w:lang w:val="en-US"/>
        </w:rPr>
        <w:t xml:space="preserve">d by </w:t>
      </w:r>
      <w:r w:rsidRPr="00860381">
        <w:rPr>
          <w:rFonts w:ascii="Times New Roman" w:eastAsia="MS PGothic" w:hAnsi="Times New Roman"/>
          <w:lang w:val="en-US"/>
        </w:rPr>
        <w:t xml:space="preserve">High Performance </w:t>
      </w:r>
      <w:r w:rsidRPr="00860381">
        <w:rPr>
          <w:rFonts w:ascii="Times New Roman" w:eastAsia="MS PGothic" w:hAnsi="Times New Roman"/>
          <w:lang w:val="en-US"/>
        </w:rPr>
        <w:lastRenderedPageBreak/>
        <w:t>Liquid Chromatography</w:t>
      </w:r>
      <w:r w:rsidRPr="00860381">
        <w:rPr>
          <w:rFonts w:ascii="Times New Roman" w:eastAsia="MS PGothic" w:hAnsi="Times New Roman"/>
          <w:lang w:val="en-US"/>
        </w:rPr>
        <w:t xml:space="preserve"> (</w:t>
      </w:r>
      <w:r w:rsidRPr="00860381">
        <w:rPr>
          <w:rFonts w:ascii="Times New Roman" w:eastAsia="MS PGothic" w:hAnsi="Times New Roman"/>
          <w:lang w:val="en-US"/>
        </w:rPr>
        <w:t>HPLC</w:t>
      </w:r>
      <w:r>
        <w:rPr>
          <w:rFonts w:ascii="Times New Roman" w:eastAsia="MS PGothic" w:hAnsi="Times New Roman"/>
          <w:lang w:val="en-US"/>
        </w:rPr>
        <w:t>, model 1260, Agilent</w:t>
      </w:r>
      <w:r w:rsidRPr="00860381">
        <w:rPr>
          <w:rFonts w:ascii="Times New Roman" w:eastAsia="MS PGothic" w:hAnsi="Times New Roman"/>
          <w:lang w:val="en-US"/>
        </w:rPr>
        <w:t>)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 xml:space="preserve">for oleuropein, </w:t>
      </w:r>
      <w:proofErr w:type="spellStart"/>
      <w:r w:rsidRPr="00860381">
        <w:rPr>
          <w:rFonts w:ascii="Times New Roman" w:eastAsia="MS PGothic" w:hAnsi="Times New Roman"/>
          <w:lang w:val="en-US"/>
        </w:rPr>
        <w:t>tyrosol</w:t>
      </w:r>
      <w:proofErr w:type="spellEnd"/>
      <w:r w:rsidRPr="00860381">
        <w:rPr>
          <w:rFonts w:ascii="Times New Roman" w:eastAsia="MS PGothic" w:hAnsi="Times New Roman"/>
          <w:lang w:val="en-US"/>
        </w:rPr>
        <w:t xml:space="preserve">, caffeic acid, coumaric acid and apigenin, respectively. At the same time, OP anaerobic digestion led to </w:t>
      </w:r>
      <w:r w:rsidRPr="00860381">
        <w:rPr>
          <w:rFonts w:ascii="Times New Roman" w:eastAsia="MS PGothic" w:hAnsi="Times New Roman"/>
          <w:lang w:val="en-US"/>
        </w:rPr>
        <w:t>a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considerabl</w:t>
      </w:r>
      <w:r w:rsidRPr="00860381">
        <w:rPr>
          <w:rFonts w:ascii="Times New Roman" w:eastAsia="MS PGothic" w:hAnsi="Times New Roman"/>
          <w:lang w:val="en-US"/>
        </w:rPr>
        <w:t>e b</w:t>
      </w:r>
      <w:r w:rsidRPr="00860381">
        <w:rPr>
          <w:rFonts w:ascii="Times New Roman" w:eastAsia="MS PGothic" w:hAnsi="Times New Roman"/>
          <w:lang w:val="en-US"/>
        </w:rPr>
        <w:t xml:space="preserve">iogas production, </w:t>
      </w:r>
      <w:r w:rsidRPr="00860381">
        <w:rPr>
          <w:rFonts w:ascii="Times New Roman" w:eastAsia="MS PGothic" w:hAnsi="Times New Roman"/>
          <w:lang w:val="en-US"/>
        </w:rPr>
        <w:t>which achieved about</w:t>
      </w:r>
      <w:r w:rsidRPr="00860381">
        <w:rPr>
          <w:rFonts w:ascii="Times New Roman" w:eastAsia="MS PGothic" w:hAnsi="Times New Roman"/>
          <w:lang w:val="en-US"/>
        </w:rPr>
        <w:t xml:space="preserve"> 6.5 L </w:t>
      </w:r>
      <w:r w:rsidRPr="00860381">
        <w:rPr>
          <w:rFonts w:ascii="Times New Roman" w:eastAsia="MS PGothic" w:hAnsi="Times New Roman"/>
          <w:lang w:val="en-US"/>
        </w:rPr>
        <w:t>using 40 g of dr</w:t>
      </w:r>
      <w:r w:rsidRPr="00860381">
        <w:rPr>
          <w:rFonts w:ascii="Times New Roman" w:eastAsia="MS PGothic" w:hAnsi="Times New Roman"/>
          <w:lang w:val="en-US"/>
        </w:rPr>
        <w:t>y</w:t>
      </w:r>
      <w:r w:rsidRPr="00860381">
        <w:rPr>
          <w:rFonts w:ascii="Times New Roman" w:eastAsia="MS PGothic" w:hAnsi="Times New Roman"/>
          <w:lang w:val="en-US"/>
        </w:rPr>
        <w:t xml:space="preserve"> OP (Figure 1). </w:t>
      </w:r>
    </w:p>
    <w:p w14:paraId="3AC886FC" w14:textId="77777777" w:rsidR="00636A59" w:rsidRPr="00860381" w:rsidRDefault="00860381">
      <w:pPr>
        <w:snapToGrid w:val="0"/>
        <w:spacing w:before="240" w:line="300" w:lineRule="auto"/>
        <w:jc w:val="center"/>
        <w:rPr>
          <w:rFonts w:ascii="Times New Roman" w:hAnsi="Times New Roman"/>
          <w:lang w:val="en-US"/>
        </w:rPr>
      </w:pPr>
      <w:r w:rsidRPr="00860381">
        <w:rPr>
          <w:rFonts w:ascii="Times New Roman" w:hAnsi="Times New Roman"/>
          <w:noProof/>
          <w:lang w:val="en-US"/>
        </w:rPr>
        <w:drawing>
          <wp:inline distT="0" distB="0" distL="0" distR="0" wp14:anchorId="32C0D539" wp14:editId="2AC0C15A">
            <wp:extent cx="2820035" cy="1737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497" cy="1750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F3821" w14:textId="77777777" w:rsidR="00636A59" w:rsidRPr="00860381" w:rsidRDefault="00860381">
      <w:pPr>
        <w:snapToGrid w:val="0"/>
        <w:spacing w:before="240" w:line="30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860381">
        <w:rPr>
          <w:rFonts w:ascii="Times New Roman" w:hAnsi="Times New Roman"/>
          <w:b/>
          <w:bCs/>
          <w:sz w:val="18"/>
          <w:szCs w:val="18"/>
          <w:lang w:val="en-US"/>
        </w:rPr>
        <w:t>Figure 1.</w:t>
      </w:r>
      <w:r w:rsidRPr="00860381">
        <w:rPr>
          <w:rFonts w:ascii="Times New Roman" w:hAnsi="Times New Roman"/>
          <w:sz w:val="18"/>
          <w:szCs w:val="18"/>
          <w:lang w:val="en-US"/>
        </w:rPr>
        <w:t xml:space="preserve"> Biogas production</w:t>
      </w:r>
      <w:r w:rsidRPr="00860381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860381">
        <w:rPr>
          <w:rFonts w:ascii="Times New Roman" w:hAnsi="Times New Roman"/>
          <w:sz w:val="18"/>
          <w:szCs w:val="18"/>
          <w:lang w:val="en-US"/>
        </w:rPr>
        <w:t>obtained by</w:t>
      </w:r>
      <w:r w:rsidRPr="00860381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860381">
        <w:rPr>
          <w:rFonts w:ascii="Times New Roman" w:hAnsi="Times New Roman"/>
          <w:sz w:val="18"/>
          <w:szCs w:val="18"/>
          <w:lang w:val="en-US"/>
        </w:rPr>
        <w:t xml:space="preserve">feeding the anaerobic digester every three days with 10, 20 and 40 g of </w:t>
      </w:r>
      <w:r w:rsidRPr="00860381">
        <w:rPr>
          <w:rFonts w:ascii="Times New Roman" w:hAnsi="Times New Roman"/>
          <w:sz w:val="18"/>
          <w:szCs w:val="18"/>
          <w:lang w:val="en-US"/>
        </w:rPr>
        <w:t xml:space="preserve">dry </w:t>
      </w:r>
      <w:r w:rsidRPr="00860381">
        <w:rPr>
          <w:rFonts w:ascii="Times New Roman" w:hAnsi="Times New Roman"/>
          <w:sz w:val="18"/>
          <w:szCs w:val="18"/>
          <w:lang w:val="en-US"/>
        </w:rPr>
        <w:t>olive pomace.</w:t>
      </w:r>
    </w:p>
    <w:p w14:paraId="294927E0" w14:textId="5012E8F2" w:rsidR="00636A59" w:rsidRPr="00860381" w:rsidRDefault="00860381">
      <w:pPr>
        <w:snapToGrid w:val="0"/>
        <w:spacing w:before="240" w:line="300" w:lineRule="auto"/>
        <w:jc w:val="both"/>
        <w:rPr>
          <w:rFonts w:ascii="Times New Roman" w:hAnsi="Times New Roman"/>
          <w:lang w:val="en-US"/>
        </w:rPr>
      </w:pPr>
      <w:r w:rsidRPr="00860381">
        <w:rPr>
          <w:rFonts w:ascii="Times New Roman" w:hAnsi="Times New Roman"/>
          <w:lang w:val="en-US"/>
        </w:rPr>
        <w:t xml:space="preserve">The digestate </w:t>
      </w:r>
      <w:r w:rsidRPr="00860381">
        <w:rPr>
          <w:rFonts w:ascii="Times New Roman" w:hAnsi="Times New Roman"/>
          <w:lang w:val="en-US"/>
        </w:rPr>
        <w:t>result</w:t>
      </w:r>
      <w:r w:rsidRPr="00860381">
        <w:rPr>
          <w:rFonts w:ascii="Times New Roman" w:hAnsi="Times New Roman"/>
          <w:lang w:val="en-US"/>
        </w:rPr>
        <w:t>ing from</w:t>
      </w:r>
      <w:r w:rsidRPr="00860381">
        <w:rPr>
          <w:rFonts w:ascii="Times New Roman" w:hAnsi="Times New Roman"/>
          <w:lang w:val="en-US"/>
        </w:rPr>
        <w:t xml:space="preserve"> the anaerobic treatment was mixed with the Bold Basal Medium </w:t>
      </w:r>
      <w:r w:rsidRPr="00860381">
        <w:rPr>
          <w:rFonts w:ascii="Times New Roman" w:hAnsi="Times New Roman"/>
          <w:lang w:val="en-US"/>
        </w:rPr>
        <w:t>(25 and 50 %</w:t>
      </w:r>
      <w:r w:rsidRPr="00860381">
        <w:rPr>
          <w:rFonts w:ascii="Times New Roman" w:hAnsi="Times New Roman"/>
          <w:lang w:val="en-US"/>
        </w:rPr>
        <w:t xml:space="preserve"> v/v</w:t>
      </w:r>
      <w:r w:rsidRPr="00860381">
        <w:rPr>
          <w:rFonts w:ascii="Times New Roman" w:hAnsi="Times New Roman"/>
          <w:lang w:val="en-US"/>
        </w:rPr>
        <w:t>)</w:t>
      </w:r>
      <w:r w:rsidRPr="00860381">
        <w:rPr>
          <w:rFonts w:ascii="Times New Roman" w:hAnsi="Times New Roman"/>
          <w:lang w:val="en-US"/>
        </w:rPr>
        <w:t xml:space="preserve"> and used as medium </w:t>
      </w:r>
      <w:r w:rsidRPr="00860381">
        <w:rPr>
          <w:rFonts w:ascii="Times New Roman" w:hAnsi="Times New Roman"/>
          <w:lang w:val="en-US"/>
        </w:rPr>
        <w:t>to cultivate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i/>
          <w:iCs/>
          <w:lang w:val="en-US"/>
        </w:rPr>
        <w:t>C. vulgaris</w:t>
      </w:r>
      <w:r w:rsidRPr="00860381">
        <w:rPr>
          <w:rFonts w:ascii="Times New Roman" w:hAnsi="Times New Roman"/>
          <w:lang w:val="en-US"/>
        </w:rPr>
        <w:t xml:space="preserve"> in column photobioreactors.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Although the microalga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was able to</w:t>
      </w:r>
      <w:r w:rsidRPr="00860381">
        <w:rPr>
          <w:rFonts w:ascii="Times New Roman" w:hAnsi="Times New Roman"/>
          <w:lang w:val="en-US"/>
        </w:rPr>
        <w:t xml:space="preserve"> grow </w:t>
      </w:r>
      <w:r w:rsidRPr="00860381">
        <w:rPr>
          <w:rFonts w:ascii="Times New Roman" w:hAnsi="Times New Roman"/>
          <w:lang w:val="en-US"/>
        </w:rPr>
        <w:t xml:space="preserve">mixotrophically using </w:t>
      </w:r>
      <w:r w:rsidRPr="00860381">
        <w:rPr>
          <w:rFonts w:ascii="Times New Roman" w:hAnsi="Times New Roman"/>
          <w:lang w:val="en-US"/>
        </w:rPr>
        <w:t>both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organic compounds present in the wast</w:t>
      </w:r>
      <w:r w:rsidRPr="00860381">
        <w:rPr>
          <w:rFonts w:ascii="Times New Roman" w:hAnsi="Times New Roman"/>
          <w:lang w:val="en-US"/>
        </w:rPr>
        <w:t xml:space="preserve">e and carbon dioxide, </w:t>
      </w:r>
      <w:r w:rsidRPr="00860381">
        <w:rPr>
          <w:rFonts w:ascii="Times New Roman" w:hAnsi="Times New Roman"/>
          <w:lang w:val="en-US"/>
        </w:rPr>
        <w:t xml:space="preserve">its final concentrations, ranging from </w:t>
      </w:r>
      <w:r w:rsidRPr="00860381">
        <w:rPr>
          <w:rFonts w:ascii="Times New Roman" w:hAnsi="Times New Roman"/>
          <w:lang w:val="en-US"/>
        </w:rPr>
        <w:t>1.0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to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 xml:space="preserve">1.4 g of </w:t>
      </w:r>
      <w:r w:rsidRPr="00860381">
        <w:rPr>
          <w:rFonts w:ascii="Times New Roman" w:hAnsi="Times New Roman"/>
          <w:lang w:val="en-US"/>
        </w:rPr>
        <w:t>dr</w:t>
      </w:r>
      <w:r w:rsidRPr="00860381">
        <w:rPr>
          <w:rFonts w:ascii="Times New Roman" w:hAnsi="Times New Roman"/>
          <w:lang w:val="en-US"/>
        </w:rPr>
        <w:t>y</w:t>
      </w:r>
      <w:r w:rsidRPr="00860381">
        <w:rPr>
          <w:rFonts w:ascii="Times New Roman" w:hAnsi="Times New Roman"/>
          <w:lang w:val="en-US"/>
        </w:rPr>
        <w:t xml:space="preserve"> biomass per L of medium (</w:t>
      </w:r>
      <w:proofErr w:type="spellStart"/>
      <w:r w:rsidRPr="00860381">
        <w:rPr>
          <w:rFonts w:ascii="Times New Roman" w:hAnsi="Times New Roman"/>
          <w:lang w:val="en-US"/>
        </w:rPr>
        <w:t>g</w:t>
      </w:r>
      <w:r w:rsidRPr="00860381">
        <w:rPr>
          <w:rFonts w:ascii="Times New Roman" w:hAnsi="Times New Roman"/>
          <w:vertAlign w:val="subscript"/>
          <w:lang w:val="en-US"/>
        </w:rPr>
        <w:t>DB</w:t>
      </w:r>
      <w:proofErr w:type="spellEnd"/>
      <w:r w:rsidRPr="00860381">
        <w:rPr>
          <w:rFonts w:ascii="Times New Roman" w:hAnsi="Times New Roman"/>
          <w:lang w:val="en-US"/>
        </w:rPr>
        <w:t>/L)</w:t>
      </w:r>
      <w:r w:rsidRPr="00860381">
        <w:rPr>
          <w:rFonts w:ascii="Times New Roman" w:hAnsi="Times New Roman"/>
          <w:lang w:val="en-US"/>
        </w:rPr>
        <w:t>,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were</w:t>
      </w:r>
      <w:r w:rsidRPr="00860381">
        <w:rPr>
          <w:rFonts w:ascii="Times New Roman" w:hAnsi="Times New Roman"/>
          <w:lang w:val="en-US"/>
        </w:rPr>
        <w:t xml:space="preserve"> quite low</w:t>
      </w:r>
      <w:r w:rsidRPr="00860381">
        <w:rPr>
          <w:rFonts w:ascii="Times New Roman" w:hAnsi="Times New Roman"/>
          <w:lang w:val="en-US"/>
        </w:rPr>
        <w:t>er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than those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achieved in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 xml:space="preserve">the control runs </w:t>
      </w:r>
      <w:r w:rsidRPr="00860381">
        <w:rPr>
          <w:rFonts w:ascii="Times New Roman" w:hAnsi="Times New Roman"/>
          <w:lang w:val="en-US"/>
        </w:rPr>
        <w:t>(</w:t>
      </w:r>
      <w:r w:rsidRPr="00860381">
        <w:rPr>
          <w:rFonts w:ascii="Times New Roman" w:hAnsi="Times New Roman"/>
          <w:lang w:val="en-US"/>
        </w:rPr>
        <w:t xml:space="preserve">2.0 </w:t>
      </w:r>
      <w:proofErr w:type="spellStart"/>
      <w:r w:rsidRPr="00860381">
        <w:rPr>
          <w:rFonts w:ascii="Times New Roman" w:hAnsi="Times New Roman"/>
          <w:lang w:val="en-US"/>
        </w:rPr>
        <w:t>g</w:t>
      </w:r>
      <w:r w:rsidRPr="00860381">
        <w:rPr>
          <w:rFonts w:ascii="Times New Roman" w:hAnsi="Times New Roman"/>
          <w:vertAlign w:val="subscript"/>
          <w:lang w:val="en-US"/>
        </w:rPr>
        <w:t>DB</w:t>
      </w:r>
      <w:proofErr w:type="spellEnd"/>
      <w:r w:rsidRPr="00860381">
        <w:rPr>
          <w:rFonts w:ascii="Times New Roman" w:hAnsi="Times New Roman"/>
          <w:lang w:val="en-US"/>
        </w:rPr>
        <w:t xml:space="preserve">/L). A possible </w:t>
      </w:r>
      <w:r w:rsidRPr="00860381">
        <w:rPr>
          <w:rFonts w:ascii="Times New Roman" w:hAnsi="Times New Roman"/>
          <w:lang w:val="en-US"/>
        </w:rPr>
        <w:t>negative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influence of the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digestate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 xml:space="preserve">on the growth of the microalga </w:t>
      </w:r>
      <w:r w:rsidRPr="00860381">
        <w:rPr>
          <w:rFonts w:ascii="Times New Roman" w:hAnsi="Times New Roman"/>
          <w:lang w:val="en-US"/>
        </w:rPr>
        <w:t>can be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supposed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because</w:t>
      </w:r>
      <w:r w:rsidRPr="00860381">
        <w:rPr>
          <w:rFonts w:ascii="Times New Roman" w:hAnsi="Times New Roman"/>
          <w:lang w:val="en-US"/>
        </w:rPr>
        <w:t xml:space="preserve"> the digestate </w:t>
      </w:r>
      <w:r w:rsidRPr="00860381">
        <w:rPr>
          <w:rFonts w:ascii="Times New Roman" w:hAnsi="Times New Roman"/>
          <w:lang w:val="en-US"/>
        </w:rPr>
        <w:t>can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preven</w:t>
      </w:r>
      <w:r w:rsidRPr="00860381">
        <w:rPr>
          <w:rFonts w:ascii="Times New Roman" w:hAnsi="Times New Roman"/>
          <w:lang w:val="en-US"/>
        </w:rPr>
        <w:t>t</w:t>
      </w:r>
      <w:r w:rsidRPr="00860381">
        <w:rPr>
          <w:rFonts w:ascii="Times New Roman" w:hAnsi="Times New Roman"/>
          <w:lang w:val="en-US"/>
        </w:rPr>
        <w:t xml:space="preserve"> light from deeply entering the culture medium. </w:t>
      </w:r>
      <w:r w:rsidRPr="00860381">
        <w:rPr>
          <w:rFonts w:ascii="Times New Roman" w:hAnsi="Times New Roman"/>
          <w:lang w:val="en-US"/>
        </w:rPr>
        <w:t xml:space="preserve">In addition, </w:t>
      </w:r>
      <w:proofErr w:type="spellStart"/>
      <w:r w:rsidRPr="00860381">
        <w:rPr>
          <w:rFonts w:ascii="Times New Roman" w:hAnsi="Times New Roman"/>
          <w:lang w:val="en-US"/>
        </w:rPr>
        <w:t>Merchuk</w:t>
      </w:r>
      <w:proofErr w:type="spellEnd"/>
      <w:r w:rsidRPr="00860381">
        <w:rPr>
          <w:rFonts w:ascii="Times New Roman" w:hAnsi="Times New Roman"/>
          <w:lang w:val="en-US"/>
        </w:rPr>
        <w:t xml:space="preserve"> and W</w:t>
      </w:r>
      <w:r w:rsidRPr="00860381">
        <w:rPr>
          <w:rFonts w:ascii="Times New Roman" w:hAnsi="Times New Roman"/>
          <w:lang w:val="en-US"/>
        </w:rPr>
        <w:t>u [</w:t>
      </w:r>
      <w:r w:rsidRPr="00860381">
        <w:rPr>
          <w:rFonts w:ascii="Times New Roman" w:hAnsi="Times New Roman"/>
          <w:lang w:val="en-US"/>
        </w:rPr>
        <w:t xml:space="preserve">8], after applying </w:t>
      </w:r>
      <w:r w:rsidRPr="00860381">
        <w:rPr>
          <w:rFonts w:ascii="Times New Roman" w:hAnsi="Times New Roman"/>
          <w:lang w:val="en-US"/>
        </w:rPr>
        <w:t>a</w:t>
      </w:r>
      <w:r w:rsidRPr="00860381">
        <w:rPr>
          <w:rFonts w:ascii="Times New Roman" w:hAnsi="Times New Roman"/>
          <w:lang w:val="en-US"/>
        </w:rPr>
        <w:t xml:space="preserve"> three-stage structured model integrating photosynthesis and photoinhibitio</w:t>
      </w:r>
      <w:r w:rsidRPr="00860381">
        <w:rPr>
          <w:rFonts w:ascii="Times New Roman" w:hAnsi="Times New Roman"/>
          <w:lang w:val="en-US"/>
        </w:rPr>
        <w:t xml:space="preserve">n to a column </w:t>
      </w:r>
      <w:r w:rsidRPr="00860381">
        <w:rPr>
          <w:rFonts w:ascii="Times New Roman" w:hAnsi="Times New Roman"/>
          <w:lang w:val="en-US"/>
        </w:rPr>
        <w:t>photobioreactor</w:t>
      </w:r>
      <w:r w:rsidRPr="00860381">
        <w:rPr>
          <w:rFonts w:ascii="Times New Roman" w:hAnsi="Times New Roman"/>
          <w:lang w:val="en-US"/>
        </w:rPr>
        <w:t>, demonstrated that cell productivity (</w:t>
      </w:r>
      <w:proofErr w:type="spellStart"/>
      <w:r w:rsidRPr="00860381">
        <w:rPr>
          <w:rFonts w:ascii="Times New Roman" w:hAnsi="Times New Roman"/>
          <w:i/>
          <w:iCs/>
          <w:lang w:val="en-US"/>
        </w:rPr>
        <w:t>ν</w:t>
      </w:r>
      <w:r w:rsidRPr="00860381">
        <w:rPr>
          <w:rFonts w:ascii="Times New Roman" w:hAnsi="Times New Roman"/>
          <w:i/>
          <w:iCs/>
          <w:vertAlign w:val="subscript"/>
          <w:lang w:val="en-US"/>
        </w:rPr>
        <w:t>DB</w:t>
      </w:r>
      <w:proofErr w:type="spellEnd"/>
      <w:r w:rsidRPr="00860381">
        <w:rPr>
          <w:rFonts w:ascii="Times New Roman" w:hAnsi="Times New Roman"/>
          <w:lang w:val="en-US"/>
        </w:rPr>
        <w:t>), defined as the biomass produced per uni</w:t>
      </w:r>
      <w:r w:rsidRPr="00860381">
        <w:rPr>
          <w:rFonts w:ascii="Times New Roman" w:hAnsi="Times New Roman"/>
          <w:lang w:val="en-US"/>
        </w:rPr>
        <w:t>t t</w:t>
      </w:r>
      <w:r w:rsidRPr="00860381">
        <w:rPr>
          <w:rFonts w:ascii="Times New Roman" w:hAnsi="Times New Roman"/>
          <w:lang w:val="en-US"/>
        </w:rPr>
        <w:t>ime and surface, is related to: the height of the column (</w:t>
      </w:r>
      <w:r w:rsidRPr="00860381">
        <w:rPr>
          <w:rFonts w:ascii="Times New Roman" w:hAnsi="Times New Roman"/>
          <w:i/>
          <w:iCs/>
          <w:lang w:val="en-US"/>
        </w:rPr>
        <w:t>H</w:t>
      </w:r>
      <w:r w:rsidRPr="00860381">
        <w:rPr>
          <w:rFonts w:ascii="Times New Roman" w:hAnsi="Times New Roman"/>
          <w:lang w:val="en-US"/>
        </w:rPr>
        <w:t>), the distance between adjacent column installations (</w:t>
      </w:r>
      <w:r w:rsidRPr="00860381">
        <w:rPr>
          <w:rFonts w:ascii="Times New Roman" w:hAnsi="Times New Roman"/>
          <w:i/>
          <w:iCs/>
          <w:lang w:val="en-US"/>
        </w:rPr>
        <w:t>d</w:t>
      </w:r>
      <w:r w:rsidRPr="00860381">
        <w:rPr>
          <w:rFonts w:ascii="Times New Roman" w:hAnsi="Times New Roman"/>
          <w:lang w:val="en-US"/>
        </w:rPr>
        <w:t xml:space="preserve">), the column </w:t>
      </w:r>
      <w:r w:rsidRPr="00860381">
        <w:rPr>
          <w:rFonts w:ascii="Times New Roman" w:hAnsi="Times New Roman"/>
          <w:lang w:val="en-US"/>
        </w:rPr>
        <w:t>diameter (</w:t>
      </w:r>
      <w:r w:rsidRPr="00860381">
        <w:rPr>
          <w:rFonts w:ascii="Times New Roman" w:hAnsi="Times New Roman"/>
          <w:i/>
          <w:iCs/>
          <w:lang w:val="en-US"/>
        </w:rPr>
        <w:t>D</w:t>
      </w:r>
      <w:r w:rsidRPr="00860381">
        <w:rPr>
          <w:rFonts w:ascii="Times New Roman" w:hAnsi="Times New Roman"/>
          <w:i/>
          <w:iCs/>
          <w:vertAlign w:val="subscript"/>
          <w:lang w:val="en-US"/>
        </w:rPr>
        <w:t>c</w:t>
      </w:r>
      <w:r w:rsidRPr="00860381">
        <w:rPr>
          <w:rFonts w:ascii="Times New Roman" w:hAnsi="Times New Roman"/>
          <w:lang w:val="en-US"/>
        </w:rPr>
        <w:t>), the biomass concentration at the beginning (</w:t>
      </w:r>
      <w:r w:rsidRPr="00860381">
        <w:rPr>
          <w:rFonts w:ascii="Times New Roman" w:hAnsi="Times New Roman"/>
          <w:i/>
          <w:iCs/>
          <w:lang w:val="en-US"/>
        </w:rPr>
        <w:t>X</w:t>
      </w:r>
      <w:r w:rsidRPr="00860381">
        <w:rPr>
          <w:rFonts w:ascii="Times New Roman" w:hAnsi="Times New Roman"/>
          <w:i/>
          <w:iCs/>
          <w:vertAlign w:val="subscript"/>
          <w:lang w:val="en-US"/>
        </w:rPr>
        <w:t>0</w:t>
      </w:r>
      <w:r w:rsidRPr="00860381">
        <w:rPr>
          <w:rFonts w:ascii="Times New Roman" w:hAnsi="Times New Roman"/>
          <w:lang w:val="en-US"/>
        </w:rPr>
        <w:t>) and at the end of the growth (</w:t>
      </w:r>
      <w:proofErr w:type="spellStart"/>
      <w:r w:rsidRPr="00860381">
        <w:rPr>
          <w:rFonts w:ascii="Times New Roman" w:hAnsi="Times New Roman"/>
          <w:i/>
          <w:iCs/>
          <w:lang w:val="en-US"/>
        </w:rPr>
        <w:t>X</w:t>
      </w:r>
      <w:r w:rsidRPr="00860381">
        <w:rPr>
          <w:rFonts w:ascii="Times New Roman" w:hAnsi="Times New Roman"/>
          <w:i/>
          <w:iCs/>
          <w:vertAlign w:val="subscript"/>
          <w:lang w:val="en-US"/>
        </w:rPr>
        <w:t>f</w:t>
      </w:r>
      <w:proofErr w:type="spellEnd"/>
      <w:r w:rsidRPr="00860381">
        <w:rPr>
          <w:rFonts w:ascii="Times New Roman" w:hAnsi="Times New Roman"/>
          <w:lang w:val="en-US"/>
        </w:rPr>
        <w:t>) (Eq. 1).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860381" w:rsidRPr="00860381" w14:paraId="71B24239" w14:textId="77777777">
        <w:tc>
          <w:tcPr>
            <w:tcW w:w="4463" w:type="dxa"/>
          </w:tcPr>
          <w:p w14:paraId="726D79C3" w14:textId="77777777" w:rsidR="00636A59" w:rsidRPr="00860381" w:rsidRDefault="0086038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DB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4464" w:type="dxa"/>
          </w:tcPr>
          <w:p w14:paraId="737F321C" w14:textId="77777777" w:rsidR="00636A59" w:rsidRPr="00860381" w:rsidRDefault="00860381">
            <w:pPr>
              <w:snapToGrid w:val="0"/>
              <w:spacing w:before="240" w:after="0" w:line="30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381">
              <w:rPr>
                <w:rFonts w:ascii="Times New Roman" w:hAnsi="Times New Roman"/>
                <w:lang w:val="en-US"/>
              </w:rPr>
              <w:t xml:space="preserve">                                          </w:t>
            </w:r>
            <w:r w:rsidRPr="008603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Eq.</w:t>
            </w:r>
            <w:r w:rsidRPr="008603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603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</w:tbl>
    <w:p w14:paraId="5EA36DD4" w14:textId="77777777" w:rsidR="00636A59" w:rsidRPr="00860381" w:rsidRDefault="00860381">
      <w:pPr>
        <w:snapToGrid w:val="0"/>
        <w:spacing w:before="240" w:line="300" w:lineRule="auto"/>
        <w:jc w:val="both"/>
        <w:rPr>
          <w:rFonts w:ascii="Times New Roman" w:hAnsi="Times New Roman"/>
          <w:lang w:val="en-US"/>
        </w:rPr>
      </w:pPr>
      <w:r w:rsidRPr="00860381">
        <w:rPr>
          <w:rFonts w:ascii="Times New Roman" w:hAnsi="Times New Roman"/>
          <w:lang w:val="en-US"/>
        </w:rPr>
        <w:t xml:space="preserve">As </w:t>
      </w:r>
      <w:r w:rsidRPr="00860381">
        <w:rPr>
          <w:rFonts w:ascii="Times New Roman" w:hAnsi="Times New Roman"/>
          <w:lang w:val="en-US"/>
        </w:rPr>
        <w:t>for</w:t>
      </w:r>
      <w:r w:rsidRPr="00860381">
        <w:rPr>
          <w:rFonts w:ascii="Times New Roman" w:hAnsi="Times New Roman"/>
          <w:lang w:val="en-US"/>
        </w:rPr>
        <w:t xml:space="preserve"> the COD, the results showed a</w:t>
      </w:r>
      <w:r w:rsidRPr="00860381">
        <w:rPr>
          <w:rFonts w:ascii="Times New Roman" w:hAnsi="Times New Roman"/>
          <w:lang w:val="en-US"/>
        </w:rPr>
        <w:t xml:space="preserve"> </w:t>
      </w:r>
      <w:r w:rsidRPr="00860381">
        <w:rPr>
          <w:rFonts w:ascii="Times New Roman" w:hAnsi="Times New Roman"/>
          <w:lang w:val="en-US"/>
        </w:rPr>
        <w:t>significant</w:t>
      </w:r>
      <w:r w:rsidRPr="00860381">
        <w:rPr>
          <w:rFonts w:ascii="Times New Roman" w:hAnsi="Times New Roman"/>
          <w:lang w:val="en-US"/>
        </w:rPr>
        <w:t xml:space="preserve"> reduction in this parameter over time. In fact, after 20 days the COD decreased from 1500 and 750 mg</w:t>
      </w:r>
      <w:r w:rsidRPr="00860381">
        <w:rPr>
          <w:rFonts w:ascii="Times New Roman" w:hAnsi="Times New Roman"/>
          <w:vertAlign w:val="subscript"/>
          <w:lang w:val="en-US"/>
        </w:rPr>
        <w:t>O2</w:t>
      </w:r>
      <w:r w:rsidRPr="00860381">
        <w:rPr>
          <w:rFonts w:ascii="Times New Roman" w:hAnsi="Times New Roman"/>
          <w:lang w:val="en-US"/>
        </w:rPr>
        <w:t>/L in the photobioreactors containing 50% and 25% v/v of digestate to final values of 477 and 269 mg</w:t>
      </w:r>
      <w:r w:rsidRPr="00860381">
        <w:rPr>
          <w:rFonts w:ascii="Times New Roman" w:hAnsi="Times New Roman"/>
          <w:vertAlign w:val="subscript"/>
          <w:lang w:val="en-US"/>
        </w:rPr>
        <w:t>O2</w:t>
      </w:r>
      <w:r w:rsidRPr="00860381">
        <w:rPr>
          <w:rFonts w:ascii="Times New Roman" w:hAnsi="Times New Roman"/>
          <w:lang w:val="en-US"/>
        </w:rPr>
        <w:t>/L, respectively.</w:t>
      </w:r>
    </w:p>
    <w:p w14:paraId="3EB95839" w14:textId="77777777" w:rsidR="00636A59" w:rsidRPr="00860381" w:rsidRDefault="00860381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860381">
        <w:rPr>
          <w:rFonts w:ascii="Times New Roman" w:eastAsia="MS PGothic" w:hAnsi="Times New Roman"/>
          <w:b/>
          <w:bCs/>
          <w:lang w:val="en-US"/>
        </w:rPr>
        <w:t>Conclusion</w:t>
      </w:r>
      <w:r w:rsidRPr="00860381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677A665C" w14:textId="77777777" w:rsidR="00636A59" w:rsidRPr="00860381" w:rsidRDefault="00860381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60381">
        <w:rPr>
          <w:rFonts w:ascii="Times New Roman" w:eastAsia="MS PGothic" w:hAnsi="Times New Roman"/>
          <w:lang w:val="en-US"/>
        </w:rPr>
        <w:t>Olive pomace can be s</w:t>
      </w:r>
      <w:r w:rsidRPr="00860381">
        <w:rPr>
          <w:rFonts w:ascii="Times New Roman" w:eastAsia="MS PGothic" w:hAnsi="Times New Roman"/>
          <w:lang w:val="en-US"/>
        </w:rPr>
        <w:t>uccessfully used for the recovery of high added value compounds and for the production of biogas by anaerobic digestion. Moreover, the digestate can b</w:t>
      </w:r>
      <w:r w:rsidRPr="00860381">
        <w:rPr>
          <w:rFonts w:ascii="Times New Roman" w:eastAsia="MS PGothic" w:hAnsi="Times New Roman"/>
          <w:lang w:val="en-US"/>
        </w:rPr>
        <w:t>e f</w:t>
      </w:r>
      <w:r w:rsidRPr="00860381">
        <w:rPr>
          <w:rFonts w:ascii="Times New Roman" w:eastAsia="MS PGothic" w:hAnsi="Times New Roman"/>
          <w:lang w:val="en-US"/>
        </w:rPr>
        <w:t>urther treated using microalgae, obtaining a waste with a less environmental impact an</w:t>
      </w:r>
      <w:r w:rsidRPr="00860381">
        <w:rPr>
          <w:rFonts w:ascii="Times New Roman" w:eastAsia="MS PGothic" w:hAnsi="Times New Roman"/>
          <w:lang w:val="en-US"/>
        </w:rPr>
        <w:t>d</w:t>
      </w:r>
      <w:r w:rsidRPr="00860381">
        <w:rPr>
          <w:rFonts w:ascii="Times New Roman" w:eastAsia="MS PGothic" w:hAnsi="Times New Roman"/>
          <w:lang w:val="en-US"/>
        </w:rPr>
        <w:t xml:space="preserve"> </w:t>
      </w:r>
      <w:r w:rsidRPr="00860381">
        <w:rPr>
          <w:rFonts w:ascii="Times New Roman" w:eastAsia="MS PGothic" w:hAnsi="Times New Roman"/>
          <w:lang w:val="en-US"/>
        </w:rPr>
        <w:t>h</w:t>
      </w:r>
      <w:r w:rsidRPr="00860381">
        <w:rPr>
          <w:rFonts w:ascii="Times New Roman" w:eastAsia="MS PGothic" w:hAnsi="Times New Roman"/>
          <w:lang w:val="en-US"/>
        </w:rPr>
        <w:t>igh added valu</w:t>
      </w:r>
      <w:r w:rsidRPr="00860381">
        <w:rPr>
          <w:rFonts w:ascii="Times New Roman" w:eastAsia="MS PGothic" w:hAnsi="Times New Roman"/>
          <w:lang w:val="en-US"/>
        </w:rPr>
        <w:t>e biomass.</w:t>
      </w:r>
    </w:p>
    <w:p w14:paraId="5DB5C797" w14:textId="77777777" w:rsidR="00636A59" w:rsidRPr="00860381" w:rsidRDefault="00860381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860381">
        <w:rPr>
          <w:rFonts w:ascii="Times New Roman" w:eastAsia="MS PGothic" w:hAnsi="Times New Roman"/>
          <w:b/>
          <w:bCs/>
          <w:lang w:val="en-US"/>
        </w:rPr>
        <w:t>References</w:t>
      </w:r>
    </w:p>
    <w:p w14:paraId="21B6C27A" w14:textId="77777777" w:rsidR="00636A59" w:rsidRDefault="0086038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</w:pPr>
      <w:r>
        <w:t xml:space="preserve">M. </w:t>
      </w:r>
      <w:proofErr w:type="spellStart"/>
      <w:r>
        <w:t>Smol</w:t>
      </w:r>
      <w:proofErr w:type="spellEnd"/>
      <w:r>
        <w:t xml:space="preserve">, P. </w:t>
      </w:r>
      <w:proofErr w:type="spellStart"/>
      <w:r>
        <w:t>Marcinek</w:t>
      </w:r>
      <w:proofErr w:type="spellEnd"/>
      <w:r>
        <w:t xml:space="preserve">, J </w:t>
      </w:r>
      <w:proofErr w:type="spellStart"/>
      <w:r>
        <w:t>Duda</w:t>
      </w:r>
      <w:proofErr w:type="spellEnd"/>
      <w:r>
        <w:t xml:space="preserve">, D. </w:t>
      </w:r>
      <w:proofErr w:type="spellStart"/>
      <w:r>
        <w:t>Szołdrowska</w:t>
      </w:r>
      <w:proofErr w:type="spellEnd"/>
      <w:r>
        <w:t>, Resources. 9 (2020), 5.</w:t>
      </w:r>
    </w:p>
    <w:p w14:paraId="7B4F74E5" w14:textId="77777777" w:rsidR="00636A59" w:rsidRDefault="0086038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B. </w:t>
      </w:r>
      <w:proofErr w:type="spellStart"/>
      <w:r>
        <w:rPr>
          <w:lang w:val="it-IT"/>
        </w:rPr>
        <w:t>Aliakbarian</w:t>
      </w:r>
      <w:proofErr w:type="spellEnd"/>
      <w:r>
        <w:rPr>
          <w:lang w:val="it-IT"/>
        </w:rPr>
        <w:t xml:space="preserve">, A.A. Casazza, P. Perego, Food </w:t>
      </w:r>
      <w:proofErr w:type="spellStart"/>
      <w:r>
        <w:rPr>
          <w:lang w:val="it-IT"/>
        </w:rPr>
        <w:t>Chem</w:t>
      </w:r>
      <w:proofErr w:type="spellEnd"/>
      <w:r>
        <w:rPr>
          <w:lang w:val="it-IT"/>
        </w:rPr>
        <w:t>. 128 (2011), 704-710.</w:t>
      </w:r>
    </w:p>
    <w:p w14:paraId="32446656" w14:textId="77777777" w:rsidR="00636A59" w:rsidRDefault="0086038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</w:pPr>
      <w:r>
        <w:rPr>
          <w:lang w:val="it-IT"/>
        </w:rPr>
        <w:t xml:space="preserve">IOC, </w:t>
      </w:r>
      <w:r>
        <w:rPr>
          <w:lang w:val="it-IT"/>
        </w:rPr>
        <w:t>https://www.internationaloliveoil.org/worlds-olive-oil-production-has-tripled/. 01/04/</w:t>
      </w:r>
      <w:r>
        <w:t>2021.</w:t>
      </w:r>
    </w:p>
    <w:p w14:paraId="0516AF83" w14:textId="77777777" w:rsidR="00636A59" w:rsidRDefault="0086038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A.A. Casazza, B. </w:t>
      </w:r>
      <w:proofErr w:type="spellStart"/>
      <w:r>
        <w:rPr>
          <w:lang w:val="it-IT"/>
        </w:rPr>
        <w:t>Aliakbarian</w:t>
      </w:r>
      <w:proofErr w:type="spellEnd"/>
      <w:r>
        <w:rPr>
          <w:lang w:val="it-IT"/>
        </w:rPr>
        <w:t xml:space="preserve">, S. Mantegna, G. </w:t>
      </w:r>
      <w:proofErr w:type="spellStart"/>
      <w:r>
        <w:rPr>
          <w:lang w:val="it-IT"/>
        </w:rPr>
        <w:t>Cravotto</w:t>
      </w:r>
      <w:proofErr w:type="spellEnd"/>
      <w:r>
        <w:rPr>
          <w:lang w:val="it-IT"/>
        </w:rPr>
        <w:t>, P. Perego, J. Food Eng. (2010), 100, 50-55.</w:t>
      </w:r>
    </w:p>
    <w:p w14:paraId="5257E5E4" w14:textId="77777777" w:rsidR="00636A59" w:rsidRDefault="0086038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A.A. Casazza, M. Pettinato, P. Perego, Sep. </w:t>
      </w:r>
      <w:proofErr w:type="spellStart"/>
      <w:r>
        <w:rPr>
          <w:lang w:val="it-IT"/>
        </w:rPr>
        <w:t>Purif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Technol</w:t>
      </w:r>
      <w:proofErr w:type="spellEnd"/>
      <w:r>
        <w:rPr>
          <w:lang w:val="it-IT"/>
        </w:rPr>
        <w:t>. (202</w:t>
      </w:r>
      <w:r>
        <w:rPr>
          <w:lang w:val="it-IT"/>
        </w:rPr>
        <w:t>0), 240, 116640.</w:t>
      </w:r>
    </w:p>
    <w:p w14:paraId="111B499A" w14:textId="77777777" w:rsidR="00636A59" w:rsidRDefault="0086038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E. Spennati, S. </w:t>
      </w:r>
      <w:proofErr w:type="spellStart"/>
      <w:r>
        <w:rPr>
          <w:lang w:val="it-IT"/>
        </w:rPr>
        <w:t>Mirizadeh</w:t>
      </w:r>
      <w:proofErr w:type="spellEnd"/>
      <w:r>
        <w:rPr>
          <w:lang w:val="it-IT"/>
        </w:rPr>
        <w:t xml:space="preserve">, A.A. Casazza, C. </w:t>
      </w:r>
      <w:proofErr w:type="spellStart"/>
      <w:r>
        <w:rPr>
          <w:lang w:val="it-IT"/>
        </w:rPr>
        <w:t>Solisio</w:t>
      </w:r>
      <w:proofErr w:type="spellEnd"/>
      <w:r>
        <w:rPr>
          <w:lang w:val="it-IT"/>
        </w:rPr>
        <w:t xml:space="preserve">, A. Converti, </w:t>
      </w:r>
      <w:proofErr w:type="spellStart"/>
      <w:r>
        <w:rPr>
          <w:lang w:val="it-IT"/>
        </w:rPr>
        <w:t>Algal</w:t>
      </w:r>
      <w:proofErr w:type="spellEnd"/>
      <w:r>
        <w:rPr>
          <w:lang w:val="it-IT"/>
        </w:rPr>
        <w:t xml:space="preserve"> Res. (2021), 60, 102519.</w:t>
      </w:r>
    </w:p>
    <w:p w14:paraId="5EE35064" w14:textId="77777777" w:rsidR="00636A59" w:rsidRDefault="0086038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A. Converti, A.A. Casazza, E.J. Ortiz, P. Perego, M. Del Borghi, </w:t>
      </w:r>
      <w:proofErr w:type="spellStart"/>
      <w:r>
        <w:rPr>
          <w:lang w:val="it-IT"/>
        </w:rPr>
        <w:t>Chem</w:t>
      </w:r>
      <w:proofErr w:type="spellEnd"/>
      <w:r>
        <w:rPr>
          <w:lang w:val="it-IT"/>
        </w:rPr>
        <w:t xml:space="preserve">. Eng. </w:t>
      </w:r>
      <w:proofErr w:type="spellStart"/>
      <w:r>
        <w:rPr>
          <w:lang w:val="it-IT"/>
        </w:rPr>
        <w:t>Process</w:t>
      </w:r>
      <w:proofErr w:type="spellEnd"/>
      <w:r>
        <w:rPr>
          <w:lang w:val="it-IT"/>
        </w:rPr>
        <w:t>. (2009), 48, 1146-1151.</w:t>
      </w:r>
    </w:p>
    <w:p w14:paraId="518FF60D" w14:textId="77777777" w:rsidR="00636A59" w:rsidRDefault="0086038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J. </w:t>
      </w:r>
      <w:proofErr w:type="spellStart"/>
      <w:r>
        <w:rPr>
          <w:lang w:val="it-IT"/>
        </w:rPr>
        <w:t>Merchuk</w:t>
      </w:r>
      <w:proofErr w:type="spellEnd"/>
      <w:r>
        <w:rPr>
          <w:lang w:val="it-IT"/>
        </w:rPr>
        <w:t xml:space="preserve">, X. </w:t>
      </w:r>
      <w:proofErr w:type="spellStart"/>
      <w:r>
        <w:rPr>
          <w:lang w:val="it-IT"/>
        </w:rPr>
        <w:t>Wu</w:t>
      </w:r>
      <w:proofErr w:type="spellEnd"/>
      <w:r>
        <w:rPr>
          <w:lang w:val="it-IT"/>
        </w:rPr>
        <w:t xml:space="preserve">, J. </w:t>
      </w:r>
      <w:proofErr w:type="spellStart"/>
      <w:r>
        <w:rPr>
          <w:lang w:val="it-IT"/>
        </w:rPr>
        <w:t>Appl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Phycol</w:t>
      </w:r>
      <w:proofErr w:type="spellEnd"/>
      <w:r>
        <w:rPr>
          <w:lang w:val="it-IT"/>
        </w:rPr>
        <w:t>. (2003), 15, 163-170.</w:t>
      </w:r>
    </w:p>
    <w:sectPr w:rsidR="00636A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F73C" w14:textId="77777777" w:rsidR="00636A59" w:rsidRDefault="00860381">
      <w:pPr>
        <w:spacing w:line="240" w:lineRule="auto"/>
      </w:pPr>
      <w:r>
        <w:separator/>
      </w:r>
    </w:p>
  </w:endnote>
  <w:endnote w:type="continuationSeparator" w:id="0">
    <w:p w14:paraId="4E3EA3A5" w14:textId="77777777" w:rsidR="00636A59" w:rsidRDefault="0086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7BF" w14:textId="77777777" w:rsidR="00636A59" w:rsidRDefault="0063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E2E5" w14:textId="77777777" w:rsidR="00636A59" w:rsidRDefault="00636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FCF3" w14:textId="77777777" w:rsidR="00636A59" w:rsidRDefault="00636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2BEA" w14:textId="77777777" w:rsidR="00636A59" w:rsidRDefault="00860381">
      <w:pPr>
        <w:spacing w:after="0"/>
      </w:pPr>
      <w:r>
        <w:separator/>
      </w:r>
    </w:p>
  </w:footnote>
  <w:footnote w:type="continuationSeparator" w:id="0">
    <w:p w14:paraId="624E8C51" w14:textId="77777777" w:rsidR="00636A59" w:rsidRDefault="008603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1383" w14:textId="77777777" w:rsidR="00636A59" w:rsidRDefault="00636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C258" w14:textId="77777777" w:rsidR="00636A59" w:rsidRDefault="00860381">
    <w:pPr>
      <w:pStyle w:val="Header"/>
      <w:jc w:val="center"/>
    </w:pPr>
    <w:r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>
      <w:rPr>
        <w:b/>
        <w:i/>
        <w:color w:val="2E74B5" w:themeColor="accent5" w:themeShade="BF"/>
        <w:sz w:val="24"/>
        <w:szCs w:val="24"/>
      </w:rPr>
      <w:t>Italy</w:t>
    </w:r>
    <w:proofErr w:type="spellEnd"/>
    <w:r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>
      <w:rPr>
        <w:b/>
        <w:i/>
        <w:color w:val="2E74B5" w:themeColor="accent5" w:themeShade="BF"/>
        <w:sz w:val="24"/>
        <w:szCs w:val="24"/>
      </w:rPr>
      <w:t>July</w:t>
    </w:r>
    <w:proofErr w:type="spellEnd"/>
    <w:r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6733" w14:textId="77777777" w:rsidR="00636A59" w:rsidRDefault="00860381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3FC664C6" wp14:editId="3914D9EB">
          <wp:simplePos x="0" y="0"/>
          <wp:positionH relativeFrom="column">
            <wp:posOffset>614045</wp:posOffset>
          </wp:positionH>
          <wp:positionV relativeFrom="paragraph">
            <wp:posOffset>-170180</wp:posOffset>
          </wp:positionV>
          <wp:extent cx="1494155" cy="528955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>
      <w:rPr>
        <w:b/>
        <w:i/>
        <w:color w:val="2E74B5" w:themeColor="accent5" w:themeShade="BF"/>
        <w:sz w:val="24"/>
        <w:szCs w:val="24"/>
      </w:rPr>
      <w:tab/>
      <w:t>GRICU 2022, Ischia, (</w:t>
    </w:r>
    <w:proofErr w:type="spellStart"/>
    <w:r>
      <w:rPr>
        <w:b/>
        <w:i/>
        <w:color w:val="2E74B5" w:themeColor="accent5" w:themeShade="BF"/>
        <w:sz w:val="24"/>
        <w:szCs w:val="24"/>
      </w:rPr>
      <w:t>Italy</w:t>
    </w:r>
    <w:proofErr w:type="spellEnd"/>
    <w:r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>
      <w:rPr>
        <w:b/>
        <w:i/>
        <w:color w:val="2E74B5" w:themeColor="accent5" w:themeShade="BF"/>
        <w:sz w:val="24"/>
        <w:szCs w:val="24"/>
      </w:rPr>
      <w:t>July</w:t>
    </w:r>
    <w:proofErr w:type="spellEnd"/>
    <w:r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4C01F2" w14:textId="77777777" w:rsidR="00636A59" w:rsidRDefault="00636A59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42F36267" w14:textId="77777777" w:rsidR="00636A59" w:rsidRDefault="00860381">
    <w:pPr>
      <w:pStyle w:val="Header"/>
      <w:jc w:val="center"/>
    </w:pPr>
    <w:r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EBFA" wp14:editId="3B81CD55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ttore diritto 1" o:spid="_x0000_s1026" o:spt="20" style="position:absolute;left:0pt;margin-left:4.5pt;margin-top:8.15pt;height:0.6pt;width:443.4pt;z-index:251659264;mso-width-relative:page;mso-height-relative:page;" filled="f" stroked="t" coordsize="21600,21600" o:gfxdata="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yqt9NQAAAAHAQAADwAAAAAAAAABACAA&#10;AAAiAAAAZHJzL2Rvd25yZXYueG1sUEsBAhQAFAAAAAgAh07iQG4WvgPYAQAAuAMAAA4AAAAAAAAA&#10;AQAgAAAAIwEAAGRycy9lMm9Eb2MueG1sUEsFBgAAAAAGAAYAWQEAAG0FAAAAAA==&#10;">
              <v:fill on="f" focussize="0,0"/>
              <v:stroke weight="1.5pt" color="#0070C0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multilevel"/>
    <w:tmpl w:val="07D77DAC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510" w:hanging="360"/>
      </w:pPr>
    </w:lvl>
    <w:lvl w:ilvl="2">
      <w:start w:val="1"/>
      <w:numFmt w:val="lowerRoman"/>
      <w:lvlText w:val="%3."/>
      <w:lvlJc w:val="right"/>
      <w:pPr>
        <w:ind w:left="4230" w:hanging="180"/>
      </w:pPr>
    </w:lvl>
    <w:lvl w:ilvl="3">
      <w:start w:val="1"/>
      <w:numFmt w:val="decimal"/>
      <w:lvlText w:val="%4."/>
      <w:lvlJc w:val="left"/>
      <w:pPr>
        <w:ind w:left="4950" w:hanging="360"/>
      </w:pPr>
    </w:lvl>
    <w:lvl w:ilvl="4">
      <w:start w:val="1"/>
      <w:numFmt w:val="lowerLetter"/>
      <w:lvlText w:val="%5."/>
      <w:lvlJc w:val="left"/>
      <w:pPr>
        <w:ind w:left="5670" w:hanging="360"/>
      </w:pPr>
    </w:lvl>
    <w:lvl w:ilvl="5">
      <w:start w:val="1"/>
      <w:numFmt w:val="lowerRoman"/>
      <w:lvlText w:val="%6."/>
      <w:lvlJc w:val="right"/>
      <w:pPr>
        <w:ind w:left="6390" w:hanging="180"/>
      </w:pPr>
    </w:lvl>
    <w:lvl w:ilvl="6">
      <w:start w:val="1"/>
      <w:numFmt w:val="decimal"/>
      <w:lvlText w:val="%7."/>
      <w:lvlJc w:val="left"/>
      <w:pPr>
        <w:ind w:left="7110" w:hanging="360"/>
      </w:pPr>
    </w:lvl>
    <w:lvl w:ilvl="7">
      <w:start w:val="1"/>
      <w:numFmt w:val="lowerLetter"/>
      <w:lvlText w:val="%8."/>
      <w:lvlJc w:val="left"/>
      <w:pPr>
        <w:ind w:left="7830" w:hanging="360"/>
      </w:pPr>
    </w:lvl>
    <w:lvl w:ilvl="8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A3"/>
    <w:rsid w:val="00002923"/>
    <w:rsid w:val="00003D46"/>
    <w:rsid w:val="000133A9"/>
    <w:rsid w:val="000221C8"/>
    <w:rsid w:val="00023CD1"/>
    <w:rsid w:val="000517B4"/>
    <w:rsid w:val="000521A8"/>
    <w:rsid w:val="00064D14"/>
    <w:rsid w:val="00066961"/>
    <w:rsid w:val="00066EC3"/>
    <w:rsid w:val="0008101B"/>
    <w:rsid w:val="00084C01"/>
    <w:rsid w:val="000A289D"/>
    <w:rsid w:val="000D247B"/>
    <w:rsid w:val="000E1F5B"/>
    <w:rsid w:val="000F6EDF"/>
    <w:rsid w:val="00105557"/>
    <w:rsid w:val="0013420A"/>
    <w:rsid w:val="001353A8"/>
    <w:rsid w:val="0013570F"/>
    <w:rsid w:val="001670E2"/>
    <w:rsid w:val="0018667F"/>
    <w:rsid w:val="00190FA8"/>
    <w:rsid w:val="00194D02"/>
    <w:rsid w:val="001B060D"/>
    <w:rsid w:val="001C2ED2"/>
    <w:rsid w:val="001D0291"/>
    <w:rsid w:val="001D0E0C"/>
    <w:rsid w:val="001D6765"/>
    <w:rsid w:val="00203CEE"/>
    <w:rsid w:val="00213D38"/>
    <w:rsid w:val="00224949"/>
    <w:rsid w:val="002270AD"/>
    <w:rsid w:val="00233856"/>
    <w:rsid w:val="00235F50"/>
    <w:rsid w:val="002A1BDA"/>
    <w:rsid w:val="002B0214"/>
    <w:rsid w:val="002B2FBD"/>
    <w:rsid w:val="002B3125"/>
    <w:rsid w:val="002B363B"/>
    <w:rsid w:val="002D3A59"/>
    <w:rsid w:val="002D626D"/>
    <w:rsid w:val="002E2567"/>
    <w:rsid w:val="002E4531"/>
    <w:rsid w:val="002F30CD"/>
    <w:rsid w:val="002F4015"/>
    <w:rsid w:val="002F56D5"/>
    <w:rsid w:val="00325647"/>
    <w:rsid w:val="003C63C1"/>
    <w:rsid w:val="003F160A"/>
    <w:rsid w:val="003F5655"/>
    <w:rsid w:val="00402674"/>
    <w:rsid w:val="0041179A"/>
    <w:rsid w:val="00412502"/>
    <w:rsid w:val="0042641B"/>
    <w:rsid w:val="004350B5"/>
    <w:rsid w:val="00476255"/>
    <w:rsid w:val="0048242E"/>
    <w:rsid w:val="004A5BAD"/>
    <w:rsid w:val="004C4248"/>
    <w:rsid w:val="004C56B4"/>
    <w:rsid w:val="004E586F"/>
    <w:rsid w:val="00502149"/>
    <w:rsid w:val="00592D86"/>
    <w:rsid w:val="005953C4"/>
    <w:rsid w:val="005A4596"/>
    <w:rsid w:val="005B71B2"/>
    <w:rsid w:val="005C2A12"/>
    <w:rsid w:val="00603888"/>
    <w:rsid w:val="00636A59"/>
    <w:rsid w:val="00654C05"/>
    <w:rsid w:val="00656B78"/>
    <w:rsid w:val="00662E8A"/>
    <w:rsid w:val="00681934"/>
    <w:rsid w:val="006952B2"/>
    <w:rsid w:val="00697CD6"/>
    <w:rsid w:val="006B2F49"/>
    <w:rsid w:val="006C71EC"/>
    <w:rsid w:val="006D4BBD"/>
    <w:rsid w:val="006D54DF"/>
    <w:rsid w:val="0072584F"/>
    <w:rsid w:val="0075181A"/>
    <w:rsid w:val="00765F6B"/>
    <w:rsid w:val="0079139E"/>
    <w:rsid w:val="00791750"/>
    <w:rsid w:val="00795F9E"/>
    <w:rsid w:val="007A44BF"/>
    <w:rsid w:val="00822A76"/>
    <w:rsid w:val="00860381"/>
    <w:rsid w:val="00863881"/>
    <w:rsid w:val="00873121"/>
    <w:rsid w:val="008871B1"/>
    <w:rsid w:val="00895C56"/>
    <w:rsid w:val="008A53FF"/>
    <w:rsid w:val="008B65E7"/>
    <w:rsid w:val="008C03E2"/>
    <w:rsid w:val="008C2463"/>
    <w:rsid w:val="008C42F1"/>
    <w:rsid w:val="008F1DE9"/>
    <w:rsid w:val="008F7412"/>
    <w:rsid w:val="00902364"/>
    <w:rsid w:val="00914DFB"/>
    <w:rsid w:val="00964824"/>
    <w:rsid w:val="009825C0"/>
    <w:rsid w:val="00992B11"/>
    <w:rsid w:val="009A1336"/>
    <w:rsid w:val="009A5F71"/>
    <w:rsid w:val="009B1BD5"/>
    <w:rsid w:val="009C480F"/>
    <w:rsid w:val="009D6E41"/>
    <w:rsid w:val="009E530A"/>
    <w:rsid w:val="009E78CD"/>
    <w:rsid w:val="00A04B69"/>
    <w:rsid w:val="00A26371"/>
    <w:rsid w:val="00A355F3"/>
    <w:rsid w:val="00A56A90"/>
    <w:rsid w:val="00A5781E"/>
    <w:rsid w:val="00A60C96"/>
    <w:rsid w:val="00A71863"/>
    <w:rsid w:val="00A7480F"/>
    <w:rsid w:val="00AB1801"/>
    <w:rsid w:val="00AB733B"/>
    <w:rsid w:val="00AE61B3"/>
    <w:rsid w:val="00AF5224"/>
    <w:rsid w:val="00B307C8"/>
    <w:rsid w:val="00B408CD"/>
    <w:rsid w:val="00B41C0B"/>
    <w:rsid w:val="00B444E3"/>
    <w:rsid w:val="00B45AB2"/>
    <w:rsid w:val="00B54B66"/>
    <w:rsid w:val="00B608FA"/>
    <w:rsid w:val="00B663D3"/>
    <w:rsid w:val="00B72336"/>
    <w:rsid w:val="00B86BEF"/>
    <w:rsid w:val="00BD2E4C"/>
    <w:rsid w:val="00BF3514"/>
    <w:rsid w:val="00C312B4"/>
    <w:rsid w:val="00C40840"/>
    <w:rsid w:val="00C43CFD"/>
    <w:rsid w:val="00C5218A"/>
    <w:rsid w:val="00C81D74"/>
    <w:rsid w:val="00C90590"/>
    <w:rsid w:val="00CA4A8A"/>
    <w:rsid w:val="00CB6624"/>
    <w:rsid w:val="00CC68CD"/>
    <w:rsid w:val="00CD4EC4"/>
    <w:rsid w:val="00CE29EE"/>
    <w:rsid w:val="00CF211B"/>
    <w:rsid w:val="00D030CD"/>
    <w:rsid w:val="00D03DB3"/>
    <w:rsid w:val="00D201CD"/>
    <w:rsid w:val="00D234C4"/>
    <w:rsid w:val="00D322F1"/>
    <w:rsid w:val="00D412A9"/>
    <w:rsid w:val="00D92203"/>
    <w:rsid w:val="00D96213"/>
    <w:rsid w:val="00DA49D1"/>
    <w:rsid w:val="00DA51A3"/>
    <w:rsid w:val="00DB0E51"/>
    <w:rsid w:val="00DB2CBC"/>
    <w:rsid w:val="00DD2D8C"/>
    <w:rsid w:val="00DD41D1"/>
    <w:rsid w:val="00E10390"/>
    <w:rsid w:val="00E106DD"/>
    <w:rsid w:val="00E1349D"/>
    <w:rsid w:val="00E54055"/>
    <w:rsid w:val="00E54766"/>
    <w:rsid w:val="00E71A8A"/>
    <w:rsid w:val="00EA1D75"/>
    <w:rsid w:val="00EA54C9"/>
    <w:rsid w:val="00EB1840"/>
    <w:rsid w:val="00EB3388"/>
    <w:rsid w:val="00EB33AC"/>
    <w:rsid w:val="00EC16E7"/>
    <w:rsid w:val="00ED50DA"/>
    <w:rsid w:val="00F018DC"/>
    <w:rsid w:val="00F214A6"/>
    <w:rsid w:val="00F24290"/>
    <w:rsid w:val="00F2461E"/>
    <w:rsid w:val="00F27B01"/>
    <w:rsid w:val="00F3471E"/>
    <w:rsid w:val="00F60C38"/>
    <w:rsid w:val="00FC5A0F"/>
    <w:rsid w:val="00FD2CC8"/>
    <w:rsid w:val="01B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6B62"/>
  <w15:docId w15:val="{FF032992-FAF1-47A6-A6CD-A881419F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Normal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IOC21</b:Tag>
    <b:SourceType>JournalArticle</b:SourceType>
    <b:Guid>{53DDE76B-1B8E-4DEF-A0CE-CB7ECC0CA24B}</b:Guid>
    <b:Title>WORLD’S OLIVE OIL PRODUCTION HAS TRIPLED</b:Title>
    <b:Year>2021</b:Year>
    <b:LCID>en-GB</b:LCID>
    <b:Author>
      <b:Author>
        <b:NameList>
          <b:Person>
            <b:Last>IOC</b:Last>
          </b:Person>
        </b:NameList>
      </b:Author>
    </b:Author>
    <b:RefOrder>2</b:RefOrder>
  </b:Source>
  <b:Source>
    <b:Tag>Dan20</b:Tag>
    <b:SourceType>JournalArticle</b:SourceType>
    <b:Guid>{E7CB0EDA-B2E8-48C2-A219-E1D49E360892}</b:Guid>
    <b:Author>
      <b:Author>
        <b:NameList>
          <b:Person>
            <b:Last>D'Arco</b:Last>
            <b:First>Daniela</b:First>
          </b:Person>
        </b:NameList>
      </b:Author>
    </b:Author>
    <b:Title>Stima Campagna Olearia 2020/2021</b:Title>
    <b:Year>2020</b:Year>
    <b:RefOrder>3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962C5D1-F8C4-41FB-A489-5619416E2B2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5398</Characters>
  <Application>Microsoft Office Word</Application>
  <DocSecurity>4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 Pierucci</dc:creator>
  <cp:lastModifiedBy>Alessandro Alberto Casazza</cp:lastModifiedBy>
  <cp:revision>2</cp:revision>
  <cp:lastPrinted>2022-01-31T11:56:00Z</cp:lastPrinted>
  <dcterms:created xsi:type="dcterms:W3CDTF">2022-03-15T10:19:00Z</dcterms:created>
  <dcterms:modified xsi:type="dcterms:W3CDTF">2022-03-15T10:19:00Z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DDC2B4291F284C5D91E44283ADE51A8B</vt:lpwstr>
  </property>
</Properties>
</file>