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98CF5" w14:textId="77777777" w:rsidR="00F84E90" w:rsidRDefault="00F84E90" w:rsidP="004711D0">
      <w:pPr>
        <w:spacing w:line="240" w:lineRule="auto"/>
        <w:jc w:val="center"/>
        <w:rPr>
          <w:rFonts w:ascii="Times New Roman" w:hAnsi="Times New Roman" w:cs="Times New Roman"/>
          <w:b/>
          <w:sz w:val="24"/>
          <w:lang w:val="en-GB"/>
        </w:rPr>
      </w:pPr>
    </w:p>
    <w:p w14:paraId="59E4B894" w14:textId="000CA5B6" w:rsidR="006D5029" w:rsidRPr="002B7EFB" w:rsidRDefault="006D5029" w:rsidP="004711D0">
      <w:pPr>
        <w:spacing w:line="240" w:lineRule="auto"/>
        <w:jc w:val="center"/>
        <w:rPr>
          <w:rFonts w:ascii="Times New Roman" w:hAnsi="Times New Roman" w:cs="Times New Roman"/>
          <w:b/>
          <w:sz w:val="24"/>
          <w:lang w:val="en-GB"/>
        </w:rPr>
      </w:pPr>
      <w:r w:rsidRPr="006D5029">
        <w:rPr>
          <w:rFonts w:ascii="Times New Roman" w:hAnsi="Times New Roman" w:cs="Times New Roman"/>
          <w:b/>
          <w:sz w:val="24"/>
          <w:lang w:val="en-GB"/>
        </w:rPr>
        <w:t>Heterogeneous catalysts for hydrogen storage formates in aqueous solution</w:t>
      </w:r>
    </w:p>
    <w:p w14:paraId="243AAF34" w14:textId="1A06B920" w:rsidR="00DA51A3" w:rsidRPr="00592699" w:rsidRDefault="006D5029" w:rsidP="004711D0">
      <w:pPr>
        <w:snapToGrid w:val="0"/>
        <w:spacing w:line="240" w:lineRule="auto"/>
        <w:jc w:val="center"/>
        <w:rPr>
          <w:rFonts w:ascii="Times New Roman" w:eastAsia="MS PGothic" w:hAnsi="Times New Roman"/>
          <w:sz w:val="24"/>
          <w:szCs w:val="24"/>
        </w:rPr>
      </w:pPr>
      <w:r w:rsidRPr="00B0131C">
        <w:rPr>
          <w:rFonts w:ascii="Times New Roman" w:eastAsia="SimSun" w:hAnsi="Times New Roman"/>
          <w:sz w:val="24"/>
          <w:szCs w:val="24"/>
          <w:u w:val="single"/>
          <w:lang w:eastAsia="zh-CN"/>
        </w:rPr>
        <w:t>Marcella Calabrese</w:t>
      </w:r>
      <w:r w:rsidR="00B0131C">
        <w:rPr>
          <w:rFonts w:ascii="Times New Roman" w:eastAsia="SimSun" w:hAnsi="Times New Roman"/>
          <w:sz w:val="24"/>
          <w:szCs w:val="24"/>
          <w:u w:val="single"/>
          <w:vertAlign w:val="superscript"/>
          <w:lang w:eastAsia="zh-CN"/>
        </w:rPr>
        <w:t>1</w:t>
      </w:r>
      <w:r w:rsidR="00D24DD0">
        <w:rPr>
          <w:rFonts w:ascii="Times New Roman" w:eastAsia="SimSun" w:hAnsi="Times New Roman"/>
          <w:sz w:val="24"/>
          <w:szCs w:val="24"/>
          <w:u w:val="single"/>
          <w:vertAlign w:val="superscript"/>
          <w:lang w:eastAsia="zh-CN"/>
        </w:rPr>
        <w:t>*</w:t>
      </w:r>
      <w:r w:rsidR="00B0131C" w:rsidRPr="00B0131C">
        <w:rPr>
          <w:rFonts w:ascii="Times New Roman" w:eastAsia="SimSun" w:hAnsi="Times New Roman"/>
          <w:sz w:val="24"/>
          <w:szCs w:val="24"/>
          <w:u w:val="single"/>
          <w:lang w:eastAsia="zh-CN"/>
        </w:rPr>
        <w:t>,</w:t>
      </w:r>
      <w:r w:rsidR="00B0131C" w:rsidRPr="00B0131C">
        <w:rPr>
          <w:rFonts w:ascii="Times New Roman" w:eastAsia="SimSun" w:hAnsi="Times New Roman"/>
          <w:sz w:val="24"/>
          <w:szCs w:val="24"/>
          <w:lang w:eastAsia="zh-CN"/>
        </w:rPr>
        <w:t xml:space="preserve"> Danilo Russo</w:t>
      </w:r>
      <w:r w:rsidR="00B0131C">
        <w:rPr>
          <w:rFonts w:ascii="Times New Roman" w:eastAsia="SimSun" w:hAnsi="Times New Roman"/>
          <w:sz w:val="24"/>
          <w:szCs w:val="24"/>
          <w:vertAlign w:val="superscript"/>
          <w:lang w:eastAsia="zh-CN"/>
        </w:rPr>
        <w:t>1</w:t>
      </w:r>
      <w:r w:rsidR="00B0131C">
        <w:rPr>
          <w:rFonts w:ascii="Times New Roman" w:eastAsia="SimSun" w:hAnsi="Times New Roman"/>
          <w:sz w:val="24"/>
          <w:szCs w:val="24"/>
          <w:lang w:eastAsia="zh-CN"/>
        </w:rPr>
        <w:t xml:space="preserve">, </w:t>
      </w:r>
      <w:r w:rsidR="00E422E4">
        <w:rPr>
          <w:rFonts w:ascii="Times New Roman" w:eastAsia="SimSun" w:hAnsi="Times New Roman"/>
          <w:sz w:val="24"/>
          <w:szCs w:val="24"/>
          <w:lang w:eastAsia="zh-CN"/>
        </w:rPr>
        <w:t xml:space="preserve">Raffaele </w:t>
      </w:r>
      <w:r w:rsidR="00E422E4" w:rsidRPr="00E422E4">
        <w:rPr>
          <w:rFonts w:ascii="Times New Roman" w:eastAsia="SimSun" w:hAnsi="Times New Roman"/>
          <w:sz w:val="24"/>
          <w:szCs w:val="24"/>
          <w:lang w:eastAsia="zh-CN"/>
        </w:rPr>
        <w:t>Marotta</w:t>
      </w:r>
      <w:r w:rsidR="00E422E4" w:rsidRPr="00E422E4">
        <w:rPr>
          <w:rFonts w:ascii="Times New Roman" w:eastAsia="SimSun" w:hAnsi="Times New Roman"/>
          <w:sz w:val="24"/>
          <w:szCs w:val="24"/>
          <w:vertAlign w:val="superscript"/>
          <w:lang w:eastAsia="zh-CN"/>
        </w:rPr>
        <w:t>1</w:t>
      </w:r>
      <w:r w:rsidR="00E422E4">
        <w:rPr>
          <w:rFonts w:ascii="Times New Roman" w:eastAsia="SimSun" w:hAnsi="Times New Roman"/>
          <w:sz w:val="24"/>
          <w:szCs w:val="24"/>
          <w:lang w:eastAsia="zh-CN"/>
        </w:rPr>
        <w:t xml:space="preserve">, </w:t>
      </w:r>
      <w:r w:rsidR="00B0131C" w:rsidRPr="00E422E4">
        <w:rPr>
          <w:rFonts w:ascii="Times New Roman" w:eastAsia="SimSun" w:hAnsi="Times New Roman"/>
          <w:sz w:val="24"/>
          <w:szCs w:val="24"/>
          <w:lang w:eastAsia="zh-CN"/>
        </w:rPr>
        <w:t>Roberto</w:t>
      </w:r>
      <w:r w:rsidR="00B0131C">
        <w:rPr>
          <w:rFonts w:ascii="Times New Roman" w:eastAsia="SimSun" w:hAnsi="Times New Roman"/>
          <w:sz w:val="24"/>
          <w:szCs w:val="24"/>
          <w:lang w:eastAsia="zh-CN"/>
        </w:rPr>
        <w:t xml:space="preserve"> Andreozzi</w:t>
      </w:r>
      <w:r w:rsidR="00B0131C">
        <w:rPr>
          <w:rFonts w:ascii="Times New Roman" w:eastAsia="SimSun" w:hAnsi="Times New Roman"/>
          <w:sz w:val="24"/>
          <w:szCs w:val="24"/>
          <w:vertAlign w:val="superscript"/>
          <w:lang w:eastAsia="zh-CN"/>
        </w:rPr>
        <w:t>1</w:t>
      </w:r>
      <w:r w:rsidR="00B0131C">
        <w:rPr>
          <w:rFonts w:ascii="Times New Roman" w:eastAsia="SimSun" w:hAnsi="Times New Roman"/>
          <w:sz w:val="24"/>
          <w:szCs w:val="24"/>
          <w:lang w:eastAsia="zh-CN"/>
        </w:rPr>
        <w:t>, Almerinda D</w:t>
      </w:r>
      <w:r w:rsidR="00B0131C" w:rsidRPr="00B0131C">
        <w:rPr>
          <w:rFonts w:ascii="Times New Roman" w:eastAsia="SimSun" w:hAnsi="Times New Roman"/>
          <w:sz w:val="24"/>
          <w:szCs w:val="24"/>
          <w:lang w:eastAsia="zh-CN"/>
        </w:rPr>
        <w:t>i Benedetto</w:t>
      </w:r>
      <w:r w:rsidR="00B0131C">
        <w:rPr>
          <w:rFonts w:ascii="Times New Roman" w:eastAsia="SimSun" w:hAnsi="Times New Roman"/>
          <w:sz w:val="24"/>
          <w:szCs w:val="24"/>
          <w:vertAlign w:val="superscript"/>
          <w:lang w:eastAsia="zh-CN"/>
        </w:rPr>
        <w:t>1</w:t>
      </w:r>
    </w:p>
    <w:p w14:paraId="7A602332" w14:textId="365539D4" w:rsidR="00DA51A3" w:rsidRPr="00B0131C" w:rsidRDefault="00DA51A3" w:rsidP="004711D0">
      <w:pPr>
        <w:snapToGrid w:val="0"/>
        <w:spacing w:after="120" w:line="240" w:lineRule="auto"/>
        <w:jc w:val="center"/>
        <w:rPr>
          <w:rFonts w:ascii="Times New Roman" w:eastAsia="MS PGothic" w:hAnsi="Times New Roman"/>
          <w:i/>
          <w:iCs/>
          <w:sz w:val="20"/>
        </w:rPr>
      </w:pPr>
      <w:r w:rsidRPr="00B0131C">
        <w:rPr>
          <w:rFonts w:ascii="Times New Roman" w:eastAsia="MS PGothic" w:hAnsi="Times New Roman"/>
          <w:i/>
          <w:iCs/>
          <w:sz w:val="20"/>
        </w:rPr>
        <w:t xml:space="preserve">1 </w:t>
      </w:r>
      <w:r w:rsidR="00B0131C" w:rsidRPr="00B0131C">
        <w:rPr>
          <w:rFonts w:ascii="Times New Roman" w:eastAsia="MS PGothic" w:hAnsi="Times New Roman"/>
          <w:i/>
          <w:iCs/>
          <w:sz w:val="20"/>
        </w:rPr>
        <w:t>Dipartimento di Ingegneria Chimica, dei Materiali e della Produzione Industriale, Universit</w:t>
      </w:r>
      <w:r w:rsidR="00B0131C">
        <w:rPr>
          <w:rFonts w:ascii="Times New Roman" w:eastAsia="MS PGothic" w:hAnsi="Times New Roman" w:cs="Times New Roman"/>
          <w:i/>
          <w:iCs/>
          <w:sz w:val="20"/>
        </w:rPr>
        <w:t>à</w:t>
      </w:r>
      <w:r w:rsidR="00B0131C">
        <w:rPr>
          <w:rFonts w:ascii="Times New Roman" w:eastAsia="MS PGothic" w:hAnsi="Times New Roman"/>
          <w:i/>
          <w:iCs/>
          <w:sz w:val="20"/>
        </w:rPr>
        <w:t xml:space="preserve"> degli Studi di Napoli Federico II, P.le Vincenzo Tecchio 80, 80125, Napoli.</w:t>
      </w:r>
    </w:p>
    <w:p w14:paraId="28AD07A8" w14:textId="7297962D" w:rsidR="00DA51A3" w:rsidRPr="00B0131C" w:rsidRDefault="00DA51A3" w:rsidP="004711D0">
      <w:pPr>
        <w:snapToGrid w:val="0"/>
        <w:spacing w:line="240" w:lineRule="auto"/>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6D5029">
        <w:rPr>
          <w:rFonts w:ascii="Times New Roman" w:eastAsia="MS PGothic" w:hAnsi="Times New Roman"/>
          <w:bCs/>
          <w:i/>
          <w:iCs/>
          <w:sz w:val="20"/>
          <w:lang w:val="en-US"/>
        </w:rPr>
        <w:t>marcellacalabrese.2@unina.it</w:t>
      </w:r>
    </w:p>
    <w:p w14:paraId="1B04CACE" w14:textId="2691A21F" w:rsidR="006D5029" w:rsidRPr="00A61491" w:rsidRDefault="00DA51A3" w:rsidP="00782EC5">
      <w:pPr>
        <w:snapToGrid w:val="0"/>
        <w:spacing w:line="240" w:lineRule="auto"/>
        <w:jc w:val="both"/>
        <w:rPr>
          <w:rFonts w:ascii="Times New Roman" w:eastAsia="MS PGothic" w:hAnsi="Times New Roman"/>
          <w:lang w:val="en-US"/>
        </w:rPr>
      </w:pPr>
      <w:r w:rsidRPr="00466FFD">
        <w:rPr>
          <w:rFonts w:ascii="Times New Roman" w:eastAsia="MS PGothic" w:hAnsi="Times New Roman"/>
          <w:b/>
          <w:bCs/>
          <w:lang w:val="en-US"/>
        </w:rPr>
        <w:t>1</w:t>
      </w:r>
      <w:r w:rsidR="00F84E90">
        <w:rPr>
          <w:rFonts w:ascii="Times New Roman" w:eastAsia="MS PGothic" w:hAnsi="Times New Roman"/>
          <w:b/>
          <w:bCs/>
          <w:lang w:val="en-US"/>
        </w:rPr>
        <w:t xml:space="preserve">. </w:t>
      </w:r>
      <w:r w:rsidR="003F160A">
        <w:rPr>
          <w:rFonts w:ascii="Times New Roman" w:eastAsia="MS PGothic" w:hAnsi="Times New Roman"/>
          <w:b/>
          <w:bCs/>
          <w:lang w:val="en-US"/>
        </w:rPr>
        <w:t>Introduction</w:t>
      </w:r>
      <w:r w:rsidR="00782EC5">
        <w:rPr>
          <w:rFonts w:ascii="Times New Roman" w:eastAsia="MS PGothic" w:hAnsi="Times New Roman"/>
          <w:b/>
          <w:bCs/>
          <w:lang w:val="en-US"/>
        </w:rPr>
        <w:tab/>
      </w:r>
      <w:r w:rsidR="00782EC5">
        <w:rPr>
          <w:rFonts w:ascii="Times New Roman" w:eastAsia="MS PGothic" w:hAnsi="Times New Roman"/>
          <w:b/>
          <w:bCs/>
          <w:lang w:val="en-US"/>
        </w:rPr>
        <w:br/>
      </w:r>
      <w:r w:rsidR="006D5029" w:rsidRPr="00A61491">
        <w:rPr>
          <w:rFonts w:ascii="Times New Roman" w:eastAsia="MS PGothic" w:hAnsi="Times New Roman"/>
          <w:lang w:val="en-US"/>
        </w:rPr>
        <w:t>In order to have reliable large-scale solutions for energy</w:t>
      </w:r>
      <w:r w:rsidR="005602A6" w:rsidRPr="00A61491">
        <w:rPr>
          <w:rFonts w:ascii="Times New Roman" w:eastAsia="MS PGothic" w:hAnsi="Times New Roman"/>
          <w:lang w:val="en-US"/>
        </w:rPr>
        <w:t xml:space="preserve"> storage</w:t>
      </w:r>
      <w:r w:rsidR="006D5029" w:rsidRPr="00A61491">
        <w:rPr>
          <w:rFonts w:ascii="Times New Roman" w:eastAsia="MS PGothic" w:hAnsi="Times New Roman"/>
          <w:lang w:val="en-US"/>
        </w:rPr>
        <w:t>, hydrogen carriers are receiving</w:t>
      </w:r>
      <w:r w:rsidR="004711D0">
        <w:rPr>
          <w:rFonts w:ascii="Times New Roman" w:eastAsia="MS PGothic" w:hAnsi="Times New Roman"/>
          <w:lang w:val="en-US"/>
        </w:rPr>
        <w:t xml:space="preserve"> </w:t>
      </w:r>
      <w:r w:rsidR="00D24DD0">
        <w:rPr>
          <w:rFonts w:ascii="Times New Roman" w:eastAsia="MS PGothic" w:hAnsi="Times New Roman"/>
          <w:lang w:val="en-US"/>
        </w:rPr>
        <w:t xml:space="preserve">special </w:t>
      </w:r>
      <w:r w:rsidR="006D5029" w:rsidRPr="00A61491">
        <w:rPr>
          <w:rFonts w:ascii="Times New Roman" w:eastAsia="MS PGothic" w:hAnsi="Times New Roman"/>
          <w:lang w:val="en-US"/>
        </w:rPr>
        <w:t xml:space="preserve">scientific attention. In recent years, there has been an interest in the development of new hydrogen vectors capable of releasing it at </w:t>
      </w:r>
      <w:r w:rsidR="00D24DD0">
        <w:rPr>
          <w:rFonts w:ascii="Times New Roman" w:eastAsia="MS PGothic" w:hAnsi="Times New Roman"/>
          <w:lang w:val="en-US"/>
        </w:rPr>
        <w:t>near ambient conditions</w:t>
      </w:r>
      <w:r w:rsidR="006D5029" w:rsidRPr="00A61491">
        <w:rPr>
          <w:rFonts w:ascii="Times New Roman" w:eastAsia="MS PGothic" w:hAnsi="Times New Roman"/>
          <w:lang w:val="en-US"/>
        </w:rPr>
        <w:t xml:space="preserve">. An interesting solution is represented by the salts of formic acid HCOOM (M = Li </w:t>
      </w:r>
      <w:r w:rsidR="006D5029" w:rsidRPr="00A61491">
        <w:rPr>
          <w:rFonts w:ascii="Times New Roman" w:eastAsia="MS PGothic" w:hAnsi="Times New Roman"/>
          <w:vertAlign w:val="superscript"/>
          <w:lang w:val="en-US"/>
        </w:rPr>
        <w:t>+</w:t>
      </w:r>
      <w:r w:rsidR="006D5029" w:rsidRPr="00A61491">
        <w:rPr>
          <w:rFonts w:ascii="Times New Roman" w:eastAsia="MS PGothic" w:hAnsi="Times New Roman"/>
          <w:lang w:val="en-US"/>
        </w:rPr>
        <w:t xml:space="preserve">, Na </w:t>
      </w:r>
      <w:r w:rsidR="006D5029" w:rsidRPr="00A61491">
        <w:rPr>
          <w:rFonts w:ascii="Times New Roman" w:eastAsia="MS PGothic" w:hAnsi="Times New Roman"/>
          <w:vertAlign w:val="superscript"/>
          <w:lang w:val="en-US"/>
        </w:rPr>
        <w:t>+</w:t>
      </w:r>
      <w:r w:rsidR="006D5029" w:rsidRPr="00A61491">
        <w:rPr>
          <w:rFonts w:ascii="Times New Roman" w:eastAsia="MS PGothic" w:hAnsi="Times New Roman"/>
          <w:lang w:val="en-US"/>
        </w:rPr>
        <w:t xml:space="preserve">, K </w:t>
      </w:r>
      <w:r w:rsidR="006D5029" w:rsidRPr="00A61491">
        <w:rPr>
          <w:rFonts w:ascii="Times New Roman" w:eastAsia="MS PGothic" w:hAnsi="Times New Roman"/>
          <w:vertAlign w:val="superscript"/>
          <w:lang w:val="en-US"/>
        </w:rPr>
        <w:t>+</w:t>
      </w:r>
      <w:r w:rsidR="006D5029" w:rsidRPr="00A61491">
        <w:rPr>
          <w:rFonts w:ascii="Times New Roman" w:eastAsia="MS PGothic" w:hAnsi="Times New Roman"/>
          <w:lang w:val="en-US"/>
        </w:rPr>
        <w:t xml:space="preserve">, Cs </w:t>
      </w:r>
      <w:r w:rsidR="006D5029" w:rsidRPr="00A61491">
        <w:rPr>
          <w:rFonts w:ascii="Times New Roman" w:eastAsia="MS PGothic" w:hAnsi="Times New Roman"/>
          <w:vertAlign w:val="superscript"/>
          <w:lang w:val="en-US"/>
        </w:rPr>
        <w:t>+</w:t>
      </w:r>
      <w:r w:rsidR="006D5029" w:rsidRPr="00A61491">
        <w:rPr>
          <w:rFonts w:ascii="Times New Roman" w:eastAsia="MS PGothic" w:hAnsi="Times New Roman"/>
          <w:lang w:val="en-US"/>
        </w:rPr>
        <w:t>, NH</w:t>
      </w:r>
      <w:r w:rsidR="006D5029" w:rsidRPr="00A61491">
        <w:rPr>
          <w:rFonts w:ascii="Times New Roman" w:eastAsia="MS PGothic" w:hAnsi="Times New Roman"/>
          <w:vertAlign w:val="subscript"/>
          <w:lang w:val="en-US"/>
        </w:rPr>
        <w:t>4</w:t>
      </w:r>
      <w:r w:rsidR="006D5029" w:rsidRPr="00A61491">
        <w:rPr>
          <w:rFonts w:ascii="Times New Roman" w:eastAsia="MS PGothic" w:hAnsi="Times New Roman"/>
          <w:lang w:val="en-US"/>
        </w:rPr>
        <w:t xml:space="preserve"> </w:t>
      </w:r>
      <w:r w:rsidR="006D5029" w:rsidRPr="00A61491">
        <w:rPr>
          <w:rFonts w:ascii="Times New Roman" w:eastAsia="MS PGothic" w:hAnsi="Times New Roman"/>
          <w:vertAlign w:val="superscript"/>
          <w:lang w:val="en-US"/>
        </w:rPr>
        <w:t>+</w:t>
      </w:r>
      <w:r w:rsidR="006D5029" w:rsidRPr="00A61491">
        <w:rPr>
          <w:rFonts w:ascii="Times New Roman" w:eastAsia="MS PGothic" w:hAnsi="Times New Roman"/>
          <w:lang w:val="en-US"/>
        </w:rPr>
        <w:t>), prepared through the catalytic hydrogenation of bicarbonate ions</w:t>
      </w:r>
      <w:r w:rsidR="005836B0" w:rsidRPr="00A61491">
        <w:rPr>
          <w:rFonts w:ascii="Times New Roman" w:eastAsia="MS PGothic" w:hAnsi="Times New Roman"/>
          <w:lang w:val="en-US"/>
        </w:rPr>
        <w:t xml:space="preserve">. This can represent an alternative approach </w:t>
      </w:r>
      <w:r w:rsidR="005602A6" w:rsidRPr="00A61491">
        <w:rPr>
          <w:rFonts w:ascii="Times New Roman" w:eastAsia="MS PGothic" w:hAnsi="Times New Roman"/>
          <w:lang w:val="en-US"/>
        </w:rPr>
        <w:t>to safely and economically store</w:t>
      </w:r>
      <w:r w:rsidR="005836B0" w:rsidRPr="00A61491">
        <w:rPr>
          <w:rFonts w:ascii="Times New Roman" w:eastAsia="MS PGothic" w:hAnsi="Times New Roman"/>
          <w:lang w:val="en-US"/>
        </w:rPr>
        <w:t xml:space="preserve"> and transpor</w:t>
      </w:r>
      <w:r w:rsidR="005602A6" w:rsidRPr="00A61491">
        <w:rPr>
          <w:rFonts w:ascii="Times New Roman" w:eastAsia="MS PGothic" w:hAnsi="Times New Roman"/>
          <w:lang w:val="en-US"/>
        </w:rPr>
        <w:t>t</w:t>
      </w:r>
      <w:r w:rsidR="005836B0" w:rsidRPr="00A61491">
        <w:rPr>
          <w:rFonts w:ascii="Times New Roman" w:eastAsia="MS PGothic" w:hAnsi="Times New Roman"/>
          <w:lang w:val="en-US"/>
        </w:rPr>
        <w:t xml:space="preserve"> large quantities of H</w:t>
      </w:r>
      <w:r w:rsidR="005836B0" w:rsidRPr="00A61491">
        <w:rPr>
          <w:rFonts w:ascii="Times New Roman" w:eastAsia="MS PGothic" w:hAnsi="Times New Roman"/>
          <w:vertAlign w:val="subscript"/>
          <w:lang w:val="en-US"/>
        </w:rPr>
        <w:t>2</w:t>
      </w:r>
      <w:r w:rsidR="005836B0" w:rsidRPr="00A61491">
        <w:rPr>
          <w:rFonts w:ascii="Times New Roman" w:eastAsia="MS PGothic" w:hAnsi="Times New Roman"/>
          <w:lang w:val="en-US"/>
        </w:rPr>
        <w:t>,</w:t>
      </w:r>
      <w:r w:rsidR="005602A6" w:rsidRPr="00A61491">
        <w:rPr>
          <w:rFonts w:ascii="Times New Roman" w:eastAsia="MS PGothic" w:hAnsi="Times New Roman"/>
          <w:lang w:val="en-US"/>
        </w:rPr>
        <w:t xml:space="preserve"> to be released</w:t>
      </w:r>
      <w:r w:rsidR="005836B0" w:rsidRPr="00A61491">
        <w:rPr>
          <w:rFonts w:ascii="Times New Roman" w:eastAsia="MS PGothic" w:hAnsi="Times New Roman"/>
          <w:lang w:val="en-US"/>
        </w:rPr>
        <w:t xml:space="preserve"> </w:t>
      </w:r>
      <w:r w:rsidR="005602A6" w:rsidRPr="00A61491">
        <w:rPr>
          <w:rFonts w:ascii="Times New Roman" w:eastAsia="MS PGothic" w:hAnsi="Times New Roman"/>
          <w:lang w:val="en-US"/>
        </w:rPr>
        <w:t>when needed</w:t>
      </w:r>
      <w:r w:rsidR="005836B0" w:rsidRPr="00A61491">
        <w:rPr>
          <w:rFonts w:ascii="Times New Roman" w:eastAsia="MS PGothic" w:hAnsi="Times New Roman"/>
          <w:lang w:val="en-US"/>
        </w:rPr>
        <w:t xml:space="preserve"> in the presence of a</w:t>
      </w:r>
      <w:r w:rsidR="005602A6" w:rsidRPr="00A61491">
        <w:rPr>
          <w:rFonts w:ascii="Times New Roman" w:eastAsia="MS PGothic" w:hAnsi="Times New Roman"/>
          <w:lang w:val="en-US"/>
        </w:rPr>
        <w:t xml:space="preserve"> catalyst, at temperatures lower than</w:t>
      </w:r>
      <w:r w:rsidR="005836B0" w:rsidRPr="00A61491">
        <w:rPr>
          <w:rFonts w:ascii="Times New Roman" w:eastAsia="MS PGothic" w:hAnsi="Times New Roman"/>
          <w:lang w:val="en-US"/>
        </w:rPr>
        <w:t xml:space="preserve"> 80°C. </w:t>
      </w:r>
    </w:p>
    <w:p w14:paraId="1EEBB2ED" w14:textId="43C7456D" w:rsidR="002F1268" w:rsidRPr="007625E7" w:rsidRDefault="007625E7" w:rsidP="004711D0">
      <w:pPr>
        <w:keepNext/>
        <w:autoSpaceDE w:val="0"/>
        <w:autoSpaceDN w:val="0"/>
        <w:adjustRightInd w:val="0"/>
        <w:spacing w:after="0" w:line="240" w:lineRule="auto"/>
        <w:jc w:val="center"/>
        <w:rPr>
          <w:lang w:val="en-US"/>
        </w:rPr>
      </w:pPr>
      <w:r w:rsidRPr="007625E7">
        <w:rPr>
          <w:noProof/>
          <w:lang w:val="en-US"/>
        </w:rPr>
        <w:drawing>
          <wp:inline distT="0" distB="0" distL="0" distR="0" wp14:anchorId="4EBF3AE4" wp14:editId="776A7222">
            <wp:extent cx="3058462" cy="1928446"/>
            <wp:effectExtent l="0" t="0" r="889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403" b="4744"/>
                    <a:stretch/>
                  </pic:blipFill>
                  <pic:spPr bwMode="auto">
                    <a:xfrm>
                      <a:off x="0" y="0"/>
                      <a:ext cx="3085527" cy="1945511"/>
                    </a:xfrm>
                    <a:prstGeom prst="rect">
                      <a:avLst/>
                    </a:prstGeom>
                    <a:ln>
                      <a:noFill/>
                    </a:ln>
                    <a:extLst>
                      <a:ext uri="{53640926-AAD7-44D8-BBD7-CCE9431645EC}">
                        <a14:shadowObscured xmlns:a14="http://schemas.microsoft.com/office/drawing/2010/main"/>
                      </a:ext>
                    </a:extLst>
                  </pic:spPr>
                </pic:pic>
              </a:graphicData>
            </a:graphic>
          </wp:inline>
        </w:drawing>
      </w:r>
    </w:p>
    <w:p w14:paraId="07E8D0EE" w14:textId="45FF0015" w:rsidR="002F1268" w:rsidRPr="004711D0" w:rsidRDefault="002F1268" w:rsidP="004711D0">
      <w:pPr>
        <w:pStyle w:val="Didascalia"/>
        <w:jc w:val="center"/>
        <w:rPr>
          <w:rFonts w:ascii="Times New Roman" w:eastAsia="MS PGothic" w:hAnsi="Times New Roman" w:cs="Times New Roman"/>
          <w:lang w:val="en-US"/>
        </w:rPr>
      </w:pPr>
      <w:r w:rsidRPr="004711D0">
        <w:rPr>
          <w:rFonts w:ascii="Times New Roman" w:hAnsi="Times New Roman" w:cs="Times New Roman"/>
          <w:lang w:val="en-GB"/>
        </w:rPr>
        <w:t xml:space="preserve">Figure </w:t>
      </w:r>
      <w:r w:rsidRPr="004711D0">
        <w:rPr>
          <w:rFonts w:ascii="Times New Roman" w:hAnsi="Times New Roman" w:cs="Times New Roman"/>
        </w:rPr>
        <w:fldChar w:fldCharType="begin"/>
      </w:r>
      <w:r w:rsidRPr="004711D0">
        <w:rPr>
          <w:rFonts w:ascii="Times New Roman" w:hAnsi="Times New Roman" w:cs="Times New Roman"/>
          <w:lang w:val="en-GB"/>
        </w:rPr>
        <w:instrText xml:space="preserve"> SEQ Figure \* ARABIC </w:instrText>
      </w:r>
      <w:r w:rsidRPr="004711D0">
        <w:rPr>
          <w:rFonts w:ascii="Times New Roman" w:hAnsi="Times New Roman" w:cs="Times New Roman"/>
        </w:rPr>
        <w:fldChar w:fldCharType="separate"/>
      </w:r>
      <w:r w:rsidR="00322759" w:rsidRPr="004711D0">
        <w:rPr>
          <w:rFonts w:ascii="Times New Roman" w:hAnsi="Times New Roman" w:cs="Times New Roman"/>
          <w:noProof/>
          <w:lang w:val="en-GB"/>
        </w:rPr>
        <w:t>1</w:t>
      </w:r>
      <w:r w:rsidRPr="004711D0">
        <w:rPr>
          <w:rFonts w:ascii="Times New Roman" w:hAnsi="Times New Roman" w:cs="Times New Roman"/>
        </w:rPr>
        <w:fldChar w:fldCharType="end"/>
      </w:r>
      <w:r w:rsidRPr="004711D0">
        <w:rPr>
          <w:rFonts w:ascii="Times New Roman" w:hAnsi="Times New Roman" w:cs="Times New Roman"/>
          <w:lang w:val="en-GB"/>
        </w:rPr>
        <w:t xml:space="preserve"> - Schematic representation of </w:t>
      </w:r>
      <w:r w:rsidR="008141BD">
        <w:rPr>
          <w:rFonts w:ascii="Times New Roman" w:hAnsi="Times New Roman" w:cs="Times New Roman"/>
          <w:lang w:val="en-GB"/>
        </w:rPr>
        <w:t xml:space="preserve">(sodium) </w:t>
      </w:r>
      <w:r w:rsidRPr="004711D0">
        <w:rPr>
          <w:rFonts w:ascii="Times New Roman" w:hAnsi="Times New Roman" w:cs="Times New Roman"/>
          <w:lang w:val="en-GB"/>
        </w:rPr>
        <w:t>formate-bicarbonate cycle</w:t>
      </w:r>
      <w:r w:rsidRPr="004711D0">
        <w:rPr>
          <w:rFonts w:ascii="Times New Roman" w:hAnsi="Times New Roman" w:cs="Times New Roman"/>
          <w:color w:val="1C1D1E"/>
          <w:shd w:val="clear" w:color="auto" w:fill="FFFFFF"/>
          <w:lang w:val="en-GB"/>
        </w:rPr>
        <w:t xml:space="preserve"> </w:t>
      </w:r>
      <w:r w:rsidRPr="004711D0">
        <w:rPr>
          <w:rFonts w:ascii="Times New Roman" w:hAnsi="Times New Roman" w:cs="Times New Roman"/>
          <w:lang w:val="en-GB"/>
        </w:rPr>
        <w:t xml:space="preserve"> </w:t>
      </w:r>
      <w:r w:rsidRPr="004711D0">
        <w:rPr>
          <w:rFonts w:ascii="Times New Roman" w:hAnsi="Times New Roman" w:cs="Times New Roman"/>
        </w:rPr>
        <w:fldChar w:fldCharType="begin" w:fldLock="1"/>
      </w:r>
      <w:r w:rsidR="004C49BA" w:rsidRPr="004711D0">
        <w:rPr>
          <w:rFonts w:ascii="Times New Roman" w:hAnsi="Times New Roman" w:cs="Times New Roman"/>
          <w:lang w:val="en-GB"/>
        </w:rPr>
        <w:instrText>ADDIN CSL_CITATION {"citationItems":[{"id":"ITEM-1","itemData":{"DOI":"10.1002/cssc.202002433","ISSN":"1864564X","PMID":"33231357","abstract":"In recent years, hydrogen has been considered a promising energy carrier for a sustainable energy economy in the future. An easy solution for the safer storage of hydrogen is challenging and efficient methods are still being explored in this direction. Despite having some progress in this area, no cost-effective and easily applicable solutions that fulfill the requirements of industry are yet to be claimed. Currently, the storage of hydrogen is largely limited to high-pressure compression and liquefaction or in the form of metal hydrides. Formic acid is a good source of hydrogen that also generates CO2 along with hydrogen on decomposition. Moreover, the hydrogenation of CO2 is thermodynamically unfavorable and requires high energy input. Alkali metal formates are alternative mild and noncorrosive sources of hydrogen. On decomposition, these metal formates release hydrogen and generate bicarbonates. The generated bicarbonates can be catalytically charged back to alkali formates under optimized hydrogen pressure. Hence, the formate-bicarbonate-based systems being carbon neutral at ambient condition has certain advantages over formic acid. The formate-bicarbonate cycle can be considered as a vehicle for hydrogen and energy storage. The whole process is carbon-neutral, reversible, and sustainable. This Review emphasizes the various catalytic systems employed for reversible formate-bicarbonate conversion. Moreover, a mechanistic investigation, the effect of temperature, pH, kinetics of reversible formate-bicarbonate conversion, and new insights in the field are also discussed in detail.","author":[{"dropping-particle":"","family":"Bahuguna","given":"Ashish","non-dropping-particle":"","parse-names":false,"suffix":""},{"dropping-particle":"","family":"Sasson","given":"Yoel","non-dropping-particle":"","parse-names":false,"suffix":""}],"container-title":"ChemSusChem","id":"ITEM-1","issue":"5","issued":{"date-parts":[["2021"]]},"page":"1258-1283","title":"Formate-Bicarbonate Cycle as a Vehicle for Hydrogen and Energy Storage","type":"article-journal","volume":"14"},"uris":["http://www.mendeley.com/documents/?uuid=4dceebd3-e3e8-4b91-838b-aac7faf09605"]}],"mendeley":{"formattedCitation":"[1]","plainTextFormattedCitation":"[1]","previouslyFormattedCitation":"[1]"},"properties":{"noteIndex":0},"schema":"https://github.com/citation-style-language/schema/raw/master/csl-citation.json"}</w:instrText>
      </w:r>
      <w:r w:rsidRPr="004711D0">
        <w:rPr>
          <w:rFonts w:ascii="Times New Roman" w:hAnsi="Times New Roman" w:cs="Times New Roman"/>
        </w:rPr>
        <w:fldChar w:fldCharType="separate"/>
      </w:r>
      <w:r w:rsidRPr="004711D0">
        <w:rPr>
          <w:rFonts w:ascii="Times New Roman" w:hAnsi="Times New Roman" w:cs="Times New Roman"/>
          <w:i w:val="0"/>
          <w:noProof/>
          <w:lang w:val="en-GB"/>
        </w:rPr>
        <w:t>[1]</w:t>
      </w:r>
      <w:r w:rsidRPr="004711D0">
        <w:rPr>
          <w:rFonts w:ascii="Times New Roman" w:hAnsi="Times New Roman" w:cs="Times New Roman"/>
        </w:rPr>
        <w:fldChar w:fldCharType="end"/>
      </w:r>
    </w:p>
    <w:p w14:paraId="1BA26BE8" w14:textId="11FB916A" w:rsidR="00D24DD0" w:rsidRPr="006F52DA" w:rsidRDefault="005602A6" w:rsidP="004711D0">
      <w:pPr>
        <w:snapToGrid w:val="0"/>
        <w:spacing w:before="240" w:line="240" w:lineRule="auto"/>
        <w:jc w:val="both"/>
        <w:rPr>
          <w:rFonts w:ascii="Times New Roman" w:eastAsia="MS PGothic" w:hAnsi="Times New Roman"/>
          <w:vertAlign w:val="subscript"/>
          <w:lang w:val="en-US"/>
        </w:rPr>
      </w:pPr>
      <w:r w:rsidRPr="00A61491">
        <w:rPr>
          <w:rFonts w:ascii="Times New Roman" w:eastAsia="MS PGothic" w:hAnsi="Times New Roman"/>
          <w:lang w:val="en-US"/>
        </w:rPr>
        <w:t xml:space="preserve">Information on the stability of the proposed catalysts to release hydrogen from formiates is still scarce. Furthermore, most of the heterogeneous catalysts studied to date need to be reactivated often with the best ones showing a longevity of up to fifteen reversible cycles. </w:t>
      </w:r>
      <w:r w:rsidRPr="00A61491">
        <w:rPr>
          <w:rFonts w:ascii="Times New Roman" w:eastAsia="MS PGothic" w:hAnsi="Times New Roman"/>
          <w:lang w:val="en-US"/>
        </w:rPr>
        <w:fldChar w:fldCharType="begin" w:fldLock="1"/>
      </w:r>
      <w:r w:rsidRPr="00A61491">
        <w:rPr>
          <w:rFonts w:ascii="Times New Roman" w:eastAsia="MS PGothic" w:hAnsi="Times New Roman"/>
          <w:lang w:val="en-US"/>
        </w:rPr>
        <w:instrText>ADDIN CSL_CITATION {"citationItems":[{"id":"ITEM-1","itemData":{"DOI":"10.1039/c8cy01551a","ISSN":"20444761","abstract":"High-quality crystalline PdO nanoparticles with Kirkendall nanovoids uniformly supported on titanate nanotubes (kv-PdO/TiNTs) are shown to be robust catalysts toward low temperature formate reforming into COx-free H2 as well as sequential organic dye degradation under ambient conditions. The maximum H2 evolution reaction rate for kv-PdO/TiNTs catalysts is measured to be in the magnitude of 6.5 mol g-1 h-1 at room temperature (</w:instrText>
      </w:r>
      <w:r w:rsidRPr="00A61491">
        <w:rPr>
          <w:rFonts w:ascii="Cambria Math" w:eastAsia="MS PGothic" w:hAnsi="Cambria Math" w:cs="Cambria Math"/>
          <w:lang w:val="en-US"/>
        </w:rPr>
        <w:instrText>∼</w:instrText>
      </w:r>
      <w:r w:rsidRPr="00A61491">
        <w:rPr>
          <w:rFonts w:ascii="Times New Roman" w:eastAsia="MS PGothic" w:hAnsi="Times New Roman"/>
          <w:lang w:val="en-US"/>
        </w:rPr>
        <w:instrText xml:space="preserve">25 </w:instrText>
      </w:r>
      <w:r w:rsidRPr="00A61491">
        <w:rPr>
          <w:rFonts w:ascii="Times New Roman" w:eastAsia="MS PGothic" w:hAnsi="Times New Roman" w:cs="Times New Roman"/>
          <w:lang w:val="en-US"/>
        </w:rPr>
        <w:instrText>°</w:instrText>
      </w:r>
      <w:r w:rsidRPr="00A61491">
        <w:rPr>
          <w:rFonts w:ascii="Times New Roman" w:eastAsia="MS PGothic" w:hAnsi="Times New Roman"/>
          <w:lang w:val="en-US"/>
        </w:rPr>
        <w:instrText>C), and the corresponding initial turnover frequency (TOF) is as high as 2601.6 h-1. More importantly, for the first time we find that the H2 production system is highly efficient for subsequent organic dye degradation without the addition of external energy, such as light, electricity and heat, or the addition of any artificial oxidants, e.g., H2O2. It is speculated that the active oxygen-centered species generated in the dehydrogenation catalytic system and the pre-reduction process induced by free hydrogen radicals play important roles in organic dye treatment. Thus, a unique tandem catalytic system by coupling hydrogen production with organic dye degradation is presented.","author":[{"dropping-particle":"","family":"Zhu","given":"Xiaohui","non-dropping-particle":"","parse-names":false,"suffix":""},{"dropping-particle":"","family":"Du","given":"Leilei","non-dropping-particle":"","parse-names":false,"suffix":""},{"dropping-particle":"","family":"Guo","given":"Ziwei","non-dropping-particle":"","parse-names":false,"suffix":""},{"dropping-parti</w:instrText>
      </w:r>
      <w:r w:rsidRPr="002B0ACF">
        <w:rPr>
          <w:rFonts w:ascii="Times New Roman" w:eastAsia="MS PGothic" w:hAnsi="Times New Roman"/>
          <w:lang w:val="en-GB"/>
        </w:rPr>
        <w:instrText>cle":"","family":"Chen","given":"Shuang","non-dropping-particle":"","parse-names":false,"suffix":""},{"dropping-particle":"","family":"Wu","given":"Biling","non-dropping-particle":"","parse-names":false,"suffix":""},{"dropping-particle":"","family":"Liu","given":"Xiangdong","non-dropping-particle":"","parse-names":false,"suffix":""},{"dropping-particle":"","family":"Yan","given":"Xiaoqing","non-dropping-particle":"","parse-names":false,"suffix":""},{"dropping-particle":"","family":"Takeuchi","given":"Nobuyuki","non-dropping-particle":"","parse-names":false,"suffix":""},{"dropping-particle":"","family":"Kobayashi","given":"Hisayoshi","non-dropping-particle":"","parse-names":false,"suffix":""},{"dropping-particle":"","family":"Li","given":"Renhong","non-dropping-particle":"","parse-names":false,"suffix":""}],"container-title":"Catalysis Science and Technology","id":"ITEM-1","issue":"23","issued":{"date-parts":[["2018"]]},"page":"6217-6227","publisher":"Royal Society of Chemistry","title":"Tandem catalysis induced by hollow PdO: Highly efficient H2 generation coupled with organic dye degradation: Via sodium formate reforming","type":"article-journal","volume":"8"},"uris":["http://www.mendeley.com/documents/?uuid=86ada3fc-9fb1-40f8-81cf-65cc0e794494"]}],"mendeley":{"formattedCitation":"[2]","plainTextFormattedCitation":"[2]","previouslyFormattedCitation":"[2]"},"properties":{"noteIndex":0},"schema":"https://github.com/citation-style-language/schema/raw/master/csl-citation.json"}</w:instrText>
      </w:r>
      <w:r w:rsidRPr="00A61491">
        <w:rPr>
          <w:rFonts w:ascii="Times New Roman" w:eastAsia="MS PGothic" w:hAnsi="Times New Roman"/>
          <w:lang w:val="en-US"/>
        </w:rPr>
        <w:fldChar w:fldCharType="separate"/>
      </w:r>
      <w:r w:rsidRPr="002B0ACF">
        <w:rPr>
          <w:rFonts w:ascii="Times New Roman" w:eastAsia="MS PGothic" w:hAnsi="Times New Roman"/>
          <w:noProof/>
          <w:lang w:val="en-GB"/>
        </w:rPr>
        <w:t>[2]</w:t>
      </w:r>
      <w:r w:rsidRPr="00A61491">
        <w:rPr>
          <w:rFonts w:ascii="Times New Roman" w:eastAsia="MS PGothic" w:hAnsi="Times New Roman"/>
          <w:lang w:val="en-US"/>
        </w:rPr>
        <w:fldChar w:fldCharType="end"/>
      </w:r>
      <w:r w:rsidRPr="002B0ACF">
        <w:rPr>
          <w:rFonts w:ascii="Times New Roman" w:eastAsia="MS PGothic" w:hAnsi="Times New Roman"/>
          <w:lang w:val="en-GB"/>
        </w:rPr>
        <w:t xml:space="preserve"> </w:t>
      </w:r>
      <w:r w:rsidR="00D24DD0">
        <w:rPr>
          <w:rFonts w:ascii="Times New Roman" w:eastAsia="MS PGothic" w:hAnsi="Times New Roman"/>
          <w:lang w:val="en-GB"/>
        </w:rPr>
        <w:t>Based on the</w:t>
      </w:r>
      <w:r w:rsidR="00D24DD0" w:rsidRPr="00282847">
        <w:rPr>
          <w:rFonts w:ascii="Times New Roman" w:eastAsia="MS PGothic" w:hAnsi="Times New Roman"/>
          <w:lang w:val="en-GB"/>
        </w:rPr>
        <w:t xml:space="preserve"> literature,</w:t>
      </w:r>
      <w:r w:rsidR="00D24DD0" w:rsidRPr="00282847">
        <w:rPr>
          <w:rFonts w:ascii="Times New Roman" w:eastAsia="MS PGothic" w:hAnsi="Times New Roman"/>
          <w:lang w:val="en-US"/>
        </w:rPr>
        <w:t xml:space="preserve"> </w:t>
      </w:r>
      <w:r w:rsidR="00D24DD0" w:rsidRPr="00A61491">
        <w:rPr>
          <w:rFonts w:ascii="Times New Roman" w:eastAsia="MS PGothic" w:hAnsi="Times New Roman"/>
          <w:lang w:val="en-US"/>
        </w:rPr>
        <w:fldChar w:fldCharType="begin" w:fldLock="1"/>
      </w:r>
      <w:r w:rsidR="00D24DD0" w:rsidRPr="00A61491">
        <w:rPr>
          <w:rFonts w:ascii="Times New Roman" w:eastAsia="MS PGothic" w:hAnsi="Times New Roman"/>
          <w:lang w:val="en-GB"/>
        </w:rPr>
        <w:instrText>ADDIN CSL_CITATION {"citationItems":[{"id":"ITEM-1","itemData":{"DOI":"10.1002/cssc.202002433","ISSN":"1864564X","PMID":"33231357","abstract":"In recent years, hydrogen has been considered a promising energy carrier for a sustainable energy economy in the future. An easy solution for the safer storage of hydrogen is challenging and efficient methods are still being explored in this direction. Despite having some progress in this area, no cost-effective and easily applicable solutions that fulfill the requirements of industry are yet to be claimed. Currently, the storage of hydrogen is largely limited to high-pressure compression and liquefaction or in the form of metal hydrides. Formic acid is a good source of hydrogen that also generates CO2 along with hydrogen on decomposition. Moreover, the hydrogenation of CO2 is thermodynamically unfavorable and requires high energy input. Alkali metal formates are alternative mild and noncorrosive sources of hydrogen. On decomposition, these metal formates release hydrogen and generate bicarbonates. The generated bicarbonates can be catalytically charged back to alkali formates under optimized hydrogen pressure. Hence, the formate-bicarbonate-based systems being carbon neutral at ambient condition has certain advantages over formic acid. The formate-bicarbonate cycle can be considered as a vehicle for hydrogen an</w:instrText>
      </w:r>
      <w:r w:rsidR="00D24DD0" w:rsidRPr="00A61491">
        <w:rPr>
          <w:rFonts w:ascii="Times New Roman" w:eastAsia="MS PGothic" w:hAnsi="Times New Roman"/>
          <w:lang w:val="en-US"/>
        </w:rPr>
        <w:instrText>d energy storage. The whole process is carbon-neutral, reversible, and sustainable. This Review emphasizes the various catalytic systems employed for reversible formate-bicarbonate conversion. Moreover, a mechanistic investigation, the effect of temperature, pH, kinetics of reversible formate-bicarbonate conversion, and new insights in the field are also discussed in detail.","author":[{"dropping-particle":"","family":"Bahuguna","given":"Ashish","non-dropping-particle":"","parse-names":false,"suffix":""},{"dropping-particle":"","family":"Sasson","given":"Yoel","non-dropping-particle":"","parse-names":false,"suffix":""}],"container-title":"ChemSusChem","id":"ITEM-1","issue":"5","issued":{"date-parts":[["2021"]]},"page":"1258-1283","title":"Formate-Bicarbonate Cycle as a Vehicle for Hydrogen and Energy Storage","type":"article-journal","volume":"14"},"uris":["http://www.mendeley.com/documents/?uuid=72bcad73-163e-4238-8ff4-29a899dcd76f"]}],"mendeley":{"formattedCitation":"[1]","plainTextFormattedCitation":"[1]","previouslyFormattedCitation":"[1]"},"properties":{"noteIndex":0},"schema":"https://github.com/citation-style-language/schema/raw/master/csl-citation.json"}</w:instrText>
      </w:r>
      <w:r w:rsidR="00D24DD0" w:rsidRPr="00A61491">
        <w:rPr>
          <w:rFonts w:ascii="Times New Roman" w:eastAsia="MS PGothic" w:hAnsi="Times New Roman"/>
          <w:lang w:val="en-US"/>
        </w:rPr>
        <w:fldChar w:fldCharType="separate"/>
      </w:r>
      <w:r w:rsidR="00D24DD0" w:rsidRPr="00A61491">
        <w:rPr>
          <w:rFonts w:ascii="Times New Roman" w:eastAsia="MS PGothic" w:hAnsi="Times New Roman"/>
          <w:noProof/>
          <w:lang w:val="en-US"/>
        </w:rPr>
        <w:t>[1]</w:t>
      </w:r>
      <w:r w:rsidR="00D24DD0" w:rsidRPr="00A61491">
        <w:rPr>
          <w:rFonts w:ascii="Times New Roman" w:eastAsia="MS PGothic" w:hAnsi="Times New Roman"/>
          <w:lang w:val="en-US"/>
        </w:rPr>
        <w:fldChar w:fldCharType="end"/>
      </w:r>
      <w:r w:rsidR="00D24DD0" w:rsidRPr="00A61491">
        <w:rPr>
          <w:rFonts w:ascii="Times New Roman" w:eastAsia="MS PGothic" w:hAnsi="Times New Roman"/>
          <w:lang w:val="en-US"/>
        </w:rPr>
        <w:t>-</w:t>
      </w:r>
      <w:r w:rsidR="00D24DD0">
        <w:rPr>
          <w:rFonts w:ascii="Times New Roman" w:eastAsia="MS PGothic" w:hAnsi="Times New Roman"/>
          <w:lang w:val="en-US"/>
        </w:rPr>
        <w:fldChar w:fldCharType="begin" w:fldLock="1"/>
      </w:r>
      <w:r w:rsidR="00D24DD0">
        <w:rPr>
          <w:rFonts w:ascii="Times New Roman" w:eastAsia="MS PGothic" w:hAnsi="Times New Roman"/>
          <w:lang w:val="en-US"/>
        </w:rPr>
        <w:instrText>ADDIN CSL_CITATION {"citationItems":[{"id":"ITEM-1","itemData":{"DOI":"10.1016/j.apcatb.2017.10.038","ISSN":"09263373","abstract":"The catalytic hydrogenation of sodium hydrogen carbonate in aqueous phase (NaHCO3) to produce sodium formate (or formic acid) on activated carbon-supported metal (Pd, Ru, Ni, Co and Re) species at 25 °C and 1 bar of hydrogen was studied. The reaction was performed in a semi-continuous flow reactor, and the formate (or formic acid) production was quantified by HPLC, while the gas feed and possible products were quantified by gas chromatography. The catalysts were characterized by N2 adsorption, Temperature-Programmed Reduction (TPR), X-ray Photoelectron Spectroscopy (XPS), X-ray Diffraction (XRD), Transmission Electron Microscopy (TEM) and carbon monoxide chemisorption. All the catalysts displayed activity in the hydrogenation of sodium hydrogen carbonate and the selectivity to sodium formate was 100%. The Pd/C catalyst presented the highest activity, attributed to stabilized adsorption of reactant which favors the hydrogenation process. The highest intrinsic hydrogenation performance of this metal is related to stability of reduced phases of Pd species observed by XPS and TPR results, favoring the formation of formic acid.","author":[{"dropping-particle":"","family":"González","given":"Edelmira","non-dropping-particle":"","parse-names":false,"suffix":""},{"dropping-particle":"","family":"Marchant","given":"Cristian","non-dropping-particle":"","parse-names":false,"suffix":""},{"dropping-particle":"","family":"Sepúlveda","given":"Catherine","non-dropping-particle":"","parse-names":false,"suffix":""},{"dropping-particle":"","family":"García","given":"Rafael","non-dropping-particle":"","parse-names":false,"suffix":""},{"dropping-particle":"","family":"Ghampson","given":"I. Tyrone","non-dropping-particle":"","parse-names":false,"suffix":""},{"dropping-particle":"","family":"Escalona","given":"Nestor","non-dropping-particle":"","parse-names":false,"suffix":""},{"dropping-particle":"","family":"García-Fierro","given":"Jose Luis","non-dropping-particle":"","parse-names":false,"suffix":""}],"container-title":"Applied Catalysis B: Environmental","id":"ITEM-1","issued":{"date-parts":[["2018"]]},"page":"368-375","publisher":"Elsevier B.V.","title":"Hydrogenation of sodium hydrogen carbonate in aqueous phase using metal/activated carbon catalysts","type":"article-journal","volume":"224"},"uris":["http://www.mendeley.com/documents/?uuid=2b445be2-c1e6-4a9d-a075-95b5a802863f"]}],"mendeley":{"formattedCitation":"[3]","plainTextFormattedCitation":"[3]","previouslyFormattedCitation":"[3]"},"properties":{"noteIndex":0},"schema":"https://github.com/citation-style-language/schema/raw/master/csl-citation.json"}</w:instrText>
      </w:r>
      <w:r w:rsidR="00D24DD0">
        <w:rPr>
          <w:rFonts w:ascii="Times New Roman" w:eastAsia="MS PGothic" w:hAnsi="Times New Roman"/>
          <w:lang w:val="en-US"/>
        </w:rPr>
        <w:fldChar w:fldCharType="separate"/>
      </w:r>
      <w:r w:rsidR="00D24DD0" w:rsidRPr="00997F75">
        <w:rPr>
          <w:rFonts w:ascii="Times New Roman" w:eastAsia="MS PGothic" w:hAnsi="Times New Roman"/>
          <w:noProof/>
          <w:lang w:val="en-US"/>
        </w:rPr>
        <w:t>[3</w:t>
      </w:r>
      <w:r w:rsidR="00782EC5">
        <w:rPr>
          <w:rFonts w:ascii="Times New Roman" w:eastAsia="MS PGothic" w:hAnsi="Times New Roman"/>
          <w:noProof/>
          <w:lang w:val="en-US"/>
        </w:rPr>
        <w:t>-5</w:t>
      </w:r>
      <w:r w:rsidR="00D24DD0" w:rsidRPr="00997F75">
        <w:rPr>
          <w:rFonts w:ascii="Times New Roman" w:eastAsia="MS PGothic" w:hAnsi="Times New Roman"/>
          <w:noProof/>
          <w:lang w:val="en-US"/>
        </w:rPr>
        <w:t>]</w:t>
      </w:r>
      <w:r w:rsidR="00D24DD0">
        <w:rPr>
          <w:rFonts w:ascii="Times New Roman" w:eastAsia="MS PGothic" w:hAnsi="Times New Roman"/>
          <w:lang w:val="en-US"/>
        </w:rPr>
        <w:fldChar w:fldCharType="end"/>
      </w:r>
      <w:r w:rsidR="00D24DD0" w:rsidRPr="00282847">
        <w:rPr>
          <w:rFonts w:ascii="Times New Roman" w:eastAsia="MS PGothic" w:hAnsi="Times New Roman"/>
          <w:lang w:val="en-GB"/>
        </w:rPr>
        <w:t xml:space="preserve"> the most studied </w:t>
      </w:r>
      <w:r w:rsidR="00D24DD0">
        <w:rPr>
          <w:rFonts w:ascii="Times New Roman" w:eastAsia="MS PGothic" w:hAnsi="Times New Roman"/>
          <w:lang w:val="en-GB"/>
        </w:rPr>
        <w:t xml:space="preserve">catalytic system is supported Pd on </w:t>
      </w:r>
      <w:r w:rsidR="00D24DD0" w:rsidRPr="00282847">
        <w:rPr>
          <w:rFonts w:ascii="Times New Roman" w:eastAsia="MS PGothic" w:hAnsi="Times New Roman"/>
          <w:lang w:val="en-GB"/>
        </w:rPr>
        <w:t>carbonaceous materials, oxides</w:t>
      </w:r>
      <w:r w:rsidR="00D24DD0">
        <w:rPr>
          <w:rFonts w:ascii="Times New Roman" w:eastAsia="MS PGothic" w:hAnsi="Times New Roman"/>
          <w:lang w:val="en-GB"/>
        </w:rPr>
        <w:t>, etc</w:t>
      </w:r>
      <w:r w:rsidR="00C307FC">
        <w:rPr>
          <w:rFonts w:ascii="Times New Roman" w:eastAsia="MS PGothic" w:hAnsi="Times New Roman"/>
          <w:lang w:val="en-GB"/>
        </w:rPr>
        <w:t>. Some of t</w:t>
      </w:r>
      <w:r w:rsidR="00D24DD0" w:rsidRPr="00282847">
        <w:rPr>
          <w:rFonts w:ascii="Times New Roman" w:eastAsia="MS PGothic" w:hAnsi="Times New Roman"/>
          <w:lang w:val="en-GB"/>
        </w:rPr>
        <w:t>hese catalysts were found to be stable</w:t>
      </w:r>
      <w:r w:rsidR="00D24DD0" w:rsidRPr="00467A9B">
        <w:rPr>
          <w:rFonts w:ascii="Times New Roman" w:eastAsia="MS PGothic" w:hAnsi="Times New Roman"/>
          <w:lang w:val="en-GB"/>
        </w:rPr>
        <w:t xml:space="preserve"> and capable of guaranteeing satisfying hydrogenation</w:t>
      </w:r>
      <w:r w:rsidR="00D24DD0">
        <w:rPr>
          <w:rFonts w:ascii="Times New Roman" w:eastAsia="MS PGothic" w:hAnsi="Times New Roman"/>
          <w:lang w:val="en-GB"/>
        </w:rPr>
        <w:t xml:space="preserve"> </w:t>
      </w:r>
      <w:r w:rsidR="00D24DD0" w:rsidRPr="00467A9B">
        <w:rPr>
          <w:rFonts w:ascii="Times New Roman" w:eastAsia="MS PGothic" w:hAnsi="Times New Roman"/>
          <w:lang w:val="en-GB"/>
        </w:rPr>
        <w:t>/dehydrogenation rates for industrial applications.</w:t>
      </w:r>
      <w:r w:rsidR="00D24DD0">
        <w:rPr>
          <w:rFonts w:ascii="Times New Roman" w:eastAsia="MS PGothic" w:hAnsi="Times New Roman"/>
          <w:lang w:val="en-US"/>
        </w:rPr>
        <w:t xml:space="preserve"> </w:t>
      </w:r>
      <w:r w:rsidR="00C307FC">
        <w:rPr>
          <w:rFonts w:ascii="Times New Roman" w:eastAsia="MS PGothic" w:hAnsi="Times New Roman"/>
          <w:lang w:val="en-US"/>
        </w:rPr>
        <w:t>In this work, p</w:t>
      </w:r>
      <w:r w:rsidR="00D24DD0" w:rsidRPr="00467A9B">
        <w:rPr>
          <w:rFonts w:ascii="Times New Roman" w:eastAsia="MS PGothic" w:hAnsi="Times New Roman"/>
          <w:lang w:val="en-US"/>
        </w:rPr>
        <w:t xml:space="preserve">articular attention will be </w:t>
      </w:r>
      <w:r w:rsidR="00C307FC">
        <w:rPr>
          <w:rFonts w:ascii="Times New Roman" w:eastAsia="MS PGothic" w:hAnsi="Times New Roman"/>
          <w:lang w:val="en-US"/>
        </w:rPr>
        <w:t>devoted</w:t>
      </w:r>
      <w:r w:rsidR="00D24DD0" w:rsidRPr="00467A9B">
        <w:rPr>
          <w:rFonts w:ascii="Times New Roman" w:eastAsia="MS PGothic" w:hAnsi="Times New Roman"/>
          <w:lang w:val="en-US"/>
        </w:rPr>
        <w:t xml:space="preserve"> to identify</w:t>
      </w:r>
      <w:r w:rsidR="00C307FC">
        <w:rPr>
          <w:rFonts w:ascii="Times New Roman" w:eastAsia="MS PGothic" w:hAnsi="Times New Roman"/>
          <w:lang w:val="en-US"/>
        </w:rPr>
        <w:t>ing</w:t>
      </w:r>
      <w:r w:rsidR="00D24DD0" w:rsidRPr="00467A9B">
        <w:rPr>
          <w:rFonts w:ascii="Times New Roman" w:eastAsia="MS PGothic" w:hAnsi="Times New Roman"/>
          <w:lang w:val="en-US"/>
        </w:rPr>
        <w:t xml:space="preserve"> the supports </w:t>
      </w:r>
      <w:r w:rsidR="00C307FC">
        <w:rPr>
          <w:rFonts w:ascii="Times New Roman" w:eastAsia="MS PGothic" w:hAnsi="Times New Roman"/>
          <w:lang w:val="en-US"/>
        </w:rPr>
        <w:t>among</w:t>
      </w:r>
      <w:r w:rsidR="00D24DD0" w:rsidRPr="00467A9B">
        <w:rPr>
          <w:rFonts w:ascii="Times New Roman" w:eastAsia="MS PGothic" w:hAnsi="Times New Roman"/>
          <w:lang w:val="en-US"/>
        </w:rPr>
        <w:t xml:space="preserve"> semiconductor oxides, that would permit to use a simple preparation technique such as the photodeposition of the palladium from solutions of its salts, as an alternative to impregnation. </w:t>
      </w:r>
    </w:p>
    <w:p w14:paraId="0442E859" w14:textId="2212A247" w:rsidR="00322759" w:rsidRPr="00C307FC" w:rsidRDefault="00DA51A3" w:rsidP="00782EC5">
      <w:pPr>
        <w:snapToGrid w:val="0"/>
        <w:spacing w:before="240" w:line="240" w:lineRule="auto"/>
        <w:jc w:val="both"/>
        <w:rPr>
          <w:rFonts w:ascii="Times New Roman" w:eastAsia="MS PGothic" w:hAnsi="Times New Roman"/>
          <w:lang w:val="en-GB"/>
        </w:rPr>
      </w:pPr>
      <w:r w:rsidRPr="005602A6">
        <w:rPr>
          <w:rFonts w:ascii="Times New Roman" w:eastAsia="MS PGothic" w:hAnsi="Times New Roman"/>
          <w:b/>
          <w:bCs/>
          <w:lang w:val="en-GB"/>
        </w:rPr>
        <w:t>2. Methods</w:t>
      </w:r>
      <w:r w:rsidR="00916C33" w:rsidRPr="005602A6">
        <w:rPr>
          <w:rFonts w:ascii="Times New Roman" w:eastAsia="MS PGothic" w:hAnsi="Times New Roman"/>
          <w:b/>
          <w:bCs/>
          <w:lang w:val="en-GB"/>
        </w:rPr>
        <w:t xml:space="preserve"> </w:t>
      </w:r>
      <w:r w:rsidR="00782EC5">
        <w:rPr>
          <w:rFonts w:ascii="Times New Roman" w:eastAsia="MS PGothic" w:hAnsi="Times New Roman"/>
          <w:b/>
          <w:bCs/>
          <w:lang w:val="en-GB"/>
        </w:rPr>
        <w:tab/>
      </w:r>
      <w:r w:rsidR="00782EC5">
        <w:rPr>
          <w:rFonts w:ascii="Times New Roman" w:eastAsia="MS PGothic" w:hAnsi="Times New Roman"/>
          <w:b/>
          <w:bCs/>
          <w:lang w:val="en-GB"/>
        </w:rPr>
        <w:br/>
      </w:r>
      <w:r w:rsidR="00C307FC">
        <w:rPr>
          <w:rFonts w:ascii="Times New Roman" w:eastAsia="MS PGothic" w:hAnsi="Times New Roman"/>
          <w:lang w:val="en-US"/>
        </w:rPr>
        <w:t>All reagents were purchased from sigma-</w:t>
      </w:r>
      <w:r w:rsidR="00B47F99">
        <w:rPr>
          <w:rFonts w:ascii="Times New Roman" w:eastAsia="MS PGothic" w:hAnsi="Times New Roman"/>
          <w:lang w:val="en-US"/>
        </w:rPr>
        <w:t>Aldrich</w:t>
      </w:r>
      <w:r w:rsidR="00C307FC">
        <w:rPr>
          <w:rFonts w:ascii="Times New Roman" w:eastAsia="MS PGothic" w:hAnsi="Times New Roman"/>
          <w:lang w:val="en-US"/>
        </w:rPr>
        <w:t xml:space="preserve"> and used as received. Dehydrogenation of formates</w:t>
      </w:r>
      <w:r w:rsidR="00997F75" w:rsidRPr="00997F75">
        <w:rPr>
          <w:rFonts w:ascii="Times New Roman" w:eastAsia="MS PGothic" w:hAnsi="Times New Roman"/>
          <w:lang w:val="en-US"/>
        </w:rPr>
        <w:t xml:space="preserve"> tests were carried out using TiO</w:t>
      </w:r>
      <w:r w:rsidR="00997F75" w:rsidRPr="00997F75">
        <w:rPr>
          <w:rFonts w:ascii="Times New Roman" w:eastAsia="MS PGothic" w:hAnsi="Times New Roman"/>
          <w:vertAlign w:val="subscript"/>
          <w:lang w:val="en-US"/>
        </w:rPr>
        <w:t>2</w:t>
      </w:r>
      <w:r w:rsidR="00997F75" w:rsidRPr="00997F75">
        <w:rPr>
          <w:rFonts w:ascii="Times New Roman" w:eastAsia="MS PGothic" w:hAnsi="Times New Roman"/>
          <w:lang w:val="en-US"/>
        </w:rPr>
        <w:t xml:space="preserve"> and WO</w:t>
      </w:r>
      <w:r w:rsidR="00997F75" w:rsidRPr="00997F75">
        <w:rPr>
          <w:rFonts w:ascii="Times New Roman" w:eastAsia="MS PGothic" w:hAnsi="Times New Roman"/>
          <w:vertAlign w:val="subscript"/>
          <w:lang w:val="en-US"/>
        </w:rPr>
        <w:t>3</w:t>
      </w:r>
      <w:r w:rsidR="00997F75" w:rsidRPr="00997F75">
        <w:rPr>
          <w:rFonts w:ascii="Times New Roman" w:eastAsia="MS PGothic" w:hAnsi="Times New Roman"/>
          <w:lang w:val="en-US"/>
        </w:rPr>
        <w:t xml:space="preserve"> as </w:t>
      </w:r>
      <w:r w:rsidR="009E2CEF">
        <w:rPr>
          <w:rFonts w:ascii="Times New Roman" w:eastAsia="MS PGothic" w:hAnsi="Times New Roman"/>
          <w:lang w:val="en-US"/>
        </w:rPr>
        <w:t>the substrate of the catalyst</w:t>
      </w:r>
      <w:r w:rsidR="00997F75" w:rsidRPr="00997F75">
        <w:rPr>
          <w:rFonts w:ascii="Times New Roman" w:eastAsia="MS PGothic" w:hAnsi="Times New Roman"/>
          <w:lang w:val="en-US"/>
        </w:rPr>
        <w:t>.</w:t>
      </w:r>
      <w:r w:rsidR="00997F75">
        <w:rPr>
          <w:rFonts w:ascii="Times New Roman" w:eastAsia="MS PGothic" w:hAnsi="Times New Roman"/>
          <w:lang w:val="en-US"/>
        </w:rPr>
        <w:t xml:space="preserve"> </w:t>
      </w:r>
      <w:r w:rsidR="0085146B" w:rsidRPr="00997F75">
        <w:rPr>
          <w:rFonts w:ascii="Times New Roman" w:eastAsia="MS PGothic" w:hAnsi="Times New Roman"/>
          <w:lang w:val="en-US"/>
        </w:rPr>
        <w:t>The photodeposition of palladium onto illuminated surfaces of TiO</w:t>
      </w:r>
      <w:r w:rsidR="0085146B" w:rsidRPr="00997F75">
        <w:rPr>
          <w:rFonts w:ascii="Times New Roman" w:eastAsia="MS PGothic" w:hAnsi="Times New Roman"/>
          <w:vertAlign w:val="subscript"/>
          <w:lang w:val="en-US"/>
        </w:rPr>
        <w:t>2</w:t>
      </w:r>
      <w:r w:rsidR="00997F75">
        <w:rPr>
          <w:rFonts w:ascii="Times New Roman" w:eastAsia="MS PGothic" w:hAnsi="Times New Roman"/>
          <w:vertAlign w:val="subscript"/>
          <w:lang w:val="en-US"/>
        </w:rPr>
        <w:t xml:space="preserve"> </w:t>
      </w:r>
      <w:r w:rsidR="00997F75" w:rsidRPr="00997F75">
        <w:rPr>
          <w:rFonts w:ascii="Times New Roman" w:eastAsia="MS PGothic" w:hAnsi="Times New Roman"/>
          <w:lang w:val="en-US"/>
        </w:rPr>
        <w:fldChar w:fldCharType="begin" w:fldLock="1"/>
      </w:r>
      <w:r w:rsidR="00782EC5">
        <w:rPr>
          <w:rFonts w:ascii="Times New Roman" w:eastAsia="MS PGothic" w:hAnsi="Times New Roman"/>
          <w:lang w:val="en-US"/>
        </w:rPr>
        <w:instrText>ADDIN CSL_CITATION {"citationItems":[{"id":"ITEM-1","itemData":{"DOI":"10.1246/cl.1981.157","ISSN":"0366-7022","author":[{"dropping-particle":"","family":"Yoneyama","given":"Hiroshi","non-dropping-particle":"","parse-names":false,"suffix":""},{"dropping-particle":"","family":"Shiotani","given":"Hideyuki","non-dropping-particle":"","parse-names":false,"suffix":""},{"dropping-particle":"","family":"Nishimura","given":"Naritoshi","non-dropping-particle":"","parse-names":false,"suffix":""},{"dropping-particle":"","family":"Tamura","given":"Hideo","non-dropping-particle":"","parse-names":false,"suffix":""}],"container-title":"Chemistry Letters","id":"ITEM-1","issue":"2","issued":{"date-parts":[["1981"]]},"page":"157-160","title":" ACTIVE SITES OF TiO 2 SINGLE CRYSTAL SURFACE FOR PHOTODEPOSITION OF PALLADIUM ","type":"article-journal","volume":"10"},"uris":["http://www.mendeley.com/documents/?uuid=71a4bec3-fc04-4101-a484-f677e9a5ca4e"]}],"mendeley":{"formattedCitation":"[8]","manualFormatting":"[6]","plainTextFormattedCitation":"[8]","previouslyFormattedCitation":"[8]"},"properties":{"noteIndex":0},"schema":"https://github.com/citation-style-language/schema/raw/master/csl-citation.json"}</w:instrText>
      </w:r>
      <w:r w:rsidR="00997F75" w:rsidRPr="00997F75">
        <w:rPr>
          <w:rFonts w:ascii="Times New Roman" w:eastAsia="MS PGothic" w:hAnsi="Times New Roman"/>
          <w:lang w:val="en-US"/>
        </w:rPr>
        <w:fldChar w:fldCharType="separate"/>
      </w:r>
      <w:r w:rsidR="00997F75" w:rsidRPr="00997F75">
        <w:rPr>
          <w:rFonts w:ascii="Times New Roman" w:eastAsia="MS PGothic" w:hAnsi="Times New Roman"/>
          <w:noProof/>
          <w:lang w:val="en-US"/>
        </w:rPr>
        <w:t>[</w:t>
      </w:r>
      <w:r w:rsidR="00782EC5">
        <w:rPr>
          <w:rFonts w:ascii="Times New Roman" w:eastAsia="MS PGothic" w:hAnsi="Times New Roman"/>
          <w:noProof/>
          <w:lang w:val="en-US"/>
        </w:rPr>
        <w:t>6</w:t>
      </w:r>
      <w:r w:rsidR="00997F75" w:rsidRPr="00997F75">
        <w:rPr>
          <w:rFonts w:ascii="Times New Roman" w:eastAsia="MS PGothic" w:hAnsi="Times New Roman"/>
          <w:noProof/>
          <w:lang w:val="en-US"/>
        </w:rPr>
        <w:t>]</w:t>
      </w:r>
      <w:r w:rsidR="00997F75" w:rsidRPr="00997F75">
        <w:rPr>
          <w:rFonts w:ascii="Times New Roman" w:eastAsia="MS PGothic" w:hAnsi="Times New Roman"/>
          <w:lang w:val="en-US"/>
        </w:rPr>
        <w:fldChar w:fldCharType="end"/>
      </w:r>
      <w:r w:rsidR="00997F75">
        <w:rPr>
          <w:rFonts w:ascii="Times New Roman" w:eastAsia="MS PGothic" w:hAnsi="Times New Roman"/>
          <w:lang w:val="en-US"/>
        </w:rPr>
        <w:t xml:space="preserve"> and WO</w:t>
      </w:r>
      <w:r w:rsidR="00997F75">
        <w:rPr>
          <w:rFonts w:ascii="Times New Roman" w:eastAsia="MS PGothic" w:hAnsi="Times New Roman"/>
          <w:vertAlign w:val="subscript"/>
          <w:lang w:val="en-US"/>
        </w:rPr>
        <w:t xml:space="preserve">3 </w:t>
      </w:r>
      <w:r w:rsidR="00997F75">
        <w:rPr>
          <w:rFonts w:ascii="Times New Roman" w:eastAsia="MS PGothic" w:hAnsi="Times New Roman"/>
          <w:vertAlign w:val="subscript"/>
          <w:lang w:val="en-US"/>
        </w:rPr>
        <w:fldChar w:fldCharType="begin" w:fldLock="1"/>
      </w:r>
      <w:r w:rsidR="00782EC5">
        <w:rPr>
          <w:rFonts w:ascii="Times New Roman" w:eastAsia="MS PGothic" w:hAnsi="Times New Roman"/>
          <w:vertAlign w:val="subscript"/>
          <w:lang w:val="en-US"/>
        </w:rPr>
        <w:instrText>ADDIN CSL_CITATION {"citationItems":[{"id":"ITEM-1","itemData":{"DOI":"10.1016/j.apsusc.2018.05.122","ISSN":"01694332","abstract":"Solar light is inexhaustible, and therefore to take advantage of this energy it is necessary to develop materials capable of absorbing energy in the widest range of the solar spectra. Although TiO2 is one of the most studied photocatalysts, it only absorbs in the UV range. With the aim of increasing this light absorption towards the visible range, in this study Pd and WO3 were supported on bare TiO2 to determine their photocatalytic properties for generating hydrogen from water-methanol mixtures under UVA and solar irradiation. Several parameters for the hydrogen production, such as the amount of Pd and the catalyst as well as the influence of the water matrix were studied. These catalytic materials were characterized by means of inductively coupled plasma with an optical emission spectrophotometer, nitrogen adsorption-desorption isotherms, X-ray diffraction, high resolution – transmission electron microscopy, X-ray photoelectron spectroscopy and diffuse reflectance UV–Vis spectroscopy. The hydrogen evolution was monitored by online gas chromatography. The incorporation of a small amount of Pd (lower than 0.01 wt%) produced a large increase in the hydrogen production. Furthermore, adding WO3 on the bare titania also increased hydrogen generation. The highest quantum efficiency obtained in this work under solar radiation was 7.7% by the catalyst based on palladium supported on nanotubes of titanium dioxide and tungsten trioxide (Pd/NT-WO3) using an aqueous solution of methanol (50 vol%).","author":[{"dropping-particle":"","family":"Toledo Camacho","given":"Sandra Yurani","non-dropping-particle":"","parse-names":false,"suffix":""},{"dropping-particle":"","family":"Rey","given":"Ana","non-dropping-particle":"","parse-names":false,"suffix":""},{"dropping-particle":"","family":"Hernández-Alonso","given":"María Dolores","non-dropping-particle":"","parse-names":false,"suffix":""},{"dropping-particle":"","family":"Llorca","given":"Jordi","non-dropping-particle":"","parse-names":false,"suffix":""},{"dropping-particle":"","family":"Medina","given":"Francisco","non-dropping-particle":"","parse-names":false,"suffix":""},{"dropping-particle":"","family":"Contreras","given":"Sandra","non-dropping-particle":"","parse-names":false,"suffix":""}],"container-title":"Applied Surface Science","id":"ITEM-1","issue":"September 2017","issued":{"date-parts":[["2018"]]},"page":"570-580","publisher":"Elsevier","title":"Pd/TiO2-WO3 photocatalysts for hydrogen generation from water-methanol mixtures","type":"article-journal","volume":"455"},"uris":["http://www.mendeley.com/documents/?uuid=030fa003-fbf4-4b86-8504-4508061f02fa"]}],"mendeley":{"formattedCitation":"[9]","manualFormatting":"[7]","plainTextFormattedCitation":"[9]"},"properties":{"noteIndex":0},"schema":"https://github.com/citation-style-language/schema/raw/master/csl-citation.json"}</w:instrText>
      </w:r>
      <w:r w:rsidR="00997F75">
        <w:rPr>
          <w:rFonts w:ascii="Times New Roman" w:eastAsia="MS PGothic" w:hAnsi="Times New Roman"/>
          <w:vertAlign w:val="subscript"/>
          <w:lang w:val="en-US"/>
        </w:rPr>
        <w:fldChar w:fldCharType="separate"/>
      </w:r>
      <w:r w:rsidR="00782EC5">
        <w:rPr>
          <w:rFonts w:ascii="Times New Roman" w:eastAsia="MS PGothic" w:hAnsi="Times New Roman"/>
          <w:noProof/>
          <w:lang w:val="en-US"/>
        </w:rPr>
        <w:t>[7</w:t>
      </w:r>
      <w:r w:rsidR="00997F75" w:rsidRPr="00997F75">
        <w:rPr>
          <w:rFonts w:ascii="Times New Roman" w:eastAsia="MS PGothic" w:hAnsi="Times New Roman"/>
          <w:noProof/>
          <w:lang w:val="en-US"/>
        </w:rPr>
        <w:t>]</w:t>
      </w:r>
      <w:r w:rsidR="00997F75">
        <w:rPr>
          <w:rFonts w:ascii="Times New Roman" w:eastAsia="MS PGothic" w:hAnsi="Times New Roman"/>
          <w:vertAlign w:val="subscript"/>
          <w:lang w:val="en-US"/>
        </w:rPr>
        <w:fldChar w:fldCharType="end"/>
      </w:r>
      <w:r w:rsidR="00C307FC">
        <w:rPr>
          <w:rFonts w:ascii="Times New Roman" w:eastAsia="MS PGothic" w:hAnsi="Times New Roman"/>
          <w:lang w:val="en-US"/>
        </w:rPr>
        <w:t>, was carried out in an annular photocatalytic reactor under UV irradiation and inert atmosphere.</w:t>
      </w:r>
      <w:r w:rsidR="00997F75">
        <w:rPr>
          <w:rFonts w:ascii="Times New Roman" w:eastAsia="MS PGothic" w:hAnsi="Times New Roman"/>
          <w:lang w:val="en-US"/>
        </w:rPr>
        <w:t xml:space="preserve"> </w:t>
      </w:r>
      <w:r w:rsidR="009E2CEF" w:rsidRPr="009E2CEF">
        <w:rPr>
          <w:rFonts w:ascii="Times New Roman" w:eastAsia="MS PGothic" w:hAnsi="Times New Roman"/>
          <w:lang w:val="en-GB"/>
        </w:rPr>
        <w:t>For the production of the catalyst an aqueous solution at 12wt</w:t>
      </w:r>
      <w:r w:rsidR="009E2CEF">
        <w:rPr>
          <w:rFonts w:ascii="Times New Roman" w:eastAsia="MS PGothic" w:hAnsi="Times New Roman"/>
          <w:lang w:val="en-GB"/>
        </w:rPr>
        <w:t xml:space="preserve">. </w:t>
      </w:r>
      <w:r w:rsidR="009E2CEF" w:rsidRPr="009E2CEF">
        <w:rPr>
          <w:rFonts w:ascii="Times New Roman" w:eastAsia="MS PGothic" w:hAnsi="Times New Roman"/>
          <w:lang w:val="en-GB"/>
        </w:rPr>
        <w:t>% of Pd in ​​180 mg of TiO</w:t>
      </w:r>
      <w:r w:rsidR="009E2CEF" w:rsidRPr="009E2CEF">
        <w:rPr>
          <w:rFonts w:ascii="Times New Roman" w:eastAsia="MS PGothic" w:hAnsi="Times New Roman"/>
          <w:vertAlign w:val="subscript"/>
          <w:lang w:val="en-GB"/>
        </w:rPr>
        <w:t>2</w:t>
      </w:r>
      <w:r w:rsidR="009E2CEF" w:rsidRPr="009E2CEF">
        <w:rPr>
          <w:rFonts w:ascii="Times New Roman" w:eastAsia="MS PGothic" w:hAnsi="Times New Roman"/>
          <w:lang w:val="en-GB"/>
        </w:rPr>
        <w:t xml:space="preserve"> or WO</w:t>
      </w:r>
      <w:r w:rsidR="009E2CEF" w:rsidRPr="009E2CEF">
        <w:rPr>
          <w:rFonts w:ascii="Times New Roman" w:eastAsia="MS PGothic" w:hAnsi="Times New Roman"/>
          <w:vertAlign w:val="subscript"/>
          <w:lang w:val="en-GB"/>
        </w:rPr>
        <w:t>3</w:t>
      </w:r>
      <w:r w:rsidR="009E2CEF" w:rsidRPr="009E2CEF">
        <w:rPr>
          <w:rFonts w:ascii="Times New Roman" w:eastAsia="MS PGothic" w:hAnsi="Times New Roman"/>
          <w:lang w:val="en-GB"/>
        </w:rPr>
        <w:t>, st</w:t>
      </w:r>
      <w:r w:rsidR="009E2CEF">
        <w:rPr>
          <w:rFonts w:ascii="Times New Roman" w:eastAsia="MS PGothic" w:hAnsi="Times New Roman"/>
          <w:lang w:val="en-GB"/>
        </w:rPr>
        <w:t>arting from PdCl</w:t>
      </w:r>
      <w:r w:rsidR="009E2CEF" w:rsidRPr="009E2CEF">
        <w:rPr>
          <w:rFonts w:ascii="Times New Roman" w:eastAsia="MS PGothic" w:hAnsi="Times New Roman"/>
          <w:vertAlign w:val="subscript"/>
          <w:lang w:val="en-GB"/>
        </w:rPr>
        <w:t>2</w:t>
      </w:r>
      <w:r w:rsidR="009E2CEF">
        <w:rPr>
          <w:rFonts w:ascii="Times New Roman" w:eastAsia="MS PGothic" w:hAnsi="Times New Roman"/>
          <w:lang w:val="en-GB"/>
        </w:rPr>
        <w:t>, and at 10% v</w:t>
      </w:r>
      <w:r w:rsidR="009E2CEF" w:rsidRPr="009E2CEF">
        <w:rPr>
          <w:rFonts w:ascii="Times New Roman" w:eastAsia="MS PGothic" w:hAnsi="Times New Roman"/>
          <w:lang w:val="en-GB"/>
        </w:rPr>
        <w:t>/v of EtOH was prepared.</w:t>
      </w:r>
      <w:r w:rsidR="009E2CEF">
        <w:rPr>
          <w:rFonts w:ascii="Times New Roman" w:eastAsia="MS PGothic" w:hAnsi="Times New Roman"/>
          <w:lang w:val="en-GB"/>
        </w:rPr>
        <w:t xml:space="preserve"> </w:t>
      </w:r>
      <w:r w:rsidR="00322759" w:rsidRPr="00322759">
        <w:rPr>
          <w:rFonts w:ascii="Times New Roman" w:eastAsia="MS PGothic" w:hAnsi="Times New Roman"/>
          <w:lang w:val="en-GB"/>
        </w:rPr>
        <w:t xml:space="preserve">The photodeposition is done with a UV lamp with a wavelength </w:t>
      </w:r>
      <w:r w:rsidR="00322759" w:rsidRPr="00322759">
        <w:rPr>
          <w:rFonts w:ascii="Times New Roman" w:eastAsia="MS PGothic" w:hAnsi="Times New Roman"/>
        </w:rPr>
        <w:t>λ</w:t>
      </w:r>
      <w:r w:rsidR="00322759" w:rsidRPr="00322759">
        <w:rPr>
          <w:rFonts w:ascii="Times New Roman" w:eastAsia="MS PGothic" w:hAnsi="Times New Roman"/>
          <w:lang w:val="en-GB"/>
        </w:rPr>
        <w:t xml:space="preserve">=254 nm. The collected samples are centrifuged and </w:t>
      </w:r>
      <w:r w:rsidR="00C307FC">
        <w:rPr>
          <w:rFonts w:ascii="Times New Roman" w:eastAsia="MS PGothic" w:hAnsi="Times New Roman"/>
          <w:lang w:val="en-GB"/>
        </w:rPr>
        <w:t>dried</w:t>
      </w:r>
      <w:r w:rsidR="00322759" w:rsidRPr="00322759">
        <w:rPr>
          <w:rFonts w:ascii="Times New Roman" w:eastAsia="MS PGothic" w:hAnsi="Times New Roman"/>
          <w:lang w:val="en-GB"/>
        </w:rPr>
        <w:t xml:space="preserve"> at 75 ° C</w:t>
      </w:r>
      <w:r w:rsidR="00C307FC">
        <w:rPr>
          <w:rFonts w:ascii="Times New Roman" w:eastAsia="MS PGothic" w:hAnsi="Times New Roman"/>
          <w:lang w:val="en-GB"/>
        </w:rPr>
        <w:t xml:space="preserve"> under inert atmosphere</w:t>
      </w:r>
      <w:r w:rsidR="00322759" w:rsidRPr="00322759">
        <w:rPr>
          <w:rFonts w:ascii="Times New Roman" w:eastAsia="MS PGothic" w:hAnsi="Times New Roman"/>
          <w:lang w:val="en-GB"/>
        </w:rPr>
        <w:t>.</w:t>
      </w:r>
      <w:r w:rsidR="00C307FC">
        <w:rPr>
          <w:rFonts w:ascii="Times New Roman" w:eastAsia="MS PGothic" w:hAnsi="Times New Roman"/>
          <w:lang w:val="en-GB"/>
        </w:rPr>
        <w:t xml:space="preserve"> Catalytic tests were run in a closed jacketed reactor, under N</w:t>
      </w:r>
      <w:r w:rsidR="00C307FC" w:rsidRPr="004711D0">
        <w:rPr>
          <w:rFonts w:ascii="Times New Roman" w:eastAsia="MS PGothic" w:hAnsi="Times New Roman"/>
          <w:vertAlign w:val="subscript"/>
          <w:lang w:val="en-GB"/>
        </w:rPr>
        <w:t>2</w:t>
      </w:r>
      <w:r w:rsidR="00C307FC">
        <w:rPr>
          <w:rFonts w:ascii="Times New Roman" w:eastAsia="MS PGothic" w:hAnsi="Times New Roman"/>
          <w:lang w:val="en-GB"/>
        </w:rPr>
        <w:t xml:space="preserve"> inert atmosphere, adding 0.5 M sodium formate and the required amount of catalyst. Liquid samples were collected at different reaction time and analyzed by HPLC. Accumulated gas in the reactor was sampled at the end of each run and analyzed by GC. </w:t>
      </w:r>
    </w:p>
    <w:p w14:paraId="39E72997" w14:textId="3973867C" w:rsidR="007F3DA0" w:rsidRPr="0047746C" w:rsidRDefault="00DA51A3" w:rsidP="00782EC5">
      <w:pPr>
        <w:snapToGrid w:val="0"/>
        <w:spacing w:before="240" w:line="240" w:lineRule="auto"/>
        <w:jc w:val="both"/>
        <w:rPr>
          <w:rFonts w:ascii="Times New Roman" w:eastAsia="MS PGothic" w:hAnsi="Times New Roman"/>
          <w:lang w:val="en-GB"/>
        </w:rPr>
      </w:pPr>
      <w:r w:rsidRPr="004711D0">
        <w:rPr>
          <w:rFonts w:ascii="Times New Roman" w:eastAsia="MS PGothic" w:hAnsi="Times New Roman"/>
          <w:b/>
          <w:bCs/>
          <w:lang w:val="en-GB"/>
        </w:rPr>
        <w:t>3. Results</w:t>
      </w:r>
      <w:r w:rsidR="00782EC5">
        <w:rPr>
          <w:rFonts w:ascii="Times New Roman" w:eastAsia="MS PGothic" w:hAnsi="Times New Roman"/>
          <w:b/>
          <w:bCs/>
          <w:lang w:val="en-GB"/>
        </w:rPr>
        <w:tab/>
      </w:r>
      <w:r w:rsidRPr="004711D0">
        <w:rPr>
          <w:rFonts w:ascii="Times New Roman" w:eastAsia="MS PGothic" w:hAnsi="Times New Roman"/>
          <w:b/>
          <w:bCs/>
          <w:lang w:val="en-GB"/>
        </w:rPr>
        <w:t xml:space="preserve"> </w:t>
      </w:r>
      <w:r w:rsidR="00782EC5">
        <w:rPr>
          <w:rFonts w:ascii="Times New Roman" w:eastAsia="MS PGothic" w:hAnsi="Times New Roman"/>
          <w:b/>
          <w:bCs/>
          <w:lang w:val="en-GB"/>
        </w:rPr>
        <w:br/>
      </w:r>
      <w:r w:rsidR="007F3DA0" w:rsidRPr="00467A9B">
        <w:rPr>
          <w:rFonts w:ascii="Times New Roman" w:eastAsia="MS PGothic" w:hAnsi="Times New Roman"/>
          <w:lang w:val="en-GB"/>
        </w:rPr>
        <w:t xml:space="preserve">Various </w:t>
      </w:r>
      <w:r w:rsidR="007F3DA0">
        <w:rPr>
          <w:rFonts w:ascii="Times New Roman" w:eastAsia="MS PGothic" w:hAnsi="Times New Roman"/>
          <w:lang w:val="en-GB"/>
        </w:rPr>
        <w:t>operating parameters</w:t>
      </w:r>
      <w:r w:rsidR="007F3DA0" w:rsidRPr="00467A9B">
        <w:rPr>
          <w:rFonts w:ascii="Times New Roman" w:eastAsia="MS PGothic" w:hAnsi="Times New Roman"/>
          <w:lang w:val="en-GB"/>
        </w:rPr>
        <w:t xml:space="preserve"> that can influence the reaction (concentration of the reagent, preparation technique of the catalyst and its concentration, temperature, pH) have been investigated</w:t>
      </w:r>
      <w:r w:rsidR="007F3DA0">
        <w:rPr>
          <w:rFonts w:ascii="Times New Roman" w:eastAsia="MS PGothic" w:hAnsi="Times New Roman"/>
          <w:lang w:val="en-GB"/>
        </w:rPr>
        <w:t xml:space="preserve"> for dehydrogenation </w:t>
      </w:r>
      <w:r w:rsidR="007F3DA0">
        <w:rPr>
          <w:rFonts w:ascii="Times New Roman" w:eastAsia="MS PGothic" w:hAnsi="Times New Roman"/>
          <w:lang w:val="en-GB"/>
        </w:rPr>
        <w:lastRenderedPageBreak/>
        <w:t xml:space="preserve">of </w:t>
      </w:r>
      <w:r w:rsidR="00C307FC">
        <w:rPr>
          <w:rFonts w:ascii="Times New Roman" w:eastAsia="MS PGothic" w:hAnsi="Times New Roman"/>
          <w:lang w:val="en-GB"/>
        </w:rPr>
        <w:t xml:space="preserve">sodium </w:t>
      </w:r>
      <w:r w:rsidR="007F3DA0">
        <w:rPr>
          <w:rFonts w:ascii="Times New Roman" w:eastAsia="MS PGothic" w:hAnsi="Times New Roman"/>
          <w:lang w:val="en-GB"/>
        </w:rPr>
        <w:t>formate.</w:t>
      </w:r>
      <w:r w:rsidR="007F3DA0" w:rsidRPr="00467A9B">
        <w:rPr>
          <w:rFonts w:ascii="Times New Roman" w:eastAsia="MS PGothic" w:hAnsi="Times New Roman"/>
          <w:lang w:val="en-GB"/>
        </w:rPr>
        <w:t xml:space="preserve"> </w:t>
      </w:r>
      <w:r w:rsidR="007F3DA0">
        <w:rPr>
          <w:rFonts w:ascii="Times New Roman" w:eastAsia="MS PGothic" w:hAnsi="Times New Roman"/>
          <w:lang w:val="en-GB"/>
        </w:rPr>
        <w:t xml:space="preserve">In Fig. 2, the most promising results are summarized with respect to catalysts obtained by photo-deposition of Pd on different semiconductors, with a particular focus on pH, temperature, and </w:t>
      </w:r>
      <w:r w:rsidR="00592699">
        <w:rPr>
          <w:rFonts w:ascii="Times New Roman" w:eastAsia="MS PGothic" w:hAnsi="Times New Roman"/>
          <w:lang w:val="en-GB"/>
        </w:rPr>
        <w:t>support</w:t>
      </w:r>
      <w:r w:rsidR="007F3DA0">
        <w:rPr>
          <w:rFonts w:ascii="Times New Roman" w:eastAsia="MS PGothic" w:hAnsi="Times New Roman"/>
          <w:lang w:val="en-GB"/>
        </w:rPr>
        <w:t xml:space="preserve"> influence on dehydrogenation kinetics. </w:t>
      </w:r>
      <w:r w:rsidR="0047746C">
        <w:rPr>
          <w:rFonts w:ascii="Times New Roman" w:eastAsia="MS PGothic" w:hAnsi="Times New Roman"/>
          <w:lang w:val="en-GB"/>
        </w:rPr>
        <w:t>At present, photodeposited Pd on TiO</w:t>
      </w:r>
      <w:r w:rsidR="0047746C" w:rsidRPr="004711D0">
        <w:rPr>
          <w:rFonts w:ascii="Times New Roman" w:eastAsia="MS PGothic" w:hAnsi="Times New Roman"/>
          <w:vertAlign w:val="subscript"/>
          <w:lang w:val="en-GB"/>
        </w:rPr>
        <w:t>2</w:t>
      </w:r>
      <w:r w:rsidR="0047746C">
        <w:rPr>
          <w:rFonts w:ascii="Times New Roman" w:eastAsia="MS PGothic" w:hAnsi="Times New Roman"/>
          <w:lang w:val="en-GB"/>
        </w:rPr>
        <w:t xml:space="preserve"> resulted in the best performances compared to WO</w:t>
      </w:r>
      <w:r w:rsidR="0047746C" w:rsidRPr="004711D0">
        <w:rPr>
          <w:rFonts w:ascii="Times New Roman" w:eastAsia="MS PGothic" w:hAnsi="Times New Roman"/>
          <w:vertAlign w:val="subscript"/>
          <w:lang w:val="en-GB"/>
        </w:rPr>
        <w:t>3</w:t>
      </w:r>
      <w:r w:rsidR="0047746C">
        <w:rPr>
          <w:rFonts w:ascii="Times New Roman" w:eastAsia="MS PGothic" w:hAnsi="Times New Roman"/>
          <w:lang w:val="en-GB"/>
        </w:rPr>
        <w:t xml:space="preserve"> and ZnO (data not shown). pH affects reaction kinetics, the best range being 7-9. As expected, temperature increase significantly affects formates conversion and hydrogen release rates. </w:t>
      </w:r>
    </w:p>
    <w:p w14:paraId="39F71D52" w14:textId="636C50F3" w:rsidR="00AF0BD5" w:rsidRDefault="0085146B" w:rsidP="004711D0">
      <w:pPr>
        <w:snapToGrid w:val="0"/>
        <w:spacing w:before="240" w:line="240" w:lineRule="auto"/>
        <w:jc w:val="center"/>
        <w:rPr>
          <w:rFonts w:ascii="Times New Roman" w:eastAsia="MS PGothic" w:hAnsi="Times New Roman"/>
          <w:b/>
          <w:bCs/>
          <w:lang w:val="en-US"/>
        </w:rPr>
      </w:pPr>
      <w:r>
        <w:rPr>
          <w:noProof/>
          <w:lang w:val="en-GB" w:eastAsia="en-GB"/>
        </w:rPr>
        <mc:AlternateContent>
          <mc:Choice Requires="wps">
            <w:drawing>
              <wp:anchor distT="0" distB="0" distL="114300" distR="114300" simplePos="0" relativeHeight="251661312" behindDoc="0" locked="0" layoutInCell="1" allowOverlap="1" wp14:anchorId="4D6A6C9E" wp14:editId="315A81BD">
                <wp:simplePos x="0" y="0"/>
                <wp:positionH relativeFrom="margin">
                  <wp:posOffset>3006090</wp:posOffset>
                </wp:positionH>
                <wp:positionV relativeFrom="paragraph">
                  <wp:posOffset>6985</wp:posOffset>
                </wp:positionV>
                <wp:extent cx="342900" cy="320040"/>
                <wp:effectExtent l="0" t="0" r="0" b="3810"/>
                <wp:wrapNone/>
                <wp:docPr id="8" name="Casella di testo 8"/>
                <wp:cNvGraphicFramePr/>
                <a:graphic xmlns:a="http://schemas.openxmlformats.org/drawingml/2006/main">
                  <a:graphicData uri="http://schemas.microsoft.com/office/word/2010/wordprocessingShape">
                    <wps:wsp>
                      <wps:cNvSpPr txBox="1"/>
                      <wps:spPr>
                        <a:xfrm>
                          <a:off x="0" y="0"/>
                          <a:ext cx="34290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B8998" w14:textId="5E2CC27D" w:rsidR="0085146B" w:rsidRDefault="0085146B" w:rsidP="0085146B">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A6C9E" id="_x0000_t202" coordsize="21600,21600" o:spt="202" path="m,l,21600r21600,l21600,xe">
                <v:stroke joinstyle="miter"/>
                <v:path gradientshapeok="t" o:connecttype="rect"/>
              </v:shapetype>
              <v:shape id="Casella di testo 8" o:spid="_x0000_s1026" type="#_x0000_t202" style="position:absolute;left:0;text-align:left;margin-left:236.7pt;margin-top:.55pt;width:27pt;height:2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" filled="f" stroked="f" strokeweight=".5pt">
                <v:textbox>
                  <w:txbxContent>
                    <w:p w14:paraId="6FDB8998" w14:textId="5E2CC27D" w:rsidR="0085146B" w:rsidRDefault="0085146B" w:rsidP="0085146B">
                      <w:r>
                        <w:t>b)</w:t>
                      </w:r>
                    </w:p>
                  </w:txbxContent>
                </v:textbox>
                <w10:wrap anchorx="margin"/>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56C9D16A" wp14:editId="4BF6EF62">
                <wp:simplePos x="0" y="0"/>
                <wp:positionH relativeFrom="margin">
                  <wp:posOffset>-60960</wp:posOffset>
                </wp:positionH>
                <wp:positionV relativeFrom="paragraph">
                  <wp:posOffset>6985</wp:posOffset>
                </wp:positionV>
                <wp:extent cx="342900" cy="320040"/>
                <wp:effectExtent l="0" t="0" r="0" b="3810"/>
                <wp:wrapNone/>
                <wp:docPr id="7" name="Casella di testo 7"/>
                <wp:cNvGraphicFramePr/>
                <a:graphic xmlns:a="http://schemas.openxmlformats.org/drawingml/2006/main">
                  <a:graphicData uri="http://schemas.microsoft.com/office/word/2010/wordprocessingShape">
                    <wps:wsp>
                      <wps:cNvSpPr txBox="1"/>
                      <wps:spPr>
                        <a:xfrm>
                          <a:off x="0" y="0"/>
                          <a:ext cx="34290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03AEF" w14:textId="015E6536" w:rsidR="0085146B" w:rsidRDefault="0085146B">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9D16A" id="Casella di testo 7" o:spid="_x0000_s1027" type="#_x0000_t202" style="position:absolute;left:0;text-align:left;margin-left:-4.8pt;margin-top:.55pt;width:27pt;height:2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" filled="f" stroked="f" strokeweight=".5pt">
                <v:textbox>
                  <w:txbxContent>
                    <w:p w14:paraId="04D03AEF" w14:textId="015E6536" w:rsidR="0085146B" w:rsidRDefault="0085146B">
                      <w:r>
                        <w:t>a)</w:t>
                      </w:r>
                    </w:p>
                  </w:txbxContent>
                </v:textbox>
                <w10:wrap anchorx="margin"/>
              </v:shape>
            </w:pict>
          </mc:Fallback>
        </mc:AlternateContent>
      </w:r>
      <w:r w:rsidR="00AF0BD5">
        <w:rPr>
          <w:noProof/>
          <w:lang w:val="en-GB" w:eastAsia="en-GB"/>
        </w:rPr>
        <w:drawing>
          <wp:inline distT="0" distB="0" distL="0" distR="0" wp14:anchorId="54A18AC2" wp14:editId="5251551B">
            <wp:extent cx="3063240" cy="1958340"/>
            <wp:effectExtent l="0" t="0" r="3810" b="381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F0BD5">
        <w:rPr>
          <w:noProof/>
          <w:lang w:val="en-GB" w:eastAsia="en-GB"/>
        </w:rPr>
        <w:drawing>
          <wp:inline distT="0" distB="0" distL="0" distR="0" wp14:anchorId="599312AC" wp14:editId="438B4E8D">
            <wp:extent cx="3025140" cy="1950720"/>
            <wp:effectExtent l="0" t="0" r="3810" b="11430"/>
            <wp:docPr id="6"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814B2B" w14:textId="166F8F4F" w:rsidR="00322759" w:rsidRPr="004711D0" w:rsidRDefault="00322759" w:rsidP="004711D0">
      <w:pPr>
        <w:pStyle w:val="Didascalia"/>
        <w:jc w:val="both"/>
        <w:rPr>
          <w:rFonts w:ascii="Times New Roman" w:hAnsi="Times New Roman" w:cs="Times New Roman"/>
          <w:lang w:val="en-GB"/>
        </w:rPr>
      </w:pPr>
      <w:r w:rsidRPr="004711D0">
        <w:rPr>
          <w:rFonts w:ascii="Times New Roman" w:hAnsi="Times New Roman" w:cs="Times New Roman"/>
          <w:lang w:val="en-GB"/>
        </w:rPr>
        <w:t xml:space="preserve">Figure </w:t>
      </w:r>
      <w:r w:rsidRPr="004711D0">
        <w:rPr>
          <w:rFonts w:ascii="Times New Roman" w:hAnsi="Times New Roman" w:cs="Times New Roman"/>
        </w:rPr>
        <w:fldChar w:fldCharType="begin"/>
      </w:r>
      <w:r w:rsidRPr="004711D0">
        <w:rPr>
          <w:rFonts w:ascii="Times New Roman" w:hAnsi="Times New Roman" w:cs="Times New Roman"/>
          <w:lang w:val="en-GB"/>
        </w:rPr>
        <w:instrText xml:space="preserve"> SEQ Figure \* ARABIC </w:instrText>
      </w:r>
      <w:r w:rsidRPr="004711D0">
        <w:rPr>
          <w:rFonts w:ascii="Times New Roman" w:hAnsi="Times New Roman" w:cs="Times New Roman"/>
        </w:rPr>
        <w:fldChar w:fldCharType="separate"/>
      </w:r>
      <w:r w:rsidRPr="004711D0">
        <w:rPr>
          <w:rFonts w:ascii="Times New Roman" w:hAnsi="Times New Roman" w:cs="Times New Roman"/>
          <w:noProof/>
          <w:lang w:val="en-GB"/>
        </w:rPr>
        <w:t>2</w:t>
      </w:r>
      <w:r w:rsidRPr="004711D0">
        <w:rPr>
          <w:rFonts w:ascii="Times New Roman" w:hAnsi="Times New Roman" w:cs="Times New Roman"/>
        </w:rPr>
        <w:fldChar w:fldCharType="end"/>
      </w:r>
      <w:r w:rsidRPr="004711D0">
        <w:rPr>
          <w:rFonts w:ascii="Times New Roman" w:hAnsi="Times New Roman" w:cs="Times New Roman"/>
          <w:lang w:val="en-GB"/>
        </w:rPr>
        <w:t xml:space="preserve"> - a) effect of pH for the dehydrogenation reaction of HCOONa</w:t>
      </w:r>
      <w:r w:rsidR="0047746C" w:rsidRPr="004711D0">
        <w:rPr>
          <w:rFonts w:ascii="Times New Roman" w:hAnsi="Times New Roman" w:cs="Times New Roman"/>
          <w:lang w:val="en-GB"/>
        </w:rPr>
        <w:t xml:space="preserve"> 0.5 M</w:t>
      </w:r>
      <w:r w:rsidRPr="004711D0">
        <w:rPr>
          <w:rFonts w:ascii="Times New Roman" w:hAnsi="Times New Roman" w:cs="Times New Roman"/>
          <w:lang w:val="en-GB"/>
        </w:rPr>
        <w:t xml:space="preserve"> at T=75°C using </w:t>
      </w:r>
      <w:r w:rsidR="0047746C" w:rsidRPr="004711D0">
        <w:rPr>
          <w:rFonts w:ascii="Times New Roman" w:hAnsi="Times New Roman" w:cs="Times New Roman"/>
          <w:lang w:val="en-GB"/>
        </w:rPr>
        <w:t xml:space="preserve">12 wt% </w:t>
      </w:r>
      <w:r w:rsidRPr="004711D0">
        <w:rPr>
          <w:rFonts w:ascii="Times New Roman" w:hAnsi="Times New Roman" w:cs="Times New Roman"/>
          <w:lang w:val="en-GB"/>
        </w:rPr>
        <w:t>Pd/TiO</w:t>
      </w:r>
      <w:r w:rsidRPr="004711D0">
        <w:rPr>
          <w:rFonts w:ascii="Times New Roman" w:hAnsi="Times New Roman" w:cs="Times New Roman"/>
          <w:vertAlign w:val="subscript"/>
          <w:lang w:val="en-GB"/>
        </w:rPr>
        <w:t>2</w:t>
      </w:r>
      <w:r w:rsidRPr="004711D0">
        <w:rPr>
          <w:rFonts w:ascii="Times New Roman" w:hAnsi="Times New Roman" w:cs="Times New Roman"/>
          <w:lang w:val="en-GB"/>
        </w:rPr>
        <w:t xml:space="preserve"> as </w:t>
      </w:r>
      <w:r w:rsidR="00757937" w:rsidRPr="004711D0">
        <w:rPr>
          <w:rFonts w:ascii="Times New Roman" w:hAnsi="Times New Roman" w:cs="Times New Roman"/>
          <w:lang w:val="en-GB"/>
        </w:rPr>
        <w:t>catalyst; b) production of NaHC</w:t>
      </w:r>
      <w:r w:rsidRPr="004711D0">
        <w:rPr>
          <w:rFonts w:ascii="Times New Roman" w:hAnsi="Times New Roman" w:cs="Times New Roman"/>
          <w:lang w:val="en-GB"/>
        </w:rPr>
        <w:t>O</w:t>
      </w:r>
      <w:r w:rsidRPr="004711D0">
        <w:rPr>
          <w:rFonts w:ascii="Times New Roman" w:hAnsi="Times New Roman" w:cs="Times New Roman"/>
          <w:vertAlign w:val="subscript"/>
          <w:lang w:val="en-GB"/>
        </w:rPr>
        <w:t>3</w:t>
      </w:r>
      <w:r w:rsidRPr="004711D0">
        <w:rPr>
          <w:rFonts w:ascii="Times New Roman" w:hAnsi="Times New Roman" w:cs="Times New Roman"/>
          <w:lang w:val="en-GB"/>
        </w:rPr>
        <w:t xml:space="preserve"> starting from the dehydrogenation reactio</w:t>
      </w:r>
      <w:r w:rsidR="007F3DA0" w:rsidRPr="004711D0">
        <w:rPr>
          <w:rFonts w:ascii="Times New Roman" w:hAnsi="Times New Roman" w:cs="Times New Roman"/>
          <w:lang w:val="en-GB"/>
        </w:rPr>
        <w:t>n at pH=8</w:t>
      </w:r>
      <w:r w:rsidR="00C307FC" w:rsidRPr="004711D0">
        <w:rPr>
          <w:rFonts w:ascii="Times New Roman" w:hAnsi="Times New Roman" w:cs="Times New Roman"/>
          <w:lang w:val="en-GB"/>
        </w:rPr>
        <w:t>;</w:t>
      </w:r>
      <w:r w:rsidR="007F3DA0" w:rsidRPr="004711D0">
        <w:rPr>
          <w:rFonts w:ascii="Times New Roman" w:hAnsi="Times New Roman" w:cs="Times New Roman"/>
          <w:lang w:val="en-GB"/>
        </w:rPr>
        <w:t xml:space="preserve"> </w:t>
      </w:r>
      <w:r w:rsidRPr="004711D0">
        <w:rPr>
          <w:rFonts w:ascii="Times New Roman" w:hAnsi="Times New Roman" w:cs="Times New Roman"/>
          <w:lang w:val="en-GB"/>
        </w:rPr>
        <w:t>orange: Pd/TiO</w:t>
      </w:r>
      <w:r w:rsidRPr="004711D0">
        <w:rPr>
          <w:rFonts w:ascii="Times New Roman" w:hAnsi="Times New Roman" w:cs="Times New Roman"/>
          <w:vertAlign w:val="subscript"/>
          <w:lang w:val="en-GB"/>
        </w:rPr>
        <w:t>2</w:t>
      </w:r>
      <w:r w:rsidR="00C307FC" w:rsidRPr="004711D0">
        <w:rPr>
          <w:rFonts w:ascii="Times New Roman" w:hAnsi="Times New Roman" w:cs="Times New Roman"/>
          <w:lang w:val="en-GB"/>
        </w:rPr>
        <w:t>,</w:t>
      </w:r>
      <w:r w:rsidR="007F3DA0" w:rsidRPr="004711D0">
        <w:rPr>
          <w:rFonts w:ascii="Times New Roman" w:hAnsi="Times New Roman" w:cs="Times New Roman"/>
          <w:lang w:val="en-GB"/>
        </w:rPr>
        <w:t xml:space="preserve"> T=85°C; blue: Pd/TiO</w:t>
      </w:r>
      <w:r w:rsidR="007F3DA0" w:rsidRPr="004711D0">
        <w:rPr>
          <w:rFonts w:ascii="Times New Roman" w:hAnsi="Times New Roman" w:cs="Times New Roman"/>
          <w:vertAlign w:val="subscript"/>
          <w:lang w:val="en-GB"/>
        </w:rPr>
        <w:t>2</w:t>
      </w:r>
      <w:r w:rsidR="00C307FC" w:rsidRPr="004711D0">
        <w:rPr>
          <w:rFonts w:ascii="Times New Roman" w:hAnsi="Times New Roman" w:cs="Times New Roman"/>
          <w:lang w:val="en-GB"/>
        </w:rPr>
        <w:t>,</w:t>
      </w:r>
      <w:r w:rsidR="007F3DA0" w:rsidRPr="004711D0">
        <w:rPr>
          <w:rFonts w:ascii="Times New Roman" w:hAnsi="Times New Roman" w:cs="Times New Roman"/>
          <w:lang w:val="en-GB"/>
        </w:rPr>
        <w:t xml:space="preserve"> T=75°C; gr</w:t>
      </w:r>
      <w:r w:rsidR="00C307FC" w:rsidRPr="004711D0">
        <w:rPr>
          <w:rFonts w:ascii="Times New Roman" w:hAnsi="Times New Roman" w:cs="Times New Roman"/>
          <w:lang w:val="en-GB"/>
        </w:rPr>
        <w:t>e</w:t>
      </w:r>
      <w:r w:rsidR="007F3DA0" w:rsidRPr="004711D0">
        <w:rPr>
          <w:rFonts w:ascii="Times New Roman" w:hAnsi="Times New Roman" w:cs="Times New Roman"/>
          <w:lang w:val="en-GB"/>
        </w:rPr>
        <w:t>y: Pd/WO</w:t>
      </w:r>
      <w:r w:rsidR="007F3DA0" w:rsidRPr="004711D0">
        <w:rPr>
          <w:rFonts w:ascii="Times New Roman" w:hAnsi="Times New Roman" w:cs="Times New Roman"/>
          <w:vertAlign w:val="subscript"/>
          <w:lang w:val="en-GB"/>
        </w:rPr>
        <w:t>3</w:t>
      </w:r>
      <w:r w:rsidR="00C307FC" w:rsidRPr="004711D0">
        <w:rPr>
          <w:rFonts w:ascii="Times New Roman" w:hAnsi="Times New Roman" w:cs="Times New Roman"/>
          <w:lang w:val="en-GB"/>
        </w:rPr>
        <w:t>,</w:t>
      </w:r>
      <w:r w:rsidR="007F3DA0" w:rsidRPr="004711D0">
        <w:rPr>
          <w:rFonts w:ascii="Times New Roman" w:hAnsi="Times New Roman" w:cs="Times New Roman"/>
          <w:lang w:val="en-GB"/>
        </w:rPr>
        <w:t xml:space="preserve"> T=75°C;</w:t>
      </w:r>
    </w:p>
    <w:p w14:paraId="789FE999" w14:textId="7C723C0C" w:rsidR="004711D0" w:rsidRDefault="00DA51A3" w:rsidP="00782EC5">
      <w:pPr>
        <w:snapToGrid w:val="0"/>
        <w:spacing w:before="240" w:line="240" w:lineRule="auto"/>
        <w:jc w:val="both"/>
        <w:rPr>
          <w:rFonts w:ascii="Times New Roman" w:eastAsia="MS PGothic" w:hAnsi="Times New Roman"/>
          <w:lang w:val="en-US"/>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r w:rsidR="00782EC5">
        <w:rPr>
          <w:rFonts w:ascii="Times New Roman" w:eastAsia="MS PGothic" w:hAnsi="Times New Roman"/>
          <w:b/>
          <w:bCs/>
          <w:lang w:val="en-US" w:eastAsia="ko-KR"/>
        </w:rPr>
        <w:tab/>
      </w:r>
      <w:r w:rsidR="00782EC5">
        <w:rPr>
          <w:rFonts w:ascii="Times New Roman" w:eastAsia="MS PGothic" w:hAnsi="Times New Roman"/>
          <w:b/>
          <w:bCs/>
          <w:lang w:val="en-US" w:eastAsia="ko-KR"/>
        </w:rPr>
        <w:br/>
      </w:r>
      <w:r w:rsidR="00B0131C">
        <w:rPr>
          <w:rFonts w:ascii="Times New Roman" w:eastAsia="MS PGothic" w:hAnsi="Times New Roman"/>
          <w:lang w:val="en-US"/>
        </w:rPr>
        <w:t xml:space="preserve">Preliminary results show </w:t>
      </w:r>
      <w:r w:rsidR="006F62F4">
        <w:rPr>
          <w:rFonts w:ascii="Times New Roman" w:eastAsia="MS PGothic" w:hAnsi="Times New Roman"/>
          <w:lang w:val="en-US"/>
        </w:rPr>
        <w:t>the activity</w:t>
      </w:r>
      <w:r w:rsidR="0014072F">
        <w:rPr>
          <w:rFonts w:ascii="Times New Roman" w:eastAsia="MS PGothic" w:hAnsi="Times New Roman"/>
          <w:lang w:val="en-US"/>
        </w:rPr>
        <w:t xml:space="preserve"> of</w:t>
      </w:r>
      <w:r w:rsidR="00B0131C">
        <w:rPr>
          <w:rFonts w:ascii="Times New Roman" w:eastAsia="MS PGothic" w:hAnsi="Times New Roman"/>
          <w:lang w:val="en-US"/>
        </w:rPr>
        <w:t xml:space="preserve"> </w:t>
      </w:r>
      <w:r w:rsidR="006F62F4">
        <w:rPr>
          <w:rFonts w:ascii="Times New Roman" w:eastAsia="MS PGothic" w:hAnsi="Times New Roman"/>
          <w:lang w:val="en-US"/>
        </w:rPr>
        <w:t xml:space="preserve">photo-deposited noble metals on semiconductors to catalyze formates dehydrogenation. pH of the solution, as well as the choice of the </w:t>
      </w:r>
      <w:r w:rsidR="00592699">
        <w:rPr>
          <w:rFonts w:ascii="Times New Roman" w:eastAsia="MS PGothic" w:hAnsi="Times New Roman"/>
          <w:lang w:val="en-US"/>
        </w:rPr>
        <w:t>support</w:t>
      </w:r>
      <w:r w:rsidR="006F62F4">
        <w:rPr>
          <w:rFonts w:ascii="Times New Roman" w:eastAsia="MS PGothic" w:hAnsi="Times New Roman"/>
          <w:lang w:val="en-US"/>
        </w:rPr>
        <w:t xml:space="preserve"> and the operating conditions are crucial to determine hydrogen release kinetics. Based on this, in</w:t>
      </w:r>
      <w:r w:rsidR="00EB5F46" w:rsidRPr="00EB5F46">
        <w:rPr>
          <w:rFonts w:ascii="Times New Roman" w:eastAsia="MS PGothic" w:hAnsi="Times New Roman"/>
          <w:lang w:val="en-US"/>
        </w:rPr>
        <w:t xml:space="preserve"> an approach based on the principles of the circular economy, the possibility of using solutions containing the noble metal coming from leaching processes (solid-liquid extraction) of waste materials such as exhausted catalytic converters or cards from electronic waste will be evaluated</w:t>
      </w:r>
      <w:r w:rsidR="00EB5F46">
        <w:rPr>
          <w:rFonts w:ascii="Times New Roman" w:eastAsia="MS PGothic" w:hAnsi="Times New Roman"/>
          <w:lang w:val="en-US"/>
        </w:rPr>
        <w:t xml:space="preserve">. </w:t>
      </w:r>
      <w:r w:rsidR="005836B0" w:rsidRPr="0089587C">
        <w:rPr>
          <w:rFonts w:ascii="Times New Roman" w:eastAsia="MS PGothic" w:hAnsi="Times New Roman"/>
          <w:lang w:val="en-US"/>
        </w:rPr>
        <w:t xml:space="preserve">The </w:t>
      </w:r>
      <w:r w:rsidR="005836B0" w:rsidRPr="005836B0">
        <w:rPr>
          <w:rFonts w:ascii="Times New Roman" w:eastAsia="MS PGothic" w:hAnsi="Times New Roman"/>
          <w:lang w:val="en-US"/>
        </w:rPr>
        <w:t>activity will also be extended t</w:t>
      </w:r>
      <w:r w:rsidR="002B0ACF">
        <w:rPr>
          <w:rFonts w:ascii="Times New Roman" w:eastAsia="MS PGothic" w:hAnsi="Times New Roman"/>
          <w:lang w:val="en-US"/>
        </w:rPr>
        <w:t xml:space="preserve">o </w:t>
      </w:r>
      <w:r w:rsidR="0014072F">
        <w:rPr>
          <w:rFonts w:ascii="Times New Roman" w:eastAsia="MS PGothic" w:hAnsi="Times New Roman"/>
          <w:lang w:val="en-US"/>
        </w:rPr>
        <w:t>the activity</w:t>
      </w:r>
      <w:r w:rsidR="004711D0">
        <w:rPr>
          <w:rFonts w:ascii="Times New Roman" w:eastAsia="MS PGothic" w:hAnsi="Times New Roman"/>
          <w:lang w:val="en-US"/>
        </w:rPr>
        <w:t xml:space="preserve"> </w:t>
      </w:r>
      <w:r w:rsidR="005836B0" w:rsidRPr="00467A9B">
        <w:rPr>
          <w:rFonts w:ascii="Times New Roman" w:eastAsia="MS PGothic" w:hAnsi="Times New Roman"/>
          <w:lang w:val="en-US"/>
        </w:rPr>
        <w:t>of other noble metals</w:t>
      </w:r>
      <w:r w:rsidR="006F62F4">
        <w:rPr>
          <w:rFonts w:ascii="Times New Roman" w:eastAsia="MS PGothic" w:hAnsi="Times New Roman"/>
          <w:lang w:val="en-US"/>
        </w:rPr>
        <w:t>,</w:t>
      </w:r>
      <w:r w:rsidR="005836B0" w:rsidRPr="00467A9B">
        <w:rPr>
          <w:rFonts w:ascii="Times New Roman" w:eastAsia="MS PGothic" w:hAnsi="Times New Roman"/>
          <w:lang w:val="en-US"/>
        </w:rPr>
        <w:t xml:space="preserve"> such as Ru</w:t>
      </w:r>
      <w:r w:rsidR="0014072F">
        <w:rPr>
          <w:rFonts w:ascii="Times New Roman" w:eastAsia="MS PGothic" w:hAnsi="Times New Roman"/>
          <w:lang w:val="en-US"/>
        </w:rPr>
        <w:t>,</w:t>
      </w:r>
      <w:r w:rsidR="005836B0" w:rsidRPr="00467A9B">
        <w:rPr>
          <w:rFonts w:ascii="Times New Roman" w:eastAsia="MS PGothic" w:hAnsi="Times New Roman"/>
          <w:lang w:val="en-US"/>
        </w:rPr>
        <w:t xml:space="preserve"> Pt</w:t>
      </w:r>
      <w:r w:rsidR="006F62F4">
        <w:rPr>
          <w:rFonts w:ascii="Times New Roman" w:eastAsia="MS PGothic" w:hAnsi="Times New Roman"/>
          <w:lang w:val="en-US"/>
        </w:rPr>
        <w:t>,</w:t>
      </w:r>
      <w:r w:rsidR="0014072F">
        <w:rPr>
          <w:rFonts w:ascii="Times New Roman" w:eastAsia="MS PGothic" w:hAnsi="Times New Roman"/>
          <w:lang w:val="en-US"/>
        </w:rPr>
        <w:t xml:space="preserve"> Cu, and Ni,</w:t>
      </w:r>
      <w:r w:rsidR="005836B0" w:rsidRPr="00467A9B">
        <w:rPr>
          <w:rFonts w:ascii="Times New Roman" w:eastAsia="MS PGothic" w:hAnsi="Times New Roman"/>
          <w:lang w:val="en-US"/>
        </w:rPr>
        <w:t xml:space="preserve"> and alloys deposited on </w:t>
      </w:r>
      <w:r w:rsidR="005836B0" w:rsidRPr="005836B0">
        <w:rPr>
          <w:rFonts w:ascii="Times New Roman" w:eastAsia="MS PGothic" w:hAnsi="Times New Roman"/>
          <w:lang w:val="en-US"/>
        </w:rPr>
        <w:t>suitable supports.</w:t>
      </w:r>
    </w:p>
    <w:p w14:paraId="1845F659" w14:textId="29D18274" w:rsidR="00DA51A3" w:rsidRPr="00466FFD" w:rsidRDefault="00DA51A3" w:rsidP="004711D0">
      <w:pPr>
        <w:snapToGrid w:val="0"/>
        <w:spacing w:after="120" w:line="240" w:lineRule="auto"/>
        <w:jc w:val="both"/>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55AE9188" w14:textId="42CD2FE3" w:rsidR="00997F75" w:rsidRPr="009E2CEF" w:rsidRDefault="00F84E90" w:rsidP="00997F75">
      <w:pPr>
        <w:widowControl w:val="0"/>
        <w:autoSpaceDE w:val="0"/>
        <w:autoSpaceDN w:val="0"/>
        <w:adjustRightInd w:val="0"/>
        <w:spacing w:after="120" w:line="240" w:lineRule="auto"/>
        <w:ind w:left="640" w:hanging="640"/>
        <w:rPr>
          <w:rFonts w:ascii="Times New Roman" w:hAnsi="Times New Roman" w:cs="Times New Roman"/>
          <w:noProof/>
          <w:szCs w:val="24"/>
          <w:lang w:val="en-GB"/>
        </w:rPr>
      </w:pPr>
      <w:r>
        <w:rPr>
          <w:rFonts w:ascii="Times New Roman" w:eastAsia="MS PGothic" w:hAnsi="Times New Roman"/>
          <w:lang w:val="en-US"/>
        </w:rPr>
        <w:fldChar w:fldCharType="begin" w:fldLock="1"/>
      </w:r>
      <w:r>
        <w:rPr>
          <w:rFonts w:ascii="Times New Roman" w:eastAsia="MS PGothic" w:hAnsi="Times New Roman"/>
          <w:lang w:val="en-US"/>
        </w:rPr>
        <w:instrText xml:space="preserve">ADDIN Mendeley Bibliography CSL_BIBLIOGRAPHY </w:instrText>
      </w:r>
      <w:r>
        <w:rPr>
          <w:rFonts w:ascii="Times New Roman" w:eastAsia="MS PGothic" w:hAnsi="Times New Roman"/>
          <w:lang w:val="en-US"/>
        </w:rPr>
        <w:fldChar w:fldCharType="separate"/>
      </w:r>
      <w:r w:rsidR="00997F75" w:rsidRPr="009E2CEF">
        <w:rPr>
          <w:rFonts w:ascii="Times New Roman" w:hAnsi="Times New Roman" w:cs="Times New Roman"/>
          <w:noProof/>
          <w:szCs w:val="24"/>
          <w:lang w:val="en-GB"/>
        </w:rPr>
        <w:t>[1]</w:t>
      </w:r>
      <w:r w:rsidR="00997F75" w:rsidRPr="009E2CEF">
        <w:rPr>
          <w:rFonts w:ascii="Times New Roman" w:hAnsi="Times New Roman" w:cs="Times New Roman"/>
          <w:noProof/>
          <w:szCs w:val="24"/>
          <w:lang w:val="en-GB"/>
        </w:rPr>
        <w:tab/>
        <w:t xml:space="preserve">A. Bahuguna and Y. Sasson, “Formate-Bicarbonate Cycle as a Vehicle for Hydrogen and Energy Storage,” </w:t>
      </w:r>
      <w:r w:rsidR="00997F75" w:rsidRPr="009E2CEF">
        <w:rPr>
          <w:rFonts w:ascii="Times New Roman" w:hAnsi="Times New Roman" w:cs="Times New Roman"/>
          <w:i/>
          <w:iCs/>
          <w:noProof/>
          <w:szCs w:val="24"/>
          <w:lang w:val="en-GB"/>
        </w:rPr>
        <w:t>ChemSusChem</w:t>
      </w:r>
      <w:r w:rsidR="00997F75" w:rsidRPr="009E2CEF">
        <w:rPr>
          <w:rFonts w:ascii="Times New Roman" w:hAnsi="Times New Roman" w:cs="Times New Roman"/>
          <w:noProof/>
          <w:szCs w:val="24"/>
          <w:lang w:val="en-GB"/>
        </w:rPr>
        <w:t>, vol. 14, no. 5, pp. 1258–1283, 2021, doi: 10.1002/cssc.202002433.</w:t>
      </w:r>
    </w:p>
    <w:p w14:paraId="2511EC12" w14:textId="77777777" w:rsidR="00997F75" w:rsidRPr="009E2CEF" w:rsidRDefault="00997F75" w:rsidP="00997F75">
      <w:pPr>
        <w:widowControl w:val="0"/>
        <w:autoSpaceDE w:val="0"/>
        <w:autoSpaceDN w:val="0"/>
        <w:adjustRightInd w:val="0"/>
        <w:spacing w:after="120" w:line="240" w:lineRule="auto"/>
        <w:ind w:left="640" w:hanging="640"/>
        <w:rPr>
          <w:rFonts w:ascii="Times New Roman" w:hAnsi="Times New Roman" w:cs="Times New Roman"/>
          <w:noProof/>
          <w:szCs w:val="24"/>
          <w:lang w:val="en-GB"/>
        </w:rPr>
      </w:pPr>
      <w:r w:rsidRPr="009E2CEF">
        <w:rPr>
          <w:rFonts w:ascii="Times New Roman" w:hAnsi="Times New Roman" w:cs="Times New Roman"/>
          <w:noProof/>
          <w:szCs w:val="24"/>
          <w:lang w:val="en-GB"/>
        </w:rPr>
        <w:t>[2]</w:t>
      </w:r>
      <w:r w:rsidRPr="009E2CEF">
        <w:rPr>
          <w:rFonts w:ascii="Times New Roman" w:hAnsi="Times New Roman" w:cs="Times New Roman"/>
          <w:noProof/>
          <w:szCs w:val="24"/>
          <w:lang w:val="en-GB"/>
        </w:rPr>
        <w:tab/>
        <w:t xml:space="preserve">X. Zhu </w:t>
      </w:r>
      <w:r w:rsidRPr="009E2CEF">
        <w:rPr>
          <w:rFonts w:ascii="Times New Roman" w:hAnsi="Times New Roman" w:cs="Times New Roman"/>
          <w:i/>
          <w:iCs/>
          <w:noProof/>
          <w:szCs w:val="24"/>
          <w:lang w:val="en-GB"/>
        </w:rPr>
        <w:t>et al.</w:t>
      </w:r>
      <w:r w:rsidRPr="009E2CEF">
        <w:rPr>
          <w:rFonts w:ascii="Times New Roman" w:hAnsi="Times New Roman" w:cs="Times New Roman"/>
          <w:noProof/>
          <w:szCs w:val="24"/>
          <w:lang w:val="en-GB"/>
        </w:rPr>
        <w:t xml:space="preserve">, “Tandem catalysis induced by hollow PdO: Highly efficient H2 generation coupled with organic dye degradation: Via sodium formate reforming,” </w:t>
      </w:r>
      <w:r w:rsidRPr="009E2CEF">
        <w:rPr>
          <w:rFonts w:ascii="Times New Roman" w:hAnsi="Times New Roman" w:cs="Times New Roman"/>
          <w:i/>
          <w:iCs/>
          <w:noProof/>
          <w:szCs w:val="24"/>
          <w:lang w:val="en-GB"/>
        </w:rPr>
        <w:t>Catal. Sci. Technol.</w:t>
      </w:r>
      <w:r w:rsidRPr="009E2CEF">
        <w:rPr>
          <w:rFonts w:ascii="Times New Roman" w:hAnsi="Times New Roman" w:cs="Times New Roman"/>
          <w:noProof/>
          <w:szCs w:val="24"/>
          <w:lang w:val="en-GB"/>
        </w:rPr>
        <w:t>, vol. 8, no. 23, pp. 6217–6227, 2018, doi: 10.1039/c8cy01551a.</w:t>
      </w:r>
    </w:p>
    <w:p w14:paraId="3B9A23F7" w14:textId="77777777" w:rsidR="00997F75" w:rsidRPr="009E2CEF" w:rsidRDefault="00997F75" w:rsidP="00997F75">
      <w:pPr>
        <w:widowControl w:val="0"/>
        <w:autoSpaceDE w:val="0"/>
        <w:autoSpaceDN w:val="0"/>
        <w:adjustRightInd w:val="0"/>
        <w:spacing w:after="120" w:line="240" w:lineRule="auto"/>
        <w:ind w:left="640" w:hanging="640"/>
        <w:rPr>
          <w:rFonts w:ascii="Times New Roman" w:hAnsi="Times New Roman" w:cs="Times New Roman"/>
          <w:noProof/>
          <w:szCs w:val="24"/>
          <w:lang w:val="en-GB"/>
        </w:rPr>
      </w:pPr>
      <w:r w:rsidRPr="009E2CEF">
        <w:rPr>
          <w:rFonts w:ascii="Times New Roman" w:hAnsi="Times New Roman" w:cs="Times New Roman"/>
          <w:noProof/>
          <w:szCs w:val="24"/>
          <w:lang w:val="en-GB"/>
        </w:rPr>
        <w:t>[3]</w:t>
      </w:r>
      <w:r w:rsidRPr="009E2CEF">
        <w:rPr>
          <w:rFonts w:ascii="Times New Roman" w:hAnsi="Times New Roman" w:cs="Times New Roman"/>
          <w:noProof/>
          <w:szCs w:val="24"/>
          <w:lang w:val="en-GB"/>
        </w:rPr>
        <w:tab/>
        <w:t xml:space="preserve">E. González </w:t>
      </w:r>
      <w:r w:rsidRPr="009E2CEF">
        <w:rPr>
          <w:rFonts w:ascii="Times New Roman" w:hAnsi="Times New Roman" w:cs="Times New Roman"/>
          <w:i/>
          <w:iCs/>
          <w:noProof/>
          <w:szCs w:val="24"/>
          <w:lang w:val="en-GB"/>
        </w:rPr>
        <w:t>et al.</w:t>
      </w:r>
      <w:r w:rsidRPr="009E2CEF">
        <w:rPr>
          <w:rFonts w:ascii="Times New Roman" w:hAnsi="Times New Roman" w:cs="Times New Roman"/>
          <w:noProof/>
          <w:szCs w:val="24"/>
          <w:lang w:val="en-GB"/>
        </w:rPr>
        <w:t xml:space="preserve">, “Hydrogenation of sodium hydrogen carbonate in aqueous phase using metal/activated carbon catalysts,” </w:t>
      </w:r>
      <w:r w:rsidRPr="009E2CEF">
        <w:rPr>
          <w:rFonts w:ascii="Times New Roman" w:hAnsi="Times New Roman" w:cs="Times New Roman"/>
          <w:i/>
          <w:iCs/>
          <w:noProof/>
          <w:szCs w:val="24"/>
          <w:lang w:val="en-GB"/>
        </w:rPr>
        <w:t>Appl. Catal. B Environ.</w:t>
      </w:r>
      <w:r w:rsidRPr="009E2CEF">
        <w:rPr>
          <w:rFonts w:ascii="Times New Roman" w:hAnsi="Times New Roman" w:cs="Times New Roman"/>
          <w:noProof/>
          <w:szCs w:val="24"/>
          <w:lang w:val="en-GB"/>
        </w:rPr>
        <w:t>, vol. 224, pp. 368–375, 2018, doi: 10.1016/j.apcatb.2017.10.038.</w:t>
      </w:r>
    </w:p>
    <w:p w14:paraId="236281C4" w14:textId="77777777" w:rsidR="00997F75" w:rsidRPr="004711D0" w:rsidRDefault="00997F75" w:rsidP="004711D0">
      <w:pPr>
        <w:widowControl w:val="0"/>
        <w:autoSpaceDE w:val="0"/>
        <w:autoSpaceDN w:val="0"/>
        <w:adjustRightInd w:val="0"/>
        <w:spacing w:after="120" w:line="240" w:lineRule="auto"/>
        <w:ind w:left="640" w:hanging="640"/>
        <w:rPr>
          <w:rFonts w:ascii="Times New Roman" w:hAnsi="Times New Roman" w:cs="Times New Roman"/>
          <w:noProof/>
          <w:sz w:val="20"/>
          <w:szCs w:val="24"/>
          <w:lang w:val="en-GB"/>
        </w:rPr>
      </w:pPr>
      <w:r w:rsidRPr="009E2CEF">
        <w:rPr>
          <w:rFonts w:ascii="Times New Roman" w:hAnsi="Times New Roman" w:cs="Times New Roman"/>
          <w:noProof/>
          <w:szCs w:val="24"/>
          <w:lang w:val="en-GB"/>
        </w:rPr>
        <w:t>[4]</w:t>
      </w:r>
      <w:r w:rsidRPr="009E2CEF">
        <w:rPr>
          <w:rFonts w:ascii="Times New Roman" w:hAnsi="Times New Roman" w:cs="Times New Roman"/>
          <w:noProof/>
          <w:szCs w:val="24"/>
          <w:lang w:val="en-GB"/>
        </w:rPr>
        <w:tab/>
        <w:t xml:space="preserve">C. Fellay, P. J. Dyson, and G. Laurenczy, “A viable hydrogen-storage system based on selective formic acid decomposition with a ruthenium catalyst,” </w:t>
      </w:r>
      <w:r w:rsidRPr="009E2CEF">
        <w:rPr>
          <w:rFonts w:ascii="Times New Roman" w:hAnsi="Times New Roman" w:cs="Times New Roman"/>
          <w:i/>
          <w:iCs/>
          <w:noProof/>
          <w:szCs w:val="24"/>
          <w:lang w:val="en-GB"/>
        </w:rPr>
        <w:t>Angew. Chemie - Int. Ed.</w:t>
      </w:r>
      <w:r w:rsidRPr="009E2CEF">
        <w:rPr>
          <w:rFonts w:ascii="Times New Roman" w:hAnsi="Times New Roman" w:cs="Times New Roman"/>
          <w:noProof/>
          <w:szCs w:val="24"/>
          <w:lang w:val="en-GB"/>
        </w:rPr>
        <w:t>, vol. 47, no. 21, pp. 3966–3968, 2008, doi: 10.1002/anie.200800320.</w:t>
      </w:r>
    </w:p>
    <w:p w14:paraId="1BAF8F8F" w14:textId="353F0902" w:rsidR="00997F75" w:rsidRPr="009E2CEF" w:rsidRDefault="00782EC5" w:rsidP="00997F75">
      <w:pPr>
        <w:widowControl w:val="0"/>
        <w:autoSpaceDE w:val="0"/>
        <w:autoSpaceDN w:val="0"/>
        <w:adjustRightInd w:val="0"/>
        <w:spacing w:after="120" w:line="240" w:lineRule="auto"/>
        <w:ind w:left="640" w:hanging="640"/>
        <w:rPr>
          <w:rFonts w:ascii="Times New Roman" w:hAnsi="Times New Roman" w:cs="Times New Roman"/>
          <w:noProof/>
          <w:szCs w:val="24"/>
          <w:lang w:val="en-GB"/>
        </w:rPr>
      </w:pPr>
      <w:r>
        <w:rPr>
          <w:rFonts w:ascii="Times New Roman" w:hAnsi="Times New Roman" w:cs="Times New Roman"/>
          <w:noProof/>
          <w:szCs w:val="24"/>
          <w:lang w:val="en-GB"/>
        </w:rPr>
        <w:t>[5</w:t>
      </w:r>
      <w:r w:rsidR="00997F75" w:rsidRPr="009E2CEF">
        <w:rPr>
          <w:rFonts w:ascii="Times New Roman" w:hAnsi="Times New Roman" w:cs="Times New Roman"/>
          <w:noProof/>
          <w:szCs w:val="24"/>
          <w:lang w:val="en-GB"/>
        </w:rPr>
        <w:t>]</w:t>
      </w:r>
      <w:r w:rsidR="00997F75" w:rsidRPr="009E2CEF">
        <w:rPr>
          <w:rFonts w:ascii="Times New Roman" w:hAnsi="Times New Roman" w:cs="Times New Roman"/>
          <w:noProof/>
          <w:szCs w:val="24"/>
          <w:lang w:val="en-GB"/>
        </w:rPr>
        <w:tab/>
        <w:t xml:space="preserve">X. Shao, X. Miao, T. Zhang, W. Wang, J. Wang, and X. Ji, “Pd Nanoparticles Supported on N- And P-Co-doped Carbon as Catalysts for Reversible Formate-Based Chemical Hydrogen Storage,” </w:t>
      </w:r>
      <w:r w:rsidR="00997F75" w:rsidRPr="009E2CEF">
        <w:rPr>
          <w:rFonts w:ascii="Times New Roman" w:hAnsi="Times New Roman" w:cs="Times New Roman"/>
          <w:i/>
          <w:iCs/>
          <w:noProof/>
          <w:szCs w:val="24"/>
          <w:lang w:val="en-GB"/>
        </w:rPr>
        <w:t>ACS Appl. Nano Mater.</w:t>
      </w:r>
      <w:r w:rsidR="00997F75" w:rsidRPr="009E2CEF">
        <w:rPr>
          <w:rFonts w:ascii="Times New Roman" w:hAnsi="Times New Roman" w:cs="Times New Roman"/>
          <w:noProof/>
          <w:szCs w:val="24"/>
          <w:lang w:val="en-GB"/>
        </w:rPr>
        <w:t>, vol. 3, no. 9, pp. 9209–9217, 2020, doi: 10.1021/acsanm.0c01830.</w:t>
      </w:r>
    </w:p>
    <w:p w14:paraId="39232E5A" w14:textId="6E3B132D" w:rsidR="00997F75" w:rsidRPr="009E2CEF" w:rsidRDefault="00782EC5" w:rsidP="00997F75">
      <w:pPr>
        <w:widowControl w:val="0"/>
        <w:autoSpaceDE w:val="0"/>
        <w:autoSpaceDN w:val="0"/>
        <w:adjustRightInd w:val="0"/>
        <w:spacing w:after="120" w:line="240" w:lineRule="auto"/>
        <w:ind w:left="640" w:hanging="640"/>
        <w:rPr>
          <w:rFonts w:ascii="Times New Roman" w:hAnsi="Times New Roman" w:cs="Times New Roman"/>
          <w:noProof/>
          <w:szCs w:val="24"/>
          <w:lang w:val="en-GB"/>
        </w:rPr>
      </w:pPr>
      <w:r>
        <w:rPr>
          <w:rFonts w:ascii="Times New Roman" w:hAnsi="Times New Roman" w:cs="Times New Roman"/>
          <w:noProof/>
          <w:szCs w:val="24"/>
          <w:lang w:val="en-GB"/>
        </w:rPr>
        <w:t>[6</w:t>
      </w:r>
      <w:r w:rsidR="00997F75" w:rsidRPr="009E2CEF">
        <w:rPr>
          <w:rFonts w:ascii="Times New Roman" w:hAnsi="Times New Roman" w:cs="Times New Roman"/>
          <w:noProof/>
          <w:szCs w:val="24"/>
          <w:lang w:val="en-GB"/>
        </w:rPr>
        <w:t>]</w:t>
      </w:r>
      <w:r w:rsidR="00997F75" w:rsidRPr="009E2CEF">
        <w:rPr>
          <w:rFonts w:ascii="Times New Roman" w:hAnsi="Times New Roman" w:cs="Times New Roman"/>
          <w:noProof/>
          <w:szCs w:val="24"/>
          <w:lang w:val="en-GB"/>
        </w:rPr>
        <w:tab/>
        <w:t xml:space="preserve">H. Yoneyama, H. Shiotani, N. Nishimura, and H. Tamura, “ ACTIVE SITES OF TiO 2 SINGLE CRYSTAL SURFACE FOR PHOTODEPOSITION OF PALLADIUM ,” </w:t>
      </w:r>
      <w:r w:rsidR="00997F75" w:rsidRPr="009E2CEF">
        <w:rPr>
          <w:rFonts w:ascii="Times New Roman" w:hAnsi="Times New Roman" w:cs="Times New Roman"/>
          <w:i/>
          <w:iCs/>
          <w:noProof/>
          <w:szCs w:val="24"/>
          <w:lang w:val="en-GB"/>
        </w:rPr>
        <w:t>Chem. Lett.</w:t>
      </w:r>
      <w:r w:rsidR="00997F75" w:rsidRPr="009E2CEF">
        <w:rPr>
          <w:rFonts w:ascii="Times New Roman" w:hAnsi="Times New Roman" w:cs="Times New Roman"/>
          <w:noProof/>
          <w:szCs w:val="24"/>
          <w:lang w:val="en-GB"/>
        </w:rPr>
        <w:t>, vol. 10, no. 2, pp. 157–160, 1981, doi: 10.1246/cl.1981.157.</w:t>
      </w:r>
    </w:p>
    <w:p w14:paraId="5A650773" w14:textId="6E144251" w:rsidR="005B71B2" w:rsidRPr="00DA51A3" w:rsidRDefault="00782EC5" w:rsidP="00782EC5">
      <w:pPr>
        <w:widowControl w:val="0"/>
        <w:autoSpaceDE w:val="0"/>
        <w:autoSpaceDN w:val="0"/>
        <w:adjustRightInd w:val="0"/>
        <w:spacing w:after="120" w:line="240" w:lineRule="auto"/>
        <w:ind w:left="640" w:hanging="640"/>
        <w:rPr>
          <w:lang w:val="en-US"/>
        </w:rPr>
      </w:pPr>
      <w:r>
        <w:rPr>
          <w:rFonts w:ascii="Times New Roman" w:hAnsi="Times New Roman" w:cs="Times New Roman"/>
          <w:noProof/>
          <w:szCs w:val="24"/>
          <w:lang w:val="en-GB"/>
        </w:rPr>
        <w:t>[7</w:t>
      </w:r>
      <w:r w:rsidR="00997F75" w:rsidRPr="009E2CEF">
        <w:rPr>
          <w:rFonts w:ascii="Times New Roman" w:hAnsi="Times New Roman" w:cs="Times New Roman"/>
          <w:noProof/>
          <w:szCs w:val="24"/>
          <w:lang w:val="en-GB"/>
        </w:rPr>
        <w:t>]</w:t>
      </w:r>
      <w:r w:rsidR="00997F75" w:rsidRPr="009E2CEF">
        <w:rPr>
          <w:rFonts w:ascii="Times New Roman" w:hAnsi="Times New Roman" w:cs="Times New Roman"/>
          <w:noProof/>
          <w:szCs w:val="24"/>
          <w:lang w:val="en-GB"/>
        </w:rPr>
        <w:tab/>
        <w:t xml:space="preserve">S. Y. Toledo Camacho, A. Rey, M. D. Hernández-Alonso, J. Llorca, F. Medina, and S. Contreras, “Pd/TiO2-WO3 photocatalysts for hydrogen generation from water-methanol mixtures,” </w:t>
      </w:r>
      <w:r w:rsidR="00997F75" w:rsidRPr="009E2CEF">
        <w:rPr>
          <w:rFonts w:ascii="Times New Roman" w:hAnsi="Times New Roman" w:cs="Times New Roman"/>
          <w:i/>
          <w:iCs/>
          <w:noProof/>
          <w:szCs w:val="24"/>
          <w:lang w:val="en-GB"/>
        </w:rPr>
        <w:t xml:space="preserve">Appl. </w:t>
      </w:r>
      <w:r w:rsidR="00997F75" w:rsidRPr="00782EC5">
        <w:rPr>
          <w:rFonts w:ascii="Times New Roman" w:hAnsi="Times New Roman" w:cs="Times New Roman"/>
          <w:i/>
          <w:iCs/>
          <w:noProof/>
          <w:szCs w:val="24"/>
          <w:lang w:val="en-GB"/>
        </w:rPr>
        <w:t>Surf. Sci.</w:t>
      </w:r>
      <w:r w:rsidR="00997F75" w:rsidRPr="00782EC5">
        <w:rPr>
          <w:rFonts w:ascii="Times New Roman" w:hAnsi="Times New Roman" w:cs="Times New Roman"/>
          <w:noProof/>
          <w:szCs w:val="24"/>
          <w:lang w:val="en-GB"/>
        </w:rPr>
        <w:t>, vol. 455, no. September 2017, pp. 570–580, 2018, doi: 10.1016/j.apsusc.2018.05.122.</w:t>
      </w:r>
      <w:r w:rsidR="00F84E90">
        <w:rPr>
          <w:rFonts w:ascii="Times New Roman" w:eastAsia="MS PGothic" w:hAnsi="Times New Roman"/>
          <w:lang w:val="en-US"/>
        </w:rPr>
        <w:fldChar w:fldCharType="end"/>
      </w:r>
    </w:p>
    <w:sectPr w:rsidR="005B71B2" w:rsidRPr="00DA51A3" w:rsidSect="001D0E0C">
      <w:headerReference w:type="default" r:id="rId11"/>
      <w:head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EB7D" w14:textId="77777777" w:rsidR="00424669" w:rsidRDefault="00424669" w:rsidP="001D0E0C">
      <w:pPr>
        <w:spacing w:after="0" w:line="240" w:lineRule="auto"/>
      </w:pPr>
      <w:r>
        <w:separator/>
      </w:r>
    </w:p>
  </w:endnote>
  <w:endnote w:type="continuationSeparator" w:id="0">
    <w:p w14:paraId="174ACECB" w14:textId="77777777" w:rsidR="00424669" w:rsidRDefault="00424669"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A1F2" w14:textId="77777777" w:rsidR="00424669" w:rsidRDefault="00424669" w:rsidP="001D0E0C">
      <w:pPr>
        <w:spacing w:after="0" w:line="240" w:lineRule="auto"/>
      </w:pPr>
      <w:r>
        <w:separator/>
      </w:r>
    </w:p>
  </w:footnote>
  <w:footnote w:type="continuationSeparator" w:id="0">
    <w:p w14:paraId="5D4DDB68" w14:textId="77777777" w:rsidR="00424669" w:rsidRDefault="00424669"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(Italy), July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lang w:val="en-GB" w:eastAsia="en-GB"/>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lang w:val="en-GB" w:eastAsia="en-GB"/>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DEDD9"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1A3"/>
    <w:rsid w:val="00032331"/>
    <w:rsid w:val="000517B4"/>
    <w:rsid w:val="000931EF"/>
    <w:rsid w:val="000F28DE"/>
    <w:rsid w:val="0014072F"/>
    <w:rsid w:val="0018667F"/>
    <w:rsid w:val="001B060D"/>
    <w:rsid w:val="001D0E0C"/>
    <w:rsid w:val="0020311D"/>
    <w:rsid w:val="002032DB"/>
    <w:rsid w:val="00280EE1"/>
    <w:rsid w:val="00282847"/>
    <w:rsid w:val="002B0ACF"/>
    <w:rsid w:val="002F1268"/>
    <w:rsid w:val="00304F54"/>
    <w:rsid w:val="00322759"/>
    <w:rsid w:val="00362BCD"/>
    <w:rsid w:val="00374D97"/>
    <w:rsid w:val="003F160A"/>
    <w:rsid w:val="00402674"/>
    <w:rsid w:val="00417BDF"/>
    <w:rsid w:val="00424669"/>
    <w:rsid w:val="00467A9B"/>
    <w:rsid w:val="004711D0"/>
    <w:rsid w:val="0047326E"/>
    <w:rsid w:val="0047746C"/>
    <w:rsid w:val="004C49BA"/>
    <w:rsid w:val="004C56B4"/>
    <w:rsid w:val="004C706E"/>
    <w:rsid w:val="00547FAF"/>
    <w:rsid w:val="005602A6"/>
    <w:rsid w:val="0057175F"/>
    <w:rsid w:val="005836B0"/>
    <w:rsid w:val="00592699"/>
    <w:rsid w:val="005B71B2"/>
    <w:rsid w:val="005C2A12"/>
    <w:rsid w:val="00665742"/>
    <w:rsid w:val="006807B0"/>
    <w:rsid w:val="00697CD6"/>
    <w:rsid w:val="006D5029"/>
    <w:rsid w:val="006F52DA"/>
    <w:rsid w:val="006F62F4"/>
    <w:rsid w:val="00757937"/>
    <w:rsid w:val="007625E7"/>
    <w:rsid w:val="00766F1E"/>
    <w:rsid w:val="00782EC5"/>
    <w:rsid w:val="007F3DA0"/>
    <w:rsid w:val="008141BD"/>
    <w:rsid w:val="00833A1A"/>
    <w:rsid w:val="0085146B"/>
    <w:rsid w:val="008538CA"/>
    <w:rsid w:val="008871B1"/>
    <w:rsid w:val="0089587C"/>
    <w:rsid w:val="008E72AD"/>
    <w:rsid w:val="00916C33"/>
    <w:rsid w:val="00997F75"/>
    <w:rsid w:val="009B5957"/>
    <w:rsid w:val="009D1B51"/>
    <w:rsid w:val="009E2CEF"/>
    <w:rsid w:val="00A61491"/>
    <w:rsid w:val="00AA462A"/>
    <w:rsid w:val="00AB1801"/>
    <w:rsid w:val="00AF0BD5"/>
    <w:rsid w:val="00B0131C"/>
    <w:rsid w:val="00B47F99"/>
    <w:rsid w:val="00B67B42"/>
    <w:rsid w:val="00BA1290"/>
    <w:rsid w:val="00BC6324"/>
    <w:rsid w:val="00BD002E"/>
    <w:rsid w:val="00C307FC"/>
    <w:rsid w:val="00C40840"/>
    <w:rsid w:val="00D03DB3"/>
    <w:rsid w:val="00D24DD0"/>
    <w:rsid w:val="00D322F1"/>
    <w:rsid w:val="00D412A9"/>
    <w:rsid w:val="00DA51A3"/>
    <w:rsid w:val="00DD2D8C"/>
    <w:rsid w:val="00DE0AED"/>
    <w:rsid w:val="00E22E42"/>
    <w:rsid w:val="00E36BED"/>
    <w:rsid w:val="00E422E4"/>
    <w:rsid w:val="00EA0C00"/>
    <w:rsid w:val="00EB5F46"/>
    <w:rsid w:val="00F24290"/>
    <w:rsid w:val="00F570CD"/>
    <w:rsid w:val="00F84E90"/>
    <w:rsid w:val="00FB3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Didascalia">
    <w:name w:val="caption"/>
    <w:basedOn w:val="Normale"/>
    <w:next w:val="Normale"/>
    <w:uiPriority w:val="35"/>
    <w:unhideWhenUsed/>
    <w:qFormat/>
    <w:rsid w:val="002F1268"/>
    <w:pPr>
      <w:spacing w:after="200" w:line="240" w:lineRule="auto"/>
    </w:pPr>
    <w:rPr>
      <w:i/>
      <w:iCs/>
      <w:color w:val="44546A" w:themeColor="text2"/>
      <w:sz w:val="18"/>
      <w:szCs w:val="18"/>
    </w:rPr>
  </w:style>
  <w:style w:type="character" w:styleId="Rimandocommento">
    <w:name w:val="annotation reference"/>
    <w:basedOn w:val="Carpredefinitoparagrafo"/>
    <w:uiPriority w:val="99"/>
    <w:semiHidden/>
    <w:unhideWhenUsed/>
    <w:rsid w:val="00B0131C"/>
    <w:rPr>
      <w:sz w:val="16"/>
      <w:szCs w:val="16"/>
    </w:rPr>
  </w:style>
  <w:style w:type="paragraph" w:styleId="Testocommento">
    <w:name w:val="annotation text"/>
    <w:basedOn w:val="Normale"/>
    <w:link w:val="TestocommentoCarattere"/>
    <w:uiPriority w:val="99"/>
    <w:semiHidden/>
    <w:unhideWhenUsed/>
    <w:rsid w:val="00B0131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0131C"/>
    <w:rPr>
      <w:sz w:val="20"/>
      <w:szCs w:val="20"/>
    </w:rPr>
  </w:style>
  <w:style w:type="paragraph" w:styleId="Soggettocommento">
    <w:name w:val="annotation subject"/>
    <w:basedOn w:val="Testocommento"/>
    <w:next w:val="Testocommento"/>
    <w:link w:val="SoggettocommentoCarattere"/>
    <w:uiPriority w:val="99"/>
    <w:semiHidden/>
    <w:unhideWhenUsed/>
    <w:rsid w:val="00B0131C"/>
    <w:rPr>
      <w:b/>
      <w:bCs/>
    </w:rPr>
  </w:style>
  <w:style w:type="character" w:customStyle="1" w:styleId="SoggettocommentoCarattere">
    <w:name w:val="Soggetto commento Carattere"/>
    <w:basedOn w:val="TestocommentoCarattere"/>
    <w:link w:val="Soggettocommento"/>
    <w:uiPriority w:val="99"/>
    <w:semiHidden/>
    <w:rsid w:val="00B0131C"/>
    <w:rPr>
      <w:b/>
      <w:bCs/>
      <w:sz w:val="20"/>
      <w:szCs w:val="20"/>
    </w:rPr>
  </w:style>
  <w:style w:type="character" w:styleId="Testosegnaposto">
    <w:name w:val="Placeholder Text"/>
    <w:basedOn w:val="Carpredefinitoparagrafo"/>
    <w:uiPriority w:val="99"/>
    <w:semiHidden/>
    <w:rsid w:val="006F52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prova\Dropbox\Formiate_bicarbonate%20for%20h2%20storage\esperimenti\PROVE\prov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rova\Dropbox\Formiate_bicarbonate%20for%20h2%20storage\esperimenti\PROVE\prov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50253979446599"/>
          <c:y val="7.1335927367055768E-2"/>
          <c:w val="0.71998668076938144"/>
          <c:h val="0.70555572576774206"/>
        </c:manualLayout>
      </c:layout>
      <c:scatterChart>
        <c:scatterStyle val="lineMarker"/>
        <c:varyColors val="0"/>
        <c:ser>
          <c:idx val="1"/>
          <c:order val="0"/>
          <c:tx>
            <c:v>bicarbonato</c:v>
          </c:tx>
          <c:spPr>
            <a:ln w="19050" cap="rnd">
              <a:solidFill>
                <a:srgbClr val="0070C0"/>
              </a:solidFill>
              <a:round/>
            </a:ln>
            <a:effectLst/>
          </c:spPr>
          <c:marker>
            <c:symbol val="circle"/>
            <c:size val="5"/>
            <c:spPr>
              <a:solidFill>
                <a:schemeClr val="accent2"/>
              </a:solidFill>
              <a:ln w="9525">
                <a:solidFill>
                  <a:schemeClr val="accent2"/>
                </a:solidFill>
              </a:ln>
              <a:effectLst/>
            </c:spPr>
          </c:marker>
          <c:xVal>
            <c:numRef>
              <c:f>'confronto pH'!$C$6:$C$13</c:f>
              <c:numCache>
                <c:formatCode>General</c:formatCode>
                <c:ptCount val="8"/>
                <c:pt idx="0">
                  <c:v>4</c:v>
                </c:pt>
                <c:pt idx="1">
                  <c:v>5</c:v>
                </c:pt>
                <c:pt idx="2">
                  <c:v>6</c:v>
                </c:pt>
                <c:pt idx="3">
                  <c:v>7</c:v>
                </c:pt>
                <c:pt idx="4">
                  <c:v>8</c:v>
                </c:pt>
                <c:pt idx="5">
                  <c:v>9</c:v>
                </c:pt>
                <c:pt idx="6">
                  <c:v>10</c:v>
                </c:pt>
              </c:numCache>
            </c:numRef>
          </c:xVal>
          <c:yVal>
            <c:numRef>
              <c:f>'confronto pH'!$E$6:$E$12</c:f>
              <c:numCache>
                <c:formatCode>General</c:formatCode>
                <c:ptCount val="7"/>
                <c:pt idx="0">
                  <c:v>0</c:v>
                </c:pt>
                <c:pt idx="1">
                  <c:v>8.6999999999999994E-2</c:v>
                </c:pt>
                <c:pt idx="2">
                  <c:v>0.27900000000000003</c:v>
                </c:pt>
                <c:pt idx="3">
                  <c:v>0.30399999999999999</c:v>
                </c:pt>
                <c:pt idx="4">
                  <c:v>0.29499999999999998</c:v>
                </c:pt>
                <c:pt idx="5">
                  <c:v>0.28799999999999998</c:v>
                </c:pt>
                <c:pt idx="6">
                  <c:v>0.19400000000000001</c:v>
                </c:pt>
              </c:numCache>
            </c:numRef>
          </c:yVal>
          <c:smooth val="0"/>
          <c:extLst>
            <c:ext xmlns:c16="http://schemas.microsoft.com/office/drawing/2014/chart" uri="{C3380CC4-5D6E-409C-BE32-E72D297353CC}">
              <c16:uniqueId val="{00000000-5728-47D9-9A39-297BD2E45107}"/>
            </c:ext>
          </c:extLst>
        </c:ser>
        <c:dLbls>
          <c:showLegendKey val="0"/>
          <c:showVal val="0"/>
          <c:showCatName val="0"/>
          <c:showSerName val="0"/>
          <c:showPercent val="0"/>
          <c:showBubbleSize val="0"/>
        </c:dLbls>
        <c:axId val="1339077120"/>
        <c:axId val="1339079840"/>
      </c:scatterChart>
      <c:valAx>
        <c:axId val="1339077120"/>
        <c:scaling>
          <c:orientation val="minMax"/>
          <c:max val="10"/>
          <c:min val="4"/>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39079840"/>
        <c:crosses val="autoZero"/>
        <c:crossBetween val="midCat"/>
      </c:valAx>
      <c:valAx>
        <c:axId val="1339079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a:t>
                </a:r>
                <a:r>
                  <a:rPr lang="en-US" baseline="0"/>
                  <a:t>  </a:t>
                </a:r>
                <a:r>
                  <a:rPr lang="en-US"/>
                  <a:t>of NaHCO</a:t>
                </a:r>
                <a:r>
                  <a:rPr lang="en-US" baseline="-25000"/>
                  <a:t>3</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390771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53711233199125"/>
          <c:y val="8.3834068613763704E-2"/>
          <c:w val="0.71347904559788966"/>
          <c:h val="0.70458856217191601"/>
        </c:manualLayout>
      </c:layout>
      <c:scatterChart>
        <c:scatterStyle val="lineMarker"/>
        <c:varyColors val="0"/>
        <c:ser>
          <c:idx val="0"/>
          <c:order val="0"/>
          <c:tx>
            <c:v>Pd/TiO2 T=75°C</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'T=85°C pH=8'!$B$41:$B$46</c:f>
              <c:numCache>
                <c:formatCode>General</c:formatCode>
                <c:ptCount val="6"/>
                <c:pt idx="0">
                  <c:v>0</c:v>
                </c:pt>
                <c:pt idx="1">
                  <c:v>60</c:v>
                </c:pt>
                <c:pt idx="2">
                  <c:v>120</c:v>
                </c:pt>
                <c:pt idx="3">
                  <c:v>180</c:v>
                </c:pt>
                <c:pt idx="4">
                  <c:v>240</c:v>
                </c:pt>
                <c:pt idx="5">
                  <c:v>300</c:v>
                </c:pt>
              </c:numCache>
            </c:numRef>
          </c:xVal>
          <c:yVal>
            <c:numRef>
              <c:f>'T=85°C pH=8'!$C$41:$C$46</c:f>
              <c:numCache>
                <c:formatCode>General</c:formatCode>
                <c:ptCount val="6"/>
                <c:pt idx="0">
                  <c:v>0</c:v>
                </c:pt>
                <c:pt idx="1">
                  <c:v>58.943493832073216</c:v>
                </c:pt>
                <c:pt idx="2">
                  <c:v>102.14385196975726</c:v>
                </c:pt>
                <c:pt idx="3">
                  <c:v>127.47048680196313</c:v>
                </c:pt>
                <c:pt idx="4">
                  <c:v>143.58668258389707</c:v>
                </c:pt>
                <c:pt idx="5">
                  <c:v>147.59915108104525</c:v>
                </c:pt>
              </c:numCache>
            </c:numRef>
          </c:yVal>
          <c:smooth val="0"/>
          <c:extLst>
            <c:ext xmlns:c16="http://schemas.microsoft.com/office/drawing/2014/chart" uri="{C3380CC4-5D6E-409C-BE32-E72D297353CC}">
              <c16:uniqueId val="{00000000-6EC8-483D-859A-E22C6E0F90C9}"/>
            </c:ext>
          </c:extLst>
        </c:ser>
        <c:ser>
          <c:idx val="1"/>
          <c:order val="1"/>
          <c:tx>
            <c:v>Pd/TiO2 T=85°C</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'T=85°C pH=8'!$B$41:$B$46</c:f>
              <c:numCache>
                <c:formatCode>General</c:formatCode>
                <c:ptCount val="6"/>
                <c:pt idx="0">
                  <c:v>0</c:v>
                </c:pt>
                <c:pt idx="1">
                  <c:v>60</c:v>
                </c:pt>
                <c:pt idx="2">
                  <c:v>120</c:v>
                </c:pt>
                <c:pt idx="3">
                  <c:v>180</c:v>
                </c:pt>
                <c:pt idx="4">
                  <c:v>240</c:v>
                </c:pt>
                <c:pt idx="5">
                  <c:v>300</c:v>
                </c:pt>
              </c:numCache>
            </c:numRef>
          </c:xVal>
          <c:yVal>
            <c:numRef>
              <c:f>'T=85°C pH=8'!$D$41:$D$46</c:f>
              <c:numCache>
                <c:formatCode>General</c:formatCode>
                <c:ptCount val="6"/>
                <c:pt idx="0">
                  <c:v>0</c:v>
                </c:pt>
                <c:pt idx="1">
                  <c:v>105.3438784984746</c:v>
                </c:pt>
                <c:pt idx="2">
                  <c:v>151.5452977848521</c:v>
                </c:pt>
                <c:pt idx="3">
                  <c:v>180.92585223504443</c:v>
                </c:pt>
                <c:pt idx="4">
                  <c:v>213.75513993898394</c:v>
                </c:pt>
                <c:pt idx="5">
                  <c:v>223.26402705929169</c:v>
                </c:pt>
              </c:numCache>
            </c:numRef>
          </c:yVal>
          <c:smooth val="0"/>
          <c:extLst>
            <c:ext xmlns:c16="http://schemas.microsoft.com/office/drawing/2014/chart" uri="{C3380CC4-5D6E-409C-BE32-E72D297353CC}">
              <c16:uniqueId val="{00000001-6EC8-483D-859A-E22C6E0F90C9}"/>
            </c:ext>
          </c:extLst>
        </c:ser>
        <c:ser>
          <c:idx val="2"/>
          <c:order val="2"/>
          <c:tx>
            <c:v>Pd/WO3 t=75°C</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'Pd_WO3 T=75°C pH=8'!$B$19:$B$24</c:f>
              <c:numCache>
                <c:formatCode>General</c:formatCode>
                <c:ptCount val="6"/>
                <c:pt idx="0">
                  <c:v>0</c:v>
                </c:pt>
                <c:pt idx="1">
                  <c:v>60</c:v>
                </c:pt>
                <c:pt idx="2">
                  <c:v>120</c:v>
                </c:pt>
                <c:pt idx="3">
                  <c:v>180</c:v>
                </c:pt>
                <c:pt idx="4">
                  <c:v>240</c:v>
                </c:pt>
                <c:pt idx="5">
                  <c:v>300</c:v>
                </c:pt>
              </c:numCache>
            </c:numRef>
          </c:xVal>
          <c:yVal>
            <c:numRef>
              <c:f>'Pd_WO3 T=75°C pH=8'!$F$19:$F$24</c:f>
              <c:numCache>
                <c:formatCode>General</c:formatCode>
                <c:ptCount val="6"/>
                <c:pt idx="0">
                  <c:v>0</c:v>
                </c:pt>
                <c:pt idx="1">
                  <c:v>36.742273511075744</c:v>
                </c:pt>
                <c:pt idx="2">
                  <c:v>64.083432816023347</c:v>
                </c:pt>
                <c:pt idx="3">
                  <c:v>82.38824777821992</c:v>
                </c:pt>
                <c:pt idx="4">
                  <c:v>109.5636025998143</c:v>
                </c:pt>
                <c:pt idx="5">
                  <c:v>130.50470884732724</c:v>
                </c:pt>
              </c:numCache>
            </c:numRef>
          </c:yVal>
          <c:smooth val="0"/>
          <c:extLst>
            <c:ext xmlns:c16="http://schemas.microsoft.com/office/drawing/2014/chart" uri="{C3380CC4-5D6E-409C-BE32-E72D297353CC}">
              <c16:uniqueId val="{00000002-6EC8-483D-859A-E22C6E0F90C9}"/>
            </c:ext>
          </c:extLst>
        </c:ser>
        <c:dLbls>
          <c:showLegendKey val="0"/>
          <c:showVal val="0"/>
          <c:showCatName val="0"/>
          <c:showSerName val="0"/>
          <c:showPercent val="0"/>
          <c:showBubbleSize val="0"/>
        </c:dLbls>
        <c:axId val="1339081472"/>
        <c:axId val="1339084192"/>
      </c:scatterChart>
      <c:valAx>
        <c:axId val="1339081472"/>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 [min]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39084192"/>
        <c:crosses val="autoZero"/>
        <c:crossBetween val="midCat"/>
      </c:valAx>
      <c:valAx>
        <c:axId val="1339084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000" b="0" i="0" u="none" strike="noStrike" kern="1200" baseline="0">
                    <a:solidFill>
                      <a:sysClr val="windowText" lastClr="000000">
                        <a:lumMod val="65000"/>
                        <a:lumOff val="35000"/>
                      </a:sysClr>
                    </a:solidFill>
                    <a:latin typeface="+mn-lt"/>
                    <a:ea typeface="+mn-ea"/>
                    <a:cs typeface="+mn-cs"/>
                  </a:rPr>
                  <a:t>concentration (mM) of NaHCO</a:t>
                </a:r>
                <a:r>
                  <a:rPr lang="en-US" sz="1000" b="0" i="0" u="none" strike="noStrike" kern="1200" baseline="-25000">
                    <a:solidFill>
                      <a:sysClr val="windowText" lastClr="000000">
                        <a:lumMod val="65000"/>
                        <a:lumOff val="35000"/>
                      </a:sysClr>
                    </a:solidFill>
                    <a:latin typeface="+mn-lt"/>
                    <a:ea typeface="+mn-ea"/>
                    <a:cs typeface="+mn-cs"/>
                  </a:rPr>
                  <a:t>3</a:t>
                </a:r>
                <a:endParaRPr lang="en-GB" sz="1000" b="0" i="0" u="none" strike="noStrike" kern="1200" baseline="-25000">
                  <a:solidFill>
                    <a:sysClr val="windowText" lastClr="000000">
                      <a:lumMod val="65000"/>
                      <a:lumOff val="35000"/>
                    </a:sysClr>
                  </a:solidFill>
                  <a:latin typeface="+mn-lt"/>
                  <a:ea typeface="+mn-ea"/>
                  <a:cs typeface="+mn-cs"/>
                </a:endParaRPr>
              </a:p>
            </c:rich>
          </c:tx>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it-IT"/>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390814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CB360-33ED-4BBC-958A-B2CC32A3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3240</Words>
  <Characters>18471</Characters>
  <Application>Microsoft Office Word</Application>
  <DocSecurity>0</DocSecurity>
  <Lines>153</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ALMERINDA DI BENEDETTO</cp:lastModifiedBy>
  <cp:revision>3</cp:revision>
  <cp:lastPrinted>2022-01-31T11:56:00Z</cp:lastPrinted>
  <dcterms:created xsi:type="dcterms:W3CDTF">2022-03-15T10:51:00Z</dcterms:created>
  <dcterms:modified xsi:type="dcterms:W3CDTF">2022-03-15T11:16:00Z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fd30c22c-3bff-3f9c-828b-7451e7a9398d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