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CE7BE" w14:textId="1C4FEF57" w:rsidR="00DA51A3" w:rsidRPr="00466FFD" w:rsidRDefault="00B25817"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 xml:space="preserve">Design of </w:t>
      </w:r>
      <w:r w:rsidR="00D84123">
        <w:rPr>
          <w:rFonts w:ascii="Times New Roman" w:eastAsia="MS PGothic" w:hAnsi="Times New Roman"/>
          <w:b/>
          <w:bCs/>
          <w:sz w:val="24"/>
          <w:szCs w:val="24"/>
          <w:lang w:val="en-US"/>
        </w:rPr>
        <w:t xml:space="preserve">an </w:t>
      </w:r>
      <w:r>
        <w:rPr>
          <w:rFonts w:ascii="Times New Roman" w:eastAsia="MS PGothic" w:hAnsi="Times New Roman"/>
          <w:b/>
          <w:bCs/>
          <w:sz w:val="24"/>
          <w:szCs w:val="24"/>
          <w:lang w:val="en-US"/>
        </w:rPr>
        <w:t xml:space="preserve">offshore </w:t>
      </w:r>
      <w:r w:rsidR="00AC3155">
        <w:rPr>
          <w:rFonts w:ascii="Times New Roman" w:eastAsia="MS PGothic" w:hAnsi="Times New Roman"/>
          <w:b/>
          <w:bCs/>
          <w:sz w:val="24"/>
          <w:szCs w:val="24"/>
          <w:lang w:val="en-US"/>
        </w:rPr>
        <w:t>renewable energy</w:t>
      </w:r>
      <w:r w:rsidR="0058102C">
        <w:rPr>
          <w:rFonts w:ascii="Times New Roman" w:eastAsia="MS PGothic" w:hAnsi="Times New Roman"/>
          <w:b/>
          <w:bCs/>
          <w:sz w:val="24"/>
          <w:szCs w:val="24"/>
          <w:lang w:val="en-US"/>
        </w:rPr>
        <w:t>-</w:t>
      </w:r>
      <w:r w:rsidR="00527533">
        <w:rPr>
          <w:rFonts w:ascii="Times New Roman" w:eastAsia="MS PGothic" w:hAnsi="Times New Roman"/>
          <w:b/>
          <w:bCs/>
          <w:sz w:val="24"/>
          <w:szCs w:val="24"/>
          <w:lang w:val="en-US"/>
        </w:rPr>
        <w:t>based</w:t>
      </w:r>
      <w:r w:rsidR="00AC3155">
        <w:rPr>
          <w:rFonts w:ascii="Times New Roman" w:eastAsia="MS PGothic" w:hAnsi="Times New Roman"/>
          <w:b/>
          <w:bCs/>
          <w:sz w:val="24"/>
          <w:szCs w:val="24"/>
          <w:lang w:val="en-US"/>
        </w:rPr>
        <w:t xml:space="preserve"> </w:t>
      </w:r>
      <w:r w:rsidR="00D84123">
        <w:rPr>
          <w:rFonts w:ascii="Times New Roman" w:eastAsia="MS PGothic" w:hAnsi="Times New Roman"/>
          <w:b/>
          <w:bCs/>
          <w:sz w:val="24"/>
          <w:szCs w:val="24"/>
          <w:lang w:val="en-US"/>
        </w:rPr>
        <w:t xml:space="preserve">process </w:t>
      </w:r>
      <w:r w:rsidR="00AC3155">
        <w:rPr>
          <w:rFonts w:ascii="Times New Roman" w:eastAsia="MS PGothic" w:hAnsi="Times New Roman"/>
          <w:b/>
          <w:bCs/>
          <w:sz w:val="24"/>
          <w:szCs w:val="24"/>
          <w:lang w:val="en-US"/>
        </w:rPr>
        <w:t>for</w:t>
      </w:r>
      <w:r>
        <w:rPr>
          <w:rFonts w:ascii="Times New Roman" w:eastAsia="MS PGothic" w:hAnsi="Times New Roman"/>
          <w:b/>
          <w:bCs/>
          <w:sz w:val="24"/>
          <w:szCs w:val="24"/>
          <w:lang w:val="en-US"/>
        </w:rPr>
        <w:t xml:space="preserve"> hydrogen production</w:t>
      </w:r>
      <w:r w:rsidR="00D84123">
        <w:rPr>
          <w:rFonts w:ascii="Times New Roman" w:eastAsia="MS PGothic" w:hAnsi="Times New Roman"/>
          <w:b/>
          <w:bCs/>
          <w:sz w:val="24"/>
          <w:szCs w:val="24"/>
          <w:lang w:val="en-US"/>
        </w:rPr>
        <w:t xml:space="preserve"> by electrolysis</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6A19EA13" w:rsidR="00DA51A3" w:rsidRPr="00C57525" w:rsidRDefault="00BB4E66" w:rsidP="00DA51A3">
      <w:pPr>
        <w:snapToGrid w:val="0"/>
        <w:jc w:val="center"/>
        <w:rPr>
          <w:rFonts w:ascii="Times New Roman" w:eastAsia="MS PGothic" w:hAnsi="Times New Roman"/>
          <w:sz w:val="24"/>
          <w:szCs w:val="24"/>
        </w:rPr>
      </w:pPr>
      <w:r w:rsidRPr="00C57525">
        <w:rPr>
          <w:rFonts w:ascii="Times New Roman" w:eastAsia="SimSun" w:hAnsi="Times New Roman"/>
          <w:sz w:val="24"/>
          <w:szCs w:val="24"/>
          <w:u w:val="single"/>
          <w:lang w:eastAsia="zh-CN"/>
        </w:rPr>
        <w:t>Leonardo Bozzoli</w:t>
      </w:r>
      <w:r w:rsidR="001D01D6">
        <w:rPr>
          <w:rFonts w:ascii="Times New Roman" w:eastAsia="SimSun" w:hAnsi="Times New Roman"/>
          <w:sz w:val="24"/>
          <w:szCs w:val="24"/>
          <w:u w:val="single"/>
          <w:lang w:eastAsia="zh-CN"/>
        </w:rPr>
        <w:t>*</w:t>
      </w:r>
      <w:r w:rsidRPr="00B22671">
        <w:rPr>
          <w:rFonts w:ascii="Times New Roman" w:eastAsia="SimSun" w:hAnsi="Times New Roman"/>
          <w:sz w:val="24"/>
          <w:szCs w:val="24"/>
          <w:lang w:eastAsia="zh-CN"/>
        </w:rPr>
        <w:t xml:space="preserve">, </w:t>
      </w:r>
      <w:r w:rsidR="00C57525" w:rsidRPr="00B22671">
        <w:rPr>
          <w:rFonts w:ascii="Times New Roman" w:eastAsia="SimSun" w:hAnsi="Times New Roman"/>
          <w:sz w:val="24"/>
          <w:szCs w:val="24"/>
          <w:lang w:eastAsia="zh-CN"/>
        </w:rPr>
        <w:t>Valeria Casson Moreno, Valerio Cozzani</w:t>
      </w:r>
    </w:p>
    <w:p w14:paraId="422BBBC9" w14:textId="4E97B6EC" w:rsidR="001D01D6" w:rsidRPr="001D01D6" w:rsidRDefault="00B22671" w:rsidP="001D01D6">
      <w:pPr>
        <w:snapToGrid w:val="0"/>
        <w:spacing w:after="120"/>
        <w:jc w:val="center"/>
        <w:rPr>
          <w:rFonts w:ascii="Times New Roman" w:eastAsia="MS PGothic" w:hAnsi="Times New Roman"/>
          <w:i/>
          <w:iCs/>
          <w:sz w:val="20"/>
          <w:lang w:val="en-US"/>
        </w:rPr>
      </w:pPr>
      <w:r>
        <w:rPr>
          <w:rFonts w:ascii="Times New Roman" w:eastAsia="MS PGothic" w:hAnsi="Times New Roman"/>
          <w:i/>
          <w:iCs/>
          <w:sz w:val="20"/>
          <w:lang w:val="en-US"/>
        </w:rPr>
        <w:t xml:space="preserve">LISES – Laboratory of Industrial Safety and Environmental Sustainability, </w:t>
      </w:r>
      <w:proofErr w:type="spellStart"/>
      <w:r w:rsidRPr="001D01D6">
        <w:rPr>
          <w:rFonts w:ascii="Times New Roman" w:eastAsia="MS PGothic" w:hAnsi="Times New Roman"/>
          <w:i/>
          <w:iCs/>
          <w:sz w:val="20"/>
          <w:lang w:val="en-US"/>
        </w:rPr>
        <w:t>Dipartimento</w:t>
      </w:r>
      <w:proofErr w:type="spellEnd"/>
      <w:r w:rsidRPr="001D01D6">
        <w:rPr>
          <w:rFonts w:ascii="Times New Roman" w:eastAsia="MS PGothic" w:hAnsi="Times New Roman"/>
          <w:i/>
          <w:iCs/>
          <w:sz w:val="20"/>
          <w:lang w:val="en-US"/>
        </w:rPr>
        <w:t xml:space="preserve"> di </w:t>
      </w:r>
      <w:proofErr w:type="spellStart"/>
      <w:r w:rsidRPr="001D01D6">
        <w:rPr>
          <w:rFonts w:ascii="Times New Roman" w:eastAsia="MS PGothic" w:hAnsi="Times New Roman"/>
          <w:i/>
          <w:iCs/>
          <w:sz w:val="20"/>
          <w:lang w:val="en-US"/>
        </w:rPr>
        <w:t>Ingegneria</w:t>
      </w:r>
      <w:proofErr w:type="spellEnd"/>
      <w:r w:rsidRPr="001D01D6">
        <w:rPr>
          <w:rFonts w:ascii="Times New Roman" w:eastAsia="MS PGothic" w:hAnsi="Times New Roman"/>
          <w:i/>
          <w:iCs/>
          <w:sz w:val="20"/>
          <w:lang w:val="en-US"/>
        </w:rPr>
        <w:t xml:space="preserve"> </w:t>
      </w:r>
      <w:proofErr w:type="spellStart"/>
      <w:r w:rsidRPr="001D01D6">
        <w:rPr>
          <w:rFonts w:ascii="Times New Roman" w:eastAsia="MS PGothic" w:hAnsi="Times New Roman"/>
          <w:i/>
          <w:iCs/>
          <w:sz w:val="20"/>
          <w:lang w:val="en-US"/>
        </w:rPr>
        <w:t>Civile</w:t>
      </w:r>
      <w:proofErr w:type="spellEnd"/>
      <w:r w:rsidRPr="001D01D6">
        <w:rPr>
          <w:rFonts w:ascii="Times New Roman" w:eastAsia="MS PGothic" w:hAnsi="Times New Roman"/>
          <w:i/>
          <w:iCs/>
          <w:sz w:val="20"/>
          <w:lang w:val="en-US"/>
        </w:rPr>
        <w:t xml:space="preserve">, </w:t>
      </w:r>
      <w:proofErr w:type="spellStart"/>
      <w:r w:rsidRPr="001D01D6">
        <w:rPr>
          <w:rFonts w:ascii="Times New Roman" w:eastAsia="MS PGothic" w:hAnsi="Times New Roman"/>
          <w:i/>
          <w:iCs/>
          <w:sz w:val="20"/>
          <w:lang w:val="en-US"/>
        </w:rPr>
        <w:t>Chimica</w:t>
      </w:r>
      <w:proofErr w:type="spellEnd"/>
      <w:r w:rsidRPr="001D01D6">
        <w:rPr>
          <w:rFonts w:ascii="Times New Roman" w:eastAsia="MS PGothic" w:hAnsi="Times New Roman"/>
          <w:i/>
          <w:iCs/>
          <w:sz w:val="20"/>
          <w:lang w:val="en-US"/>
        </w:rPr>
        <w:t xml:space="preserve">, </w:t>
      </w:r>
      <w:proofErr w:type="spellStart"/>
      <w:r w:rsidRPr="001D01D6">
        <w:rPr>
          <w:rFonts w:ascii="Times New Roman" w:eastAsia="MS PGothic" w:hAnsi="Times New Roman"/>
          <w:i/>
          <w:iCs/>
          <w:sz w:val="20"/>
          <w:lang w:val="en-US"/>
        </w:rPr>
        <w:t>Ambientale</w:t>
      </w:r>
      <w:proofErr w:type="spellEnd"/>
      <w:r w:rsidRPr="001D01D6">
        <w:rPr>
          <w:rFonts w:ascii="Times New Roman" w:eastAsia="MS PGothic" w:hAnsi="Times New Roman"/>
          <w:i/>
          <w:iCs/>
          <w:sz w:val="20"/>
          <w:lang w:val="en-US"/>
        </w:rPr>
        <w:t xml:space="preserve"> e </w:t>
      </w:r>
      <w:proofErr w:type="spellStart"/>
      <w:r w:rsidRPr="001D01D6">
        <w:rPr>
          <w:rFonts w:ascii="Times New Roman" w:eastAsia="MS PGothic" w:hAnsi="Times New Roman"/>
          <w:i/>
          <w:iCs/>
          <w:sz w:val="20"/>
          <w:lang w:val="en-US"/>
        </w:rPr>
        <w:t>dei</w:t>
      </w:r>
      <w:proofErr w:type="spellEnd"/>
      <w:r w:rsidRPr="001D01D6">
        <w:rPr>
          <w:rFonts w:ascii="Times New Roman" w:eastAsia="MS PGothic" w:hAnsi="Times New Roman"/>
          <w:i/>
          <w:iCs/>
          <w:sz w:val="20"/>
          <w:lang w:val="en-US"/>
        </w:rPr>
        <w:t xml:space="preserve"> </w:t>
      </w:r>
      <w:proofErr w:type="spellStart"/>
      <w:r w:rsidRPr="001D01D6">
        <w:rPr>
          <w:rFonts w:ascii="Times New Roman" w:eastAsia="MS PGothic" w:hAnsi="Times New Roman"/>
          <w:i/>
          <w:iCs/>
          <w:sz w:val="20"/>
          <w:lang w:val="en-US"/>
        </w:rPr>
        <w:t>Materiali</w:t>
      </w:r>
      <w:proofErr w:type="spellEnd"/>
      <w:r w:rsidRPr="001D01D6">
        <w:rPr>
          <w:rFonts w:ascii="Times New Roman" w:eastAsia="MS PGothic" w:hAnsi="Times New Roman"/>
          <w:i/>
          <w:iCs/>
          <w:sz w:val="20"/>
          <w:lang w:val="en-US"/>
        </w:rPr>
        <w:t xml:space="preserve">, </w:t>
      </w:r>
      <w:r w:rsidR="001D01D6" w:rsidRPr="001D01D6">
        <w:rPr>
          <w:rFonts w:ascii="Times New Roman" w:eastAsia="MS PGothic" w:hAnsi="Times New Roman"/>
          <w:i/>
          <w:iCs/>
          <w:sz w:val="20"/>
          <w:lang w:val="en-US"/>
        </w:rPr>
        <w:t xml:space="preserve">Alma Mater </w:t>
      </w:r>
      <w:proofErr w:type="spellStart"/>
      <w:r w:rsidR="001D01D6" w:rsidRPr="001D01D6">
        <w:rPr>
          <w:rFonts w:ascii="Times New Roman" w:eastAsia="MS PGothic" w:hAnsi="Times New Roman"/>
          <w:i/>
          <w:iCs/>
          <w:sz w:val="20"/>
          <w:lang w:val="en-US"/>
        </w:rPr>
        <w:t>Studiorum</w:t>
      </w:r>
      <w:proofErr w:type="spellEnd"/>
      <w:r w:rsidR="001D01D6" w:rsidRPr="001D01D6">
        <w:rPr>
          <w:rFonts w:ascii="Times New Roman" w:eastAsia="MS PGothic" w:hAnsi="Times New Roman"/>
          <w:i/>
          <w:iCs/>
          <w:sz w:val="20"/>
          <w:lang w:val="en-US"/>
        </w:rPr>
        <w:t xml:space="preserve"> - </w:t>
      </w:r>
      <w:proofErr w:type="spellStart"/>
      <w:r w:rsidR="001D01D6" w:rsidRPr="001D01D6">
        <w:rPr>
          <w:rFonts w:ascii="Times New Roman" w:eastAsia="MS PGothic" w:hAnsi="Times New Roman"/>
          <w:i/>
          <w:iCs/>
          <w:sz w:val="20"/>
          <w:lang w:val="en-US"/>
        </w:rPr>
        <w:t>Università</w:t>
      </w:r>
      <w:proofErr w:type="spellEnd"/>
      <w:r w:rsidR="001D01D6" w:rsidRPr="001D01D6">
        <w:rPr>
          <w:rFonts w:ascii="Times New Roman" w:eastAsia="MS PGothic" w:hAnsi="Times New Roman"/>
          <w:i/>
          <w:iCs/>
          <w:sz w:val="20"/>
          <w:lang w:val="en-US"/>
        </w:rPr>
        <w:t xml:space="preserve"> di Bologna, via Terracini 28, 40131 Bologna, Italy</w:t>
      </w:r>
    </w:p>
    <w:p w14:paraId="5533360A" w14:textId="4D632C2A" w:rsidR="00DA51A3" w:rsidRPr="00466FFD" w:rsidRDefault="00DA51A3" w:rsidP="00DA51A3">
      <w:pPr>
        <w:snapToGrid w:val="0"/>
        <w:jc w:val="center"/>
        <w:rPr>
          <w:rFonts w:ascii="Times New Roman" w:eastAsia="MS PGothic" w:hAnsi="Times New Roman"/>
          <w:bCs/>
          <w:i/>
          <w:iCs/>
          <w:sz w:val="20"/>
          <w:lang w:val="en-US"/>
        </w:rPr>
      </w:pPr>
      <w:r w:rsidRPr="00466FFD">
        <w:rPr>
          <w:rFonts w:ascii="Times New Roman" w:eastAsia="MS PGothic" w:hAnsi="Times New Roman"/>
          <w:bCs/>
          <w:i/>
          <w:iCs/>
          <w:sz w:val="20"/>
          <w:lang w:val="en-US"/>
        </w:rPr>
        <w:t>*</w:t>
      </w:r>
      <w:r w:rsidR="001D01D6" w:rsidRPr="001D01D6">
        <w:rPr>
          <w:rFonts w:ascii="Times New Roman" w:eastAsia="MS PGothic" w:hAnsi="Times New Roman"/>
          <w:i/>
          <w:iCs/>
          <w:sz w:val="20"/>
          <w:lang w:val="en-US"/>
        </w:rPr>
        <w:t xml:space="preserve"> leonardo.bozzoli@unibo.it</w:t>
      </w: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0967C102" w14:textId="53F62BED" w:rsidR="00EF19A1" w:rsidRDefault="000F72C3" w:rsidP="00BD0DE8">
      <w:pPr>
        <w:snapToGrid w:val="0"/>
        <w:spacing w:after="120"/>
        <w:rPr>
          <w:rFonts w:ascii="Times New Roman" w:eastAsia="MS PGothic" w:hAnsi="Times New Roman"/>
          <w:lang w:val="en-US"/>
        </w:rPr>
      </w:pPr>
      <w:r>
        <w:rPr>
          <w:rFonts w:ascii="Times New Roman" w:eastAsia="MS PGothic" w:hAnsi="Times New Roman"/>
          <w:lang w:val="en-US"/>
        </w:rPr>
        <w:t xml:space="preserve">Green hydrogen is one of the most promising energy vectors </w:t>
      </w:r>
      <w:r w:rsidR="00D84123">
        <w:rPr>
          <w:rFonts w:ascii="Times New Roman" w:eastAsia="MS PGothic" w:hAnsi="Times New Roman"/>
          <w:lang w:val="en-US"/>
        </w:rPr>
        <w:t xml:space="preserve">in the perspective of </w:t>
      </w:r>
      <w:r w:rsidR="00E82C35">
        <w:rPr>
          <w:rFonts w:ascii="Times New Roman" w:eastAsia="MS PGothic" w:hAnsi="Times New Roman"/>
          <w:lang w:val="en-US"/>
        </w:rPr>
        <w:t>energy supply chain</w:t>
      </w:r>
      <w:r w:rsidR="00D84123">
        <w:rPr>
          <w:rFonts w:ascii="Times New Roman" w:eastAsia="MS PGothic" w:hAnsi="Times New Roman"/>
          <w:lang w:val="en-US"/>
        </w:rPr>
        <w:t>s</w:t>
      </w:r>
      <w:r w:rsidR="00E82C35">
        <w:rPr>
          <w:rFonts w:ascii="Times New Roman" w:eastAsia="MS PGothic" w:hAnsi="Times New Roman"/>
          <w:lang w:val="en-US"/>
        </w:rPr>
        <w:t xml:space="preserve"> </w:t>
      </w:r>
      <w:r>
        <w:rPr>
          <w:rFonts w:ascii="Times New Roman" w:eastAsia="MS PGothic" w:hAnsi="Times New Roman"/>
          <w:lang w:val="en-US"/>
        </w:rPr>
        <w:t>decarbonization</w:t>
      </w:r>
      <w:r w:rsidR="00497E83">
        <w:rPr>
          <w:rFonts w:ascii="Times New Roman" w:eastAsia="MS PGothic" w:hAnsi="Times New Roman"/>
          <w:lang w:val="en-US"/>
        </w:rPr>
        <w:t xml:space="preserve">. </w:t>
      </w:r>
      <w:r w:rsidR="001F6E3D">
        <w:rPr>
          <w:rFonts w:ascii="Times New Roman" w:eastAsia="MS PGothic" w:hAnsi="Times New Roman"/>
          <w:lang w:val="en-US"/>
        </w:rPr>
        <w:t>Currently, t</w:t>
      </w:r>
      <w:r w:rsidR="00BD0DE8" w:rsidRPr="00BD0DE8">
        <w:rPr>
          <w:rFonts w:ascii="Times New Roman" w:eastAsia="MS PGothic" w:hAnsi="Times New Roman"/>
          <w:lang w:val="en-US"/>
        </w:rPr>
        <w:t xml:space="preserve">he </w:t>
      </w:r>
      <w:r w:rsidR="00EF19A1">
        <w:rPr>
          <w:rFonts w:ascii="Times New Roman" w:eastAsia="MS PGothic" w:hAnsi="Times New Roman"/>
          <w:lang w:val="en-US"/>
        </w:rPr>
        <w:t xml:space="preserve">production of hydrogen </w:t>
      </w:r>
      <w:r w:rsidR="00442D2B">
        <w:rPr>
          <w:rFonts w:ascii="Times New Roman" w:eastAsia="MS PGothic" w:hAnsi="Times New Roman"/>
          <w:lang w:val="en-US"/>
        </w:rPr>
        <w:t>is mostly carried out using natural gas, oil and coal as precursor</w:t>
      </w:r>
      <w:r w:rsidR="00EF19A1">
        <w:rPr>
          <w:rFonts w:ascii="Times New Roman" w:eastAsia="MS PGothic" w:hAnsi="Times New Roman"/>
          <w:lang w:val="en-US"/>
        </w:rPr>
        <w:t xml:space="preserve">. </w:t>
      </w:r>
      <w:r w:rsidR="00442D2B">
        <w:rPr>
          <w:rFonts w:ascii="Times New Roman" w:eastAsia="MS PGothic" w:hAnsi="Times New Roman"/>
          <w:lang w:val="en-US"/>
        </w:rPr>
        <w:t>To</w:t>
      </w:r>
      <w:r w:rsidR="00EF19A1">
        <w:rPr>
          <w:rFonts w:ascii="Times New Roman" w:eastAsia="MS PGothic" w:hAnsi="Times New Roman"/>
          <w:lang w:val="en-US"/>
        </w:rPr>
        <w:t xml:space="preserve"> obtain green hydrogen</w:t>
      </w:r>
      <w:r w:rsidR="00D84123">
        <w:rPr>
          <w:rFonts w:ascii="Times New Roman" w:eastAsia="MS PGothic" w:hAnsi="Times New Roman"/>
          <w:lang w:val="en-US"/>
        </w:rPr>
        <w:t>,</w:t>
      </w:r>
      <w:r w:rsidR="00EF19A1">
        <w:rPr>
          <w:rFonts w:ascii="Times New Roman" w:eastAsia="MS PGothic" w:hAnsi="Times New Roman"/>
          <w:lang w:val="en-US"/>
        </w:rPr>
        <w:t xml:space="preserve"> renewable energy sources (RESs) are required </w:t>
      </w:r>
      <w:r w:rsidR="008A0BED">
        <w:rPr>
          <w:rFonts w:ascii="Times New Roman" w:eastAsia="MS PGothic" w:hAnsi="Times New Roman"/>
          <w:lang w:val="en-US"/>
        </w:rPr>
        <w:t xml:space="preserve">in order </w:t>
      </w:r>
      <w:r w:rsidR="00EF19A1">
        <w:rPr>
          <w:rFonts w:ascii="Times New Roman" w:eastAsia="MS PGothic" w:hAnsi="Times New Roman"/>
          <w:lang w:val="en-US"/>
        </w:rPr>
        <w:t>to avoid the fossil fuel consumption and CO</w:t>
      </w:r>
      <w:r w:rsidR="00EF19A1" w:rsidRPr="00EF19A1">
        <w:rPr>
          <w:rFonts w:ascii="Times New Roman" w:eastAsia="MS PGothic" w:hAnsi="Times New Roman"/>
          <w:vertAlign w:val="subscript"/>
          <w:lang w:val="en-US"/>
        </w:rPr>
        <w:t>2</w:t>
      </w:r>
      <w:r w:rsidR="00EF19A1">
        <w:rPr>
          <w:rFonts w:ascii="Times New Roman" w:eastAsia="MS PGothic" w:hAnsi="Times New Roman"/>
          <w:lang w:val="en-US"/>
        </w:rPr>
        <w:t xml:space="preserve"> production</w:t>
      </w:r>
      <w:r w:rsidR="003A6EBB">
        <w:rPr>
          <w:rFonts w:ascii="Times New Roman" w:eastAsia="MS PGothic" w:hAnsi="Times New Roman"/>
          <w:lang w:val="en-US"/>
        </w:rPr>
        <w:t xml:space="preserve"> </w:t>
      </w:r>
      <w:r w:rsidR="003A6EBB">
        <w:rPr>
          <w:rFonts w:ascii="Times New Roman" w:eastAsia="MS PGothic" w:hAnsi="Times New Roman"/>
          <w:lang w:val="en-US"/>
        </w:rPr>
        <w:fldChar w:fldCharType="begin" w:fldLock="1"/>
      </w:r>
      <w:r w:rsidR="009341CF">
        <w:rPr>
          <w:rFonts w:ascii="Times New Roman" w:eastAsia="MS PGothic" w:hAnsi="Times New Roman"/>
          <w:lang w:val="en-US"/>
        </w:rPr>
        <w:instrText>ADDIN CSL_CITATION {"citationItems":[{"id":"ITEM-1","itemData":{"DOI":"10.1016/j.enconman.2021.114898","ISBN":"0000000305365","ISSN":"01968904","abstract":"Hydrogen is gaining momentum in the current global energy transition framework. In fact a great and widespread enthusiasm is growing up towards it, as indicated by the current worldwide economic and political strategies, which endorse the carbon neutrality by 2030 and a fast transition to clean energy. Green hydrogen has the potential to create a virtuous cycle for the future renewables-based electricity grids, as it can provide the much-needed flexibility to power systems, acting as a buffer to non-dispatchable renewable generation. Indeed, the excess energy, provided by conventional and renewable power plants, can be stored as hydrogen and then employed to produce electricity (fuel cells or power systems), heat (combustion) or both (co-generation), abating drastically the greenhouse gas production. In this scenario, it is important to understand what benefits could derive from the use of hydrogen. For this reason, the present work not only aims at reviewing the recent updates on hydrogen economy (in terms of the main advantages and drawbacks) but also focuses on determining the impact that this hydrogen may have in various sectors (transport, industry and power generation). Different assessments have been carried out showing how hydrogen can effectively contribute to the carbon neutrality goal. This work points out that hydrogen can be really sustainable if produced via electrolysis powered by renewable energies. Furthermore, for the mobility, the use of fuel cells currently turns out to be less efficient than the adoption of Li-ion batteries, but at the same time far less polluting (CO2,eq) and labor intensive. Finally, a near-term solution to contrast the power generation carbon footprint, namely the blending of fossil fuels with hydrogen, has been investigated. Thus, a real Combined Cycle Gas Turbine power plant has been selected as a case study, in order to assess the impact of the hydrogen employment in terms of power output and emissions with respect to the current status of the plant fueled with 100% natural gas. As a result, using a mixture with 70% CH4 and 30% H2 a remarkable reduction of CO2 can be achieved (0.28 MtCO2/year).","author":[{"dropping-particle":"","family":"Capurso","given":"T.","non-dropping-particle":"","parse-names":false,"suffix":""},{"dropping-particle":"","family":"Stefanizzi","given":"M.","non-dropping-particle":"","parse-names":false,"suffix":""},{"dropping-particle":"","family":"Torresi","given":"M.","non-dropping-particle":"","parse-names":false,"suffix":""},{"dropping-particle":"","family":"Camporeale","given":"S. M.","non-dropping-particle":"","parse-names":false,"suffix":""}],"container-title":"Energy Conversion and Management","id":"ITEM-1","issue":"July 2021","issued":{"date-parts":[["2022"]]},"page":"114898","publisher":"Elsevier Ltd","title":"Perspective of the role of hydrogen in the 21st century energy transition","type":"article-journal","volume":"251"},"uris":["http://www.mendeley.com/documents/?uuid=56e693dc-5070-4f0f-b178-0fe102ad9850"]}],"mendeley":{"formattedCitation":"[1]","plainTextFormattedCitation":"[1]","previouslyFormattedCitation":"[1]"},"properties":{"noteIndex":0},"schema":"https://github.com/citation-style-language/schema/raw/master/csl-citation.json"}</w:instrText>
      </w:r>
      <w:r w:rsidR="003A6EBB">
        <w:rPr>
          <w:rFonts w:ascii="Times New Roman" w:eastAsia="MS PGothic" w:hAnsi="Times New Roman"/>
          <w:lang w:val="en-US"/>
        </w:rPr>
        <w:fldChar w:fldCharType="separate"/>
      </w:r>
      <w:r w:rsidR="003A6EBB" w:rsidRPr="00497E83">
        <w:rPr>
          <w:rFonts w:ascii="Times New Roman" w:eastAsia="MS PGothic" w:hAnsi="Times New Roman"/>
          <w:noProof/>
          <w:lang w:val="en-US"/>
        </w:rPr>
        <w:t>[1]</w:t>
      </w:r>
      <w:r w:rsidR="003A6EBB">
        <w:rPr>
          <w:rFonts w:ascii="Times New Roman" w:eastAsia="MS PGothic" w:hAnsi="Times New Roman"/>
          <w:lang w:val="en-US"/>
        </w:rPr>
        <w:fldChar w:fldCharType="end"/>
      </w:r>
      <w:r w:rsidR="00EF19A1">
        <w:rPr>
          <w:rFonts w:ascii="Times New Roman" w:eastAsia="MS PGothic" w:hAnsi="Times New Roman"/>
          <w:lang w:val="en-US"/>
        </w:rPr>
        <w:t xml:space="preserve">. </w:t>
      </w:r>
      <w:r w:rsidR="00B525AB">
        <w:rPr>
          <w:rFonts w:ascii="Times New Roman" w:eastAsia="MS PGothic" w:hAnsi="Times New Roman"/>
          <w:lang w:val="en-US"/>
        </w:rPr>
        <w:t>O</w:t>
      </w:r>
      <w:r w:rsidR="00EF19A1">
        <w:rPr>
          <w:rFonts w:ascii="Times New Roman" w:eastAsia="MS PGothic" w:hAnsi="Times New Roman"/>
          <w:lang w:val="en-US"/>
        </w:rPr>
        <w:t>ffshore RESs</w:t>
      </w:r>
      <w:r w:rsidR="00D84123">
        <w:rPr>
          <w:rFonts w:ascii="Times New Roman" w:eastAsia="MS PGothic" w:hAnsi="Times New Roman"/>
          <w:lang w:val="en-US"/>
        </w:rPr>
        <w:t>,</w:t>
      </w:r>
      <w:r w:rsidR="00EF19A1">
        <w:rPr>
          <w:rFonts w:ascii="Times New Roman" w:eastAsia="MS PGothic" w:hAnsi="Times New Roman"/>
          <w:lang w:val="en-US"/>
        </w:rPr>
        <w:t xml:space="preserve"> such </w:t>
      </w:r>
      <w:r w:rsidR="00EF19A1" w:rsidRPr="00BD0DE8">
        <w:rPr>
          <w:rFonts w:ascii="Times New Roman" w:eastAsia="MS PGothic" w:hAnsi="Times New Roman"/>
          <w:lang w:val="en-US"/>
        </w:rPr>
        <w:t>as wind, wave</w:t>
      </w:r>
      <w:r w:rsidR="00EF19A1">
        <w:rPr>
          <w:rFonts w:ascii="Times New Roman" w:eastAsia="MS PGothic" w:hAnsi="Times New Roman"/>
          <w:lang w:val="en-US"/>
        </w:rPr>
        <w:t xml:space="preserve"> </w:t>
      </w:r>
      <w:r w:rsidR="00EF19A1" w:rsidRPr="00BD0DE8">
        <w:rPr>
          <w:rFonts w:ascii="Times New Roman" w:eastAsia="MS PGothic" w:hAnsi="Times New Roman"/>
          <w:lang w:val="en-US"/>
        </w:rPr>
        <w:t>and sun</w:t>
      </w:r>
      <w:r w:rsidR="00EF19A1">
        <w:rPr>
          <w:rFonts w:ascii="Times New Roman" w:eastAsia="MS PGothic" w:hAnsi="Times New Roman"/>
          <w:lang w:val="en-US"/>
        </w:rPr>
        <w:t xml:space="preserve"> offer several advantages</w:t>
      </w:r>
      <w:r w:rsidR="00520602">
        <w:rPr>
          <w:rFonts w:ascii="Times New Roman" w:eastAsia="MS PGothic" w:hAnsi="Times New Roman"/>
          <w:lang w:val="en-US"/>
        </w:rPr>
        <w:t xml:space="preserve"> </w:t>
      </w:r>
      <w:r w:rsidR="008A0BED">
        <w:rPr>
          <w:rFonts w:ascii="Times New Roman" w:eastAsia="MS PGothic" w:hAnsi="Times New Roman"/>
          <w:lang w:val="en-US"/>
        </w:rPr>
        <w:t>compared</w:t>
      </w:r>
      <w:r w:rsidR="00520602">
        <w:rPr>
          <w:rFonts w:ascii="Times New Roman" w:eastAsia="MS PGothic" w:hAnsi="Times New Roman"/>
          <w:lang w:val="en-US"/>
        </w:rPr>
        <w:t xml:space="preserve"> to the onshore </w:t>
      </w:r>
      <w:r w:rsidR="00D84123">
        <w:rPr>
          <w:rFonts w:ascii="Times New Roman" w:eastAsia="MS PGothic" w:hAnsi="Times New Roman"/>
          <w:lang w:val="en-US"/>
        </w:rPr>
        <w:t>ones</w:t>
      </w:r>
      <w:r w:rsidR="00520602">
        <w:rPr>
          <w:rFonts w:ascii="Times New Roman" w:eastAsia="MS PGothic" w:hAnsi="Times New Roman"/>
          <w:lang w:val="en-US"/>
        </w:rPr>
        <w:t>,</w:t>
      </w:r>
      <w:r w:rsidR="00EF19A1">
        <w:rPr>
          <w:rFonts w:ascii="Times New Roman" w:eastAsia="MS PGothic" w:hAnsi="Times New Roman"/>
          <w:lang w:val="en-US"/>
        </w:rPr>
        <w:t xml:space="preserve"> for example</w:t>
      </w:r>
      <w:r w:rsidR="00EF19A1" w:rsidRPr="00EF19A1">
        <w:rPr>
          <w:rFonts w:ascii="Times New Roman" w:eastAsia="MS PGothic" w:hAnsi="Times New Roman"/>
          <w:lang w:val="en-US"/>
        </w:rPr>
        <w:t xml:space="preserve"> </w:t>
      </w:r>
      <w:r w:rsidR="00EF19A1" w:rsidRPr="00BD0DE8">
        <w:rPr>
          <w:rFonts w:ascii="Times New Roman" w:eastAsia="MS PGothic" w:hAnsi="Times New Roman"/>
          <w:lang w:val="en-US"/>
        </w:rPr>
        <w:t xml:space="preserve">a more stable energy intensity, a higher energy density and </w:t>
      </w:r>
      <w:r w:rsidR="00EF19A1">
        <w:rPr>
          <w:rFonts w:ascii="Times New Roman" w:eastAsia="MS PGothic" w:hAnsi="Times New Roman"/>
          <w:lang w:val="en-US"/>
        </w:rPr>
        <w:t xml:space="preserve">significant amount </w:t>
      </w:r>
      <w:r w:rsidR="00EF19A1" w:rsidRPr="00BD0DE8">
        <w:rPr>
          <w:rFonts w:ascii="Times New Roman" w:eastAsia="MS PGothic" w:hAnsi="Times New Roman"/>
          <w:lang w:val="en-US"/>
        </w:rPr>
        <w:t xml:space="preserve">of </w:t>
      </w:r>
      <w:r w:rsidR="00D84123">
        <w:rPr>
          <w:rFonts w:ascii="Times New Roman" w:eastAsia="MS PGothic" w:hAnsi="Times New Roman"/>
          <w:lang w:val="en-US"/>
        </w:rPr>
        <w:t xml:space="preserve">available </w:t>
      </w:r>
      <w:r w:rsidR="00EF19A1" w:rsidRPr="00BD0DE8">
        <w:rPr>
          <w:rFonts w:ascii="Times New Roman" w:eastAsia="MS PGothic" w:hAnsi="Times New Roman"/>
          <w:lang w:val="en-US"/>
        </w:rPr>
        <w:t>space</w:t>
      </w:r>
      <w:r w:rsidR="009341CF">
        <w:rPr>
          <w:rFonts w:ascii="Times New Roman" w:eastAsia="MS PGothic" w:hAnsi="Times New Roman"/>
          <w:lang w:val="en-US"/>
        </w:rPr>
        <w:t xml:space="preserve"> </w:t>
      </w:r>
      <w:r w:rsidR="00D84123">
        <w:rPr>
          <w:rFonts w:ascii="Times New Roman" w:eastAsia="MS PGothic" w:hAnsi="Times New Roman"/>
          <w:lang w:val="en-US"/>
        </w:rPr>
        <w:t xml:space="preserve">for devices installation </w:t>
      </w:r>
      <w:r w:rsidR="009341CF">
        <w:rPr>
          <w:rFonts w:ascii="Times New Roman" w:eastAsia="MS PGothic" w:hAnsi="Times New Roman"/>
          <w:lang w:val="en-US"/>
        </w:rPr>
        <w:fldChar w:fldCharType="begin" w:fldLock="1"/>
      </w:r>
      <w:r w:rsidR="002826AC">
        <w:rPr>
          <w:rFonts w:ascii="Times New Roman" w:eastAsia="MS PGothic" w:hAnsi="Times New Roman"/>
          <w:lang w:val="en-US"/>
        </w:rPr>
        <w:instrText>ADDIN CSL_CITATION {"citationItems":[{"id":"ITEM-1","itemData":{"DOI":"10.1016/b978-0-323-89823-2.00002-6","ISBN":"9780323898232","abstract":"This chapter presents general information about power production from offshore renewable energy sources (offshore wind, solar wave, tidal currents) including the energy conversion principles and the available energy conversion technologies. Main drawbacks associated to the transportation of offshore renewable power to onshore areas and integration into the electrical grid are summarized. Solutions addressing the synergy of offshore renewable exploitation with offshore oil and gas infrastructures in decommissioning or depleted hydrocarbons fields are proposed, leading to the development of innovative offshore hybrid energy systems.","author":[{"dropping-particle":"","family":"Dincer","given":"Ibrahim","non-dropping-particle":"","parse-names":false,"suffix":""},{"dropping-particle":"","family":"Cozzani","given":"Valerio","non-dropping-particle":"","parse-names":false,"suffix":""},{"dropping-particle":"","family":"Crivellari","given":"Anna","non-dropping-particle":"","parse-names":false,"suffix":""}],"container-title":"Hybrid Energy Systems for Offshore Applications","id":"ITEM-1","issued":{"date-parts":[["2021"]]},"page":"7-18","title":"Offshore renewable energy options","type":"article-journal"},"uris":["http://www.mendeley.com/documents/?uuid=ca2dbee1-0fd8-49f1-bdb7-08e37f011dbd"]}],"mendeley":{"formattedCitation":"[2]","plainTextFormattedCitation":"[2]","previouslyFormattedCitation":"[2]"},"properties":{"noteIndex":0},"schema":"https://github.com/citation-style-language/schema/raw/master/csl-citation.json"}</w:instrText>
      </w:r>
      <w:r w:rsidR="009341CF">
        <w:rPr>
          <w:rFonts w:ascii="Times New Roman" w:eastAsia="MS PGothic" w:hAnsi="Times New Roman"/>
          <w:lang w:val="en-US"/>
        </w:rPr>
        <w:fldChar w:fldCharType="separate"/>
      </w:r>
      <w:r w:rsidR="009341CF" w:rsidRPr="009341CF">
        <w:rPr>
          <w:rFonts w:ascii="Times New Roman" w:eastAsia="MS PGothic" w:hAnsi="Times New Roman"/>
          <w:noProof/>
          <w:lang w:val="en-US"/>
        </w:rPr>
        <w:t>[2]</w:t>
      </w:r>
      <w:r w:rsidR="009341CF">
        <w:rPr>
          <w:rFonts w:ascii="Times New Roman" w:eastAsia="MS PGothic" w:hAnsi="Times New Roman"/>
          <w:lang w:val="en-US"/>
        </w:rPr>
        <w:fldChar w:fldCharType="end"/>
      </w:r>
      <w:r w:rsidR="00EF19A1">
        <w:rPr>
          <w:rFonts w:ascii="Times New Roman" w:eastAsia="MS PGothic" w:hAnsi="Times New Roman"/>
          <w:lang w:val="en-US"/>
        </w:rPr>
        <w:t>.</w:t>
      </w:r>
      <w:r w:rsidR="001D01D6">
        <w:rPr>
          <w:rFonts w:ascii="Times New Roman" w:eastAsia="MS PGothic" w:hAnsi="Times New Roman"/>
          <w:lang w:val="en-US"/>
        </w:rPr>
        <w:t xml:space="preserve"> Furthermore, close to decommissioning</w:t>
      </w:r>
      <w:r w:rsidR="0076262B">
        <w:rPr>
          <w:rFonts w:ascii="Times New Roman" w:eastAsia="MS PGothic" w:hAnsi="Times New Roman"/>
          <w:lang w:val="en-US"/>
        </w:rPr>
        <w:t>-</w:t>
      </w:r>
      <w:r w:rsidR="001D01D6">
        <w:rPr>
          <w:rFonts w:ascii="Times New Roman" w:eastAsia="MS PGothic" w:hAnsi="Times New Roman"/>
          <w:lang w:val="en-US"/>
        </w:rPr>
        <w:t>phase</w:t>
      </w:r>
      <w:r w:rsidR="00D84123">
        <w:rPr>
          <w:rFonts w:ascii="Times New Roman" w:eastAsia="MS PGothic" w:hAnsi="Times New Roman"/>
          <w:lang w:val="en-US"/>
        </w:rPr>
        <w:t>,</w:t>
      </w:r>
      <w:r w:rsidR="001D01D6">
        <w:rPr>
          <w:rFonts w:ascii="Times New Roman" w:eastAsia="MS PGothic" w:hAnsi="Times New Roman"/>
          <w:lang w:val="en-US"/>
        </w:rPr>
        <w:t xml:space="preserve"> offshore platforms could represent an opportunity to create </w:t>
      </w:r>
      <w:r w:rsidR="00B22671">
        <w:rPr>
          <w:rFonts w:ascii="Times New Roman" w:eastAsia="MS PGothic" w:hAnsi="Times New Roman"/>
          <w:lang w:val="en-US"/>
        </w:rPr>
        <w:t xml:space="preserve">a </w:t>
      </w:r>
      <w:r w:rsidR="001D01D6">
        <w:rPr>
          <w:rFonts w:ascii="Times New Roman" w:eastAsia="MS PGothic" w:hAnsi="Times New Roman"/>
          <w:lang w:val="en-US"/>
        </w:rPr>
        <w:t>hub for hydrogen production</w:t>
      </w:r>
      <w:r w:rsidR="00D84123">
        <w:rPr>
          <w:rFonts w:ascii="Times New Roman" w:eastAsia="MS PGothic" w:hAnsi="Times New Roman"/>
          <w:lang w:val="en-US"/>
        </w:rPr>
        <w:t>,</w:t>
      </w:r>
      <w:r w:rsidR="008A0BED">
        <w:rPr>
          <w:rFonts w:ascii="Times New Roman" w:eastAsia="MS PGothic" w:hAnsi="Times New Roman"/>
          <w:lang w:val="en-US"/>
        </w:rPr>
        <w:t xml:space="preserve"> </w:t>
      </w:r>
      <w:r w:rsidR="001D01D6">
        <w:rPr>
          <w:rFonts w:ascii="Times New Roman" w:eastAsia="MS PGothic" w:hAnsi="Times New Roman"/>
          <w:lang w:val="en-US"/>
        </w:rPr>
        <w:t xml:space="preserve">avoiding platform removal, </w:t>
      </w:r>
      <w:r w:rsidR="001D01D6" w:rsidRPr="00BD0DE8">
        <w:rPr>
          <w:rFonts w:ascii="Times New Roman" w:eastAsia="MS PGothic" w:hAnsi="Times New Roman"/>
          <w:lang w:val="en-US"/>
        </w:rPr>
        <w:t>a technically complex and highly impacting process from both environmental and economic standpoints</w:t>
      </w:r>
      <w:r w:rsidR="00AC3155">
        <w:rPr>
          <w:rFonts w:ascii="Times New Roman" w:eastAsia="MS PGothic" w:hAnsi="Times New Roman"/>
          <w:lang w:val="en-US"/>
        </w:rPr>
        <w:t>. The aim of th</w:t>
      </w:r>
      <w:r w:rsidR="00B22671">
        <w:rPr>
          <w:rFonts w:ascii="Times New Roman" w:eastAsia="MS PGothic" w:hAnsi="Times New Roman"/>
          <w:lang w:val="en-US"/>
        </w:rPr>
        <w:t>is</w:t>
      </w:r>
      <w:r w:rsidR="00AC3155">
        <w:rPr>
          <w:rFonts w:ascii="Times New Roman" w:eastAsia="MS PGothic" w:hAnsi="Times New Roman"/>
          <w:lang w:val="en-US"/>
        </w:rPr>
        <w:t xml:space="preserve"> study is to </w:t>
      </w:r>
      <w:r w:rsidR="00B22671">
        <w:rPr>
          <w:rFonts w:ascii="Times New Roman" w:eastAsia="MS PGothic" w:hAnsi="Times New Roman"/>
          <w:lang w:val="en-US"/>
        </w:rPr>
        <w:t xml:space="preserve">provide </w:t>
      </w:r>
      <w:r w:rsidR="00AC3155">
        <w:rPr>
          <w:rFonts w:ascii="Times New Roman" w:eastAsia="MS PGothic" w:hAnsi="Times New Roman"/>
          <w:lang w:val="en-US"/>
        </w:rPr>
        <w:t xml:space="preserve">design </w:t>
      </w:r>
      <w:r w:rsidR="00B22671">
        <w:rPr>
          <w:rFonts w:ascii="Times New Roman" w:eastAsia="MS PGothic" w:hAnsi="Times New Roman"/>
          <w:lang w:val="en-US"/>
        </w:rPr>
        <w:t xml:space="preserve">criteria for </w:t>
      </w:r>
      <w:r w:rsidR="00AC3155">
        <w:rPr>
          <w:rFonts w:ascii="Times New Roman" w:eastAsia="MS PGothic" w:hAnsi="Times New Roman"/>
          <w:lang w:val="en-US"/>
        </w:rPr>
        <w:t xml:space="preserve">an offshore </w:t>
      </w:r>
      <w:r w:rsidR="00D84123">
        <w:rPr>
          <w:rFonts w:ascii="Times New Roman" w:eastAsia="MS PGothic" w:hAnsi="Times New Roman"/>
          <w:lang w:val="en-US"/>
        </w:rPr>
        <w:t>process</w:t>
      </w:r>
      <w:r w:rsidR="00503B9E">
        <w:rPr>
          <w:rFonts w:ascii="Times New Roman" w:eastAsia="MS PGothic" w:hAnsi="Times New Roman"/>
          <w:lang w:val="en-US"/>
        </w:rPr>
        <w:t xml:space="preserve"> for </w:t>
      </w:r>
      <w:r w:rsidR="00D84123">
        <w:rPr>
          <w:rFonts w:ascii="Times New Roman" w:eastAsia="MS PGothic" w:hAnsi="Times New Roman"/>
          <w:lang w:val="en-US"/>
        </w:rPr>
        <w:t xml:space="preserve">green </w:t>
      </w:r>
      <w:r w:rsidR="0076262B">
        <w:rPr>
          <w:rFonts w:ascii="Times New Roman" w:eastAsia="MS PGothic" w:hAnsi="Times New Roman"/>
          <w:lang w:val="en-US"/>
        </w:rPr>
        <w:t xml:space="preserve">hydrogen </w:t>
      </w:r>
      <w:r w:rsidR="00503B9E">
        <w:rPr>
          <w:rFonts w:ascii="Times New Roman" w:eastAsia="MS PGothic" w:hAnsi="Times New Roman"/>
          <w:lang w:val="en-US"/>
        </w:rPr>
        <w:t>production</w:t>
      </w:r>
      <w:r w:rsidR="00D84123">
        <w:rPr>
          <w:rFonts w:ascii="Times New Roman" w:eastAsia="MS PGothic" w:hAnsi="Times New Roman"/>
          <w:lang w:val="en-US"/>
        </w:rPr>
        <w:t xml:space="preserve"> able to exploit the energy available from sun</w:t>
      </w:r>
      <w:r w:rsidR="00A333C7">
        <w:rPr>
          <w:rFonts w:ascii="Times New Roman" w:eastAsia="MS PGothic" w:hAnsi="Times New Roman"/>
          <w:lang w:val="en-US"/>
        </w:rPr>
        <w:t>, wind</w:t>
      </w:r>
      <w:r w:rsidR="00D84123">
        <w:rPr>
          <w:rFonts w:ascii="Times New Roman" w:eastAsia="MS PGothic" w:hAnsi="Times New Roman"/>
          <w:lang w:val="en-US"/>
        </w:rPr>
        <w:t xml:space="preserve"> and w</w:t>
      </w:r>
      <w:r w:rsidR="00A333C7">
        <w:rPr>
          <w:rFonts w:ascii="Times New Roman" w:eastAsia="MS PGothic" w:hAnsi="Times New Roman"/>
          <w:lang w:val="en-US"/>
        </w:rPr>
        <w:t>ave</w:t>
      </w:r>
      <w:r w:rsidR="0076262B">
        <w:rPr>
          <w:rFonts w:ascii="Times New Roman" w:eastAsia="MS PGothic" w:hAnsi="Times New Roman"/>
          <w:lang w:val="en-US"/>
        </w:rPr>
        <w:t>.</w:t>
      </w:r>
    </w:p>
    <w:p w14:paraId="0871BF31"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2. Methods</w:t>
      </w:r>
    </w:p>
    <w:p w14:paraId="7B0DE8ED" w14:textId="40DA84A8" w:rsidR="00BD0DE8" w:rsidRDefault="00BD0DE8" w:rsidP="00197DDA">
      <w:pPr>
        <w:snapToGrid w:val="0"/>
        <w:spacing w:after="120"/>
        <w:rPr>
          <w:rFonts w:ascii="Times New Roman" w:eastAsia="MS PGothic" w:hAnsi="Times New Roman"/>
          <w:lang w:val="en-US"/>
        </w:rPr>
      </w:pPr>
      <w:r>
        <w:rPr>
          <w:rFonts w:ascii="Times New Roman" w:eastAsia="MS PGothic" w:hAnsi="Times New Roman"/>
          <w:lang w:val="en-US"/>
        </w:rPr>
        <w:t xml:space="preserve">The following </w:t>
      </w:r>
      <w:r w:rsidR="00503B9E">
        <w:rPr>
          <w:rFonts w:ascii="Times New Roman" w:eastAsia="MS PGothic" w:hAnsi="Times New Roman"/>
          <w:lang w:val="en-US"/>
        </w:rPr>
        <w:t xml:space="preserve">steps </w:t>
      </w:r>
      <w:r w:rsidR="009F09FB">
        <w:rPr>
          <w:rFonts w:ascii="Times New Roman" w:eastAsia="MS PGothic" w:hAnsi="Times New Roman"/>
          <w:lang w:val="en-US"/>
        </w:rPr>
        <w:t>allow</w:t>
      </w:r>
      <w:r>
        <w:rPr>
          <w:rFonts w:ascii="Times New Roman" w:eastAsia="MS PGothic" w:hAnsi="Times New Roman"/>
          <w:lang w:val="en-US"/>
        </w:rPr>
        <w:t xml:space="preserve"> the </w:t>
      </w:r>
      <w:r w:rsidR="00D84123">
        <w:rPr>
          <w:rFonts w:ascii="Times New Roman" w:eastAsia="MS PGothic" w:hAnsi="Times New Roman"/>
          <w:lang w:val="en-US"/>
        </w:rPr>
        <w:t xml:space="preserve">optimal selection of the </w:t>
      </w:r>
      <w:r>
        <w:rPr>
          <w:rFonts w:ascii="Times New Roman" w:eastAsia="MS PGothic" w:hAnsi="Times New Roman"/>
          <w:lang w:val="en-US"/>
        </w:rPr>
        <w:t xml:space="preserve">energy converters for each RES </w:t>
      </w:r>
      <w:r w:rsidR="00D84123">
        <w:rPr>
          <w:rFonts w:ascii="Times New Roman" w:eastAsia="MS PGothic" w:hAnsi="Times New Roman"/>
          <w:lang w:val="en-US"/>
        </w:rPr>
        <w:t xml:space="preserve">considered </w:t>
      </w:r>
      <w:r>
        <w:rPr>
          <w:rFonts w:ascii="Times New Roman" w:eastAsia="MS PGothic" w:hAnsi="Times New Roman"/>
          <w:lang w:val="en-US"/>
        </w:rPr>
        <w:t>in a selected offshore site</w:t>
      </w:r>
      <w:r w:rsidR="00D84123">
        <w:rPr>
          <w:rFonts w:ascii="Times New Roman" w:eastAsia="MS PGothic" w:hAnsi="Times New Roman"/>
          <w:lang w:val="en-US"/>
        </w:rPr>
        <w:t xml:space="preserve"> (for the present case </w:t>
      </w:r>
      <w:r w:rsidR="00A333C7">
        <w:rPr>
          <w:rFonts w:ascii="Times New Roman" w:eastAsia="MS PGothic" w:hAnsi="Times New Roman"/>
          <w:lang w:val="en-US"/>
        </w:rPr>
        <w:t>sun, wind and wave)</w:t>
      </w:r>
      <w:r w:rsidR="00CD475E">
        <w:rPr>
          <w:rFonts w:ascii="Times New Roman" w:eastAsia="MS PGothic" w:hAnsi="Times New Roman"/>
          <w:lang w:val="en-US"/>
        </w:rPr>
        <w:t>:</w:t>
      </w:r>
      <w:r>
        <w:rPr>
          <w:rFonts w:ascii="Times New Roman" w:eastAsia="MS PGothic" w:hAnsi="Times New Roman"/>
          <w:lang w:val="en-US"/>
        </w:rPr>
        <w:t xml:space="preserve"> </w:t>
      </w:r>
    </w:p>
    <w:p w14:paraId="45739989" w14:textId="1A1FFDF2" w:rsidR="00197DDA" w:rsidRDefault="00AF217B" w:rsidP="002B41FA">
      <w:pPr>
        <w:pStyle w:val="ListParagraph"/>
        <w:numPr>
          <w:ilvl w:val="0"/>
          <w:numId w:val="2"/>
        </w:numPr>
        <w:snapToGrid w:val="0"/>
        <w:spacing w:after="120"/>
        <w:ind w:left="426"/>
        <w:rPr>
          <w:rFonts w:ascii="Times New Roman" w:eastAsia="MS PGothic" w:hAnsi="Times New Roman"/>
          <w:lang w:val="en-US"/>
        </w:rPr>
      </w:pPr>
      <w:r>
        <w:rPr>
          <w:rFonts w:ascii="Times New Roman" w:eastAsia="MS PGothic" w:hAnsi="Times New Roman"/>
          <w:lang w:val="en-US"/>
        </w:rPr>
        <w:t>Selection of the</w:t>
      </w:r>
      <w:r w:rsidR="0050661B">
        <w:rPr>
          <w:rFonts w:ascii="Times New Roman" w:eastAsia="MS PGothic" w:hAnsi="Times New Roman"/>
          <w:lang w:val="en-US"/>
        </w:rPr>
        <w:t xml:space="preserve"> offshore</w:t>
      </w:r>
      <w:r>
        <w:rPr>
          <w:rFonts w:ascii="Times New Roman" w:eastAsia="MS PGothic" w:hAnsi="Times New Roman"/>
          <w:lang w:val="en-US"/>
        </w:rPr>
        <w:t xml:space="preserve"> site </w:t>
      </w:r>
      <w:r w:rsidR="0050661B">
        <w:rPr>
          <w:rFonts w:ascii="Times New Roman" w:eastAsia="MS PGothic" w:hAnsi="Times New Roman"/>
          <w:lang w:val="en-US"/>
        </w:rPr>
        <w:t>that must have</w:t>
      </w:r>
      <w:r>
        <w:rPr>
          <w:rFonts w:ascii="Times New Roman" w:eastAsia="MS PGothic" w:hAnsi="Times New Roman"/>
          <w:lang w:val="en-US"/>
        </w:rPr>
        <w:t xml:space="preserve"> the following characteristic: the presence of a close to decommissioning phase platform and the availability of data related to RESs.</w:t>
      </w:r>
      <w:r w:rsidR="00197DDA" w:rsidRPr="00C775A4">
        <w:rPr>
          <w:rFonts w:ascii="Times New Roman" w:eastAsia="MS PGothic" w:hAnsi="Times New Roman"/>
          <w:lang w:val="en-US"/>
        </w:rPr>
        <w:t xml:space="preserve"> Data</w:t>
      </w:r>
      <w:r>
        <w:rPr>
          <w:rFonts w:ascii="Times New Roman" w:eastAsia="MS PGothic" w:hAnsi="Times New Roman"/>
          <w:lang w:val="en-US"/>
        </w:rPr>
        <w:t xml:space="preserve"> </w:t>
      </w:r>
      <w:r w:rsidR="00197DDA" w:rsidRPr="00C775A4">
        <w:rPr>
          <w:rFonts w:ascii="Times New Roman" w:eastAsia="MS PGothic" w:hAnsi="Times New Roman"/>
          <w:lang w:val="en-US"/>
        </w:rPr>
        <w:t xml:space="preserve">collected </w:t>
      </w:r>
      <w:r>
        <w:rPr>
          <w:rFonts w:ascii="Times New Roman" w:eastAsia="MS PGothic" w:hAnsi="Times New Roman"/>
          <w:lang w:val="en-US"/>
        </w:rPr>
        <w:t xml:space="preserve">for each RESs </w:t>
      </w:r>
      <w:r w:rsidR="00197DDA" w:rsidRPr="00C775A4">
        <w:rPr>
          <w:rFonts w:ascii="Times New Roman" w:eastAsia="MS PGothic" w:hAnsi="Times New Roman"/>
          <w:lang w:val="en-US"/>
        </w:rPr>
        <w:t>must cover at least one year to investigate all seasonal variations</w:t>
      </w:r>
      <w:r w:rsidR="00036547">
        <w:rPr>
          <w:rFonts w:ascii="Times New Roman" w:eastAsia="MS PGothic" w:hAnsi="Times New Roman"/>
          <w:lang w:val="en-US"/>
        </w:rPr>
        <w:t xml:space="preserve"> and </w:t>
      </w:r>
      <w:r w:rsidR="00197DDA" w:rsidRPr="00C775A4">
        <w:rPr>
          <w:rFonts w:ascii="Times New Roman" w:eastAsia="MS PGothic" w:hAnsi="Times New Roman"/>
          <w:lang w:val="en-US"/>
        </w:rPr>
        <w:t xml:space="preserve">timestep </w:t>
      </w:r>
      <w:r w:rsidR="00036547">
        <w:rPr>
          <w:rFonts w:ascii="Times New Roman" w:eastAsia="MS PGothic" w:hAnsi="Times New Roman"/>
          <w:lang w:val="en-US"/>
        </w:rPr>
        <w:t>have</w:t>
      </w:r>
      <w:r w:rsidR="00197DDA" w:rsidRPr="00C775A4">
        <w:rPr>
          <w:rFonts w:ascii="Times New Roman" w:eastAsia="MS PGothic" w:hAnsi="Times New Roman"/>
          <w:lang w:val="en-US"/>
        </w:rPr>
        <w:t xml:space="preserve"> to be</w:t>
      </w:r>
      <w:r w:rsidR="00036547">
        <w:rPr>
          <w:rFonts w:ascii="Times New Roman" w:eastAsia="MS PGothic" w:hAnsi="Times New Roman"/>
          <w:lang w:val="en-US"/>
        </w:rPr>
        <w:t xml:space="preserve"> of</w:t>
      </w:r>
      <w:r w:rsidR="00197DDA" w:rsidRPr="00C775A4">
        <w:rPr>
          <w:rFonts w:ascii="Times New Roman" w:eastAsia="MS PGothic" w:hAnsi="Times New Roman"/>
          <w:lang w:val="en-US"/>
        </w:rPr>
        <w:t xml:space="preserve"> one hour or lower to </w:t>
      </w:r>
      <w:r w:rsidR="00CD475E">
        <w:rPr>
          <w:rFonts w:ascii="Times New Roman" w:eastAsia="MS PGothic" w:hAnsi="Times New Roman"/>
          <w:lang w:val="en-US"/>
        </w:rPr>
        <w:t>analyze</w:t>
      </w:r>
      <w:r w:rsidR="00CD475E" w:rsidRPr="00C775A4">
        <w:rPr>
          <w:rFonts w:ascii="Times New Roman" w:eastAsia="MS PGothic" w:hAnsi="Times New Roman"/>
          <w:lang w:val="en-US"/>
        </w:rPr>
        <w:t xml:space="preserve"> </w:t>
      </w:r>
      <w:r w:rsidR="00197DDA" w:rsidRPr="00C775A4">
        <w:rPr>
          <w:rFonts w:ascii="Times New Roman" w:eastAsia="MS PGothic" w:hAnsi="Times New Roman"/>
          <w:lang w:val="en-US"/>
        </w:rPr>
        <w:t>RESs unpredictability.</w:t>
      </w:r>
    </w:p>
    <w:p w14:paraId="7E94E446" w14:textId="08FD448D" w:rsidR="00AF217B" w:rsidRDefault="007B27F2" w:rsidP="002B41FA">
      <w:pPr>
        <w:pStyle w:val="ListParagraph"/>
        <w:numPr>
          <w:ilvl w:val="0"/>
          <w:numId w:val="2"/>
        </w:numPr>
        <w:snapToGrid w:val="0"/>
        <w:spacing w:after="120"/>
        <w:ind w:left="426"/>
        <w:rPr>
          <w:rFonts w:ascii="Times New Roman" w:eastAsia="MS PGothic" w:hAnsi="Times New Roman"/>
          <w:lang w:val="en-US"/>
        </w:rPr>
      </w:pPr>
      <w:r>
        <w:rPr>
          <w:rFonts w:ascii="Times New Roman" w:eastAsia="MS PGothic" w:hAnsi="Times New Roman"/>
          <w:lang w:val="en-US"/>
        </w:rPr>
        <w:t>Elaboration of collected data to calculate the potentiality for each RES and</w:t>
      </w:r>
      <w:r w:rsidR="00537686">
        <w:rPr>
          <w:rFonts w:ascii="Times New Roman" w:eastAsia="MS PGothic" w:hAnsi="Times New Roman"/>
          <w:lang w:val="en-US"/>
        </w:rPr>
        <w:t xml:space="preserve"> to allow</w:t>
      </w:r>
      <w:r>
        <w:rPr>
          <w:rFonts w:ascii="Times New Roman" w:eastAsia="MS PGothic" w:hAnsi="Times New Roman"/>
          <w:lang w:val="en-US"/>
        </w:rPr>
        <w:t xml:space="preserve"> </w:t>
      </w:r>
      <w:r w:rsidR="00CD475E">
        <w:rPr>
          <w:rFonts w:ascii="Times New Roman" w:eastAsia="MS PGothic" w:hAnsi="Times New Roman"/>
          <w:lang w:val="en-US"/>
        </w:rPr>
        <w:t xml:space="preserve">the </w:t>
      </w:r>
      <w:r>
        <w:rPr>
          <w:rFonts w:ascii="Times New Roman" w:eastAsia="MS PGothic" w:hAnsi="Times New Roman"/>
          <w:lang w:val="en-US"/>
        </w:rPr>
        <w:t xml:space="preserve">selection of the most suitable converter for the maximum </w:t>
      </w:r>
      <w:r w:rsidR="00C86302">
        <w:rPr>
          <w:rFonts w:ascii="Times New Roman" w:eastAsia="MS PGothic" w:hAnsi="Times New Roman"/>
          <w:lang w:val="en-US"/>
        </w:rPr>
        <w:t xml:space="preserve">source </w:t>
      </w:r>
      <w:r>
        <w:rPr>
          <w:rFonts w:ascii="Times New Roman" w:eastAsia="MS PGothic" w:hAnsi="Times New Roman"/>
          <w:lang w:val="en-US"/>
        </w:rPr>
        <w:t>exploitation</w:t>
      </w:r>
      <w:r w:rsidR="00CD475E">
        <w:rPr>
          <w:rFonts w:ascii="Times New Roman" w:eastAsia="MS PGothic" w:hAnsi="Times New Roman"/>
          <w:lang w:val="en-US"/>
        </w:rPr>
        <w:t xml:space="preserve">. Such </w:t>
      </w:r>
      <w:r>
        <w:rPr>
          <w:rFonts w:ascii="Times New Roman" w:eastAsia="MS PGothic" w:hAnsi="Times New Roman"/>
          <w:lang w:val="en-US"/>
        </w:rPr>
        <w:t xml:space="preserve">selection </w:t>
      </w:r>
      <w:r w:rsidR="00CD475E">
        <w:rPr>
          <w:rFonts w:ascii="Times New Roman" w:eastAsia="MS PGothic" w:hAnsi="Times New Roman"/>
          <w:lang w:val="en-US"/>
        </w:rPr>
        <w:t>is driven</w:t>
      </w:r>
      <w:r>
        <w:rPr>
          <w:rFonts w:ascii="Times New Roman" w:eastAsia="MS PGothic" w:hAnsi="Times New Roman"/>
          <w:lang w:val="en-US"/>
        </w:rPr>
        <w:t xml:space="preserve"> by </w:t>
      </w:r>
      <w:r w:rsidR="00CD475E">
        <w:rPr>
          <w:rFonts w:ascii="Times New Roman" w:eastAsia="MS PGothic" w:hAnsi="Times New Roman"/>
          <w:lang w:val="en-US"/>
        </w:rPr>
        <w:t xml:space="preserve">the potentiality of the </w:t>
      </w:r>
      <w:r>
        <w:rPr>
          <w:rFonts w:ascii="Times New Roman" w:eastAsia="MS PGothic" w:hAnsi="Times New Roman"/>
          <w:lang w:val="en-US"/>
        </w:rPr>
        <w:t xml:space="preserve">source and </w:t>
      </w:r>
      <w:r w:rsidR="00364245">
        <w:rPr>
          <w:rFonts w:ascii="Times New Roman" w:eastAsia="MS PGothic" w:hAnsi="Times New Roman"/>
          <w:lang w:val="en-US"/>
        </w:rPr>
        <w:t xml:space="preserve">by </w:t>
      </w:r>
      <w:r w:rsidR="00CD475E">
        <w:rPr>
          <w:rFonts w:ascii="Times New Roman" w:eastAsia="MS PGothic" w:hAnsi="Times New Roman"/>
          <w:lang w:val="en-US"/>
        </w:rPr>
        <w:t>the</w:t>
      </w:r>
      <w:r>
        <w:rPr>
          <w:rFonts w:ascii="Times New Roman" w:eastAsia="MS PGothic" w:hAnsi="Times New Roman"/>
          <w:lang w:val="en-US"/>
        </w:rPr>
        <w:t xml:space="preserve"> nominal operativity condition</w:t>
      </w:r>
      <w:r w:rsidR="00CD475E">
        <w:rPr>
          <w:rFonts w:ascii="Times New Roman" w:eastAsia="MS PGothic" w:hAnsi="Times New Roman"/>
          <w:lang w:val="en-US"/>
        </w:rPr>
        <w:t>s of each converter</w:t>
      </w:r>
      <w:r w:rsidR="00FD3335">
        <w:rPr>
          <w:rFonts w:ascii="Times New Roman" w:eastAsia="MS PGothic" w:hAnsi="Times New Roman"/>
          <w:lang w:val="en-US"/>
        </w:rPr>
        <w:t>.</w:t>
      </w:r>
    </w:p>
    <w:p w14:paraId="5CD38155" w14:textId="773B8074" w:rsidR="007B27F2" w:rsidRDefault="007B27F2" w:rsidP="002B41FA">
      <w:pPr>
        <w:pStyle w:val="ListParagraph"/>
        <w:numPr>
          <w:ilvl w:val="0"/>
          <w:numId w:val="2"/>
        </w:numPr>
        <w:snapToGrid w:val="0"/>
        <w:spacing w:after="120"/>
        <w:ind w:left="426"/>
        <w:rPr>
          <w:rFonts w:ascii="Times New Roman" w:eastAsia="MS PGothic" w:hAnsi="Times New Roman"/>
          <w:lang w:val="en-US"/>
        </w:rPr>
      </w:pPr>
      <w:r>
        <w:rPr>
          <w:rFonts w:ascii="Times New Roman" w:eastAsia="MS PGothic" w:hAnsi="Times New Roman"/>
          <w:lang w:val="en-US"/>
        </w:rPr>
        <w:t xml:space="preserve">Calculation </w:t>
      </w:r>
      <w:r w:rsidR="0049697C">
        <w:rPr>
          <w:rFonts w:ascii="Times New Roman" w:eastAsia="MS PGothic" w:hAnsi="Times New Roman"/>
          <w:lang w:val="en-US"/>
        </w:rPr>
        <w:t>of power produc</w:t>
      </w:r>
      <w:r w:rsidR="00264B53">
        <w:rPr>
          <w:rFonts w:ascii="Times New Roman" w:eastAsia="MS PGothic" w:hAnsi="Times New Roman"/>
          <w:lang w:val="en-US"/>
        </w:rPr>
        <w:t xml:space="preserve">ed by each converter </w:t>
      </w:r>
      <w:r w:rsidR="00CD475E">
        <w:rPr>
          <w:rFonts w:ascii="Times New Roman" w:eastAsia="MS PGothic" w:hAnsi="Times New Roman"/>
          <w:lang w:val="en-US"/>
        </w:rPr>
        <w:t>based on</w:t>
      </w:r>
      <w:r w:rsidR="0049697C">
        <w:rPr>
          <w:rFonts w:ascii="Times New Roman" w:eastAsia="MS PGothic" w:hAnsi="Times New Roman"/>
          <w:lang w:val="en-US"/>
        </w:rPr>
        <w:t xml:space="preserve"> the timestep </w:t>
      </w:r>
      <w:r w:rsidR="00C86302">
        <w:rPr>
          <w:rFonts w:ascii="Times New Roman" w:eastAsia="MS PGothic" w:hAnsi="Times New Roman"/>
          <w:lang w:val="en-US"/>
        </w:rPr>
        <w:t>selected</w:t>
      </w:r>
      <w:r w:rsidR="00FD3335">
        <w:rPr>
          <w:rFonts w:ascii="Times New Roman" w:eastAsia="MS PGothic" w:hAnsi="Times New Roman"/>
          <w:lang w:val="en-US"/>
        </w:rPr>
        <w:t>.</w:t>
      </w:r>
    </w:p>
    <w:p w14:paraId="4A54355E" w14:textId="2E4833E1" w:rsidR="007B27F2" w:rsidRDefault="0049697C" w:rsidP="002B41FA">
      <w:pPr>
        <w:pStyle w:val="ListParagraph"/>
        <w:numPr>
          <w:ilvl w:val="0"/>
          <w:numId w:val="2"/>
        </w:numPr>
        <w:snapToGrid w:val="0"/>
        <w:spacing w:after="120"/>
        <w:ind w:left="426"/>
        <w:rPr>
          <w:rFonts w:ascii="Times New Roman" w:eastAsia="MS PGothic" w:hAnsi="Times New Roman"/>
          <w:lang w:val="en-US"/>
        </w:rPr>
      </w:pPr>
      <w:r>
        <w:rPr>
          <w:rFonts w:ascii="Times New Roman" w:eastAsia="MS PGothic" w:hAnsi="Times New Roman"/>
          <w:lang w:val="en-US"/>
        </w:rPr>
        <w:t xml:space="preserve">Determination of </w:t>
      </w:r>
      <w:r w:rsidR="008830B2">
        <w:rPr>
          <w:rFonts w:ascii="Times New Roman" w:eastAsia="MS PGothic" w:hAnsi="Times New Roman"/>
          <w:lang w:val="en-US"/>
        </w:rPr>
        <w:t xml:space="preserve">converters </w:t>
      </w:r>
      <w:r w:rsidR="00264B53">
        <w:rPr>
          <w:rFonts w:ascii="Times New Roman" w:eastAsia="MS PGothic" w:hAnsi="Times New Roman"/>
          <w:lang w:val="en-US"/>
        </w:rPr>
        <w:t xml:space="preserve">mix </w:t>
      </w:r>
      <w:r w:rsidR="00FD3335">
        <w:rPr>
          <w:rFonts w:ascii="Times New Roman" w:eastAsia="MS PGothic" w:hAnsi="Times New Roman"/>
          <w:lang w:val="en-US"/>
        </w:rPr>
        <w:t xml:space="preserve">and power </w:t>
      </w:r>
      <w:r w:rsidR="00107E83">
        <w:rPr>
          <w:rFonts w:ascii="Times New Roman" w:eastAsia="MS PGothic" w:hAnsi="Times New Roman"/>
          <w:lang w:val="en-US"/>
        </w:rPr>
        <w:t xml:space="preserve">availability </w:t>
      </w:r>
      <w:r w:rsidR="00FD3335">
        <w:rPr>
          <w:rFonts w:ascii="Times New Roman" w:eastAsia="MS PGothic" w:hAnsi="Times New Roman"/>
          <w:lang w:val="en-US"/>
        </w:rPr>
        <w:t xml:space="preserve">for the processes. </w:t>
      </w:r>
    </w:p>
    <w:p w14:paraId="6BFC9FC9" w14:textId="0F7280C1" w:rsidR="00B14AD1" w:rsidRDefault="00264B53" w:rsidP="002B41FA">
      <w:pPr>
        <w:pStyle w:val="ListParagraph"/>
        <w:numPr>
          <w:ilvl w:val="0"/>
          <w:numId w:val="2"/>
        </w:numPr>
        <w:snapToGrid w:val="0"/>
        <w:spacing w:after="120"/>
        <w:ind w:left="426"/>
        <w:rPr>
          <w:rFonts w:ascii="Times New Roman" w:eastAsia="MS PGothic" w:hAnsi="Times New Roman"/>
          <w:lang w:val="en-US"/>
        </w:rPr>
      </w:pPr>
      <w:r w:rsidRPr="00B14AD1">
        <w:rPr>
          <w:rFonts w:ascii="Times New Roman" w:eastAsia="MS PGothic" w:hAnsi="Times New Roman"/>
          <w:lang w:val="en-US"/>
        </w:rPr>
        <w:t>Calculation</w:t>
      </w:r>
      <w:r w:rsidR="002A2EBE">
        <w:rPr>
          <w:rFonts w:ascii="Times New Roman" w:eastAsia="MS PGothic" w:hAnsi="Times New Roman"/>
          <w:lang w:val="en-US"/>
        </w:rPr>
        <w:t xml:space="preserve"> of energy requirement for </w:t>
      </w:r>
      <w:r w:rsidR="00C86302">
        <w:rPr>
          <w:rFonts w:ascii="Times New Roman" w:eastAsia="MS PGothic" w:hAnsi="Times New Roman"/>
          <w:lang w:val="en-US"/>
        </w:rPr>
        <w:t>MVC and AEL processes</w:t>
      </w:r>
      <w:r w:rsidR="008830B2">
        <w:rPr>
          <w:rFonts w:ascii="Times New Roman" w:eastAsia="MS PGothic" w:hAnsi="Times New Roman"/>
          <w:lang w:val="en-US"/>
        </w:rPr>
        <w:t xml:space="preserve"> and</w:t>
      </w:r>
      <w:r w:rsidR="00364245">
        <w:rPr>
          <w:rFonts w:ascii="Times New Roman" w:eastAsia="MS PGothic" w:hAnsi="Times New Roman"/>
          <w:lang w:val="en-US"/>
        </w:rPr>
        <w:t xml:space="preserve"> quantification of</w:t>
      </w:r>
      <w:r w:rsidRPr="00B14AD1">
        <w:rPr>
          <w:rFonts w:ascii="Times New Roman" w:eastAsia="MS PGothic" w:hAnsi="Times New Roman"/>
          <w:lang w:val="en-US"/>
        </w:rPr>
        <w:t xml:space="preserve"> </w:t>
      </w:r>
      <w:r w:rsidR="00CD475E">
        <w:rPr>
          <w:rFonts w:ascii="Times New Roman" w:eastAsia="MS PGothic" w:hAnsi="Times New Roman"/>
          <w:lang w:val="en-US"/>
        </w:rPr>
        <w:t>green hydrogen</w:t>
      </w:r>
      <w:r w:rsidRPr="00B14AD1">
        <w:rPr>
          <w:rFonts w:ascii="Times New Roman" w:eastAsia="MS PGothic" w:hAnsi="Times New Roman"/>
          <w:lang w:val="en-US"/>
        </w:rPr>
        <w:t xml:space="preserve"> production</w:t>
      </w:r>
      <w:r w:rsidR="003C7832">
        <w:rPr>
          <w:rFonts w:ascii="Times New Roman" w:eastAsia="MS PGothic" w:hAnsi="Times New Roman"/>
          <w:lang w:val="en-US"/>
        </w:rPr>
        <w:t>.</w:t>
      </w:r>
    </w:p>
    <w:p w14:paraId="32945AEB" w14:textId="31B0AFA9" w:rsidR="00CA0770" w:rsidRPr="00CA0770" w:rsidRDefault="00CA0770" w:rsidP="00CA0770">
      <w:pPr>
        <w:snapToGrid w:val="0"/>
        <w:spacing w:after="120"/>
        <w:rPr>
          <w:rFonts w:ascii="Times New Roman" w:eastAsia="MS PGothic" w:hAnsi="Times New Roman"/>
          <w:lang w:val="en-US"/>
        </w:rPr>
      </w:pPr>
      <w:r>
        <w:rPr>
          <w:rFonts w:ascii="Times New Roman" w:eastAsia="MS PGothic" w:hAnsi="Times New Roman"/>
          <w:lang w:val="en-US"/>
        </w:rPr>
        <w:t>In the present study</w:t>
      </w:r>
      <w:r w:rsidRPr="00CA0770">
        <w:rPr>
          <w:rFonts w:ascii="Times New Roman" w:eastAsia="MS PGothic" w:hAnsi="Times New Roman"/>
          <w:lang w:val="en-US"/>
        </w:rPr>
        <w:t xml:space="preserve">, the </w:t>
      </w:r>
      <w:r>
        <w:rPr>
          <w:rFonts w:ascii="Times New Roman" w:eastAsia="MS PGothic" w:hAnsi="Times New Roman"/>
          <w:lang w:val="en-US"/>
        </w:rPr>
        <w:t xml:space="preserve">production of </w:t>
      </w:r>
      <w:r w:rsidRPr="00CA0770">
        <w:rPr>
          <w:rFonts w:ascii="Times New Roman" w:eastAsia="MS PGothic" w:hAnsi="Times New Roman"/>
          <w:lang w:val="en-US"/>
        </w:rPr>
        <w:t xml:space="preserve">green hydrogen </w:t>
      </w:r>
      <w:r>
        <w:rPr>
          <w:rFonts w:ascii="Times New Roman" w:eastAsia="MS PGothic" w:hAnsi="Times New Roman"/>
          <w:lang w:val="en-US"/>
        </w:rPr>
        <w:t>is based on</w:t>
      </w:r>
      <w:r w:rsidRPr="00CA0770">
        <w:rPr>
          <w:rFonts w:ascii="Times New Roman" w:eastAsia="MS PGothic" w:hAnsi="Times New Roman"/>
          <w:lang w:val="en-US"/>
        </w:rPr>
        <w:t xml:space="preserve"> Alkaline Electrolysis (AEL) </w:t>
      </w:r>
      <w:r w:rsidR="004C33DE">
        <w:rPr>
          <w:rFonts w:ascii="Times New Roman" w:eastAsia="MS PGothic" w:hAnsi="Times New Roman"/>
          <w:lang w:val="en-US"/>
        </w:rPr>
        <w:fldChar w:fldCharType="begin" w:fldLock="1"/>
      </w:r>
      <w:r w:rsidR="004C33DE">
        <w:rPr>
          <w:rFonts w:ascii="Times New Roman" w:eastAsia="MS PGothic" w:hAnsi="Times New Roman"/>
          <w:lang w:val="en-US"/>
        </w:rPr>
        <w:instrText>ADDIN CSL_CITATION {"citationItems":[{"id":"ITEM-1","itemData":{"DOI":"10.1016/j.ijhydene.2021.09.018","ISSN":"03603199","abstract":"The motivation of this work is to propose a shared balance of plant (BoP) and power supply (PS) design for industrial scale alkaline electrolyzer plant that has reduced CAPEX with a minimum loss in OPEX for variable load operation. Three important aspects are: a) flowsheet - either shared or individual BoP and PS per stack, b) variable or constant lye flowrate per stack and c) sizing of cooling duty in the lye circulation loop. Steady-state optimization shows that individual BoP per stack (with higher CAPEX) is optimal when the plant is expected to operate at high capacity. For shared BoP and PS, the hydrogen production is higher by 8–12% when operated with variable lye flowrate compared to fixed lye flowrate. Our results further suggest that lye cooling duty should be designed based on the cooling requirements of the degraded electrolyzer stacks at end of life.","author":[{"dropping-particle":"","family":"Rizwan","given":"Md","non-dropping-particle":"","parse-names":false,"suffix":""},{"dropping-particle":"","family":"Alstad","given":"Vidar","non-dropping-particle":"","parse-names":false,"suffix":""},{"dropping-particle":"","family":"Jäschke","given":"Johannes","non-dropping-particle":"","parse-names":false,"suffix":""}],"container-title":"International Journal of Hydrogen Energy","id":"ITEM-1","issue":"75","issued":{"date-parts":[["2021"]]},"page":"37120-37136","title":"Design considerations for industrial water electrolyzer plants","type":"article-journal","volume":"46"},"uris":["http://www.mendeley.com/documents/?uuid=57525887-991a-4f0f-a9bd-d0fb4dca60e9"]}],"mendeley":{"formattedCitation":"[3]","plainTextFormattedCitation":"[3]","previouslyFormattedCitation":"[3]"},"properties":{"noteIndex":0},"schema":"https://github.com/citation-style-language/schema/raw/master/csl-citation.json"}</w:instrText>
      </w:r>
      <w:r w:rsidR="004C33DE">
        <w:rPr>
          <w:rFonts w:ascii="Times New Roman" w:eastAsia="MS PGothic" w:hAnsi="Times New Roman"/>
          <w:lang w:val="en-US"/>
        </w:rPr>
        <w:fldChar w:fldCharType="separate"/>
      </w:r>
      <w:r w:rsidR="004C33DE" w:rsidRPr="004C33DE">
        <w:rPr>
          <w:rFonts w:ascii="Times New Roman" w:eastAsia="MS PGothic" w:hAnsi="Times New Roman"/>
          <w:noProof/>
          <w:lang w:val="en-US"/>
        </w:rPr>
        <w:t>[3]</w:t>
      </w:r>
      <w:r w:rsidR="004C33DE">
        <w:rPr>
          <w:rFonts w:ascii="Times New Roman" w:eastAsia="MS PGothic" w:hAnsi="Times New Roman"/>
          <w:lang w:val="en-US"/>
        </w:rPr>
        <w:fldChar w:fldCharType="end"/>
      </w:r>
      <w:r w:rsidRPr="00CA0770">
        <w:rPr>
          <w:rFonts w:ascii="Times New Roman" w:eastAsia="MS PGothic" w:hAnsi="Times New Roman"/>
          <w:lang w:val="en-US"/>
        </w:rPr>
        <w:t xml:space="preserve">, considering an upstream step for seawater desalination trough Mechanical </w:t>
      </w:r>
      <w:proofErr w:type="spellStart"/>
      <w:r w:rsidRPr="00CA0770">
        <w:rPr>
          <w:rFonts w:ascii="Times New Roman" w:eastAsia="MS PGothic" w:hAnsi="Times New Roman"/>
          <w:lang w:val="en-US"/>
        </w:rPr>
        <w:t>Vapour</w:t>
      </w:r>
      <w:proofErr w:type="spellEnd"/>
      <w:r w:rsidRPr="00CA0770">
        <w:rPr>
          <w:rFonts w:ascii="Times New Roman" w:eastAsia="MS PGothic" w:hAnsi="Times New Roman"/>
          <w:lang w:val="en-US"/>
        </w:rPr>
        <w:t xml:space="preserve"> Compression (MVC) </w:t>
      </w:r>
      <w:r w:rsidR="004C33DE">
        <w:rPr>
          <w:rFonts w:ascii="Times New Roman" w:eastAsia="MS PGothic" w:hAnsi="Times New Roman"/>
          <w:lang w:val="en-US"/>
        </w:rPr>
        <w:fldChar w:fldCharType="begin" w:fldLock="1"/>
      </w:r>
      <w:r w:rsidR="004C33DE">
        <w:rPr>
          <w:rFonts w:ascii="Times New Roman" w:eastAsia="MS PGothic" w:hAnsi="Times New Roman"/>
          <w:lang w:val="en-US"/>
        </w:rPr>
        <w:instrText>ADDIN CSL_CITATION {"citationItems":[{"id":"ITEM-1","itemData":{"DOI":"10.1016/j.rser.2012.12.064","ISSN":"13640321","abstract":"Desalination technologies improve water quality, greatly reduce water shortage problems, and improve quality of life and economic status. Two main technologies are currently used in water desalination: thermal (phase-change) processes and membrane processes. The primary thermal distillation processes include multistage flash distillation (MSF), multi-effect distillation (MED), and vapor compression (VC). The VC process encompasses two types: mechanical (MVC) and thermal (TVC). The common membrane desalination processes include reverse osmosis (RO) and electrodialysis (ED and EDR). Energy cost, operational and maintenance cost, and capital investment are the main contributors to the water production cost of any of these processes. The energy cost is responsible for about 50% of the produced water cost. For thermal distillation processes (MSF, MED, and TVC), two energy forms are required for the operation: (1) low-temperature heat, which represents the main portion of the energy input and is usually supplied to the system by a number of external sources (e.g., fossil fuel, waste energy, nuclear, solar) and (2) electricity, which is used to drive the system's pumps and other electrical components. For the MVC thermal distillation process, only electricity is needed. For membrane processes (RO and ED), only electricity is required as an energy input. Renewable energy systems such as solar thermal, solar photovoltaic, wind, and geothermal technologies are currently used as energy suppliers for desalination systems. These renewable resources are now a proven technology and remain economically promising for remote regions, where connection to the public electric grid is either not cost effective or feasible, and where water scarcity is severe. As the technologies continue to improve, and as fresh water becomes scarce and fossil fuel energy prices rise, renewable energy desalination becomes more viable economically. The technical features, energy consumption, environmental considerations, and potential of renewable energy use in driving the main desalination processes are reviewed and analyzed in this paper. The current and projected costs of water produced from conventional and renewable-energy-driven processes are discussed and compared. © 2013 Elsevier Ltd. All rights reserved.","author":[{"dropping-particle":"","family":"Al-Karaghouli","given":"Ali","non-dropping-particle":"","parse-names":false,"suffix":""},{"dropping-particle":"","family":"Kazmerski","given":"Lawrence L.","non-dropping-particle":"","parse-names":false,"suffix":""}],"container-title":"Renewable and Sustainable Energy Reviews","id":"ITEM-1","issued":{"date-parts":[["2013"]]},"page":"343-356","title":"Energy consumption and water production cost of conventional and renewable-energy-powered desalination processes","type":"article-journal","volume":"24"},"uris":["http://www.mendeley.com/documents/?uuid=c6fe4548-00a0-46f0-9052-2a3138e68996"]}],"mendeley":{"formattedCitation":"[4]","plainTextFormattedCitation":"[4]","previouslyFormattedCitation":"[4]"},"properties":{"noteIndex":0},"schema":"https://github.com/citation-style-language/schema/raw/master/csl-citation.json"}</w:instrText>
      </w:r>
      <w:r w:rsidR="004C33DE">
        <w:rPr>
          <w:rFonts w:ascii="Times New Roman" w:eastAsia="MS PGothic" w:hAnsi="Times New Roman"/>
          <w:lang w:val="en-US"/>
        </w:rPr>
        <w:fldChar w:fldCharType="separate"/>
      </w:r>
      <w:r w:rsidR="004C33DE" w:rsidRPr="004C33DE">
        <w:rPr>
          <w:rFonts w:ascii="Times New Roman" w:eastAsia="MS PGothic" w:hAnsi="Times New Roman"/>
          <w:noProof/>
          <w:lang w:val="en-US"/>
        </w:rPr>
        <w:t>[4]</w:t>
      </w:r>
      <w:r w:rsidR="004C33DE">
        <w:rPr>
          <w:rFonts w:ascii="Times New Roman" w:eastAsia="MS PGothic" w:hAnsi="Times New Roman"/>
          <w:lang w:val="en-US"/>
        </w:rPr>
        <w:fldChar w:fldCharType="end"/>
      </w:r>
      <w:r w:rsidRPr="00CA0770">
        <w:rPr>
          <w:rFonts w:ascii="Times New Roman" w:eastAsia="MS PGothic" w:hAnsi="Times New Roman"/>
          <w:lang w:val="en-US"/>
        </w:rPr>
        <w:t xml:space="preserve">. The AEL technology is selected </w:t>
      </w:r>
      <w:r>
        <w:rPr>
          <w:rFonts w:ascii="Times New Roman" w:eastAsia="MS PGothic" w:hAnsi="Times New Roman"/>
          <w:lang w:val="en-US"/>
        </w:rPr>
        <w:t>because of</w:t>
      </w:r>
      <w:r w:rsidRPr="00CA0770">
        <w:rPr>
          <w:rFonts w:ascii="Times New Roman" w:eastAsia="MS PGothic" w:hAnsi="Times New Roman"/>
          <w:lang w:val="en-US"/>
        </w:rPr>
        <w:t xml:space="preserve"> its lower water consumption with respect to</w:t>
      </w:r>
      <w:r w:rsidR="00895F9C">
        <w:rPr>
          <w:rFonts w:ascii="Times New Roman" w:eastAsia="MS PGothic" w:hAnsi="Times New Roman"/>
          <w:lang w:val="en-US"/>
        </w:rPr>
        <w:t xml:space="preserve"> the PEM technology</w:t>
      </w:r>
      <w:r w:rsidRPr="00CA0770">
        <w:rPr>
          <w:rFonts w:ascii="Times New Roman" w:eastAsia="MS PGothic" w:hAnsi="Times New Roman"/>
          <w:lang w:val="en-US"/>
        </w:rPr>
        <w:t>, while MVC is selected for its lower power consumption if compared to</w:t>
      </w:r>
      <w:r w:rsidR="0058102C">
        <w:rPr>
          <w:rFonts w:ascii="Times New Roman" w:eastAsia="MS PGothic" w:hAnsi="Times New Roman"/>
          <w:lang w:val="en-US"/>
        </w:rPr>
        <w:t xml:space="preserve"> Multi-Stage Flash Distillation and Multi-Effect Distillation.</w:t>
      </w:r>
    </w:p>
    <w:p w14:paraId="0528A46E" w14:textId="77777777" w:rsidR="00DA51A3" w:rsidRPr="00466FFD" w:rsidRDefault="00DA51A3" w:rsidP="00DA51A3">
      <w:pPr>
        <w:snapToGrid w:val="0"/>
        <w:spacing w:before="240" w:line="300" w:lineRule="auto"/>
        <w:rPr>
          <w:rFonts w:ascii="Times New Roman" w:eastAsia="MS PGothic" w:hAnsi="Times New Roman"/>
          <w:lang w:val="en-US"/>
        </w:rPr>
      </w:pPr>
      <w:r w:rsidRPr="00466FFD">
        <w:rPr>
          <w:rFonts w:ascii="Times New Roman" w:eastAsia="MS PGothic" w:hAnsi="Times New Roman"/>
          <w:b/>
          <w:bCs/>
          <w:lang w:val="en-US"/>
        </w:rPr>
        <w:t>3. Results and discussion</w:t>
      </w:r>
    </w:p>
    <w:p w14:paraId="14D9680D" w14:textId="422358C1" w:rsidR="00F643DE" w:rsidRDefault="00A333C7" w:rsidP="002D306C">
      <w:pPr>
        <w:snapToGrid w:val="0"/>
        <w:spacing w:after="120"/>
        <w:rPr>
          <w:rFonts w:ascii="Times New Roman" w:eastAsia="MS PGothic" w:hAnsi="Times New Roman"/>
          <w:lang w:val="en-US"/>
        </w:rPr>
      </w:pPr>
      <w:r>
        <w:rPr>
          <w:rFonts w:ascii="Times New Roman" w:eastAsia="MS PGothic" w:hAnsi="Times New Roman"/>
          <w:lang w:val="en-US"/>
        </w:rPr>
        <w:t>A</w:t>
      </w:r>
      <w:r w:rsidR="004A1B10">
        <w:rPr>
          <w:rFonts w:ascii="Times New Roman" w:eastAsia="MS PGothic" w:hAnsi="Times New Roman"/>
          <w:lang w:val="en-US"/>
        </w:rPr>
        <w:t xml:space="preserve"> platform </w:t>
      </w:r>
      <w:r w:rsidR="00D76003">
        <w:rPr>
          <w:rFonts w:ascii="Times New Roman" w:eastAsia="MS PGothic" w:hAnsi="Times New Roman"/>
          <w:lang w:val="en-US"/>
        </w:rPr>
        <w:t>located 18 km offshore Ravenna (Adriatic Sea)</w:t>
      </w:r>
      <w:r>
        <w:rPr>
          <w:rFonts w:ascii="Times New Roman" w:eastAsia="MS PGothic" w:hAnsi="Times New Roman"/>
          <w:lang w:val="en-US"/>
        </w:rPr>
        <w:t>,</w:t>
      </w:r>
      <w:r w:rsidR="00D76003">
        <w:rPr>
          <w:rFonts w:ascii="Times New Roman" w:eastAsia="MS PGothic" w:hAnsi="Times New Roman"/>
          <w:lang w:val="en-US"/>
        </w:rPr>
        <w:t xml:space="preserve"> </w:t>
      </w:r>
      <w:r w:rsidR="004A1B10">
        <w:rPr>
          <w:rFonts w:ascii="Times New Roman" w:eastAsia="MS PGothic" w:hAnsi="Times New Roman"/>
          <w:lang w:val="en-US"/>
        </w:rPr>
        <w:t>called Garibaldi C</w:t>
      </w:r>
      <w:r>
        <w:rPr>
          <w:rFonts w:ascii="Times New Roman" w:eastAsia="MS PGothic" w:hAnsi="Times New Roman"/>
          <w:lang w:val="en-US"/>
        </w:rPr>
        <w:t>,</w:t>
      </w:r>
      <w:r w:rsidR="004A1B10">
        <w:rPr>
          <w:rFonts w:ascii="Times New Roman" w:eastAsia="MS PGothic" w:hAnsi="Times New Roman"/>
          <w:lang w:val="en-US"/>
        </w:rPr>
        <w:t xml:space="preserve"> </w:t>
      </w:r>
      <w:r w:rsidR="0050661B">
        <w:rPr>
          <w:rFonts w:ascii="Times New Roman" w:eastAsia="MS PGothic" w:hAnsi="Times New Roman"/>
          <w:lang w:val="en-US"/>
        </w:rPr>
        <w:t xml:space="preserve">is selected </w:t>
      </w:r>
      <w:r w:rsidR="00B22671">
        <w:rPr>
          <w:rFonts w:ascii="Times New Roman" w:eastAsia="MS PGothic" w:hAnsi="Times New Roman"/>
          <w:lang w:val="en-US"/>
        </w:rPr>
        <w:t xml:space="preserve">as a case-study, </w:t>
      </w:r>
      <w:r w:rsidR="004A1B10">
        <w:rPr>
          <w:rFonts w:ascii="Times New Roman" w:eastAsia="MS PGothic" w:hAnsi="Times New Roman"/>
          <w:lang w:val="en-US"/>
        </w:rPr>
        <w:t xml:space="preserve">in compliance with the constrain reported in step </w:t>
      </w:r>
      <w:r w:rsidR="00BF18E9">
        <w:rPr>
          <w:rFonts w:ascii="Times New Roman" w:eastAsia="MS PGothic" w:hAnsi="Times New Roman"/>
          <w:lang w:val="en-US"/>
        </w:rPr>
        <w:t>1</w:t>
      </w:r>
      <w:r w:rsidR="004A1B10">
        <w:rPr>
          <w:rFonts w:ascii="Times New Roman" w:eastAsia="MS PGothic" w:hAnsi="Times New Roman"/>
          <w:lang w:val="en-US"/>
        </w:rPr>
        <w:t xml:space="preserve">: indeed, the natural gas in the reservoir is depleting and wave data are provided by </w:t>
      </w:r>
      <w:r w:rsidR="00B66185">
        <w:rPr>
          <w:rFonts w:ascii="Times New Roman" w:eastAsia="MS PGothic" w:hAnsi="Times New Roman"/>
          <w:lang w:val="en-US"/>
        </w:rPr>
        <w:t>a</w:t>
      </w:r>
      <w:r w:rsidR="00B66185" w:rsidRPr="0050661B">
        <w:rPr>
          <w:rFonts w:ascii="Times New Roman" w:eastAsia="MS PGothic" w:hAnsi="Times New Roman"/>
          <w:lang w:val="en-US"/>
        </w:rPr>
        <w:t xml:space="preserve"> metric wave buoy</w:t>
      </w:r>
      <w:r w:rsidR="00B66185">
        <w:rPr>
          <w:rFonts w:ascii="Times New Roman" w:eastAsia="MS PGothic" w:hAnsi="Times New Roman"/>
          <w:lang w:val="en-US"/>
        </w:rPr>
        <w:t xml:space="preserve"> called </w:t>
      </w:r>
      <w:r w:rsidR="004A1B10">
        <w:rPr>
          <w:rFonts w:ascii="Times New Roman" w:eastAsia="MS PGothic" w:hAnsi="Times New Roman"/>
          <w:lang w:val="en-US"/>
        </w:rPr>
        <w:t>Nausicaa, while for wind and sun</w:t>
      </w:r>
      <w:r w:rsidR="00795EDC">
        <w:rPr>
          <w:rFonts w:ascii="Times New Roman" w:eastAsia="MS PGothic" w:hAnsi="Times New Roman"/>
          <w:lang w:val="en-US"/>
        </w:rPr>
        <w:t xml:space="preserve"> data</w:t>
      </w:r>
      <w:r w:rsidR="004A1B10">
        <w:rPr>
          <w:rFonts w:ascii="Times New Roman" w:eastAsia="MS PGothic" w:hAnsi="Times New Roman"/>
          <w:lang w:val="en-US"/>
        </w:rPr>
        <w:t xml:space="preserve"> </w:t>
      </w:r>
      <w:r w:rsidR="004A1B10" w:rsidRPr="002D306C">
        <w:rPr>
          <w:rFonts w:ascii="Times New Roman" w:eastAsia="MS PGothic" w:hAnsi="Times New Roman"/>
          <w:lang w:val="en-US"/>
        </w:rPr>
        <w:t xml:space="preserve">European Centre for Medium-Range Weather Forecast database </w:t>
      </w:r>
      <w:r w:rsidR="004A1B10">
        <w:rPr>
          <w:rFonts w:ascii="Times New Roman" w:eastAsia="MS PGothic" w:hAnsi="Times New Roman"/>
          <w:lang w:val="en-US"/>
        </w:rPr>
        <w:t>i</w:t>
      </w:r>
      <w:r w:rsidR="004A1B10" w:rsidRPr="002D306C">
        <w:rPr>
          <w:rFonts w:ascii="Times New Roman" w:eastAsia="MS PGothic" w:hAnsi="Times New Roman"/>
          <w:lang w:val="en-US"/>
        </w:rPr>
        <w:t>s used</w:t>
      </w:r>
      <w:r w:rsidR="00A55043">
        <w:rPr>
          <w:rFonts w:ascii="Times New Roman" w:eastAsia="MS PGothic" w:hAnsi="Times New Roman"/>
          <w:lang w:val="en-US"/>
        </w:rPr>
        <w:t>,</w:t>
      </w:r>
      <w:r w:rsidR="001E307E" w:rsidRPr="001E307E">
        <w:rPr>
          <w:rFonts w:ascii="Times New Roman" w:eastAsia="MS PGothic" w:hAnsi="Times New Roman"/>
          <w:lang w:val="en-US"/>
        </w:rPr>
        <w:t xml:space="preserve"> </w:t>
      </w:r>
      <w:r w:rsidR="001E307E" w:rsidRPr="002D306C">
        <w:rPr>
          <w:rFonts w:ascii="Times New Roman" w:eastAsia="MS PGothic" w:hAnsi="Times New Roman"/>
          <w:lang w:val="en-US"/>
        </w:rPr>
        <w:t>for a representative year</w:t>
      </w:r>
      <w:r w:rsidR="001E307E">
        <w:rPr>
          <w:rFonts w:ascii="Times New Roman" w:eastAsia="MS PGothic" w:hAnsi="Times New Roman"/>
          <w:lang w:val="en-US"/>
        </w:rPr>
        <w:t xml:space="preserve"> (i.e. 2017) with hourly timestep</w:t>
      </w:r>
      <w:r>
        <w:rPr>
          <w:rFonts w:ascii="Times New Roman" w:eastAsia="MS PGothic" w:hAnsi="Times New Roman"/>
          <w:lang w:val="en-US"/>
        </w:rPr>
        <w:t>s</w:t>
      </w:r>
      <w:r w:rsidR="001E307E">
        <w:rPr>
          <w:rFonts w:ascii="Times New Roman" w:eastAsia="MS PGothic" w:hAnsi="Times New Roman"/>
          <w:lang w:val="en-US"/>
        </w:rPr>
        <w:t xml:space="preserve">. Data are elaborated to evaluate the </w:t>
      </w:r>
      <w:r w:rsidR="00913D8E">
        <w:rPr>
          <w:rFonts w:ascii="Times New Roman" w:eastAsia="MS PGothic" w:hAnsi="Times New Roman"/>
          <w:lang w:val="en-US"/>
        </w:rPr>
        <w:t>solar potentiality, wind yearly average velocity and wave potentiality</w:t>
      </w:r>
      <w:r w:rsidR="003E44C3">
        <w:rPr>
          <w:rFonts w:ascii="Times New Roman" w:eastAsia="MS PGothic" w:hAnsi="Times New Roman"/>
          <w:lang w:val="en-US"/>
        </w:rPr>
        <w:t>,</w:t>
      </w:r>
      <w:r w:rsidR="001E307E">
        <w:rPr>
          <w:rFonts w:ascii="Times New Roman" w:eastAsia="MS PGothic" w:hAnsi="Times New Roman"/>
          <w:lang w:val="en-US"/>
        </w:rPr>
        <w:t xml:space="preserve"> </w:t>
      </w:r>
      <w:r w:rsidR="00795EDC">
        <w:rPr>
          <w:rFonts w:ascii="Times New Roman" w:eastAsia="MS PGothic" w:hAnsi="Times New Roman"/>
          <w:lang w:val="en-US"/>
        </w:rPr>
        <w:t xml:space="preserve">amounting </w:t>
      </w:r>
      <w:r w:rsidR="00913D8E">
        <w:rPr>
          <w:rFonts w:ascii="Times New Roman" w:eastAsia="MS PGothic" w:hAnsi="Times New Roman"/>
          <w:lang w:val="en-US"/>
        </w:rPr>
        <w:t>respectively</w:t>
      </w:r>
      <w:r w:rsidR="001E307E">
        <w:rPr>
          <w:rFonts w:ascii="Times New Roman" w:eastAsia="MS PGothic" w:hAnsi="Times New Roman"/>
          <w:lang w:val="en-US"/>
        </w:rPr>
        <w:t xml:space="preserve"> </w:t>
      </w:r>
      <w:r w:rsidR="00795EDC">
        <w:rPr>
          <w:rFonts w:ascii="Times New Roman" w:eastAsia="MS PGothic" w:hAnsi="Times New Roman"/>
          <w:lang w:val="en-US"/>
        </w:rPr>
        <w:t>to</w:t>
      </w:r>
      <w:r w:rsidR="001E307E">
        <w:rPr>
          <w:rFonts w:ascii="Times New Roman" w:eastAsia="MS PGothic" w:hAnsi="Times New Roman"/>
          <w:lang w:val="en-US"/>
        </w:rPr>
        <w:t>: 5950 kJ/m2/y</w:t>
      </w:r>
      <w:r w:rsidR="00913D8E">
        <w:rPr>
          <w:rFonts w:ascii="Times New Roman" w:eastAsia="MS PGothic" w:hAnsi="Times New Roman"/>
          <w:lang w:val="en-US"/>
        </w:rPr>
        <w:t xml:space="preserve">, 4.2 m/s and </w:t>
      </w:r>
      <w:r w:rsidR="00EB2B98">
        <w:rPr>
          <w:rFonts w:ascii="Times New Roman" w:eastAsia="MS PGothic" w:hAnsi="Times New Roman"/>
          <w:lang w:val="en-US"/>
        </w:rPr>
        <w:t xml:space="preserve">1 kW/m. </w:t>
      </w:r>
      <w:r w:rsidR="001E302B">
        <w:rPr>
          <w:rFonts w:ascii="Times New Roman" w:eastAsia="MS PGothic" w:hAnsi="Times New Roman"/>
          <w:lang w:val="en-US"/>
        </w:rPr>
        <w:t>Give</w:t>
      </w:r>
      <w:r w:rsidR="00A55043">
        <w:rPr>
          <w:rFonts w:ascii="Times New Roman" w:eastAsia="MS PGothic" w:hAnsi="Times New Roman"/>
          <w:lang w:val="en-US"/>
        </w:rPr>
        <w:t>n such</w:t>
      </w:r>
      <w:r w:rsidR="001E302B">
        <w:rPr>
          <w:rFonts w:ascii="Times New Roman" w:eastAsia="MS PGothic" w:hAnsi="Times New Roman"/>
          <w:lang w:val="en-US"/>
        </w:rPr>
        <w:t xml:space="preserve"> potentialit</w:t>
      </w:r>
      <w:r w:rsidR="00A55043">
        <w:rPr>
          <w:rFonts w:ascii="Times New Roman" w:eastAsia="MS PGothic" w:hAnsi="Times New Roman"/>
          <w:lang w:val="en-US"/>
        </w:rPr>
        <w:t>ies,</w:t>
      </w:r>
      <w:r w:rsidR="00A177D5">
        <w:rPr>
          <w:rFonts w:ascii="Times New Roman" w:eastAsia="MS PGothic" w:hAnsi="Times New Roman"/>
          <w:lang w:val="en-US"/>
        </w:rPr>
        <w:t xml:space="preserve"> the most suitable converter for each RES is selected, i.e.</w:t>
      </w:r>
      <w:r w:rsidR="001E302B">
        <w:rPr>
          <w:rFonts w:ascii="Times New Roman" w:eastAsia="MS PGothic" w:hAnsi="Times New Roman"/>
          <w:lang w:val="en-US"/>
        </w:rPr>
        <w:t xml:space="preserve"> high efficiency photovoltaic</w:t>
      </w:r>
      <w:r w:rsidR="00A177D5">
        <w:rPr>
          <w:rFonts w:ascii="Times New Roman" w:eastAsia="MS PGothic" w:hAnsi="Times New Roman"/>
          <w:lang w:val="en-US"/>
        </w:rPr>
        <w:t xml:space="preserve"> (PV)</w:t>
      </w:r>
      <w:r w:rsidR="001E302B">
        <w:rPr>
          <w:rFonts w:ascii="Times New Roman" w:eastAsia="MS PGothic" w:hAnsi="Times New Roman"/>
          <w:lang w:val="en-US"/>
        </w:rPr>
        <w:t xml:space="preserve"> panel</w:t>
      </w:r>
      <w:r w:rsidR="00D67339">
        <w:rPr>
          <w:rFonts w:ascii="Times New Roman" w:eastAsia="MS PGothic" w:hAnsi="Times New Roman"/>
          <w:lang w:val="en-US"/>
        </w:rPr>
        <w:t xml:space="preserve"> (226 </w:t>
      </w:r>
      <w:r w:rsidR="00D67339">
        <w:rPr>
          <w:rFonts w:ascii="Times New Roman" w:eastAsia="MS PGothic" w:hAnsi="Times New Roman"/>
          <w:lang w:val="en-US"/>
        </w:rPr>
        <w:lastRenderedPageBreak/>
        <w:t>W/m</w:t>
      </w:r>
      <w:r w:rsidR="00D67339" w:rsidRPr="00D67339">
        <w:rPr>
          <w:rFonts w:ascii="Times New Roman" w:eastAsia="MS PGothic" w:hAnsi="Times New Roman"/>
          <w:vertAlign w:val="superscript"/>
          <w:lang w:val="en-US"/>
        </w:rPr>
        <w:t>2</w:t>
      </w:r>
      <w:r w:rsidR="00D67339">
        <w:rPr>
          <w:rFonts w:ascii="Times New Roman" w:eastAsia="MS PGothic" w:hAnsi="Times New Roman"/>
          <w:lang w:val="en-US"/>
        </w:rPr>
        <w:t>)</w:t>
      </w:r>
      <w:r w:rsidR="001E302B">
        <w:rPr>
          <w:rFonts w:ascii="Times New Roman" w:eastAsia="MS PGothic" w:hAnsi="Times New Roman"/>
          <w:lang w:val="en-US"/>
        </w:rPr>
        <w:t>, wind turbine</w:t>
      </w:r>
      <w:r w:rsidR="000D40E7">
        <w:rPr>
          <w:rFonts w:ascii="Times New Roman" w:eastAsia="MS PGothic" w:hAnsi="Times New Roman"/>
          <w:lang w:val="en-US"/>
        </w:rPr>
        <w:t xml:space="preserve"> (WT)</w:t>
      </w:r>
      <w:r w:rsidR="001E302B">
        <w:rPr>
          <w:rFonts w:ascii="Times New Roman" w:eastAsia="MS PGothic" w:hAnsi="Times New Roman"/>
          <w:lang w:val="en-US"/>
        </w:rPr>
        <w:t xml:space="preserve"> designed for low wind potentiality </w:t>
      </w:r>
      <w:r w:rsidR="00D67339">
        <w:rPr>
          <w:rFonts w:ascii="Times New Roman" w:eastAsia="MS PGothic" w:hAnsi="Times New Roman"/>
          <w:lang w:val="en-US"/>
        </w:rPr>
        <w:t>(1500 kW</w:t>
      </w:r>
      <w:r w:rsidR="00BF18E9">
        <w:rPr>
          <w:rFonts w:ascii="Times New Roman" w:eastAsia="MS PGothic" w:hAnsi="Times New Roman"/>
          <w:lang w:val="en-US"/>
        </w:rPr>
        <w:t xml:space="preserve"> of nominal power</w:t>
      </w:r>
      <w:r w:rsidR="00D67339">
        <w:rPr>
          <w:rFonts w:ascii="Times New Roman" w:eastAsia="MS PGothic" w:hAnsi="Times New Roman"/>
          <w:lang w:val="en-US"/>
        </w:rPr>
        <w:t xml:space="preserve">) </w:t>
      </w:r>
      <w:r w:rsidR="001E302B">
        <w:rPr>
          <w:rFonts w:ascii="Times New Roman" w:eastAsia="MS PGothic" w:hAnsi="Times New Roman"/>
          <w:lang w:val="en-US"/>
        </w:rPr>
        <w:t>and point absorber</w:t>
      </w:r>
      <w:r w:rsidR="00D67339">
        <w:rPr>
          <w:rFonts w:ascii="Times New Roman" w:eastAsia="MS PGothic" w:hAnsi="Times New Roman"/>
          <w:lang w:val="en-US"/>
        </w:rPr>
        <w:t xml:space="preserve"> (20 kW</w:t>
      </w:r>
      <w:r w:rsidR="00BF18E9" w:rsidRPr="00BF18E9">
        <w:rPr>
          <w:rFonts w:ascii="Times New Roman" w:eastAsia="MS PGothic" w:hAnsi="Times New Roman"/>
          <w:lang w:val="en-US"/>
        </w:rPr>
        <w:t xml:space="preserve"> </w:t>
      </w:r>
      <w:r w:rsidR="00BF18E9">
        <w:rPr>
          <w:rFonts w:ascii="Times New Roman" w:eastAsia="MS PGothic" w:hAnsi="Times New Roman"/>
          <w:lang w:val="en-US"/>
        </w:rPr>
        <w:t>of nominal power</w:t>
      </w:r>
      <w:r w:rsidR="00D67339">
        <w:rPr>
          <w:rFonts w:ascii="Times New Roman" w:eastAsia="MS PGothic" w:hAnsi="Times New Roman"/>
          <w:lang w:val="en-US"/>
        </w:rPr>
        <w:t>)</w:t>
      </w:r>
      <w:r w:rsidR="000D40E7">
        <w:rPr>
          <w:rFonts w:ascii="Times New Roman" w:eastAsia="MS PGothic" w:hAnsi="Times New Roman"/>
          <w:lang w:val="en-US"/>
        </w:rPr>
        <w:t xml:space="preserve"> as wave energy converter (WEC</w:t>
      </w:r>
      <w:r w:rsidR="00BF18E9">
        <w:rPr>
          <w:rFonts w:ascii="Times New Roman" w:eastAsia="MS PGothic" w:hAnsi="Times New Roman"/>
          <w:lang w:val="en-US"/>
        </w:rPr>
        <w:t>)</w:t>
      </w:r>
      <w:r w:rsidR="001E302B">
        <w:rPr>
          <w:rFonts w:ascii="Times New Roman" w:eastAsia="MS PGothic" w:hAnsi="Times New Roman"/>
          <w:lang w:val="en-US"/>
        </w:rPr>
        <w:t>.</w:t>
      </w:r>
      <w:r w:rsidR="002826AC">
        <w:rPr>
          <w:rFonts w:ascii="Times New Roman" w:eastAsia="MS PGothic" w:hAnsi="Times New Roman"/>
          <w:lang w:val="en-US"/>
        </w:rPr>
        <w:t xml:space="preserve"> </w:t>
      </w:r>
      <w:r w:rsidR="001E302B">
        <w:rPr>
          <w:rFonts w:ascii="Times New Roman" w:eastAsia="MS PGothic" w:hAnsi="Times New Roman"/>
          <w:lang w:val="en-US"/>
        </w:rPr>
        <w:t>Then, for each converter</w:t>
      </w:r>
      <w:r w:rsidR="00C44172">
        <w:rPr>
          <w:rFonts w:ascii="Times New Roman" w:eastAsia="MS PGothic" w:hAnsi="Times New Roman"/>
          <w:lang w:val="en-US"/>
        </w:rPr>
        <w:t>,</w:t>
      </w:r>
      <w:r w:rsidR="001E302B">
        <w:rPr>
          <w:rFonts w:ascii="Times New Roman" w:eastAsia="MS PGothic" w:hAnsi="Times New Roman"/>
          <w:lang w:val="en-US"/>
        </w:rPr>
        <w:t xml:space="preserve"> the hourly average power production</w:t>
      </w:r>
      <w:r w:rsidR="00C44172">
        <w:rPr>
          <w:rFonts w:ascii="Times New Roman" w:eastAsia="MS PGothic" w:hAnsi="Times New Roman"/>
          <w:lang w:val="en-US"/>
        </w:rPr>
        <w:t xml:space="preserve"> is calculated</w:t>
      </w:r>
      <w:r w:rsidR="001E302B">
        <w:rPr>
          <w:rFonts w:ascii="Times New Roman" w:eastAsia="MS PGothic" w:hAnsi="Times New Roman"/>
          <w:lang w:val="en-US"/>
        </w:rPr>
        <w:t xml:space="preserve">. </w:t>
      </w:r>
      <w:r w:rsidR="00513A0F">
        <w:rPr>
          <w:rFonts w:ascii="Times New Roman" w:eastAsia="MS PGothic" w:hAnsi="Times New Roman"/>
          <w:lang w:val="en-US"/>
        </w:rPr>
        <w:t>For what concern solar panel, to calculate the power production the procedure reported in “</w:t>
      </w:r>
      <w:r w:rsidR="00513A0F" w:rsidRPr="00513A0F">
        <w:rPr>
          <w:rFonts w:ascii="Times New Roman" w:eastAsia="MS PGothic" w:hAnsi="Times New Roman"/>
          <w:lang w:val="en-US"/>
        </w:rPr>
        <w:t>UNI/TS 11300-4</w:t>
      </w:r>
      <w:r w:rsidR="00513A0F">
        <w:rPr>
          <w:rFonts w:ascii="Times New Roman" w:eastAsia="MS PGothic" w:hAnsi="Times New Roman"/>
          <w:lang w:val="en-US"/>
        </w:rPr>
        <w:t>”</w:t>
      </w:r>
      <w:r w:rsidR="00C44172" w:rsidRPr="00C44172">
        <w:rPr>
          <w:rFonts w:ascii="Times New Roman" w:eastAsia="MS PGothic" w:hAnsi="Times New Roman"/>
          <w:lang w:val="en-US"/>
        </w:rPr>
        <w:t xml:space="preserve"> </w:t>
      </w:r>
      <w:r w:rsidR="00C44172">
        <w:rPr>
          <w:rFonts w:ascii="Times New Roman" w:eastAsia="MS PGothic" w:hAnsi="Times New Roman"/>
          <w:lang w:val="en-US"/>
        </w:rPr>
        <w:t>is used</w:t>
      </w:r>
      <w:r w:rsidR="00513A0F">
        <w:rPr>
          <w:rFonts w:ascii="Times New Roman" w:eastAsia="MS PGothic" w:hAnsi="Times New Roman"/>
          <w:lang w:val="en-US"/>
        </w:rPr>
        <w:t xml:space="preserve">; regarding </w:t>
      </w:r>
      <w:r w:rsidR="000D40E7">
        <w:rPr>
          <w:rFonts w:ascii="Times New Roman" w:eastAsia="MS PGothic" w:hAnsi="Times New Roman"/>
          <w:lang w:val="en-US"/>
        </w:rPr>
        <w:t>WEC and WT, power matrix and power curve are used respectively, two tools provid</w:t>
      </w:r>
      <w:r w:rsidR="00C44172">
        <w:rPr>
          <w:rFonts w:ascii="Times New Roman" w:eastAsia="MS PGothic" w:hAnsi="Times New Roman"/>
          <w:lang w:val="en-US"/>
        </w:rPr>
        <w:t>ing</w:t>
      </w:r>
      <w:r w:rsidR="000D40E7">
        <w:rPr>
          <w:rFonts w:ascii="Times New Roman" w:eastAsia="MS PGothic" w:hAnsi="Times New Roman"/>
          <w:lang w:val="en-US"/>
        </w:rPr>
        <w:t xml:space="preserve"> the power produced from the converters </w:t>
      </w:r>
      <w:r w:rsidR="00C44172">
        <w:rPr>
          <w:rFonts w:ascii="Times New Roman" w:eastAsia="MS PGothic" w:hAnsi="Times New Roman"/>
          <w:lang w:val="en-US"/>
        </w:rPr>
        <w:t>based on</w:t>
      </w:r>
      <w:r w:rsidR="000D40E7">
        <w:rPr>
          <w:rFonts w:ascii="Times New Roman" w:eastAsia="MS PGothic" w:hAnsi="Times New Roman"/>
          <w:lang w:val="en-US"/>
        </w:rPr>
        <w:t xml:space="preserve"> the wind velocity </w:t>
      </w:r>
      <w:r w:rsidR="00C44172">
        <w:rPr>
          <w:rFonts w:ascii="Times New Roman" w:eastAsia="MS PGothic" w:hAnsi="Times New Roman"/>
          <w:lang w:val="en-US"/>
        </w:rPr>
        <w:t xml:space="preserve">and </w:t>
      </w:r>
      <w:r w:rsidR="000D40E7">
        <w:rPr>
          <w:rFonts w:ascii="Times New Roman" w:eastAsia="MS PGothic" w:hAnsi="Times New Roman"/>
          <w:lang w:val="en-US"/>
        </w:rPr>
        <w:t xml:space="preserve">the </w:t>
      </w:r>
      <w:r w:rsidR="000D40E7" w:rsidRPr="00B14AD1">
        <w:rPr>
          <w:rFonts w:ascii="Times New Roman" w:eastAsia="MS PGothic" w:hAnsi="Times New Roman"/>
          <w:lang w:val="en-US"/>
        </w:rPr>
        <w:t>significant wave height</w:t>
      </w:r>
      <w:r w:rsidR="000D40E7">
        <w:rPr>
          <w:rFonts w:ascii="Times New Roman" w:eastAsia="MS PGothic" w:hAnsi="Times New Roman"/>
          <w:lang w:val="en-US"/>
        </w:rPr>
        <w:t xml:space="preserve"> and the </w:t>
      </w:r>
      <w:r w:rsidR="000D40E7" w:rsidRPr="00B14AD1">
        <w:rPr>
          <w:rFonts w:ascii="Times New Roman" w:eastAsia="MS PGothic" w:hAnsi="Times New Roman"/>
          <w:lang w:val="en-US"/>
        </w:rPr>
        <w:t>equivalent wave period</w:t>
      </w:r>
      <w:r w:rsidR="000D40E7">
        <w:rPr>
          <w:rFonts w:ascii="Times New Roman" w:eastAsia="MS PGothic" w:hAnsi="Times New Roman"/>
          <w:lang w:val="en-US"/>
        </w:rPr>
        <w:t xml:space="preserve"> </w:t>
      </w:r>
      <w:r w:rsidR="00C44172">
        <w:rPr>
          <w:rFonts w:ascii="Times New Roman" w:eastAsia="MS PGothic" w:hAnsi="Times New Roman"/>
          <w:lang w:val="en-US"/>
        </w:rPr>
        <w:t>respectively for WT and WEC</w:t>
      </w:r>
      <w:r w:rsidR="000D40E7">
        <w:rPr>
          <w:rFonts w:ascii="Times New Roman" w:eastAsia="MS PGothic" w:hAnsi="Times New Roman"/>
          <w:lang w:val="en-US"/>
        </w:rPr>
        <w:t>.</w:t>
      </w:r>
      <w:r w:rsidR="002826AC">
        <w:rPr>
          <w:rFonts w:ascii="Times New Roman" w:eastAsia="MS PGothic" w:hAnsi="Times New Roman"/>
          <w:lang w:val="en-US"/>
        </w:rPr>
        <w:t xml:space="preserve"> </w:t>
      </w:r>
      <w:r w:rsidR="00D67339">
        <w:rPr>
          <w:rFonts w:ascii="Times New Roman" w:eastAsia="MS PGothic" w:hAnsi="Times New Roman"/>
          <w:lang w:val="en-US"/>
        </w:rPr>
        <w:t>To equilibrate the power production from each RESs, the area of PV panels and the number of WECs are settled in order to obtain the</w:t>
      </w:r>
      <w:r w:rsidR="00C44172">
        <w:rPr>
          <w:rFonts w:ascii="Times New Roman" w:eastAsia="MS PGothic" w:hAnsi="Times New Roman"/>
          <w:lang w:val="en-US"/>
        </w:rPr>
        <w:t xml:space="preserve"> same</w:t>
      </w:r>
      <w:r w:rsidR="00D67339">
        <w:rPr>
          <w:rFonts w:ascii="Times New Roman" w:eastAsia="MS PGothic" w:hAnsi="Times New Roman"/>
          <w:lang w:val="en-US"/>
        </w:rPr>
        <w:t xml:space="preserve"> </w:t>
      </w:r>
      <w:r w:rsidR="00AD6F7B">
        <w:rPr>
          <w:rFonts w:ascii="Times New Roman" w:eastAsia="MS PGothic" w:hAnsi="Times New Roman"/>
          <w:lang w:val="en-US"/>
        </w:rPr>
        <w:t>peak power production</w:t>
      </w:r>
      <w:r w:rsidR="00D67339">
        <w:rPr>
          <w:rFonts w:ascii="Times New Roman" w:eastAsia="MS PGothic" w:hAnsi="Times New Roman"/>
          <w:lang w:val="en-US"/>
        </w:rPr>
        <w:t xml:space="preserve"> of the WT</w:t>
      </w:r>
      <w:r w:rsidR="009F0CE9">
        <w:rPr>
          <w:rFonts w:ascii="Times New Roman" w:eastAsia="MS PGothic" w:hAnsi="Times New Roman"/>
          <w:lang w:val="en-US"/>
        </w:rPr>
        <w:t>; the nominal power of 1500 kW is selected as target because is the nominal power of the single wind converter selected, resulting in the simplest possible case study</w:t>
      </w:r>
      <w:r w:rsidR="00D67339">
        <w:rPr>
          <w:rFonts w:ascii="Times New Roman" w:eastAsia="MS PGothic" w:hAnsi="Times New Roman"/>
          <w:lang w:val="en-US"/>
        </w:rPr>
        <w:t>. The area needed for PV panels is 8540 m</w:t>
      </w:r>
      <w:r w:rsidR="00D67339" w:rsidRPr="00D67339">
        <w:rPr>
          <w:rFonts w:ascii="Times New Roman" w:eastAsia="MS PGothic" w:hAnsi="Times New Roman"/>
          <w:vertAlign w:val="superscript"/>
          <w:lang w:val="en-US"/>
        </w:rPr>
        <w:t>2</w:t>
      </w:r>
      <w:r w:rsidR="0026018E">
        <w:rPr>
          <w:rFonts w:ascii="Times New Roman" w:eastAsia="MS PGothic" w:hAnsi="Times New Roman"/>
          <w:lang w:val="en-US"/>
        </w:rPr>
        <w:t>, the number of WECs needed is 100.</w:t>
      </w:r>
      <w:r w:rsidR="002826AC">
        <w:rPr>
          <w:rFonts w:ascii="Times New Roman" w:eastAsia="MS PGothic" w:hAnsi="Times New Roman"/>
          <w:lang w:val="en-US"/>
        </w:rPr>
        <w:t xml:space="preserve"> </w:t>
      </w:r>
      <w:r w:rsidR="00DA06C5">
        <w:rPr>
          <w:rFonts w:ascii="Times New Roman" w:eastAsia="MS PGothic" w:hAnsi="Times New Roman"/>
          <w:lang w:val="en-US"/>
        </w:rPr>
        <w:t>With</w:t>
      </w:r>
      <w:r w:rsidR="004771A6">
        <w:rPr>
          <w:rFonts w:ascii="Times New Roman" w:eastAsia="MS PGothic" w:hAnsi="Times New Roman"/>
          <w:lang w:val="en-US"/>
        </w:rPr>
        <w:t xml:space="preserve"> the</w:t>
      </w:r>
      <w:r w:rsidR="00DA06C5">
        <w:rPr>
          <w:rFonts w:ascii="Times New Roman" w:eastAsia="MS PGothic" w:hAnsi="Times New Roman"/>
          <w:lang w:val="en-US"/>
        </w:rPr>
        <w:t xml:space="preserve"> given potentiality for each RES converter, the hourly </w:t>
      </w:r>
      <w:r w:rsidR="00C44172">
        <w:rPr>
          <w:rFonts w:ascii="Times New Roman" w:eastAsia="MS PGothic" w:hAnsi="Times New Roman"/>
          <w:lang w:val="en-US"/>
        </w:rPr>
        <w:t xml:space="preserve">green </w:t>
      </w:r>
      <w:r w:rsidR="004771A6">
        <w:rPr>
          <w:rFonts w:ascii="Times New Roman" w:eastAsia="MS PGothic" w:hAnsi="Times New Roman"/>
          <w:lang w:val="en-US"/>
        </w:rPr>
        <w:t xml:space="preserve">hydrogen </w:t>
      </w:r>
      <w:r w:rsidR="00DA06C5">
        <w:rPr>
          <w:rFonts w:ascii="Times New Roman" w:eastAsia="MS PGothic" w:hAnsi="Times New Roman"/>
          <w:lang w:val="en-US"/>
        </w:rPr>
        <w:t xml:space="preserve">production is </w:t>
      </w:r>
      <w:r w:rsidR="00C44172">
        <w:rPr>
          <w:rFonts w:ascii="Times New Roman" w:eastAsia="MS PGothic" w:hAnsi="Times New Roman"/>
          <w:lang w:val="en-US"/>
        </w:rPr>
        <w:t>calculated as</w:t>
      </w:r>
      <w:r w:rsidR="00DA06C5">
        <w:rPr>
          <w:rFonts w:ascii="Times New Roman" w:eastAsia="MS PGothic" w:hAnsi="Times New Roman"/>
          <w:lang w:val="en-US"/>
        </w:rPr>
        <w:t xml:space="preserve"> the power </w:t>
      </w:r>
      <w:r w:rsidR="004771A6">
        <w:rPr>
          <w:rFonts w:ascii="Times New Roman" w:eastAsia="MS PGothic" w:hAnsi="Times New Roman"/>
          <w:lang w:val="en-US"/>
        </w:rPr>
        <w:t xml:space="preserve">needed from </w:t>
      </w:r>
      <w:r w:rsidR="00DA06C5">
        <w:rPr>
          <w:rFonts w:ascii="Times New Roman" w:eastAsia="MS PGothic" w:hAnsi="Times New Roman"/>
          <w:lang w:val="en-US"/>
        </w:rPr>
        <w:t xml:space="preserve">the AEL and the MVC. </w:t>
      </w:r>
      <w:r w:rsidR="00770D15">
        <w:rPr>
          <w:rFonts w:ascii="Times New Roman" w:eastAsia="MS PGothic" w:hAnsi="Times New Roman"/>
          <w:lang w:val="en-US"/>
        </w:rPr>
        <w:t xml:space="preserve">In this work </w:t>
      </w:r>
      <w:r w:rsidR="00964026">
        <w:rPr>
          <w:rFonts w:ascii="Times New Roman" w:eastAsia="MS PGothic" w:hAnsi="Times New Roman"/>
          <w:lang w:val="en-US"/>
        </w:rPr>
        <w:t>1.5 MW</w:t>
      </w:r>
      <w:r w:rsidR="00BF18E9">
        <w:rPr>
          <w:rFonts w:ascii="Times New Roman" w:eastAsia="MS PGothic" w:hAnsi="Times New Roman"/>
          <w:lang w:val="en-US"/>
        </w:rPr>
        <w:t xml:space="preserve"> of available power for the processes</w:t>
      </w:r>
      <w:r w:rsidR="00964026">
        <w:rPr>
          <w:rFonts w:ascii="Times New Roman" w:eastAsia="MS PGothic" w:hAnsi="Times New Roman"/>
          <w:lang w:val="en-US"/>
        </w:rPr>
        <w:t xml:space="preserve"> </w:t>
      </w:r>
      <w:r w:rsidR="00BF18E9">
        <w:rPr>
          <w:rFonts w:ascii="Times New Roman" w:eastAsia="MS PGothic" w:hAnsi="Times New Roman"/>
          <w:lang w:val="en-US"/>
        </w:rPr>
        <w:t>is</w:t>
      </w:r>
      <w:r w:rsidR="00E9054D">
        <w:rPr>
          <w:rFonts w:ascii="Times New Roman" w:eastAsia="MS PGothic" w:hAnsi="Times New Roman"/>
          <w:lang w:val="en-US"/>
        </w:rPr>
        <w:t xml:space="preserve"> selected. As shown in Figure 1, lower </w:t>
      </w:r>
      <w:r w:rsidR="00B46771">
        <w:rPr>
          <w:rFonts w:ascii="Times New Roman" w:eastAsia="MS PGothic" w:hAnsi="Times New Roman"/>
          <w:lang w:val="en-US"/>
        </w:rPr>
        <w:t>processes potentiality</w:t>
      </w:r>
      <w:r w:rsidR="00E9054D">
        <w:rPr>
          <w:rFonts w:ascii="Times New Roman" w:eastAsia="MS PGothic" w:hAnsi="Times New Roman"/>
          <w:lang w:val="en-US"/>
        </w:rPr>
        <w:t xml:space="preserve"> </w:t>
      </w:r>
      <w:r w:rsidR="00B46771">
        <w:rPr>
          <w:rFonts w:ascii="Times New Roman" w:eastAsia="MS PGothic" w:hAnsi="Times New Roman"/>
          <w:lang w:val="en-US"/>
        </w:rPr>
        <w:t>increases</w:t>
      </w:r>
      <w:r w:rsidR="00E9054D">
        <w:rPr>
          <w:rFonts w:ascii="Times New Roman" w:eastAsia="MS PGothic" w:hAnsi="Times New Roman"/>
          <w:lang w:val="en-US"/>
        </w:rPr>
        <w:t xml:space="preserve"> </w:t>
      </w:r>
      <w:r w:rsidR="00D45F5B">
        <w:rPr>
          <w:rFonts w:ascii="Times New Roman" w:eastAsia="MS PGothic" w:hAnsi="Times New Roman"/>
          <w:lang w:val="en-US"/>
        </w:rPr>
        <w:t>load</w:t>
      </w:r>
      <w:r w:rsidR="00E9054D">
        <w:rPr>
          <w:rFonts w:ascii="Times New Roman" w:eastAsia="MS PGothic" w:hAnsi="Times New Roman"/>
          <w:lang w:val="en-US"/>
        </w:rPr>
        <w:t xml:space="preserve"> factor</w:t>
      </w:r>
      <w:r w:rsidR="004C33DE">
        <w:rPr>
          <w:rFonts w:ascii="Times New Roman" w:eastAsia="MS PGothic" w:hAnsi="Times New Roman"/>
          <w:lang w:val="en-US"/>
        </w:rPr>
        <w:t xml:space="preserve"> (</w:t>
      </w:r>
      <w:r w:rsidR="00682456">
        <w:rPr>
          <w:rFonts w:ascii="Times New Roman" w:eastAsia="MS PGothic" w:hAnsi="Times New Roman"/>
          <w:lang w:val="en-US"/>
        </w:rPr>
        <w:t xml:space="preserve">total energy used by AEL dived by total energy AEL </w:t>
      </w:r>
      <w:r w:rsidR="00295E39">
        <w:rPr>
          <w:rFonts w:ascii="Times New Roman" w:eastAsia="MS PGothic" w:hAnsi="Times New Roman"/>
          <w:lang w:val="en-US"/>
        </w:rPr>
        <w:t>would consume</w:t>
      </w:r>
      <w:bookmarkStart w:id="0" w:name="_GoBack"/>
      <w:bookmarkEnd w:id="0"/>
      <w:r w:rsidR="00295E39">
        <w:rPr>
          <w:rFonts w:ascii="Times New Roman" w:eastAsia="MS PGothic" w:hAnsi="Times New Roman"/>
          <w:lang w:val="en-US"/>
        </w:rPr>
        <w:t xml:space="preserve"> operating full time</w:t>
      </w:r>
      <w:r w:rsidR="00682456">
        <w:rPr>
          <w:rFonts w:ascii="Times New Roman" w:eastAsia="MS PGothic" w:hAnsi="Times New Roman"/>
          <w:lang w:val="en-US"/>
        </w:rPr>
        <w:t>)</w:t>
      </w:r>
      <w:r w:rsidR="00E9054D">
        <w:rPr>
          <w:rFonts w:ascii="Times New Roman" w:eastAsia="MS PGothic" w:hAnsi="Times New Roman"/>
          <w:lang w:val="en-US"/>
        </w:rPr>
        <w:t xml:space="preserve">, but also increase the number of hours in which the power production by </w:t>
      </w:r>
      <w:r w:rsidR="008830B2">
        <w:rPr>
          <w:rFonts w:ascii="Times New Roman" w:eastAsia="MS PGothic" w:hAnsi="Times New Roman"/>
          <w:lang w:val="en-US"/>
        </w:rPr>
        <w:t xml:space="preserve">converters </w:t>
      </w:r>
      <w:r w:rsidR="00E9054D">
        <w:rPr>
          <w:rFonts w:ascii="Times New Roman" w:eastAsia="MS PGothic" w:hAnsi="Times New Roman"/>
          <w:lang w:val="en-US"/>
        </w:rPr>
        <w:t>mix exceed 1.5 MW</w:t>
      </w:r>
      <w:r w:rsidR="00871F0E">
        <w:rPr>
          <w:rFonts w:ascii="Times New Roman" w:eastAsia="MS PGothic" w:hAnsi="Times New Roman"/>
          <w:lang w:val="en-US"/>
        </w:rPr>
        <w:t xml:space="preserve"> (waste of power)</w:t>
      </w:r>
      <w:r w:rsidR="00E9054D">
        <w:rPr>
          <w:rFonts w:ascii="Times New Roman" w:eastAsia="MS PGothic" w:hAnsi="Times New Roman"/>
          <w:lang w:val="en-US"/>
        </w:rPr>
        <w:t xml:space="preserve">, while higher </w:t>
      </w:r>
      <w:r w:rsidR="00B46771">
        <w:rPr>
          <w:rFonts w:ascii="Times New Roman" w:eastAsia="MS PGothic" w:hAnsi="Times New Roman"/>
          <w:lang w:val="en-US"/>
        </w:rPr>
        <w:t xml:space="preserve">processes potentiality </w:t>
      </w:r>
      <w:r w:rsidR="00E9054D">
        <w:rPr>
          <w:rFonts w:ascii="Times New Roman" w:eastAsia="MS PGothic" w:hAnsi="Times New Roman"/>
          <w:lang w:val="en-US"/>
        </w:rPr>
        <w:t>decrease</w:t>
      </w:r>
      <w:r w:rsidR="00B46771">
        <w:rPr>
          <w:rFonts w:ascii="Times New Roman" w:eastAsia="MS PGothic" w:hAnsi="Times New Roman"/>
          <w:lang w:val="en-US"/>
        </w:rPr>
        <w:t>s</w:t>
      </w:r>
      <w:r w:rsidR="00E9054D">
        <w:rPr>
          <w:rFonts w:ascii="Times New Roman" w:eastAsia="MS PGothic" w:hAnsi="Times New Roman"/>
          <w:lang w:val="en-US"/>
        </w:rPr>
        <w:t xml:space="preserve"> the </w:t>
      </w:r>
      <w:r w:rsidR="005030A7">
        <w:rPr>
          <w:rFonts w:ascii="Times New Roman" w:eastAsia="MS PGothic" w:hAnsi="Times New Roman"/>
          <w:lang w:val="en-US"/>
        </w:rPr>
        <w:t>load</w:t>
      </w:r>
      <w:r w:rsidR="00E9054D">
        <w:rPr>
          <w:rFonts w:ascii="Times New Roman" w:eastAsia="MS PGothic" w:hAnsi="Times New Roman"/>
          <w:lang w:val="en-US"/>
        </w:rPr>
        <w:t xml:space="preserve"> factor without sensibly increas</w:t>
      </w:r>
      <w:r w:rsidR="00C44172">
        <w:rPr>
          <w:rFonts w:ascii="Times New Roman" w:eastAsia="MS PGothic" w:hAnsi="Times New Roman"/>
          <w:lang w:val="en-US"/>
        </w:rPr>
        <w:t>ing</w:t>
      </w:r>
      <w:r w:rsidR="00E9054D">
        <w:rPr>
          <w:rFonts w:ascii="Times New Roman" w:eastAsia="MS PGothic" w:hAnsi="Times New Roman"/>
          <w:lang w:val="en-US"/>
        </w:rPr>
        <w:t xml:space="preserve"> the hydrogen production. </w:t>
      </w:r>
      <w:r w:rsidR="00BF18E9">
        <w:rPr>
          <w:rFonts w:ascii="Times New Roman" w:eastAsia="MS PGothic" w:hAnsi="Times New Roman"/>
          <w:lang w:val="en-US"/>
        </w:rPr>
        <w:t xml:space="preserve">The power consumption of the MVC process is about 10 % </w:t>
      </w:r>
      <w:r w:rsidR="009A33B2">
        <w:rPr>
          <w:rFonts w:ascii="Times New Roman" w:eastAsia="MS PGothic" w:hAnsi="Times New Roman"/>
          <w:lang w:val="en-US"/>
        </w:rPr>
        <w:t>of all energy consumption</w:t>
      </w:r>
      <w:r w:rsidR="00BF18E9">
        <w:rPr>
          <w:rFonts w:ascii="Times New Roman" w:eastAsia="MS PGothic" w:hAnsi="Times New Roman"/>
          <w:lang w:val="en-US"/>
        </w:rPr>
        <w:t xml:space="preserve"> while the power consumption of AEL is 90 %.</w:t>
      </w:r>
      <w:r w:rsidR="002826AC">
        <w:rPr>
          <w:rFonts w:ascii="Times New Roman" w:eastAsia="MS PGothic" w:hAnsi="Times New Roman"/>
          <w:lang w:val="en-US"/>
        </w:rPr>
        <w:t xml:space="preserve"> </w:t>
      </w:r>
      <w:r w:rsidR="002549FA">
        <w:rPr>
          <w:rFonts w:ascii="Times New Roman" w:eastAsia="MS PGothic" w:hAnsi="Times New Roman"/>
          <w:lang w:val="en-US"/>
        </w:rPr>
        <w:t xml:space="preserve">Given the energy mix, the resulting green hydrogen production is equal to </w:t>
      </w:r>
      <w:r w:rsidR="002826AC">
        <w:rPr>
          <w:rFonts w:ascii="Times New Roman" w:eastAsia="MS PGothic" w:hAnsi="Times New Roman"/>
          <w:lang w:val="en-US"/>
        </w:rPr>
        <w:t>1.05 million of Nm</w:t>
      </w:r>
      <w:r w:rsidR="002826AC" w:rsidRPr="002826AC">
        <w:rPr>
          <w:rFonts w:ascii="Times New Roman" w:eastAsia="MS PGothic" w:hAnsi="Times New Roman"/>
          <w:vertAlign w:val="superscript"/>
          <w:lang w:val="en-US"/>
        </w:rPr>
        <w:t>3</w:t>
      </w:r>
      <w:r w:rsidR="002826AC">
        <w:rPr>
          <w:rFonts w:ascii="Times New Roman" w:eastAsia="MS PGothic" w:hAnsi="Times New Roman"/>
          <w:lang w:val="en-US"/>
        </w:rPr>
        <w:t xml:space="preserve">/y. </w:t>
      </w:r>
    </w:p>
    <w:p w14:paraId="267B045D" w14:textId="77777777" w:rsidR="004C33D0" w:rsidRPr="004C33D0" w:rsidRDefault="004C33D0" w:rsidP="002D306C">
      <w:pPr>
        <w:snapToGrid w:val="0"/>
        <w:spacing w:after="120"/>
        <w:rPr>
          <w:rFonts w:ascii="Times New Roman" w:eastAsia="MS PGothic" w:hAnsi="Times New Roman"/>
          <w:sz w:val="4"/>
          <w:lang w:val="en-US"/>
        </w:rPr>
      </w:pPr>
    </w:p>
    <w:p w14:paraId="321363DB" w14:textId="2726896F" w:rsidR="00DA51A3" w:rsidRPr="00BA6592" w:rsidRDefault="00DC73B8" w:rsidP="00BA6592">
      <w:pPr>
        <w:snapToGrid w:val="0"/>
        <w:spacing w:after="120"/>
        <w:jc w:val="center"/>
        <w:rPr>
          <w:rFonts w:ascii="Times New Roman" w:eastAsia="MS PGothic" w:hAnsi="Times New Roman"/>
          <w:sz w:val="8"/>
        </w:rPr>
      </w:pPr>
      <w:r w:rsidRPr="00DC73B8">
        <w:t xml:space="preserve"> </w:t>
      </w:r>
      <w:r w:rsidR="00DF4BE0" w:rsidRPr="00DF4BE0">
        <w:rPr>
          <w:noProof/>
        </w:rPr>
        <w:drawing>
          <wp:inline distT="0" distB="0" distL="0" distR="0" wp14:anchorId="22ECF527" wp14:editId="66473953">
            <wp:extent cx="2968388" cy="185688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7049" cy="1868557"/>
                    </a:xfrm>
                    <a:prstGeom prst="rect">
                      <a:avLst/>
                    </a:prstGeom>
                    <a:noFill/>
                    <a:ln>
                      <a:noFill/>
                    </a:ln>
                  </pic:spPr>
                </pic:pic>
              </a:graphicData>
            </a:graphic>
          </wp:inline>
        </w:drawing>
      </w:r>
    </w:p>
    <w:p w14:paraId="2CEA8973" w14:textId="00B2A28B" w:rsidR="00DA51A3" w:rsidRPr="00466FFD" w:rsidRDefault="00DA51A3" w:rsidP="00DA51A3">
      <w:pPr>
        <w:snapToGrid w:val="0"/>
        <w:spacing w:after="120"/>
        <w:jc w:val="center"/>
        <w:rPr>
          <w:rFonts w:ascii="Times New Roman" w:eastAsia="MS PGothic" w:hAnsi="Times New Roman"/>
          <w:szCs w:val="18"/>
          <w:lang w:val="en-US"/>
        </w:rPr>
      </w:pPr>
      <w:r w:rsidRPr="00BA6592">
        <w:rPr>
          <w:rFonts w:ascii="Times New Roman" w:eastAsia="MS PGothic" w:hAnsi="Times New Roman"/>
          <w:b/>
          <w:sz w:val="18"/>
          <w:szCs w:val="18"/>
          <w:lang w:val="en-US"/>
        </w:rPr>
        <w:t>Figure 1</w:t>
      </w:r>
      <w:r w:rsidRPr="00BA6592">
        <w:rPr>
          <w:rFonts w:ascii="Times New Roman" w:eastAsia="MS PGothic" w:hAnsi="Times New Roman"/>
          <w:b/>
          <w:sz w:val="18"/>
          <w:szCs w:val="18"/>
          <w:lang w:val="en-US" w:eastAsia="ko-KR"/>
        </w:rPr>
        <w:t>.</w:t>
      </w:r>
      <w:r w:rsidRPr="00BA6592">
        <w:rPr>
          <w:rFonts w:ascii="Times New Roman" w:eastAsia="MS PGothic" w:hAnsi="Times New Roman"/>
          <w:sz w:val="18"/>
          <w:szCs w:val="18"/>
          <w:lang w:val="en-US"/>
        </w:rPr>
        <w:t xml:space="preserve"> </w:t>
      </w:r>
      <w:r w:rsidRPr="00BA6592">
        <w:rPr>
          <w:rFonts w:ascii="Times New Roman" w:hAnsi="Times New Roman"/>
          <w:sz w:val="18"/>
          <w:lang w:val="en-US"/>
        </w:rPr>
        <w:t xml:space="preserve"> </w:t>
      </w:r>
      <w:r w:rsidR="00C44172">
        <w:rPr>
          <w:rFonts w:ascii="Times New Roman" w:hAnsi="Times New Roman"/>
          <w:sz w:val="18"/>
          <w:lang w:val="en-US"/>
        </w:rPr>
        <w:t xml:space="preserve">Green </w:t>
      </w:r>
      <w:r w:rsidR="00BA6592">
        <w:rPr>
          <w:rFonts w:ascii="Times New Roman" w:hAnsi="Times New Roman"/>
          <w:sz w:val="18"/>
          <w:lang w:val="en-US"/>
        </w:rPr>
        <w:t xml:space="preserve">Hydrogen production and load factor for different </w:t>
      </w:r>
      <w:r w:rsidR="00C90C0A">
        <w:rPr>
          <w:rFonts w:ascii="Times New Roman" w:hAnsi="Times New Roman"/>
          <w:sz w:val="18"/>
          <w:lang w:val="en-US"/>
        </w:rPr>
        <w:t>AEL potentiality.</w:t>
      </w:r>
    </w:p>
    <w:p w14:paraId="54C346D1" w14:textId="29A0FCBF" w:rsidR="009F09FB" w:rsidRPr="0058102C" w:rsidRDefault="00B22671" w:rsidP="00DA51A3">
      <w:pPr>
        <w:snapToGrid w:val="0"/>
        <w:spacing w:before="240" w:line="300" w:lineRule="auto"/>
        <w:rPr>
          <w:rFonts w:ascii="Times New Roman" w:eastAsia="MS PGothic" w:hAnsi="Times New Roman"/>
          <w:lang w:val="en-US"/>
        </w:rPr>
      </w:pPr>
      <w:r>
        <w:rPr>
          <w:rFonts w:ascii="Times New Roman" w:eastAsia="MS PGothic" w:hAnsi="Times New Roman"/>
          <w:lang w:val="en-US"/>
        </w:rPr>
        <w:t>Due</w:t>
      </w:r>
      <w:r w:rsidR="009F09FB">
        <w:rPr>
          <w:rFonts w:ascii="Times New Roman" w:eastAsia="MS PGothic" w:hAnsi="Times New Roman"/>
          <w:lang w:val="en-US"/>
        </w:rPr>
        <w:t xml:space="preserve"> to its high transient response, the AEL system do not need a backup system to provide a steady electricity; </w:t>
      </w:r>
      <w:r w:rsidR="000C798A">
        <w:rPr>
          <w:rFonts w:ascii="Times New Roman" w:eastAsia="MS PGothic" w:hAnsi="Times New Roman"/>
          <w:lang w:val="en-US"/>
        </w:rPr>
        <w:t xml:space="preserve">thus, the </w:t>
      </w:r>
      <w:r w:rsidR="00C44172">
        <w:rPr>
          <w:rFonts w:ascii="Times New Roman" w:eastAsia="MS PGothic" w:hAnsi="Times New Roman"/>
          <w:lang w:val="en-US"/>
        </w:rPr>
        <w:t xml:space="preserve">use of a back-up system can be avoided, therefore </w:t>
      </w:r>
      <w:r w:rsidR="000C798A">
        <w:rPr>
          <w:rFonts w:ascii="Times New Roman" w:eastAsia="MS PGothic" w:hAnsi="Times New Roman"/>
          <w:lang w:val="en-US"/>
        </w:rPr>
        <w:t xml:space="preserve">fossil fuel consumption, representing an </w:t>
      </w:r>
      <w:r w:rsidR="00C44172">
        <w:rPr>
          <w:rFonts w:ascii="Times New Roman" w:eastAsia="MS PGothic" w:hAnsi="Times New Roman"/>
          <w:lang w:val="en-US"/>
        </w:rPr>
        <w:t>advantage for both environmental and economic aspects related to the process under design</w:t>
      </w:r>
      <w:r w:rsidR="000C798A">
        <w:rPr>
          <w:rFonts w:ascii="Times New Roman" w:eastAsia="MS PGothic" w:hAnsi="Times New Roman"/>
          <w:lang w:val="en-US"/>
        </w:rPr>
        <w:t xml:space="preserve">. </w:t>
      </w:r>
    </w:p>
    <w:p w14:paraId="0DE817AB" w14:textId="07C968B9"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BE0C082" w14:textId="00383382" w:rsidR="00DA51A3" w:rsidRDefault="00EA3CCA" w:rsidP="00DA51A3">
      <w:pPr>
        <w:snapToGrid w:val="0"/>
        <w:spacing w:after="120"/>
        <w:rPr>
          <w:rFonts w:ascii="Times New Roman" w:eastAsia="MS PGothic" w:hAnsi="Times New Roman"/>
          <w:lang w:val="en-US"/>
        </w:rPr>
      </w:pPr>
      <w:r>
        <w:rPr>
          <w:rFonts w:ascii="Times New Roman" w:eastAsia="MS PGothic" w:hAnsi="Times New Roman"/>
          <w:lang w:val="en-US"/>
        </w:rPr>
        <w:t>The</w:t>
      </w:r>
      <w:r w:rsidR="009F09FB">
        <w:rPr>
          <w:rFonts w:ascii="Times New Roman" w:eastAsia="MS PGothic" w:hAnsi="Times New Roman"/>
          <w:lang w:val="en-US"/>
        </w:rPr>
        <w:t xml:space="preserve"> conceptual design of a </w:t>
      </w:r>
      <w:r w:rsidR="00EA0958">
        <w:rPr>
          <w:rFonts w:ascii="Times New Roman" w:eastAsia="MS PGothic" w:hAnsi="Times New Roman"/>
          <w:lang w:val="en-US"/>
        </w:rPr>
        <w:t xml:space="preserve">green </w:t>
      </w:r>
      <w:r w:rsidR="009F09FB">
        <w:rPr>
          <w:rFonts w:ascii="Times New Roman" w:eastAsia="MS PGothic" w:hAnsi="Times New Roman"/>
          <w:lang w:val="en-US"/>
        </w:rPr>
        <w:t xml:space="preserve">hydrogen production </w:t>
      </w:r>
      <w:r w:rsidR="00B22671">
        <w:rPr>
          <w:rFonts w:ascii="Times New Roman" w:eastAsia="MS PGothic" w:hAnsi="Times New Roman"/>
          <w:lang w:val="en-US"/>
        </w:rPr>
        <w:t>system</w:t>
      </w:r>
      <w:r w:rsidR="009F09FB">
        <w:rPr>
          <w:rFonts w:ascii="Times New Roman" w:eastAsia="MS PGothic" w:hAnsi="Times New Roman"/>
          <w:lang w:val="en-US"/>
        </w:rPr>
        <w:t xml:space="preserve"> based on electrolysis fed by electricity provided by RESs converters</w:t>
      </w:r>
      <w:r w:rsidR="00B22671">
        <w:rPr>
          <w:rFonts w:ascii="Times New Roman" w:eastAsia="MS PGothic" w:hAnsi="Times New Roman"/>
          <w:lang w:val="en-US"/>
        </w:rPr>
        <w:t xml:space="preserve"> was carried out. T</w:t>
      </w:r>
      <w:r w:rsidR="009F09FB">
        <w:rPr>
          <w:rFonts w:ascii="Times New Roman" w:eastAsia="MS PGothic" w:hAnsi="Times New Roman"/>
          <w:lang w:val="en-US"/>
        </w:rPr>
        <w:t>he aim is</w:t>
      </w:r>
      <w:r w:rsidR="006F793A">
        <w:rPr>
          <w:rFonts w:ascii="Times New Roman" w:eastAsia="MS PGothic" w:hAnsi="Times New Roman"/>
          <w:lang w:val="en-US"/>
        </w:rPr>
        <w:t xml:space="preserve"> to </w:t>
      </w:r>
      <w:r w:rsidR="009F09FB">
        <w:rPr>
          <w:rFonts w:ascii="Times New Roman" w:eastAsia="MS PGothic" w:hAnsi="Times New Roman"/>
          <w:lang w:val="en-US"/>
        </w:rPr>
        <w:t>prove</w:t>
      </w:r>
      <w:r w:rsidR="006F793A">
        <w:rPr>
          <w:rFonts w:ascii="Times New Roman" w:eastAsia="MS PGothic" w:hAnsi="Times New Roman"/>
          <w:lang w:val="en-US"/>
        </w:rPr>
        <w:t xml:space="preserve"> the feasibility</w:t>
      </w:r>
      <w:r w:rsidR="009F09FB">
        <w:rPr>
          <w:rFonts w:ascii="Times New Roman" w:eastAsia="MS PGothic" w:hAnsi="Times New Roman"/>
          <w:lang w:val="en-US"/>
        </w:rPr>
        <w:t xml:space="preserve"> of the system, </w:t>
      </w:r>
      <w:r w:rsidR="00871F0E">
        <w:rPr>
          <w:rFonts w:ascii="Times New Roman" w:eastAsia="MS PGothic" w:hAnsi="Times New Roman"/>
          <w:lang w:val="en-US"/>
        </w:rPr>
        <w:t>resulting in</w:t>
      </w:r>
      <w:r w:rsidR="009F09FB">
        <w:rPr>
          <w:rFonts w:ascii="Times New Roman" w:eastAsia="MS PGothic" w:hAnsi="Times New Roman"/>
          <w:lang w:val="en-US"/>
        </w:rPr>
        <w:t xml:space="preserve"> </w:t>
      </w:r>
      <w:r w:rsidR="006F793A">
        <w:rPr>
          <w:rFonts w:ascii="Times New Roman" w:eastAsia="MS PGothic" w:hAnsi="Times New Roman"/>
          <w:lang w:val="en-US"/>
        </w:rPr>
        <w:t>a significant amount of hydrogen production</w:t>
      </w:r>
      <w:r w:rsidR="00B22671">
        <w:rPr>
          <w:rFonts w:ascii="Times New Roman" w:eastAsia="MS PGothic" w:hAnsi="Times New Roman"/>
          <w:lang w:val="en-US"/>
        </w:rPr>
        <w:t xml:space="preserve">, providing the required data for </w:t>
      </w:r>
      <w:r w:rsidR="00C56E95">
        <w:rPr>
          <w:rFonts w:ascii="Times New Roman" w:eastAsia="MS PGothic" w:hAnsi="Times New Roman"/>
          <w:lang w:val="en-US"/>
        </w:rPr>
        <w:t xml:space="preserve">economic </w:t>
      </w:r>
      <w:r w:rsidR="00637691">
        <w:rPr>
          <w:rFonts w:ascii="Times New Roman" w:eastAsia="MS PGothic" w:hAnsi="Times New Roman"/>
          <w:lang w:val="en-US"/>
        </w:rPr>
        <w:t xml:space="preserve">optimization </w:t>
      </w:r>
      <w:r w:rsidR="00C56E95">
        <w:rPr>
          <w:rFonts w:ascii="Times New Roman" w:eastAsia="MS PGothic" w:hAnsi="Times New Roman"/>
          <w:lang w:val="en-US"/>
        </w:rPr>
        <w:t>and footprint evaluation</w:t>
      </w:r>
      <w:r w:rsidR="00DA51A3" w:rsidRPr="00466FFD">
        <w:rPr>
          <w:rFonts w:ascii="Times New Roman" w:eastAsia="MS PGothic" w:hAnsi="Times New Roman"/>
          <w:lang w:val="en-US"/>
        </w:rPr>
        <w:t>.</w:t>
      </w:r>
      <w:r w:rsidR="006F793A">
        <w:rPr>
          <w:rFonts w:ascii="Times New Roman" w:eastAsia="MS PGothic" w:hAnsi="Times New Roman"/>
          <w:lang w:val="en-US"/>
        </w:rPr>
        <w:t xml:space="preserve"> </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4DB87F9B" w14:textId="326CE042" w:rsidR="004C33DE" w:rsidRPr="004C33DE" w:rsidRDefault="00497E83" w:rsidP="004C33DE">
      <w:pPr>
        <w:widowControl w:val="0"/>
        <w:tabs>
          <w:tab w:val="left" w:pos="425"/>
        </w:tabs>
        <w:autoSpaceDE w:val="0"/>
        <w:autoSpaceDN w:val="0"/>
        <w:adjustRightInd w:val="0"/>
        <w:spacing w:after="0" w:line="240" w:lineRule="auto"/>
        <w:ind w:left="641" w:hanging="641"/>
        <w:rPr>
          <w:rFonts w:ascii="Times New Roman" w:hAnsi="Times New Roman" w:cs="Times New Roman"/>
          <w:noProof/>
          <w:sz w:val="20"/>
          <w:szCs w:val="24"/>
        </w:rPr>
      </w:pPr>
      <w:r w:rsidRPr="004C33DE">
        <w:rPr>
          <w:sz w:val="20"/>
          <w:lang w:val="en-US"/>
        </w:rPr>
        <w:fldChar w:fldCharType="begin" w:fldLock="1"/>
      </w:r>
      <w:r w:rsidRPr="004C33DE">
        <w:rPr>
          <w:sz w:val="20"/>
          <w:lang w:val="en-US"/>
        </w:rPr>
        <w:instrText xml:space="preserve">ADDIN Mendeley Bibliography CSL_BIBLIOGRAPHY </w:instrText>
      </w:r>
      <w:r w:rsidRPr="004C33DE">
        <w:rPr>
          <w:sz w:val="20"/>
          <w:lang w:val="en-US"/>
        </w:rPr>
        <w:fldChar w:fldCharType="separate"/>
      </w:r>
      <w:r w:rsidR="004C33DE" w:rsidRPr="004C33DE">
        <w:rPr>
          <w:rFonts w:ascii="Times New Roman" w:hAnsi="Times New Roman" w:cs="Times New Roman"/>
          <w:noProof/>
          <w:sz w:val="20"/>
          <w:szCs w:val="24"/>
        </w:rPr>
        <w:t>[1]</w:t>
      </w:r>
      <w:r w:rsidR="004C33DE" w:rsidRPr="004C33DE">
        <w:rPr>
          <w:rFonts w:ascii="Times New Roman" w:hAnsi="Times New Roman" w:cs="Times New Roman"/>
          <w:noProof/>
          <w:sz w:val="20"/>
          <w:szCs w:val="24"/>
        </w:rPr>
        <w:tab/>
        <w:t xml:space="preserve">T. Capurso, M. Stefanizzi, M. Torresi, S. M. Camporeale, Perspective of the role of hydrogen in the 21st century energy transition, </w:t>
      </w:r>
      <w:r w:rsidR="004C33DE" w:rsidRPr="004C33DE">
        <w:rPr>
          <w:rFonts w:ascii="Times New Roman" w:hAnsi="Times New Roman" w:cs="Times New Roman"/>
          <w:iCs/>
          <w:noProof/>
          <w:sz w:val="20"/>
          <w:szCs w:val="24"/>
        </w:rPr>
        <w:t>Energy Convers. Manag.</w:t>
      </w:r>
      <w:r w:rsidR="004C33DE" w:rsidRPr="004C33DE">
        <w:rPr>
          <w:rFonts w:ascii="Times New Roman" w:hAnsi="Times New Roman" w:cs="Times New Roman"/>
          <w:noProof/>
          <w:sz w:val="20"/>
          <w:szCs w:val="24"/>
        </w:rPr>
        <w:t>, vol. 251, no. July 2021, p. 114898, 2022.</w:t>
      </w:r>
    </w:p>
    <w:p w14:paraId="3A0439FF" w14:textId="1CDF88D7" w:rsidR="004C33DE" w:rsidRPr="004C33DE" w:rsidRDefault="004C33DE" w:rsidP="004C33DE">
      <w:pPr>
        <w:widowControl w:val="0"/>
        <w:tabs>
          <w:tab w:val="left" w:pos="425"/>
        </w:tabs>
        <w:autoSpaceDE w:val="0"/>
        <w:autoSpaceDN w:val="0"/>
        <w:adjustRightInd w:val="0"/>
        <w:spacing w:after="0" w:line="240" w:lineRule="auto"/>
        <w:ind w:left="641" w:hanging="641"/>
        <w:rPr>
          <w:rFonts w:ascii="Times New Roman" w:hAnsi="Times New Roman" w:cs="Times New Roman"/>
          <w:noProof/>
          <w:sz w:val="20"/>
          <w:szCs w:val="24"/>
        </w:rPr>
      </w:pPr>
      <w:r w:rsidRPr="004C33DE">
        <w:rPr>
          <w:rFonts w:ascii="Times New Roman" w:hAnsi="Times New Roman" w:cs="Times New Roman"/>
          <w:noProof/>
          <w:sz w:val="20"/>
          <w:szCs w:val="24"/>
        </w:rPr>
        <w:t>[2]</w:t>
      </w:r>
      <w:r w:rsidRPr="004C33DE">
        <w:rPr>
          <w:rFonts w:ascii="Times New Roman" w:hAnsi="Times New Roman" w:cs="Times New Roman"/>
          <w:noProof/>
          <w:sz w:val="20"/>
          <w:szCs w:val="24"/>
        </w:rPr>
        <w:tab/>
        <w:t xml:space="preserve">I. Dincer, V. Cozzani, A. Crivellari, Offshore renewable energy options, </w:t>
      </w:r>
      <w:r w:rsidRPr="004C33DE">
        <w:rPr>
          <w:rFonts w:ascii="Times New Roman" w:hAnsi="Times New Roman" w:cs="Times New Roman"/>
          <w:iCs/>
          <w:noProof/>
          <w:sz w:val="20"/>
          <w:szCs w:val="24"/>
        </w:rPr>
        <w:t>Hybrid Energy Syst. Offshore Appl.</w:t>
      </w:r>
      <w:r w:rsidRPr="004C33DE">
        <w:rPr>
          <w:rFonts w:ascii="Times New Roman" w:hAnsi="Times New Roman" w:cs="Times New Roman"/>
          <w:noProof/>
          <w:sz w:val="20"/>
          <w:szCs w:val="24"/>
        </w:rPr>
        <w:t>, pp. 7–18, 2021.</w:t>
      </w:r>
    </w:p>
    <w:p w14:paraId="4F31B990" w14:textId="6C9AC634" w:rsidR="004C33DE" w:rsidRPr="004C33DE" w:rsidRDefault="004C33DE" w:rsidP="004C33DE">
      <w:pPr>
        <w:widowControl w:val="0"/>
        <w:tabs>
          <w:tab w:val="left" w:pos="425"/>
        </w:tabs>
        <w:autoSpaceDE w:val="0"/>
        <w:autoSpaceDN w:val="0"/>
        <w:adjustRightInd w:val="0"/>
        <w:spacing w:after="0" w:line="240" w:lineRule="auto"/>
        <w:ind w:left="641" w:hanging="641"/>
        <w:rPr>
          <w:rFonts w:ascii="Times New Roman" w:hAnsi="Times New Roman" w:cs="Times New Roman"/>
          <w:noProof/>
          <w:sz w:val="20"/>
          <w:szCs w:val="24"/>
        </w:rPr>
      </w:pPr>
      <w:r w:rsidRPr="004C33DE">
        <w:rPr>
          <w:rFonts w:ascii="Times New Roman" w:hAnsi="Times New Roman" w:cs="Times New Roman"/>
          <w:noProof/>
          <w:sz w:val="20"/>
          <w:szCs w:val="24"/>
        </w:rPr>
        <w:t>[3]</w:t>
      </w:r>
      <w:r w:rsidRPr="004C33DE">
        <w:rPr>
          <w:rFonts w:ascii="Times New Roman" w:hAnsi="Times New Roman" w:cs="Times New Roman"/>
          <w:noProof/>
          <w:sz w:val="20"/>
          <w:szCs w:val="24"/>
        </w:rPr>
        <w:tab/>
        <w:t xml:space="preserve">M. Rizwan, V. Alstad, J. Jäschke, Design considerations for industrial water electrolyzer plants, </w:t>
      </w:r>
      <w:r w:rsidRPr="004C33DE">
        <w:rPr>
          <w:rFonts w:ascii="Times New Roman" w:hAnsi="Times New Roman" w:cs="Times New Roman"/>
          <w:iCs/>
          <w:noProof/>
          <w:sz w:val="20"/>
          <w:szCs w:val="24"/>
        </w:rPr>
        <w:t>Int. J. Hydrogen Energy</w:t>
      </w:r>
      <w:r w:rsidRPr="004C33DE">
        <w:rPr>
          <w:rFonts w:ascii="Times New Roman" w:hAnsi="Times New Roman" w:cs="Times New Roman"/>
          <w:noProof/>
          <w:sz w:val="20"/>
          <w:szCs w:val="24"/>
        </w:rPr>
        <w:t>, vol. 46, no. 75, pp. 37120–37136, 2021.</w:t>
      </w:r>
    </w:p>
    <w:p w14:paraId="7C7CCA2C" w14:textId="0842A89E" w:rsidR="00DA51A3" w:rsidRPr="002A3BBE" w:rsidRDefault="004C33DE" w:rsidP="00A208D2">
      <w:pPr>
        <w:widowControl w:val="0"/>
        <w:tabs>
          <w:tab w:val="left" w:pos="425"/>
        </w:tabs>
        <w:autoSpaceDE w:val="0"/>
        <w:autoSpaceDN w:val="0"/>
        <w:adjustRightInd w:val="0"/>
        <w:spacing w:after="0" w:line="240" w:lineRule="auto"/>
        <w:ind w:left="641" w:hanging="641"/>
        <w:rPr>
          <w:lang w:val="en-US"/>
        </w:rPr>
      </w:pPr>
      <w:r w:rsidRPr="004C33DE">
        <w:rPr>
          <w:rFonts w:ascii="Times New Roman" w:hAnsi="Times New Roman" w:cs="Times New Roman"/>
          <w:noProof/>
          <w:sz w:val="20"/>
          <w:szCs w:val="24"/>
        </w:rPr>
        <w:t>[4]</w:t>
      </w:r>
      <w:r w:rsidRPr="004C33DE">
        <w:rPr>
          <w:rFonts w:ascii="Times New Roman" w:hAnsi="Times New Roman" w:cs="Times New Roman"/>
          <w:noProof/>
          <w:sz w:val="20"/>
          <w:szCs w:val="24"/>
        </w:rPr>
        <w:tab/>
        <w:t xml:space="preserve">A. Al-Karaghouli and L. L. Kazmerski, Energy consumption and water production cost of conventional and renewable-energy-powered desalination processes, </w:t>
      </w:r>
      <w:r w:rsidRPr="004C33DE">
        <w:rPr>
          <w:rFonts w:ascii="Times New Roman" w:hAnsi="Times New Roman" w:cs="Times New Roman"/>
          <w:iCs/>
          <w:noProof/>
          <w:sz w:val="20"/>
          <w:szCs w:val="24"/>
        </w:rPr>
        <w:t>Renew. Sustain. Energy Rev.</w:t>
      </w:r>
      <w:r w:rsidRPr="004C33DE">
        <w:rPr>
          <w:rFonts w:ascii="Times New Roman" w:hAnsi="Times New Roman" w:cs="Times New Roman"/>
          <w:noProof/>
          <w:sz w:val="20"/>
          <w:szCs w:val="24"/>
        </w:rPr>
        <w:t>, vol. 24, pp. 343–356, 2013.</w:t>
      </w:r>
      <w:r w:rsidR="00497E83" w:rsidRPr="004C33DE">
        <w:rPr>
          <w:sz w:val="20"/>
          <w:lang w:val="en-US"/>
        </w:rPr>
        <w:fldChar w:fldCharType="end"/>
      </w:r>
    </w:p>
    <w:sectPr w:rsidR="00DA51A3" w:rsidRPr="002A3BBE" w:rsidSect="001D0E0C">
      <w:head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E99B7" w14:textId="77777777" w:rsidR="00531F27" w:rsidRDefault="00531F27" w:rsidP="001D0E0C">
      <w:pPr>
        <w:spacing w:after="0" w:line="240" w:lineRule="auto"/>
      </w:pPr>
      <w:r>
        <w:separator/>
      </w:r>
    </w:p>
  </w:endnote>
  <w:endnote w:type="continuationSeparator" w:id="0">
    <w:p w14:paraId="361A98D1" w14:textId="77777777" w:rsidR="00531F27" w:rsidRDefault="00531F27"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61A80" w14:textId="77777777" w:rsidR="00531F27" w:rsidRDefault="00531F27" w:rsidP="001D0E0C">
      <w:pPr>
        <w:spacing w:after="0" w:line="240" w:lineRule="auto"/>
      </w:pPr>
      <w:r>
        <w:separator/>
      </w:r>
    </w:p>
  </w:footnote>
  <w:footnote w:type="continuationSeparator" w:id="0">
    <w:p w14:paraId="3B0895F1" w14:textId="77777777" w:rsidR="00531F27" w:rsidRDefault="00531F27"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BBF7" w14:textId="24434349" w:rsidR="001D0E0C" w:rsidRPr="001B060D" w:rsidRDefault="001B060D" w:rsidP="001B060D">
    <w:pPr>
      <w:pStyle w:val="Header"/>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5D5F" w14:textId="292CCFE8" w:rsidR="001D0E0C" w:rsidRDefault="00F24290" w:rsidP="000517B4">
    <w:pPr>
      <w:pStyle w:val="Header"/>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Header"/>
      <w:tabs>
        <w:tab w:val="left" w:pos="1188"/>
      </w:tabs>
      <w:jc w:val="center"/>
      <w:rPr>
        <w:b/>
        <w:i/>
        <w:color w:val="2E74B5" w:themeColor="accent5" w:themeShade="BF"/>
        <w:sz w:val="24"/>
        <w:szCs w:val="24"/>
      </w:rPr>
    </w:pPr>
  </w:p>
  <w:p w14:paraId="2DF8C760" w14:textId="77777777" w:rsidR="001D0E0C" w:rsidRDefault="000517B4" w:rsidP="001D0E0C">
    <w:pPr>
      <w:pStyle w:val="Header"/>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0C7"/>
    <w:multiLevelType w:val="hybridMultilevel"/>
    <w:tmpl w:val="C35C3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xNTc3NTSzNDU2MDdW0lEKTi0uzszPAykwqQUAFcIapSwAAAA="/>
  </w:docVars>
  <w:rsids>
    <w:rsidRoot w:val="00DA51A3"/>
    <w:rsid w:val="00036547"/>
    <w:rsid w:val="000517B4"/>
    <w:rsid w:val="0007584E"/>
    <w:rsid w:val="000C798A"/>
    <w:rsid w:val="000D40E7"/>
    <w:rsid w:val="000D72EF"/>
    <w:rsid w:val="000D7A1D"/>
    <w:rsid w:val="000F72C3"/>
    <w:rsid w:val="00107E83"/>
    <w:rsid w:val="00120CE2"/>
    <w:rsid w:val="00160341"/>
    <w:rsid w:val="0018667F"/>
    <w:rsid w:val="00197DDA"/>
    <w:rsid w:val="001B060D"/>
    <w:rsid w:val="001C0090"/>
    <w:rsid w:val="001C68CB"/>
    <w:rsid w:val="001D01D6"/>
    <w:rsid w:val="001D0E0C"/>
    <w:rsid w:val="001E302B"/>
    <w:rsid w:val="001E307E"/>
    <w:rsid w:val="001F6E3D"/>
    <w:rsid w:val="0020235C"/>
    <w:rsid w:val="00207589"/>
    <w:rsid w:val="002549FA"/>
    <w:rsid w:val="0026018E"/>
    <w:rsid w:val="00264B53"/>
    <w:rsid w:val="002826AC"/>
    <w:rsid w:val="00295E39"/>
    <w:rsid w:val="00295F7A"/>
    <w:rsid w:val="002A2EBE"/>
    <w:rsid w:val="002A3BBE"/>
    <w:rsid w:val="002B41FA"/>
    <w:rsid w:val="002D306C"/>
    <w:rsid w:val="00331A0B"/>
    <w:rsid w:val="00331B02"/>
    <w:rsid w:val="00363338"/>
    <w:rsid w:val="00364245"/>
    <w:rsid w:val="00372CB9"/>
    <w:rsid w:val="003A6EBB"/>
    <w:rsid w:val="003B3D54"/>
    <w:rsid w:val="003C7832"/>
    <w:rsid w:val="003E44C3"/>
    <w:rsid w:val="003F160A"/>
    <w:rsid w:val="00402674"/>
    <w:rsid w:val="00424226"/>
    <w:rsid w:val="00442D2B"/>
    <w:rsid w:val="00475E55"/>
    <w:rsid w:val="004771A6"/>
    <w:rsid w:val="0049697C"/>
    <w:rsid w:val="00497E83"/>
    <w:rsid w:val="004A1B10"/>
    <w:rsid w:val="004C33D0"/>
    <w:rsid w:val="004C33DE"/>
    <w:rsid w:val="004C56B4"/>
    <w:rsid w:val="004E7B2A"/>
    <w:rsid w:val="005030A7"/>
    <w:rsid w:val="00503B9E"/>
    <w:rsid w:val="0050661B"/>
    <w:rsid w:val="00513A0F"/>
    <w:rsid w:val="00520602"/>
    <w:rsid w:val="00527533"/>
    <w:rsid w:val="00531F27"/>
    <w:rsid w:val="00537686"/>
    <w:rsid w:val="0058102C"/>
    <w:rsid w:val="005B71B2"/>
    <w:rsid w:val="005C2A12"/>
    <w:rsid w:val="00637691"/>
    <w:rsid w:val="00662CCD"/>
    <w:rsid w:val="00664FC1"/>
    <w:rsid w:val="00682456"/>
    <w:rsid w:val="00697CD6"/>
    <w:rsid w:val="006F793A"/>
    <w:rsid w:val="00716247"/>
    <w:rsid w:val="00754339"/>
    <w:rsid w:val="0076262B"/>
    <w:rsid w:val="00762ABB"/>
    <w:rsid w:val="00770D15"/>
    <w:rsid w:val="00795EDC"/>
    <w:rsid w:val="007B27F2"/>
    <w:rsid w:val="007B414B"/>
    <w:rsid w:val="00820E64"/>
    <w:rsid w:val="00837993"/>
    <w:rsid w:val="00851FDE"/>
    <w:rsid w:val="00871F0E"/>
    <w:rsid w:val="00874150"/>
    <w:rsid w:val="008830B2"/>
    <w:rsid w:val="008871B1"/>
    <w:rsid w:val="008935C8"/>
    <w:rsid w:val="00895F9C"/>
    <w:rsid w:val="008A0BED"/>
    <w:rsid w:val="008E37D8"/>
    <w:rsid w:val="00913D8E"/>
    <w:rsid w:val="009341CF"/>
    <w:rsid w:val="009369B7"/>
    <w:rsid w:val="0094498A"/>
    <w:rsid w:val="00964026"/>
    <w:rsid w:val="009A006B"/>
    <w:rsid w:val="009A33B2"/>
    <w:rsid w:val="009A5753"/>
    <w:rsid w:val="009C2A05"/>
    <w:rsid w:val="009F09FB"/>
    <w:rsid w:val="009F0CE9"/>
    <w:rsid w:val="00A10CAF"/>
    <w:rsid w:val="00A177D5"/>
    <w:rsid w:val="00A208D2"/>
    <w:rsid w:val="00A333C7"/>
    <w:rsid w:val="00A33B60"/>
    <w:rsid w:val="00A431A1"/>
    <w:rsid w:val="00A55043"/>
    <w:rsid w:val="00A77DE6"/>
    <w:rsid w:val="00AB1801"/>
    <w:rsid w:val="00AC3155"/>
    <w:rsid w:val="00AD554A"/>
    <w:rsid w:val="00AD6F7B"/>
    <w:rsid w:val="00AF217B"/>
    <w:rsid w:val="00B14AD1"/>
    <w:rsid w:val="00B22671"/>
    <w:rsid w:val="00B25817"/>
    <w:rsid w:val="00B46771"/>
    <w:rsid w:val="00B525AB"/>
    <w:rsid w:val="00B54DC1"/>
    <w:rsid w:val="00B66185"/>
    <w:rsid w:val="00BA6592"/>
    <w:rsid w:val="00BB4E66"/>
    <w:rsid w:val="00BD0DE8"/>
    <w:rsid w:val="00BF18E9"/>
    <w:rsid w:val="00BF52C0"/>
    <w:rsid w:val="00C142C1"/>
    <w:rsid w:val="00C40840"/>
    <w:rsid w:val="00C44172"/>
    <w:rsid w:val="00C56E95"/>
    <w:rsid w:val="00C57525"/>
    <w:rsid w:val="00C7142E"/>
    <w:rsid w:val="00C775A4"/>
    <w:rsid w:val="00C86302"/>
    <w:rsid w:val="00C90C0A"/>
    <w:rsid w:val="00CA0770"/>
    <w:rsid w:val="00CC0BC1"/>
    <w:rsid w:val="00CD05AA"/>
    <w:rsid w:val="00CD475E"/>
    <w:rsid w:val="00CE5F11"/>
    <w:rsid w:val="00D03DB3"/>
    <w:rsid w:val="00D158CC"/>
    <w:rsid w:val="00D22235"/>
    <w:rsid w:val="00D322F1"/>
    <w:rsid w:val="00D412A9"/>
    <w:rsid w:val="00D45F5B"/>
    <w:rsid w:val="00D67339"/>
    <w:rsid w:val="00D76003"/>
    <w:rsid w:val="00D84123"/>
    <w:rsid w:val="00DA06C5"/>
    <w:rsid w:val="00DA51A3"/>
    <w:rsid w:val="00DC73B8"/>
    <w:rsid w:val="00DD2D8C"/>
    <w:rsid w:val="00DF4BE0"/>
    <w:rsid w:val="00E7783B"/>
    <w:rsid w:val="00E82C35"/>
    <w:rsid w:val="00E9054D"/>
    <w:rsid w:val="00EA0958"/>
    <w:rsid w:val="00EA3CCA"/>
    <w:rsid w:val="00EB2B98"/>
    <w:rsid w:val="00ED1FE8"/>
    <w:rsid w:val="00EE5F0F"/>
    <w:rsid w:val="00EF19A1"/>
    <w:rsid w:val="00EF4ED1"/>
    <w:rsid w:val="00F2323D"/>
    <w:rsid w:val="00F24290"/>
    <w:rsid w:val="00F643DE"/>
    <w:rsid w:val="00F65A1A"/>
    <w:rsid w:val="00F84E7B"/>
    <w:rsid w:val="00FD33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rsid w:val="00DA51A3"/>
    <w:pPr>
      <w:spacing w:after="0" w:line="240" w:lineRule="atLeast"/>
      <w:jc w:val="both"/>
    </w:pPr>
    <w:rPr>
      <w:rFonts w:ascii="Times" w:eastAsia="Times New Roman" w:hAnsi="Times" w:cs="Times New Roman"/>
      <w:sz w:val="20"/>
      <w:szCs w:val="20"/>
      <w:lang w:val="en-US"/>
    </w:rPr>
  </w:style>
  <w:style w:type="paragraph" w:styleId="Header">
    <w:name w:val="header"/>
    <w:basedOn w:val="Normal"/>
    <w:link w:val="HeaderChar"/>
    <w:uiPriority w:val="99"/>
    <w:unhideWhenUsed/>
    <w:rsid w:val="001D0E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E0C"/>
  </w:style>
  <w:style w:type="paragraph" w:styleId="Footer">
    <w:name w:val="footer"/>
    <w:basedOn w:val="Normal"/>
    <w:link w:val="FooterChar"/>
    <w:uiPriority w:val="99"/>
    <w:unhideWhenUsed/>
    <w:rsid w:val="001D0E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E0C"/>
  </w:style>
  <w:style w:type="paragraph" w:styleId="BalloonText">
    <w:name w:val="Balloon Text"/>
    <w:basedOn w:val="Normal"/>
    <w:link w:val="BalloonTextChar"/>
    <w:uiPriority w:val="99"/>
    <w:semiHidden/>
    <w:unhideWhenUsed/>
    <w:rsid w:val="003F1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0A"/>
    <w:rPr>
      <w:rFonts w:ascii="Segoe UI" w:hAnsi="Segoe UI" w:cs="Segoe UI"/>
      <w:sz w:val="18"/>
      <w:szCs w:val="18"/>
    </w:rPr>
  </w:style>
  <w:style w:type="paragraph" w:styleId="ListParagraph">
    <w:name w:val="List Paragraph"/>
    <w:basedOn w:val="Normal"/>
    <w:uiPriority w:val="34"/>
    <w:qFormat/>
    <w:rsid w:val="00C775A4"/>
    <w:pPr>
      <w:ind w:left="720"/>
      <w:contextualSpacing/>
    </w:pPr>
  </w:style>
  <w:style w:type="character" w:styleId="CommentReference">
    <w:name w:val="annotation reference"/>
    <w:basedOn w:val="DefaultParagraphFont"/>
    <w:uiPriority w:val="99"/>
    <w:semiHidden/>
    <w:unhideWhenUsed/>
    <w:rsid w:val="00CD475E"/>
    <w:rPr>
      <w:sz w:val="16"/>
      <w:szCs w:val="16"/>
    </w:rPr>
  </w:style>
  <w:style w:type="paragraph" w:styleId="CommentText">
    <w:name w:val="annotation text"/>
    <w:basedOn w:val="Normal"/>
    <w:link w:val="CommentTextChar"/>
    <w:uiPriority w:val="99"/>
    <w:semiHidden/>
    <w:unhideWhenUsed/>
    <w:rsid w:val="00CD475E"/>
    <w:pPr>
      <w:spacing w:line="240" w:lineRule="auto"/>
    </w:pPr>
    <w:rPr>
      <w:sz w:val="20"/>
      <w:szCs w:val="20"/>
    </w:rPr>
  </w:style>
  <w:style w:type="character" w:customStyle="1" w:styleId="CommentTextChar">
    <w:name w:val="Comment Text Char"/>
    <w:basedOn w:val="DefaultParagraphFont"/>
    <w:link w:val="CommentText"/>
    <w:uiPriority w:val="99"/>
    <w:semiHidden/>
    <w:rsid w:val="00CD475E"/>
    <w:rPr>
      <w:sz w:val="20"/>
      <w:szCs w:val="20"/>
    </w:rPr>
  </w:style>
  <w:style w:type="paragraph" w:styleId="CommentSubject">
    <w:name w:val="annotation subject"/>
    <w:basedOn w:val="CommentText"/>
    <w:next w:val="CommentText"/>
    <w:link w:val="CommentSubjectChar"/>
    <w:uiPriority w:val="99"/>
    <w:semiHidden/>
    <w:unhideWhenUsed/>
    <w:rsid w:val="00CD475E"/>
    <w:rPr>
      <w:b/>
      <w:bCs/>
    </w:rPr>
  </w:style>
  <w:style w:type="character" w:customStyle="1" w:styleId="CommentSubjectChar">
    <w:name w:val="Comment Subject Char"/>
    <w:basedOn w:val="CommentTextChar"/>
    <w:link w:val="CommentSubject"/>
    <w:uiPriority w:val="99"/>
    <w:semiHidden/>
    <w:rsid w:val="00CD47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BF4F2-BB10-4419-8E3C-11B57FEF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2612</Words>
  <Characters>14890</Characters>
  <Application>Microsoft Office Word</Application>
  <DocSecurity>0</DocSecurity>
  <Lines>124</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Leonardo Bozzoli</cp:lastModifiedBy>
  <cp:revision>9</cp:revision>
  <cp:lastPrinted>2022-01-31T11:56:00Z</cp:lastPrinted>
  <dcterms:created xsi:type="dcterms:W3CDTF">2022-03-16T18:56:00Z</dcterms:created>
  <dcterms:modified xsi:type="dcterms:W3CDTF">2022-03-17T17:04:00Z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4b4ec894-5d7e-34b4-b4f8-d80440cbb606</vt:lpwstr>
  </property>
  <property fmtid="{D5CDD505-2E9C-101B-9397-08002B2CF9AE}" pid="5" name="Mendeley Recent Style Id 0_1">
    <vt:lpwstr>http://csl.mendeley.com/styles/648582171/elsevier-harvard-AIDIC-leobo</vt:lpwstr>
  </property>
  <property fmtid="{D5CDD505-2E9C-101B-9397-08002B2CF9AE}" pid="6" name="Mendeley Recent Style Name 0_1">
    <vt:lpwstr>AIDIC CEt Leobo</vt:lpwstr>
  </property>
  <property fmtid="{D5CDD505-2E9C-101B-9397-08002B2CF9AE}" pid="7" name="Mendeley Recent Style Id 1_1">
    <vt:lpwstr>https://csl.mendeley.com/styles/648582171/elsevier-harvard-AIDIC-leobo</vt:lpwstr>
  </property>
  <property fmtid="{D5CDD505-2E9C-101B-9397-08002B2CF9AE}" pid="8" name="Mendeley Recent Style Name 1_1">
    <vt:lpwstr>AIDIC CEt Leobo</vt:lpwstr>
  </property>
  <property fmtid="{D5CDD505-2E9C-101B-9397-08002B2CF9AE}" pid="9" name="Mendeley Recent Style Id 2_1">
    <vt:lpwstr>https://csl.mendeley.com/styles/648582171/elsevier-harvard</vt:lpwstr>
  </property>
  <property fmtid="{D5CDD505-2E9C-101B-9397-08002B2CF9AE}" pid="10" name="Mendeley Recent Style Name 2_1">
    <vt:lpwstr>AIDIC CEt Leobo</vt:lpwstr>
  </property>
  <property fmtid="{D5CDD505-2E9C-101B-9397-08002B2CF9AE}" pid="11" name="Mendeley Recent Style Id 3_1">
    <vt:lpwstr>http://www.zotero.org/styles/american-medical-association</vt:lpwstr>
  </property>
  <property fmtid="{D5CDD505-2E9C-101B-9397-08002B2CF9AE}" pid="12" name="Mendeley Recent Style Name 3_1">
    <vt:lpwstr>American Medical Association 11th edition</vt:lpwstr>
  </property>
  <property fmtid="{D5CDD505-2E9C-101B-9397-08002B2CF9AE}" pid="13" name="Mendeley Recent Style Id 4_1">
    <vt:lpwstr>http://www.zotero.org/styles/american-political-science-association</vt:lpwstr>
  </property>
  <property fmtid="{D5CDD505-2E9C-101B-9397-08002B2CF9AE}" pid="14" name="Mendeley Recent Style Name 4_1">
    <vt:lpwstr>American Political Science Association</vt:lpwstr>
  </property>
  <property fmtid="{D5CDD505-2E9C-101B-9397-08002B2CF9AE}" pid="15" name="Mendeley Recent Style Id 5_1">
    <vt:lpwstr>http://www.zotero.org/styles/american-sociological-association</vt:lpwstr>
  </property>
  <property fmtid="{D5CDD505-2E9C-101B-9397-08002B2CF9AE}" pid="16" name="Mendeley Recent Style Name 5_1">
    <vt:lpwstr>American Sociological Association 6th edition</vt:lpwstr>
  </property>
  <property fmtid="{D5CDD505-2E9C-101B-9397-08002B2CF9AE}" pid="17" name="Mendeley Recent Style Id 6_1">
    <vt:lpwstr>http://www.zotero.org/styles/chicago-author-date</vt:lpwstr>
  </property>
  <property fmtid="{D5CDD505-2E9C-101B-9397-08002B2CF9AE}" pid="18" name="Mendeley Recent Style Name 6_1">
    <vt:lpwstr>Chicago Manual of Style 17th edition (author-date)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10th edition - Harvard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http://www.zotero.org/styles/process-safety-and-environmental-protection</vt:lpwstr>
  </property>
  <property fmtid="{D5CDD505-2E9C-101B-9397-08002B2CF9AE}" pid="24" name="Mendeley Recent Style Name 9_1">
    <vt:lpwstr>Process Safety and Environmental Protection</vt:lpwstr>
  </property>
</Properties>
</file>