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36D5C63E" w:rsidR="00DA51A3" w:rsidRPr="00466FFD" w:rsidRDefault="004F3B0D" w:rsidP="0029771C">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Medium chain fatty acids production via biological c</w:t>
      </w:r>
      <w:r w:rsidR="00425581">
        <w:rPr>
          <w:rFonts w:ascii="Times New Roman" w:eastAsia="MS PGothic" w:hAnsi="Times New Roman"/>
          <w:b/>
          <w:bCs/>
          <w:sz w:val="24"/>
          <w:szCs w:val="24"/>
          <w:lang w:val="en-US"/>
        </w:rPr>
        <w:t xml:space="preserve">hain elongation </w:t>
      </w:r>
    </w:p>
    <w:p w14:paraId="243AAF34" w14:textId="5E02E7A8" w:rsidR="00DA51A3" w:rsidRPr="00425581" w:rsidRDefault="00425581" w:rsidP="00DA51A3">
      <w:pPr>
        <w:snapToGrid w:val="0"/>
        <w:jc w:val="center"/>
        <w:rPr>
          <w:rFonts w:ascii="Times New Roman" w:eastAsia="MS PGothic" w:hAnsi="Times New Roman"/>
          <w:sz w:val="24"/>
          <w:szCs w:val="24"/>
        </w:rPr>
      </w:pPr>
      <w:r w:rsidRPr="00425581">
        <w:rPr>
          <w:rFonts w:ascii="Times New Roman" w:eastAsia="SimSun" w:hAnsi="Times New Roman"/>
          <w:sz w:val="24"/>
          <w:szCs w:val="24"/>
          <w:u w:val="single"/>
          <w:lang w:eastAsia="zh-CN"/>
        </w:rPr>
        <w:t>Federico Battista*</w:t>
      </w:r>
      <w:r w:rsidR="00DA51A3" w:rsidRPr="00425581">
        <w:rPr>
          <w:rFonts w:ascii="Times New Roman" w:eastAsia="SimSun" w:hAnsi="Times New Roman"/>
          <w:sz w:val="24"/>
          <w:szCs w:val="24"/>
          <w:lang w:eastAsia="zh-CN"/>
        </w:rPr>
        <w:t>,</w:t>
      </w:r>
      <w:r w:rsidRPr="00425581">
        <w:rPr>
          <w:rFonts w:ascii="Times New Roman" w:eastAsia="SimSun" w:hAnsi="Times New Roman"/>
          <w:sz w:val="24"/>
          <w:szCs w:val="24"/>
          <w:lang w:eastAsia="zh-CN"/>
        </w:rPr>
        <w:t xml:space="preserve"> David Bolzonella</w:t>
      </w:r>
      <w:r w:rsidR="00DA51A3" w:rsidRPr="00425581">
        <w:rPr>
          <w:rFonts w:ascii="Times New Roman" w:eastAsia="SimSun" w:hAnsi="Times New Roman"/>
          <w:sz w:val="24"/>
          <w:szCs w:val="24"/>
          <w:lang w:eastAsia="zh-CN"/>
        </w:rPr>
        <w:t xml:space="preserve"> </w:t>
      </w:r>
    </w:p>
    <w:p w14:paraId="7A602332" w14:textId="00DB5E27" w:rsidR="00DA51A3" w:rsidRPr="00B731DC" w:rsidRDefault="00425581" w:rsidP="00DA51A3">
      <w:pPr>
        <w:snapToGrid w:val="0"/>
        <w:spacing w:after="120"/>
        <w:jc w:val="center"/>
        <w:rPr>
          <w:rFonts w:ascii="Times New Roman" w:eastAsia="MS PGothic" w:hAnsi="Times New Roman"/>
          <w:i/>
          <w:iCs/>
          <w:sz w:val="20"/>
        </w:rPr>
      </w:pPr>
      <w:r w:rsidRPr="00B731DC">
        <w:rPr>
          <w:rFonts w:ascii="Times New Roman" w:eastAsia="MS PGothic" w:hAnsi="Times New Roman"/>
          <w:i/>
          <w:iCs/>
          <w:sz w:val="20"/>
        </w:rPr>
        <w:t xml:space="preserve">University of Verona, Department of Biotechnology, Strada Le Grazie 15, 37134, Verona, </w:t>
      </w:r>
      <w:proofErr w:type="spellStart"/>
      <w:r w:rsidRPr="00B731DC">
        <w:rPr>
          <w:rFonts w:ascii="Times New Roman" w:eastAsia="MS PGothic" w:hAnsi="Times New Roman"/>
          <w:i/>
          <w:iCs/>
          <w:sz w:val="20"/>
        </w:rPr>
        <w:t>Italy</w:t>
      </w:r>
      <w:proofErr w:type="spellEnd"/>
    </w:p>
    <w:p w14:paraId="5533360A" w14:textId="7BE93B83"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*Corresponding author</w:t>
      </w:r>
      <w:r w:rsidRPr="00466FFD">
        <w:rPr>
          <w:rFonts w:ascii="Times New Roman" w:eastAsia="MS PGothic" w:hAnsi="Times New Roman"/>
          <w:bCs/>
          <w:i/>
          <w:iCs/>
          <w:sz w:val="20"/>
          <w:lang w:val="en-US" w:eastAsia="ko-KR"/>
        </w:rPr>
        <w:t xml:space="preserve"> E-Mail: </w:t>
      </w:r>
      <w:r w:rsidRPr="00466FFD">
        <w:rPr>
          <w:rFonts w:ascii="Times New Roman" w:eastAsia="MS PGothic" w:hAnsi="Times New Roman"/>
          <w:bCs/>
          <w:i/>
          <w:iCs/>
          <w:sz w:val="20"/>
          <w:lang w:val="en-US"/>
        </w:rPr>
        <w:t xml:space="preserve"> </w:t>
      </w:r>
      <w:r w:rsidR="00425581">
        <w:rPr>
          <w:rFonts w:ascii="Times New Roman" w:eastAsia="MS PGothic" w:hAnsi="Times New Roman"/>
          <w:bCs/>
          <w:i/>
          <w:iCs/>
          <w:sz w:val="20"/>
          <w:lang w:val="en-US"/>
        </w:rPr>
        <w:t>federico.battista@univr.it</w:t>
      </w:r>
    </w:p>
    <w:p w14:paraId="28AD07A8" w14:textId="77777777" w:rsidR="00DA51A3" w:rsidRPr="00466FFD" w:rsidRDefault="00DA51A3" w:rsidP="00DA51A3">
      <w:pPr>
        <w:snapToGrid w:val="0"/>
        <w:spacing w:after="120"/>
        <w:jc w:val="center"/>
        <w:rPr>
          <w:rFonts w:ascii="Times New Roman" w:eastAsia="SimSun" w:hAnsi="Times New Roman"/>
          <w:bCs/>
          <w:i/>
          <w:iCs/>
          <w:sz w:val="20"/>
          <w:lang w:val="en-US" w:eastAsia="zh-CN"/>
        </w:rPr>
      </w:pPr>
    </w:p>
    <w:p w14:paraId="110B92B3" w14:textId="2302B510" w:rsidR="00DA51A3" w:rsidRDefault="00DA51A3" w:rsidP="00DA51A3">
      <w:pPr>
        <w:snapToGrid w:val="0"/>
        <w:spacing w:line="300" w:lineRule="auto"/>
        <w:rPr>
          <w:rFonts w:ascii="Times New Roman" w:eastAsia="MS PGothic" w:hAnsi="Times New Roman"/>
          <w:b/>
          <w:bCs/>
          <w:lang w:val="en-US"/>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721FAF62" w14:textId="32236A31" w:rsidR="0029771C" w:rsidRPr="0029771C" w:rsidRDefault="0029771C" w:rsidP="008D5E48">
      <w:pPr>
        <w:snapToGrid w:val="0"/>
        <w:spacing w:line="240" w:lineRule="auto"/>
        <w:jc w:val="both"/>
        <w:rPr>
          <w:rFonts w:ascii="Times New Roman" w:eastAsia="MS PGothic" w:hAnsi="Times New Roman"/>
          <w:lang w:val="en-US" w:eastAsia="ko-KR"/>
        </w:rPr>
      </w:pPr>
      <w:r w:rsidRPr="0029771C">
        <w:rPr>
          <w:rFonts w:ascii="Times New Roman" w:eastAsia="MS PGothic" w:hAnsi="Times New Roman"/>
          <w:lang w:val="en-US" w:eastAsia="ko-KR"/>
        </w:rPr>
        <w:t xml:space="preserve">Medium-chain fatty acids (MCFAs) are saturated or unsaturated fatty acids having from 6 to 12 carbon atoms, which are mainly </w:t>
      </w:r>
      <w:r w:rsidR="00D021E6">
        <w:rPr>
          <w:rFonts w:ascii="Times New Roman" w:eastAsia="MS PGothic" w:hAnsi="Times New Roman"/>
          <w:lang w:val="en-US" w:eastAsia="ko-KR"/>
        </w:rPr>
        <w:t>synthe</w:t>
      </w:r>
      <w:r w:rsidR="00725630">
        <w:rPr>
          <w:rFonts w:ascii="Times New Roman" w:eastAsia="MS PGothic" w:hAnsi="Times New Roman"/>
          <w:lang w:val="en-US" w:eastAsia="ko-KR"/>
        </w:rPr>
        <w:t>tized</w:t>
      </w:r>
      <w:r w:rsidRPr="0029771C">
        <w:rPr>
          <w:rFonts w:ascii="Times New Roman" w:eastAsia="MS PGothic" w:hAnsi="Times New Roman"/>
          <w:lang w:val="en-US" w:eastAsia="ko-KR"/>
        </w:rPr>
        <w:t xml:space="preserve"> from </w:t>
      </w:r>
      <w:r w:rsidR="004F3B0D">
        <w:rPr>
          <w:rFonts w:ascii="Times New Roman" w:eastAsia="MS PGothic" w:hAnsi="Times New Roman"/>
          <w:lang w:val="en-US" w:eastAsia="ko-KR"/>
        </w:rPr>
        <w:t>fossil</w:t>
      </w:r>
      <w:r w:rsidRPr="0029771C">
        <w:rPr>
          <w:rFonts w:ascii="Times New Roman" w:eastAsia="MS PGothic" w:hAnsi="Times New Roman"/>
          <w:lang w:val="en-US" w:eastAsia="ko-KR"/>
        </w:rPr>
        <w:t xml:space="preserve">-base compounds or from vegetable oils such as palm oil, coconut oil or castor oil. Even in this last case, the MCFAs production </w:t>
      </w:r>
      <w:r w:rsidR="00B731DC" w:rsidRPr="0029771C">
        <w:rPr>
          <w:rFonts w:ascii="Times New Roman" w:eastAsia="MS PGothic" w:hAnsi="Times New Roman"/>
          <w:lang w:val="en-US" w:eastAsia="ko-KR"/>
        </w:rPr>
        <w:t>cannot</w:t>
      </w:r>
      <w:r w:rsidRPr="0029771C">
        <w:rPr>
          <w:rFonts w:ascii="Times New Roman" w:eastAsia="MS PGothic" w:hAnsi="Times New Roman"/>
          <w:lang w:val="en-US" w:eastAsia="ko-KR"/>
        </w:rPr>
        <w:t xml:space="preserve"> be considere</w:t>
      </w:r>
      <w:r w:rsidR="00B731DC">
        <w:rPr>
          <w:rFonts w:ascii="Times New Roman" w:eastAsia="MS PGothic" w:hAnsi="Times New Roman"/>
          <w:lang w:val="en-US" w:eastAsia="ko-KR"/>
        </w:rPr>
        <w:t>d</w:t>
      </w:r>
      <w:r w:rsidRPr="0029771C">
        <w:rPr>
          <w:rFonts w:ascii="Times New Roman" w:eastAsia="MS PGothic" w:hAnsi="Times New Roman"/>
          <w:lang w:val="en-US" w:eastAsia="ko-KR"/>
        </w:rPr>
        <w:t xml:space="preserve"> sustainable as their extraction involves the adoption of no green solvents. Moreover, the MCFA content in the vegetable oils represents only the 5-15% w/w of the total </w:t>
      </w:r>
      <w:r w:rsidR="00B731DC" w:rsidRPr="0029771C">
        <w:rPr>
          <w:rFonts w:ascii="Times New Roman" w:eastAsia="MS PGothic" w:hAnsi="Times New Roman"/>
          <w:lang w:val="en-US" w:eastAsia="ko-KR"/>
        </w:rPr>
        <w:t>compounds</w:t>
      </w:r>
      <w:r w:rsidRPr="0029771C">
        <w:rPr>
          <w:rFonts w:ascii="Times New Roman" w:eastAsia="MS PGothic" w:hAnsi="Times New Roman"/>
          <w:lang w:val="en-US" w:eastAsia="ko-KR"/>
        </w:rPr>
        <w:t xml:space="preserve"> </w:t>
      </w:r>
      <w:r w:rsidR="001F0513">
        <w:rPr>
          <w:rFonts w:ascii="Times New Roman" w:eastAsia="MS PGothic" w:hAnsi="Times New Roman"/>
          <w:lang w:val="en-US" w:eastAsia="ko-KR"/>
        </w:rPr>
        <w:t xml:space="preserve">[1]. </w:t>
      </w:r>
      <w:r w:rsidRPr="0029771C">
        <w:rPr>
          <w:rFonts w:ascii="Times New Roman" w:eastAsia="MS PGothic" w:hAnsi="Times New Roman"/>
          <w:lang w:val="en-US" w:eastAsia="ko-KR"/>
        </w:rPr>
        <w:t>MCFAs are very attracting compounds as they have different applications in food, pharma, chemical and biofuel industries. The investigation of sustainable processes for MCFAs production has been receiving great attention from scientific community</w:t>
      </w:r>
      <w:r w:rsidR="004F3B0D">
        <w:rPr>
          <w:rFonts w:ascii="Times New Roman" w:eastAsia="MS PGothic" w:hAnsi="Times New Roman"/>
          <w:lang w:val="en-US" w:eastAsia="ko-KR"/>
        </w:rPr>
        <w:t xml:space="preserve"> in last decade</w:t>
      </w:r>
      <w:r w:rsidRPr="0029771C">
        <w:rPr>
          <w:rFonts w:ascii="Times New Roman" w:eastAsia="MS PGothic" w:hAnsi="Times New Roman"/>
          <w:lang w:val="en-US" w:eastAsia="ko-KR"/>
        </w:rPr>
        <w:t>. In particular, anaerobic fermentation is a well-known technology for the organic wastes conversion into valuable bioproducts, such as Volatile Fatty Acids (VFAs), and biogas, a gaseous blend rich in methane. But the higher energy densities and economic value than the traditional methane and VFAs, make MCFAs more interesting in a biorefinery scope</w:t>
      </w:r>
      <w:r w:rsidR="004F3B0D">
        <w:rPr>
          <w:rFonts w:ascii="Times New Roman" w:eastAsia="MS PGothic" w:hAnsi="Times New Roman"/>
          <w:lang w:val="en-US" w:eastAsia="ko-KR"/>
        </w:rPr>
        <w:t xml:space="preserve"> [</w:t>
      </w:r>
      <w:r w:rsidR="00AC2597">
        <w:rPr>
          <w:rFonts w:ascii="Times New Roman" w:eastAsia="MS PGothic" w:hAnsi="Times New Roman"/>
          <w:lang w:val="en-US" w:eastAsia="ko-KR"/>
        </w:rPr>
        <w:t>2</w:t>
      </w:r>
      <w:r w:rsidR="004F3B0D">
        <w:rPr>
          <w:rFonts w:ascii="Times New Roman" w:eastAsia="MS PGothic" w:hAnsi="Times New Roman"/>
          <w:lang w:val="en-US" w:eastAsia="ko-KR"/>
        </w:rPr>
        <w:t>]</w:t>
      </w:r>
      <w:r w:rsidRPr="0029771C">
        <w:rPr>
          <w:rFonts w:ascii="Times New Roman" w:eastAsia="MS PGothic" w:hAnsi="Times New Roman"/>
          <w:lang w:val="en-US" w:eastAsia="ko-KR"/>
        </w:rPr>
        <w:t xml:space="preserve">.  </w:t>
      </w:r>
    </w:p>
    <w:p w14:paraId="056344E8" w14:textId="72F8A9F7" w:rsidR="0029771C" w:rsidRDefault="0029771C" w:rsidP="008D5E48">
      <w:pPr>
        <w:snapToGrid w:val="0"/>
        <w:spacing w:line="240" w:lineRule="auto"/>
        <w:jc w:val="both"/>
        <w:rPr>
          <w:rFonts w:ascii="Times New Roman" w:eastAsia="MS PGothic" w:hAnsi="Times New Roman"/>
          <w:lang w:val="en-US" w:eastAsia="ko-KR"/>
        </w:rPr>
      </w:pPr>
      <w:r w:rsidRPr="0029771C">
        <w:rPr>
          <w:rFonts w:ascii="Times New Roman" w:eastAsia="MS PGothic" w:hAnsi="Times New Roman"/>
          <w:lang w:val="en-US" w:eastAsia="ko-KR"/>
        </w:rPr>
        <w:t xml:space="preserve">The biological process that appears </w:t>
      </w:r>
      <w:r w:rsidR="00735657">
        <w:rPr>
          <w:rFonts w:ascii="Times New Roman" w:eastAsia="MS PGothic" w:hAnsi="Times New Roman"/>
          <w:lang w:val="en-US" w:eastAsia="ko-KR"/>
        </w:rPr>
        <w:t>as the</w:t>
      </w:r>
      <w:r w:rsidRPr="0029771C">
        <w:rPr>
          <w:rFonts w:ascii="Times New Roman" w:eastAsia="MS PGothic" w:hAnsi="Times New Roman"/>
          <w:lang w:val="en-US" w:eastAsia="ko-KR"/>
        </w:rPr>
        <w:t xml:space="preserve"> most promising for MCFAs synthesis is represented by the “chain elongation”, where</w:t>
      </w:r>
      <w:r w:rsidR="004F3B0D">
        <w:rPr>
          <w:rFonts w:ascii="Times New Roman" w:eastAsia="MS PGothic" w:hAnsi="Times New Roman"/>
          <w:lang w:val="en-US" w:eastAsia="ko-KR"/>
        </w:rPr>
        <w:t xml:space="preserve"> short chain</w:t>
      </w:r>
      <w:r w:rsidRPr="0029771C">
        <w:rPr>
          <w:rFonts w:ascii="Times New Roman" w:eastAsia="MS PGothic" w:hAnsi="Times New Roman"/>
          <w:lang w:val="en-US" w:eastAsia="ko-KR"/>
        </w:rPr>
        <w:t xml:space="preserve"> VFAs, derived from the acidogenic fermentation of organic substrates, are converted into MCFAs through the addition </w:t>
      </w:r>
      <w:r w:rsidR="00896E22">
        <w:rPr>
          <w:rFonts w:ascii="Times New Roman" w:eastAsia="MS PGothic" w:hAnsi="Times New Roman"/>
          <w:lang w:val="en-US" w:eastAsia="ko-KR"/>
        </w:rPr>
        <w:t xml:space="preserve">in the reaction medium </w:t>
      </w:r>
      <w:r w:rsidRPr="0029771C">
        <w:rPr>
          <w:rFonts w:ascii="Times New Roman" w:eastAsia="MS PGothic" w:hAnsi="Times New Roman"/>
          <w:lang w:val="en-US" w:eastAsia="ko-KR"/>
        </w:rPr>
        <w:t>of electron donor-compound</w:t>
      </w:r>
      <w:r w:rsidR="004F3B0D">
        <w:rPr>
          <w:rFonts w:ascii="Times New Roman" w:eastAsia="MS PGothic" w:hAnsi="Times New Roman"/>
          <w:lang w:val="en-US" w:eastAsia="ko-KR"/>
        </w:rPr>
        <w:t>s</w:t>
      </w:r>
      <w:r w:rsidRPr="0029771C">
        <w:rPr>
          <w:rFonts w:ascii="Times New Roman" w:eastAsia="MS PGothic" w:hAnsi="Times New Roman"/>
          <w:lang w:val="en-US" w:eastAsia="ko-KR"/>
        </w:rPr>
        <w:t>, such as ethanol, lactate, methanol, n-propanol</w:t>
      </w:r>
      <w:r w:rsidR="004F3B0D">
        <w:rPr>
          <w:rFonts w:ascii="Times New Roman" w:eastAsia="MS PGothic" w:hAnsi="Times New Roman"/>
          <w:lang w:val="en-US" w:eastAsia="ko-KR"/>
        </w:rPr>
        <w:t xml:space="preserve"> of biological origin</w:t>
      </w:r>
      <w:r w:rsidRPr="0029771C">
        <w:rPr>
          <w:rFonts w:ascii="Times New Roman" w:eastAsia="MS PGothic" w:hAnsi="Times New Roman"/>
          <w:lang w:val="en-US" w:eastAsia="ko-KR"/>
        </w:rPr>
        <w:t xml:space="preserve">. VFAs and ethanol conversion into  MCFA is </w:t>
      </w:r>
      <w:r w:rsidR="004F3B0D">
        <w:rPr>
          <w:rFonts w:ascii="Times New Roman" w:eastAsia="MS PGothic" w:hAnsi="Times New Roman"/>
          <w:lang w:val="en-US" w:eastAsia="ko-KR"/>
        </w:rPr>
        <w:t>carried out</w:t>
      </w:r>
      <w:r w:rsidR="004F3B0D" w:rsidRPr="0029771C">
        <w:rPr>
          <w:rFonts w:ascii="Times New Roman" w:eastAsia="MS PGothic" w:hAnsi="Times New Roman"/>
          <w:lang w:val="en-US" w:eastAsia="ko-KR"/>
        </w:rPr>
        <w:t xml:space="preserve"> </w:t>
      </w:r>
      <w:r w:rsidRPr="0029771C">
        <w:rPr>
          <w:rFonts w:ascii="Times New Roman" w:eastAsia="MS PGothic" w:hAnsi="Times New Roman"/>
          <w:lang w:val="en-US" w:eastAsia="ko-KR"/>
        </w:rPr>
        <w:t xml:space="preserve">by microorganisms </w:t>
      </w:r>
      <w:r w:rsidR="004F3B0D">
        <w:rPr>
          <w:rFonts w:ascii="Times New Roman" w:eastAsia="MS PGothic" w:hAnsi="Times New Roman"/>
          <w:lang w:val="en-US" w:eastAsia="ko-KR"/>
        </w:rPr>
        <w:t xml:space="preserve">able </w:t>
      </w:r>
      <w:r w:rsidRPr="0029771C">
        <w:rPr>
          <w:rFonts w:ascii="Times New Roman" w:eastAsia="MS PGothic" w:hAnsi="Times New Roman"/>
          <w:lang w:val="en-US" w:eastAsia="ko-KR"/>
        </w:rPr>
        <w:t xml:space="preserve">to elongate the VFAs’ carbon chain by reverse β-oxidation pathway, </w:t>
      </w:r>
      <w:r w:rsidR="004F3B0D">
        <w:rPr>
          <w:rFonts w:ascii="Times New Roman" w:eastAsia="MS PGothic" w:hAnsi="Times New Roman"/>
          <w:lang w:val="en-US" w:eastAsia="ko-KR"/>
        </w:rPr>
        <w:t xml:space="preserve">as </w:t>
      </w:r>
      <w:r w:rsidRPr="0029771C">
        <w:rPr>
          <w:rFonts w:ascii="Times New Roman" w:eastAsia="MS PGothic" w:hAnsi="Times New Roman"/>
          <w:lang w:val="en-US" w:eastAsia="ko-KR"/>
        </w:rPr>
        <w:t xml:space="preserve">reported in Figure 1. </w:t>
      </w:r>
    </w:p>
    <w:p w14:paraId="1BDB1D8A" w14:textId="52399057" w:rsidR="0029771C" w:rsidRPr="0029771C" w:rsidRDefault="0029771C" w:rsidP="008D5E48">
      <w:pPr>
        <w:snapToGrid w:val="0"/>
        <w:spacing w:line="240" w:lineRule="auto"/>
        <w:jc w:val="both"/>
        <w:rPr>
          <w:rFonts w:ascii="Times New Roman" w:eastAsia="MS PGothic" w:hAnsi="Times New Roman"/>
          <w:lang w:val="en-US" w:eastAsia="ko-KR"/>
        </w:rPr>
      </w:pPr>
      <w:r>
        <w:rPr>
          <w:noProof/>
        </w:rPr>
        <w:drawing>
          <wp:anchor distT="0" distB="0" distL="114300" distR="114300" simplePos="0" relativeHeight="251659264" behindDoc="0" locked="0" layoutInCell="1" allowOverlap="1" wp14:anchorId="41A50B63" wp14:editId="458C6E2B">
            <wp:simplePos x="0" y="0"/>
            <wp:positionH relativeFrom="column">
              <wp:posOffset>982980</wp:posOffset>
            </wp:positionH>
            <wp:positionV relativeFrom="paragraph">
              <wp:posOffset>304165</wp:posOffset>
            </wp:positionV>
            <wp:extent cx="4259580" cy="467995"/>
            <wp:effectExtent l="0" t="0" r="0" b="190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9580" cy="467995"/>
                    </a:xfrm>
                    <a:prstGeom prst="rect">
                      <a:avLst/>
                    </a:prstGeom>
                    <a:noFill/>
                  </pic:spPr>
                </pic:pic>
              </a:graphicData>
            </a:graphic>
            <wp14:sizeRelH relativeFrom="margin">
              <wp14:pctWidth>0</wp14:pctWidth>
            </wp14:sizeRelH>
          </wp:anchor>
        </w:drawing>
      </w:r>
    </w:p>
    <w:p w14:paraId="4008FD91" w14:textId="77777777" w:rsidR="0029771C" w:rsidRPr="0029771C" w:rsidRDefault="0029771C" w:rsidP="008D5E48">
      <w:pPr>
        <w:snapToGrid w:val="0"/>
        <w:spacing w:line="240" w:lineRule="auto"/>
        <w:jc w:val="both"/>
        <w:rPr>
          <w:rFonts w:ascii="Times New Roman" w:eastAsia="MS PGothic" w:hAnsi="Times New Roman"/>
          <w:lang w:val="en-US" w:eastAsia="ko-KR"/>
        </w:rPr>
      </w:pPr>
    </w:p>
    <w:p w14:paraId="3CE8BE73" w14:textId="77777777" w:rsidR="0029771C" w:rsidRDefault="0029771C" w:rsidP="008D5E48">
      <w:pPr>
        <w:snapToGrid w:val="0"/>
        <w:spacing w:line="240" w:lineRule="auto"/>
        <w:jc w:val="both"/>
        <w:rPr>
          <w:rFonts w:ascii="Times New Roman" w:eastAsia="MS PGothic" w:hAnsi="Times New Roman"/>
          <w:lang w:val="en-US" w:eastAsia="ko-KR"/>
        </w:rPr>
      </w:pPr>
    </w:p>
    <w:p w14:paraId="33F473A0" w14:textId="4F59A3AB" w:rsidR="0029771C" w:rsidRPr="00054C84" w:rsidRDefault="0029771C" w:rsidP="008D5E48">
      <w:pPr>
        <w:snapToGrid w:val="0"/>
        <w:spacing w:after="120" w:line="240" w:lineRule="auto"/>
        <w:jc w:val="center"/>
        <w:rPr>
          <w:rFonts w:ascii="Times New Roman" w:eastAsia="MS PGothic" w:hAnsi="Times New Roman"/>
          <w:sz w:val="18"/>
          <w:szCs w:val="18"/>
          <w:lang w:val="en-US"/>
        </w:rPr>
      </w:pPr>
      <w:r w:rsidRPr="00054C84">
        <w:rPr>
          <w:rFonts w:ascii="Times New Roman" w:eastAsia="MS PGothic" w:hAnsi="Times New Roman"/>
          <w:b/>
          <w:bCs/>
          <w:sz w:val="18"/>
          <w:szCs w:val="18"/>
          <w:lang w:val="en-US"/>
        </w:rPr>
        <w:t>Figure 1</w:t>
      </w:r>
      <w:r w:rsidRPr="00054C84">
        <w:rPr>
          <w:rFonts w:ascii="Times New Roman" w:eastAsia="MS PGothic" w:hAnsi="Times New Roman"/>
          <w:sz w:val="18"/>
          <w:szCs w:val="18"/>
          <w:lang w:val="en-US"/>
        </w:rPr>
        <w:t>. Reverse β-oxidation pathway for the VFAs conversion into MCFAs.</w:t>
      </w:r>
    </w:p>
    <w:p w14:paraId="3A5CF175" w14:textId="77777777" w:rsidR="00054C84" w:rsidRDefault="00054C84" w:rsidP="008D5E48">
      <w:pPr>
        <w:snapToGrid w:val="0"/>
        <w:spacing w:line="240" w:lineRule="auto"/>
        <w:jc w:val="both"/>
        <w:rPr>
          <w:rFonts w:ascii="Times New Roman" w:eastAsia="MS PGothic" w:hAnsi="Times New Roman"/>
          <w:lang w:val="en-US" w:eastAsia="ko-KR"/>
        </w:rPr>
      </w:pPr>
    </w:p>
    <w:p w14:paraId="440493B2" w14:textId="492C0F8A" w:rsidR="0029771C" w:rsidRPr="0029771C" w:rsidRDefault="0029771C" w:rsidP="008D5E48">
      <w:pPr>
        <w:snapToGrid w:val="0"/>
        <w:spacing w:line="240" w:lineRule="auto"/>
        <w:jc w:val="both"/>
        <w:rPr>
          <w:rFonts w:ascii="Times New Roman" w:eastAsia="MS PGothic" w:hAnsi="Times New Roman"/>
          <w:lang w:val="en-US" w:eastAsia="ko-KR"/>
        </w:rPr>
      </w:pPr>
      <w:r w:rsidRPr="0029771C">
        <w:rPr>
          <w:rFonts w:ascii="Times New Roman" w:eastAsia="MS PGothic" w:hAnsi="Times New Roman"/>
          <w:lang w:val="en-US" w:eastAsia="ko-KR"/>
        </w:rPr>
        <w:t xml:space="preserve">Considering the caproic acid production from ethanol and acetate, ethanol is first converted into acetyl-CoA before entering into two cycles of reverse β-oxidation. The acetyl-CoA is stretched into butyrate along the first cycle of reverse β-oxidation reacting with acetate. The remaining acetyl-CoA is then used in the second cycle of reverse β-oxidation, reacting with the butyrate to generate the caproate. </w:t>
      </w:r>
    </w:p>
    <w:p w14:paraId="30C59300" w14:textId="5A87624B" w:rsidR="00B731DC" w:rsidRPr="0029771C" w:rsidRDefault="0029771C" w:rsidP="008D5E48">
      <w:pPr>
        <w:snapToGrid w:val="0"/>
        <w:spacing w:line="240" w:lineRule="auto"/>
        <w:jc w:val="both"/>
        <w:rPr>
          <w:rFonts w:ascii="Times New Roman" w:eastAsia="MS PGothic" w:hAnsi="Times New Roman"/>
          <w:lang w:val="en-US" w:eastAsia="ko-KR"/>
        </w:rPr>
      </w:pPr>
      <w:r w:rsidRPr="0029771C">
        <w:rPr>
          <w:rFonts w:ascii="Times New Roman" w:eastAsia="MS PGothic" w:hAnsi="Times New Roman"/>
          <w:lang w:val="en-US" w:eastAsia="ko-KR"/>
        </w:rPr>
        <w:t>The challenge of this work is</w:t>
      </w:r>
      <w:r w:rsidR="007C1979">
        <w:rPr>
          <w:rFonts w:ascii="Times New Roman" w:eastAsia="MS PGothic" w:hAnsi="Times New Roman"/>
          <w:lang w:val="en-US" w:eastAsia="ko-KR"/>
        </w:rPr>
        <w:t xml:space="preserve"> to</w:t>
      </w:r>
      <w:r w:rsidRPr="0029771C">
        <w:rPr>
          <w:rFonts w:ascii="Times New Roman" w:eastAsia="MS PGothic" w:hAnsi="Times New Roman"/>
          <w:lang w:val="en-US" w:eastAsia="ko-KR"/>
        </w:rPr>
        <w:t xml:space="preserve"> select caproic acid producing microorganisms by reverse β-oxidation from Microbial Mixed Culture (MMC). Firstly, batch tests were performed using synthetic acetate and ethanol at different molar ratios in order to </w:t>
      </w:r>
      <w:r w:rsidR="004F3B0D">
        <w:rPr>
          <w:rFonts w:ascii="Times New Roman" w:eastAsia="MS PGothic" w:hAnsi="Times New Roman"/>
          <w:lang w:val="en-US" w:eastAsia="ko-KR"/>
        </w:rPr>
        <w:t>verify</w:t>
      </w:r>
      <w:r w:rsidR="004F3B0D" w:rsidRPr="0029771C">
        <w:rPr>
          <w:rFonts w:ascii="Times New Roman" w:eastAsia="MS PGothic" w:hAnsi="Times New Roman"/>
          <w:lang w:val="en-US" w:eastAsia="ko-KR"/>
        </w:rPr>
        <w:t xml:space="preserve"> </w:t>
      </w:r>
      <w:r w:rsidRPr="0029771C">
        <w:rPr>
          <w:rFonts w:ascii="Times New Roman" w:eastAsia="MS PGothic" w:hAnsi="Times New Roman"/>
          <w:lang w:val="en-US" w:eastAsia="ko-KR"/>
        </w:rPr>
        <w:t xml:space="preserve">the </w:t>
      </w:r>
      <w:r w:rsidR="004F3B0D">
        <w:rPr>
          <w:rFonts w:ascii="Times New Roman" w:eastAsia="MS PGothic" w:hAnsi="Times New Roman"/>
          <w:lang w:val="en-US" w:eastAsia="ko-KR"/>
        </w:rPr>
        <w:t xml:space="preserve">possible </w:t>
      </w:r>
      <w:r w:rsidRPr="0029771C">
        <w:rPr>
          <w:rFonts w:ascii="Times New Roman" w:eastAsia="MS PGothic" w:hAnsi="Times New Roman"/>
          <w:lang w:val="en-US" w:eastAsia="ko-KR"/>
        </w:rPr>
        <w:t>MCFAs production yield</w:t>
      </w:r>
      <w:r w:rsidR="004F3B0D">
        <w:rPr>
          <w:rFonts w:ascii="Times New Roman" w:eastAsia="MS PGothic" w:hAnsi="Times New Roman"/>
          <w:lang w:val="en-US" w:eastAsia="ko-KR"/>
        </w:rPr>
        <w:t>s</w:t>
      </w:r>
      <w:r w:rsidRPr="0029771C">
        <w:rPr>
          <w:rFonts w:ascii="Times New Roman" w:eastAsia="MS PGothic" w:hAnsi="Times New Roman"/>
          <w:lang w:val="en-US" w:eastAsia="ko-KR"/>
        </w:rPr>
        <w:t>. In order to assure the presence of MMC, agricultural digestate was adopted as inoculum. With the optimization of the acetate-ethanol ratio, the chain elongation for the caproic acid production was also tested in a 1</w:t>
      </w:r>
      <w:r w:rsidR="004F3B0D">
        <w:rPr>
          <w:rFonts w:ascii="Times New Roman" w:eastAsia="MS PGothic" w:hAnsi="Times New Roman"/>
          <w:lang w:val="en-US" w:eastAsia="ko-KR"/>
        </w:rPr>
        <w:t xml:space="preserve"> liter</w:t>
      </w:r>
      <w:r w:rsidR="004F3B0D" w:rsidRPr="0029771C">
        <w:rPr>
          <w:rFonts w:ascii="Times New Roman" w:eastAsia="MS PGothic" w:hAnsi="Times New Roman"/>
          <w:lang w:val="en-US" w:eastAsia="ko-KR"/>
        </w:rPr>
        <w:t xml:space="preserve"> </w:t>
      </w:r>
      <w:r w:rsidRPr="0029771C">
        <w:rPr>
          <w:rFonts w:ascii="Times New Roman" w:eastAsia="MS PGothic" w:hAnsi="Times New Roman"/>
          <w:lang w:val="en-US" w:eastAsia="ko-KR"/>
        </w:rPr>
        <w:t>CSTR reactor.</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6846EEE9" w14:textId="1939FBC8" w:rsidR="0029771C" w:rsidRDefault="0029771C" w:rsidP="008D5E48">
      <w:pPr>
        <w:snapToGrid w:val="0"/>
        <w:spacing w:line="240" w:lineRule="auto"/>
        <w:jc w:val="both"/>
        <w:rPr>
          <w:rFonts w:ascii="Times New Roman" w:eastAsia="MS PGothic" w:hAnsi="Times New Roman"/>
          <w:lang w:val="en-US" w:eastAsia="ko-KR"/>
        </w:rPr>
      </w:pPr>
      <w:r w:rsidRPr="0029771C">
        <w:rPr>
          <w:rFonts w:ascii="Times New Roman" w:eastAsia="MS PGothic" w:hAnsi="Times New Roman"/>
          <w:lang w:val="en-US" w:eastAsia="ko-KR"/>
        </w:rPr>
        <w:t xml:space="preserve">One of the main parameters </w:t>
      </w:r>
      <w:r w:rsidR="004F3B0D">
        <w:rPr>
          <w:rFonts w:ascii="Times New Roman" w:eastAsia="MS PGothic" w:hAnsi="Times New Roman"/>
          <w:lang w:val="en-US" w:eastAsia="ko-KR"/>
        </w:rPr>
        <w:t xml:space="preserve">governing </w:t>
      </w:r>
      <w:r w:rsidRPr="0029771C">
        <w:rPr>
          <w:rFonts w:ascii="Times New Roman" w:eastAsia="MS PGothic" w:hAnsi="Times New Roman"/>
          <w:lang w:val="en-US" w:eastAsia="ko-KR"/>
        </w:rPr>
        <w:t>the chain elongation</w:t>
      </w:r>
      <w:r w:rsidR="004F3B0D">
        <w:rPr>
          <w:rFonts w:ascii="Times New Roman" w:eastAsia="MS PGothic" w:hAnsi="Times New Roman"/>
          <w:lang w:val="en-US" w:eastAsia="ko-KR"/>
        </w:rPr>
        <w:t xml:space="preserve"> process</w:t>
      </w:r>
      <w:r w:rsidRPr="0029771C">
        <w:rPr>
          <w:rFonts w:ascii="Times New Roman" w:eastAsia="MS PGothic" w:hAnsi="Times New Roman"/>
          <w:lang w:val="en-US" w:eastAsia="ko-KR"/>
        </w:rPr>
        <w:t xml:space="preserve"> is represented by the acetate-ethanol molar ratio. The theoretical acetate-ethanol molar ratio for a complete conversion of the </w:t>
      </w:r>
      <w:r w:rsidR="004F3B0D">
        <w:rPr>
          <w:rFonts w:ascii="Times New Roman" w:eastAsia="MS PGothic" w:hAnsi="Times New Roman"/>
          <w:lang w:val="en-US" w:eastAsia="ko-KR"/>
        </w:rPr>
        <w:t xml:space="preserve">two </w:t>
      </w:r>
      <w:r w:rsidRPr="0029771C">
        <w:rPr>
          <w:rFonts w:ascii="Times New Roman" w:eastAsia="MS PGothic" w:hAnsi="Times New Roman"/>
          <w:lang w:val="en-US" w:eastAsia="ko-KR"/>
        </w:rPr>
        <w:t xml:space="preserve">substrates into caproate is 1:2. Previous studies demonstrated that this ratio must be lower than 1:2 because only 5/6 of </w:t>
      </w:r>
      <w:r w:rsidR="009757AA">
        <w:rPr>
          <w:rFonts w:ascii="Times New Roman" w:eastAsia="MS PGothic" w:hAnsi="Times New Roman"/>
          <w:lang w:val="en-US" w:eastAsia="ko-KR"/>
        </w:rPr>
        <w:t>the acetyl-CoA derived from ethanol</w:t>
      </w:r>
      <w:r w:rsidRPr="0029771C">
        <w:rPr>
          <w:rFonts w:ascii="Times New Roman" w:eastAsia="MS PGothic" w:hAnsi="Times New Roman"/>
          <w:lang w:val="en-US" w:eastAsia="ko-KR"/>
        </w:rPr>
        <w:t xml:space="preserve"> enter</w:t>
      </w:r>
      <w:r w:rsidR="009757AA">
        <w:rPr>
          <w:rFonts w:ascii="Times New Roman" w:eastAsia="MS PGothic" w:hAnsi="Times New Roman"/>
          <w:lang w:val="en-US" w:eastAsia="ko-KR"/>
        </w:rPr>
        <w:t>s</w:t>
      </w:r>
      <w:r w:rsidRPr="0029771C">
        <w:rPr>
          <w:rFonts w:ascii="Times New Roman" w:eastAsia="MS PGothic" w:hAnsi="Times New Roman"/>
          <w:lang w:val="en-US" w:eastAsia="ko-KR"/>
        </w:rPr>
        <w:t xml:space="preserve"> in the reverse β-oxidation </w:t>
      </w:r>
      <w:r w:rsidR="009757AA">
        <w:rPr>
          <w:rFonts w:ascii="Times New Roman" w:eastAsia="MS PGothic" w:hAnsi="Times New Roman"/>
          <w:lang w:val="en-US" w:eastAsia="ko-KR"/>
        </w:rPr>
        <w:t xml:space="preserve">cycle </w:t>
      </w:r>
      <w:r w:rsidRPr="0029771C">
        <w:rPr>
          <w:rFonts w:ascii="Times New Roman" w:eastAsia="MS PGothic" w:hAnsi="Times New Roman"/>
          <w:lang w:val="en-US" w:eastAsia="ko-KR"/>
        </w:rPr>
        <w:t xml:space="preserve">for the caproate production, while the remaining 1/6 of the acetyl-CoA is used to provide ATP. </w:t>
      </w:r>
      <w:r w:rsidR="009757AA">
        <w:rPr>
          <w:rFonts w:ascii="Times New Roman" w:eastAsia="MS PGothic" w:hAnsi="Times New Roman"/>
          <w:lang w:val="en-US" w:eastAsia="ko-KR"/>
        </w:rPr>
        <w:t>But</w:t>
      </w:r>
      <w:r w:rsidRPr="0029771C">
        <w:rPr>
          <w:rFonts w:ascii="Times New Roman" w:eastAsia="MS PGothic" w:hAnsi="Times New Roman"/>
          <w:lang w:val="en-US" w:eastAsia="ko-KR"/>
        </w:rPr>
        <w:t xml:space="preserve">, acetate:ethanol ratios lower than 1:10 stop the process as </w:t>
      </w:r>
      <w:r w:rsidR="00A11EB1">
        <w:rPr>
          <w:rFonts w:ascii="Times New Roman" w:eastAsia="MS PGothic" w:hAnsi="Times New Roman"/>
          <w:lang w:val="en-US" w:eastAsia="ko-KR"/>
        </w:rPr>
        <w:t xml:space="preserve">consequence of the lack of </w:t>
      </w:r>
      <w:r w:rsidRPr="0029771C">
        <w:rPr>
          <w:rFonts w:ascii="Times New Roman" w:eastAsia="MS PGothic" w:hAnsi="Times New Roman"/>
          <w:lang w:val="en-US" w:eastAsia="ko-KR"/>
        </w:rPr>
        <w:t xml:space="preserve">enough acetate to support the reactions of the first cycle of reverse β-oxidation </w:t>
      </w:r>
      <w:r w:rsidR="001F0513">
        <w:rPr>
          <w:rFonts w:ascii="Times New Roman" w:eastAsia="MS PGothic" w:hAnsi="Times New Roman"/>
          <w:lang w:val="en-US" w:eastAsia="ko-KR"/>
        </w:rPr>
        <w:t>[</w:t>
      </w:r>
      <w:r w:rsidR="00AC2597">
        <w:rPr>
          <w:rFonts w:ascii="Times New Roman" w:eastAsia="MS PGothic" w:hAnsi="Times New Roman"/>
          <w:lang w:val="en-US" w:eastAsia="ko-KR"/>
        </w:rPr>
        <w:t>3</w:t>
      </w:r>
      <w:r w:rsidR="001F0513">
        <w:rPr>
          <w:rFonts w:ascii="Times New Roman" w:eastAsia="MS PGothic" w:hAnsi="Times New Roman"/>
          <w:lang w:val="en-US" w:eastAsia="ko-KR"/>
        </w:rPr>
        <w:t>]</w:t>
      </w:r>
      <w:r w:rsidRPr="0029771C">
        <w:rPr>
          <w:rFonts w:ascii="Times New Roman" w:eastAsia="MS PGothic" w:hAnsi="Times New Roman"/>
          <w:lang w:val="en-US" w:eastAsia="ko-KR"/>
        </w:rPr>
        <w:t xml:space="preserve">. </w:t>
      </w:r>
    </w:p>
    <w:p w14:paraId="329DFE51" w14:textId="77777777" w:rsidR="00A11EB1" w:rsidRPr="0029771C" w:rsidRDefault="00A11EB1" w:rsidP="008D5E48">
      <w:pPr>
        <w:snapToGrid w:val="0"/>
        <w:spacing w:line="240" w:lineRule="auto"/>
        <w:jc w:val="both"/>
        <w:rPr>
          <w:rFonts w:ascii="Times New Roman" w:eastAsia="MS PGothic" w:hAnsi="Times New Roman"/>
          <w:lang w:val="en-US" w:eastAsia="ko-KR"/>
        </w:rPr>
      </w:pPr>
    </w:p>
    <w:p w14:paraId="0448443A" w14:textId="4CBADC6F" w:rsidR="0029771C" w:rsidRPr="00B731DC" w:rsidRDefault="00B731DC" w:rsidP="008D5E48">
      <w:pPr>
        <w:snapToGrid w:val="0"/>
        <w:spacing w:line="240" w:lineRule="auto"/>
        <w:jc w:val="both"/>
        <w:rPr>
          <w:rFonts w:ascii="Times New Roman" w:eastAsia="MS PGothic" w:hAnsi="Times New Roman"/>
          <w:b/>
          <w:bCs/>
          <w:lang w:val="en-US" w:eastAsia="ko-KR"/>
        </w:rPr>
      </w:pPr>
      <w:r w:rsidRPr="00B731DC">
        <w:rPr>
          <w:rFonts w:ascii="Times New Roman" w:eastAsia="MS PGothic" w:hAnsi="Times New Roman"/>
          <w:b/>
          <w:bCs/>
          <w:lang w:val="en-US" w:eastAsia="ko-KR"/>
        </w:rPr>
        <w:t xml:space="preserve">2.1 </w:t>
      </w:r>
      <w:r w:rsidR="0029771C" w:rsidRPr="00B731DC">
        <w:rPr>
          <w:rFonts w:ascii="Times New Roman" w:eastAsia="MS PGothic" w:hAnsi="Times New Roman"/>
          <w:b/>
          <w:bCs/>
          <w:lang w:val="en-US" w:eastAsia="ko-KR"/>
        </w:rPr>
        <w:t>Batch tests for the selection of the best acetate:</w:t>
      </w:r>
      <w:r>
        <w:rPr>
          <w:rFonts w:ascii="Times New Roman" w:eastAsia="MS PGothic" w:hAnsi="Times New Roman"/>
          <w:b/>
          <w:bCs/>
          <w:lang w:val="en-US" w:eastAsia="ko-KR"/>
        </w:rPr>
        <w:t xml:space="preserve"> </w:t>
      </w:r>
      <w:r w:rsidR="0029771C" w:rsidRPr="00B731DC">
        <w:rPr>
          <w:rFonts w:ascii="Times New Roman" w:eastAsia="MS PGothic" w:hAnsi="Times New Roman"/>
          <w:b/>
          <w:bCs/>
          <w:lang w:val="en-US" w:eastAsia="ko-KR"/>
        </w:rPr>
        <w:t>ethanol molar ratio</w:t>
      </w:r>
    </w:p>
    <w:p w14:paraId="636E27E8" w14:textId="089815AD" w:rsidR="0029771C" w:rsidRPr="0029771C" w:rsidRDefault="0029771C" w:rsidP="008D5E48">
      <w:pPr>
        <w:snapToGrid w:val="0"/>
        <w:spacing w:line="240" w:lineRule="auto"/>
        <w:jc w:val="both"/>
        <w:rPr>
          <w:rFonts w:ascii="Times New Roman" w:eastAsia="MS PGothic" w:hAnsi="Times New Roman"/>
          <w:lang w:val="en-US" w:eastAsia="ko-KR"/>
        </w:rPr>
      </w:pPr>
      <w:r w:rsidRPr="0029771C">
        <w:rPr>
          <w:rFonts w:ascii="Times New Roman" w:eastAsia="MS PGothic" w:hAnsi="Times New Roman"/>
          <w:lang w:val="en-US" w:eastAsia="ko-KR"/>
        </w:rPr>
        <w:t>Different batch tests were carried out to individuate the optimal acetate:</w:t>
      </w:r>
      <w:r w:rsidR="00B731DC">
        <w:rPr>
          <w:rFonts w:ascii="Times New Roman" w:eastAsia="MS PGothic" w:hAnsi="Times New Roman"/>
          <w:lang w:val="en-US" w:eastAsia="ko-KR"/>
        </w:rPr>
        <w:t xml:space="preserve"> </w:t>
      </w:r>
      <w:r w:rsidRPr="0029771C">
        <w:rPr>
          <w:rFonts w:ascii="Times New Roman" w:eastAsia="MS PGothic" w:hAnsi="Times New Roman"/>
          <w:lang w:val="en-US" w:eastAsia="ko-KR"/>
        </w:rPr>
        <w:t xml:space="preserve">ethanol molar ratio and the best pH. Tests were performed in 0.5L reactors with a working volume of about 250 mL </w:t>
      </w:r>
      <w:r w:rsidR="00537F33">
        <w:rPr>
          <w:rFonts w:ascii="Times New Roman" w:eastAsia="MS PGothic" w:hAnsi="Times New Roman"/>
          <w:lang w:val="en-US" w:eastAsia="ko-KR"/>
        </w:rPr>
        <w:t>under</w:t>
      </w:r>
      <w:r w:rsidRPr="0029771C">
        <w:rPr>
          <w:rFonts w:ascii="Times New Roman" w:eastAsia="MS PGothic" w:hAnsi="Times New Roman"/>
          <w:lang w:val="en-US" w:eastAsia="ko-KR"/>
        </w:rPr>
        <w:t xml:space="preserve"> anaerobic </w:t>
      </w:r>
      <w:r w:rsidR="00537F33">
        <w:rPr>
          <w:rFonts w:ascii="Times New Roman" w:eastAsia="MS PGothic" w:hAnsi="Times New Roman"/>
          <w:lang w:val="en-US" w:eastAsia="ko-KR"/>
        </w:rPr>
        <w:t>condition and</w:t>
      </w:r>
      <w:r w:rsidRPr="0029771C">
        <w:rPr>
          <w:rFonts w:ascii="Times New Roman" w:eastAsia="MS PGothic" w:hAnsi="Times New Roman"/>
          <w:lang w:val="en-US" w:eastAsia="ko-KR"/>
        </w:rPr>
        <w:t xml:space="preserve"> at mesophilic temperature (37°C). The MMC was assured by </w:t>
      </w:r>
      <w:r w:rsidR="0020722B">
        <w:rPr>
          <w:rFonts w:ascii="Times New Roman" w:eastAsia="MS PGothic" w:hAnsi="Times New Roman"/>
          <w:lang w:val="en-US" w:eastAsia="ko-KR"/>
        </w:rPr>
        <w:t xml:space="preserve">the addition of </w:t>
      </w:r>
      <w:r w:rsidRPr="0029771C">
        <w:rPr>
          <w:rFonts w:ascii="Times New Roman" w:eastAsia="MS PGothic" w:hAnsi="Times New Roman"/>
          <w:lang w:val="en-US" w:eastAsia="ko-KR"/>
        </w:rPr>
        <w:t xml:space="preserve">agricultural digestate (inoculum), having a Total Solids (TS) and Volatile Solids contents of 5.29 and </w:t>
      </w:r>
      <w:r w:rsidR="005870C8">
        <w:rPr>
          <w:rFonts w:ascii="Times New Roman" w:eastAsia="MS PGothic" w:hAnsi="Times New Roman"/>
          <w:lang w:val="en-US" w:eastAsia="ko-KR"/>
        </w:rPr>
        <w:t>3.31</w:t>
      </w:r>
      <w:r w:rsidRPr="0029771C">
        <w:rPr>
          <w:rFonts w:ascii="Times New Roman" w:eastAsia="MS PGothic" w:hAnsi="Times New Roman"/>
          <w:lang w:val="en-US" w:eastAsia="ko-KR"/>
        </w:rPr>
        <w:t>% w/w, respectively. The inoculum:substrate ratio was of 2:1 in terms of VS content, as suggested by Liu et al. (2017)</w:t>
      </w:r>
      <w:r w:rsidR="001F0513">
        <w:rPr>
          <w:rFonts w:ascii="Times New Roman" w:eastAsia="MS PGothic" w:hAnsi="Times New Roman"/>
          <w:lang w:val="en-US" w:eastAsia="ko-KR"/>
        </w:rPr>
        <w:t xml:space="preserve"> [</w:t>
      </w:r>
      <w:r w:rsidR="00AC2597">
        <w:rPr>
          <w:rFonts w:ascii="Times New Roman" w:eastAsia="MS PGothic" w:hAnsi="Times New Roman"/>
          <w:lang w:val="en-US" w:eastAsia="ko-KR"/>
        </w:rPr>
        <w:t>4</w:t>
      </w:r>
      <w:r w:rsidR="001F0513">
        <w:rPr>
          <w:rFonts w:ascii="Times New Roman" w:eastAsia="MS PGothic" w:hAnsi="Times New Roman"/>
          <w:lang w:val="en-US" w:eastAsia="ko-KR"/>
        </w:rPr>
        <w:t>]</w:t>
      </w:r>
      <w:r w:rsidRPr="0029771C">
        <w:rPr>
          <w:rFonts w:ascii="Times New Roman" w:eastAsia="MS PGothic" w:hAnsi="Times New Roman"/>
          <w:lang w:val="en-US" w:eastAsia="ko-KR"/>
        </w:rPr>
        <w:t>. Two rounds of batch tests were performed according to the acetate:</w:t>
      </w:r>
      <w:r w:rsidR="00B731DC">
        <w:rPr>
          <w:rFonts w:ascii="Times New Roman" w:eastAsia="MS PGothic" w:hAnsi="Times New Roman"/>
          <w:lang w:val="en-US" w:eastAsia="ko-KR"/>
        </w:rPr>
        <w:t xml:space="preserve"> </w:t>
      </w:r>
      <w:r w:rsidRPr="0029771C">
        <w:rPr>
          <w:rFonts w:ascii="Times New Roman" w:eastAsia="MS PGothic" w:hAnsi="Times New Roman"/>
          <w:lang w:val="en-US" w:eastAsia="ko-KR"/>
        </w:rPr>
        <w:t>ethanol molar ratios of Table 1</w:t>
      </w:r>
      <w:r w:rsidR="00FA174A">
        <w:rPr>
          <w:rFonts w:ascii="Times New Roman" w:eastAsia="MS PGothic" w:hAnsi="Times New Roman"/>
          <w:lang w:val="en-US" w:eastAsia="ko-KR"/>
        </w:rPr>
        <w:t>,</w:t>
      </w:r>
      <w:r w:rsidRPr="0029771C">
        <w:rPr>
          <w:rFonts w:ascii="Times New Roman" w:eastAsia="MS PGothic" w:hAnsi="Times New Roman"/>
          <w:lang w:val="en-US" w:eastAsia="ko-KR"/>
        </w:rPr>
        <w:t xml:space="preserve"> at pH of 7 and 9</w:t>
      </w:r>
      <w:r w:rsidR="00FA174A">
        <w:rPr>
          <w:rFonts w:ascii="Times New Roman" w:eastAsia="MS PGothic" w:hAnsi="Times New Roman"/>
          <w:lang w:val="en-US" w:eastAsia="ko-KR"/>
        </w:rPr>
        <w:t>, respectively</w:t>
      </w:r>
      <w:r w:rsidRPr="0029771C">
        <w:rPr>
          <w:rFonts w:ascii="Times New Roman" w:eastAsia="MS PGothic" w:hAnsi="Times New Roman"/>
          <w:lang w:val="en-US" w:eastAsia="ko-KR"/>
        </w:rPr>
        <w:t xml:space="preserve">. </w:t>
      </w:r>
    </w:p>
    <w:p w14:paraId="0A3BFA63" w14:textId="77777777" w:rsidR="0029771C" w:rsidRPr="0029771C" w:rsidRDefault="0029771C" w:rsidP="008D5E48">
      <w:pPr>
        <w:snapToGrid w:val="0"/>
        <w:spacing w:line="240" w:lineRule="auto"/>
        <w:jc w:val="both"/>
        <w:rPr>
          <w:rFonts w:ascii="Times New Roman" w:eastAsia="MS PGothic" w:hAnsi="Times New Roman"/>
          <w:lang w:val="en-US" w:eastAsia="ko-KR"/>
        </w:rPr>
      </w:pPr>
      <w:r w:rsidRPr="0029771C">
        <w:rPr>
          <w:rFonts w:ascii="Times New Roman" w:eastAsia="MS PGothic" w:hAnsi="Times New Roman"/>
          <w:lang w:val="en-US" w:eastAsia="ko-KR"/>
        </w:rPr>
        <w:t>Table 1. Batch tests’ configuration</w:t>
      </w:r>
    </w:p>
    <w:tbl>
      <w:tblPr>
        <w:tblW w:w="6900" w:type="dxa"/>
        <w:tblCellMar>
          <w:left w:w="70" w:type="dxa"/>
          <w:right w:w="70" w:type="dxa"/>
        </w:tblCellMar>
        <w:tblLook w:val="04A0" w:firstRow="1" w:lastRow="0" w:firstColumn="1" w:lastColumn="0" w:noHBand="0" w:noVBand="1"/>
      </w:tblPr>
      <w:tblGrid>
        <w:gridCol w:w="2620"/>
        <w:gridCol w:w="1380"/>
        <w:gridCol w:w="1480"/>
        <w:gridCol w:w="1420"/>
      </w:tblGrid>
      <w:tr w:rsidR="0029771C" w:rsidRPr="0029771C" w14:paraId="4918DE47" w14:textId="77777777" w:rsidTr="00C46C0B">
        <w:trPr>
          <w:trHeight w:val="300"/>
        </w:trPr>
        <w:tc>
          <w:tcPr>
            <w:tcW w:w="2620" w:type="dxa"/>
            <w:tcBorders>
              <w:top w:val="single" w:sz="4" w:space="0" w:color="auto"/>
              <w:left w:val="single" w:sz="4" w:space="0" w:color="auto"/>
              <w:bottom w:val="single" w:sz="4" w:space="0" w:color="auto"/>
              <w:right w:val="nil"/>
            </w:tcBorders>
            <w:shd w:val="clear" w:color="auto" w:fill="auto"/>
            <w:noWrap/>
            <w:vAlign w:val="bottom"/>
            <w:hideMark/>
          </w:tcPr>
          <w:p w14:paraId="3A014FE7"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Acetate: Ethanol ratio</w:t>
            </w:r>
          </w:p>
        </w:tc>
        <w:tc>
          <w:tcPr>
            <w:tcW w:w="1380" w:type="dxa"/>
            <w:tcBorders>
              <w:top w:val="single" w:sz="4" w:space="0" w:color="auto"/>
              <w:left w:val="nil"/>
              <w:bottom w:val="single" w:sz="4" w:space="0" w:color="auto"/>
              <w:right w:val="nil"/>
            </w:tcBorders>
            <w:shd w:val="clear" w:color="auto" w:fill="auto"/>
            <w:noWrap/>
            <w:vAlign w:val="bottom"/>
            <w:hideMark/>
          </w:tcPr>
          <w:p w14:paraId="5F6323A3"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Inoculum (g)</w:t>
            </w:r>
          </w:p>
        </w:tc>
        <w:tc>
          <w:tcPr>
            <w:tcW w:w="1480" w:type="dxa"/>
            <w:tcBorders>
              <w:top w:val="single" w:sz="4" w:space="0" w:color="auto"/>
              <w:left w:val="nil"/>
              <w:bottom w:val="single" w:sz="4" w:space="0" w:color="auto"/>
              <w:right w:val="nil"/>
            </w:tcBorders>
            <w:shd w:val="clear" w:color="auto" w:fill="auto"/>
            <w:noWrap/>
            <w:vAlign w:val="bottom"/>
            <w:hideMark/>
          </w:tcPr>
          <w:p w14:paraId="795B126E"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Acetate (g)</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5DF0D95"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Ethanol (g)</w:t>
            </w:r>
          </w:p>
        </w:tc>
      </w:tr>
      <w:tr w:rsidR="0029771C" w:rsidRPr="0029771C" w14:paraId="79419773" w14:textId="77777777" w:rsidTr="00C46C0B">
        <w:trPr>
          <w:trHeight w:val="300"/>
        </w:trPr>
        <w:tc>
          <w:tcPr>
            <w:tcW w:w="2620" w:type="dxa"/>
            <w:tcBorders>
              <w:top w:val="nil"/>
              <w:left w:val="single" w:sz="4" w:space="0" w:color="auto"/>
              <w:bottom w:val="nil"/>
              <w:right w:val="nil"/>
            </w:tcBorders>
            <w:shd w:val="clear" w:color="auto" w:fill="auto"/>
            <w:noWrap/>
            <w:vAlign w:val="bottom"/>
            <w:hideMark/>
          </w:tcPr>
          <w:p w14:paraId="5A1418C4"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1:2</w:t>
            </w:r>
          </w:p>
        </w:tc>
        <w:tc>
          <w:tcPr>
            <w:tcW w:w="1380" w:type="dxa"/>
            <w:tcBorders>
              <w:top w:val="nil"/>
              <w:left w:val="nil"/>
              <w:bottom w:val="nil"/>
              <w:right w:val="nil"/>
            </w:tcBorders>
            <w:shd w:val="clear" w:color="auto" w:fill="auto"/>
            <w:noWrap/>
            <w:vAlign w:val="bottom"/>
            <w:hideMark/>
          </w:tcPr>
          <w:p w14:paraId="50070246"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240</w:t>
            </w:r>
          </w:p>
        </w:tc>
        <w:tc>
          <w:tcPr>
            <w:tcW w:w="1480" w:type="dxa"/>
            <w:tcBorders>
              <w:top w:val="nil"/>
              <w:left w:val="nil"/>
              <w:bottom w:val="nil"/>
              <w:right w:val="nil"/>
            </w:tcBorders>
            <w:shd w:val="clear" w:color="auto" w:fill="auto"/>
            <w:noWrap/>
            <w:vAlign w:val="bottom"/>
            <w:hideMark/>
          </w:tcPr>
          <w:p w14:paraId="37EF26EC"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1.56</w:t>
            </w:r>
          </w:p>
        </w:tc>
        <w:tc>
          <w:tcPr>
            <w:tcW w:w="1420" w:type="dxa"/>
            <w:tcBorders>
              <w:top w:val="nil"/>
              <w:left w:val="nil"/>
              <w:bottom w:val="nil"/>
              <w:right w:val="single" w:sz="4" w:space="0" w:color="auto"/>
            </w:tcBorders>
            <w:shd w:val="clear" w:color="auto" w:fill="auto"/>
            <w:noWrap/>
            <w:vAlign w:val="bottom"/>
            <w:hideMark/>
          </w:tcPr>
          <w:p w14:paraId="6CB5105C"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2.4</w:t>
            </w:r>
          </w:p>
        </w:tc>
      </w:tr>
      <w:tr w:rsidR="0029771C" w:rsidRPr="0029771C" w14:paraId="33A118C9" w14:textId="77777777" w:rsidTr="00C46C0B">
        <w:trPr>
          <w:trHeight w:val="300"/>
        </w:trPr>
        <w:tc>
          <w:tcPr>
            <w:tcW w:w="2620" w:type="dxa"/>
            <w:tcBorders>
              <w:top w:val="nil"/>
              <w:left w:val="single" w:sz="4" w:space="0" w:color="auto"/>
              <w:bottom w:val="nil"/>
              <w:right w:val="nil"/>
            </w:tcBorders>
            <w:shd w:val="clear" w:color="auto" w:fill="auto"/>
            <w:noWrap/>
            <w:vAlign w:val="bottom"/>
            <w:hideMark/>
          </w:tcPr>
          <w:p w14:paraId="645C04B2"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1:3</w:t>
            </w:r>
          </w:p>
        </w:tc>
        <w:tc>
          <w:tcPr>
            <w:tcW w:w="1380" w:type="dxa"/>
            <w:tcBorders>
              <w:top w:val="nil"/>
              <w:left w:val="nil"/>
              <w:bottom w:val="nil"/>
              <w:right w:val="nil"/>
            </w:tcBorders>
            <w:shd w:val="clear" w:color="auto" w:fill="auto"/>
            <w:noWrap/>
            <w:vAlign w:val="bottom"/>
            <w:hideMark/>
          </w:tcPr>
          <w:p w14:paraId="392D0C7D"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240</w:t>
            </w:r>
          </w:p>
        </w:tc>
        <w:tc>
          <w:tcPr>
            <w:tcW w:w="1480" w:type="dxa"/>
            <w:tcBorders>
              <w:top w:val="nil"/>
              <w:left w:val="nil"/>
              <w:bottom w:val="nil"/>
              <w:right w:val="nil"/>
            </w:tcBorders>
            <w:shd w:val="clear" w:color="auto" w:fill="auto"/>
            <w:noWrap/>
            <w:vAlign w:val="bottom"/>
            <w:hideMark/>
          </w:tcPr>
          <w:p w14:paraId="1044D980"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0.48</w:t>
            </w:r>
          </w:p>
        </w:tc>
        <w:tc>
          <w:tcPr>
            <w:tcW w:w="1420" w:type="dxa"/>
            <w:tcBorders>
              <w:top w:val="nil"/>
              <w:left w:val="nil"/>
              <w:bottom w:val="nil"/>
              <w:right w:val="single" w:sz="4" w:space="0" w:color="auto"/>
            </w:tcBorders>
            <w:shd w:val="clear" w:color="auto" w:fill="auto"/>
            <w:noWrap/>
            <w:vAlign w:val="bottom"/>
            <w:hideMark/>
          </w:tcPr>
          <w:p w14:paraId="3C58BEEB"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0.92</w:t>
            </w:r>
          </w:p>
        </w:tc>
      </w:tr>
      <w:tr w:rsidR="0029771C" w:rsidRPr="0029771C" w14:paraId="63A19708" w14:textId="77777777" w:rsidTr="00C46C0B">
        <w:trPr>
          <w:trHeight w:val="300"/>
        </w:trPr>
        <w:tc>
          <w:tcPr>
            <w:tcW w:w="2620" w:type="dxa"/>
            <w:tcBorders>
              <w:top w:val="nil"/>
              <w:left w:val="single" w:sz="4" w:space="0" w:color="auto"/>
              <w:bottom w:val="nil"/>
              <w:right w:val="nil"/>
            </w:tcBorders>
            <w:shd w:val="clear" w:color="auto" w:fill="auto"/>
            <w:noWrap/>
            <w:vAlign w:val="bottom"/>
            <w:hideMark/>
          </w:tcPr>
          <w:p w14:paraId="4640A193"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1:5</w:t>
            </w:r>
          </w:p>
        </w:tc>
        <w:tc>
          <w:tcPr>
            <w:tcW w:w="1380" w:type="dxa"/>
            <w:tcBorders>
              <w:top w:val="nil"/>
              <w:left w:val="nil"/>
              <w:bottom w:val="nil"/>
              <w:right w:val="nil"/>
            </w:tcBorders>
            <w:shd w:val="clear" w:color="auto" w:fill="auto"/>
            <w:noWrap/>
            <w:vAlign w:val="bottom"/>
            <w:hideMark/>
          </w:tcPr>
          <w:p w14:paraId="388353FA"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240</w:t>
            </w:r>
          </w:p>
        </w:tc>
        <w:tc>
          <w:tcPr>
            <w:tcW w:w="1480" w:type="dxa"/>
            <w:tcBorders>
              <w:top w:val="nil"/>
              <w:left w:val="nil"/>
              <w:bottom w:val="nil"/>
              <w:right w:val="nil"/>
            </w:tcBorders>
            <w:shd w:val="clear" w:color="auto" w:fill="auto"/>
            <w:noWrap/>
            <w:vAlign w:val="bottom"/>
            <w:hideMark/>
          </w:tcPr>
          <w:p w14:paraId="213973EA"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0.84</w:t>
            </w:r>
          </w:p>
        </w:tc>
        <w:tc>
          <w:tcPr>
            <w:tcW w:w="1420" w:type="dxa"/>
            <w:tcBorders>
              <w:top w:val="nil"/>
              <w:left w:val="nil"/>
              <w:bottom w:val="nil"/>
              <w:right w:val="single" w:sz="4" w:space="0" w:color="auto"/>
            </w:tcBorders>
            <w:shd w:val="clear" w:color="auto" w:fill="auto"/>
            <w:noWrap/>
            <w:vAlign w:val="bottom"/>
            <w:hideMark/>
          </w:tcPr>
          <w:p w14:paraId="3420A689"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3.16</w:t>
            </w:r>
          </w:p>
        </w:tc>
      </w:tr>
      <w:tr w:rsidR="0029771C" w:rsidRPr="0029771C" w14:paraId="0C045F31" w14:textId="77777777" w:rsidTr="00C46C0B">
        <w:trPr>
          <w:trHeight w:val="300"/>
        </w:trPr>
        <w:tc>
          <w:tcPr>
            <w:tcW w:w="2620" w:type="dxa"/>
            <w:tcBorders>
              <w:top w:val="nil"/>
              <w:left w:val="single" w:sz="4" w:space="0" w:color="auto"/>
              <w:bottom w:val="single" w:sz="4" w:space="0" w:color="auto"/>
              <w:right w:val="nil"/>
            </w:tcBorders>
            <w:shd w:val="clear" w:color="auto" w:fill="auto"/>
            <w:noWrap/>
            <w:vAlign w:val="bottom"/>
            <w:hideMark/>
          </w:tcPr>
          <w:p w14:paraId="492BEFC3"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1:10</w:t>
            </w:r>
          </w:p>
        </w:tc>
        <w:tc>
          <w:tcPr>
            <w:tcW w:w="1380" w:type="dxa"/>
            <w:tcBorders>
              <w:top w:val="nil"/>
              <w:left w:val="nil"/>
              <w:bottom w:val="single" w:sz="4" w:space="0" w:color="auto"/>
              <w:right w:val="nil"/>
            </w:tcBorders>
            <w:shd w:val="clear" w:color="auto" w:fill="auto"/>
            <w:noWrap/>
            <w:vAlign w:val="bottom"/>
            <w:hideMark/>
          </w:tcPr>
          <w:p w14:paraId="3599EE39"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240</w:t>
            </w:r>
          </w:p>
        </w:tc>
        <w:tc>
          <w:tcPr>
            <w:tcW w:w="1480" w:type="dxa"/>
            <w:tcBorders>
              <w:top w:val="nil"/>
              <w:left w:val="nil"/>
              <w:bottom w:val="single" w:sz="4" w:space="0" w:color="auto"/>
              <w:right w:val="nil"/>
            </w:tcBorders>
            <w:shd w:val="clear" w:color="auto" w:fill="auto"/>
            <w:noWrap/>
            <w:vAlign w:val="bottom"/>
            <w:hideMark/>
          </w:tcPr>
          <w:p w14:paraId="6D54C723"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0.84</w:t>
            </w:r>
          </w:p>
        </w:tc>
        <w:tc>
          <w:tcPr>
            <w:tcW w:w="1420" w:type="dxa"/>
            <w:tcBorders>
              <w:top w:val="nil"/>
              <w:left w:val="nil"/>
              <w:bottom w:val="single" w:sz="4" w:space="0" w:color="auto"/>
              <w:right w:val="single" w:sz="4" w:space="0" w:color="auto"/>
            </w:tcBorders>
            <w:shd w:val="clear" w:color="auto" w:fill="auto"/>
            <w:noWrap/>
            <w:vAlign w:val="bottom"/>
            <w:hideMark/>
          </w:tcPr>
          <w:p w14:paraId="68688006" w14:textId="77777777" w:rsidR="0029771C" w:rsidRPr="0029771C" w:rsidRDefault="0029771C" w:rsidP="008B6A12">
            <w:pPr>
              <w:snapToGrid w:val="0"/>
              <w:spacing w:line="240" w:lineRule="auto"/>
              <w:jc w:val="center"/>
              <w:rPr>
                <w:rFonts w:ascii="Times New Roman" w:eastAsia="MS PGothic" w:hAnsi="Times New Roman"/>
                <w:lang w:val="en-US" w:eastAsia="ko-KR"/>
              </w:rPr>
            </w:pPr>
            <w:r w:rsidRPr="0029771C">
              <w:rPr>
                <w:rFonts w:ascii="Times New Roman" w:eastAsia="MS PGothic" w:hAnsi="Times New Roman"/>
                <w:lang w:val="en-US" w:eastAsia="ko-KR"/>
              </w:rPr>
              <w:t>6.24</w:t>
            </w:r>
          </w:p>
        </w:tc>
      </w:tr>
    </w:tbl>
    <w:p w14:paraId="4DD226CA" w14:textId="77777777" w:rsidR="00FA174A" w:rsidRDefault="00FA174A" w:rsidP="008D5E48">
      <w:pPr>
        <w:snapToGrid w:val="0"/>
        <w:spacing w:line="240" w:lineRule="auto"/>
        <w:jc w:val="both"/>
        <w:rPr>
          <w:rFonts w:ascii="Times New Roman" w:eastAsia="MS PGothic" w:hAnsi="Times New Roman"/>
          <w:lang w:val="en-US" w:eastAsia="ko-KR"/>
        </w:rPr>
      </w:pPr>
    </w:p>
    <w:p w14:paraId="77959450" w14:textId="312056D3" w:rsidR="0029771C" w:rsidRPr="0029771C" w:rsidRDefault="0029771C" w:rsidP="008D5E48">
      <w:pPr>
        <w:snapToGrid w:val="0"/>
        <w:spacing w:line="240" w:lineRule="auto"/>
        <w:jc w:val="both"/>
        <w:rPr>
          <w:rFonts w:ascii="Times New Roman" w:eastAsia="MS PGothic" w:hAnsi="Times New Roman"/>
          <w:lang w:val="en-US" w:eastAsia="ko-KR"/>
        </w:rPr>
      </w:pPr>
      <w:r w:rsidRPr="0029771C">
        <w:rPr>
          <w:rFonts w:ascii="Times New Roman" w:eastAsia="MS PGothic" w:hAnsi="Times New Roman"/>
          <w:lang w:val="en-US" w:eastAsia="ko-KR"/>
        </w:rPr>
        <w:t xml:space="preserve">Batch tests had a duration of </w:t>
      </w:r>
      <w:r w:rsidR="00BC6434">
        <w:rPr>
          <w:rFonts w:ascii="Times New Roman" w:eastAsia="MS PGothic" w:hAnsi="Times New Roman"/>
          <w:lang w:val="en-US" w:eastAsia="ko-KR"/>
        </w:rPr>
        <w:t>1</w:t>
      </w:r>
      <w:r w:rsidRPr="0029771C">
        <w:rPr>
          <w:rFonts w:ascii="Times New Roman" w:eastAsia="MS PGothic" w:hAnsi="Times New Roman"/>
          <w:lang w:val="en-US" w:eastAsia="ko-KR"/>
        </w:rPr>
        <w:t xml:space="preserve">0 days, considered the required time to allow the starting of the chain elongation for the acetate and ethanol conversion into caproic acid </w:t>
      </w:r>
      <w:r w:rsidR="001F0513">
        <w:rPr>
          <w:rFonts w:ascii="Times New Roman" w:eastAsia="MS PGothic" w:hAnsi="Times New Roman"/>
          <w:lang w:val="en-US" w:eastAsia="ko-KR"/>
        </w:rPr>
        <w:t>[</w:t>
      </w:r>
      <w:r w:rsidR="00AC2597">
        <w:rPr>
          <w:rFonts w:ascii="Times New Roman" w:eastAsia="MS PGothic" w:hAnsi="Times New Roman"/>
          <w:lang w:val="en-US" w:eastAsia="ko-KR"/>
        </w:rPr>
        <w:t>4</w:t>
      </w:r>
      <w:r w:rsidR="001F0513">
        <w:rPr>
          <w:rFonts w:ascii="Times New Roman" w:eastAsia="MS PGothic" w:hAnsi="Times New Roman"/>
          <w:lang w:val="en-US" w:eastAsia="ko-KR"/>
        </w:rPr>
        <w:t>]</w:t>
      </w:r>
      <w:r w:rsidRPr="0029771C">
        <w:rPr>
          <w:rFonts w:ascii="Times New Roman" w:eastAsia="MS PGothic" w:hAnsi="Times New Roman"/>
          <w:lang w:val="en-US" w:eastAsia="ko-KR"/>
        </w:rPr>
        <w:t xml:space="preserve">. </w:t>
      </w:r>
    </w:p>
    <w:p w14:paraId="4067B80D" w14:textId="564FEC06" w:rsidR="0029771C" w:rsidRPr="0029771C" w:rsidRDefault="0029771C" w:rsidP="008D5E48">
      <w:pPr>
        <w:snapToGrid w:val="0"/>
        <w:spacing w:line="240" w:lineRule="auto"/>
        <w:jc w:val="both"/>
        <w:rPr>
          <w:rFonts w:ascii="Times New Roman" w:eastAsia="MS PGothic" w:hAnsi="Times New Roman"/>
          <w:lang w:val="en-US" w:eastAsia="ko-KR"/>
        </w:rPr>
      </w:pPr>
      <w:r w:rsidRPr="0029771C">
        <w:rPr>
          <w:rFonts w:ascii="Times New Roman" w:eastAsia="MS PGothic" w:hAnsi="Times New Roman"/>
          <w:lang w:val="en-US" w:eastAsia="ko-KR"/>
        </w:rPr>
        <w:t>VFAs and MCFAs (C6, C8 and C10) concentrations were monitored at the end of the tests. The process performances were evaluated considering</w:t>
      </w:r>
      <w:r w:rsidR="00EC1C7F">
        <w:rPr>
          <w:rFonts w:ascii="Times New Roman" w:eastAsia="MS PGothic" w:hAnsi="Times New Roman"/>
          <w:lang w:val="en-US" w:eastAsia="ko-KR"/>
        </w:rPr>
        <w:t xml:space="preserve"> both</w:t>
      </w:r>
      <w:r w:rsidRPr="0029771C">
        <w:rPr>
          <w:rFonts w:ascii="Times New Roman" w:eastAsia="MS PGothic" w:hAnsi="Times New Roman"/>
          <w:lang w:val="en-US" w:eastAsia="ko-KR"/>
        </w:rPr>
        <w:t xml:space="preserve"> the MCFAs </w:t>
      </w:r>
      <w:r w:rsidR="00EC1C7F">
        <w:rPr>
          <w:rFonts w:ascii="Times New Roman" w:eastAsia="MS PGothic" w:hAnsi="Times New Roman"/>
          <w:lang w:val="en-US" w:eastAsia="ko-KR"/>
        </w:rPr>
        <w:t xml:space="preserve">and VFAs </w:t>
      </w:r>
      <w:r w:rsidRPr="0029771C">
        <w:rPr>
          <w:rFonts w:ascii="Times New Roman" w:eastAsia="MS PGothic" w:hAnsi="Times New Roman"/>
          <w:lang w:val="en-US" w:eastAsia="ko-KR"/>
        </w:rPr>
        <w:t>production yield</w:t>
      </w:r>
      <w:r w:rsidR="00EC1C7F">
        <w:rPr>
          <w:rFonts w:ascii="Times New Roman" w:eastAsia="MS PGothic" w:hAnsi="Times New Roman"/>
          <w:lang w:val="en-US" w:eastAsia="ko-KR"/>
        </w:rPr>
        <w:t>s</w:t>
      </w:r>
      <w:r w:rsidRPr="0029771C">
        <w:rPr>
          <w:rFonts w:ascii="Times New Roman" w:eastAsia="MS PGothic" w:hAnsi="Times New Roman"/>
          <w:lang w:val="en-US" w:eastAsia="ko-KR"/>
        </w:rPr>
        <w:t>, expressed as:</w:t>
      </w:r>
    </w:p>
    <w:p w14:paraId="660C8F48" w14:textId="767431BE" w:rsidR="0029771C" w:rsidRDefault="0029771C" w:rsidP="008D5E48">
      <w:pPr>
        <w:snapToGrid w:val="0"/>
        <w:spacing w:line="240" w:lineRule="auto"/>
        <w:jc w:val="both"/>
        <w:rPr>
          <w:rFonts w:ascii="Times New Roman" w:eastAsia="MS PGothic" w:hAnsi="Times New Roman"/>
          <w:lang w:val="en-US" w:eastAsia="ko-KR"/>
        </w:rPr>
      </w:pPr>
      <w:r w:rsidRPr="0029771C">
        <w:rPr>
          <w:rFonts w:ascii="Times New Roman" w:eastAsia="MS PGothic" w:hAnsi="Times New Roman"/>
          <w:lang w:val="en-US" w:eastAsia="ko-KR"/>
        </w:rPr>
        <w:t>MCFA</w:t>
      </w:r>
      <w:r w:rsidR="00EC1C7F">
        <w:rPr>
          <w:rFonts w:ascii="Times New Roman" w:eastAsia="MS PGothic" w:hAnsi="Times New Roman"/>
          <w:lang w:val="en-US" w:eastAsia="ko-KR"/>
        </w:rPr>
        <w:t>s</w:t>
      </w:r>
      <w:r w:rsidRPr="0029771C">
        <w:rPr>
          <w:rFonts w:ascii="Times New Roman" w:eastAsia="MS PGothic" w:hAnsi="Times New Roman"/>
          <w:lang w:val="en-US" w:eastAsia="ko-KR"/>
        </w:rPr>
        <w:t xml:space="preserve"> yield (Y</w:t>
      </w:r>
      <w:r w:rsidRPr="00EC1C7F">
        <w:rPr>
          <w:rFonts w:ascii="Times New Roman" w:eastAsia="MS PGothic" w:hAnsi="Times New Roman"/>
          <w:vertAlign w:val="subscript"/>
          <w:lang w:val="en-US" w:eastAsia="ko-KR"/>
        </w:rPr>
        <w:t>MCFA</w:t>
      </w:r>
      <w:r w:rsidR="00D927A1">
        <w:rPr>
          <w:rFonts w:ascii="Times New Roman" w:eastAsia="MS PGothic" w:hAnsi="Times New Roman"/>
          <w:vertAlign w:val="subscript"/>
          <w:lang w:val="en-US" w:eastAsia="ko-KR"/>
        </w:rPr>
        <w:t>s</w:t>
      </w:r>
      <w:r w:rsidR="00D927A1">
        <w:rPr>
          <w:rFonts w:ascii="Times New Roman" w:eastAsia="MS PGothic" w:hAnsi="Times New Roman"/>
          <w:lang w:val="en-US" w:eastAsia="ko-KR"/>
        </w:rPr>
        <w:t xml:space="preserve">, </w:t>
      </w:r>
      <w:r w:rsidRPr="0029771C">
        <w:rPr>
          <w:rFonts w:ascii="Times New Roman" w:eastAsia="MS PGothic" w:hAnsi="Times New Roman"/>
          <w:lang w:val="en-US" w:eastAsia="ko-KR"/>
        </w:rPr>
        <w:t xml:space="preserve">% w/w) = </w:t>
      </w:r>
      <m:oMath>
        <m:f>
          <m:fPr>
            <m:ctrlPr>
              <w:rPr>
                <w:rFonts w:ascii="Cambria Math" w:eastAsia="MS PGothic" w:hAnsi="Cambria Math"/>
                <w:lang w:val="en-US" w:eastAsia="ko-KR"/>
              </w:rPr>
            </m:ctrlPr>
          </m:fPr>
          <m:num>
            <m:r>
              <w:rPr>
                <w:rFonts w:ascii="Cambria Math" w:eastAsia="MS PGothic" w:hAnsi="Cambria Math"/>
                <w:lang w:val="en-US" w:eastAsia="ko-KR"/>
              </w:rPr>
              <m:t>amount</m:t>
            </m:r>
            <m:r>
              <m:rPr>
                <m:sty m:val="p"/>
              </m:rPr>
              <w:rPr>
                <w:rFonts w:ascii="Cambria Math" w:eastAsia="MS PGothic" w:hAnsi="Cambria Math"/>
                <w:lang w:val="en-US" w:eastAsia="ko-KR"/>
              </w:rPr>
              <m:t xml:space="preserve"> </m:t>
            </m:r>
            <m:r>
              <w:rPr>
                <w:rFonts w:ascii="Cambria Math" w:eastAsia="MS PGothic" w:hAnsi="Cambria Math"/>
                <w:lang w:val="en-US" w:eastAsia="ko-KR"/>
              </w:rPr>
              <m:t>of</m:t>
            </m:r>
            <m:r>
              <m:rPr>
                <m:sty m:val="p"/>
              </m:rPr>
              <w:rPr>
                <w:rFonts w:ascii="Cambria Math" w:eastAsia="MS PGothic" w:hAnsi="Cambria Math"/>
                <w:lang w:val="en-US" w:eastAsia="ko-KR"/>
              </w:rPr>
              <m:t xml:space="preserve"> </m:t>
            </m:r>
            <m:r>
              <w:rPr>
                <w:rFonts w:ascii="Cambria Math" w:eastAsia="MS PGothic" w:hAnsi="Cambria Math"/>
                <w:lang w:val="en-US" w:eastAsia="ko-KR"/>
              </w:rPr>
              <m:t>MCFAs</m:t>
            </m:r>
            <m:r>
              <m:rPr>
                <m:sty m:val="p"/>
              </m:rPr>
              <w:rPr>
                <w:rFonts w:ascii="Cambria Math" w:eastAsia="MS PGothic" w:hAnsi="Cambria Math"/>
                <w:lang w:val="en-US" w:eastAsia="ko-KR"/>
              </w:rPr>
              <m:t xml:space="preserve"> (</m:t>
            </m:r>
            <m:r>
              <w:rPr>
                <w:rFonts w:ascii="Cambria Math" w:eastAsia="MS PGothic" w:hAnsi="Cambria Math"/>
                <w:lang w:val="en-US" w:eastAsia="ko-KR"/>
              </w:rPr>
              <m:t>g</m:t>
            </m:r>
            <m:r>
              <m:rPr>
                <m:sty m:val="p"/>
              </m:rPr>
              <w:rPr>
                <w:rFonts w:ascii="Cambria Math" w:eastAsia="MS PGothic" w:hAnsi="Cambria Math"/>
                <w:lang w:val="en-US" w:eastAsia="ko-KR"/>
              </w:rPr>
              <m:t>)</m:t>
            </m:r>
          </m:num>
          <m:den>
            <m:r>
              <w:rPr>
                <w:rFonts w:ascii="Cambria Math" w:eastAsia="MS PGothic" w:hAnsi="Cambria Math"/>
                <w:lang w:val="en-US" w:eastAsia="ko-KR"/>
              </w:rPr>
              <m:t>intial</m:t>
            </m:r>
            <m:r>
              <m:rPr>
                <m:sty m:val="p"/>
              </m:rPr>
              <w:rPr>
                <w:rFonts w:ascii="Cambria Math" w:eastAsia="MS PGothic" w:hAnsi="Cambria Math"/>
                <w:lang w:val="en-US" w:eastAsia="ko-KR"/>
              </w:rPr>
              <m:t xml:space="preserve"> </m:t>
            </m:r>
            <m:r>
              <w:rPr>
                <w:rFonts w:ascii="Cambria Math" w:eastAsia="MS PGothic" w:hAnsi="Cambria Math"/>
                <w:lang w:val="en-US" w:eastAsia="ko-KR"/>
              </w:rPr>
              <m:t>VS</m:t>
            </m:r>
            <m:r>
              <m:rPr>
                <m:sty m:val="p"/>
              </m:rPr>
              <w:rPr>
                <w:rFonts w:ascii="Cambria Math" w:eastAsia="MS PGothic" w:hAnsi="Cambria Math"/>
                <w:lang w:val="en-US" w:eastAsia="ko-KR"/>
              </w:rPr>
              <m:t xml:space="preserve"> </m:t>
            </m:r>
            <m:r>
              <w:rPr>
                <w:rFonts w:ascii="Cambria Math" w:eastAsia="MS PGothic" w:hAnsi="Cambria Math"/>
                <w:lang w:val="en-US" w:eastAsia="ko-KR"/>
              </w:rPr>
              <m:t>amount</m:t>
            </m:r>
            <m:r>
              <m:rPr>
                <m:sty m:val="p"/>
              </m:rPr>
              <w:rPr>
                <w:rFonts w:ascii="Cambria Math" w:eastAsia="MS PGothic" w:hAnsi="Cambria Math"/>
                <w:lang w:val="en-US" w:eastAsia="ko-KR"/>
              </w:rPr>
              <m:t xml:space="preserve"> </m:t>
            </m:r>
            <m:r>
              <w:rPr>
                <w:rFonts w:ascii="Cambria Math" w:eastAsia="MS PGothic" w:hAnsi="Cambria Math"/>
                <w:lang w:val="en-US" w:eastAsia="ko-KR"/>
              </w:rPr>
              <m:t>from</m:t>
            </m:r>
            <m:r>
              <m:rPr>
                <m:sty m:val="p"/>
              </m:rPr>
              <w:rPr>
                <w:rFonts w:ascii="Cambria Math" w:eastAsia="MS PGothic" w:hAnsi="Cambria Math"/>
                <w:lang w:val="en-US" w:eastAsia="ko-KR"/>
              </w:rPr>
              <m:t xml:space="preserve"> </m:t>
            </m:r>
            <m:r>
              <w:rPr>
                <w:rFonts w:ascii="Cambria Math" w:eastAsia="MS PGothic" w:hAnsi="Cambria Math"/>
                <w:lang w:val="en-US" w:eastAsia="ko-KR"/>
              </w:rPr>
              <m:t>substrates</m:t>
            </m:r>
            <m:r>
              <m:rPr>
                <m:sty m:val="p"/>
              </m:rPr>
              <w:rPr>
                <w:rFonts w:ascii="Cambria Math" w:eastAsia="MS PGothic" w:hAnsi="Cambria Math"/>
                <w:lang w:val="en-US" w:eastAsia="ko-KR"/>
              </w:rPr>
              <m:t xml:space="preserve"> (</m:t>
            </m:r>
            <m:r>
              <w:rPr>
                <w:rFonts w:ascii="Cambria Math" w:eastAsia="MS PGothic" w:hAnsi="Cambria Math"/>
                <w:lang w:val="en-US" w:eastAsia="ko-KR"/>
              </w:rPr>
              <m:t>g</m:t>
            </m:r>
            <m:r>
              <m:rPr>
                <m:sty m:val="p"/>
              </m:rPr>
              <w:rPr>
                <w:rFonts w:ascii="Cambria Math" w:eastAsia="MS PGothic" w:hAnsi="Cambria Math"/>
                <w:lang w:val="en-US" w:eastAsia="ko-KR"/>
              </w:rPr>
              <m:t>)</m:t>
            </m:r>
          </m:den>
        </m:f>
      </m:oMath>
      <w:r w:rsidRPr="0029771C">
        <w:rPr>
          <w:rFonts w:ascii="Times New Roman" w:eastAsia="MS PGothic" w:hAnsi="Times New Roman"/>
          <w:lang w:val="en-US" w:eastAsia="ko-KR"/>
        </w:rPr>
        <w:t xml:space="preserve"> *100 </w:t>
      </w:r>
    </w:p>
    <w:p w14:paraId="568AFAD4" w14:textId="515E10E9" w:rsidR="00EC1C7F" w:rsidRPr="0029771C" w:rsidRDefault="00EC1C7F" w:rsidP="008D5E48">
      <w:pPr>
        <w:snapToGrid w:val="0"/>
        <w:spacing w:line="240" w:lineRule="auto"/>
        <w:jc w:val="both"/>
        <w:rPr>
          <w:rFonts w:ascii="Times New Roman" w:eastAsia="MS PGothic" w:hAnsi="Times New Roman"/>
          <w:lang w:val="en-US" w:eastAsia="ko-KR"/>
        </w:rPr>
      </w:pPr>
      <w:r>
        <w:rPr>
          <w:rFonts w:ascii="Times New Roman" w:eastAsia="MS PGothic" w:hAnsi="Times New Roman"/>
          <w:lang w:val="en-US" w:eastAsia="ko-KR"/>
        </w:rPr>
        <w:t xml:space="preserve">VFAs Yield </w:t>
      </w:r>
      <w:r w:rsidR="00D927A1">
        <w:rPr>
          <w:rFonts w:ascii="Times New Roman" w:eastAsia="MS PGothic" w:hAnsi="Times New Roman"/>
          <w:lang w:val="en-US" w:eastAsia="ko-KR"/>
        </w:rPr>
        <w:t>(</w:t>
      </w:r>
      <w:r w:rsidR="00D927A1" w:rsidRPr="0029771C">
        <w:rPr>
          <w:rFonts w:ascii="Times New Roman" w:eastAsia="MS PGothic" w:hAnsi="Times New Roman"/>
          <w:lang w:val="en-US" w:eastAsia="ko-KR"/>
        </w:rPr>
        <w:t>Y</w:t>
      </w:r>
      <w:r w:rsidR="00D927A1">
        <w:rPr>
          <w:rFonts w:ascii="Times New Roman" w:eastAsia="MS PGothic" w:hAnsi="Times New Roman"/>
          <w:vertAlign w:val="subscript"/>
          <w:lang w:val="en-US" w:eastAsia="ko-KR"/>
        </w:rPr>
        <w:t>VFAs</w:t>
      </w:r>
      <w:r w:rsidR="00D927A1">
        <w:rPr>
          <w:rFonts w:ascii="Times New Roman" w:eastAsia="MS PGothic" w:hAnsi="Times New Roman"/>
          <w:lang w:val="en-US" w:eastAsia="ko-KR"/>
        </w:rPr>
        <w:t xml:space="preserve">, </w:t>
      </w:r>
      <w:r w:rsidR="00D927A1" w:rsidRPr="0029771C">
        <w:rPr>
          <w:rFonts w:ascii="Times New Roman" w:eastAsia="MS PGothic" w:hAnsi="Times New Roman"/>
          <w:lang w:val="en-US" w:eastAsia="ko-KR"/>
        </w:rPr>
        <w:t xml:space="preserve">% w/w) = </w:t>
      </w:r>
      <m:oMath>
        <m:f>
          <m:fPr>
            <m:ctrlPr>
              <w:rPr>
                <w:rFonts w:ascii="Cambria Math" w:eastAsia="MS PGothic" w:hAnsi="Cambria Math"/>
                <w:lang w:val="en-US" w:eastAsia="ko-KR"/>
              </w:rPr>
            </m:ctrlPr>
          </m:fPr>
          <m:num>
            <m:r>
              <w:rPr>
                <w:rFonts w:ascii="Cambria Math" w:eastAsia="MS PGothic" w:hAnsi="Cambria Math"/>
                <w:lang w:val="en-US" w:eastAsia="ko-KR"/>
              </w:rPr>
              <m:t>amount</m:t>
            </m:r>
            <m:r>
              <m:rPr>
                <m:sty m:val="p"/>
              </m:rPr>
              <w:rPr>
                <w:rFonts w:ascii="Cambria Math" w:eastAsia="MS PGothic" w:hAnsi="Cambria Math"/>
                <w:lang w:val="en-US" w:eastAsia="ko-KR"/>
              </w:rPr>
              <m:t xml:space="preserve"> </m:t>
            </m:r>
            <m:r>
              <w:rPr>
                <w:rFonts w:ascii="Cambria Math" w:eastAsia="MS PGothic" w:hAnsi="Cambria Math"/>
                <w:lang w:val="en-US" w:eastAsia="ko-KR"/>
              </w:rPr>
              <m:t>of</m:t>
            </m:r>
            <m:r>
              <m:rPr>
                <m:sty m:val="p"/>
              </m:rPr>
              <w:rPr>
                <w:rFonts w:ascii="Cambria Math" w:eastAsia="MS PGothic" w:hAnsi="Cambria Math"/>
                <w:lang w:val="en-US" w:eastAsia="ko-KR"/>
              </w:rPr>
              <m:t xml:space="preserve"> </m:t>
            </m:r>
            <m:r>
              <w:rPr>
                <w:rFonts w:ascii="Cambria Math" w:eastAsia="MS PGothic" w:hAnsi="Cambria Math"/>
                <w:lang w:val="en-US" w:eastAsia="ko-KR"/>
              </w:rPr>
              <m:t>MVFAs</m:t>
            </m:r>
            <m:r>
              <m:rPr>
                <m:sty m:val="p"/>
              </m:rPr>
              <w:rPr>
                <w:rFonts w:ascii="Cambria Math" w:eastAsia="MS PGothic" w:hAnsi="Cambria Math"/>
                <w:lang w:val="en-US" w:eastAsia="ko-KR"/>
              </w:rPr>
              <m:t xml:space="preserve"> (</m:t>
            </m:r>
            <m:r>
              <w:rPr>
                <w:rFonts w:ascii="Cambria Math" w:eastAsia="MS PGothic" w:hAnsi="Cambria Math"/>
                <w:lang w:val="en-US" w:eastAsia="ko-KR"/>
              </w:rPr>
              <m:t>g</m:t>
            </m:r>
            <m:r>
              <m:rPr>
                <m:sty m:val="p"/>
              </m:rPr>
              <w:rPr>
                <w:rFonts w:ascii="Cambria Math" w:eastAsia="MS PGothic" w:hAnsi="Cambria Math"/>
                <w:lang w:val="en-US" w:eastAsia="ko-KR"/>
              </w:rPr>
              <m:t>)</m:t>
            </m:r>
          </m:num>
          <m:den>
            <m:r>
              <w:rPr>
                <w:rFonts w:ascii="Cambria Math" w:eastAsia="MS PGothic" w:hAnsi="Cambria Math"/>
                <w:lang w:val="en-US" w:eastAsia="ko-KR"/>
              </w:rPr>
              <m:t>intial</m:t>
            </m:r>
            <m:r>
              <m:rPr>
                <m:sty m:val="p"/>
              </m:rPr>
              <w:rPr>
                <w:rFonts w:ascii="Cambria Math" w:eastAsia="MS PGothic" w:hAnsi="Cambria Math"/>
                <w:lang w:val="en-US" w:eastAsia="ko-KR"/>
              </w:rPr>
              <m:t xml:space="preserve"> </m:t>
            </m:r>
            <m:r>
              <w:rPr>
                <w:rFonts w:ascii="Cambria Math" w:eastAsia="MS PGothic" w:hAnsi="Cambria Math"/>
                <w:lang w:val="en-US" w:eastAsia="ko-KR"/>
              </w:rPr>
              <m:t>VS</m:t>
            </m:r>
            <m:r>
              <m:rPr>
                <m:sty m:val="p"/>
              </m:rPr>
              <w:rPr>
                <w:rFonts w:ascii="Cambria Math" w:eastAsia="MS PGothic" w:hAnsi="Cambria Math"/>
                <w:lang w:val="en-US" w:eastAsia="ko-KR"/>
              </w:rPr>
              <m:t xml:space="preserve"> </m:t>
            </m:r>
            <m:r>
              <w:rPr>
                <w:rFonts w:ascii="Cambria Math" w:eastAsia="MS PGothic" w:hAnsi="Cambria Math"/>
                <w:lang w:val="en-US" w:eastAsia="ko-KR"/>
              </w:rPr>
              <m:t>amount</m:t>
            </m:r>
            <m:r>
              <m:rPr>
                <m:sty m:val="p"/>
              </m:rPr>
              <w:rPr>
                <w:rFonts w:ascii="Cambria Math" w:eastAsia="MS PGothic" w:hAnsi="Cambria Math"/>
                <w:lang w:val="en-US" w:eastAsia="ko-KR"/>
              </w:rPr>
              <m:t xml:space="preserve"> </m:t>
            </m:r>
            <m:r>
              <w:rPr>
                <w:rFonts w:ascii="Cambria Math" w:eastAsia="MS PGothic" w:hAnsi="Cambria Math"/>
                <w:lang w:val="en-US" w:eastAsia="ko-KR"/>
              </w:rPr>
              <m:t>from</m:t>
            </m:r>
            <m:r>
              <m:rPr>
                <m:sty m:val="p"/>
              </m:rPr>
              <w:rPr>
                <w:rFonts w:ascii="Cambria Math" w:eastAsia="MS PGothic" w:hAnsi="Cambria Math"/>
                <w:lang w:val="en-US" w:eastAsia="ko-KR"/>
              </w:rPr>
              <m:t xml:space="preserve"> </m:t>
            </m:r>
            <m:r>
              <w:rPr>
                <w:rFonts w:ascii="Cambria Math" w:eastAsia="MS PGothic" w:hAnsi="Cambria Math"/>
                <w:lang w:val="en-US" w:eastAsia="ko-KR"/>
              </w:rPr>
              <m:t>substrates</m:t>
            </m:r>
            <m:r>
              <m:rPr>
                <m:sty m:val="p"/>
              </m:rPr>
              <w:rPr>
                <w:rFonts w:ascii="Cambria Math" w:eastAsia="MS PGothic" w:hAnsi="Cambria Math"/>
                <w:lang w:val="en-US" w:eastAsia="ko-KR"/>
              </w:rPr>
              <m:t xml:space="preserve"> (</m:t>
            </m:r>
            <m:r>
              <w:rPr>
                <w:rFonts w:ascii="Cambria Math" w:eastAsia="MS PGothic" w:hAnsi="Cambria Math"/>
                <w:lang w:val="en-US" w:eastAsia="ko-KR"/>
              </w:rPr>
              <m:t>g</m:t>
            </m:r>
            <m:r>
              <m:rPr>
                <m:sty m:val="p"/>
              </m:rPr>
              <w:rPr>
                <w:rFonts w:ascii="Cambria Math" w:eastAsia="MS PGothic" w:hAnsi="Cambria Math"/>
                <w:lang w:val="en-US" w:eastAsia="ko-KR"/>
              </w:rPr>
              <m:t>)</m:t>
            </m:r>
          </m:den>
        </m:f>
      </m:oMath>
      <w:r w:rsidR="00D927A1" w:rsidRPr="0029771C">
        <w:rPr>
          <w:rFonts w:ascii="Times New Roman" w:eastAsia="MS PGothic" w:hAnsi="Times New Roman"/>
          <w:lang w:val="en-US" w:eastAsia="ko-KR"/>
        </w:rPr>
        <w:t xml:space="preserve"> *100</w:t>
      </w:r>
    </w:p>
    <w:p w14:paraId="0AE19EB7" w14:textId="40AFBCB6" w:rsidR="0029771C" w:rsidRDefault="0029771C" w:rsidP="008D5E48">
      <w:pPr>
        <w:snapToGrid w:val="0"/>
        <w:spacing w:line="240" w:lineRule="auto"/>
        <w:jc w:val="both"/>
        <w:rPr>
          <w:rFonts w:ascii="Times New Roman" w:eastAsia="MS PGothic" w:hAnsi="Times New Roman"/>
          <w:lang w:val="en-US" w:eastAsia="ko-KR"/>
        </w:rPr>
      </w:pPr>
      <w:r w:rsidRPr="0029771C">
        <w:rPr>
          <w:rFonts w:ascii="Times New Roman" w:eastAsia="MS PGothic" w:hAnsi="Times New Roman"/>
          <w:lang w:val="en-US" w:eastAsia="ko-KR"/>
        </w:rPr>
        <w:t>In order to close the mass balance of the process, biogas production was also monitored following the Holliger et al. (2016)’s protocol</w:t>
      </w:r>
      <w:r w:rsidR="001F0513">
        <w:rPr>
          <w:rFonts w:ascii="Times New Roman" w:eastAsia="MS PGothic" w:hAnsi="Times New Roman"/>
          <w:lang w:val="en-US" w:eastAsia="ko-KR"/>
        </w:rPr>
        <w:t xml:space="preserve"> [</w:t>
      </w:r>
      <w:r w:rsidR="00AC2597">
        <w:rPr>
          <w:rFonts w:ascii="Times New Roman" w:eastAsia="MS PGothic" w:hAnsi="Times New Roman"/>
          <w:lang w:val="en-US" w:eastAsia="ko-KR"/>
        </w:rPr>
        <w:t>5</w:t>
      </w:r>
      <w:r w:rsidR="001F0513">
        <w:rPr>
          <w:rFonts w:ascii="Times New Roman" w:eastAsia="MS PGothic" w:hAnsi="Times New Roman"/>
          <w:lang w:val="en-US" w:eastAsia="ko-KR"/>
        </w:rPr>
        <w:t>]</w:t>
      </w:r>
      <w:r w:rsidRPr="0029771C">
        <w:rPr>
          <w:rFonts w:ascii="Times New Roman" w:eastAsia="MS PGothic" w:hAnsi="Times New Roman"/>
          <w:lang w:val="en-US" w:eastAsia="ko-KR"/>
        </w:rPr>
        <w:t xml:space="preserve">. </w:t>
      </w:r>
    </w:p>
    <w:p w14:paraId="607D7D56" w14:textId="1B468726" w:rsidR="00500E73" w:rsidRPr="00500E73" w:rsidRDefault="00500E73" w:rsidP="008D5E48">
      <w:pPr>
        <w:snapToGrid w:val="0"/>
        <w:spacing w:line="240" w:lineRule="auto"/>
        <w:jc w:val="both"/>
        <w:rPr>
          <w:rFonts w:ascii="Times New Roman" w:eastAsia="MS PGothic" w:hAnsi="Times New Roman"/>
          <w:b/>
          <w:bCs/>
          <w:lang w:val="en-US" w:eastAsia="ko-KR"/>
        </w:rPr>
      </w:pPr>
      <w:r w:rsidRPr="00500E73">
        <w:rPr>
          <w:rFonts w:ascii="Times New Roman" w:eastAsia="MS PGothic" w:hAnsi="Times New Roman"/>
          <w:b/>
          <w:bCs/>
          <w:lang w:val="en-US" w:eastAsia="ko-KR"/>
        </w:rPr>
        <w:t>2.2 Continuous test</w:t>
      </w:r>
    </w:p>
    <w:p w14:paraId="7BBB723A" w14:textId="61323DCC" w:rsidR="00500E73" w:rsidRPr="0029771C" w:rsidRDefault="00500E73" w:rsidP="008D5E48">
      <w:pPr>
        <w:spacing w:line="240" w:lineRule="auto"/>
        <w:jc w:val="both"/>
        <w:rPr>
          <w:rFonts w:ascii="Times New Roman" w:eastAsia="MS PGothic" w:hAnsi="Times New Roman"/>
          <w:lang w:val="en-US" w:eastAsia="ko-KR"/>
        </w:rPr>
      </w:pPr>
      <w:r w:rsidRPr="00500E73">
        <w:rPr>
          <w:rFonts w:ascii="Times New Roman" w:eastAsia="MS PGothic" w:hAnsi="Times New Roman"/>
          <w:lang w:val="en-US" w:eastAsia="ko-KR"/>
        </w:rPr>
        <w:t>The best acetate:</w:t>
      </w:r>
      <w:r>
        <w:rPr>
          <w:rFonts w:ascii="Times New Roman" w:eastAsia="MS PGothic" w:hAnsi="Times New Roman"/>
          <w:lang w:val="en-US" w:eastAsia="ko-KR"/>
        </w:rPr>
        <w:t xml:space="preserve"> </w:t>
      </w:r>
      <w:r w:rsidRPr="00500E73">
        <w:rPr>
          <w:rFonts w:ascii="Times New Roman" w:eastAsia="MS PGothic" w:hAnsi="Times New Roman"/>
          <w:lang w:val="en-US" w:eastAsia="ko-KR"/>
        </w:rPr>
        <w:t>ethanol molar ratio in terms of MCFAs yield</w:t>
      </w:r>
      <w:r w:rsidR="00FB6F01">
        <w:rPr>
          <w:rFonts w:ascii="Times New Roman" w:eastAsia="MS PGothic" w:hAnsi="Times New Roman"/>
          <w:lang w:val="en-US" w:eastAsia="ko-KR"/>
        </w:rPr>
        <w:t xml:space="preserve"> </w:t>
      </w:r>
      <w:r w:rsidRPr="00500E73">
        <w:rPr>
          <w:rFonts w:ascii="Times New Roman" w:eastAsia="MS PGothic" w:hAnsi="Times New Roman"/>
          <w:lang w:val="en-US" w:eastAsia="ko-KR"/>
        </w:rPr>
        <w:t>from the batch tests</w:t>
      </w:r>
      <w:r w:rsidR="00FB6F01">
        <w:rPr>
          <w:rFonts w:ascii="Times New Roman" w:eastAsia="MS PGothic" w:hAnsi="Times New Roman"/>
          <w:lang w:val="en-US" w:eastAsia="ko-KR"/>
        </w:rPr>
        <w:t xml:space="preserve"> </w:t>
      </w:r>
      <w:r w:rsidRPr="00500E73">
        <w:rPr>
          <w:rFonts w:ascii="Times New Roman" w:eastAsia="MS PGothic" w:hAnsi="Times New Roman"/>
          <w:lang w:val="en-US" w:eastAsia="ko-KR"/>
        </w:rPr>
        <w:t xml:space="preserve">was tested in </w:t>
      </w:r>
      <w:r w:rsidR="00FB6F01" w:rsidRPr="00500E73">
        <w:rPr>
          <w:rFonts w:ascii="Times New Roman" w:eastAsia="MS PGothic" w:hAnsi="Times New Roman"/>
          <w:lang w:val="en-US" w:eastAsia="ko-KR"/>
        </w:rPr>
        <w:t>continuous</w:t>
      </w:r>
      <w:r w:rsidRPr="00500E73">
        <w:rPr>
          <w:rFonts w:ascii="Times New Roman" w:eastAsia="MS PGothic" w:hAnsi="Times New Roman"/>
          <w:lang w:val="en-US" w:eastAsia="ko-KR"/>
        </w:rPr>
        <w:t xml:space="preserve"> mode. A 1L CSTR reactor, with a working volume of about 0.6L, was initially fed with an inoculum amount of 580 g. Then, the CSTR were </w:t>
      </w:r>
      <w:r w:rsidR="00EC6731">
        <w:rPr>
          <w:rFonts w:ascii="Times New Roman" w:eastAsia="MS PGothic" w:hAnsi="Times New Roman"/>
          <w:lang w:val="en-US" w:eastAsia="ko-KR"/>
        </w:rPr>
        <w:t xml:space="preserve">daily </w:t>
      </w:r>
      <w:r w:rsidR="00655F7F" w:rsidRPr="00500E73">
        <w:rPr>
          <w:rFonts w:ascii="Times New Roman" w:eastAsia="MS PGothic" w:hAnsi="Times New Roman"/>
          <w:lang w:val="en-US" w:eastAsia="ko-KR"/>
        </w:rPr>
        <w:t>discharged</w:t>
      </w:r>
      <w:r w:rsidRPr="00500E73">
        <w:rPr>
          <w:rFonts w:ascii="Times New Roman" w:eastAsia="MS PGothic" w:hAnsi="Times New Roman"/>
          <w:lang w:val="en-US" w:eastAsia="ko-KR"/>
        </w:rPr>
        <w:t xml:space="preserve"> and fed with about 5g of acetate and 20 of ethanol in order to have an acetate:</w:t>
      </w:r>
      <w:r w:rsidR="00EC6731">
        <w:rPr>
          <w:rFonts w:ascii="Times New Roman" w:eastAsia="MS PGothic" w:hAnsi="Times New Roman"/>
          <w:lang w:val="en-US" w:eastAsia="ko-KR"/>
        </w:rPr>
        <w:t xml:space="preserve"> </w:t>
      </w:r>
      <w:r w:rsidRPr="00500E73">
        <w:rPr>
          <w:rFonts w:ascii="Times New Roman" w:eastAsia="MS PGothic" w:hAnsi="Times New Roman"/>
          <w:lang w:val="en-US" w:eastAsia="ko-KR"/>
        </w:rPr>
        <w:t xml:space="preserve">ethanol molar ratio of about 1:5, the best one </w:t>
      </w:r>
      <w:r w:rsidR="00EC6731">
        <w:rPr>
          <w:rFonts w:ascii="Times New Roman" w:eastAsia="MS PGothic" w:hAnsi="Times New Roman"/>
          <w:lang w:val="en-US" w:eastAsia="ko-KR"/>
        </w:rPr>
        <w:t xml:space="preserve">in term of MCFAs yield </w:t>
      </w:r>
      <w:r w:rsidRPr="00500E73">
        <w:rPr>
          <w:rFonts w:ascii="Times New Roman" w:eastAsia="MS PGothic" w:hAnsi="Times New Roman"/>
          <w:lang w:val="en-US" w:eastAsia="ko-KR"/>
        </w:rPr>
        <w:t xml:space="preserve">from the batch test. </w:t>
      </w:r>
      <w:r w:rsidR="00382068">
        <w:rPr>
          <w:rFonts w:ascii="Times New Roman" w:eastAsia="MS PGothic" w:hAnsi="Times New Roman"/>
          <w:lang w:val="en-US" w:eastAsia="ko-KR"/>
        </w:rPr>
        <w:t>The Hydraulic Retention Time was set up at 2</w:t>
      </w:r>
      <w:r w:rsidR="00241A4F">
        <w:rPr>
          <w:rFonts w:ascii="Times New Roman" w:eastAsia="MS PGothic" w:hAnsi="Times New Roman"/>
          <w:lang w:val="en-US" w:eastAsia="ko-KR"/>
        </w:rPr>
        <w:t>5</w:t>
      </w:r>
      <w:r w:rsidR="00382068">
        <w:rPr>
          <w:rFonts w:ascii="Times New Roman" w:eastAsia="MS PGothic" w:hAnsi="Times New Roman"/>
          <w:lang w:val="en-US" w:eastAsia="ko-KR"/>
        </w:rPr>
        <w:t xml:space="preserve"> days. </w:t>
      </w:r>
      <w:r>
        <w:rPr>
          <w:rFonts w:ascii="Times New Roman" w:eastAsia="MS PGothic" w:hAnsi="Times New Roman"/>
          <w:lang w:val="en-US" w:eastAsia="ko-KR"/>
        </w:rPr>
        <w:t>Continuous test is still running</w:t>
      </w:r>
      <w:r w:rsidR="0034630B">
        <w:rPr>
          <w:rFonts w:ascii="Times New Roman" w:eastAsia="MS PGothic" w:hAnsi="Times New Roman"/>
          <w:lang w:val="en-US" w:eastAsia="ko-KR"/>
        </w:rPr>
        <w:t xml:space="preserve"> </w:t>
      </w:r>
      <w:r>
        <w:rPr>
          <w:rFonts w:ascii="Times New Roman" w:eastAsia="MS PGothic" w:hAnsi="Times New Roman"/>
          <w:lang w:val="en-US" w:eastAsia="ko-KR"/>
        </w:rPr>
        <w:t xml:space="preserve">and </w:t>
      </w:r>
      <w:r w:rsidR="0034630B">
        <w:rPr>
          <w:rFonts w:ascii="Times New Roman" w:eastAsia="MS PGothic" w:hAnsi="Times New Roman"/>
          <w:lang w:val="en-US" w:eastAsia="ko-KR"/>
        </w:rPr>
        <w:t xml:space="preserve">will be stopped at the end of 3 HRT. The corresponding </w:t>
      </w:r>
      <w:r>
        <w:rPr>
          <w:rFonts w:ascii="Times New Roman" w:eastAsia="MS PGothic" w:hAnsi="Times New Roman"/>
          <w:lang w:val="en-US" w:eastAsia="ko-KR"/>
        </w:rPr>
        <w:t>results will not be included in the present abstract.</w:t>
      </w:r>
    </w:p>
    <w:p w14:paraId="0528A46E" w14:textId="77777777" w:rsidR="00DA51A3" w:rsidRPr="00466FFD" w:rsidRDefault="00DA51A3" w:rsidP="008D5E48">
      <w:pPr>
        <w:snapToGrid w:val="0"/>
        <w:spacing w:before="240" w:line="24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5191E80B" w14:textId="2AB90FBD" w:rsidR="000E4175" w:rsidRDefault="000E4175" w:rsidP="008D5E48">
      <w:pPr>
        <w:snapToGrid w:val="0"/>
        <w:spacing w:after="120" w:line="240" w:lineRule="auto"/>
        <w:jc w:val="both"/>
        <w:rPr>
          <w:rFonts w:ascii="Times New Roman" w:eastAsia="MS PGothic" w:hAnsi="Times New Roman"/>
          <w:lang w:val="en-US" w:eastAsia="ko-KR"/>
        </w:rPr>
      </w:pPr>
      <w:r>
        <w:rPr>
          <w:rFonts w:ascii="Times New Roman" w:eastAsia="MS PGothic" w:hAnsi="Times New Roman"/>
          <w:lang w:val="en-US"/>
        </w:rPr>
        <w:t xml:space="preserve">The first main result from batch tests was that pH 9 inhibited completely any </w:t>
      </w:r>
      <w:r w:rsidR="00EB2550">
        <w:rPr>
          <w:rFonts w:ascii="Times New Roman" w:eastAsia="MS PGothic" w:hAnsi="Times New Roman"/>
          <w:lang w:val="en-US"/>
        </w:rPr>
        <w:t xml:space="preserve">biological </w:t>
      </w:r>
      <w:r>
        <w:rPr>
          <w:rFonts w:ascii="Times New Roman" w:eastAsia="MS PGothic" w:hAnsi="Times New Roman"/>
          <w:lang w:val="en-US"/>
        </w:rPr>
        <w:t>processes</w:t>
      </w:r>
      <w:r w:rsidR="001128DF">
        <w:rPr>
          <w:rFonts w:ascii="Times New Roman" w:eastAsia="MS PGothic" w:hAnsi="Times New Roman"/>
          <w:lang w:val="en-US"/>
        </w:rPr>
        <w:t>:</w:t>
      </w:r>
      <w:r>
        <w:rPr>
          <w:rFonts w:ascii="Times New Roman" w:eastAsia="MS PGothic" w:hAnsi="Times New Roman"/>
          <w:lang w:val="en-US"/>
        </w:rPr>
        <w:t xml:space="preserve"> acidogenic fermentation, </w:t>
      </w:r>
      <w:r>
        <w:rPr>
          <w:rFonts w:ascii="Times New Roman" w:eastAsia="MS PGothic" w:hAnsi="Times New Roman"/>
          <w:lang w:val="en-US" w:eastAsia="ko-KR"/>
        </w:rPr>
        <w:t>r</w:t>
      </w:r>
      <w:r w:rsidRPr="0029771C">
        <w:rPr>
          <w:rFonts w:ascii="Times New Roman" w:eastAsia="MS PGothic" w:hAnsi="Times New Roman"/>
          <w:lang w:val="en-US" w:eastAsia="ko-KR"/>
        </w:rPr>
        <w:t>everse β-oxidation</w:t>
      </w:r>
      <w:r>
        <w:rPr>
          <w:rFonts w:ascii="Times New Roman" w:eastAsia="MS PGothic" w:hAnsi="Times New Roman"/>
          <w:lang w:val="en-US" w:eastAsia="ko-KR"/>
        </w:rPr>
        <w:t xml:space="preserve"> and biogas production, demonstrating </w:t>
      </w:r>
      <w:r w:rsidR="00EB2550">
        <w:rPr>
          <w:rFonts w:ascii="Times New Roman" w:eastAsia="MS PGothic" w:hAnsi="Times New Roman"/>
          <w:lang w:val="en-US" w:eastAsia="ko-KR"/>
        </w:rPr>
        <w:t xml:space="preserve">that </w:t>
      </w:r>
      <w:r>
        <w:rPr>
          <w:rFonts w:ascii="Times New Roman" w:eastAsia="MS PGothic" w:hAnsi="Times New Roman"/>
          <w:lang w:val="en-US" w:eastAsia="ko-KR"/>
        </w:rPr>
        <w:t xml:space="preserve">the neutral </w:t>
      </w:r>
      <w:r w:rsidR="001128DF">
        <w:rPr>
          <w:rFonts w:ascii="Times New Roman" w:eastAsia="MS PGothic" w:hAnsi="Times New Roman"/>
          <w:lang w:val="en-US" w:eastAsia="ko-KR"/>
        </w:rPr>
        <w:t xml:space="preserve">pH </w:t>
      </w:r>
      <w:r>
        <w:rPr>
          <w:rFonts w:ascii="Times New Roman" w:eastAsia="MS PGothic" w:hAnsi="Times New Roman"/>
          <w:lang w:val="en-US" w:eastAsia="ko-KR"/>
        </w:rPr>
        <w:t xml:space="preserve">values are the ideal for </w:t>
      </w:r>
      <w:r w:rsidR="001128DF">
        <w:rPr>
          <w:rFonts w:ascii="Times New Roman" w:eastAsia="MS PGothic" w:hAnsi="Times New Roman"/>
          <w:lang w:val="en-US" w:eastAsia="ko-KR"/>
        </w:rPr>
        <w:t xml:space="preserve">all </w:t>
      </w:r>
      <w:r>
        <w:rPr>
          <w:rFonts w:ascii="Times New Roman" w:eastAsia="MS PGothic" w:hAnsi="Times New Roman"/>
          <w:lang w:val="en-US" w:eastAsia="ko-KR"/>
        </w:rPr>
        <w:t xml:space="preserve">these processes. </w:t>
      </w:r>
    </w:p>
    <w:p w14:paraId="33A090CB" w14:textId="2D927723" w:rsidR="000E4175" w:rsidRDefault="000E4175" w:rsidP="008D5E48">
      <w:pPr>
        <w:snapToGrid w:val="0"/>
        <w:spacing w:after="120" w:line="240" w:lineRule="auto"/>
        <w:jc w:val="both"/>
        <w:rPr>
          <w:rFonts w:ascii="Times New Roman" w:eastAsia="MS PGothic" w:hAnsi="Times New Roman"/>
          <w:lang w:val="en-US" w:eastAsia="ko-KR"/>
        </w:rPr>
      </w:pPr>
      <w:r>
        <w:rPr>
          <w:rFonts w:ascii="Times New Roman" w:eastAsia="MS PGothic" w:hAnsi="Times New Roman"/>
          <w:lang w:val="en-US" w:eastAsia="ko-KR"/>
        </w:rPr>
        <w:t xml:space="preserve">Figure 2 summarized the MCFAs production yields for the batch tests carried at different </w:t>
      </w:r>
      <w:proofErr w:type="spellStart"/>
      <w:r>
        <w:rPr>
          <w:rFonts w:ascii="Times New Roman" w:eastAsia="MS PGothic" w:hAnsi="Times New Roman"/>
          <w:lang w:val="en-US" w:eastAsia="ko-KR"/>
        </w:rPr>
        <w:t>acetate:ethanol</w:t>
      </w:r>
      <w:proofErr w:type="spellEnd"/>
      <w:r>
        <w:rPr>
          <w:rFonts w:ascii="Times New Roman" w:eastAsia="MS PGothic" w:hAnsi="Times New Roman"/>
          <w:lang w:val="en-US" w:eastAsia="ko-KR"/>
        </w:rPr>
        <w:t xml:space="preserve"> molar ratios and pH 7. </w:t>
      </w:r>
    </w:p>
    <w:p w14:paraId="321363DB" w14:textId="23DD28D1" w:rsidR="00DA51A3" w:rsidRPr="0056042A" w:rsidRDefault="008D5E48" w:rsidP="008D5E48">
      <w:pPr>
        <w:snapToGrid w:val="0"/>
        <w:spacing w:after="120" w:line="240" w:lineRule="auto"/>
        <w:jc w:val="center"/>
        <w:rPr>
          <w:rFonts w:ascii="Times New Roman" w:eastAsia="MS PGothic" w:hAnsi="Times New Roman"/>
          <w:lang w:val="en-US"/>
        </w:rPr>
      </w:pPr>
      <w:r>
        <w:rPr>
          <w:noProof/>
        </w:rPr>
        <w:lastRenderedPageBreak/>
        <w:drawing>
          <wp:inline distT="0" distB="0" distL="0" distR="0" wp14:anchorId="7673AC1E" wp14:editId="6DC56AAF">
            <wp:extent cx="3878580" cy="2194560"/>
            <wp:effectExtent l="0" t="0" r="7620" b="15240"/>
            <wp:docPr id="5" name="Grafico 5">
              <a:extLst xmlns:a="http://schemas.openxmlformats.org/drawingml/2006/main">
                <a:ext uri="{FF2B5EF4-FFF2-40B4-BE49-F238E27FC236}">
                  <a16:creationId xmlns:a16="http://schemas.microsoft.com/office/drawing/2014/main" id="{80DC8BE6-2AEB-F34E-9996-F225C0EE7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EA8973" w14:textId="2EC41A0C" w:rsidR="00DA51A3" w:rsidRPr="00054C84" w:rsidRDefault="00DA51A3" w:rsidP="008D5E48">
      <w:pPr>
        <w:snapToGrid w:val="0"/>
        <w:spacing w:after="120" w:line="240" w:lineRule="auto"/>
        <w:jc w:val="center"/>
        <w:rPr>
          <w:rFonts w:ascii="Times New Roman" w:eastAsia="MS PGothic" w:hAnsi="Times New Roman"/>
          <w:sz w:val="18"/>
          <w:szCs w:val="18"/>
          <w:lang w:val="en-US"/>
        </w:rPr>
      </w:pPr>
      <w:r w:rsidRPr="00054C84">
        <w:rPr>
          <w:rFonts w:ascii="Times New Roman" w:eastAsia="MS PGothic" w:hAnsi="Times New Roman"/>
          <w:b/>
          <w:sz w:val="18"/>
          <w:szCs w:val="18"/>
          <w:lang w:val="en-US"/>
        </w:rPr>
        <w:t xml:space="preserve">Figure </w:t>
      </w:r>
      <w:r w:rsidR="0056042A" w:rsidRPr="00054C84">
        <w:rPr>
          <w:rFonts w:ascii="Times New Roman" w:eastAsia="MS PGothic" w:hAnsi="Times New Roman"/>
          <w:b/>
          <w:sz w:val="18"/>
          <w:szCs w:val="18"/>
          <w:lang w:val="en-US"/>
        </w:rPr>
        <w:t>2</w:t>
      </w:r>
      <w:r w:rsidRPr="00054C84">
        <w:rPr>
          <w:rFonts w:ascii="Times New Roman" w:eastAsia="MS PGothic" w:hAnsi="Times New Roman"/>
          <w:b/>
          <w:sz w:val="18"/>
          <w:szCs w:val="18"/>
          <w:lang w:val="en-US" w:eastAsia="ko-KR"/>
        </w:rPr>
        <w:t>.</w:t>
      </w:r>
      <w:r w:rsidRPr="00054C84">
        <w:rPr>
          <w:rFonts w:ascii="Times New Roman" w:eastAsia="MS PGothic" w:hAnsi="Times New Roman"/>
          <w:sz w:val="18"/>
          <w:szCs w:val="18"/>
          <w:lang w:val="en-US"/>
        </w:rPr>
        <w:t xml:space="preserve"> </w:t>
      </w:r>
      <w:r w:rsidRPr="00054C84">
        <w:rPr>
          <w:rFonts w:ascii="Times New Roman" w:hAnsi="Times New Roman"/>
          <w:sz w:val="18"/>
          <w:szCs w:val="18"/>
          <w:lang w:val="en-US"/>
        </w:rPr>
        <w:t xml:space="preserve"> </w:t>
      </w:r>
      <w:r w:rsidR="00054C84" w:rsidRPr="00054C84">
        <w:rPr>
          <w:rFonts w:ascii="Times New Roman" w:eastAsia="MS PGothic" w:hAnsi="Times New Roman"/>
          <w:sz w:val="18"/>
          <w:szCs w:val="18"/>
          <w:lang w:val="en-US"/>
        </w:rPr>
        <w:t>MCFAs production yield for the different acetate: ethanol molar ratio</w:t>
      </w:r>
    </w:p>
    <w:p w14:paraId="3CA7D6CC" w14:textId="66F14AA3" w:rsidR="00DA51A3" w:rsidRDefault="00054C84" w:rsidP="00EE28DE">
      <w:pPr>
        <w:snapToGrid w:val="0"/>
        <w:spacing w:before="240" w:line="240" w:lineRule="auto"/>
        <w:jc w:val="both"/>
        <w:rPr>
          <w:rFonts w:ascii="Times New Roman" w:eastAsia="MS PGothic" w:hAnsi="Times New Roman"/>
          <w:lang w:val="en-US" w:eastAsia="ko-KR"/>
        </w:rPr>
      </w:pPr>
      <w:r>
        <w:rPr>
          <w:rFonts w:ascii="Times New Roman" w:hAnsi="Times New Roman"/>
          <w:lang w:val="en-US"/>
        </w:rPr>
        <w:t xml:space="preserve">The tests confirmed that </w:t>
      </w:r>
      <w:proofErr w:type="spellStart"/>
      <w:r>
        <w:rPr>
          <w:rFonts w:ascii="Times New Roman" w:hAnsi="Times New Roman"/>
          <w:lang w:val="en-US"/>
        </w:rPr>
        <w:t>acetate:ethanol</w:t>
      </w:r>
      <w:proofErr w:type="spellEnd"/>
      <w:r>
        <w:rPr>
          <w:rFonts w:ascii="Times New Roman" w:hAnsi="Times New Roman"/>
          <w:lang w:val="en-US"/>
        </w:rPr>
        <w:t xml:space="preserve"> molar ratio is a fundamental parameter for the beginning of </w:t>
      </w:r>
      <w:r>
        <w:rPr>
          <w:rFonts w:ascii="Times New Roman" w:eastAsia="MS PGothic" w:hAnsi="Times New Roman"/>
          <w:lang w:val="en-US" w:eastAsia="ko-KR"/>
        </w:rPr>
        <w:t>r</w:t>
      </w:r>
      <w:r w:rsidRPr="0029771C">
        <w:rPr>
          <w:rFonts w:ascii="Times New Roman" w:eastAsia="MS PGothic" w:hAnsi="Times New Roman"/>
          <w:lang w:val="en-US" w:eastAsia="ko-KR"/>
        </w:rPr>
        <w:t>everse β-oxidation</w:t>
      </w:r>
      <w:r>
        <w:rPr>
          <w:rFonts w:ascii="Times New Roman" w:eastAsia="MS PGothic" w:hAnsi="Times New Roman"/>
          <w:lang w:val="en-US" w:eastAsia="ko-KR"/>
        </w:rPr>
        <w:t xml:space="preserve"> reactions. In particular, the theoretical molar ratio of 1:2 was not adequate</w:t>
      </w:r>
      <w:r w:rsidR="000743D0">
        <w:rPr>
          <w:rFonts w:ascii="Times New Roman" w:eastAsia="MS PGothic" w:hAnsi="Times New Roman"/>
          <w:lang w:val="en-US" w:eastAsia="ko-KR"/>
        </w:rPr>
        <w:t>, as</w:t>
      </w:r>
      <w:r>
        <w:rPr>
          <w:rFonts w:ascii="Times New Roman" w:eastAsia="MS PGothic" w:hAnsi="Times New Roman"/>
          <w:lang w:val="en-US" w:eastAsia="ko-KR"/>
        </w:rPr>
        <w:t xml:space="preserve"> </w:t>
      </w:r>
      <w:r w:rsidR="008D5E48">
        <w:rPr>
          <w:rFonts w:ascii="Times New Roman" w:eastAsia="MS PGothic" w:hAnsi="Times New Roman"/>
          <w:lang w:val="en-US" w:eastAsia="ko-KR"/>
        </w:rPr>
        <w:t xml:space="preserve">ethanol is not employed </w:t>
      </w:r>
      <w:r w:rsidR="006A2BFC">
        <w:rPr>
          <w:rFonts w:ascii="Times New Roman" w:eastAsia="MS PGothic" w:hAnsi="Times New Roman"/>
          <w:lang w:val="en-US" w:eastAsia="ko-KR"/>
        </w:rPr>
        <w:t xml:space="preserve">exclusively </w:t>
      </w:r>
      <w:r w:rsidR="008D5E48">
        <w:rPr>
          <w:rFonts w:ascii="Times New Roman" w:eastAsia="MS PGothic" w:hAnsi="Times New Roman"/>
          <w:lang w:val="en-US" w:eastAsia="ko-KR"/>
        </w:rPr>
        <w:t xml:space="preserve">for the chain elongation but also for proving energy by ATP production, as commented above </w:t>
      </w:r>
      <w:r w:rsidR="001F0513">
        <w:rPr>
          <w:rFonts w:ascii="Times New Roman" w:eastAsia="MS PGothic" w:hAnsi="Times New Roman"/>
          <w:lang w:val="en-US" w:eastAsia="ko-KR"/>
        </w:rPr>
        <w:t>[2]</w:t>
      </w:r>
      <w:r w:rsidR="008D5E48">
        <w:rPr>
          <w:rFonts w:ascii="Times New Roman" w:eastAsia="MS PGothic" w:hAnsi="Times New Roman"/>
          <w:lang w:val="en-US" w:eastAsia="ko-KR"/>
        </w:rPr>
        <w:t>. Instead, a too low acetate: ethanol molar ratio of 1:10 did not assure the minimal ace</w:t>
      </w:r>
      <w:r w:rsidR="00836536">
        <w:rPr>
          <w:rFonts w:ascii="Times New Roman" w:eastAsia="MS PGothic" w:hAnsi="Times New Roman"/>
          <w:lang w:val="en-US" w:eastAsia="ko-KR"/>
        </w:rPr>
        <w:t>tate amount to provide its elongation into MCFAs. The best acetate: ethanol molar ratio was of 1:5 with a MCFAs production yield of 6% w/w of the initial substrates</w:t>
      </w:r>
      <w:r w:rsidR="007D52DD">
        <w:rPr>
          <w:rFonts w:ascii="Times New Roman" w:eastAsia="MS PGothic" w:hAnsi="Times New Roman"/>
          <w:lang w:val="en-US" w:eastAsia="ko-KR"/>
        </w:rPr>
        <w:t xml:space="preserve"> amount</w:t>
      </w:r>
      <w:r w:rsidR="00836536">
        <w:rPr>
          <w:rFonts w:ascii="Times New Roman" w:eastAsia="MS PGothic" w:hAnsi="Times New Roman"/>
          <w:lang w:val="en-US" w:eastAsia="ko-KR"/>
        </w:rPr>
        <w:t xml:space="preserve"> (ethanol and acetate) fed in the reactor. Caproic acids accounted for the 90-95% w/w of the total MCFAs produced along the batch tests, while octanoic and decanoic acids represented the remaining part, suggesting that probably more days are required for their production.  </w:t>
      </w:r>
    </w:p>
    <w:p w14:paraId="2D34BF67" w14:textId="385C30BB" w:rsidR="000B6FFC" w:rsidRDefault="000B6FFC" w:rsidP="00EE28DE">
      <w:pPr>
        <w:snapToGrid w:val="0"/>
        <w:spacing w:before="240" w:line="240" w:lineRule="auto"/>
        <w:jc w:val="both"/>
        <w:rPr>
          <w:rFonts w:ascii="Times New Roman" w:eastAsia="MS PGothic" w:hAnsi="Times New Roman"/>
          <w:lang w:val="en-US" w:eastAsia="ko-KR"/>
        </w:rPr>
      </w:pPr>
      <w:r>
        <w:rPr>
          <w:rFonts w:ascii="Times New Roman" w:eastAsia="MS PGothic" w:hAnsi="Times New Roman"/>
          <w:lang w:val="en-US" w:eastAsia="ko-KR"/>
        </w:rPr>
        <w:t xml:space="preserve">Considering </w:t>
      </w:r>
      <w:r w:rsidR="008420DE">
        <w:rPr>
          <w:rFonts w:ascii="Times New Roman" w:eastAsia="MS PGothic" w:hAnsi="Times New Roman"/>
          <w:lang w:val="en-US" w:eastAsia="ko-KR"/>
        </w:rPr>
        <w:t xml:space="preserve">only </w:t>
      </w:r>
      <w:r>
        <w:rPr>
          <w:rFonts w:ascii="Times New Roman" w:eastAsia="MS PGothic" w:hAnsi="Times New Roman"/>
          <w:lang w:val="en-US" w:eastAsia="ko-KR"/>
        </w:rPr>
        <w:t>batch test</w:t>
      </w:r>
      <w:r w:rsidR="00EB3EB9">
        <w:rPr>
          <w:rFonts w:ascii="Times New Roman" w:eastAsia="MS PGothic" w:hAnsi="Times New Roman"/>
          <w:lang w:val="en-US" w:eastAsia="ko-KR"/>
        </w:rPr>
        <w:t xml:space="preserve"> with the best acetate: ethanol ratio of 1:5, the VFAs production </w:t>
      </w:r>
      <w:r w:rsidR="00DE08E9">
        <w:rPr>
          <w:rFonts w:ascii="Times New Roman" w:eastAsia="MS PGothic" w:hAnsi="Times New Roman"/>
          <w:lang w:val="en-US" w:eastAsia="ko-KR"/>
        </w:rPr>
        <w:t>yield was of about the 2</w:t>
      </w:r>
      <w:r w:rsidR="000B327B">
        <w:rPr>
          <w:rFonts w:ascii="Times New Roman" w:eastAsia="MS PGothic" w:hAnsi="Times New Roman"/>
          <w:lang w:val="en-US" w:eastAsia="ko-KR"/>
        </w:rPr>
        <w:t>7</w:t>
      </w:r>
      <w:r w:rsidR="00DE08E9">
        <w:rPr>
          <w:rFonts w:ascii="Times New Roman" w:eastAsia="MS PGothic" w:hAnsi="Times New Roman"/>
          <w:lang w:val="en-US" w:eastAsia="ko-KR"/>
        </w:rPr>
        <w:t>% w/w of the total amount of VS</w:t>
      </w:r>
      <w:r w:rsidR="00994F2C">
        <w:rPr>
          <w:rFonts w:ascii="Times New Roman" w:eastAsia="MS PGothic" w:hAnsi="Times New Roman"/>
          <w:lang w:val="en-US" w:eastAsia="ko-KR"/>
        </w:rPr>
        <w:t xml:space="preserve"> fed in the reactor, </w:t>
      </w:r>
      <w:r w:rsidR="00785EAB">
        <w:rPr>
          <w:rFonts w:ascii="Times New Roman" w:eastAsia="MS PGothic" w:hAnsi="Times New Roman"/>
          <w:lang w:val="en-US" w:eastAsia="ko-KR"/>
        </w:rPr>
        <w:t>with butyric acid as the main product (</w:t>
      </w:r>
      <w:r w:rsidR="00514322">
        <w:rPr>
          <w:rFonts w:ascii="Times New Roman" w:eastAsia="MS PGothic" w:hAnsi="Times New Roman"/>
          <w:lang w:val="en-US" w:eastAsia="ko-KR"/>
        </w:rPr>
        <w:t xml:space="preserve">around the 85-90% w/w). It demonstrated that </w:t>
      </w:r>
      <w:r w:rsidR="003F7EF7">
        <w:rPr>
          <w:rFonts w:ascii="Times New Roman" w:eastAsia="MS PGothic" w:hAnsi="Times New Roman"/>
          <w:lang w:val="en-US" w:eastAsia="ko-KR"/>
        </w:rPr>
        <w:t xml:space="preserve">reverse </w:t>
      </w:r>
      <w:r w:rsidR="003F7EF7" w:rsidRPr="0029771C">
        <w:rPr>
          <w:rFonts w:ascii="Times New Roman" w:eastAsia="MS PGothic" w:hAnsi="Times New Roman"/>
          <w:lang w:val="en-US" w:eastAsia="ko-KR"/>
        </w:rPr>
        <w:t>β-oxidation</w:t>
      </w:r>
      <w:r w:rsidR="003F7EF7">
        <w:rPr>
          <w:rFonts w:ascii="Times New Roman" w:eastAsia="MS PGothic" w:hAnsi="Times New Roman"/>
          <w:lang w:val="en-US" w:eastAsia="ko-KR"/>
        </w:rPr>
        <w:t xml:space="preserve"> reactions were still running at the e</w:t>
      </w:r>
      <w:r w:rsidR="00BC6434">
        <w:rPr>
          <w:rFonts w:ascii="Times New Roman" w:eastAsia="MS PGothic" w:hAnsi="Times New Roman"/>
          <w:lang w:val="en-US" w:eastAsia="ko-KR"/>
        </w:rPr>
        <w:t>nd batch tests, which had a duration of 10 days.</w:t>
      </w:r>
      <w:r w:rsidR="00DB035B">
        <w:rPr>
          <w:rFonts w:ascii="Times New Roman" w:eastAsia="MS PGothic" w:hAnsi="Times New Roman"/>
          <w:lang w:val="en-US" w:eastAsia="ko-KR"/>
        </w:rPr>
        <w:t xml:space="preserve"> For this reason</w:t>
      </w:r>
      <w:r w:rsidR="00CF2A30">
        <w:rPr>
          <w:rFonts w:ascii="Times New Roman" w:eastAsia="MS PGothic" w:hAnsi="Times New Roman"/>
          <w:lang w:val="en-US" w:eastAsia="ko-KR"/>
        </w:rPr>
        <w:t xml:space="preserve">, </w:t>
      </w:r>
      <w:r w:rsidR="00E81E91">
        <w:rPr>
          <w:rFonts w:ascii="Times New Roman" w:eastAsia="MS PGothic" w:hAnsi="Times New Roman"/>
          <w:lang w:val="en-US" w:eastAsia="ko-KR"/>
        </w:rPr>
        <w:t xml:space="preserve">the </w:t>
      </w:r>
      <w:r w:rsidR="00CF2A30">
        <w:rPr>
          <w:rFonts w:ascii="Times New Roman" w:eastAsia="MS PGothic" w:hAnsi="Times New Roman"/>
          <w:lang w:val="en-US" w:eastAsia="ko-KR"/>
        </w:rPr>
        <w:t xml:space="preserve">following </w:t>
      </w:r>
      <w:r w:rsidR="00E81E91">
        <w:rPr>
          <w:rFonts w:ascii="Times New Roman" w:eastAsia="MS PGothic" w:hAnsi="Times New Roman"/>
          <w:lang w:val="en-US" w:eastAsia="ko-KR"/>
        </w:rPr>
        <w:t>continuous test was set up</w:t>
      </w:r>
      <w:r w:rsidR="00CF2A30">
        <w:rPr>
          <w:rFonts w:ascii="Times New Roman" w:eastAsia="MS PGothic" w:hAnsi="Times New Roman"/>
          <w:lang w:val="en-US" w:eastAsia="ko-KR"/>
        </w:rPr>
        <w:t xml:space="preserve"> at higher</w:t>
      </w:r>
      <w:r w:rsidR="00E81E91">
        <w:rPr>
          <w:rFonts w:ascii="Times New Roman" w:eastAsia="MS PGothic" w:hAnsi="Times New Roman"/>
          <w:lang w:val="en-US" w:eastAsia="ko-KR"/>
        </w:rPr>
        <w:t xml:space="preserve"> HRT of 2</w:t>
      </w:r>
      <w:r w:rsidR="00241A4F">
        <w:rPr>
          <w:rFonts w:ascii="Times New Roman" w:eastAsia="MS PGothic" w:hAnsi="Times New Roman"/>
          <w:lang w:val="en-US" w:eastAsia="ko-KR"/>
        </w:rPr>
        <w:t>5 days</w:t>
      </w:r>
      <w:r w:rsidR="00CF2A30">
        <w:rPr>
          <w:rFonts w:ascii="Times New Roman" w:eastAsia="MS PGothic" w:hAnsi="Times New Roman"/>
          <w:lang w:val="en-US" w:eastAsia="ko-KR"/>
        </w:rPr>
        <w:t>, that is also consistent with some previous research works</w:t>
      </w:r>
      <w:r w:rsidR="00241A4F">
        <w:rPr>
          <w:rFonts w:ascii="Times New Roman" w:eastAsia="MS PGothic" w:hAnsi="Times New Roman"/>
          <w:lang w:val="en-US" w:eastAsia="ko-KR"/>
        </w:rPr>
        <w:t xml:space="preserve"> </w:t>
      </w:r>
      <w:r w:rsidR="001F0513">
        <w:rPr>
          <w:rFonts w:ascii="Times New Roman" w:eastAsia="MS PGothic" w:hAnsi="Times New Roman"/>
          <w:lang w:val="en-US" w:eastAsia="ko-KR"/>
        </w:rPr>
        <w:t>[</w:t>
      </w:r>
      <w:r w:rsidR="00AC2597">
        <w:rPr>
          <w:rFonts w:ascii="Times New Roman" w:eastAsia="MS PGothic" w:hAnsi="Times New Roman"/>
          <w:lang w:val="en-US" w:eastAsia="ko-KR"/>
        </w:rPr>
        <w:t>3</w:t>
      </w:r>
      <w:r w:rsidR="001F0513">
        <w:rPr>
          <w:rFonts w:ascii="Times New Roman" w:eastAsia="MS PGothic" w:hAnsi="Times New Roman"/>
          <w:lang w:val="en-US" w:eastAsia="ko-KR"/>
        </w:rPr>
        <w:t xml:space="preserve">, </w:t>
      </w:r>
      <w:r w:rsidR="00AC2597">
        <w:rPr>
          <w:rFonts w:ascii="Times New Roman" w:eastAsia="MS PGothic" w:hAnsi="Times New Roman"/>
          <w:lang w:val="en-US" w:eastAsia="ko-KR"/>
        </w:rPr>
        <w:t>4</w:t>
      </w:r>
      <w:r w:rsidR="001F0513">
        <w:rPr>
          <w:rFonts w:ascii="Times New Roman" w:eastAsia="MS PGothic" w:hAnsi="Times New Roman"/>
          <w:lang w:val="en-US" w:eastAsia="ko-KR"/>
        </w:rPr>
        <w:t>]</w:t>
      </w:r>
      <w:r w:rsidR="00241A4F">
        <w:rPr>
          <w:rFonts w:ascii="Times New Roman" w:eastAsia="MS PGothic" w:hAnsi="Times New Roman"/>
          <w:lang w:val="en-US" w:eastAsia="ko-KR"/>
        </w:rPr>
        <w:t>.</w:t>
      </w:r>
    </w:p>
    <w:p w14:paraId="123DE9D5" w14:textId="434CDC0A" w:rsidR="00D0688A" w:rsidRPr="00D0688A" w:rsidRDefault="00DB692A" w:rsidP="00EE28DE">
      <w:pPr>
        <w:snapToGrid w:val="0"/>
        <w:spacing w:before="240" w:line="240" w:lineRule="auto"/>
        <w:jc w:val="both"/>
        <w:rPr>
          <w:rFonts w:ascii="Times New Roman" w:eastAsia="MS PGothic" w:hAnsi="Times New Roman"/>
          <w:lang w:val="en-US" w:eastAsia="ko-KR"/>
        </w:rPr>
      </w:pPr>
      <w:r>
        <w:rPr>
          <w:rFonts w:ascii="Times New Roman" w:eastAsia="MS PGothic" w:hAnsi="Times New Roman"/>
          <w:lang w:val="en-US" w:eastAsia="ko-KR"/>
        </w:rPr>
        <w:t>I</w:t>
      </w:r>
      <w:r w:rsidR="0008581F">
        <w:rPr>
          <w:rFonts w:ascii="Times New Roman" w:eastAsia="MS PGothic" w:hAnsi="Times New Roman"/>
          <w:lang w:val="en-US" w:eastAsia="ko-KR"/>
        </w:rPr>
        <w:t xml:space="preserve">t is important to </w:t>
      </w:r>
      <w:r>
        <w:rPr>
          <w:rFonts w:ascii="Times New Roman" w:eastAsia="MS PGothic" w:hAnsi="Times New Roman"/>
          <w:lang w:val="en-US" w:eastAsia="ko-KR"/>
        </w:rPr>
        <w:t xml:space="preserve">note </w:t>
      </w:r>
      <w:r w:rsidR="0008581F">
        <w:rPr>
          <w:rFonts w:ascii="Times New Roman" w:eastAsia="MS PGothic" w:hAnsi="Times New Roman"/>
          <w:lang w:val="en-US" w:eastAsia="ko-KR"/>
        </w:rPr>
        <w:t xml:space="preserve">that </w:t>
      </w:r>
      <w:r w:rsidR="0086552A">
        <w:rPr>
          <w:rFonts w:ascii="Times New Roman" w:eastAsia="MS PGothic" w:hAnsi="Times New Roman"/>
          <w:lang w:val="en-US" w:eastAsia="ko-KR"/>
        </w:rPr>
        <w:t>most of</w:t>
      </w:r>
      <w:r w:rsidR="00005BA2">
        <w:rPr>
          <w:rFonts w:ascii="Times New Roman" w:eastAsia="MS PGothic" w:hAnsi="Times New Roman"/>
          <w:lang w:val="en-US" w:eastAsia="ko-KR"/>
        </w:rPr>
        <w:t xml:space="preserve"> </w:t>
      </w:r>
      <w:r w:rsidR="005779EA">
        <w:rPr>
          <w:rFonts w:ascii="Times New Roman" w:eastAsia="MS PGothic" w:hAnsi="Times New Roman"/>
          <w:lang w:val="en-US" w:eastAsia="ko-KR"/>
        </w:rPr>
        <w:t>the VS derived from acetate and ethanol was converted into biogas, wh</w:t>
      </w:r>
      <w:r w:rsidR="00E44E0B">
        <w:rPr>
          <w:rFonts w:ascii="Times New Roman" w:eastAsia="MS PGothic" w:hAnsi="Times New Roman"/>
          <w:lang w:val="en-US" w:eastAsia="ko-KR"/>
        </w:rPr>
        <w:t>ose produced amount was about 2.3L</w:t>
      </w:r>
      <w:r w:rsidR="004D5899">
        <w:rPr>
          <w:rFonts w:ascii="Times New Roman" w:eastAsia="MS PGothic" w:hAnsi="Times New Roman"/>
          <w:lang w:val="en-US" w:eastAsia="ko-KR"/>
        </w:rPr>
        <w:t>. It corresponded to</w:t>
      </w:r>
      <w:r w:rsidR="00E44E0B">
        <w:rPr>
          <w:rFonts w:ascii="Times New Roman" w:eastAsia="MS PGothic" w:hAnsi="Times New Roman"/>
          <w:lang w:val="en-US" w:eastAsia="ko-KR"/>
        </w:rPr>
        <w:t xml:space="preserve"> about </w:t>
      </w:r>
      <w:r w:rsidR="00162344">
        <w:rPr>
          <w:rFonts w:ascii="Times New Roman" w:eastAsia="MS PGothic" w:hAnsi="Times New Roman"/>
          <w:lang w:val="en-US" w:eastAsia="ko-KR"/>
        </w:rPr>
        <w:t>58</w:t>
      </w:r>
      <w:r w:rsidR="00247BAF">
        <w:rPr>
          <w:rFonts w:ascii="Times New Roman" w:eastAsia="MS PGothic" w:hAnsi="Times New Roman"/>
          <w:lang w:val="en-US" w:eastAsia="ko-KR"/>
        </w:rPr>
        <w:t xml:space="preserve">0 </w:t>
      </w:r>
      <w:proofErr w:type="spellStart"/>
      <w:r w:rsidR="00247BAF">
        <w:rPr>
          <w:rFonts w:ascii="Times New Roman" w:eastAsia="MS PGothic" w:hAnsi="Times New Roman"/>
          <w:lang w:val="en-US" w:eastAsia="ko-KR"/>
        </w:rPr>
        <w:t>m</w:t>
      </w:r>
      <w:r w:rsidR="003B5B04">
        <w:rPr>
          <w:rFonts w:ascii="Times New Roman" w:eastAsia="MS PGothic" w:hAnsi="Times New Roman"/>
          <w:lang w:val="en-US" w:eastAsia="ko-KR"/>
        </w:rPr>
        <w:t>L</w:t>
      </w:r>
      <w:r w:rsidR="003B5B04" w:rsidRPr="00BD570C">
        <w:rPr>
          <w:rFonts w:ascii="Times New Roman" w:eastAsia="MS PGothic" w:hAnsi="Times New Roman"/>
          <w:vertAlign w:val="subscript"/>
          <w:lang w:val="en-US" w:eastAsia="ko-KR"/>
        </w:rPr>
        <w:t>biogas</w:t>
      </w:r>
      <w:proofErr w:type="spellEnd"/>
      <w:r w:rsidR="003B5B04">
        <w:rPr>
          <w:rFonts w:ascii="Times New Roman" w:eastAsia="MS PGothic" w:hAnsi="Times New Roman"/>
          <w:lang w:val="en-US" w:eastAsia="ko-KR"/>
        </w:rPr>
        <w:t>/</w:t>
      </w:r>
      <w:proofErr w:type="spellStart"/>
      <w:r w:rsidR="003B5B04">
        <w:rPr>
          <w:rFonts w:ascii="Times New Roman" w:eastAsia="MS PGothic" w:hAnsi="Times New Roman"/>
          <w:lang w:val="en-US" w:eastAsia="ko-KR"/>
        </w:rPr>
        <w:t>g</w:t>
      </w:r>
      <w:r w:rsidR="003B5B04" w:rsidRPr="00BD570C">
        <w:rPr>
          <w:rFonts w:ascii="Times New Roman" w:eastAsia="MS PGothic" w:hAnsi="Times New Roman"/>
          <w:vertAlign w:val="subscript"/>
          <w:lang w:val="en-US" w:eastAsia="ko-KR"/>
        </w:rPr>
        <w:t>VS</w:t>
      </w:r>
      <w:proofErr w:type="spellEnd"/>
      <w:r w:rsidR="00EF0B7D">
        <w:rPr>
          <w:rFonts w:ascii="Times New Roman" w:eastAsia="MS PGothic" w:hAnsi="Times New Roman"/>
          <w:lang w:val="en-US" w:eastAsia="ko-KR"/>
        </w:rPr>
        <w:t>, for the batch test of an acetate: ethanol molar ratio of 1:5</w:t>
      </w:r>
      <w:r w:rsidR="003B5B04">
        <w:rPr>
          <w:rFonts w:ascii="Times New Roman" w:eastAsia="MS PGothic" w:hAnsi="Times New Roman"/>
          <w:lang w:val="en-US" w:eastAsia="ko-KR"/>
        </w:rPr>
        <w:t xml:space="preserve">. </w:t>
      </w:r>
      <w:r w:rsidR="00973384">
        <w:rPr>
          <w:rFonts w:ascii="Times New Roman" w:eastAsia="MS PGothic" w:hAnsi="Times New Roman"/>
          <w:lang w:val="en-US" w:eastAsia="ko-KR"/>
        </w:rPr>
        <w:t>Consequently,</w:t>
      </w:r>
      <w:r w:rsidR="007307C4">
        <w:rPr>
          <w:rFonts w:ascii="Times New Roman" w:eastAsia="MS PGothic" w:hAnsi="Times New Roman"/>
          <w:lang w:val="en-US" w:eastAsia="ko-KR"/>
        </w:rPr>
        <w:t xml:space="preserve"> </w:t>
      </w:r>
      <w:r w:rsidR="009172FB">
        <w:rPr>
          <w:rFonts w:ascii="Times New Roman" w:eastAsia="MS PGothic" w:hAnsi="Times New Roman"/>
          <w:lang w:val="en-US" w:eastAsia="ko-KR"/>
        </w:rPr>
        <w:t xml:space="preserve">VS were converted for the 60% into biogas, for the </w:t>
      </w:r>
      <w:r w:rsidR="00CB5484">
        <w:rPr>
          <w:rFonts w:ascii="Times New Roman" w:eastAsia="MS PGothic" w:hAnsi="Times New Roman"/>
          <w:lang w:val="en-US" w:eastAsia="ko-KR"/>
        </w:rPr>
        <w:t>2</w:t>
      </w:r>
      <w:r w:rsidR="00065A81">
        <w:rPr>
          <w:rFonts w:ascii="Times New Roman" w:eastAsia="MS PGothic" w:hAnsi="Times New Roman"/>
          <w:lang w:val="en-US" w:eastAsia="ko-KR"/>
        </w:rPr>
        <w:t xml:space="preserve">7% into VFAs and for the 6% into MCFAs. </w:t>
      </w:r>
      <w:r w:rsidR="006A50FC">
        <w:rPr>
          <w:rFonts w:ascii="Times New Roman" w:eastAsia="MS PGothic" w:hAnsi="Times New Roman"/>
          <w:lang w:val="en-US" w:eastAsia="ko-KR"/>
        </w:rPr>
        <w:t>It demonstrated that batch configuration</w:t>
      </w:r>
      <w:r w:rsidR="004B0409">
        <w:rPr>
          <w:rFonts w:ascii="Times New Roman" w:eastAsia="MS PGothic" w:hAnsi="Times New Roman"/>
          <w:lang w:val="en-US" w:eastAsia="ko-KR"/>
        </w:rPr>
        <w:t xml:space="preserve"> can assure</w:t>
      </w:r>
      <w:r w:rsidR="006A50FC">
        <w:rPr>
          <w:rFonts w:ascii="Times New Roman" w:eastAsia="MS PGothic" w:hAnsi="Times New Roman"/>
          <w:lang w:val="en-US" w:eastAsia="ko-KR"/>
        </w:rPr>
        <w:t xml:space="preserve"> the conversion of the substrates into MCFAs </w:t>
      </w:r>
      <w:r w:rsidR="00A9140A">
        <w:rPr>
          <w:rFonts w:ascii="Times New Roman" w:eastAsia="MS PGothic" w:hAnsi="Times New Roman"/>
          <w:lang w:val="en-US" w:eastAsia="ko-KR"/>
        </w:rPr>
        <w:t>just for a minimal fraction, favoring the anaerobic digestion reaction</w:t>
      </w:r>
      <w:r w:rsidR="00FF57B0">
        <w:rPr>
          <w:rFonts w:ascii="Times New Roman" w:eastAsia="MS PGothic" w:hAnsi="Times New Roman"/>
          <w:lang w:val="en-US" w:eastAsia="ko-KR"/>
        </w:rPr>
        <w:t>s for biogas productio</w:t>
      </w:r>
      <w:r w:rsidR="004B0409">
        <w:rPr>
          <w:rFonts w:ascii="Times New Roman" w:eastAsia="MS PGothic" w:hAnsi="Times New Roman"/>
          <w:lang w:val="en-US" w:eastAsia="ko-KR"/>
        </w:rPr>
        <w:t>n</w:t>
      </w:r>
      <w:r w:rsidR="00D0688A">
        <w:rPr>
          <w:rFonts w:ascii="Times New Roman" w:eastAsia="MS PGothic" w:hAnsi="Times New Roman"/>
          <w:lang w:val="en-US" w:eastAsia="ko-KR"/>
        </w:rPr>
        <w:t xml:space="preserve">. The selection of </w:t>
      </w:r>
      <w:r w:rsidR="00DA5EE4">
        <w:rPr>
          <w:rFonts w:ascii="Times New Roman" w:eastAsia="MS PGothic" w:hAnsi="Times New Roman"/>
          <w:lang w:val="en-US" w:eastAsia="ko-KR"/>
        </w:rPr>
        <w:t xml:space="preserve">MCFAs producing microorganisms could be made just with a </w:t>
      </w:r>
      <w:r w:rsidR="0054537F">
        <w:rPr>
          <w:rFonts w:ascii="Times New Roman" w:eastAsia="MS PGothic" w:hAnsi="Times New Roman"/>
          <w:lang w:val="en-US" w:eastAsia="ko-KR"/>
        </w:rPr>
        <w:t>continuous</w:t>
      </w:r>
      <w:r w:rsidR="00DA5EE4">
        <w:rPr>
          <w:rFonts w:ascii="Times New Roman" w:eastAsia="MS PGothic" w:hAnsi="Times New Roman"/>
          <w:lang w:val="en-US" w:eastAsia="ko-KR"/>
        </w:rPr>
        <w:t xml:space="preserve"> </w:t>
      </w:r>
      <w:r w:rsidR="00D47C14">
        <w:rPr>
          <w:rFonts w:ascii="Times New Roman" w:eastAsia="MS PGothic" w:hAnsi="Times New Roman"/>
          <w:lang w:val="en-US" w:eastAsia="ko-KR"/>
        </w:rPr>
        <w:t xml:space="preserve">feeding of the acetate and ethanol, and consequently with </w:t>
      </w:r>
      <w:r w:rsidR="0054537F">
        <w:rPr>
          <w:rFonts w:ascii="Times New Roman" w:eastAsia="MS PGothic" w:hAnsi="Times New Roman"/>
          <w:lang w:val="en-US" w:eastAsia="ko-KR"/>
        </w:rPr>
        <w:t>a CSTR configuration.</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4101BE91" w:rsidR="00DA51A3" w:rsidRDefault="006714B5" w:rsidP="007B41E1">
      <w:pPr>
        <w:snapToGrid w:val="0"/>
        <w:spacing w:after="120"/>
        <w:jc w:val="both"/>
        <w:rPr>
          <w:rFonts w:ascii="Times New Roman" w:eastAsia="MS PGothic" w:hAnsi="Times New Roman"/>
          <w:lang w:val="en-US" w:eastAsia="ko-KR"/>
        </w:rPr>
      </w:pPr>
      <w:r>
        <w:rPr>
          <w:rFonts w:ascii="Times New Roman" w:eastAsia="MS PGothic" w:hAnsi="Times New Roman"/>
          <w:lang w:val="en-US"/>
        </w:rPr>
        <w:t xml:space="preserve">A preliminary research work for MCFAs production at batch tests allowed </w:t>
      </w:r>
      <w:r w:rsidR="0064118F">
        <w:rPr>
          <w:rFonts w:ascii="Times New Roman" w:eastAsia="MS PGothic" w:hAnsi="Times New Roman"/>
          <w:lang w:val="en-US"/>
        </w:rPr>
        <w:t xml:space="preserve">the selection of </w:t>
      </w:r>
      <w:r>
        <w:rPr>
          <w:rFonts w:ascii="Times New Roman" w:eastAsia="MS PGothic" w:hAnsi="Times New Roman"/>
          <w:lang w:val="en-US"/>
        </w:rPr>
        <w:t xml:space="preserve">the best operational conditions to increase the yield’s process. It emerged that </w:t>
      </w:r>
      <w:r w:rsidR="00A00DD8">
        <w:rPr>
          <w:rFonts w:ascii="Times New Roman" w:eastAsia="MS PGothic" w:hAnsi="Times New Roman"/>
          <w:lang w:val="en-US"/>
        </w:rPr>
        <w:t xml:space="preserve">a neutral pH and an acetate: ethanol molar ratio of 1:5 </w:t>
      </w:r>
      <w:r w:rsidR="008A56C3">
        <w:rPr>
          <w:rFonts w:ascii="Times New Roman" w:eastAsia="MS PGothic" w:hAnsi="Times New Roman"/>
          <w:lang w:val="en-US"/>
        </w:rPr>
        <w:t>optimized the MCFAs production yield, achieving a final conversion of the 6%</w:t>
      </w:r>
      <w:r>
        <w:rPr>
          <w:rFonts w:ascii="Times New Roman" w:eastAsia="MS PGothic" w:hAnsi="Times New Roman"/>
          <w:lang w:val="en-US"/>
        </w:rPr>
        <w:t xml:space="preserve"> </w:t>
      </w:r>
      <w:r w:rsidR="00D5761B">
        <w:rPr>
          <w:rFonts w:ascii="Times New Roman" w:eastAsia="MS PGothic" w:hAnsi="Times New Roman"/>
          <w:lang w:val="en-US"/>
        </w:rPr>
        <w:t xml:space="preserve">w/w </w:t>
      </w:r>
      <w:r w:rsidR="00F35685">
        <w:rPr>
          <w:rFonts w:ascii="Times New Roman" w:eastAsia="MS PGothic" w:hAnsi="Times New Roman"/>
          <w:lang w:val="en-US"/>
        </w:rPr>
        <w:t xml:space="preserve">of the substrates (VS based). </w:t>
      </w:r>
      <w:r w:rsidR="008C564C">
        <w:rPr>
          <w:rFonts w:ascii="Times New Roman" w:eastAsia="MS PGothic" w:hAnsi="Times New Roman"/>
          <w:lang w:val="en-US"/>
        </w:rPr>
        <w:t xml:space="preserve">Considering the high VS conversion </w:t>
      </w:r>
      <w:r w:rsidR="00D5761B">
        <w:rPr>
          <w:rFonts w:ascii="Times New Roman" w:eastAsia="MS PGothic" w:hAnsi="Times New Roman"/>
          <w:lang w:val="en-US"/>
        </w:rPr>
        <w:t>into VFAs (2</w:t>
      </w:r>
      <w:r w:rsidR="004959C9">
        <w:rPr>
          <w:rFonts w:ascii="Times New Roman" w:eastAsia="MS PGothic" w:hAnsi="Times New Roman"/>
          <w:lang w:val="en-US"/>
        </w:rPr>
        <w:t>7</w:t>
      </w:r>
      <w:r w:rsidR="00D5761B">
        <w:rPr>
          <w:rFonts w:ascii="Times New Roman" w:eastAsia="MS PGothic" w:hAnsi="Times New Roman"/>
          <w:lang w:val="en-US"/>
        </w:rPr>
        <w:t>% w/w) and</w:t>
      </w:r>
      <w:r w:rsidR="00F01AA8">
        <w:rPr>
          <w:rFonts w:ascii="Times New Roman" w:eastAsia="MS PGothic" w:hAnsi="Times New Roman"/>
          <w:lang w:val="en-US"/>
        </w:rPr>
        <w:t xml:space="preserve"> of butyric acid (</w:t>
      </w:r>
      <w:r w:rsidR="00D90965">
        <w:rPr>
          <w:rFonts w:ascii="Times New Roman" w:eastAsia="MS PGothic" w:hAnsi="Times New Roman"/>
          <w:lang w:val="en-US"/>
        </w:rPr>
        <w:t xml:space="preserve">representing the 90% w/w of the total VFAs), it emerged that 10 days were not enough to assure the completing of reverse </w:t>
      </w:r>
      <w:r w:rsidR="00D90965" w:rsidRPr="0029771C">
        <w:rPr>
          <w:rFonts w:ascii="Times New Roman" w:eastAsia="MS PGothic" w:hAnsi="Times New Roman"/>
          <w:lang w:val="en-US" w:eastAsia="ko-KR"/>
        </w:rPr>
        <w:t>β-oxidation</w:t>
      </w:r>
      <w:r w:rsidR="00D90965">
        <w:rPr>
          <w:rFonts w:ascii="Times New Roman" w:eastAsia="MS PGothic" w:hAnsi="Times New Roman"/>
          <w:lang w:val="en-US" w:eastAsia="ko-KR"/>
        </w:rPr>
        <w:t xml:space="preserve"> reactions</w:t>
      </w:r>
      <w:r w:rsidR="00A8116A">
        <w:rPr>
          <w:rFonts w:ascii="Times New Roman" w:eastAsia="MS PGothic" w:hAnsi="Times New Roman"/>
          <w:lang w:val="en-US" w:eastAsia="ko-KR"/>
        </w:rPr>
        <w:t xml:space="preserve"> of the VFAs into MCFAs</w:t>
      </w:r>
      <w:r w:rsidR="00D90965">
        <w:rPr>
          <w:rFonts w:ascii="Times New Roman" w:eastAsia="MS PGothic" w:hAnsi="Times New Roman"/>
          <w:lang w:val="en-US" w:eastAsia="ko-KR"/>
        </w:rPr>
        <w:t>.</w:t>
      </w:r>
      <w:r w:rsidR="00196B46">
        <w:rPr>
          <w:rFonts w:ascii="Times New Roman" w:eastAsia="MS PGothic" w:hAnsi="Times New Roman"/>
          <w:lang w:val="en-US" w:eastAsia="ko-KR"/>
        </w:rPr>
        <w:t xml:space="preserve"> Fi</w:t>
      </w:r>
      <w:r w:rsidR="00FC7489">
        <w:rPr>
          <w:rFonts w:ascii="Times New Roman" w:eastAsia="MS PGothic" w:hAnsi="Times New Roman"/>
          <w:lang w:val="en-US" w:eastAsia="ko-KR"/>
        </w:rPr>
        <w:t xml:space="preserve">nally, it was </w:t>
      </w:r>
      <w:r w:rsidR="00E639F0">
        <w:rPr>
          <w:rFonts w:ascii="Times New Roman" w:eastAsia="MS PGothic" w:hAnsi="Times New Roman"/>
          <w:lang w:val="en-US" w:eastAsia="ko-KR"/>
        </w:rPr>
        <w:t>demonstrated that batch test favored the anaerobic digestion reaction</w:t>
      </w:r>
      <w:r w:rsidR="00A8116A">
        <w:rPr>
          <w:rFonts w:ascii="Times New Roman" w:eastAsia="MS PGothic" w:hAnsi="Times New Roman"/>
          <w:lang w:val="en-US" w:eastAsia="ko-KR"/>
        </w:rPr>
        <w:t>s</w:t>
      </w:r>
      <w:r w:rsidR="00E639F0">
        <w:rPr>
          <w:rFonts w:ascii="Times New Roman" w:eastAsia="MS PGothic" w:hAnsi="Times New Roman"/>
          <w:lang w:val="en-US" w:eastAsia="ko-KR"/>
        </w:rPr>
        <w:t xml:space="preserve"> for biogas production rather than the selection of MCFAs producing microorganism.</w:t>
      </w:r>
    </w:p>
    <w:p w14:paraId="1586E3EC" w14:textId="6072875E" w:rsidR="00E639F0" w:rsidRPr="00466FFD" w:rsidRDefault="00E639F0" w:rsidP="007B41E1">
      <w:pPr>
        <w:snapToGrid w:val="0"/>
        <w:spacing w:after="120"/>
        <w:jc w:val="both"/>
        <w:rPr>
          <w:rFonts w:ascii="Times New Roman" w:eastAsia="MS PGothic" w:hAnsi="Times New Roman"/>
          <w:lang w:val="en-US"/>
        </w:rPr>
      </w:pPr>
      <w:r>
        <w:rPr>
          <w:rFonts w:ascii="Times New Roman" w:eastAsia="MS PGothic" w:hAnsi="Times New Roman"/>
          <w:lang w:val="en-US" w:eastAsia="ko-KR"/>
        </w:rPr>
        <w:t>A continuous test operated at neutral pH, an acetate</w:t>
      </w:r>
      <w:r w:rsidR="007B41E1">
        <w:rPr>
          <w:rFonts w:ascii="Times New Roman" w:eastAsia="MS PGothic" w:hAnsi="Times New Roman"/>
          <w:lang w:val="en-US" w:eastAsia="ko-KR"/>
        </w:rPr>
        <w:t>:</w:t>
      </w:r>
      <w:r w:rsidR="00AC2597">
        <w:rPr>
          <w:rFonts w:ascii="Times New Roman" w:eastAsia="MS PGothic" w:hAnsi="Times New Roman"/>
          <w:lang w:val="en-US" w:eastAsia="ko-KR"/>
        </w:rPr>
        <w:t xml:space="preserve"> </w:t>
      </w:r>
      <w:r w:rsidR="007B41E1">
        <w:rPr>
          <w:rFonts w:ascii="Times New Roman" w:eastAsia="MS PGothic" w:hAnsi="Times New Roman"/>
          <w:lang w:val="en-US" w:eastAsia="ko-KR"/>
        </w:rPr>
        <w:t xml:space="preserve">ethanol molar ratio of 1:5 and at high HRT (25 days) is still running and its results will be available in the next future. </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51D700C9" w14:textId="2DF2A01C" w:rsidR="00BD7D3F" w:rsidRPr="005870C8" w:rsidRDefault="00BD7D3F" w:rsidP="00673247">
      <w:pPr>
        <w:widowControl w:val="0"/>
        <w:autoSpaceDE w:val="0"/>
        <w:autoSpaceDN w:val="0"/>
        <w:adjustRightInd w:val="0"/>
        <w:spacing w:line="276" w:lineRule="auto"/>
        <w:ind w:left="480" w:hanging="480"/>
        <w:jc w:val="both"/>
        <w:rPr>
          <w:rFonts w:ascii="Times New Roman" w:hAnsi="Times New Roman" w:cs="Times New Roman"/>
          <w:noProof/>
          <w:sz w:val="21"/>
        </w:rPr>
      </w:pPr>
      <w:r w:rsidRPr="00673247">
        <w:rPr>
          <w:rFonts w:ascii="Times New Roman" w:hAnsi="Times New Roman" w:cs="Times New Roman"/>
          <w:sz w:val="21"/>
          <w:szCs w:val="21"/>
          <w:lang w:val="en-US"/>
        </w:rPr>
        <w:t xml:space="preserve">[1] </w:t>
      </w:r>
      <w:r w:rsidRPr="00673247">
        <w:rPr>
          <w:rFonts w:ascii="Times New Roman" w:hAnsi="Times New Roman" w:cs="Times New Roman"/>
          <w:noProof/>
          <w:sz w:val="21"/>
          <w:lang w:val="en-US"/>
        </w:rPr>
        <w:t xml:space="preserve">Venkateswar Reddy, M., Kumar, G., Mohanakrishna, G., Shobana, S., &amp; Al-Raoush, R. I. (2020). Review on the production of medium and small chain fatty acids through waste valorization and CO2 fixation. </w:t>
      </w:r>
      <w:r w:rsidRPr="005870C8">
        <w:rPr>
          <w:rFonts w:ascii="Times New Roman" w:hAnsi="Times New Roman" w:cs="Times New Roman"/>
          <w:i/>
          <w:iCs/>
          <w:noProof/>
          <w:sz w:val="21"/>
        </w:rPr>
        <w:lastRenderedPageBreak/>
        <w:t>Bioresource Technology</w:t>
      </w:r>
      <w:r w:rsidRPr="005870C8">
        <w:rPr>
          <w:rFonts w:ascii="Times New Roman" w:hAnsi="Times New Roman" w:cs="Times New Roman"/>
          <w:noProof/>
          <w:sz w:val="21"/>
        </w:rPr>
        <w:t xml:space="preserve">, </w:t>
      </w:r>
      <w:r w:rsidRPr="005870C8">
        <w:rPr>
          <w:rFonts w:ascii="Times New Roman" w:hAnsi="Times New Roman" w:cs="Times New Roman"/>
          <w:i/>
          <w:iCs/>
          <w:noProof/>
          <w:sz w:val="21"/>
        </w:rPr>
        <w:t>309</w:t>
      </w:r>
      <w:r w:rsidRPr="005870C8">
        <w:rPr>
          <w:rFonts w:ascii="Times New Roman" w:hAnsi="Times New Roman" w:cs="Times New Roman"/>
          <w:noProof/>
          <w:sz w:val="21"/>
        </w:rPr>
        <w:t xml:space="preserve">(April), 123400. </w:t>
      </w:r>
      <w:hyperlink r:id="rId9" w:history="1">
        <w:r w:rsidR="00AC2597" w:rsidRPr="005870C8">
          <w:rPr>
            <w:rStyle w:val="Collegamentoipertestuale"/>
            <w:rFonts w:ascii="Times New Roman" w:hAnsi="Times New Roman" w:cs="Times New Roman"/>
            <w:noProof/>
            <w:sz w:val="21"/>
          </w:rPr>
          <w:t>https://doi.org/10.1016/j.biortech.2020.123400</w:t>
        </w:r>
      </w:hyperlink>
    </w:p>
    <w:p w14:paraId="753583A3" w14:textId="26EA5024" w:rsidR="00AC2597" w:rsidRPr="00AC2597" w:rsidRDefault="00AC2597" w:rsidP="00AC2597">
      <w:pPr>
        <w:widowControl w:val="0"/>
        <w:autoSpaceDE w:val="0"/>
        <w:autoSpaceDN w:val="0"/>
        <w:adjustRightInd w:val="0"/>
        <w:spacing w:line="276" w:lineRule="auto"/>
        <w:ind w:left="480" w:hanging="480"/>
        <w:jc w:val="both"/>
        <w:rPr>
          <w:rFonts w:ascii="Times New Roman" w:hAnsi="Times New Roman" w:cs="Times New Roman"/>
          <w:noProof/>
          <w:sz w:val="21"/>
          <w:lang w:val="en-US"/>
        </w:rPr>
      </w:pPr>
      <w:r w:rsidRPr="00AC2597">
        <w:rPr>
          <w:rFonts w:ascii="Times New Roman" w:hAnsi="Times New Roman" w:cs="Times New Roman"/>
          <w:noProof/>
          <w:sz w:val="21"/>
        </w:rPr>
        <w:t xml:space="preserve">[2] </w:t>
      </w:r>
      <w:r w:rsidRPr="009D1B69">
        <w:rPr>
          <w:rFonts w:ascii="Times New Roman" w:hAnsi="Times New Roman" w:cs="Times New Roman"/>
          <w:noProof/>
          <w:sz w:val="21"/>
        </w:rPr>
        <w:t>Strazzera, G., Battista, F., Andreolli, M., ...Bolzonella, D., Lampis, S.</w:t>
      </w:r>
      <w:r>
        <w:rPr>
          <w:rFonts w:ascii="Times New Roman" w:hAnsi="Times New Roman" w:cs="Times New Roman"/>
          <w:noProof/>
          <w:sz w:val="21"/>
        </w:rPr>
        <w:t xml:space="preserve"> (2021). </w:t>
      </w:r>
      <w:r w:rsidRPr="00AC2597">
        <w:rPr>
          <w:rFonts w:ascii="Times New Roman" w:hAnsi="Times New Roman" w:cs="Times New Roman"/>
          <w:noProof/>
          <w:sz w:val="21"/>
          <w:lang w:val="en-US"/>
        </w:rPr>
        <w:t>Influence of different household Food Wastes Fractions on Volatile Fatty Acids production by anaerobic fermentation</w:t>
      </w:r>
      <w:r>
        <w:rPr>
          <w:rFonts w:ascii="Times New Roman" w:hAnsi="Times New Roman" w:cs="Times New Roman"/>
          <w:noProof/>
          <w:sz w:val="21"/>
          <w:lang w:val="en-US"/>
        </w:rPr>
        <w:t xml:space="preserve">. Bioresource technology, </w:t>
      </w:r>
      <w:r w:rsidRPr="00AC2597">
        <w:rPr>
          <w:rFonts w:ascii="Times New Roman" w:hAnsi="Times New Roman" w:cs="Times New Roman"/>
          <w:noProof/>
          <w:sz w:val="21"/>
          <w:lang w:val="en-US"/>
        </w:rPr>
        <w:t>335, 125289</w:t>
      </w:r>
      <w:r>
        <w:rPr>
          <w:rFonts w:ascii="Times New Roman" w:hAnsi="Times New Roman" w:cs="Times New Roman"/>
          <w:noProof/>
          <w:sz w:val="21"/>
          <w:lang w:val="en-US"/>
        </w:rPr>
        <w:t>. https://</w:t>
      </w:r>
      <w:r w:rsidRPr="00AC2597">
        <w:rPr>
          <w:lang w:val="en-US"/>
        </w:rPr>
        <w:t xml:space="preserve"> </w:t>
      </w:r>
      <w:r w:rsidRPr="00AC2597">
        <w:rPr>
          <w:rFonts w:ascii="Times New Roman" w:hAnsi="Times New Roman" w:cs="Times New Roman"/>
          <w:noProof/>
          <w:sz w:val="21"/>
          <w:lang w:val="en-US"/>
        </w:rPr>
        <w:t>10.1016/j.biortech.2021.125289</w:t>
      </w:r>
      <w:r>
        <w:rPr>
          <w:rFonts w:ascii="Times New Roman" w:hAnsi="Times New Roman" w:cs="Times New Roman"/>
          <w:noProof/>
          <w:sz w:val="21"/>
          <w:lang w:val="en-US"/>
        </w:rPr>
        <w:t xml:space="preserve"> </w:t>
      </w:r>
    </w:p>
    <w:p w14:paraId="592B406C" w14:textId="43C63CE4" w:rsidR="00B45B9F" w:rsidRPr="00673247" w:rsidRDefault="00BD7D3F" w:rsidP="00673247">
      <w:pPr>
        <w:widowControl w:val="0"/>
        <w:autoSpaceDE w:val="0"/>
        <w:autoSpaceDN w:val="0"/>
        <w:adjustRightInd w:val="0"/>
        <w:spacing w:line="276" w:lineRule="auto"/>
        <w:ind w:left="480" w:hanging="480"/>
        <w:jc w:val="both"/>
        <w:rPr>
          <w:rFonts w:ascii="Times New Roman" w:hAnsi="Times New Roman" w:cs="Times New Roman"/>
          <w:noProof/>
          <w:sz w:val="21"/>
          <w:szCs w:val="21"/>
          <w:lang w:val="en-US"/>
        </w:rPr>
      </w:pPr>
      <w:r w:rsidRPr="00673247">
        <w:rPr>
          <w:rFonts w:ascii="Times New Roman" w:hAnsi="Times New Roman" w:cs="Times New Roman"/>
          <w:sz w:val="21"/>
          <w:szCs w:val="21"/>
          <w:lang w:val="en-US"/>
        </w:rPr>
        <w:t>[</w:t>
      </w:r>
      <w:r w:rsidR="00AC2597">
        <w:rPr>
          <w:rFonts w:ascii="Times New Roman" w:hAnsi="Times New Roman" w:cs="Times New Roman"/>
          <w:sz w:val="21"/>
          <w:szCs w:val="21"/>
          <w:lang w:val="en-US"/>
        </w:rPr>
        <w:t>3</w:t>
      </w:r>
      <w:r w:rsidRPr="00673247">
        <w:rPr>
          <w:rFonts w:ascii="Times New Roman" w:hAnsi="Times New Roman" w:cs="Times New Roman"/>
          <w:sz w:val="21"/>
          <w:szCs w:val="21"/>
          <w:lang w:val="en-US"/>
        </w:rPr>
        <w:t>]</w:t>
      </w:r>
      <w:r w:rsidR="00B45B9F" w:rsidRPr="00673247">
        <w:rPr>
          <w:rFonts w:ascii="Times New Roman" w:hAnsi="Times New Roman" w:cs="Times New Roman"/>
          <w:sz w:val="21"/>
          <w:szCs w:val="21"/>
          <w:lang w:val="en-US"/>
        </w:rPr>
        <w:t xml:space="preserve"> </w:t>
      </w:r>
      <w:r w:rsidR="00B45B9F" w:rsidRPr="00673247">
        <w:rPr>
          <w:rFonts w:ascii="Times New Roman" w:hAnsi="Times New Roman" w:cs="Times New Roman"/>
          <w:noProof/>
          <w:sz w:val="21"/>
          <w:lang w:val="en-US"/>
        </w:rPr>
        <w:t xml:space="preserve">Zhang, C., Yang, L., Huo, S., Su, Y., &amp; Zhang, Y. (2021). Optimization of the Cell Immobilization-Based Chain-Elongation Process for Efficient n-Caproate Production. </w:t>
      </w:r>
      <w:r w:rsidR="00B45B9F" w:rsidRPr="00673247">
        <w:rPr>
          <w:rFonts w:ascii="Times New Roman" w:hAnsi="Times New Roman" w:cs="Times New Roman"/>
          <w:i/>
          <w:iCs/>
          <w:noProof/>
          <w:sz w:val="21"/>
          <w:lang w:val="en-US"/>
        </w:rPr>
        <w:t>ACS Sustainable Chemistry and Engineering</w:t>
      </w:r>
      <w:r w:rsidR="00B45B9F" w:rsidRPr="00673247">
        <w:rPr>
          <w:rFonts w:ascii="Times New Roman" w:hAnsi="Times New Roman" w:cs="Times New Roman"/>
          <w:noProof/>
          <w:sz w:val="21"/>
          <w:lang w:val="en-US"/>
        </w:rPr>
        <w:t xml:space="preserve">, </w:t>
      </w:r>
      <w:r w:rsidR="00B45B9F" w:rsidRPr="00673247">
        <w:rPr>
          <w:rFonts w:ascii="Times New Roman" w:hAnsi="Times New Roman" w:cs="Times New Roman"/>
          <w:i/>
          <w:iCs/>
          <w:noProof/>
          <w:sz w:val="21"/>
          <w:lang w:val="en-US"/>
        </w:rPr>
        <w:t>9</w:t>
      </w:r>
      <w:r w:rsidR="00B45B9F" w:rsidRPr="00673247">
        <w:rPr>
          <w:rFonts w:ascii="Times New Roman" w:hAnsi="Times New Roman" w:cs="Times New Roman"/>
          <w:noProof/>
          <w:sz w:val="21"/>
          <w:lang w:val="en-US"/>
        </w:rPr>
        <w:t>(11), 4014–4023. https://doi.org/10.1021/acssuschemeng.0c07281</w:t>
      </w:r>
    </w:p>
    <w:p w14:paraId="0FC25CEC" w14:textId="271AD132" w:rsidR="00D23C78" w:rsidRPr="00673247" w:rsidRDefault="00B45B9F" w:rsidP="00673247">
      <w:pPr>
        <w:widowControl w:val="0"/>
        <w:autoSpaceDE w:val="0"/>
        <w:autoSpaceDN w:val="0"/>
        <w:adjustRightInd w:val="0"/>
        <w:spacing w:line="276" w:lineRule="auto"/>
        <w:ind w:left="480" w:hanging="480"/>
        <w:jc w:val="both"/>
        <w:rPr>
          <w:rFonts w:ascii="Times New Roman" w:hAnsi="Times New Roman" w:cs="Times New Roman"/>
          <w:noProof/>
          <w:sz w:val="21"/>
          <w:lang w:val="en-US"/>
        </w:rPr>
      </w:pPr>
      <w:r w:rsidRPr="00673247">
        <w:rPr>
          <w:rFonts w:ascii="Times New Roman" w:hAnsi="Times New Roman" w:cs="Times New Roman"/>
          <w:sz w:val="21"/>
          <w:szCs w:val="21"/>
          <w:lang w:val="en-US"/>
        </w:rPr>
        <w:t>[</w:t>
      </w:r>
      <w:r w:rsidR="00AC2597">
        <w:rPr>
          <w:rFonts w:ascii="Times New Roman" w:hAnsi="Times New Roman" w:cs="Times New Roman"/>
          <w:sz w:val="21"/>
          <w:szCs w:val="21"/>
          <w:lang w:val="en-US"/>
        </w:rPr>
        <w:t>4</w:t>
      </w:r>
      <w:r w:rsidRPr="00673247">
        <w:rPr>
          <w:rFonts w:ascii="Times New Roman" w:hAnsi="Times New Roman" w:cs="Times New Roman"/>
          <w:sz w:val="21"/>
          <w:szCs w:val="21"/>
          <w:lang w:val="en-US"/>
        </w:rPr>
        <w:t xml:space="preserve">] </w:t>
      </w:r>
      <w:r w:rsidR="00D23C78" w:rsidRPr="00673247">
        <w:rPr>
          <w:rFonts w:ascii="Times New Roman" w:hAnsi="Times New Roman" w:cs="Times New Roman"/>
          <w:noProof/>
          <w:sz w:val="21"/>
          <w:lang w:val="en-US"/>
        </w:rPr>
        <w:t xml:space="preserve">Liu, Y., He, P., Shao, L., Zhang, H., &amp; Lü, F. (2017). Significant enhancement by biochar of caproate production via chain elongation. </w:t>
      </w:r>
      <w:r w:rsidR="00D23C78" w:rsidRPr="00673247">
        <w:rPr>
          <w:rFonts w:ascii="Times New Roman" w:hAnsi="Times New Roman" w:cs="Times New Roman"/>
          <w:i/>
          <w:iCs/>
          <w:noProof/>
          <w:sz w:val="21"/>
          <w:lang w:val="en-US"/>
        </w:rPr>
        <w:t>Water Research</w:t>
      </w:r>
      <w:r w:rsidR="00D23C78" w:rsidRPr="00673247">
        <w:rPr>
          <w:rFonts w:ascii="Times New Roman" w:hAnsi="Times New Roman" w:cs="Times New Roman"/>
          <w:noProof/>
          <w:sz w:val="21"/>
          <w:lang w:val="en-US"/>
        </w:rPr>
        <w:t xml:space="preserve">, </w:t>
      </w:r>
      <w:r w:rsidR="00D23C78" w:rsidRPr="00673247">
        <w:rPr>
          <w:rFonts w:ascii="Times New Roman" w:hAnsi="Times New Roman" w:cs="Times New Roman"/>
          <w:i/>
          <w:iCs/>
          <w:noProof/>
          <w:sz w:val="21"/>
          <w:lang w:val="en-US"/>
        </w:rPr>
        <w:t>119</w:t>
      </w:r>
      <w:r w:rsidR="00D23C78" w:rsidRPr="00673247">
        <w:rPr>
          <w:rFonts w:ascii="Times New Roman" w:hAnsi="Times New Roman" w:cs="Times New Roman"/>
          <w:noProof/>
          <w:sz w:val="21"/>
          <w:lang w:val="en-US"/>
        </w:rPr>
        <w:t>, 150–159. https://doi.org/10.1016/j.watres.2017.04.050</w:t>
      </w:r>
    </w:p>
    <w:p w14:paraId="5A650773" w14:textId="4AD820E3" w:rsidR="005B71B2" w:rsidRPr="001475C3" w:rsidRDefault="00D23C78" w:rsidP="001475C3">
      <w:pPr>
        <w:widowControl w:val="0"/>
        <w:autoSpaceDE w:val="0"/>
        <w:autoSpaceDN w:val="0"/>
        <w:adjustRightInd w:val="0"/>
        <w:spacing w:line="276" w:lineRule="auto"/>
        <w:ind w:left="480" w:hanging="480"/>
        <w:jc w:val="both"/>
        <w:rPr>
          <w:rFonts w:ascii="Times New Roman" w:hAnsi="Times New Roman" w:cs="Times New Roman"/>
          <w:noProof/>
          <w:sz w:val="21"/>
          <w:lang w:val="en-US"/>
        </w:rPr>
      </w:pPr>
      <w:r w:rsidRPr="001475C3">
        <w:rPr>
          <w:rFonts w:ascii="Times New Roman" w:hAnsi="Times New Roman" w:cs="Times New Roman"/>
          <w:noProof/>
          <w:sz w:val="21"/>
          <w:lang w:val="en-US"/>
        </w:rPr>
        <w:t>[</w:t>
      </w:r>
      <w:r w:rsidR="00AC2597">
        <w:rPr>
          <w:rFonts w:ascii="Times New Roman" w:hAnsi="Times New Roman" w:cs="Times New Roman"/>
          <w:noProof/>
          <w:sz w:val="21"/>
          <w:lang w:val="en-US"/>
        </w:rPr>
        <w:t>5</w:t>
      </w:r>
      <w:r w:rsidRPr="001475C3">
        <w:rPr>
          <w:rFonts w:ascii="Times New Roman" w:hAnsi="Times New Roman" w:cs="Times New Roman"/>
          <w:noProof/>
          <w:sz w:val="21"/>
          <w:lang w:val="en-US"/>
        </w:rPr>
        <w:t xml:space="preserve">] </w:t>
      </w:r>
      <w:r w:rsidR="003F4CBA" w:rsidRPr="001475C3">
        <w:rPr>
          <w:rFonts w:ascii="Times New Roman" w:hAnsi="Times New Roman" w:cs="Times New Roman"/>
          <w:noProof/>
          <w:sz w:val="21"/>
          <w:lang w:val="en-US"/>
        </w:rPr>
        <w:t>Holliger, C., Alves, M., Andrade, D., Angelidaki, I., Astals, S., Baier, U., Bougrier, Clair et al. (2016). Towards a standardization of biomethane potential tests. Water science and technology, 74(11), 2515-2522</w:t>
      </w:r>
      <w:r w:rsidR="00673247" w:rsidRPr="001475C3">
        <w:rPr>
          <w:rFonts w:ascii="Times New Roman" w:hAnsi="Times New Roman" w:cs="Times New Roman"/>
          <w:noProof/>
          <w:sz w:val="21"/>
          <w:lang w:val="en-US"/>
        </w:rPr>
        <w:t xml:space="preserve">. </w:t>
      </w:r>
      <w:r w:rsidR="003F4CBA" w:rsidRPr="001475C3">
        <w:rPr>
          <w:rFonts w:ascii="Times New Roman" w:hAnsi="Times New Roman" w:cs="Times New Roman"/>
          <w:noProof/>
          <w:sz w:val="21"/>
          <w:lang w:val="en-US"/>
        </w:rPr>
        <w:t>https://</w:t>
      </w:r>
      <w:r w:rsidR="00CE5EB4" w:rsidRPr="001475C3">
        <w:rPr>
          <w:rFonts w:ascii="Times New Roman" w:hAnsi="Times New Roman" w:cs="Times New Roman"/>
          <w:noProof/>
          <w:sz w:val="21"/>
          <w:lang w:val="en-US"/>
        </w:rPr>
        <w:t>doi.org/</w:t>
      </w:r>
      <w:r w:rsidR="003F4CBA" w:rsidRPr="001475C3">
        <w:rPr>
          <w:rFonts w:ascii="Times New Roman" w:hAnsi="Times New Roman" w:cs="Times New Roman"/>
          <w:noProof/>
          <w:sz w:val="21"/>
          <w:lang w:val="en-US"/>
        </w:rPr>
        <w:t>10.2166/wst.2016.336</w:t>
      </w:r>
    </w:p>
    <w:sectPr w:rsidR="005B71B2" w:rsidRPr="001475C3" w:rsidSect="001D0E0C">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E43D" w14:textId="77777777" w:rsidR="007D4CD4" w:rsidRDefault="007D4CD4" w:rsidP="001D0E0C">
      <w:pPr>
        <w:spacing w:after="0" w:line="240" w:lineRule="auto"/>
      </w:pPr>
      <w:r>
        <w:separator/>
      </w:r>
    </w:p>
  </w:endnote>
  <w:endnote w:type="continuationSeparator" w:id="0">
    <w:p w14:paraId="44208DB4" w14:textId="77777777" w:rsidR="007D4CD4" w:rsidRDefault="007D4CD4"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AF61" w14:textId="77777777" w:rsidR="007D4CD4" w:rsidRDefault="007D4CD4" w:rsidP="001D0E0C">
      <w:pPr>
        <w:spacing w:after="0" w:line="240" w:lineRule="auto"/>
      </w:pPr>
      <w:r>
        <w:separator/>
      </w:r>
    </w:p>
  </w:footnote>
  <w:footnote w:type="continuationSeparator" w:id="0">
    <w:p w14:paraId="0C4C5B6E" w14:textId="77777777" w:rsidR="007D4CD4" w:rsidRDefault="007D4CD4"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51AF6502"/>
    <w:multiLevelType w:val="multilevel"/>
    <w:tmpl w:val="E37A55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5BA2"/>
    <w:rsid w:val="00021303"/>
    <w:rsid w:val="000517B4"/>
    <w:rsid w:val="00054C84"/>
    <w:rsid w:val="00065A81"/>
    <w:rsid w:val="000743D0"/>
    <w:rsid w:val="0008581F"/>
    <w:rsid w:val="000B327B"/>
    <w:rsid w:val="000B6FFC"/>
    <w:rsid w:val="000E0819"/>
    <w:rsid w:val="000E4175"/>
    <w:rsid w:val="000E7B50"/>
    <w:rsid w:val="001128DF"/>
    <w:rsid w:val="001475C3"/>
    <w:rsid w:val="00154840"/>
    <w:rsid w:val="00162344"/>
    <w:rsid w:val="0018667F"/>
    <w:rsid w:val="00196B46"/>
    <w:rsid w:val="001B060D"/>
    <w:rsid w:val="001D0E0C"/>
    <w:rsid w:val="001F0513"/>
    <w:rsid w:val="002071CF"/>
    <w:rsid w:val="0020722B"/>
    <w:rsid w:val="00241A4F"/>
    <w:rsid w:val="00247BAF"/>
    <w:rsid w:val="0029771C"/>
    <w:rsid w:val="0034630B"/>
    <w:rsid w:val="00382068"/>
    <w:rsid w:val="003B5B04"/>
    <w:rsid w:val="003F160A"/>
    <w:rsid w:val="003F4CBA"/>
    <w:rsid w:val="003F7EF7"/>
    <w:rsid w:val="00402674"/>
    <w:rsid w:val="00425581"/>
    <w:rsid w:val="00461455"/>
    <w:rsid w:val="004959C9"/>
    <w:rsid w:val="004B0409"/>
    <w:rsid w:val="004C56B4"/>
    <w:rsid w:val="004D5899"/>
    <w:rsid w:val="004F3B0D"/>
    <w:rsid w:val="00500E73"/>
    <w:rsid w:val="00514322"/>
    <w:rsid w:val="00537F33"/>
    <w:rsid w:val="0054537F"/>
    <w:rsid w:val="0056042A"/>
    <w:rsid w:val="005779EA"/>
    <w:rsid w:val="005870C8"/>
    <w:rsid w:val="005B71B2"/>
    <w:rsid w:val="005C2A12"/>
    <w:rsid w:val="0064118F"/>
    <w:rsid w:val="00655F7F"/>
    <w:rsid w:val="006714B5"/>
    <w:rsid w:val="00673247"/>
    <w:rsid w:val="00697CD6"/>
    <w:rsid w:val="006A2BFC"/>
    <w:rsid w:val="006A50FC"/>
    <w:rsid w:val="00725630"/>
    <w:rsid w:val="007307C4"/>
    <w:rsid w:val="00735657"/>
    <w:rsid w:val="00785EAB"/>
    <w:rsid w:val="007B41E1"/>
    <w:rsid w:val="007C1979"/>
    <w:rsid w:val="007D4CD4"/>
    <w:rsid w:val="007D52DD"/>
    <w:rsid w:val="00836536"/>
    <w:rsid w:val="008420DE"/>
    <w:rsid w:val="0086552A"/>
    <w:rsid w:val="008871B1"/>
    <w:rsid w:val="00896E22"/>
    <w:rsid w:val="008A56C3"/>
    <w:rsid w:val="008B6A12"/>
    <w:rsid w:val="008C564C"/>
    <w:rsid w:val="008D5E48"/>
    <w:rsid w:val="009129DD"/>
    <w:rsid w:val="009172FB"/>
    <w:rsid w:val="00961842"/>
    <w:rsid w:val="00973384"/>
    <w:rsid w:val="009757AA"/>
    <w:rsid w:val="00994F2C"/>
    <w:rsid w:val="00A00DD8"/>
    <w:rsid w:val="00A11EB1"/>
    <w:rsid w:val="00A8116A"/>
    <w:rsid w:val="00A9140A"/>
    <w:rsid w:val="00AB1801"/>
    <w:rsid w:val="00AC2597"/>
    <w:rsid w:val="00B45B9F"/>
    <w:rsid w:val="00B731DC"/>
    <w:rsid w:val="00BC6434"/>
    <w:rsid w:val="00BD570C"/>
    <w:rsid w:val="00BD7D3F"/>
    <w:rsid w:val="00C40840"/>
    <w:rsid w:val="00C849E4"/>
    <w:rsid w:val="00CB5484"/>
    <w:rsid w:val="00CE5EB4"/>
    <w:rsid w:val="00CF2A30"/>
    <w:rsid w:val="00D021E6"/>
    <w:rsid w:val="00D03DB3"/>
    <w:rsid w:val="00D0688A"/>
    <w:rsid w:val="00D23C78"/>
    <w:rsid w:val="00D322F1"/>
    <w:rsid w:val="00D412A9"/>
    <w:rsid w:val="00D47C14"/>
    <w:rsid w:val="00D5761B"/>
    <w:rsid w:val="00D66D62"/>
    <w:rsid w:val="00D90965"/>
    <w:rsid w:val="00D927A1"/>
    <w:rsid w:val="00DA51A3"/>
    <w:rsid w:val="00DA5EE4"/>
    <w:rsid w:val="00DB035B"/>
    <w:rsid w:val="00DB692A"/>
    <w:rsid w:val="00DD2D8C"/>
    <w:rsid w:val="00DE08E9"/>
    <w:rsid w:val="00E44E0B"/>
    <w:rsid w:val="00E639F0"/>
    <w:rsid w:val="00E81E91"/>
    <w:rsid w:val="00EB2550"/>
    <w:rsid w:val="00EB3EB9"/>
    <w:rsid w:val="00EC1C7F"/>
    <w:rsid w:val="00EC6731"/>
    <w:rsid w:val="00EE28DE"/>
    <w:rsid w:val="00EF0B7D"/>
    <w:rsid w:val="00F01AA8"/>
    <w:rsid w:val="00F24290"/>
    <w:rsid w:val="00F35685"/>
    <w:rsid w:val="00FA174A"/>
    <w:rsid w:val="00FB6F01"/>
    <w:rsid w:val="00FC7489"/>
    <w:rsid w:val="00FF57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29771C"/>
    <w:pPr>
      <w:ind w:left="720"/>
      <w:contextualSpacing/>
    </w:pPr>
  </w:style>
  <w:style w:type="paragraph" w:styleId="Revisione">
    <w:name w:val="Revision"/>
    <w:hidden/>
    <w:uiPriority w:val="99"/>
    <w:semiHidden/>
    <w:rsid w:val="004F3B0D"/>
    <w:pPr>
      <w:spacing w:after="0" w:line="240" w:lineRule="auto"/>
    </w:pPr>
  </w:style>
  <w:style w:type="character" w:styleId="Rimandocommento">
    <w:name w:val="annotation reference"/>
    <w:basedOn w:val="Carpredefinitoparagrafo"/>
    <w:uiPriority w:val="99"/>
    <w:semiHidden/>
    <w:unhideWhenUsed/>
    <w:rsid w:val="004F3B0D"/>
    <w:rPr>
      <w:sz w:val="16"/>
      <w:szCs w:val="16"/>
    </w:rPr>
  </w:style>
  <w:style w:type="paragraph" w:styleId="Testocommento">
    <w:name w:val="annotation text"/>
    <w:basedOn w:val="Normale"/>
    <w:link w:val="TestocommentoCarattere"/>
    <w:uiPriority w:val="99"/>
    <w:unhideWhenUsed/>
    <w:rsid w:val="004F3B0D"/>
    <w:pPr>
      <w:spacing w:line="240" w:lineRule="auto"/>
    </w:pPr>
    <w:rPr>
      <w:sz w:val="20"/>
      <w:szCs w:val="20"/>
    </w:rPr>
  </w:style>
  <w:style w:type="character" w:customStyle="1" w:styleId="TestocommentoCarattere">
    <w:name w:val="Testo commento Carattere"/>
    <w:basedOn w:val="Carpredefinitoparagrafo"/>
    <w:link w:val="Testocommento"/>
    <w:uiPriority w:val="99"/>
    <w:rsid w:val="004F3B0D"/>
    <w:rPr>
      <w:sz w:val="20"/>
      <w:szCs w:val="20"/>
    </w:rPr>
  </w:style>
  <w:style w:type="paragraph" w:styleId="Soggettocommento">
    <w:name w:val="annotation subject"/>
    <w:basedOn w:val="Testocommento"/>
    <w:next w:val="Testocommento"/>
    <w:link w:val="SoggettocommentoCarattere"/>
    <w:uiPriority w:val="99"/>
    <w:semiHidden/>
    <w:unhideWhenUsed/>
    <w:rsid w:val="004F3B0D"/>
    <w:rPr>
      <w:b/>
      <w:bCs/>
    </w:rPr>
  </w:style>
  <w:style w:type="character" w:customStyle="1" w:styleId="SoggettocommentoCarattere">
    <w:name w:val="Soggetto commento Carattere"/>
    <w:basedOn w:val="TestocommentoCarattere"/>
    <w:link w:val="Soggettocommento"/>
    <w:uiPriority w:val="99"/>
    <w:semiHidden/>
    <w:rsid w:val="004F3B0D"/>
    <w:rPr>
      <w:b/>
      <w:bCs/>
      <w:sz w:val="20"/>
      <w:szCs w:val="20"/>
    </w:rPr>
  </w:style>
  <w:style w:type="character" w:styleId="Collegamentoipertestuale">
    <w:name w:val="Hyperlink"/>
    <w:basedOn w:val="Carpredefinitoparagrafo"/>
    <w:uiPriority w:val="99"/>
    <w:unhideWhenUsed/>
    <w:rsid w:val="00AC2597"/>
    <w:rPr>
      <w:color w:val="0563C1" w:themeColor="hyperlink"/>
      <w:u w:val="single"/>
    </w:rPr>
  </w:style>
  <w:style w:type="character" w:styleId="Menzionenonrisolta">
    <w:name w:val="Unresolved Mention"/>
    <w:basedOn w:val="Carpredefinitoparagrafo"/>
    <w:uiPriority w:val="99"/>
    <w:semiHidden/>
    <w:unhideWhenUsed/>
    <w:rsid w:val="00AC2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biortech.2020.1234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https://univr-my.sharepoint.com/personal/federico_battista_univr_it/Documents/LABICAB/Tesisti/aa%202021%20_2022/Alessandro%20Zeni/sperimentazione/Anlisi%20dati%20San%20Floriano%20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Foglio1!$M$21:$M$24</c:f>
                <c:numCache>
                  <c:formatCode>General</c:formatCode>
                  <c:ptCount val="4"/>
                  <c:pt idx="0">
                    <c:v>0.12</c:v>
                  </c:pt>
                  <c:pt idx="1">
                    <c:v>1.56</c:v>
                  </c:pt>
                  <c:pt idx="2">
                    <c:v>0.87</c:v>
                  </c:pt>
                  <c:pt idx="3">
                    <c:v>0</c:v>
                  </c:pt>
                </c:numCache>
              </c:numRef>
            </c:plus>
            <c:minus>
              <c:numRef>
                <c:f>Foglio1!$M$21:$M$24</c:f>
                <c:numCache>
                  <c:formatCode>General</c:formatCode>
                  <c:ptCount val="4"/>
                  <c:pt idx="0">
                    <c:v>0.12</c:v>
                  </c:pt>
                  <c:pt idx="1">
                    <c:v>1.56</c:v>
                  </c:pt>
                  <c:pt idx="2">
                    <c:v>0.87</c:v>
                  </c:pt>
                  <c:pt idx="3">
                    <c:v>0</c:v>
                  </c:pt>
                </c:numCache>
              </c:numRef>
            </c:minus>
            <c:spPr>
              <a:noFill/>
              <a:ln w="9525" cap="flat" cmpd="sng" algn="ctr">
                <a:solidFill>
                  <a:schemeClr val="tx1">
                    <a:lumMod val="65000"/>
                    <a:lumOff val="35000"/>
                  </a:schemeClr>
                </a:solidFill>
                <a:round/>
              </a:ln>
              <a:effectLst/>
            </c:spPr>
          </c:errBars>
          <c:cat>
            <c:strRef>
              <c:f>Foglio1!$K$21:$K$24</c:f>
              <c:strCache>
                <c:ptCount val="4"/>
                <c:pt idx="0">
                  <c:v>1:2</c:v>
                </c:pt>
                <c:pt idx="1">
                  <c:v>1:3</c:v>
                </c:pt>
                <c:pt idx="2">
                  <c:v>1:5</c:v>
                </c:pt>
                <c:pt idx="3">
                  <c:v>1:10</c:v>
                </c:pt>
              </c:strCache>
            </c:strRef>
          </c:cat>
          <c:val>
            <c:numRef>
              <c:f>Foglio1!$L$21:$L$24</c:f>
              <c:numCache>
                <c:formatCode>General</c:formatCode>
                <c:ptCount val="4"/>
                <c:pt idx="0">
                  <c:v>0.48</c:v>
                </c:pt>
                <c:pt idx="1">
                  <c:v>3.67</c:v>
                </c:pt>
                <c:pt idx="2">
                  <c:v>5.96</c:v>
                </c:pt>
                <c:pt idx="3">
                  <c:v>0</c:v>
                </c:pt>
              </c:numCache>
            </c:numRef>
          </c:val>
          <c:extLst>
            <c:ext xmlns:c16="http://schemas.microsoft.com/office/drawing/2014/chart" uri="{C3380CC4-5D6E-409C-BE32-E72D297353CC}">
              <c16:uniqueId val="{00000000-A95B-894C-B0C8-A67428EA60AE}"/>
            </c:ext>
          </c:extLst>
        </c:ser>
        <c:dLbls>
          <c:showLegendKey val="0"/>
          <c:showVal val="0"/>
          <c:showCatName val="0"/>
          <c:showSerName val="0"/>
          <c:showPercent val="0"/>
          <c:showBubbleSize val="0"/>
        </c:dLbls>
        <c:gapWidth val="219"/>
        <c:overlap val="-27"/>
        <c:axId val="1406202591"/>
        <c:axId val="1402848751"/>
      </c:barChart>
      <c:catAx>
        <c:axId val="1406202591"/>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it-IT" sz="1100" b="1">
                    <a:solidFill>
                      <a:schemeClr val="tx1"/>
                    </a:solidFill>
                  </a:rPr>
                  <a:t>Acetate:Ethanol</a:t>
                </a:r>
                <a:r>
                  <a:rPr lang="it-IT" sz="1100" b="1" baseline="0">
                    <a:solidFill>
                      <a:schemeClr val="tx1"/>
                    </a:solidFill>
                  </a:rPr>
                  <a:t> molar ratio</a:t>
                </a:r>
                <a:endParaRPr lang="it-IT"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it-IT"/>
          </a:p>
        </c:txPr>
        <c:crossAx val="1402848751"/>
        <c:crosses val="autoZero"/>
        <c:auto val="1"/>
        <c:lblAlgn val="ctr"/>
        <c:lblOffset val="100"/>
        <c:noMultiLvlLbl val="0"/>
      </c:catAx>
      <c:valAx>
        <c:axId val="1402848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it-IT" sz="1100" b="1">
                    <a:solidFill>
                      <a:schemeClr val="tx1"/>
                    </a:solidFill>
                  </a:rPr>
                  <a:t>Y MCFAs</a:t>
                </a:r>
                <a:r>
                  <a:rPr lang="it-IT" sz="1100" b="1" baseline="0">
                    <a:solidFill>
                      <a:schemeClr val="tx1"/>
                    </a:solidFill>
                  </a:rPr>
                  <a:t> (%, w/w)</a:t>
                </a:r>
                <a:endParaRPr lang="it-IT" sz="1100" b="1">
                  <a:solidFill>
                    <a:schemeClr val="tx1"/>
                  </a:solidFill>
                </a:endParaRP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it-IT"/>
          </a:p>
        </c:txPr>
        <c:crossAx val="14062025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1622</Words>
  <Characters>9251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Federico Battista</cp:lastModifiedBy>
  <cp:revision>3</cp:revision>
  <cp:lastPrinted>2022-01-31T11:56:00Z</cp:lastPrinted>
  <dcterms:created xsi:type="dcterms:W3CDTF">2022-03-02T10:58:00Z</dcterms:created>
  <dcterms:modified xsi:type="dcterms:W3CDTF">2022-03-02T11:02:00Z</dcterms:modified>
</cp:coreProperties>
</file>