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2D65A" w14:textId="28811BB8" w:rsidR="00F27B43" w:rsidRDefault="00F27B43" w:rsidP="00F27B43">
      <w:pPr>
        <w:snapToGrid w:val="0"/>
        <w:jc w:val="center"/>
        <w:rPr>
          <w:rFonts w:ascii="Times New Roman" w:eastAsia="MS PGothic" w:hAnsi="Times New Roman"/>
          <w:b/>
          <w:bCs/>
          <w:sz w:val="24"/>
          <w:szCs w:val="24"/>
          <w:lang w:val="en-US"/>
        </w:rPr>
      </w:pPr>
      <w:r>
        <w:rPr>
          <w:rFonts w:ascii="Times New Roman" w:eastAsia="MS PGothic" w:hAnsi="Times New Roman"/>
          <w:b/>
          <w:bCs/>
          <w:sz w:val="24"/>
          <w:szCs w:val="24"/>
          <w:lang w:val="en-US"/>
        </w:rPr>
        <w:t xml:space="preserve">Experimental Study on VOCs Production </w:t>
      </w:r>
      <w:r w:rsidR="00FB5F69">
        <w:rPr>
          <w:rFonts w:ascii="Times New Roman" w:eastAsia="MS PGothic" w:hAnsi="Times New Roman"/>
          <w:b/>
          <w:bCs/>
          <w:sz w:val="24"/>
          <w:szCs w:val="24"/>
          <w:lang w:val="en-US"/>
        </w:rPr>
        <w:t>during</w:t>
      </w:r>
      <w:r>
        <w:rPr>
          <w:rFonts w:ascii="Times New Roman" w:eastAsia="MS PGothic" w:hAnsi="Times New Roman"/>
          <w:b/>
          <w:bCs/>
          <w:sz w:val="24"/>
          <w:szCs w:val="24"/>
          <w:lang w:val="en-US"/>
        </w:rPr>
        <w:t xml:space="preserve"> High Monomer Content Emulsion Polymerizations</w:t>
      </w:r>
    </w:p>
    <w:p w14:paraId="7C11188A" w14:textId="77777777" w:rsidR="00FB5F69" w:rsidRDefault="00FB5F69" w:rsidP="00F27B43">
      <w:pPr>
        <w:snapToGrid w:val="0"/>
        <w:jc w:val="center"/>
        <w:rPr>
          <w:rFonts w:ascii="Times New Roman" w:eastAsia="MS PGothic" w:hAnsi="Times New Roman"/>
          <w:b/>
          <w:bCs/>
          <w:sz w:val="24"/>
          <w:szCs w:val="24"/>
          <w:lang w:val="en-US"/>
        </w:rPr>
      </w:pPr>
    </w:p>
    <w:p w14:paraId="243AAF34" w14:textId="7EA9D67D" w:rsidR="00DA51A3" w:rsidRPr="00F27B43" w:rsidRDefault="00F27B43" w:rsidP="00F27B43">
      <w:pPr>
        <w:snapToGrid w:val="0"/>
        <w:jc w:val="center"/>
        <w:rPr>
          <w:rFonts w:ascii="Times New Roman" w:eastAsia="MS PGothic" w:hAnsi="Times New Roman"/>
          <w:sz w:val="24"/>
          <w:szCs w:val="24"/>
        </w:rPr>
      </w:pPr>
      <w:r>
        <w:rPr>
          <w:rFonts w:ascii="Times New Roman" w:eastAsia="SimSun" w:hAnsi="Times New Roman"/>
          <w:sz w:val="24"/>
          <w:szCs w:val="24"/>
          <w:u w:val="single"/>
          <w:lang w:eastAsia="zh-CN"/>
        </w:rPr>
        <w:t>Marco Barozzi</w:t>
      </w:r>
      <w:r>
        <w:rPr>
          <w:rFonts w:ascii="Times New Roman" w:eastAsia="SimSun" w:hAnsi="Times New Roman"/>
          <w:sz w:val="24"/>
          <w:szCs w:val="24"/>
          <w:u w:val="single"/>
          <w:vertAlign w:val="superscript"/>
          <w:lang w:eastAsia="zh-CN"/>
        </w:rPr>
        <w:t>1</w:t>
      </w:r>
      <w:r>
        <w:rPr>
          <w:rFonts w:ascii="Times New Roman" w:eastAsia="SimSun" w:hAnsi="Times New Roman"/>
          <w:sz w:val="24"/>
          <w:szCs w:val="24"/>
          <w:lang w:eastAsia="zh-CN"/>
        </w:rPr>
        <w:t>, Luca Leopardi</w:t>
      </w:r>
      <w:r>
        <w:rPr>
          <w:rFonts w:ascii="Times New Roman" w:eastAsia="SimSun" w:hAnsi="Times New Roman"/>
          <w:sz w:val="24"/>
          <w:szCs w:val="24"/>
          <w:vertAlign w:val="superscript"/>
          <w:lang w:eastAsia="zh-CN"/>
        </w:rPr>
        <w:t>2</w:t>
      </w:r>
      <w:r>
        <w:rPr>
          <w:rFonts w:ascii="Times New Roman" w:eastAsia="SimSun" w:hAnsi="Times New Roman"/>
          <w:sz w:val="24"/>
          <w:szCs w:val="24"/>
          <w:lang w:eastAsia="zh-CN"/>
        </w:rPr>
        <w:t>, Carlo Bottinelli</w:t>
      </w:r>
      <w:r>
        <w:rPr>
          <w:rFonts w:ascii="Times New Roman" w:eastAsia="SimSun" w:hAnsi="Times New Roman"/>
          <w:sz w:val="24"/>
          <w:szCs w:val="24"/>
          <w:vertAlign w:val="superscript"/>
          <w:lang w:eastAsia="zh-CN"/>
        </w:rPr>
        <w:t>2</w:t>
      </w:r>
      <w:r>
        <w:rPr>
          <w:rFonts w:ascii="Times New Roman" w:eastAsia="SimSun" w:hAnsi="Times New Roman"/>
          <w:sz w:val="24"/>
          <w:szCs w:val="24"/>
          <w:lang w:eastAsia="zh-CN"/>
        </w:rPr>
        <w:t>, Jacopo Ghezzi</w:t>
      </w:r>
      <w:r>
        <w:rPr>
          <w:rFonts w:ascii="Times New Roman" w:eastAsia="SimSun" w:hAnsi="Times New Roman"/>
          <w:sz w:val="24"/>
          <w:szCs w:val="24"/>
          <w:vertAlign w:val="superscript"/>
          <w:lang w:eastAsia="zh-CN"/>
        </w:rPr>
        <w:t>2</w:t>
      </w:r>
      <w:r w:rsidRPr="00F27B43">
        <w:rPr>
          <w:rFonts w:ascii="Times New Roman" w:eastAsia="SimSun" w:hAnsi="Times New Roman"/>
          <w:sz w:val="24"/>
          <w:szCs w:val="24"/>
          <w:lang w:eastAsia="zh-CN"/>
        </w:rPr>
        <w:t>,</w:t>
      </w:r>
      <w:r>
        <w:rPr>
          <w:rFonts w:ascii="Times New Roman" w:eastAsia="SimSun" w:hAnsi="Times New Roman"/>
          <w:sz w:val="24"/>
          <w:szCs w:val="24"/>
          <w:vertAlign w:val="superscript"/>
          <w:lang w:eastAsia="zh-CN"/>
        </w:rPr>
        <w:t xml:space="preserve"> </w:t>
      </w:r>
      <w:r>
        <w:rPr>
          <w:rFonts w:ascii="Times New Roman" w:eastAsia="SimSun" w:hAnsi="Times New Roman"/>
          <w:sz w:val="24"/>
          <w:szCs w:val="24"/>
          <w:lang w:eastAsia="zh-CN"/>
        </w:rPr>
        <w:t>Anita Barni</w:t>
      </w:r>
      <w:r>
        <w:rPr>
          <w:rFonts w:ascii="Times New Roman" w:eastAsia="SimSun" w:hAnsi="Times New Roman"/>
          <w:sz w:val="24"/>
          <w:szCs w:val="24"/>
          <w:vertAlign w:val="superscript"/>
          <w:lang w:eastAsia="zh-CN"/>
        </w:rPr>
        <w:t>2</w:t>
      </w:r>
      <w:r w:rsidRPr="00F27B43">
        <w:rPr>
          <w:rFonts w:ascii="Times New Roman" w:eastAsia="SimSun" w:hAnsi="Times New Roman"/>
          <w:sz w:val="24"/>
          <w:szCs w:val="24"/>
          <w:lang w:eastAsia="zh-CN"/>
        </w:rPr>
        <w:t>,</w:t>
      </w:r>
      <w:r>
        <w:rPr>
          <w:rFonts w:ascii="Times New Roman" w:eastAsia="SimSun" w:hAnsi="Times New Roman"/>
          <w:sz w:val="24"/>
          <w:szCs w:val="24"/>
          <w:lang w:eastAsia="zh-CN"/>
        </w:rPr>
        <w:t xml:space="preserve"> Sabrina Copelli</w:t>
      </w:r>
      <w:r>
        <w:rPr>
          <w:rFonts w:ascii="Times New Roman" w:eastAsia="SimSun" w:hAnsi="Times New Roman"/>
          <w:sz w:val="24"/>
          <w:szCs w:val="24"/>
          <w:vertAlign w:val="superscript"/>
          <w:lang w:eastAsia="zh-CN"/>
        </w:rPr>
        <w:t>1</w:t>
      </w:r>
      <w:r>
        <w:rPr>
          <w:rFonts w:ascii="Times New Roman" w:eastAsia="SimSun" w:hAnsi="Times New Roman"/>
          <w:sz w:val="24"/>
          <w:szCs w:val="24"/>
          <w:lang w:eastAsia="zh-CN"/>
        </w:rPr>
        <w:t>*</w:t>
      </w:r>
    </w:p>
    <w:p w14:paraId="00BFC52E" w14:textId="40585FF9" w:rsidR="00F27B43" w:rsidRPr="00FB5F69" w:rsidRDefault="00F27B43" w:rsidP="00F27B43">
      <w:pPr>
        <w:snapToGrid w:val="0"/>
        <w:spacing w:after="120"/>
        <w:jc w:val="center"/>
        <w:rPr>
          <w:rFonts w:ascii="Times New Roman" w:eastAsia="MS PGothic" w:hAnsi="Times New Roman"/>
          <w:i/>
          <w:iCs/>
          <w:sz w:val="20"/>
          <w:lang w:val="en-US"/>
        </w:rPr>
      </w:pPr>
      <w:r w:rsidRPr="00FB5F69">
        <w:rPr>
          <w:rFonts w:ascii="Times New Roman" w:eastAsia="MS PGothic" w:hAnsi="Times New Roman"/>
          <w:i/>
          <w:iCs/>
          <w:sz w:val="20"/>
          <w:vertAlign w:val="superscript"/>
          <w:lang w:val="en-US"/>
        </w:rPr>
        <w:t>1</w:t>
      </w:r>
      <w:r w:rsidRPr="00FB5F69">
        <w:rPr>
          <w:rFonts w:ascii="Times New Roman" w:eastAsia="MS PGothic" w:hAnsi="Times New Roman"/>
          <w:i/>
          <w:iCs/>
          <w:sz w:val="20"/>
          <w:lang w:val="en-US"/>
        </w:rPr>
        <w:t xml:space="preserve"> </w:t>
      </w:r>
      <w:proofErr w:type="spellStart"/>
      <w:r w:rsidRPr="00FB5F69">
        <w:rPr>
          <w:rFonts w:ascii="Times New Roman" w:eastAsia="MS PGothic" w:hAnsi="Times New Roman"/>
          <w:i/>
          <w:iCs/>
          <w:sz w:val="20"/>
          <w:lang w:val="en-US"/>
        </w:rPr>
        <w:t>Università</w:t>
      </w:r>
      <w:proofErr w:type="spellEnd"/>
      <w:r w:rsidRPr="00FB5F69">
        <w:rPr>
          <w:rFonts w:ascii="Times New Roman" w:eastAsia="MS PGothic" w:hAnsi="Times New Roman"/>
          <w:i/>
          <w:iCs/>
          <w:sz w:val="20"/>
          <w:lang w:val="en-US"/>
        </w:rPr>
        <w:t xml:space="preserve"> </w:t>
      </w:r>
      <w:proofErr w:type="spellStart"/>
      <w:r w:rsidRPr="00FB5F69">
        <w:rPr>
          <w:rFonts w:ascii="Times New Roman" w:eastAsia="MS PGothic" w:hAnsi="Times New Roman"/>
          <w:i/>
          <w:iCs/>
          <w:sz w:val="20"/>
          <w:lang w:val="en-US"/>
        </w:rPr>
        <w:t>degli</w:t>
      </w:r>
      <w:proofErr w:type="spellEnd"/>
      <w:r w:rsidRPr="00FB5F69">
        <w:rPr>
          <w:rFonts w:ascii="Times New Roman" w:eastAsia="MS PGothic" w:hAnsi="Times New Roman"/>
          <w:i/>
          <w:iCs/>
          <w:sz w:val="20"/>
          <w:lang w:val="en-US"/>
        </w:rPr>
        <w:t xml:space="preserve"> </w:t>
      </w:r>
      <w:proofErr w:type="spellStart"/>
      <w:r w:rsidRPr="00FB5F69">
        <w:rPr>
          <w:rFonts w:ascii="Times New Roman" w:eastAsia="MS PGothic" w:hAnsi="Times New Roman"/>
          <w:i/>
          <w:iCs/>
          <w:sz w:val="20"/>
          <w:lang w:val="en-US"/>
        </w:rPr>
        <w:t>Studi</w:t>
      </w:r>
      <w:proofErr w:type="spellEnd"/>
      <w:r w:rsidRPr="00FB5F69">
        <w:rPr>
          <w:rFonts w:ascii="Times New Roman" w:eastAsia="MS PGothic" w:hAnsi="Times New Roman"/>
          <w:i/>
          <w:iCs/>
          <w:sz w:val="20"/>
          <w:lang w:val="en-US"/>
        </w:rPr>
        <w:t xml:space="preserve"> </w:t>
      </w:r>
      <w:proofErr w:type="spellStart"/>
      <w:r w:rsidRPr="00FB5F69">
        <w:rPr>
          <w:rFonts w:ascii="Times New Roman" w:eastAsia="MS PGothic" w:hAnsi="Times New Roman"/>
          <w:i/>
          <w:iCs/>
          <w:sz w:val="20"/>
          <w:lang w:val="en-US"/>
        </w:rPr>
        <w:t>dell’Insubria</w:t>
      </w:r>
      <w:proofErr w:type="spellEnd"/>
      <w:r w:rsidRPr="00FB5F69">
        <w:rPr>
          <w:rFonts w:ascii="Times New Roman" w:eastAsia="MS PGothic" w:hAnsi="Times New Roman"/>
          <w:i/>
          <w:iCs/>
          <w:sz w:val="20"/>
          <w:lang w:val="en-US"/>
        </w:rPr>
        <w:t>, Depar</w:t>
      </w:r>
      <w:r w:rsidR="00394AE0" w:rsidRPr="00FB5F69">
        <w:rPr>
          <w:rFonts w:ascii="Times New Roman" w:eastAsia="MS PGothic" w:hAnsi="Times New Roman"/>
          <w:i/>
          <w:iCs/>
          <w:sz w:val="20"/>
          <w:lang w:val="en-US"/>
        </w:rPr>
        <w:t>t</w:t>
      </w:r>
      <w:r w:rsidRPr="00FB5F69">
        <w:rPr>
          <w:rFonts w:ascii="Times New Roman" w:eastAsia="MS PGothic" w:hAnsi="Times New Roman"/>
          <w:i/>
          <w:iCs/>
          <w:sz w:val="20"/>
          <w:lang w:val="en-US"/>
        </w:rPr>
        <w:t xml:space="preserve">ment of Science and High Technology, via </w:t>
      </w:r>
      <w:proofErr w:type="spellStart"/>
      <w:r w:rsidRPr="00FB5F69">
        <w:rPr>
          <w:rFonts w:ascii="Times New Roman" w:eastAsia="MS PGothic" w:hAnsi="Times New Roman"/>
          <w:i/>
          <w:iCs/>
          <w:sz w:val="20"/>
          <w:lang w:val="en-US"/>
        </w:rPr>
        <w:t>Valleggio</w:t>
      </w:r>
      <w:proofErr w:type="spellEnd"/>
      <w:r w:rsidRPr="00FB5F69">
        <w:rPr>
          <w:rFonts w:ascii="Times New Roman" w:eastAsia="MS PGothic" w:hAnsi="Times New Roman"/>
          <w:i/>
          <w:iCs/>
          <w:sz w:val="20"/>
          <w:lang w:val="en-US"/>
        </w:rPr>
        <w:t xml:space="preserve"> 9, Como (CO), IT</w:t>
      </w:r>
    </w:p>
    <w:p w14:paraId="57FC29A3" w14:textId="6AE83689" w:rsidR="00F27B43" w:rsidRDefault="00F27B43" w:rsidP="00F27B43">
      <w:pPr>
        <w:snapToGrid w:val="0"/>
        <w:spacing w:after="120"/>
        <w:jc w:val="center"/>
        <w:rPr>
          <w:rFonts w:ascii="Times New Roman" w:eastAsia="MS PGothic" w:hAnsi="Times New Roman"/>
          <w:i/>
          <w:iCs/>
          <w:sz w:val="20"/>
        </w:rPr>
      </w:pPr>
      <w:r w:rsidRPr="00FB5F69">
        <w:rPr>
          <w:rFonts w:ascii="Times New Roman" w:eastAsia="MS PGothic" w:hAnsi="Times New Roman"/>
          <w:i/>
          <w:iCs/>
          <w:sz w:val="20"/>
          <w:vertAlign w:val="superscript"/>
        </w:rPr>
        <w:t>2</w:t>
      </w:r>
      <w:r>
        <w:rPr>
          <w:rFonts w:ascii="Times New Roman" w:eastAsia="MS PGothic" w:hAnsi="Times New Roman"/>
          <w:i/>
          <w:iCs/>
          <w:sz w:val="20"/>
        </w:rPr>
        <w:t xml:space="preserve"> ICAP-SIRA </w:t>
      </w:r>
      <w:proofErr w:type="spellStart"/>
      <w:r>
        <w:rPr>
          <w:rFonts w:ascii="Times New Roman" w:eastAsia="MS PGothic" w:hAnsi="Times New Roman"/>
          <w:i/>
          <w:iCs/>
          <w:sz w:val="20"/>
        </w:rPr>
        <w:t>Chemicals</w:t>
      </w:r>
      <w:proofErr w:type="spellEnd"/>
      <w:r>
        <w:rPr>
          <w:rFonts w:ascii="Times New Roman" w:eastAsia="MS PGothic" w:hAnsi="Times New Roman"/>
          <w:i/>
          <w:iCs/>
          <w:sz w:val="20"/>
        </w:rPr>
        <w:t xml:space="preserve"> and </w:t>
      </w:r>
      <w:proofErr w:type="spellStart"/>
      <w:r>
        <w:rPr>
          <w:rFonts w:ascii="Times New Roman" w:eastAsia="MS PGothic" w:hAnsi="Times New Roman"/>
          <w:i/>
          <w:iCs/>
          <w:sz w:val="20"/>
        </w:rPr>
        <w:t>Polymers</w:t>
      </w:r>
      <w:proofErr w:type="spellEnd"/>
      <w:r>
        <w:rPr>
          <w:rFonts w:ascii="Times New Roman" w:eastAsia="MS PGothic" w:hAnsi="Times New Roman"/>
          <w:i/>
          <w:iCs/>
          <w:sz w:val="20"/>
        </w:rPr>
        <w:t xml:space="preserve"> S.p.A., via Filippo Corridoni 19, Parabiago (MI), IT</w:t>
      </w:r>
    </w:p>
    <w:p w14:paraId="3A88A448" w14:textId="0BEE5153" w:rsidR="00FB5F69" w:rsidRDefault="00FB5F69" w:rsidP="00FB5F69">
      <w:pPr>
        <w:snapToGrid w:val="0"/>
        <w:jc w:val="center"/>
        <w:rPr>
          <w:rFonts w:ascii="Times New Roman" w:eastAsia="MS PGothic" w:hAnsi="Times New Roman"/>
          <w:bCs/>
          <w:i/>
          <w:iCs/>
          <w:sz w:val="20"/>
          <w:lang w:val="en-US"/>
        </w:rPr>
      </w:pPr>
      <w:r w:rsidRPr="0062091D">
        <w:rPr>
          <w:rFonts w:ascii="Times New Roman" w:eastAsia="MS PGothic" w:hAnsi="Times New Roman"/>
          <w:bCs/>
          <w:i/>
          <w:iCs/>
          <w:sz w:val="20"/>
          <w:lang w:val="en-US"/>
        </w:rPr>
        <w:t>*</w:t>
      </w:r>
      <w:r w:rsidRPr="00BD2315">
        <w:rPr>
          <w:rFonts w:ascii="Times New Roman" w:eastAsia="MS PGothic" w:hAnsi="Times New Roman"/>
          <w:bCs/>
          <w:i/>
          <w:iCs/>
          <w:sz w:val="20"/>
          <w:lang w:val="en-US"/>
        </w:rPr>
        <w:t xml:space="preserve"> </w:t>
      </w:r>
      <w:r>
        <w:rPr>
          <w:rFonts w:ascii="Times New Roman" w:eastAsia="MS PGothic" w:hAnsi="Times New Roman"/>
          <w:bCs/>
          <w:i/>
          <w:iCs/>
          <w:sz w:val="20"/>
          <w:lang w:val="en-US"/>
        </w:rPr>
        <w:t>Corresponding author</w:t>
      </w:r>
      <w:r>
        <w:rPr>
          <w:rFonts w:ascii="Times New Roman" w:eastAsia="MS PGothic" w:hAnsi="Times New Roman"/>
          <w:bCs/>
          <w:i/>
          <w:iCs/>
          <w:sz w:val="20"/>
          <w:lang w:val="en-US" w:eastAsia="ko-KR"/>
        </w:rPr>
        <w:t xml:space="preserve"> E-Mail: </w:t>
      </w:r>
      <w:hyperlink r:id="rId8" w:history="1">
        <w:r w:rsidRPr="00C94853">
          <w:rPr>
            <w:rStyle w:val="Collegamentoipertestuale"/>
            <w:rFonts w:ascii="Times New Roman" w:eastAsia="MS PGothic" w:hAnsi="Times New Roman"/>
            <w:bCs/>
            <w:i/>
            <w:iCs/>
            <w:sz w:val="20"/>
            <w:lang w:val="en-US"/>
          </w:rPr>
          <w:t>sabrina.copelli@uninsubria.it</w:t>
        </w:r>
      </w:hyperlink>
    </w:p>
    <w:p w14:paraId="63FD9DA1" w14:textId="77777777" w:rsidR="00FB5F69" w:rsidRPr="0062091D" w:rsidRDefault="00FB5F69" w:rsidP="00FB5F69">
      <w:pPr>
        <w:snapToGrid w:val="0"/>
        <w:jc w:val="center"/>
        <w:rPr>
          <w:rFonts w:ascii="Times New Roman" w:eastAsia="MS PGothic" w:hAnsi="Times New Roman"/>
          <w:bCs/>
          <w:i/>
          <w:iCs/>
          <w:sz w:val="20"/>
          <w:lang w:val="en-US"/>
        </w:rPr>
      </w:pPr>
    </w:p>
    <w:p w14:paraId="110B92B3" w14:textId="76216CC2" w:rsidR="00DA51A3" w:rsidRPr="00466FFD" w:rsidRDefault="00DA51A3" w:rsidP="00DA51A3">
      <w:pPr>
        <w:snapToGrid w:val="0"/>
        <w:spacing w:line="300" w:lineRule="auto"/>
        <w:rPr>
          <w:rFonts w:ascii="Times New Roman" w:eastAsia="MS PGothic" w:hAnsi="Times New Roman"/>
          <w:b/>
          <w:bCs/>
          <w:lang w:val="en-US" w:eastAsia="ko-KR"/>
        </w:rPr>
      </w:pPr>
      <w:r w:rsidRPr="00466FFD">
        <w:rPr>
          <w:rFonts w:ascii="Times New Roman" w:eastAsia="MS PGothic" w:hAnsi="Times New Roman"/>
          <w:b/>
          <w:bCs/>
          <w:lang w:val="en-US"/>
        </w:rPr>
        <w:t>1.</w:t>
      </w:r>
      <w:r w:rsidR="00FB5F69">
        <w:rPr>
          <w:rFonts w:ascii="Times New Roman" w:eastAsia="MS PGothic" w:hAnsi="Times New Roman"/>
          <w:b/>
          <w:bCs/>
          <w:lang w:val="en-US"/>
        </w:rPr>
        <w:t xml:space="preserve"> </w:t>
      </w:r>
      <w:r w:rsidR="003F160A">
        <w:rPr>
          <w:rFonts w:ascii="Times New Roman" w:eastAsia="MS PGothic" w:hAnsi="Times New Roman"/>
          <w:b/>
          <w:bCs/>
          <w:lang w:val="en-US"/>
        </w:rPr>
        <w:t>Introduction</w:t>
      </w:r>
    </w:p>
    <w:p w14:paraId="226730A6" w14:textId="71BBAF51" w:rsidR="008469F5" w:rsidRPr="0066031A" w:rsidRDefault="008469F5" w:rsidP="008469F5">
      <w:pPr>
        <w:snapToGrid w:val="0"/>
        <w:spacing w:after="120"/>
        <w:jc w:val="both"/>
        <w:rPr>
          <w:rFonts w:ascii="Times New Roman" w:eastAsia="MS PGothic" w:hAnsi="Times New Roman"/>
          <w:lang w:val="en-US"/>
        </w:rPr>
      </w:pPr>
      <w:r>
        <w:rPr>
          <w:rFonts w:ascii="Times New Roman" w:eastAsia="MS PGothic" w:hAnsi="Times New Roman"/>
          <w:lang w:val="en-US"/>
        </w:rPr>
        <w:t>Emulsion polymerizations are chemical reactions exploited for the synthesis of countless products, including adhesives for textile and labeling applications, colloids, synthetic rubbers, and plastics. The possibility of working with monomers in an aqueous medi</w:t>
      </w:r>
      <w:r w:rsidR="00D44011">
        <w:rPr>
          <w:rFonts w:ascii="Times New Roman" w:eastAsia="MS PGothic" w:hAnsi="Times New Roman"/>
          <w:lang w:val="en-US"/>
        </w:rPr>
        <w:t>um</w:t>
      </w:r>
      <w:r>
        <w:rPr>
          <w:rFonts w:ascii="Times New Roman" w:eastAsia="MS PGothic" w:hAnsi="Times New Roman"/>
          <w:lang w:val="en-US"/>
        </w:rPr>
        <w:t xml:space="preserve"> offers a series of advantages, </w:t>
      </w:r>
      <w:r w:rsidR="00FB5F69">
        <w:rPr>
          <w:rFonts w:ascii="Times New Roman" w:eastAsia="MS PGothic" w:hAnsi="Times New Roman"/>
          <w:lang w:val="en-US"/>
        </w:rPr>
        <w:t>the main one is</w:t>
      </w:r>
      <w:r>
        <w:rPr>
          <w:rFonts w:ascii="Times New Roman" w:eastAsia="MS PGothic" w:hAnsi="Times New Roman"/>
          <w:lang w:val="en-US"/>
        </w:rPr>
        <w:t xml:space="preserve"> reducing </w:t>
      </w:r>
      <w:r w:rsidR="00FB5F69">
        <w:rPr>
          <w:rFonts w:ascii="Times New Roman" w:eastAsia="MS PGothic" w:hAnsi="Times New Roman"/>
          <w:lang w:val="en-US"/>
        </w:rPr>
        <w:t>the</w:t>
      </w:r>
      <w:r>
        <w:rPr>
          <w:rFonts w:ascii="Times New Roman" w:eastAsia="MS PGothic" w:hAnsi="Times New Roman"/>
          <w:lang w:val="en-US"/>
        </w:rPr>
        <w:t xml:space="preserve"> massive use of toxic solvents. However, such processes bring along several co</w:t>
      </w:r>
      <w:r w:rsidR="00157C01">
        <w:rPr>
          <w:rFonts w:ascii="Times New Roman" w:eastAsia="MS PGothic" w:hAnsi="Times New Roman"/>
          <w:lang w:val="en-US"/>
        </w:rPr>
        <w:t>ncerns</w:t>
      </w:r>
      <w:r>
        <w:rPr>
          <w:rFonts w:ascii="Times New Roman" w:eastAsia="MS PGothic" w:hAnsi="Times New Roman"/>
          <w:lang w:val="en-US"/>
        </w:rPr>
        <w:t xml:space="preserve">, such as hard </w:t>
      </w:r>
      <w:r w:rsidR="0068739B">
        <w:rPr>
          <w:rFonts w:ascii="Times New Roman" w:eastAsia="MS PGothic" w:hAnsi="Times New Roman"/>
          <w:lang w:val="en-US"/>
        </w:rPr>
        <w:t xml:space="preserve">batch </w:t>
      </w:r>
      <w:r>
        <w:rPr>
          <w:rFonts w:ascii="Times New Roman" w:eastAsia="MS PGothic" w:hAnsi="Times New Roman"/>
          <w:lang w:val="en-US"/>
        </w:rPr>
        <w:t>reproducibility</w:t>
      </w:r>
      <w:r w:rsidR="00157C01">
        <w:rPr>
          <w:rFonts w:ascii="Times New Roman" w:eastAsia="MS PGothic" w:hAnsi="Times New Roman"/>
          <w:lang w:val="en-US"/>
        </w:rPr>
        <w:t>, uncomplete conversions and</w:t>
      </w:r>
      <w:r>
        <w:rPr>
          <w:rFonts w:ascii="Times New Roman" w:eastAsia="MS PGothic" w:hAnsi="Times New Roman"/>
          <w:lang w:val="en-US"/>
        </w:rPr>
        <w:t xml:space="preserve"> particle size control</w:t>
      </w:r>
      <w:r w:rsidR="00514263" w:rsidRPr="00FB5F69">
        <w:rPr>
          <w:rFonts w:ascii="Times New Roman" w:eastAsia="MS PGothic" w:hAnsi="Times New Roman"/>
          <w:vertAlign w:val="superscript"/>
          <w:lang w:val="en-US"/>
        </w:rPr>
        <w:t>[1]</w:t>
      </w:r>
      <w:r>
        <w:rPr>
          <w:rFonts w:ascii="Times New Roman" w:eastAsia="MS PGothic" w:hAnsi="Times New Roman"/>
          <w:lang w:val="en-US"/>
        </w:rPr>
        <w:t xml:space="preserve">. These reactions </w:t>
      </w:r>
      <w:r w:rsidR="00157C01">
        <w:rPr>
          <w:rFonts w:ascii="Times New Roman" w:eastAsia="MS PGothic" w:hAnsi="Times New Roman"/>
          <w:lang w:val="en-US"/>
        </w:rPr>
        <w:t xml:space="preserve">have been </w:t>
      </w:r>
      <w:r w:rsidR="00DF06F2">
        <w:rPr>
          <w:rFonts w:ascii="Times New Roman" w:eastAsia="MS PGothic" w:hAnsi="Times New Roman"/>
          <w:lang w:val="en-US"/>
        </w:rPr>
        <w:t>o</w:t>
      </w:r>
      <w:r>
        <w:rPr>
          <w:rFonts w:ascii="Times New Roman" w:eastAsia="MS PGothic" w:hAnsi="Times New Roman"/>
          <w:lang w:val="en-US"/>
        </w:rPr>
        <w:t>bject</w:t>
      </w:r>
      <w:r w:rsidR="00FB5F69">
        <w:rPr>
          <w:rFonts w:ascii="Times New Roman" w:eastAsia="MS PGothic" w:hAnsi="Times New Roman"/>
          <w:lang w:val="en-US"/>
        </w:rPr>
        <w:t xml:space="preserve"> </w:t>
      </w:r>
      <w:r>
        <w:rPr>
          <w:rFonts w:ascii="Times New Roman" w:eastAsia="MS PGothic" w:hAnsi="Times New Roman"/>
          <w:lang w:val="en-US"/>
        </w:rPr>
        <w:t xml:space="preserve">of </w:t>
      </w:r>
      <w:r w:rsidR="00DF06F2">
        <w:rPr>
          <w:rFonts w:ascii="Times New Roman" w:eastAsia="MS PGothic" w:hAnsi="Times New Roman"/>
          <w:lang w:val="en-US"/>
        </w:rPr>
        <w:t xml:space="preserve">massive </w:t>
      </w:r>
      <w:r>
        <w:rPr>
          <w:rFonts w:ascii="Times New Roman" w:eastAsia="MS PGothic" w:hAnsi="Times New Roman"/>
          <w:lang w:val="en-US"/>
        </w:rPr>
        <w:t xml:space="preserve">research for what concerns </w:t>
      </w:r>
      <w:r w:rsidR="0068739B">
        <w:rPr>
          <w:rFonts w:ascii="Times New Roman" w:eastAsia="MS PGothic" w:hAnsi="Times New Roman"/>
          <w:lang w:val="en-US"/>
        </w:rPr>
        <w:t xml:space="preserve">both </w:t>
      </w:r>
      <w:r>
        <w:rPr>
          <w:rFonts w:ascii="Times New Roman" w:eastAsia="MS PGothic" w:hAnsi="Times New Roman"/>
          <w:lang w:val="en-US"/>
        </w:rPr>
        <w:t>modeling</w:t>
      </w:r>
      <w:r w:rsidR="00514263" w:rsidRPr="00FB5F69">
        <w:rPr>
          <w:rFonts w:ascii="Times New Roman" w:eastAsia="MS PGothic" w:hAnsi="Times New Roman"/>
          <w:vertAlign w:val="superscript"/>
          <w:lang w:val="en-US"/>
        </w:rPr>
        <w:t>[2]</w:t>
      </w:r>
      <w:r w:rsidR="007A5F4E">
        <w:rPr>
          <w:rFonts w:ascii="Times New Roman" w:eastAsia="MS PGothic" w:hAnsi="Times New Roman"/>
          <w:lang w:val="en-US"/>
        </w:rPr>
        <w:t xml:space="preserve"> and</w:t>
      </w:r>
      <w:r>
        <w:rPr>
          <w:rFonts w:ascii="Times New Roman" w:eastAsia="MS PGothic" w:hAnsi="Times New Roman"/>
          <w:lang w:val="en-US"/>
        </w:rPr>
        <w:t xml:space="preserve"> optimization</w:t>
      </w:r>
      <w:r w:rsidR="00514263" w:rsidRPr="00FB5F69">
        <w:rPr>
          <w:rFonts w:ascii="Times New Roman" w:eastAsia="MS PGothic" w:hAnsi="Times New Roman"/>
          <w:vertAlign w:val="superscript"/>
          <w:lang w:val="en-US"/>
        </w:rPr>
        <w:t>[3]</w:t>
      </w:r>
      <w:r w:rsidR="00DF06F2">
        <w:rPr>
          <w:rFonts w:ascii="Times New Roman" w:eastAsia="MS PGothic" w:hAnsi="Times New Roman"/>
          <w:lang w:val="en-US"/>
        </w:rPr>
        <w:t xml:space="preserve"> aspects.</w:t>
      </w:r>
      <w:r w:rsidR="007A5F4E">
        <w:rPr>
          <w:rFonts w:ascii="Times New Roman" w:eastAsia="MS PGothic" w:hAnsi="Times New Roman"/>
          <w:lang w:val="en-US"/>
        </w:rPr>
        <w:t xml:space="preserve"> </w:t>
      </w:r>
      <w:r w:rsidR="0068739B">
        <w:rPr>
          <w:rFonts w:ascii="Times New Roman" w:eastAsia="MS PGothic" w:hAnsi="Times New Roman"/>
          <w:lang w:val="en-US"/>
        </w:rPr>
        <w:t>Concerning the optimization</w:t>
      </w:r>
      <w:r w:rsidR="007A5F4E">
        <w:rPr>
          <w:rFonts w:ascii="Times New Roman" w:eastAsia="MS PGothic" w:hAnsi="Times New Roman"/>
          <w:lang w:val="en-US"/>
        </w:rPr>
        <w:t>,</w:t>
      </w:r>
      <w:r>
        <w:rPr>
          <w:rFonts w:ascii="Times New Roman" w:eastAsia="MS PGothic" w:hAnsi="Times New Roman"/>
          <w:lang w:val="en-US"/>
        </w:rPr>
        <w:t xml:space="preserve"> </w:t>
      </w:r>
      <w:r w:rsidR="00DF06F2">
        <w:rPr>
          <w:rFonts w:ascii="Times New Roman" w:eastAsia="MS PGothic" w:hAnsi="Times New Roman"/>
          <w:lang w:val="en-US"/>
        </w:rPr>
        <w:t xml:space="preserve">the reduction of </w:t>
      </w:r>
      <w:r w:rsidR="0068739B">
        <w:rPr>
          <w:rFonts w:ascii="Times New Roman" w:eastAsia="MS PGothic" w:hAnsi="Times New Roman"/>
          <w:lang w:val="en-US"/>
        </w:rPr>
        <w:t xml:space="preserve">the </w:t>
      </w:r>
      <w:r w:rsidR="009E5A39">
        <w:rPr>
          <w:rFonts w:ascii="Times New Roman" w:eastAsia="MS PGothic" w:hAnsi="Times New Roman"/>
          <w:lang w:val="en-US"/>
        </w:rPr>
        <w:t>Volatile Organic Compounds</w:t>
      </w:r>
      <w:r w:rsidR="007A5F4E">
        <w:rPr>
          <w:rFonts w:ascii="Times New Roman" w:eastAsia="MS PGothic" w:hAnsi="Times New Roman"/>
          <w:lang w:val="en-US"/>
        </w:rPr>
        <w:t xml:space="preserve"> </w:t>
      </w:r>
      <w:r w:rsidR="009E5A39">
        <w:rPr>
          <w:rFonts w:ascii="Times New Roman" w:eastAsia="MS PGothic" w:hAnsi="Times New Roman"/>
          <w:lang w:val="en-US"/>
        </w:rPr>
        <w:t xml:space="preserve">(VOCs) </w:t>
      </w:r>
      <w:r w:rsidR="00DF06F2">
        <w:rPr>
          <w:rFonts w:ascii="Times New Roman" w:eastAsia="MS PGothic" w:hAnsi="Times New Roman"/>
          <w:lang w:val="en-US"/>
        </w:rPr>
        <w:t xml:space="preserve">content </w:t>
      </w:r>
      <w:r>
        <w:rPr>
          <w:rFonts w:ascii="Times New Roman" w:eastAsia="MS PGothic" w:hAnsi="Times New Roman"/>
          <w:lang w:val="en-US"/>
        </w:rPr>
        <w:t xml:space="preserve">is crucial </w:t>
      </w:r>
      <w:r w:rsidR="0068739B">
        <w:rPr>
          <w:rFonts w:ascii="Times New Roman" w:eastAsia="MS PGothic" w:hAnsi="Times New Roman"/>
          <w:lang w:val="en-US"/>
        </w:rPr>
        <w:t xml:space="preserve">for whatever </w:t>
      </w:r>
      <w:r>
        <w:rPr>
          <w:rFonts w:ascii="Times New Roman" w:eastAsia="MS PGothic" w:hAnsi="Times New Roman"/>
          <w:lang w:val="en-US"/>
        </w:rPr>
        <w:t>latex synthes</w:t>
      </w:r>
      <w:r w:rsidR="009E5A39">
        <w:rPr>
          <w:rFonts w:ascii="Times New Roman" w:eastAsia="MS PGothic" w:hAnsi="Times New Roman"/>
          <w:lang w:val="en-US"/>
        </w:rPr>
        <w:t>is</w:t>
      </w:r>
      <w:r>
        <w:rPr>
          <w:rFonts w:ascii="Times New Roman" w:eastAsia="MS PGothic" w:hAnsi="Times New Roman"/>
          <w:lang w:val="en-US"/>
        </w:rPr>
        <w:t xml:space="preserve"> as </w:t>
      </w:r>
      <w:r w:rsidR="007A5F4E">
        <w:rPr>
          <w:rFonts w:ascii="Times New Roman" w:eastAsia="MS PGothic" w:hAnsi="Times New Roman"/>
          <w:lang w:val="en-US"/>
        </w:rPr>
        <w:t>it</w:t>
      </w:r>
      <w:r>
        <w:rPr>
          <w:rFonts w:ascii="Times New Roman" w:eastAsia="MS PGothic" w:hAnsi="Times New Roman"/>
          <w:lang w:val="en-US"/>
        </w:rPr>
        <w:t xml:space="preserve"> can compromise the health of the </w:t>
      </w:r>
      <w:r w:rsidR="00DF06F2">
        <w:rPr>
          <w:rFonts w:ascii="Times New Roman" w:eastAsia="MS PGothic" w:hAnsi="Times New Roman"/>
          <w:lang w:val="en-US"/>
        </w:rPr>
        <w:t xml:space="preserve">product </w:t>
      </w:r>
      <w:r>
        <w:rPr>
          <w:rFonts w:ascii="Times New Roman" w:eastAsia="MS PGothic" w:hAnsi="Times New Roman"/>
          <w:lang w:val="en-US"/>
        </w:rPr>
        <w:t>final users</w:t>
      </w:r>
      <w:r w:rsidR="00DF06F2" w:rsidRPr="00FB5F69">
        <w:rPr>
          <w:rFonts w:ascii="Times New Roman" w:eastAsia="MS PGothic" w:hAnsi="Times New Roman"/>
          <w:vertAlign w:val="superscript"/>
          <w:lang w:val="en-US"/>
        </w:rPr>
        <w:t xml:space="preserve"> </w:t>
      </w:r>
      <w:r w:rsidR="007751CF" w:rsidRPr="00FB5F69">
        <w:rPr>
          <w:rFonts w:ascii="Times New Roman" w:eastAsia="MS PGothic" w:hAnsi="Times New Roman"/>
          <w:vertAlign w:val="superscript"/>
          <w:lang w:val="en-US"/>
        </w:rPr>
        <w:t>[4]</w:t>
      </w:r>
      <w:r>
        <w:rPr>
          <w:rFonts w:ascii="Times New Roman" w:eastAsia="MS PGothic" w:hAnsi="Times New Roman"/>
          <w:lang w:val="en-US"/>
        </w:rPr>
        <w:t>. For this reason,</w:t>
      </w:r>
      <w:r w:rsidR="009E5A39">
        <w:rPr>
          <w:rFonts w:ascii="Times New Roman" w:eastAsia="MS PGothic" w:hAnsi="Times New Roman"/>
          <w:lang w:val="en-US"/>
        </w:rPr>
        <w:t xml:space="preserve"> m</w:t>
      </w:r>
      <w:r>
        <w:rPr>
          <w:rFonts w:ascii="Times New Roman" w:eastAsia="MS PGothic" w:hAnsi="Times New Roman"/>
          <w:lang w:val="en-US"/>
        </w:rPr>
        <w:t xml:space="preserve">any works </w:t>
      </w:r>
      <w:r w:rsidR="00DF06F2">
        <w:rPr>
          <w:rFonts w:ascii="Times New Roman" w:eastAsia="MS PGothic" w:hAnsi="Times New Roman"/>
          <w:lang w:val="en-US"/>
        </w:rPr>
        <w:t>regarding</w:t>
      </w:r>
      <w:r>
        <w:rPr>
          <w:rFonts w:ascii="Times New Roman" w:eastAsia="MS PGothic" w:hAnsi="Times New Roman"/>
          <w:lang w:val="en-US"/>
        </w:rPr>
        <w:t xml:space="preserve"> the control of VOC</w:t>
      </w:r>
      <w:r w:rsidR="00DF06F2">
        <w:rPr>
          <w:rFonts w:ascii="Times New Roman" w:eastAsia="MS PGothic" w:hAnsi="Times New Roman"/>
          <w:lang w:val="en-US"/>
        </w:rPr>
        <w:t>s</w:t>
      </w:r>
      <w:r>
        <w:rPr>
          <w:rFonts w:ascii="Times New Roman" w:eastAsia="MS PGothic" w:hAnsi="Times New Roman"/>
          <w:lang w:val="en-US"/>
        </w:rPr>
        <w:t xml:space="preserve"> generation in </w:t>
      </w:r>
      <w:r w:rsidR="00DF06F2">
        <w:rPr>
          <w:rFonts w:ascii="Times New Roman" w:eastAsia="MS PGothic" w:hAnsi="Times New Roman"/>
          <w:lang w:val="en-US"/>
        </w:rPr>
        <w:t>such</w:t>
      </w:r>
      <w:r>
        <w:rPr>
          <w:rFonts w:ascii="Times New Roman" w:eastAsia="MS PGothic" w:hAnsi="Times New Roman"/>
          <w:lang w:val="en-US"/>
        </w:rPr>
        <w:t xml:space="preserve"> polymerization</w:t>
      </w:r>
      <w:r w:rsidR="00DF06F2">
        <w:rPr>
          <w:rFonts w:ascii="Times New Roman" w:eastAsia="MS PGothic" w:hAnsi="Times New Roman"/>
          <w:lang w:val="en-US"/>
        </w:rPr>
        <w:t xml:space="preserve"> processes</w:t>
      </w:r>
      <w:r w:rsidR="00AE625F" w:rsidRPr="00FB5F69">
        <w:rPr>
          <w:rFonts w:ascii="Times New Roman" w:eastAsia="MS PGothic" w:hAnsi="Times New Roman"/>
          <w:vertAlign w:val="superscript"/>
          <w:lang w:val="en-US"/>
        </w:rPr>
        <w:t>[5]</w:t>
      </w:r>
      <w:r w:rsidR="0068739B">
        <w:rPr>
          <w:rFonts w:ascii="Times New Roman" w:eastAsia="MS PGothic" w:hAnsi="Times New Roman"/>
          <w:lang w:val="en-US"/>
        </w:rPr>
        <w:t xml:space="preserve"> have been reported.</w:t>
      </w:r>
      <w:r>
        <w:rPr>
          <w:rFonts w:ascii="Times New Roman" w:eastAsia="MS PGothic" w:hAnsi="Times New Roman"/>
          <w:lang w:val="en-US"/>
        </w:rPr>
        <w:t xml:space="preserve"> </w:t>
      </w:r>
      <w:r w:rsidR="009E5A39">
        <w:rPr>
          <w:rFonts w:ascii="Times New Roman" w:eastAsia="MS PGothic" w:hAnsi="Times New Roman"/>
          <w:lang w:val="en-US"/>
        </w:rPr>
        <w:t xml:space="preserve">Some studies </w:t>
      </w:r>
      <w:r w:rsidR="0068739B">
        <w:rPr>
          <w:rFonts w:ascii="Times New Roman" w:eastAsia="MS PGothic" w:hAnsi="Times New Roman"/>
          <w:lang w:val="en-US"/>
        </w:rPr>
        <w:t xml:space="preserve">have </w:t>
      </w:r>
      <w:r w:rsidR="009E5A39">
        <w:rPr>
          <w:rFonts w:ascii="Times New Roman" w:eastAsia="MS PGothic" w:hAnsi="Times New Roman"/>
          <w:lang w:val="en-US"/>
        </w:rPr>
        <w:t>propose</w:t>
      </w:r>
      <w:r w:rsidR="0068739B">
        <w:rPr>
          <w:rFonts w:ascii="Times New Roman" w:eastAsia="MS PGothic" w:hAnsi="Times New Roman"/>
          <w:lang w:val="en-US"/>
        </w:rPr>
        <w:t>d</w:t>
      </w:r>
      <w:r w:rsidR="009E5A39">
        <w:rPr>
          <w:rFonts w:ascii="Times New Roman" w:eastAsia="MS PGothic" w:hAnsi="Times New Roman"/>
          <w:lang w:val="en-US"/>
        </w:rPr>
        <w:t xml:space="preserve"> </w:t>
      </w:r>
      <w:r w:rsidR="0068739B">
        <w:rPr>
          <w:rFonts w:ascii="Times New Roman" w:eastAsia="MS PGothic" w:hAnsi="Times New Roman"/>
          <w:lang w:val="en-US"/>
        </w:rPr>
        <w:t xml:space="preserve">a </w:t>
      </w:r>
      <w:r w:rsidR="009E5A39">
        <w:rPr>
          <w:rFonts w:ascii="Times New Roman" w:eastAsia="MS PGothic" w:hAnsi="Times New Roman"/>
          <w:lang w:val="en-US"/>
        </w:rPr>
        <w:t xml:space="preserve">VOCs monitoring by enhancing monomer conversion with the </w:t>
      </w:r>
      <w:r w:rsidR="00FB5F69">
        <w:rPr>
          <w:rFonts w:ascii="Times New Roman" w:eastAsia="MS PGothic" w:hAnsi="Times New Roman"/>
          <w:lang w:val="en-US"/>
        </w:rPr>
        <w:t>introduction</w:t>
      </w:r>
      <w:r w:rsidR="009E5A39">
        <w:rPr>
          <w:rFonts w:ascii="Times New Roman" w:eastAsia="MS PGothic" w:hAnsi="Times New Roman"/>
          <w:lang w:val="en-US"/>
        </w:rPr>
        <w:t xml:space="preserve"> of </w:t>
      </w:r>
      <w:r w:rsidR="00FB5F69">
        <w:rPr>
          <w:rFonts w:ascii="Times New Roman" w:eastAsia="MS PGothic" w:hAnsi="Times New Roman"/>
          <w:lang w:val="en-US"/>
        </w:rPr>
        <w:t xml:space="preserve">a </w:t>
      </w:r>
      <w:r w:rsidR="009E5A39">
        <w:rPr>
          <w:rFonts w:ascii="Times New Roman" w:eastAsia="MS PGothic" w:hAnsi="Times New Roman"/>
          <w:lang w:val="en-US"/>
        </w:rPr>
        <w:t>post-polymerization</w:t>
      </w:r>
      <w:r w:rsidR="00FB5F69">
        <w:rPr>
          <w:rFonts w:ascii="Times New Roman" w:eastAsia="MS PGothic" w:hAnsi="Times New Roman"/>
          <w:lang w:val="en-US"/>
        </w:rPr>
        <w:t xml:space="preserve"> step</w:t>
      </w:r>
      <w:r w:rsidR="00AE625F" w:rsidRPr="00FB5F69">
        <w:rPr>
          <w:rFonts w:ascii="Times New Roman" w:eastAsia="MS PGothic" w:hAnsi="Times New Roman"/>
          <w:vertAlign w:val="superscript"/>
          <w:lang w:val="en-US"/>
        </w:rPr>
        <w:t>[6]</w:t>
      </w:r>
      <w:r w:rsidR="009E5A39">
        <w:rPr>
          <w:rFonts w:ascii="Times New Roman" w:eastAsia="MS PGothic" w:hAnsi="Times New Roman"/>
          <w:lang w:val="en-US"/>
        </w:rPr>
        <w:t>, which consists mainly in the addition o</w:t>
      </w:r>
      <w:r w:rsidR="00FB5F69">
        <w:rPr>
          <w:rFonts w:ascii="Times New Roman" w:eastAsia="MS PGothic" w:hAnsi="Times New Roman"/>
          <w:lang w:val="en-US"/>
        </w:rPr>
        <w:t>f</w:t>
      </w:r>
      <w:r w:rsidR="009E5A39">
        <w:rPr>
          <w:rFonts w:ascii="Times New Roman" w:eastAsia="MS PGothic" w:hAnsi="Times New Roman"/>
          <w:lang w:val="en-US"/>
        </w:rPr>
        <w:t xml:space="preserve"> organic radical initiators which can migrate into the micelles</w:t>
      </w:r>
      <w:r w:rsidR="004C3BD8">
        <w:rPr>
          <w:rFonts w:ascii="Times New Roman" w:eastAsia="MS PGothic" w:hAnsi="Times New Roman"/>
          <w:lang w:val="en-US"/>
        </w:rPr>
        <w:t>/polymer particles</w:t>
      </w:r>
      <w:r w:rsidR="009E5A39">
        <w:rPr>
          <w:rFonts w:ascii="Times New Roman" w:eastAsia="MS PGothic" w:hAnsi="Times New Roman"/>
          <w:lang w:val="en-US"/>
        </w:rPr>
        <w:t xml:space="preserve"> and promote free monomer content reduction. Other works </w:t>
      </w:r>
      <w:r w:rsidR="0068739B">
        <w:rPr>
          <w:rFonts w:ascii="Times New Roman" w:eastAsia="MS PGothic" w:hAnsi="Times New Roman"/>
          <w:lang w:val="en-US"/>
        </w:rPr>
        <w:t xml:space="preserve">have </w:t>
      </w:r>
      <w:r w:rsidR="009E5A39">
        <w:rPr>
          <w:rFonts w:ascii="Times New Roman" w:eastAsia="MS PGothic" w:hAnsi="Times New Roman"/>
          <w:lang w:val="en-US"/>
        </w:rPr>
        <w:t>investigate</w:t>
      </w:r>
      <w:r w:rsidR="0068739B">
        <w:rPr>
          <w:rFonts w:ascii="Times New Roman" w:eastAsia="MS PGothic" w:hAnsi="Times New Roman"/>
          <w:lang w:val="en-US"/>
        </w:rPr>
        <w:t>d</w:t>
      </w:r>
      <w:r w:rsidR="009E5A39">
        <w:rPr>
          <w:rFonts w:ascii="Times New Roman" w:eastAsia="MS PGothic" w:hAnsi="Times New Roman"/>
          <w:lang w:val="en-US"/>
        </w:rPr>
        <w:t xml:space="preserve"> the use of devolatilization to physically separate </w:t>
      </w:r>
      <w:r w:rsidR="006E5B71">
        <w:rPr>
          <w:rFonts w:ascii="Times New Roman" w:eastAsia="MS PGothic" w:hAnsi="Times New Roman"/>
          <w:lang w:val="en-US"/>
        </w:rPr>
        <w:t>VOCs from the latex</w:t>
      </w:r>
      <w:r w:rsidR="004C3BD8">
        <w:rPr>
          <w:rFonts w:ascii="Times New Roman" w:eastAsia="MS PGothic" w:hAnsi="Times New Roman"/>
          <w:lang w:val="en-US"/>
        </w:rPr>
        <w:t xml:space="preserve"> </w:t>
      </w:r>
      <w:r w:rsidR="00AE625F" w:rsidRPr="00FB5F69">
        <w:rPr>
          <w:rFonts w:ascii="Times New Roman" w:eastAsia="MS PGothic" w:hAnsi="Times New Roman"/>
          <w:vertAlign w:val="superscript"/>
          <w:lang w:val="en-US"/>
        </w:rPr>
        <w:t>[7]</w:t>
      </w:r>
      <w:r w:rsidR="006E5B71">
        <w:rPr>
          <w:rFonts w:ascii="Times New Roman" w:eastAsia="MS PGothic" w:hAnsi="Times New Roman"/>
          <w:lang w:val="en-US"/>
        </w:rPr>
        <w:t xml:space="preserve">. However, some reactions involve </w:t>
      </w:r>
      <w:r w:rsidR="004C3BD8">
        <w:rPr>
          <w:rFonts w:ascii="Times New Roman" w:eastAsia="MS PGothic" w:hAnsi="Times New Roman"/>
          <w:lang w:val="en-US"/>
        </w:rPr>
        <w:t>high boiling point</w:t>
      </w:r>
      <w:r w:rsidR="006E5B71">
        <w:rPr>
          <w:rFonts w:ascii="Times New Roman" w:eastAsia="MS PGothic" w:hAnsi="Times New Roman"/>
          <w:lang w:val="en-US"/>
        </w:rPr>
        <w:t xml:space="preserve"> VOCs, which </w:t>
      </w:r>
      <w:r w:rsidR="004C3BD8">
        <w:rPr>
          <w:rFonts w:ascii="Times New Roman" w:eastAsia="MS PGothic" w:hAnsi="Times New Roman"/>
          <w:lang w:val="en-US"/>
        </w:rPr>
        <w:t xml:space="preserve">cannot be </w:t>
      </w:r>
      <w:r w:rsidR="006E5B71">
        <w:rPr>
          <w:rFonts w:ascii="Times New Roman" w:eastAsia="MS PGothic" w:hAnsi="Times New Roman"/>
          <w:lang w:val="en-US"/>
        </w:rPr>
        <w:t xml:space="preserve">removed by </w:t>
      </w:r>
      <w:r w:rsidR="0068739B">
        <w:rPr>
          <w:rFonts w:ascii="Times New Roman" w:eastAsia="MS PGothic" w:hAnsi="Times New Roman"/>
          <w:lang w:val="en-US"/>
        </w:rPr>
        <w:t>simple devolatilization</w:t>
      </w:r>
      <w:r w:rsidR="006E5B71">
        <w:rPr>
          <w:rFonts w:ascii="Times New Roman" w:eastAsia="MS PGothic" w:hAnsi="Times New Roman"/>
          <w:lang w:val="en-US"/>
        </w:rPr>
        <w:t xml:space="preserve">. </w:t>
      </w:r>
      <w:r>
        <w:rPr>
          <w:rFonts w:ascii="Times New Roman" w:eastAsia="MS PGothic" w:hAnsi="Times New Roman"/>
          <w:lang w:val="en-US"/>
        </w:rPr>
        <w:t xml:space="preserve">In this work, </w:t>
      </w:r>
      <w:r w:rsidR="006E5B71">
        <w:rPr>
          <w:rFonts w:ascii="Times New Roman" w:eastAsia="MS PGothic" w:hAnsi="Times New Roman"/>
          <w:lang w:val="en-US"/>
        </w:rPr>
        <w:t xml:space="preserve">the effect of nitrogen fluxing </w:t>
      </w:r>
      <w:r w:rsidR="0068739B">
        <w:rPr>
          <w:rFonts w:ascii="Times New Roman" w:eastAsia="MS PGothic" w:hAnsi="Times New Roman"/>
          <w:lang w:val="en-US"/>
        </w:rPr>
        <w:t xml:space="preserve">on VOCs production </w:t>
      </w:r>
      <w:r w:rsidR="006E5B71">
        <w:rPr>
          <w:rFonts w:ascii="Times New Roman" w:eastAsia="MS PGothic" w:hAnsi="Times New Roman"/>
          <w:lang w:val="en-US"/>
        </w:rPr>
        <w:t>on an industrial polymer, which is used as adhesive</w:t>
      </w:r>
      <w:r w:rsidR="004C3BD8">
        <w:rPr>
          <w:rFonts w:ascii="Times New Roman" w:eastAsia="MS PGothic" w:hAnsi="Times New Roman"/>
          <w:lang w:val="en-US"/>
        </w:rPr>
        <w:t>, was investigated</w:t>
      </w:r>
      <w:r>
        <w:rPr>
          <w:rFonts w:ascii="Times New Roman" w:eastAsia="MS PGothic" w:hAnsi="Times New Roman"/>
          <w:lang w:val="en-US"/>
        </w:rPr>
        <w:t xml:space="preserve">. </w:t>
      </w:r>
      <w:r w:rsidR="0068739B">
        <w:rPr>
          <w:rFonts w:ascii="Times New Roman" w:eastAsia="MS PGothic" w:hAnsi="Times New Roman"/>
          <w:lang w:val="en-US"/>
        </w:rPr>
        <w:t>A</w:t>
      </w:r>
      <w:r>
        <w:rPr>
          <w:rFonts w:ascii="Times New Roman" w:eastAsia="MS PGothic" w:hAnsi="Times New Roman"/>
          <w:lang w:val="en-US"/>
        </w:rPr>
        <w:t xml:space="preserve"> high monomer content (about 55% w/w) polymer based on 2-ethylhexyl acrylate was </w:t>
      </w:r>
      <w:r w:rsidR="004C3BD8">
        <w:rPr>
          <w:rFonts w:ascii="Times New Roman" w:eastAsia="MS PGothic" w:hAnsi="Times New Roman"/>
          <w:lang w:val="en-US"/>
        </w:rPr>
        <w:t>proposed</w:t>
      </w:r>
      <w:r w:rsidR="006E5B71">
        <w:rPr>
          <w:rFonts w:ascii="Times New Roman" w:eastAsia="MS PGothic" w:hAnsi="Times New Roman"/>
          <w:lang w:val="en-US"/>
        </w:rPr>
        <w:t>.</w:t>
      </w:r>
      <w:r>
        <w:rPr>
          <w:rFonts w:ascii="Times New Roman" w:eastAsia="MS PGothic" w:hAnsi="Times New Roman"/>
          <w:lang w:val="en-US"/>
        </w:rPr>
        <w:t xml:space="preserve"> Samples of reacti</w:t>
      </w:r>
      <w:r w:rsidR="001444D0">
        <w:rPr>
          <w:rFonts w:ascii="Times New Roman" w:eastAsia="MS PGothic" w:hAnsi="Times New Roman"/>
          <w:lang w:val="en-US"/>
        </w:rPr>
        <w:t>ng</w:t>
      </w:r>
      <w:r>
        <w:rPr>
          <w:rFonts w:ascii="Times New Roman" w:eastAsia="MS PGothic" w:hAnsi="Times New Roman"/>
          <w:lang w:val="en-US"/>
        </w:rPr>
        <w:t xml:space="preserve"> mixture were taken overtime and analyzed with a G</w:t>
      </w:r>
      <w:r w:rsidR="009B1630">
        <w:rPr>
          <w:rFonts w:ascii="Times New Roman" w:eastAsia="MS PGothic" w:hAnsi="Times New Roman"/>
          <w:lang w:val="en-US"/>
        </w:rPr>
        <w:t xml:space="preserve">as </w:t>
      </w:r>
      <w:r>
        <w:rPr>
          <w:rFonts w:ascii="Times New Roman" w:eastAsia="MS PGothic" w:hAnsi="Times New Roman"/>
          <w:lang w:val="en-US"/>
        </w:rPr>
        <w:t>C</w:t>
      </w:r>
      <w:r w:rsidR="009B1630">
        <w:rPr>
          <w:rFonts w:ascii="Times New Roman" w:eastAsia="MS PGothic" w:hAnsi="Times New Roman"/>
          <w:lang w:val="en-US"/>
        </w:rPr>
        <w:t xml:space="preserve">hromatography </w:t>
      </w:r>
      <w:r>
        <w:rPr>
          <w:rFonts w:ascii="Times New Roman" w:eastAsia="MS PGothic" w:hAnsi="Times New Roman"/>
          <w:lang w:val="en-US"/>
        </w:rPr>
        <w:t>-</w:t>
      </w:r>
      <w:r w:rsidR="009B1630" w:rsidRPr="009B1630">
        <w:rPr>
          <w:rFonts w:ascii="Times New Roman" w:eastAsia="MS PGothic" w:hAnsi="Times New Roman"/>
          <w:lang w:val="en-US"/>
        </w:rPr>
        <w:t xml:space="preserve"> </w:t>
      </w:r>
      <w:r w:rsidR="009B1630">
        <w:rPr>
          <w:rFonts w:ascii="Times New Roman" w:eastAsia="MS PGothic" w:hAnsi="Times New Roman"/>
          <w:lang w:val="en-US"/>
        </w:rPr>
        <w:t xml:space="preserve">Flame </w:t>
      </w:r>
      <w:proofErr w:type="spellStart"/>
      <w:r w:rsidR="009B1630">
        <w:rPr>
          <w:rFonts w:ascii="Times New Roman" w:eastAsia="MS PGothic" w:hAnsi="Times New Roman"/>
          <w:lang w:val="en-US"/>
        </w:rPr>
        <w:t>Ionizator</w:t>
      </w:r>
      <w:proofErr w:type="spellEnd"/>
      <w:r w:rsidR="009B1630">
        <w:rPr>
          <w:rFonts w:ascii="Times New Roman" w:eastAsia="MS PGothic" w:hAnsi="Times New Roman"/>
          <w:lang w:val="en-US"/>
        </w:rPr>
        <w:t xml:space="preserve"> Detector</w:t>
      </w:r>
      <w:r>
        <w:rPr>
          <w:rFonts w:ascii="Times New Roman" w:eastAsia="MS PGothic" w:hAnsi="Times New Roman"/>
          <w:lang w:val="en-US"/>
        </w:rPr>
        <w:t>.</w:t>
      </w:r>
    </w:p>
    <w:p w14:paraId="1182EF14" w14:textId="29DE7115" w:rsidR="008F7377" w:rsidRPr="008F7377" w:rsidRDefault="001444D0" w:rsidP="001444D0">
      <w:pPr>
        <w:snapToGrid w:val="0"/>
        <w:spacing w:line="300" w:lineRule="auto"/>
        <w:rPr>
          <w:rFonts w:ascii="Times New Roman" w:eastAsia="MS PGothic" w:hAnsi="Times New Roman"/>
          <w:b/>
          <w:bCs/>
          <w:lang w:val="en-US" w:eastAsia="ko-KR"/>
        </w:rPr>
      </w:pPr>
      <w:r>
        <w:rPr>
          <w:rFonts w:ascii="Times New Roman" w:eastAsia="MS PGothic" w:hAnsi="Times New Roman"/>
          <w:b/>
          <w:bCs/>
          <w:lang w:val="en-US"/>
        </w:rPr>
        <w:t xml:space="preserve">2. </w:t>
      </w:r>
      <w:r w:rsidR="008F7377">
        <w:rPr>
          <w:rFonts w:ascii="Times New Roman" w:eastAsia="MS PGothic" w:hAnsi="Times New Roman"/>
          <w:b/>
          <w:bCs/>
          <w:lang w:val="en-US"/>
        </w:rPr>
        <w:t>Reaction studied</w:t>
      </w:r>
    </w:p>
    <w:p w14:paraId="300344C3" w14:textId="67B14D28" w:rsidR="00DA51A3" w:rsidRPr="00785853" w:rsidRDefault="006143ED" w:rsidP="00EC7B22">
      <w:pPr>
        <w:snapToGrid w:val="0"/>
        <w:spacing w:after="120"/>
        <w:jc w:val="both"/>
        <w:rPr>
          <w:rFonts w:ascii="Times New Roman" w:eastAsia="MS PGothic" w:hAnsi="Times New Roman"/>
          <w:lang w:val="en-US"/>
        </w:rPr>
      </w:pPr>
      <w:r>
        <w:rPr>
          <w:rFonts w:ascii="Times New Roman" w:eastAsia="MS PGothic" w:hAnsi="Times New Roman"/>
          <w:lang w:val="en-US"/>
        </w:rPr>
        <w:t xml:space="preserve">The </w:t>
      </w:r>
      <w:r w:rsidR="008F7377">
        <w:rPr>
          <w:rFonts w:ascii="Times New Roman" w:eastAsia="MS PGothic" w:hAnsi="Times New Roman"/>
          <w:lang w:val="en-US"/>
        </w:rPr>
        <w:t xml:space="preserve">polymer </w:t>
      </w:r>
      <w:r>
        <w:rPr>
          <w:rFonts w:ascii="Times New Roman" w:eastAsia="MS PGothic" w:hAnsi="Times New Roman"/>
          <w:lang w:val="en-US"/>
        </w:rPr>
        <w:t xml:space="preserve">studied </w:t>
      </w:r>
      <w:r w:rsidR="004C3BD8">
        <w:rPr>
          <w:rFonts w:ascii="Times New Roman" w:eastAsia="MS PGothic" w:hAnsi="Times New Roman"/>
          <w:lang w:val="en-US"/>
        </w:rPr>
        <w:t>with</w:t>
      </w:r>
      <w:r>
        <w:rPr>
          <w:rFonts w:ascii="Times New Roman" w:eastAsia="MS PGothic" w:hAnsi="Times New Roman"/>
          <w:lang w:val="en-US"/>
        </w:rPr>
        <w:t>in this work is</w:t>
      </w:r>
      <w:r w:rsidR="008F7377">
        <w:rPr>
          <w:rFonts w:ascii="Times New Roman" w:eastAsia="MS PGothic" w:hAnsi="Times New Roman"/>
          <w:lang w:val="en-US"/>
        </w:rPr>
        <w:t xml:space="preserve"> </w:t>
      </w:r>
      <w:r w:rsidR="001444D0">
        <w:rPr>
          <w:rFonts w:ascii="Times New Roman" w:eastAsia="MS PGothic" w:hAnsi="Times New Roman"/>
          <w:lang w:val="en-US"/>
        </w:rPr>
        <w:t xml:space="preserve">produced via an </w:t>
      </w:r>
      <w:r w:rsidR="008F7377">
        <w:rPr>
          <w:rFonts w:ascii="Times New Roman" w:eastAsia="MS PGothic" w:hAnsi="Times New Roman"/>
          <w:lang w:val="en-US"/>
        </w:rPr>
        <w:t xml:space="preserve">emulsion polymerization </w:t>
      </w:r>
      <w:r w:rsidR="001444D0">
        <w:rPr>
          <w:rFonts w:ascii="Times New Roman" w:eastAsia="MS PGothic" w:hAnsi="Times New Roman"/>
          <w:lang w:val="en-US"/>
        </w:rPr>
        <w:t xml:space="preserve">process </w:t>
      </w:r>
      <w:r w:rsidR="004C3BD8">
        <w:rPr>
          <w:rFonts w:ascii="Times New Roman" w:eastAsia="MS PGothic" w:hAnsi="Times New Roman"/>
          <w:lang w:val="en-US"/>
        </w:rPr>
        <w:t>involving a</w:t>
      </w:r>
      <w:r>
        <w:rPr>
          <w:rFonts w:ascii="Times New Roman" w:eastAsia="MS PGothic" w:hAnsi="Times New Roman"/>
          <w:lang w:val="en-US"/>
        </w:rPr>
        <w:t xml:space="preserve"> high solids content (about 55% w/w)</w:t>
      </w:r>
      <w:r w:rsidR="0066031A">
        <w:rPr>
          <w:rFonts w:ascii="Times New Roman" w:eastAsia="MS PGothic" w:hAnsi="Times New Roman"/>
          <w:lang w:val="en-US"/>
        </w:rPr>
        <w:t>.</w:t>
      </w:r>
      <w:r w:rsidR="00785853">
        <w:rPr>
          <w:rFonts w:ascii="Times New Roman" w:eastAsia="MS PGothic" w:hAnsi="Times New Roman"/>
          <w:lang w:val="en-US"/>
        </w:rPr>
        <w:t xml:space="preserve"> </w:t>
      </w:r>
      <w:r w:rsidR="0066031A">
        <w:rPr>
          <w:rFonts w:ascii="Times New Roman" w:eastAsia="MS PGothic" w:hAnsi="Times New Roman"/>
          <w:lang w:val="en-US"/>
        </w:rPr>
        <w:t>The</w:t>
      </w:r>
      <w:r w:rsidR="00785853">
        <w:rPr>
          <w:rFonts w:ascii="Times New Roman" w:eastAsia="MS PGothic" w:hAnsi="Times New Roman"/>
          <w:lang w:val="en-US"/>
        </w:rPr>
        <w:t xml:space="preserve"> main</w:t>
      </w:r>
      <w:r w:rsidR="0066031A">
        <w:rPr>
          <w:rFonts w:ascii="Times New Roman" w:eastAsia="MS PGothic" w:hAnsi="Times New Roman"/>
          <w:lang w:val="en-US"/>
        </w:rPr>
        <w:t xml:space="preserve"> rea</w:t>
      </w:r>
      <w:r w:rsidR="00BE1F56">
        <w:rPr>
          <w:rFonts w:ascii="Times New Roman" w:eastAsia="MS PGothic" w:hAnsi="Times New Roman"/>
          <w:lang w:val="en-US"/>
        </w:rPr>
        <w:t>ctants</w:t>
      </w:r>
      <w:r w:rsidR="0066031A">
        <w:rPr>
          <w:rFonts w:ascii="Times New Roman" w:eastAsia="MS PGothic" w:hAnsi="Times New Roman"/>
          <w:lang w:val="en-US"/>
        </w:rPr>
        <w:t xml:space="preserve"> are </w:t>
      </w:r>
      <w:r w:rsidR="001444D0">
        <w:rPr>
          <w:rFonts w:ascii="Times New Roman" w:eastAsia="MS PGothic" w:hAnsi="Times New Roman"/>
          <w:lang w:val="en-US"/>
        </w:rPr>
        <w:t xml:space="preserve">reported in </w:t>
      </w:r>
      <w:r w:rsidR="0066031A">
        <w:rPr>
          <w:rFonts w:ascii="Times New Roman" w:eastAsia="MS PGothic" w:hAnsi="Times New Roman"/>
          <w:lang w:val="en-US"/>
        </w:rPr>
        <w:t xml:space="preserve">the following: </w:t>
      </w:r>
      <w:r w:rsidR="009D513C">
        <w:rPr>
          <w:rFonts w:ascii="Times New Roman" w:eastAsia="MS PGothic" w:hAnsi="Times New Roman"/>
          <w:lang w:val="en-US"/>
        </w:rPr>
        <w:t xml:space="preserve">demineralized </w:t>
      </w:r>
      <w:r w:rsidR="0066031A">
        <w:rPr>
          <w:rFonts w:ascii="Times New Roman" w:eastAsia="MS PGothic" w:hAnsi="Times New Roman"/>
          <w:lang w:val="en-US"/>
        </w:rPr>
        <w:t>water (4</w:t>
      </w:r>
      <w:r w:rsidR="00EC7B22">
        <w:rPr>
          <w:rFonts w:ascii="Times New Roman" w:eastAsia="MS PGothic" w:hAnsi="Times New Roman"/>
          <w:lang w:val="en-US"/>
        </w:rPr>
        <w:t>5</w:t>
      </w:r>
      <w:r w:rsidR="0066031A">
        <w:rPr>
          <w:rFonts w:ascii="Times New Roman" w:eastAsia="MS PGothic" w:hAnsi="Times New Roman"/>
          <w:lang w:val="en-US"/>
        </w:rPr>
        <w:t xml:space="preserve">% w/w), </w:t>
      </w:r>
      <w:r w:rsidR="0066031A" w:rsidRPr="00D869D9">
        <w:rPr>
          <w:rFonts w:ascii="Times New Roman" w:eastAsia="MS PGothic" w:hAnsi="Times New Roman"/>
          <w:lang w:val="en-US"/>
        </w:rPr>
        <w:t>2-ethylhexyl acrylate</w:t>
      </w:r>
      <w:r w:rsidR="0066031A">
        <w:rPr>
          <w:rFonts w:ascii="Times New Roman" w:eastAsia="MS PGothic" w:hAnsi="Times New Roman"/>
          <w:lang w:val="en-US"/>
        </w:rPr>
        <w:t xml:space="preserve"> (2EEA</w:t>
      </w:r>
      <w:r w:rsidR="000C19D0">
        <w:rPr>
          <w:rFonts w:ascii="Times New Roman" w:eastAsia="MS PGothic" w:hAnsi="Times New Roman"/>
          <w:lang w:val="en-US"/>
        </w:rPr>
        <w:t xml:space="preserve">, </w:t>
      </w:r>
      <w:r w:rsidR="00785853">
        <w:rPr>
          <w:rFonts w:ascii="Times New Roman" w:eastAsia="MS PGothic" w:hAnsi="Times New Roman"/>
          <w:lang w:val="en-US"/>
        </w:rPr>
        <w:t>49.5</w:t>
      </w:r>
      <w:r w:rsidR="000C19D0">
        <w:rPr>
          <w:rFonts w:ascii="Times New Roman" w:eastAsia="MS PGothic" w:hAnsi="Times New Roman"/>
          <w:lang w:val="en-US"/>
        </w:rPr>
        <w:t>% w/w</w:t>
      </w:r>
      <w:r w:rsidR="0066031A">
        <w:rPr>
          <w:rFonts w:ascii="Times New Roman" w:eastAsia="MS PGothic" w:hAnsi="Times New Roman"/>
          <w:lang w:val="en-US"/>
        </w:rPr>
        <w:t xml:space="preserve">), </w:t>
      </w:r>
      <w:r w:rsidR="0066031A" w:rsidRPr="00D869D9">
        <w:rPr>
          <w:rFonts w:ascii="Times New Roman" w:eastAsia="MS PGothic" w:hAnsi="Times New Roman"/>
          <w:lang w:val="en-US"/>
        </w:rPr>
        <w:t>acrylonitrile</w:t>
      </w:r>
      <w:r w:rsidR="000C19D0">
        <w:rPr>
          <w:rFonts w:ascii="Times New Roman" w:eastAsia="MS PGothic" w:hAnsi="Times New Roman"/>
          <w:lang w:val="en-US"/>
        </w:rPr>
        <w:t xml:space="preserve"> (</w:t>
      </w:r>
      <w:r w:rsidR="004E4C7D">
        <w:rPr>
          <w:rFonts w:ascii="Times New Roman" w:eastAsia="MS PGothic" w:hAnsi="Times New Roman"/>
          <w:lang w:val="en-US"/>
        </w:rPr>
        <w:t>1</w:t>
      </w:r>
      <w:r w:rsidR="000C19D0">
        <w:rPr>
          <w:rFonts w:ascii="Times New Roman" w:eastAsia="MS PGothic" w:hAnsi="Times New Roman"/>
          <w:lang w:val="en-US"/>
        </w:rPr>
        <w:t>.</w:t>
      </w:r>
      <w:r w:rsidR="004E4C7D">
        <w:rPr>
          <w:rFonts w:ascii="Times New Roman" w:eastAsia="MS PGothic" w:hAnsi="Times New Roman"/>
          <w:lang w:val="en-US"/>
        </w:rPr>
        <w:t>12</w:t>
      </w:r>
      <w:r w:rsidR="000C19D0">
        <w:rPr>
          <w:rFonts w:ascii="Times New Roman" w:eastAsia="MS PGothic" w:hAnsi="Times New Roman"/>
          <w:lang w:val="en-US"/>
        </w:rPr>
        <w:t>% w/w</w:t>
      </w:r>
      <w:r w:rsidR="004E4C7D">
        <w:rPr>
          <w:rFonts w:ascii="Times New Roman" w:eastAsia="MS PGothic" w:hAnsi="Times New Roman"/>
          <w:lang w:val="en-US"/>
        </w:rPr>
        <w:t>)</w:t>
      </w:r>
      <w:r w:rsidR="0066031A">
        <w:rPr>
          <w:rFonts w:ascii="Times New Roman" w:eastAsia="MS PGothic" w:hAnsi="Times New Roman"/>
          <w:lang w:val="en-US"/>
        </w:rPr>
        <w:t>, anionic and nonionic surfactants</w:t>
      </w:r>
      <w:r w:rsidR="000C19D0">
        <w:rPr>
          <w:rFonts w:ascii="Times New Roman" w:eastAsia="MS PGothic" w:hAnsi="Times New Roman"/>
          <w:lang w:val="en-US"/>
        </w:rPr>
        <w:t xml:space="preserve"> (</w:t>
      </w:r>
      <w:r w:rsidR="00C44A3F">
        <w:rPr>
          <w:rFonts w:ascii="Times New Roman" w:eastAsia="MS PGothic" w:hAnsi="Times New Roman"/>
          <w:lang w:val="en-US"/>
        </w:rPr>
        <w:t>1.85% w/w</w:t>
      </w:r>
      <w:r w:rsidR="000C19D0">
        <w:rPr>
          <w:rFonts w:ascii="Times New Roman" w:eastAsia="MS PGothic" w:hAnsi="Times New Roman"/>
          <w:lang w:val="en-US"/>
        </w:rPr>
        <w:t xml:space="preserve">). </w:t>
      </w:r>
      <w:r w:rsidR="0066031A">
        <w:rPr>
          <w:rFonts w:ascii="Times New Roman" w:eastAsia="MS PGothic" w:hAnsi="Times New Roman"/>
          <w:lang w:val="en-US"/>
        </w:rPr>
        <w:t xml:space="preserve">The reaction is </w:t>
      </w:r>
      <w:r w:rsidR="001444D0">
        <w:rPr>
          <w:rFonts w:ascii="Times New Roman" w:eastAsia="MS PGothic" w:hAnsi="Times New Roman"/>
          <w:lang w:val="en-US"/>
        </w:rPr>
        <w:t>exothermic,</w:t>
      </w:r>
      <w:r w:rsidR="0066031A">
        <w:rPr>
          <w:rFonts w:ascii="Times New Roman" w:eastAsia="MS PGothic" w:hAnsi="Times New Roman"/>
          <w:lang w:val="en-US"/>
        </w:rPr>
        <w:t xml:space="preserve"> and </w:t>
      </w:r>
      <w:r w:rsidR="001444D0">
        <w:rPr>
          <w:rFonts w:ascii="Times New Roman" w:eastAsia="MS PGothic" w:hAnsi="Times New Roman"/>
          <w:lang w:val="en-US"/>
        </w:rPr>
        <w:t xml:space="preserve">the process is operated according to </w:t>
      </w:r>
      <w:r w:rsidR="0066031A">
        <w:rPr>
          <w:rFonts w:ascii="Times New Roman" w:eastAsia="MS PGothic" w:hAnsi="Times New Roman"/>
          <w:lang w:val="en-US"/>
        </w:rPr>
        <w:t xml:space="preserve">a semi-batch recipe. </w:t>
      </w:r>
      <w:r w:rsidR="00CC62B0">
        <w:rPr>
          <w:rFonts w:ascii="Times New Roman" w:eastAsia="MS PGothic" w:hAnsi="Times New Roman"/>
          <w:lang w:val="en-US"/>
        </w:rPr>
        <w:t xml:space="preserve">Radical generation is promoted </w:t>
      </w:r>
      <w:r w:rsidR="00BE1F56">
        <w:rPr>
          <w:rFonts w:ascii="Times New Roman" w:eastAsia="MS PGothic" w:hAnsi="Times New Roman"/>
          <w:lang w:val="en-US"/>
        </w:rPr>
        <w:t xml:space="preserve">using two </w:t>
      </w:r>
      <w:r w:rsidR="00CC62B0">
        <w:rPr>
          <w:rFonts w:ascii="Times New Roman" w:eastAsia="MS PGothic" w:hAnsi="Times New Roman"/>
          <w:lang w:val="en-US"/>
        </w:rPr>
        <w:t xml:space="preserve">initiators, ammonium persulfate and sodium bisulfite, dosed separately. </w:t>
      </w:r>
      <w:r w:rsidR="0066031A">
        <w:rPr>
          <w:rFonts w:ascii="Times New Roman" w:eastAsia="MS PGothic" w:hAnsi="Times New Roman"/>
          <w:lang w:val="en-US"/>
        </w:rPr>
        <w:t xml:space="preserve">At first, monomers, surfactants and water are </w:t>
      </w:r>
      <w:r w:rsidR="00BE1F56">
        <w:rPr>
          <w:rFonts w:ascii="Times New Roman" w:eastAsia="MS PGothic" w:hAnsi="Times New Roman"/>
          <w:lang w:val="en-US"/>
        </w:rPr>
        <w:t>mixed</w:t>
      </w:r>
      <w:r w:rsidR="0066031A">
        <w:rPr>
          <w:rFonts w:ascii="Times New Roman" w:eastAsia="MS PGothic" w:hAnsi="Times New Roman"/>
          <w:lang w:val="en-US"/>
        </w:rPr>
        <w:t xml:space="preserve"> </w:t>
      </w:r>
      <w:r w:rsidR="001444D0">
        <w:rPr>
          <w:rFonts w:ascii="Times New Roman" w:eastAsia="MS PGothic" w:hAnsi="Times New Roman"/>
          <w:lang w:val="en-US"/>
        </w:rPr>
        <w:t>to</w:t>
      </w:r>
      <w:r w:rsidR="0066031A">
        <w:rPr>
          <w:rFonts w:ascii="Times New Roman" w:eastAsia="MS PGothic" w:hAnsi="Times New Roman"/>
          <w:lang w:val="en-US"/>
        </w:rPr>
        <w:t xml:space="preserve"> form a stable pre-emulsion which will be</w:t>
      </w:r>
      <w:r>
        <w:rPr>
          <w:rFonts w:ascii="Times New Roman" w:eastAsia="MS PGothic" w:hAnsi="Times New Roman"/>
          <w:lang w:val="en-US"/>
        </w:rPr>
        <w:t xml:space="preserve"> </w:t>
      </w:r>
      <w:r w:rsidR="0066031A">
        <w:rPr>
          <w:rFonts w:ascii="Times New Roman" w:eastAsia="MS PGothic" w:hAnsi="Times New Roman"/>
          <w:lang w:val="en-US"/>
        </w:rPr>
        <w:t>dosed overtime</w:t>
      </w:r>
      <w:r w:rsidR="00DA51A3" w:rsidRPr="00466FFD">
        <w:rPr>
          <w:rFonts w:ascii="Times New Roman" w:eastAsia="MS PGothic" w:hAnsi="Times New Roman"/>
          <w:lang w:val="en-US"/>
        </w:rPr>
        <w:t>.</w:t>
      </w:r>
      <w:r w:rsidR="00EC7B22">
        <w:rPr>
          <w:rFonts w:ascii="Times New Roman" w:eastAsia="MS PGothic" w:hAnsi="Times New Roman"/>
          <w:lang w:val="en-US"/>
        </w:rPr>
        <w:t xml:space="preserve"> </w:t>
      </w:r>
      <w:r w:rsidR="0066031A">
        <w:rPr>
          <w:rFonts w:ascii="Times New Roman" w:eastAsia="MS PGothic" w:hAnsi="Times New Roman"/>
          <w:lang w:val="en-US"/>
        </w:rPr>
        <w:t xml:space="preserve">The reactor is loaded with water (10% w/w) </w:t>
      </w:r>
      <w:r w:rsidR="001444D0">
        <w:rPr>
          <w:rFonts w:ascii="Times New Roman" w:eastAsia="MS PGothic" w:hAnsi="Times New Roman"/>
          <w:lang w:val="en-US"/>
        </w:rPr>
        <w:t>containing</w:t>
      </w:r>
      <w:r w:rsidR="0066031A">
        <w:rPr>
          <w:rFonts w:ascii="Times New Roman" w:eastAsia="MS PGothic" w:hAnsi="Times New Roman"/>
          <w:lang w:val="en-US"/>
        </w:rPr>
        <w:t xml:space="preserve"> 2.5% w/w of surfactants</w:t>
      </w:r>
      <w:r w:rsidR="001444D0">
        <w:rPr>
          <w:rFonts w:ascii="Times New Roman" w:eastAsia="MS PGothic" w:hAnsi="Times New Roman"/>
          <w:lang w:val="en-US"/>
        </w:rPr>
        <w:t>,</w:t>
      </w:r>
      <w:r w:rsidR="00EC7B22">
        <w:rPr>
          <w:rFonts w:ascii="Times New Roman" w:eastAsia="MS PGothic" w:hAnsi="Times New Roman"/>
          <w:lang w:val="en-US"/>
        </w:rPr>
        <w:t xml:space="preserve"> and </w:t>
      </w:r>
      <w:r w:rsidR="001444D0">
        <w:rPr>
          <w:rFonts w:ascii="Times New Roman" w:eastAsia="MS PGothic" w:hAnsi="Times New Roman"/>
          <w:lang w:val="en-US"/>
        </w:rPr>
        <w:t xml:space="preserve">reactor </w:t>
      </w:r>
      <w:r w:rsidR="00EC7B22">
        <w:rPr>
          <w:rFonts w:ascii="Times New Roman" w:eastAsia="MS PGothic" w:hAnsi="Times New Roman"/>
          <w:lang w:val="en-US"/>
        </w:rPr>
        <w:t>temperature is kept at 82</w:t>
      </w:r>
      <w:r w:rsidR="004E4C7D">
        <w:rPr>
          <w:rFonts w:ascii="Times New Roman" w:eastAsia="MS PGothic" w:hAnsi="Times New Roman"/>
          <w:lang w:val="en-US"/>
        </w:rPr>
        <w:t xml:space="preserve"> </w:t>
      </w:r>
      <w:r w:rsidR="00EC7B22">
        <w:rPr>
          <w:rFonts w:ascii="Times New Roman" w:eastAsia="MS PGothic" w:hAnsi="Times New Roman"/>
          <w:lang w:val="en-US"/>
        </w:rPr>
        <w:t>°C</w:t>
      </w:r>
      <w:r w:rsidR="0066031A">
        <w:rPr>
          <w:rFonts w:ascii="Times New Roman" w:eastAsia="MS PGothic" w:hAnsi="Times New Roman"/>
          <w:lang w:val="en-US"/>
        </w:rPr>
        <w:t xml:space="preserve">. </w:t>
      </w:r>
      <w:r w:rsidR="00EC7B22">
        <w:rPr>
          <w:rFonts w:ascii="Times New Roman" w:eastAsia="MS PGothic" w:hAnsi="Times New Roman"/>
          <w:lang w:val="en-US"/>
        </w:rPr>
        <w:t>Th</w:t>
      </w:r>
      <w:r w:rsidR="001444D0">
        <w:rPr>
          <w:rFonts w:ascii="Times New Roman" w:eastAsia="MS PGothic" w:hAnsi="Times New Roman"/>
          <w:lang w:val="en-US"/>
        </w:rPr>
        <w:t>e</w:t>
      </w:r>
      <w:r w:rsidR="00EC7B22">
        <w:rPr>
          <w:rFonts w:ascii="Times New Roman" w:eastAsia="MS PGothic" w:hAnsi="Times New Roman"/>
          <w:lang w:val="en-US"/>
        </w:rPr>
        <w:t>n</w:t>
      </w:r>
      <w:r w:rsidR="001444D0">
        <w:rPr>
          <w:rFonts w:ascii="Times New Roman" w:eastAsia="MS PGothic" w:hAnsi="Times New Roman"/>
          <w:lang w:val="en-US"/>
        </w:rPr>
        <w:t>,</w:t>
      </w:r>
      <w:r w:rsidR="00EC7B22">
        <w:rPr>
          <w:rFonts w:ascii="Times New Roman" w:eastAsia="MS PGothic" w:hAnsi="Times New Roman"/>
          <w:lang w:val="en-US"/>
        </w:rPr>
        <w:t xml:space="preserve"> the pre-emulsion is loaded in parallel with </w:t>
      </w:r>
      <w:r w:rsidR="00BE1F56">
        <w:rPr>
          <w:rFonts w:ascii="Times New Roman" w:eastAsia="MS PGothic" w:hAnsi="Times New Roman"/>
          <w:lang w:val="en-US"/>
        </w:rPr>
        <w:t xml:space="preserve">the </w:t>
      </w:r>
      <w:r w:rsidR="00EC7B22">
        <w:rPr>
          <w:rFonts w:ascii="Times New Roman" w:eastAsia="MS PGothic" w:hAnsi="Times New Roman"/>
          <w:lang w:val="en-US"/>
        </w:rPr>
        <w:t>aqueous initiator</w:t>
      </w:r>
      <w:r w:rsidR="00BE1F56">
        <w:rPr>
          <w:rFonts w:ascii="Times New Roman" w:eastAsia="MS PGothic" w:hAnsi="Times New Roman"/>
          <w:lang w:val="en-US"/>
        </w:rPr>
        <w:t xml:space="preserve"> solutions</w:t>
      </w:r>
      <w:r w:rsidR="00EC7B22">
        <w:rPr>
          <w:rFonts w:ascii="Times New Roman" w:eastAsia="MS PGothic" w:hAnsi="Times New Roman"/>
          <w:lang w:val="en-US"/>
        </w:rPr>
        <w:t xml:space="preserve"> </w:t>
      </w:r>
      <w:r w:rsidR="00BE1F56">
        <w:rPr>
          <w:rFonts w:ascii="Times New Roman" w:eastAsia="MS PGothic" w:hAnsi="Times New Roman"/>
          <w:lang w:val="en-US"/>
        </w:rPr>
        <w:t>over</w:t>
      </w:r>
      <w:r w:rsidR="00EC7B22">
        <w:rPr>
          <w:rFonts w:ascii="Times New Roman" w:eastAsia="MS PGothic" w:hAnsi="Times New Roman"/>
          <w:lang w:val="en-US"/>
        </w:rPr>
        <w:t xml:space="preserve"> a dosing time of 280 min.</w:t>
      </w:r>
      <w:r w:rsidR="000C19D0">
        <w:rPr>
          <w:rFonts w:ascii="Times New Roman" w:eastAsia="MS PGothic" w:hAnsi="Times New Roman"/>
          <w:lang w:val="en-US"/>
        </w:rPr>
        <w:t xml:space="preserve"> After dosing, reaction is kept under temperature control for 30 min. After this, conversion is enhanced with the use of a post-polymerization process, </w:t>
      </w:r>
      <w:r w:rsidR="00711605">
        <w:rPr>
          <w:rFonts w:ascii="Times New Roman" w:eastAsia="MS PGothic" w:hAnsi="Times New Roman"/>
          <w:lang w:val="en-US"/>
        </w:rPr>
        <w:t>which is carried out by dosing two solution</w:t>
      </w:r>
      <w:r w:rsidR="00BE1F56">
        <w:rPr>
          <w:rFonts w:ascii="Times New Roman" w:eastAsia="MS PGothic" w:hAnsi="Times New Roman"/>
          <w:lang w:val="en-US"/>
        </w:rPr>
        <w:t>s</w:t>
      </w:r>
      <w:r w:rsidR="00711605">
        <w:rPr>
          <w:rFonts w:ascii="Times New Roman" w:eastAsia="MS PGothic" w:hAnsi="Times New Roman"/>
          <w:lang w:val="en-US"/>
        </w:rPr>
        <w:t xml:space="preserve"> of a</w:t>
      </w:r>
      <w:r w:rsidR="001444D0">
        <w:rPr>
          <w:rFonts w:ascii="Times New Roman" w:eastAsia="MS PGothic" w:hAnsi="Times New Roman"/>
          <w:lang w:val="en-US"/>
        </w:rPr>
        <w:t>n</w:t>
      </w:r>
      <w:r w:rsidR="00711605">
        <w:rPr>
          <w:rFonts w:ascii="Times New Roman" w:eastAsia="MS PGothic" w:hAnsi="Times New Roman"/>
          <w:lang w:val="en-US"/>
        </w:rPr>
        <w:t xml:space="preserve"> organic initiator, </w:t>
      </w:r>
      <w:r w:rsidR="00BE1F56">
        <w:rPr>
          <w:rFonts w:ascii="Times New Roman" w:eastAsia="MS PGothic" w:hAnsi="Times New Roman"/>
          <w:lang w:val="en-US"/>
        </w:rPr>
        <w:t>mixture of</w:t>
      </w:r>
      <w:r w:rsidR="00711605">
        <w:rPr>
          <w:rFonts w:ascii="Times New Roman" w:eastAsia="MS PGothic" w:hAnsi="Times New Roman"/>
          <w:lang w:val="en-US"/>
        </w:rPr>
        <w:t xml:space="preserve"> </w:t>
      </w:r>
      <w:r w:rsidR="00711605" w:rsidRPr="00711605">
        <w:rPr>
          <w:rFonts w:ascii="Times New Roman" w:eastAsia="MS PGothic" w:hAnsi="Times New Roman"/>
          <w:lang w:val="en-US"/>
        </w:rPr>
        <w:t>tert-Butyl hydroperoxide</w:t>
      </w:r>
      <w:r w:rsidR="00711605">
        <w:rPr>
          <w:rFonts w:ascii="Times New Roman" w:eastAsia="MS PGothic" w:hAnsi="Times New Roman"/>
          <w:lang w:val="en-US"/>
        </w:rPr>
        <w:t xml:space="preserve"> and </w:t>
      </w:r>
      <w:r w:rsidR="00711605" w:rsidRPr="00711605">
        <w:rPr>
          <w:rFonts w:ascii="Times New Roman" w:eastAsia="MS PGothic" w:hAnsi="Times New Roman"/>
          <w:lang w:val="en-US"/>
        </w:rPr>
        <w:t xml:space="preserve">Sodium formaldehyde </w:t>
      </w:r>
      <w:proofErr w:type="spellStart"/>
      <w:r w:rsidR="00711605" w:rsidRPr="00711605">
        <w:rPr>
          <w:rFonts w:ascii="Times New Roman" w:eastAsia="MS PGothic" w:hAnsi="Times New Roman"/>
          <w:lang w:val="en-US"/>
        </w:rPr>
        <w:t>sulfoxylate</w:t>
      </w:r>
      <w:proofErr w:type="spellEnd"/>
      <w:r w:rsidR="00BE1F56">
        <w:rPr>
          <w:rFonts w:ascii="Times New Roman" w:eastAsia="MS PGothic" w:hAnsi="Times New Roman"/>
          <w:lang w:val="en-US"/>
        </w:rPr>
        <w:t>,</w:t>
      </w:r>
      <w:r w:rsidR="00711605">
        <w:rPr>
          <w:rFonts w:ascii="Times New Roman" w:eastAsia="MS PGothic" w:hAnsi="Times New Roman"/>
          <w:lang w:val="en-US"/>
        </w:rPr>
        <w:t xml:space="preserve"> for 60 min. The total amount of organic initiators is </w:t>
      </w:r>
      <w:r w:rsidR="00C44A3F">
        <w:rPr>
          <w:rFonts w:ascii="Times New Roman" w:eastAsia="MS PGothic" w:hAnsi="Times New Roman"/>
          <w:lang w:val="en-US"/>
        </w:rPr>
        <w:t>2.1% w/w</w:t>
      </w:r>
      <w:r w:rsidR="00711605">
        <w:rPr>
          <w:rFonts w:ascii="Times New Roman" w:eastAsia="MS PGothic" w:hAnsi="Times New Roman"/>
          <w:lang w:val="en-US"/>
        </w:rPr>
        <w:t>.</w:t>
      </w:r>
      <w:r w:rsidR="00785853">
        <w:rPr>
          <w:rFonts w:ascii="Times New Roman" w:eastAsia="MS PGothic" w:hAnsi="Times New Roman"/>
          <w:lang w:val="en-US"/>
        </w:rPr>
        <w:t xml:space="preserve"> </w:t>
      </w:r>
    </w:p>
    <w:p w14:paraId="0871BF31" w14:textId="77777777" w:rsidR="00DA51A3" w:rsidRPr="00466FFD" w:rsidRDefault="00DA51A3" w:rsidP="00DA51A3">
      <w:pPr>
        <w:snapToGrid w:val="0"/>
        <w:spacing w:before="240" w:line="300" w:lineRule="auto"/>
        <w:rPr>
          <w:rFonts w:ascii="Times New Roman" w:eastAsia="MS PGothic" w:hAnsi="Times New Roman"/>
          <w:lang w:val="en-US"/>
        </w:rPr>
      </w:pPr>
      <w:r w:rsidRPr="00466FFD">
        <w:rPr>
          <w:rFonts w:ascii="Times New Roman" w:eastAsia="MS PGothic" w:hAnsi="Times New Roman"/>
          <w:b/>
          <w:bCs/>
          <w:lang w:val="en-US"/>
        </w:rPr>
        <w:t>2. Methods</w:t>
      </w:r>
    </w:p>
    <w:p w14:paraId="1B5B3C67" w14:textId="5B2AB9BF" w:rsidR="006E5B71" w:rsidRDefault="006E5B71" w:rsidP="008F7377">
      <w:pPr>
        <w:snapToGrid w:val="0"/>
        <w:spacing w:after="120"/>
        <w:jc w:val="both"/>
        <w:rPr>
          <w:rFonts w:ascii="Times New Roman" w:eastAsia="MS PGothic" w:hAnsi="Times New Roman"/>
          <w:lang w:val="en-US"/>
        </w:rPr>
      </w:pPr>
      <w:r>
        <w:rPr>
          <w:rFonts w:ascii="Times New Roman" w:eastAsia="MS PGothic" w:hAnsi="Times New Roman"/>
          <w:lang w:val="en-US"/>
        </w:rPr>
        <w:t xml:space="preserve">The experimental setup is </w:t>
      </w:r>
      <w:r w:rsidR="005A55CB">
        <w:rPr>
          <w:rFonts w:ascii="Times New Roman" w:eastAsia="MS PGothic" w:hAnsi="Times New Roman"/>
          <w:lang w:val="en-US"/>
        </w:rPr>
        <w:t>reported</w:t>
      </w:r>
      <w:r>
        <w:rPr>
          <w:rFonts w:ascii="Times New Roman" w:eastAsia="MS PGothic" w:hAnsi="Times New Roman"/>
          <w:lang w:val="en-US"/>
        </w:rPr>
        <w:t xml:space="preserve"> in Figure 1.</w:t>
      </w:r>
    </w:p>
    <w:p w14:paraId="71CAB955" w14:textId="1FA5D25A" w:rsidR="00DC159B" w:rsidRDefault="00DC159B" w:rsidP="00DC159B">
      <w:pPr>
        <w:snapToGrid w:val="0"/>
        <w:spacing w:after="120"/>
        <w:jc w:val="center"/>
        <w:rPr>
          <w:rFonts w:ascii="Times New Roman" w:eastAsia="MS PGothic" w:hAnsi="Times New Roman"/>
          <w:lang w:val="en-US"/>
        </w:rPr>
      </w:pPr>
      <w:r>
        <w:rPr>
          <w:noProof/>
        </w:rPr>
        <w:lastRenderedPageBreak/>
        <w:drawing>
          <wp:inline distT="0" distB="0" distL="0" distR="0" wp14:anchorId="5E78C9EB" wp14:editId="40A3DEB1">
            <wp:extent cx="2065360" cy="1977284"/>
            <wp:effectExtent l="0" t="0" r="0" b="444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88265" cy="1999212"/>
                    </a:xfrm>
                    <a:prstGeom prst="rect">
                      <a:avLst/>
                    </a:prstGeom>
                  </pic:spPr>
                </pic:pic>
              </a:graphicData>
            </a:graphic>
          </wp:inline>
        </w:drawing>
      </w:r>
    </w:p>
    <w:p w14:paraId="3783808A" w14:textId="5D1910AF" w:rsidR="00DC159B" w:rsidRPr="00DC159B" w:rsidRDefault="00DC159B" w:rsidP="00DC159B">
      <w:pPr>
        <w:snapToGrid w:val="0"/>
        <w:spacing w:after="120"/>
        <w:jc w:val="center"/>
        <w:rPr>
          <w:rFonts w:ascii="Times New Roman" w:eastAsia="MS PGothic" w:hAnsi="Times New Roman"/>
          <w:szCs w:val="18"/>
          <w:lang w:val="en-US"/>
        </w:rPr>
      </w:pPr>
      <w:r w:rsidRPr="00466FFD">
        <w:rPr>
          <w:rFonts w:ascii="Times New Roman" w:eastAsia="MS PGothic" w:hAnsi="Times New Roman"/>
          <w:b/>
          <w:szCs w:val="18"/>
          <w:lang w:val="en-US"/>
        </w:rPr>
        <w:t>Figure 1</w:t>
      </w:r>
      <w:r w:rsidRPr="00466FFD">
        <w:rPr>
          <w:rFonts w:ascii="Times New Roman" w:eastAsia="MS PGothic" w:hAnsi="Times New Roman"/>
          <w:b/>
          <w:szCs w:val="18"/>
          <w:lang w:val="en-US" w:eastAsia="ko-KR"/>
        </w:rPr>
        <w:t>.</w:t>
      </w:r>
      <w:r w:rsidRPr="00466FFD">
        <w:rPr>
          <w:rFonts w:ascii="Times New Roman" w:eastAsia="MS PGothic" w:hAnsi="Times New Roman"/>
          <w:szCs w:val="18"/>
          <w:lang w:val="en-US"/>
        </w:rPr>
        <w:t xml:space="preserve"> </w:t>
      </w:r>
      <w:r w:rsidRPr="00466FFD">
        <w:rPr>
          <w:rFonts w:ascii="Times New Roman" w:hAnsi="Times New Roman"/>
          <w:lang w:val="en-US"/>
        </w:rPr>
        <w:t xml:space="preserve"> </w:t>
      </w:r>
      <w:r>
        <w:rPr>
          <w:rFonts w:ascii="Times New Roman" w:eastAsia="MS PGothic" w:hAnsi="Times New Roman"/>
          <w:szCs w:val="18"/>
          <w:lang w:val="en-US"/>
        </w:rPr>
        <w:t>Scheme of the experimental setup</w:t>
      </w:r>
    </w:p>
    <w:p w14:paraId="4B0669FA" w14:textId="5688608D" w:rsidR="00D869D9" w:rsidRDefault="005A55CB" w:rsidP="008F7377">
      <w:pPr>
        <w:snapToGrid w:val="0"/>
        <w:spacing w:after="120"/>
        <w:jc w:val="both"/>
        <w:rPr>
          <w:rFonts w:ascii="Times New Roman" w:eastAsia="MS PGothic" w:hAnsi="Times New Roman"/>
          <w:lang w:val="en-US"/>
        </w:rPr>
      </w:pPr>
      <w:r>
        <w:rPr>
          <w:rFonts w:ascii="Times New Roman" w:eastAsia="MS PGothic" w:hAnsi="Times New Roman"/>
          <w:lang w:val="en-US"/>
        </w:rPr>
        <w:t>All t</w:t>
      </w:r>
      <w:r w:rsidR="00D869D9">
        <w:rPr>
          <w:rFonts w:ascii="Times New Roman" w:eastAsia="MS PGothic" w:hAnsi="Times New Roman"/>
          <w:lang w:val="en-US"/>
        </w:rPr>
        <w:t>he</w:t>
      </w:r>
      <w:r w:rsidR="00785853">
        <w:rPr>
          <w:rFonts w:ascii="Times New Roman" w:eastAsia="MS PGothic" w:hAnsi="Times New Roman"/>
          <w:lang w:val="en-US"/>
        </w:rPr>
        <w:t xml:space="preserve"> experiments </w:t>
      </w:r>
      <w:r>
        <w:rPr>
          <w:rFonts w:ascii="Times New Roman" w:eastAsia="MS PGothic" w:hAnsi="Times New Roman"/>
          <w:lang w:val="en-US"/>
        </w:rPr>
        <w:t>were</w:t>
      </w:r>
      <w:r w:rsidR="00785853">
        <w:rPr>
          <w:rFonts w:ascii="Times New Roman" w:eastAsia="MS PGothic" w:hAnsi="Times New Roman"/>
          <w:lang w:val="en-US"/>
        </w:rPr>
        <w:t xml:space="preserve"> performed in a 5 L glass laboratory reactor</w:t>
      </w:r>
      <w:r w:rsidR="006143ED">
        <w:rPr>
          <w:rFonts w:ascii="Times New Roman" w:eastAsia="MS PGothic" w:hAnsi="Times New Roman"/>
          <w:lang w:val="en-US"/>
        </w:rPr>
        <w:t>.</w:t>
      </w:r>
      <w:r w:rsidR="00785853">
        <w:rPr>
          <w:rFonts w:ascii="Times New Roman" w:eastAsia="MS PGothic" w:hAnsi="Times New Roman"/>
          <w:lang w:val="en-US"/>
        </w:rPr>
        <w:t xml:space="preserve"> Recipes are formulated to synthesi</w:t>
      </w:r>
      <w:r>
        <w:rPr>
          <w:rFonts w:ascii="Times New Roman" w:eastAsia="MS PGothic" w:hAnsi="Times New Roman"/>
          <w:lang w:val="en-US"/>
        </w:rPr>
        <w:t>ze</w:t>
      </w:r>
      <w:r w:rsidR="00785853">
        <w:rPr>
          <w:rFonts w:ascii="Times New Roman" w:eastAsia="MS PGothic" w:hAnsi="Times New Roman"/>
          <w:lang w:val="en-US"/>
        </w:rPr>
        <w:t xml:space="preserve"> 2 kg of latex </w:t>
      </w:r>
      <w:r>
        <w:rPr>
          <w:rFonts w:ascii="Times New Roman" w:eastAsia="MS PGothic" w:hAnsi="Times New Roman"/>
          <w:lang w:val="en-US"/>
        </w:rPr>
        <w:t>per batch</w:t>
      </w:r>
      <w:r w:rsidR="00785853">
        <w:rPr>
          <w:rFonts w:ascii="Times New Roman" w:eastAsia="MS PGothic" w:hAnsi="Times New Roman"/>
          <w:lang w:val="en-US"/>
        </w:rPr>
        <w:t xml:space="preserve">. Temperature control is </w:t>
      </w:r>
      <w:r>
        <w:rPr>
          <w:rFonts w:ascii="Times New Roman" w:eastAsia="MS PGothic" w:hAnsi="Times New Roman"/>
          <w:lang w:val="en-US"/>
        </w:rPr>
        <w:t>manual</w:t>
      </w:r>
      <w:r w:rsidR="00785853">
        <w:rPr>
          <w:rFonts w:ascii="Times New Roman" w:eastAsia="MS PGothic" w:hAnsi="Times New Roman"/>
          <w:lang w:val="en-US"/>
        </w:rPr>
        <w:t xml:space="preserve"> </w:t>
      </w:r>
      <w:r>
        <w:rPr>
          <w:rFonts w:ascii="Times New Roman" w:eastAsia="MS PGothic" w:hAnsi="Times New Roman"/>
          <w:lang w:val="en-US"/>
        </w:rPr>
        <w:t>using</w:t>
      </w:r>
      <w:r w:rsidR="00785853">
        <w:rPr>
          <w:rFonts w:ascii="Times New Roman" w:eastAsia="MS PGothic" w:hAnsi="Times New Roman"/>
          <w:lang w:val="en-US"/>
        </w:rPr>
        <w:t xml:space="preserve"> a controlled hot water bath</w:t>
      </w:r>
      <w:r w:rsidR="00CC62B0">
        <w:rPr>
          <w:rFonts w:ascii="Times New Roman" w:eastAsia="MS PGothic" w:hAnsi="Times New Roman"/>
          <w:lang w:val="en-US"/>
        </w:rPr>
        <w:t xml:space="preserve">. Pre-emulsion is prepared in a 1L glass flask with a magnetic stirrer at high speed. Pre-emulsions are very stable and do not separate during dosing. </w:t>
      </w:r>
      <w:r>
        <w:rPr>
          <w:rFonts w:ascii="Times New Roman" w:eastAsia="MS PGothic" w:hAnsi="Times New Roman"/>
          <w:lang w:val="en-US"/>
        </w:rPr>
        <w:t>Dosing</w:t>
      </w:r>
      <w:r w:rsidR="00CC62B0">
        <w:rPr>
          <w:rFonts w:ascii="Times New Roman" w:eastAsia="MS PGothic" w:hAnsi="Times New Roman"/>
          <w:lang w:val="en-US"/>
        </w:rPr>
        <w:t xml:space="preserve"> </w:t>
      </w:r>
      <w:r>
        <w:rPr>
          <w:rFonts w:ascii="Times New Roman" w:eastAsia="MS PGothic" w:hAnsi="Times New Roman"/>
          <w:lang w:val="en-US"/>
        </w:rPr>
        <w:t>is</w:t>
      </w:r>
      <w:r w:rsidR="00CC62B0">
        <w:rPr>
          <w:rFonts w:ascii="Times New Roman" w:eastAsia="MS PGothic" w:hAnsi="Times New Roman"/>
          <w:lang w:val="en-US"/>
        </w:rPr>
        <w:t xml:space="preserve"> performed </w:t>
      </w:r>
      <w:r>
        <w:rPr>
          <w:rFonts w:ascii="Times New Roman" w:eastAsia="MS PGothic" w:hAnsi="Times New Roman"/>
          <w:lang w:val="en-US"/>
        </w:rPr>
        <w:t>using</w:t>
      </w:r>
      <w:r w:rsidR="00CC62B0">
        <w:rPr>
          <w:rFonts w:ascii="Times New Roman" w:eastAsia="MS PGothic" w:hAnsi="Times New Roman"/>
          <w:lang w:val="en-US"/>
        </w:rPr>
        <w:t xml:space="preserve"> ISMATEC pumps. </w:t>
      </w:r>
      <w:r w:rsidR="009D513C">
        <w:rPr>
          <w:rFonts w:ascii="Times New Roman" w:eastAsia="MS PGothic" w:hAnsi="Times New Roman"/>
          <w:lang w:val="en-US"/>
        </w:rPr>
        <w:t xml:space="preserve">Nitrogen is </w:t>
      </w:r>
      <w:r>
        <w:rPr>
          <w:rFonts w:ascii="Times New Roman" w:eastAsia="MS PGothic" w:hAnsi="Times New Roman"/>
          <w:lang w:val="en-US"/>
        </w:rPr>
        <w:t>introduced</w:t>
      </w:r>
      <w:r w:rsidR="009D513C">
        <w:rPr>
          <w:rFonts w:ascii="Times New Roman" w:eastAsia="MS PGothic" w:hAnsi="Times New Roman"/>
          <w:lang w:val="en-US"/>
        </w:rPr>
        <w:t xml:space="preserve"> </w:t>
      </w:r>
      <w:r>
        <w:rPr>
          <w:rFonts w:ascii="Times New Roman" w:eastAsia="MS PGothic" w:hAnsi="Times New Roman"/>
          <w:lang w:val="en-US"/>
        </w:rPr>
        <w:t>through</w:t>
      </w:r>
      <w:r w:rsidR="009D513C">
        <w:rPr>
          <w:rFonts w:ascii="Times New Roman" w:eastAsia="MS PGothic" w:hAnsi="Times New Roman"/>
          <w:lang w:val="en-US"/>
        </w:rPr>
        <w:t xml:space="preserve"> a small rubber tube located at the top of the reactor. Thanks to a condenser</w:t>
      </w:r>
      <w:r>
        <w:rPr>
          <w:rFonts w:ascii="Times New Roman" w:eastAsia="MS PGothic" w:hAnsi="Times New Roman"/>
          <w:lang w:val="en-US"/>
        </w:rPr>
        <w:t>,</w:t>
      </w:r>
      <w:r w:rsidR="009D513C">
        <w:rPr>
          <w:rFonts w:ascii="Times New Roman" w:eastAsia="MS PGothic" w:hAnsi="Times New Roman"/>
          <w:lang w:val="en-US"/>
        </w:rPr>
        <w:t xml:space="preserve"> it is possible to </w:t>
      </w:r>
      <w:r>
        <w:rPr>
          <w:rFonts w:ascii="Times New Roman" w:eastAsia="MS PGothic" w:hAnsi="Times New Roman"/>
          <w:lang w:val="en-US"/>
        </w:rPr>
        <w:t xml:space="preserve">both </w:t>
      </w:r>
      <w:r w:rsidR="009D513C">
        <w:rPr>
          <w:rFonts w:ascii="Times New Roman" w:eastAsia="MS PGothic" w:hAnsi="Times New Roman"/>
          <w:lang w:val="en-US"/>
        </w:rPr>
        <w:t>purge nitrogen and condense most of the vapors.</w:t>
      </w:r>
      <w:r w:rsidR="007044B2">
        <w:rPr>
          <w:rFonts w:ascii="Times New Roman" w:eastAsia="MS PGothic" w:hAnsi="Times New Roman"/>
          <w:lang w:val="en-US"/>
        </w:rPr>
        <w:t xml:space="preserve"> </w:t>
      </w:r>
      <w:r w:rsidR="00CC62B0">
        <w:rPr>
          <w:rFonts w:ascii="Times New Roman" w:eastAsia="MS PGothic" w:hAnsi="Times New Roman"/>
          <w:lang w:val="en-US"/>
        </w:rPr>
        <w:t>Samples are taken with the use of a syringe</w:t>
      </w:r>
      <w:r>
        <w:rPr>
          <w:rFonts w:ascii="Times New Roman" w:eastAsia="MS PGothic" w:hAnsi="Times New Roman"/>
          <w:lang w:val="en-US"/>
        </w:rPr>
        <w:t>:</w:t>
      </w:r>
      <w:r w:rsidR="00CC62B0">
        <w:rPr>
          <w:rFonts w:ascii="Times New Roman" w:eastAsia="MS PGothic" w:hAnsi="Times New Roman"/>
          <w:lang w:val="en-US"/>
        </w:rPr>
        <w:t xml:space="preserve"> 10 g of latex are taken with each sample. Considering the potential high amount of residual monomer, samples required quenching, which was performed by adding </w:t>
      </w:r>
      <w:r w:rsidR="009D513C">
        <w:rPr>
          <w:rFonts w:ascii="Times New Roman" w:eastAsia="MS PGothic" w:hAnsi="Times New Roman"/>
          <w:lang w:val="en-US"/>
        </w:rPr>
        <w:t>0.24 g of</w:t>
      </w:r>
      <w:r w:rsidR="00CC62B0">
        <w:rPr>
          <w:rFonts w:ascii="Times New Roman" w:eastAsia="MS PGothic" w:hAnsi="Times New Roman"/>
          <w:lang w:val="en-US"/>
        </w:rPr>
        <w:t xml:space="preserve"> an aqueous solution saturated with 4-methoxy phenol.</w:t>
      </w:r>
      <w:r w:rsidR="008F7377">
        <w:rPr>
          <w:rFonts w:ascii="Times New Roman" w:eastAsia="MS PGothic" w:hAnsi="Times New Roman"/>
          <w:lang w:val="en-US"/>
        </w:rPr>
        <w:t xml:space="preserve"> Samples </w:t>
      </w:r>
      <w:r>
        <w:rPr>
          <w:rFonts w:ascii="Times New Roman" w:eastAsia="MS PGothic" w:hAnsi="Times New Roman"/>
          <w:lang w:val="en-US"/>
        </w:rPr>
        <w:t>were</w:t>
      </w:r>
      <w:r w:rsidR="008F7377">
        <w:rPr>
          <w:rFonts w:ascii="Times New Roman" w:eastAsia="MS PGothic" w:hAnsi="Times New Roman"/>
          <w:lang w:val="en-US"/>
        </w:rPr>
        <w:t xml:space="preserve"> added with </w:t>
      </w:r>
      <w:r w:rsidR="008F7377" w:rsidRPr="008F7377">
        <w:rPr>
          <w:rFonts w:ascii="Times New Roman" w:eastAsia="MS PGothic" w:hAnsi="Times New Roman"/>
          <w:lang w:val="en-US"/>
        </w:rPr>
        <w:t>Dimethyl sulfoxide</w:t>
      </w:r>
      <w:r w:rsidR="008F7377">
        <w:rPr>
          <w:rFonts w:ascii="Times New Roman" w:eastAsia="MS PGothic" w:hAnsi="Times New Roman"/>
          <w:lang w:val="en-US"/>
        </w:rPr>
        <w:t xml:space="preserve"> and sent to a Gas Chromatography – Flame </w:t>
      </w:r>
      <w:proofErr w:type="spellStart"/>
      <w:r w:rsidR="008F7377">
        <w:rPr>
          <w:rFonts w:ascii="Times New Roman" w:eastAsia="MS PGothic" w:hAnsi="Times New Roman"/>
          <w:lang w:val="en-US"/>
        </w:rPr>
        <w:t>Ionizator</w:t>
      </w:r>
      <w:proofErr w:type="spellEnd"/>
      <w:r w:rsidR="008F7377">
        <w:rPr>
          <w:rFonts w:ascii="Times New Roman" w:eastAsia="MS PGothic" w:hAnsi="Times New Roman"/>
          <w:lang w:val="en-US"/>
        </w:rPr>
        <w:t xml:space="preserve"> Detector (FC-FID) for analysis.</w:t>
      </w:r>
    </w:p>
    <w:p w14:paraId="6B748AAF" w14:textId="44F856D2" w:rsidR="008415EC" w:rsidRDefault="008F7377" w:rsidP="006D0016">
      <w:pPr>
        <w:snapToGrid w:val="0"/>
        <w:spacing w:after="120"/>
        <w:jc w:val="both"/>
        <w:rPr>
          <w:rFonts w:ascii="Times New Roman" w:eastAsia="MS PGothic" w:hAnsi="Times New Roman"/>
          <w:lang w:val="en-US"/>
        </w:rPr>
      </w:pPr>
      <w:r>
        <w:rPr>
          <w:rFonts w:ascii="Times New Roman" w:eastAsia="MS PGothic" w:hAnsi="Times New Roman"/>
          <w:lang w:val="en-US"/>
        </w:rPr>
        <w:t>Substances analy</w:t>
      </w:r>
      <w:r w:rsidR="00AE625F">
        <w:rPr>
          <w:rFonts w:ascii="Times New Roman" w:eastAsia="MS PGothic" w:hAnsi="Times New Roman"/>
          <w:lang w:val="en-US"/>
        </w:rPr>
        <w:t>z</w:t>
      </w:r>
      <w:r>
        <w:rPr>
          <w:rFonts w:ascii="Times New Roman" w:eastAsia="MS PGothic" w:hAnsi="Times New Roman"/>
          <w:lang w:val="en-US"/>
        </w:rPr>
        <w:t>ed are</w:t>
      </w:r>
      <w:r w:rsidR="00D869D9">
        <w:rPr>
          <w:rFonts w:ascii="Times New Roman" w:eastAsia="MS PGothic" w:hAnsi="Times New Roman"/>
          <w:lang w:val="en-US"/>
        </w:rPr>
        <w:t xml:space="preserve"> </w:t>
      </w:r>
      <w:r w:rsidR="004C7F04">
        <w:rPr>
          <w:rFonts w:ascii="Times New Roman" w:eastAsia="MS PGothic" w:hAnsi="Times New Roman"/>
          <w:lang w:val="en-US"/>
        </w:rPr>
        <w:t xml:space="preserve">residual </w:t>
      </w:r>
      <w:r w:rsidR="00D869D9">
        <w:rPr>
          <w:rFonts w:ascii="Times New Roman" w:eastAsia="MS PGothic" w:hAnsi="Times New Roman"/>
          <w:lang w:val="en-US"/>
        </w:rPr>
        <w:t xml:space="preserve">2EEA </w:t>
      </w:r>
      <w:r w:rsidR="004C7F04">
        <w:rPr>
          <w:rFonts w:ascii="Times New Roman" w:eastAsia="MS PGothic" w:hAnsi="Times New Roman"/>
          <w:lang w:val="en-US"/>
        </w:rPr>
        <w:t>and</w:t>
      </w:r>
      <w:r w:rsidR="00D869D9">
        <w:rPr>
          <w:rFonts w:ascii="Times New Roman" w:eastAsia="MS PGothic" w:hAnsi="Times New Roman"/>
          <w:lang w:val="en-US"/>
        </w:rPr>
        <w:t xml:space="preserve"> acrylonitrile, acetone, </w:t>
      </w:r>
      <w:r w:rsidR="008415EC">
        <w:rPr>
          <w:rFonts w:ascii="Times New Roman" w:eastAsia="MS PGothic" w:hAnsi="Times New Roman"/>
          <w:lang w:val="en-US"/>
        </w:rPr>
        <w:t>2</w:t>
      </w:r>
      <w:r w:rsidR="008415EC" w:rsidRPr="00D869D9">
        <w:rPr>
          <w:rFonts w:ascii="Times New Roman" w:eastAsia="MS PGothic" w:hAnsi="Times New Roman"/>
          <w:lang w:val="en-US"/>
        </w:rPr>
        <w:t>-ethylhex</w:t>
      </w:r>
      <w:r w:rsidR="004C7F04">
        <w:rPr>
          <w:rFonts w:ascii="Times New Roman" w:eastAsia="MS PGothic" w:hAnsi="Times New Roman"/>
          <w:lang w:val="en-US"/>
        </w:rPr>
        <w:t>anol</w:t>
      </w:r>
      <w:r w:rsidR="007044B2">
        <w:rPr>
          <w:rFonts w:ascii="Times New Roman" w:eastAsia="MS PGothic" w:hAnsi="Times New Roman"/>
          <w:lang w:val="en-US"/>
        </w:rPr>
        <w:t>,</w:t>
      </w:r>
      <w:r w:rsidR="008415EC">
        <w:rPr>
          <w:rFonts w:ascii="Times New Roman" w:eastAsia="MS PGothic" w:hAnsi="Times New Roman"/>
          <w:lang w:val="en-US"/>
        </w:rPr>
        <w:t xml:space="preserve"> </w:t>
      </w:r>
      <w:r w:rsidR="008415EC" w:rsidRPr="00D869D9">
        <w:rPr>
          <w:rFonts w:ascii="Times New Roman" w:eastAsia="MS PGothic" w:hAnsi="Times New Roman"/>
          <w:lang w:val="en-US"/>
        </w:rPr>
        <w:t>2-ethylhexyl</w:t>
      </w:r>
      <w:r w:rsidR="008415EC">
        <w:rPr>
          <w:rFonts w:ascii="Times New Roman" w:eastAsia="MS PGothic" w:hAnsi="Times New Roman"/>
          <w:lang w:val="en-US"/>
        </w:rPr>
        <w:t xml:space="preserve"> acetate</w:t>
      </w:r>
      <w:r w:rsidR="007044B2">
        <w:rPr>
          <w:rFonts w:ascii="Times New Roman" w:eastAsia="MS PGothic" w:hAnsi="Times New Roman"/>
          <w:lang w:val="en-US"/>
        </w:rPr>
        <w:t xml:space="preserve"> and ter</w:t>
      </w:r>
      <w:r w:rsidR="00AE625F">
        <w:rPr>
          <w:rFonts w:ascii="Times New Roman" w:eastAsia="MS PGothic" w:hAnsi="Times New Roman"/>
          <w:lang w:val="en-US"/>
        </w:rPr>
        <w:t>t-B</w:t>
      </w:r>
      <w:r w:rsidR="007044B2">
        <w:rPr>
          <w:rFonts w:ascii="Times New Roman" w:eastAsia="MS PGothic" w:hAnsi="Times New Roman"/>
          <w:lang w:val="en-US"/>
        </w:rPr>
        <w:t>utanol</w:t>
      </w:r>
      <w:r w:rsidR="004C7F04">
        <w:rPr>
          <w:rFonts w:ascii="Times New Roman" w:eastAsia="MS PGothic" w:hAnsi="Times New Roman"/>
          <w:lang w:val="en-US"/>
        </w:rPr>
        <w:t xml:space="preserve"> (</w:t>
      </w:r>
      <w:proofErr w:type="spellStart"/>
      <w:r w:rsidR="004C7F04">
        <w:rPr>
          <w:rFonts w:ascii="Times New Roman" w:eastAsia="MS PGothic" w:hAnsi="Times New Roman"/>
          <w:lang w:val="en-US"/>
        </w:rPr>
        <w:t>tBuOH</w:t>
      </w:r>
      <w:proofErr w:type="spellEnd"/>
      <w:r w:rsidR="004C7F04">
        <w:rPr>
          <w:rFonts w:ascii="Times New Roman" w:eastAsia="MS PGothic" w:hAnsi="Times New Roman"/>
          <w:lang w:val="en-US"/>
        </w:rPr>
        <w:t>)</w:t>
      </w:r>
      <w:r>
        <w:rPr>
          <w:rFonts w:ascii="Times New Roman" w:eastAsia="MS PGothic" w:hAnsi="Times New Roman"/>
          <w:lang w:val="en-US"/>
        </w:rPr>
        <w:t>.</w:t>
      </w:r>
      <w:r w:rsidR="007044B2">
        <w:rPr>
          <w:rFonts w:ascii="Times New Roman" w:eastAsia="MS PGothic" w:hAnsi="Times New Roman"/>
          <w:lang w:val="en-US"/>
        </w:rPr>
        <w:t xml:space="preserve"> </w:t>
      </w:r>
      <w:r w:rsidR="005A55CB">
        <w:rPr>
          <w:rFonts w:ascii="Times New Roman" w:eastAsia="MS PGothic" w:hAnsi="Times New Roman"/>
          <w:lang w:val="en-US"/>
        </w:rPr>
        <w:t>A</w:t>
      </w:r>
      <w:r w:rsidR="007044B2">
        <w:rPr>
          <w:rFonts w:ascii="Times New Roman" w:eastAsia="MS PGothic" w:hAnsi="Times New Roman"/>
          <w:lang w:val="en-US"/>
        </w:rPr>
        <w:t xml:space="preserve">cetate is used because, </w:t>
      </w:r>
      <w:r w:rsidR="005A55CB">
        <w:rPr>
          <w:rFonts w:ascii="Times New Roman" w:eastAsia="MS PGothic" w:hAnsi="Times New Roman"/>
          <w:lang w:val="en-US"/>
        </w:rPr>
        <w:t>as</w:t>
      </w:r>
      <w:r w:rsidR="007044B2">
        <w:rPr>
          <w:rFonts w:ascii="Times New Roman" w:eastAsia="MS PGothic" w:hAnsi="Times New Roman"/>
          <w:lang w:val="en-US"/>
        </w:rPr>
        <w:t xml:space="preserve"> it is present in the reagent with a well-known composition and it is stable during the reaction, </w:t>
      </w:r>
      <w:r w:rsidR="006D0016">
        <w:rPr>
          <w:rFonts w:ascii="Times New Roman" w:eastAsia="MS PGothic" w:hAnsi="Times New Roman"/>
          <w:lang w:val="en-US"/>
        </w:rPr>
        <w:t xml:space="preserve">it </w:t>
      </w:r>
      <w:r w:rsidR="007044B2">
        <w:rPr>
          <w:rFonts w:ascii="Times New Roman" w:eastAsia="MS PGothic" w:hAnsi="Times New Roman"/>
          <w:lang w:val="en-US"/>
        </w:rPr>
        <w:t>is an index of the reliability of the sample.</w:t>
      </w:r>
      <w:r>
        <w:rPr>
          <w:rFonts w:ascii="Times New Roman" w:eastAsia="MS PGothic" w:hAnsi="Times New Roman"/>
          <w:lang w:val="en-US"/>
        </w:rPr>
        <w:t xml:space="preserve"> For </w:t>
      </w:r>
      <w:r w:rsidR="005A55CB">
        <w:rPr>
          <w:rFonts w:ascii="Times New Roman" w:eastAsia="MS PGothic" w:hAnsi="Times New Roman"/>
          <w:lang w:val="en-US"/>
        </w:rPr>
        <w:t>each</w:t>
      </w:r>
      <w:r>
        <w:rPr>
          <w:rFonts w:ascii="Times New Roman" w:eastAsia="MS PGothic" w:hAnsi="Times New Roman"/>
          <w:lang w:val="en-US"/>
        </w:rPr>
        <w:t xml:space="preserve"> reaction, </w:t>
      </w:r>
      <w:r w:rsidR="00F803E7">
        <w:rPr>
          <w:rFonts w:ascii="Times New Roman" w:eastAsia="MS PGothic" w:hAnsi="Times New Roman"/>
          <w:lang w:val="en-US"/>
        </w:rPr>
        <w:t>5</w:t>
      </w:r>
      <w:r>
        <w:rPr>
          <w:rFonts w:ascii="Times New Roman" w:eastAsia="MS PGothic" w:hAnsi="Times New Roman"/>
          <w:lang w:val="en-US"/>
        </w:rPr>
        <w:t xml:space="preserve"> samples </w:t>
      </w:r>
      <w:r w:rsidR="005A55CB">
        <w:rPr>
          <w:rFonts w:ascii="Times New Roman" w:eastAsia="MS PGothic" w:hAnsi="Times New Roman"/>
          <w:lang w:val="en-US"/>
        </w:rPr>
        <w:t>were</w:t>
      </w:r>
      <w:r>
        <w:rPr>
          <w:rFonts w:ascii="Times New Roman" w:eastAsia="MS PGothic" w:hAnsi="Times New Roman"/>
          <w:lang w:val="en-US"/>
        </w:rPr>
        <w:t xml:space="preserve"> taken from the </w:t>
      </w:r>
      <w:r w:rsidR="00017996">
        <w:rPr>
          <w:rFonts w:ascii="Times New Roman" w:eastAsia="MS PGothic" w:hAnsi="Times New Roman"/>
          <w:lang w:val="en-US"/>
        </w:rPr>
        <w:t>reactor according to Table 1</w:t>
      </w:r>
      <w:r>
        <w:rPr>
          <w:rFonts w:ascii="Times New Roman" w:eastAsia="MS PGothic" w:hAnsi="Times New Roman"/>
          <w:lang w:val="en-US"/>
        </w:rPr>
        <w:t>:</w:t>
      </w:r>
    </w:p>
    <w:p w14:paraId="205B0DEE" w14:textId="3B804843" w:rsidR="00F803E7" w:rsidRPr="00F803E7" w:rsidRDefault="00F803E7" w:rsidP="00F803E7">
      <w:pPr>
        <w:snapToGrid w:val="0"/>
        <w:spacing w:after="120"/>
        <w:jc w:val="center"/>
        <w:rPr>
          <w:rFonts w:ascii="Times New Roman" w:eastAsia="MS PGothic" w:hAnsi="Times New Roman"/>
          <w:szCs w:val="18"/>
          <w:lang w:val="en-US"/>
        </w:rPr>
      </w:pPr>
      <w:r>
        <w:rPr>
          <w:rFonts w:ascii="Times New Roman" w:eastAsia="MS PGothic" w:hAnsi="Times New Roman"/>
          <w:b/>
          <w:szCs w:val="18"/>
          <w:lang w:val="en-US"/>
        </w:rPr>
        <w:t>Table</w:t>
      </w:r>
      <w:r w:rsidRPr="00466FFD">
        <w:rPr>
          <w:rFonts w:ascii="Times New Roman" w:eastAsia="MS PGothic" w:hAnsi="Times New Roman"/>
          <w:b/>
          <w:szCs w:val="18"/>
          <w:lang w:val="en-US"/>
        </w:rPr>
        <w:t xml:space="preserve"> 1</w:t>
      </w:r>
      <w:r w:rsidRPr="00466FFD">
        <w:rPr>
          <w:rFonts w:ascii="Times New Roman" w:eastAsia="MS PGothic" w:hAnsi="Times New Roman"/>
          <w:b/>
          <w:szCs w:val="18"/>
          <w:lang w:val="en-US" w:eastAsia="ko-KR"/>
        </w:rPr>
        <w:t>.</w:t>
      </w:r>
      <w:r w:rsidRPr="00466FFD">
        <w:rPr>
          <w:rFonts w:ascii="Times New Roman" w:eastAsia="MS PGothic" w:hAnsi="Times New Roman"/>
          <w:szCs w:val="18"/>
          <w:lang w:val="en-US"/>
        </w:rPr>
        <w:t xml:space="preserve"> </w:t>
      </w:r>
      <w:r w:rsidRPr="00466FFD">
        <w:rPr>
          <w:rFonts w:ascii="Times New Roman" w:hAnsi="Times New Roman"/>
          <w:lang w:val="en-US"/>
        </w:rPr>
        <w:t xml:space="preserve"> </w:t>
      </w:r>
      <w:r>
        <w:rPr>
          <w:rFonts w:ascii="Times New Roman" w:eastAsia="MS PGothic" w:hAnsi="Times New Roman"/>
          <w:szCs w:val="18"/>
          <w:lang w:val="en-US"/>
        </w:rPr>
        <w:t>Samples characterization</w:t>
      </w:r>
      <w:r w:rsidRPr="00466FFD">
        <w:rPr>
          <w:rFonts w:ascii="Times New Roman" w:eastAsia="MS PGothic" w:hAnsi="Times New Roman"/>
          <w:szCs w:val="18"/>
          <w:lang w:val="en-US"/>
        </w:rPr>
        <w:t>.</w:t>
      </w:r>
    </w:p>
    <w:tbl>
      <w:tblPr>
        <w:tblStyle w:val="Grigliatabella"/>
        <w:tblW w:w="0" w:type="auto"/>
        <w:jc w:val="center"/>
        <w:tblLook w:val="04A0" w:firstRow="1" w:lastRow="0" w:firstColumn="1" w:lastColumn="0" w:noHBand="0" w:noVBand="1"/>
      </w:tblPr>
      <w:tblGrid>
        <w:gridCol w:w="966"/>
        <w:gridCol w:w="2421"/>
        <w:gridCol w:w="1399"/>
      </w:tblGrid>
      <w:tr w:rsidR="00F803E7" w:rsidRPr="009A0C1C" w14:paraId="52A43650" w14:textId="77777777" w:rsidTr="00F803E7">
        <w:trPr>
          <w:jc w:val="center"/>
        </w:trPr>
        <w:tc>
          <w:tcPr>
            <w:tcW w:w="0" w:type="auto"/>
          </w:tcPr>
          <w:p w14:paraId="221A9696" w14:textId="2C451280" w:rsidR="00F803E7" w:rsidRPr="009A0C1C" w:rsidRDefault="00F803E7" w:rsidP="00F803E7">
            <w:pPr>
              <w:snapToGrid w:val="0"/>
              <w:rPr>
                <w:rFonts w:ascii="Times New Roman" w:eastAsia="MS PGothic" w:hAnsi="Times New Roman"/>
                <w:b/>
                <w:bCs/>
                <w:sz w:val="20"/>
                <w:szCs w:val="20"/>
                <w:lang w:val="en-US"/>
              </w:rPr>
            </w:pPr>
            <w:r w:rsidRPr="009A0C1C">
              <w:rPr>
                <w:rFonts w:ascii="Times New Roman" w:eastAsia="MS PGothic" w:hAnsi="Times New Roman"/>
                <w:b/>
                <w:bCs/>
                <w:sz w:val="20"/>
                <w:szCs w:val="20"/>
                <w:lang w:val="en-US"/>
              </w:rPr>
              <w:t xml:space="preserve"># </w:t>
            </w:r>
            <w:proofErr w:type="gramStart"/>
            <w:r w:rsidRPr="009A0C1C">
              <w:rPr>
                <w:rFonts w:ascii="Times New Roman" w:eastAsia="MS PGothic" w:hAnsi="Times New Roman"/>
                <w:b/>
                <w:bCs/>
                <w:sz w:val="20"/>
                <w:szCs w:val="20"/>
                <w:lang w:val="en-US"/>
              </w:rPr>
              <w:t>sample</w:t>
            </w:r>
            <w:proofErr w:type="gramEnd"/>
          </w:p>
        </w:tc>
        <w:tc>
          <w:tcPr>
            <w:tcW w:w="0" w:type="auto"/>
          </w:tcPr>
          <w:p w14:paraId="710FBF72" w14:textId="5000F92B" w:rsidR="00F803E7" w:rsidRPr="009A0C1C" w:rsidRDefault="00F803E7" w:rsidP="00F803E7">
            <w:pPr>
              <w:snapToGrid w:val="0"/>
              <w:rPr>
                <w:rFonts w:ascii="Times New Roman" w:eastAsia="MS PGothic" w:hAnsi="Times New Roman"/>
                <w:b/>
                <w:bCs/>
                <w:sz w:val="20"/>
                <w:szCs w:val="20"/>
                <w:lang w:val="en-US"/>
              </w:rPr>
            </w:pPr>
            <w:r w:rsidRPr="009A0C1C">
              <w:rPr>
                <w:rFonts w:ascii="Times New Roman" w:eastAsia="MS PGothic" w:hAnsi="Times New Roman"/>
                <w:b/>
                <w:bCs/>
                <w:sz w:val="20"/>
                <w:szCs w:val="20"/>
                <w:lang w:val="en-US"/>
              </w:rPr>
              <w:t>Reference</w:t>
            </w:r>
          </w:p>
        </w:tc>
        <w:tc>
          <w:tcPr>
            <w:tcW w:w="0" w:type="auto"/>
          </w:tcPr>
          <w:p w14:paraId="04307925" w14:textId="1A33B218" w:rsidR="00F803E7" w:rsidRPr="009A0C1C" w:rsidRDefault="00F803E7" w:rsidP="00F803E7">
            <w:pPr>
              <w:snapToGrid w:val="0"/>
              <w:rPr>
                <w:rFonts w:ascii="Times New Roman" w:eastAsia="MS PGothic" w:hAnsi="Times New Roman"/>
                <w:b/>
                <w:bCs/>
                <w:sz w:val="20"/>
                <w:szCs w:val="20"/>
                <w:lang w:val="en-US"/>
              </w:rPr>
            </w:pPr>
            <w:r w:rsidRPr="009A0C1C">
              <w:rPr>
                <w:rFonts w:ascii="Times New Roman" w:eastAsia="MS PGothic" w:hAnsi="Times New Roman"/>
                <w:b/>
                <w:bCs/>
                <w:sz w:val="20"/>
                <w:szCs w:val="20"/>
                <w:lang w:val="en-US"/>
              </w:rPr>
              <w:t>Reaction time</w:t>
            </w:r>
          </w:p>
        </w:tc>
      </w:tr>
      <w:tr w:rsidR="00F803E7" w:rsidRPr="009A0C1C" w14:paraId="784135DC" w14:textId="77777777" w:rsidTr="00F803E7">
        <w:trPr>
          <w:jc w:val="center"/>
        </w:trPr>
        <w:tc>
          <w:tcPr>
            <w:tcW w:w="0" w:type="auto"/>
          </w:tcPr>
          <w:p w14:paraId="00C48BE9" w14:textId="789B73FA"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1</w:t>
            </w:r>
          </w:p>
        </w:tc>
        <w:tc>
          <w:tcPr>
            <w:tcW w:w="0" w:type="auto"/>
          </w:tcPr>
          <w:p w14:paraId="0F380BE4" w14:textId="6590C347"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Half dosing</w:t>
            </w:r>
          </w:p>
        </w:tc>
        <w:tc>
          <w:tcPr>
            <w:tcW w:w="0" w:type="auto"/>
          </w:tcPr>
          <w:p w14:paraId="742CDDAD" w14:textId="11FB835A"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180 min</w:t>
            </w:r>
          </w:p>
        </w:tc>
      </w:tr>
      <w:tr w:rsidR="00F803E7" w:rsidRPr="009A0C1C" w14:paraId="2D1A51F5" w14:textId="77777777" w:rsidTr="00F803E7">
        <w:trPr>
          <w:jc w:val="center"/>
        </w:trPr>
        <w:tc>
          <w:tcPr>
            <w:tcW w:w="0" w:type="auto"/>
          </w:tcPr>
          <w:p w14:paraId="78BC32D4" w14:textId="7EBD34A7"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2</w:t>
            </w:r>
          </w:p>
        </w:tc>
        <w:tc>
          <w:tcPr>
            <w:tcW w:w="0" w:type="auto"/>
          </w:tcPr>
          <w:p w14:paraId="66F6DD3C" w14:textId="27B71B8F"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End of dosing</w:t>
            </w:r>
          </w:p>
        </w:tc>
        <w:tc>
          <w:tcPr>
            <w:tcW w:w="0" w:type="auto"/>
          </w:tcPr>
          <w:p w14:paraId="27922821" w14:textId="18F54786"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280 min</w:t>
            </w:r>
          </w:p>
        </w:tc>
      </w:tr>
      <w:tr w:rsidR="00F803E7" w:rsidRPr="009A0C1C" w14:paraId="2958028E" w14:textId="77777777" w:rsidTr="00F803E7">
        <w:trPr>
          <w:jc w:val="center"/>
        </w:trPr>
        <w:tc>
          <w:tcPr>
            <w:tcW w:w="0" w:type="auto"/>
          </w:tcPr>
          <w:p w14:paraId="65C6E0EB" w14:textId="3B99EE2B"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3</w:t>
            </w:r>
          </w:p>
        </w:tc>
        <w:tc>
          <w:tcPr>
            <w:tcW w:w="0" w:type="auto"/>
          </w:tcPr>
          <w:p w14:paraId="19AF8B10" w14:textId="7400119D"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Before post-polymerization</w:t>
            </w:r>
          </w:p>
        </w:tc>
        <w:tc>
          <w:tcPr>
            <w:tcW w:w="0" w:type="auto"/>
          </w:tcPr>
          <w:p w14:paraId="7E76A9AB" w14:textId="3C74717B"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310 min</w:t>
            </w:r>
          </w:p>
        </w:tc>
      </w:tr>
      <w:tr w:rsidR="00F803E7" w:rsidRPr="009A0C1C" w14:paraId="788E8C49" w14:textId="77777777" w:rsidTr="00F803E7">
        <w:trPr>
          <w:jc w:val="center"/>
        </w:trPr>
        <w:tc>
          <w:tcPr>
            <w:tcW w:w="0" w:type="auto"/>
          </w:tcPr>
          <w:p w14:paraId="3066B7C3" w14:textId="1B52B912"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4</w:t>
            </w:r>
          </w:p>
        </w:tc>
        <w:tc>
          <w:tcPr>
            <w:tcW w:w="0" w:type="auto"/>
          </w:tcPr>
          <w:p w14:paraId="6FA473D3" w14:textId="178F8985"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After post-polymerization</w:t>
            </w:r>
          </w:p>
        </w:tc>
        <w:tc>
          <w:tcPr>
            <w:tcW w:w="0" w:type="auto"/>
          </w:tcPr>
          <w:p w14:paraId="12FC6A81" w14:textId="25E8C1D3"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370 min</w:t>
            </w:r>
          </w:p>
        </w:tc>
      </w:tr>
      <w:tr w:rsidR="00F803E7" w:rsidRPr="009A0C1C" w14:paraId="1685B64A" w14:textId="77777777" w:rsidTr="00F803E7">
        <w:trPr>
          <w:jc w:val="center"/>
        </w:trPr>
        <w:tc>
          <w:tcPr>
            <w:tcW w:w="0" w:type="auto"/>
          </w:tcPr>
          <w:p w14:paraId="302B2767" w14:textId="4F92AC06"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5</w:t>
            </w:r>
          </w:p>
        </w:tc>
        <w:tc>
          <w:tcPr>
            <w:tcW w:w="0" w:type="auto"/>
          </w:tcPr>
          <w:p w14:paraId="02936C52" w14:textId="43613F6B"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Finale product</w:t>
            </w:r>
          </w:p>
        </w:tc>
        <w:tc>
          <w:tcPr>
            <w:tcW w:w="0" w:type="auto"/>
          </w:tcPr>
          <w:p w14:paraId="6CAF275B" w14:textId="067A7773" w:rsidR="00F803E7" w:rsidRPr="009A0C1C" w:rsidRDefault="00F803E7" w:rsidP="0066031A">
            <w:pPr>
              <w:snapToGrid w:val="0"/>
              <w:rPr>
                <w:rFonts w:ascii="Times New Roman" w:eastAsia="MS PGothic" w:hAnsi="Times New Roman"/>
                <w:sz w:val="20"/>
                <w:szCs w:val="20"/>
                <w:lang w:val="en-US"/>
              </w:rPr>
            </w:pPr>
            <w:r w:rsidRPr="009A0C1C">
              <w:rPr>
                <w:rFonts w:ascii="Times New Roman" w:eastAsia="MS PGothic" w:hAnsi="Times New Roman"/>
                <w:sz w:val="20"/>
                <w:szCs w:val="20"/>
                <w:lang w:val="en-US"/>
              </w:rPr>
              <w:t>400 min</w:t>
            </w:r>
          </w:p>
        </w:tc>
      </w:tr>
    </w:tbl>
    <w:p w14:paraId="2AE7429E" w14:textId="2572E9F7" w:rsidR="00DF6AE3" w:rsidRPr="00466FFD" w:rsidRDefault="009A0C1C" w:rsidP="009A0C1C">
      <w:pPr>
        <w:snapToGrid w:val="0"/>
        <w:spacing w:before="240" w:after="0"/>
        <w:jc w:val="both"/>
        <w:rPr>
          <w:rFonts w:ascii="Times New Roman" w:eastAsia="MS PGothic" w:hAnsi="Times New Roman"/>
          <w:i/>
          <w:lang w:val="en-US"/>
        </w:rPr>
      </w:pPr>
      <w:r>
        <w:rPr>
          <w:rFonts w:ascii="Times New Roman" w:eastAsia="MS PGothic" w:hAnsi="Times New Roman"/>
          <w:lang w:val="en-US"/>
        </w:rPr>
        <w:t>Redundant</w:t>
      </w:r>
      <w:r w:rsidR="008F7377">
        <w:rPr>
          <w:rFonts w:ascii="Times New Roman" w:eastAsia="MS PGothic" w:hAnsi="Times New Roman"/>
          <w:lang w:val="en-US"/>
        </w:rPr>
        <w:t xml:space="preserve"> samples were not considered to avoid excessive changes in latex composition.</w:t>
      </w:r>
      <w:r w:rsidR="00017996">
        <w:rPr>
          <w:rFonts w:ascii="Times New Roman" w:eastAsia="MS PGothic" w:hAnsi="Times New Roman"/>
          <w:lang w:val="en-US"/>
        </w:rPr>
        <w:t xml:space="preserve"> </w:t>
      </w:r>
      <w:r w:rsidR="00DF6AE3">
        <w:rPr>
          <w:rFonts w:ascii="Times New Roman" w:eastAsia="MS PGothic" w:hAnsi="Times New Roman"/>
          <w:lang w:val="en-US"/>
        </w:rPr>
        <w:t>The experimental campaign was carried out with the aim of studying the impact of in</w:t>
      </w:r>
      <w:r>
        <w:rPr>
          <w:rFonts w:ascii="Times New Roman" w:eastAsia="MS PGothic" w:hAnsi="Times New Roman"/>
          <w:lang w:val="en-US"/>
        </w:rPr>
        <w:t>tro</w:t>
      </w:r>
      <w:r w:rsidR="00DF6AE3">
        <w:rPr>
          <w:rFonts w:ascii="Times New Roman" w:eastAsia="MS PGothic" w:hAnsi="Times New Roman"/>
          <w:lang w:val="en-US"/>
        </w:rPr>
        <w:t xml:space="preserve">ducing a nitrogen flux on the </w:t>
      </w:r>
      <w:r w:rsidR="004A71D6">
        <w:rPr>
          <w:rFonts w:ascii="Times New Roman" w:eastAsia="MS PGothic" w:hAnsi="Times New Roman"/>
          <w:lang w:val="en-US"/>
        </w:rPr>
        <w:t>total VOCs production</w:t>
      </w:r>
      <w:r w:rsidR="00DF6AE3">
        <w:rPr>
          <w:rFonts w:ascii="Times New Roman" w:eastAsia="MS PGothic" w:hAnsi="Times New Roman"/>
          <w:lang w:val="en-US"/>
        </w:rPr>
        <w:t xml:space="preserve">. 4 tests under different </w:t>
      </w:r>
      <w:r>
        <w:rPr>
          <w:rFonts w:ascii="Times New Roman" w:eastAsia="MS PGothic" w:hAnsi="Times New Roman"/>
          <w:lang w:val="en-US"/>
        </w:rPr>
        <w:t xml:space="preserve">operating </w:t>
      </w:r>
      <w:r w:rsidR="00DF6AE3">
        <w:rPr>
          <w:rFonts w:ascii="Times New Roman" w:eastAsia="MS PGothic" w:hAnsi="Times New Roman"/>
          <w:lang w:val="en-US"/>
        </w:rPr>
        <w:t xml:space="preserve">conditions were </w:t>
      </w:r>
      <w:r>
        <w:rPr>
          <w:rFonts w:ascii="Times New Roman" w:eastAsia="MS PGothic" w:hAnsi="Times New Roman"/>
          <w:lang w:val="en-US"/>
        </w:rPr>
        <w:t>carried out</w:t>
      </w:r>
      <w:r w:rsidR="00DF6AE3">
        <w:rPr>
          <w:rFonts w:ascii="Times New Roman" w:eastAsia="MS PGothic" w:hAnsi="Times New Roman"/>
          <w:lang w:val="en-US"/>
        </w:rPr>
        <w:t>, with a standard recipe synthetized in parallel (8 tests).</w:t>
      </w:r>
      <w:r w:rsidR="00C517E5">
        <w:rPr>
          <w:rFonts w:ascii="Times New Roman" w:eastAsia="MS PGothic" w:hAnsi="Times New Roman"/>
          <w:lang w:val="en-US"/>
        </w:rPr>
        <w:t xml:space="preserve"> In this way, it was possible to validate the reliability of </w:t>
      </w:r>
      <w:r>
        <w:rPr>
          <w:rFonts w:ascii="Times New Roman" w:eastAsia="MS PGothic" w:hAnsi="Times New Roman"/>
          <w:lang w:val="en-US"/>
        </w:rPr>
        <w:t xml:space="preserve">the </w:t>
      </w:r>
      <w:r w:rsidR="00C517E5">
        <w:rPr>
          <w:rFonts w:ascii="Times New Roman" w:eastAsia="MS PGothic" w:hAnsi="Times New Roman"/>
          <w:lang w:val="en-US"/>
        </w:rPr>
        <w:t>results.</w:t>
      </w:r>
      <w:r w:rsidR="00DF6AE3">
        <w:rPr>
          <w:rFonts w:ascii="Times New Roman" w:eastAsia="MS PGothic" w:hAnsi="Times New Roman"/>
          <w:lang w:val="en-US"/>
        </w:rPr>
        <w:t xml:space="preserve"> In test</w:t>
      </w:r>
      <w:r w:rsidR="00C517E5">
        <w:rPr>
          <w:rFonts w:ascii="Times New Roman" w:eastAsia="MS PGothic" w:hAnsi="Times New Roman"/>
          <w:lang w:val="en-US"/>
        </w:rPr>
        <w:t xml:space="preserve">s </w:t>
      </w:r>
      <w:r w:rsidR="00F105D5">
        <w:rPr>
          <w:rFonts w:ascii="Times New Roman" w:eastAsia="MS PGothic" w:hAnsi="Times New Roman"/>
          <w:lang w:val="en-US"/>
        </w:rPr>
        <w:t>a</w:t>
      </w:r>
      <w:r w:rsidR="00C517E5">
        <w:rPr>
          <w:rFonts w:ascii="Times New Roman" w:eastAsia="MS PGothic" w:hAnsi="Times New Roman"/>
          <w:lang w:val="en-US"/>
        </w:rPr>
        <w:t>-</w:t>
      </w:r>
      <w:r w:rsidR="00F105D5">
        <w:rPr>
          <w:rFonts w:ascii="Times New Roman" w:eastAsia="MS PGothic" w:hAnsi="Times New Roman"/>
          <w:lang w:val="en-US"/>
        </w:rPr>
        <w:t>b</w:t>
      </w:r>
      <w:r w:rsidR="00C517E5">
        <w:rPr>
          <w:rFonts w:ascii="Times New Roman" w:eastAsia="MS PGothic" w:hAnsi="Times New Roman"/>
          <w:lang w:val="en-US"/>
        </w:rPr>
        <w:t>-</w:t>
      </w:r>
      <w:r w:rsidR="00F105D5">
        <w:rPr>
          <w:rFonts w:ascii="Times New Roman" w:eastAsia="MS PGothic" w:hAnsi="Times New Roman"/>
          <w:lang w:val="en-US"/>
        </w:rPr>
        <w:t>c</w:t>
      </w:r>
      <w:r w:rsidR="00C517E5">
        <w:rPr>
          <w:rFonts w:ascii="Times New Roman" w:eastAsia="MS PGothic" w:hAnsi="Times New Roman"/>
          <w:lang w:val="en-US"/>
        </w:rPr>
        <w:t>, nitrogen flux was activated after dosing (</w:t>
      </w:r>
      <w:r>
        <w:rPr>
          <w:rFonts w:ascii="Times New Roman" w:eastAsia="MS PGothic" w:hAnsi="Times New Roman"/>
          <w:lang w:val="en-US"/>
        </w:rPr>
        <w:t>that is</w:t>
      </w:r>
      <w:r w:rsidR="00C517E5">
        <w:rPr>
          <w:rFonts w:ascii="Times New Roman" w:eastAsia="MS PGothic" w:hAnsi="Times New Roman"/>
          <w:lang w:val="en-US"/>
        </w:rPr>
        <w:t xml:space="preserve">, </w:t>
      </w:r>
      <w:r>
        <w:rPr>
          <w:rFonts w:ascii="Times New Roman" w:eastAsia="MS PGothic" w:hAnsi="Times New Roman"/>
          <w:lang w:val="en-US"/>
        </w:rPr>
        <w:t xml:space="preserve">after </w:t>
      </w:r>
      <w:r w:rsidR="00C517E5">
        <w:rPr>
          <w:rFonts w:ascii="Times New Roman" w:eastAsia="MS PGothic" w:hAnsi="Times New Roman"/>
          <w:lang w:val="en-US"/>
        </w:rPr>
        <w:t>280 min), with values equal to 10-50-60 L/</w:t>
      </w:r>
      <w:r w:rsidR="00D963C5">
        <w:rPr>
          <w:rFonts w:ascii="Times New Roman" w:eastAsia="MS PGothic" w:hAnsi="Times New Roman"/>
          <w:lang w:val="en-US"/>
        </w:rPr>
        <w:t>h</w:t>
      </w:r>
      <w:r w:rsidR="00C517E5">
        <w:rPr>
          <w:rFonts w:ascii="Times New Roman" w:eastAsia="MS PGothic" w:hAnsi="Times New Roman"/>
          <w:lang w:val="en-US"/>
        </w:rPr>
        <w:t xml:space="preserve">, respectively, resulting in about </w:t>
      </w:r>
      <w:r w:rsidR="00D963C5">
        <w:rPr>
          <w:rFonts w:ascii="Times New Roman" w:eastAsia="MS PGothic" w:hAnsi="Times New Roman"/>
          <w:lang w:val="en-US"/>
        </w:rPr>
        <w:t>3.3</w:t>
      </w:r>
      <w:r w:rsidR="008469F5">
        <w:rPr>
          <w:rFonts w:ascii="Times New Roman" w:eastAsia="MS PGothic" w:hAnsi="Times New Roman"/>
          <w:lang w:val="en-US"/>
        </w:rPr>
        <w:t>-</w:t>
      </w:r>
      <w:r w:rsidR="00D963C5">
        <w:rPr>
          <w:rFonts w:ascii="Times New Roman" w:eastAsia="MS PGothic" w:hAnsi="Times New Roman"/>
          <w:lang w:val="en-US"/>
        </w:rPr>
        <w:t>16.7</w:t>
      </w:r>
      <w:r w:rsidR="008469F5">
        <w:rPr>
          <w:rFonts w:ascii="Times New Roman" w:eastAsia="MS PGothic" w:hAnsi="Times New Roman"/>
          <w:lang w:val="en-US"/>
        </w:rPr>
        <w:t>-</w:t>
      </w:r>
      <w:r w:rsidR="00D963C5">
        <w:rPr>
          <w:rFonts w:ascii="Times New Roman" w:eastAsia="MS PGothic" w:hAnsi="Times New Roman"/>
          <w:lang w:val="en-US"/>
        </w:rPr>
        <w:t>20</w:t>
      </w:r>
      <w:r w:rsidR="008469F5">
        <w:rPr>
          <w:rFonts w:ascii="Times New Roman" w:eastAsia="MS PGothic" w:hAnsi="Times New Roman"/>
          <w:lang w:val="en-US"/>
        </w:rPr>
        <w:t xml:space="preserve"> exchanges/</w:t>
      </w:r>
      <w:r>
        <w:rPr>
          <w:rFonts w:ascii="Times New Roman" w:eastAsia="MS PGothic" w:hAnsi="Times New Roman"/>
          <w:lang w:val="en-US"/>
        </w:rPr>
        <w:t>h</w:t>
      </w:r>
      <w:r w:rsidR="008469F5">
        <w:rPr>
          <w:rFonts w:ascii="Times New Roman" w:eastAsia="MS PGothic" w:hAnsi="Times New Roman"/>
          <w:lang w:val="en-US"/>
        </w:rPr>
        <w:t xml:space="preserve"> on the gas phase, respectively. In test </w:t>
      </w:r>
      <w:r w:rsidR="00F105D5">
        <w:rPr>
          <w:rFonts w:ascii="Times New Roman" w:eastAsia="MS PGothic" w:hAnsi="Times New Roman"/>
          <w:lang w:val="en-US"/>
        </w:rPr>
        <w:t>d</w:t>
      </w:r>
      <w:r w:rsidR="008469F5">
        <w:rPr>
          <w:rFonts w:ascii="Times New Roman" w:eastAsia="MS PGothic" w:hAnsi="Times New Roman"/>
          <w:lang w:val="en-US"/>
        </w:rPr>
        <w:t>, a nitrogen was plugged to the reactor from the beginning of reaction, with a flowrate of 50 L/min.</w:t>
      </w:r>
    </w:p>
    <w:p w14:paraId="0528A46E" w14:textId="77777777" w:rsidR="00DA51A3" w:rsidRPr="00466FFD" w:rsidRDefault="00DA51A3" w:rsidP="00DA51A3">
      <w:pPr>
        <w:snapToGrid w:val="0"/>
        <w:spacing w:before="240" w:line="300" w:lineRule="auto"/>
        <w:rPr>
          <w:rFonts w:ascii="Times New Roman" w:eastAsia="MS PGothic" w:hAnsi="Times New Roman"/>
          <w:lang w:val="en-US"/>
        </w:rPr>
      </w:pPr>
      <w:r w:rsidRPr="00466FFD">
        <w:rPr>
          <w:rFonts w:ascii="Times New Roman" w:eastAsia="MS PGothic" w:hAnsi="Times New Roman"/>
          <w:b/>
          <w:bCs/>
          <w:lang w:val="en-US"/>
        </w:rPr>
        <w:t>3. Results and discussion</w:t>
      </w:r>
    </w:p>
    <w:p w14:paraId="0338B8BA" w14:textId="440D29E5" w:rsidR="00DA51A3" w:rsidRPr="006B5759" w:rsidRDefault="006B5759" w:rsidP="00EC47F3">
      <w:pPr>
        <w:snapToGrid w:val="0"/>
        <w:spacing w:after="120"/>
        <w:jc w:val="both"/>
        <w:rPr>
          <w:rFonts w:ascii="Times New Roman" w:eastAsia="MS PGothic" w:hAnsi="Times New Roman"/>
          <w:lang w:val="en-US"/>
        </w:rPr>
      </w:pPr>
      <w:r>
        <w:rPr>
          <w:rFonts w:ascii="Times New Roman" w:eastAsia="MS PGothic" w:hAnsi="Times New Roman"/>
          <w:lang w:val="en-US"/>
        </w:rPr>
        <w:t xml:space="preserve">Figure </w:t>
      </w:r>
      <w:r w:rsidR="00EC47F3">
        <w:rPr>
          <w:rFonts w:ascii="Times New Roman" w:eastAsia="MS PGothic" w:hAnsi="Times New Roman"/>
          <w:lang w:val="en-US"/>
        </w:rPr>
        <w:t>2</w:t>
      </w:r>
      <w:r>
        <w:rPr>
          <w:rFonts w:ascii="Times New Roman" w:eastAsia="MS PGothic" w:hAnsi="Times New Roman"/>
          <w:lang w:val="en-US"/>
        </w:rPr>
        <w:t xml:space="preserve"> reports </w:t>
      </w:r>
      <w:r w:rsidR="009A0C1C">
        <w:rPr>
          <w:rFonts w:ascii="Times New Roman" w:eastAsia="MS PGothic" w:hAnsi="Times New Roman"/>
          <w:lang w:val="en-US"/>
        </w:rPr>
        <w:t xml:space="preserve">the </w:t>
      </w:r>
      <w:r>
        <w:rPr>
          <w:rFonts w:ascii="Times New Roman" w:eastAsia="MS PGothic" w:hAnsi="Times New Roman"/>
          <w:lang w:val="en-US"/>
        </w:rPr>
        <w:t xml:space="preserve">results on the final products for all the tests performed. </w:t>
      </w:r>
      <w:r w:rsidR="0080699B">
        <w:rPr>
          <w:rFonts w:ascii="Times New Roman" w:eastAsia="MS PGothic" w:hAnsi="Times New Roman"/>
          <w:lang w:val="en-US"/>
        </w:rPr>
        <w:t xml:space="preserve">In general, the use of nitrogen positively </w:t>
      </w:r>
      <w:r w:rsidR="0050723A">
        <w:rPr>
          <w:rFonts w:ascii="Times New Roman" w:eastAsia="MS PGothic" w:hAnsi="Times New Roman"/>
          <w:lang w:val="en-US"/>
        </w:rPr>
        <w:t>influences</w:t>
      </w:r>
      <w:r w:rsidR="0080699B">
        <w:rPr>
          <w:rFonts w:ascii="Times New Roman" w:eastAsia="MS PGothic" w:hAnsi="Times New Roman"/>
          <w:lang w:val="en-US"/>
        </w:rPr>
        <w:t xml:space="preserve"> </w:t>
      </w:r>
      <w:r w:rsidR="00060646">
        <w:rPr>
          <w:rFonts w:ascii="Times New Roman" w:eastAsia="MS PGothic" w:hAnsi="Times New Roman"/>
          <w:lang w:val="en-US"/>
        </w:rPr>
        <w:t xml:space="preserve">the </w:t>
      </w:r>
      <w:r w:rsidR="0080699B">
        <w:rPr>
          <w:rFonts w:ascii="Times New Roman" w:eastAsia="MS PGothic" w:hAnsi="Times New Roman"/>
          <w:lang w:val="en-US"/>
        </w:rPr>
        <w:t>VOC</w:t>
      </w:r>
      <w:r w:rsidR="00060646">
        <w:rPr>
          <w:rFonts w:ascii="Times New Roman" w:eastAsia="MS PGothic" w:hAnsi="Times New Roman"/>
          <w:lang w:val="en-US"/>
        </w:rPr>
        <w:t>s</w:t>
      </w:r>
      <w:r w:rsidR="0080699B">
        <w:rPr>
          <w:rFonts w:ascii="Times New Roman" w:eastAsia="MS PGothic" w:hAnsi="Times New Roman"/>
          <w:lang w:val="en-US"/>
        </w:rPr>
        <w:t xml:space="preserve"> content, showing </w:t>
      </w:r>
      <w:r w:rsidR="00060646">
        <w:rPr>
          <w:rFonts w:ascii="Times New Roman" w:eastAsia="MS PGothic" w:hAnsi="Times New Roman"/>
          <w:lang w:val="en-US"/>
        </w:rPr>
        <w:t>a significative</w:t>
      </w:r>
      <w:r w:rsidR="0080699B">
        <w:rPr>
          <w:rFonts w:ascii="Times New Roman" w:eastAsia="MS PGothic" w:hAnsi="Times New Roman"/>
          <w:lang w:val="en-US"/>
        </w:rPr>
        <w:t xml:space="preserve"> reduction.</w:t>
      </w:r>
      <w:r w:rsidR="0050723A">
        <w:rPr>
          <w:rFonts w:ascii="Times New Roman" w:eastAsia="MS PGothic" w:hAnsi="Times New Roman"/>
          <w:lang w:val="en-US"/>
        </w:rPr>
        <w:t xml:space="preserve"> The most affected substances are A2EE, CAN, while </w:t>
      </w:r>
      <w:proofErr w:type="spellStart"/>
      <w:r w:rsidR="0050723A">
        <w:rPr>
          <w:rFonts w:ascii="Times New Roman" w:eastAsia="MS PGothic" w:hAnsi="Times New Roman"/>
          <w:lang w:val="en-US"/>
        </w:rPr>
        <w:t>tBuOH</w:t>
      </w:r>
      <w:proofErr w:type="spellEnd"/>
      <w:r w:rsidR="0050723A">
        <w:rPr>
          <w:rFonts w:ascii="Times New Roman" w:eastAsia="MS PGothic" w:hAnsi="Times New Roman"/>
          <w:lang w:val="en-US"/>
        </w:rPr>
        <w:t xml:space="preserve"> and 2ethylhexanol are mildly affected.</w:t>
      </w:r>
      <w:r w:rsidR="0080699B">
        <w:rPr>
          <w:rFonts w:ascii="Times New Roman" w:eastAsia="MS PGothic" w:hAnsi="Times New Roman"/>
          <w:lang w:val="en-US"/>
        </w:rPr>
        <w:t xml:space="preserve"> </w:t>
      </w:r>
      <w:r w:rsidR="00EC47F3">
        <w:rPr>
          <w:rFonts w:ascii="Times New Roman" w:eastAsia="MS PGothic" w:hAnsi="Times New Roman"/>
          <w:lang w:val="en-US"/>
        </w:rPr>
        <w:t xml:space="preserve">It is interesting to notice </w:t>
      </w:r>
      <w:r w:rsidR="00060646">
        <w:rPr>
          <w:rFonts w:ascii="Times New Roman" w:eastAsia="MS PGothic" w:hAnsi="Times New Roman"/>
          <w:lang w:val="en-US"/>
        </w:rPr>
        <w:t>how</w:t>
      </w:r>
      <w:r w:rsidR="00EC47F3">
        <w:rPr>
          <w:rFonts w:ascii="Times New Roman" w:eastAsia="MS PGothic" w:hAnsi="Times New Roman"/>
          <w:lang w:val="en-US"/>
        </w:rPr>
        <w:t xml:space="preserve"> tert-Butanol</w:t>
      </w:r>
      <w:r w:rsidR="00060646">
        <w:rPr>
          <w:rFonts w:ascii="Times New Roman" w:eastAsia="MS PGothic" w:hAnsi="Times New Roman"/>
          <w:lang w:val="en-US"/>
        </w:rPr>
        <w:t xml:space="preserve"> </w:t>
      </w:r>
      <w:r w:rsidR="00EC47F3">
        <w:rPr>
          <w:rFonts w:ascii="Times New Roman" w:eastAsia="MS PGothic" w:hAnsi="Times New Roman"/>
          <w:lang w:val="en-US"/>
        </w:rPr>
        <w:t xml:space="preserve">reduction </w:t>
      </w:r>
      <w:r w:rsidR="00B4219F">
        <w:rPr>
          <w:rFonts w:ascii="Times New Roman" w:eastAsia="MS PGothic" w:hAnsi="Times New Roman"/>
          <w:lang w:val="en-US"/>
        </w:rPr>
        <w:t xml:space="preserve">is not </w:t>
      </w:r>
      <w:r w:rsidR="00EC47F3">
        <w:rPr>
          <w:rFonts w:ascii="Times New Roman" w:eastAsia="MS PGothic" w:hAnsi="Times New Roman"/>
          <w:lang w:val="en-US"/>
        </w:rPr>
        <w:t xml:space="preserve">strictly </w:t>
      </w:r>
      <w:r w:rsidR="00B4219F">
        <w:rPr>
          <w:rFonts w:ascii="Times New Roman" w:eastAsia="MS PGothic" w:hAnsi="Times New Roman"/>
          <w:lang w:val="en-US"/>
        </w:rPr>
        <w:t>enhanced</w:t>
      </w:r>
      <w:r w:rsidR="00EC47F3">
        <w:rPr>
          <w:rFonts w:ascii="Times New Roman" w:eastAsia="MS PGothic" w:hAnsi="Times New Roman"/>
          <w:lang w:val="en-US"/>
        </w:rPr>
        <w:t xml:space="preserve"> </w:t>
      </w:r>
      <w:r w:rsidR="00B4219F">
        <w:rPr>
          <w:rFonts w:ascii="Times New Roman" w:eastAsia="MS PGothic" w:hAnsi="Times New Roman"/>
          <w:lang w:val="en-US"/>
        </w:rPr>
        <w:t>increasing the</w:t>
      </w:r>
      <w:r w:rsidR="00EC47F3">
        <w:rPr>
          <w:rFonts w:ascii="Times New Roman" w:eastAsia="MS PGothic" w:hAnsi="Times New Roman"/>
          <w:lang w:val="en-US"/>
        </w:rPr>
        <w:t xml:space="preserve"> </w:t>
      </w:r>
      <w:r w:rsidR="00B4219F">
        <w:rPr>
          <w:rFonts w:ascii="Times New Roman" w:eastAsia="MS PGothic" w:hAnsi="Times New Roman"/>
          <w:lang w:val="en-US"/>
        </w:rPr>
        <w:t xml:space="preserve">total </w:t>
      </w:r>
      <w:r w:rsidR="00EC47F3">
        <w:rPr>
          <w:rFonts w:ascii="Times New Roman" w:eastAsia="MS PGothic" w:hAnsi="Times New Roman"/>
          <w:lang w:val="en-US"/>
        </w:rPr>
        <w:t xml:space="preserve">nitrogen </w:t>
      </w:r>
      <w:r w:rsidR="00B4219F">
        <w:rPr>
          <w:rFonts w:ascii="Times New Roman" w:eastAsia="MS PGothic" w:hAnsi="Times New Roman"/>
          <w:lang w:val="en-US"/>
        </w:rPr>
        <w:t xml:space="preserve">supplied (ref. </w:t>
      </w:r>
      <w:r w:rsidR="00EC47F3">
        <w:rPr>
          <w:rFonts w:ascii="Times New Roman" w:eastAsia="MS PGothic" w:hAnsi="Times New Roman"/>
          <w:lang w:val="en-US"/>
        </w:rPr>
        <w:t>test d</w:t>
      </w:r>
      <w:r w:rsidR="00B4219F">
        <w:rPr>
          <w:rFonts w:ascii="Times New Roman" w:eastAsia="MS PGothic" w:hAnsi="Times New Roman"/>
          <w:lang w:val="en-US"/>
        </w:rPr>
        <w:t>)</w:t>
      </w:r>
      <w:r w:rsidR="00EC47F3">
        <w:rPr>
          <w:rFonts w:ascii="Times New Roman" w:eastAsia="MS PGothic" w:hAnsi="Times New Roman"/>
          <w:lang w:val="en-US"/>
        </w:rPr>
        <w:t xml:space="preserve">. One possible reason can be that, </w:t>
      </w:r>
      <w:r w:rsidR="00B4219F">
        <w:rPr>
          <w:rFonts w:ascii="Times New Roman" w:eastAsia="MS PGothic" w:hAnsi="Times New Roman"/>
          <w:lang w:val="en-US"/>
        </w:rPr>
        <w:t>as</w:t>
      </w:r>
      <w:r w:rsidR="00EC47F3">
        <w:rPr>
          <w:rFonts w:ascii="Times New Roman" w:eastAsia="MS PGothic" w:hAnsi="Times New Roman"/>
          <w:lang w:val="en-US"/>
        </w:rPr>
        <w:t xml:space="preserve"> </w:t>
      </w:r>
      <w:proofErr w:type="spellStart"/>
      <w:r w:rsidR="00B4219F">
        <w:rPr>
          <w:rFonts w:ascii="Times New Roman" w:eastAsia="MS PGothic" w:hAnsi="Times New Roman"/>
          <w:lang w:val="en-US"/>
        </w:rPr>
        <w:t>tBuOH</w:t>
      </w:r>
      <w:proofErr w:type="spellEnd"/>
      <w:r w:rsidR="00B4219F">
        <w:rPr>
          <w:rFonts w:ascii="Times New Roman" w:eastAsia="MS PGothic" w:hAnsi="Times New Roman"/>
          <w:lang w:val="en-US"/>
        </w:rPr>
        <w:t xml:space="preserve"> </w:t>
      </w:r>
      <w:r w:rsidR="00EC47F3">
        <w:rPr>
          <w:rFonts w:ascii="Times New Roman" w:eastAsia="MS PGothic" w:hAnsi="Times New Roman"/>
          <w:lang w:val="en-US"/>
        </w:rPr>
        <w:t xml:space="preserve">it is generated </w:t>
      </w:r>
      <w:r w:rsidR="00B4219F">
        <w:rPr>
          <w:rFonts w:ascii="Times New Roman" w:eastAsia="MS PGothic" w:hAnsi="Times New Roman"/>
          <w:lang w:val="en-US"/>
        </w:rPr>
        <w:t xml:space="preserve">mainly </w:t>
      </w:r>
      <w:r w:rsidR="00EC47F3">
        <w:rPr>
          <w:rFonts w:ascii="Times New Roman" w:eastAsia="MS PGothic" w:hAnsi="Times New Roman"/>
          <w:lang w:val="en-US"/>
        </w:rPr>
        <w:t>during post-polymerization</w:t>
      </w:r>
      <w:r w:rsidR="00B4219F">
        <w:rPr>
          <w:rFonts w:ascii="Times New Roman" w:eastAsia="MS PGothic" w:hAnsi="Times New Roman"/>
          <w:lang w:val="en-US"/>
        </w:rPr>
        <w:t>,</w:t>
      </w:r>
      <w:r w:rsidR="00EC47F3">
        <w:rPr>
          <w:rFonts w:ascii="Times New Roman" w:eastAsia="MS PGothic" w:hAnsi="Times New Roman"/>
          <w:lang w:val="en-US"/>
        </w:rPr>
        <w:t xml:space="preserve"> </w:t>
      </w:r>
      <w:r w:rsidR="00B4219F">
        <w:rPr>
          <w:rFonts w:ascii="Times New Roman" w:eastAsia="MS PGothic" w:hAnsi="Times New Roman"/>
          <w:lang w:val="en-US"/>
        </w:rPr>
        <w:t>it remains</w:t>
      </w:r>
      <w:r w:rsidR="00EC47F3">
        <w:rPr>
          <w:rFonts w:ascii="Times New Roman" w:eastAsia="MS PGothic" w:hAnsi="Times New Roman"/>
          <w:lang w:val="en-US"/>
        </w:rPr>
        <w:t xml:space="preserve"> trapped </w:t>
      </w:r>
      <w:r w:rsidR="00B4219F">
        <w:rPr>
          <w:rFonts w:ascii="Times New Roman" w:eastAsia="MS PGothic" w:hAnsi="Times New Roman"/>
          <w:lang w:val="en-US"/>
        </w:rPr>
        <w:t>with</w:t>
      </w:r>
      <w:r w:rsidR="00EC47F3">
        <w:rPr>
          <w:rFonts w:ascii="Times New Roman" w:eastAsia="MS PGothic" w:hAnsi="Times New Roman"/>
          <w:lang w:val="en-US"/>
        </w:rPr>
        <w:t xml:space="preserve">in the </w:t>
      </w:r>
      <w:r w:rsidR="00B4219F">
        <w:rPr>
          <w:rFonts w:ascii="Times New Roman" w:eastAsia="MS PGothic" w:hAnsi="Times New Roman"/>
          <w:lang w:val="en-US"/>
        </w:rPr>
        <w:t>polymer particles</w:t>
      </w:r>
      <w:r w:rsidR="00EC47F3">
        <w:rPr>
          <w:rFonts w:ascii="Times New Roman" w:eastAsia="MS PGothic" w:hAnsi="Times New Roman"/>
          <w:lang w:val="en-US"/>
        </w:rPr>
        <w:t xml:space="preserve">, making it harder to </w:t>
      </w:r>
      <w:r w:rsidR="00060646">
        <w:rPr>
          <w:rFonts w:ascii="Times New Roman" w:eastAsia="MS PGothic" w:hAnsi="Times New Roman"/>
          <w:lang w:val="en-US"/>
        </w:rPr>
        <w:t xml:space="preserve">be </w:t>
      </w:r>
      <w:r w:rsidR="00EC47F3">
        <w:rPr>
          <w:rFonts w:ascii="Times New Roman" w:eastAsia="MS PGothic" w:hAnsi="Times New Roman"/>
          <w:lang w:val="en-US"/>
        </w:rPr>
        <w:t>strip</w:t>
      </w:r>
      <w:r w:rsidR="00060646">
        <w:rPr>
          <w:rFonts w:ascii="Times New Roman" w:eastAsia="MS PGothic" w:hAnsi="Times New Roman"/>
          <w:lang w:val="en-US"/>
        </w:rPr>
        <w:t>ped</w:t>
      </w:r>
      <w:r w:rsidR="00EC47F3">
        <w:rPr>
          <w:rFonts w:ascii="Times New Roman" w:eastAsia="MS PGothic" w:hAnsi="Times New Roman"/>
          <w:lang w:val="en-US"/>
        </w:rPr>
        <w:t xml:space="preserve"> from the aqueous phase.</w:t>
      </w:r>
    </w:p>
    <w:p w14:paraId="1E1F8E30" w14:textId="50ECD0CF" w:rsidR="00D803D7" w:rsidRPr="00466FFD" w:rsidRDefault="00D803D7" w:rsidP="00017DC3">
      <w:pPr>
        <w:snapToGrid w:val="0"/>
        <w:spacing w:after="120"/>
        <w:jc w:val="center"/>
        <w:rPr>
          <w:rFonts w:ascii="Times New Roman" w:eastAsia="MS PGothic" w:hAnsi="Times New Roman"/>
        </w:rPr>
      </w:pPr>
      <w:r>
        <w:rPr>
          <w:rFonts w:ascii="Times New Roman" w:eastAsia="MS PGothic" w:hAnsi="Times New Roman"/>
          <w:noProof/>
        </w:rPr>
        <w:lastRenderedPageBreak/>
        <w:drawing>
          <wp:inline distT="0" distB="0" distL="0" distR="0" wp14:anchorId="0E96176B" wp14:editId="2E2746B1">
            <wp:extent cx="4412081" cy="1597195"/>
            <wp:effectExtent l="0" t="0" r="7620" b="317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30934" cy="1604020"/>
                    </a:xfrm>
                    <a:prstGeom prst="rect">
                      <a:avLst/>
                    </a:prstGeom>
                    <a:noFill/>
                  </pic:spPr>
                </pic:pic>
              </a:graphicData>
            </a:graphic>
          </wp:inline>
        </w:drawing>
      </w:r>
    </w:p>
    <w:p w14:paraId="2CEA8973" w14:textId="7F50D9FB" w:rsidR="00DA51A3" w:rsidRDefault="00DA51A3" w:rsidP="00DA51A3">
      <w:pPr>
        <w:snapToGrid w:val="0"/>
        <w:spacing w:after="120"/>
        <w:jc w:val="center"/>
        <w:rPr>
          <w:rFonts w:ascii="Times New Roman" w:eastAsia="MS PGothic" w:hAnsi="Times New Roman"/>
          <w:szCs w:val="18"/>
          <w:lang w:val="en-US"/>
        </w:rPr>
      </w:pPr>
      <w:r w:rsidRPr="00466FFD">
        <w:rPr>
          <w:rFonts w:ascii="Times New Roman" w:eastAsia="MS PGothic" w:hAnsi="Times New Roman"/>
          <w:b/>
          <w:szCs w:val="18"/>
          <w:lang w:val="en-US"/>
        </w:rPr>
        <w:t xml:space="preserve">Figure </w:t>
      </w:r>
      <w:r w:rsidR="006B5759">
        <w:rPr>
          <w:rFonts w:ascii="Times New Roman" w:eastAsia="MS PGothic" w:hAnsi="Times New Roman"/>
          <w:b/>
          <w:szCs w:val="18"/>
          <w:lang w:val="en-US"/>
        </w:rPr>
        <w:t>2</w:t>
      </w:r>
      <w:r w:rsidRPr="00466FFD">
        <w:rPr>
          <w:rFonts w:ascii="Times New Roman" w:eastAsia="MS PGothic" w:hAnsi="Times New Roman"/>
          <w:b/>
          <w:szCs w:val="18"/>
          <w:lang w:val="en-US" w:eastAsia="ko-KR"/>
        </w:rPr>
        <w:t>.</w:t>
      </w:r>
      <w:r w:rsidRPr="00466FFD">
        <w:rPr>
          <w:rFonts w:ascii="Times New Roman" w:eastAsia="MS PGothic" w:hAnsi="Times New Roman"/>
          <w:szCs w:val="18"/>
          <w:lang w:val="en-US"/>
        </w:rPr>
        <w:t xml:space="preserve"> </w:t>
      </w:r>
      <w:r w:rsidRPr="00466FFD">
        <w:rPr>
          <w:rFonts w:ascii="Times New Roman" w:hAnsi="Times New Roman"/>
          <w:lang w:val="en-US"/>
        </w:rPr>
        <w:t xml:space="preserve"> </w:t>
      </w:r>
      <w:r w:rsidR="00EC47F3">
        <w:rPr>
          <w:rFonts w:ascii="Times New Roman" w:eastAsia="MS PGothic" w:hAnsi="Times New Roman"/>
          <w:szCs w:val="18"/>
          <w:lang w:val="en-US"/>
        </w:rPr>
        <w:t>VOCs content in all the tests</w:t>
      </w:r>
    </w:p>
    <w:p w14:paraId="5BC771B6" w14:textId="74D023EB" w:rsidR="00EC47F3" w:rsidRDefault="00EC47F3" w:rsidP="00EC47F3">
      <w:pPr>
        <w:snapToGrid w:val="0"/>
        <w:spacing w:after="120"/>
        <w:jc w:val="both"/>
        <w:rPr>
          <w:rFonts w:ascii="Times New Roman" w:eastAsia="MS PGothic" w:hAnsi="Times New Roman"/>
          <w:szCs w:val="18"/>
          <w:lang w:val="en-US"/>
        </w:rPr>
      </w:pPr>
      <w:r>
        <w:rPr>
          <w:rFonts w:ascii="Times New Roman" w:eastAsia="MS PGothic" w:hAnsi="Times New Roman"/>
          <w:szCs w:val="18"/>
          <w:lang w:val="en-US"/>
        </w:rPr>
        <w:t xml:space="preserve">Figure 3 shows the concentration of </w:t>
      </w:r>
      <w:r w:rsidR="00DE55B9">
        <w:rPr>
          <w:rFonts w:ascii="Times New Roman" w:eastAsia="MS PGothic" w:hAnsi="Times New Roman"/>
          <w:szCs w:val="18"/>
          <w:lang w:val="en-US"/>
        </w:rPr>
        <w:t xml:space="preserve">A2EE and </w:t>
      </w:r>
      <w:r w:rsidR="00B4219F">
        <w:rPr>
          <w:rFonts w:ascii="Times New Roman" w:eastAsia="MS PGothic" w:hAnsi="Times New Roman"/>
          <w:szCs w:val="18"/>
          <w:lang w:val="en-US"/>
        </w:rPr>
        <w:t xml:space="preserve">CAN </w:t>
      </w:r>
      <w:r w:rsidR="00744835">
        <w:rPr>
          <w:rFonts w:ascii="Times New Roman" w:eastAsia="MS PGothic" w:hAnsi="Times New Roman"/>
          <w:szCs w:val="18"/>
          <w:lang w:val="en-US"/>
        </w:rPr>
        <w:t xml:space="preserve">as a function of time </w:t>
      </w:r>
      <w:r w:rsidR="00B4219F">
        <w:rPr>
          <w:rFonts w:ascii="Times New Roman" w:eastAsia="MS PGothic" w:hAnsi="Times New Roman"/>
          <w:szCs w:val="18"/>
          <w:lang w:val="en-US"/>
        </w:rPr>
        <w:t>for tests c and d</w:t>
      </w:r>
      <w:r w:rsidR="00DE55B9">
        <w:rPr>
          <w:rFonts w:ascii="Times New Roman" w:eastAsia="MS PGothic" w:hAnsi="Times New Roman"/>
          <w:szCs w:val="18"/>
          <w:lang w:val="en-US"/>
        </w:rPr>
        <w:t xml:space="preserve">. </w:t>
      </w:r>
      <w:r w:rsidR="00B4219F">
        <w:rPr>
          <w:rFonts w:ascii="Times New Roman" w:eastAsia="MS PGothic" w:hAnsi="Times New Roman"/>
          <w:szCs w:val="18"/>
          <w:lang w:val="en-US"/>
        </w:rPr>
        <w:t>A2EE</w:t>
      </w:r>
      <w:r w:rsidR="00DE55B9">
        <w:rPr>
          <w:rFonts w:ascii="Times New Roman" w:eastAsia="MS PGothic" w:hAnsi="Times New Roman"/>
          <w:szCs w:val="18"/>
          <w:lang w:val="en-US"/>
        </w:rPr>
        <w:t xml:space="preserve"> </w:t>
      </w:r>
      <w:r w:rsidR="00744835">
        <w:rPr>
          <w:rFonts w:ascii="Times New Roman" w:eastAsia="MS PGothic" w:hAnsi="Times New Roman"/>
          <w:szCs w:val="18"/>
          <w:lang w:val="en-US"/>
        </w:rPr>
        <w:t xml:space="preserve">(B.P. 214°C) </w:t>
      </w:r>
      <w:r w:rsidR="00DE55B9">
        <w:rPr>
          <w:rFonts w:ascii="Times New Roman" w:eastAsia="MS PGothic" w:hAnsi="Times New Roman"/>
          <w:szCs w:val="18"/>
          <w:lang w:val="en-US"/>
        </w:rPr>
        <w:t>content is effectively reduced</w:t>
      </w:r>
      <w:r w:rsidR="00744835">
        <w:rPr>
          <w:rFonts w:ascii="Times New Roman" w:eastAsia="MS PGothic" w:hAnsi="Times New Roman"/>
          <w:szCs w:val="18"/>
          <w:lang w:val="en-US"/>
        </w:rPr>
        <w:t xml:space="preserve"> but</w:t>
      </w:r>
      <w:r w:rsidR="00DE55B9">
        <w:rPr>
          <w:rFonts w:ascii="Times New Roman" w:eastAsia="MS PGothic" w:hAnsi="Times New Roman"/>
          <w:szCs w:val="18"/>
          <w:lang w:val="en-US"/>
        </w:rPr>
        <w:t xml:space="preserve"> </w:t>
      </w:r>
      <w:r w:rsidR="00744835">
        <w:rPr>
          <w:rFonts w:ascii="Times New Roman" w:eastAsia="MS PGothic" w:hAnsi="Times New Roman"/>
          <w:szCs w:val="18"/>
          <w:lang w:val="en-US"/>
        </w:rPr>
        <w:t>s</w:t>
      </w:r>
      <w:r w:rsidR="00DE55B9">
        <w:rPr>
          <w:rFonts w:ascii="Times New Roman" w:eastAsia="MS PGothic" w:hAnsi="Times New Roman"/>
          <w:szCs w:val="18"/>
          <w:lang w:val="en-US"/>
        </w:rPr>
        <w:t xml:space="preserve">uch </w:t>
      </w:r>
      <w:r w:rsidR="00744835">
        <w:rPr>
          <w:rFonts w:ascii="Times New Roman" w:eastAsia="MS PGothic" w:hAnsi="Times New Roman"/>
          <w:szCs w:val="18"/>
          <w:lang w:val="en-US"/>
        </w:rPr>
        <w:t xml:space="preserve">a </w:t>
      </w:r>
      <w:r w:rsidR="00DE55B9">
        <w:rPr>
          <w:rFonts w:ascii="Times New Roman" w:eastAsia="MS PGothic" w:hAnsi="Times New Roman"/>
          <w:szCs w:val="18"/>
          <w:lang w:val="en-US"/>
        </w:rPr>
        <w:t xml:space="preserve">reduction is most likely associated with the </w:t>
      </w:r>
      <w:r w:rsidR="00744835">
        <w:rPr>
          <w:rFonts w:ascii="Times New Roman" w:eastAsia="MS PGothic" w:hAnsi="Times New Roman"/>
          <w:szCs w:val="18"/>
          <w:lang w:val="en-US"/>
        </w:rPr>
        <w:t xml:space="preserve">reduction of the </w:t>
      </w:r>
      <w:r w:rsidR="00DE55B9">
        <w:rPr>
          <w:rFonts w:ascii="Times New Roman" w:eastAsia="MS PGothic" w:hAnsi="Times New Roman"/>
          <w:szCs w:val="18"/>
          <w:lang w:val="en-US"/>
        </w:rPr>
        <w:t xml:space="preserve">oxygen content in the solution. Oxygen acts as a radical inhibitor, </w:t>
      </w:r>
      <w:r w:rsidR="00744835">
        <w:rPr>
          <w:rFonts w:ascii="Times New Roman" w:eastAsia="MS PGothic" w:hAnsi="Times New Roman"/>
          <w:szCs w:val="18"/>
          <w:lang w:val="en-US"/>
        </w:rPr>
        <w:t>as</w:t>
      </w:r>
      <w:r w:rsidR="00DE55B9">
        <w:rPr>
          <w:rFonts w:ascii="Times New Roman" w:eastAsia="MS PGothic" w:hAnsi="Times New Roman"/>
          <w:szCs w:val="18"/>
          <w:lang w:val="en-US"/>
        </w:rPr>
        <w:t xml:space="preserve"> it interacts with hydroquinone which is added to </w:t>
      </w:r>
      <w:r w:rsidR="00744835">
        <w:rPr>
          <w:rFonts w:ascii="Times New Roman" w:eastAsia="MS PGothic" w:hAnsi="Times New Roman"/>
          <w:szCs w:val="18"/>
          <w:lang w:val="en-US"/>
        </w:rPr>
        <w:t xml:space="preserve">all </w:t>
      </w:r>
      <w:r w:rsidR="00DE55B9">
        <w:rPr>
          <w:rFonts w:ascii="Times New Roman" w:eastAsia="MS PGothic" w:hAnsi="Times New Roman"/>
          <w:szCs w:val="18"/>
          <w:lang w:val="en-US"/>
        </w:rPr>
        <w:t xml:space="preserve">monomers to prevent their auto-polymerization </w:t>
      </w:r>
      <w:r w:rsidR="00744835">
        <w:rPr>
          <w:rFonts w:ascii="Times New Roman" w:eastAsia="MS PGothic" w:hAnsi="Times New Roman"/>
          <w:szCs w:val="18"/>
          <w:lang w:val="en-US"/>
        </w:rPr>
        <w:t>during</w:t>
      </w:r>
      <w:r w:rsidR="00DE55B9">
        <w:rPr>
          <w:rFonts w:ascii="Times New Roman" w:eastAsia="MS PGothic" w:hAnsi="Times New Roman"/>
          <w:szCs w:val="18"/>
          <w:lang w:val="en-US"/>
        </w:rPr>
        <w:t xml:space="preserve"> storage. ACN </w:t>
      </w:r>
      <w:r w:rsidR="00744835">
        <w:rPr>
          <w:rFonts w:ascii="Times New Roman" w:eastAsia="MS PGothic" w:hAnsi="Times New Roman"/>
          <w:szCs w:val="18"/>
          <w:lang w:val="en-US"/>
        </w:rPr>
        <w:t xml:space="preserve">(B.P 77°C) </w:t>
      </w:r>
      <w:r w:rsidR="00DE55B9">
        <w:rPr>
          <w:rFonts w:ascii="Times New Roman" w:eastAsia="MS PGothic" w:hAnsi="Times New Roman"/>
          <w:szCs w:val="18"/>
          <w:lang w:val="en-US"/>
        </w:rPr>
        <w:t xml:space="preserve">concentration is strongly reduced </w:t>
      </w:r>
      <w:r w:rsidR="00744835">
        <w:rPr>
          <w:rFonts w:ascii="Times New Roman" w:eastAsia="MS PGothic" w:hAnsi="Times New Roman"/>
          <w:szCs w:val="18"/>
          <w:lang w:val="en-US"/>
        </w:rPr>
        <w:t>using</w:t>
      </w:r>
      <w:r w:rsidR="00DE55B9">
        <w:rPr>
          <w:rFonts w:ascii="Times New Roman" w:eastAsia="MS PGothic" w:hAnsi="Times New Roman"/>
          <w:szCs w:val="18"/>
          <w:lang w:val="en-US"/>
        </w:rPr>
        <w:t xml:space="preserve"> high nitrogen fluxes</w:t>
      </w:r>
      <w:r w:rsidR="00140C60">
        <w:rPr>
          <w:rFonts w:ascii="Times New Roman" w:eastAsia="MS PGothic" w:hAnsi="Times New Roman"/>
          <w:szCs w:val="18"/>
          <w:lang w:val="en-US"/>
        </w:rPr>
        <w:t xml:space="preserve"> </w:t>
      </w:r>
      <w:proofErr w:type="gramStart"/>
      <w:r w:rsidR="00140C60">
        <w:rPr>
          <w:rFonts w:ascii="Times New Roman" w:eastAsia="MS PGothic" w:hAnsi="Times New Roman"/>
          <w:szCs w:val="18"/>
          <w:lang w:val="en-US"/>
        </w:rPr>
        <w:t>as a consequence of</w:t>
      </w:r>
      <w:proofErr w:type="gramEnd"/>
      <w:r w:rsidR="00140C60">
        <w:rPr>
          <w:rFonts w:ascii="Times New Roman" w:eastAsia="MS PGothic" w:hAnsi="Times New Roman"/>
          <w:szCs w:val="18"/>
          <w:lang w:val="en-US"/>
        </w:rPr>
        <w:t xml:space="preserve"> </w:t>
      </w:r>
      <w:r w:rsidR="00DE55B9">
        <w:rPr>
          <w:rFonts w:ascii="Times New Roman" w:eastAsia="MS PGothic" w:hAnsi="Times New Roman"/>
          <w:szCs w:val="18"/>
          <w:lang w:val="en-US"/>
        </w:rPr>
        <w:t>a pure stripping</w:t>
      </w:r>
      <w:r w:rsidR="00140C60">
        <w:rPr>
          <w:rFonts w:ascii="Times New Roman" w:eastAsia="MS PGothic" w:hAnsi="Times New Roman"/>
          <w:szCs w:val="18"/>
          <w:lang w:val="en-US"/>
        </w:rPr>
        <w:t xml:space="preserve"> effect</w:t>
      </w:r>
      <w:r w:rsidR="00DE55B9">
        <w:rPr>
          <w:rFonts w:ascii="Times New Roman" w:eastAsia="MS PGothic" w:hAnsi="Times New Roman"/>
          <w:szCs w:val="18"/>
          <w:lang w:val="en-US"/>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91D4C" w14:paraId="735D9359" w14:textId="77777777" w:rsidTr="00A91D4C">
        <w:tc>
          <w:tcPr>
            <w:tcW w:w="4814" w:type="dxa"/>
            <w:vAlign w:val="center"/>
          </w:tcPr>
          <w:p w14:paraId="000A84E2" w14:textId="77777777" w:rsidR="00A91D4C" w:rsidRDefault="00A91D4C" w:rsidP="00A91D4C">
            <w:pPr>
              <w:snapToGrid w:val="0"/>
              <w:spacing w:after="120"/>
              <w:jc w:val="center"/>
              <w:rPr>
                <w:rFonts w:ascii="Times New Roman" w:eastAsia="MS PGothic" w:hAnsi="Times New Roman"/>
                <w:szCs w:val="18"/>
                <w:lang w:val="en-US"/>
              </w:rPr>
            </w:pPr>
            <w:r>
              <w:rPr>
                <w:rFonts w:ascii="Times New Roman" w:eastAsia="MS PGothic" w:hAnsi="Times New Roman"/>
                <w:noProof/>
                <w:szCs w:val="18"/>
                <w:lang w:val="en-US"/>
              </w:rPr>
              <w:drawing>
                <wp:inline distT="0" distB="0" distL="0" distR="0" wp14:anchorId="3CE3CF10" wp14:editId="37C82AD8">
                  <wp:extent cx="2536190" cy="167734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795" t="1643" r="1608" b="3038"/>
                          <a:stretch/>
                        </pic:blipFill>
                        <pic:spPr bwMode="auto">
                          <a:xfrm>
                            <a:off x="0" y="0"/>
                            <a:ext cx="2550893" cy="1687069"/>
                          </a:xfrm>
                          <a:prstGeom prst="rect">
                            <a:avLst/>
                          </a:prstGeom>
                          <a:noFill/>
                          <a:ln>
                            <a:noFill/>
                          </a:ln>
                          <a:extLst>
                            <a:ext uri="{53640926-AAD7-44D8-BBD7-CCE9431645EC}">
                              <a14:shadowObscured xmlns:a14="http://schemas.microsoft.com/office/drawing/2010/main"/>
                            </a:ext>
                          </a:extLst>
                        </pic:spPr>
                      </pic:pic>
                    </a:graphicData>
                  </a:graphic>
                </wp:inline>
              </w:drawing>
            </w:r>
          </w:p>
          <w:p w14:paraId="2958C881" w14:textId="37E217F1" w:rsidR="00A91D4C" w:rsidRDefault="00B4219F" w:rsidP="00A91D4C">
            <w:pPr>
              <w:snapToGrid w:val="0"/>
              <w:spacing w:after="120"/>
              <w:jc w:val="center"/>
              <w:rPr>
                <w:rFonts w:ascii="Times New Roman" w:eastAsia="MS PGothic" w:hAnsi="Times New Roman"/>
                <w:szCs w:val="18"/>
                <w:lang w:val="en-US"/>
              </w:rPr>
            </w:pPr>
            <w:r>
              <w:rPr>
                <w:rFonts w:ascii="Times New Roman" w:eastAsia="MS PGothic" w:hAnsi="Times New Roman"/>
                <w:szCs w:val="18"/>
                <w:lang w:val="en-US"/>
              </w:rPr>
              <w:t>A</w:t>
            </w:r>
          </w:p>
        </w:tc>
        <w:tc>
          <w:tcPr>
            <w:tcW w:w="4814" w:type="dxa"/>
            <w:vAlign w:val="center"/>
          </w:tcPr>
          <w:p w14:paraId="4EA04B57" w14:textId="77777777" w:rsidR="00A91D4C" w:rsidRDefault="00A91D4C" w:rsidP="00A91D4C">
            <w:pPr>
              <w:snapToGrid w:val="0"/>
              <w:spacing w:after="120"/>
              <w:jc w:val="center"/>
              <w:rPr>
                <w:rFonts w:ascii="Times New Roman" w:eastAsia="MS PGothic" w:hAnsi="Times New Roman"/>
                <w:szCs w:val="18"/>
                <w:lang w:val="en-US"/>
              </w:rPr>
            </w:pPr>
            <w:r>
              <w:rPr>
                <w:rFonts w:ascii="Times New Roman" w:eastAsia="MS PGothic" w:hAnsi="Times New Roman"/>
                <w:noProof/>
                <w:szCs w:val="18"/>
                <w:lang w:val="en-US"/>
              </w:rPr>
              <w:drawing>
                <wp:inline distT="0" distB="0" distL="0" distR="0" wp14:anchorId="682C4D86" wp14:editId="75428D33">
                  <wp:extent cx="2918352" cy="1676400"/>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943" t="2635" r="1362" b="3830"/>
                          <a:stretch/>
                        </pic:blipFill>
                        <pic:spPr bwMode="auto">
                          <a:xfrm>
                            <a:off x="0" y="0"/>
                            <a:ext cx="2927308" cy="1681544"/>
                          </a:xfrm>
                          <a:prstGeom prst="rect">
                            <a:avLst/>
                          </a:prstGeom>
                          <a:noFill/>
                          <a:ln>
                            <a:noFill/>
                          </a:ln>
                          <a:extLst>
                            <a:ext uri="{53640926-AAD7-44D8-BBD7-CCE9431645EC}">
                              <a14:shadowObscured xmlns:a14="http://schemas.microsoft.com/office/drawing/2010/main"/>
                            </a:ext>
                          </a:extLst>
                        </pic:spPr>
                      </pic:pic>
                    </a:graphicData>
                  </a:graphic>
                </wp:inline>
              </w:drawing>
            </w:r>
          </w:p>
          <w:p w14:paraId="4E10BE33" w14:textId="6136A58F" w:rsidR="00A91D4C" w:rsidRDefault="00B4219F" w:rsidP="00A91D4C">
            <w:pPr>
              <w:snapToGrid w:val="0"/>
              <w:spacing w:after="120"/>
              <w:jc w:val="center"/>
              <w:rPr>
                <w:rFonts w:ascii="Times New Roman" w:eastAsia="MS PGothic" w:hAnsi="Times New Roman"/>
                <w:szCs w:val="18"/>
                <w:lang w:val="en-US"/>
              </w:rPr>
            </w:pPr>
            <w:r>
              <w:rPr>
                <w:rFonts w:ascii="Times New Roman" w:eastAsia="MS PGothic" w:hAnsi="Times New Roman"/>
                <w:szCs w:val="18"/>
                <w:lang w:val="en-US"/>
              </w:rPr>
              <w:t>B</w:t>
            </w:r>
          </w:p>
        </w:tc>
      </w:tr>
    </w:tbl>
    <w:p w14:paraId="4104A555" w14:textId="66C0348E" w:rsidR="00A91D4C" w:rsidRDefault="00A91D4C" w:rsidP="00A91D4C">
      <w:pPr>
        <w:snapToGrid w:val="0"/>
        <w:spacing w:after="120"/>
        <w:jc w:val="center"/>
        <w:rPr>
          <w:rFonts w:ascii="Times New Roman" w:eastAsia="MS PGothic" w:hAnsi="Times New Roman"/>
          <w:szCs w:val="18"/>
          <w:lang w:val="en-US"/>
        </w:rPr>
      </w:pPr>
      <w:r w:rsidRPr="00466FFD">
        <w:rPr>
          <w:rFonts w:ascii="Times New Roman" w:eastAsia="MS PGothic" w:hAnsi="Times New Roman"/>
          <w:b/>
          <w:szCs w:val="18"/>
          <w:lang w:val="en-US"/>
        </w:rPr>
        <w:t xml:space="preserve">Figure </w:t>
      </w:r>
      <w:r w:rsidR="006B5759">
        <w:rPr>
          <w:rFonts w:ascii="Times New Roman" w:eastAsia="MS PGothic" w:hAnsi="Times New Roman"/>
          <w:b/>
          <w:szCs w:val="18"/>
          <w:lang w:val="en-US"/>
        </w:rPr>
        <w:t>3</w:t>
      </w:r>
      <w:r w:rsidRPr="00466FFD">
        <w:rPr>
          <w:rFonts w:ascii="Times New Roman" w:eastAsia="MS PGothic" w:hAnsi="Times New Roman"/>
          <w:b/>
          <w:szCs w:val="18"/>
          <w:lang w:val="en-US" w:eastAsia="ko-KR"/>
        </w:rPr>
        <w:t>.</w:t>
      </w:r>
      <w:r w:rsidRPr="00466FFD">
        <w:rPr>
          <w:rFonts w:ascii="Times New Roman" w:eastAsia="MS PGothic" w:hAnsi="Times New Roman"/>
          <w:szCs w:val="18"/>
          <w:lang w:val="en-US"/>
        </w:rPr>
        <w:t xml:space="preserve"> </w:t>
      </w:r>
      <w:r w:rsidRPr="00466FFD">
        <w:rPr>
          <w:rFonts w:ascii="Times New Roman" w:hAnsi="Times New Roman"/>
          <w:lang w:val="en-US"/>
        </w:rPr>
        <w:t xml:space="preserve"> </w:t>
      </w:r>
      <w:r>
        <w:rPr>
          <w:rFonts w:ascii="Times New Roman" w:eastAsia="MS PGothic" w:hAnsi="Times New Roman"/>
          <w:szCs w:val="18"/>
          <w:lang w:val="en-US"/>
        </w:rPr>
        <w:t xml:space="preserve">A2EE (a) and ACN (b) content </w:t>
      </w:r>
      <w:r w:rsidR="00140C60">
        <w:rPr>
          <w:rFonts w:ascii="Times New Roman" w:eastAsia="MS PGothic" w:hAnsi="Times New Roman"/>
          <w:szCs w:val="18"/>
          <w:lang w:val="en-US"/>
        </w:rPr>
        <w:t>for</w:t>
      </w:r>
      <w:r>
        <w:rPr>
          <w:rFonts w:ascii="Times New Roman" w:eastAsia="MS PGothic" w:hAnsi="Times New Roman"/>
          <w:szCs w:val="18"/>
          <w:lang w:val="en-US"/>
        </w:rPr>
        <w:t xml:space="preserve"> tests c and d</w:t>
      </w:r>
      <w:r w:rsidR="00D019B2">
        <w:rPr>
          <w:rFonts w:ascii="Times New Roman" w:eastAsia="MS PGothic" w:hAnsi="Times New Roman"/>
          <w:szCs w:val="18"/>
          <w:lang w:val="en-US"/>
        </w:rPr>
        <w:t xml:space="preserve"> </w:t>
      </w:r>
      <w:r w:rsidR="00140C60">
        <w:rPr>
          <w:rFonts w:ascii="Times New Roman" w:eastAsia="MS PGothic" w:hAnsi="Times New Roman"/>
          <w:szCs w:val="18"/>
          <w:lang w:val="en-US"/>
        </w:rPr>
        <w:t>(</w:t>
      </w:r>
      <w:r w:rsidR="00D019B2">
        <w:rPr>
          <w:rFonts w:ascii="Times New Roman" w:eastAsia="MS PGothic" w:hAnsi="Times New Roman"/>
          <w:szCs w:val="18"/>
          <w:lang w:val="en-US"/>
        </w:rPr>
        <w:t>ppm are evaluated on the solids</w:t>
      </w:r>
      <w:r w:rsidR="00140C60">
        <w:rPr>
          <w:rFonts w:ascii="Times New Roman" w:eastAsia="MS PGothic" w:hAnsi="Times New Roman"/>
          <w:szCs w:val="18"/>
          <w:lang w:val="en-US"/>
        </w:rPr>
        <w:t>)</w:t>
      </w:r>
    </w:p>
    <w:p w14:paraId="63594D7F" w14:textId="217B9BCA" w:rsidR="00017DC3" w:rsidRDefault="005625E5" w:rsidP="006833E5">
      <w:pPr>
        <w:snapToGrid w:val="0"/>
        <w:spacing w:after="120"/>
        <w:jc w:val="both"/>
        <w:rPr>
          <w:rFonts w:ascii="Times New Roman" w:eastAsia="MS PGothic" w:hAnsi="Times New Roman"/>
          <w:lang w:val="en-US"/>
        </w:rPr>
      </w:pPr>
      <w:r>
        <w:rPr>
          <w:rFonts w:ascii="Times New Roman" w:eastAsia="MS PGothic" w:hAnsi="Times New Roman"/>
          <w:szCs w:val="18"/>
          <w:lang w:val="en-US"/>
        </w:rPr>
        <w:t>Concerning</w:t>
      </w:r>
      <w:r w:rsidR="004C7F04">
        <w:rPr>
          <w:rFonts w:ascii="Times New Roman" w:eastAsia="MS PGothic" w:hAnsi="Times New Roman"/>
          <w:szCs w:val="18"/>
          <w:lang w:val="en-US"/>
        </w:rPr>
        <w:t xml:space="preserve"> </w:t>
      </w:r>
      <w:r w:rsidR="006508FE">
        <w:rPr>
          <w:rFonts w:ascii="Times New Roman" w:eastAsia="MS PGothic" w:hAnsi="Times New Roman"/>
          <w:lang w:val="en-US"/>
        </w:rPr>
        <w:t xml:space="preserve">2-ethylexanol </w:t>
      </w:r>
      <w:r>
        <w:rPr>
          <w:rFonts w:ascii="Times New Roman" w:eastAsia="MS PGothic" w:hAnsi="Times New Roman"/>
          <w:lang w:val="en-US"/>
        </w:rPr>
        <w:t xml:space="preserve">(B.P. about 185 °C) </w:t>
      </w:r>
      <w:r w:rsidR="006508FE">
        <w:rPr>
          <w:rFonts w:ascii="Times New Roman" w:eastAsia="MS PGothic" w:hAnsi="Times New Roman"/>
          <w:lang w:val="en-US"/>
        </w:rPr>
        <w:t xml:space="preserve">content, the ratio between alcohol and 2-ethylexyl acetate on the pure monomer was tested and it </w:t>
      </w:r>
      <w:r>
        <w:rPr>
          <w:rFonts w:ascii="Times New Roman" w:eastAsia="MS PGothic" w:hAnsi="Times New Roman"/>
          <w:lang w:val="en-US"/>
        </w:rPr>
        <w:t>was</w:t>
      </w:r>
      <w:r w:rsidR="006508FE">
        <w:rPr>
          <w:rFonts w:ascii="Times New Roman" w:eastAsia="MS PGothic" w:hAnsi="Times New Roman"/>
          <w:lang w:val="en-US"/>
        </w:rPr>
        <w:t xml:space="preserve"> equal to 0.8. </w:t>
      </w:r>
      <w:r>
        <w:rPr>
          <w:rFonts w:ascii="Times New Roman" w:eastAsia="MS PGothic" w:hAnsi="Times New Roman"/>
          <w:lang w:val="en-US"/>
        </w:rPr>
        <w:t>As</w:t>
      </w:r>
      <w:r w:rsidR="006508FE">
        <w:rPr>
          <w:rFonts w:ascii="Times New Roman" w:eastAsia="MS PGothic" w:hAnsi="Times New Roman"/>
          <w:lang w:val="en-US"/>
        </w:rPr>
        <w:t xml:space="preserve"> acetate is basically inert, its concentration can be used to detect more precisely the amount of alcohol generated during the process. </w:t>
      </w:r>
      <w:r w:rsidR="00EC47F3">
        <w:rPr>
          <w:rFonts w:ascii="Times New Roman" w:eastAsia="MS PGothic" w:hAnsi="Times New Roman"/>
          <w:lang w:val="en-US"/>
        </w:rPr>
        <w:t>It can be noticed that</w:t>
      </w:r>
      <w:r>
        <w:rPr>
          <w:rFonts w:ascii="Times New Roman" w:eastAsia="MS PGothic" w:hAnsi="Times New Roman"/>
          <w:lang w:val="en-US"/>
        </w:rPr>
        <w:t xml:space="preserve"> </w:t>
      </w:r>
      <w:r w:rsidR="00BC7D3F">
        <w:rPr>
          <w:rFonts w:ascii="Times New Roman" w:eastAsia="MS PGothic" w:hAnsi="Times New Roman"/>
          <w:lang w:val="en-US"/>
        </w:rPr>
        <w:t>only test d show</w:t>
      </w:r>
      <w:r>
        <w:rPr>
          <w:rFonts w:ascii="Times New Roman" w:eastAsia="MS PGothic" w:hAnsi="Times New Roman"/>
          <w:lang w:val="en-US"/>
        </w:rPr>
        <w:t>ed</w:t>
      </w:r>
      <w:r w:rsidR="00BC7D3F">
        <w:rPr>
          <w:rFonts w:ascii="Times New Roman" w:eastAsia="MS PGothic" w:hAnsi="Times New Roman"/>
          <w:lang w:val="en-US"/>
        </w:rPr>
        <w:t xml:space="preserve"> a noticeable reduction in </w:t>
      </w:r>
      <w:r>
        <w:rPr>
          <w:rFonts w:ascii="Times New Roman" w:eastAsia="MS PGothic" w:hAnsi="Times New Roman"/>
          <w:lang w:val="en-US"/>
        </w:rPr>
        <w:t xml:space="preserve">the </w:t>
      </w:r>
      <w:r w:rsidR="00BC7D3F">
        <w:rPr>
          <w:rFonts w:ascii="Times New Roman" w:eastAsia="MS PGothic" w:hAnsi="Times New Roman"/>
          <w:lang w:val="en-US"/>
        </w:rPr>
        <w:t xml:space="preserve">alcohol content, which is noticed already over the course of dosing. Alcohol can be generated by a lot of reactions, but the most likely reaction is the hydrolysis, which can occur both on pure monomer and on polymer chains. </w:t>
      </w:r>
    </w:p>
    <w:p w14:paraId="4B8E6033" w14:textId="50130210" w:rsidR="004C7F04" w:rsidRDefault="00017DC3" w:rsidP="006833E5">
      <w:pPr>
        <w:snapToGrid w:val="0"/>
        <w:spacing w:after="120"/>
        <w:jc w:val="both"/>
        <w:rPr>
          <w:rFonts w:ascii="Times New Roman" w:eastAsia="MS PGothic" w:hAnsi="Times New Roman"/>
          <w:szCs w:val="18"/>
          <w:lang w:val="en-US"/>
        </w:rPr>
      </w:pPr>
      <w:r>
        <w:rPr>
          <w:rFonts w:ascii="Times New Roman" w:hAnsi="Times New Roman"/>
          <w:lang w:val="en-US"/>
        </w:rPr>
        <w:t xml:space="preserve">Finally, latexes were tested for their applicability, according to </w:t>
      </w:r>
      <w:r w:rsidR="005625E5">
        <w:rPr>
          <w:rFonts w:ascii="Times New Roman" w:hAnsi="Times New Roman"/>
          <w:lang w:val="en-US"/>
        </w:rPr>
        <w:t xml:space="preserve">the </w:t>
      </w:r>
      <w:r>
        <w:rPr>
          <w:rFonts w:ascii="Times New Roman" w:hAnsi="Times New Roman"/>
          <w:lang w:val="en-US"/>
        </w:rPr>
        <w:t xml:space="preserve">standards </w:t>
      </w:r>
      <w:r w:rsidR="005625E5">
        <w:rPr>
          <w:rFonts w:ascii="Times New Roman" w:hAnsi="Times New Roman"/>
          <w:lang w:val="en-US"/>
        </w:rPr>
        <w:t xml:space="preserve">for </w:t>
      </w:r>
      <w:r>
        <w:rPr>
          <w:rFonts w:ascii="Times New Roman" w:hAnsi="Times New Roman"/>
          <w:lang w:val="en-US"/>
        </w:rPr>
        <w:t xml:space="preserve">total solid content, viscosity, pH and specific adhesivity </w:t>
      </w:r>
      <w:r w:rsidRPr="007F67AA">
        <w:rPr>
          <w:rFonts w:ascii="Times New Roman" w:hAnsi="Times New Roman"/>
          <w:lang w:val="en-US"/>
        </w:rPr>
        <w:t>(D 3330/D 3330 M; D6195 – 03; D 3654/D 3654M – 02).</w:t>
      </w:r>
    </w:p>
    <w:p w14:paraId="4C1556FA" w14:textId="0C842E0A" w:rsidR="006B5759" w:rsidRDefault="006B5759" w:rsidP="00017DC3">
      <w:pPr>
        <w:snapToGrid w:val="0"/>
        <w:spacing w:before="240" w:line="300" w:lineRule="auto"/>
        <w:jc w:val="center"/>
        <w:rPr>
          <w:rFonts w:ascii="Times New Roman" w:hAnsi="Times New Roman"/>
          <w:lang w:val="en-US"/>
        </w:rPr>
      </w:pPr>
      <w:r>
        <w:rPr>
          <w:rFonts w:ascii="Times New Roman" w:hAnsi="Times New Roman"/>
          <w:noProof/>
          <w:lang w:val="en-US"/>
        </w:rPr>
        <w:drawing>
          <wp:inline distT="0" distB="0" distL="0" distR="0" wp14:anchorId="0CFEA768" wp14:editId="0E2D5A92">
            <wp:extent cx="2669563" cy="156464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3158" t="2151" r="1102" b="4399"/>
                    <a:stretch/>
                  </pic:blipFill>
                  <pic:spPr bwMode="auto">
                    <a:xfrm>
                      <a:off x="0" y="0"/>
                      <a:ext cx="2692786" cy="1578251"/>
                    </a:xfrm>
                    <a:prstGeom prst="rect">
                      <a:avLst/>
                    </a:prstGeom>
                    <a:noFill/>
                    <a:ln>
                      <a:noFill/>
                    </a:ln>
                    <a:extLst>
                      <a:ext uri="{53640926-AAD7-44D8-BBD7-CCE9431645EC}">
                        <a14:shadowObscured xmlns:a14="http://schemas.microsoft.com/office/drawing/2010/main"/>
                      </a:ext>
                    </a:extLst>
                  </pic:spPr>
                </pic:pic>
              </a:graphicData>
            </a:graphic>
          </wp:inline>
        </w:drawing>
      </w:r>
    </w:p>
    <w:p w14:paraId="45E6EA88" w14:textId="6D80BB79" w:rsidR="006B5759" w:rsidRPr="006B5759" w:rsidRDefault="006B5759" w:rsidP="006B5759">
      <w:pPr>
        <w:snapToGrid w:val="0"/>
        <w:spacing w:after="120"/>
        <w:jc w:val="center"/>
        <w:rPr>
          <w:rFonts w:ascii="Times New Roman" w:eastAsia="MS PGothic" w:hAnsi="Times New Roman"/>
          <w:szCs w:val="18"/>
          <w:lang w:val="en-US"/>
        </w:rPr>
      </w:pPr>
      <w:r w:rsidRPr="00466FFD">
        <w:rPr>
          <w:rFonts w:ascii="Times New Roman" w:eastAsia="MS PGothic" w:hAnsi="Times New Roman"/>
          <w:b/>
          <w:szCs w:val="18"/>
          <w:lang w:val="en-US"/>
        </w:rPr>
        <w:t xml:space="preserve">Figure </w:t>
      </w:r>
      <w:r>
        <w:rPr>
          <w:rFonts w:ascii="Times New Roman" w:eastAsia="MS PGothic" w:hAnsi="Times New Roman"/>
          <w:b/>
          <w:szCs w:val="18"/>
          <w:lang w:val="en-US"/>
        </w:rPr>
        <w:t>4</w:t>
      </w:r>
      <w:r w:rsidRPr="00466FFD">
        <w:rPr>
          <w:rFonts w:ascii="Times New Roman" w:eastAsia="MS PGothic" w:hAnsi="Times New Roman"/>
          <w:b/>
          <w:szCs w:val="18"/>
          <w:lang w:val="en-US" w:eastAsia="ko-KR"/>
        </w:rPr>
        <w:t>.</w:t>
      </w:r>
      <w:r w:rsidRPr="00466FFD">
        <w:rPr>
          <w:rFonts w:ascii="Times New Roman" w:eastAsia="MS PGothic" w:hAnsi="Times New Roman"/>
          <w:szCs w:val="18"/>
          <w:lang w:val="en-US"/>
        </w:rPr>
        <w:t xml:space="preserve"> </w:t>
      </w:r>
      <w:r w:rsidRPr="00466FFD">
        <w:rPr>
          <w:rFonts w:ascii="Times New Roman" w:hAnsi="Times New Roman"/>
          <w:lang w:val="en-US"/>
        </w:rPr>
        <w:t xml:space="preserve"> </w:t>
      </w:r>
      <w:r>
        <w:rPr>
          <w:rFonts w:ascii="Times New Roman" w:eastAsia="MS PGothic" w:hAnsi="Times New Roman"/>
          <w:szCs w:val="18"/>
          <w:lang w:val="en-US"/>
        </w:rPr>
        <w:t>Acetate/alcohol ratio on tests c and d</w:t>
      </w:r>
    </w:p>
    <w:p w14:paraId="0D2580A5" w14:textId="3BF49759" w:rsidR="007F67AA" w:rsidRDefault="00691EB0" w:rsidP="00691EB0">
      <w:pPr>
        <w:snapToGrid w:val="0"/>
        <w:spacing w:before="240" w:line="300" w:lineRule="auto"/>
        <w:jc w:val="both"/>
        <w:rPr>
          <w:rFonts w:ascii="Times New Roman" w:hAnsi="Times New Roman"/>
          <w:lang w:val="en-US"/>
        </w:rPr>
      </w:pPr>
      <w:r>
        <w:rPr>
          <w:rFonts w:ascii="Times New Roman" w:hAnsi="Times New Roman"/>
          <w:lang w:val="en-US"/>
        </w:rPr>
        <w:lastRenderedPageBreak/>
        <w:t xml:space="preserve">Table </w:t>
      </w:r>
      <w:r w:rsidR="005625E5">
        <w:rPr>
          <w:rFonts w:ascii="Times New Roman" w:hAnsi="Times New Roman"/>
          <w:lang w:val="en-US"/>
        </w:rPr>
        <w:t xml:space="preserve">2 </w:t>
      </w:r>
      <w:r>
        <w:rPr>
          <w:rFonts w:ascii="Times New Roman" w:hAnsi="Times New Roman"/>
          <w:lang w:val="en-US"/>
        </w:rPr>
        <w:t xml:space="preserve">reports </w:t>
      </w:r>
      <w:r w:rsidR="005625E5">
        <w:rPr>
          <w:rFonts w:ascii="Times New Roman" w:hAnsi="Times New Roman"/>
          <w:lang w:val="en-US"/>
        </w:rPr>
        <w:t xml:space="preserve">the </w:t>
      </w:r>
      <w:r>
        <w:rPr>
          <w:rFonts w:ascii="Times New Roman" w:hAnsi="Times New Roman"/>
          <w:lang w:val="en-US"/>
        </w:rPr>
        <w:t xml:space="preserve">results for tests </w:t>
      </w:r>
      <w:r w:rsidR="005625E5">
        <w:rPr>
          <w:rFonts w:ascii="Times New Roman" w:hAnsi="Times New Roman"/>
          <w:lang w:val="en-US"/>
        </w:rPr>
        <w:t>c</w:t>
      </w:r>
      <w:r>
        <w:rPr>
          <w:rFonts w:ascii="Times New Roman" w:hAnsi="Times New Roman"/>
          <w:lang w:val="en-US"/>
        </w:rPr>
        <w:t xml:space="preserve"> and </w:t>
      </w:r>
      <w:r w:rsidR="005625E5">
        <w:rPr>
          <w:rFonts w:ascii="Times New Roman" w:hAnsi="Times New Roman"/>
          <w:lang w:val="en-US"/>
        </w:rPr>
        <w:t>d</w:t>
      </w:r>
      <w:r>
        <w:rPr>
          <w:rFonts w:ascii="Times New Roman" w:hAnsi="Times New Roman"/>
          <w:lang w:val="en-US"/>
        </w:rPr>
        <w:t xml:space="preserve">. Almost </w:t>
      </w:r>
      <w:r w:rsidR="005625E5">
        <w:rPr>
          <w:rFonts w:ascii="Times New Roman" w:hAnsi="Times New Roman"/>
          <w:lang w:val="en-US"/>
        </w:rPr>
        <w:t>each</w:t>
      </w:r>
      <w:r>
        <w:rPr>
          <w:rFonts w:ascii="Times New Roman" w:hAnsi="Times New Roman"/>
          <w:lang w:val="en-US"/>
        </w:rPr>
        <w:t xml:space="preserve"> analysis is in accordance with the acceptability standards. The only exception is represented by test </w:t>
      </w:r>
      <w:r w:rsidR="005625E5">
        <w:rPr>
          <w:rFonts w:ascii="Times New Roman" w:hAnsi="Times New Roman"/>
          <w:lang w:val="en-US"/>
        </w:rPr>
        <w:t>d</w:t>
      </w:r>
      <w:r>
        <w:rPr>
          <w:rFonts w:ascii="Times New Roman" w:hAnsi="Times New Roman"/>
          <w:lang w:val="en-US"/>
        </w:rPr>
        <w:t>, wh</w:t>
      </w:r>
      <w:r w:rsidR="005625E5">
        <w:rPr>
          <w:rFonts w:ascii="Times New Roman" w:hAnsi="Times New Roman"/>
          <w:lang w:val="en-US"/>
        </w:rPr>
        <w:t>ose</w:t>
      </w:r>
      <w:r>
        <w:rPr>
          <w:rFonts w:ascii="Times New Roman" w:hAnsi="Times New Roman"/>
          <w:lang w:val="en-US"/>
        </w:rPr>
        <w:t xml:space="preserve"> viscosity is slightly lower than the minimum </w:t>
      </w:r>
      <w:r w:rsidR="00676A9D">
        <w:rPr>
          <w:rFonts w:ascii="Times New Roman" w:hAnsi="Times New Roman"/>
          <w:lang w:val="en-US"/>
        </w:rPr>
        <w:t>limit value</w:t>
      </w:r>
      <w:r>
        <w:rPr>
          <w:rFonts w:ascii="Times New Roman" w:hAnsi="Times New Roman"/>
          <w:lang w:val="en-US"/>
        </w:rPr>
        <w:t>.</w:t>
      </w:r>
    </w:p>
    <w:p w14:paraId="7BE8BDC6" w14:textId="76333360" w:rsidR="007F67AA" w:rsidRPr="007F67AA" w:rsidRDefault="007F67AA" w:rsidP="007F67AA">
      <w:pPr>
        <w:snapToGrid w:val="0"/>
        <w:spacing w:after="120"/>
        <w:jc w:val="center"/>
        <w:rPr>
          <w:rFonts w:ascii="Times New Roman" w:eastAsia="MS PGothic" w:hAnsi="Times New Roman"/>
          <w:szCs w:val="18"/>
          <w:lang w:val="en-US"/>
        </w:rPr>
      </w:pPr>
      <w:r>
        <w:rPr>
          <w:rFonts w:ascii="Times New Roman" w:eastAsia="MS PGothic" w:hAnsi="Times New Roman"/>
          <w:b/>
          <w:szCs w:val="18"/>
          <w:lang w:val="en-US"/>
        </w:rPr>
        <w:t>Table</w:t>
      </w:r>
      <w:r w:rsidRPr="00466FFD">
        <w:rPr>
          <w:rFonts w:ascii="Times New Roman" w:eastAsia="MS PGothic" w:hAnsi="Times New Roman"/>
          <w:b/>
          <w:szCs w:val="18"/>
          <w:lang w:val="en-US"/>
        </w:rPr>
        <w:t xml:space="preserve"> 1</w:t>
      </w:r>
      <w:r w:rsidRPr="00466FFD">
        <w:rPr>
          <w:rFonts w:ascii="Times New Roman" w:eastAsia="MS PGothic" w:hAnsi="Times New Roman"/>
          <w:b/>
          <w:szCs w:val="18"/>
          <w:lang w:val="en-US" w:eastAsia="ko-KR"/>
        </w:rPr>
        <w:t>.</w:t>
      </w:r>
      <w:r w:rsidRPr="00466FFD">
        <w:rPr>
          <w:rFonts w:ascii="Times New Roman" w:eastAsia="MS PGothic" w:hAnsi="Times New Roman"/>
          <w:szCs w:val="18"/>
          <w:lang w:val="en-US"/>
        </w:rPr>
        <w:t xml:space="preserve"> </w:t>
      </w:r>
      <w:r w:rsidRPr="00466FFD">
        <w:rPr>
          <w:rFonts w:ascii="Times New Roman" w:hAnsi="Times New Roman"/>
          <w:lang w:val="en-US"/>
        </w:rPr>
        <w:t xml:space="preserve"> </w:t>
      </w:r>
      <w:r w:rsidR="00F105D5">
        <w:rPr>
          <w:rFonts w:ascii="Times New Roman" w:eastAsia="MS PGothic" w:hAnsi="Times New Roman"/>
          <w:szCs w:val="18"/>
          <w:lang w:val="en-US"/>
        </w:rPr>
        <w:t>Accordance to standards for tests c and d</w:t>
      </w:r>
      <w:r>
        <w:rPr>
          <w:rFonts w:ascii="Times New Roman" w:eastAsia="MS PGothic" w:hAnsi="Times New Roman"/>
          <w:szCs w:val="18"/>
          <w:lang w:val="en-US"/>
        </w:rPr>
        <w:t xml:space="preserve"> </w:t>
      </w:r>
    </w:p>
    <w:tbl>
      <w:tblPr>
        <w:tblStyle w:val="Grigliatabella"/>
        <w:tblW w:w="0" w:type="auto"/>
        <w:jc w:val="center"/>
        <w:tblLook w:val="0600" w:firstRow="0" w:lastRow="0" w:firstColumn="0" w:lastColumn="0" w:noHBand="1" w:noVBand="1"/>
      </w:tblPr>
      <w:tblGrid>
        <w:gridCol w:w="3311"/>
        <w:gridCol w:w="1083"/>
        <w:gridCol w:w="616"/>
        <w:gridCol w:w="761"/>
        <w:gridCol w:w="566"/>
        <w:gridCol w:w="783"/>
      </w:tblGrid>
      <w:tr w:rsidR="007F67AA" w:rsidRPr="007F67AA" w14:paraId="51A70682" w14:textId="77777777" w:rsidTr="007F67AA">
        <w:trPr>
          <w:trHeight w:val="70"/>
          <w:jc w:val="center"/>
        </w:trPr>
        <w:tc>
          <w:tcPr>
            <w:tcW w:w="0" w:type="auto"/>
            <w:hideMark/>
          </w:tcPr>
          <w:p w14:paraId="67D0DD09" w14:textId="06123E38" w:rsidR="007F67AA" w:rsidRPr="007F67AA" w:rsidRDefault="007F67AA" w:rsidP="007F67AA">
            <w:pPr>
              <w:snapToGrid w:val="0"/>
              <w:spacing w:line="300" w:lineRule="auto"/>
              <w:rPr>
                <w:rFonts w:ascii="Times New Roman" w:hAnsi="Times New Roman" w:cs="Times New Roman"/>
                <w:sz w:val="20"/>
                <w:szCs w:val="20"/>
                <w:lang w:val="en-US"/>
              </w:rPr>
            </w:pPr>
          </w:p>
        </w:tc>
        <w:tc>
          <w:tcPr>
            <w:tcW w:w="0" w:type="auto"/>
            <w:hideMark/>
          </w:tcPr>
          <w:p w14:paraId="52BC8F24" w14:textId="46CFFF95" w:rsidR="007F67AA" w:rsidRPr="007F67AA" w:rsidRDefault="007F67AA" w:rsidP="007F67AA">
            <w:pPr>
              <w:snapToGrid w:val="0"/>
              <w:spacing w:line="300" w:lineRule="auto"/>
              <w:rPr>
                <w:rFonts w:ascii="Times New Roman" w:hAnsi="Times New Roman" w:cs="Times New Roman"/>
                <w:b/>
                <w:bCs/>
                <w:sz w:val="20"/>
                <w:szCs w:val="20"/>
              </w:rPr>
            </w:pPr>
            <w:r w:rsidRPr="007F67AA">
              <w:rPr>
                <w:rFonts w:ascii="Times New Roman" w:hAnsi="Times New Roman" w:cs="Times New Roman"/>
                <w:b/>
                <w:bCs/>
                <w:sz w:val="20"/>
                <w:szCs w:val="20"/>
                <w:lang w:val="en-US"/>
              </w:rPr>
              <w:t> </w:t>
            </w:r>
            <w:r w:rsidRPr="00691EB0">
              <w:rPr>
                <w:rFonts w:ascii="Times New Roman" w:hAnsi="Times New Roman" w:cs="Times New Roman"/>
                <w:b/>
                <w:bCs/>
                <w:sz w:val="20"/>
                <w:szCs w:val="20"/>
              </w:rPr>
              <w:t>Range</w:t>
            </w:r>
          </w:p>
        </w:tc>
        <w:tc>
          <w:tcPr>
            <w:tcW w:w="0" w:type="auto"/>
            <w:hideMark/>
          </w:tcPr>
          <w:p w14:paraId="26CC2EFF" w14:textId="100A3CF0" w:rsidR="007F67AA" w:rsidRPr="007F67AA" w:rsidRDefault="00F105D5" w:rsidP="007F67AA">
            <w:pPr>
              <w:snapToGrid w:val="0"/>
              <w:spacing w:line="300" w:lineRule="auto"/>
              <w:rPr>
                <w:rFonts w:ascii="Times New Roman" w:hAnsi="Times New Roman" w:cs="Times New Roman"/>
                <w:b/>
                <w:bCs/>
                <w:sz w:val="20"/>
                <w:szCs w:val="20"/>
              </w:rPr>
            </w:pPr>
            <w:r>
              <w:rPr>
                <w:rFonts w:ascii="Times New Roman" w:hAnsi="Times New Roman" w:cs="Times New Roman"/>
                <w:b/>
                <w:bCs/>
                <w:sz w:val="20"/>
                <w:szCs w:val="20"/>
              </w:rPr>
              <w:t>c</w:t>
            </w:r>
          </w:p>
        </w:tc>
        <w:tc>
          <w:tcPr>
            <w:tcW w:w="0" w:type="auto"/>
            <w:hideMark/>
          </w:tcPr>
          <w:p w14:paraId="0233BB17" w14:textId="08250ECA" w:rsidR="007F67AA" w:rsidRPr="007F67AA" w:rsidRDefault="00F105D5" w:rsidP="007F67AA">
            <w:pPr>
              <w:snapToGrid w:val="0"/>
              <w:spacing w:line="300" w:lineRule="auto"/>
              <w:rPr>
                <w:rFonts w:ascii="Times New Roman" w:hAnsi="Times New Roman" w:cs="Times New Roman"/>
                <w:b/>
                <w:bCs/>
                <w:sz w:val="20"/>
                <w:szCs w:val="20"/>
              </w:rPr>
            </w:pPr>
            <w:r>
              <w:rPr>
                <w:rFonts w:ascii="Times New Roman" w:hAnsi="Times New Roman" w:cs="Times New Roman"/>
                <w:b/>
                <w:bCs/>
                <w:sz w:val="20"/>
                <w:szCs w:val="20"/>
              </w:rPr>
              <w:t>c</w:t>
            </w:r>
            <w:r w:rsidR="007F67AA" w:rsidRPr="00691EB0">
              <w:rPr>
                <w:rFonts w:ascii="Times New Roman" w:hAnsi="Times New Roman" w:cs="Times New Roman"/>
                <w:b/>
                <w:bCs/>
                <w:sz w:val="20"/>
                <w:szCs w:val="20"/>
              </w:rPr>
              <w:t>-</w:t>
            </w:r>
            <w:r w:rsidR="007F67AA" w:rsidRPr="007F67AA">
              <w:rPr>
                <w:rFonts w:ascii="Times New Roman" w:hAnsi="Times New Roman" w:cs="Times New Roman"/>
                <w:b/>
                <w:bCs/>
                <w:sz w:val="20"/>
                <w:szCs w:val="20"/>
              </w:rPr>
              <w:t>STD</w:t>
            </w:r>
          </w:p>
        </w:tc>
        <w:tc>
          <w:tcPr>
            <w:tcW w:w="0" w:type="auto"/>
            <w:hideMark/>
          </w:tcPr>
          <w:p w14:paraId="473A9549" w14:textId="28FF9C16" w:rsidR="007F67AA" w:rsidRPr="007F67AA" w:rsidRDefault="00F105D5" w:rsidP="007F67AA">
            <w:pPr>
              <w:snapToGrid w:val="0"/>
              <w:spacing w:line="300" w:lineRule="auto"/>
              <w:rPr>
                <w:rFonts w:ascii="Times New Roman" w:hAnsi="Times New Roman" w:cs="Times New Roman"/>
                <w:b/>
                <w:bCs/>
                <w:sz w:val="20"/>
                <w:szCs w:val="20"/>
              </w:rPr>
            </w:pPr>
            <w:r>
              <w:rPr>
                <w:rFonts w:ascii="Times New Roman" w:hAnsi="Times New Roman" w:cs="Times New Roman"/>
                <w:b/>
                <w:bCs/>
                <w:sz w:val="20"/>
                <w:szCs w:val="20"/>
              </w:rPr>
              <w:t>d</w:t>
            </w:r>
          </w:p>
        </w:tc>
        <w:tc>
          <w:tcPr>
            <w:tcW w:w="0" w:type="auto"/>
            <w:hideMark/>
          </w:tcPr>
          <w:p w14:paraId="2D7DE42B" w14:textId="1CF8F17F" w:rsidR="007F67AA" w:rsidRPr="007F67AA" w:rsidRDefault="00F105D5" w:rsidP="007F67AA">
            <w:pPr>
              <w:snapToGrid w:val="0"/>
              <w:spacing w:line="300" w:lineRule="auto"/>
              <w:rPr>
                <w:rFonts w:ascii="Times New Roman" w:hAnsi="Times New Roman" w:cs="Times New Roman"/>
                <w:b/>
                <w:bCs/>
                <w:sz w:val="20"/>
                <w:szCs w:val="20"/>
              </w:rPr>
            </w:pPr>
            <w:r>
              <w:rPr>
                <w:rFonts w:ascii="Times New Roman" w:hAnsi="Times New Roman" w:cs="Times New Roman"/>
                <w:b/>
                <w:bCs/>
                <w:sz w:val="20"/>
                <w:szCs w:val="20"/>
              </w:rPr>
              <w:t>d</w:t>
            </w:r>
            <w:r w:rsidR="007F67AA" w:rsidRPr="00691EB0">
              <w:rPr>
                <w:rFonts w:ascii="Times New Roman" w:hAnsi="Times New Roman" w:cs="Times New Roman"/>
                <w:b/>
                <w:bCs/>
                <w:sz w:val="20"/>
                <w:szCs w:val="20"/>
              </w:rPr>
              <w:t>-</w:t>
            </w:r>
            <w:r w:rsidR="007F67AA" w:rsidRPr="007F67AA">
              <w:rPr>
                <w:rFonts w:ascii="Times New Roman" w:hAnsi="Times New Roman" w:cs="Times New Roman"/>
                <w:b/>
                <w:bCs/>
                <w:sz w:val="20"/>
                <w:szCs w:val="20"/>
              </w:rPr>
              <w:t>STD</w:t>
            </w:r>
          </w:p>
        </w:tc>
      </w:tr>
      <w:tr w:rsidR="007F67AA" w:rsidRPr="007F67AA" w14:paraId="5FA8E5D1" w14:textId="77777777" w:rsidTr="007F67AA">
        <w:trPr>
          <w:trHeight w:val="99"/>
          <w:jc w:val="center"/>
        </w:trPr>
        <w:tc>
          <w:tcPr>
            <w:tcW w:w="0" w:type="auto"/>
            <w:hideMark/>
          </w:tcPr>
          <w:p w14:paraId="53E032F5" w14:textId="69743081" w:rsidR="007F67AA" w:rsidRPr="007F67AA" w:rsidRDefault="007F67AA" w:rsidP="007F67AA">
            <w:pPr>
              <w:snapToGrid w:val="0"/>
              <w:spacing w:line="300" w:lineRule="auto"/>
              <w:rPr>
                <w:rFonts w:ascii="Times New Roman" w:hAnsi="Times New Roman" w:cs="Times New Roman"/>
                <w:sz w:val="20"/>
                <w:szCs w:val="20"/>
              </w:rPr>
            </w:pPr>
            <w:r>
              <w:rPr>
                <w:rFonts w:ascii="Times New Roman" w:hAnsi="Times New Roman" w:cs="Times New Roman"/>
                <w:b/>
                <w:bCs/>
                <w:sz w:val="20"/>
                <w:szCs w:val="20"/>
                <w:lang w:val="pt-BR"/>
              </w:rPr>
              <w:t>Solids content</w:t>
            </w:r>
            <w:r w:rsidRPr="007F67AA">
              <w:rPr>
                <w:rFonts w:ascii="Times New Roman" w:hAnsi="Times New Roman" w:cs="Times New Roman"/>
                <w:b/>
                <w:bCs/>
                <w:sz w:val="20"/>
                <w:szCs w:val="20"/>
                <w:lang w:val="pt-BR"/>
              </w:rPr>
              <w:t xml:space="preserve"> </w:t>
            </w:r>
            <w:r w:rsidRPr="007F67AA">
              <w:rPr>
                <w:rFonts w:ascii="Times New Roman" w:hAnsi="Times New Roman" w:cs="Times New Roman"/>
                <w:sz w:val="20"/>
                <w:szCs w:val="20"/>
                <w:lang w:val="pt-BR"/>
              </w:rPr>
              <w:t xml:space="preserve">(%)                       </w:t>
            </w:r>
          </w:p>
        </w:tc>
        <w:tc>
          <w:tcPr>
            <w:tcW w:w="0" w:type="auto"/>
            <w:hideMark/>
          </w:tcPr>
          <w:p w14:paraId="5B0FC6FB"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54,0 - 56,0</w:t>
            </w:r>
          </w:p>
        </w:tc>
        <w:tc>
          <w:tcPr>
            <w:tcW w:w="0" w:type="auto"/>
            <w:hideMark/>
          </w:tcPr>
          <w:p w14:paraId="07516D32"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55,9</w:t>
            </w:r>
          </w:p>
        </w:tc>
        <w:tc>
          <w:tcPr>
            <w:tcW w:w="0" w:type="auto"/>
            <w:hideMark/>
          </w:tcPr>
          <w:p w14:paraId="59D6BAC1"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55,4</w:t>
            </w:r>
          </w:p>
        </w:tc>
        <w:tc>
          <w:tcPr>
            <w:tcW w:w="0" w:type="auto"/>
            <w:hideMark/>
          </w:tcPr>
          <w:p w14:paraId="1DC762AB"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55,6</w:t>
            </w:r>
          </w:p>
        </w:tc>
        <w:tc>
          <w:tcPr>
            <w:tcW w:w="0" w:type="auto"/>
            <w:hideMark/>
          </w:tcPr>
          <w:p w14:paraId="05210AD3"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55,4</w:t>
            </w:r>
          </w:p>
        </w:tc>
      </w:tr>
      <w:tr w:rsidR="007F67AA" w:rsidRPr="007F67AA" w14:paraId="3DEF997E" w14:textId="77777777" w:rsidTr="007F67AA">
        <w:trPr>
          <w:trHeight w:val="382"/>
          <w:jc w:val="center"/>
        </w:trPr>
        <w:tc>
          <w:tcPr>
            <w:tcW w:w="0" w:type="auto"/>
            <w:hideMark/>
          </w:tcPr>
          <w:p w14:paraId="6D85605C" w14:textId="431564E2" w:rsidR="007F67AA" w:rsidRPr="007F67AA" w:rsidRDefault="00691EB0" w:rsidP="007F67AA">
            <w:pPr>
              <w:snapToGrid w:val="0"/>
              <w:spacing w:line="300" w:lineRule="auto"/>
              <w:rPr>
                <w:rFonts w:ascii="Times New Roman" w:hAnsi="Times New Roman" w:cs="Times New Roman"/>
                <w:sz w:val="20"/>
                <w:szCs w:val="20"/>
                <w:lang w:val="en-US"/>
              </w:rPr>
            </w:pPr>
            <w:r w:rsidRPr="00691EB0">
              <w:rPr>
                <w:rFonts w:ascii="Times New Roman" w:hAnsi="Times New Roman" w:cs="Times New Roman"/>
                <w:b/>
                <w:bCs/>
                <w:sz w:val="20"/>
                <w:szCs w:val="20"/>
                <w:lang w:val="pt-BR"/>
              </w:rPr>
              <w:t>Brookfield</w:t>
            </w:r>
            <w:r>
              <w:rPr>
                <w:rFonts w:ascii="Times New Roman" w:hAnsi="Times New Roman" w:cs="Times New Roman"/>
                <w:b/>
                <w:bCs/>
                <w:sz w:val="20"/>
                <w:szCs w:val="20"/>
                <w:lang w:val="pt-BR"/>
              </w:rPr>
              <w:t xml:space="preserve"> </w:t>
            </w:r>
            <w:r w:rsidR="007F67AA">
              <w:rPr>
                <w:rFonts w:ascii="Times New Roman" w:hAnsi="Times New Roman" w:cs="Times New Roman"/>
                <w:b/>
                <w:bCs/>
                <w:sz w:val="20"/>
                <w:szCs w:val="20"/>
                <w:lang w:val="pt-BR"/>
              </w:rPr>
              <w:t>Viscosity</w:t>
            </w:r>
            <w:r w:rsidR="007F67AA" w:rsidRPr="007F67AA">
              <w:rPr>
                <w:rFonts w:ascii="Times New Roman" w:hAnsi="Times New Roman" w:cs="Times New Roman"/>
                <w:b/>
                <w:bCs/>
                <w:sz w:val="20"/>
                <w:szCs w:val="20"/>
                <w:lang w:val="pt-BR"/>
              </w:rPr>
              <w:t xml:space="preserve"> </w:t>
            </w:r>
            <w:r w:rsidR="007F67AA" w:rsidRPr="007F67AA">
              <w:rPr>
                <w:rFonts w:ascii="Times New Roman" w:hAnsi="Times New Roman" w:cs="Times New Roman"/>
                <w:sz w:val="20"/>
                <w:szCs w:val="20"/>
                <w:lang w:val="pt-BR"/>
              </w:rPr>
              <w:t xml:space="preserve">(mPa·s R3/V20)   </w:t>
            </w:r>
          </w:p>
        </w:tc>
        <w:tc>
          <w:tcPr>
            <w:tcW w:w="0" w:type="auto"/>
            <w:hideMark/>
          </w:tcPr>
          <w:p w14:paraId="30CE96AB"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600 - 3000</w:t>
            </w:r>
          </w:p>
        </w:tc>
        <w:tc>
          <w:tcPr>
            <w:tcW w:w="0" w:type="auto"/>
            <w:hideMark/>
          </w:tcPr>
          <w:p w14:paraId="0076F1AC"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2100</w:t>
            </w:r>
          </w:p>
        </w:tc>
        <w:tc>
          <w:tcPr>
            <w:tcW w:w="0" w:type="auto"/>
            <w:hideMark/>
          </w:tcPr>
          <w:p w14:paraId="6E21F4E6"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1800</w:t>
            </w:r>
          </w:p>
        </w:tc>
        <w:tc>
          <w:tcPr>
            <w:tcW w:w="0" w:type="auto"/>
            <w:hideMark/>
          </w:tcPr>
          <w:p w14:paraId="27BD1C36"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474</w:t>
            </w:r>
          </w:p>
        </w:tc>
        <w:tc>
          <w:tcPr>
            <w:tcW w:w="0" w:type="auto"/>
            <w:hideMark/>
          </w:tcPr>
          <w:p w14:paraId="1CEFFDFD"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1654</w:t>
            </w:r>
          </w:p>
        </w:tc>
      </w:tr>
      <w:tr w:rsidR="007F67AA" w:rsidRPr="007F67AA" w14:paraId="2A2EDFCA" w14:textId="77777777" w:rsidTr="007F67AA">
        <w:trPr>
          <w:trHeight w:val="264"/>
          <w:jc w:val="center"/>
        </w:trPr>
        <w:tc>
          <w:tcPr>
            <w:tcW w:w="0" w:type="auto"/>
            <w:hideMark/>
          </w:tcPr>
          <w:p w14:paraId="2BE054A9"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b/>
                <w:bCs/>
                <w:sz w:val="20"/>
                <w:szCs w:val="20"/>
              </w:rPr>
              <w:t xml:space="preserve">pH  </w:t>
            </w:r>
            <w:r w:rsidRPr="007F67AA">
              <w:rPr>
                <w:rFonts w:ascii="Times New Roman" w:hAnsi="Times New Roman" w:cs="Times New Roman"/>
                <w:sz w:val="20"/>
                <w:szCs w:val="20"/>
              </w:rPr>
              <w:t xml:space="preserve">                                                        </w:t>
            </w:r>
          </w:p>
        </w:tc>
        <w:tc>
          <w:tcPr>
            <w:tcW w:w="0" w:type="auto"/>
            <w:hideMark/>
          </w:tcPr>
          <w:p w14:paraId="581CA1B9"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5,5 - 7,0</w:t>
            </w:r>
          </w:p>
        </w:tc>
        <w:tc>
          <w:tcPr>
            <w:tcW w:w="0" w:type="auto"/>
            <w:hideMark/>
          </w:tcPr>
          <w:p w14:paraId="5D75173D"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6,4</w:t>
            </w:r>
          </w:p>
        </w:tc>
        <w:tc>
          <w:tcPr>
            <w:tcW w:w="0" w:type="auto"/>
            <w:hideMark/>
          </w:tcPr>
          <w:p w14:paraId="7009619D"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6,5</w:t>
            </w:r>
          </w:p>
        </w:tc>
        <w:tc>
          <w:tcPr>
            <w:tcW w:w="0" w:type="auto"/>
            <w:hideMark/>
          </w:tcPr>
          <w:p w14:paraId="32F2B7CD"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6,2</w:t>
            </w:r>
          </w:p>
        </w:tc>
        <w:tc>
          <w:tcPr>
            <w:tcW w:w="0" w:type="auto"/>
            <w:hideMark/>
          </w:tcPr>
          <w:p w14:paraId="2481FF61"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6,1</w:t>
            </w:r>
          </w:p>
        </w:tc>
      </w:tr>
      <w:tr w:rsidR="007F67AA" w:rsidRPr="007F67AA" w14:paraId="647A63DE" w14:textId="77777777" w:rsidTr="007F67AA">
        <w:trPr>
          <w:trHeight w:val="70"/>
          <w:jc w:val="center"/>
        </w:trPr>
        <w:tc>
          <w:tcPr>
            <w:tcW w:w="0" w:type="auto"/>
            <w:hideMark/>
          </w:tcPr>
          <w:p w14:paraId="0A084177" w14:textId="3B3A979E"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b/>
                <w:bCs/>
                <w:sz w:val="20"/>
                <w:szCs w:val="20"/>
                <w:lang w:val="pt-BR"/>
              </w:rPr>
              <w:t xml:space="preserve">Peel </w:t>
            </w:r>
            <w:r w:rsidR="00691EB0">
              <w:rPr>
                <w:rFonts w:ascii="Times New Roman" w:hAnsi="Times New Roman" w:cs="Times New Roman"/>
                <w:b/>
                <w:bCs/>
                <w:sz w:val="20"/>
                <w:szCs w:val="20"/>
                <w:lang w:val="pt-BR"/>
              </w:rPr>
              <w:t>(</w:t>
            </w:r>
            <w:r>
              <w:rPr>
                <w:rFonts w:ascii="Times New Roman" w:hAnsi="Times New Roman" w:cs="Times New Roman"/>
                <w:b/>
                <w:bCs/>
                <w:sz w:val="20"/>
                <w:szCs w:val="20"/>
                <w:lang w:val="pt-BR"/>
              </w:rPr>
              <w:t>steel</w:t>
            </w:r>
            <w:r w:rsidR="00691EB0">
              <w:rPr>
                <w:rFonts w:ascii="Times New Roman" w:hAnsi="Times New Roman" w:cs="Times New Roman"/>
                <w:b/>
                <w:bCs/>
                <w:sz w:val="20"/>
                <w:szCs w:val="20"/>
                <w:lang w:val="pt-BR"/>
              </w:rPr>
              <w:t>)</w:t>
            </w:r>
            <w:r w:rsidRPr="007F67AA">
              <w:rPr>
                <w:rFonts w:ascii="Times New Roman" w:hAnsi="Times New Roman" w:cs="Times New Roman"/>
                <w:b/>
                <w:bCs/>
                <w:sz w:val="20"/>
                <w:szCs w:val="20"/>
                <w:lang w:val="pt-BR"/>
              </w:rPr>
              <w:t xml:space="preserve"> </w:t>
            </w:r>
            <w:r w:rsidRPr="007F67AA">
              <w:rPr>
                <w:rFonts w:ascii="Times New Roman" w:hAnsi="Times New Roman" w:cs="Times New Roman"/>
                <w:sz w:val="20"/>
                <w:szCs w:val="20"/>
                <w:lang w:val="pt-BR"/>
              </w:rPr>
              <w:t xml:space="preserve">(g/25mm)                     </w:t>
            </w:r>
          </w:p>
        </w:tc>
        <w:tc>
          <w:tcPr>
            <w:tcW w:w="0" w:type="auto"/>
            <w:hideMark/>
          </w:tcPr>
          <w:p w14:paraId="79C41FEF"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300 - 700</w:t>
            </w:r>
          </w:p>
        </w:tc>
        <w:tc>
          <w:tcPr>
            <w:tcW w:w="0" w:type="auto"/>
            <w:hideMark/>
          </w:tcPr>
          <w:p w14:paraId="740A0C62"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365</w:t>
            </w:r>
          </w:p>
        </w:tc>
        <w:tc>
          <w:tcPr>
            <w:tcW w:w="0" w:type="auto"/>
            <w:hideMark/>
          </w:tcPr>
          <w:p w14:paraId="4089EF7B"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380</w:t>
            </w:r>
          </w:p>
        </w:tc>
        <w:tc>
          <w:tcPr>
            <w:tcW w:w="0" w:type="auto"/>
            <w:hideMark/>
          </w:tcPr>
          <w:p w14:paraId="06B52079"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360</w:t>
            </w:r>
          </w:p>
        </w:tc>
        <w:tc>
          <w:tcPr>
            <w:tcW w:w="0" w:type="auto"/>
            <w:hideMark/>
          </w:tcPr>
          <w:p w14:paraId="6DAB6CD0"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440</w:t>
            </w:r>
          </w:p>
        </w:tc>
      </w:tr>
      <w:tr w:rsidR="007F67AA" w:rsidRPr="007F67AA" w14:paraId="63321CD7" w14:textId="77777777" w:rsidTr="007F67AA">
        <w:trPr>
          <w:trHeight w:val="244"/>
          <w:jc w:val="center"/>
        </w:trPr>
        <w:tc>
          <w:tcPr>
            <w:tcW w:w="0" w:type="auto"/>
            <w:hideMark/>
          </w:tcPr>
          <w:p w14:paraId="465622AD" w14:textId="4FE903EF" w:rsidR="007F67AA" w:rsidRPr="007F67AA" w:rsidRDefault="007F67AA" w:rsidP="007F67AA">
            <w:pPr>
              <w:snapToGrid w:val="0"/>
              <w:spacing w:line="300" w:lineRule="auto"/>
              <w:rPr>
                <w:rFonts w:ascii="Times New Roman" w:hAnsi="Times New Roman" w:cs="Times New Roman"/>
                <w:sz w:val="20"/>
                <w:szCs w:val="20"/>
                <w:lang w:val="en-US"/>
              </w:rPr>
            </w:pPr>
            <w:r w:rsidRPr="007F67AA">
              <w:rPr>
                <w:rFonts w:ascii="Times New Roman" w:hAnsi="Times New Roman" w:cs="Times New Roman"/>
                <w:b/>
                <w:bCs/>
                <w:sz w:val="20"/>
                <w:szCs w:val="20"/>
                <w:lang w:val="pt-BR"/>
              </w:rPr>
              <w:t xml:space="preserve">Shear </w:t>
            </w:r>
            <w:r w:rsidR="00691EB0">
              <w:rPr>
                <w:rFonts w:ascii="Times New Roman" w:hAnsi="Times New Roman" w:cs="Times New Roman"/>
                <w:b/>
                <w:bCs/>
                <w:sz w:val="20"/>
                <w:szCs w:val="20"/>
                <w:lang w:val="pt-BR"/>
              </w:rPr>
              <w:t>(</w:t>
            </w:r>
            <w:r>
              <w:rPr>
                <w:rFonts w:ascii="Times New Roman" w:hAnsi="Times New Roman" w:cs="Times New Roman"/>
                <w:b/>
                <w:bCs/>
                <w:sz w:val="20"/>
                <w:szCs w:val="20"/>
                <w:lang w:val="pt-BR"/>
              </w:rPr>
              <w:t>steel</w:t>
            </w:r>
            <w:r w:rsidR="00691EB0">
              <w:rPr>
                <w:rFonts w:ascii="Times New Roman" w:hAnsi="Times New Roman" w:cs="Times New Roman"/>
                <w:b/>
                <w:bCs/>
                <w:sz w:val="20"/>
                <w:szCs w:val="20"/>
                <w:lang w:val="pt-BR"/>
              </w:rPr>
              <w:t>)</w:t>
            </w:r>
            <w:r>
              <w:rPr>
                <w:rFonts w:ascii="Times New Roman" w:hAnsi="Times New Roman" w:cs="Times New Roman"/>
                <w:b/>
                <w:bCs/>
                <w:sz w:val="20"/>
                <w:szCs w:val="20"/>
                <w:lang w:val="pt-BR"/>
              </w:rPr>
              <w:t xml:space="preserve"> </w:t>
            </w:r>
            <w:r w:rsidRPr="007F67AA">
              <w:rPr>
                <w:rFonts w:ascii="Times New Roman" w:hAnsi="Times New Roman" w:cs="Times New Roman"/>
                <w:b/>
                <w:bCs/>
                <w:sz w:val="20"/>
                <w:szCs w:val="20"/>
                <w:lang w:val="pt-BR"/>
              </w:rPr>
              <w:t xml:space="preserve">15X20 mm </w:t>
            </w:r>
            <w:r w:rsidRPr="007F67AA">
              <w:rPr>
                <w:rFonts w:ascii="Times New Roman" w:hAnsi="Times New Roman" w:cs="Times New Roman"/>
                <w:sz w:val="20"/>
                <w:szCs w:val="20"/>
                <w:lang w:val="pt-BR"/>
              </w:rPr>
              <w:t>(h)</w:t>
            </w:r>
          </w:p>
        </w:tc>
        <w:tc>
          <w:tcPr>
            <w:tcW w:w="0" w:type="auto"/>
            <w:hideMark/>
          </w:tcPr>
          <w:p w14:paraId="717D1751"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5 - 50</w:t>
            </w:r>
          </w:p>
        </w:tc>
        <w:tc>
          <w:tcPr>
            <w:tcW w:w="0" w:type="auto"/>
            <w:hideMark/>
          </w:tcPr>
          <w:p w14:paraId="66F481C6"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5 C</w:t>
            </w:r>
          </w:p>
        </w:tc>
        <w:tc>
          <w:tcPr>
            <w:tcW w:w="0" w:type="auto"/>
            <w:hideMark/>
          </w:tcPr>
          <w:p w14:paraId="4D2372CE"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5 C</w:t>
            </w:r>
          </w:p>
        </w:tc>
        <w:tc>
          <w:tcPr>
            <w:tcW w:w="0" w:type="auto"/>
            <w:hideMark/>
          </w:tcPr>
          <w:p w14:paraId="63F81590"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3 C</w:t>
            </w:r>
          </w:p>
        </w:tc>
        <w:tc>
          <w:tcPr>
            <w:tcW w:w="0" w:type="auto"/>
            <w:hideMark/>
          </w:tcPr>
          <w:p w14:paraId="3F600F27"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9 C</w:t>
            </w:r>
          </w:p>
        </w:tc>
      </w:tr>
      <w:tr w:rsidR="007F67AA" w:rsidRPr="007F67AA" w14:paraId="57188427" w14:textId="77777777" w:rsidTr="007F67AA">
        <w:trPr>
          <w:trHeight w:val="234"/>
          <w:jc w:val="center"/>
        </w:trPr>
        <w:tc>
          <w:tcPr>
            <w:tcW w:w="0" w:type="auto"/>
            <w:hideMark/>
          </w:tcPr>
          <w:p w14:paraId="14893D7F" w14:textId="37D5A172" w:rsidR="007F67AA" w:rsidRPr="007F67AA" w:rsidRDefault="007F67AA" w:rsidP="007F67AA">
            <w:pPr>
              <w:snapToGrid w:val="0"/>
              <w:spacing w:line="300" w:lineRule="auto"/>
              <w:rPr>
                <w:rFonts w:ascii="Times New Roman" w:hAnsi="Times New Roman" w:cs="Times New Roman"/>
                <w:sz w:val="20"/>
                <w:szCs w:val="20"/>
                <w:lang w:val="en-US"/>
              </w:rPr>
            </w:pPr>
            <w:r w:rsidRPr="007F67AA">
              <w:rPr>
                <w:rFonts w:ascii="Times New Roman" w:hAnsi="Times New Roman" w:cs="Times New Roman"/>
                <w:b/>
                <w:bCs/>
                <w:sz w:val="20"/>
                <w:szCs w:val="20"/>
                <w:lang w:val="en-US"/>
              </w:rPr>
              <w:t>Q</w:t>
            </w:r>
            <w:r w:rsidR="00691EB0" w:rsidRPr="00691EB0">
              <w:rPr>
                <w:rFonts w:ascii="Times New Roman" w:hAnsi="Times New Roman" w:cs="Times New Roman"/>
                <w:b/>
                <w:bCs/>
                <w:sz w:val="20"/>
                <w:szCs w:val="20"/>
                <w:lang w:val="en-US"/>
              </w:rPr>
              <w:t xml:space="preserve">uick </w:t>
            </w:r>
            <w:r w:rsidRPr="007F67AA">
              <w:rPr>
                <w:rFonts w:ascii="Times New Roman" w:hAnsi="Times New Roman" w:cs="Times New Roman"/>
                <w:b/>
                <w:bCs/>
                <w:sz w:val="20"/>
                <w:szCs w:val="20"/>
                <w:lang w:val="en-US"/>
              </w:rPr>
              <w:t>S</w:t>
            </w:r>
            <w:r w:rsidR="00691EB0" w:rsidRPr="00691EB0">
              <w:rPr>
                <w:rFonts w:ascii="Times New Roman" w:hAnsi="Times New Roman" w:cs="Times New Roman"/>
                <w:b/>
                <w:bCs/>
                <w:sz w:val="20"/>
                <w:szCs w:val="20"/>
                <w:lang w:val="en-US"/>
              </w:rPr>
              <w:t>tick</w:t>
            </w:r>
            <w:r w:rsidRPr="007F67AA">
              <w:rPr>
                <w:rFonts w:ascii="Times New Roman" w:hAnsi="Times New Roman" w:cs="Times New Roman"/>
                <w:b/>
                <w:bCs/>
                <w:sz w:val="20"/>
                <w:szCs w:val="20"/>
                <w:lang w:val="en-US"/>
              </w:rPr>
              <w:t xml:space="preserve"> </w:t>
            </w:r>
            <w:r w:rsidR="00691EB0">
              <w:rPr>
                <w:rFonts w:ascii="Times New Roman" w:hAnsi="Times New Roman" w:cs="Times New Roman"/>
                <w:b/>
                <w:bCs/>
                <w:sz w:val="20"/>
                <w:szCs w:val="20"/>
                <w:lang w:val="en-US"/>
              </w:rPr>
              <w:t>(</w:t>
            </w:r>
            <w:r w:rsidRPr="00691EB0">
              <w:rPr>
                <w:rFonts w:ascii="Times New Roman" w:hAnsi="Times New Roman" w:cs="Times New Roman"/>
                <w:b/>
                <w:bCs/>
                <w:sz w:val="20"/>
                <w:szCs w:val="20"/>
                <w:lang w:val="en-US"/>
              </w:rPr>
              <w:t>steel</w:t>
            </w:r>
            <w:r w:rsidR="00691EB0">
              <w:rPr>
                <w:rFonts w:ascii="Times New Roman" w:hAnsi="Times New Roman" w:cs="Times New Roman"/>
                <w:b/>
                <w:bCs/>
                <w:sz w:val="20"/>
                <w:szCs w:val="20"/>
                <w:lang w:val="en-US"/>
              </w:rPr>
              <w:t>)</w:t>
            </w:r>
            <w:r w:rsidRPr="007F67AA">
              <w:rPr>
                <w:rFonts w:ascii="Times New Roman" w:hAnsi="Times New Roman" w:cs="Times New Roman"/>
                <w:b/>
                <w:bCs/>
                <w:sz w:val="20"/>
                <w:szCs w:val="20"/>
                <w:lang w:val="en-US"/>
              </w:rPr>
              <w:t xml:space="preserve"> </w:t>
            </w:r>
            <w:r w:rsidRPr="007F67AA">
              <w:rPr>
                <w:rFonts w:ascii="Times New Roman" w:hAnsi="Times New Roman" w:cs="Times New Roman"/>
                <w:sz w:val="20"/>
                <w:szCs w:val="20"/>
                <w:lang w:val="en-US"/>
              </w:rPr>
              <w:t>(g/25mm)</w:t>
            </w:r>
          </w:p>
        </w:tc>
        <w:tc>
          <w:tcPr>
            <w:tcW w:w="0" w:type="auto"/>
            <w:hideMark/>
          </w:tcPr>
          <w:p w14:paraId="7008FF5C"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w:t>
            </w:r>
          </w:p>
        </w:tc>
        <w:tc>
          <w:tcPr>
            <w:tcW w:w="0" w:type="auto"/>
            <w:hideMark/>
          </w:tcPr>
          <w:p w14:paraId="24395E8A"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390</w:t>
            </w:r>
          </w:p>
        </w:tc>
        <w:tc>
          <w:tcPr>
            <w:tcW w:w="0" w:type="auto"/>
            <w:hideMark/>
          </w:tcPr>
          <w:p w14:paraId="47ECA02F"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370</w:t>
            </w:r>
          </w:p>
        </w:tc>
        <w:tc>
          <w:tcPr>
            <w:tcW w:w="0" w:type="auto"/>
            <w:hideMark/>
          </w:tcPr>
          <w:p w14:paraId="5BCA12EC"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435</w:t>
            </w:r>
          </w:p>
        </w:tc>
        <w:tc>
          <w:tcPr>
            <w:tcW w:w="0" w:type="auto"/>
            <w:hideMark/>
          </w:tcPr>
          <w:p w14:paraId="7244DE7E" w14:textId="77777777" w:rsidR="007F67AA" w:rsidRPr="007F67AA" w:rsidRDefault="007F67AA" w:rsidP="007F67AA">
            <w:pPr>
              <w:snapToGrid w:val="0"/>
              <w:spacing w:line="300" w:lineRule="auto"/>
              <w:rPr>
                <w:rFonts w:ascii="Times New Roman" w:hAnsi="Times New Roman" w:cs="Times New Roman"/>
                <w:sz w:val="20"/>
                <w:szCs w:val="20"/>
              </w:rPr>
            </w:pPr>
            <w:r w:rsidRPr="007F67AA">
              <w:rPr>
                <w:rFonts w:ascii="Times New Roman" w:hAnsi="Times New Roman" w:cs="Times New Roman"/>
                <w:sz w:val="20"/>
                <w:szCs w:val="20"/>
              </w:rPr>
              <w:t>410</w:t>
            </w:r>
          </w:p>
        </w:tc>
      </w:tr>
    </w:tbl>
    <w:p w14:paraId="0DE817AB" w14:textId="77777777" w:rsidR="00DA51A3" w:rsidRPr="00466FFD" w:rsidRDefault="00DA51A3" w:rsidP="00DA51A3">
      <w:pPr>
        <w:snapToGrid w:val="0"/>
        <w:spacing w:before="240" w:line="300" w:lineRule="auto"/>
        <w:rPr>
          <w:rFonts w:ascii="Times New Roman" w:eastAsia="MS PGothic" w:hAnsi="Times New Roman"/>
          <w:lang w:val="en-US" w:eastAsia="ko-KR"/>
        </w:rPr>
      </w:pPr>
      <w:r w:rsidRPr="00466FFD">
        <w:rPr>
          <w:rFonts w:ascii="Times New Roman" w:eastAsia="MS PGothic" w:hAnsi="Times New Roman"/>
          <w:b/>
          <w:bCs/>
          <w:lang w:val="en-US"/>
        </w:rPr>
        <w:t>4. Conclusion</w:t>
      </w:r>
      <w:r w:rsidRPr="00466FFD">
        <w:rPr>
          <w:rFonts w:ascii="Times New Roman" w:eastAsia="MS PGothic" w:hAnsi="Times New Roman"/>
          <w:b/>
          <w:bCs/>
          <w:lang w:val="en-US" w:eastAsia="ko-KR"/>
        </w:rPr>
        <w:t>s</w:t>
      </w:r>
    </w:p>
    <w:p w14:paraId="1BE0C082" w14:textId="5515E26A" w:rsidR="00DA51A3" w:rsidRPr="00466FFD" w:rsidRDefault="00E90096" w:rsidP="00F105D5">
      <w:pPr>
        <w:snapToGrid w:val="0"/>
        <w:spacing w:after="120"/>
        <w:jc w:val="both"/>
        <w:rPr>
          <w:rFonts w:ascii="Times New Roman" w:eastAsia="MS PGothic" w:hAnsi="Times New Roman"/>
          <w:lang w:val="en-US"/>
        </w:rPr>
      </w:pPr>
      <w:r>
        <w:rPr>
          <w:rFonts w:ascii="Times New Roman" w:eastAsia="MS PGothic" w:hAnsi="Times New Roman"/>
          <w:lang w:val="en-US"/>
        </w:rPr>
        <w:t xml:space="preserve">In this experimental work, the impact of nitrogen flows on </w:t>
      </w:r>
      <w:r w:rsidR="00676A9D">
        <w:rPr>
          <w:rFonts w:ascii="Times New Roman" w:eastAsia="MS PGothic" w:hAnsi="Times New Roman"/>
          <w:lang w:val="en-US"/>
        </w:rPr>
        <w:t xml:space="preserve">an </w:t>
      </w:r>
      <w:r>
        <w:rPr>
          <w:rFonts w:ascii="Times New Roman" w:eastAsia="MS PGothic" w:hAnsi="Times New Roman"/>
          <w:lang w:val="en-US"/>
        </w:rPr>
        <w:t xml:space="preserve">emulsion polymerization </w:t>
      </w:r>
      <w:r w:rsidR="00676A9D">
        <w:rPr>
          <w:rFonts w:ascii="Times New Roman" w:eastAsia="MS PGothic" w:hAnsi="Times New Roman"/>
          <w:lang w:val="en-US"/>
        </w:rPr>
        <w:t>was</w:t>
      </w:r>
      <w:r>
        <w:rPr>
          <w:rFonts w:ascii="Times New Roman" w:eastAsia="MS PGothic" w:hAnsi="Times New Roman"/>
          <w:lang w:val="en-US"/>
        </w:rPr>
        <w:t xml:space="preserve"> investigated. From results, it was noticed that nitrogen effectively reduces VOC</w:t>
      </w:r>
      <w:r w:rsidR="00676A9D">
        <w:rPr>
          <w:rFonts w:ascii="Times New Roman" w:eastAsia="MS PGothic" w:hAnsi="Times New Roman"/>
          <w:lang w:val="en-US"/>
        </w:rPr>
        <w:t>s</w:t>
      </w:r>
      <w:r>
        <w:rPr>
          <w:rFonts w:ascii="Times New Roman" w:eastAsia="MS PGothic" w:hAnsi="Times New Roman"/>
          <w:lang w:val="en-US"/>
        </w:rPr>
        <w:t xml:space="preserve"> content. Possibly, this reduction is a combination of stripping and chemi</w:t>
      </w:r>
      <w:r w:rsidR="00676A9D">
        <w:rPr>
          <w:rFonts w:ascii="Times New Roman" w:eastAsia="MS PGothic" w:hAnsi="Times New Roman"/>
          <w:lang w:val="en-US"/>
        </w:rPr>
        <w:t>cal effects</w:t>
      </w:r>
      <w:r>
        <w:rPr>
          <w:rFonts w:ascii="Times New Roman" w:eastAsia="MS PGothic" w:hAnsi="Times New Roman"/>
          <w:lang w:val="en-US"/>
        </w:rPr>
        <w:t xml:space="preserve">. Tert-Butanol, despite being a light compound, is not particularly affected. ACN is eliminated with high nitrogen flows, but it is more likely stripped, </w:t>
      </w:r>
      <w:r w:rsidR="00676A9D">
        <w:rPr>
          <w:rFonts w:ascii="Times New Roman" w:eastAsia="MS PGothic" w:hAnsi="Times New Roman"/>
          <w:lang w:val="en-US"/>
        </w:rPr>
        <w:t>as</w:t>
      </w:r>
      <w:r>
        <w:rPr>
          <w:rFonts w:ascii="Times New Roman" w:eastAsia="MS PGothic" w:hAnsi="Times New Roman"/>
          <w:lang w:val="en-US"/>
        </w:rPr>
        <w:t xml:space="preserve"> it is a low boiling VOC. 2-ehtylexanol is the most critical substance, </w:t>
      </w:r>
      <w:r w:rsidR="00D66AFA">
        <w:rPr>
          <w:rFonts w:ascii="Times New Roman" w:eastAsia="MS PGothic" w:hAnsi="Times New Roman"/>
          <w:lang w:val="en-US"/>
        </w:rPr>
        <w:t xml:space="preserve">its content is unaffected in most cases, showing a small reduction (about 30%) by using nitrogen </w:t>
      </w:r>
      <w:r w:rsidR="00676A9D">
        <w:rPr>
          <w:rFonts w:ascii="Times New Roman" w:eastAsia="MS PGothic" w:hAnsi="Times New Roman"/>
          <w:lang w:val="en-US"/>
        </w:rPr>
        <w:t>during</w:t>
      </w:r>
      <w:r w:rsidR="00D66AFA">
        <w:rPr>
          <w:rFonts w:ascii="Times New Roman" w:eastAsia="MS PGothic" w:hAnsi="Times New Roman"/>
          <w:lang w:val="en-US"/>
        </w:rPr>
        <w:t xml:space="preserve"> dosing</w:t>
      </w:r>
      <w:r>
        <w:rPr>
          <w:rFonts w:ascii="Times New Roman" w:eastAsia="MS PGothic" w:hAnsi="Times New Roman"/>
          <w:lang w:val="en-US"/>
        </w:rPr>
        <w:t>.</w:t>
      </w:r>
      <w:r w:rsidR="00D66AFA">
        <w:rPr>
          <w:rFonts w:ascii="Times New Roman" w:eastAsia="MS PGothic" w:hAnsi="Times New Roman"/>
          <w:lang w:val="en-US"/>
        </w:rPr>
        <w:t xml:space="preserve"> </w:t>
      </w:r>
      <w:r w:rsidR="00676A9D">
        <w:rPr>
          <w:rFonts w:ascii="Times New Roman" w:eastAsia="MS PGothic" w:hAnsi="Times New Roman"/>
          <w:lang w:val="en-US"/>
        </w:rPr>
        <w:t>W</w:t>
      </w:r>
      <w:r w:rsidR="00F105D5">
        <w:rPr>
          <w:rFonts w:ascii="Times New Roman" w:eastAsia="MS PGothic" w:hAnsi="Times New Roman"/>
          <w:lang w:val="en-US"/>
        </w:rPr>
        <w:t xml:space="preserve">orking under these conditions allows </w:t>
      </w:r>
      <w:r w:rsidR="00223B14">
        <w:rPr>
          <w:rFonts w:ascii="Times New Roman" w:eastAsia="MS PGothic" w:hAnsi="Times New Roman"/>
          <w:lang w:val="en-US"/>
        </w:rPr>
        <w:t xml:space="preserve">to synthetize latexes which </w:t>
      </w:r>
      <w:r w:rsidR="00676A9D">
        <w:rPr>
          <w:rFonts w:ascii="Times New Roman" w:eastAsia="MS PGothic" w:hAnsi="Times New Roman"/>
          <w:lang w:val="en-US"/>
        </w:rPr>
        <w:t>comply</w:t>
      </w:r>
      <w:r w:rsidR="00223B14">
        <w:rPr>
          <w:rFonts w:ascii="Times New Roman" w:eastAsia="MS PGothic" w:hAnsi="Times New Roman"/>
          <w:lang w:val="en-US"/>
        </w:rPr>
        <w:t xml:space="preserve"> with industrial requirements</w:t>
      </w:r>
      <w:r w:rsidR="00676A9D">
        <w:rPr>
          <w:rFonts w:ascii="Times New Roman" w:eastAsia="MS PGothic" w:hAnsi="Times New Roman"/>
          <w:lang w:val="en-US"/>
        </w:rPr>
        <w:t xml:space="preserve"> except for the</w:t>
      </w:r>
      <w:r w:rsidR="00F105D5">
        <w:rPr>
          <w:rFonts w:ascii="Times New Roman" w:eastAsia="MS PGothic" w:hAnsi="Times New Roman"/>
          <w:lang w:val="en-US"/>
        </w:rPr>
        <w:t xml:space="preserve"> low viscosity </w:t>
      </w:r>
      <w:r w:rsidR="00676A9D">
        <w:rPr>
          <w:rFonts w:ascii="Times New Roman" w:eastAsia="MS PGothic" w:hAnsi="Times New Roman"/>
          <w:lang w:val="en-US"/>
        </w:rPr>
        <w:t>of test d</w:t>
      </w:r>
      <w:r w:rsidR="00F105D5">
        <w:rPr>
          <w:rFonts w:ascii="Times New Roman" w:eastAsia="MS PGothic" w:hAnsi="Times New Roman"/>
          <w:lang w:val="en-US"/>
        </w:rPr>
        <w:t>. Future work</w:t>
      </w:r>
      <w:r w:rsidR="00676A9D">
        <w:rPr>
          <w:rFonts w:ascii="Times New Roman" w:eastAsia="MS PGothic" w:hAnsi="Times New Roman"/>
          <w:lang w:val="en-US"/>
        </w:rPr>
        <w:t>s</w:t>
      </w:r>
      <w:r w:rsidR="00F105D5">
        <w:rPr>
          <w:rFonts w:ascii="Times New Roman" w:eastAsia="MS PGothic" w:hAnsi="Times New Roman"/>
          <w:lang w:val="en-US"/>
        </w:rPr>
        <w:t xml:space="preserve"> will investigate the impact of additional variables on VOC</w:t>
      </w:r>
      <w:r w:rsidR="00676A9D">
        <w:rPr>
          <w:rFonts w:ascii="Times New Roman" w:eastAsia="MS PGothic" w:hAnsi="Times New Roman"/>
          <w:lang w:val="en-US"/>
        </w:rPr>
        <w:t>s</w:t>
      </w:r>
      <w:r w:rsidR="00F105D5">
        <w:rPr>
          <w:rFonts w:ascii="Times New Roman" w:eastAsia="MS PGothic" w:hAnsi="Times New Roman"/>
          <w:lang w:val="en-US"/>
        </w:rPr>
        <w:t xml:space="preserve"> generation, such as starting pH, particle</w:t>
      </w:r>
      <w:r w:rsidR="00676A9D">
        <w:rPr>
          <w:rFonts w:ascii="Times New Roman" w:eastAsia="MS PGothic" w:hAnsi="Times New Roman"/>
          <w:lang w:val="en-US"/>
        </w:rPr>
        <w:t>s</w:t>
      </w:r>
      <w:r w:rsidR="00F105D5">
        <w:rPr>
          <w:rFonts w:ascii="Times New Roman" w:eastAsia="MS PGothic" w:hAnsi="Times New Roman"/>
          <w:lang w:val="en-US"/>
        </w:rPr>
        <w:t xml:space="preserve"> diameter </w:t>
      </w:r>
      <w:r w:rsidR="00676A9D">
        <w:rPr>
          <w:rFonts w:ascii="Times New Roman" w:eastAsia="MS PGothic" w:hAnsi="Times New Roman"/>
          <w:lang w:val="en-US"/>
        </w:rPr>
        <w:t xml:space="preserve">before post-polymerization </w:t>
      </w:r>
      <w:r w:rsidR="00F105D5">
        <w:rPr>
          <w:rFonts w:ascii="Times New Roman" w:eastAsia="MS PGothic" w:hAnsi="Times New Roman"/>
          <w:lang w:val="en-US"/>
        </w:rPr>
        <w:t>and different working conditions, such as temperature and dosing times.</w:t>
      </w:r>
    </w:p>
    <w:p w14:paraId="1845F659" w14:textId="26F1B30F" w:rsidR="00DA51A3" w:rsidRPr="00466FFD" w:rsidRDefault="00DA51A3" w:rsidP="00DA51A3">
      <w:pPr>
        <w:snapToGrid w:val="0"/>
        <w:spacing w:before="240" w:line="300" w:lineRule="auto"/>
        <w:rPr>
          <w:rFonts w:ascii="Times New Roman" w:eastAsia="SimSun" w:hAnsi="Times New Roman"/>
          <w:b/>
          <w:bCs/>
          <w:lang w:val="en-US" w:eastAsia="zh-CN"/>
        </w:rPr>
      </w:pPr>
      <w:r w:rsidRPr="00466FFD">
        <w:rPr>
          <w:rFonts w:ascii="Times New Roman" w:eastAsia="MS PGothic" w:hAnsi="Times New Roman"/>
          <w:b/>
          <w:bCs/>
          <w:lang w:val="en-US"/>
        </w:rPr>
        <w:t xml:space="preserve">References </w:t>
      </w:r>
    </w:p>
    <w:p w14:paraId="2B7914DA" w14:textId="13779EFE" w:rsidR="00BF0203" w:rsidRDefault="00BF0203" w:rsidP="00387C72">
      <w:pPr>
        <w:pStyle w:val="FirstParagraph"/>
        <w:widowControl w:val="0"/>
        <w:numPr>
          <w:ilvl w:val="0"/>
          <w:numId w:val="1"/>
        </w:numPr>
        <w:tabs>
          <w:tab w:val="left" w:pos="426"/>
        </w:tabs>
        <w:autoSpaceDE w:val="0"/>
        <w:autoSpaceDN w:val="0"/>
        <w:adjustRightInd w:val="0"/>
        <w:spacing w:line="240" w:lineRule="auto"/>
        <w:rPr>
          <w:rFonts w:ascii="Times New Roman" w:eastAsia="SimSun" w:hAnsi="Times New Roman"/>
          <w:lang w:eastAsia="zh-CN"/>
        </w:rPr>
      </w:pPr>
      <w:r w:rsidRPr="00BF0203">
        <w:rPr>
          <w:rFonts w:ascii="Times New Roman" w:eastAsia="SimSun" w:hAnsi="Times New Roman"/>
          <w:lang w:eastAsia="zh-CN"/>
        </w:rPr>
        <w:t xml:space="preserve">P- A. Lovell, F. Joseph </w:t>
      </w:r>
      <w:proofErr w:type="spellStart"/>
      <w:r w:rsidRPr="00BF0203">
        <w:rPr>
          <w:rFonts w:ascii="Times New Roman" w:eastAsia="SimSun" w:hAnsi="Times New Roman"/>
          <w:lang w:eastAsia="zh-CN"/>
        </w:rPr>
        <w:t>Schork</w:t>
      </w:r>
      <w:proofErr w:type="spellEnd"/>
      <w:r w:rsidRPr="00BF0203">
        <w:rPr>
          <w:rFonts w:ascii="Times New Roman" w:eastAsia="SimSun" w:hAnsi="Times New Roman"/>
          <w:lang w:eastAsia="zh-CN"/>
        </w:rPr>
        <w:t>, Fundamentals of Emulsion Polymerization, Biomacromolecules, 2020, 21 (11)</w:t>
      </w:r>
      <w:r>
        <w:rPr>
          <w:rFonts w:ascii="Times New Roman" w:eastAsia="SimSun" w:hAnsi="Times New Roman"/>
          <w:lang w:eastAsia="zh-CN"/>
        </w:rPr>
        <w:t>, 4</w:t>
      </w:r>
      <w:r w:rsidRPr="00BF0203">
        <w:rPr>
          <w:rFonts w:ascii="Times New Roman" w:eastAsia="SimSun" w:hAnsi="Times New Roman"/>
          <w:lang w:eastAsia="zh-CN"/>
        </w:rPr>
        <w:t>396-4441</w:t>
      </w:r>
    </w:p>
    <w:p w14:paraId="003FFAE0" w14:textId="77777777" w:rsidR="007751CF" w:rsidRPr="00B27341" w:rsidRDefault="007751CF" w:rsidP="007751CF">
      <w:pPr>
        <w:pStyle w:val="FirstParagraph"/>
        <w:widowControl w:val="0"/>
        <w:numPr>
          <w:ilvl w:val="0"/>
          <w:numId w:val="1"/>
        </w:numPr>
        <w:tabs>
          <w:tab w:val="left" w:pos="426"/>
        </w:tabs>
        <w:autoSpaceDE w:val="0"/>
        <w:autoSpaceDN w:val="0"/>
        <w:adjustRightInd w:val="0"/>
        <w:spacing w:line="240" w:lineRule="auto"/>
        <w:rPr>
          <w:rFonts w:ascii="Times New Roman" w:eastAsia="SimSun" w:hAnsi="Times New Roman"/>
          <w:lang w:eastAsia="zh-CN"/>
        </w:rPr>
      </w:pPr>
      <w:r w:rsidRPr="00B27341">
        <w:rPr>
          <w:rFonts w:ascii="Times New Roman" w:eastAsia="SimSun" w:hAnsi="Times New Roman"/>
          <w:lang w:eastAsia="zh-CN"/>
        </w:rPr>
        <w:t>S</w:t>
      </w:r>
      <w:r>
        <w:rPr>
          <w:rFonts w:ascii="Times New Roman" w:eastAsia="SimSun" w:hAnsi="Times New Roman"/>
          <w:lang w:eastAsia="zh-CN"/>
        </w:rPr>
        <w:t>.</w:t>
      </w:r>
      <w:r w:rsidRPr="00B27341">
        <w:rPr>
          <w:rFonts w:ascii="Times New Roman" w:eastAsia="SimSun" w:hAnsi="Times New Roman"/>
          <w:lang w:eastAsia="zh-CN"/>
        </w:rPr>
        <w:t xml:space="preserve"> </w:t>
      </w:r>
      <w:proofErr w:type="spellStart"/>
      <w:r w:rsidRPr="00B27341">
        <w:rPr>
          <w:rFonts w:ascii="Times New Roman" w:eastAsia="SimSun" w:hAnsi="Times New Roman"/>
          <w:lang w:eastAsia="zh-CN"/>
        </w:rPr>
        <w:t>Copelli</w:t>
      </w:r>
      <w:proofErr w:type="spellEnd"/>
      <w:r w:rsidRPr="00B27341">
        <w:rPr>
          <w:rFonts w:ascii="Times New Roman" w:eastAsia="SimSun" w:hAnsi="Times New Roman"/>
          <w:lang w:eastAsia="zh-CN"/>
        </w:rPr>
        <w:t>, M</w:t>
      </w:r>
      <w:r>
        <w:rPr>
          <w:rFonts w:ascii="Times New Roman" w:eastAsia="SimSun" w:hAnsi="Times New Roman"/>
          <w:lang w:eastAsia="zh-CN"/>
        </w:rPr>
        <w:t>.</w:t>
      </w:r>
      <w:r w:rsidRPr="00B27341">
        <w:rPr>
          <w:rFonts w:ascii="Times New Roman" w:eastAsia="SimSun" w:hAnsi="Times New Roman"/>
          <w:lang w:eastAsia="zh-CN"/>
        </w:rPr>
        <w:t xml:space="preserve"> Dente, G</w:t>
      </w:r>
      <w:r>
        <w:rPr>
          <w:rFonts w:ascii="Times New Roman" w:eastAsia="SimSun" w:hAnsi="Times New Roman"/>
          <w:lang w:eastAsia="zh-CN"/>
        </w:rPr>
        <w:t>.</w:t>
      </w:r>
      <w:r w:rsidRPr="00B27341">
        <w:rPr>
          <w:rFonts w:ascii="Times New Roman" w:eastAsia="SimSun" w:hAnsi="Times New Roman"/>
          <w:lang w:eastAsia="zh-CN"/>
        </w:rPr>
        <w:t xml:space="preserve"> </w:t>
      </w:r>
      <w:proofErr w:type="spellStart"/>
      <w:r w:rsidRPr="00B27341">
        <w:rPr>
          <w:rFonts w:ascii="Times New Roman" w:eastAsia="SimSun" w:hAnsi="Times New Roman"/>
          <w:lang w:eastAsia="zh-CN"/>
        </w:rPr>
        <w:t>Bozzano</w:t>
      </w:r>
      <w:proofErr w:type="spellEnd"/>
      <w:r w:rsidRPr="00B27341">
        <w:rPr>
          <w:rFonts w:ascii="Times New Roman" w:eastAsia="SimSun" w:hAnsi="Times New Roman"/>
          <w:lang w:eastAsia="zh-CN"/>
        </w:rPr>
        <w:t>, M</w:t>
      </w:r>
      <w:r>
        <w:rPr>
          <w:rFonts w:ascii="Times New Roman" w:eastAsia="SimSun" w:hAnsi="Times New Roman"/>
          <w:lang w:eastAsia="zh-CN"/>
        </w:rPr>
        <w:t>.</w:t>
      </w:r>
      <w:r w:rsidRPr="00B27341">
        <w:rPr>
          <w:rFonts w:ascii="Times New Roman" w:eastAsia="SimSun" w:hAnsi="Times New Roman"/>
          <w:lang w:eastAsia="zh-CN"/>
        </w:rPr>
        <w:t xml:space="preserve"> Barozzi</w:t>
      </w:r>
      <w:r>
        <w:rPr>
          <w:rFonts w:ascii="Times New Roman" w:eastAsia="SimSun" w:hAnsi="Times New Roman"/>
          <w:lang w:eastAsia="zh-CN"/>
        </w:rPr>
        <w:t>,</w:t>
      </w:r>
      <w:r w:rsidRPr="00B27341">
        <w:rPr>
          <w:rFonts w:ascii="Times New Roman" w:eastAsia="SimSun" w:hAnsi="Times New Roman"/>
          <w:lang w:eastAsia="zh-CN"/>
        </w:rPr>
        <w:t xml:space="preserve"> Simplified modeling and main constitutive parameters estimation for</w:t>
      </w:r>
      <w:r>
        <w:rPr>
          <w:rFonts w:ascii="Times New Roman" w:eastAsia="SimSun" w:hAnsi="Times New Roman"/>
          <w:lang w:eastAsia="zh-CN"/>
        </w:rPr>
        <w:t xml:space="preserve"> </w:t>
      </w:r>
      <w:r w:rsidRPr="00B27341">
        <w:rPr>
          <w:rFonts w:ascii="Times New Roman" w:eastAsia="SimSun" w:hAnsi="Times New Roman"/>
          <w:lang w:eastAsia="zh-CN"/>
        </w:rPr>
        <w:t>industrial emulsion copolymerization processes, Chem. Eng. J.</w:t>
      </w:r>
      <w:r>
        <w:rPr>
          <w:rFonts w:ascii="Times New Roman" w:eastAsia="SimSun" w:hAnsi="Times New Roman"/>
          <w:lang w:eastAsia="zh-CN"/>
        </w:rPr>
        <w:t>,</w:t>
      </w:r>
      <w:r w:rsidRPr="00B27341">
        <w:rPr>
          <w:rFonts w:ascii="Times New Roman" w:eastAsia="SimSun" w:hAnsi="Times New Roman"/>
          <w:lang w:eastAsia="zh-CN"/>
        </w:rPr>
        <w:t xml:space="preserve"> 2018</w:t>
      </w:r>
      <w:r>
        <w:rPr>
          <w:rFonts w:ascii="Times New Roman" w:eastAsia="SimSun" w:hAnsi="Times New Roman"/>
          <w:lang w:eastAsia="zh-CN"/>
        </w:rPr>
        <w:t xml:space="preserve">, </w:t>
      </w:r>
      <w:r w:rsidRPr="00B27341">
        <w:rPr>
          <w:rFonts w:ascii="Times New Roman" w:eastAsia="SimSun" w:hAnsi="Times New Roman"/>
          <w:lang w:eastAsia="zh-CN"/>
        </w:rPr>
        <w:t>335</w:t>
      </w:r>
      <w:r>
        <w:rPr>
          <w:rFonts w:ascii="Times New Roman" w:eastAsia="SimSun" w:hAnsi="Times New Roman"/>
          <w:lang w:eastAsia="zh-CN"/>
        </w:rPr>
        <w:t>,</w:t>
      </w:r>
      <w:r w:rsidRPr="00B27341">
        <w:rPr>
          <w:rFonts w:ascii="Times New Roman" w:eastAsia="SimSun" w:hAnsi="Times New Roman"/>
          <w:lang w:eastAsia="zh-CN"/>
        </w:rPr>
        <w:t xml:space="preserve"> 988–1003</w:t>
      </w:r>
    </w:p>
    <w:p w14:paraId="6F1B2AA5" w14:textId="7AF33AB9" w:rsidR="007751CF" w:rsidRDefault="007751CF" w:rsidP="007751CF">
      <w:pPr>
        <w:pStyle w:val="FirstParagraph"/>
        <w:widowControl w:val="0"/>
        <w:numPr>
          <w:ilvl w:val="0"/>
          <w:numId w:val="1"/>
        </w:numPr>
        <w:tabs>
          <w:tab w:val="left" w:pos="426"/>
        </w:tabs>
        <w:autoSpaceDE w:val="0"/>
        <w:autoSpaceDN w:val="0"/>
        <w:adjustRightInd w:val="0"/>
        <w:spacing w:line="240" w:lineRule="auto"/>
        <w:rPr>
          <w:rFonts w:ascii="Times New Roman" w:eastAsia="SimSun" w:hAnsi="Times New Roman"/>
          <w:lang w:eastAsia="zh-CN"/>
        </w:rPr>
      </w:pPr>
      <w:r w:rsidRPr="0040639E">
        <w:rPr>
          <w:rFonts w:ascii="Times New Roman" w:eastAsia="SimSun" w:hAnsi="Times New Roman"/>
          <w:lang w:eastAsia="zh-CN"/>
        </w:rPr>
        <w:t xml:space="preserve">S. </w:t>
      </w:r>
      <w:proofErr w:type="spellStart"/>
      <w:r w:rsidRPr="0040639E">
        <w:rPr>
          <w:rFonts w:ascii="Times New Roman" w:eastAsia="SimSun" w:hAnsi="Times New Roman"/>
          <w:lang w:eastAsia="zh-CN"/>
        </w:rPr>
        <w:t>Copelli</w:t>
      </w:r>
      <w:proofErr w:type="spellEnd"/>
      <w:r w:rsidRPr="0040639E">
        <w:rPr>
          <w:rFonts w:ascii="Times New Roman" w:eastAsia="SimSun" w:hAnsi="Times New Roman"/>
          <w:lang w:eastAsia="zh-CN"/>
        </w:rPr>
        <w:t>, M</w:t>
      </w:r>
      <w:r>
        <w:rPr>
          <w:rFonts w:ascii="Times New Roman" w:eastAsia="SimSun" w:hAnsi="Times New Roman"/>
          <w:lang w:eastAsia="zh-CN"/>
        </w:rPr>
        <w:t>.</w:t>
      </w:r>
      <w:r w:rsidRPr="0040639E">
        <w:rPr>
          <w:rFonts w:ascii="Times New Roman" w:eastAsia="SimSun" w:hAnsi="Times New Roman"/>
          <w:lang w:eastAsia="zh-CN"/>
        </w:rPr>
        <w:t xml:space="preserve"> Barozzi, N</w:t>
      </w:r>
      <w:r>
        <w:rPr>
          <w:rFonts w:ascii="Times New Roman" w:eastAsia="SimSun" w:hAnsi="Times New Roman"/>
          <w:lang w:eastAsia="zh-CN"/>
        </w:rPr>
        <w:t>.</w:t>
      </w:r>
      <w:r w:rsidRPr="0040639E">
        <w:rPr>
          <w:rFonts w:ascii="Times New Roman" w:eastAsia="SimSun" w:hAnsi="Times New Roman"/>
          <w:lang w:eastAsia="zh-CN"/>
        </w:rPr>
        <w:t xml:space="preserve"> Petrucci, V</w:t>
      </w:r>
      <w:r>
        <w:rPr>
          <w:rFonts w:ascii="Times New Roman" w:eastAsia="SimSun" w:hAnsi="Times New Roman"/>
          <w:lang w:eastAsia="zh-CN"/>
        </w:rPr>
        <w:t>.</w:t>
      </w:r>
      <w:r w:rsidRPr="0040639E">
        <w:rPr>
          <w:rFonts w:ascii="Times New Roman" w:eastAsia="SimSun" w:hAnsi="Times New Roman"/>
          <w:lang w:eastAsia="zh-CN"/>
        </w:rPr>
        <w:t xml:space="preserve"> Casson Moreno</w:t>
      </w:r>
      <w:r>
        <w:rPr>
          <w:rFonts w:ascii="Times New Roman" w:eastAsia="SimSun" w:hAnsi="Times New Roman"/>
          <w:lang w:eastAsia="zh-CN"/>
        </w:rPr>
        <w:t>,</w:t>
      </w:r>
      <w:r w:rsidRPr="0040639E">
        <w:rPr>
          <w:rFonts w:ascii="Times New Roman" w:eastAsia="SimSun" w:hAnsi="Times New Roman"/>
          <w:lang w:eastAsia="zh-CN"/>
        </w:rPr>
        <w:t xml:space="preserve"> Modeling and process optimization of a full-scale emulsion polymerization</w:t>
      </w:r>
      <w:r>
        <w:rPr>
          <w:rFonts w:ascii="Times New Roman" w:eastAsia="SimSun" w:hAnsi="Times New Roman"/>
          <w:lang w:eastAsia="zh-CN"/>
        </w:rPr>
        <w:t xml:space="preserve"> </w:t>
      </w:r>
      <w:r w:rsidRPr="0040639E">
        <w:rPr>
          <w:rFonts w:ascii="Times New Roman" w:eastAsia="SimSun" w:hAnsi="Times New Roman"/>
          <w:lang w:eastAsia="zh-CN"/>
        </w:rPr>
        <w:t>reactor</w:t>
      </w:r>
      <w:r>
        <w:rPr>
          <w:rFonts w:ascii="Times New Roman" w:eastAsia="SimSun" w:hAnsi="Times New Roman"/>
          <w:lang w:eastAsia="zh-CN"/>
        </w:rPr>
        <w:t xml:space="preserve"> </w:t>
      </w:r>
      <w:r w:rsidRPr="0040639E">
        <w:rPr>
          <w:rFonts w:ascii="Times New Roman" w:eastAsia="SimSun" w:hAnsi="Times New Roman"/>
          <w:lang w:eastAsia="zh-CN"/>
        </w:rPr>
        <w:t>Chem. Eng. J.</w:t>
      </w:r>
      <w:r>
        <w:rPr>
          <w:rFonts w:ascii="Times New Roman" w:eastAsia="SimSun" w:hAnsi="Times New Roman"/>
          <w:lang w:eastAsia="zh-CN"/>
        </w:rPr>
        <w:t>, 2019</w:t>
      </w:r>
      <w:r w:rsidRPr="0040639E">
        <w:rPr>
          <w:rFonts w:ascii="Times New Roman" w:eastAsia="SimSun" w:hAnsi="Times New Roman"/>
          <w:lang w:eastAsia="zh-CN"/>
        </w:rPr>
        <w:t xml:space="preserve"> 358</w:t>
      </w:r>
      <w:r>
        <w:rPr>
          <w:rFonts w:ascii="Times New Roman" w:eastAsia="SimSun" w:hAnsi="Times New Roman"/>
          <w:lang w:eastAsia="zh-CN"/>
        </w:rPr>
        <w:t>,</w:t>
      </w:r>
      <w:r w:rsidRPr="0040639E">
        <w:rPr>
          <w:rFonts w:ascii="Times New Roman" w:eastAsia="SimSun" w:hAnsi="Times New Roman"/>
          <w:lang w:eastAsia="zh-CN"/>
        </w:rPr>
        <w:t>1410–1420</w:t>
      </w:r>
    </w:p>
    <w:p w14:paraId="6020B946" w14:textId="67298CC8" w:rsidR="00AE625F" w:rsidRPr="00AE625F" w:rsidRDefault="00AE625F" w:rsidP="00AE625F">
      <w:pPr>
        <w:pStyle w:val="FirstParagraph"/>
        <w:widowControl w:val="0"/>
        <w:numPr>
          <w:ilvl w:val="0"/>
          <w:numId w:val="1"/>
        </w:numPr>
        <w:tabs>
          <w:tab w:val="left" w:pos="426"/>
        </w:tabs>
        <w:autoSpaceDE w:val="0"/>
        <w:autoSpaceDN w:val="0"/>
        <w:adjustRightInd w:val="0"/>
        <w:spacing w:line="240" w:lineRule="auto"/>
        <w:rPr>
          <w:rFonts w:ascii="Times New Roman" w:eastAsia="SimSun" w:hAnsi="Times New Roman"/>
          <w:lang w:eastAsia="zh-CN"/>
        </w:rPr>
      </w:pPr>
      <w:r w:rsidRPr="00557E7B">
        <w:rPr>
          <w:rFonts w:ascii="Times New Roman" w:eastAsia="SimSun" w:hAnsi="Times New Roman"/>
          <w:lang w:eastAsia="zh-CN"/>
        </w:rPr>
        <w:t>A</w:t>
      </w:r>
      <w:r>
        <w:rPr>
          <w:rFonts w:ascii="Times New Roman" w:eastAsia="SimSun" w:hAnsi="Times New Roman"/>
          <w:lang w:eastAsia="zh-CN"/>
        </w:rPr>
        <w:t>.</w:t>
      </w:r>
      <w:r w:rsidRPr="00557E7B">
        <w:rPr>
          <w:rFonts w:ascii="Times New Roman" w:eastAsia="SimSun" w:hAnsi="Times New Roman"/>
          <w:lang w:eastAsia="zh-CN"/>
        </w:rPr>
        <w:t xml:space="preserve"> De San Luis,</w:t>
      </w:r>
      <w:r>
        <w:rPr>
          <w:rFonts w:ascii="Times New Roman" w:eastAsia="SimSun" w:hAnsi="Times New Roman"/>
          <w:lang w:eastAsia="zh-CN"/>
        </w:rPr>
        <w:t xml:space="preserve"> </w:t>
      </w:r>
      <w:r w:rsidRPr="00557E7B">
        <w:rPr>
          <w:rFonts w:ascii="Times New Roman" w:eastAsia="SimSun" w:hAnsi="Times New Roman"/>
          <w:lang w:eastAsia="zh-CN"/>
        </w:rPr>
        <w:t>C</w:t>
      </w:r>
      <w:r>
        <w:rPr>
          <w:rFonts w:ascii="Times New Roman" w:eastAsia="SimSun" w:hAnsi="Times New Roman"/>
          <w:lang w:eastAsia="zh-CN"/>
        </w:rPr>
        <w:t>.</w:t>
      </w:r>
      <w:r w:rsidRPr="00557E7B">
        <w:rPr>
          <w:rFonts w:ascii="Times New Roman" w:eastAsia="SimSun" w:hAnsi="Times New Roman"/>
          <w:lang w:eastAsia="zh-CN"/>
        </w:rPr>
        <w:t xml:space="preserve"> C. Santini,</w:t>
      </w:r>
      <w:r>
        <w:rPr>
          <w:rFonts w:ascii="Times New Roman" w:eastAsia="SimSun" w:hAnsi="Times New Roman"/>
          <w:lang w:eastAsia="zh-CN"/>
        </w:rPr>
        <w:t xml:space="preserve"> </w:t>
      </w:r>
      <w:r w:rsidRPr="00557E7B">
        <w:rPr>
          <w:rFonts w:ascii="Times New Roman" w:eastAsia="SimSun" w:hAnsi="Times New Roman"/>
          <w:lang w:eastAsia="zh-CN"/>
        </w:rPr>
        <w:t>Y</w:t>
      </w:r>
      <w:r>
        <w:rPr>
          <w:rFonts w:ascii="Times New Roman" w:eastAsia="SimSun" w:hAnsi="Times New Roman"/>
          <w:lang w:eastAsia="zh-CN"/>
        </w:rPr>
        <w:t>.</w:t>
      </w:r>
      <w:r w:rsidRPr="00557E7B">
        <w:rPr>
          <w:rFonts w:ascii="Times New Roman" w:eastAsia="SimSun" w:hAnsi="Times New Roman"/>
          <w:lang w:eastAsia="zh-CN"/>
        </w:rPr>
        <w:t xml:space="preserve"> </w:t>
      </w:r>
      <w:proofErr w:type="spellStart"/>
      <w:r w:rsidRPr="00557E7B">
        <w:rPr>
          <w:rFonts w:ascii="Times New Roman" w:eastAsia="SimSun" w:hAnsi="Times New Roman"/>
          <w:lang w:eastAsia="zh-CN"/>
        </w:rPr>
        <w:t>Chalamet</w:t>
      </w:r>
      <w:proofErr w:type="spellEnd"/>
      <w:r w:rsidRPr="00557E7B">
        <w:rPr>
          <w:rFonts w:ascii="Times New Roman" w:eastAsia="SimSun" w:hAnsi="Times New Roman"/>
          <w:lang w:eastAsia="zh-CN"/>
        </w:rPr>
        <w:t>,</w:t>
      </w:r>
      <w:r>
        <w:rPr>
          <w:rFonts w:ascii="Times New Roman" w:eastAsia="SimSun" w:hAnsi="Times New Roman"/>
          <w:lang w:eastAsia="zh-CN"/>
        </w:rPr>
        <w:t xml:space="preserve"> </w:t>
      </w:r>
      <w:r w:rsidRPr="00557E7B">
        <w:rPr>
          <w:rFonts w:ascii="Times New Roman" w:eastAsia="SimSun" w:hAnsi="Times New Roman"/>
          <w:lang w:eastAsia="zh-CN"/>
        </w:rPr>
        <w:t>V</w:t>
      </w:r>
      <w:r>
        <w:rPr>
          <w:rFonts w:ascii="Times New Roman" w:eastAsia="SimSun" w:hAnsi="Times New Roman"/>
          <w:lang w:eastAsia="zh-CN"/>
        </w:rPr>
        <w:t>.</w:t>
      </w:r>
      <w:r w:rsidRPr="00557E7B">
        <w:rPr>
          <w:rFonts w:ascii="Times New Roman" w:eastAsia="SimSun" w:hAnsi="Times New Roman"/>
          <w:lang w:eastAsia="zh-CN"/>
        </w:rPr>
        <w:t xml:space="preserve"> </w:t>
      </w:r>
      <w:proofErr w:type="spellStart"/>
      <w:r w:rsidRPr="00557E7B">
        <w:rPr>
          <w:rFonts w:ascii="Times New Roman" w:eastAsia="SimSun" w:hAnsi="Times New Roman"/>
          <w:lang w:eastAsia="zh-CN"/>
        </w:rPr>
        <w:t>Dufaud</w:t>
      </w:r>
      <w:proofErr w:type="spellEnd"/>
      <w:r>
        <w:rPr>
          <w:rFonts w:ascii="Times New Roman" w:eastAsia="SimSun" w:hAnsi="Times New Roman"/>
          <w:lang w:eastAsia="zh-CN"/>
        </w:rPr>
        <w:t xml:space="preserve">, </w:t>
      </w:r>
      <w:r w:rsidRPr="00557E7B">
        <w:rPr>
          <w:rFonts w:ascii="Times New Roman" w:eastAsia="SimSun" w:hAnsi="Times New Roman"/>
          <w:lang w:eastAsia="zh-CN"/>
        </w:rPr>
        <w:t>Removal of Volatile Organic Compounds from Bulk and Emulsion</w:t>
      </w:r>
      <w:r>
        <w:rPr>
          <w:rFonts w:ascii="Times New Roman" w:eastAsia="SimSun" w:hAnsi="Times New Roman"/>
          <w:lang w:eastAsia="zh-CN"/>
        </w:rPr>
        <w:t xml:space="preserve"> </w:t>
      </w:r>
      <w:r w:rsidRPr="00557E7B">
        <w:rPr>
          <w:rFonts w:ascii="Times New Roman" w:eastAsia="SimSun" w:hAnsi="Times New Roman"/>
          <w:lang w:eastAsia="zh-CN"/>
        </w:rPr>
        <w:t>Polymers: A Comprehensive Survey of the Existing Techniques,</w:t>
      </w:r>
      <w:r>
        <w:rPr>
          <w:rFonts w:ascii="Times New Roman" w:eastAsia="SimSun" w:hAnsi="Times New Roman"/>
          <w:lang w:eastAsia="zh-CN"/>
        </w:rPr>
        <w:t xml:space="preserve"> </w:t>
      </w:r>
      <w:r w:rsidRPr="00557E7B">
        <w:rPr>
          <w:rFonts w:ascii="Times New Roman" w:eastAsia="SimSun" w:hAnsi="Times New Roman"/>
          <w:lang w:eastAsia="zh-CN"/>
        </w:rPr>
        <w:t>Ind. Eng. Chem. Res. 2019, 58, 11601−11623</w:t>
      </w:r>
    </w:p>
    <w:p w14:paraId="12360AE6" w14:textId="5FF740AD" w:rsidR="00557E7B" w:rsidRPr="00557E7B" w:rsidRDefault="00557E7B" w:rsidP="00557E7B">
      <w:pPr>
        <w:pStyle w:val="FirstParagraph"/>
        <w:widowControl w:val="0"/>
        <w:numPr>
          <w:ilvl w:val="0"/>
          <w:numId w:val="1"/>
        </w:numPr>
        <w:tabs>
          <w:tab w:val="left" w:pos="426"/>
        </w:tabs>
        <w:autoSpaceDE w:val="0"/>
        <w:autoSpaceDN w:val="0"/>
        <w:adjustRightInd w:val="0"/>
        <w:spacing w:line="240" w:lineRule="auto"/>
        <w:rPr>
          <w:rFonts w:ascii="Times New Roman" w:eastAsia="SimSun" w:hAnsi="Times New Roman"/>
          <w:lang w:val="it-IT" w:eastAsia="zh-CN"/>
        </w:rPr>
      </w:pPr>
      <w:r w:rsidRPr="00557E7B">
        <w:rPr>
          <w:rFonts w:ascii="Times New Roman" w:eastAsia="SimSun" w:hAnsi="Times New Roman"/>
          <w:lang w:eastAsia="zh-CN"/>
        </w:rPr>
        <w:t>R</w:t>
      </w:r>
      <w:r>
        <w:rPr>
          <w:rFonts w:ascii="Times New Roman" w:eastAsia="SimSun" w:hAnsi="Times New Roman"/>
          <w:lang w:eastAsia="zh-CN"/>
        </w:rPr>
        <w:t>.</w:t>
      </w:r>
      <w:r w:rsidRPr="00557E7B">
        <w:rPr>
          <w:rFonts w:ascii="Times New Roman" w:eastAsia="SimSun" w:hAnsi="Times New Roman"/>
          <w:lang w:eastAsia="zh-CN"/>
        </w:rPr>
        <w:t xml:space="preserve"> Salazar, P</w:t>
      </w:r>
      <w:r>
        <w:rPr>
          <w:rFonts w:ascii="Times New Roman" w:eastAsia="SimSun" w:hAnsi="Times New Roman"/>
          <w:lang w:eastAsia="zh-CN"/>
        </w:rPr>
        <w:t>.</w:t>
      </w:r>
      <w:r w:rsidRPr="00557E7B">
        <w:rPr>
          <w:rFonts w:ascii="Times New Roman" w:eastAsia="SimSun" w:hAnsi="Times New Roman"/>
          <w:lang w:eastAsia="zh-CN"/>
        </w:rPr>
        <w:t xml:space="preserve"> </w:t>
      </w:r>
      <w:proofErr w:type="spellStart"/>
      <w:r w:rsidRPr="00557E7B">
        <w:rPr>
          <w:rFonts w:ascii="Times New Roman" w:eastAsia="SimSun" w:hAnsi="Times New Roman"/>
          <w:lang w:eastAsia="zh-CN"/>
        </w:rPr>
        <w:t>Ilundain</w:t>
      </w:r>
      <w:proofErr w:type="spellEnd"/>
      <w:r w:rsidRPr="00557E7B">
        <w:rPr>
          <w:rFonts w:ascii="Times New Roman" w:eastAsia="SimSun" w:hAnsi="Times New Roman"/>
          <w:lang w:eastAsia="zh-CN"/>
        </w:rPr>
        <w:t>, D</w:t>
      </w:r>
      <w:r>
        <w:rPr>
          <w:rFonts w:ascii="Times New Roman" w:eastAsia="SimSun" w:hAnsi="Times New Roman"/>
          <w:lang w:eastAsia="zh-CN"/>
        </w:rPr>
        <w:t>.</w:t>
      </w:r>
      <w:r w:rsidRPr="00557E7B">
        <w:rPr>
          <w:rFonts w:ascii="Times New Roman" w:eastAsia="SimSun" w:hAnsi="Times New Roman"/>
          <w:lang w:eastAsia="zh-CN"/>
        </w:rPr>
        <w:t xml:space="preserve"> Alvarez, L</w:t>
      </w:r>
      <w:r>
        <w:rPr>
          <w:rFonts w:ascii="Times New Roman" w:eastAsia="SimSun" w:hAnsi="Times New Roman"/>
          <w:lang w:eastAsia="zh-CN"/>
        </w:rPr>
        <w:t>.</w:t>
      </w:r>
      <w:r w:rsidRPr="00557E7B">
        <w:rPr>
          <w:rFonts w:ascii="Times New Roman" w:eastAsia="SimSun" w:hAnsi="Times New Roman"/>
          <w:lang w:eastAsia="zh-CN"/>
        </w:rPr>
        <w:t xml:space="preserve"> Da Cunha, Ma</w:t>
      </w:r>
      <w:r>
        <w:rPr>
          <w:rFonts w:ascii="Times New Roman" w:eastAsia="SimSun" w:hAnsi="Times New Roman"/>
          <w:lang w:eastAsia="zh-CN"/>
        </w:rPr>
        <w:t>.</w:t>
      </w:r>
      <w:r w:rsidRPr="00557E7B">
        <w:rPr>
          <w:rFonts w:ascii="Times New Roman" w:eastAsia="SimSun" w:hAnsi="Times New Roman"/>
          <w:lang w:eastAsia="zh-CN"/>
        </w:rPr>
        <w:t xml:space="preserve"> J. </w:t>
      </w:r>
      <w:proofErr w:type="spellStart"/>
      <w:r w:rsidRPr="00557E7B">
        <w:rPr>
          <w:rFonts w:ascii="Times New Roman" w:eastAsia="SimSun" w:hAnsi="Times New Roman"/>
          <w:lang w:eastAsia="zh-CN"/>
        </w:rPr>
        <w:t>Barandiaran</w:t>
      </w:r>
      <w:proofErr w:type="spellEnd"/>
      <w:r w:rsidRPr="00557E7B">
        <w:rPr>
          <w:rFonts w:ascii="Times New Roman" w:eastAsia="SimSun" w:hAnsi="Times New Roman"/>
          <w:lang w:eastAsia="zh-CN"/>
        </w:rPr>
        <w:t>, and J</w:t>
      </w:r>
      <w:r>
        <w:rPr>
          <w:rFonts w:ascii="Times New Roman" w:eastAsia="SimSun" w:hAnsi="Times New Roman"/>
          <w:lang w:eastAsia="zh-CN"/>
        </w:rPr>
        <w:t>.</w:t>
      </w:r>
      <w:r w:rsidRPr="00557E7B">
        <w:rPr>
          <w:rFonts w:ascii="Times New Roman" w:eastAsia="SimSun" w:hAnsi="Times New Roman"/>
          <w:lang w:eastAsia="zh-CN"/>
        </w:rPr>
        <w:t xml:space="preserve"> M. </w:t>
      </w:r>
      <w:proofErr w:type="spellStart"/>
      <w:r w:rsidRPr="00557E7B">
        <w:rPr>
          <w:rFonts w:ascii="Times New Roman" w:eastAsia="SimSun" w:hAnsi="Times New Roman"/>
          <w:lang w:eastAsia="zh-CN"/>
        </w:rPr>
        <w:t>Asua</w:t>
      </w:r>
      <w:proofErr w:type="spellEnd"/>
      <w:r w:rsidRPr="00557E7B">
        <w:rPr>
          <w:rFonts w:ascii="Times New Roman" w:eastAsia="SimSun" w:hAnsi="Times New Roman"/>
          <w:lang w:eastAsia="zh-CN"/>
        </w:rPr>
        <w:t>, Reduction of the Residual Monomer and Volatile Organic Compounds by Devolatilization, Ind. Eng. Chem. Res. 2005, 44, 4042-4050</w:t>
      </w:r>
    </w:p>
    <w:p w14:paraId="72E2BC63" w14:textId="56825310" w:rsidR="0040639E" w:rsidRDefault="0040639E" w:rsidP="0040639E">
      <w:pPr>
        <w:pStyle w:val="FirstParagraph"/>
        <w:widowControl w:val="0"/>
        <w:numPr>
          <w:ilvl w:val="0"/>
          <w:numId w:val="1"/>
        </w:numPr>
        <w:tabs>
          <w:tab w:val="left" w:pos="426"/>
        </w:tabs>
        <w:autoSpaceDE w:val="0"/>
        <w:autoSpaceDN w:val="0"/>
        <w:adjustRightInd w:val="0"/>
        <w:spacing w:line="240" w:lineRule="auto"/>
        <w:rPr>
          <w:rFonts w:ascii="Times New Roman" w:eastAsia="SimSun" w:hAnsi="Times New Roman"/>
          <w:lang w:eastAsia="zh-CN"/>
        </w:rPr>
      </w:pPr>
      <w:r w:rsidRPr="00AE625F">
        <w:rPr>
          <w:rFonts w:ascii="Times New Roman" w:eastAsia="SimSun" w:hAnsi="Times New Roman"/>
          <w:lang w:val="it-IT" w:eastAsia="zh-CN"/>
        </w:rPr>
        <w:t xml:space="preserve">P. </w:t>
      </w:r>
      <w:proofErr w:type="spellStart"/>
      <w:r w:rsidRPr="00AE625F">
        <w:rPr>
          <w:rFonts w:ascii="Times New Roman" w:eastAsia="SimSun" w:hAnsi="Times New Roman"/>
          <w:lang w:val="it-IT" w:eastAsia="zh-CN"/>
        </w:rPr>
        <w:t>Ilundain</w:t>
      </w:r>
      <w:proofErr w:type="spellEnd"/>
      <w:r w:rsidRPr="00AE625F">
        <w:rPr>
          <w:rFonts w:ascii="Times New Roman" w:eastAsia="SimSun" w:hAnsi="Times New Roman"/>
          <w:lang w:val="it-IT" w:eastAsia="zh-CN"/>
        </w:rPr>
        <w:t xml:space="preserve">, L. Da Cunha, R. Salazar, D. Alvarez, M. J. </w:t>
      </w:r>
      <w:proofErr w:type="spellStart"/>
      <w:r w:rsidRPr="00AE625F">
        <w:rPr>
          <w:rFonts w:ascii="Times New Roman" w:eastAsia="SimSun" w:hAnsi="Times New Roman"/>
          <w:lang w:val="it-IT" w:eastAsia="zh-CN"/>
        </w:rPr>
        <w:t>Barandiaran</w:t>
      </w:r>
      <w:proofErr w:type="spellEnd"/>
      <w:r w:rsidRPr="00AE625F">
        <w:rPr>
          <w:rFonts w:ascii="Times New Roman" w:eastAsia="SimSun" w:hAnsi="Times New Roman"/>
          <w:lang w:val="it-IT" w:eastAsia="zh-CN"/>
        </w:rPr>
        <w:t xml:space="preserve">, J. M. </w:t>
      </w:r>
      <w:proofErr w:type="spellStart"/>
      <w:r w:rsidRPr="00AE625F">
        <w:rPr>
          <w:rFonts w:ascii="Times New Roman" w:eastAsia="SimSun" w:hAnsi="Times New Roman"/>
          <w:lang w:val="it-IT" w:eastAsia="zh-CN"/>
        </w:rPr>
        <w:t>Asua</w:t>
      </w:r>
      <w:proofErr w:type="spellEnd"/>
      <w:r w:rsidRPr="00AE625F">
        <w:rPr>
          <w:rFonts w:ascii="Times New Roman" w:eastAsia="SimSun" w:hAnsi="Times New Roman"/>
          <w:lang w:val="it-IT" w:eastAsia="zh-CN"/>
        </w:rPr>
        <w:t xml:space="preserve">, </w:t>
      </w:r>
      <w:proofErr w:type="spellStart"/>
      <w:r w:rsidRPr="00AE625F">
        <w:rPr>
          <w:rFonts w:ascii="Times New Roman" w:eastAsia="SimSun" w:hAnsi="Times New Roman"/>
          <w:lang w:val="it-IT" w:eastAsia="zh-CN"/>
        </w:rPr>
        <w:t>Postpolymerization</w:t>
      </w:r>
      <w:proofErr w:type="spellEnd"/>
      <w:r w:rsidRPr="00AE625F">
        <w:rPr>
          <w:rFonts w:ascii="Times New Roman" w:eastAsia="SimSun" w:hAnsi="Times New Roman"/>
          <w:lang w:val="it-IT" w:eastAsia="zh-CN"/>
        </w:rPr>
        <w:t xml:space="preserve"> of </w:t>
      </w:r>
      <w:proofErr w:type="spellStart"/>
      <w:r w:rsidRPr="00AE625F">
        <w:rPr>
          <w:rFonts w:ascii="Times New Roman" w:eastAsia="SimSun" w:hAnsi="Times New Roman"/>
          <w:lang w:val="it-IT" w:eastAsia="zh-CN"/>
        </w:rPr>
        <w:t>vinyl</w:t>
      </w:r>
      <w:proofErr w:type="spellEnd"/>
      <w:r w:rsidRPr="00AE625F">
        <w:rPr>
          <w:rFonts w:ascii="Times New Roman" w:eastAsia="SimSun" w:hAnsi="Times New Roman"/>
          <w:lang w:val="it-IT" w:eastAsia="zh-CN"/>
        </w:rPr>
        <w:t xml:space="preserve"> acetate </w:t>
      </w:r>
      <w:proofErr w:type="spellStart"/>
      <w:r w:rsidRPr="00AE625F">
        <w:rPr>
          <w:rFonts w:ascii="Times New Roman" w:eastAsia="SimSun" w:hAnsi="Times New Roman"/>
          <w:lang w:val="it-IT" w:eastAsia="zh-CN"/>
        </w:rPr>
        <w:t>containing</w:t>
      </w:r>
      <w:proofErr w:type="spellEnd"/>
      <w:r w:rsidRPr="00AE625F">
        <w:rPr>
          <w:rFonts w:ascii="Times New Roman" w:eastAsia="SimSun" w:hAnsi="Times New Roman"/>
          <w:lang w:val="it-IT" w:eastAsia="zh-CN"/>
        </w:rPr>
        <w:t xml:space="preserve"> </w:t>
      </w:r>
      <w:proofErr w:type="spellStart"/>
      <w:r w:rsidRPr="00AE625F">
        <w:rPr>
          <w:rFonts w:ascii="Times New Roman" w:eastAsia="SimSun" w:hAnsi="Times New Roman"/>
          <w:lang w:val="it-IT" w:eastAsia="zh-CN"/>
        </w:rPr>
        <w:t>latexes</w:t>
      </w:r>
      <w:proofErr w:type="spellEnd"/>
      <w:r w:rsidRPr="00AE625F">
        <w:rPr>
          <w:rFonts w:ascii="Times New Roman" w:eastAsia="SimSun" w:hAnsi="Times New Roman"/>
          <w:lang w:val="it-IT" w:eastAsia="zh-CN"/>
        </w:rPr>
        <w:t xml:space="preserve">. </w:t>
      </w:r>
      <w:r w:rsidRPr="0040639E">
        <w:rPr>
          <w:rFonts w:ascii="Times New Roman" w:eastAsia="SimSun" w:hAnsi="Times New Roman"/>
          <w:lang w:eastAsia="zh-CN"/>
        </w:rPr>
        <w:t xml:space="preserve">J. Appl. </w:t>
      </w:r>
      <w:proofErr w:type="spellStart"/>
      <w:r w:rsidRPr="0040639E">
        <w:rPr>
          <w:rFonts w:ascii="Times New Roman" w:eastAsia="SimSun" w:hAnsi="Times New Roman"/>
          <w:lang w:eastAsia="zh-CN"/>
        </w:rPr>
        <w:t>Polym</w:t>
      </w:r>
      <w:proofErr w:type="spellEnd"/>
      <w:r w:rsidRPr="0040639E">
        <w:rPr>
          <w:rFonts w:ascii="Times New Roman" w:eastAsia="SimSun" w:hAnsi="Times New Roman"/>
          <w:lang w:eastAsia="zh-CN"/>
        </w:rPr>
        <w:t>. Sci. 2002, 83, 923.</w:t>
      </w:r>
    </w:p>
    <w:p w14:paraId="5A650773" w14:textId="6C4D6F46" w:rsidR="005B71B2" w:rsidRPr="00AE625F" w:rsidRDefault="002D617B" w:rsidP="00E91CE3">
      <w:pPr>
        <w:pStyle w:val="FirstParagraph"/>
        <w:widowControl w:val="0"/>
        <w:numPr>
          <w:ilvl w:val="0"/>
          <w:numId w:val="1"/>
        </w:numPr>
        <w:tabs>
          <w:tab w:val="left" w:pos="426"/>
        </w:tabs>
        <w:autoSpaceDE w:val="0"/>
        <w:autoSpaceDN w:val="0"/>
        <w:adjustRightInd w:val="0"/>
        <w:spacing w:line="240" w:lineRule="auto"/>
      </w:pPr>
      <w:r w:rsidRPr="00AE625F">
        <w:rPr>
          <w:rFonts w:ascii="Times New Roman" w:eastAsia="SimSun" w:hAnsi="Times New Roman"/>
          <w:lang w:eastAsia="zh-CN"/>
        </w:rPr>
        <w:t xml:space="preserve">R. J. </w:t>
      </w:r>
      <w:proofErr w:type="spellStart"/>
      <w:r w:rsidRPr="00AE625F">
        <w:rPr>
          <w:rFonts w:ascii="Times New Roman" w:eastAsia="SimSun" w:hAnsi="Times New Roman"/>
          <w:lang w:eastAsia="zh-CN"/>
        </w:rPr>
        <w:t>Albalak</w:t>
      </w:r>
      <w:proofErr w:type="spellEnd"/>
      <w:r w:rsidRPr="00AE625F">
        <w:rPr>
          <w:rFonts w:ascii="Times New Roman" w:eastAsia="SimSun" w:hAnsi="Times New Roman"/>
          <w:lang w:eastAsia="zh-CN"/>
        </w:rPr>
        <w:t xml:space="preserve">, E. W. Merrill, J. M. Zielinski, J. L. </w:t>
      </w:r>
      <w:proofErr w:type="spellStart"/>
      <w:r w:rsidRPr="00AE625F">
        <w:rPr>
          <w:rFonts w:ascii="Times New Roman" w:eastAsia="SimSun" w:hAnsi="Times New Roman"/>
          <w:lang w:eastAsia="zh-CN"/>
        </w:rPr>
        <w:t>Duda</w:t>
      </w:r>
      <w:proofErr w:type="spellEnd"/>
      <w:r w:rsidRPr="00AE625F">
        <w:rPr>
          <w:rFonts w:ascii="Times New Roman" w:eastAsia="SimSun" w:hAnsi="Times New Roman"/>
          <w:lang w:eastAsia="zh-CN"/>
        </w:rPr>
        <w:t xml:space="preserve">, A. V. </w:t>
      </w:r>
      <w:proofErr w:type="spellStart"/>
      <w:r w:rsidRPr="00AE625F">
        <w:rPr>
          <w:rFonts w:ascii="Times New Roman" w:eastAsia="SimSun" w:hAnsi="Times New Roman"/>
          <w:lang w:eastAsia="zh-CN"/>
        </w:rPr>
        <w:t>Yazdi</w:t>
      </w:r>
      <w:proofErr w:type="spellEnd"/>
      <w:r w:rsidRPr="00AE625F">
        <w:rPr>
          <w:rFonts w:ascii="Times New Roman" w:eastAsia="SimSun" w:hAnsi="Times New Roman"/>
          <w:lang w:eastAsia="zh-CN"/>
        </w:rPr>
        <w:t xml:space="preserve">, E. J. Beckman, M. </w:t>
      </w:r>
      <w:proofErr w:type="spellStart"/>
      <w:r w:rsidRPr="00AE625F">
        <w:rPr>
          <w:rFonts w:ascii="Times New Roman" w:eastAsia="SimSun" w:hAnsi="Times New Roman"/>
          <w:lang w:eastAsia="zh-CN"/>
        </w:rPr>
        <w:t>Favelukis</w:t>
      </w:r>
      <w:proofErr w:type="spellEnd"/>
      <w:r w:rsidRPr="00AE625F">
        <w:rPr>
          <w:rFonts w:ascii="Times New Roman" w:eastAsia="SimSun" w:hAnsi="Times New Roman"/>
          <w:lang w:eastAsia="zh-CN"/>
        </w:rPr>
        <w:t xml:space="preserve">, S. T. Lee, A. </w:t>
      </w:r>
      <w:proofErr w:type="spellStart"/>
      <w:r w:rsidRPr="00AE625F">
        <w:rPr>
          <w:rFonts w:ascii="Times New Roman" w:eastAsia="SimSun" w:hAnsi="Times New Roman"/>
          <w:lang w:eastAsia="zh-CN"/>
        </w:rPr>
        <w:t>Tukachinsky</w:t>
      </w:r>
      <w:proofErr w:type="spellEnd"/>
      <w:r w:rsidRPr="00AE625F">
        <w:rPr>
          <w:rFonts w:ascii="Times New Roman" w:eastAsia="SimSun" w:hAnsi="Times New Roman"/>
          <w:lang w:eastAsia="zh-CN"/>
        </w:rPr>
        <w:t xml:space="preserve">, T. </w:t>
      </w:r>
      <w:proofErr w:type="spellStart"/>
      <w:r w:rsidRPr="00AE625F">
        <w:rPr>
          <w:rFonts w:ascii="Times New Roman" w:eastAsia="SimSun" w:hAnsi="Times New Roman"/>
          <w:lang w:eastAsia="zh-CN"/>
        </w:rPr>
        <w:t>Chechik</w:t>
      </w:r>
      <w:proofErr w:type="spellEnd"/>
      <w:r w:rsidRPr="00AE625F">
        <w:rPr>
          <w:rFonts w:ascii="Times New Roman" w:eastAsia="SimSun" w:hAnsi="Times New Roman"/>
          <w:lang w:eastAsia="zh-CN"/>
        </w:rPr>
        <w:t xml:space="preserve">, Y. </w:t>
      </w:r>
      <w:proofErr w:type="spellStart"/>
      <w:r w:rsidRPr="00AE625F">
        <w:rPr>
          <w:rFonts w:ascii="Times New Roman" w:eastAsia="SimSun" w:hAnsi="Times New Roman"/>
          <w:lang w:eastAsia="zh-CN"/>
        </w:rPr>
        <w:t>Talmon</w:t>
      </w:r>
      <w:proofErr w:type="spellEnd"/>
      <w:r w:rsidRPr="00AE625F">
        <w:rPr>
          <w:rFonts w:ascii="Times New Roman" w:eastAsia="SimSun" w:hAnsi="Times New Roman"/>
          <w:lang w:eastAsia="zh-CN"/>
        </w:rPr>
        <w:t>, Z Tadmor, Polymer Devolatilization; Marcel Dekker Inc: New York, 1996.</w:t>
      </w:r>
    </w:p>
    <w:sectPr w:rsidR="005B71B2" w:rsidRPr="00AE625F" w:rsidSect="001D0E0C">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DC877" w14:textId="77777777" w:rsidR="00D313B8" w:rsidRDefault="00D313B8" w:rsidP="001D0E0C">
      <w:pPr>
        <w:spacing w:after="0" w:line="240" w:lineRule="auto"/>
      </w:pPr>
      <w:r>
        <w:separator/>
      </w:r>
    </w:p>
  </w:endnote>
  <w:endnote w:type="continuationSeparator" w:id="0">
    <w:p w14:paraId="090D5944" w14:textId="77777777" w:rsidR="00D313B8" w:rsidRDefault="00D313B8" w:rsidP="001D0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B03" w14:textId="77777777" w:rsidR="005C2A12" w:rsidRDefault="005C2A1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C72D2" w14:textId="77777777" w:rsidR="005C2A12" w:rsidRDefault="005C2A1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FF87" w14:textId="77777777" w:rsidR="005C2A12" w:rsidRDefault="005C2A1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851A6" w14:textId="77777777" w:rsidR="00D313B8" w:rsidRDefault="00D313B8" w:rsidP="001D0E0C">
      <w:pPr>
        <w:spacing w:after="0" w:line="240" w:lineRule="auto"/>
      </w:pPr>
      <w:r>
        <w:separator/>
      </w:r>
    </w:p>
  </w:footnote>
  <w:footnote w:type="continuationSeparator" w:id="0">
    <w:p w14:paraId="5C5C7034" w14:textId="77777777" w:rsidR="00D313B8" w:rsidRDefault="00D313B8" w:rsidP="001D0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D8880" w14:textId="77777777" w:rsidR="005C2A12" w:rsidRDefault="005C2A1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1BBF7" w14:textId="24434349" w:rsidR="001D0E0C" w:rsidRPr="001B060D" w:rsidRDefault="001B060D" w:rsidP="001B060D">
    <w:pPr>
      <w:pStyle w:val="Intestazione"/>
      <w:jc w:val="center"/>
    </w:pPr>
    <w:r w:rsidRPr="005C2A12">
      <w:rPr>
        <w:b/>
        <w:i/>
        <w:color w:val="2E74B5" w:themeColor="accent5" w:themeShade="BF"/>
        <w:sz w:val="24"/>
        <w:szCs w:val="24"/>
      </w:rPr>
      <w:t>GRICU 2022, Ischia, (</w:t>
    </w:r>
    <w:proofErr w:type="spellStart"/>
    <w:r w:rsidRPr="005C2A12">
      <w:rPr>
        <w:b/>
        <w:i/>
        <w:color w:val="2E74B5" w:themeColor="accent5" w:themeShade="BF"/>
        <w:sz w:val="24"/>
        <w:szCs w:val="24"/>
      </w:rPr>
      <w:t>Italy</w:t>
    </w:r>
    <w:proofErr w:type="spellEnd"/>
    <w:r w:rsidRPr="005C2A12">
      <w:rPr>
        <w:b/>
        <w:i/>
        <w:color w:val="2E74B5" w:themeColor="accent5" w:themeShade="BF"/>
        <w:sz w:val="24"/>
        <w:szCs w:val="24"/>
      </w:rPr>
      <w:t xml:space="preserve">), </w:t>
    </w:r>
    <w:proofErr w:type="spellStart"/>
    <w:r w:rsidRPr="005C2A12">
      <w:rPr>
        <w:b/>
        <w:i/>
        <w:color w:val="2E74B5" w:themeColor="accent5" w:themeShade="BF"/>
        <w:sz w:val="24"/>
        <w:szCs w:val="24"/>
      </w:rPr>
      <w:t>July</w:t>
    </w:r>
    <w:proofErr w:type="spellEnd"/>
    <w:r w:rsidRPr="005C2A12">
      <w:rPr>
        <w:b/>
        <w:i/>
        <w:color w:val="2E74B5" w:themeColor="accent5" w:themeShade="BF"/>
        <w:sz w:val="24"/>
        <w:szCs w:val="24"/>
      </w:rPr>
      <w:t xml:space="preserve"> 3-6,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65D5F" w14:textId="292CCFE8" w:rsidR="001D0E0C" w:rsidRDefault="00F24290" w:rsidP="000517B4">
    <w:pPr>
      <w:pStyle w:val="Intestazione"/>
      <w:tabs>
        <w:tab w:val="left" w:pos="1188"/>
      </w:tabs>
      <w:jc w:val="center"/>
      <w:rPr>
        <w:b/>
        <w:i/>
        <w:color w:val="2E74B5" w:themeColor="accent5" w:themeShade="BF"/>
        <w:sz w:val="24"/>
        <w:szCs w:val="24"/>
      </w:rPr>
    </w:pPr>
    <w:r>
      <w:rPr>
        <w:b/>
        <w:i/>
        <w:noProof/>
        <w:color w:val="2E74B5" w:themeColor="accent5" w:themeShade="BF"/>
        <w:sz w:val="24"/>
        <w:szCs w:val="24"/>
      </w:rPr>
      <w:drawing>
        <wp:anchor distT="0" distB="0" distL="114300" distR="114300" simplePos="0" relativeHeight="251660288" behindDoc="0" locked="0" layoutInCell="1" allowOverlap="1" wp14:anchorId="5A213143" wp14:editId="773337C5">
          <wp:simplePos x="0" y="0"/>
          <wp:positionH relativeFrom="column">
            <wp:posOffset>614128</wp:posOffset>
          </wp:positionH>
          <wp:positionV relativeFrom="paragraph">
            <wp:posOffset>-170180</wp:posOffset>
          </wp:positionV>
          <wp:extent cx="1494000" cy="529200"/>
          <wp:effectExtent l="0" t="0" r="508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pped-LOGO_GRICU.jpg"/>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494000" cy="529200"/>
                  </a:xfrm>
                  <a:prstGeom prst="rect">
                    <a:avLst/>
                  </a:prstGeom>
                </pic:spPr>
              </pic:pic>
            </a:graphicData>
          </a:graphic>
          <wp14:sizeRelH relativeFrom="margin">
            <wp14:pctWidth>0</wp14:pctWidth>
          </wp14:sizeRelH>
          <wp14:sizeRelV relativeFrom="margin">
            <wp14:pctHeight>0</wp14:pctHeight>
          </wp14:sizeRelV>
        </wp:anchor>
      </w:drawing>
    </w:r>
    <w:r>
      <w:rPr>
        <w:b/>
        <w:i/>
        <w:color w:val="2E74B5" w:themeColor="accent5" w:themeShade="BF"/>
        <w:sz w:val="24"/>
        <w:szCs w:val="24"/>
      </w:rPr>
      <w:t xml:space="preserve"> </w:t>
    </w:r>
    <w:r w:rsidR="008871B1">
      <w:rPr>
        <w:b/>
        <w:i/>
        <w:color w:val="2E74B5" w:themeColor="accent5" w:themeShade="BF"/>
        <w:sz w:val="24"/>
        <w:szCs w:val="24"/>
      </w:rPr>
      <w:tab/>
    </w:r>
    <w:r w:rsidR="000517B4" w:rsidRPr="005C2A12">
      <w:rPr>
        <w:b/>
        <w:i/>
        <w:color w:val="2E74B5" w:themeColor="accent5" w:themeShade="BF"/>
        <w:sz w:val="24"/>
        <w:szCs w:val="24"/>
      </w:rPr>
      <w:t>GRICU 2022, Ischia, (</w:t>
    </w:r>
    <w:proofErr w:type="spellStart"/>
    <w:r w:rsidR="000517B4" w:rsidRPr="005C2A12">
      <w:rPr>
        <w:b/>
        <w:i/>
        <w:color w:val="2E74B5" w:themeColor="accent5" w:themeShade="BF"/>
        <w:sz w:val="24"/>
        <w:szCs w:val="24"/>
      </w:rPr>
      <w:t>Italy</w:t>
    </w:r>
    <w:proofErr w:type="spellEnd"/>
    <w:r w:rsidR="000517B4" w:rsidRPr="005C2A12">
      <w:rPr>
        <w:b/>
        <w:i/>
        <w:color w:val="2E74B5" w:themeColor="accent5" w:themeShade="BF"/>
        <w:sz w:val="24"/>
        <w:szCs w:val="24"/>
      </w:rPr>
      <w:t xml:space="preserve">), </w:t>
    </w:r>
    <w:proofErr w:type="spellStart"/>
    <w:r w:rsidR="000517B4" w:rsidRPr="005C2A12">
      <w:rPr>
        <w:b/>
        <w:i/>
        <w:color w:val="2E74B5" w:themeColor="accent5" w:themeShade="BF"/>
        <w:sz w:val="24"/>
        <w:szCs w:val="24"/>
      </w:rPr>
      <w:t>July</w:t>
    </w:r>
    <w:proofErr w:type="spellEnd"/>
    <w:r w:rsidR="000517B4" w:rsidRPr="005C2A12">
      <w:rPr>
        <w:b/>
        <w:i/>
        <w:color w:val="2E74B5" w:themeColor="accent5" w:themeShade="BF"/>
        <w:sz w:val="24"/>
        <w:szCs w:val="24"/>
      </w:rPr>
      <w:t xml:space="preserve"> 3-6, 2022</w:t>
    </w:r>
  </w:p>
  <w:p w14:paraId="14E4AC61" w14:textId="77777777" w:rsidR="008871B1" w:rsidRPr="005C2A12" w:rsidRDefault="008871B1" w:rsidP="000517B4">
    <w:pPr>
      <w:pStyle w:val="Intestazione"/>
      <w:tabs>
        <w:tab w:val="left" w:pos="1188"/>
      </w:tabs>
      <w:jc w:val="center"/>
      <w:rPr>
        <w:b/>
        <w:i/>
        <w:color w:val="2E74B5" w:themeColor="accent5" w:themeShade="BF"/>
        <w:sz w:val="24"/>
        <w:szCs w:val="24"/>
      </w:rPr>
    </w:pPr>
  </w:p>
  <w:p w14:paraId="2DF8C760" w14:textId="77777777" w:rsidR="001D0E0C" w:rsidRDefault="000517B4" w:rsidP="001D0E0C">
    <w:pPr>
      <w:pStyle w:val="Intestazione"/>
      <w:jc w:val="center"/>
    </w:pPr>
    <w:r w:rsidRPr="005C2A12">
      <w:rPr>
        <w:noProof/>
        <w:color w:val="00B0F0"/>
      </w:rPr>
      <mc:AlternateContent>
        <mc:Choice Requires="wps">
          <w:drawing>
            <wp:anchor distT="0" distB="0" distL="114300" distR="114300" simplePos="0" relativeHeight="251659264" behindDoc="0" locked="0" layoutInCell="1" allowOverlap="1" wp14:anchorId="2FAF1E66" wp14:editId="6C2DECB8">
              <wp:simplePos x="0" y="0"/>
              <wp:positionH relativeFrom="column">
                <wp:posOffset>57150</wp:posOffset>
              </wp:positionH>
              <wp:positionV relativeFrom="paragraph">
                <wp:posOffset>103505</wp:posOffset>
              </wp:positionV>
              <wp:extent cx="5631180" cy="7620"/>
              <wp:effectExtent l="0" t="0" r="26670" b="30480"/>
              <wp:wrapNone/>
              <wp:docPr id="1" name="Connettore diritto 1"/>
              <wp:cNvGraphicFramePr/>
              <a:graphic xmlns:a="http://schemas.openxmlformats.org/drawingml/2006/main">
                <a:graphicData uri="http://schemas.microsoft.com/office/word/2010/wordprocessingShape">
                  <wps:wsp>
                    <wps:cNvCnPr/>
                    <wps:spPr>
                      <a:xfrm>
                        <a:off x="0" y="0"/>
                        <a:ext cx="5631180" cy="7620"/>
                      </a:xfrm>
                      <a:prstGeom prst="line">
                        <a:avLst/>
                      </a:prstGeom>
                      <a:ln>
                        <a:solidFill>
                          <a:srgbClr val="0070C0"/>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DD1064" id="Connettore dirit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8.15pt" to="447.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" strokecolor="#0070c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77DAC"/>
    <w:multiLevelType w:val="hybridMultilevel"/>
    <w:tmpl w:val="BA9C7924"/>
    <w:lvl w:ilvl="0" w:tplc="F81E5040">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1A3"/>
    <w:rsid w:val="00017996"/>
    <w:rsid w:val="00017DC3"/>
    <w:rsid w:val="000517B4"/>
    <w:rsid w:val="00060646"/>
    <w:rsid w:val="00061AAF"/>
    <w:rsid w:val="000C19D0"/>
    <w:rsid w:val="00140C60"/>
    <w:rsid w:val="001444D0"/>
    <w:rsid w:val="00157C01"/>
    <w:rsid w:val="0018667F"/>
    <w:rsid w:val="001B060D"/>
    <w:rsid w:val="001D0E0C"/>
    <w:rsid w:val="00223B14"/>
    <w:rsid w:val="002D617B"/>
    <w:rsid w:val="003338B1"/>
    <w:rsid w:val="00337601"/>
    <w:rsid w:val="00394AE0"/>
    <w:rsid w:val="003C7135"/>
    <w:rsid w:val="003F160A"/>
    <w:rsid w:val="00402674"/>
    <w:rsid w:val="0040639E"/>
    <w:rsid w:val="004A71D6"/>
    <w:rsid w:val="004B1E92"/>
    <w:rsid w:val="004C3BD8"/>
    <w:rsid w:val="004C56B4"/>
    <w:rsid w:val="004C7F04"/>
    <w:rsid w:val="004E4C7D"/>
    <w:rsid w:val="0050723A"/>
    <w:rsid w:val="00514263"/>
    <w:rsid w:val="00557E7B"/>
    <w:rsid w:val="005625E5"/>
    <w:rsid w:val="005A55CB"/>
    <w:rsid w:val="005B71B2"/>
    <w:rsid w:val="005C2A12"/>
    <w:rsid w:val="00603C98"/>
    <w:rsid w:val="006143ED"/>
    <w:rsid w:val="006508FE"/>
    <w:rsid w:val="0066031A"/>
    <w:rsid w:val="00660668"/>
    <w:rsid w:val="00676A9D"/>
    <w:rsid w:val="006833E5"/>
    <w:rsid w:val="0068739B"/>
    <w:rsid w:val="00691EB0"/>
    <w:rsid w:val="00697CD6"/>
    <w:rsid w:val="006B5759"/>
    <w:rsid w:val="006D0016"/>
    <w:rsid w:val="006E5B71"/>
    <w:rsid w:val="007044B2"/>
    <w:rsid w:val="00711605"/>
    <w:rsid w:val="00744835"/>
    <w:rsid w:val="007751CF"/>
    <w:rsid w:val="00785853"/>
    <w:rsid w:val="007A5F4E"/>
    <w:rsid w:val="007F67AA"/>
    <w:rsid w:val="0080699B"/>
    <w:rsid w:val="008415EC"/>
    <w:rsid w:val="008469F5"/>
    <w:rsid w:val="008871B1"/>
    <w:rsid w:val="008F7377"/>
    <w:rsid w:val="009A0C1C"/>
    <w:rsid w:val="009B1630"/>
    <w:rsid w:val="009D513C"/>
    <w:rsid w:val="009E5A39"/>
    <w:rsid w:val="00A91D4C"/>
    <w:rsid w:val="00AB1801"/>
    <w:rsid w:val="00AE625F"/>
    <w:rsid w:val="00B27341"/>
    <w:rsid w:val="00B4219F"/>
    <w:rsid w:val="00BA442E"/>
    <w:rsid w:val="00BC7D3F"/>
    <w:rsid w:val="00BE1F56"/>
    <w:rsid w:val="00BF0203"/>
    <w:rsid w:val="00C40840"/>
    <w:rsid w:val="00C44A3F"/>
    <w:rsid w:val="00C517E5"/>
    <w:rsid w:val="00C52E7E"/>
    <w:rsid w:val="00CC62B0"/>
    <w:rsid w:val="00D019B2"/>
    <w:rsid w:val="00D03DB3"/>
    <w:rsid w:val="00D313B8"/>
    <w:rsid w:val="00D322F1"/>
    <w:rsid w:val="00D412A9"/>
    <w:rsid w:val="00D44011"/>
    <w:rsid w:val="00D66AFA"/>
    <w:rsid w:val="00D803D7"/>
    <w:rsid w:val="00D869D9"/>
    <w:rsid w:val="00D963C5"/>
    <w:rsid w:val="00DA51A3"/>
    <w:rsid w:val="00DC159B"/>
    <w:rsid w:val="00DD2D8C"/>
    <w:rsid w:val="00DE55B9"/>
    <w:rsid w:val="00DF06F2"/>
    <w:rsid w:val="00DF6AE3"/>
    <w:rsid w:val="00E90096"/>
    <w:rsid w:val="00EC47F3"/>
    <w:rsid w:val="00EC7B22"/>
    <w:rsid w:val="00F105D5"/>
    <w:rsid w:val="00F24290"/>
    <w:rsid w:val="00F27B43"/>
    <w:rsid w:val="00F803E7"/>
    <w:rsid w:val="00FB5F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A12EF"/>
  <w15:chartTrackingRefBased/>
  <w15:docId w15:val="{703246FC-8267-4F37-8037-AA1D01B4B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51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irstParagraph">
    <w:name w:val="First Paragraph"/>
    <w:basedOn w:val="Normale"/>
    <w:rsid w:val="00DA51A3"/>
    <w:pPr>
      <w:spacing w:after="0" w:line="240" w:lineRule="atLeast"/>
      <w:jc w:val="both"/>
    </w:pPr>
    <w:rPr>
      <w:rFonts w:ascii="Times" w:eastAsia="Times New Roman" w:hAnsi="Times" w:cs="Times New Roman"/>
      <w:sz w:val="20"/>
      <w:szCs w:val="20"/>
      <w:lang w:val="en-US"/>
    </w:rPr>
  </w:style>
  <w:style w:type="paragraph" w:styleId="Intestazione">
    <w:name w:val="header"/>
    <w:basedOn w:val="Normale"/>
    <w:link w:val="IntestazioneCarattere"/>
    <w:uiPriority w:val="99"/>
    <w:unhideWhenUsed/>
    <w:rsid w:val="001D0E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D0E0C"/>
  </w:style>
  <w:style w:type="paragraph" w:styleId="Pidipagina">
    <w:name w:val="footer"/>
    <w:basedOn w:val="Normale"/>
    <w:link w:val="PidipaginaCarattere"/>
    <w:uiPriority w:val="99"/>
    <w:unhideWhenUsed/>
    <w:rsid w:val="001D0E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D0E0C"/>
  </w:style>
  <w:style w:type="paragraph" w:styleId="Testofumetto">
    <w:name w:val="Balloon Text"/>
    <w:basedOn w:val="Normale"/>
    <w:link w:val="TestofumettoCarattere"/>
    <w:uiPriority w:val="99"/>
    <w:semiHidden/>
    <w:unhideWhenUsed/>
    <w:rsid w:val="003F160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160A"/>
    <w:rPr>
      <w:rFonts w:ascii="Segoe UI" w:hAnsi="Segoe UI" w:cs="Segoe UI"/>
      <w:sz w:val="18"/>
      <w:szCs w:val="18"/>
    </w:rPr>
  </w:style>
  <w:style w:type="character" w:styleId="Rimandocommento">
    <w:name w:val="annotation reference"/>
    <w:basedOn w:val="Carpredefinitoparagrafo"/>
    <w:uiPriority w:val="99"/>
    <w:semiHidden/>
    <w:unhideWhenUsed/>
    <w:rsid w:val="00CC62B0"/>
    <w:rPr>
      <w:sz w:val="16"/>
      <w:szCs w:val="16"/>
    </w:rPr>
  </w:style>
  <w:style w:type="paragraph" w:styleId="Testocommento">
    <w:name w:val="annotation text"/>
    <w:basedOn w:val="Normale"/>
    <w:link w:val="TestocommentoCarattere"/>
    <w:uiPriority w:val="99"/>
    <w:unhideWhenUsed/>
    <w:rsid w:val="00CC62B0"/>
    <w:pPr>
      <w:spacing w:line="240" w:lineRule="auto"/>
    </w:pPr>
    <w:rPr>
      <w:sz w:val="20"/>
      <w:szCs w:val="20"/>
    </w:rPr>
  </w:style>
  <w:style w:type="character" w:customStyle="1" w:styleId="TestocommentoCarattere">
    <w:name w:val="Testo commento Carattere"/>
    <w:basedOn w:val="Carpredefinitoparagrafo"/>
    <w:link w:val="Testocommento"/>
    <w:uiPriority w:val="99"/>
    <w:rsid w:val="00CC62B0"/>
    <w:rPr>
      <w:sz w:val="20"/>
      <w:szCs w:val="20"/>
    </w:rPr>
  </w:style>
  <w:style w:type="paragraph" w:styleId="Soggettocommento">
    <w:name w:val="annotation subject"/>
    <w:basedOn w:val="Testocommento"/>
    <w:next w:val="Testocommento"/>
    <w:link w:val="SoggettocommentoCarattere"/>
    <w:uiPriority w:val="99"/>
    <w:semiHidden/>
    <w:unhideWhenUsed/>
    <w:rsid w:val="00CC62B0"/>
    <w:rPr>
      <w:b/>
      <w:bCs/>
    </w:rPr>
  </w:style>
  <w:style w:type="character" w:customStyle="1" w:styleId="SoggettocommentoCarattere">
    <w:name w:val="Soggetto commento Carattere"/>
    <w:basedOn w:val="TestocommentoCarattere"/>
    <w:link w:val="Soggettocommento"/>
    <w:uiPriority w:val="99"/>
    <w:semiHidden/>
    <w:rsid w:val="00CC62B0"/>
    <w:rPr>
      <w:b/>
      <w:bCs/>
      <w:sz w:val="20"/>
      <w:szCs w:val="20"/>
    </w:rPr>
  </w:style>
  <w:style w:type="table" w:styleId="Grigliatabella">
    <w:name w:val="Table Grid"/>
    <w:basedOn w:val="Tabellanormale"/>
    <w:uiPriority w:val="39"/>
    <w:rsid w:val="00F803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F803E7"/>
    <w:pPr>
      <w:spacing w:after="200" w:line="240" w:lineRule="auto"/>
    </w:pPr>
    <w:rPr>
      <w:i/>
      <w:iCs/>
      <w:color w:val="44546A" w:themeColor="text2"/>
      <w:sz w:val="18"/>
      <w:szCs w:val="18"/>
    </w:rPr>
  </w:style>
  <w:style w:type="character" w:styleId="Collegamentoipertestuale">
    <w:name w:val="Hyperlink"/>
    <w:basedOn w:val="Carpredefinitoparagrafo"/>
    <w:uiPriority w:val="99"/>
    <w:unhideWhenUsed/>
    <w:rsid w:val="00FB5F69"/>
    <w:rPr>
      <w:color w:val="0563C1" w:themeColor="hyperlink"/>
      <w:u w:val="single"/>
    </w:rPr>
  </w:style>
  <w:style w:type="character" w:styleId="Menzionenonrisolta">
    <w:name w:val="Unresolved Mention"/>
    <w:basedOn w:val="Carpredefinitoparagrafo"/>
    <w:uiPriority w:val="99"/>
    <w:semiHidden/>
    <w:unhideWhenUsed/>
    <w:rsid w:val="00FB5F69"/>
    <w:rPr>
      <w:color w:val="605E5C"/>
      <w:shd w:val="clear" w:color="auto" w:fill="E1DFDD"/>
    </w:rPr>
  </w:style>
  <w:style w:type="paragraph" w:styleId="Paragrafoelenco">
    <w:name w:val="List Paragraph"/>
    <w:basedOn w:val="Normale"/>
    <w:uiPriority w:val="34"/>
    <w:qFormat/>
    <w:rsid w:val="00FB5F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74932">
      <w:bodyDiv w:val="1"/>
      <w:marLeft w:val="0"/>
      <w:marRight w:val="0"/>
      <w:marTop w:val="0"/>
      <w:marBottom w:val="0"/>
      <w:divBdr>
        <w:top w:val="none" w:sz="0" w:space="0" w:color="auto"/>
        <w:left w:val="none" w:sz="0" w:space="0" w:color="auto"/>
        <w:bottom w:val="none" w:sz="0" w:space="0" w:color="auto"/>
        <w:right w:val="none" w:sz="0" w:space="0" w:color="auto"/>
      </w:divBdr>
    </w:div>
    <w:div w:id="357320551">
      <w:bodyDiv w:val="1"/>
      <w:marLeft w:val="0"/>
      <w:marRight w:val="0"/>
      <w:marTop w:val="0"/>
      <w:marBottom w:val="0"/>
      <w:divBdr>
        <w:top w:val="none" w:sz="0" w:space="0" w:color="auto"/>
        <w:left w:val="none" w:sz="0" w:space="0" w:color="auto"/>
        <w:bottom w:val="none" w:sz="0" w:space="0" w:color="auto"/>
        <w:right w:val="none" w:sz="0" w:space="0" w:color="auto"/>
      </w:divBdr>
    </w:div>
    <w:div w:id="481317265">
      <w:bodyDiv w:val="1"/>
      <w:marLeft w:val="0"/>
      <w:marRight w:val="0"/>
      <w:marTop w:val="0"/>
      <w:marBottom w:val="0"/>
      <w:divBdr>
        <w:top w:val="none" w:sz="0" w:space="0" w:color="auto"/>
        <w:left w:val="none" w:sz="0" w:space="0" w:color="auto"/>
        <w:bottom w:val="none" w:sz="0" w:space="0" w:color="auto"/>
        <w:right w:val="none" w:sz="0" w:space="0" w:color="auto"/>
      </w:divBdr>
    </w:div>
    <w:div w:id="512187773">
      <w:bodyDiv w:val="1"/>
      <w:marLeft w:val="0"/>
      <w:marRight w:val="0"/>
      <w:marTop w:val="0"/>
      <w:marBottom w:val="0"/>
      <w:divBdr>
        <w:top w:val="none" w:sz="0" w:space="0" w:color="auto"/>
        <w:left w:val="none" w:sz="0" w:space="0" w:color="auto"/>
        <w:bottom w:val="none" w:sz="0" w:space="0" w:color="auto"/>
        <w:right w:val="none" w:sz="0" w:space="0" w:color="auto"/>
      </w:divBdr>
    </w:div>
    <w:div w:id="520777972">
      <w:bodyDiv w:val="1"/>
      <w:marLeft w:val="0"/>
      <w:marRight w:val="0"/>
      <w:marTop w:val="0"/>
      <w:marBottom w:val="0"/>
      <w:divBdr>
        <w:top w:val="none" w:sz="0" w:space="0" w:color="auto"/>
        <w:left w:val="none" w:sz="0" w:space="0" w:color="auto"/>
        <w:bottom w:val="none" w:sz="0" w:space="0" w:color="auto"/>
        <w:right w:val="none" w:sz="0" w:space="0" w:color="auto"/>
      </w:divBdr>
    </w:div>
    <w:div w:id="202107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rina.copelli@uninsubria.it" TargetMode="Externa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5A6887CB-3BAF-4235-9E09-55BD317B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4</Pages>
  <Words>1661</Words>
  <Characters>9474</Characters>
  <Application>Microsoft Office Word</Application>
  <DocSecurity>0</DocSecurity>
  <Lines>78</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Sauro Pierucci</dc:creator>
  <cp:keywords/>
  <dc:description/>
  <cp:lastModifiedBy>sabri</cp:lastModifiedBy>
  <cp:revision>39</cp:revision>
  <cp:lastPrinted>2022-01-31T11:56:00Z</cp:lastPrinted>
  <dcterms:created xsi:type="dcterms:W3CDTF">2022-02-01T10:57:00Z</dcterms:created>
  <dcterms:modified xsi:type="dcterms:W3CDTF">2022-03-22T13:33:00Z</dcterms:modified>
</cp:coreProperties>
</file>