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CE7BE" w14:textId="6BB0D899" w:rsidR="00DA51A3" w:rsidRPr="00466FFD" w:rsidRDefault="007F75F7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The colors of hydrogen: a process simulation-based comparison of different production processes</w:t>
      </w:r>
      <w:r w:rsidR="00DA51A3" w:rsidRPr="00466FFD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</w:p>
    <w:p w14:paraId="5DC330F9" w14:textId="77777777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243AAF34" w14:textId="3509895A" w:rsidR="00DA51A3" w:rsidRPr="003F372E" w:rsidRDefault="003F372E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3F372E">
        <w:rPr>
          <w:rFonts w:ascii="Times New Roman" w:eastAsia="SimSun" w:hAnsi="Times New Roman"/>
          <w:sz w:val="24"/>
          <w:szCs w:val="24"/>
          <w:u w:val="single"/>
          <w:lang w:eastAsia="zh-CN"/>
        </w:rPr>
        <w:t>Elena Barbera</w:t>
      </w:r>
      <w:r w:rsidRPr="003F372E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1</w:t>
      </w:r>
      <w:r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*</w:t>
      </w:r>
      <w:r w:rsidR="00DA51A3" w:rsidRPr="003F372E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3F372E">
        <w:rPr>
          <w:rFonts w:ascii="Times New Roman" w:eastAsia="SimSun" w:hAnsi="Times New Roman"/>
          <w:sz w:val="24"/>
          <w:szCs w:val="24"/>
          <w:lang w:eastAsia="zh-CN"/>
        </w:rPr>
        <w:t>Andrea Mio</w:t>
      </w:r>
      <w:r w:rsidRPr="003F372E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="00DA51A3" w:rsidRPr="003F372E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>
        <w:rPr>
          <w:rFonts w:ascii="Times New Roman" w:eastAsia="SimSun" w:hAnsi="Times New Roman"/>
          <w:sz w:val="24"/>
          <w:szCs w:val="24"/>
          <w:lang w:eastAsia="zh-CN"/>
        </w:rPr>
        <w:t>Marco Disnan</w:t>
      </w:r>
      <w:r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SimSun" w:hAnsi="Times New Roman"/>
          <w:sz w:val="24"/>
          <w:szCs w:val="24"/>
          <w:lang w:eastAsia="zh-CN"/>
        </w:rPr>
        <w:t>, Alessandro Massi Pavan</w:t>
      </w:r>
      <w:r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SimSun" w:hAnsi="Times New Roman"/>
          <w:sz w:val="24"/>
          <w:szCs w:val="24"/>
          <w:lang w:eastAsia="zh-CN"/>
        </w:rPr>
        <w:t>, Alberto Bertucco</w:t>
      </w:r>
      <w:r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>
        <w:rPr>
          <w:rFonts w:ascii="Times New Roman" w:eastAsia="SimSun" w:hAnsi="Times New Roman"/>
          <w:sz w:val="24"/>
          <w:szCs w:val="24"/>
          <w:lang w:eastAsia="zh-CN"/>
        </w:rPr>
        <w:t>, Maurizio Fermeglia</w:t>
      </w:r>
      <w:r w:rsidR="00DA51A3" w:rsidRPr="003F372E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</w:p>
    <w:p w14:paraId="568D1CE7" w14:textId="0959A83A" w:rsidR="003F372E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1 </w:t>
      </w:r>
      <w:r w:rsidR="003F372E">
        <w:rPr>
          <w:rFonts w:ascii="Times New Roman" w:eastAsia="MS PGothic" w:hAnsi="Times New Roman"/>
          <w:i/>
          <w:iCs/>
          <w:sz w:val="20"/>
          <w:lang w:val="en-US"/>
        </w:rPr>
        <w:t xml:space="preserve">Department of Industrial Engineering, University of </w:t>
      </w:r>
      <w:proofErr w:type="spellStart"/>
      <w:r w:rsidR="003F372E">
        <w:rPr>
          <w:rFonts w:ascii="Times New Roman" w:eastAsia="MS PGothic" w:hAnsi="Times New Roman"/>
          <w:i/>
          <w:iCs/>
          <w:sz w:val="20"/>
          <w:lang w:val="en-US"/>
        </w:rPr>
        <w:t>Padova</w:t>
      </w:r>
      <w:proofErr w:type="spellEnd"/>
      <w:r w:rsidR="003F372E">
        <w:rPr>
          <w:rFonts w:ascii="Times New Roman" w:eastAsia="MS PGothic" w:hAnsi="Times New Roman"/>
          <w:i/>
          <w:iCs/>
          <w:sz w:val="20"/>
          <w:lang w:val="en-US"/>
        </w:rPr>
        <w:t xml:space="preserve">, Via </w:t>
      </w:r>
      <w:proofErr w:type="spellStart"/>
      <w:r w:rsidR="003F372E">
        <w:rPr>
          <w:rFonts w:ascii="Times New Roman" w:eastAsia="MS PGothic" w:hAnsi="Times New Roman"/>
          <w:i/>
          <w:iCs/>
          <w:sz w:val="20"/>
          <w:lang w:val="en-US"/>
        </w:rPr>
        <w:t>Marzolo</w:t>
      </w:r>
      <w:proofErr w:type="spellEnd"/>
      <w:r w:rsidR="003F372E">
        <w:rPr>
          <w:rFonts w:ascii="Times New Roman" w:eastAsia="MS PGothic" w:hAnsi="Times New Roman"/>
          <w:i/>
          <w:iCs/>
          <w:sz w:val="20"/>
          <w:lang w:val="en-US"/>
        </w:rPr>
        <w:t xml:space="preserve"> 9, 35131 </w:t>
      </w:r>
      <w:proofErr w:type="spellStart"/>
      <w:r w:rsidR="003F372E">
        <w:rPr>
          <w:rFonts w:ascii="Times New Roman" w:eastAsia="MS PGothic" w:hAnsi="Times New Roman"/>
          <w:i/>
          <w:iCs/>
          <w:sz w:val="20"/>
          <w:lang w:val="en-US"/>
        </w:rPr>
        <w:t>Padova</w:t>
      </w:r>
      <w:proofErr w:type="spellEnd"/>
      <w:r w:rsidR="003F372E">
        <w:rPr>
          <w:rFonts w:ascii="Times New Roman" w:eastAsia="MS PGothic" w:hAnsi="Times New Roman"/>
          <w:i/>
          <w:iCs/>
          <w:sz w:val="20"/>
          <w:lang w:val="en-US"/>
        </w:rPr>
        <w:t>, Italy</w:t>
      </w:r>
      <w:r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; </w:t>
      </w:r>
    </w:p>
    <w:p w14:paraId="7A602332" w14:textId="7C8559E3" w:rsidR="00DA51A3" w:rsidRPr="003F372E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2 </w:t>
      </w:r>
      <w:r w:rsidR="003F372E" w:rsidRPr="003F372E">
        <w:rPr>
          <w:rFonts w:ascii="Times New Roman" w:eastAsia="MS PGothic" w:hAnsi="Times New Roman"/>
          <w:i/>
          <w:iCs/>
          <w:sz w:val="20"/>
          <w:lang w:val="en-US"/>
        </w:rPr>
        <w:t xml:space="preserve">Department of Engineering and Architecture, University of Trieste, </w:t>
      </w:r>
      <w:r w:rsidR="003F372E">
        <w:rPr>
          <w:rFonts w:ascii="Times New Roman" w:eastAsia="MS PGothic" w:hAnsi="Times New Roman"/>
          <w:i/>
          <w:iCs/>
          <w:sz w:val="20"/>
          <w:lang w:val="en-US"/>
        </w:rPr>
        <w:t xml:space="preserve">Via Valerio 10, </w:t>
      </w:r>
      <w:r w:rsidR="003F372E" w:rsidRPr="003F372E">
        <w:rPr>
          <w:rFonts w:ascii="Times New Roman" w:eastAsia="MS PGothic" w:hAnsi="Times New Roman"/>
          <w:i/>
          <w:iCs/>
          <w:sz w:val="20"/>
          <w:lang w:val="en-US"/>
        </w:rPr>
        <w:t>34127</w:t>
      </w:r>
      <w:r w:rsidR="003F372E">
        <w:rPr>
          <w:rFonts w:ascii="Times New Roman" w:eastAsia="MS PGothic" w:hAnsi="Times New Roman"/>
          <w:i/>
          <w:iCs/>
          <w:sz w:val="20"/>
          <w:lang w:val="en-US"/>
        </w:rPr>
        <w:t xml:space="preserve"> Trieste,</w:t>
      </w:r>
      <w:r w:rsidR="003F372E" w:rsidRPr="003F372E">
        <w:rPr>
          <w:rFonts w:ascii="Times New Roman" w:eastAsia="MS PGothic" w:hAnsi="Times New Roman"/>
          <w:i/>
          <w:iCs/>
          <w:sz w:val="20"/>
          <w:lang w:val="en-US"/>
        </w:rPr>
        <w:t xml:space="preserve"> Italy</w:t>
      </w:r>
      <w:r w:rsidR="003F372E">
        <w:rPr>
          <w:rFonts w:ascii="Times New Roman" w:eastAsia="MS PGothic" w:hAnsi="Times New Roman"/>
          <w:i/>
          <w:iCs/>
          <w:sz w:val="20"/>
          <w:lang w:val="en-US"/>
        </w:rPr>
        <w:t>.</w:t>
      </w:r>
    </w:p>
    <w:p w14:paraId="5533360A" w14:textId="5DDA4DDC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 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</w:t>
      </w:r>
      <w:r w:rsidR="003F372E">
        <w:rPr>
          <w:rFonts w:ascii="Times New Roman" w:eastAsia="MS PGothic" w:hAnsi="Times New Roman"/>
          <w:bCs/>
          <w:i/>
          <w:iCs/>
          <w:sz w:val="20"/>
          <w:lang w:val="en-US"/>
        </w:rPr>
        <w:t>elena.barbera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@</w:t>
      </w:r>
      <w:r w:rsidR="003F372E">
        <w:rPr>
          <w:rFonts w:ascii="Times New Roman" w:eastAsia="MS PGothic" w:hAnsi="Times New Roman"/>
          <w:bCs/>
          <w:i/>
          <w:iCs/>
          <w:sz w:val="20"/>
          <w:lang w:val="en-US"/>
        </w:rPr>
        <w:t>unipd.it</w:t>
      </w:r>
    </w:p>
    <w:p w14:paraId="28AD07A8" w14:textId="77777777" w:rsidR="00DA51A3" w:rsidRPr="00466FFD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77777777" w:rsidR="00DA51A3" w:rsidRPr="00466FFD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proofErr w:type="gramStart"/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  <w:proofErr w:type="gramEnd"/>
    </w:p>
    <w:p w14:paraId="26FDFD1A" w14:textId="681C751F" w:rsidR="0083496F" w:rsidRPr="0083496F" w:rsidRDefault="0083496F" w:rsidP="00FC2F65">
      <w:pPr>
        <w:snapToGrid w:val="0"/>
        <w:spacing w:before="24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Over the last decades</w:t>
      </w:r>
      <w:r w:rsidRPr="0083496F">
        <w:rPr>
          <w:rFonts w:ascii="Times New Roman" w:eastAsia="MS PGothic" w:hAnsi="Times New Roman"/>
          <w:lang w:val="en-US"/>
        </w:rPr>
        <w:t xml:space="preserve"> there has been an accelerated growth in human energy consumption</w:t>
      </w:r>
      <w:r>
        <w:rPr>
          <w:rFonts w:ascii="Times New Roman" w:eastAsia="MS PGothic" w:hAnsi="Times New Roman"/>
          <w:lang w:val="en-US"/>
        </w:rPr>
        <w:t>. T</w:t>
      </w:r>
      <w:r w:rsidRPr="0083496F">
        <w:rPr>
          <w:rFonts w:ascii="Times New Roman" w:eastAsia="MS PGothic" w:hAnsi="Times New Roman"/>
          <w:lang w:val="en-US"/>
        </w:rPr>
        <w:t>he global average</w:t>
      </w:r>
      <w:r>
        <w:rPr>
          <w:rFonts w:ascii="Times New Roman" w:eastAsia="MS PGothic" w:hAnsi="Times New Roman"/>
          <w:lang w:val="en-US"/>
        </w:rPr>
        <w:t xml:space="preserve"> primary energy use</w:t>
      </w:r>
      <w:r w:rsidR="002F5C61">
        <w:rPr>
          <w:rFonts w:ascii="Times New Roman" w:eastAsia="MS PGothic" w:hAnsi="Times New Roman"/>
          <w:lang w:val="en-US"/>
        </w:rPr>
        <w:t xml:space="preserve"> has significantly increased, by about 42%, </w:t>
      </w:r>
      <w:r>
        <w:rPr>
          <w:rFonts w:ascii="Times New Roman" w:eastAsia="MS PGothic" w:hAnsi="Times New Roman"/>
          <w:lang w:val="en-US"/>
        </w:rPr>
        <w:t xml:space="preserve">from 2000 to 2019, </w:t>
      </w:r>
      <w:r w:rsidRPr="0083496F">
        <w:rPr>
          <w:rFonts w:ascii="Times New Roman" w:eastAsia="MS PGothic" w:hAnsi="Times New Roman"/>
          <w:lang w:val="en-US"/>
        </w:rPr>
        <w:t xml:space="preserve">passing from 122073 to 173340 </w:t>
      </w:r>
      <w:proofErr w:type="spellStart"/>
      <w:r w:rsidRPr="0083496F">
        <w:rPr>
          <w:rFonts w:ascii="Times New Roman" w:eastAsia="MS PGothic" w:hAnsi="Times New Roman"/>
          <w:lang w:val="en-US"/>
        </w:rPr>
        <w:t>TWh</w:t>
      </w:r>
      <w:proofErr w:type="spellEnd"/>
      <w:r w:rsidRPr="0083496F">
        <w:rPr>
          <w:rFonts w:ascii="Times New Roman" w:eastAsia="MS PGothic" w:hAnsi="Times New Roman"/>
          <w:lang w:val="en-US"/>
        </w:rPr>
        <w:t xml:space="preserve">. </w:t>
      </w:r>
      <w:r w:rsidR="00606DA9">
        <w:rPr>
          <w:rFonts w:ascii="Times New Roman" w:eastAsia="MS PGothic" w:hAnsi="Times New Roman"/>
          <w:lang w:val="en-US"/>
        </w:rPr>
        <w:t>This, together with the need of a strong reduction in</w:t>
      </w:r>
      <w:r w:rsidRPr="0083496F">
        <w:rPr>
          <w:rFonts w:ascii="Times New Roman" w:eastAsia="MS PGothic" w:hAnsi="Times New Roman"/>
          <w:lang w:val="en-US"/>
        </w:rPr>
        <w:t xml:space="preserve"> fossil fuels</w:t>
      </w:r>
      <w:r w:rsidR="00606DA9">
        <w:rPr>
          <w:rFonts w:ascii="Times New Roman" w:eastAsia="MS PGothic" w:hAnsi="Times New Roman"/>
          <w:lang w:val="en-US"/>
        </w:rPr>
        <w:t xml:space="preserve"> consumption</w:t>
      </w:r>
      <w:r w:rsidRPr="0083496F">
        <w:rPr>
          <w:rFonts w:ascii="Times New Roman" w:eastAsia="MS PGothic" w:hAnsi="Times New Roman"/>
          <w:lang w:val="en-US"/>
        </w:rPr>
        <w:t xml:space="preserve"> in order to reach the objectives of greenhouse gases emission</w:t>
      </w:r>
      <w:r w:rsidR="001C6784">
        <w:rPr>
          <w:rFonts w:ascii="Times New Roman" w:eastAsia="MS PGothic" w:hAnsi="Times New Roman"/>
          <w:lang w:val="en-US"/>
        </w:rPr>
        <w:t>s</w:t>
      </w:r>
      <w:r w:rsidRPr="0083496F">
        <w:rPr>
          <w:rFonts w:ascii="Times New Roman" w:eastAsia="MS PGothic" w:hAnsi="Times New Roman"/>
          <w:lang w:val="en-US"/>
        </w:rPr>
        <w:t xml:space="preserve"> for 2030</w:t>
      </w:r>
      <w:r w:rsidR="002F5C61">
        <w:rPr>
          <w:rFonts w:ascii="Times New Roman" w:eastAsia="MS PGothic" w:hAnsi="Times New Roman"/>
          <w:lang w:val="en-US"/>
        </w:rPr>
        <w:t>,</w:t>
      </w:r>
      <w:r w:rsidR="00606DA9">
        <w:rPr>
          <w:rFonts w:ascii="Times New Roman" w:eastAsia="MS PGothic" w:hAnsi="Times New Roman"/>
          <w:lang w:val="en-US"/>
        </w:rPr>
        <w:t xml:space="preserve"> as indicated by r</w:t>
      </w:r>
      <w:r w:rsidR="00606DA9" w:rsidRPr="0083496F">
        <w:rPr>
          <w:rFonts w:ascii="Times New Roman" w:eastAsia="MS PGothic" w:hAnsi="Times New Roman"/>
          <w:lang w:val="en-US"/>
        </w:rPr>
        <w:t>ecent reports o</w:t>
      </w:r>
      <w:r w:rsidR="00606DA9">
        <w:rPr>
          <w:rFonts w:ascii="Times New Roman" w:eastAsia="MS PGothic" w:hAnsi="Times New Roman"/>
          <w:lang w:val="en-US"/>
        </w:rPr>
        <w:t>f IPCC [1] and EIA [2], has put an increasing pressure on the energy sector</w:t>
      </w:r>
      <w:r w:rsidRPr="0083496F">
        <w:rPr>
          <w:rFonts w:ascii="Times New Roman" w:eastAsia="MS PGothic" w:hAnsi="Times New Roman"/>
          <w:lang w:val="en-US"/>
        </w:rPr>
        <w:t>. Since energy produ</w:t>
      </w:r>
      <w:r w:rsidR="008D71B1">
        <w:rPr>
          <w:rFonts w:ascii="Times New Roman" w:eastAsia="MS PGothic" w:hAnsi="Times New Roman"/>
          <w:lang w:val="en-US"/>
        </w:rPr>
        <w:t>ction fro</w:t>
      </w:r>
      <w:r w:rsidR="00D85E7C">
        <w:rPr>
          <w:rFonts w:ascii="Times New Roman" w:eastAsia="MS PGothic" w:hAnsi="Times New Roman"/>
          <w:lang w:val="en-US"/>
        </w:rPr>
        <w:t>m renewable sources is</w:t>
      </w:r>
      <w:r w:rsidRPr="0083496F">
        <w:rPr>
          <w:rFonts w:ascii="Times New Roman" w:eastAsia="MS PGothic" w:hAnsi="Times New Roman"/>
          <w:lang w:val="en-US"/>
        </w:rPr>
        <w:t xml:space="preserve"> not </w:t>
      </w:r>
      <w:proofErr w:type="spellStart"/>
      <w:r w:rsidRPr="0083496F">
        <w:rPr>
          <w:rFonts w:ascii="Times New Roman" w:eastAsia="MS PGothic" w:hAnsi="Times New Roman"/>
          <w:lang w:val="en-US"/>
        </w:rPr>
        <w:t>dispatchable</w:t>
      </w:r>
      <w:proofErr w:type="spellEnd"/>
      <w:r w:rsidRPr="0083496F">
        <w:rPr>
          <w:rFonts w:ascii="Times New Roman" w:eastAsia="MS PGothic" w:hAnsi="Times New Roman"/>
          <w:lang w:val="en-US"/>
        </w:rPr>
        <w:t xml:space="preserve"> due to their fluctuating nature, great attention is given to energy storage and energy carrier systems. Hydrogen is one of the most suitable energy carriers for several applications, </w:t>
      </w:r>
      <w:r w:rsidR="002F5C61">
        <w:rPr>
          <w:rFonts w:ascii="Times New Roman" w:eastAsia="MS PGothic" w:hAnsi="Times New Roman"/>
          <w:lang w:val="en-US"/>
        </w:rPr>
        <w:t>such as</w:t>
      </w:r>
      <w:r w:rsidRPr="0083496F">
        <w:rPr>
          <w:rFonts w:ascii="Times New Roman" w:eastAsia="MS PGothic" w:hAnsi="Times New Roman"/>
          <w:lang w:val="en-US"/>
        </w:rPr>
        <w:t xml:space="preserve"> heavy transportation and logistic</w:t>
      </w:r>
      <w:r w:rsidR="00BF3A9F">
        <w:rPr>
          <w:rFonts w:ascii="Times New Roman" w:eastAsia="MS PGothic" w:hAnsi="Times New Roman"/>
          <w:lang w:val="en-US"/>
        </w:rPr>
        <w:t>s</w:t>
      </w:r>
      <w:r w:rsidRPr="0083496F">
        <w:rPr>
          <w:rFonts w:ascii="Times New Roman" w:eastAsia="MS PGothic" w:hAnsi="Times New Roman"/>
          <w:lang w:val="en-US"/>
        </w:rPr>
        <w:t>.</w:t>
      </w:r>
      <w:r w:rsidR="00CA4893">
        <w:rPr>
          <w:rFonts w:ascii="Times New Roman" w:eastAsia="MS PGothic" w:hAnsi="Times New Roman"/>
          <w:lang w:val="en-US"/>
        </w:rPr>
        <w:t xml:space="preserve"> It can be produced from different feedstock and according to different processes, each one identified by a color.</w:t>
      </w:r>
      <w:r w:rsidRPr="0083496F">
        <w:rPr>
          <w:rFonts w:ascii="Times New Roman" w:eastAsia="MS PGothic" w:hAnsi="Times New Roman"/>
          <w:lang w:val="en-US"/>
        </w:rPr>
        <w:t xml:space="preserve"> </w:t>
      </w:r>
    </w:p>
    <w:p w14:paraId="759ECD8C" w14:textId="1D901A4C" w:rsidR="0062493B" w:rsidRDefault="00F1548C" w:rsidP="00FC2F65">
      <w:pPr>
        <w:snapToGrid w:val="0"/>
        <w:spacing w:before="24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Decisions o</w:t>
      </w:r>
      <w:r w:rsidR="0083496F" w:rsidRPr="0083496F">
        <w:rPr>
          <w:rFonts w:ascii="Times New Roman" w:eastAsia="MS PGothic" w:hAnsi="Times New Roman"/>
          <w:lang w:val="en-US"/>
        </w:rPr>
        <w:t xml:space="preserve">n the </w:t>
      </w:r>
      <w:r>
        <w:rPr>
          <w:rFonts w:ascii="Times New Roman" w:eastAsia="MS PGothic" w:hAnsi="Times New Roman"/>
          <w:lang w:val="en-US"/>
        </w:rPr>
        <w:t xml:space="preserve">best strategies to pursue in </w:t>
      </w:r>
      <w:r w:rsidR="00CA4893">
        <w:rPr>
          <w:rFonts w:ascii="Times New Roman" w:eastAsia="MS PGothic" w:hAnsi="Times New Roman"/>
          <w:lang w:val="en-US"/>
        </w:rPr>
        <w:t>this regard</w:t>
      </w:r>
      <w:r w:rsidR="0083496F" w:rsidRPr="0083496F">
        <w:rPr>
          <w:rFonts w:ascii="Times New Roman" w:eastAsia="MS PGothic" w:hAnsi="Times New Roman"/>
          <w:lang w:val="en-US"/>
        </w:rPr>
        <w:t xml:space="preserve"> should be base</w:t>
      </w:r>
      <w:r>
        <w:rPr>
          <w:rFonts w:ascii="Times New Roman" w:eastAsia="MS PGothic" w:hAnsi="Times New Roman"/>
          <w:lang w:val="en-US"/>
        </w:rPr>
        <w:t>d on indicators able to summarize different aspects</w:t>
      </w:r>
      <w:r w:rsidR="00335EB4">
        <w:rPr>
          <w:rFonts w:ascii="Times New Roman" w:eastAsia="MS PGothic" w:hAnsi="Times New Roman"/>
          <w:lang w:val="en-US"/>
        </w:rPr>
        <w:t xml:space="preserve"> of the different routes</w:t>
      </w:r>
      <w:r w:rsidR="002F5C61">
        <w:rPr>
          <w:rFonts w:ascii="Times New Roman" w:eastAsia="MS PGothic" w:hAnsi="Times New Roman"/>
          <w:lang w:val="en-US"/>
        </w:rPr>
        <w:t xml:space="preserve">, such as energetic efficiency, economic </w:t>
      </w:r>
      <w:r w:rsidR="00E86E82">
        <w:rPr>
          <w:rFonts w:ascii="Times New Roman" w:eastAsia="MS PGothic" w:hAnsi="Times New Roman"/>
          <w:lang w:val="en-US"/>
        </w:rPr>
        <w:t>considerations</w:t>
      </w:r>
      <w:r w:rsidR="002F5C61">
        <w:rPr>
          <w:rFonts w:ascii="Times New Roman" w:eastAsia="MS PGothic" w:hAnsi="Times New Roman"/>
          <w:lang w:val="en-US"/>
        </w:rPr>
        <w:t xml:space="preserve">, but also environmental impacts. </w:t>
      </w:r>
      <w:r w:rsidR="00E86E82">
        <w:rPr>
          <w:rFonts w:ascii="Times New Roman" w:eastAsia="MS PGothic" w:hAnsi="Times New Roman"/>
          <w:lang w:val="en-US"/>
        </w:rPr>
        <w:t xml:space="preserve">These aspects can be quantified according to suitable indicators, namely the Energy Return on Energy Investment (EROEI), </w:t>
      </w:r>
      <w:r w:rsidR="008D71B1">
        <w:rPr>
          <w:rFonts w:ascii="Times New Roman" w:eastAsia="MS PGothic" w:hAnsi="Times New Roman"/>
          <w:lang w:val="en-US"/>
        </w:rPr>
        <w:t xml:space="preserve">the </w:t>
      </w:r>
      <w:proofErr w:type="spellStart"/>
      <w:r w:rsidR="008D71B1">
        <w:rPr>
          <w:rFonts w:ascii="Times New Roman" w:eastAsia="MS PGothic" w:hAnsi="Times New Roman"/>
          <w:lang w:val="en-US"/>
        </w:rPr>
        <w:t>Levelized</w:t>
      </w:r>
      <w:proofErr w:type="spellEnd"/>
      <w:r w:rsidR="008D71B1">
        <w:rPr>
          <w:rFonts w:ascii="Times New Roman" w:eastAsia="MS PGothic" w:hAnsi="Times New Roman"/>
          <w:lang w:val="en-US"/>
        </w:rPr>
        <w:t xml:space="preserve"> Cost of Hydrogen (</w:t>
      </w:r>
      <w:r w:rsidR="00E86E82">
        <w:rPr>
          <w:rFonts w:ascii="Times New Roman" w:eastAsia="MS PGothic" w:hAnsi="Times New Roman"/>
          <w:lang w:val="en-US"/>
        </w:rPr>
        <w:t xml:space="preserve">LCOH), and a thorough Life Cycle Assessment (LCA). </w:t>
      </w:r>
      <w:r w:rsidR="00622205">
        <w:rPr>
          <w:rFonts w:ascii="Times New Roman" w:eastAsia="MS PGothic" w:hAnsi="Times New Roman"/>
          <w:lang w:val="en-US"/>
        </w:rPr>
        <w:t>In order for the analysi</w:t>
      </w:r>
      <w:r w:rsidR="00F00BAA">
        <w:rPr>
          <w:rFonts w:ascii="Times New Roman" w:eastAsia="MS PGothic" w:hAnsi="Times New Roman"/>
          <w:lang w:val="en-US"/>
        </w:rPr>
        <w:t xml:space="preserve">s to </w:t>
      </w:r>
      <w:r w:rsidR="00622205">
        <w:rPr>
          <w:rFonts w:ascii="Times New Roman" w:eastAsia="MS PGothic" w:hAnsi="Times New Roman"/>
          <w:lang w:val="en-US"/>
        </w:rPr>
        <w:t xml:space="preserve">be meaningful, it needs to be based on detailed and coherent </w:t>
      </w:r>
      <w:r w:rsidR="00335EB4">
        <w:rPr>
          <w:rFonts w:ascii="Times New Roman" w:eastAsia="MS PGothic" w:hAnsi="Times New Roman"/>
          <w:lang w:val="en-US"/>
        </w:rPr>
        <w:t xml:space="preserve">process simulation-based </w:t>
      </w:r>
      <w:r w:rsidR="00622205">
        <w:rPr>
          <w:rFonts w:ascii="Times New Roman" w:eastAsia="MS PGothic" w:hAnsi="Times New Roman"/>
          <w:lang w:val="en-US"/>
        </w:rPr>
        <w:t>mass and energy balances</w:t>
      </w:r>
      <w:r w:rsidR="00587F04">
        <w:rPr>
          <w:rFonts w:ascii="Times New Roman" w:eastAsia="MS PGothic" w:hAnsi="Times New Roman"/>
          <w:lang w:val="en-US"/>
        </w:rPr>
        <w:t xml:space="preserve"> </w:t>
      </w:r>
      <w:r w:rsidR="00622205">
        <w:rPr>
          <w:rFonts w:ascii="Times New Roman" w:eastAsia="MS PGothic" w:hAnsi="Times New Roman"/>
          <w:lang w:val="en-US"/>
        </w:rPr>
        <w:t>with reference to a specific production target</w:t>
      </w:r>
    </w:p>
    <w:p w14:paraId="11096663" w14:textId="64AF145D" w:rsidR="002051F9" w:rsidRPr="002051F9" w:rsidRDefault="002051F9" w:rsidP="00FC2F65">
      <w:pPr>
        <w:snapToGrid w:val="0"/>
        <w:spacing w:before="24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This work aims at providing reliable</w:t>
      </w:r>
      <w:r w:rsidR="00335EB4">
        <w:rPr>
          <w:rFonts w:ascii="Times New Roman" w:eastAsia="MS PGothic" w:hAnsi="Times New Roman"/>
          <w:lang w:val="en-US"/>
        </w:rPr>
        <w:t xml:space="preserve"> operating</w:t>
      </w:r>
      <w:r>
        <w:rPr>
          <w:rFonts w:ascii="Times New Roman" w:eastAsia="MS PGothic" w:hAnsi="Times New Roman"/>
          <w:lang w:val="en-US"/>
        </w:rPr>
        <w:t xml:space="preserve"> </w:t>
      </w:r>
      <w:r w:rsidRPr="002051F9">
        <w:rPr>
          <w:rFonts w:ascii="Times New Roman" w:eastAsia="MS PGothic" w:hAnsi="Times New Roman"/>
          <w:lang w:val="en-US"/>
        </w:rPr>
        <w:t>data for different hydrogen production processes</w:t>
      </w:r>
      <w:r>
        <w:rPr>
          <w:rFonts w:ascii="Times New Roman" w:eastAsia="MS PGothic" w:hAnsi="Times New Roman"/>
          <w:lang w:val="en-US"/>
        </w:rPr>
        <w:t>, in order to obtain all the information needed for subsequent energetic, economic, and environmental assessments</w:t>
      </w:r>
      <w:r w:rsidRPr="002051F9">
        <w:rPr>
          <w:rFonts w:ascii="Times New Roman" w:eastAsia="MS PGothic" w:hAnsi="Times New Roman"/>
          <w:lang w:val="en-US"/>
        </w:rPr>
        <w:t xml:space="preserve">. Specifically, </w:t>
      </w:r>
      <w:r>
        <w:rPr>
          <w:rFonts w:ascii="Times New Roman" w:eastAsia="MS PGothic" w:hAnsi="Times New Roman"/>
          <w:lang w:val="en-US"/>
        </w:rPr>
        <w:t>process simulations are developed to compare</w:t>
      </w:r>
      <w:r w:rsidRPr="002051F9">
        <w:rPr>
          <w:rFonts w:ascii="Times New Roman" w:eastAsia="MS PGothic" w:hAnsi="Times New Roman"/>
          <w:lang w:val="en-US"/>
        </w:rPr>
        <w:t xml:space="preserve"> different hydrogen</w:t>
      </w:r>
      <w:r>
        <w:rPr>
          <w:rFonts w:ascii="Times New Roman" w:eastAsia="MS PGothic" w:hAnsi="Times New Roman"/>
          <w:lang w:val="en-US"/>
        </w:rPr>
        <w:t xml:space="preserve"> production pathways,</w:t>
      </w:r>
      <w:r w:rsidRPr="002051F9">
        <w:rPr>
          <w:rFonts w:ascii="Times New Roman" w:eastAsia="MS PGothic" w:hAnsi="Times New Roman"/>
          <w:lang w:val="en-US"/>
        </w:rPr>
        <w:t xml:space="preserve"> each one defined by the ap</w:t>
      </w:r>
      <w:r>
        <w:rPr>
          <w:rFonts w:ascii="Times New Roman" w:eastAsia="MS PGothic" w:hAnsi="Times New Roman"/>
          <w:lang w:val="en-US"/>
        </w:rPr>
        <w:t>propriate color</w:t>
      </w:r>
      <w:r w:rsidRPr="002051F9">
        <w:rPr>
          <w:rFonts w:ascii="Times New Roman" w:eastAsia="MS PGothic" w:hAnsi="Times New Roman"/>
          <w:lang w:val="en-US"/>
        </w:rPr>
        <w:t xml:space="preserve">: </w:t>
      </w:r>
      <w:r>
        <w:rPr>
          <w:rFonts w:ascii="Times New Roman" w:eastAsia="MS PGothic" w:hAnsi="Times New Roman"/>
          <w:lang w:val="en-US"/>
        </w:rPr>
        <w:t>(</w:t>
      </w:r>
      <w:proofErr w:type="spellStart"/>
      <w:r>
        <w:rPr>
          <w:rFonts w:ascii="Times New Roman" w:eastAsia="MS PGothic" w:hAnsi="Times New Roman"/>
          <w:lang w:val="en-US"/>
        </w:rPr>
        <w:t>i</w:t>
      </w:r>
      <w:proofErr w:type="spellEnd"/>
      <w:r w:rsidRPr="002051F9">
        <w:rPr>
          <w:rFonts w:ascii="Times New Roman" w:eastAsia="MS PGothic" w:hAnsi="Times New Roman"/>
          <w:lang w:val="en-US"/>
        </w:rPr>
        <w:t>) grey hydrogen, produced from natural gas using steam</w:t>
      </w:r>
      <w:r w:rsidR="00D86F5F">
        <w:rPr>
          <w:rFonts w:ascii="Times New Roman" w:eastAsia="MS PGothic" w:hAnsi="Times New Roman"/>
          <w:lang w:val="en-US"/>
        </w:rPr>
        <w:t xml:space="preserve"> methane</w:t>
      </w:r>
      <w:r w:rsidRPr="002051F9">
        <w:rPr>
          <w:rFonts w:ascii="Times New Roman" w:eastAsia="MS PGothic" w:hAnsi="Times New Roman"/>
          <w:lang w:val="en-US"/>
        </w:rPr>
        <w:t xml:space="preserve"> reforming</w:t>
      </w:r>
      <w:r w:rsidR="00D86F5F">
        <w:rPr>
          <w:rFonts w:ascii="Times New Roman" w:eastAsia="MS PGothic" w:hAnsi="Times New Roman"/>
          <w:lang w:val="en-US"/>
        </w:rPr>
        <w:t xml:space="preserve"> (SMR); (i</w:t>
      </w:r>
      <w:r w:rsidRPr="002051F9">
        <w:rPr>
          <w:rFonts w:ascii="Times New Roman" w:eastAsia="MS PGothic" w:hAnsi="Times New Roman"/>
          <w:lang w:val="en-US"/>
        </w:rPr>
        <w:t xml:space="preserve">i) blue hydrogen, </w:t>
      </w:r>
      <w:r w:rsidR="00D86F5F">
        <w:rPr>
          <w:rFonts w:ascii="Times New Roman" w:eastAsia="MS PGothic" w:hAnsi="Times New Roman"/>
          <w:lang w:val="en-US"/>
        </w:rPr>
        <w:t>which is like the grey one</w:t>
      </w:r>
      <w:r w:rsidRPr="002051F9">
        <w:rPr>
          <w:rFonts w:ascii="Times New Roman" w:eastAsia="MS PGothic" w:hAnsi="Times New Roman"/>
          <w:lang w:val="en-US"/>
        </w:rPr>
        <w:t xml:space="preserve"> but </w:t>
      </w:r>
      <w:r w:rsidR="001C6784">
        <w:rPr>
          <w:rFonts w:ascii="Times New Roman" w:eastAsia="MS PGothic" w:hAnsi="Times New Roman"/>
          <w:lang w:val="en-US"/>
        </w:rPr>
        <w:t>integrated with</w:t>
      </w:r>
      <w:r w:rsidRPr="002051F9">
        <w:rPr>
          <w:rFonts w:ascii="Times New Roman" w:eastAsia="MS PGothic" w:hAnsi="Times New Roman"/>
          <w:lang w:val="en-US"/>
        </w:rPr>
        <w:t xml:space="preserve"> </w:t>
      </w:r>
      <w:r w:rsidR="008D71B1">
        <w:rPr>
          <w:rFonts w:ascii="Times New Roman" w:eastAsia="MS PGothic" w:hAnsi="Times New Roman"/>
          <w:lang w:val="en-US"/>
        </w:rPr>
        <w:t>carbon capture and st</w:t>
      </w:r>
      <w:r w:rsidR="00D85E7C">
        <w:rPr>
          <w:rFonts w:ascii="Times New Roman" w:eastAsia="MS PGothic" w:hAnsi="Times New Roman"/>
          <w:lang w:val="en-US"/>
        </w:rPr>
        <w:t>orage</w:t>
      </w:r>
      <w:r w:rsidRPr="002051F9">
        <w:rPr>
          <w:rFonts w:ascii="Times New Roman" w:eastAsia="MS PGothic" w:hAnsi="Times New Roman"/>
          <w:lang w:val="en-US"/>
        </w:rPr>
        <w:t xml:space="preserve"> (CCS)</w:t>
      </w:r>
      <w:r w:rsidR="00D86F5F">
        <w:rPr>
          <w:rFonts w:ascii="Times New Roman" w:eastAsia="MS PGothic" w:hAnsi="Times New Roman"/>
          <w:lang w:val="en-US"/>
        </w:rPr>
        <w:t>;</w:t>
      </w:r>
      <w:r w:rsidRPr="002051F9">
        <w:rPr>
          <w:rFonts w:ascii="Times New Roman" w:eastAsia="MS PGothic" w:hAnsi="Times New Roman"/>
          <w:lang w:val="en-US"/>
        </w:rPr>
        <w:t xml:space="preserve"> and (i</w:t>
      </w:r>
      <w:r w:rsidR="00D86F5F">
        <w:rPr>
          <w:rFonts w:ascii="Times New Roman" w:eastAsia="MS PGothic" w:hAnsi="Times New Roman"/>
          <w:lang w:val="en-US"/>
        </w:rPr>
        <w:t>ii</w:t>
      </w:r>
      <w:r w:rsidRPr="002051F9">
        <w:rPr>
          <w:rFonts w:ascii="Times New Roman" w:eastAsia="MS PGothic" w:hAnsi="Times New Roman"/>
          <w:lang w:val="en-US"/>
        </w:rPr>
        <w:t>) green</w:t>
      </w:r>
      <w:r w:rsidR="00D86F5F">
        <w:rPr>
          <w:rFonts w:ascii="Times New Roman" w:eastAsia="MS PGothic" w:hAnsi="Times New Roman"/>
          <w:lang w:val="en-US"/>
        </w:rPr>
        <w:t>/yellow</w:t>
      </w:r>
      <w:r w:rsidRPr="002051F9">
        <w:rPr>
          <w:rFonts w:ascii="Times New Roman" w:eastAsia="MS PGothic" w:hAnsi="Times New Roman"/>
          <w:lang w:val="en-US"/>
        </w:rPr>
        <w:t xml:space="preserve"> hydrogen, produced by </w:t>
      </w:r>
      <w:r w:rsidR="00D86F5F">
        <w:rPr>
          <w:rFonts w:ascii="Times New Roman" w:eastAsia="MS PGothic" w:hAnsi="Times New Roman"/>
          <w:lang w:val="en-US"/>
        </w:rPr>
        <w:t>water electrolysis</w:t>
      </w:r>
      <w:r w:rsidRPr="002051F9">
        <w:rPr>
          <w:rFonts w:ascii="Times New Roman" w:eastAsia="MS PGothic" w:hAnsi="Times New Roman"/>
          <w:lang w:val="en-US"/>
        </w:rPr>
        <w:t xml:space="preserve"> using ele</w:t>
      </w:r>
      <w:r w:rsidR="00D86F5F">
        <w:rPr>
          <w:rFonts w:ascii="Times New Roman" w:eastAsia="MS PGothic" w:hAnsi="Times New Roman"/>
          <w:lang w:val="en-US"/>
        </w:rPr>
        <w:t xml:space="preserve">ctricity from renewable sources or </w:t>
      </w:r>
      <w:r w:rsidRPr="002051F9">
        <w:rPr>
          <w:rFonts w:ascii="Times New Roman" w:eastAsia="MS PGothic" w:hAnsi="Times New Roman"/>
          <w:lang w:val="en-US"/>
        </w:rPr>
        <w:t>grid electricity</w:t>
      </w:r>
      <w:r w:rsidR="00D86F5F">
        <w:rPr>
          <w:rFonts w:ascii="Times New Roman" w:eastAsia="MS PGothic" w:hAnsi="Times New Roman"/>
          <w:lang w:val="en-US"/>
        </w:rPr>
        <w:t>, respectively</w:t>
      </w:r>
      <w:r w:rsidRPr="002051F9">
        <w:rPr>
          <w:rFonts w:ascii="Times New Roman" w:eastAsia="MS PGothic" w:hAnsi="Times New Roman"/>
          <w:lang w:val="en-US"/>
        </w:rPr>
        <w:t xml:space="preserve">. </w:t>
      </w:r>
      <w:r w:rsidR="00CF59AB">
        <w:rPr>
          <w:rFonts w:ascii="Times New Roman" w:eastAsia="MS PGothic" w:hAnsi="Times New Roman"/>
          <w:lang w:val="en-US"/>
        </w:rPr>
        <w:t xml:space="preserve">In the latter case, different types of </w:t>
      </w:r>
      <w:proofErr w:type="spellStart"/>
      <w:r w:rsidR="00CF59AB">
        <w:rPr>
          <w:rFonts w:ascii="Times New Roman" w:eastAsia="MS PGothic" w:hAnsi="Times New Roman"/>
          <w:lang w:val="en-US"/>
        </w:rPr>
        <w:t>electrolyzers</w:t>
      </w:r>
      <w:proofErr w:type="spellEnd"/>
      <w:r w:rsidR="00CF59AB">
        <w:rPr>
          <w:rFonts w:ascii="Times New Roman" w:eastAsia="MS PGothic" w:hAnsi="Times New Roman"/>
          <w:lang w:val="en-US"/>
        </w:rPr>
        <w:t xml:space="preserve"> are simulated a</w:t>
      </w:r>
      <w:r w:rsidR="001C6784">
        <w:rPr>
          <w:rFonts w:ascii="Times New Roman" w:eastAsia="MS PGothic" w:hAnsi="Times New Roman"/>
          <w:lang w:val="en-US"/>
        </w:rPr>
        <w:t>nd compared, namely Alkali</w:t>
      </w:r>
      <w:r w:rsidR="00CF59AB">
        <w:rPr>
          <w:rFonts w:ascii="Times New Roman" w:eastAsia="MS PGothic" w:hAnsi="Times New Roman"/>
          <w:lang w:val="en-US"/>
        </w:rPr>
        <w:t xml:space="preserve">ne Electrolysis Cells (AEC), Proton Exchange Membrane Electrolysis Cells (PEMEC), and Solid Oxide Electrolysis Cells (SOEC). </w:t>
      </w:r>
    </w:p>
    <w:p w14:paraId="502FC396" w14:textId="4BE2FE4D" w:rsidR="00335EB4" w:rsidRDefault="001C6784" w:rsidP="00FC2F65">
      <w:pPr>
        <w:snapToGrid w:val="0"/>
        <w:spacing w:before="24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The analysis is carried out with reference to a daily hydrogen production </w:t>
      </w:r>
      <w:r w:rsidR="00784D1D">
        <w:rPr>
          <w:rFonts w:ascii="Times New Roman" w:eastAsia="MS PGothic" w:hAnsi="Times New Roman"/>
          <w:lang w:val="en-US"/>
        </w:rPr>
        <w:t>corresponding to the</w:t>
      </w:r>
      <w:r>
        <w:rPr>
          <w:rFonts w:ascii="Times New Roman" w:eastAsia="MS PGothic" w:hAnsi="Times New Roman"/>
          <w:lang w:val="en-US"/>
        </w:rPr>
        <w:t xml:space="preserve"> estimated consumption required by the port of Trieste, taken as a case study, </w:t>
      </w:r>
      <w:r w:rsidR="00335EB4">
        <w:rPr>
          <w:rFonts w:ascii="Times New Roman" w:eastAsia="MS PGothic" w:hAnsi="Times New Roman"/>
          <w:lang w:val="en-US"/>
        </w:rPr>
        <w:t xml:space="preserve">with the goal </w:t>
      </w:r>
      <w:r>
        <w:rPr>
          <w:rFonts w:ascii="Times New Roman" w:eastAsia="MS PGothic" w:hAnsi="Times New Roman"/>
          <w:lang w:val="en-US"/>
        </w:rPr>
        <w:t xml:space="preserve">to feed fuel cells </w:t>
      </w:r>
      <w:r w:rsidR="00784D1D">
        <w:rPr>
          <w:rFonts w:ascii="Times New Roman" w:eastAsia="MS PGothic" w:hAnsi="Times New Roman"/>
          <w:lang w:val="en-US"/>
        </w:rPr>
        <w:t xml:space="preserve">train </w:t>
      </w:r>
      <w:r>
        <w:rPr>
          <w:rFonts w:ascii="Times New Roman" w:eastAsia="MS PGothic" w:hAnsi="Times New Roman"/>
          <w:lang w:val="en-US"/>
        </w:rPr>
        <w:t xml:space="preserve">locomotors and tugboats </w:t>
      </w:r>
      <w:r w:rsidR="00784D1D">
        <w:rPr>
          <w:rFonts w:ascii="Times New Roman" w:eastAsia="MS PGothic" w:hAnsi="Times New Roman"/>
          <w:lang w:val="en-US"/>
        </w:rPr>
        <w:t>handled inside the port area. The production processes are sized according to the desired daily requirement, possibly avoiding the need to store high amounts of hydrogen within the port.</w:t>
      </w:r>
    </w:p>
    <w:p w14:paraId="0871BF31" w14:textId="4B524887" w:rsidR="00DA51A3" w:rsidRPr="00466FFD" w:rsidRDefault="00DA51A3" w:rsidP="00954B14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3FAF0129" w14:textId="71C6E3DD" w:rsidR="00FA0654" w:rsidRDefault="00FA0654" w:rsidP="00FC2F65">
      <w:pPr>
        <w:snapToGrid w:val="0"/>
        <w:spacing w:before="24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Process simulations were carried out using Aspen Plus v. 12.1. The software was</w:t>
      </w:r>
      <w:r w:rsidRPr="00FA0654">
        <w:rPr>
          <w:rFonts w:ascii="Times New Roman" w:eastAsia="MS PGothic" w:hAnsi="Times New Roman"/>
          <w:lang w:val="en-US"/>
        </w:rPr>
        <w:t xml:space="preserve"> used to </w:t>
      </w:r>
      <w:r>
        <w:rPr>
          <w:rFonts w:ascii="Times New Roman" w:eastAsia="MS PGothic" w:hAnsi="Times New Roman"/>
          <w:lang w:val="en-US"/>
        </w:rPr>
        <w:t xml:space="preserve">develop the process flowsheet </w:t>
      </w:r>
      <w:r w:rsidRPr="00FA0654">
        <w:rPr>
          <w:rFonts w:ascii="Times New Roman" w:eastAsia="MS PGothic" w:hAnsi="Times New Roman"/>
          <w:lang w:val="en-US"/>
        </w:rPr>
        <w:t xml:space="preserve">for </w:t>
      </w:r>
      <w:r>
        <w:rPr>
          <w:rFonts w:ascii="Times New Roman" w:eastAsia="MS PGothic" w:hAnsi="Times New Roman"/>
          <w:lang w:val="en-US"/>
        </w:rPr>
        <w:t>each hydrogen production process considered, and</w:t>
      </w:r>
      <w:r w:rsidRPr="00FA0654">
        <w:rPr>
          <w:rFonts w:ascii="Times New Roman" w:eastAsia="MS PGothic" w:hAnsi="Times New Roman"/>
          <w:lang w:val="en-US"/>
        </w:rPr>
        <w:t xml:space="preserve"> perform material and energy balances, physical property estimations, design/rating calculations,</w:t>
      </w:r>
      <w:r>
        <w:rPr>
          <w:rFonts w:ascii="Times New Roman" w:eastAsia="MS PGothic" w:hAnsi="Times New Roman"/>
          <w:lang w:val="en-US"/>
        </w:rPr>
        <w:t xml:space="preserve"> sensitivity analysis and process optimization. In </w:t>
      </w:r>
      <w:r>
        <w:rPr>
          <w:rFonts w:ascii="Times New Roman" w:eastAsia="MS PGothic" w:hAnsi="Times New Roman"/>
          <w:lang w:val="en-US"/>
        </w:rPr>
        <w:lastRenderedPageBreak/>
        <w:t>addition</w:t>
      </w:r>
      <w:r w:rsidRPr="00FA0654">
        <w:rPr>
          <w:rFonts w:ascii="Times New Roman" w:eastAsia="MS PGothic" w:hAnsi="Times New Roman"/>
          <w:lang w:val="en-US"/>
        </w:rPr>
        <w:t xml:space="preserve"> heat integration </w:t>
      </w:r>
      <w:r>
        <w:rPr>
          <w:rFonts w:ascii="Times New Roman" w:eastAsia="MS PGothic" w:hAnsi="Times New Roman"/>
          <w:lang w:val="en-US"/>
        </w:rPr>
        <w:t>by</w:t>
      </w:r>
      <w:r w:rsidR="00CD1C16">
        <w:rPr>
          <w:rFonts w:ascii="Times New Roman" w:eastAsia="MS PGothic" w:hAnsi="Times New Roman"/>
          <w:lang w:val="en-US"/>
        </w:rPr>
        <w:t xml:space="preserve"> pinch analysis</w:t>
      </w:r>
      <w:r>
        <w:rPr>
          <w:rFonts w:ascii="Times New Roman" w:eastAsia="MS PGothic" w:hAnsi="Times New Roman"/>
          <w:lang w:val="en-US"/>
        </w:rPr>
        <w:t xml:space="preserve"> </w:t>
      </w:r>
      <w:r w:rsidRPr="00FA0654">
        <w:rPr>
          <w:rFonts w:ascii="Times New Roman" w:eastAsia="MS PGothic" w:hAnsi="Times New Roman"/>
          <w:lang w:val="en-US"/>
        </w:rPr>
        <w:t>and economic analysis evaluation</w:t>
      </w:r>
      <w:r w:rsidR="00CD1C16">
        <w:rPr>
          <w:rFonts w:ascii="Times New Roman" w:eastAsia="MS PGothic" w:hAnsi="Times New Roman"/>
          <w:lang w:val="en-US"/>
        </w:rPr>
        <w:t xml:space="preserve"> were performed with Aspen Energy Analyzer and (AEA) and Aspen Process Economics Analyzer (APEA) tools, respectively</w:t>
      </w:r>
      <w:r>
        <w:rPr>
          <w:rFonts w:ascii="Times New Roman" w:eastAsia="MS PGothic" w:hAnsi="Times New Roman"/>
          <w:lang w:val="en-US"/>
        </w:rPr>
        <w:t xml:space="preserve">. </w:t>
      </w:r>
    </w:p>
    <w:p w14:paraId="0528A46E" w14:textId="32D20FA5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0F15EAA7" w14:textId="7D045793" w:rsidR="000F372B" w:rsidRDefault="00954B14" w:rsidP="00FC2F65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Process flowsheets were developed for hydrogen production via SMR with and without CCS (grey and blue hydrogen) and via water electrolysis according to AEC, PEMEC and SOEC </w:t>
      </w:r>
      <w:proofErr w:type="spellStart"/>
      <w:r>
        <w:rPr>
          <w:rFonts w:ascii="Times New Roman" w:eastAsia="MS PGothic" w:hAnsi="Times New Roman"/>
          <w:lang w:val="en-US"/>
        </w:rPr>
        <w:t>electrolyzers</w:t>
      </w:r>
      <w:proofErr w:type="spellEnd"/>
      <w:r>
        <w:rPr>
          <w:rFonts w:ascii="Times New Roman" w:eastAsia="MS PGothic" w:hAnsi="Times New Roman"/>
          <w:lang w:val="en-US"/>
        </w:rPr>
        <w:t xml:space="preserve"> (green and yellow hydrogen).</w:t>
      </w:r>
      <w:r w:rsidR="003117E8">
        <w:rPr>
          <w:rFonts w:ascii="Times New Roman" w:eastAsia="MS PGothic" w:hAnsi="Times New Roman"/>
          <w:lang w:val="en-US"/>
        </w:rPr>
        <w:t xml:space="preserve"> For the latter, electrochemical models to describe the stack performances were included by means of user unit models.</w:t>
      </w:r>
      <w:r>
        <w:rPr>
          <w:rFonts w:ascii="Times New Roman" w:eastAsia="MS PGothic" w:hAnsi="Times New Roman"/>
          <w:lang w:val="en-US"/>
        </w:rPr>
        <w:t xml:space="preserve"> The target daily hydrogen production was estimated</w:t>
      </w:r>
      <w:r w:rsidR="00D85E7C">
        <w:rPr>
          <w:rFonts w:ascii="Times New Roman" w:eastAsia="MS PGothic" w:hAnsi="Times New Roman"/>
          <w:lang w:val="en-US"/>
        </w:rPr>
        <w:t xml:space="preserve"> to be about 800 kg/d. </w:t>
      </w:r>
      <w:r w:rsidR="000F372B">
        <w:rPr>
          <w:rFonts w:ascii="Times New Roman" w:eastAsia="MS PGothic" w:hAnsi="Times New Roman"/>
          <w:lang w:val="en-US"/>
        </w:rPr>
        <w:t>The Aspen Plus process flowsheets for SMR, AEC and SOEC are displayed in Figure 1, as an example.</w:t>
      </w:r>
    </w:p>
    <w:p w14:paraId="3795EE70" w14:textId="2AA0A3F4" w:rsidR="000F372B" w:rsidRDefault="000F372B" w:rsidP="000F372B">
      <w:pPr>
        <w:snapToGrid w:val="0"/>
        <w:spacing w:after="120" w:line="30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it-IT"/>
        </w:rPr>
        <w:drawing>
          <wp:inline distT="0" distB="0" distL="0" distR="0" wp14:anchorId="7DEAF047" wp14:editId="1FD99DA6">
            <wp:extent cx="5420614" cy="6334125"/>
            <wp:effectExtent l="0" t="0" r="889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239" cy="6361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EA3BA" w14:textId="60A0DA41" w:rsidR="000F372B" w:rsidRPr="000F372B" w:rsidRDefault="000F372B" w:rsidP="000F372B">
      <w:pPr>
        <w:snapToGrid w:val="0"/>
        <w:spacing w:after="120" w:line="30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 w:rsidRPr="000F372B">
        <w:rPr>
          <w:rFonts w:ascii="Times New Roman" w:hAnsi="Times New Roman"/>
          <w:b/>
          <w:sz w:val="18"/>
          <w:szCs w:val="18"/>
          <w:lang w:val="en-US"/>
        </w:rPr>
        <w:t>Figure 1.</w:t>
      </w:r>
      <w:r w:rsidRPr="000F372B">
        <w:rPr>
          <w:rFonts w:ascii="Times New Roman" w:hAnsi="Times New Roman"/>
          <w:sz w:val="18"/>
          <w:szCs w:val="18"/>
          <w:lang w:val="en-US"/>
        </w:rPr>
        <w:t xml:space="preserve"> Aspen </w:t>
      </w:r>
      <w:proofErr w:type="gramStart"/>
      <w:r w:rsidRPr="000F372B">
        <w:rPr>
          <w:rFonts w:ascii="Times New Roman" w:hAnsi="Times New Roman"/>
          <w:sz w:val="18"/>
          <w:szCs w:val="18"/>
          <w:lang w:val="en-US"/>
        </w:rPr>
        <w:t>Plus</w:t>
      </w:r>
      <w:proofErr w:type="gramEnd"/>
      <w:r w:rsidRPr="000F372B">
        <w:rPr>
          <w:rFonts w:ascii="Times New Roman" w:hAnsi="Times New Roman"/>
          <w:sz w:val="18"/>
          <w:szCs w:val="18"/>
          <w:lang w:val="en-US"/>
        </w:rPr>
        <w:t xml:space="preserve"> Flowsheet</w:t>
      </w:r>
      <w:r>
        <w:rPr>
          <w:rFonts w:ascii="Times New Roman" w:hAnsi="Times New Roman"/>
          <w:sz w:val="18"/>
          <w:szCs w:val="18"/>
          <w:lang w:val="en-US"/>
        </w:rPr>
        <w:t xml:space="preserve"> of SMR (A), AEC (B) and SOEC (C)</w:t>
      </w:r>
    </w:p>
    <w:p w14:paraId="35E96DCC" w14:textId="5605CCFD" w:rsidR="00550C14" w:rsidRDefault="00550C14" w:rsidP="00FC2F65">
      <w:pPr>
        <w:snapToGrid w:val="0"/>
        <w:spacing w:after="120" w:line="30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The data obtained from process simulations were then elaborated in order to derive the inputs required for the evaluation of the EROEI, LCOH and LCA indicators, according to Table 1. </w:t>
      </w:r>
    </w:p>
    <w:tbl>
      <w:tblPr>
        <w:tblStyle w:val="Tabellagriglia3-colore31"/>
        <w:tblW w:w="0" w:type="auto"/>
        <w:tblLayout w:type="fixed"/>
        <w:tblLook w:val="0420" w:firstRow="1" w:lastRow="0" w:firstColumn="0" w:lastColumn="0" w:noHBand="0" w:noVBand="1"/>
      </w:tblPr>
      <w:tblGrid>
        <w:gridCol w:w="5974"/>
        <w:gridCol w:w="1057"/>
        <w:gridCol w:w="777"/>
        <w:gridCol w:w="981"/>
        <w:gridCol w:w="709"/>
      </w:tblGrid>
      <w:tr w:rsidR="00550C14" w:rsidRPr="004C0C15" w14:paraId="3A34AFAC" w14:textId="77777777" w:rsidTr="006D7B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974" w:type="dxa"/>
            <w:vAlign w:val="center"/>
          </w:tcPr>
          <w:p w14:paraId="5725FDFB" w14:textId="77777777" w:rsidR="00550C14" w:rsidRPr="004C0C15" w:rsidRDefault="00550C14" w:rsidP="006D7B55">
            <w:pPr>
              <w:pStyle w:val="FigureCaptionwhec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/>
                <w:b w:val="0"/>
                <w:bCs w:val="0"/>
                <w:szCs w:val="18"/>
                <w:lang w:eastAsia="en-US"/>
              </w:rPr>
            </w:pPr>
          </w:p>
        </w:tc>
        <w:tc>
          <w:tcPr>
            <w:tcW w:w="1057" w:type="dxa"/>
            <w:vAlign w:val="center"/>
          </w:tcPr>
          <w:p w14:paraId="678D5BF9" w14:textId="77777777" w:rsidR="00550C14" w:rsidRPr="004C0C15" w:rsidRDefault="00550C14" w:rsidP="006D7B55">
            <w:pPr>
              <w:pStyle w:val="FigureCaptionwhec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/>
                <w:b w:val="0"/>
                <w:bCs w:val="0"/>
                <w:szCs w:val="18"/>
                <w:lang w:eastAsia="en-US"/>
              </w:rPr>
            </w:pPr>
          </w:p>
        </w:tc>
        <w:tc>
          <w:tcPr>
            <w:tcW w:w="777" w:type="dxa"/>
            <w:vAlign w:val="center"/>
          </w:tcPr>
          <w:p w14:paraId="350E5ED6" w14:textId="77777777" w:rsidR="00550C14" w:rsidRPr="004C0C15" w:rsidRDefault="00550C14" w:rsidP="006D7B55">
            <w:pPr>
              <w:pStyle w:val="FigureCaptionwhec"/>
              <w:spacing w:after="0"/>
              <w:rPr>
                <w:rFonts w:eastAsiaTheme="minorHAnsi"/>
                <w:b w:val="0"/>
                <w:bCs w:val="0"/>
                <w:szCs w:val="18"/>
                <w:lang w:eastAsia="en-US"/>
              </w:rPr>
            </w:pPr>
            <w:r w:rsidRPr="004C0C15">
              <w:rPr>
                <w:rFonts w:eastAsiaTheme="minorHAnsi"/>
                <w:b w:val="0"/>
                <w:bCs w:val="0"/>
                <w:szCs w:val="18"/>
                <w:lang w:eastAsia="en-US"/>
              </w:rPr>
              <w:t>EROEI</w:t>
            </w:r>
          </w:p>
        </w:tc>
        <w:tc>
          <w:tcPr>
            <w:tcW w:w="981" w:type="dxa"/>
            <w:vAlign w:val="center"/>
          </w:tcPr>
          <w:p w14:paraId="0359097E" w14:textId="77777777" w:rsidR="00550C14" w:rsidRPr="004C0C15" w:rsidRDefault="00550C14" w:rsidP="006D7B55">
            <w:pPr>
              <w:pStyle w:val="FigureCaptionwhec"/>
              <w:spacing w:after="0"/>
              <w:rPr>
                <w:rFonts w:eastAsiaTheme="minorHAnsi"/>
                <w:b w:val="0"/>
                <w:bCs w:val="0"/>
                <w:szCs w:val="18"/>
                <w:lang w:eastAsia="en-US"/>
              </w:rPr>
            </w:pPr>
            <w:r w:rsidRPr="004C0C15">
              <w:rPr>
                <w:rFonts w:eastAsiaTheme="minorHAnsi"/>
                <w:b w:val="0"/>
                <w:bCs w:val="0"/>
                <w:szCs w:val="18"/>
                <w:lang w:eastAsia="en-US"/>
              </w:rPr>
              <w:t>LCO</w:t>
            </w:r>
            <w:r>
              <w:rPr>
                <w:rFonts w:eastAsiaTheme="minorHAnsi"/>
                <w:b w:val="0"/>
                <w:bCs w:val="0"/>
                <w:szCs w:val="18"/>
                <w:lang w:eastAsia="en-US"/>
              </w:rPr>
              <w:t>H</w:t>
            </w:r>
          </w:p>
        </w:tc>
        <w:tc>
          <w:tcPr>
            <w:tcW w:w="709" w:type="dxa"/>
            <w:vAlign w:val="center"/>
          </w:tcPr>
          <w:p w14:paraId="09CDE0C6" w14:textId="77777777" w:rsidR="00550C14" w:rsidRPr="004C0C15" w:rsidRDefault="00550C14" w:rsidP="006D7B55">
            <w:pPr>
              <w:pStyle w:val="FigureCaptionwhec"/>
              <w:spacing w:after="0"/>
              <w:rPr>
                <w:rFonts w:eastAsiaTheme="minorHAnsi"/>
                <w:b w:val="0"/>
                <w:bCs w:val="0"/>
                <w:szCs w:val="18"/>
                <w:lang w:eastAsia="en-US"/>
              </w:rPr>
            </w:pPr>
            <w:r w:rsidRPr="004C0C15">
              <w:rPr>
                <w:rFonts w:eastAsiaTheme="minorHAnsi"/>
                <w:b w:val="0"/>
                <w:bCs w:val="0"/>
                <w:szCs w:val="18"/>
                <w:lang w:eastAsia="en-US"/>
              </w:rPr>
              <w:t>LCA</w:t>
            </w:r>
          </w:p>
        </w:tc>
      </w:tr>
      <w:tr w:rsidR="00550C14" w:rsidRPr="00EF23D8" w14:paraId="108098F8" w14:textId="77777777" w:rsidTr="006D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5974" w:type="dxa"/>
            <w:vAlign w:val="center"/>
          </w:tcPr>
          <w:p w14:paraId="1244259D" w14:textId="30333279" w:rsidR="00550C14" w:rsidRPr="00EF23D8" w:rsidRDefault="00550C14" w:rsidP="006D7B5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Gross energy output</w:t>
            </w:r>
          </w:p>
        </w:tc>
        <w:tc>
          <w:tcPr>
            <w:tcW w:w="1057" w:type="dxa"/>
            <w:vAlign w:val="center"/>
          </w:tcPr>
          <w:p w14:paraId="5B63C07D" w14:textId="32D04E81" w:rsidR="00550C14" w:rsidRPr="00EF23D8" w:rsidRDefault="00550C14" w:rsidP="006D7B55">
            <w:pPr>
              <w:rPr>
                <w:rFonts w:cs="Arial"/>
                <w:b/>
                <w:sz w:val="18"/>
                <w:szCs w:val="18"/>
              </w:rPr>
            </w:pPr>
            <w:r w:rsidRPr="00EF23D8">
              <w:rPr>
                <w:rFonts w:cs="Arial"/>
                <w:b/>
                <w:sz w:val="18"/>
                <w:szCs w:val="18"/>
              </w:rPr>
              <w:t>kW</w:t>
            </w:r>
          </w:p>
        </w:tc>
        <w:tc>
          <w:tcPr>
            <w:tcW w:w="777" w:type="dxa"/>
            <w:vAlign w:val="center"/>
          </w:tcPr>
          <w:p w14:paraId="1CDC6E0E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  <w:r w:rsidRPr="00EF23D8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1" w:type="dxa"/>
            <w:vAlign w:val="center"/>
          </w:tcPr>
          <w:p w14:paraId="4F76BF1D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  <w:r w:rsidRPr="00EF23D8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98EA5F0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  <w:r w:rsidRPr="00EF23D8">
              <w:rPr>
                <w:rFonts w:cs="Arial"/>
                <w:sz w:val="18"/>
                <w:szCs w:val="18"/>
              </w:rPr>
              <w:t>x</w:t>
            </w:r>
          </w:p>
        </w:tc>
      </w:tr>
      <w:tr w:rsidR="00550C14" w:rsidRPr="00EF23D8" w14:paraId="4F463628" w14:textId="77777777" w:rsidTr="006D7B55">
        <w:trPr>
          <w:trHeight w:val="340"/>
        </w:trPr>
        <w:tc>
          <w:tcPr>
            <w:tcW w:w="5974" w:type="dxa"/>
            <w:vAlign w:val="center"/>
          </w:tcPr>
          <w:p w14:paraId="30791F16" w14:textId="504057FC" w:rsidR="00550C14" w:rsidRPr="006D7B55" w:rsidRDefault="00550C14" w:rsidP="006D7B5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Power energy requirement</w:t>
            </w:r>
          </w:p>
        </w:tc>
        <w:tc>
          <w:tcPr>
            <w:tcW w:w="1057" w:type="dxa"/>
            <w:vAlign w:val="center"/>
          </w:tcPr>
          <w:p w14:paraId="31AA634A" w14:textId="77777777" w:rsidR="00550C14" w:rsidRPr="00EF23D8" w:rsidRDefault="00550C14" w:rsidP="006D7B55">
            <w:pPr>
              <w:rPr>
                <w:rFonts w:cs="Arial"/>
                <w:b/>
                <w:sz w:val="18"/>
                <w:szCs w:val="18"/>
              </w:rPr>
            </w:pPr>
            <w:r w:rsidRPr="00EF23D8">
              <w:rPr>
                <w:rFonts w:cs="Arial"/>
                <w:b/>
                <w:sz w:val="18"/>
                <w:szCs w:val="18"/>
              </w:rPr>
              <w:t>%</w:t>
            </w:r>
          </w:p>
        </w:tc>
        <w:tc>
          <w:tcPr>
            <w:tcW w:w="777" w:type="dxa"/>
            <w:vAlign w:val="center"/>
          </w:tcPr>
          <w:p w14:paraId="70AFCE9E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  <w:r w:rsidRPr="00EF23D8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1" w:type="dxa"/>
            <w:vAlign w:val="center"/>
          </w:tcPr>
          <w:p w14:paraId="23968135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E780D4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  <w:r w:rsidRPr="00EF23D8">
              <w:rPr>
                <w:rFonts w:cs="Arial"/>
                <w:sz w:val="18"/>
                <w:szCs w:val="18"/>
              </w:rPr>
              <w:t>x</w:t>
            </w:r>
          </w:p>
        </w:tc>
      </w:tr>
      <w:tr w:rsidR="00550C14" w:rsidRPr="00EF23D8" w14:paraId="74BA6BBE" w14:textId="77777777" w:rsidTr="006D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5974" w:type="dxa"/>
            <w:vAlign w:val="center"/>
          </w:tcPr>
          <w:p w14:paraId="53988102" w14:textId="18A1E291" w:rsidR="00550C14" w:rsidRPr="006D7B55" w:rsidRDefault="00550C14" w:rsidP="006D7B55">
            <w:pPr>
              <w:rPr>
                <w:rFonts w:cs="Arial"/>
                <w:b/>
                <w:sz w:val="18"/>
                <w:szCs w:val="18"/>
              </w:rPr>
            </w:pPr>
            <w:r w:rsidRPr="00EF23D8">
              <w:rPr>
                <w:rFonts w:cs="Arial"/>
                <w:b/>
                <w:sz w:val="18"/>
                <w:szCs w:val="18"/>
              </w:rPr>
              <w:t>Thermal energy</w:t>
            </w:r>
            <w:r>
              <w:rPr>
                <w:rFonts w:cs="Arial"/>
                <w:b/>
                <w:sz w:val="18"/>
                <w:szCs w:val="18"/>
              </w:rPr>
              <w:t xml:space="preserve"> requirement</w:t>
            </w:r>
          </w:p>
        </w:tc>
        <w:tc>
          <w:tcPr>
            <w:tcW w:w="1057" w:type="dxa"/>
            <w:vAlign w:val="center"/>
          </w:tcPr>
          <w:p w14:paraId="1C9A19D2" w14:textId="77777777" w:rsidR="00550C14" w:rsidRPr="00EF23D8" w:rsidRDefault="00550C14" w:rsidP="006D7B55">
            <w:pPr>
              <w:rPr>
                <w:rFonts w:cs="Arial"/>
                <w:b/>
                <w:sz w:val="18"/>
                <w:szCs w:val="18"/>
              </w:rPr>
            </w:pPr>
            <w:r w:rsidRPr="00EF23D8">
              <w:rPr>
                <w:rFonts w:cs="Arial"/>
                <w:b/>
                <w:sz w:val="18"/>
                <w:szCs w:val="18"/>
              </w:rPr>
              <w:t>%</w:t>
            </w:r>
          </w:p>
        </w:tc>
        <w:tc>
          <w:tcPr>
            <w:tcW w:w="777" w:type="dxa"/>
            <w:vAlign w:val="center"/>
          </w:tcPr>
          <w:p w14:paraId="5EDD5CF0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  <w:r w:rsidRPr="00EF23D8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1" w:type="dxa"/>
            <w:vAlign w:val="center"/>
          </w:tcPr>
          <w:p w14:paraId="6D43403F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804A1A7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  <w:r w:rsidRPr="00EF23D8">
              <w:rPr>
                <w:rFonts w:cs="Arial"/>
                <w:sz w:val="18"/>
                <w:szCs w:val="18"/>
              </w:rPr>
              <w:t>x</w:t>
            </w:r>
          </w:p>
        </w:tc>
      </w:tr>
      <w:tr w:rsidR="00550C14" w:rsidRPr="00EF23D8" w14:paraId="03F0674B" w14:textId="77777777" w:rsidTr="006D7B55">
        <w:trPr>
          <w:trHeight w:val="340"/>
        </w:trPr>
        <w:tc>
          <w:tcPr>
            <w:tcW w:w="5974" w:type="dxa"/>
            <w:vAlign w:val="center"/>
          </w:tcPr>
          <w:p w14:paraId="2EC43D54" w14:textId="0D74B1B7" w:rsidR="00550C14" w:rsidRPr="00EF23D8" w:rsidRDefault="00550C14" w:rsidP="006D7B5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Net energy output </w:t>
            </w:r>
          </w:p>
        </w:tc>
        <w:tc>
          <w:tcPr>
            <w:tcW w:w="1057" w:type="dxa"/>
            <w:vAlign w:val="center"/>
          </w:tcPr>
          <w:p w14:paraId="3971892C" w14:textId="74BD060C" w:rsidR="00550C14" w:rsidRPr="00EF23D8" w:rsidRDefault="00550C14" w:rsidP="006D7B55">
            <w:pPr>
              <w:rPr>
                <w:rFonts w:cs="Arial"/>
                <w:b/>
                <w:sz w:val="18"/>
                <w:szCs w:val="18"/>
              </w:rPr>
            </w:pPr>
            <w:r w:rsidRPr="00EF23D8">
              <w:rPr>
                <w:rFonts w:cs="Arial"/>
                <w:b/>
                <w:sz w:val="18"/>
                <w:szCs w:val="18"/>
              </w:rPr>
              <w:t>kW</w:t>
            </w:r>
          </w:p>
        </w:tc>
        <w:tc>
          <w:tcPr>
            <w:tcW w:w="777" w:type="dxa"/>
            <w:vAlign w:val="center"/>
          </w:tcPr>
          <w:p w14:paraId="53A825AA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  <w:r w:rsidRPr="00EF23D8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1" w:type="dxa"/>
            <w:vAlign w:val="center"/>
          </w:tcPr>
          <w:p w14:paraId="74B9CBF0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  <w:r w:rsidRPr="00EF23D8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6D1A695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  <w:r w:rsidRPr="00EF23D8">
              <w:rPr>
                <w:rFonts w:cs="Arial"/>
                <w:sz w:val="18"/>
                <w:szCs w:val="18"/>
              </w:rPr>
              <w:t>x</w:t>
            </w:r>
          </w:p>
        </w:tc>
      </w:tr>
      <w:tr w:rsidR="00550C14" w:rsidRPr="00EF23D8" w14:paraId="488178D5" w14:textId="77777777" w:rsidTr="006D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5974" w:type="dxa"/>
            <w:vAlign w:val="center"/>
          </w:tcPr>
          <w:p w14:paraId="38B74E76" w14:textId="77777777" w:rsidR="00550C14" w:rsidRPr="00EF23D8" w:rsidRDefault="00550C14" w:rsidP="006D7B55">
            <w:pPr>
              <w:rPr>
                <w:rFonts w:cs="Arial"/>
                <w:b/>
                <w:sz w:val="18"/>
                <w:szCs w:val="18"/>
              </w:rPr>
            </w:pPr>
            <w:r w:rsidRPr="00EF23D8">
              <w:rPr>
                <w:rFonts w:cs="Arial"/>
                <w:b/>
                <w:sz w:val="18"/>
                <w:szCs w:val="18"/>
              </w:rPr>
              <w:t>Total plant cost (TPC)</w:t>
            </w:r>
          </w:p>
        </w:tc>
        <w:tc>
          <w:tcPr>
            <w:tcW w:w="1057" w:type="dxa"/>
            <w:vAlign w:val="center"/>
          </w:tcPr>
          <w:p w14:paraId="6B49D0C4" w14:textId="77777777" w:rsidR="00550C14" w:rsidRPr="00EF23D8" w:rsidRDefault="00550C14" w:rsidP="006D7B55">
            <w:pPr>
              <w:rPr>
                <w:rFonts w:cs="Arial"/>
                <w:b/>
                <w:sz w:val="18"/>
                <w:szCs w:val="18"/>
              </w:rPr>
            </w:pPr>
            <w:r w:rsidRPr="00EF23D8">
              <w:rPr>
                <w:rFonts w:cs="Arial"/>
                <w:b/>
                <w:sz w:val="18"/>
                <w:szCs w:val="18"/>
              </w:rPr>
              <w:t>€</w:t>
            </w:r>
          </w:p>
        </w:tc>
        <w:tc>
          <w:tcPr>
            <w:tcW w:w="777" w:type="dxa"/>
            <w:vAlign w:val="center"/>
          </w:tcPr>
          <w:p w14:paraId="09DAEF7C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2F221A53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  <w:r w:rsidRPr="00EF23D8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A58B76C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0C14" w:rsidRPr="00EF23D8" w14:paraId="1F7EC6EF" w14:textId="77777777" w:rsidTr="006D7B55">
        <w:trPr>
          <w:trHeight w:val="340"/>
        </w:trPr>
        <w:tc>
          <w:tcPr>
            <w:tcW w:w="5974" w:type="dxa"/>
            <w:vAlign w:val="center"/>
          </w:tcPr>
          <w:p w14:paraId="2A0571FA" w14:textId="77777777" w:rsidR="00550C14" w:rsidRPr="00EF23D8" w:rsidRDefault="00550C14" w:rsidP="006D7B55">
            <w:pPr>
              <w:rPr>
                <w:rFonts w:cs="Arial"/>
                <w:b/>
                <w:sz w:val="18"/>
                <w:szCs w:val="18"/>
              </w:rPr>
            </w:pPr>
            <w:r w:rsidRPr="00EF23D8">
              <w:rPr>
                <w:rFonts w:cs="Arial"/>
                <w:b/>
                <w:sz w:val="18"/>
                <w:szCs w:val="18"/>
              </w:rPr>
              <w:t>Share of investment costs due to operation and maintenance (</w:t>
            </w:r>
            <w:proofErr w:type="spellStart"/>
            <w:r w:rsidRPr="00EF23D8">
              <w:rPr>
                <w:rFonts w:cs="Arial"/>
                <w:b/>
                <w:sz w:val="18"/>
                <w:szCs w:val="18"/>
              </w:rPr>
              <w:t>s</w:t>
            </w:r>
            <w:r w:rsidRPr="006D7B55">
              <w:rPr>
                <w:rFonts w:cs="Arial"/>
                <w:b/>
                <w:sz w:val="18"/>
                <w:szCs w:val="18"/>
              </w:rPr>
              <w:t>o&amp;m</w:t>
            </w:r>
            <w:proofErr w:type="spellEnd"/>
            <w:r w:rsidRPr="00EF23D8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1057" w:type="dxa"/>
            <w:vAlign w:val="center"/>
          </w:tcPr>
          <w:p w14:paraId="2DF23B32" w14:textId="77777777" w:rsidR="00550C14" w:rsidRPr="00EF23D8" w:rsidRDefault="00550C14" w:rsidP="006D7B55">
            <w:pPr>
              <w:rPr>
                <w:rFonts w:cs="Arial"/>
                <w:b/>
                <w:sz w:val="18"/>
                <w:szCs w:val="18"/>
              </w:rPr>
            </w:pPr>
            <w:r w:rsidRPr="00EF23D8">
              <w:rPr>
                <w:rFonts w:cs="Arial"/>
                <w:b/>
                <w:sz w:val="18"/>
                <w:szCs w:val="18"/>
              </w:rPr>
              <w:t>%</w:t>
            </w:r>
          </w:p>
        </w:tc>
        <w:tc>
          <w:tcPr>
            <w:tcW w:w="777" w:type="dxa"/>
            <w:vAlign w:val="center"/>
          </w:tcPr>
          <w:p w14:paraId="40D5A98E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  <w:r w:rsidRPr="00EF23D8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1" w:type="dxa"/>
            <w:vAlign w:val="center"/>
          </w:tcPr>
          <w:p w14:paraId="5FD695DC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3FFAA1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0C14" w:rsidRPr="00EF23D8" w14:paraId="3F0A1133" w14:textId="77777777" w:rsidTr="006D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5974" w:type="dxa"/>
            <w:vAlign w:val="center"/>
          </w:tcPr>
          <w:p w14:paraId="5DA28D7F" w14:textId="77777777" w:rsidR="00550C14" w:rsidRPr="00EF23D8" w:rsidRDefault="00550C14" w:rsidP="006D7B55">
            <w:pPr>
              <w:rPr>
                <w:rFonts w:cs="Arial"/>
                <w:b/>
                <w:sz w:val="18"/>
                <w:szCs w:val="18"/>
              </w:rPr>
            </w:pPr>
            <w:r w:rsidRPr="00EF23D8">
              <w:rPr>
                <w:rFonts w:cs="Arial"/>
                <w:b/>
                <w:sz w:val="18"/>
                <w:szCs w:val="18"/>
              </w:rPr>
              <w:t>Fixed operation and maintenance costs (FO&amp;MC)</w:t>
            </w:r>
          </w:p>
        </w:tc>
        <w:tc>
          <w:tcPr>
            <w:tcW w:w="1057" w:type="dxa"/>
            <w:vAlign w:val="center"/>
          </w:tcPr>
          <w:p w14:paraId="401B36B3" w14:textId="77777777" w:rsidR="00550C14" w:rsidRPr="00EF23D8" w:rsidRDefault="00550C14" w:rsidP="006D7B55">
            <w:pPr>
              <w:rPr>
                <w:rFonts w:cs="Arial"/>
                <w:b/>
                <w:sz w:val="18"/>
                <w:szCs w:val="18"/>
              </w:rPr>
            </w:pPr>
            <w:r w:rsidRPr="00EF23D8">
              <w:rPr>
                <w:rFonts w:cs="Arial"/>
                <w:b/>
                <w:sz w:val="18"/>
                <w:szCs w:val="18"/>
              </w:rPr>
              <w:t>€/kW/year</w:t>
            </w:r>
          </w:p>
        </w:tc>
        <w:tc>
          <w:tcPr>
            <w:tcW w:w="777" w:type="dxa"/>
            <w:vAlign w:val="center"/>
          </w:tcPr>
          <w:p w14:paraId="6F0E4AA4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125258B6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  <w:r w:rsidRPr="00EF23D8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C21FD94" w14:textId="77777777" w:rsidR="00550C14" w:rsidRPr="00EF23D8" w:rsidRDefault="00550C14" w:rsidP="006D7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0C14" w:rsidRPr="00EF23D8" w14:paraId="3A1E08E3" w14:textId="77777777" w:rsidTr="006D7B55">
        <w:trPr>
          <w:trHeight w:val="340"/>
        </w:trPr>
        <w:tc>
          <w:tcPr>
            <w:tcW w:w="5974" w:type="dxa"/>
            <w:vAlign w:val="center"/>
          </w:tcPr>
          <w:p w14:paraId="0042A3E1" w14:textId="2FEF8B13" w:rsidR="00550C14" w:rsidRPr="00EF23D8" w:rsidRDefault="00550C14" w:rsidP="006D7B55">
            <w:pPr>
              <w:rPr>
                <w:rFonts w:cs="Arial"/>
                <w:b/>
                <w:sz w:val="18"/>
                <w:szCs w:val="18"/>
              </w:rPr>
            </w:pPr>
            <w:r w:rsidRPr="00EF23D8">
              <w:rPr>
                <w:rFonts w:cs="Arial"/>
                <w:b/>
                <w:sz w:val="18"/>
                <w:szCs w:val="18"/>
              </w:rPr>
              <w:t>Variable operation and mai</w:t>
            </w:r>
            <w:r>
              <w:rPr>
                <w:rFonts w:cs="Arial"/>
                <w:b/>
                <w:sz w:val="18"/>
                <w:szCs w:val="18"/>
              </w:rPr>
              <w:t>ntenance costs (VO&amp;MC)</w:t>
            </w:r>
          </w:p>
        </w:tc>
        <w:tc>
          <w:tcPr>
            <w:tcW w:w="1057" w:type="dxa"/>
            <w:vAlign w:val="center"/>
          </w:tcPr>
          <w:p w14:paraId="179593C1" w14:textId="77777777" w:rsidR="00550C14" w:rsidRPr="00EF23D8" w:rsidRDefault="00550C14" w:rsidP="006D7B55">
            <w:pPr>
              <w:rPr>
                <w:rFonts w:cs="Arial"/>
                <w:b/>
                <w:sz w:val="18"/>
                <w:szCs w:val="18"/>
              </w:rPr>
            </w:pPr>
            <w:r w:rsidRPr="00EF23D8">
              <w:rPr>
                <w:rFonts w:cs="Arial"/>
                <w:b/>
                <w:sz w:val="18"/>
                <w:szCs w:val="18"/>
              </w:rPr>
              <w:t>€/kWh</w:t>
            </w:r>
          </w:p>
        </w:tc>
        <w:tc>
          <w:tcPr>
            <w:tcW w:w="777" w:type="dxa"/>
            <w:vAlign w:val="center"/>
          </w:tcPr>
          <w:p w14:paraId="6052229D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4A06BE87" w14:textId="77777777" w:rsidR="00550C14" w:rsidRPr="00EF23D8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  <w:r w:rsidRPr="00EF23D8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FC816C2" w14:textId="77777777" w:rsidR="00550C14" w:rsidRPr="00EF23D8" w:rsidRDefault="00550C14" w:rsidP="006D7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0C14" w:rsidRPr="006A70F9" w14:paraId="7B67E21F" w14:textId="77777777" w:rsidTr="006D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5974" w:type="dxa"/>
            <w:vAlign w:val="center"/>
          </w:tcPr>
          <w:p w14:paraId="1743BDD5" w14:textId="5B669F73" w:rsidR="00550C14" w:rsidRPr="006A70F9" w:rsidRDefault="00550C14" w:rsidP="006D7B55">
            <w:pPr>
              <w:rPr>
                <w:rFonts w:cs="Arial"/>
                <w:b/>
                <w:sz w:val="18"/>
                <w:szCs w:val="18"/>
              </w:rPr>
            </w:pPr>
            <w:r w:rsidRPr="006A70F9">
              <w:rPr>
                <w:rFonts w:cs="Arial"/>
                <w:b/>
                <w:sz w:val="18"/>
                <w:szCs w:val="18"/>
              </w:rPr>
              <w:t>Total amount of solvent</w:t>
            </w:r>
            <w:r>
              <w:rPr>
                <w:rFonts w:cs="Arial"/>
                <w:b/>
                <w:sz w:val="18"/>
                <w:szCs w:val="18"/>
              </w:rPr>
              <w:t xml:space="preserve"> (for CCS)</w:t>
            </w:r>
          </w:p>
        </w:tc>
        <w:tc>
          <w:tcPr>
            <w:tcW w:w="1057" w:type="dxa"/>
            <w:vAlign w:val="center"/>
          </w:tcPr>
          <w:p w14:paraId="1CD663CE" w14:textId="77777777" w:rsidR="00550C14" w:rsidRPr="006A70F9" w:rsidRDefault="00550C14" w:rsidP="006D7B55">
            <w:pPr>
              <w:rPr>
                <w:rFonts w:cs="Arial"/>
                <w:b/>
                <w:sz w:val="18"/>
                <w:szCs w:val="18"/>
              </w:rPr>
            </w:pPr>
            <w:r w:rsidRPr="006A70F9">
              <w:rPr>
                <w:rFonts w:cs="Arial"/>
                <w:b/>
                <w:sz w:val="18"/>
                <w:szCs w:val="18"/>
              </w:rPr>
              <w:t>kg</w:t>
            </w:r>
          </w:p>
        </w:tc>
        <w:tc>
          <w:tcPr>
            <w:tcW w:w="777" w:type="dxa"/>
            <w:vAlign w:val="center"/>
          </w:tcPr>
          <w:p w14:paraId="67BF9DFD" w14:textId="77777777" w:rsidR="00550C14" w:rsidRPr="006A70F9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3D1CF00A" w14:textId="77777777" w:rsidR="00550C14" w:rsidRPr="006A70F9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A319683" w14:textId="77777777" w:rsidR="00550C14" w:rsidRPr="006A70F9" w:rsidRDefault="00550C14" w:rsidP="006D7B55">
            <w:pPr>
              <w:jc w:val="center"/>
              <w:rPr>
                <w:rFonts w:cs="Arial"/>
                <w:sz w:val="18"/>
                <w:szCs w:val="18"/>
              </w:rPr>
            </w:pPr>
            <w:r w:rsidRPr="006A70F9">
              <w:rPr>
                <w:rFonts w:cs="Arial"/>
                <w:sz w:val="18"/>
                <w:szCs w:val="18"/>
              </w:rPr>
              <w:t>x</w:t>
            </w:r>
          </w:p>
        </w:tc>
      </w:tr>
    </w:tbl>
    <w:p w14:paraId="0DE817AB" w14:textId="0AFFF731" w:rsidR="00DA51A3" w:rsidRPr="00466FFD" w:rsidRDefault="00550C14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>
        <w:rPr>
          <w:rFonts w:ascii="Times New Roman" w:hAnsi="Times New Roman"/>
          <w:lang w:val="en-US"/>
        </w:rPr>
        <w:t xml:space="preserve"> </w:t>
      </w:r>
      <w:r w:rsidR="00DA51A3"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="00DA51A3"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1BE0C082" w14:textId="1E6D504E" w:rsidR="00DA51A3" w:rsidRPr="00466FFD" w:rsidRDefault="00F3694D" w:rsidP="00FC2F65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The data obtained by means of process simulations allowed a detailed estimation of the energy duties required for the production of hydrogen at a desired scale. Preliminary results indicate that green hydrogen is </w:t>
      </w:r>
      <w:r w:rsidR="008F6493">
        <w:rPr>
          <w:rFonts w:ascii="Times New Roman" w:eastAsia="MS PGothic" w:hAnsi="Times New Roman"/>
          <w:lang w:val="en-US"/>
        </w:rPr>
        <w:t xml:space="preserve">likely to be </w:t>
      </w:r>
      <w:r>
        <w:rPr>
          <w:rFonts w:ascii="Times New Roman" w:eastAsia="MS PGothic" w:hAnsi="Times New Roman"/>
          <w:lang w:val="en-US"/>
        </w:rPr>
        <w:t xml:space="preserve">the preferred route. </w:t>
      </w:r>
      <w:bookmarkStart w:id="0" w:name="_GoBack"/>
      <w:bookmarkEnd w:id="0"/>
    </w:p>
    <w:p w14:paraId="1845F659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1C261171" w14:textId="77777777" w:rsidR="00EB57EC" w:rsidRPr="00EB57EC" w:rsidRDefault="00EB57EC" w:rsidP="00EB57EC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EB57EC">
        <w:rPr>
          <w:rFonts w:ascii="Times New Roman" w:hAnsi="Times New Roman"/>
        </w:rPr>
        <w:t>https://www.ipcc.ch/report/sixth-assessment-report-cycle/ AR6 IPCC 2021 report. Accessed on December 7, 2021.</w:t>
      </w:r>
    </w:p>
    <w:p w14:paraId="5A650773" w14:textId="429DBDA0" w:rsidR="005B71B2" w:rsidRPr="00155035" w:rsidRDefault="00EB57EC" w:rsidP="00155035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EB57EC">
        <w:rPr>
          <w:rFonts w:ascii="Times New Roman" w:hAnsi="Times New Roman"/>
        </w:rPr>
        <w:t>https://www.iea.org/reports/net-zero-by-2050 IEA (2021), Net Zero by 2050, IEA, Paris, Accessed on December 7, 2021.</w:t>
      </w:r>
    </w:p>
    <w:sectPr w:rsidR="005B71B2" w:rsidRPr="00155035" w:rsidSect="001D0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12D8E" w14:textId="77777777" w:rsidR="001844EA" w:rsidRDefault="001844EA" w:rsidP="001D0E0C">
      <w:pPr>
        <w:spacing w:after="0" w:line="240" w:lineRule="auto"/>
      </w:pPr>
      <w:r>
        <w:separator/>
      </w:r>
    </w:p>
  </w:endnote>
  <w:endnote w:type="continuationSeparator" w:id="0">
    <w:p w14:paraId="2F057E63" w14:textId="77777777" w:rsidR="001844EA" w:rsidRDefault="001844EA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8DB03" w14:textId="77777777" w:rsidR="005C2A12" w:rsidRDefault="005C2A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C72D2" w14:textId="77777777" w:rsidR="005C2A12" w:rsidRDefault="005C2A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FF87" w14:textId="77777777" w:rsidR="005C2A12" w:rsidRDefault="005C2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749BF" w14:textId="77777777" w:rsidR="001844EA" w:rsidRDefault="001844EA" w:rsidP="001D0E0C">
      <w:pPr>
        <w:spacing w:after="0" w:line="240" w:lineRule="auto"/>
      </w:pPr>
      <w:r>
        <w:separator/>
      </w:r>
    </w:p>
  </w:footnote>
  <w:footnote w:type="continuationSeparator" w:id="0">
    <w:p w14:paraId="1D3F6947" w14:textId="77777777" w:rsidR="001844EA" w:rsidRDefault="001844EA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D8880" w14:textId="77777777" w:rsidR="005C2A12" w:rsidRDefault="005C2A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A3"/>
    <w:rsid w:val="000270DF"/>
    <w:rsid w:val="000517B4"/>
    <w:rsid w:val="000F372B"/>
    <w:rsid w:val="00127235"/>
    <w:rsid w:val="00155035"/>
    <w:rsid w:val="001844EA"/>
    <w:rsid w:val="0018667F"/>
    <w:rsid w:val="001B060D"/>
    <w:rsid w:val="001C6784"/>
    <w:rsid w:val="001D0E0C"/>
    <w:rsid w:val="002051F9"/>
    <w:rsid w:val="002F5C61"/>
    <w:rsid w:val="003117E8"/>
    <w:rsid w:val="00335EB4"/>
    <w:rsid w:val="0035267D"/>
    <w:rsid w:val="003F160A"/>
    <w:rsid w:val="003F372E"/>
    <w:rsid w:val="00402674"/>
    <w:rsid w:val="004C56B4"/>
    <w:rsid w:val="00550C14"/>
    <w:rsid w:val="00587F04"/>
    <w:rsid w:val="005B71B2"/>
    <w:rsid w:val="005C2A12"/>
    <w:rsid w:val="00606DA9"/>
    <w:rsid w:val="00622205"/>
    <w:rsid w:val="0062493B"/>
    <w:rsid w:val="00697CD6"/>
    <w:rsid w:val="00784D1D"/>
    <w:rsid w:val="007F75F7"/>
    <w:rsid w:val="0083496F"/>
    <w:rsid w:val="008871B1"/>
    <w:rsid w:val="008D71B1"/>
    <w:rsid w:val="008F6493"/>
    <w:rsid w:val="00954B14"/>
    <w:rsid w:val="00A5219E"/>
    <w:rsid w:val="00AB1801"/>
    <w:rsid w:val="00BF3A9F"/>
    <w:rsid w:val="00C40840"/>
    <w:rsid w:val="00CA4893"/>
    <w:rsid w:val="00CB6031"/>
    <w:rsid w:val="00CD1C16"/>
    <w:rsid w:val="00CF59AB"/>
    <w:rsid w:val="00D03DB3"/>
    <w:rsid w:val="00D322F1"/>
    <w:rsid w:val="00D412A9"/>
    <w:rsid w:val="00D710DC"/>
    <w:rsid w:val="00D85E7C"/>
    <w:rsid w:val="00D86F5F"/>
    <w:rsid w:val="00DA51A3"/>
    <w:rsid w:val="00DD2D8C"/>
    <w:rsid w:val="00E15D6A"/>
    <w:rsid w:val="00E82E2E"/>
    <w:rsid w:val="00E86E82"/>
    <w:rsid w:val="00EB57EC"/>
    <w:rsid w:val="00F00BAA"/>
    <w:rsid w:val="00F1548C"/>
    <w:rsid w:val="00F24290"/>
    <w:rsid w:val="00F3694D"/>
    <w:rsid w:val="00F55A5E"/>
    <w:rsid w:val="00F60E46"/>
    <w:rsid w:val="00FA0654"/>
    <w:rsid w:val="00F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paragraph" w:customStyle="1" w:styleId="FigureCaptionwhec">
    <w:name w:val="FigureCaption_whec"/>
    <w:basedOn w:val="Normale"/>
    <w:link w:val="FigureCaptionwhecChar"/>
    <w:qFormat/>
    <w:rsid w:val="00550C14"/>
    <w:pPr>
      <w:tabs>
        <w:tab w:val="left" w:pos="-720"/>
      </w:tabs>
      <w:spacing w:after="120" w:line="240" w:lineRule="auto"/>
      <w:jc w:val="center"/>
    </w:pPr>
    <w:rPr>
      <w:rFonts w:ascii="Arial" w:hAnsi="Arial" w:cs="Arial"/>
      <w:sz w:val="18"/>
      <w:lang w:val="en-CA"/>
    </w:rPr>
  </w:style>
  <w:style w:type="character" w:customStyle="1" w:styleId="FigureCaptionwhecChar">
    <w:name w:val="FigureCaption_whec Char"/>
    <w:basedOn w:val="Carpredefinitoparagrafo"/>
    <w:link w:val="FigureCaptionwhec"/>
    <w:rsid w:val="00550C14"/>
    <w:rPr>
      <w:rFonts w:ascii="Arial" w:hAnsi="Arial" w:cs="Arial"/>
      <w:sz w:val="18"/>
      <w:lang w:val="en-CA"/>
    </w:rPr>
  </w:style>
  <w:style w:type="table" w:customStyle="1" w:styleId="Tabellagriglia3-colore31">
    <w:name w:val="Tabella griglia 3 - colore 31"/>
    <w:basedOn w:val="Tabellanormale"/>
    <w:uiPriority w:val="48"/>
    <w:rsid w:val="00550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Barbera Elena</cp:lastModifiedBy>
  <cp:revision>34</cp:revision>
  <cp:lastPrinted>2022-01-31T11:56:00Z</cp:lastPrinted>
  <dcterms:created xsi:type="dcterms:W3CDTF">2022-03-03T08:35:00Z</dcterms:created>
  <dcterms:modified xsi:type="dcterms:W3CDTF">2022-03-15T08:28:00Z</dcterms:modified>
</cp:coreProperties>
</file>