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4DE51C74" w:rsidR="00DA51A3" w:rsidRPr="00466FFD" w:rsidRDefault="00164678" w:rsidP="00DA51A3">
      <w:pPr>
        <w:snapToGrid w:val="0"/>
        <w:jc w:val="center"/>
        <w:rPr>
          <w:rFonts w:ascii="Times New Roman" w:eastAsia="MS PGothic" w:hAnsi="Times New Roman"/>
          <w:b/>
          <w:bCs/>
          <w:sz w:val="24"/>
          <w:szCs w:val="24"/>
          <w:lang w:val="en-US" w:eastAsia="ko-KR"/>
        </w:rPr>
      </w:pPr>
      <w:r>
        <w:rPr>
          <w:rFonts w:ascii="Times New Roman" w:eastAsia="MS PGothic" w:hAnsi="Times New Roman"/>
          <w:b/>
          <w:bCs/>
          <w:sz w:val="24"/>
          <w:szCs w:val="24"/>
          <w:lang w:val="en-US"/>
        </w:rPr>
        <w:t>Synthetic and natural s</w:t>
      </w:r>
      <w:r w:rsidRPr="00164678">
        <w:rPr>
          <w:rFonts w:ascii="Times New Roman" w:eastAsia="MS PGothic" w:hAnsi="Times New Roman"/>
          <w:b/>
          <w:bCs/>
          <w:sz w:val="24"/>
          <w:szCs w:val="24"/>
          <w:lang w:val="en-US"/>
        </w:rPr>
        <w:t>urfactants for environmental applications</w:t>
      </w:r>
      <w:r w:rsidR="00F33FC8">
        <w:rPr>
          <w:rFonts w:ascii="Times New Roman" w:eastAsia="MS PGothic" w:hAnsi="Times New Roman"/>
          <w:b/>
          <w:bCs/>
          <w:sz w:val="24"/>
          <w:szCs w:val="24"/>
          <w:lang w:val="en-US"/>
        </w:rPr>
        <w:t xml:space="preserve"> using SEA</w:t>
      </w:r>
      <w:r w:rsidR="00A64C20">
        <w:rPr>
          <w:rFonts w:ascii="Times New Roman" w:eastAsia="MS PGothic" w:hAnsi="Times New Roman"/>
          <w:b/>
          <w:bCs/>
          <w:sz w:val="24"/>
          <w:szCs w:val="24"/>
          <w:lang w:val="en-US"/>
        </w:rPr>
        <w:t>R technology</w:t>
      </w:r>
      <w:r w:rsidRPr="00164678">
        <w:rPr>
          <w:rFonts w:ascii="Times New Roman" w:eastAsia="MS PGothic" w:hAnsi="Times New Roman"/>
          <w:b/>
          <w:bCs/>
          <w:sz w:val="24"/>
          <w:szCs w:val="24"/>
          <w:lang w:val="en-US"/>
        </w:rPr>
        <w:t>: process study by column</w:t>
      </w:r>
      <w:r>
        <w:rPr>
          <w:rFonts w:ascii="Times New Roman" w:eastAsia="MS PGothic" w:hAnsi="Times New Roman"/>
          <w:b/>
          <w:bCs/>
          <w:sz w:val="24"/>
          <w:szCs w:val="24"/>
          <w:lang w:val="en-US"/>
        </w:rPr>
        <w:t xml:space="preserve"> continuous</w:t>
      </w:r>
      <w:r w:rsidRPr="00164678">
        <w:rPr>
          <w:rFonts w:ascii="Times New Roman" w:eastAsia="MS PGothic" w:hAnsi="Times New Roman"/>
          <w:b/>
          <w:bCs/>
          <w:sz w:val="24"/>
          <w:szCs w:val="24"/>
          <w:lang w:val="en-US"/>
        </w:rPr>
        <w:t xml:space="preserve"> test</w:t>
      </w:r>
    </w:p>
    <w:p w14:paraId="243AAF34" w14:textId="3BFE4CE1" w:rsidR="00DA51A3" w:rsidRPr="000B3E4D" w:rsidRDefault="00DE76AC" w:rsidP="00DA51A3">
      <w:pPr>
        <w:snapToGrid w:val="0"/>
        <w:jc w:val="center"/>
        <w:rPr>
          <w:rFonts w:ascii="Times New Roman" w:eastAsia="MS PGothic" w:hAnsi="Times New Roman"/>
          <w:sz w:val="24"/>
          <w:szCs w:val="24"/>
        </w:rPr>
      </w:pPr>
      <w:r w:rsidRPr="000B3E4D">
        <w:rPr>
          <w:rFonts w:ascii="Times New Roman" w:eastAsia="SimSun" w:hAnsi="Times New Roman"/>
          <w:sz w:val="24"/>
          <w:szCs w:val="24"/>
          <w:u w:val="single"/>
          <w:lang w:eastAsia="zh-CN"/>
        </w:rPr>
        <w:t>Berardino Barbati</w:t>
      </w:r>
      <w:r w:rsidRPr="000B3E4D">
        <w:rPr>
          <w:rFonts w:ascii="Times New Roman" w:eastAsia="SimSun" w:hAnsi="Times New Roman"/>
          <w:sz w:val="24"/>
          <w:szCs w:val="24"/>
          <w:u w:val="single"/>
          <w:vertAlign w:val="superscript"/>
          <w:lang w:eastAsia="zh-CN"/>
        </w:rPr>
        <w:t>1</w:t>
      </w:r>
      <w:r w:rsidR="00DA51A3" w:rsidRPr="000B3E4D">
        <w:rPr>
          <w:rFonts w:ascii="Times New Roman" w:eastAsia="SimSun" w:hAnsi="Times New Roman"/>
          <w:sz w:val="24"/>
          <w:szCs w:val="24"/>
          <w:lang w:eastAsia="zh-CN"/>
        </w:rPr>
        <w:t xml:space="preserve">, </w:t>
      </w:r>
      <w:r w:rsidR="000B3E4D" w:rsidRPr="000B3E4D">
        <w:rPr>
          <w:rFonts w:ascii="Times New Roman" w:eastAsia="SimSun" w:hAnsi="Times New Roman"/>
          <w:sz w:val="24"/>
          <w:szCs w:val="24"/>
          <w:lang w:eastAsia="zh-CN"/>
        </w:rPr>
        <w:t>Neda Amanat</w:t>
      </w:r>
      <w:r w:rsidR="00164678">
        <w:rPr>
          <w:rFonts w:ascii="Times New Roman" w:eastAsia="SimSun" w:hAnsi="Times New Roman"/>
          <w:sz w:val="24"/>
          <w:szCs w:val="24"/>
          <w:vertAlign w:val="superscript"/>
          <w:lang w:eastAsia="zh-CN"/>
        </w:rPr>
        <w:t>1</w:t>
      </w:r>
      <w:r w:rsidR="00164678">
        <w:rPr>
          <w:rFonts w:ascii="Times New Roman" w:eastAsia="SimSun" w:hAnsi="Times New Roman"/>
          <w:sz w:val="24"/>
          <w:szCs w:val="24"/>
          <w:lang w:eastAsia="zh-CN"/>
        </w:rPr>
        <w:t>, Marco Bellagamba</w:t>
      </w:r>
      <w:r w:rsidR="00164678">
        <w:rPr>
          <w:rFonts w:ascii="Times New Roman" w:eastAsia="SimSun" w:hAnsi="Times New Roman"/>
          <w:sz w:val="24"/>
          <w:szCs w:val="24"/>
          <w:vertAlign w:val="superscript"/>
          <w:lang w:eastAsia="zh-CN"/>
        </w:rPr>
        <w:t>2</w:t>
      </w:r>
      <w:r w:rsidR="00164678">
        <w:rPr>
          <w:rFonts w:ascii="Times New Roman" w:eastAsia="SimSun" w:hAnsi="Times New Roman"/>
          <w:sz w:val="24"/>
          <w:szCs w:val="24"/>
          <w:lang w:eastAsia="zh-CN"/>
        </w:rPr>
        <w:t xml:space="preserve">, </w:t>
      </w:r>
      <w:r w:rsidR="0050754C">
        <w:rPr>
          <w:rFonts w:ascii="Times New Roman" w:eastAsia="SimSun" w:hAnsi="Times New Roman"/>
          <w:sz w:val="24"/>
          <w:szCs w:val="24"/>
          <w:lang w:eastAsia="zh-CN"/>
        </w:rPr>
        <w:t>Marco Buccolini</w:t>
      </w:r>
      <w:r w:rsidR="0050754C">
        <w:rPr>
          <w:rFonts w:ascii="Times New Roman" w:eastAsia="SimSun" w:hAnsi="Times New Roman"/>
          <w:sz w:val="24"/>
          <w:szCs w:val="24"/>
          <w:vertAlign w:val="superscript"/>
          <w:lang w:eastAsia="zh-CN"/>
        </w:rPr>
        <w:t>2</w:t>
      </w:r>
      <w:r w:rsidR="0050754C">
        <w:rPr>
          <w:rFonts w:ascii="Times New Roman" w:eastAsia="SimSun" w:hAnsi="Times New Roman"/>
          <w:sz w:val="24"/>
          <w:szCs w:val="24"/>
          <w:lang w:eastAsia="zh-CN"/>
        </w:rPr>
        <w:t xml:space="preserve">, </w:t>
      </w:r>
      <w:r w:rsidR="00164678">
        <w:rPr>
          <w:rFonts w:ascii="Times New Roman" w:eastAsia="SimSun" w:hAnsi="Times New Roman"/>
          <w:sz w:val="24"/>
          <w:szCs w:val="24"/>
          <w:lang w:eastAsia="zh-CN"/>
        </w:rPr>
        <w:t>Marco Petrangeli Papini</w:t>
      </w:r>
      <w:r w:rsidR="00164678">
        <w:rPr>
          <w:rFonts w:ascii="Times New Roman" w:eastAsia="SimSun" w:hAnsi="Times New Roman"/>
          <w:sz w:val="24"/>
          <w:szCs w:val="24"/>
          <w:vertAlign w:val="superscript"/>
          <w:lang w:eastAsia="zh-CN"/>
        </w:rPr>
        <w:t>1</w:t>
      </w:r>
      <w:r w:rsidR="00DA51A3" w:rsidRPr="000B3E4D">
        <w:rPr>
          <w:rFonts w:ascii="Times New Roman" w:eastAsia="SimSun" w:hAnsi="Times New Roman"/>
          <w:sz w:val="24"/>
          <w:szCs w:val="24"/>
          <w:lang w:eastAsia="zh-CN"/>
        </w:rPr>
        <w:t xml:space="preserve"> </w:t>
      </w:r>
    </w:p>
    <w:p w14:paraId="27170D8B" w14:textId="77777777" w:rsidR="00863142" w:rsidRDefault="00DA51A3" w:rsidP="00DA51A3">
      <w:pPr>
        <w:snapToGrid w:val="0"/>
        <w:spacing w:after="120"/>
        <w:jc w:val="center"/>
        <w:rPr>
          <w:rFonts w:ascii="Times New Roman" w:eastAsia="MS PGothic" w:hAnsi="Times New Roman"/>
          <w:i/>
          <w:iCs/>
          <w:sz w:val="20"/>
          <w:lang w:val="en-US"/>
        </w:rPr>
      </w:pPr>
      <w:r w:rsidRPr="00863142">
        <w:rPr>
          <w:rFonts w:ascii="Times New Roman" w:eastAsia="MS PGothic" w:hAnsi="Times New Roman"/>
          <w:i/>
          <w:iCs/>
          <w:sz w:val="20"/>
          <w:vertAlign w:val="superscript"/>
          <w:lang w:val="en-US"/>
        </w:rPr>
        <w:t>1</w:t>
      </w:r>
      <w:r w:rsidRPr="00466FFD">
        <w:rPr>
          <w:rFonts w:ascii="Times New Roman" w:eastAsia="MS PGothic" w:hAnsi="Times New Roman"/>
          <w:i/>
          <w:iCs/>
          <w:sz w:val="20"/>
          <w:lang w:val="en-US"/>
        </w:rPr>
        <w:t xml:space="preserve"> </w:t>
      </w:r>
      <w:r w:rsidR="00863142" w:rsidRPr="00863142">
        <w:rPr>
          <w:rFonts w:ascii="Times New Roman" w:eastAsia="MS PGothic" w:hAnsi="Times New Roman"/>
          <w:i/>
          <w:iCs/>
          <w:sz w:val="20"/>
          <w:lang w:val="en-US"/>
        </w:rPr>
        <w:t xml:space="preserve">Department of Chemistry, Sapienza University, </w:t>
      </w:r>
      <w:proofErr w:type="spellStart"/>
      <w:proofErr w:type="gramStart"/>
      <w:r w:rsidR="00863142" w:rsidRPr="00863142">
        <w:rPr>
          <w:rFonts w:ascii="Times New Roman" w:eastAsia="MS PGothic" w:hAnsi="Times New Roman"/>
          <w:i/>
          <w:iCs/>
          <w:sz w:val="20"/>
          <w:lang w:val="en-US"/>
        </w:rPr>
        <w:t>P.le</w:t>
      </w:r>
      <w:proofErr w:type="spellEnd"/>
      <w:proofErr w:type="gramEnd"/>
      <w:r w:rsidR="00863142" w:rsidRPr="00863142">
        <w:rPr>
          <w:rFonts w:ascii="Times New Roman" w:eastAsia="MS PGothic" w:hAnsi="Times New Roman"/>
          <w:i/>
          <w:iCs/>
          <w:sz w:val="20"/>
          <w:lang w:val="en-US"/>
        </w:rPr>
        <w:t xml:space="preserve"> Aldo Moro 5, 00185, Rome, Italy</w:t>
      </w:r>
      <w:r w:rsidRPr="00466FFD">
        <w:rPr>
          <w:rFonts w:ascii="Times New Roman" w:eastAsia="MS PGothic" w:hAnsi="Times New Roman"/>
          <w:i/>
          <w:iCs/>
          <w:sz w:val="20"/>
          <w:lang w:val="en-US"/>
        </w:rPr>
        <w:t xml:space="preserve">; </w:t>
      </w:r>
    </w:p>
    <w:p w14:paraId="7A602332" w14:textId="0BA21A99" w:rsidR="00DA51A3" w:rsidRPr="00863142" w:rsidRDefault="00DA51A3" w:rsidP="00DA51A3">
      <w:pPr>
        <w:snapToGrid w:val="0"/>
        <w:spacing w:after="120"/>
        <w:jc w:val="center"/>
        <w:rPr>
          <w:rFonts w:ascii="Times New Roman" w:eastAsia="MS PGothic" w:hAnsi="Times New Roman"/>
          <w:i/>
          <w:iCs/>
          <w:sz w:val="20"/>
        </w:rPr>
      </w:pPr>
      <w:r w:rsidRPr="00863142">
        <w:rPr>
          <w:rFonts w:ascii="Times New Roman" w:eastAsia="MS PGothic" w:hAnsi="Times New Roman"/>
          <w:i/>
          <w:iCs/>
          <w:sz w:val="20"/>
          <w:vertAlign w:val="superscript"/>
        </w:rPr>
        <w:t>2</w:t>
      </w:r>
      <w:r w:rsidRPr="00863142">
        <w:rPr>
          <w:rFonts w:ascii="Times New Roman" w:eastAsia="MS PGothic" w:hAnsi="Times New Roman"/>
          <w:i/>
          <w:iCs/>
          <w:sz w:val="20"/>
        </w:rPr>
        <w:t xml:space="preserve"> </w:t>
      </w:r>
      <w:proofErr w:type="spellStart"/>
      <w:r w:rsidR="00863142" w:rsidRPr="00863142">
        <w:rPr>
          <w:rFonts w:ascii="Times New Roman" w:eastAsia="MS PGothic" w:hAnsi="Times New Roman"/>
          <w:i/>
          <w:iCs/>
          <w:sz w:val="20"/>
        </w:rPr>
        <w:t>Chimec</w:t>
      </w:r>
      <w:proofErr w:type="spellEnd"/>
      <w:r w:rsidR="00863142" w:rsidRPr="00863142">
        <w:rPr>
          <w:rFonts w:ascii="Times New Roman" w:eastAsia="MS PGothic" w:hAnsi="Times New Roman"/>
          <w:i/>
          <w:iCs/>
          <w:sz w:val="20"/>
        </w:rPr>
        <w:t xml:space="preserve"> </w:t>
      </w:r>
      <w:proofErr w:type="spellStart"/>
      <w:r w:rsidR="00863142" w:rsidRPr="00863142">
        <w:rPr>
          <w:rFonts w:ascii="Times New Roman" w:eastAsia="MS PGothic" w:hAnsi="Times New Roman"/>
          <w:i/>
          <w:iCs/>
          <w:sz w:val="20"/>
        </w:rPr>
        <w:t>SpA</w:t>
      </w:r>
      <w:proofErr w:type="spellEnd"/>
      <w:r w:rsidR="00863142" w:rsidRPr="00863142">
        <w:rPr>
          <w:rFonts w:ascii="Times New Roman" w:eastAsia="MS PGothic" w:hAnsi="Times New Roman"/>
          <w:i/>
          <w:iCs/>
          <w:sz w:val="20"/>
        </w:rPr>
        <w:t xml:space="preserve">, Via Ardeatina, 0007, Pomezia, </w:t>
      </w:r>
      <w:proofErr w:type="spellStart"/>
      <w:r w:rsidR="00863142" w:rsidRPr="00863142">
        <w:rPr>
          <w:rFonts w:ascii="Times New Roman" w:eastAsia="MS PGothic" w:hAnsi="Times New Roman"/>
          <w:i/>
          <w:iCs/>
          <w:sz w:val="20"/>
        </w:rPr>
        <w:t>Italy</w:t>
      </w:r>
      <w:proofErr w:type="spellEnd"/>
      <w:r w:rsidR="00863142" w:rsidRPr="00863142">
        <w:rPr>
          <w:rFonts w:ascii="Times New Roman" w:eastAsia="MS PGothic" w:hAnsi="Times New Roman"/>
          <w:i/>
          <w:iCs/>
          <w:sz w:val="20"/>
        </w:rPr>
        <w:t>,</w:t>
      </w:r>
    </w:p>
    <w:p w14:paraId="5533360A" w14:textId="7B6FCA3F"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hyperlink r:id="rId8" w:history="1">
        <w:r w:rsidR="00A64C20" w:rsidRPr="004D01FC">
          <w:rPr>
            <w:rStyle w:val="Collegamentoipertestuale"/>
            <w:rFonts w:ascii="Times New Roman" w:eastAsia="MS PGothic" w:hAnsi="Times New Roman"/>
            <w:bCs/>
            <w:i/>
            <w:iCs/>
            <w:sz w:val="20"/>
            <w:lang w:val="en-US"/>
          </w:rPr>
          <w:t>berardino.barbati@uniroma1.it</w:t>
        </w:r>
      </w:hyperlink>
      <w:r w:rsidR="00863142">
        <w:rPr>
          <w:rFonts w:ascii="Times New Roman" w:eastAsia="MS PGothic" w:hAnsi="Times New Roman"/>
          <w:bCs/>
          <w:i/>
          <w:iCs/>
          <w:sz w:val="20"/>
          <w:lang w:val="en-US"/>
        </w:rPr>
        <w:t xml:space="preserve"> </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7ADA4537" w14:textId="3D729BE2" w:rsidR="00257033" w:rsidRDefault="00DA51A3" w:rsidP="002A5F15">
      <w:pPr>
        <w:snapToGrid w:val="0"/>
        <w:spacing w:line="300" w:lineRule="auto"/>
        <w:rPr>
          <w:rFonts w:ascii="Times New Roman" w:eastAsia="MS PGothic" w:hAnsi="Times New Roman"/>
          <w:b/>
          <w:bCs/>
          <w:lang w:val="en-US"/>
        </w:rPr>
      </w:pPr>
      <w:r w:rsidRPr="00466FFD">
        <w:rPr>
          <w:rFonts w:ascii="Times New Roman" w:eastAsia="MS PGothic" w:hAnsi="Times New Roman"/>
          <w:b/>
          <w:bCs/>
          <w:lang w:val="en-US"/>
        </w:rPr>
        <w:t>1.</w:t>
      </w:r>
      <w:r w:rsidR="007614D3">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438113B3" w14:textId="39F1FB50" w:rsidR="007614D3" w:rsidRPr="008865DF" w:rsidRDefault="007614D3" w:rsidP="008865DF">
      <w:pPr>
        <w:snapToGrid w:val="0"/>
        <w:spacing w:after="120"/>
        <w:jc w:val="both"/>
        <w:rPr>
          <w:rStyle w:val="corrected-phrasedisplayed-text"/>
          <w:rFonts w:ascii="Times New Roman" w:hAnsi="Times New Roman" w:cs="Times New Roman"/>
          <w:lang w:val="en"/>
        </w:rPr>
      </w:pPr>
      <w:r w:rsidRPr="007A2A60">
        <w:rPr>
          <w:rStyle w:val="corrected-phrasedisplayed-text"/>
          <w:rFonts w:ascii="Times New Roman" w:hAnsi="Times New Roman" w:cs="Times New Roman"/>
          <w:lang w:val="en-US"/>
        </w:rPr>
        <w:t>Soils and aquifers contamination by Non-Aqueous Phase Liquids (NAPLs) is a serious problem on a global scale, due their strong toxicity</w:t>
      </w:r>
      <w:r w:rsidR="0080783B">
        <w:rPr>
          <w:rStyle w:val="corrected-phrasedisplayed-text"/>
          <w:rFonts w:ascii="Times New Roman" w:hAnsi="Times New Roman" w:cs="Times New Roman"/>
          <w:lang w:val="en-US"/>
        </w:rPr>
        <w:t xml:space="preserve"> </w:t>
      </w:r>
      <w:r w:rsidR="0080783B">
        <w:rPr>
          <w:rStyle w:val="corrected-phrasedisplayed-text"/>
          <w:rFonts w:ascii="Times New Roman" w:hAnsi="Times New Roman" w:cs="Times New Roman"/>
          <w:lang w:val="en-US"/>
        </w:rPr>
        <w:fldChar w:fldCharType="begin" w:fldLock="1"/>
      </w:r>
      <w:r w:rsidR="00FA456A">
        <w:rPr>
          <w:rStyle w:val="corrected-phrasedisplayed-text"/>
          <w:rFonts w:ascii="Times New Roman" w:hAnsi="Times New Roman" w:cs="Times New Roman"/>
          <w:lang w:val="en-US"/>
        </w:rPr>
        <w:instrText xml:space="preserve">ADDIN CSL_CITATION {"citationItems":[{"id":"ITEM-1","itemData":{"DOI":"10.1016/j.jconhyd.2020.103728","ISSN":"18736009","PMID":"33069942","abstract":"A complex mixture of dissolved organic contaminants, emanating from a many decades-old, residual, dense non-aqueous phase liquid (DNAPL) source, migrates through unconfined, moderately heterogeneous, glacial-derived sediments and sedimentary rock in a residential area of Dane County, Wisconsin, USA. A portion of this contaminant plume intersects a large man-made pond, roughly 400 m downgradient of the source zone. Depth-discrete, multilevel groundwater sampling, detailed sedimentological logs, and hydraulic head profiles were used to delineate the spatial distribution of hydraulic, geologic, organic contaminant, and redox hydrochemical conditions within the established plume along two transects immediately upgradient of the pond. Twenty-one contaminants were detected and classified into four major contaminant groups: chlorinated ethenes, chlorinated ethanes, aromatics (BTEX: benzene, toluene, ethylbenzene, xylene), and aliphatic ketones. Within the glacial sediments and shallow bedrock, zones of reductive dechlorination of chlorinated ethenes and ethanes were juxtaposed with zones of BTEX and ketone degradation. Spatial heterogeneity in the concentration and distribution of contaminant groups and redox conditions was observed over lateral distances of tens of meters and vertical distances of tens of centimeters along the two transects. Although the site was situated in a complex glacial depositional environment, lithologic and hydraulic heterogeneity surprisingly only had a modest influence on the spatial distribution of plume contaminants. Depth-discrete sampling along paired, closely spaced transects (~20 m apart) was essential to assess internal plume composition/concentration evolution along flow paths with strong attenuation over short migration distances. This study shows how paired, highly resolved transects can enhance understanding of transverse and longitudinal variability in areas where contaminant-induced redox conditions control reaction zones and strong plume attenuation.","author":[{"dropping-particle":"","family":"Steelman","given":"Colby M.","non-dropping-particle":"","parse-names":false,"suffix":""},{"dropping-particle":"","family":"Meyer","given":"Jessica R.","non-dropping-particle":"","parse-names":false,"suffix":""},{"dropping-particle":"","family":"Wanner","given":"Philipp","non-dropping-particle":"","parse-names":false,"suffix":""},{"dropping-particle":"","family":"Swanson","given":"Benjamin J.","non-dropping-particle":"","parse-names":false,"suffix":""},{"dropping-particle":"","family":"Conway-White","given":"Oliver","non-dropping-particle":"","parse-names":false,"suffix":""},{"dropping-particle":"","family":"Parker","given":"Beth L.","non-dropping-particle":"","parse-names":false,"suffix":""}],"container-title":"Journal of Contaminant Hydrology","id":"ITEM-1","issued":{"date-parts":[["2020","11","1"]]},"publisher":"Elsevier B.V.","title":"The importance of transects for characterizing aged organic contaminant plumes in groundwater","type":"article-journal","volume":"235"},"uris":["http://www.mendeley.com/documents/?uuid=d7239da9-7a31-34fc-92df-200ac3b3da3f"]},{"id":"ITEM-2","itemData":{"DOI":"10.1016/j.jhazmat.2018.11.057","ISSN":"18733336","PMID":"30476803","abstract":"The purpose of this study is to evaluate the impact of heterogeneity on the long-term performance of a large pump-and-treat (PAT) system that has been in operation for 30 years at a site located in Tucson, AZ. A 3D numerical model was developed. Three different concentrations were examined: composite concentration in the influent to the treatment plant, resident concentration in the aquifer, and concentration for downgradient boundary discharge. The time scales needed for concentrations measured in these ways to reach the Maximum Contaminant Levels (MCLs) are significantly different, with </w:instrText>
      </w:r>
      <w:r w:rsidR="00FA456A">
        <w:rPr>
          <w:rStyle w:val="corrected-phrasedisplayed-text"/>
          <w:rFonts w:ascii="Cambria Math" w:hAnsi="Cambria Math" w:cs="Cambria Math"/>
          <w:lang w:val="en-US"/>
        </w:rPr>
        <w:instrText>∼</w:instrText>
      </w:r>
      <w:r w:rsidR="00FA456A">
        <w:rPr>
          <w:rStyle w:val="corrected-phrasedisplayed-text"/>
          <w:rFonts w:ascii="Times New Roman" w:hAnsi="Times New Roman" w:cs="Times New Roman"/>
          <w:lang w:val="en-US"/>
        </w:rPr>
        <w:instrText xml:space="preserve">125 years required for treatment-plant influent compared to </w:instrText>
      </w:r>
      <w:r w:rsidR="00FA456A">
        <w:rPr>
          <w:rStyle w:val="corrected-phrasedisplayed-text"/>
          <w:rFonts w:ascii="Cambria Math" w:hAnsi="Cambria Math" w:cs="Cambria Math"/>
          <w:lang w:val="en-US"/>
        </w:rPr>
        <w:instrText>∼</w:instrText>
      </w:r>
      <w:r w:rsidR="00FA456A">
        <w:rPr>
          <w:rStyle w:val="corrected-phrasedisplayed-text"/>
          <w:rFonts w:ascii="Times New Roman" w:hAnsi="Times New Roman" w:cs="Times New Roman"/>
          <w:lang w:val="en-US"/>
        </w:rPr>
        <w:instrText>225 years for downgradient boundary discharge and &gt;&gt;227 years (total simulated time) for the resident concentration in the aquifer. These large time scales, compared to 36 years for a hypothetical homogeneous system, demonstrate the significant impacts of permeability heterogeneity on remediation at this site. The possibility of closure of the site was investigated by examining the mass discharge from the site boundary and the concentration rebound after simulating shutdown of the PAT system. The results of this study provide insight on evaluation of closure potential for large, complex contamination sites and a reference on selecting performance metrics for site management.","author":[{"dropping-particle":"","family":"Guo","given":"Zhilin","non-dropping-particle":"","parse-names":false,"suffix":""},{"dropping-particle":"","family":"Brusseau","given":"Mark L.","non-dropping-particle":"","parse-names":false,"suffix":""},{"dropping-particle":"","family":"Fogg","given":"Graham E.","non-dropping-particle":"","parse-names":false,"suffix":""}],"container-title":"Journal of Hazardous Materials","id":"ITEM-2","issued":{"date-parts":[["2019","3","5"]]},"page":"796-803","publisher":"Elsevier B.V.","title":"Determining the long-term operational performance of pump and treat and the possibility of closure for a large TCE plume","type":"article-journal","volume":"365"},"uris":["http://www.mendeley.com/documents/?uuid=1455df7b-300f-31ea-ba8a-daec0504a6b1"]}],"mendeley":{"formattedCitation":"[1], [2]","manualFormatting":"[1, 2]","plainTextFormattedCitation":"[1], [2]","previouslyFormattedCitation":"[1], [2]"},"properties":{"noteIndex":0},"schema":"https://github.com/citation-style-language/schema/raw/master/csl-citation.json"}</w:instrText>
      </w:r>
      <w:r w:rsidR="0080783B">
        <w:rPr>
          <w:rStyle w:val="corrected-phrasedisplayed-text"/>
          <w:rFonts w:ascii="Times New Roman" w:hAnsi="Times New Roman" w:cs="Times New Roman"/>
          <w:lang w:val="en-US"/>
        </w:rPr>
        <w:fldChar w:fldCharType="separate"/>
      </w:r>
      <w:r w:rsidR="0080783B" w:rsidRPr="0080783B">
        <w:rPr>
          <w:rStyle w:val="corrected-phrasedisplayed-text"/>
          <w:rFonts w:ascii="Times New Roman" w:hAnsi="Times New Roman" w:cs="Times New Roman"/>
          <w:noProof/>
          <w:lang w:val="en-US"/>
        </w:rPr>
        <w:t>[1, 2]</w:t>
      </w:r>
      <w:r w:rsidR="0080783B">
        <w:rPr>
          <w:rStyle w:val="corrected-phrasedisplayed-text"/>
          <w:rFonts w:ascii="Times New Roman" w:hAnsi="Times New Roman" w:cs="Times New Roman"/>
          <w:lang w:val="en-US"/>
        </w:rPr>
        <w:fldChar w:fldCharType="end"/>
      </w:r>
      <w:r w:rsidRPr="005610F5">
        <w:rPr>
          <w:lang w:val="en-US" w:eastAsia="en-GB"/>
        </w:rPr>
        <w:t>.</w:t>
      </w:r>
      <w:r w:rsidRPr="007A2A60">
        <w:rPr>
          <w:rStyle w:val="corrected-phrasedisplayed-text"/>
          <w:rFonts w:ascii="Times New Roman" w:hAnsi="Times New Roman" w:cs="Times New Roman"/>
          <w:lang w:val="en-US"/>
        </w:rPr>
        <w:t xml:space="preserve"> NAPLs are hydrophobic organic pollutants, </w:t>
      </w:r>
      <w:r w:rsidRPr="005610F5">
        <w:rPr>
          <w:rFonts w:ascii="Times New Roman" w:hAnsi="Times New Roman" w:cs="Times New Roman"/>
          <w:lang w:val="en"/>
        </w:rPr>
        <w:t xml:space="preserve">characterized by a very low solubility and immiscibility in water and a high tendency to accumulate in the </w:t>
      </w:r>
      <w:r>
        <w:rPr>
          <w:rFonts w:ascii="Times New Roman" w:hAnsi="Times New Roman" w:cs="Times New Roman"/>
          <w:lang w:val="en"/>
        </w:rPr>
        <w:t xml:space="preserve">soil </w:t>
      </w:r>
      <w:r w:rsidRPr="005610F5">
        <w:rPr>
          <w:rFonts w:ascii="Times New Roman" w:hAnsi="Times New Roman" w:cs="Times New Roman"/>
          <w:lang w:val="en"/>
        </w:rPr>
        <w:t>organic fraction</w:t>
      </w:r>
      <w:r w:rsidR="00A1383D">
        <w:rPr>
          <w:rFonts w:ascii="Times New Roman" w:hAnsi="Times New Roman" w:cs="Times New Roman"/>
          <w:lang w:val="en"/>
        </w:rPr>
        <w:t xml:space="preserve"> </w:t>
      </w:r>
      <w:r w:rsidR="00A1383D">
        <w:rPr>
          <w:rFonts w:ascii="Times New Roman" w:hAnsi="Times New Roman" w:cs="Times New Roman"/>
          <w:lang w:val="en"/>
        </w:rPr>
        <w:fldChar w:fldCharType="begin" w:fldLock="1"/>
      </w:r>
      <w:r w:rsidR="00A1383D">
        <w:rPr>
          <w:rFonts w:ascii="Times New Roman" w:hAnsi="Times New Roman" w:cs="Times New Roman"/>
          <w:lang w:val="en"/>
        </w:rPr>
        <w:instrText>ADDIN CSL_CITATION {"citationItems":[{"id":"ITEM-1","itemData":{"DOI":"10.1016/j.scitotenv.2020.144142","ISSN":"18791026","PMID":"33302075","abstract":"Oil leakage, which is inevitable in the process of extraction, processing, transportation and storage, seriously undermines the soil and groundwater environment. Surfactants can facilitate the migration and solution of oil contaminants from nonaqueous phase liquid (NAPL) or solid phase to water by reducing the (air/water) surface tension, (oil/water) interfacial tension and micellar solubilization. They can effectively enhance the hydrodynamic driven remediation technologies by improving the contact efficiency of contaminants and liquid remediation agents or microorganism, and have been widely used to enhance the remediation of oil-contaminated sites. This paper summarizes the characteristics of different types of surfactants such as nonionic, anionic, biological and mixed surfactants, their enhancements to the remediation of oil-contaminated soil and groundwater, and examines the factors influencing surfactant performance. The causes of tailing and rebound effects and the role of surfactants in suppressing them are also discussed. Laboratory researches and actual site remediation practices have shown that various types of surfactants offer diverse options. Biosurfactants and mixed surfactants are superior and worth attention among the surfactants. Using surfactant foams, adding shear-thinning polymers, and combining surfactants with in-situ chemical oxidation are effective ways to resolve tailing and rebound effects. The adsorption of surfactants on soils and aquifer sediments decreases remediation efficiency and may cause secondary pollution, Therefore the adsorption loss should be noticed and minimized.","author":[{"dropping-particle":"","family":"Liu","given":"Jian Wu","non-dropping-particle":"","parse-names":false,"suffix":""},{"dropping-particle":"","family":"Wei","given":"Kun Hao","non-dropping-particle":"","parse-names":false,"suffix":""},{"dropping-particle":"","family":"Xu","given":"Shao Wei","non-dropping-particle":"","parse-names":false,"suffix":""},{"dropping-particle":"","family":"Cui","given":"Jun","non-dropping-particle":"","parse-names":false,"suffix":""},{"dropping-particle":"","family":"Ma","given":"Jie","non-dropping-particle":"","parse-names":false,"suffix":""},{"dropping-particle":"","family":"Xiao","given":"Xiao Long","non-dropping-particle":"","parse-names":false,"suffix":""},{"dropping-particle":"","family":"Xi","given":"Bei Dou","non-dropping-particle":"","parse-names":false,"suffix":""},{"dropping-particle":"","family":"He","given":"Xiao Song","non-dropping-particle":"","parse-names":false,"suffix":""}],"container-title":"Science of the Total Environment","id":"ITEM-1","issued":{"date-parts":[["2021"]]},"page":"144142","publisher":"Elsevier B.V.","title":"Surfactant-enhanced remediation of oil-contaminated soil and groundwater: A review","type":"article-journal","volume":"756"},"uris":["http://www.mendeley.com/documents/?uuid=f388fbd0-0310-44c9-b32c-66d373eaff73"]}],"mendeley":{"formattedCitation":"[3]","plainTextFormattedCitation":"[3]","previouslyFormattedCitation":"[3]"},"properties":{"noteIndex":0},"schema":"https://github.com/citation-style-language/schema/raw/master/csl-citation.json"}</w:instrText>
      </w:r>
      <w:r w:rsidR="00A1383D">
        <w:rPr>
          <w:rFonts w:ascii="Times New Roman" w:hAnsi="Times New Roman" w:cs="Times New Roman"/>
          <w:lang w:val="en"/>
        </w:rPr>
        <w:fldChar w:fldCharType="separate"/>
      </w:r>
      <w:r w:rsidR="00A1383D" w:rsidRPr="00A1383D">
        <w:rPr>
          <w:rFonts w:ascii="Times New Roman" w:hAnsi="Times New Roman" w:cs="Times New Roman"/>
          <w:noProof/>
          <w:lang w:val="en"/>
        </w:rPr>
        <w:t>[3]</w:t>
      </w:r>
      <w:r w:rsidR="00A1383D">
        <w:rPr>
          <w:rFonts w:ascii="Times New Roman" w:hAnsi="Times New Roman" w:cs="Times New Roman"/>
          <w:lang w:val="en"/>
        </w:rPr>
        <w:fldChar w:fldCharType="end"/>
      </w:r>
      <w:r w:rsidR="008865DF">
        <w:rPr>
          <w:rFonts w:ascii="Times New Roman" w:hAnsi="Times New Roman" w:cs="Times New Roman"/>
          <w:lang w:val="en"/>
        </w:rPr>
        <w:t xml:space="preserve">. </w:t>
      </w:r>
      <w:r w:rsidR="008865DF">
        <w:rPr>
          <w:rStyle w:val="corrected-phrasedisplayed-text"/>
          <w:rFonts w:ascii="Times New Roman" w:hAnsi="Times New Roman" w:cs="Times New Roman"/>
          <w:lang w:val="en-US"/>
        </w:rPr>
        <w:t xml:space="preserve">NAPLs </w:t>
      </w:r>
      <w:r w:rsidR="008865DF" w:rsidRPr="007A2A60">
        <w:rPr>
          <w:rStyle w:val="corrected-phrasedisplayed-text"/>
          <w:rFonts w:ascii="Times New Roman" w:hAnsi="Times New Roman" w:cs="Times New Roman"/>
          <w:lang w:val="en-US"/>
        </w:rPr>
        <w:t>are</w:t>
      </w:r>
      <w:r w:rsidRPr="007A2A60">
        <w:rPr>
          <w:rStyle w:val="corrected-phrasedisplayed-text"/>
          <w:rFonts w:ascii="Times New Roman" w:hAnsi="Times New Roman" w:cs="Times New Roman"/>
          <w:lang w:val="en-US"/>
        </w:rPr>
        <w:t xml:space="preserve"> classified into </w:t>
      </w:r>
      <w:r>
        <w:rPr>
          <w:rStyle w:val="corrected-phrasedisplayed-text"/>
          <w:rFonts w:ascii="Times New Roman" w:hAnsi="Times New Roman" w:cs="Times New Roman"/>
          <w:lang w:val="en-US"/>
        </w:rPr>
        <w:t>dense</w:t>
      </w:r>
      <w:r w:rsidRPr="007A2A60">
        <w:rPr>
          <w:rStyle w:val="corrected-phrasedisplayed-text"/>
          <w:rFonts w:ascii="Times New Roman" w:hAnsi="Times New Roman" w:cs="Times New Roman"/>
          <w:lang w:val="en-US"/>
        </w:rPr>
        <w:t xml:space="preserve"> </w:t>
      </w:r>
      <w:r>
        <w:rPr>
          <w:rStyle w:val="corrected-phrasedisplayed-text"/>
          <w:rFonts w:ascii="Times New Roman" w:hAnsi="Times New Roman" w:cs="Times New Roman"/>
          <w:lang w:val="en-US"/>
        </w:rPr>
        <w:t xml:space="preserve">(DNAPLs) </w:t>
      </w:r>
      <w:r w:rsidRPr="007A2A60">
        <w:rPr>
          <w:rStyle w:val="corrected-phrasedisplayed-text"/>
          <w:rFonts w:ascii="Times New Roman" w:hAnsi="Times New Roman" w:cs="Times New Roman"/>
          <w:lang w:val="en-US"/>
        </w:rPr>
        <w:t xml:space="preserve">and </w:t>
      </w:r>
      <w:r>
        <w:rPr>
          <w:rStyle w:val="corrected-phrasedisplayed-text"/>
          <w:rFonts w:ascii="Times New Roman" w:hAnsi="Times New Roman" w:cs="Times New Roman"/>
          <w:lang w:val="en-US"/>
        </w:rPr>
        <w:t xml:space="preserve">light (LNAPLs) </w:t>
      </w:r>
      <w:r w:rsidRPr="007A2A60">
        <w:rPr>
          <w:rStyle w:val="corrected-phrasedisplayed-text"/>
          <w:rFonts w:ascii="Times New Roman" w:hAnsi="Times New Roman" w:cs="Times New Roman"/>
          <w:lang w:val="en-US"/>
        </w:rPr>
        <w:t xml:space="preserve">if the </w:t>
      </w:r>
      <w:r w:rsidRPr="00D22C20">
        <w:rPr>
          <w:rStyle w:val="corrected-phrasedisplayed-text"/>
          <w:rFonts w:ascii="Times New Roman" w:hAnsi="Times New Roman" w:cs="Times New Roman"/>
          <w:shd w:val="clear" w:color="auto" w:fill="F0F0F0"/>
          <w:lang w:val="en-US"/>
        </w:rPr>
        <w:t>density</w:t>
      </w:r>
      <w:r w:rsidRPr="007A2A60">
        <w:rPr>
          <w:rStyle w:val="corrected-phrasedisplayed-text"/>
          <w:rFonts w:ascii="Times New Roman" w:hAnsi="Times New Roman" w:cs="Times New Roman"/>
          <w:lang w:val="en-US"/>
        </w:rPr>
        <w:t xml:space="preserve"> is greater or less than water, respectively</w:t>
      </w:r>
      <w:r w:rsidR="00A1383D">
        <w:rPr>
          <w:rStyle w:val="corrected-phrasedisplayed-text"/>
          <w:rFonts w:ascii="Times New Roman" w:hAnsi="Times New Roman" w:cs="Times New Roman"/>
          <w:lang w:val="en-US"/>
        </w:rPr>
        <w:t xml:space="preserve"> </w:t>
      </w:r>
      <w:r w:rsidR="00A1383D">
        <w:rPr>
          <w:rStyle w:val="corrected-phrasedisplayed-text"/>
          <w:rFonts w:ascii="Times New Roman" w:hAnsi="Times New Roman" w:cs="Times New Roman"/>
          <w:lang w:val="en-US"/>
        </w:rPr>
        <w:fldChar w:fldCharType="begin" w:fldLock="1"/>
      </w:r>
      <w:r w:rsidR="00A1383D">
        <w:rPr>
          <w:rStyle w:val="corrected-phrasedisplayed-text"/>
          <w:rFonts w:ascii="Times New Roman" w:hAnsi="Times New Roman" w:cs="Times New Roman"/>
          <w:lang w:val="en-US"/>
        </w:rPr>
        <w:instrText>ADDIN CSL_CITATION {"citationItems":[{"id":"ITEM-1","itemData":{"DOI":"10.1016/j.chemosphere.2020.126620","ISSN":"18791298","PMID":"32443278","abstract":"In recent years, surfactant-enhanced aquifer remediation (SEAR) has attracted increasing interest duo to the high efficiency of removing non-aqueous phase liquids (NAPLs) from aquifer. A thorough understanding of SEAR is necessary for its successful implementation in field remediation. This paper reviewed the SEAR technology in a comprehensive way based on the recent research advances. Firstly, an overview of the basic processes and mechanisms underlying the technology was presented. Secondly, applications of SEAR and the factors that influence the performance were summarized. Thirdly, the key limitations of SEAR, which are downward migration of dense-NAPLs, secondary pollution of surfactants, adsorptive, precipitative and partitioning loss of surfactants, and heterogeneity of the aquifer, were reviewed. Finally, the recent advances in modifying SEAR to overcome the limitations were discussed in detail. The review will promote our understanding of SEAR technology and provide some useful information to improve the performance of SEAR in applications.","author":[{"dropping-particle":"","family":"Huo","given":"Lili","non-dropping-particle":"","parse-names":false,"suffix":""},{"dropping-particle":"","family":"Liu","given":"Guansheng","non-dropping-particle":"","parse-names":false,"suffix":""},{"dropping-particle":"","family":"Yang","given":"Xin","non-dropping-particle":"","parse-names":false,"suffix":""},{"dropping-particle":"","family":"Ahmad","given":"Zulfiqar","non-dropping-particle":"","parse-names":false,"suffix":""},{"dropping-particle":"","family":"Zhong","given":"Hua","non-dropping-particle":"","parse-names":false,"suffix":""}],"container-title":"Chemosphere","id":"ITEM-1","issued":{"date-parts":[["2020","8","1"]]},"publisher":"Elsevier Ltd","title":"Surfactant-enhanced aquifer remediation: Mechanisms, influences, limitations and the countermeasures","type":"article","volume":"252"},"uris":["http://www.mendeley.com/documents/?uuid=cbf515fe-37d7-3cd6-9dec-2dff328b5bcc"]}],"mendeley":{"formattedCitation":"[4]","plainTextFormattedCitation":"[4]","previouslyFormattedCitation":"[4]"},"properties":{"noteIndex":0},"schema":"https://github.com/citation-style-language/schema/raw/master/csl-citation.json"}</w:instrText>
      </w:r>
      <w:r w:rsidR="00A1383D">
        <w:rPr>
          <w:rStyle w:val="corrected-phrasedisplayed-text"/>
          <w:rFonts w:ascii="Times New Roman" w:hAnsi="Times New Roman" w:cs="Times New Roman"/>
          <w:lang w:val="en-US"/>
        </w:rPr>
        <w:fldChar w:fldCharType="separate"/>
      </w:r>
      <w:r w:rsidR="00A1383D" w:rsidRPr="00A1383D">
        <w:rPr>
          <w:rStyle w:val="corrected-phrasedisplayed-text"/>
          <w:rFonts w:ascii="Times New Roman" w:hAnsi="Times New Roman" w:cs="Times New Roman"/>
          <w:noProof/>
          <w:lang w:val="en-US"/>
        </w:rPr>
        <w:t>[4]</w:t>
      </w:r>
      <w:r w:rsidR="00A1383D">
        <w:rPr>
          <w:rStyle w:val="corrected-phrasedisplayed-text"/>
          <w:rFonts w:ascii="Times New Roman" w:hAnsi="Times New Roman" w:cs="Times New Roman"/>
          <w:lang w:val="en-US"/>
        </w:rPr>
        <w:fldChar w:fldCharType="end"/>
      </w:r>
      <w:r>
        <w:rPr>
          <w:rStyle w:val="corrected-phrasedisplayed-text"/>
          <w:rFonts w:ascii="Times New Roman" w:hAnsi="Times New Roman" w:cs="Times New Roman"/>
          <w:lang w:val="en-US"/>
        </w:rPr>
        <w:t xml:space="preserve">. </w:t>
      </w:r>
      <w:r w:rsidR="008865DF">
        <w:rPr>
          <w:rFonts w:ascii="Times New Roman" w:hAnsi="Times New Roman" w:cs="Times New Roman"/>
          <w:lang w:val="en"/>
        </w:rPr>
        <w:t>Among the</w:t>
      </w:r>
      <w:r w:rsidR="008865DF" w:rsidRPr="009D4427">
        <w:rPr>
          <w:rFonts w:ascii="Times New Roman" w:hAnsi="Times New Roman" w:cs="Times New Roman"/>
          <w:lang w:val="en"/>
        </w:rPr>
        <w:t xml:space="preserve"> DNAPLs, chlorinated solvents (ethanes, ethenes and chlorinated methanes) are certainly the</w:t>
      </w:r>
      <w:r w:rsidR="008865DF">
        <w:rPr>
          <w:rFonts w:ascii="Times New Roman" w:hAnsi="Times New Roman" w:cs="Times New Roman"/>
          <w:lang w:val="en"/>
        </w:rPr>
        <w:t xml:space="preserve"> compounds</w:t>
      </w:r>
      <w:r w:rsidR="008865DF" w:rsidRPr="009D4427">
        <w:rPr>
          <w:rFonts w:ascii="Times New Roman" w:hAnsi="Times New Roman" w:cs="Times New Roman"/>
          <w:lang w:val="en"/>
        </w:rPr>
        <w:t xml:space="preserve"> most widely identified</w:t>
      </w:r>
      <w:r w:rsidR="008865DF">
        <w:rPr>
          <w:rFonts w:ascii="Times New Roman" w:hAnsi="Times New Roman" w:cs="Times New Roman"/>
          <w:lang w:val="en"/>
        </w:rPr>
        <w:t xml:space="preserve">, </w:t>
      </w:r>
      <w:r w:rsidRPr="007A2A60">
        <w:rPr>
          <w:rStyle w:val="corrected-phrasedisplayed-text"/>
          <w:rFonts w:ascii="Times New Roman" w:hAnsi="Times New Roman" w:cs="Times New Roman"/>
          <w:lang w:val="en-US"/>
        </w:rPr>
        <w:t>while LNAPLs are complex petroleum hydrocarbon mixtures</w:t>
      </w:r>
      <w:r w:rsidR="00A1383D">
        <w:rPr>
          <w:rStyle w:val="corrected-phrasedisplayed-text"/>
          <w:rFonts w:ascii="Times New Roman" w:hAnsi="Times New Roman" w:cs="Times New Roman"/>
          <w:lang w:val="en-US"/>
        </w:rPr>
        <w:t xml:space="preserve"> </w:t>
      </w:r>
      <w:r w:rsidR="00A1383D">
        <w:rPr>
          <w:rStyle w:val="corrected-phrasedisplayed-text"/>
          <w:rFonts w:ascii="Times New Roman" w:hAnsi="Times New Roman" w:cs="Times New Roman"/>
          <w:lang w:val="en-US"/>
        </w:rPr>
        <w:fldChar w:fldCharType="begin" w:fldLock="1"/>
      </w:r>
      <w:r w:rsidR="00FA456A">
        <w:rPr>
          <w:rStyle w:val="corrected-phrasedisplayed-text"/>
          <w:rFonts w:ascii="Times New Roman" w:hAnsi="Times New Roman" w:cs="Times New Roman"/>
          <w:lang w:val="en-US"/>
        </w:rPr>
        <w:instrText>ADDIN CSL_CITATION {"citationItems":[{"id":"ITEM-1","itemData":{"DOI":"10.3390/ijerph17124494","ISSN":"16604601","PMID":"32585799","abstract":"Application of surfactants in the remediation of polluted sites with dense nonaqueous phase liquid (DNAPL) still requires knowledge of partitioning between surfactants and pollutants in the organic and aqueous phases and the time necessary to reach this balance. Two real DNAPLs, generated as wastes in the lindane production and taken from the polluted sites from Sabiñanigo (Spain), were used for investigating the solubilization of 28 chlorinated organic compounds (COCs) applying aqueous surfactant solutions of three nonionic surfactants (E-Mulse® 3 (E3), Tween®80 (T80), and a mixture of Tween®80-Span®80 (TS80)) and an anionic surfactant (sodium dodecyl sulfate (SDS)). The initial concentrations of surfactants were tested within the range of 3–17 g·L−1 . The pH was also modified from 7 to &gt;12. The uptake of nonionic surfactants into the organic phase was higher than the anionic surfactants. Solubilization of COCs with the nonionic surfactants showed similar molar solubilization ratios (MSR = 4.33 mmolCOCs·g−1surf), higher than SDS (MSR = 0.70 mmolCOCs·g−1SDS). Furthermore, under strong alkaline conditions, the MSR value of the nonionic surfactants was unchanged, and the MSR of SDS value increased (MSR = 1.32 mmolCOCs·g−1SDS). The nonionic surfactants did not produce preferential solubilization of COCs; meanwhile, SDS preferentially dissolved the more polar compounds in DNAPL. The time required to reach phase equilibrium was between 24 and 48 h, and this contact time should be assured to optimize the effect of the surfactant injected on COC solubilization.","author":[{"dropping-particle":"","family":"García-Cervilla","given":"Raúl","non-dropping-particle":"","parse-names":false,"suffix":""},{"dropping-particle":"","family":"Romero","given":"Arturo","non-dropping-particle":"","parse-names":false,"suffix":""},{"dropping-particle":"","family":"Santos","given":"Aurora","non-dropping-particle":"","parse-names":false,"suffix":""},{"dropping-particle":"","family":"Lorenzo","given":"David","non-dropping-particle":"","parse-names":false,"suffix":""}],"container-title":"International Journal of Environmental Research and Public Health","id":"ITEM-1","issue":"12","issued":{"date-parts":[["2020","6","2"]]},"page":"1-14","publisher":"MDPI AG","title":"Surfactant-enhanced solubilization of chlorinated organic compounds contained in dnapl from lindane waste: Effect of surfactant type and ph","type":"article-journal","volume":"17"},"uris":["http://www.mendeley.com/documents/?uuid=db43b9ea-9482-33af-b5f0-68c958e8e69a"]},{"id":"ITEM-2","itemData":{"DOI":"10.1029/2018WR023380","ISSN":"19447973","PMID":"29131986","abstract":"Optimizing the remediation of light nonaqueous phase liquids (LNAPLs) to achieve an acceptable endpoint status for a site is not trivial. Recently, Sookhak Lari, Johnston, et al. (2018, https://doi.org/10.1016/j.jhazmat.2017.11.006), Sookhak Lari, Rayner, and Davis (2018, https://doi.org/10.1016/j.jenvman.2018.07.041) conducted three-dimensional multiphase, multicomponent simulations to address LNAPL remediation endpoints for a single recovery well. However, optimized LNAPL remediation for multiple wells is not addressed in the literature. In the first part of this paper, we establish a matrix of 10 simulation scenarios to show the sensitivity of the remedial endpoint (i.e., what is feasibly achieved) to several parameters including viscosity and partitioning attributes of the LNAPL, heterogeneity of the formation, and the location and number of the recovery wells. While this addresses the variability of LNAPL removal from the subsurface and is valuable in its own right, it does not address the optimal removal of LNAPL. We address this in the second part of the paper by linking a genetic algorithm to TMVOC-MP to allow, for example, the assessment of the optimal number and location of LNAPL recovery wells in a field-scale problem. Using supercomputing facilities and within 49 genetic algorithm generations, each including 150 members, highly optimized answers to different objective functions were obtained. For the first time, such a multiphase, multicomponent optimization tool promises the possibility of optimizing LNAPL remediation at field scale to achieve practicable endpoint conditions, within computational affordability.","author":[{"dropping-particle":"","family":"Sookhak Lari","given":"Kaveh","non-dropping-particle":"","parse-names":false,"suffix":""},{"dropping-particle":"","family":"Rayner","given":"John L","non-dropping-particle":"","parse-names":false,"suffix":""},{"dropping-particle":"","family":"Davis","given":"Greg B","non-dropping-particle":"","parse-names":false,"suffix":""}],"container-title":"Water Resources Research","id":"ITEM-2","issued":{"date-parts":[["2019","3","5"]]},"page":"87-96","publisher":"Elsevier B.V.","title":"Toward Optimizing LNAPL Remediation","type":"article-journal","volume":"55"},"uris":["http://www.mendeley.com/documents/?uuid=80ab385a-a61d-3ebe-98d7-29e3157b5c01"]}],"mendeley":{"formattedCitation":"[5], [6]","manualFormatting":"[5, 6]","plainTextFormattedCitation":"[5], [6]","previouslyFormattedCitation":"[5], [6]"},"properties":{"noteIndex":0},"schema":"https://github.com/citation-style-language/schema/raw/master/csl-citation.json"}</w:instrText>
      </w:r>
      <w:r w:rsidR="00A1383D">
        <w:rPr>
          <w:rStyle w:val="corrected-phrasedisplayed-text"/>
          <w:rFonts w:ascii="Times New Roman" w:hAnsi="Times New Roman" w:cs="Times New Roman"/>
          <w:lang w:val="en-US"/>
        </w:rPr>
        <w:fldChar w:fldCharType="separate"/>
      </w:r>
      <w:r w:rsidR="00A1383D" w:rsidRPr="00A1383D">
        <w:rPr>
          <w:rStyle w:val="corrected-phrasedisplayed-text"/>
          <w:rFonts w:ascii="Times New Roman" w:hAnsi="Times New Roman" w:cs="Times New Roman"/>
          <w:noProof/>
          <w:lang w:val="en-US"/>
        </w:rPr>
        <w:t>[5, 6]</w:t>
      </w:r>
      <w:r w:rsidR="00A1383D">
        <w:rPr>
          <w:rStyle w:val="corrected-phrasedisplayed-text"/>
          <w:rFonts w:ascii="Times New Roman" w:hAnsi="Times New Roman" w:cs="Times New Roman"/>
          <w:lang w:val="en-US"/>
        </w:rPr>
        <w:fldChar w:fldCharType="end"/>
      </w:r>
      <w:r>
        <w:rPr>
          <w:rStyle w:val="corrected-phrasedisplayed-text"/>
          <w:rFonts w:ascii="Times New Roman" w:hAnsi="Times New Roman" w:cs="Times New Roman"/>
          <w:lang w:val="en-US"/>
        </w:rPr>
        <w:t>.</w:t>
      </w:r>
    </w:p>
    <w:p w14:paraId="2AAB6A74" w14:textId="677A8C24" w:rsidR="007C42C7" w:rsidRDefault="007614D3" w:rsidP="007C42C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cs="Times New Roman"/>
          <w:lang w:val="en-US"/>
        </w:rPr>
      </w:pPr>
      <w:r w:rsidRPr="007614D3">
        <w:rPr>
          <w:rFonts w:ascii="Times New Roman" w:hAnsi="Times New Roman" w:cs="Times New Roman"/>
          <w:lang w:val="en-US" w:eastAsia="en-GB"/>
        </w:rPr>
        <w:t>After a spill, NAPLs migrate downward through the vadose zone and remain trapped in the pore space at residual saturation by capillary forces in the form of separate phase droplets or ganglia</w:t>
      </w:r>
      <w:r w:rsidR="00A1383D">
        <w:rPr>
          <w:rFonts w:ascii="Times New Roman" w:hAnsi="Times New Roman" w:cs="Times New Roman"/>
          <w:lang w:val="en-US" w:eastAsia="en-GB"/>
        </w:rPr>
        <w:t xml:space="preserve"> </w:t>
      </w:r>
      <w:r w:rsidR="000910D0">
        <w:rPr>
          <w:rFonts w:ascii="Times New Roman" w:hAnsi="Times New Roman" w:cs="Times New Roman"/>
          <w:lang w:val="en-US" w:eastAsia="en-GB"/>
        </w:rPr>
        <w:fldChar w:fldCharType="begin" w:fldLock="1"/>
      </w:r>
      <w:r w:rsidR="000910D0">
        <w:rPr>
          <w:rFonts w:ascii="Times New Roman" w:hAnsi="Times New Roman" w:cs="Times New Roman"/>
          <w:lang w:val="en-US" w:eastAsia="en-GB"/>
        </w:rPr>
        <w:instrText>ADDIN CSL_CITATION {"citationItems":[{"id":"ITEM-1","itemData":{"DOI":"10.1016/j.jhazmat.2021.127409","ISSN":"18733336","PMID":"34629196","abstract":"In-situ microemulsion flushing is an effective remediation technology for the removal of dense non-aqueous phase liquids (DNAPLs) from aquifers. Nitrobenzene (NB) is a typical DNAPL pollutant that is responsible for the serious contamination of many groundwater systems, while its removal using the flushing method has rarely been studied. In this study, bench scale, 1-D column and 2-D tank experiments were conducted to establish an efficient salt-free sodium dodecyl sulfate (SDS)/1-butanol based in-situ microemulsion flushing system for NB contaminated aquifers. Results showed that the NB/SDS/1-butanol/water microemulsion increased dissolved NB concentrations by more than 15-fold compared to the SDS-only solution. The formulation also presented good solubilization capacity at low temperature (5 ℃) and with clay media. NB was effectively removed from the aquifer by solubilization and mobilization via the formation of the microemulsion with the injected SDS/1-butanol solution. The flushing system also reduced the tailing phenomenon in later remediation stages, and exhibited weak reagent adsorption onto aquifer media. Furthermore, the vertical DNAPL migration to deeper aquifer was effectively controlled. Therefore, the constructed in-situ microemulsion flushing system is a highly efficient treatment method for NB contaminated aquifers, with this study providing valuable reference information on the optimal reagent parameters and the remediation mechanism.","author":[{"dropping-particle":"","family":"Fu","given":"Yufeng","non-dropping-particle":"","parse-names":false,"suffix":""},{"dropping-particle":"","family":"Qin","given":"Chuanyu","non-dropping-particle":"","parse-names":false,"suffix":""},{"dropping-particle":"","family":"Gao","given":"Song","non-dropping-particle":"","parse-names":false,"suffix":""},{"dropping-particle":"","family":"Lv","given":"Chunxin","non-dropping-particle":"","parse-names":false,"suffix":""},{"dropping-particle":"","family":"Zhang","given":"Chengwu","non-dropping-particle":"","parse-names":false,"suffix":""},{"dropping-particle":"","family":"Yao","given":"Yu","non-dropping-particle":"","parse-names":false,"suffix":""}],"container-title":"Journal of Hazardous Materials","id":"ITEM-1","issued":{"date-parts":[["2022"]]},"publisher":"Elsevier B.V.","title":"Aquifer flushing using a SDS/1-butanol based in-situ microemulsion: Performance and mechanism for the remediation of nitrobenzene contamination","type":"article-journal","volume":"424"},"uris":["http://www.mendeley.com/documents/?uuid=f6941db5-f0ac-3a28-affa-e56508c7a87e"]}],"mendeley":{"formattedCitation":"[7]","plainTextFormattedCitation":"[7]","previouslyFormattedCitation":"[7]"},"properties":{"noteIndex":0},"schema":"https://github.com/citation-style-language/schema/raw/master/csl-citation.json"}</w:instrText>
      </w:r>
      <w:r w:rsidR="000910D0">
        <w:rPr>
          <w:rFonts w:ascii="Times New Roman" w:hAnsi="Times New Roman" w:cs="Times New Roman"/>
          <w:lang w:val="en-US" w:eastAsia="en-GB"/>
        </w:rPr>
        <w:fldChar w:fldCharType="separate"/>
      </w:r>
      <w:r w:rsidR="000910D0" w:rsidRPr="000910D0">
        <w:rPr>
          <w:rFonts w:ascii="Times New Roman" w:hAnsi="Times New Roman" w:cs="Times New Roman"/>
          <w:noProof/>
          <w:lang w:val="en-US" w:eastAsia="en-GB"/>
        </w:rPr>
        <w:t>[7]</w:t>
      </w:r>
      <w:r w:rsidR="000910D0">
        <w:rPr>
          <w:rFonts w:ascii="Times New Roman" w:hAnsi="Times New Roman" w:cs="Times New Roman"/>
          <w:lang w:val="en-US" w:eastAsia="en-GB"/>
        </w:rPr>
        <w:fldChar w:fldCharType="end"/>
      </w:r>
      <w:r w:rsidR="008865DF">
        <w:rPr>
          <w:rFonts w:ascii="Times New Roman" w:hAnsi="Times New Roman" w:cs="Times New Roman"/>
          <w:lang w:val="en-US" w:eastAsia="en-GB"/>
        </w:rPr>
        <w:t xml:space="preserve">. </w:t>
      </w:r>
      <w:r w:rsidRPr="007614D3">
        <w:rPr>
          <w:rFonts w:ascii="Times New Roman" w:hAnsi="Times New Roman" w:cs="Times New Roman"/>
          <w:lang w:val="en-US" w:eastAsia="en-GB"/>
        </w:rPr>
        <w:t xml:space="preserve">Light NAPLs float at the water table, while DNAPLs can penetrate the water table and migrate downward </w:t>
      </w:r>
      <w:r w:rsidR="00A1383D">
        <w:rPr>
          <w:rFonts w:ascii="Times New Roman" w:hAnsi="Times New Roman" w:cs="Times New Roman"/>
          <w:lang w:val="en-US" w:eastAsia="en-GB"/>
        </w:rPr>
        <w:t>the aquifer</w:t>
      </w:r>
      <w:r w:rsidR="00A1383D" w:rsidRPr="00A1383D">
        <w:rPr>
          <w:rFonts w:ascii="Times New Roman" w:hAnsi="Times New Roman" w:cs="Times New Roman"/>
          <w:lang w:val="en-US" w:eastAsia="en-GB"/>
        </w:rPr>
        <w:t xml:space="preserve"> </w:t>
      </w:r>
      <w:r w:rsidR="000910D0">
        <w:rPr>
          <w:rFonts w:ascii="Times New Roman" w:hAnsi="Times New Roman" w:cs="Times New Roman"/>
          <w:lang w:val="en-US" w:eastAsia="en-GB"/>
        </w:rPr>
        <w:fldChar w:fldCharType="begin" w:fldLock="1"/>
      </w:r>
      <w:r w:rsidR="000910D0">
        <w:rPr>
          <w:rFonts w:ascii="Times New Roman" w:hAnsi="Times New Roman" w:cs="Times New Roman"/>
          <w:lang w:val="en-US" w:eastAsia="en-GB"/>
        </w:rPr>
        <w:instrText>ADDIN CSL_CITATION {"citationItems":[{"id":"ITEM-1","itemData":{"DOI":"10.1016/j.scitotenv.2021.148210","ISSN":"18791026","PMID":"34412393","abstract":"Soils and groundwater are often contaminated by complex organic mixtures also called Non Aqueous Phase Liquids (NAPLs). Several techniques such as drilling, monitoring of soil gas or injection of tracers are traditionally used to quantify NAPLs in aquifers but are complex to perform. The use of natural soil gas such as 222Rn could be an easy and cheap alternative. This method requires the knowledge of the radon NAPL-water partitioning coefficients (Kn-w.). Once spilled on soil, NAPL will undergo degradation (evaporation, effects of sun light among others) and this degradation could impact the Kn-w. This study aims at investigating the partitioning coefficients of complex NAPLs such as commercial diesel fuel and gasoline in relation to degradation such as evaporation and UV-degradation. For that purpose, batch experiments and GCMS investigations were carried out. The results show different Kn-w for the commercial diesel fuel (60.7 ± 6.1) and gasoline (37.4 ± 5.6). The results also show different Kn-w behaviors in relation with degradation. Degraded diesel fuel display opposite Kn-w values (74.8 ± 7.5 and 25.1 ± 2.5 for UV degraded and evaporated diesel fuel, respectively), compared to fresh one. Degraded gasoline shows no significant variations of the Kn-w compared to fresh one. The molecular investigation reveals the removal of the most volatile fraction for the evaporation treatment, whereas UV-degradation do not have pronounced effects on the chromatogram pattern. For the gasoline molecular investigation, no difference is observed between the treatments excepted a very slight removal of the lightest compounds under evaporation. These results show that NAPL degradation have effects on the Kn-w for diesel fuel and no significant effects for gasoline, at least with these degradation paths. This Kn-w variation will have in fine effects on 222Rn activity interpretation and NAPL subsurface quantification.","author":[{"dropping-particle":"","family":"Meur","given":"Mathieu","non-dropping-particle":"Le","parse-names":false,"suffix":""},{"dropping-particle":"","family":"Cohen","given":"Grégory J.V.","non-dropping-particle":"","parse-names":false,"suffix":""},{"dropping-particle":"","family":"Laurent","given":"Mélissa","non-dropping-particle":"","parse-names":false,"suffix":""},{"dropping-particle":"","family":"Höhener","given":"Patrick","non-dropping-particle":"","parse-names":false,"suffix":""},{"dropping-particle":"","family":"Atteia","given":"Olivier","non-dropping-particle":"","parse-names":false,"suffix":""}],"container-title":"Science of the Total Environment","id":"ITEM-1","issued":{"date-parts":[["2021","10","15"]]},"publisher":"Elsevier B.V.","title":"Effect of NAPL mixture and alteration on 222Rn partitioning coefficients: Implications for NAPL subsurface contamination quantification","type":"article-journal","volume":"791"},"uris":["http://www.mendeley.com/documents/?uuid=0a0e8d6f-b5e4-3a1b-ab55-bcc58ed6d0e1"]}],"mendeley":{"formattedCitation":"[8]","plainTextFormattedCitation":"[8]","previouslyFormattedCitation":"[8]"},"properties":{"noteIndex":0},"schema":"https://github.com/citation-style-language/schema/raw/master/csl-citation.json"}</w:instrText>
      </w:r>
      <w:r w:rsidR="000910D0">
        <w:rPr>
          <w:rFonts w:ascii="Times New Roman" w:hAnsi="Times New Roman" w:cs="Times New Roman"/>
          <w:lang w:val="en-US" w:eastAsia="en-GB"/>
        </w:rPr>
        <w:fldChar w:fldCharType="separate"/>
      </w:r>
      <w:r w:rsidR="000910D0" w:rsidRPr="000910D0">
        <w:rPr>
          <w:rFonts w:ascii="Times New Roman" w:hAnsi="Times New Roman" w:cs="Times New Roman"/>
          <w:noProof/>
          <w:lang w:val="en-US" w:eastAsia="en-GB"/>
        </w:rPr>
        <w:t>[8]</w:t>
      </w:r>
      <w:r w:rsidR="000910D0">
        <w:rPr>
          <w:rFonts w:ascii="Times New Roman" w:hAnsi="Times New Roman" w:cs="Times New Roman"/>
          <w:lang w:val="en-US" w:eastAsia="en-GB"/>
        </w:rPr>
        <w:fldChar w:fldCharType="end"/>
      </w:r>
      <w:r w:rsidRPr="007614D3">
        <w:rPr>
          <w:rFonts w:ascii="Times New Roman" w:hAnsi="Times New Roman" w:cs="Times New Roman"/>
          <w:lang w:val="en-US" w:eastAsia="en-GB"/>
        </w:rPr>
        <w:t xml:space="preserve">. </w:t>
      </w:r>
      <w:r>
        <w:rPr>
          <w:rFonts w:ascii="Times New Roman" w:hAnsi="Times New Roman" w:cs="Times New Roman"/>
          <w:lang w:val="en"/>
        </w:rPr>
        <w:t xml:space="preserve">The groundwater flowing in contact with non-aqueous organic liquid phase causes a slow dissolution of pollutants, generating an aqueous plume that moves in the same direction of groundwater, </w:t>
      </w:r>
      <w:r w:rsidRPr="001F4687">
        <w:rPr>
          <w:rFonts w:ascii="Times New Roman" w:hAnsi="Times New Roman" w:cs="Times New Roman"/>
          <w:lang w:val="en"/>
        </w:rPr>
        <w:t>resulting in long-term persistent sources of aquifers contamination</w:t>
      </w:r>
      <w:r w:rsidR="000910D0">
        <w:rPr>
          <w:rFonts w:ascii="Times New Roman" w:hAnsi="Times New Roman" w:cs="Times New Roman"/>
          <w:lang w:val="en"/>
        </w:rPr>
        <w:t xml:space="preserve"> </w:t>
      </w:r>
      <w:r w:rsidR="000910D0">
        <w:rPr>
          <w:rFonts w:ascii="Times New Roman" w:hAnsi="Times New Roman" w:cs="Times New Roman"/>
          <w:lang w:val="en"/>
        </w:rPr>
        <w:fldChar w:fldCharType="begin" w:fldLock="1"/>
      </w:r>
      <w:r w:rsidR="000910D0">
        <w:rPr>
          <w:rFonts w:ascii="Times New Roman" w:hAnsi="Times New Roman" w:cs="Times New Roman"/>
          <w:lang w:val="en"/>
        </w:rPr>
        <w:instrText>ADDIN CSL_CITATION {"citationItems":[{"id":"ITEM-1","itemData":{"DOI":"10.3390/BIOENGINEERING8080109","abstract":"Groundwater remediation is one of the main objectives to minimize environmental impacts and health risks. Chlorinated aliphatic hydrocarbons contamination is prevalent and presents particularly challenging scenarios to manage with a single strategy. Different technologies can manage contamination sources and plumes, although they are usually energy-intensive processes. Interesting alternatives involve in-situ bioremediation strategies, which allow the chlorinated contaminant to be converted into non-toxic compounds by indigenous microbial activity. Despite several advantages offered by the bioremediation approaches, some limitations, like the relatively low reaction rates and the difficulty in the management and control of the microbial activity, can affect the effectiveness of a bioremediation approach. However, those issues can be addressed through coupling different strategies to increase the efficiency of the bioremediation strategy. This mini review describes different strategies to induce the reduction dechlorination reaction by the utilization of innovative strategies, which include the increase or the reduction of contaminant mobility as well as the use of innovative strategies of the reductive power supply. Subsequently, three future approaches for a greener and more sustainable intervention are proposed. In particular, two bio-based materials from renewable resources are intended as alternative, long-lasting electron-donor sources (e.g., polyhydroxyalkanoates from mixed microbial cultures) and a low-cost adsorbent (e.g., biochar from bio-waste). Finally, attention is drawn to novel bio-electrochemical systems that use electric current to stimulate biological reactions.","author":[{"dropping-particle":"","family":"Rossi","given":"Marta M.","non-dropping-particle":"","parse-names":false,"suffix":""},{"dropping-particle":"","family":"Dell’Armi","given":"Edoardo","non-dropping-particle":"","parse-names":false,"suffix":""},{"dropping-particle":"","family":"Lorini","given":"Laura","non-dropping-particle":"","parse-names":false,"suffix":""},{"dropping-particle":"","family":"Amanat","given":"Neda","non-dropping-particle":"","parse-names":false,"suffix":""},{"dropping-particle":"","family":"Zeppilli","given":"Marco","non-dropping-particle":"","parse-names":false,"suffix":""},{"dropping-particle":"","family":"Villano","given":"Marianna","non-dropping-particle":"","parse-names":false,"suffix":""},{"dropping-particle":"","family":"Papini","given":"Marco Petrangeli","non-dropping-particle":"","parse-names":false,"suffix":""}],"container-title":"Bioengineering 2021, Vol. 8, Page 109","id":"ITEM-1","issue":"8","issued":{"date-parts":[["2021","8"]]},"page":"109","publisher":"Multidisciplinary Digital Publishing Institute","title":"Combined Strategies to Prompt the Biological Reduction of Chlorinated Aliphatic Hydrocarbons: New Sustainable Options for Bioremediation Application","type":"article-journal","volume":"8"},"uris":["http://www.mendeley.com/documents/?uuid=fc5cf069-4760-47f3-8aaa-7777f22ea768"]}],"mendeley":{"formattedCitation":"[9]","plainTextFormattedCitation":"[9]","previouslyFormattedCitation":"[9]"},"properties":{"noteIndex":0},"schema":"https://github.com/citation-style-language/schema/raw/master/csl-citation.json"}</w:instrText>
      </w:r>
      <w:r w:rsidR="000910D0">
        <w:rPr>
          <w:rFonts w:ascii="Times New Roman" w:hAnsi="Times New Roman" w:cs="Times New Roman"/>
          <w:lang w:val="en"/>
        </w:rPr>
        <w:fldChar w:fldCharType="separate"/>
      </w:r>
      <w:r w:rsidR="000910D0" w:rsidRPr="000910D0">
        <w:rPr>
          <w:rFonts w:ascii="Times New Roman" w:hAnsi="Times New Roman" w:cs="Times New Roman"/>
          <w:noProof/>
          <w:lang w:val="en"/>
        </w:rPr>
        <w:t>[9]</w:t>
      </w:r>
      <w:r w:rsidR="000910D0">
        <w:rPr>
          <w:rFonts w:ascii="Times New Roman" w:hAnsi="Times New Roman" w:cs="Times New Roman"/>
          <w:lang w:val="en"/>
        </w:rPr>
        <w:fldChar w:fldCharType="end"/>
      </w:r>
      <w:r>
        <w:rPr>
          <w:rFonts w:ascii="Times New Roman" w:hAnsi="Times New Roman" w:cs="Times New Roman"/>
          <w:lang w:val="en"/>
        </w:rPr>
        <w:t>. Moreover, p</w:t>
      </w:r>
      <w:r w:rsidRPr="005D5772">
        <w:rPr>
          <w:rFonts w:ascii="Times New Roman" w:hAnsi="Times New Roman" w:cs="Times New Roman"/>
          <w:lang w:val="en"/>
        </w:rPr>
        <w:t xml:space="preserve">articularly in cases of historical contamination by NAPLs, </w:t>
      </w:r>
      <w:r>
        <w:rPr>
          <w:rFonts w:ascii="Times New Roman" w:hAnsi="Times New Roman" w:cs="Times New Roman"/>
          <w:lang w:val="en"/>
        </w:rPr>
        <w:t xml:space="preserve">become relevant </w:t>
      </w:r>
      <w:r w:rsidRPr="005D5772">
        <w:rPr>
          <w:rFonts w:ascii="Times New Roman" w:hAnsi="Times New Roman" w:cs="Times New Roman"/>
          <w:lang w:val="en"/>
        </w:rPr>
        <w:t>the processes of molecular diffusion and adsorption of contaminants (present in a separate phase or dissolved in water) in low permeability layers</w:t>
      </w:r>
      <w:r w:rsidR="00413598">
        <w:rPr>
          <w:rFonts w:ascii="Times New Roman" w:hAnsi="Times New Roman" w:cs="Times New Roman"/>
          <w:lang w:val="en"/>
        </w:rPr>
        <w:t xml:space="preserve">. </w:t>
      </w:r>
      <w:r w:rsidR="00B64C3E" w:rsidRPr="005D5772">
        <w:rPr>
          <w:rFonts w:ascii="Times New Roman" w:hAnsi="Times New Roman" w:cs="Times New Roman"/>
          <w:lang w:val="en"/>
        </w:rPr>
        <w:t>These layers</w:t>
      </w:r>
      <w:r w:rsidR="00B64C3E">
        <w:rPr>
          <w:rFonts w:ascii="Times New Roman" w:hAnsi="Times New Roman" w:cs="Times New Roman"/>
          <w:lang w:val="en"/>
        </w:rPr>
        <w:t xml:space="preserve"> can act as </w:t>
      </w:r>
      <w:r w:rsidR="00B64C3E" w:rsidRPr="005D5772">
        <w:rPr>
          <w:rFonts w:ascii="Times New Roman" w:hAnsi="Times New Roman" w:cs="Times New Roman"/>
          <w:lang w:val="en"/>
        </w:rPr>
        <w:t>slow-release</w:t>
      </w:r>
      <w:r w:rsidR="00B64C3E">
        <w:rPr>
          <w:rFonts w:ascii="Times New Roman" w:hAnsi="Times New Roman" w:cs="Times New Roman"/>
          <w:lang w:val="en"/>
        </w:rPr>
        <w:t xml:space="preserve"> secondary</w:t>
      </w:r>
      <w:r w:rsidR="00B64C3E" w:rsidRPr="005D5772">
        <w:rPr>
          <w:rFonts w:ascii="Times New Roman" w:hAnsi="Times New Roman" w:cs="Times New Roman"/>
          <w:lang w:val="en"/>
        </w:rPr>
        <w:t xml:space="preserve"> sources</w:t>
      </w:r>
      <w:r w:rsidR="00B64C3E">
        <w:rPr>
          <w:rFonts w:ascii="Times New Roman" w:hAnsi="Times New Roman" w:cs="Times New Roman"/>
          <w:lang w:val="en"/>
        </w:rPr>
        <w:t xml:space="preserve"> due to slow back-diffusion and desorption processes which cause the return of contaminants in aqueous phase, triggering the so-called rebound</w:t>
      </w:r>
      <w:r w:rsidR="007C42C7">
        <w:rPr>
          <w:rFonts w:ascii="Times New Roman" w:hAnsi="Times New Roman" w:cs="Times New Roman"/>
          <w:lang w:val="en"/>
        </w:rPr>
        <w:t xml:space="preserve"> phenomenon</w:t>
      </w:r>
      <w:r w:rsidR="000910D0">
        <w:rPr>
          <w:rFonts w:ascii="Times New Roman" w:hAnsi="Times New Roman" w:cs="Times New Roman"/>
          <w:lang w:val="en"/>
        </w:rPr>
        <w:t xml:space="preserve"> </w:t>
      </w:r>
      <w:r w:rsidR="000910D0">
        <w:rPr>
          <w:rFonts w:ascii="Times New Roman" w:hAnsi="Times New Roman" w:cs="Times New Roman"/>
          <w:lang w:val="en"/>
        </w:rPr>
        <w:fldChar w:fldCharType="begin" w:fldLock="1"/>
      </w:r>
      <w:r w:rsidR="00413598">
        <w:rPr>
          <w:rFonts w:ascii="Times New Roman" w:hAnsi="Times New Roman" w:cs="Times New Roman"/>
          <w:lang w:val="en"/>
        </w:rPr>
        <w:instrText>ADDIN CSL_CITATION {"citationItems":[{"id":"ITEM-1","itemData":{"DOI":"10.1016/j.jconrel.2018.06.007","ISSN":"18734995","PMID":"29885418","abstract":"The removal of recalcitrant organic pollutants in groundwater is a challenge being faced around the world. Achieving effective long-term remediation of contaminated aquifers faces a variety of significant issues such as back diffusion, tailing, and rebound. In recent years, some researchers have proposed the use of controlled release materials (CRMs) as a new approach to counteracting such issues. The novelty of CRMs lies in that they release their active products slowly, over prolonged periods of time, in order to sustain in situ treatments and long-term effectiveness. Here we review the main constituents of CRMs, analyze their production, characterization, and applications, with a focus on reaction mechanisms, effectiveness, and secondary effects. This review shows that the reactive components of CRMs most commonly involve either: (i) chemical oxidants to treat contaminants such as TCE, PCE, BTEX, and 1,4-Dioxane; (ii) sources of dissolved oxygen to stimulate aerobic biodegradation of contaminants such as BTEX and 1,4-Dioxane; or, (iii) substrates that stimulate reductive dechlorination of contaminants such as TCE and 1,2-DCA. It was found that in some studies, CRMs provided sustained delivery of CRM treatment reagents over several years, and achieved complete contaminant removal. However, lower removal rates were apparent in other cases, which may be ascribed to insufficient dispersion in the subsurface. There are a relatively limited number of field-scale applications of CRMs in contaminated land remediation. Those conducted to date suggest that CRMs could prove to be an effective future remediation strategy. Lessons learned from field applications, suggestions for future research directions, and conclusions are put forward in this review.","author":[{"dropping-particle":"","family":"O'Connor","given":"David","non-dropping-particle":"","parse-names":false,"suffix":""},{"dropping-particle":"","family":"Hou","given":"Deyi","non-dropping-particle":"","parse-names":false,"suffix":""},{"dropping-particle":"","family":"Ok","given":"Yong Sik","non-dropping-particle":"","parse-names":false,"suffix":""},{"dropping-particle":"","family":"Song","given":"Yinan","non-dropping-particle":"","parse-names":false,"suffix":""},{"dropping-particle":"","family":"Sarmah","given":"Ajit K.","non-dropping-particle":"","parse-names":false,"suffix":""},{"dropping-particle":"","family":"Li","given":"Xuanru","non-dropping-particle":"","parse-names":false,"suffix":""},{"dropping-particle":"","family":"Tack","given":"Filip M.G.","non-dropping-particle":"","parse-names":false,"suffix":""}],"container-title":"Journal of Controlled Release","id":"ITEM-1","issued":{"date-parts":[["2018","8","10"]]},"page":"200-213","publisher":"Elsevier B.V.","title":"Sustainable in situ remediation of recalcitrant organic pollutants in groundwater with controlled release materials: A review","type":"article","volume":"283"},"uris":["http://www.mendeley.com/documents/?uuid=22ec4129-1120-347f-9a39-7da4ac7f4539"]}],"mendeley":{"formattedCitation":"[10]","plainTextFormattedCitation":"[10]","previouslyFormattedCitation":"[10]"},"properties":{"noteIndex":0},"schema":"https://github.com/citation-style-language/schema/raw/master/csl-citation.json"}</w:instrText>
      </w:r>
      <w:r w:rsidR="000910D0">
        <w:rPr>
          <w:rFonts w:ascii="Times New Roman" w:hAnsi="Times New Roman" w:cs="Times New Roman"/>
          <w:lang w:val="en"/>
        </w:rPr>
        <w:fldChar w:fldCharType="separate"/>
      </w:r>
      <w:r w:rsidR="00413598" w:rsidRPr="00413598">
        <w:rPr>
          <w:rFonts w:ascii="Times New Roman" w:hAnsi="Times New Roman" w:cs="Times New Roman"/>
          <w:noProof/>
          <w:lang w:val="en"/>
        </w:rPr>
        <w:t>[10]</w:t>
      </w:r>
      <w:r w:rsidR="000910D0">
        <w:rPr>
          <w:rFonts w:ascii="Times New Roman" w:hAnsi="Times New Roman" w:cs="Times New Roman"/>
          <w:lang w:val="en"/>
        </w:rPr>
        <w:fldChar w:fldCharType="end"/>
      </w:r>
      <w:r w:rsidR="00B64C3E">
        <w:rPr>
          <w:rFonts w:ascii="Times New Roman" w:hAnsi="Times New Roman" w:cs="Times New Roman"/>
          <w:lang w:val="en"/>
        </w:rPr>
        <w:t xml:space="preserve">. </w:t>
      </w:r>
      <w:r w:rsidR="007C42C7" w:rsidRPr="007073F5">
        <w:rPr>
          <w:rFonts w:ascii="Times New Roman" w:hAnsi="Times New Roman" w:cs="Times New Roman"/>
          <w:lang w:val="en-US"/>
        </w:rPr>
        <w:t xml:space="preserve">Therefore, the chemical-physical </w:t>
      </w:r>
      <w:r w:rsidR="007C42C7">
        <w:rPr>
          <w:rFonts w:ascii="Times New Roman" w:hAnsi="Times New Roman" w:cs="Times New Roman"/>
          <w:lang w:val="en-US"/>
        </w:rPr>
        <w:t>properties</w:t>
      </w:r>
      <w:r w:rsidR="007C42C7" w:rsidRPr="007073F5">
        <w:rPr>
          <w:rFonts w:ascii="Times New Roman" w:hAnsi="Times New Roman" w:cs="Times New Roman"/>
          <w:lang w:val="en-US"/>
        </w:rPr>
        <w:t xml:space="preserve"> of NAPLs, the presence of a </w:t>
      </w:r>
      <w:r w:rsidR="007C42C7">
        <w:rPr>
          <w:rFonts w:ascii="Times New Roman" w:hAnsi="Times New Roman" w:cs="Times New Roman"/>
          <w:lang w:val="en-US"/>
        </w:rPr>
        <w:t>trapped and immobile non-aqueous</w:t>
      </w:r>
      <w:r w:rsidR="007C42C7" w:rsidRPr="007073F5">
        <w:rPr>
          <w:rFonts w:ascii="Times New Roman" w:hAnsi="Times New Roman" w:cs="Times New Roman"/>
          <w:lang w:val="en-US"/>
        </w:rPr>
        <w:t xml:space="preserve"> phase, the heterogeneity of the subsoil and the rebound </w:t>
      </w:r>
      <w:r w:rsidR="007C42C7">
        <w:rPr>
          <w:rFonts w:ascii="Times New Roman" w:hAnsi="Times New Roman" w:cs="Times New Roman"/>
          <w:lang w:val="en-US"/>
        </w:rPr>
        <w:t xml:space="preserve">effect </w:t>
      </w:r>
      <w:r w:rsidR="007C42C7" w:rsidRPr="007073F5">
        <w:rPr>
          <w:rFonts w:ascii="Times New Roman" w:hAnsi="Times New Roman" w:cs="Times New Roman"/>
          <w:lang w:val="en-US"/>
        </w:rPr>
        <w:t>make the efficiency of conventional remediation technologies</w:t>
      </w:r>
      <w:r w:rsidR="007C42C7">
        <w:rPr>
          <w:rFonts w:ascii="Times New Roman" w:hAnsi="Times New Roman" w:cs="Times New Roman"/>
          <w:lang w:val="en-US"/>
        </w:rPr>
        <w:t>, such as Pump and Treat (P&amp;T)</w:t>
      </w:r>
      <w:r w:rsidR="007C42C7" w:rsidRPr="007073F5">
        <w:rPr>
          <w:rFonts w:ascii="Times New Roman" w:hAnsi="Times New Roman" w:cs="Times New Roman"/>
          <w:lang w:val="en-US"/>
        </w:rPr>
        <w:t xml:space="preserve"> very low</w:t>
      </w:r>
      <w:r w:rsidR="000910D0">
        <w:rPr>
          <w:rFonts w:ascii="Times New Roman" w:hAnsi="Times New Roman" w:cs="Times New Roman"/>
          <w:lang w:val="en-US"/>
        </w:rPr>
        <w:t xml:space="preserve"> </w:t>
      </w:r>
      <w:r w:rsidR="000910D0">
        <w:rPr>
          <w:rFonts w:ascii="Times New Roman" w:hAnsi="Times New Roman" w:cs="Times New Roman"/>
          <w:lang w:val="en-US"/>
        </w:rPr>
        <w:fldChar w:fldCharType="begin" w:fldLock="1"/>
      </w:r>
      <w:r w:rsidR="00413598">
        <w:rPr>
          <w:rFonts w:ascii="Times New Roman" w:hAnsi="Times New Roman" w:cs="Times New Roman"/>
          <w:lang w:val="en-US"/>
        </w:rPr>
        <w:instrText>ADDIN CSL_CITATION {"citationItems":[{"id":"ITEM-1","itemData":{"DOI":"10.1007/s12665-020-09182-1","ISSN":"18666299","abstract":"The pump-and-treat (P&amp;T) method is a common remediation approach that is used to mitigate occurrences of hydrocarbon contamination. In a well-studied site that had been contaminated by a large volume of jet fuel, continuous monitoring of the water table and floating phase thickness revealed the most significant process governing the effectiveness of the site’s active remediation system. The floating phase thickness recorded in the wells monitored varied greatly (&gt; 0.50 m) and was negatively correlated with the water table level. Although the dependence of light non-aqueous phase liquid (LNAPL) thickness on water table fluctuations is widely recognized, LNAPL recovery, which is governed by alternating cycles of LNAPL release and entrapment in pore spaces, has been poorly described. Thus, we present a specific case in which LNAPL recovery is expected only episodically, when the water table falls sufficiently. In the period spanning from 2006 to 2008, LNAPL remediation recovered nearly 180 m3 of oil. In later years, the volume of recovered LNAPL declined and ceased between 2010 and 2014, when the water table rose. Importantly, our research demonstrates that the P&amp;T remediation approach is solely effective during a period of 4 months in dry years. Thus, cleanup methods and contaminated site management strategies should be reconsidered.","author":[{"dropping-particle":"","family":"Teramoto","given":"Elias Hideo","non-dropping-particle":"","parse-names":false,"suffix":""},{"dropping-particle":"","family":"Pede","given":"Marco Aurélio Zequim","non-dropping-particle":"","parse-names":false,"suffix":""},{"dropping-particle":"","family":"Chang","given":"Hung Kiang","non-dropping-particle":"","parse-names":false,"suffix":""}],"container-title":"Environmental Earth Sciences","id":"ITEM-1","issue":"18","issued":{"date-parts":[["2020","9","1"]]},"publisher":"Springer Science and Business Media Deutschland GmbH","title":"Impact of water table fluctuations on the seasonal effectiveness of the pump-and-treat remediation in wet–dry tropical regions","type":"article-journal","volume":"79"},"uris":["http://www.mendeley.com/documents/?uuid=b976e65c-956e-3287-8b52-ffcf1b42e177"]}],"mendeley":{"formattedCitation":"[11]","plainTextFormattedCitation":"[11]","previouslyFormattedCitation":"[11]"},"properties":{"noteIndex":0},"schema":"https://github.com/citation-style-language/schema/raw/master/csl-citation.json"}</w:instrText>
      </w:r>
      <w:r w:rsidR="000910D0">
        <w:rPr>
          <w:rFonts w:ascii="Times New Roman" w:hAnsi="Times New Roman" w:cs="Times New Roman"/>
          <w:lang w:val="en-US"/>
        </w:rPr>
        <w:fldChar w:fldCharType="separate"/>
      </w:r>
      <w:r w:rsidR="00413598" w:rsidRPr="00413598">
        <w:rPr>
          <w:rFonts w:ascii="Times New Roman" w:hAnsi="Times New Roman" w:cs="Times New Roman"/>
          <w:noProof/>
          <w:lang w:val="en-US"/>
        </w:rPr>
        <w:t>[11]</w:t>
      </w:r>
      <w:r w:rsidR="000910D0">
        <w:rPr>
          <w:rFonts w:ascii="Times New Roman" w:hAnsi="Times New Roman" w:cs="Times New Roman"/>
          <w:lang w:val="en-US"/>
        </w:rPr>
        <w:fldChar w:fldCharType="end"/>
      </w:r>
      <w:r w:rsidR="007C42C7">
        <w:rPr>
          <w:rFonts w:ascii="Times New Roman" w:hAnsi="Times New Roman" w:cs="Times New Roman"/>
          <w:lang w:val="en-US"/>
        </w:rPr>
        <w:t>. In this regard</w:t>
      </w:r>
      <w:r w:rsidR="007C42C7" w:rsidRPr="00716914">
        <w:rPr>
          <w:rFonts w:ascii="Times New Roman" w:hAnsi="Times New Roman" w:cs="Times New Roman"/>
          <w:lang w:val="en-US"/>
        </w:rPr>
        <w:t xml:space="preserve">, </w:t>
      </w:r>
      <w:r w:rsidR="007C42C7">
        <w:rPr>
          <w:rFonts w:ascii="Times New Roman" w:hAnsi="Times New Roman" w:cs="Times New Roman"/>
          <w:lang w:val="en-US"/>
        </w:rPr>
        <w:t xml:space="preserve">during the last years a great attention has been given to the development of innovative technologies that can greatly increase the mobilization of pollutants and, among these, the Surfactant-Enhanced Aquifer Remediation (SEAR) technology, based on </w:t>
      </w:r>
      <w:r w:rsidR="007C42C7" w:rsidRPr="0037475D">
        <w:rPr>
          <w:rFonts w:ascii="Times New Roman" w:hAnsi="Times New Roman" w:cs="Times New Roman"/>
          <w:i/>
          <w:iCs/>
          <w:lang w:val="en-US"/>
        </w:rPr>
        <w:t>in-situ</w:t>
      </w:r>
      <w:r w:rsidR="007C42C7">
        <w:rPr>
          <w:rFonts w:ascii="Times New Roman" w:hAnsi="Times New Roman" w:cs="Times New Roman"/>
          <w:lang w:val="en-US"/>
        </w:rPr>
        <w:t xml:space="preserve"> soil flushing or </w:t>
      </w:r>
      <w:r w:rsidR="007C42C7" w:rsidRPr="0037475D">
        <w:rPr>
          <w:rFonts w:ascii="Times New Roman" w:hAnsi="Times New Roman" w:cs="Times New Roman"/>
          <w:i/>
          <w:iCs/>
          <w:lang w:val="en-US"/>
        </w:rPr>
        <w:t>ex-situ</w:t>
      </w:r>
      <w:r w:rsidR="007C42C7">
        <w:rPr>
          <w:rFonts w:ascii="Times New Roman" w:hAnsi="Times New Roman" w:cs="Times New Roman"/>
          <w:lang w:val="en-US"/>
        </w:rPr>
        <w:t xml:space="preserve"> soil washing processes </w:t>
      </w:r>
      <w:r w:rsidR="007C42C7" w:rsidRPr="005411ED">
        <w:rPr>
          <w:rFonts w:ascii="Times New Roman" w:hAnsi="Times New Roman" w:cs="Times New Roman"/>
          <w:lang w:val="en"/>
        </w:rPr>
        <w:t>enhanced with surfactants</w:t>
      </w:r>
      <w:r w:rsidR="007C42C7">
        <w:rPr>
          <w:rFonts w:ascii="Times New Roman" w:hAnsi="Times New Roman" w:cs="Times New Roman"/>
          <w:lang w:val="en"/>
        </w:rPr>
        <w:t xml:space="preserve"> solution</w:t>
      </w:r>
      <w:r w:rsidR="007C42C7" w:rsidRPr="005411ED">
        <w:rPr>
          <w:rFonts w:ascii="Times New Roman" w:hAnsi="Times New Roman" w:cs="Times New Roman"/>
          <w:lang w:val="en"/>
        </w:rPr>
        <w:t xml:space="preserve">, has been </w:t>
      </w:r>
      <w:r w:rsidR="007C42C7">
        <w:rPr>
          <w:rFonts w:ascii="Times New Roman" w:hAnsi="Times New Roman" w:cs="Times New Roman"/>
          <w:lang w:val="en"/>
        </w:rPr>
        <w:t>proved</w:t>
      </w:r>
      <w:r w:rsidR="007C42C7" w:rsidRPr="005411ED">
        <w:rPr>
          <w:rFonts w:ascii="Times New Roman" w:hAnsi="Times New Roman" w:cs="Times New Roman"/>
          <w:lang w:val="en"/>
        </w:rPr>
        <w:t xml:space="preserve"> to be </w:t>
      </w:r>
      <w:r w:rsidR="007C42C7">
        <w:rPr>
          <w:rFonts w:ascii="Times New Roman" w:hAnsi="Times New Roman" w:cs="Times New Roman"/>
          <w:lang w:val="en"/>
        </w:rPr>
        <w:t>an</w:t>
      </w:r>
      <w:r w:rsidR="007C42C7" w:rsidRPr="005411ED">
        <w:rPr>
          <w:rFonts w:ascii="Times New Roman" w:hAnsi="Times New Roman" w:cs="Times New Roman"/>
          <w:lang w:val="en"/>
        </w:rPr>
        <w:t xml:space="preserve"> efficient method for remediation of source areas containing hydrophobic organic c</w:t>
      </w:r>
      <w:r w:rsidR="007C42C7">
        <w:rPr>
          <w:rFonts w:ascii="Times New Roman" w:hAnsi="Times New Roman" w:cs="Times New Roman"/>
          <w:lang w:val="en"/>
        </w:rPr>
        <w:t>ompounds</w:t>
      </w:r>
      <w:r w:rsidR="007C42C7" w:rsidRPr="005411ED">
        <w:rPr>
          <w:rFonts w:ascii="Times New Roman" w:hAnsi="Times New Roman" w:cs="Times New Roman"/>
          <w:lang w:val="en"/>
        </w:rPr>
        <w:t xml:space="preserve">, such as </w:t>
      </w:r>
      <w:r w:rsidR="007C42C7" w:rsidRPr="00D34094">
        <w:rPr>
          <w:rFonts w:ascii="Times New Roman" w:hAnsi="Times New Roman" w:cs="Times New Roman"/>
          <w:lang w:val="en"/>
        </w:rPr>
        <w:t>NAPLs</w:t>
      </w:r>
      <w:r w:rsidR="00FA456A">
        <w:rPr>
          <w:rFonts w:ascii="Times New Roman" w:hAnsi="Times New Roman" w:cs="Times New Roman"/>
          <w:lang w:val="en"/>
        </w:rPr>
        <w:t xml:space="preserve"> </w:t>
      </w:r>
      <w:r w:rsidR="00FA456A">
        <w:rPr>
          <w:rFonts w:ascii="Times New Roman" w:hAnsi="Times New Roman" w:cs="Times New Roman"/>
          <w:lang w:val="en"/>
        </w:rPr>
        <w:fldChar w:fldCharType="begin" w:fldLock="1"/>
      </w:r>
      <w:r w:rsidR="00413598">
        <w:rPr>
          <w:rFonts w:ascii="Times New Roman" w:hAnsi="Times New Roman" w:cs="Times New Roman"/>
          <w:lang w:val="en"/>
        </w:rPr>
        <w:instrText>ADDIN CSL_CITATION {"citationItems":[{"id":"ITEM-1","itemData":{"DOI":"10.1016/S1002-0160(18)60027-X","ISSN":"10020160","abstract":"An increase in energy demand leads to further exploration, transportation, and utilization of petroleum, which creates severe soil contamination because of recurrent accidents and oil spills. Remediation of these contaminated soils is challenging. Among many treatment methods practiced for remediation of petroleum-contaminated soils, surfactant-enhanced soil washing has been widely practiced as a preferred treatment option, as it is a fast and environmentally accepted method. In this paper, we review research undertaken on various anionic, nonionic, cationic, biological, and mixed surfactants for the remediation of petroleum hydrocarbon-contaminated soils. Upcoming surfactants like gemini and switchable surfactants are summarized. We assess the challenges and opportunities of in-situ and ex-situ soil washing, the mechanisms of surfactant-enhanced soil washing, and the criteria to follow for surfactant selection. Furthermore, we briefly discuss the operational and environmental factors affecting soil washing efficiency and soil and surfactant properties affecting surfactant adsorption. We also describe the advantages of coupling soil washing with effluent treatment and surfactant reuse challenges and opportunities. Moreover, challenges and possible new directions for future research on surfactant-enhanced soil washing are proposed.","author":[{"dropping-particle":"","family":"Befkadu","given":"Abayneh Ayele","non-dropping-particle":"","parse-names":false,"suffix":""},{"dropping-particle":"","family":"Chen","given":"Quanyuan","non-dropping-particle":"","parse-names":false,"suffix":""}],"container-title":"Pedosphere","id":"ITEM-1","issue":"3","issued":{"date-parts":[["2018"]]},"page":"383-410","publisher":"Soil Science Society of China","title":"Surfactant-Enhanced Soil Washing for Removal of Petroleum Hydrocarbons from Contaminated Soils: A Review","type":"article-journal","volume":"28"},"uris":["http://www.mendeley.com/documents/?uuid=d33fafdb-d7e3-4273-8f1e-0f7f7619395e"]}],"mendeley":{"formattedCitation":"[12]","plainTextFormattedCitation":"[12]","previouslyFormattedCitation":"[12]"},"properties":{"noteIndex":0},"schema":"https://github.com/citation-style-language/schema/raw/master/csl-citation.json"}</w:instrText>
      </w:r>
      <w:r w:rsidR="00FA456A">
        <w:rPr>
          <w:rFonts w:ascii="Times New Roman" w:hAnsi="Times New Roman" w:cs="Times New Roman"/>
          <w:lang w:val="en"/>
        </w:rPr>
        <w:fldChar w:fldCharType="separate"/>
      </w:r>
      <w:r w:rsidR="00413598" w:rsidRPr="00413598">
        <w:rPr>
          <w:rFonts w:ascii="Times New Roman" w:hAnsi="Times New Roman" w:cs="Times New Roman"/>
          <w:noProof/>
          <w:lang w:val="en"/>
        </w:rPr>
        <w:t>[12]</w:t>
      </w:r>
      <w:r w:rsidR="00FA456A">
        <w:rPr>
          <w:rFonts w:ascii="Times New Roman" w:hAnsi="Times New Roman" w:cs="Times New Roman"/>
          <w:lang w:val="en"/>
        </w:rPr>
        <w:fldChar w:fldCharType="end"/>
      </w:r>
      <w:r w:rsidR="00FA456A">
        <w:rPr>
          <w:rFonts w:ascii="Times New Roman" w:hAnsi="Times New Roman" w:cs="Times New Roman"/>
          <w:lang w:val="en"/>
        </w:rPr>
        <w:t xml:space="preserve">. </w:t>
      </w:r>
      <w:r w:rsidR="007C42C7">
        <w:rPr>
          <w:rFonts w:ascii="Times New Roman" w:hAnsi="Times New Roman" w:cs="Times New Roman"/>
          <w:lang w:val="en"/>
        </w:rPr>
        <w:t xml:space="preserve"> </w:t>
      </w:r>
      <w:r w:rsidR="007C42C7" w:rsidRPr="006F79B9">
        <w:rPr>
          <w:rFonts w:ascii="Times New Roman" w:hAnsi="Times New Roman" w:cs="Times New Roman"/>
          <w:lang w:val="en-US"/>
        </w:rPr>
        <w:t>Surfactants ar</w:t>
      </w:r>
      <w:r w:rsidR="007C42C7" w:rsidRPr="00E82A56">
        <w:rPr>
          <w:rFonts w:ascii="Times New Roman" w:hAnsi="Times New Roman" w:cs="Times New Roman"/>
          <w:lang w:val="en-US"/>
        </w:rPr>
        <w:t xml:space="preserve">e able to </w:t>
      </w:r>
      <w:r w:rsidR="007C42C7">
        <w:rPr>
          <w:rFonts w:ascii="Times New Roman" w:hAnsi="Times New Roman" w:cs="Times New Roman"/>
          <w:lang w:val="en-US"/>
        </w:rPr>
        <w:t xml:space="preserve">increase NAPLs </w:t>
      </w:r>
      <w:r w:rsidR="007C42C7" w:rsidRPr="00203A64">
        <w:rPr>
          <w:rFonts w:ascii="Times New Roman" w:hAnsi="Times New Roman" w:cs="Times New Roman"/>
          <w:lang w:val="en-US"/>
        </w:rPr>
        <w:t>mobilization by reducing interfacial tension between immiscible fluids and increasing apparent solubility of poorly soluble compounds by micellation</w:t>
      </w:r>
      <w:r w:rsidR="007C42C7">
        <w:rPr>
          <w:rFonts w:ascii="Times New Roman" w:hAnsi="Times New Roman" w:cs="Times New Roman"/>
          <w:lang w:val="en-US"/>
        </w:rPr>
        <w:t xml:space="preserve"> at or above critical micelle concentration</w:t>
      </w:r>
      <w:r w:rsidR="007C42C7" w:rsidRPr="00203A64">
        <w:rPr>
          <w:rFonts w:ascii="Times New Roman" w:hAnsi="Times New Roman" w:cs="Times New Roman"/>
          <w:lang w:val="en-US"/>
        </w:rPr>
        <w:t xml:space="preserve"> </w:t>
      </w:r>
      <w:r w:rsidR="007C42C7">
        <w:rPr>
          <w:rFonts w:ascii="Times New Roman" w:hAnsi="Times New Roman" w:cs="Times New Roman"/>
          <w:lang w:val="en-US"/>
        </w:rPr>
        <w:t>(</w:t>
      </w:r>
      <w:r w:rsidR="007C42C7" w:rsidRPr="00203A64">
        <w:rPr>
          <w:rFonts w:ascii="Times New Roman" w:hAnsi="Times New Roman" w:cs="Times New Roman"/>
          <w:lang w:val="en-US"/>
        </w:rPr>
        <w:t>CMC</w:t>
      </w:r>
      <w:r w:rsidR="007C42C7">
        <w:rPr>
          <w:rFonts w:ascii="Times New Roman" w:hAnsi="Times New Roman" w:cs="Times New Roman"/>
          <w:lang w:val="en-US"/>
        </w:rPr>
        <w:t>)</w:t>
      </w:r>
      <w:r w:rsidR="00FA456A">
        <w:rPr>
          <w:rFonts w:ascii="Times New Roman" w:hAnsi="Times New Roman" w:cs="Times New Roman"/>
          <w:lang w:val="en-US"/>
        </w:rPr>
        <w:t xml:space="preserve"> </w:t>
      </w:r>
      <w:r w:rsidR="00FA456A">
        <w:rPr>
          <w:rFonts w:ascii="Times New Roman" w:hAnsi="Times New Roman" w:cs="Times New Roman"/>
          <w:lang w:val="en-US"/>
        </w:rPr>
        <w:fldChar w:fldCharType="begin" w:fldLock="1"/>
      </w:r>
      <w:r w:rsidR="00413598">
        <w:rPr>
          <w:rFonts w:ascii="Times New Roman" w:hAnsi="Times New Roman" w:cs="Times New Roman"/>
          <w:lang w:val="en-US"/>
        </w:rPr>
        <w:instrText>ADDIN CSL_CITATION {"citationItems":[{"id":"ITEM-1","itemData":{"DOI":"10.1021/acs.iecr.6b02890","ISSN":"15205045","abstract":"Sugar-based surfactants represent a fruitful field of research in the context of sustainable chemistry since they can be obtained from renewable resources. In this work, new quantitative structure property relationships (QSPR) models for the critical micelle concentration (CMC) dedicated to sugar-based surfactants are proposed in order to reduce testing in a screening perspective. An important literature compilation allowed the constitution of a data set of 83 sugar-based surfactants for which accurate CMC values were found. Then, a series of QSPR models were developed based on molecular descriptors of the whole molecule and of the hydrophobic and hydrophilic fragments taken separately. Different models were considered by including quantum-chemical descriptors with hope to access physically based models and by using only simple constitutional descriptors to favor fast and easy prediction. The best QSPR model was obtained including quantum-chemical descriptors of the whole molecular structure with a root-mean-square error (RMSE) of 0.32 (log) evaluated on a validation set of 27 molecules. A simpler model with good performances was also found (with a RMSE of 0.36 (log) on the validation set), including only constitutional-based fragment descriptors, that can be easily computed from the 2-dimension structure of the hydrophilic and hydrophobic fragments.","author":[{"dropping-particle":"","family":"Gaudin","given":"Theóphile","non-dropping-particle":"","parse-names":false,"suffix":""},{"dropping-particle":"","family":"Rotureau","given":"Patricia","non-dropping-particle":"","parse-names":false,"suffix":""},{"dropping-particle":"","family":"Pezron","given":"Isabelle","non-dropping-particle":"","parse-names":false,"suffix":""},{"dropping-particle":"","family":"Fayet","given":"Guillaume","non-dropping-particle":"","parse-names":false,"suffix":""}],"container-title":"Industrial and Engineering Chemistry Research","id":"ITEM-1","issue":"45","issued":{"date-parts":[["2016"]]},"page":"11716-11726","title":"New QSPR models to predict the critical micelle concentration of sugar-based surfactants","type":"article-journal","volume":"55"},"uris":["http://www.mendeley.com/documents/?uuid=02e81661-dd7a-4769-9b57-8f533c30f058"]},{"id":"ITEM-2","itemData":{"DOI":"10.1016/j.seta.2021.101576","ISSN":"22131388","abstract":"Microorganisms produce a variety of non-conventional surface-active molecules, known as biosurfactants. The biosurfactants find diverse applications in the oil industry, agriculture, emulsifiers, and wastewater treatment, to name a few. Since they are produced from microbes, advantages such as biodegradability, lower toxicity, and environmental compatibility can be leveraged compared to the chemical surfactants. Recently, biosurfactants found potential usability in treating wastewater generated from various domestic, industrial, and agricultural sources. The application of biosurfactants in wastewater treatment is mainly due to their excellent foaming ability, specific activity, and high selectivity under wide operation window of temperature, pH, and salinity. Wastewater treatment with use of low cost biosurfactant is one of the important suitable goal in treating the wastewater since biosurfactants can be produced from cheap material and cause less damage to the environment by replacing surfactants produced from petroleum crude. This review focuses on the recent developments in biosurfactant production using waste materials such as food and agricultural residues, industrial waste, and animal waste and their application in wastewater treatment processes such as contaminant degradation, oil–water separation, heavy metal removal, and effluent flotation. The characteristics of the biosurfactants produced from cheap materials are compared with that of synthetic surfactants. In fact, the characteristics of both types of surfactants are found to be similar. The ability of biosurfactants for pollution removal from wastewater is extensively reviewed and presented. Finally, the review also evaluates the economic feasibility of biosurfactant production on commercial scale and their industrial scale wastewater treatment application.","author":[{"dropping-particle":"","family":"Malkapuram","given":"Surya Teja","non-dropping-particle":"","parse-names":false,"suffix":""},{"dropping-particle":"","family":"Sharma","given":"Vikrant","non-dropping-particle":"","parse-names":false,"suffix":""},{"dropping-particle":"","family":"Gumfekar","given":"Sarang P.","non-dropping-particle":"","parse-names":false,"suffix":""},{"dropping-particle":"","family":"Sonawane","given":"Shirish Shriram","non-dropping-particle":"","parse-names":false,"suffix":""},{"dropping-particle":"","family":"Sonawane","given":"Shirish Shriram","non-dropping-particle":"","parse-names":false,"suffix":""},{"dropping-particle":"","family":"Boczkaj","given":"Grzegorz","non-dropping-particle":"","parse-names":false,"suffix":""},{"dropping-particle":"","family":"Seepana","given":"Murali Mohan","non-dropping-particle":"","parse-names":false,"suffix":""}],"container-title":"Sustainable Energy Technologies and Assessments","id":"ITEM-2","issue":"August","issued":{"date-parts":[["2021","12","1"]]},"page":"101576","publisher":"Elsevier Ltd","title":"A review on recent advances in the application of biosurfactants in wastewater treatment","type":"article-journal","volume":"48"},"uris":["http://www.mendeley.com/documents/?uuid=6c42a186-fc45-4fc0-acb8-a41625cfa78d"]}],"mendeley":{"formattedCitation":"[13], [14]","manualFormatting":"[14, 15]","plainTextFormattedCitation":"[13], [14]","previouslyFormattedCitation":"[13], [14]"},"properties":{"noteIndex":0},"schema":"https://github.com/citation-style-language/schema/raw/master/csl-citation.json"}</w:instrText>
      </w:r>
      <w:r w:rsidR="00FA456A">
        <w:rPr>
          <w:rFonts w:ascii="Times New Roman" w:hAnsi="Times New Roman" w:cs="Times New Roman"/>
          <w:lang w:val="en-US"/>
        </w:rPr>
        <w:fldChar w:fldCharType="separate"/>
      </w:r>
      <w:r w:rsidR="00FA456A" w:rsidRPr="00FA456A">
        <w:rPr>
          <w:rFonts w:ascii="Times New Roman" w:hAnsi="Times New Roman" w:cs="Times New Roman"/>
          <w:noProof/>
          <w:lang w:val="en-US"/>
        </w:rPr>
        <w:t>[14, 15]</w:t>
      </w:r>
      <w:r w:rsidR="00FA456A">
        <w:rPr>
          <w:rFonts w:ascii="Times New Roman" w:hAnsi="Times New Roman" w:cs="Times New Roman"/>
          <w:lang w:val="en-US"/>
        </w:rPr>
        <w:fldChar w:fldCharType="end"/>
      </w:r>
      <w:r w:rsidR="008865DF">
        <w:rPr>
          <w:rFonts w:ascii="Times New Roman" w:hAnsi="Times New Roman" w:cs="Times New Roman"/>
          <w:lang w:val="en-US"/>
        </w:rPr>
        <w:t xml:space="preserve">. </w:t>
      </w:r>
      <w:r w:rsidR="007C42C7">
        <w:rPr>
          <w:rFonts w:ascii="Times New Roman" w:hAnsi="Times New Roman"/>
          <w:lang w:val="en-US"/>
        </w:rPr>
        <w:t>Thanks to these properties</w:t>
      </w:r>
      <w:r w:rsidR="007C42C7" w:rsidRPr="00331F3D">
        <w:rPr>
          <w:rFonts w:ascii="Times New Roman" w:hAnsi="Times New Roman"/>
          <w:lang w:val="en-US"/>
        </w:rPr>
        <w:t xml:space="preserve">, SEAR technology may offer several advantages compared with </w:t>
      </w:r>
      <w:r w:rsidR="007C42C7">
        <w:rPr>
          <w:rFonts w:ascii="Times New Roman" w:hAnsi="Times New Roman"/>
          <w:lang w:val="en-US"/>
        </w:rPr>
        <w:t>P&amp;T</w:t>
      </w:r>
      <w:r w:rsidR="007C42C7" w:rsidRPr="00331F3D">
        <w:rPr>
          <w:rFonts w:ascii="Times New Roman" w:hAnsi="Times New Roman"/>
          <w:lang w:val="en-US"/>
        </w:rPr>
        <w:t xml:space="preserve">, like the </w:t>
      </w:r>
      <w:r w:rsidR="007C42C7" w:rsidRPr="00331F3D">
        <w:rPr>
          <w:rFonts w:ascii="Times New Roman" w:hAnsi="Times New Roman" w:cs="Times New Roman"/>
          <w:lang w:val="en-US"/>
        </w:rPr>
        <w:t xml:space="preserve">greater efficiency </w:t>
      </w:r>
      <w:r w:rsidR="007C42C7">
        <w:rPr>
          <w:rFonts w:ascii="Times New Roman" w:hAnsi="Times New Roman" w:cs="Times New Roman"/>
          <w:lang w:val="en-US"/>
        </w:rPr>
        <w:t>in NAPLs recovery</w:t>
      </w:r>
      <w:r w:rsidR="007C42C7" w:rsidRPr="00331F3D">
        <w:rPr>
          <w:rFonts w:ascii="Times New Roman" w:hAnsi="Times New Roman" w:cs="Times New Roman"/>
          <w:lang w:val="en-US"/>
        </w:rPr>
        <w:t>, lower costs, and greater activity on low permeability areas with the</w:t>
      </w:r>
      <w:r w:rsidR="007C42C7" w:rsidRPr="00331F3D">
        <w:rPr>
          <w:lang w:val="en-US"/>
        </w:rPr>
        <w:t xml:space="preserve"> </w:t>
      </w:r>
      <w:r w:rsidR="007C42C7" w:rsidRPr="00331F3D">
        <w:rPr>
          <w:rFonts w:ascii="Times New Roman" w:hAnsi="Times New Roman" w:cs="Times New Roman"/>
          <w:lang w:val="en-US"/>
        </w:rPr>
        <w:t>possibility of overcoming the rebound</w:t>
      </w:r>
      <w:r w:rsidR="007C42C7">
        <w:rPr>
          <w:rFonts w:ascii="Times New Roman" w:hAnsi="Times New Roman" w:cs="Times New Roman"/>
          <w:lang w:val="en-US"/>
        </w:rPr>
        <w:t xml:space="preserve"> effect</w:t>
      </w:r>
      <w:r w:rsidR="00FA456A">
        <w:rPr>
          <w:rFonts w:ascii="Times New Roman" w:hAnsi="Times New Roman" w:cs="Times New Roman"/>
          <w:lang w:val="en-US"/>
        </w:rPr>
        <w:t xml:space="preserve"> </w:t>
      </w:r>
      <w:r w:rsidR="00FA456A">
        <w:rPr>
          <w:rFonts w:ascii="Times New Roman" w:hAnsi="Times New Roman" w:cs="Times New Roman"/>
          <w:lang w:val="en-US"/>
        </w:rPr>
        <w:fldChar w:fldCharType="begin" w:fldLock="1"/>
      </w:r>
      <w:r w:rsidR="00413598">
        <w:rPr>
          <w:rFonts w:ascii="Times New Roman" w:hAnsi="Times New Roman" w:cs="Times New Roman"/>
          <w:lang w:val="en-US"/>
        </w:rPr>
        <w:instrText>ADDIN CSL_CITATION {"citationItems":[{"id":"ITEM-1","itemData":{"DOI":"10.1007/s11356-021-14558-2/Published","abstract":"The remediation of petroleum-contaminated soil and groundwater is a challenging task. The petroleum hydrocarbons have a long persistence in both the vadose zone and in the aquifer and potentially represent secondary and residual sources of contamination. This is particularly evident in the presence of residual free-phase. Pump-and-treat is the most common hydrocarbon decontam-ination strategy. Besides, it acts primarily on the water dissolved phase and reduces concentrations of contaminants to an asymptotic trend. This study presents a case of enhanced light non-aqueous phase liquid (LNAPL) remediation monitored using noninvasive techniques. A pilot-scale field experiment was conducted through the injection of reagents into the subsoil to stimulate the desorption and the oxidation of residual hydrocarbons. Geophysical and groundwater monitoring during pilot testing controlled the effectiveness of the intervention, both in terms of product diffusion capacity and in terms of effective reduction of pollutant concentrations. In particular, non-invasive monitoring of the reagent migration and its capability to reach the target areas is a major add-on to the remediation technique. Most of the organic contaminants were decomposed, mobilized, and subsequently removed using physical recovery techniques. A considerable mass of contaminant was recovered resulting in the reduction of concentrations in the intervention areas.","author":[{"dropping-particle":"","family":"Ciampi","given":"Paolo","non-dropping-particle":"","parse-names":false,"suffix":""},{"dropping-particle":"","family":"Esposito","given":"Carlo","non-dropping-particle":"","parse-names":false,"suffix":""},{"dropping-particle":"","family":"Cassiani","given":"Giorgio","non-dropping-particle":"","parse-names":false,"suffix":""},{"dropping-particle":"","family":"Deidda","given":"Gian Piero","non-dropping-particle":"","parse-names":false,"suffix":""},{"dropping-particle":"","family":"Rizzetto","given":"Paolo","non-dropping-particle":"","parse-names":false,"suffix":""},{"dropping-particle":"","family":"Papini","given":"Marco Petrangeli","non-dropping-particle":"","parse-names":false,"suffix":""}],"container-title":"Environmental Science and Pollution Research","id":"ITEM-1","issued":{"date-parts":[["2021"]]},"page":"35286-35296","title":"A field-scale remediation of residual light non-aqueous phase liquid (LNAPL): chemical enhancers for pump and treat","type":"article-journal","volume":"28"},"uris":["http://www.mendeley.com/documents/?uuid=ca169d2d-f545-3029-a7ef-3bd15f22a2e6"]},{"id":"ITEM-2","itemData":{"DOI":"10.1016/j.envpol.2020.114564","ISSN":"18736424","PMID":"32505937","abstract":"In remediation of dense non-aqueous phase liquids (DNAPLs), colloidal biliquid aphrons (CBLAs) could be added to produce a lower density nonaqueous phase which mitigate downward migration of DNAPL to non-polluted aquifers. There is still a big gap in the application of CBLAs in the remediation of actual polluted sites, especially the absence of relevant studies on its transport behavior in the sites, and its structural model has not been fully verified. These two factors could affect the effectiveness of CBLAs in the underground environment and its effect on density control. In this study, we prepared CBLAs with different surfactants and verified the structural model of CBLA based on their particle size distributions and demulsification performance. We studied the effects of particle concentrations, injection velocities, and porous media size on the migration of CBLA using the breakthrough curves and distribution profiles along the column. Experimental results indicated that surface elasticity of CBLAs was inversely proportional to the concentration of the anionic surfactant sodium dodecyl sulphate (SDS), which led to easier demulsification of CBLA with the increase in SDS concentration. This observation was in agreement with the verified structural model of the CBLA which constitute both internal nonionic and external anionic surfactants. Furthermore, CBLA deposition is mainly caused by interception and is not suitable for application in fine media. Low concentration of CBLA and high injection flow rate help CBLA to form a remediation area with a certain radius. This study solved the problem of DNAPLs in contaminated groundwater from the perspective of density regulation, and made contributions towards the development of combined remediation approaches using CBLAs. CBLA has a structural model with internal nonionic and external anionic surfactants. CBLA deposition is mainly caused by interception.","author":[{"dropping-particle":"","family":"Yang","given":"Chaoge","non-dropping-particle":"","parse-names":false,"suffix":""},{"dropping-particle":"","family":"Offiong","given":"Nnanake Abasi","non-dropping-particle":"","parse-names":false,"suffix":""},{"dropping-particle":"","family":"Chen","given":"Xiaochen","non-dropping-particle":"","parse-names":false,"suffix":""},{"dropping-particle":"","family":"Zhang","given":"Chunpeng","non-dropping-particle":"","parse-names":false,"suffix":""},{"dropping-particle":"","family":"Liang","given":"Xue","non-dropping-particle":"","parse-names":false,"suffix":""},{"dropping-particle":"","family":"Sonu","given":"Kyongsu","non-dropping-particle":"","parse-names":false,"suffix":""},{"dropping-particle":"","family":"Dong","given":"Jun","non-dropping-particle":"","parse-names":false,"suffix":""}],"container-title":"Environmental Pollution","id":"ITEM-2","issued":{"date-parts":[["2020","10","1"]]},"publisher":"Elsevier Ltd","title":"The role of surfactants in colloidal biliquid aphrons and their transport in saturated porous medium","type":"article-journal","volume":"265"},"uris":["http://www.mendeley.com/documents/?uuid=76d0a1fe-fb49-3cf4-9c05-23de3feb8fea"]}],"mendeley":{"formattedCitation":"[15], [16]","manualFormatting":"[16, 17]","plainTextFormattedCitation":"[15], [16]","previouslyFormattedCitation":"[15], [16]"},"properties":{"noteIndex":0},"schema":"https://github.com/citation-style-language/schema/raw/master/csl-citation.json"}</w:instrText>
      </w:r>
      <w:r w:rsidR="00FA456A">
        <w:rPr>
          <w:rFonts w:ascii="Times New Roman" w:hAnsi="Times New Roman" w:cs="Times New Roman"/>
          <w:lang w:val="en-US"/>
        </w:rPr>
        <w:fldChar w:fldCharType="separate"/>
      </w:r>
      <w:r w:rsidR="00FA456A" w:rsidRPr="00FA456A">
        <w:rPr>
          <w:rFonts w:ascii="Times New Roman" w:hAnsi="Times New Roman" w:cs="Times New Roman"/>
          <w:noProof/>
          <w:lang w:val="en-US"/>
        </w:rPr>
        <w:t>[16, 17]</w:t>
      </w:r>
      <w:r w:rsidR="00FA456A">
        <w:rPr>
          <w:rFonts w:ascii="Times New Roman" w:hAnsi="Times New Roman" w:cs="Times New Roman"/>
          <w:lang w:val="en-US"/>
        </w:rPr>
        <w:fldChar w:fldCharType="end"/>
      </w:r>
      <w:r w:rsidR="007C42C7">
        <w:rPr>
          <w:rFonts w:ascii="Times New Roman" w:hAnsi="Times New Roman" w:cs="Times New Roman"/>
          <w:lang w:val="en-US"/>
        </w:rPr>
        <w:t>.</w:t>
      </w:r>
    </w:p>
    <w:p w14:paraId="70D2EFC9" w14:textId="2A902EC9" w:rsidR="007614D3" w:rsidRPr="007C42C7" w:rsidRDefault="007C42C7" w:rsidP="007C42C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240" w:line="276" w:lineRule="auto"/>
        <w:jc w:val="both"/>
        <w:rPr>
          <w:color w:val="002060"/>
          <w:lang w:val="en-US"/>
        </w:rPr>
      </w:pPr>
      <w:r w:rsidRPr="000B3E4D">
        <w:rPr>
          <w:rFonts w:ascii="Times New Roman" w:hAnsi="Times New Roman" w:cs="Times New Roman"/>
          <w:lang w:val="en"/>
        </w:rPr>
        <w:t>The present work is focused on the operative context of contaminated aquifer remediation using SEAR technology. The aim of the research is the evaluation of potential applicability of two selected surfactants as mobilizing agents</w:t>
      </w:r>
      <w:r>
        <w:rPr>
          <w:rFonts w:ascii="Times New Roman" w:hAnsi="Times New Roman" w:cs="Times New Roman"/>
          <w:lang w:val="en"/>
        </w:rPr>
        <w:t xml:space="preserve"> for adsorbed NAPLs </w:t>
      </w:r>
      <w:r w:rsidRPr="00610518">
        <w:rPr>
          <w:rFonts w:ascii="Times New Roman" w:hAnsi="Times New Roman" w:cs="Times New Roman"/>
          <w:lang w:val="en"/>
        </w:rPr>
        <w:t xml:space="preserve">in conditions representative of a real technological approach.  </w:t>
      </w:r>
      <w:r w:rsidRPr="000B3E4D">
        <w:rPr>
          <w:rFonts w:ascii="Times New Roman" w:hAnsi="Times New Roman" w:cs="Times New Roman"/>
          <w:lang w:val="en"/>
        </w:rPr>
        <w:t xml:space="preserve">In this regard, a continuous column test was carried out in which, under laboratory-controlled condition, a soil flushing process was simulated. In the experimentation toluene for LNAPLs and </w:t>
      </w:r>
      <w:proofErr w:type="spellStart"/>
      <w:r w:rsidRPr="000B3E4D">
        <w:rPr>
          <w:rFonts w:ascii="Times New Roman" w:hAnsi="Times New Roman" w:cs="Times New Roman"/>
          <w:lang w:val="en"/>
        </w:rPr>
        <w:t>perchlorethylene</w:t>
      </w:r>
      <w:proofErr w:type="spellEnd"/>
      <w:r w:rsidRPr="000B3E4D">
        <w:rPr>
          <w:rFonts w:ascii="Times New Roman" w:hAnsi="Times New Roman" w:cs="Times New Roman"/>
          <w:lang w:val="en"/>
        </w:rPr>
        <w:t xml:space="preserve"> (PCE) for DNAPLs were used as reference contaminants. </w:t>
      </w:r>
      <w:r>
        <w:rPr>
          <w:rFonts w:ascii="Times New Roman" w:hAnsi="Times New Roman" w:cs="Times New Roman"/>
          <w:lang w:val="en"/>
        </w:rPr>
        <w:t xml:space="preserve">Two sugar-based surfactants, belonging to the families of </w:t>
      </w:r>
      <w:r w:rsidRPr="000B3E4D">
        <w:rPr>
          <w:rFonts w:ascii="Times New Roman" w:hAnsi="Times New Roman" w:cs="Times New Roman"/>
          <w:lang w:val="en"/>
        </w:rPr>
        <w:t>synthetic alkyl-</w:t>
      </w:r>
      <w:proofErr w:type="spellStart"/>
      <w:r w:rsidRPr="000B3E4D">
        <w:rPr>
          <w:rFonts w:ascii="Times New Roman" w:hAnsi="Times New Roman" w:cs="Times New Roman"/>
          <w:lang w:val="en"/>
        </w:rPr>
        <w:t>polyglycosides</w:t>
      </w:r>
      <w:proofErr w:type="spellEnd"/>
      <w:r w:rsidRPr="000B3E4D">
        <w:rPr>
          <w:rFonts w:ascii="Times New Roman" w:hAnsi="Times New Roman" w:cs="Times New Roman"/>
          <w:lang w:val="en"/>
        </w:rPr>
        <w:t xml:space="preserve"> </w:t>
      </w:r>
      <w:r>
        <w:rPr>
          <w:rFonts w:ascii="Times New Roman" w:hAnsi="Times New Roman" w:cs="Times New Roman"/>
          <w:lang w:val="en"/>
        </w:rPr>
        <w:t xml:space="preserve">(APG) and natural rhamnolipids (RL) was investigated, because in a previous study they had shown </w:t>
      </w:r>
      <w:r w:rsidRPr="000B3E4D">
        <w:rPr>
          <w:rFonts w:ascii="Times New Roman" w:hAnsi="Times New Roman" w:cs="Times New Roman"/>
          <w:lang w:val="en"/>
        </w:rPr>
        <w:t>very low CMC values (</w:t>
      </w:r>
      <w:r w:rsidRPr="00752A83">
        <w:rPr>
          <w:rFonts w:ascii="Times New Roman" w:hAnsi="Times New Roman" w:cs="Times New Roman"/>
          <w:lang w:val="en-US"/>
        </w:rPr>
        <w:t>7 10</w:t>
      </w:r>
      <w:r w:rsidRPr="00752A83">
        <w:rPr>
          <w:rFonts w:ascii="Times New Roman" w:hAnsi="Times New Roman" w:cs="Times New Roman"/>
          <w:vertAlign w:val="superscript"/>
          <w:lang w:val="en-US"/>
        </w:rPr>
        <w:t>-3</w:t>
      </w:r>
      <w:r w:rsidRPr="00752A83">
        <w:rPr>
          <w:rFonts w:ascii="Times New Roman" w:hAnsi="Times New Roman" w:cs="Times New Roman"/>
          <w:lang w:val="en-US"/>
        </w:rPr>
        <w:t xml:space="preserve"> %wt and 1.73 10</w:t>
      </w:r>
      <w:r w:rsidRPr="00752A83">
        <w:rPr>
          <w:rFonts w:ascii="Times New Roman" w:hAnsi="Times New Roman" w:cs="Times New Roman"/>
          <w:vertAlign w:val="superscript"/>
          <w:lang w:val="en-US"/>
        </w:rPr>
        <w:t>-2</w:t>
      </w:r>
      <w:r w:rsidRPr="00752A83">
        <w:rPr>
          <w:rFonts w:ascii="Times New Roman" w:hAnsi="Times New Roman" w:cs="Times New Roman"/>
          <w:lang w:val="en-US"/>
        </w:rPr>
        <w:t xml:space="preserve"> %wt</w:t>
      </w:r>
      <w:r w:rsidRPr="00752A83">
        <w:rPr>
          <w:rFonts w:ascii="Times New Roman" w:hAnsi="Times New Roman" w:cs="Times New Roman"/>
          <w:lang w:val="en"/>
        </w:rPr>
        <w:t>,</w:t>
      </w:r>
      <w:r>
        <w:rPr>
          <w:rFonts w:ascii="Times New Roman" w:hAnsi="Times New Roman" w:cs="Times New Roman"/>
          <w:lang w:val="en"/>
        </w:rPr>
        <w:t xml:space="preserve"> </w:t>
      </w:r>
      <w:r w:rsidRPr="00752A83">
        <w:rPr>
          <w:rFonts w:ascii="Times New Roman" w:hAnsi="Times New Roman" w:cs="Times New Roman"/>
          <w:lang w:val="en"/>
        </w:rPr>
        <w:t>respectively</w:t>
      </w:r>
      <w:r w:rsidRPr="000B3E4D">
        <w:rPr>
          <w:rFonts w:ascii="Times New Roman" w:hAnsi="Times New Roman" w:cs="Times New Roman"/>
          <w:lang w:val="en"/>
        </w:rPr>
        <w:t xml:space="preserve">) and high capacity to reduce the adsorption of </w:t>
      </w:r>
      <w:r>
        <w:rPr>
          <w:rFonts w:ascii="Times New Roman" w:hAnsi="Times New Roman" w:cs="Times New Roman"/>
          <w:lang w:val="en"/>
        </w:rPr>
        <w:t>NAPLs on a reference adsorbent material</w:t>
      </w:r>
      <w:r w:rsidRPr="000B3E4D">
        <w:rPr>
          <w:rFonts w:ascii="Times New Roman" w:hAnsi="Times New Roman" w:cs="Times New Roman"/>
          <w:lang w:val="en"/>
        </w:rPr>
        <w:t>.</w:t>
      </w:r>
      <w:r>
        <w:rPr>
          <w:rFonts w:ascii="Times New Roman" w:hAnsi="Times New Roman" w:cs="Times New Roman"/>
          <w:lang w:val="en"/>
        </w:rPr>
        <w:t xml:space="preserve"> </w:t>
      </w:r>
    </w:p>
    <w:p w14:paraId="526B0E3A" w14:textId="77777777" w:rsidR="00610518" w:rsidRDefault="00DA51A3" w:rsidP="00610518">
      <w:pPr>
        <w:snapToGrid w:val="0"/>
        <w:spacing w:before="160" w:line="300" w:lineRule="auto"/>
        <w:jc w:val="both"/>
        <w:rPr>
          <w:rFonts w:ascii="Times New Roman" w:eastAsia="MS PGothic" w:hAnsi="Times New Roman"/>
          <w:lang w:val="en-US"/>
        </w:rPr>
      </w:pPr>
      <w:r w:rsidRPr="00466FFD">
        <w:rPr>
          <w:rFonts w:ascii="Times New Roman" w:eastAsia="MS PGothic" w:hAnsi="Times New Roman"/>
          <w:b/>
          <w:bCs/>
          <w:lang w:val="en-US"/>
        </w:rPr>
        <w:lastRenderedPageBreak/>
        <w:t>2. Methods</w:t>
      </w:r>
    </w:p>
    <w:p w14:paraId="7D6B6712" w14:textId="3678C6B0" w:rsidR="0046535B" w:rsidRDefault="00DC3ADF" w:rsidP="00E60F87">
      <w:pPr>
        <w:snapToGrid w:val="0"/>
        <w:spacing w:before="160" w:line="276" w:lineRule="auto"/>
        <w:jc w:val="both"/>
        <w:rPr>
          <w:rFonts w:ascii="Times New Roman" w:eastAsia="MS PGothic" w:hAnsi="Times New Roman"/>
          <w:lang w:val="en-US"/>
        </w:rPr>
      </w:pPr>
      <w:r>
        <w:rPr>
          <w:rFonts w:ascii="Times New Roman" w:eastAsia="MS PGothic" w:hAnsi="Times New Roman"/>
          <w:lang w:val="en-US"/>
        </w:rPr>
        <w:t xml:space="preserve">For continuous test, </w:t>
      </w:r>
      <w:proofErr w:type="spellStart"/>
      <w:r>
        <w:rPr>
          <w:rFonts w:ascii="Times New Roman" w:eastAsia="MS PGothic" w:hAnsi="Times New Roman"/>
          <w:lang w:val="en-US"/>
        </w:rPr>
        <w:t>p</w:t>
      </w:r>
      <w:r w:rsidR="009530E0" w:rsidRPr="009530E0">
        <w:rPr>
          <w:rFonts w:ascii="Times New Roman" w:eastAsia="MS PGothic" w:hAnsi="Times New Roman"/>
          <w:lang w:val="en-US"/>
        </w:rPr>
        <w:t>lexiglas</w:t>
      </w:r>
      <w:proofErr w:type="spellEnd"/>
      <w:r w:rsidR="009530E0">
        <w:rPr>
          <w:rFonts w:ascii="Times New Roman" w:eastAsia="MS PGothic" w:hAnsi="Times New Roman"/>
          <w:lang w:val="en-US"/>
        </w:rPr>
        <w:t xml:space="preserve"> </w:t>
      </w:r>
      <w:r w:rsidR="009530E0" w:rsidRPr="009530E0">
        <w:rPr>
          <w:rFonts w:ascii="Times New Roman" w:eastAsia="MS PGothic" w:hAnsi="Times New Roman"/>
          <w:lang w:val="en-US"/>
        </w:rPr>
        <w:t xml:space="preserve">(PMMA) columns (13 cm </w:t>
      </w:r>
      <w:r>
        <w:rPr>
          <w:rFonts w:ascii="Times New Roman" w:eastAsia="MS PGothic" w:hAnsi="Times New Roman"/>
          <w:lang w:val="en-US"/>
        </w:rPr>
        <w:t xml:space="preserve">height </w:t>
      </w:r>
      <w:r w:rsidR="009530E0" w:rsidRPr="009530E0">
        <w:rPr>
          <w:rFonts w:ascii="Times New Roman" w:eastAsia="MS PGothic" w:hAnsi="Times New Roman"/>
          <w:lang w:val="en-US"/>
        </w:rPr>
        <w:t>× 2.6 cm</w:t>
      </w:r>
      <w:r>
        <w:rPr>
          <w:rFonts w:ascii="Times New Roman" w:eastAsia="MS PGothic" w:hAnsi="Times New Roman"/>
          <w:lang w:val="en-US"/>
        </w:rPr>
        <w:t xml:space="preserve"> internal diameter</w:t>
      </w:r>
      <w:r w:rsidR="009530E0" w:rsidRPr="009530E0">
        <w:rPr>
          <w:rFonts w:ascii="Times New Roman" w:eastAsia="MS PGothic" w:hAnsi="Times New Roman"/>
          <w:lang w:val="en-US"/>
        </w:rPr>
        <w:t>) equipped with two sampling points, door IN and OUT, respectively at the entry and the exit of the column</w:t>
      </w:r>
      <w:r>
        <w:rPr>
          <w:rFonts w:ascii="Times New Roman" w:eastAsia="MS PGothic" w:hAnsi="Times New Roman"/>
          <w:lang w:val="en-US"/>
        </w:rPr>
        <w:t>, were used.</w:t>
      </w:r>
      <w:r w:rsidR="009530E0" w:rsidRPr="009530E0">
        <w:rPr>
          <w:rFonts w:ascii="Times New Roman" w:eastAsia="MS PGothic" w:hAnsi="Times New Roman"/>
          <w:lang w:val="en-US"/>
        </w:rPr>
        <w:t xml:space="preserve"> </w:t>
      </w:r>
      <w:r w:rsidR="000379F8">
        <w:rPr>
          <w:rFonts w:ascii="Times New Roman" w:eastAsia="MS PGothic" w:hAnsi="Times New Roman"/>
          <w:lang w:val="en-US"/>
        </w:rPr>
        <w:t>Pine-wood biochar</w:t>
      </w:r>
      <w:r w:rsidR="006D56E1">
        <w:rPr>
          <w:rFonts w:ascii="Times New Roman" w:eastAsia="MS PGothic" w:hAnsi="Times New Roman"/>
          <w:lang w:val="en-US"/>
        </w:rPr>
        <w:t xml:space="preserve"> (PWB)</w:t>
      </w:r>
      <w:r w:rsidR="000379F8">
        <w:rPr>
          <w:rFonts w:ascii="Times New Roman" w:eastAsia="MS PGothic" w:hAnsi="Times New Roman"/>
          <w:lang w:val="en-US"/>
        </w:rPr>
        <w:t xml:space="preserve"> was selected as reference sorbent material. It</w:t>
      </w:r>
      <w:r w:rsidR="009530E0" w:rsidRPr="009530E0">
        <w:rPr>
          <w:rFonts w:ascii="Times New Roman" w:eastAsia="MS PGothic" w:hAnsi="Times New Roman"/>
          <w:lang w:val="en-US"/>
        </w:rPr>
        <w:t xml:space="preserve"> </w:t>
      </w:r>
      <w:r w:rsidRPr="009530E0">
        <w:rPr>
          <w:rFonts w:ascii="Times New Roman" w:eastAsia="MS PGothic" w:hAnsi="Times New Roman"/>
          <w:lang w:val="en-US"/>
        </w:rPr>
        <w:t>was</w:t>
      </w:r>
      <w:r w:rsidR="009530E0" w:rsidRPr="009530E0">
        <w:rPr>
          <w:rFonts w:ascii="Times New Roman" w:eastAsia="MS PGothic" w:hAnsi="Times New Roman"/>
          <w:lang w:val="en-US"/>
        </w:rPr>
        <w:t xml:space="preserve"> mixed with silica sand in quantities equal to 4 wt% (equivalents to about 2 g of reactive material). In detail, the first and the last 3 cm of the column were filled only with sand </w:t>
      </w:r>
      <w:r w:rsidRPr="009530E0">
        <w:rPr>
          <w:rFonts w:ascii="Times New Roman" w:eastAsia="MS PGothic" w:hAnsi="Times New Roman"/>
          <w:lang w:val="en-US"/>
        </w:rPr>
        <w:t>to</w:t>
      </w:r>
      <w:r w:rsidR="009530E0" w:rsidRPr="009530E0">
        <w:rPr>
          <w:rFonts w:ascii="Times New Roman" w:eastAsia="MS PGothic" w:hAnsi="Times New Roman"/>
          <w:lang w:val="en-US"/>
        </w:rPr>
        <w:t xml:space="preserve"> make the liquid phase front homogeneous in the</w:t>
      </w:r>
      <w:r w:rsidR="000379F8">
        <w:rPr>
          <w:rFonts w:ascii="Times New Roman" w:eastAsia="MS PGothic" w:hAnsi="Times New Roman"/>
          <w:lang w:val="en-US"/>
        </w:rPr>
        <w:t xml:space="preserve"> central</w:t>
      </w:r>
      <w:r w:rsidR="009530E0" w:rsidRPr="009530E0">
        <w:rPr>
          <w:rFonts w:ascii="Times New Roman" w:eastAsia="MS PGothic" w:hAnsi="Times New Roman"/>
          <w:lang w:val="en-US"/>
        </w:rPr>
        <w:t xml:space="preserve"> reactive zone (7 cm of bed height). A peristaltic p</w:t>
      </w:r>
      <w:r w:rsidR="000379F8">
        <w:rPr>
          <w:rFonts w:ascii="Times New Roman" w:eastAsia="MS PGothic" w:hAnsi="Times New Roman"/>
          <w:lang w:val="en-US"/>
        </w:rPr>
        <w:t>u</w:t>
      </w:r>
      <w:r w:rsidR="009530E0" w:rsidRPr="009530E0">
        <w:rPr>
          <w:rFonts w:ascii="Times New Roman" w:eastAsia="MS PGothic" w:hAnsi="Times New Roman"/>
          <w:lang w:val="en-US"/>
        </w:rPr>
        <w:t xml:space="preserve">mp was used to </w:t>
      </w:r>
      <w:r w:rsidR="000379F8">
        <w:rPr>
          <w:rFonts w:ascii="Times New Roman" w:eastAsia="MS PGothic" w:hAnsi="Times New Roman"/>
          <w:lang w:val="en-US"/>
        </w:rPr>
        <w:t>feed the</w:t>
      </w:r>
      <w:r w:rsidR="009530E0" w:rsidRPr="009530E0">
        <w:rPr>
          <w:rFonts w:ascii="Times New Roman" w:eastAsia="MS PGothic" w:hAnsi="Times New Roman"/>
          <w:lang w:val="en-US"/>
        </w:rPr>
        <w:t xml:space="preserve"> </w:t>
      </w:r>
      <w:r w:rsidR="000379F8">
        <w:rPr>
          <w:rFonts w:ascii="Times New Roman" w:eastAsia="MS PGothic" w:hAnsi="Times New Roman"/>
          <w:lang w:val="en-US"/>
        </w:rPr>
        <w:t>column</w:t>
      </w:r>
      <w:r w:rsidR="009530E0" w:rsidRPr="009530E0">
        <w:rPr>
          <w:rFonts w:ascii="Times New Roman" w:eastAsia="MS PGothic" w:hAnsi="Times New Roman"/>
          <w:lang w:val="en-US"/>
        </w:rPr>
        <w:t xml:space="preserve"> upwards at 0.6 mL min</w:t>
      </w:r>
      <w:r w:rsidR="009530E0" w:rsidRPr="000379F8">
        <w:rPr>
          <w:rFonts w:ascii="Times New Roman" w:eastAsia="MS PGothic" w:hAnsi="Times New Roman"/>
          <w:vertAlign w:val="superscript"/>
          <w:lang w:val="en-US"/>
        </w:rPr>
        <w:t>−1</w:t>
      </w:r>
      <w:r w:rsidR="009530E0" w:rsidRPr="009530E0">
        <w:rPr>
          <w:rFonts w:ascii="Times New Roman" w:eastAsia="MS PGothic" w:hAnsi="Times New Roman"/>
          <w:lang w:val="en-US"/>
        </w:rPr>
        <w:t xml:space="preserve"> </w:t>
      </w:r>
      <w:r w:rsidR="0012712E">
        <w:rPr>
          <w:rFonts w:ascii="Times New Roman" w:eastAsia="MS PGothic" w:hAnsi="Times New Roman"/>
          <w:lang w:val="en-US"/>
        </w:rPr>
        <w:t>as</w:t>
      </w:r>
      <w:r w:rsidR="006D56E1">
        <w:rPr>
          <w:rFonts w:ascii="Times New Roman" w:eastAsia="MS PGothic" w:hAnsi="Times New Roman"/>
          <w:lang w:val="en-US"/>
        </w:rPr>
        <w:t xml:space="preserve"> </w:t>
      </w:r>
      <w:r w:rsidR="009530E0" w:rsidRPr="009530E0">
        <w:rPr>
          <w:rFonts w:ascii="Times New Roman" w:eastAsia="MS PGothic" w:hAnsi="Times New Roman"/>
          <w:lang w:val="en-US"/>
        </w:rPr>
        <w:t xml:space="preserve">flow rate. </w:t>
      </w:r>
      <w:r w:rsidR="00CC0826" w:rsidRPr="00CC0826">
        <w:rPr>
          <w:rFonts w:ascii="Times New Roman" w:eastAsia="MS PGothic" w:hAnsi="Times New Roman"/>
          <w:lang w:val="en-US"/>
        </w:rPr>
        <w:t xml:space="preserve">Figure </w:t>
      </w:r>
      <w:r w:rsidR="00CC0826">
        <w:rPr>
          <w:rFonts w:ascii="Times New Roman" w:eastAsia="MS PGothic" w:hAnsi="Times New Roman"/>
          <w:lang w:val="en-US"/>
        </w:rPr>
        <w:t>1</w:t>
      </w:r>
      <w:r w:rsidR="00CC0826" w:rsidRPr="00CC0826">
        <w:rPr>
          <w:rFonts w:ascii="Times New Roman" w:eastAsia="MS PGothic" w:hAnsi="Times New Roman"/>
          <w:lang w:val="en-US"/>
        </w:rPr>
        <w:t xml:space="preserve"> illustrates a schematic draw of the experimental configuratio</w:t>
      </w:r>
      <w:r w:rsidR="00CC0826">
        <w:rPr>
          <w:rFonts w:ascii="Times New Roman" w:eastAsia="MS PGothic" w:hAnsi="Times New Roman"/>
          <w:lang w:val="en-US"/>
        </w:rPr>
        <w:t xml:space="preserve">n. </w:t>
      </w:r>
      <w:r w:rsidR="00646FCB" w:rsidRPr="001D5607">
        <w:rPr>
          <w:rFonts w:ascii="Times New Roman" w:eastAsia="MS PGothic" w:hAnsi="Times New Roman"/>
          <w:lang w:val="en-US"/>
        </w:rPr>
        <w:t>A total of six columns were set up, differentiated by type of</w:t>
      </w:r>
      <w:r w:rsidR="00646FCB">
        <w:rPr>
          <w:rFonts w:ascii="Times New Roman" w:eastAsia="MS PGothic" w:hAnsi="Times New Roman"/>
          <w:lang w:val="en-US"/>
        </w:rPr>
        <w:t xml:space="preserve"> used</w:t>
      </w:r>
      <w:r w:rsidR="00646FCB" w:rsidRPr="001D5607">
        <w:rPr>
          <w:rFonts w:ascii="Times New Roman" w:eastAsia="MS PGothic" w:hAnsi="Times New Roman"/>
          <w:lang w:val="en-US"/>
        </w:rPr>
        <w:t xml:space="preserve"> contaminant and </w:t>
      </w:r>
      <w:r w:rsidR="00646FCB">
        <w:rPr>
          <w:rFonts w:ascii="Times New Roman" w:eastAsia="MS PGothic" w:hAnsi="Times New Roman"/>
          <w:lang w:val="en-US"/>
        </w:rPr>
        <w:t>flushing</w:t>
      </w:r>
      <w:r w:rsidR="00646FCB" w:rsidRPr="001D5607">
        <w:rPr>
          <w:rFonts w:ascii="Times New Roman" w:eastAsia="MS PGothic" w:hAnsi="Times New Roman"/>
          <w:lang w:val="en-US"/>
        </w:rPr>
        <w:t xml:space="preserve"> solution</w:t>
      </w:r>
      <w:r w:rsidR="00646FCB">
        <w:rPr>
          <w:rFonts w:ascii="Times New Roman" w:eastAsia="MS PGothic" w:hAnsi="Times New Roman"/>
          <w:lang w:val="en-US"/>
        </w:rPr>
        <w:t>.</w:t>
      </w:r>
      <w:r w:rsidR="006A156C">
        <w:rPr>
          <w:rFonts w:ascii="Times New Roman" w:eastAsia="MS PGothic" w:hAnsi="Times New Roman"/>
          <w:lang w:val="en-US"/>
        </w:rPr>
        <w:t xml:space="preserve"> </w:t>
      </w:r>
      <w:r w:rsidR="006A156C" w:rsidRPr="006A156C">
        <w:rPr>
          <w:rFonts w:ascii="Times New Roman" w:eastAsia="MS PGothic" w:hAnsi="Times New Roman"/>
          <w:lang w:val="en-US"/>
        </w:rPr>
        <w:t>Table 1 summarizes the test conditions in terms of contaminant and mobilizing agent used.</w:t>
      </w:r>
    </w:p>
    <w:p w14:paraId="46B91864" w14:textId="5D4B8572" w:rsidR="00CC0826" w:rsidRPr="007614D3" w:rsidRDefault="004939B2" w:rsidP="00CC0826">
      <w:pPr>
        <w:keepNext/>
        <w:snapToGrid w:val="0"/>
        <w:spacing w:after="120"/>
        <w:jc w:val="center"/>
        <w:rPr>
          <w:lang w:val="en-US"/>
        </w:rPr>
      </w:pPr>
      <w:r>
        <w:rPr>
          <w:noProof/>
          <w:lang w:eastAsia="it-IT"/>
        </w:rPr>
        <mc:AlternateContent>
          <mc:Choice Requires="wps">
            <w:drawing>
              <wp:anchor distT="0" distB="0" distL="114300" distR="114300" simplePos="0" relativeHeight="251661312" behindDoc="0" locked="0" layoutInCell="1" allowOverlap="1" wp14:anchorId="317C2498" wp14:editId="51363B07">
                <wp:simplePos x="0" y="0"/>
                <wp:positionH relativeFrom="column">
                  <wp:posOffset>1872591</wp:posOffset>
                </wp:positionH>
                <wp:positionV relativeFrom="paragraph">
                  <wp:posOffset>545033</wp:posOffset>
                </wp:positionV>
                <wp:extent cx="1295400" cy="390525"/>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295400" cy="390525"/>
                        </a:xfrm>
                        <a:prstGeom prst="rect">
                          <a:avLst/>
                        </a:prstGeom>
                        <a:noFill/>
                        <a:ln w="6350">
                          <a:noFill/>
                        </a:ln>
                      </wps:spPr>
                      <wps:txbx>
                        <w:txbxContent>
                          <w:p w14:paraId="1C5204E0" w14:textId="3F17858A" w:rsidR="00CC0826" w:rsidRPr="009E09C0" w:rsidRDefault="00CC0826" w:rsidP="00CC0826">
                            <w:pPr>
                              <w:spacing w:after="0" w:line="240" w:lineRule="auto"/>
                              <w:jc w:val="center"/>
                              <w:rPr>
                                <w:rFonts w:ascii="Times New Roman" w:hAnsi="Times New Roman" w:cs="Times New Roman"/>
                                <w:sz w:val="18"/>
                                <w:szCs w:val="18"/>
                                <w:lang w:val="en-US"/>
                              </w:rPr>
                            </w:pPr>
                            <w:r w:rsidRPr="009E09C0">
                              <w:rPr>
                                <w:rFonts w:ascii="Times New Roman" w:hAnsi="Times New Roman" w:cs="Times New Roman"/>
                                <w:sz w:val="18"/>
                                <w:szCs w:val="18"/>
                                <w:lang w:val="en-US"/>
                              </w:rPr>
                              <w:t>7cm reactive zone:</w:t>
                            </w:r>
                          </w:p>
                          <w:p w14:paraId="764EE7C8" w14:textId="42E3ECC4" w:rsidR="00CC0826" w:rsidRPr="009E09C0" w:rsidRDefault="00CC0826" w:rsidP="00CC0826">
                            <w:pPr>
                              <w:spacing w:after="0" w:line="240" w:lineRule="auto"/>
                              <w:jc w:val="center"/>
                              <w:rPr>
                                <w:rFonts w:ascii="Times New Roman" w:hAnsi="Times New Roman" w:cs="Times New Roman"/>
                                <w:b/>
                                <w:bCs/>
                                <w:sz w:val="18"/>
                                <w:szCs w:val="18"/>
                                <w:lang w:val="en-US"/>
                              </w:rPr>
                            </w:pPr>
                            <w:r w:rsidRPr="009E09C0">
                              <w:rPr>
                                <w:rFonts w:ascii="Times New Roman" w:hAnsi="Times New Roman" w:cs="Times New Roman"/>
                                <w:b/>
                                <w:bCs/>
                                <w:sz w:val="18"/>
                                <w:szCs w:val="18"/>
                                <w:lang w:val="en-US"/>
                              </w:rPr>
                              <w:t>Sand + 4%</w:t>
                            </w:r>
                            <w:r w:rsidR="009E09C0" w:rsidRPr="009E09C0">
                              <w:rPr>
                                <w:rFonts w:ascii="Times New Roman" w:hAnsi="Times New Roman" w:cs="Times New Roman"/>
                                <w:b/>
                                <w:bCs/>
                                <w:sz w:val="18"/>
                                <w:szCs w:val="18"/>
                                <w:lang w:val="en-US"/>
                              </w:rPr>
                              <w:t xml:space="preserve">wt </w:t>
                            </w:r>
                            <w:r w:rsidRPr="009E09C0">
                              <w:rPr>
                                <w:rFonts w:ascii="Times New Roman" w:hAnsi="Times New Roman" w:cs="Times New Roman"/>
                                <w:b/>
                                <w:bCs/>
                                <w:sz w:val="18"/>
                                <w:szCs w:val="18"/>
                                <w:lang w:val="en-US"/>
                              </w:rPr>
                              <w:t>PWB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2498" id="_x0000_t202" coordsize="21600,21600" o:spt="202" path="m,l,21600r21600,l21600,xe">
                <v:stroke joinstyle="miter"/>
                <v:path gradientshapeok="t" o:connecttype="rect"/>
              </v:shapetype>
              <v:shape id="Casella di testo 4" o:spid="_x0000_s1026" type="#_x0000_t202" style="position:absolute;left:0;text-align:left;margin-left:147.45pt;margin-top:42.9pt;width:102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" filled="f" stroked="f" strokeweight=".5pt">
                <v:textbox>
                  <w:txbxContent>
                    <w:p w14:paraId="1C5204E0" w14:textId="3F17858A" w:rsidR="00CC0826" w:rsidRPr="009E09C0" w:rsidRDefault="00CC0826" w:rsidP="00CC0826">
                      <w:pPr>
                        <w:spacing w:after="0" w:line="240" w:lineRule="auto"/>
                        <w:jc w:val="center"/>
                        <w:rPr>
                          <w:rFonts w:ascii="Times New Roman" w:hAnsi="Times New Roman" w:cs="Times New Roman"/>
                          <w:sz w:val="18"/>
                          <w:szCs w:val="18"/>
                          <w:lang w:val="en-US"/>
                        </w:rPr>
                      </w:pPr>
                      <w:r w:rsidRPr="009E09C0">
                        <w:rPr>
                          <w:rFonts w:ascii="Times New Roman" w:hAnsi="Times New Roman" w:cs="Times New Roman"/>
                          <w:sz w:val="18"/>
                          <w:szCs w:val="18"/>
                          <w:lang w:val="en-US"/>
                        </w:rPr>
                        <w:t>7cm reactive zone:</w:t>
                      </w:r>
                    </w:p>
                    <w:p w14:paraId="764EE7C8" w14:textId="42E3ECC4" w:rsidR="00CC0826" w:rsidRPr="009E09C0" w:rsidRDefault="00CC0826" w:rsidP="00CC0826">
                      <w:pPr>
                        <w:spacing w:after="0" w:line="240" w:lineRule="auto"/>
                        <w:jc w:val="center"/>
                        <w:rPr>
                          <w:rFonts w:ascii="Times New Roman" w:hAnsi="Times New Roman" w:cs="Times New Roman"/>
                          <w:b/>
                          <w:bCs/>
                          <w:sz w:val="18"/>
                          <w:szCs w:val="18"/>
                          <w:lang w:val="en-US"/>
                        </w:rPr>
                      </w:pPr>
                      <w:r w:rsidRPr="009E09C0">
                        <w:rPr>
                          <w:rFonts w:ascii="Times New Roman" w:hAnsi="Times New Roman" w:cs="Times New Roman"/>
                          <w:b/>
                          <w:bCs/>
                          <w:sz w:val="18"/>
                          <w:szCs w:val="18"/>
                          <w:lang w:val="en-US"/>
                        </w:rPr>
                        <w:t>Sand + 4%</w:t>
                      </w:r>
                      <w:r w:rsidR="009E09C0" w:rsidRPr="009E09C0">
                        <w:rPr>
                          <w:rFonts w:ascii="Times New Roman" w:hAnsi="Times New Roman" w:cs="Times New Roman"/>
                          <w:b/>
                          <w:bCs/>
                          <w:sz w:val="18"/>
                          <w:szCs w:val="18"/>
                          <w:lang w:val="en-US"/>
                        </w:rPr>
                        <w:t xml:space="preserve">wt </w:t>
                      </w:r>
                      <w:r w:rsidRPr="009E09C0">
                        <w:rPr>
                          <w:rFonts w:ascii="Times New Roman" w:hAnsi="Times New Roman" w:cs="Times New Roman"/>
                          <w:b/>
                          <w:bCs/>
                          <w:sz w:val="18"/>
                          <w:szCs w:val="18"/>
                          <w:lang w:val="en-US"/>
                        </w:rPr>
                        <w:t>PWB</w:t>
                      </w: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14:anchorId="19A3501E" wp14:editId="5CD7B197">
                <wp:simplePos x="0" y="0"/>
                <wp:positionH relativeFrom="column">
                  <wp:posOffset>2200910</wp:posOffset>
                </wp:positionH>
                <wp:positionV relativeFrom="paragraph">
                  <wp:posOffset>617952</wp:posOffset>
                </wp:positionV>
                <wp:extent cx="981075" cy="257175"/>
                <wp:effectExtent l="0" t="0" r="9525" b="9525"/>
                <wp:wrapNone/>
                <wp:docPr id="5" name="Casella di testo 5"/>
                <wp:cNvGraphicFramePr/>
                <a:graphic xmlns:a="http://schemas.openxmlformats.org/drawingml/2006/main">
                  <a:graphicData uri="http://schemas.microsoft.com/office/word/2010/wordprocessingShape">
                    <wps:wsp>
                      <wps:cNvSpPr txBox="1"/>
                      <wps:spPr>
                        <a:xfrm>
                          <a:off x="0" y="0"/>
                          <a:ext cx="981075" cy="257175"/>
                        </a:xfrm>
                        <a:prstGeom prst="rect">
                          <a:avLst/>
                        </a:prstGeom>
                        <a:solidFill>
                          <a:schemeClr val="lt1"/>
                        </a:solidFill>
                        <a:ln w="6350">
                          <a:noFill/>
                        </a:ln>
                      </wps:spPr>
                      <wps:txbx>
                        <w:txbxContent>
                          <w:p w14:paraId="76358472" w14:textId="77777777" w:rsidR="00CC0826" w:rsidRDefault="00CC08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A3501E" id="Casella di testo 5" o:spid="_x0000_s1027" type="#_x0000_t202" style="position:absolute;left:0;text-align:left;margin-left:173.3pt;margin-top:48.65pt;width:77.2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" fillcolor="white [3201]" stroked="f" strokeweight=".5pt">
                <v:textbox>
                  <w:txbxContent>
                    <w:p w14:paraId="76358472" w14:textId="77777777" w:rsidR="00CC0826" w:rsidRDefault="00CC0826"/>
                  </w:txbxContent>
                </v:textbox>
              </v:shape>
            </w:pict>
          </mc:Fallback>
        </mc:AlternateContent>
      </w:r>
      <w:r w:rsidR="00E14722" w:rsidRPr="0053527B">
        <w:rPr>
          <w:noProof/>
          <w:lang w:eastAsia="it-IT"/>
        </w:rPr>
        <w:drawing>
          <wp:inline distT="0" distB="0" distL="0" distR="0" wp14:anchorId="57F49F36" wp14:editId="11CB6A61">
            <wp:extent cx="2274757" cy="1777221"/>
            <wp:effectExtent l="0" t="0" r="0" b="0"/>
            <wp:docPr id="1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7742" cy="1818617"/>
                    </a:xfrm>
                    <a:prstGeom prst="rect">
                      <a:avLst/>
                    </a:prstGeom>
                  </pic:spPr>
                </pic:pic>
              </a:graphicData>
            </a:graphic>
          </wp:inline>
        </w:drawing>
      </w:r>
    </w:p>
    <w:p w14:paraId="285F5B4C" w14:textId="5B42C4DE" w:rsidR="00CC0826" w:rsidRPr="00CC0826" w:rsidRDefault="00CC0826" w:rsidP="009E09C0">
      <w:pPr>
        <w:pStyle w:val="Didascalia"/>
        <w:spacing w:after="240"/>
        <w:jc w:val="center"/>
        <w:rPr>
          <w:rFonts w:ascii="Times New Roman" w:hAnsi="Times New Roman" w:cs="Times New Roman"/>
          <w:i w:val="0"/>
          <w:iCs w:val="0"/>
          <w:color w:val="auto"/>
          <w:lang w:val="en-US"/>
        </w:rPr>
      </w:pPr>
      <w:r w:rsidRPr="00E96A3B">
        <w:rPr>
          <w:rFonts w:ascii="Times New Roman" w:hAnsi="Times New Roman" w:cs="Times New Roman"/>
          <w:b/>
          <w:bCs/>
          <w:i w:val="0"/>
          <w:iCs w:val="0"/>
          <w:color w:val="auto"/>
          <w:lang w:val="en-US"/>
        </w:rPr>
        <w:t xml:space="preserve">Figure </w:t>
      </w:r>
      <w:r w:rsidRPr="00E96A3B">
        <w:rPr>
          <w:rFonts w:ascii="Times New Roman" w:hAnsi="Times New Roman" w:cs="Times New Roman"/>
          <w:b/>
          <w:bCs/>
          <w:i w:val="0"/>
          <w:iCs w:val="0"/>
          <w:color w:val="auto"/>
        </w:rPr>
        <w:fldChar w:fldCharType="begin"/>
      </w:r>
      <w:r w:rsidRPr="00E96A3B">
        <w:rPr>
          <w:rFonts w:ascii="Times New Roman" w:hAnsi="Times New Roman" w:cs="Times New Roman"/>
          <w:b/>
          <w:bCs/>
          <w:i w:val="0"/>
          <w:iCs w:val="0"/>
          <w:color w:val="auto"/>
          <w:lang w:val="en-US"/>
        </w:rPr>
        <w:instrText xml:space="preserve"> SEQ Figure \* ARABIC </w:instrText>
      </w:r>
      <w:r w:rsidRPr="00E96A3B">
        <w:rPr>
          <w:rFonts w:ascii="Times New Roman" w:hAnsi="Times New Roman" w:cs="Times New Roman"/>
          <w:b/>
          <w:bCs/>
          <w:i w:val="0"/>
          <w:iCs w:val="0"/>
          <w:color w:val="auto"/>
        </w:rPr>
        <w:fldChar w:fldCharType="separate"/>
      </w:r>
      <w:r w:rsidR="00A41CA9">
        <w:rPr>
          <w:rFonts w:ascii="Times New Roman" w:hAnsi="Times New Roman" w:cs="Times New Roman"/>
          <w:b/>
          <w:bCs/>
          <w:i w:val="0"/>
          <w:iCs w:val="0"/>
          <w:noProof/>
          <w:color w:val="auto"/>
          <w:lang w:val="en-US"/>
        </w:rPr>
        <w:t>1</w:t>
      </w:r>
      <w:r w:rsidRPr="00E96A3B">
        <w:rPr>
          <w:rFonts w:ascii="Times New Roman" w:hAnsi="Times New Roman" w:cs="Times New Roman"/>
          <w:b/>
          <w:bCs/>
          <w:i w:val="0"/>
          <w:iCs w:val="0"/>
          <w:color w:val="auto"/>
        </w:rPr>
        <w:fldChar w:fldCharType="end"/>
      </w:r>
      <w:r w:rsidRPr="00E96A3B">
        <w:rPr>
          <w:rFonts w:ascii="Times New Roman" w:hAnsi="Times New Roman" w:cs="Times New Roman"/>
          <w:b/>
          <w:bCs/>
          <w:i w:val="0"/>
          <w:iCs w:val="0"/>
          <w:color w:val="auto"/>
          <w:lang w:val="en-US"/>
        </w:rPr>
        <w:t>.</w:t>
      </w:r>
      <w:r w:rsidRPr="00CC0826">
        <w:rPr>
          <w:rFonts w:ascii="Times New Roman" w:hAnsi="Times New Roman" w:cs="Times New Roman"/>
          <w:i w:val="0"/>
          <w:iCs w:val="0"/>
          <w:color w:val="auto"/>
          <w:lang w:val="en-US"/>
        </w:rPr>
        <w:t xml:space="preserve"> Experimental configuration of the fixed-bed column</w:t>
      </w:r>
      <w:r w:rsidR="00E96A3B">
        <w:rPr>
          <w:rFonts w:ascii="Times New Roman" w:hAnsi="Times New Roman" w:cs="Times New Roman"/>
          <w:i w:val="0"/>
          <w:iCs w:val="0"/>
          <w:color w:val="auto"/>
          <w:lang w:val="en-US"/>
        </w:rPr>
        <w:t>.</w:t>
      </w:r>
    </w:p>
    <w:p w14:paraId="583AD383" w14:textId="6591F245" w:rsidR="00FA4B07" w:rsidRPr="006A156C" w:rsidRDefault="00352ED7" w:rsidP="004939B2">
      <w:pPr>
        <w:pStyle w:val="Didascalia"/>
        <w:keepNext/>
        <w:spacing w:before="360" w:after="120"/>
        <w:rPr>
          <w:rFonts w:ascii="Times New Roman" w:hAnsi="Times New Roman" w:cs="Times New Roman"/>
          <w:i w:val="0"/>
          <w:iCs w:val="0"/>
          <w:color w:val="auto"/>
          <w:lang w:val="en-US"/>
        </w:rPr>
      </w:pPr>
      <w:r w:rsidRPr="006A156C">
        <w:rPr>
          <w:rFonts w:ascii="Times New Roman" w:hAnsi="Times New Roman" w:cs="Times New Roman"/>
          <w:b/>
          <w:bCs/>
          <w:i w:val="0"/>
          <w:iCs w:val="0"/>
          <w:color w:val="auto"/>
          <w:lang w:val="en-US"/>
        </w:rPr>
        <w:t xml:space="preserve">Table </w:t>
      </w:r>
      <w:r w:rsidR="00610518">
        <w:rPr>
          <w:rFonts w:ascii="Times New Roman" w:hAnsi="Times New Roman" w:cs="Times New Roman"/>
          <w:b/>
          <w:bCs/>
          <w:i w:val="0"/>
          <w:iCs w:val="0"/>
          <w:color w:val="auto"/>
          <w:lang w:val="en-US"/>
        </w:rPr>
        <w:fldChar w:fldCharType="begin"/>
      </w:r>
      <w:r w:rsidR="00610518">
        <w:rPr>
          <w:rFonts w:ascii="Times New Roman" w:hAnsi="Times New Roman" w:cs="Times New Roman"/>
          <w:b/>
          <w:bCs/>
          <w:i w:val="0"/>
          <w:iCs w:val="0"/>
          <w:color w:val="auto"/>
          <w:lang w:val="en-US"/>
        </w:rPr>
        <w:instrText xml:space="preserve"> SEQ Table \* ARABIC </w:instrText>
      </w:r>
      <w:r w:rsidR="00610518">
        <w:rPr>
          <w:rFonts w:ascii="Times New Roman" w:hAnsi="Times New Roman" w:cs="Times New Roman"/>
          <w:b/>
          <w:bCs/>
          <w:i w:val="0"/>
          <w:iCs w:val="0"/>
          <w:color w:val="auto"/>
          <w:lang w:val="en-US"/>
        </w:rPr>
        <w:fldChar w:fldCharType="separate"/>
      </w:r>
      <w:r w:rsidR="00A41CA9">
        <w:rPr>
          <w:rFonts w:ascii="Times New Roman" w:hAnsi="Times New Roman" w:cs="Times New Roman"/>
          <w:b/>
          <w:bCs/>
          <w:i w:val="0"/>
          <w:iCs w:val="0"/>
          <w:noProof/>
          <w:color w:val="auto"/>
          <w:lang w:val="en-US"/>
        </w:rPr>
        <w:t>1</w:t>
      </w:r>
      <w:r w:rsidR="00610518">
        <w:rPr>
          <w:rFonts w:ascii="Times New Roman" w:hAnsi="Times New Roman" w:cs="Times New Roman"/>
          <w:b/>
          <w:bCs/>
          <w:i w:val="0"/>
          <w:iCs w:val="0"/>
          <w:color w:val="auto"/>
          <w:lang w:val="en-US"/>
        </w:rPr>
        <w:fldChar w:fldCharType="end"/>
      </w:r>
      <w:r w:rsidRPr="006A156C">
        <w:rPr>
          <w:rFonts w:ascii="Times New Roman" w:hAnsi="Times New Roman" w:cs="Times New Roman"/>
          <w:b/>
          <w:bCs/>
          <w:i w:val="0"/>
          <w:iCs w:val="0"/>
          <w:color w:val="auto"/>
          <w:lang w:val="en-US"/>
        </w:rPr>
        <w:t>.</w:t>
      </w:r>
      <w:r w:rsidRPr="006A156C">
        <w:rPr>
          <w:rFonts w:ascii="Times New Roman" w:hAnsi="Times New Roman" w:cs="Times New Roman"/>
          <w:i w:val="0"/>
          <w:iCs w:val="0"/>
          <w:color w:val="auto"/>
          <w:lang w:val="en-US"/>
        </w:rPr>
        <w:t xml:space="preserve"> </w:t>
      </w:r>
      <w:r w:rsidR="00E96A3B" w:rsidRPr="006A156C">
        <w:rPr>
          <w:rFonts w:ascii="Times New Roman" w:hAnsi="Times New Roman" w:cs="Times New Roman"/>
          <w:i w:val="0"/>
          <w:iCs w:val="0"/>
          <w:color w:val="auto"/>
          <w:lang w:val="en-US"/>
        </w:rPr>
        <w:t>Details of the set-up fixed-bed systems in terms of contaminant and flushing solution used.</w:t>
      </w:r>
    </w:p>
    <w:tbl>
      <w:tblPr>
        <w:tblStyle w:val="Grigliatabella"/>
        <w:tblW w:w="0" w:type="auto"/>
        <w:jc w:val="center"/>
        <w:tblLook w:val="04A0" w:firstRow="1" w:lastRow="0" w:firstColumn="1" w:lastColumn="0" w:noHBand="0" w:noVBand="1"/>
      </w:tblPr>
      <w:tblGrid>
        <w:gridCol w:w="2967"/>
        <w:gridCol w:w="3686"/>
        <w:gridCol w:w="2965"/>
      </w:tblGrid>
      <w:tr w:rsidR="006A156C" w:rsidRPr="007614D3" w14:paraId="174D8EAE" w14:textId="77777777" w:rsidTr="00734E41">
        <w:trPr>
          <w:trHeight w:val="354"/>
          <w:jc w:val="center"/>
        </w:trPr>
        <w:tc>
          <w:tcPr>
            <w:tcW w:w="2967" w:type="dxa"/>
            <w:tcBorders>
              <w:top w:val="single" w:sz="4" w:space="0" w:color="auto"/>
              <w:left w:val="single" w:sz="8" w:space="0" w:color="FFFFFF"/>
              <w:bottom w:val="single" w:sz="4" w:space="0" w:color="auto"/>
              <w:right w:val="single" w:sz="8" w:space="0" w:color="FFFFFF"/>
            </w:tcBorders>
            <w:vAlign w:val="center"/>
          </w:tcPr>
          <w:p w14:paraId="52DCA23E" w14:textId="77777777" w:rsidR="00FA4B07" w:rsidRPr="007614D3" w:rsidRDefault="00FA4B07" w:rsidP="006A156C">
            <w:pPr>
              <w:rPr>
                <w:rFonts w:ascii="Times New Roman" w:hAnsi="Times New Roman"/>
                <w:b/>
                <w:bCs/>
                <w:lang w:val="en-US"/>
              </w:rPr>
            </w:pPr>
            <w:r w:rsidRPr="007614D3">
              <w:rPr>
                <w:rFonts w:ascii="Times New Roman" w:hAnsi="Times New Roman"/>
                <w:b/>
                <w:bCs/>
                <w:lang w:val="en-US"/>
              </w:rPr>
              <w:t>Columns</w:t>
            </w:r>
          </w:p>
        </w:tc>
        <w:tc>
          <w:tcPr>
            <w:tcW w:w="3686" w:type="dxa"/>
            <w:tcBorders>
              <w:top w:val="single" w:sz="4" w:space="0" w:color="auto"/>
              <w:left w:val="single" w:sz="8" w:space="0" w:color="FFFFFF"/>
              <w:bottom w:val="single" w:sz="4" w:space="0" w:color="auto"/>
              <w:right w:val="single" w:sz="8" w:space="0" w:color="FFFFFF"/>
            </w:tcBorders>
            <w:vAlign w:val="center"/>
          </w:tcPr>
          <w:p w14:paraId="75490986" w14:textId="77777777" w:rsidR="00FA4B07" w:rsidRPr="007614D3" w:rsidRDefault="00FA4B07" w:rsidP="006A156C">
            <w:pPr>
              <w:rPr>
                <w:rFonts w:ascii="Times New Roman" w:hAnsi="Times New Roman"/>
                <w:b/>
                <w:bCs/>
                <w:lang w:val="en-US"/>
              </w:rPr>
            </w:pPr>
            <w:r w:rsidRPr="007614D3">
              <w:rPr>
                <w:rFonts w:ascii="Times New Roman" w:hAnsi="Times New Roman"/>
                <w:b/>
                <w:bCs/>
                <w:lang w:val="en-US"/>
              </w:rPr>
              <w:t>Contaminant</w:t>
            </w:r>
          </w:p>
        </w:tc>
        <w:tc>
          <w:tcPr>
            <w:tcW w:w="2965" w:type="dxa"/>
            <w:tcBorders>
              <w:top w:val="single" w:sz="4" w:space="0" w:color="auto"/>
              <w:left w:val="single" w:sz="8" w:space="0" w:color="FFFFFF"/>
              <w:bottom w:val="single" w:sz="4" w:space="0" w:color="auto"/>
              <w:right w:val="single" w:sz="8" w:space="0" w:color="FFFFFF"/>
            </w:tcBorders>
            <w:vAlign w:val="center"/>
          </w:tcPr>
          <w:p w14:paraId="0DFF5431" w14:textId="77777777" w:rsidR="00FA4B07" w:rsidRPr="007614D3" w:rsidRDefault="00FA4B07" w:rsidP="006A156C">
            <w:pPr>
              <w:rPr>
                <w:rFonts w:ascii="Times New Roman" w:hAnsi="Times New Roman"/>
                <w:b/>
                <w:bCs/>
                <w:lang w:val="en-US"/>
              </w:rPr>
            </w:pPr>
            <w:r w:rsidRPr="007614D3">
              <w:rPr>
                <w:rFonts w:ascii="Times New Roman" w:hAnsi="Times New Roman"/>
                <w:b/>
                <w:bCs/>
                <w:lang w:val="en-US"/>
              </w:rPr>
              <w:t>Flushing solution</w:t>
            </w:r>
          </w:p>
        </w:tc>
      </w:tr>
      <w:tr w:rsidR="006A156C" w:rsidRPr="0050754C" w14:paraId="5AA51DB6" w14:textId="77777777" w:rsidTr="00734E41">
        <w:trPr>
          <w:trHeight w:val="283"/>
          <w:jc w:val="center"/>
        </w:trPr>
        <w:tc>
          <w:tcPr>
            <w:tcW w:w="2967" w:type="dxa"/>
            <w:tcBorders>
              <w:top w:val="single" w:sz="4" w:space="0" w:color="auto"/>
              <w:left w:val="single" w:sz="8" w:space="0" w:color="FFFFFF"/>
              <w:bottom w:val="single" w:sz="8" w:space="0" w:color="FFFFFF"/>
              <w:right w:val="single" w:sz="8" w:space="0" w:color="FFFFFF"/>
            </w:tcBorders>
            <w:vAlign w:val="center"/>
          </w:tcPr>
          <w:p w14:paraId="15676981" w14:textId="2919979C" w:rsidR="00FA4B07" w:rsidRPr="007614D3" w:rsidRDefault="00FA4B07" w:rsidP="00912E7C">
            <w:pPr>
              <w:rPr>
                <w:rFonts w:ascii="Times New Roman" w:hAnsi="Times New Roman"/>
                <w:b/>
                <w:bCs/>
                <w:lang w:val="en-US"/>
              </w:rPr>
            </w:pPr>
            <w:r w:rsidRPr="007614D3">
              <w:rPr>
                <w:rFonts w:ascii="Times New Roman" w:hAnsi="Times New Roman"/>
                <w:b/>
                <w:bCs/>
                <w:lang w:val="en-US"/>
              </w:rPr>
              <w:t>Toluene-APG</w:t>
            </w:r>
          </w:p>
        </w:tc>
        <w:tc>
          <w:tcPr>
            <w:tcW w:w="3686" w:type="dxa"/>
            <w:tcBorders>
              <w:top w:val="single" w:sz="4" w:space="0" w:color="auto"/>
              <w:left w:val="single" w:sz="8" w:space="0" w:color="FFFFFF"/>
              <w:bottom w:val="single" w:sz="8" w:space="0" w:color="FFFFFF"/>
              <w:right w:val="single" w:sz="8" w:space="0" w:color="FFFFFF"/>
            </w:tcBorders>
            <w:vAlign w:val="center"/>
          </w:tcPr>
          <w:p w14:paraId="3B47277F" w14:textId="77777777" w:rsidR="00FA4B07" w:rsidRPr="007614D3" w:rsidRDefault="00FA4B07" w:rsidP="00912E7C">
            <w:pPr>
              <w:rPr>
                <w:rFonts w:ascii="Times New Roman" w:hAnsi="Times New Roman"/>
                <w:lang w:val="en-US"/>
              </w:rPr>
            </w:pPr>
            <w:r w:rsidRPr="007614D3">
              <w:rPr>
                <w:rFonts w:ascii="Times New Roman" w:hAnsi="Times New Roman"/>
                <w:lang w:val="en-US"/>
              </w:rPr>
              <w:t>Toluene</w:t>
            </w:r>
          </w:p>
        </w:tc>
        <w:tc>
          <w:tcPr>
            <w:tcW w:w="2965" w:type="dxa"/>
            <w:tcBorders>
              <w:top w:val="single" w:sz="4" w:space="0" w:color="auto"/>
              <w:left w:val="single" w:sz="8" w:space="0" w:color="FFFFFF"/>
              <w:bottom w:val="single" w:sz="8" w:space="0" w:color="FFFFFF"/>
              <w:right w:val="single" w:sz="8" w:space="0" w:color="FFFFFF"/>
            </w:tcBorders>
            <w:vAlign w:val="center"/>
          </w:tcPr>
          <w:p w14:paraId="33C2FE5E" w14:textId="77777777" w:rsidR="00FA4B07" w:rsidRPr="006A156C" w:rsidRDefault="00FA4B07" w:rsidP="00912E7C">
            <w:pPr>
              <w:rPr>
                <w:rFonts w:ascii="Times New Roman" w:hAnsi="Times New Roman"/>
                <w:lang w:val="en-US"/>
              </w:rPr>
            </w:pPr>
            <w:r w:rsidRPr="006A156C">
              <w:rPr>
                <w:rFonts w:ascii="Times New Roman" w:hAnsi="Times New Roman"/>
                <w:lang w:val="en-US"/>
              </w:rPr>
              <w:t>APG2 (C=5x CMC), synthetic</w:t>
            </w:r>
          </w:p>
        </w:tc>
      </w:tr>
      <w:tr w:rsidR="006A156C" w:rsidRPr="007614D3" w14:paraId="2C7D99B2" w14:textId="77777777" w:rsidTr="00734E41">
        <w:trPr>
          <w:trHeight w:val="283"/>
          <w:jc w:val="center"/>
        </w:trPr>
        <w:tc>
          <w:tcPr>
            <w:tcW w:w="2967" w:type="dxa"/>
            <w:tcBorders>
              <w:top w:val="single" w:sz="8" w:space="0" w:color="FFFFFF"/>
              <w:left w:val="single" w:sz="8" w:space="0" w:color="FFFFFF"/>
              <w:bottom w:val="single" w:sz="8" w:space="0" w:color="FFFFFF"/>
              <w:right w:val="single" w:sz="8" w:space="0" w:color="FFFFFF"/>
            </w:tcBorders>
            <w:vAlign w:val="center"/>
          </w:tcPr>
          <w:p w14:paraId="0B71A67D" w14:textId="50C4CDD7" w:rsidR="00FA4B07" w:rsidRPr="007614D3" w:rsidRDefault="00FA4B07" w:rsidP="00FA4B07">
            <w:pPr>
              <w:tabs>
                <w:tab w:val="left" w:pos="1038"/>
              </w:tabs>
              <w:rPr>
                <w:rFonts w:ascii="Times New Roman" w:hAnsi="Times New Roman"/>
                <w:b/>
                <w:bCs/>
                <w:lang w:val="en-US"/>
              </w:rPr>
            </w:pPr>
            <w:r w:rsidRPr="007614D3">
              <w:rPr>
                <w:rFonts w:ascii="Times New Roman" w:hAnsi="Times New Roman"/>
                <w:b/>
                <w:bCs/>
                <w:lang w:val="en-US"/>
              </w:rPr>
              <w:t>Toluene-RL</w:t>
            </w:r>
          </w:p>
        </w:tc>
        <w:tc>
          <w:tcPr>
            <w:tcW w:w="3686" w:type="dxa"/>
            <w:tcBorders>
              <w:top w:val="single" w:sz="8" w:space="0" w:color="FFFFFF"/>
              <w:left w:val="single" w:sz="8" w:space="0" w:color="FFFFFF"/>
              <w:bottom w:val="single" w:sz="8" w:space="0" w:color="FFFFFF"/>
              <w:right w:val="single" w:sz="8" w:space="0" w:color="FFFFFF"/>
            </w:tcBorders>
            <w:vAlign w:val="center"/>
          </w:tcPr>
          <w:p w14:paraId="220CB4F2" w14:textId="04AA1482" w:rsidR="00FA4B07" w:rsidRPr="007614D3" w:rsidRDefault="00FA4B07" w:rsidP="00FA4B07">
            <w:pPr>
              <w:rPr>
                <w:rFonts w:ascii="Times New Roman" w:hAnsi="Times New Roman"/>
                <w:lang w:val="en-US"/>
              </w:rPr>
            </w:pPr>
            <w:r w:rsidRPr="007614D3">
              <w:rPr>
                <w:rFonts w:ascii="Times New Roman" w:hAnsi="Times New Roman"/>
                <w:lang w:val="en-US"/>
              </w:rPr>
              <w:t>Toluene</w:t>
            </w:r>
          </w:p>
        </w:tc>
        <w:tc>
          <w:tcPr>
            <w:tcW w:w="2965" w:type="dxa"/>
            <w:tcBorders>
              <w:top w:val="single" w:sz="8" w:space="0" w:color="FFFFFF"/>
              <w:left w:val="single" w:sz="8" w:space="0" w:color="FFFFFF"/>
              <w:bottom w:val="single" w:sz="8" w:space="0" w:color="FFFFFF"/>
              <w:right w:val="single" w:sz="8" w:space="0" w:color="FFFFFF"/>
            </w:tcBorders>
            <w:vAlign w:val="center"/>
          </w:tcPr>
          <w:p w14:paraId="5C866FD8" w14:textId="65C0351E" w:rsidR="00FA4B07" w:rsidRPr="006A156C" w:rsidRDefault="00FA4B07" w:rsidP="00FA4B07">
            <w:pPr>
              <w:rPr>
                <w:rFonts w:ascii="Times New Roman" w:hAnsi="Times New Roman"/>
                <w:lang w:val="en-US"/>
              </w:rPr>
            </w:pPr>
            <w:r w:rsidRPr="007614D3">
              <w:rPr>
                <w:rFonts w:ascii="Times New Roman" w:hAnsi="Times New Roman"/>
                <w:lang w:val="en-US"/>
              </w:rPr>
              <w:t>RL2 (C=5x CMC), natural</w:t>
            </w:r>
          </w:p>
        </w:tc>
      </w:tr>
      <w:tr w:rsidR="006A156C" w:rsidRPr="007614D3" w14:paraId="67E15A0A" w14:textId="77777777" w:rsidTr="00734E41">
        <w:trPr>
          <w:trHeight w:val="283"/>
          <w:jc w:val="center"/>
        </w:trPr>
        <w:tc>
          <w:tcPr>
            <w:tcW w:w="2967" w:type="dxa"/>
            <w:tcBorders>
              <w:top w:val="single" w:sz="8" w:space="0" w:color="FFFFFF"/>
              <w:left w:val="single" w:sz="8" w:space="0" w:color="FFFFFF"/>
              <w:bottom w:val="single" w:sz="8" w:space="0" w:color="FFFFFF"/>
              <w:right w:val="single" w:sz="8" w:space="0" w:color="FFFFFF"/>
            </w:tcBorders>
            <w:vAlign w:val="center"/>
          </w:tcPr>
          <w:p w14:paraId="697E0E8A" w14:textId="79D1C5D8" w:rsidR="00FA4B07" w:rsidRPr="007614D3" w:rsidRDefault="00FA4B07" w:rsidP="00FA4B07">
            <w:pPr>
              <w:rPr>
                <w:rFonts w:ascii="Times New Roman" w:hAnsi="Times New Roman"/>
                <w:b/>
                <w:bCs/>
                <w:lang w:val="en-US"/>
              </w:rPr>
            </w:pPr>
            <w:r w:rsidRPr="007614D3">
              <w:rPr>
                <w:rFonts w:ascii="Times New Roman" w:hAnsi="Times New Roman"/>
                <w:b/>
                <w:bCs/>
                <w:lang w:val="en-US"/>
              </w:rPr>
              <w:t>Toluene-H</w:t>
            </w:r>
            <w:r w:rsidRPr="007614D3">
              <w:rPr>
                <w:rFonts w:ascii="Times New Roman" w:hAnsi="Times New Roman"/>
                <w:b/>
                <w:bCs/>
                <w:vertAlign w:val="subscript"/>
                <w:lang w:val="en-US"/>
              </w:rPr>
              <w:t>2</w:t>
            </w:r>
            <w:r w:rsidRPr="007614D3">
              <w:rPr>
                <w:rFonts w:ascii="Times New Roman" w:hAnsi="Times New Roman"/>
                <w:b/>
                <w:bCs/>
                <w:lang w:val="en-US"/>
              </w:rPr>
              <w:t>O</w:t>
            </w:r>
          </w:p>
        </w:tc>
        <w:tc>
          <w:tcPr>
            <w:tcW w:w="3686" w:type="dxa"/>
            <w:tcBorders>
              <w:top w:val="single" w:sz="8" w:space="0" w:color="FFFFFF"/>
              <w:left w:val="single" w:sz="8" w:space="0" w:color="FFFFFF"/>
              <w:bottom w:val="single" w:sz="8" w:space="0" w:color="FFFFFF"/>
              <w:right w:val="single" w:sz="8" w:space="0" w:color="FFFFFF"/>
            </w:tcBorders>
            <w:vAlign w:val="center"/>
          </w:tcPr>
          <w:p w14:paraId="2400ABE9" w14:textId="362D660F" w:rsidR="00FA4B07" w:rsidRPr="007614D3" w:rsidRDefault="00FA4B07" w:rsidP="00FA4B07">
            <w:pPr>
              <w:rPr>
                <w:rFonts w:ascii="Times New Roman" w:hAnsi="Times New Roman"/>
                <w:lang w:val="en-US"/>
              </w:rPr>
            </w:pPr>
            <w:r w:rsidRPr="007614D3">
              <w:rPr>
                <w:rFonts w:ascii="Times New Roman" w:hAnsi="Times New Roman"/>
                <w:lang w:val="en-US"/>
              </w:rPr>
              <w:t>Toluene</w:t>
            </w:r>
          </w:p>
        </w:tc>
        <w:tc>
          <w:tcPr>
            <w:tcW w:w="2965" w:type="dxa"/>
            <w:tcBorders>
              <w:top w:val="single" w:sz="8" w:space="0" w:color="FFFFFF"/>
              <w:left w:val="single" w:sz="8" w:space="0" w:color="FFFFFF"/>
              <w:bottom w:val="single" w:sz="8" w:space="0" w:color="FFFFFF"/>
              <w:right w:val="single" w:sz="8" w:space="0" w:color="FFFFFF"/>
            </w:tcBorders>
            <w:vAlign w:val="center"/>
          </w:tcPr>
          <w:p w14:paraId="48CFD313" w14:textId="54851BD5" w:rsidR="00FA4B07" w:rsidRPr="007614D3" w:rsidRDefault="00FA4B07" w:rsidP="00FA4B07">
            <w:pPr>
              <w:rPr>
                <w:rFonts w:ascii="Times New Roman" w:hAnsi="Times New Roman"/>
                <w:lang w:val="en-US"/>
              </w:rPr>
            </w:pPr>
            <w:r w:rsidRPr="007614D3">
              <w:rPr>
                <w:rFonts w:ascii="Times New Roman" w:hAnsi="Times New Roman"/>
                <w:lang w:val="en-US"/>
              </w:rPr>
              <w:t>Tap water (reference)</w:t>
            </w:r>
          </w:p>
        </w:tc>
      </w:tr>
      <w:tr w:rsidR="006A156C" w:rsidRPr="0050754C" w14:paraId="1BAD624B" w14:textId="77777777" w:rsidTr="00734E41">
        <w:trPr>
          <w:trHeight w:val="283"/>
          <w:jc w:val="center"/>
        </w:trPr>
        <w:tc>
          <w:tcPr>
            <w:tcW w:w="2967" w:type="dxa"/>
            <w:tcBorders>
              <w:top w:val="single" w:sz="8" w:space="0" w:color="FFFFFF"/>
              <w:left w:val="single" w:sz="8" w:space="0" w:color="FFFFFF"/>
              <w:bottom w:val="single" w:sz="8" w:space="0" w:color="FFFFFF"/>
              <w:right w:val="single" w:sz="8" w:space="0" w:color="FFFFFF"/>
            </w:tcBorders>
            <w:vAlign w:val="center"/>
          </w:tcPr>
          <w:p w14:paraId="4B481F2D" w14:textId="5A3C2784" w:rsidR="00FA4B07" w:rsidRPr="007614D3" w:rsidRDefault="00FA4B07" w:rsidP="00FA4B07">
            <w:pPr>
              <w:rPr>
                <w:rFonts w:ascii="Times New Roman" w:hAnsi="Times New Roman"/>
                <w:b/>
                <w:bCs/>
                <w:lang w:val="en-US"/>
              </w:rPr>
            </w:pPr>
            <w:r w:rsidRPr="007614D3">
              <w:rPr>
                <w:rFonts w:ascii="Times New Roman" w:hAnsi="Times New Roman"/>
                <w:b/>
                <w:bCs/>
                <w:lang w:val="en-US"/>
              </w:rPr>
              <w:t>PCE-APG</w:t>
            </w:r>
          </w:p>
        </w:tc>
        <w:tc>
          <w:tcPr>
            <w:tcW w:w="3686" w:type="dxa"/>
            <w:tcBorders>
              <w:top w:val="single" w:sz="8" w:space="0" w:color="FFFFFF"/>
              <w:left w:val="single" w:sz="8" w:space="0" w:color="FFFFFF"/>
              <w:bottom w:val="single" w:sz="8" w:space="0" w:color="FFFFFF"/>
              <w:right w:val="single" w:sz="8" w:space="0" w:color="FFFFFF"/>
            </w:tcBorders>
            <w:vAlign w:val="center"/>
          </w:tcPr>
          <w:p w14:paraId="28E0F09E" w14:textId="2F30FA8D" w:rsidR="00FA4B07" w:rsidRPr="007614D3" w:rsidRDefault="00FA4B07" w:rsidP="00FA4B07">
            <w:pPr>
              <w:rPr>
                <w:rFonts w:ascii="Times New Roman" w:hAnsi="Times New Roman"/>
                <w:lang w:val="en-US"/>
              </w:rPr>
            </w:pPr>
            <w:r w:rsidRPr="006A156C">
              <w:rPr>
                <w:rFonts w:ascii="Times New Roman" w:eastAsia="MS PGothic" w:hAnsi="Times New Roman"/>
                <w:lang w:val="en-US"/>
              </w:rPr>
              <w:t>Perchloroethylene (PCE)</w:t>
            </w:r>
          </w:p>
        </w:tc>
        <w:tc>
          <w:tcPr>
            <w:tcW w:w="2965" w:type="dxa"/>
            <w:tcBorders>
              <w:top w:val="single" w:sz="8" w:space="0" w:color="FFFFFF"/>
              <w:left w:val="single" w:sz="8" w:space="0" w:color="FFFFFF"/>
              <w:bottom w:val="single" w:sz="8" w:space="0" w:color="FFFFFF"/>
              <w:right w:val="single" w:sz="8" w:space="0" w:color="FFFFFF"/>
            </w:tcBorders>
            <w:vAlign w:val="center"/>
          </w:tcPr>
          <w:p w14:paraId="587BAD1F" w14:textId="3C7EFE32" w:rsidR="00FA4B07" w:rsidRPr="006A156C" w:rsidRDefault="00FA4B07" w:rsidP="00FA4B07">
            <w:pPr>
              <w:rPr>
                <w:rFonts w:ascii="Times New Roman" w:hAnsi="Times New Roman"/>
                <w:lang w:val="en-US"/>
              </w:rPr>
            </w:pPr>
            <w:r w:rsidRPr="006A156C">
              <w:rPr>
                <w:rFonts w:ascii="Times New Roman" w:hAnsi="Times New Roman"/>
                <w:lang w:val="en-US"/>
              </w:rPr>
              <w:t>APG2 (C=5x CMC), synthetic</w:t>
            </w:r>
          </w:p>
        </w:tc>
      </w:tr>
      <w:tr w:rsidR="006A156C" w:rsidRPr="007614D3" w14:paraId="7CFE1C1B" w14:textId="77777777" w:rsidTr="00734E41">
        <w:trPr>
          <w:trHeight w:val="283"/>
          <w:jc w:val="center"/>
        </w:trPr>
        <w:tc>
          <w:tcPr>
            <w:tcW w:w="2967" w:type="dxa"/>
            <w:tcBorders>
              <w:top w:val="single" w:sz="8" w:space="0" w:color="FFFFFF"/>
              <w:left w:val="single" w:sz="8" w:space="0" w:color="FFFFFF"/>
              <w:bottom w:val="single" w:sz="8" w:space="0" w:color="FFFFFF"/>
              <w:right w:val="single" w:sz="8" w:space="0" w:color="FFFFFF"/>
            </w:tcBorders>
            <w:vAlign w:val="center"/>
          </w:tcPr>
          <w:p w14:paraId="65A09D87" w14:textId="3BBE71B7" w:rsidR="00FA4B07" w:rsidRPr="007614D3" w:rsidRDefault="00FA4B07" w:rsidP="00FA4B07">
            <w:pPr>
              <w:rPr>
                <w:rFonts w:ascii="Times New Roman" w:hAnsi="Times New Roman"/>
                <w:b/>
                <w:bCs/>
                <w:lang w:val="en-US"/>
              </w:rPr>
            </w:pPr>
            <w:r w:rsidRPr="007614D3">
              <w:rPr>
                <w:rFonts w:ascii="Times New Roman" w:hAnsi="Times New Roman"/>
                <w:b/>
                <w:bCs/>
                <w:lang w:val="en-US"/>
              </w:rPr>
              <w:t>PCE-RL</w:t>
            </w:r>
          </w:p>
        </w:tc>
        <w:tc>
          <w:tcPr>
            <w:tcW w:w="3686" w:type="dxa"/>
            <w:tcBorders>
              <w:top w:val="single" w:sz="8" w:space="0" w:color="FFFFFF"/>
              <w:left w:val="single" w:sz="8" w:space="0" w:color="FFFFFF"/>
              <w:bottom w:val="single" w:sz="8" w:space="0" w:color="FFFFFF"/>
              <w:right w:val="single" w:sz="8" w:space="0" w:color="FFFFFF"/>
            </w:tcBorders>
            <w:vAlign w:val="center"/>
          </w:tcPr>
          <w:p w14:paraId="5DC82C6B" w14:textId="46AB8339" w:rsidR="00FA4B07" w:rsidRPr="007614D3" w:rsidRDefault="00FA4B07" w:rsidP="00FA4B07">
            <w:pPr>
              <w:rPr>
                <w:rFonts w:ascii="Times New Roman" w:hAnsi="Times New Roman"/>
                <w:lang w:val="en-US"/>
              </w:rPr>
            </w:pPr>
            <w:r w:rsidRPr="006A156C">
              <w:rPr>
                <w:rFonts w:ascii="Times New Roman" w:eastAsia="MS PGothic" w:hAnsi="Times New Roman"/>
                <w:lang w:val="en-US"/>
              </w:rPr>
              <w:t>Perchloroethylene (PCE)</w:t>
            </w:r>
          </w:p>
        </w:tc>
        <w:tc>
          <w:tcPr>
            <w:tcW w:w="2965" w:type="dxa"/>
            <w:tcBorders>
              <w:top w:val="single" w:sz="8" w:space="0" w:color="FFFFFF"/>
              <w:left w:val="single" w:sz="8" w:space="0" w:color="FFFFFF"/>
              <w:bottom w:val="single" w:sz="8" w:space="0" w:color="FFFFFF"/>
              <w:right w:val="single" w:sz="8" w:space="0" w:color="FFFFFF"/>
            </w:tcBorders>
            <w:vAlign w:val="center"/>
          </w:tcPr>
          <w:p w14:paraId="635CDFAF" w14:textId="141D5139" w:rsidR="00FA4B07" w:rsidRPr="007614D3" w:rsidRDefault="00FA4B07" w:rsidP="00FA4B07">
            <w:pPr>
              <w:rPr>
                <w:rFonts w:ascii="Times New Roman" w:hAnsi="Times New Roman"/>
                <w:lang w:val="en-US"/>
              </w:rPr>
            </w:pPr>
            <w:r w:rsidRPr="007614D3">
              <w:rPr>
                <w:rFonts w:ascii="Times New Roman" w:hAnsi="Times New Roman"/>
                <w:lang w:val="en-US"/>
              </w:rPr>
              <w:t>RL (C=5x CMC), natural</w:t>
            </w:r>
          </w:p>
        </w:tc>
      </w:tr>
      <w:tr w:rsidR="006A156C" w:rsidRPr="007614D3" w14:paraId="2D560510" w14:textId="77777777" w:rsidTr="00734E41">
        <w:trPr>
          <w:trHeight w:val="283"/>
          <w:jc w:val="center"/>
        </w:trPr>
        <w:tc>
          <w:tcPr>
            <w:tcW w:w="2967" w:type="dxa"/>
            <w:tcBorders>
              <w:top w:val="single" w:sz="8" w:space="0" w:color="FFFFFF"/>
              <w:left w:val="single" w:sz="8" w:space="0" w:color="FFFFFF"/>
              <w:bottom w:val="single" w:sz="4" w:space="0" w:color="auto"/>
              <w:right w:val="single" w:sz="8" w:space="0" w:color="FFFFFF"/>
            </w:tcBorders>
            <w:vAlign w:val="center"/>
          </w:tcPr>
          <w:p w14:paraId="3B89285A" w14:textId="77777777" w:rsidR="00FA4B07" w:rsidRPr="007614D3" w:rsidRDefault="00FA4B07" w:rsidP="00912E7C">
            <w:pPr>
              <w:rPr>
                <w:rFonts w:ascii="Times New Roman" w:hAnsi="Times New Roman"/>
                <w:b/>
                <w:bCs/>
                <w:lang w:val="en-US"/>
              </w:rPr>
            </w:pPr>
            <w:r w:rsidRPr="007614D3">
              <w:rPr>
                <w:rFonts w:ascii="Times New Roman" w:hAnsi="Times New Roman"/>
                <w:b/>
                <w:bCs/>
                <w:lang w:val="en-US"/>
              </w:rPr>
              <w:t>PCE-H</w:t>
            </w:r>
            <w:r w:rsidRPr="007614D3">
              <w:rPr>
                <w:rFonts w:ascii="Times New Roman" w:hAnsi="Times New Roman"/>
                <w:b/>
                <w:bCs/>
                <w:vertAlign w:val="subscript"/>
                <w:lang w:val="en-US"/>
              </w:rPr>
              <w:t>2</w:t>
            </w:r>
            <w:r w:rsidRPr="007614D3">
              <w:rPr>
                <w:rFonts w:ascii="Times New Roman" w:hAnsi="Times New Roman"/>
                <w:b/>
                <w:bCs/>
                <w:lang w:val="en-US"/>
              </w:rPr>
              <w:t>O</w:t>
            </w:r>
          </w:p>
        </w:tc>
        <w:tc>
          <w:tcPr>
            <w:tcW w:w="3686" w:type="dxa"/>
            <w:tcBorders>
              <w:top w:val="single" w:sz="8" w:space="0" w:color="FFFFFF"/>
              <w:left w:val="single" w:sz="8" w:space="0" w:color="FFFFFF"/>
              <w:bottom w:val="single" w:sz="4" w:space="0" w:color="auto"/>
              <w:right w:val="single" w:sz="8" w:space="0" w:color="FFFFFF"/>
            </w:tcBorders>
            <w:vAlign w:val="center"/>
          </w:tcPr>
          <w:p w14:paraId="17DDD7F2" w14:textId="77777777" w:rsidR="00FA4B07" w:rsidRPr="007614D3" w:rsidRDefault="00FA4B07" w:rsidP="00912E7C">
            <w:pPr>
              <w:rPr>
                <w:rFonts w:ascii="Times New Roman" w:hAnsi="Times New Roman"/>
                <w:lang w:val="en-US"/>
              </w:rPr>
            </w:pPr>
            <w:r w:rsidRPr="006A156C">
              <w:rPr>
                <w:rFonts w:ascii="Times New Roman" w:eastAsia="MS PGothic" w:hAnsi="Times New Roman"/>
                <w:lang w:val="en-US"/>
              </w:rPr>
              <w:t>Perchloroethylene (PCE)</w:t>
            </w:r>
          </w:p>
        </w:tc>
        <w:tc>
          <w:tcPr>
            <w:tcW w:w="2965" w:type="dxa"/>
            <w:tcBorders>
              <w:top w:val="single" w:sz="8" w:space="0" w:color="FFFFFF"/>
              <w:left w:val="single" w:sz="8" w:space="0" w:color="FFFFFF"/>
              <w:bottom w:val="single" w:sz="4" w:space="0" w:color="auto"/>
              <w:right w:val="single" w:sz="8" w:space="0" w:color="FFFFFF"/>
            </w:tcBorders>
            <w:vAlign w:val="center"/>
          </w:tcPr>
          <w:p w14:paraId="34B20AD3" w14:textId="77777777" w:rsidR="00FA4B07" w:rsidRPr="007614D3" w:rsidRDefault="00FA4B07" w:rsidP="00912E7C">
            <w:pPr>
              <w:keepNext/>
              <w:rPr>
                <w:rFonts w:ascii="Times New Roman" w:hAnsi="Times New Roman"/>
                <w:lang w:val="en-US"/>
              </w:rPr>
            </w:pPr>
            <w:r w:rsidRPr="007614D3">
              <w:rPr>
                <w:rFonts w:ascii="Times New Roman" w:hAnsi="Times New Roman"/>
                <w:lang w:val="en-US"/>
              </w:rPr>
              <w:t>Tap water, (reference)</w:t>
            </w:r>
          </w:p>
        </w:tc>
      </w:tr>
    </w:tbl>
    <w:p w14:paraId="5E063A81" w14:textId="6563E5AD" w:rsidR="0010485C" w:rsidRDefault="00CC0826" w:rsidP="00E60F87">
      <w:pPr>
        <w:snapToGrid w:val="0"/>
        <w:spacing w:before="240" w:after="120" w:line="276" w:lineRule="auto"/>
        <w:jc w:val="both"/>
        <w:rPr>
          <w:rFonts w:ascii="Times New Roman" w:eastAsia="MS PGothic" w:hAnsi="Times New Roman"/>
          <w:lang w:val="en-US"/>
        </w:rPr>
      </w:pPr>
      <w:r w:rsidRPr="009530E0">
        <w:rPr>
          <w:rFonts w:ascii="Times New Roman" w:eastAsia="MS PGothic" w:hAnsi="Times New Roman"/>
          <w:lang w:val="en-US"/>
        </w:rPr>
        <w:t>A</w:t>
      </w:r>
      <w:r w:rsidR="00A243FC">
        <w:rPr>
          <w:rFonts w:ascii="Times New Roman" w:eastAsia="MS PGothic" w:hAnsi="Times New Roman"/>
          <w:lang w:val="en-US"/>
        </w:rPr>
        <w:t xml:space="preserve"> t</w:t>
      </w:r>
      <w:r w:rsidRPr="009530E0">
        <w:rPr>
          <w:rFonts w:ascii="Times New Roman" w:eastAsia="MS PGothic" w:hAnsi="Times New Roman"/>
          <w:lang w:val="en-US"/>
        </w:rPr>
        <w:t>racer test with Br</w:t>
      </w:r>
      <w:r w:rsidRPr="006D56E1">
        <w:rPr>
          <w:rFonts w:ascii="Times New Roman" w:eastAsia="MS PGothic" w:hAnsi="Times New Roman"/>
          <w:vertAlign w:val="superscript"/>
          <w:lang w:val="en-US"/>
        </w:rPr>
        <w:t>−</w:t>
      </w:r>
      <w:r w:rsidRPr="009530E0">
        <w:rPr>
          <w:rFonts w:ascii="Times New Roman" w:eastAsia="MS PGothic" w:hAnsi="Times New Roman"/>
          <w:lang w:val="en-US"/>
        </w:rPr>
        <w:t xml:space="preserve"> was first performed to obtain the residence time</w:t>
      </w:r>
      <w:r w:rsidR="00C545A8">
        <w:rPr>
          <w:rFonts w:ascii="Times New Roman" w:eastAsia="MS PGothic" w:hAnsi="Times New Roman"/>
          <w:lang w:val="en-US"/>
        </w:rPr>
        <w:t xml:space="preserve"> (HRT)</w:t>
      </w:r>
      <w:r w:rsidRPr="009530E0">
        <w:rPr>
          <w:rFonts w:ascii="Times New Roman" w:eastAsia="MS PGothic" w:hAnsi="Times New Roman"/>
          <w:lang w:val="en-US"/>
        </w:rPr>
        <w:t xml:space="preserve">, the </w:t>
      </w:r>
      <w:r w:rsidR="0096538A" w:rsidRPr="009530E0">
        <w:rPr>
          <w:rFonts w:ascii="Times New Roman" w:eastAsia="MS PGothic" w:hAnsi="Times New Roman"/>
          <w:lang w:val="en-US"/>
        </w:rPr>
        <w:t>porosity</w:t>
      </w:r>
      <w:r w:rsidR="00C545A8">
        <w:rPr>
          <w:rFonts w:ascii="Times New Roman" w:eastAsia="MS PGothic" w:hAnsi="Times New Roman"/>
          <w:lang w:val="en-US"/>
        </w:rPr>
        <w:t xml:space="preserve"> (</w:t>
      </w:r>
      <w:r w:rsidR="00C545A8">
        <w:rPr>
          <w:rFonts w:ascii="Times New Roman" w:eastAsia="MS PGothic" w:hAnsi="Times New Roman" w:cs="Times New Roman"/>
          <w:lang w:val="en-US"/>
        </w:rPr>
        <w:t>ε)</w:t>
      </w:r>
      <w:r w:rsidR="0096538A" w:rsidRPr="009530E0">
        <w:rPr>
          <w:rFonts w:ascii="Times New Roman" w:eastAsia="MS PGothic" w:hAnsi="Times New Roman"/>
          <w:lang w:val="en-US"/>
        </w:rPr>
        <w:t>,</w:t>
      </w:r>
      <w:r w:rsidRPr="009530E0">
        <w:rPr>
          <w:rFonts w:ascii="Times New Roman" w:eastAsia="MS PGothic" w:hAnsi="Times New Roman"/>
          <w:lang w:val="en-US"/>
        </w:rPr>
        <w:t xml:space="preserve"> and the pores volume</w:t>
      </w:r>
      <w:r>
        <w:rPr>
          <w:rFonts w:ascii="Times New Roman" w:eastAsia="MS PGothic" w:hAnsi="Times New Roman"/>
          <w:lang w:val="en-US"/>
        </w:rPr>
        <w:t xml:space="preserve"> for each column</w:t>
      </w:r>
      <w:r w:rsidRPr="009530E0">
        <w:rPr>
          <w:rFonts w:ascii="Times New Roman" w:eastAsia="MS PGothic" w:hAnsi="Times New Roman"/>
          <w:lang w:val="en-US"/>
        </w:rPr>
        <w:t>.</w:t>
      </w:r>
      <w:r w:rsidR="00BD5B6A">
        <w:rPr>
          <w:rFonts w:ascii="Times New Roman" w:eastAsia="MS PGothic" w:hAnsi="Times New Roman"/>
          <w:lang w:val="en-US"/>
        </w:rPr>
        <w:t xml:space="preserve"> Th</w:t>
      </w:r>
      <w:r w:rsidR="00BD5B6A" w:rsidRPr="00BD5B6A">
        <w:rPr>
          <w:rFonts w:ascii="Times New Roman" w:eastAsia="MS PGothic" w:hAnsi="Times New Roman"/>
          <w:lang w:val="en-US"/>
        </w:rPr>
        <w:t xml:space="preserve">e experimental </w:t>
      </w:r>
      <w:r w:rsidR="00BD5B6A">
        <w:rPr>
          <w:rFonts w:ascii="Times New Roman" w:eastAsia="MS PGothic" w:hAnsi="Times New Roman"/>
          <w:lang w:val="en-US"/>
        </w:rPr>
        <w:t>procedure</w:t>
      </w:r>
      <w:r w:rsidR="00BD5B6A" w:rsidRPr="00BD5B6A">
        <w:rPr>
          <w:rFonts w:ascii="Times New Roman" w:eastAsia="MS PGothic" w:hAnsi="Times New Roman"/>
          <w:lang w:val="en-US"/>
        </w:rPr>
        <w:t xml:space="preserve"> was carried out in two consecutive </w:t>
      </w:r>
      <w:r w:rsidR="00BD5B6A">
        <w:rPr>
          <w:rFonts w:ascii="Times New Roman" w:eastAsia="MS PGothic" w:hAnsi="Times New Roman"/>
          <w:lang w:val="en-US"/>
        </w:rPr>
        <w:t xml:space="preserve">steps. </w:t>
      </w:r>
      <w:r w:rsidR="00467A7C">
        <w:rPr>
          <w:rFonts w:ascii="Times New Roman" w:eastAsia="MS PGothic" w:hAnsi="Times New Roman"/>
          <w:lang w:val="en-US"/>
        </w:rPr>
        <w:t>In t</w:t>
      </w:r>
      <w:r w:rsidR="00BD5B6A">
        <w:rPr>
          <w:rFonts w:ascii="Times New Roman" w:eastAsia="MS PGothic" w:hAnsi="Times New Roman"/>
          <w:lang w:val="en-US"/>
        </w:rPr>
        <w:t xml:space="preserve">he first </w:t>
      </w:r>
      <w:r w:rsidR="00BD5B6A" w:rsidRPr="00BD5B6A">
        <w:rPr>
          <w:rFonts w:ascii="Times New Roman" w:eastAsia="MS PGothic" w:hAnsi="Times New Roman"/>
          <w:i/>
          <w:iCs/>
          <w:lang w:val="en-US"/>
        </w:rPr>
        <w:t>contamination phase</w:t>
      </w:r>
      <w:r w:rsidR="00467A7C">
        <w:rPr>
          <w:rFonts w:ascii="Times New Roman" w:eastAsia="MS PGothic" w:hAnsi="Times New Roman"/>
          <w:lang w:val="en-US"/>
        </w:rPr>
        <w:t xml:space="preserve">, </w:t>
      </w:r>
      <w:r w:rsidR="00734E41">
        <w:rPr>
          <w:rFonts w:ascii="Times New Roman" w:eastAsia="MS PGothic" w:hAnsi="Times New Roman"/>
          <w:lang w:val="en-US"/>
        </w:rPr>
        <w:t xml:space="preserve">each </w:t>
      </w:r>
      <w:r w:rsidR="008D310D">
        <w:rPr>
          <w:rFonts w:ascii="Times New Roman" w:eastAsia="MS PGothic" w:hAnsi="Times New Roman"/>
          <w:lang w:val="en-US"/>
        </w:rPr>
        <w:t>column w</w:t>
      </w:r>
      <w:r w:rsidR="00734E41">
        <w:rPr>
          <w:rFonts w:ascii="Times New Roman" w:eastAsia="MS PGothic" w:hAnsi="Times New Roman"/>
          <w:lang w:val="en-US"/>
        </w:rPr>
        <w:t>as</w:t>
      </w:r>
      <w:r w:rsidR="008D310D">
        <w:rPr>
          <w:rFonts w:ascii="Times New Roman" w:eastAsia="MS PGothic" w:hAnsi="Times New Roman"/>
          <w:lang w:val="en-US"/>
        </w:rPr>
        <w:t xml:space="preserve"> fed with</w:t>
      </w:r>
      <w:r w:rsidR="00467A7C" w:rsidRPr="00467A7C">
        <w:rPr>
          <w:rFonts w:ascii="Times New Roman" w:eastAsia="MS PGothic" w:hAnsi="Times New Roman"/>
          <w:lang w:val="en-US"/>
        </w:rPr>
        <w:t xml:space="preserve"> a </w:t>
      </w:r>
      <w:r w:rsidR="00EC3792" w:rsidRPr="00467A7C">
        <w:rPr>
          <w:rFonts w:ascii="Times New Roman" w:eastAsia="MS PGothic" w:hAnsi="Times New Roman"/>
          <w:lang w:val="en-US"/>
        </w:rPr>
        <w:t>synthetic solution</w:t>
      </w:r>
      <w:r w:rsidR="00EC3792">
        <w:rPr>
          <w:rFonts w:ascii="Times New Roman" w:eastAsia="MS PGothic" w:hAnsi="Times New Roman"/>
          <w:lang w:val="en-US"/>
        </w:rPr>
        <w:t xml:space="preserve"> of toluene</w:t>
      </w:r>
      <w:r w:rsidR="00467A7C" w:rsidRPr="00467A7C">
        <w:rPr>
          <w:rFonts w:ascii="Times New Roman" w:eastAsia="MS PGothic" w:hAnsi="Times New Roman"/>
          <w:lang w:val="en-US"/>
        </w:rPr>
        <w:t xml:space="preserve"> or </w:t>
      </w:r>
      <w:r w:rsidR="00987184">
        <w:rPr>
          <w:rFonts w:ascii="Times New Roman" w:eastAsia="MS PGothic" w:hAnsi="Times New Roman"/>
          <w:lang w:val="en-US"/>
        </w:rPr>
        <w:t>PCE</w:t>
      </w:r>
      <w:r w:rsidR="00754642">
        <w:rPr>
          <w:rFonts w:ascii="Times New Roman" w:eastAsia="MS PGothic" w:hAnsi="Times New Roman"/>
          <w:lang w:val="en-US"/>
        </w:rPr>
        <w:t xml:space="preserve"> at concentration of 100 </w:t>
      </w:r>
      <w:r w:rsidR="00342DD9">
        <w:rPr>
          <w:rFonts w:ascii="Times New Roman" w:eastAsia="MS PGothic" w:hAnsi="Times New Roman"/>
          <w:lang w:val="en-US"/>
        </w:rPr>
        <w:t>mg L</w:t>
      </w:r>
      <w:r w:rsidR="00342DD9">
        <w:rPr>
          <w:rFonts w:ascii="Times New Roman" w:eastAsia="MS PGothic" w:hAnsi="Times New Roman"/>
          <w:vertAlign w:val="superscript"/>
          <w:lang w:val="en-US"/>
        </w:rPr>
        <w:t>-1</w:t>
      </w:r>
      <w:r w:rsidR="008D310D">
        <w:rPr>
          <w:rFonts w:ascii="Times New Roman" w:eastAsia="MS PGothic" w:hAnsi="Times New Roman"/>
          <w:lang w:val="en-US"/>
        </w:rPr>
        <w:t xml:space="preserve"> </w:t>
      </w:r>
      <w:r w:rsidR="00385AF1" w:rsidRPr="00385AF1">
        <w:rPr>
          <w:rFonts w:ascii="Times New Roman" w:eastAsia="MS PGothic" w:hAnsi="Times New Roman"/>
          <w:lang w:val="en-US"/>
        </w:rPr>
        <w:t xml:space="preserve">until the </w:t>
      </w:r>
      <w:r w:rsidR="00BD4758">
        <w:rPr>
          <w:rFonts w:ascii="Times New Roman" w:eastAsia="MS PGothic" w:hAnsi="Times New Roman"/>
          <w:lang w:val="en-US"/>
        </w:rPr>
        <w:t xml:space="preserve">exhaustion of bed adsorption capacity </w:t>
      </w:r>
      <w:r w:rsidR="00385AF1" w:rsidRPr="00966872">
        <w:rPr>
          <w:rFonts w:ascii="Times New Roman" w:eastAsia="MS PGothic" w:hAnsi="Times New Roman"/>
          <w:lang w:val="en-US"/>
        </w:rPr>
        <w:t>when the outlet concentration (C</w:t>
      </w:r>
      <w:r w:rsidR="007F63D3" w:rsidRPr="00966872">
        <w:rPr>
          <w:rFonts w:ascii="Times New Roman" w:eastAsia="MS PGothic" w:hAnsi="Times New Roman"/>
          <w:vertAlign w:val="subscript"/>
          <w:lang w:val="en-US"/>
        </w:rPr>
        <w:t>out</w:t>
      </w:r>
      <w:r w:rsidR="00385AF1" w:rsidRPr="00966872">
        <w:rPr>
          <w:rFonts w:ascii="Times New Roman" w:eastAsia="MS PGothic" w:hAnsi="Times New Roman"/>
          <w:lang w:val="en-US"/>
        </w:rPr>
        <w:t xml:space="preserve">) </w:t>
      </w:r>
      <w:r w:rsidR="00BD4758">
        <w:rPr>
          <w:rFonts w:ascii="Times New Roman" w:eastAsia="MS PGothic" w:hAnsi="Times New Roman"/>
          <w:lang w:val="en-US"/>
        </w:rPr>
        <w:t>was</w:t>
      </w:r>
      <w:r w:rsidR="00385AF1" w:rsidRPr="00966872">
        <w:rPr>
          <w:rFonts w:ascii="Times New Roman" w:eastAsia="MS PGothic" w:hAnsi="Times New Roman"/>
          <w:lang w:val="en-US"/>
        </w:rPr>
        <w:t xml:space="preserve"> equal to that of the input (</w:t>
      </w:r>
      <w:proofErr w:type="spellStart"/>
      <w:r w:rsidR="00385AF1" w:rsidRPr="00966872">
        <w:rPr>
          <w:rFonts w:ascii="Times New Roman" w:eastAsia="MS PGothic" w:hAnsi="Times New Roman"/>
          <w:lang w:val="en-US"/>
        </w:rPr>
        <w:t>C</w:t>
      </w:r>
      <w:r w:rsidR="007F63D3" w:rsidRPr="00966872">
        <w:rPr>
          <w:rFonts w:ascii="Times New Roman" w:eastAsia="MS PGothic" w:hAnsi="Times New Roman"/>
          <w:vertAlign w:val="subscript"/>
          <w:lang w:val="en-US"/>
        </w:rPr>
        <w:t>in</w:t>
      </w:r>
      <w:proofErr w:type="spellEnd"/>
      <w:r w:rsidR="00BD4758">
        <w:rPr>
          <w:rFonts w:ascii="Times New Roman" w:eastAsia="MS PGothic" w:hAnsi="Times New Roman"/>
          <w:lang w:val="en-US"/>
        </w:rPr>
        <w:t xml:space="preserve">). </w:t>
      </w:r>
      <w:r w:rsidR="00033719">
        <w:rPr>
          <w:rFonts w:ascii="Times New Roman" w:eastAsia="MS PGothic" w:hAnsi="Times New Roman"/>
          <w:lang w:val="en-US"/>
        </w:rPr>
        <w:t xml:space="preserve">In </w:t>
      </w:r>
      <w:r w:rsidR="0012712E">
        <w:rPr>
          <w:rFonts w:ascii="Times New Roman" w:eastAsia="MS PGothic" w:hAnsi="Times New Roman"/>
          <w:i/>
          <w:iCs/>
          <w:lang w:val="en-US"/>
        </w:rPr>
        <w:t xml:space="preserve">flushing phase </w:t>
      </w:r>
      <w:r w:rsidR="00BD4762">
        <w:rPr>
          <w:rFonts w:ascii="Times New Roman" w:eastAsia="MS PGothic" w:hAnsi="Times New Roman"/>
          <w:lang w:val="en-US"/>
        </w:rPr>
        <w:t>columns</w:t>
      </w:r>
      <w:r w:rsidR="00CF6F0F">
        <w:rPr>
          <w:rFonts w:ascii="Times New Roman" w:eastAsia="MS PGothic" w:hAnsi="Times New Roman"/>
          <w:lang w:val="en-US"/>
        </w:rPr>
        <w:t xml:space="preserve"> </w:t>
      </w:r>
      <w:r w:rsidR="008D310D">
        <w:rPr>
          <w:rFonts w:ascii="Times New Roman" w:eastAsia="MS PGothic" w:hAnsi="Times New Roman"/>
          <w:lang w:val="en-US"/>
        </w:rPr>
        <w:t xml:space="preserve">feeding </w:t>
      </w:r>
      <w:r w:rsidR="00CF6F0F">
        <w:rPr>
          <w:rFonts w:ascii="Times New Roman" w:eastAsia="MS PGothic" w:hAnsi="Times New Roman"/>
          <w:lang w:val="en-US"/>
        </w:rPr>
        <w:t xml:space="preserve">was </w:t>
      </w:r>
      <w:r w:rsidR="008D310D">
        <w:rPr>
          <w:rFonts w:ascii="Times New Roman" w:eastAsia="MS PGothic" w:hAnsi="Times New Roman"/>
          <w:lang w:val="en-US"/>
        </w:rPr>
        <w:t>a</w:t>
      </w:r>
      <w:r w:rsidR="00CF6F0F">
        <w:rPr>
          <w:rFonts w:ascii="Times New Roman" w:eastAsia="MS PGothic" w:hAnsi="Times New Roman"/>
          <w:lang w:val="en-US"/>
        </w:rPr>
        <w:t xml:space="preserve"> surfactant solution at concentration five time of </w:t>
      </w:r>
      <w:r w:rsidR="0010485C">
        <w:rPr>
          <w:rFonts w:ascii="Times New Roman" w:eastAsia="MS PGothic" w:hAnsi="Times New Roman"/>
          <w:lang w:val="en-US"/>
        </w:rPr>
        <w:t>CMC or</w:t>
      </w:r>
      <w:r w:rsidR="00CF6F0F">
        <w:rPr>
          <w:rFonts w:ascii="Times New Roman" w:eastAsia="MS PGothic" w:hAnsi="Times New Roman"/>
          <w:lang w:val="en-US"/>
        </w:rPr>
        <w:t xml:space="preserve"> tap water </w:t>
      </w:r>
      <w:r w:rsidR="0010485C">
        <w:rPr>
          <w:rFonts w:ascii="Times New Roman" w:eastAsia="MS PGothic" w:hAnsi="Times New Roman"/>
          <w:lang w:val="en-US"/>
        </w:rPr>
        <w:t>as</w:t>
      </w:r>
      <w:r w:rsidR="00CF6F0F">
        <w:rPr>
          <w:rFonts w:ascii="Times New Roman" w:eastAsia="MS PGothic" w:hAnsi="Times New Roman"/>
          <w:lang w:val="en-US"/>
        </w:rPr>
        <w:t xml:space="preserve"> reference test</w:t>
      </w:r>
      <w:r w:rsidR="00352ED7">
        <w:rPr>
          <w:rFonts w:ascii="Times New Roman" w:eastAsia="MS PGothic" w:hAnsi="Times New Roman"/>
          <w:lang w:val="en-US"/>
        </w:rPr>
        <w:t xml:space="preserve"> </w:t>
      </w:r>
      <w:r w:rsidR="00352ED7" w:rsidRPr="008D310D">
        <w:rPr>
          <w:rFonts w:ascii="Times New Roman" w:eastAsia="MS PGothic" w:hAnsi="Times New Roman"/>
          <w:lang w:val="en-US"/>
        </w:rPr>
        <w:t>(details in Table 1)</w:t>
      </w:r>
      <w:r w:rsidR="00CF6F0F" w:rsidRPr="008D310D">
        <w:rPr>
          <w:rFonts w:ascii="Times New Roman" w:eastAsia="MS PGothic" w:hAnsi="Times New Roman"/>
          <w:lang w:val="en-US"/>
        </w:rPr>
        <w:t>.</w:t>
      </w:r>
      <w:r w:rsidR="00CF6F0F" w:rsidRPr="00BD4762">
        <w:rPr>
          <w:rFonts w:ascii="Times New Roman" w:eastAsia="MS PGothic" w:hAnsi="Times New Roman"/>
          <w:color w:val="FF0000"/>
          <w:lang w:val="en-US"/>
        </w:rPr>
        <w:t xml:space="preserve"> </w:t>
      </w:r>
      <w:r w:rsidR="00CF6F0F">
        <w:rPr>
          <w:rFonts w:ascii="Times New Roman" w:eastAsia="MS PGothic" w:hAnsi="Times New Roman"/>
          <w:lang w:val="en-US"/>
        </w:rPr>
        <w:t>Flushing phase was stopped when the outlet concentration was about 5-6% respect the inlet</w:t>
      </w:r>
      <w:r w:rsidR="00033719">
        <w:rPr>
          <w:rFonts w:ascii="Times New Roman" w:eastAsia="MS PGothic" w:hAnsi="Times New Roman"/>
          <w:lang w:val="en-US"/>
        </w:rPr>
        <w:t xml:space="preserve"> </w:t>
      </w:r>
      <w:r w:rsidR="00CF6F0F">
        <w:rPr>
          <w:rFonts w:ascii="Times New Roman" w:eastAsia="MS PGothic" w:hAnsi="Times New Roman"/>
          <w:lang w:val="en-US"/>
        </w:rPr>
        <w:t>in previous contamination phase.</w:t>
      </w:r>
      <w:r w:rsidR="00BD4762">
        <w:rPr>
          <w:rFonts w:ascii="Times New Roman" w:eastAsia="MS PGothic" w:hAnsi="Times New Roman"/>
          <w:lang w:val="en-US"/>
        </w:rPr>
        <w:t xml:space="preserve"> To</w:t>
      </w:r>
      <w:r w:rsidR="00BD4762" w:rsidRPr="00FA1ABF">
        <w:rPr>
          <w:rFonts w:ascii="Times New Roman" w:eastAsia="MS PGothic" w:hAnsi="Times New Roman"/>
          <w:lang w:val="en-US"/>
        </w:rPr>
        <w:t xml:space="preserve"> monitor the system, </w:t>
      </w:r>
      <w:r w:rsidR="00BD4762">
        <w:rPr>
          <w:rFonts w:ascii="Times New Roman" w:eastAsia="MS PGothic" w:hAnsi="Times New Roman"/>
          <w:lang w:val="en-US"/>
        </w:rPr>
        <w:t>samples of</w:t>
      </w:r>
      <w:r w:rsidR="00BD4762" w:rsidRPr="00FA1ABF">
        <w:rPr>
          <w:rFonts w:ascii="Times New Roman" w:eastAsia="MS PGothic" w:hAnsi="Times New Roman"/>
          <w:lang w:val="en-US"/>
        </w:rPr>
        <w:t xml:space="preserve"> influent and effluent were </w:t>
      </w:r>
      <w:r w:rsidR="00BD4762">
        <w:rPr>
          <w:rFonts w:ascii="Times New Roman" w:eastAsia="MS PGothic" w:hAnsi="Times New Roman"/>
          <w:lang w:val="en-US"/>
        </w:rPr>
        <w:t>daily collected</w:t>
      </w:r>
      <w:r w:rsidR="00BD4762" w:rsidRPr="00FA1ABF">
        <w:rPr>
          <w:rFonts w:ascii="Times New Roman" w:eastAsia="MS PGothic" w:hAnsi="Times New Roman"/>
          <w:lang w:val="en-US"/>
        </w:rPr>
        <w:t xml:space="preserve"> and analyzed in gas chromatograph</w:t>
      </w:r>
      <w:r w:rsidR="00BD4762">
        <w:rPr>
          <w:rFonts w:ascii="Times New Roman" w:eastAsia="MS PGothic" w:hAnsi="Times New Roman"/>
          <w:lang w:val="en-US"/>
        </w:rPr>
        <w:t xml:space="preserve"> with FID detector.</w:t>
      </w:r>
      <w:r w:rsidR="0010485C">
        <w:rPr>
          <w:rFonts w:ascii="Times New Roman" w:eastAsia="MS PGothic" w:hAnsi="Times New Roman"/>
          <w:lang w:val="en-US"/>
        </w:rPr>
        <w:t xml:space="preserve"> </w:t>
      </w:r>
    </w:p>
    <w:p w14:paraId="0528A46E" w14:textId="2CD7B68C"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3. Results and discussion</w:t>
      </w:r>
    </w:p>
    <w:p w14:paraId="1B3D3E2C" w14:textId="46E1DDE8" w:rsidR="00987184" w:rsidRDefault="00E505BD" w:rsidP="00E60F87">
      <w:pPr>
        <w:snapToGrid w:val="0"/>
        <w:spacing w:line="276" w:lineRule="auto"/>
        <w:jc w:val="both"/>
        <w:rPr>
          <w:rFonts w:ascii="Times New Roman" w:eastAsia="MS PGothic" w:hAnsi="Times New Roman"/>
          <w:lang w:val="en-US"/>
        </w:rPr>
      </w:pPr>
      <w:r>
        <w:rPr>
          <w:rFonts w:ascii="Times New Roman" w:eastAsia="MS PGothic" w:hAnsi="Times New Roman"/>
          <w:lang w:val="en-US"/>
        </w:rPr>
        <w:t>The contamination phase was monitored</w:t>
      </w:r>
      <w:r w:rsidR="00BD4758">
        <w:rPr>
          <w:rFonts w:ascii="Times New Roman" w:eastAsia="MS PGothic" w:hAnsi="Times New Roman"/>
          <w:lang w:val="en-US"/>
        </w:rPr>
        <w:t xml:space="preserve"> </w:t>
      </w:r>
      <w:r>
        <w:rPr>
          <w:rFonts w:ascii="Times New Roman" w:eastAsia="MS PGothic" w:hAnsi="Times New Roman"/>
          <w:lang w:val="en-US"/>
        </w:rPr>
        <w:t>by r</w:t>
      </w:r>
      <w:r w:rsidR="00BD4758">
        <w:rPr>
          <w:rFonts w:ascii="Times New Roman" w:eastAsia="MS PGothic" w:hAnsi="Times New Roman"/>
          <w:lang w:val="en-US"/>
        </w:rPr>
        <w:t xml:space="preserve">eporting the </w:t>
      </w:r>
      <w:r w:rsidR="00BF23B7" w:rsidRPr="00BE1270">
        <w:rPr>
          <w:rFonts w:ascii="Times New Roman" w:eastAsia="MS PGothic" w:hAnsi="Times New Roman"/>
          <w:lang w:val="en-US"/>
        </w:rPr>
        <w:t>concentration at the outlet</w:t>
      </w:r>
      <w:r w:rsidR="00BF23B7">
        <w:rPr>
          <w:rFonts w:ascii="Times New Roman" w:eastAsia="MS PGothic" w:hAnsi="Times New Roman"/>
          <w:lang w:val="en-US"/>
        </w:rPr>
        <w:t xml:space="preserve"> </w:t>
      </w:r>
      <w:r w:rsidR="00BF23B7" w:rsidRPr="00BE1270">
        <w:rPr>
          <w:rFonts w:ascii="Times New Roman" w:eastAsia="MS PGothic" w:hAnsi="Times New Roman"/>
          <w:lang w:val="en-US"/>
        </w:rPr>
        <w:t xml:space="preserve">normalized with </w:t>
      </w:r>
      <w:r w:rsidR="00BF23B7">
        <w:rPr>
          <w:rFonts w:ascii="Times New Roman" w:eastAsia="MS PGothic" w:hAnsi="Times New Roman"/>
          <w:lang w:val="en-US"/>
        </w:rPr>
        <w:t>the concentration</w:t>
      </w:r>
      <w:r w:rsidR="00BF23B7" w:rsidRPr="00BE1270">
        <w:rPr>
          <w:rFonts w:ascii="Times New Roman" w:eastAsia="MS PGothic" w:hAnsi="Times New Roman"/>
          <w:lang w:val="en-US"/>
        </w:rPr>
        <w:t xml:space="preserve"> in the inlet (C</w:t>
      </w:r>
      <w:r w:rsidR="00BF23B7" w:rsidRPr="00F27D2B">
        <w:rPr>
          <w:rFonts w:ascii="Times New Roman" w:eastAsia="MS PGothic" w:hAnsi="Times New Roman"/>
          <w:vertAlign w:val="subscript"/>
          <w:lang w:val="en-US"/>
        </w:rPr>
        <w:t>out</w:t>
      </w:r>
      <w:r w:rsidR="00BF23B7" w:rsidRPr="00BE1270">
        <w:rPr>
          <w:rFonts w:ascii="Times New Roman" w:eastAsia="MS PGothic" w:hAnsi="Times New Roman"/>
          <w:lang w:val="en-US"/>
        </w:rPr>
        <w:t>/</w:t>
      </w:r>
      <w:proofErr w:type="spellStart"/>
      <w:r w:rsidR="00BF23B7" w:rsidRPr="00BE1270">
        <w:rPr>
          <w:rFonts w:ascii="Times New Roman" w:eastAsia="MS PGothic" w:hAnsi="Times New Roman"/>
          <w:lang w:val="en-US"/>
        </w:rPr>
        <w:t>C</w:t>
      </w:r>
      <w:r w:rsidR="00BF23B7" w:rsidRPr="00F27D2B">
        <w:rPr>
          <w:rFonts w:ascii="Times New Roman" w:eastAsia="MS PGothic" w:hAnsi="Times New Roman"/>
          <w:vertAlign w:val="subscript"/>
          <w:lang w:val="en-US"/>
        </w:rPr>
        <w:t>in</w:t>
      </w:r>
      <w:proofErr w:type="spellEnd"/>
      <w:r w:rsidR="00BF23B7" w:rsidRPr="00BE1270">
        <w:rPr>
          <w:rFonts w:ascii="Times New Roman" w:eastAsia="MS PGothic" w:hAnsi="Times New Roman"/>
          <w:lang w:val="en-US"/>
        </w:rPr>
        <w:t xml:space="preserve">) as a function of the </w:t>
      </w:r>
      <w:r w:rsidR="00BF23B7">
        <w:rPr>
          <w:rFonts w:ascii="Times New Roman" w:eastAsia="MS PGothic" w:hAnsi="Times New Roman"/>
          <w:lang w:val="en-US"/>
        </w:rPr>
        <w:t xml:space="preserve">pore </w:t>
      </w:r>
      <w:r w:rsidR="00BF23B7" w:rsidRPr="00BE1270">
        <w:rPr>
          <w:rFonts w:ascii="Times New Roman" w:eastAsia="MS PGothic" w:hAnsi="Times New Roman"/>
          <w:lang w:val="en-US"/>
        </w:rPr>
        <w:t xml:space="preserve">volume of contaminated water </w:t>
      </w:r>
      <w:r w:rsidR="00BF23B7">
        <w:rPr>
          <w:rFonts w:ascii="Times New Roman" w:eastAsia="MS PGothic" w:hAnsi="Times New Roman"/>
          <w:lang w:val="en-US"/>
        </w:rPr>
        <w:t>passed through the system</w:t>
      </w:r>
      <w:r>
        <w:rPr>
          <w:rFonts w:ascii="Times New Roman" w:eastAsia="MS PGothic" w:hAnsi="Times New Roman"/>
          <w:lang w:val="en-US"/>
        </w:rPr>
        <w:t>. Then, the breaktrough curve was obtained</w:t>
      </w:r>
      <w:r w:rsidR="00392AEA">
        <w:rPr>
          <w:rFonts w:ascii="Times New Roman" w:eastAsia="MS PGothic" w:hAnsi="Times New Roman"/>
          <w:lang w:val="en-US"/>
        </w:rPr>
        <w:t xml:space="preserve"> (Figure 2a)</w:t>
      </w:r>
      <w:r>
        <w:rPr>
          <w:rFonts w:ascii="Times New Roman" w:eastAsia="MS PGothic" w:hAnsi="Times New Roman"/>
          <w:lang w:val="en-US"/>
        </w:rPr>
        <w:t>.</w:t>
      </w:r>
      <w:r w:rsidR="00BF23B7">
        <w:rPr>
          <w:rFonts w:ascii="Times New Roman" w:eastAsia="MS PGothic" w:hAnsi="Times New Roman"/>
          <w:lang w:val="en-US"/>
        </w:rPr>
        <w:t xml:space="preserve"> Whereas, for the flushing </w:t>
      </w:r>
      <w:r>
        <w:rPr>
          <w:rFonts w:ascii="Times New Roman" w:eastAsia="MS PGothic" w:hAnsi="Times New Roman"/>
          <w:lang w:val="en-US"/>
        </w:rPr>
        <w:t xml:space="preserve">phase </w:t>
      </w:r>
      <w:r w:rsidR="00BF23B7">
        <w:rPr>
          <w:rFonts w:ascii="Times New Roman" w:eastAsia="MS PGothic" w:hAnsi="Times New Roman"/>
          <w:lang w:val="en-US"/>
        </w:rPr>
        <w:t>curve</w:t>
      </w:r>
      <w:r w:rsidR="00392AEA">
        <w:rPr>
          <w:rFonts w:ascii="Times New Roman" w:eastAsia="MS PGothic" w:hAnsi="Times New Roman"/>
          <w:lang w:val="en-US"/>
        </w:rPr>
        <w:t xml:space="preserve"> (Figure 2b and 2c)</w:t>
      </w:r>
      <w:r w:rsidR="00BF23B7">
        <w:rPr>
          <w:rFonts w:ascii="Times New Roman" w:eastAsia="MS PGothic" w:hAnsi="Times New Roman"/>
          <w:lang w:val="en-US"/>
        </w:rPr>
        <w:t>, the concentration at the outlet (</w:t>
      </w:r>
      <w:r w:rsidR="00BF23B7" w:rsidRPr="00BE1270">
        <w:rPr>
          <w:rFonts w:ascii="Times New Roman" w:eastAsia="MS PGothic" w:hAnsi="Times New Roman"/>
          <w:lang w:val="en-US"/>
        </w:rPr>
        <w:t>C</w:t>
      </w:r>
      <w:r w:rsidR="00BF23B7" w:rsidRPr="00F27D2B">
        <w:rPr>
          <w:rFonts w:ascii="Times New Roman" w:eastAsia="MS PGothic" w:hAnsi="Times New Roman"/>
          <w:vertAlign w:val="subscript"/>
          <w:lang w:val="en-US"/>
        </w:rPr>
        <w:t>out</w:t>
      </w:r>
      <w:r w:rsidR="00BF23B7">
        <w:rPr>
          <w:rFonts w:ascii="Times New Roman" w:eastAsia="MS PGothic" w:hAnsi="Times New Roman"/>
          <w:lang w:val="en-US"/>
        </w:rPr>
        <w:t>) is reported against the pore volume.</w:t>
      </w:r>
      <w:r>
        <w:rPr>
          <w:rFonts w:ascii="Times New Roman" w:eastAsia="MS PGothic" w:hAnsi="Times New Roman"/>
          <w:lang w:val="en-US"/>
        </w:rPr>
        <w:t xml:space="preserve"> From the area over the breaktrough curve and the area under the flushing curve it was possible calculate adsorbed and mobilized </w:t>
      </w:r>
      <w:r>
        <w:rPr>
          <w:rFonts w:ascii="Times New Roman" w:eastAsia="MS PGothic" w:hAnsi="Times New Roman"/>
          <w:lang w:val="en-US"/>
        </w:rPr>
        <w:lastRenderedPageBreak/>
        <w:t>contaminant mass, respectively. Lastly the yield</w:t>
      </w:r>
      <w:r w:rsidRPr="0075107B">
        <w:rPr>
          <w:rFonts w:ascii="Times New Roman" w:eastAsia="MS PGothic" w:hAnsi="Times New Roman"/>
          <w:lang w:val="en-US"/>
        </w:rPr>
        <w:t xml:space="preserve"> of removal</w:t>
      </w:r>
      <w:r>
        <w:rPr>
          <w:rFonts w:ascii="Times New Roman" w:eastAsia="MS PGothic" w:hAnsi="Times New Roman"/>
          <w:lang w:val="en-US"/>
        </w:rPr>
        <w:t xml:space="preserve"> (%R) was calculated for all columns. from the ratio between the amounts of mobilized and adsorbed contaminant.</w:t>
      </w:r>
    </w:p>
    <w:p w14:paraId="31C12BA7" w14:textId="5AB483DA" w:rsidR="0033481F" w:rsidRDefault="00624C2F" w:rsidP="00E60F87">
      <w:pPr>
        <w:snapToGrid w:val="0"/>
        <w:spacing w:line="276" w:lineRule="auto"/>
        <w:jc w:val="both"/>
        <w:rPr>
          <w:rFonts w:ascii="Times New Roman" w:eastAsia="MS PGothic" w:hAnsi="Times New Roman"/>
          <w:lang w:val="en-US"/>
        </w:rPr>
      </w:pPr>
      <w:r>
        <w:rPr>
          <w:rFonts w:ascii="Times New Roman" w:eastAsia="MS PGothic" w:hAnsi="Times New Roman"/>
          <w:lang w:val="en-US"/>
        </w:rPr>
        <w:t>When flushing is carried out w</w:t>
      </w:r>
      <w:r w:rsidR="00392AEA">
        <w:rPr>
          <w:rFonts w:ascii="Times New Roman" w:eastAsia="MS PGothic" w:hAnsi="Times New Roman"/>
          <w:lang w:val="en-US"/>
        </w:rPr>
        <w:t xml:space="preserve">ith surfactants, it be possible to see </w:t>
      </w:r>
      <w:r w:rsidR="00392AEA" w:rsidRPr="006349B8">
        <w:rPr>
          <w:rFonts w:ascii="Times New Roman" w:eastAsia="MS PGothic" w:hAnsi="Times New Roman"/>
          <w:lang w:val="en-US"/>
        </w:rPr>
        <w:t>a rapid increase in the out</w:t>
      </w:r>
      <w:r w:rsidR="00392AEA">
        <w:rPr>
          <w:rFonts w:ascii="Times New Roman" w:eastAsia="MS PGothic" w:hAnsi="Times New Roman"/>
          <w:lang w:val="en-US"/>
        </w:rPr>
        <w:t>le</w:t>
      </w:r>
      <w:r w:rsidR="00392AEA" w:rsidRPr="006349B8">
        <w:rPr>
          <w:rFonts w:ascii="Times New Roman" w:eastAsia="MS PGothic" w:hAnsi="Times New Roman"/>
          <w:lang w:val="en-US"/>
        </w:rPr>
        <w:t>t concentration</w:t>
      </w:r>
      <w:r w:rsidR="00392AEA">
        <w:rPr>
          <w:rFonts w:ascii="Times New Roman" w:eastAsia="MS PGothic" w:hAnsi="Times New Roman"/>
          <w:lang w:val="en-US"/>
        </w:rPr>
        <w:t xml:space="preserve">, as shown in Figure 2b, due to </w:t>
      </w:r>
      <w:r>
        <w:rPr>
          <w:rFonts w:ascii="Times New Roman" w:eastAsia="MS PGothic" w:hAnsi="Times New Roman"/>
          <w:lang w:val="en-US"/>
        </w:rPr>
        <w:t>the</w:t>
      </w:r>
      <w:r w:rsidR="00392AEA" w:rsidRPr="006349B8">
        <w:rPr>
          <w:rFonts w:ascii="Times New Roman" w:eastAsia="MS PGothic" w:hAnsi="Times New Roman"/>
          <w:lang w:val="en-US"/>
        </w:rPr>
        <w:t xml:space="preserve"> increase </w:t>
      </w:r>
      <w:r>
        <w:rPr>
          <w:rFonts w:ascii="Times New Roman" w:eastAsia="MS PGothic" w:hAnsi="Times New Roman"/>
          <w:lang w:val="en-US"/>
        </w:rPr>
        <w:t xml:space="preserve">in </w:t>
      </w:r>
      <w:r w:rsidR="00392AEA" w:rsidRPr="006349B8">
        <w:rPr>
          <w:rFonts w:ascii="Times New Roman" w:eastAsia="MS PGothic" w:hAnsi="Times New Roman"/>
          <w:lang w:val="en-US"/>
        </w:rPr>
        <w:t xml:space="preserve">the solubility of insoluble compounds and to </w:t>
      </w:r>
      <w:r>
        <w:rPr>
          <w:rFonts w:ascii="Times New Roman" w:eastAsia="MS PGothic" w:hAnsi="Times New Roman"/>
          <w:lang w:val="en-US"/>
        </w:rPr>
        <w:t>decrease in</w:t>
      </w:r>
      <w:r w:rsidR="00392AEA" w:rsidRPr="006349B8">
        <w:rPr>
          <w:rFonts w:ascii="Times New Roman" w:eastAsia="MS PGothic" w:hAnsi="Times New Roman"/>
          <w:lang w:val="en-US"/>
        </w:rPr>
        <w:t xml:space="preserve"> interfacial tension between immiscible phases</w:t>
      </w:r>
      <w:r>
        <w:rPr>
          <w:rFonts w:ascii="Times New Roman" w:eastAsia="MS PGothic" w:hAnsi="Times New Roman"/>
          <w:lang w:val="en-US"/>
        </w:rPr>
        <w:t>.</w:t>
      </w:r>
      <w:r w:rsidR="00392AEA">
        <w:rPr>
          <w:rFonts w:ascii="Times New Roman" w:eastAsia="MS PGothic" w:hAnsi="Times New Roman"/>
          <w:lang w:val="en-US"/>
        </w:rPr>
        <w:t xml:space="preserve"> </w:t>
      </w:r>
      <w:r>
        <w:rPr>
          <w:rFonts w:ascii="Times New Roman" w:eastAsia="MS PGothic" w:hAnsi="Times New Roman"/>
          <w:lang w:val="en-US"/>
        </w:rPr>
        <w:t xml:space="preserve">This behavior </w:t>
      </w:r>
      <w:r w:rsidR="00392AEA" w:rsidRPr="006349B8">
        <w:rPr>
          <w:rFonts w:ascii="Times New Roman" w:eastAsia="MS PGothic" w:hAnsi="Times New Roman"/>
          <w:lang w:val="en-US"/>
        </w:rPr>
        <w:t>demonstra</w:t>
      </w:r>
      <w:r>
        <w:rPr>
          <w:rFonts w:ascii="Times New Roman" w:eastAsia="MS PGothic" w:hAnsi="Times New Roman"/>
          <w:lang w:val="en-US"/>
        </w:rPr>
        <w:t>tes</w:t>
      </w:r>
      <w:r w:rsidR="00392AEA" w:rsidRPr="006349B8">
        <w:rPr>
          <w:rFonts w:ascii="Times New Roman" w:eastAsia="MS PGothic" w:hAnsi="Times New Roman"/>
          <w:lang w:val="en-US"/>
        </w:rPr>
        <w:t xml:space="preserve">, therefore, </w:t>
      </w:r>
      <w:r w:rsidR="00392AEA">
        <w:rPr>
          <w:rFonts w:ascii="Times New Roman" w:eastAsia="MS PGothic" w:hAnsi="Times New Roman"/>
          <w:lang w:val="en-US"/>
        </w:rPr>
        <w:t>the positive</w:t>
      </w:r>
      <w:r>
        <w:rPr>
          <w:rFonts w:ascii="Times New Roman" w:eastAsia="MS PGothic" w:hAnsi="Times New Roman"/>
          <w:lang w:val="en-US"/>
        </w:rPr>
        <w:t xml:space="preserve"> </w:t>
      </w:r>
      <w:r w:rsidR="00392AEA" w:rsidRPr="006349B8">
        <w:rPr>
          <w:rFonts w:ascii="Times New Roman" w:eastAsia="MS PGothic" w:hAnsi="Times New Roman"/>
          <w:lang w:val="en-US"/>
        </w:rPr>
        <w:t xml:space="preserve">contribution to the mobilization of </w:t>
      </w:r>
      <w:r w:rsidR="00392AEA">
        <w:rPr>
          <w:rFonts w:ascii="Times New Roman" w:eastAsia="MS PGothic" w:hAnsi="Times New Roman"/>
          <w:lang w:val="en-US"/>
        </w:rPr>
        <w:t xml:space="preserve">hydrophobic </w:t>
      </w:r>
      <w:r w:rsidR="00392AEA" w:rsidRPr="006349B8">
        <w:rPr>
          <w:rFonts w:ascii="Times New Roman" w:eastAsia="MS PGothic" w:hAnsi="Times New Roman"/>
          <w:lang w:val="en-US"/>
        </w:rPr>
        <w:t>co</w:t>
      </w:r>
      <w:r w:rsidR="00392AEA">
        <w:rPr>
          <w:rFonts w:ascii="Times New Roman" w:eastAsia="MS PGothic" w:hAnsi="Times New Roman"/>
          <w:lang w:val="en-US"/>
        </w:rPr>
        <w:t>mpounds</w:t>
      </w:r>
      <w:r w:rsidR="006C26C7">
        <w:rPr>
          <w:rFonts w:ascii="Times New Roman" w:eastAsia="MS PGothic" w:hAnsi="Times New Roman"/>
          <w:lang w:val="en-US"/>
        </w:rPr>
        <w:t xml:space="preserve"> by surfactants</w:t>
      </w:r>
      <w:r w:rsidR="00392AEA">
        <w:rPr>
          <w:rFonts w:ascii="Times New Roman" w:eastAsia="MS PGothic" w:hAnsi="Times New Roman"/>
          <w:lang w:val="en-US"/>
        </w:rPr>
        <w:t>. Instead</w:t>
      </w:r>
      <w:r>
        <w:rPr>
          <w:rFonts w:ascii="Times New Roman" w:eastAsia="MS PGothic" w:hAnsi="Times New Roman"/>
          <w:lang w:val="en-US"/>
        </w:rPr>
        <w:t xml:space="preserve">, as can be seen in Figure 2c, the flushing </w:t>
      </w:r>
      <w:r w:rsidRPr="00342DD9">
        <w:rPr>
          <w:rFonts w:ascii="Times New Roman" w:eastAsia="MS PGothic" w:hAnsi="Times New Roman"/>
          <w:lang w:val="en-US"/>
        </w:rPr>
        <w:t xml:space="preserve">with </w:t>
      </w:r>
      <w:r>
        <w:rPr>
          <w:rFonts w:ascii="Times New Roman" w:eastAsia="MS PGothic" w:hAnsi="Times New Roman"/>
          <w:lang w:val="en-US"/>
        </w:rPr>
        <w:t xml:space="preserve">tap </w:t>
      </w:r>
      <w:r w:rsidRPr="00342DD9">
        <w:rPr>
          <w:rFonts w:ascii="Times New Roman" w:eastAsia="MS PGothic" w:hAnsi="Times New Roman"/>
          <w:lang w:val="en-US"/>
        </w:rPr>
        <w:t>water led to a continuous</w:t>
      </w:r>
      <w:r>
        <w:rPr>
          <w:rFonts w:ascii="Times New Roman" w:eastAsia="MS PGothic" w:hAnsi="Times New Roman"/>
          <w:lang w:val="en-US"/>
        </w:rPr>
        <w:t xml:space="preserve"> slow </w:t>
      </w:r>
      <w:r w:rsidRPr="00342DD9">
        <w:rPr>
          <w:rFonts w:ascii="Times New Roman" w:eastAsia="MS PGothic" w:hAnsi="Times New Roman"/>
          <w:lang w:val="en-US"/>
        </w:rPr>
        <w:t xml:space="preserve">decrease in the </w:t>
      </w:r>
      <w:r>
        <w:rPr>
          <w:rFonts w:ascii="Times New Roman" w:eastAsia="MS PGothic" w:hAnsi="Times New Roman"/>
          <w:lang w:val="en-US"/>
        </w:rPr>
        <w:t>outlet</w:t>
      </w:r>
      <w:r w:rsidRPr="00342DD9">
        <w:rPr>
          <w:rFonts w:ascii="Times New Roman" w:eastAsia="MS PGothic" w:hAnsi="Times New Roman"/>
          <w:lang w:val="en-US"/>
        </w:rPr>
        <w:t xml:space="preserve"> concentration and no maximum point </w:t>
      </w:r>
      <w:r>
        <w:rPr>
          <w:rFonts w:ascii="Times New Roman" w:eastAsia="MS PGothic" w:hAnsi="Times New Roman"/>
          <w:lang w:val="en-US"/>
        </w:rPr>
        <w:t>is</w:t>
      </w:r>
      <w:r w:rsidRPr="00342DD9">
        <w:rPr>
          <w:rFonts w:ascii="Times New Roman" w:eastAsia="MS PGothic" w:hAnsi="Times New Roman"/>
          <w:lang w:val="en-US"/>
        </w:rPr>
        <w:t xml:space="preserve"> observed</w:t>
      </w:r>
      <w:r>
        <w:rPr>
          <w:rFonts w:ascii="Times New Roman" w:eastAsia="MS PGothic" w:hAnsi="Times New Roman"/>
          <w:lang w:val="en-US"/>
        </w:rPr>
        <w:t>.</w:t>
      </w:r>
    </w:p>
    <w:tbl>
      <w:tblPr>
        <w:tblStyle w:val="Grigliatabella"/>
        <w:tblW w:w="98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2"/>
        <w:gridCol w:w="3272"/>
        <w:gridCol w:w="3273"/>
      </w:tblGrid>
      <w:tr w:rsidR="000E53E0" w14:paraId="5AF2A24C" w14:textId="77777777" w:rsidTr="00987184">
        <w:trPr>
          <w:trHeight w:val="2744"/>
          <w:jc w:val="center"/>
        </w:trPr>
        <w:tc>
          <w:tcPr>
            <w:tcW w:w="3272" w:type="dxa"/>
          </w:tcPr>
          <w:p w14:paraId="71E1DC10" w14:textId="58C5F60A" w:rsidR="004D7FD0" w:rsidRDefault="000E53E0" w:rsidP="00987184">
            <w:pPr>
              <w:snapToGrid w:val="0"/>
              <w:spacing w:before="240" w:after="120" w:line="276" w:lineRule="auto"/>
              <w:rPr>
                <w:rFonts w:ascii="Times New Roman" w:eastAsia="MS PGothic" w:hAnsi="Times New Roman"/>
                <w:lang w:val="en-US"/>
              </w:rPr>
            </w:pPr>
            <w:r>
              <w:rPr>
                <w:noProof/>
              </w:rPr>
              <mc:AlternateContent>
                <mc:Choice Requires="wps">
                  <w:drawing>
                    <wp:anchor distT="0" distB="0" distL="114300" distR="114300" simplePos="0" relativeHeight="251662336" behindDoc="0" locked="0" layoutInCell="1" allowOverlap="1" wp14:anchorId="5EDB18DD" wp14:editId="1DE0D580">
                      <wp:simplePos x="0" y="0"/>
                      <wp:positionH relativeFrom="column">
                        <wp:posOffset>252730</wp:posOffset>
                      </wp:positionH>
                      <wp:positionV relativeFrom="paragraph">
                        <wp:posOffset>-53831</wp:posOffset>
                      </wp:positionV>
                      <wp:extent cx="368490" cy="307075"/>
                      <wp:effectExtent l="0" t="0" r="0" b="0"/>
                      <wp:wrapNone/>
                      <wp:docPr id="22" name="Casella di testo 22"/>
                      <wp:cNvGraphicFramePr/>
                      <a:graphic xmlns:a="http://schemas.openxmlformats.org/drawingml/2006/main">
                        <a:graphicData uri="http://schemas.microsoft.com/office/word/2010/wordprocessingShape">
                          <wps:wsp>
                            <wps:cNvSpPr txBox="1"/>
                            <wps:spPr>
                              <a:xfrm>
                                <a:off x="0" y="0"/>
                                <a:ext cx="368490" cy="307075"/>
                              </a:xfrm>
                              <a:prstGeom prst="rect">
                                <a:avLst/>
                              </a:prstGeom>
                              <a:noFill/>
                              <a:ln w="6350">
                                <a:noFill/>
                              </a:ln>
                            </wps:spPr>
                            <wps:txbx>
                              <w:txbxContent>
                                <w:p w14:paraId="724F5667" w14:textId="7239443A" w:rsidR="000E53E0" w:rsidRPr="000E53E0" w:rsidRDefault="000E53E0">
                                  <w:pPr>
                                    <w:rPr>
                                      <w:rFonts w:ascii="Times New Roman" w:hAnsi="Times New Roman" w:cs="Times New Roman"/>
                                    </w:rPr>
                                  </w:pPr>
                                  <w:r w:rsidRPr="000E53E0">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B18DD" id="Casella di testo 22" o:spid="_x0000_s1028" type="#_x0000_t202" style="position:absolute;margin-left:19.9pt;margin-top:-4.25pt;width:29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8GGgIAADI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" filled="f" stroked="f" strokeweight=".5pt">
                      <v:textbox>
                        <w:txbxContent>
                          <w:p w14:paraId="724F5667" w14:textId="7239443A" w:rsidR="000E53E0" w:rsidRPr="000E53E0" w:rsidRDefault="000E53E0">
                            <w:pPr>
                              <w:rPr>
                                <w:rFonts w:ascii="Times New Roman" w:hAnsi="Times New Roman" w:cs="Times New Roman"/>
                              </w:rPr>
                            </w:pPr>
                            <w:r w:rsidRPr="000E53E0">
                              <w:rPr>
                                <w:rFonts w:ascii="Times New Roman" w:hAnsi="Times New Roman" w:cs="Times New Roman"/>
                              </w:rPr>
                              <w:t>a)</w:t>
                            </w:r>
                          </w:p>
                        </w:txbxContent>
                      </v:textbox>
                    </v:shape>
                  </w:pict>
                </mc:Fallback>
              </mc:AlternateContent>
            </w:r>
            <w:r w:rsidR="00776F08">
              <w:object w:dxaOrig="8625" w:dyaOrig="6481" w14:anchorId="7AB20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35pt;height:109.35pt" o:ole="">
                  <v:imagedata r:id="rId10" o:title=""/>
                </v:shape>
                <o:OLEObject Type="Embed" ProgID="SigmaPlotGraphicObject.11" ShapeID="_x0000_i1025" DrawAspect="Content" ObjectID="_1709396134" r:id="rId11"/>
              </w:object>
            </w:r>
          </w:p>
        </w:tc>
        <w:tc>
          <w:tcPr>
            <w:tcW w:w="3272" w:type="dxa"/>
            <w:vAlign w:val="bottom"/>
          </w:tcPr>
          <w:p w14:paraId="00C4480E" w14:textId="18BDB82F" w:rsidR="004D7FD0" w:rsidRDefault="000E53E0" w:rsidP="00987184">
            <w:pPr>
              <w:snapToGrid w:val="0"/>
              <w:spacing w:before="240" w:after="120" w:line="276" w:lineRule="auto"/>
              <w:jc w:val="center"/>
              <w:rPr>
                <w:rFonts w:ascii="Times New Roman" w:eastAsia="MS PGothic" w:hAnsi="Times New Roman"/>
                <w:lang w:val="en-US"/>
              </w:rPr>
            </w:pPr>
            <w:r>
              <w:rPr>
                <w:noProof/>
              </w:rPr>
              <mc:AlternateContent>
                <mc:Choice Requires="wps">
                  <w:drawing>
                    <wp:anchor distT="0" distB="0" distL="114300" distR="114300" simplePos="0" relativeHeight="251664384" behindDoc="0" locked="0" layoutInCell="1" allowOverlap="1" wp14:anchorId="3B3A3E81" wp14:editId="414FB319">
                      <wp:simplePos x="0" y="0"/>
                      <wp:positionH relativeFrom="column">
                        <wp:posOffset>335280</wp:posOffset>
                      </wp:positionH>
                      <wp:positionV relativeFrom="paragraph">
                        <wp:posOffset>39370</wp:posOffset>
                      </wp:positionV>
                      <wp:extent cx="368300" cy="306705"/>
                      <wp:effectExtent l="0" t="0" r="0" b="0"/>
                      <wp:wrapNone/>
                      <wp:docPr id="23" name="Casella di testo 23"/>
                      <wp:cNvGraphicFramePr/>
                      <a:graphic xmlns:a="http://schemas.openxmlformats.org/drawingml/2006/main">
                        <a:graphicData uri="http://schemas.microsoft.com/office/word/2010/wordprocessingShape">
                          <wps:wsp>
                            <wps:cNvSpPr txBox="1"/>
                            <wps:spPr>
                              <a:xfrm>
                                <a:off x="0" y="0"/>
                                <a:ext cx="368300" cy="306705"/>
                              </a:xfrm>
                              <a:prstGeom prst="rect">
                                <a:avLst/>
                              </a:prstGeom>
                              <a:noFill/>
                              <a:ln w="6350">
                                <a:noFill/>
                              </a:ln>
                            </wps:spPr>
                            <wps:txbx>
                              <w:txbxContent>
                                <w:p w14:paraId="51FFE2BE" w14:textId="60E7780B" w:rsidR="000E53E0" w:rsidRPr="000E53E0" w:rsidRDefault="000E53E0" w:rsidP="000E53E0">
                                  <w:pPr>
                                    <w:rPr>
                                      <w:rFonts w:ascii="Times New Roman" w:hAnsi="Times New Roman" w:cs="Times New Roman"/>
                                    </w:rPr>
                                  </w:pPr>
                                  <w:r>
                                    <w:rPr>
                                      <w:rFonts w:ascii="Times New Roman" w:hAnsi="Times New Roman" w:cs="Times New Roman"/>
                                    </w:rPr>
                                    <w:t>b</w:t>
                                  </w:r>
                                  <w:r w:rsidRPr="000E53E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3E81" id="Casella di testo 23" o:spid="_x0000_s1029" type="#_x0000_t202" style="position:absolute;left:0;text-align:left;margin-left:26.4pt;margin-top:3.1pt;width:29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j5GQIAADI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" filled="f" stroked="f" strokeweight=".5pt">
                      <v:textbox>
                        <w:txbxContent>
                          <w:p w14:paraId="51FFE2BE" w14:textId="60E7780B" w:rsidR="000E53E0" w:rsidRPr="000E53E0" w:rsidRDefault="000E53E0" w:rsidP="000E53E0">
                            <w:pPr>
                              <w:rPr>
                                <w:rFonts w:ascii="Times New Roman" w:hAnsi="Times New Roman" w:cs="Times New Roman"/>
                              </w:rPr>
                            </w:pPr>
                            <w:r>
                              <w:rPr>
                                <w:rFonts w:ascii="Times New Roman" w:hAnsi="Times New Roman" w:cs="Times New Roman"/>
                              </w:rPr>
                              <w:t>b</w:t>
                            </w:r>
                            <w:r w:rsidRPr="000E53E0">
                              <w:rPr>
                                <w:rFonts w:ascii="Times New Roman" w:hAnsi="Times New Roman" w:cs="Times New Roman"/>
                              </w:rPr>
                              <w:t>)</w:t>
                            </w:r>
                          </w:p>
                        </w:txbxContent>
                      </v:textbox>
                    </v:shape>
                  </w:pict>
                </mc:Fallback>
              </mc:AlternateContent>
            </w:r>
            <w:r w:rsidR="00776F08">
              <w:object w:dxaOrig="8820" w:dyaOrig="7171" w14:anchorId="727FCFE6">
                <v:shape id="_x0000_i1026" type="#_x0000_t75" style="width:144.7pt;height:117.5pt" o:ole="">
                  <v:imagedata r:id="rId12" o:title=""/>
                </v:shape>
                <o:OLEObject Type="Embed" ProgID="SigmaPlotGraphicObject.11" ShapeID="_x0000_i1026" DrawAspect="Content" ObjectID="_1709396135" r:id="rId13"/>
              </w:object>
            </w:r>
          </w:p>
        </w:tc>
        <w:tc>
          <w:tcPr>
            <w:tcW w:w="3273" w:type="dxa"/>
          </w:tcPr>
          <w:p w14:paraId="050CE67B" w14:textId="1A7AA007" w:rsidR="004D7FD0" w:rsidRDefault="000E53E0" w:rsidP="00987184">
            <w:pPr>
              <w:keepNext/>
              <w:snapToGrid w:val="0"/>
              <w:spacing w:before="240" w:after="120" w:line="276" w:lineRule="auto"/>
              <w:jc w:val="right"/>
              <w:rPr>
                <w:rFonts w:ascii="Times New Roman" w:eastAsia="MS PGothic" w:hAnsi="Times New Roman"/>
                <w:lang w:val="en-US"/>
              </w:rPr>
            </w:pPr>
            <w:r>
              <w:rPr>
                <w:noProof/>
              </w:rPr>
              <mc:AlternateContent>
                <mc:Choice Requires="wps">
                  <w:drawing>
                    <wp:anchor distT="0" distB="0" distL="114300" distR="114300" simplePos="0" relativeHeight="251666432" behindDoc="0" locked="0" layoutInCell="1" allowOverlap="1" wp14:anchorId="04E35C8D" wp14:editId="29039D2C">
                      <wp:simplePos x="0" y="0"/>
                      <wp:positionH relativeFrom="column">
                        <wp:posOffset>347034</wp:posOffset>
                      </wp:positionH>
                      <wp:positionV relativeFrom="paragraph">
                        <wp:posOffset>46559</wp:posOffset>
                      </wp:positionV>
                      <wp:extent cx="368490" cy="307075"/>
                      <wp:effectExtent l="0" t="0" r="0" b="0"/>
                      <wp:wrapNone/>
                      <wp:docPr id="24" name="Casella di testo 24"/>
                      <wp:cNvGraphicFramePr/>
                      <a:graphic xmlns:a="http://schemas.openxmlformats.org/drawingml/2006/main">
                        <a:graphicData uri="http://schemas.microsoft.com/office/word/2010/wordprocessingShape">
                          <wps:wsp>
                            <wps:cNvSpPr txBox="1"/>
                            <wps:spPr>
                              <a:xfrm>
                                <a:off x="0" y="0"/>
                                <a:ext cx="368490" cy="307075"/>
                              </a:xfrm>
                              <a:prstGeom prst="rect">
                                <a:avLst/>
                              </a:prstGeom>
                              <a:noFill/>
                              <a:ln w="6350">
                                <a:noFill/>
                              </a:ln>
                            </wps:spPr>
                            <wps:txbx>
                              <w:txbxContent>
                                <w:p w14:paraId="475A1F2D" w14:textId="7D1D33D1" w:rsidR="000E53E0" w:rsidRPr="000E53E0" w:rsidRDefault="000E53E0" w:rsidP="000E53E0">
                                  <w:pPr>
                                    <w:rPr>
                                      <w:rFonts w:ascii="Times New Roman" w:hAnsi="Times New Roman" w:cs="Times New Roman"/>
                                    </w:rPr>
                                  </w:pPr>
                                  <w:r>
                                    <w:rPr>
                                      <w:rFonts w:ascii="Times New Roman" w:hAnsi="Times New Roman" w:cs="Times New Roman"/>
                                    </w:rPr>
                                    <w:t>c</w:t>
                                  </w:r>
                                  <w:r w:rsidRPr="000E53E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35C8D" id="Casella di testo 24" o:spid="_x0000_s1030" type="#_x0000_t202" style="position:absolute;left:0;text-align:left;margin-left:27.35pt;margin-top:3.65pt;width:29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2UGgIAADI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" filled="f" stroked="f" strokeweight=".5pt">
                      <v:textbox>
                        <w:txbxContent>
                          <w:p w14:paraId="475A1F2D" w14:textId="7D1D33D1" w:rsidR="000E53E0" w:rsidRPr="000E53E0" w:rsidRDefault="000E53E0" w:rsidP="000E53E0">
                            <w:pPr>
                              <w:rPr>
                                <w:rFonts w:ascii="Times New Roman" w:hAnsi="Times New Roman" w:cs="Times New Roman"/>
                              </w:rPr>
                            </w:pPr>
                            <w:r>
                              <w:rPr>
                                <w:rFonts w:ascii="Times New Roman" w:hAnsi="Times New Roman" w:cs="Times New Roman"/>
                              </w:rPr>
                              <w:t>c</w:t>
                            </w:r>
                            <w:r w:rsidRPr="000E53E0">
                              <w:rPr>
                                <w:rFonts w:ascii="Times New Roman" w:hAnsi="Times New Roman" w:cs="Times New Roman"/>
                              </w:rPr>
                              <w:t>)</w:t>
                            </w:r>
                          </w:p>
                        </w:txbxContent>
                      </v:textbox>
                    </v:shape>
                  </w:pict>
                </mc:Fallback>
              </mc:AlternateContent>
            </w:r>
            <w:r>
              <w:object w:dxaOrig="8820" w:dyaOrig="6871" w14:anchorId="0A47164E">
                <v:shape id="_x0000_i1027" type="#_x0000_t75" style="width:147.4pt;height:118.2pt" o:ole="">
                  <v:imagedata r:id="rId14" o:title=""/>
                </v:shape>
                <o:OLEObject Type="Embed" ProgID="SigmaPlotGraphicObject.11" ShapeID="_x0000_i1027" DrawAspect="Content" ObjectID="_1709396136" r:id="rId15"/>
              </w:object>
            </w:r>
          </w:p>
        </w:tc>
      </w:tr>
    </w:tbl>
    <w:p w14:paraId="1C9001D5" w14:textId="2EC9D512" w:rsidR="001A7BBF" w:rsidRDefault="000E53E0" w:rsidP="006C26C7">
      <w:pPr>
        <w:pStyle w:val="Didascalia"/>
        <w:rPr>
          <w:rFonts w:ascii="Times New Roman" w:hAnsi="Times New Roman" w:cs="Times New Roman"/>
          <w:i w:val="0"/>
          <w:iCs w:val="0"/>
          <w:color w:val="auto"/>
          <w:lang w:val="en-US"/>
        </w:rPr>
      </w:pPr>
      <w:r w:rsidRPr="000E53E0">
        <w:rPr>
          <w:rFonts w:ascii="Times New Roman" w:hAnsi="Times New Roman" w:cs="Times New Roman"/>
          <w:b/>
          <w:bCs/>
          <w:i w:val="0"/>
          <w:iCs w:val="0"/>
          <w:color w:val="auto"/>
          <w:lang w:val="en-US"/>
        </w:rPr>
        <w:t xml:space="preserve">Figure </w:t>
      </w:r>
      <w:r w:rsidRPr="000E53E0">
        <w:rPr>
          <w:rFonts w:ascii="Times New Roman" w:hAnsi="Times New Roman" w:cs="Times New Roman"/>
          <w:b/>
          <w:bCs/>
          <w:i w:val="0"/>
          <w:iCs w:val="0"/>
          <w:color w:val="auto"/>
        </w:rPr>
        <w:fldChar w:fldCharType="begin"/>
      </w:r>
      <w:r w:rsidRPr="000E53E0">
        <w:rPr>
          <w:rFonts w:ascii="Times New Roman" w:hAnsi="Times New Roman" w:cs="Times New Roman"/>
          <w:b/>
          <w:bCs/>
          <w:i w:val="0"/>
          <w:iCs w:val="0"/>
          <w:color w:val="auto"/>
          <w:lang w:val="en-US"/>
        </w:rPr>
        <w:instrText xml:space="preserve"> SEQ Figure \* ARABIC </w:instrText>
      </w:r>
      <w:r w:rsidRPr="000E53E0">
        <w:rPr>
          <w:rFonts w:ascii="Times New Roman" w:hAnsi="Times New Roman" w:cs="Times New Roman"/>
          <w:b/>
          <w:bCs/>
          <w:i w:val="0"/>
          <w:iCs w:val="0"/>
          <w:color w:val="auto"/>
        </w:rPr>
        <w:fldChar w:fldCharType="separate"/>
      </w:r>
      <w:r w:rsidR="00A41CA9">
        <w:rPr>
          <w:rFonts w:ascii="Times New Roman" w:hAnsi="Times New Roman" w:cs="Times New Roman"/>
          <w:b/>
          <w:bCs/>
          <w:i w:val="0"/>
          <w:iCs w:val="0"/>
          <w:noProof/>
          <w:color w:val="auto"/>
          <w:lang w:val="en-US"/>
        </w:rPr>
        <w:t>2</w:t>
      </w:r>
      <w:r w:rsidRPr="000E53E0">
        <w:rPr>
          <w:rFonts w:ascii="Times New Roman" w:hAnsi="Times New Roman" w:cs="Times New Roman"/>
          <w:b/>
          <w:bCs/>
          <w:i w:val="0"/>
          <w:iCs w:val="0"/>
          <w:color w:val="auto"/>
        </w:rPr>
        <w:fldChar w:fldCharType="end"/>
      </w:r>
      <w:r w:rsidRPr="000E53E0">
        <w:rPr>
          <w:rFonts w:ascii="Times New Roman" w:hAnsi="Times New Roman" w:cs="Times New Roman"/>
          <w:b/>
          <w:bCs/>
          <w:i w:val="0"/>
          <w:iCs w:val="0"/>
          <w:color w:val="auto"/>
          <w:lang w:val="en-US"/>
        </w:rPr>
        <w:t>.</w:t>
      </w:r>
      <w:r w:rsidRPr="000E53E0">
        <w:rPr>
          <w:rFonts w:ascii="Times New Roman" w:hAnsi="Times New Roman" w:cs="Times New Roman"/>
          <w:i w:val="0"/>
          <w:iCs w:val="0"/>
          <w:color w:val="auto"/>
          <w:lang w:val="en-US"/>
        </w:rPr>
        <w:t xml:space="preserve"> Breaktrough curve (a) and flushing curves </w:t>
      </w:r>
      <w:r w:rsidR="00624C2F">
        <w:rPr>
          <w:rFonts w:ascii="Times New Roman" w:hAnsi="Times New Roman" w:cs="Times New Roman"/>
          <w:i w:val="0"/>
          <w:iCs w:val="0"/>
          <w:color w:val="auto"/>
          <w:lang w:val="en-US"/>
        </w:rPr>
        <w:t>using</w:t>
      </w:r>
      <w:r w:rsidRPr="000E53E0">
        <w:rPr>
          <w:rFonts w:ascii="Times New Roman" w:hAnsi="Times New Roman" w:cs="Times New Roman"/>
          <w:i w:val="0"/>
          <w:iCs w:val="0"/>
          <w:color w:val="auto"/>
          <w:lang w:val="en-US"/>
        </w:rPr>
        <w:t xml:space="preserve"> surfactant (b) or water (c)</w:t>
      </w:r>
      <w:r w:rsidR="00624C2F">
        <w:rPr>
          <w:rFonts w:ascii="Times New Roman" w:hAnsi="Times New Roman" w:cs="Times New Roman"/>
          <w:i w:val="0"/>
          <w:iCs w:val="0"/>
          <w:color w:val="auto"/>
          <w:lang w:val="en-US"/>
        </w:rPr>
        <w:t xml:space="preserve"> as mobilizing agent</w:t>
      </w:r>
    </w:p>
    <w:p w14:paraId="7F630DCB" w14:textId="0BC0A693" w:rsidR="005B36EA" w:rsidRDefault="005B36EA" w:rsidP="00E60F87">
      <w:pPr>
        <w:spacing w:after="0" w:line="276" w:lineRule="auto"/>
        <w:rPr>
          <w:rFonts w:ascii="Times New Roman" w:hAnsi="Times New Roman" w:cs="Times New Roman"/>
          <w:lang w:val="en-US"/>
        </w:rPr>
      </w:pPr>
      <w:r>
        <w:rPr>
          <w:rFonts w:ascii="Times New Roman" w:hAnsi="Times New Roman" w:cs="Times New Roman"/>
          <w:lang w:val="en-US"/>
        </w:rPr>
        <w:t xml:space="preserve">All </w:t>
      </w:r>
      <w:r w:rsidR="0033481F">
        <w:rPr>
          <w:rFonts w:ascii="Times New Roman" w:hAnsi="Times New Roman" w:cs="Times New Roman"/>
          <w:lang w:val="en-US"/>
        </w:rPr>
        <w:t>obtained results</w:t>
      </w:r>
      <w:r>
        <w:rPr>
          <w:rFonts w:ascii="Times New Roman" w:hAnsi="Times New Roman" w:cs="Times New Roman"/>
          <w:lang w:val="en-US"/>
        </w:rPr>
        <w:t xml:space="preserve"> from continuous test</w:t>
      </w:r>
      <w:r w:rsidR="0033481F">
        <w:rPr>
          <w:rFonts w:ascii="Times New Roman" w:hAnsi="Times New Roman" w:cs="Times New Roman"/>
          <w:lang w:val="en-US"/>
        </w:rPr>
        <w:t xml:space="preserve">, in terms of </w:t>
      </w:r>
      <w:r w:rsidR="00C545A8">
        <w:rPr>
          <w:rFonts w:ascii="Times New Roman" w:hAnsi="Times New Roman" w:cs="Times New Roman"/>
          <w:lang w:val="en-US"/>
        </w:rPr>
        <w:t>flu</w:t>
      </w:r>
      <w:r w:rsidR="00852A47">
        <w:rPr>
          <w:rFonts w:ascii="Times New Roman" w:hAnsi="Times New Roman" w:cs="Times New Roman"/>
          <w:lang w:val="en-US"/>
        </w:rPr>
        <w:t>i</w:t>
      </w:r>
      <w:r w:rsidR="00C545A8">
        <w:rPr>
          <w:rFonts w:ascii="Times New Roman" w:hAnsi="Times New Roman" w:cs="Times New Roman"/>
          <w:lang w:val="en-US"/>
        </w:rPr>
        <w:t>d</w:t>
      </w:r>
      <w:r w:rsidR="00852A47">
        <w:rPr>
          <w:rFonts w:ascii="Times New Roman" w:hAnsi="Times New Roman" w:cs="Times New Roman"/>
          <w:lang w:val="en-US"/>
        </w:rPr>
        <w:t>-</w:t>
      </w:r>
      <w:r w:rsidR="00C545A8">
        <w:rPr>
          <w:rFonts w:ascii="Times New Roman" w:hAnsi="Times New Roman" w:cs="Times New Roman"/>
          <w:lang w:val="en-US"/>
        </w:rPr>
        <w:t>d</w:t>
      </w:r>
      <w:r w:rsidR="00852A47">
        <w:rPr>
          <w:rFonts w:ascii="Times New Roman" w:hAnsi="Times New Roman" w:cs="Times New Roman"/>
          <w:lang w:val="en-US"/>
        </w:rPr>
        <w:t>y</w:t>
      </w:r>
      <w:r w:rsidR="00C545A8">
        <w:rPr>
          <w:rFonts w:ascii="Times New Roman" w:hAnsi="Times New Roman" w:cs="Times New Roman"/>
          <w:lang w:val="en-US"/>
        </w:rPr>
        <w:t xml:space="preserve">namic parameters </w:t>
      </w:r>
      <w:r w:rsidR="0033481F">
        <w:rPr>
          <w:rFonts w:ascii="Times New Roman" w:hAnsi="Times New Roman" w:cs="Times New Roman"/>
          <w:lang w:val="en-US"/>
        </w:rPr>
        <w:t>pore volume needed for both process phases, the total amount of adsorbed and mobilized contaminant and yield of removal</w:t>
      </w:r>
      <w:r>
        <w:rPr>
          <w:rFonts w:ascii="Times New Roman" w:hAnsi="Times New Roman" w:cs="Times New Roman"/>
          <w:lang w:val="en-US"/>
        </w:rPr>
        <w:t>,</w:t>
      </w:r>
      <w:r w:rsidR="0033481F">
        <w:rPr>
          <w:rFonts w:ascii="Times New Roman" w:hAnsi="Times New Roman" w:cs="Times New Roman"/>
          <w:lang w:val="en-US"/>
        </w:rPr>
        <w:t xml:space="preserve"> are summarized in Table 2. </w:t>
      </w:r>
    </w:p>
    <w:p w14:paraId="36A33B53" w14:textId="2F27A357" w:rsidR="005C3F6D" w:rsidRDefault="005C3F6D" w:rsidP="005B36EA">
      <w:pPr>
        <w:spacing w:after="0"/>
        <w:rPr>
          <w:rFonts w:ascii="Times New Roman" w:hAnsi="Times New Roman" w:cs="Times New Roman"/>
          <w:lang w:val="en-US"/>
        </w:rPr>
      </w:pPr>
    </w:p>
    <w:p w14:paraId="3C53A359" w14:textId="116D1BE6" w:rsidR="00C77C51" w:rsidRPr="00C77C51" w:rsidRDefault="00C77C51" w:rsidP="00C77C51">
      <w:pPr>
        <w:pStyle w:val="Didascalia"/>
        <w:keepNext/>
        <w:rPr>
          <w:rFonts w:ascii="Times New Roman" w:hAnsi="Times New Roman" w:cs="Times New Roman"/>
          <w:i w:val="0"/>
          <w:iCs w:val="0"/>
          <w:color w:val="auto"/>
          <w:lang w:val="en-US"/>
        </w:rPr>
      </w:pPr>
      <w:r w:rsidRPr="00C77C51">
        <w:rPr>
          <w:rFonts w:ascii="Times New Roman" w:hAnsi="Times New Roman" w:cs="Times New Roman"/>
          <w:b/>
          <w:bCs/>
          <w:i w:val="0"/>
          <w:iCs w:val="0"/>
          <w:color w:val="auto"/>
          <w:lang w:val="en-US"/>
        </w:rPr>
        <w:t xml:space="preserve">Table </w:t>
      </w:r>
      <w:r w:rsidRPr="00C77C51">
        <w:rPr>
          <w:rFonts w:ascii="Times New Roman" w:hAnsi="Times New Roman" w:cs="Times New Roman"/>
          <w:b/>
          <w:bCs/>
          <w:i w:val="0"/>
          <w:iCs w:val="0"/>
          <w:color w:val="auto"/>
        </w:rPr>
        <w:fldChar w:fldCharType="begin"/>
      </w:r>
      <w:r w:rsidRPr="00C77C51">
        <w:rPr>
          <w:rFonts w:ascii="Times New Roman" w:hAnsi="Times New Roman" w:cs="Times New Roman"/>
          <w:b/>
          <w:bCs/>
          <w:i w:val="0"/>
          <w:iCs w:val="0"/>
          <w:color w:val="auto"/>
          <w:lang w:val="en-US"/>
        </w:rPr>
        <w:instrText xml:space="preserve"> SEQ Table \* ARABIC </w:instrText>
      </w:r>
      <w:r w:rsidRPr="00C77C51">
        <w:rPr>
          <w:rFonts w:ascii="Times New Roman" w:hAnsi="Times New Roman" w:cs="Times New Roman"/>
          <w:b/>
          <w:bCs/>
          <w:i w:val="0"/>
          <w:iCs w:val="0"/>
          <w:color w:val="auto"/>
        </w:rPr>
        <w:fldChar w:fldCharType="separate"/>
      </w:r>
      <w:r w:rsidR="00A41CA9">
        <w:rPr>
          <w:rFonts w:ascii="Times New Roman" w:hAnsi="Times New Roman" w:cs="Times New Roman"/>
          <w:b/>
          <w:bCs/>
          <w:i w:val="0"/>
          <w:iCs w:val="0"/>
          <w:noProof/>
          <w:color w:val="auto"/>
          <w:lang w:val="en-US"/>
        </w:rPr>
        <w:t>2</w:t>
      </w:r>
      <w:r w:rsidRPr="00C77C51">
        <w:rPr>
          <w:rFonts w:ascii="Times New Roman" w:hAnsi="Times New Roman" w:cs="Times New Roman"/>
          <w:b/>
          <w:bCs/>
          <w:i w:val="0"/>
          <w:iCs w:val="0"/>
          <w:color w:val="auto"/>
        </w:rPr>
        <w:fldChar w:fldCharType="end"/>
      </w:r>
      <w:r w:rsidRPr="00C77C51">
        <w:rPr>
          <w:rFonts w:ascii="Times New Roman" w:hAnsi="Times New Roman" w:cs="Times New Roman"/>
          <w:b/>
          <w:bCs/>
          <w:i w:val="0"/>
          <w:iCs w:val="0"/>
          <w:color w:val="auto"/>
          <w:lang w:val="en-US"/>
        </w:rPr>
        <w:t>.</w:t>
      </w:r>
      <w:r w:rsidRPr="00C77C51">
        <w:rPr>
          <w:rFonts w:ascii="Times New Roman" w:hAnsi="Times New Roman" w:cs="Times New Roman"/>
          <w:i w:val="0"/>
          <w:iCs w:val="0"/>
          <w:color w:val="auto"/>
          <w:lang w:val="en-US"/>
        </w:rPr>
        <w:t xml:space="preserve"> Experimental results obtained from each set-up system</w:t>
      </w:r>
    </w:p>
    <w:tbl>
      <w:tblPr>
        <w:tblStyle w:val="Grigliatabella"/>
        <w:tblW w:w="9776" w:type="dxa"/>
        <w:tblInd w:w="5" w:type="dxa"/>
        <w:tblLayout w:type="fixed"/>
        <w:tblLook w:val="04A0" w:firstRow="1" w:lastRow="0" w:firstColumn="1" w:lastColumn="0" w:noHBand="0" w:noVBand="1"/>
      </w:tblPr>
      <w:tblGrid>
        <w:gridCol w:w="1696"/>
        <w:gridCol w:w="851"/>
        <w:gridCol w:w="850"/>
        <w:gridCol w:w="993"/>
        <w:gridCol w:w="1275"/>
        <w:gridCol w:w="993"/>
        <w:gridCol w:w="992"/>
        <w:gridCol w:w="1276"/>
        <w:gridCol w:w="850"/>
      </w:tblGrid>
      <w:tr w:rsidR="00FC319D" w14:paraId="54FA5775" w14:textId="6B046037" w:rsidTr="00C77C51">
        <w:trPr>
          <w:trHeight w:val="368"/>
        </w:trPr>
        <w:tc>
          <w:tcPr>
            <w:tcW w:w="3397" w:type="dxa"/>
            <w:gridSpan w:val="3"/>
            <w:tcBorders>
              <w:top w:val="nil"/>
              <w:left w:val="nil"/>
              <w:right w:val="single" w:sz="4" w:space="0" w:color="FFFFFF"/>
            </w:tcBorders>
          </w:tcPr>
          <w:p w14:paraId="1AA01AC7" w14:textId="77777777" w:rsidR="00FC319D" w:rsidRDefault="00FC319D" w:rsidP="005B36EA">
            <w:pPr>
              <w:rPr>
                <w:rFonts w:ascii="Times New Roman" w:hAnsi="Times New Roman" w:cs="Times New Roman"/>
                <w:lang w:val="en-US"/>
              </w:rPr>
            </w:pPr>
          </w:p>
        </w:tc>
        <w:tc>
          <w:tcPr>
            <w:tcW w:w="2268" w:type="dxa"/>
            <w:gridSpan w:val="2"/>
            <w:tcBorders>
              <w:left w:val="single" w:sz="4" w:space="0" w:color="FFFFFF"/>
            </w:tcBorders>
            <w:vAlign w:val="center"/>
          </w:tcPr>
          <w:p w14:paraId="4B328760" w14:textId="29B26B03" w:rsidR="00FC319D" w:rsidRDefault="00FC319D" w:rsidP="00FC319D">
            <w:pPr>
              <w:jc w:val="center"/>
              <w:rPr>
                <w:rFonts w:ascii="Times New Roman" w:hAnsi="Times New Roman" w:cs="Times New Roman"/>
                <w:lang w:val="en-US"/>
              </w:rPr>
            </w:pPr>
            <w:r>
              <w:rPr>
                <w:rFonts w:ascii="Times New Roman" w:hAnsi="Times New Roman" w:cs="Times New Roman"/>
                <w:lang w:val="en-US"/>
              </w:rPr>
              <w:t>Contamination Phase</w:t>
            </w:r>
          </w:p>
        </w:tc>
        <w:tc>
          <w:tcPr>
            <w:tcW w:w="4111" w:type="dxa"/>
            <w:gridSpan w:val="4"/>
            <w:tcBorders>
              <w:right w:val="single" w:sz="4" w:space="0" w:color="FFFFFF"/>
            </w:tcBorders>
            <w:vAlign w:val="center"/>
          </w:tcPr>
          <w:p w14:paraId="212CF687" w14:textId="3A794180" w:rsidR="00FC319D" w:rsidRDefault="00FC319D" w:rsidP="00FC319D">
            <w:pPr>
              <w:jc w:val="center"/>
              <w:rPr>
                <w:rFonts w:ascii="Times New Roman" w:hAnsi="Times New Roman" w:cs="Times New Roman"/>
                <w:lang w:val="en-US"/>
              </w:rPr>
            </w:pPr>
            <w:r>
              <w:rPr>
                <w:rFonts w:ascii="Times New Roman" w:hAnsi="Times New Roman" w:cs="Times New Roman"/>
                <w:lang w:val="en-US"/>
              </w:rPr>
              <w:t>Flushing Phase</w:t>
            </w:r>
          </w:p>
        </w:tc>
      </w:tr>
      <w:tr w:rsidR="00C545A8" w14:paraId="19A8D90F" w14:textId="751EBE91" w:rsidTr="00C77C51">
        <w:trPr>
          <w:trHeight w:val="865"/>
        </w:trPr>
        <w:tc>
          <w:tcPr>
            <w:tcW w:w="1696" w:type="dxa"/>
            <w:tcBorders>
              <w:left w:val="nil"/>
              <w:right w:val="single" w:sz="4" w:space="0" w:color="FFFFFF"/>
            </w:tcBorders>
            <w:vAlign w:val="center"/>
          </w:tcPr>
          <w:p w14:paraId="06DCCB98" w14:textId="3766466C" w:rsidR="00FC319D" w:rsidRPr="00C545A8" w:rsidRDefault="00FC319D" w:rsidP="00C545A8">
            <w:pPr>
              <w:rPr>
                <w:rFonts w:ascii="Times New Roman" w:hAnsi="Times New Roman" w:cs="Times New Roman"/>
                <w:b/>
                <w:bCs/>
                <w:lang w:val="en-US"/>
              </w:rPr>
            </w:pPr>
            <w:r w:rsidRPr="00C545A8">
              <w:rPr>
                <w:rFonts w:ascii="Times New Roman" w:hAnsi="Times New Roman" w:cs="Times New Roman"/>
                <w:b/>
                <w:bCs/>
                <w:lang w:val="en-US"/>
              </w:rPr>
              <w:t>Column</w:t>
            </w:r>
          </w:p>
        </w:tc>
        <w:tc>
          <w:tcPr>
            <w:tcW w:w="851" w:type="dxa"/>
            <w:tcBorders>
              <w:left w:val="single" w:sz="4" w:space="0" w:color="FFFFFF"/>
              <w:right w:val="single" w:sz="4" w:space="0" w:color="FFFFFF"/>
            </w:tcBorders>
            <w:vAlign w:val="center"/>
          </w:tcPr>
          <w:p w14:paraId="5F7B3CC4" w14:textId="2586A9AD" w:rsidR="00FC319D" w:rsidRPr="00C545A8" w:rsidRDefault="00FC319D" w:rsidP="00FC319D">
            <w:pPr>
              <w:jc w:val="center"/>
              <w:rPr>
                <w:rFonts w:ascii="Times New Roman" w:hAnsi="Times New Roman" w:cs="Times New Roman"/>
                <w:b/>
                <w:bCs/>
                <w:lang w:val="en-US"/>
              </w:rPr>
            </w:pPr>
            <w:r w:rsidRPr="00C545A8">
              <w:rPr>
                <w:rFonts w:ascii="Times New Roman" w:hAnsi="Times New Roman" w:cs="Times New Roman"/>
                <w:b/>
                <w:bCs/>
                <w:lang w:val="en-US"/>
              </w:rPr>
              <w:t>HRT (min)</w:t>
            </w:r>
          </w:p>
        </w:tc>
        <w:tc>
          <w:tcPr>
            <w:tcW w:w="850" w:type="dxa"/>
            <w:tcBorders>
              <w:left w:val="single" w:sz="4" w:space="0" w:color="FFFFFF"/>
              <w:right w:val="single" w:sz="4" w:space="0" w:color="FFFFFF"/>
            </w:tcBorders>
            <w:vAlign w:val="center"/>
          </w:tcPr>
          <w:p w14:paraId="15D70E09" w14:textId="47CA2ABB" w:rsidR="00FC319D" w:rsidRPr="00C545A8" w:rsidRDefault="00C545A8" w:rsidP="00FC319D">
            <w:pPr>
              <w:jc w:val="center"/>
              <w:rPr>
                <w:rFonts w:ascii="Times New Roman" w:hAnsi="Times New Roman" w:cs="Times New Roman"/>
                <w:b/>
                <w:bCs/>
                <w:lang w:val="en-US"/>
              </w:rPr>
            </w:pPr>
            <w:r w:rsidRPr="00C545A8">
              <w:rPr>
                <w:rFonts w:ascii="Times New Roman" w:eastAsia="MS PGothic" w:hAnsi="Times New Roman" w:cs="Times New Roman"/>
                <w:b/>
                <w:bCs/>
                <w:lang w:val="en-US"/>
              </w:rPr>
              <w:t>ε</w:t>
            </w:r>
            <w:r w:rsidR="00FC319D" w:rsidRPr="00C545A8">
              <w:rPr>
                <w:rFonts w:ascii="Times New Roman" w:hAnsi="Times New Roman" w:cs="Times New Roman"/>
                <w:b/>
                <w:bCs/>
                <w:lang w:val="en-US"/>
              </w:rPr>
              <w:t xml:space="preserve"> (%)</w:t>
            </w:r>
          </w:p>
        </w:tc>
        <w:tc>
          <w:tcPr>
            <w:tcW w:w="993" w:type="dxa"/>
            <w:tcBorders>
              <w:left w:val="single" w:sz="4" w:space="0" w:color="FFFFFF"/>
              <w:right w:val="single" w:sz="4" w:space="0" w:color="FFFFFF"/>
            </w:tcBorders>
            <w:vAlign w:val="center"/>
          </w:tcPr>
          <w:p w14:paraId="76423925" w14:textId="18D8A711" w:rsidR="00FC319D" w:rsidRPr="00C545A8" w:rsidRDefault="00FC319D" w:rsidP="00FC319D">
            <w:pPr>
              <w:jc w:val="center"/>
              <w:rPr>
                <w:rFonts w:ascii="Times New Roman" w:hAnsi="Times New Roman" w:cs="Times New Roman"/>
                <w:b/>
                <w:bCs/>
                <w:lang w:val="en-US"/>
              </w:rPr>
            </w:pPr>
            <w:r w:rsidRPr="00C545A8">
              <w:rPr>
                <w:rFonts w:ascii="Times New Roman" w:hAnsi="Times New Roman" w:cs="Times New Roman"/>
                <w:b/>
                <w:bCs/>
                <w:lang w:val="en-US"/>
              </w:rPr>
              <w:t>Pore Volume</w:t>
            </w:r>
          </w:p>
        </w:tc>
        <w:tc>
          <w:tcPr>
            <w:tcW w:w="1275" w:type="dxa"/>
            <w:tcBorders>
              <w:left w:val="single" w:sz="4" w:space="0" w:color="FFFFFF"/>
            </w:tcBorders>
            <w:vAlign w:val="center"/>
          </w:tcPr>
          <w:p w14:paraId="65974463" w14:textId="44825367" w:rsidR="00FC319D" w:rsidRPr="00C545A8" w:rsidRDefault="00FC319D" w:rsidP="00FC319D">
            <w:pPr>
              <w:jc w:val="center"/>
              <w:rPr>
                <w:rFonts w:ascii="Times New Roman" w:hAnsi="Times New Roman" w:cs="Times New Roman"/>
                <w:b/>
                <w:bCs/>
                <w:lang w:val="en-US"/>
              </w:rPr>
            </w:pPr>
            <w:r w:rsidRPr="00C545A8">
              <w:rPr>
                <w:rFonts w:ascii="Times New Roman" w:hAnsi="Times New Roman" w:cs="Times New Roman"/>
                <w:b/>
                <w:bCs/>
                <w:lang w:val="en-US"/>
              </w:rPr>
              <w:t>Adsorbed mg</w:t>
            </w:r>
          </w:p>
        </w:tc>
        <w:tc>
          <w:tcPr>
            <w:tcW w:w="993" w:type="dxa"/>
            <w:tcBorders>
              <w:right w:val="single" w:sz="4" w:space="0" w:color="FFFFFF"/>
            </w:tcBorders>
            <w:vAlign w:val="center"/>
          </w:tcPr>
          <w:p w14:paraId="77278538" w14:textId="49271889" w:rsidR="00FC319D" w:rsidRPr="00C545A8" w:rsidRDefault="00FC319D" w:rsidP="00FC319D">
            <w:pPr>
              <w:jc w:val="center"/>
              <w:rPr>
                <w:rFonts w:ascii="Times New Roman" w:hAnsi="Times New Roman" w:cs="Times New Roman"/>
                <w:b/>
                <w:bCs/>
                <w:lang w:val="en-US"/>
              </w:rPr>
            </w:pPr>
            <w:r w:rsidRPr="00C545A8">
              <w:rPr>
                <w:rFonts w:ascii="Times New Roman" w:hAnsi="Times New Roman" w:cs="Times New Roman"/>
                <w:b/>
                <w:bCs/>
                <w:lang w:val="en-US"/>
              </w:rPr>
              <w:t>Pore Volume</w:t>
            </w:r>
          </w:p>
        </w:tc>
        <w:tc>
          <w:tcPr>
            <w:tcW w:w="992" w:type="dxa"/>
            <w:tcBorders>
              <w:left w:val="single" w:sz="4" w:space="0" w:color="FFFFFF"/>
              <w:right w:val="single" w:sz="4" w:space="0" w:color="FFFFFF"/>
            </w:tcBorders>
            <w:vAlign w:val="center"/>
          </w:tcPr>
          <w:p w14:paraId="1459833A" w14:textId="431CB981" w:rsidR="00FC319D" w:rsidRPr="00C545A8" w:rsidRDefault="00FC319D" w:rsidP="00FC319D">
            <w:pPr>
              <w:jc w:val="center"/>
              <w:rPr>
                <w:rFonts w:ascii="Times New Roman" w:hAnsi="Times New Roman" w:cs="Times New Roman"/>
                <w:b/>
                <w:bCs/>
                <w:lang w:val="en-US"/>
              </w:rPr>
            </w:pPr>
            <w:r w:rsidRPr="00C545A8">
              <w:rPr>
                <w:rFonts w:ascii="Times New Roman" w:hAnsi="Times New Roman" w:cs="Times New Roman"/>
                <w:b/>
                <w:bCs/>
                <w:lang w:val="en-US"/>
              </w:rPr>
              <w:t>C</w:t>
            </w:r>
            <w:r w:rsidRPr="00C545A8">
              <w:rPr>
                <w:rFonts w:ascii="Times New Roman" w:hAnsi="Times New Roman" w:cs="Times New Roman"/>
                <w:b/>
                <w:bCs/>
                <w:vertAlign w:val="subscript"/>
                <w:lang w:val="en-US"/>
              </w:rPr>
              <w:t>out</w:t>
            </w:r>
            <w:r w:rsidRPr="00C545A8">
              <w:rPr>
                <w:rFonts w:ascii="Times New Roman" w:hAnsi="Times New Roman" w:cs="Times New Roman"/>
                <w:b/>
                <w:bCs/>
                <w:lang w:val="en-US"/>
              </w:rPr>
              <w:t xml:space="preserve"> max</w:t>
            </w:r>
          </w:p>
          <w:p w14:paraId="422EADD4" w14:textId="3B1449A1" w:rsidR="00FC319D" w:rsidRPr="00C545A8" w:rsidRDefault="00FC319D" w:rsidP="00FC319D">
            <w:pPr>
              <w:jc w:val="center"/>
              <w:rPr>
                <w:rFonts w:ascii="Times New Roman" w:hAnsi="Times New Roman" w:cs="Times New Roman"/>
                <w:b/>
                <w:bCs/>
                <w:lang w:val="en-US"/>
              </w:rPr>
            </w:pPr>
            <w:r w:rsidRPr="00C545A8">
              <w:rPr>
                <w:rFonts w:ascii="Times New Roman" w:hAnsi="Times New Roman" w:cs="Times New Roman"/>
                <w:b/>
                <w:bCs/>
                <w:lang w:val="en-US"/>
              </w:rPr>
              <w:t>(</w:t>
            </w:r>
            <w:proofErr w:type="gramStart"/>
            <w:r w:rsidRPr="00C545A8">
              <w:rPr>
                <w:rFonts w:ascii="Times New Roman" w:hAnsi="Times New Roman" w:cs="Times New Roman"/>
                <w:b/>
                <w:bCs/>
                <w:lang w:val="en-US"/>
              </w:rPr>
              <w:t>mg</w:t>
            </w:r>
            <w:proofErr w:type="gramEnd"/>
            <w:r w:rsidRPr="00C545A8">
              <w:rPr>
                <w:rFonts w:ascii="Times New Roman" w:hAnsi="Times New Roman" w:cs="Times New Roman"/>
                <w:b/>
                <w:bCs/>
                <w:lang w:val="en-US"/>
              </w:rPr>
              <w:t xml:space="preserve"> L</w:t>
            </w:r>
            <w:r w:rsidRPr="00C545A8">
              <w:rPr>
                <w:rFonts w:ascii="Times New Roman" w:hAnsi="Times New Roman" w:cs="Times New Roman"/>
                <w:b/>
                <w:bCs/>
                <w:vertAlign w:val="superscript"/>
                <w:lang w:val="en-US"/>
              </w:rPr>
              <w:t>-1</w:t>
            </w:r>
            <w:r w:rsidRPr="00C545A8">
              <w:rPr>
                <w:rFonts w:ascii="Times New Roman" w:hAnsi="Times New Roman" w:cs="Times New Roman"/>
                <w:b/>
                <w:bCs/>
                <w:lang w:val="en-US"/>
              </w:rPr>
              <w:t>)</w:t>
            </w:r>
          </w:p>
        </w:tc>
        <w:tc>
          <w:tcPr>
            <w:tcW w:w="1276" w:type="dxa"/>
            <w:tcBorders>
              <w:left w:val="single" w:sz="4" w:space="0" w:color="FFFFFF"/>
              <w:right w:val="single" w:sz="4" w:space="0" w:color="FFFFFF"/>
            </w:tcBorders>
            <w:vAlign w:val="center"/>
          </w:tcPr>
          <w:p w14:paraId="13CF7ADB" w14:textId="2AC78C2D" w:rsidR="00FC319D" w:rsidRPr="00C545A8" w:rsidRDefault="00FC319D" w:rsidP="00FC319D">
            <w:pPr>
              <w:jc w:val="center"/>
              <w:rPr>
                <w:rFonts w:ascii="Times New Roman" w:hAnsi="Times New Roman" w:cs="Times New Roman"/>
                <w:b/>
                <w:bCs/>
                <w:lang w:val="en-US"/>
              </w:rPr>
            </w:pPr>
            <w:r w:rsidRPr="00C545A8">
              <w:rPr>
                <w:rFonts w:ascii="Times New Roman" w:hAnsi="Times New Roman" w:cs="Times New Roman"/>
                <w:b/>
                <w:bCs/>
                <w:lang w:val="en-US"/>
              </w:rPr>
              <w:t>Mobilized mg</w:t>
            </w:r>
          </w:p>
        </w:tc>
        <w:tc>
          <w:tcPr>
            <w:tcW w:w="850" w:type="dxa"/>
            <w:tcBorders>
              <w:left w:val="single" w:sz="4" w:space="0" w:color="FFFFFF"/>
              <w:right w:val="nil"/>
            </w:tcBorders>
            <w:vAlign w:val="center"/>
          </w:tcPr>
          <w:p w14:paraId="6F6A9F35" w14:textId="78F40442" w:rsidR="00FC319D" w:rsidRPr="00C545A8" w:rsidRDefault="00FC319D" w:rsidP="00FC319D">
            <w:pPr>
              <w:jc w:val="center"/>
              <w:rPr>
                <w:rFonts w:ascii="Times New Roman" w:hAnsi="Times New Roman" w:cs="Times New Roman"/>
                <w:b/>
                <w:bCs/>
                <w:lang w:val="en-US"/>
              </w:rPr>
            </w:pPr>
            <w:r w:rsidRPr="00C545A8">
              <w:rPr>
                <w:rFonts w:ascii="Times New Roman" w:hAnsi="Times New Roman" w:cs="Times New Roman"/>
                <w:b/>
                <w:bCs/>
                <w:lang w:val="en-US"/>
              </w:rPr>
              <w:t>Yield (%)</w:t>
            </w:r>
          </w:p>
        </w:tc>
      </w:tr>
      <w:tr w:rsidR="00C545A8" w14:paraId="45DA8D2F" w14:textId="06A936BC" w:rsidTr="00C77C51">
        <w:trPr>
          <w:trHeight w:val="340"/>
        </w:trPr>
        <w:tc>
          <w:tcPr>
            <w:tcW w:w="1696" w:type="dxa"/>
            <w:tcBorders>
              <w:left w:val="nil"/>
              <w:bottom w:val="single" w:sz="4" w:space="0" w:color="FFFFFF" w:themeColor="background1"/>
              <w:right w:val="single" w:sz="4" w:space="0" w:color="FFFFFF"/>
            </w:tcBorders>
            <w:vAlign w:val="center"/>
          </w:tcPr>
          <w:p w14:paraId="7D9BE272" w14:textId="4C407C29" w:rsidR="00FC319D" w:rsidRPr="00C545A8" w:rsidRDefault="00FC319D" w:rsidP="00C545A8">
            <w:pPr>
              <w:rPr>
                <w:rFonts w:ascii="Times New Roman" w:hAnsi="Times New Roman" w:cs="Times New Roman"/>
                <w:b/>
                <w:bCs/>
                <w:lang w:val="en-US"/>
              </w:rPr>
            </w:pPr>
            <w:r w:rsidRPr="00C545A8">
              <w:rPr>
                <w:rFonts w:ascii="Times New Roman" w:hAnsi="Times New Roman" w:cs="Times New Roman"/>
                <w:b/>
                <w:bCs/>
                <w:lang w:val="en-US"/>
              </w:rPr>
              <w:t>Toluene-APG</w:t>
            </w:r>
          </w:p>
        </w:tc>
        <w:tc>
          <w:tcPr>
            <w:tcW w:w="851" w:type="dxa"/>
            <w:tcBorders>
              <w:left w:val="single" w:sz="4" w:space="0" w:color="FFFFFF"/>
              <w:bottom w:val="single" w:sz="4" w:space="0" w:color="FFFFFF" w:themeColor="background1"/>
              <w:right w:val="single" w:sz="4" w:space="0" w:color="FFFFFF"/>
            </w:tcBorders>
            <w:vAlign w:val="center"/>
          </w:tcPr>
          <w:p w14:paraId="604B32FD" w14:textId="7C68B06B" w:rsidR="00FC319D" w:rsidRDefault="009A7C64" w:rsidP="00C545A8">
            <w:pPr>
              <w:jc w:val="center"/>
              <w:rPr>
                <w:rFonts w:ascii="Times New Roman" w:hAnsi="Times New Roman" w:cs="Times New Roman"/>
                <w:lang w:val="en-US"/>
              </w:rPr>
            </w:pPr>
            <w:r>
              <w:rPr>
                <w:rFonts w:ascii="Times New Roman" w:hAnsi="Times New Roman" w:cs="Times New Roman"/>
                <w:lang w:val="en-US"/>
              </w:rPr>
              <w:t>65</w:t>
            </w:r>
          </w:p>
        </w:tc>
        <w:tc>
          <w:tcPr>
            <w:tcW w:w="850" w:type="dxa"/>
            <w:tcBorders>
              <w:left w:val="single" w:sz="4" w:space="0" w:color="FFFFFF"/>
              <w:bottom w:val="single" w:sz="4" w:space="0" w:color="FFFFFF" w:themeColor="background1"/>
              <w:right w:val="single" w:sz="4" w:space="0" w:color="FFFFFF"/>
            </w:tcBorders>
            <w:vAlign w:val="center"/>
          </w:tcPr>
          <w:p w14:paraId="3FEFEC40" w14:textId="25DEEFAF" w:rsidR="00FC319D" w:rsidRDefault="009A7C64" w:rsidP="00C545A8">
            <w:pPr>
              <w:jc w:val="center"/>
              <w:rPr>
                <w:rFonts w:ascii="Times New Roman" w:hAnsi="Times New Roman" w:cs="Times New Roman"/>
                <w:lang w:val="en-US"/>
              </w:rPr>
            </w:pPr>
            <w:r>
              <w:rPr>
                <w:rFonts w:ascii="Times New Roman" w:hAnsi="Times New Roman" w:cs="Times New Roman"/>
                <w:lang w:val="en-US"/>
              </w:rPr>
              <w:t>57.5</w:t>
            </w:r>
          </w:p>
        </w:tc>
        <w:tc>
          <w:tcPr>
            <w:tcW w:w="993" w:type="dxa"/>
            <w:tcBorders>
              <w:left w:val="single" w:sz="4" w:space="0" w:color="FFFFFF"/>
              <w:bottom w:val="single" w:sz="4" w:space="0" w:color="FFFFFF" w:themeColor="background1"/>
              <w:right w:val="single" w:sz="4" w:space="0" w:color="FFFFFF"/>
            </w:tcBorders>
            <w:vAlign w:val="center"/>
          </w:tcPr>
          <w:p w14:paraId="72473301" w14:textId="52938D20" w:rsidR="00FC319D" w:rsidRDefault="009A7C64" w:rsidP="00C545A8">
            <w:pPr>
              <w:jc w:val="center"/>
              <w:rPr>
                <w:rFonts w:ascii="Times New Roman" w:hAnsi="Times New Roman" w:cs="Times New Roman"/>
                <w:lang w:val="en-US"/>
              </w:rPr>
            </w:pPr>
            <w:r>
              <w:rPr>
                <w:rFonts w:ascii="Times New Roman" w:hAnsi="Times New Roman" w:cs="Times New Roman"/>
                <w:lang w:val="en-US"/>
              </w:rPr>
              <w:t>145</w:t>
            </w:r>
          </w:p>
        </w:tc>
        <w:tc>
          <w:tcPr>
            <w:tcW w:w="1275" w:type="dxa"/>
            <w:tcBorders>
              <w:left w:val="single" w:sz="4" w:space="0" w:color="FFFFFF"/>
              <w:bottom w:val="single" w:sz="4" w:space="0" w:color="FFFFFF" w:themeColor="background1"/>
            </w:tcBorders>
            <w:vAlign w:val="center"/>
          </w:tcPr>
          <w:p w14:paraId="307CB2D0" w14:textId="19999C06" w:rsidR="00FC319D" w:rsidRDefault="009A7C64" w:rsidP="00C545A8">
            <w:pPr>
              <w:jc w:val="center"/>
              <w:rPr>
                <w:rFonts w:ascii="Times New Roman" w:hAnsi="Times New Roman" w:cs="Times New Roman"/>
                <w:lang w:val="en-US"/>
              </w:rPr>
            </w:pPr>
            <w:r>
              <w:rPr>
                <w:rFonts w:ascii="Times New Roman" w:hAnsi="Times New Roman" w:cs="Times New Roman"/>
                <w:lang w:val="en-US"/>
              </w:rPr>
              <w:t>296</w:t>
            </w:r>
          </w:p>
        </w:tc>
        <w:tc>
          <w:tcPr>
            <w:tcW w:w="993" w:type="dxa"/>
            <w:tcBorders>
              <w:bottom w:val="single" w:sz="4" w:space="0" w:color="FFFFFF" w:themeColor="background1"/>
              <w:right w:val="single" w:sz="4" w:space="0" w:color="FFFFFF"/>
            </w:tcBorders>
            <w:vAlign w:val="center"/>
          </w:tcPr>
          <w:p w14:paraId="3AE49C5F" w14:textId="58DABBDB" w:rsidR="00FC319D" w:rsidRDefault="009A7C64" w:rsidP="00C545A8">
            <w:pPr>
              <w:jc w:val="center"/>
              <w:rPr>
                <w:rFonts w:ascii="Times New Roman" w:hAnsi="Times New Roman" w:cs="Times New Roman"/>
                <w:lang w:val="en-US"/>
              </w:rPr>
            </w:pPr>
            <w:r>
              <w:rPr>
                <w:rFonts w:ascii="Times New Roman" w:hAnsi="Times New Roman" w:cs="Times New Roman"/>
                <w:lang w:val="en-US"/>
              </w:rPr>
              <w:t>150</w:t>
            </w:r>
          </w:p>
        </w:tc>
        <w:tc>
          <w:tcPr>
            <w:tcW w:w="992" w:type="dxa"/>
            <w:tcBorders>
              <w:left w:val="single" w:sz="4" w:space="0" w:color="FFFFFF"/>
              <w:bottom w:val="single" w:sz="4" w:space="0" w:color="FFFFFF" w:themeColor="background1"/>
              <w:right w:val="single" w:sz="4" w:space="0" w:color="FFFFFF"/>
            </w:tcBorders>
            <w:vAlign w:val="center"/>
          </w:tcPr>
          <w:p w14:paraId="6F4FB4F0" w14:textId="29EE9C5F" w:rsidR="00FC319D" w:rsidRDefault="009A7C64" w:rsidP="00C545A8">
            <w:pPr>
              <w:jc w:val="center"/>
              <w:rPr>
                <w:rFonts w:ascii="Times New Roman" w:hAnsi="Times New Roman" w:cs="Times New Roman"/>
                <w:lang w:val="en-US"/>
              </w:rPr>
            </w:pPr>
            <w:r>
              <w:rPr>
                <w:rFonts w:ascii="Times New Roman" w:hAnsi="Times New Roman" w:cs="Times New Roman"/>
                <w:lang w:val="en-US"/>
              </w:rPr>
              <w:t>238</w:t>
            </w:r>
          </w:p>
        </w:tc>
        <w:tc>
          <w:tcPr>
            <w:tcW w:w="1276" w:type="dxa"/>
            <w:tcBorders>
              <w:left w:val="single" w:sz="4" w:space="0" w:color="FFFFFF"/>
              <w:bottom w:val="single" w:sz="4" w:space="0" w:color="FFFFFF" w:themeColor="background1"/>
              <w:right w:val="single" w:sz="4" w:space="0" w:color="FFFFFF"/>
            </w:tcBorders>
            <w:vAlign w:val="center"/>
          </w:tcPr>
          <w:p w14:paraId="5FDD3F84" w14:textId="32E96E20" w:rsidR="00FC319D" w:rsidRDefault="009A7C64" w:rsidP="00C545A8">
            <w:pPr>
              <w:jc w:val="center"/>
              <w:rPr>
                <w:rFonts w:ascii="Times New Roman" w:hAnsi="Times New Roman" w:cs="Times New Roman"/>
                <w:lang w:val="en-US"/>
              </w:rPr>
            </w:pPr>
            <w:r>
              <w:rPr>
                <w:rFonts w:ascii="Times New Roman" w:hAnsi="Times New Roman" w:cs="Times New Roman"/>
                <w:lang w:val="en-US"/>
              </w:rPr>
              <w:t>204</w:t>
            </w:r>
          </w:p>
        </w:tc>
        <w:tc>
          <w:tcPr>
            <w:tcW w:w="850" w:type="dxa"/>
            <w:tcBorders>
              <w:left w:val="single" w:sz="4" w:space="0" w:color="FFFFFF"/>
              <w:bottom w:val="single" w:sz="4" w:space="0" w:color="FFFFFF" w:themeColor="background1"/>
              <w:right w:val="nil"/>
            </w:tcBorders>
            <w:vAlign w:val="center"/>
          </w:tcPr>
          <w:p w14:paraId="5EF3312F" w14:textId="2DA557FF" w:rsidR="00FC319D" w:rsidRDefault="009A7C64" w:rsidP="00C545A8">
            <w:pPr>
              <w:jc w:val="center"/>
              <w:rPr>
                <w:rFonts w:ascii="Times New Roman" w:hAnsi="Times New Roman" w:cs="Times New Roman"/>
                <w:lang w:val="en-US"/>
              </w:rPr>
            </w:pPr>
            <w:r>
              <w:rPr>
                <w:rFonts w:ascii="Times New Roman" w:hAnsi="Times New Roman" w:cs="Times New Roman"/>
                <w:lang w:val="en-US"/>
              </w:rPr>
              <w:t>69</w:t>
            </w:r>
          </w:p>
        </w:tc>
      </w:tr>
      <w:tr w:rsidR="00C545A8" w14:paraId="68B05434" w14:textId="7C24831B" w:rsidTr="00C77C51">
        <w:trPr>
          <w:trHeight w:val="340"/>
        </w:trPr>
        <w:tc>
          <w:tcPr>
            <w:tcW w:w="1696" w:type="dxa"/>
            <w:tcBorders>
              <w:top w:val="single" w:sz="4" w:space="0" w:color="FFFFFF" w:themeColor="background1"/>
              <w:left w:val="nil"/>
              <w:bottom w:val="single" w:sz="4" w:space="0" w:color="FFFFFF" w:themeColor="background1"/>
              <w:right w:val="single" w:sz="4" w:space="0" w:color="FFFFFF"/>
            </w:tcBorders>
            <w:vAlign w:val="center"/>
          </w:tcPr>
          <w:p w14:paraId="6C6722EE" w14:textId="60E816B8" w:rsidR="00FC319D" w:rsidRPr="00C545A8" w:rsidRDefault="00FC319D" w:rsidP="00C545A8">
            <w:pPr>
              <w:rPr>
                <w:rFonts w:ascii="Times New Roman" w:hAnsi="Times New Roman" w:cs="Times New Roman"/>
                <w:b/>
                <w:bCs/>
                <w:lang w:val="en-US"/>
              </w:rPr>
            </w:pPr>
            <w:r w:rsidRPr="00C545A8">
              <w:rPr>
                <w:rFonts w:ascii="Times New Roman" w:hAnsi="Times New Roman" w:cs="Times New Roman"/>
                <w:b/>
                <w:bCs/>
                <w:lang w:val="en-US"/>
              </w:rPr>
              <w:t>Toluene-RL</w:t>
            </w:r>
          </w:p>
        </w:tc>
        <w:tc>
          <w:tcPr>
            <w:tcW w:w="851"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4BB40304" w14:textId="426780B7" w:rsidR="00FC319D" w:rsidRDefault="00C545A8" w:rsidP="00C545A8">
            <w:pPr>
              <w:jc w:val="center"/>
              <w:rPr>
                <w:rFonts w:ascii="Times New Roman" w:hAnsi="Times New Roman" w:cs="Times New Roman"/>
                <w:lang w:val="en-US"/>
              </w:rPr>
            </w:pPr>
            <w:r>
              <w:rPr>
                <w:rFonts w:ascii="Times New Roman" w:hAnsi="Times New Roman" w:cs="Times New Roman"/>
                <w:lang w:val="en-US"/>
              </w:rPr>
              <w:t>50</w:t>
            </w:r>
          </w:p>
        </w:tc>
        <w:tc>
          <w:tcPr>
            <w:tcW w:w="850"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53E48259" w14:textId="7FE5B716" w:rsidR="00FC319D" w:rsidRDefault="00C545A8" w:rsidP="00C545A8">
            <w:pPr>
              <w:jc w:val="center"/>
              <w:rPr>
                <w:rFonts w:ascii="Times New Roman" w:hAnsi="Times New Roman" w:cs="Times New Roman"/>
                <w:lang w:val="en-US"/>
              </w:rPr>
            </w:pPr>
            <w:r>
              <w:rPr>
                <w:rFonts w:ascii="Times New Roman" w:hAnsi="Times New Roman" w:cs="Times New Roman"/>
                <w:lang w:val="en-US"/>
              </w:rPr>
              <w:t>43.5</w:t>
            </w:r>
          </w:p>
        </w:tc>
        <w:tc>
          <w:tcPr>
            <w:tcW w:w="993"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00697EA1" w14:textId="2F4F5EDE" w:rsidR="00FC319D" w:rsidRDefault="009A7C64" w:rsidP="00C545A8">
            <w:pPr>
              <w:jc w:val="center"/>
              <w:rPr>
                <w:rFonts w:ascii="Times New Roman" w:hAnsi="Times New Roman" w:cs="Times New Roman"/>
                <w:lang w:val="en-US"/>
              </w:rPr>
            </w:pPr>
            <w:r>
              <w:rPr>
                <w:rFonts w:ascii="Times New Roman" w:hAnsi="Times New Roman" w:cs="Times New Roman"/>
                <w:lang w:val="en-US"/>
              </w:rPr>
              <w:t>117</w:t>
            </w:r>
          </w:p>
        </w:tc>
        <w:tc>
          <w:tcPr>
            <w:tcW w:w="1275" w:type="dxa"/>
            <w:tcBorders>
              <w:top w:val="single" w:sz="4" w:space="0" w:color="FFFFFF" w:themeColor="background1"/>
              <w:left w:val="single" w:sz="4" w:space="0" w:color="FFFFFF"/>
              <w:bottom w:val="single" w:sz="4" w:space="0" w:color="FFFFFF" w:themeColor="background1"/>
            </w:tcBorders>
            <w:vAlign w:val="center"/>
          </w:tcPr>
          <w:p w14:paraId="6A2BA859" w14:textId="66F2811C" w:rsidR="00FC319D" w:rsidRDefault="009A7C64" w:rsidP="00C545A8">
            <w:pPr>
              <w:jc w:val="center"/>
              <w:rPr>
                <w:rFonts w:ascii="Times New Roman" w:hAnsi="Times New Roman" w:cs="Times New Roman"/>
                <w:lang w:val="en-US"/>
              </w:rPr>
            </w:pPr>
            <w:r>
              <w:rPr>
                <w:rFonts w:ascii="Times New Roman" w:hAnsi="Times New Roman" w:cs="Times New Roman"/>
                <w:lang w:val="en-US"/>
              </w:rPr>
              <w:t>274</w:t>
            </w:r>
          </w:p>
        </w:tc>
        <w:tc>
          <w:tcPr>
            <w:tcW w:w="993" w:type="dxa"/>
            <w:tcBorders>
              <w:top w:val="single" w:sz="4" w:space="0" w:color="FFFFFF" w:themeColor="background1"/>
              <w:bottom w:val="single" w:sz="4" w:space="0" w:color="FFFFFF" w:themeColor="background1"/>
              <w:right w:val="single" w:sz="4" w:space="0" w:color="FFFFFF"/>
            </w:tcBorders>
            <w:vAlign w:val="center"/>
          </w:tcPr>
          <w:p w14:paraId="27E65193" w14:textId="205177E2" w:rsidR="00FC319D" w:rsidRDefault="009A7C64" w:rsidP="00C545A8">
            <w:pPr>
              <w:jc w:val="center"/>
              <w:rPr>
                <w:rFonts w:ascii="Times New Roman" w:hAnsi="Times New Roman" w:cs="Times New Roman"/>
                <w:lang w:val="en-US"/>
              </w:rPr>
            </w:pPr>
            <w:r>
              <w:rPr>
                <w:rFonts w:ascii="Times New Roman" w:hAnsi="Times New Roman" w:cs="Times New Roman"/>
                <w:lang w:val="en-US"/>
              </w:rPr>
              <w:t>102</w:t>
            </w:r>
          </w:p>
        </w:tc>
        <w:tc>
          <w:tcPr>
            <w:tcW w:w="992"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49D44433" w14:textId="335EF958" w:rsidR="00FC319D" w:rsidRDefault="009A7C64" w:rsidP="00C545A8">
            <w:pPr>
              <w:jc w:val="center"/>
              <w:rPr>
                <w:rFonts w:ascii="Times New Roman" w:hAnsi="Times New Roman" w:cs="Times New Roman"/>
                <w:lang w:val="en-US"/>
              </w:rPr>
            </w:pPr>
            <w:r>
              <w:rPr>
                <w:rFonts w:ascii="Times New Roman" w:hAnsi="Times New Roman" w:cs="Times New Roman"/>
                <w:lang w:val="en-US"/>
              </w:rPr>
              <w:t>316</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6F494386" w14:textId="4011BBD5" w:rsidR="00FC319D" w:rsidRDefault="009A7C64" w:rsidP="00C545A8">
            <w:pPr>
              <w:jc w:val="center"/>
              <w:rPr>
                <w:rFonts w:ascii="Times New Roman" w:hAnsi="Times New Roman" w:cs="Times New Roman"/>
                <w:lang w:val="en-US"/>
              </w:rPr>
            </w:pPr>
            <w:r>
              <w:rPr>
                <w:rFonts w:ascii="Times New Roman" w:hAnsi="Times New Roman" w:cs="Times New Roman"/>
                <w:lang w:val="en-US"/>
              </w:rPr>
              <w:t>225</w:t>
            </w:r>
          </w:p>
        </w:tc>
        <w:tc>
          <w:tcPr>
            <w:tcW w:w="850" w:type="dxa"/>
            <w:tcBorders>
              <w:top w:val="single" w:sz="4" w:space="0" w:color="FFFFFF" w:themeColor="background1"/>
              <w:left w:val="single" w:sz="4" w:space="0" w:color="FFFFFF"/>
              <w:bottom w:val="single" w:sz="4" w:space="0" w:color="FFFFFF" w:themeColor="background1"/>
              <w:right w:val="nil"/>
            </w:tcBorders>
            <w:vAlign w:val="center"/>
          </w:tcPr>
          <w:p w14:paraId="10DB1C15" w14:textId="629C730B" w:rsidR="00FC319D" w:rsidRDefault="009A7C64" w:rsidP="00C545A8">
            <w:pPr>
              <w:jc w:val="center"/>
              <w:rPr>
                <w:rFonts w:ascii="Times New Roman" w:hAnsi="Times New Roman" w:cs="Times New Roman"/>
                <w:lang w:val="en-US"/>
              </w:rPr>
            </w:pPr>
            <w:r>
              <w:rPr>
                <w:rFonts w:ascii="Times New Roman" w:hAnsi="Times New Roman" w:cs="Times New Roman"/>
                <w:lang w:val="en-US"/>
              </w:rPr>
              <w:t>82</w:t>
            </w:r>
          </w:p>
        </w:tc>
      </w:tr>
      <w:tr w:rsidR="00C545A8" w14:paraId="3F93B199" w14:textId="22E9D5F2" w:rsidTr="00C77C51">
        <w:trPr>
          <w:trHeight w:val="340"/>
        </w:trPr>
        <w:tc>
          <w:tcPr>
            <w:tcW w:w="1696" w:type="dxa"/>
            <w:tcBorders>
              <w:top w:val="single" w:sz="4" w:space="0" w:color="FFFFFF" w:themeColor="background1"/>
              <w:left w:val="nil"/>
              <w:bottom w:val="single" w:sz="4" w:space="0" w:color="FFFFFF" w:themeColor="background1"/>
              <w:right w:val="single" w:sz="4" w:space="0" w:color="FFFFFF"/>
            </w:tcBorders>
            <w:vAlign w:val="center"/>
          </w:tcPr>
          <w:p w14:paraId="4F9B37B7" w14:textId="51E60079" w:rsidR="00FC319D" w:rsidRPr="00C545A8" w:rsidRDefault="00FC319D" w:rsidP="00C545A8">
            <w:pPr>
              <w:rPr>
                <w:rFonts w:ascii="Times New Roman" w:hAnsi="Times New Roman" w:cs="Times New Roman"/>
                <w:b/>
                <w:bCs/>
                <w:lang w:val="en-US"/>
              </w:rPr>
            </w:pPr>
            <w:r w:rsidRPr="00C545A8">
              <w:rPr>
                <w:rFonts w:ascii="Times New Roman" w:hAnsi="Times New Roman" w:cs="Times New Roman"/>
                <w:b/>
                <w:bCs/>
                <w:lang w:val="en-US"/>
              </w:rPr>
              <w:t>Toluene-H</w:t>
            </w:r>
            <w:r w:rsidRPr="00C77C51">
              <w:rPr>
                <w:rFonts w:ascii="Times New Roman" w:hAnsi="Times New Roman" w:cs="Times New Roman"/>
                <w:b/>
                <w:bCs/>
                <w:vertAlign w:val="subscript"/>
                <w:lang w:val="en-US"/>
              </w:rPr>
              <w:t>2</w:t>
            </w:r>
            <w:r w:rsidRPr="00C545A8">
              <w:rPr>
                <w:rFonts w:ascii="Times New Roman" w:hAnsi="Times New Roman" w:cs="Times New Roman"/>
                <w:b/>
                <w:bCs/>
                <w:lang w:val="en-US"/>
              </w:rPr>
              <w:t>O</w:t>
            </w:r>
          </w:p>
        </w:tc>
        <w:tc>
          <w:tcPr>
            <w:tcW w:w="851"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10B545BE" w14:textId="7DEDDFF6" w:rsidR="00FC319D" w:rsidRDefault="00C545A8" w:rsidP="00C545A8">
            <w:pPr>
              <w:jc w:val="center"/>
              <w:rPr>
                <w:rFonts w:ascii="Times New Roman" w:hAnsi="Times New Roman" w:cs="Times New Roman"/>
                <w:lang w:val="en-US"/>
              </w:rPr>
            </w:pPr>
            <w:r>
              <w:rPr>
                <w:rFonts w:ascii="Times New Roman" w:hAnsi="Times New Roman" w:cs="Times New Roman"/>
                <w:lang w:val="en-US"/>
              </w:rPr>
              <w:t>65</w:t>
            </w:r>
          </w:p>
        </w:tc>
        <w:tc>
          <w:tcPr>
            <w:tcW w:w="850"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154150D5" w14:textId="7632A025" w:rsidR="00FC319D" w:rsidRDefault="00C545A8" w:rsidP="00C545A8">
            <w:pPr>
              <w:jc w:val="center"/>
              <w:rPr>
                <w:rFonts w:ascii="Times New Roman" w:hAnsi="Times New Roman" w:cs="Times New Roman"/>
                <w:lang w:val="en-US"/>
              </w:rPr>
            </w:pPr>
            <w:r>
              <w:rPr>
                <w:rFonts w:ascii="Times New Roman" w:hAnsi="Times New Roman" w:cs="Times New Roman"/>
                <w:lang w:val="en-US"/>
              </w:rPr>
              <w:t>57.5</w:t>
            </w:r>
          </w:p>
        </w:tc>
        <w:tc>
          <w:tcPr>
            <w:tcW w:w="993"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05C6C7CF" w14:textId="791D1EEA" w:rsidR="00FC319D" w:rsidRDefault="009A7C64" w:rsidP="00C545A8">
            <w:pPr>
              <w:jc w:val="center"/>
              <w:rPr>
                <w:rFonts w:ascii="Times New Roman" w:hAnsi="Times New Roman" w:cs="Times New Roman"/>
                <w:lang w:val="en-US"/>
              </w:rPr>
            </w:pPr>
            <w:r>
              <w:rPr>
                <w:rFonts w:ascii="Times New Roman" w:hAnsi="Times New Roman" w:cs="Times New Roman"/>
                <w:lang w:val="en-US"/>
              </w:rPr>
              <w:t>202</w:t>
            </w:r>
          </w:p>
        </w:tc>
        <w:tc>
          <w:tcPr>
            <w:tcW w:w="1275" w:type="dxa"/>
            <w:tcBorders>
              <w:top w:val="single" w:sz="4" w:space="0" w:color="FFFFFF" w:themeColor="background1"/>
              <w:left w:val="single" w:sz="4" w:space="0" w:color="FFFFFF"/>
              <w:bottom w:val="single" w:sz="4" w:space="0" w:color="FFFFFF" w:themeColor="background1"/>
            </w:tcBorders>
            <w:vAlign w:val="center"/>
          </w:tcPr>
          <w:p w14:paraId="35EC0E2A" w14:textId="1918C2D5" w:rsidR="00FC319D" w:rsidRDefault="009A7C64" w:rsidP="00C545A8">
            <w:pPr>
              <w:jc w:val="center"/>
              <w:rPr>
                <w:rFonts w:ascii="Times New Roman" w:hAnsi="Times New Roman" w:cs="Times New Roman"/>
                <w:lang w:val="en-US"/>
              </w:rPr>
            </w:pPr>
            <w:r>
              <w:rPr>
                <w:rFonts w:ascii="Times New Roman" w:hAnsi="Times New Roman" w:cs="Times New Roman"/>
                <w:lang w:val="en-US"/>
              </w:rPr>
              <w:t>305</w:t>
            </w:r>
          </w:p>
        </w:tc>
        <w:tc>
          <w:tcPr>
            <w:tcW w:w="993" w:type="dxa"/>
            <w:tcBorders>
              <w:top w:val="single" w:sz="4" w:space="0" w:color="FFFFFF" w:themeColor="background1"/>
              <w:bottom w:val="single" w:sz="4" w:space="0" w:color="FFFFFF" w:themeColor="background1"/>
              <w:right w:val="single" w:sz="4" w:space="0" w:color="FFFFFF"/>
            </w:tcBorders>
            <w:vAlign w:val="center"/>
          </w:tcPr>
          <w:p w14:paraId="3BE8436A" w14:textId="48290ACB" w:rsidR="00FC319D" w:rsidRDefault="009A7C64" w:rsidP="00C545A8">
            <w:pPr>
              <w:jc w:val="center"/>
              <w:rPr>
                <w:rFonts w:ascii="Times New Roman" w:hAnsi="Times New Roman" w:cs="Times New Roman"/>
                <w:lang w:val="en-US"/>
              </w:rPr>
            </w:pPr>
            <w:r>
              <w:rPr>
                <w:rFonts w:ascii="Times New Roman" w:hAnsi="Times New Roman" w:cs="Times New Roman"/>
                <w:lang w:val="en-US"/>
              </w:rPr>
              <w:t>160</w:t>
            </w:r>
          </w:p>
        </w:tc>
        <w:tc>
          <w:tcPr>
            <w:tcW w:w="992"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586F1166" w14:textId="5D906794" w:rsidR="00FC319D" w:rsidRDefault="009A7C64" w:rsidP="00C545A8">
            <w:pPr>
              <w:jc w:val="center"/>
              <w:rPr>
                <w:rFonts w:ascii="Times New Roman" w:hAnsi="Times New Roman" w:cs="Times New Roman"/>
                <w:lang w:val="en-US"/>
              </w:rPr>
            </w:pPr>
            <w:r>
              <w:rPr>
                <w:rFonts w:ascii="Times New Roman" w:hAnsi="Times New Roman" w:cs="Times New Roman"/>
                <w:lang w:val="en-US"/>
              </w:rPr>
              <w:t>/</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37FB525E" w14:textId="1DD0935A" w:rsidR="00FC319D" w:rsidRDefault="009A7C64" w:rsidP="00C545A8">
            <w:pPr>
              <w:jc w:val="center"/>
              <w:rPr>
                <w:rFonts w:ascii="Times New Roman" w:hAnsi="Times New Roman" w:cs="Times New Roman"/>
                <w:lang w:val="en-US"/>
              </w:rPr>
            </w:pPr>
            <w:r>
              <w:rPr>
                <w:rFonts w:ascii="Times New Roman" w:hAnsi="Times New Roman" w:cs="Times New Roman"/>
                <w:lang w:val="en-US"/>
              </w:rPr>
              <w:t>126</w:t>
            </w:r>
          </w:p>
        </w:tc>
        <w:tc>
          <w:tcPr>
            <w:tcW w:w="850" w:type="dxa"/>
            <w:tcBorders>
              <w:top w:val="single" w:sz="4" w:space="0" w:color="FFFFFF" w:themeColor="background1"/>
              <w:left w:val="single" w:sz="4" w:space="0" w:color="FFFFFF"/>
              <w:bottom w:val="single" w:sz="4" w:space="0" w:color="FFFFFF" w:themeColor="background1"/>
              <w:right w:val="nil"/>
            </w:tcBorders>
            <w:vAlign w:val="center"/>
          </w:tcPr>
          <w:p w14:paraId="2E788613" w14:textId="514D4E4F" w:rsidR="00FC319D" w:rsidRDefault="009A7C64" w:rsidP="00C545A8">
            <w:pPr>
              <w:jc w:val="center"/>
              <w:rPr>
                <w:rFonts w:ascii="Times New Roman" w:hAnsi="Times New Roman" w:cs="Times New Roman"/>
                <w:lang w:val="en-US"/>
              </w:rPr>
            </w:pPr>
            <w:r>
              <w:rPr>
                <w:rFonts w:ascii="Times New Roman" w:hAnsi="Times New Roman" w:cs="Times New Roman"/>
                <w:lang w:val="en-US"/>
              </w:rPr>
              <w:t>41</w:t>
            </w:r>
          </w:p>
        </w:tc>
      </w:tr>
      <w:tr w:rsidR="00C545A8" w14:paraId="1023E7F8" w14:textId="384BDBC9" w:rsidTr="00C77C51">
        <w:trPr>
          <w:trHeight w:val="340"/>
        </w:trPr>
        <w:tc>
          <w:tcPr>
            <w:tcW w:w="1696" w:type="dxa"/>
            <w:tcBorders>
              <w:top w:val="single" w:sz="4" w:space="0" w:color="FFFFFF" w:themeColor="background1"/>
              <w:left w:val="nil"/>
              <w:bottom w:val="single" w:sz="4" w:space="0" w:color="FFFFFF" w:themeColor="background1"/>
              <w:right w:val="single" w:sz="4" w:space="0" w:color="FFFFFF"/>
            </w:tcBorders>
            <w:vAlign w:val="center"/>
          </w:tcPr>
          <w:p w14:paraId="2010FF12" w14:textId="42BC8B47" w:rsidR="00FC319D" w:rsidRPr="00C545A8" w:rsidRDefault="00FC319D" w:rsidP="00C545A8">
            <w:pPr>
              <w:rPr>
                <w:rFonts w:ascii="Times New Roman" w:hAnsi="Times New Roman" w:cs="Times New Roman"/>
                <w:b/>
                <w:bCs/>
                <w:lang w:val="en-US"/>
              </w:rPr>
            </w:pPr>
            <w:r w:rsidRPr="00C545A8">
              <w:rPr>
                <w:rFonts w:ascii="Times New Roman" w:hAnsi="Times New Roman" w:cs="Times New Roman"/>
                <w:b/>
                <w:bCs/>
                <w:lang w:val="en-US"/>
              </w:rPr>
              <w:t>PCE-APG</w:t>
            </w:r>
          </w:p>
        </w:tc>
        <w:tc>
          <w:tcPr>
            <w:tcW w:w="851"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471609C4" w14:textId="7F5ED662" w:rsidR="00FC319D" w:rsidRDefault="00C545A8" w:rsidP="00C545A8">
            <w:pPr>
              <w:jc w:val="center"/>
              <w:rPr>
                <w:rFonts w:ascii="Times New Roman" w:hAnsi="Times New Roman" w:cs="Times New Roman"/>
                <w:lang w:val="en-US"/>
              </w:rPr>
            </w:pPr>
            <w:r>
              <w:rPr>
                <w:rFonts w:ascii="Times New Roman" w:hAnsi="Times New Roman" w:cs="Times New Roman"/>
                <w:lang w:val="en-US"/>
              </w:rPr>
              <w:t>60</w:t>
            </w:r>
          </w:p>
        </w:tc>
        <w:tc>
          <w:tcPr>
            <w:tcW w:w="850"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33816ED5" w14:textId="6EEC41E7" w:rsidR="00FC319D" w:rsidRDefault="00C545A8" w:rsidP="00C545A8">
            <w:pPr>
              <w:jc w:val="center"/>
              <w:rPr>
                <w:rFonts w:ascii="Times New Roman" w:hAnsi="Times New Roman" w:cs="Times New Roman"/>
                <w:lang w:val="en-US"/>
              </w:rPr>
            </w:pPr>
            <w:r>
              <w:rPr>
                <w:rFonts w:ascii="Times New Roman" w:hAnsi="Times New Roman" w:cs="Times New Roman"/>
                <w:lang w:val="en-US"/>
              </w:rPr>
              <w:t>50.4</w:t>
            </w:r>
          </w:p>
        </w:tc>
        <w:tc>
          <w:tcPr>
            <w:tcW w:w="993"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0785B7ED" w14:textId="678465BA" w:rsidR="00FC319D" w:rsidRDefault="009A7C64" w:rsidP="00C545A8">
            <w:pPr>
              <w:jc w:val="center"/>
              <w:rPr>
                <w:rFonts w:ascii="Times New Roman" w:hAnsi="Times New Roman" w:cs="Times New Roman"/>
                <w:lang w:val="en-US"/>
              </w:rPr>
            </w:pPr>
            <w:r>
              <w:rPr>
                <w:rFonts w:ascii="Times New Roman" w:hAnsi="Times New Roman" w:cs="Times New Roman"/>
                <w:lang w:val="en-US"/>
              </w:rPr>
              <w:t>339</w:t>
            </w:r>
          </w:p>
        </w:tc>
        <w:tc>
          <w:tcPr>
            <w:tcW w:w="1275" w:type="dxa"/>
            <w:tcBorders>
              <w:top w:val="single" w:sz="4" w:space="0" w:color="FFFFFF" w:themeColor="background1"/>
              <w:left w:val="single" w:sz="4" w:space="0" w:color="FFFFFF"/>
              <w:bottom w:val="single" w:sz="4" w:space="0" w:color="FFFFFF" w:themeColor="background1"/>
            </w:tcBorders>
            <w:vAlign w:val="center"/>
          </w:tcPr>
          <w:p w14:paraId="2FEDAAB5" w14:textId="7EA7E54C" w:rsidR="00FC319D" w:rsidRDefault="009A7C64" w:rsidP="00C545A8">
            <w:pPr>
              <w:jc w:val="center"/>
              <w:rPr>
                <w:rFonts w:ascii="Times New Roman" w:hAnsi="Times New Roman" w:cs="Times New Roman"/>
                <w:lang w:val="en-US"/>
              </w:rPr>
            </w:pPr>
            <w:r>
              <w:rPr>
                <w:rFonts w:ascii="Times New Roman" w:hAnsi="Times New Roman" w:cs="Times New Roman"/>
                <w:lang w:val="en-US"/>
              </w:rPr>
              <w:t>405</w:t>
            </w:r>
          </w:p>
        </w:tc>
        <w:tc>
          <w:tcPr>
            <w:tcW w:w="993" w:type="dxa"/>
            <w:tcBorders>
              <w:top w:val="single" w:sz="4" w:space="0" w:color="FFFFFF" w:themeColor="background1"/>
              <w:bottom w:val="single" w:sz="4" w:space="0" w:color="FFFFFF" w:themeColor="background1"/>
              <w:right w:val="single" w:sz="4" w:space="0" w:color="FFFFFF"/>
            </w:tcBorders>
            <w:vAlign w:val="center"/>
          </w:tcPr>
          <w:p w14:paraId="4BBAB0A7" w14:textId="25345136" w:rsidR="00FC319D" w:rsidRDefault="009A7C64" w:rsidP="00C545A8">
            <w:pPr>
              <w:jc w:val="center"/>
              <w:rPr>
                <w:rFonts w:ascii="Times New Roman" w:hAnsi="Times New Roman" w:cs="Times New Roman"/>
                <w:lang w:val="en-US"/>
              </w:rPr>
            </w:pPr>
            <w:r>
              <w:rPr>
                <w:rFonts w:ascii="Times New Roman" w:hAnsi="Times New Roman" w:cs="Times New Roman"/>
                <w:lang w:val="en-US"/>
              </w:rPr>
              <w:t>190</w:t>
            </w:r>
          </w:p>
        </w:tc>
        <w:tc>
          <w:tcPr>
            <w:tcW w:w="992"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5417DAC5" w14:textId="47454EC9" w:rsidR="00FC319D" w:rsidRDefault="009A7C64" w:rsidP="00C545A8">
            <w:pPr>
              <w:jc w:val="center"/>
              <w:rPr>
                <w:rFonts w:ascii="Times New Roman" w:hAnsi="Times New Roman" w:cs="Times New Roman"/>
                <w:lang w:val="en-US"/>
              </w:rPr>
            </w:pPr>
            <w:r>
              <w:rPr>
                <w:rFonts w:ascii="Times New Roman" w:hAnsi="Times New Roman" w:cs="Times New Roman"/>
                <w:lang w:val="en-US"/>
              </w:rPr>
              <w:t>325</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3230AB2F" w14:textId="3B48BDE1" w:rsidR="00FC319D" w:rsidRDefault="009A7C64" w:rsidP="00C545A8">
            <w:pPr>
              <w:jc w:val="center"/>
              <w:rPr>
                <w:rFonts w:ascii="Times New Roman" w:hAnsi="Times New Roman" w:cs="Times New Roman"/>
                <w:lang w:val="en-US"/>
              </w:rPr>
            </w:pPr>
            <w:r>
              <w:rPr>
                <w:rFonts w:ascii="Times New Roman" w:hAnsi="Times New Roman" w:cs="Times New Roman"/>
                <w:lang w:val="en-US"/>
              </w:rPr>
              <w:t>373</w:t>
            </w:r>
          </w:p>
        </w:tc>
        <w:tc>
          <w:tcPr>
            <w:tcW w:w="850" w:type="dxa"/>
            <w:tcBorders>
              <w:top w:val="single" w:sz="4" w:space="0" w:color="FFFFFF" w:themeColor="background1"/>
              <w:left w:val="single" w:sz="4" w:space="0" w:color="FFFFFF"/>
              <w:bottom w:val="single" w:sz="4" w:space="0" w:color="FFFFFF" w:themeColor="background1"/>
              <w:right w:val="nil"/>
            </w:tcBorders>
            <w:vAlign w:val="center"/>
          </w:tcPr>
          <w:p w14:paraId="35E0CA4F" w14:textId="39DD52A6" w:rsidR="00FC319D" w:rsidRDefault="009A7C64" w:rsidP="00C545A8">
            <w:pPr>
              <w:jc w:val="center"/>
              <w:rPr>
                <w:rFonts w:ascii="Times New Roman" w:hAnsi="Times New Roman" w:cs="Times New Roman"/>
                <w:lang w:val="en-US"/>
              </w:rPr>
            </w:pPr>
            <w:r>
              <w:rPr>
                <w:rFonts w:ascii="Times New Roman" w:hAnsi="Times New Roman" w:cs="Times New Roman"/>
                <w:lang w:val="en-US"/>
              </w:rPr>
              <w:t>92</w:t>
            </w:r>
          </w:p>
        </w:tc>
      </w:tr>
      <w:tr w:rsidR="00C545A8" w14:paraId="6754409A" w14:textId="70FDB571" w:rsidTr="00C77C51">
        <w:trPr>
          <w:trHeight w:val="340"/>
        </w:trPr>
        <w:tc>
          <w:tcPr>
            <w:tcW w:w="1696" w:type="dxa"/>
            <w:tcBorders>
              <w:top w:val="single" w:sz="4" w:space="0" w:color="FFFFFF" w:themeColor="background1"/>
              <w:left w:val="nil"/>
              <w:bottom w:val="single" w:sz="4" w:space="0" w:color="FFFFFF" w:themeColor="background1"/>
              <w:right w:val="single" w:sz="4" w:space="0" w:color="FFFFFF"/>
            </w:tcBorders>
            <w:vAlign w:val="center"/>
          </w:tcPr>
          <w:p w14:paraId="4C86C9EB" w14:textId="5637F4FD" w:rsidR="00FC319D" w:rsidRPr="00C545A8" w:rsidRDefault="00FC319D" w:rsidP="00C545A8">
            <w:pPr>
              <w:rPr>
                <w:rFonts w:ascii="Times New Roman" w:hAnsi="Times New Roman" w:cs="Times New Roman"/>
                <w:b/>
                <w:bCs/>
                <w:lang w:val="en-US"/>
              </w:rPr>
            </w:pPr>
            <w:r w:rsidRPr="00C545A8">
              <w:rPr>
                <w:rFonts w:ascii="Times New Roman" w:hAnsi="Times New Roman" w:cs="Times New Roman"/>
                <w:b/>
                <w:bCs/>
                <w:lang w:val="en-US"/>
              </w:rPr>
              <w:t>PCE-RL</w:t>
            </w:r>
          </w:p>
        </w:tc>
        <w:tc>
          <w:tcPr>
            <w:tcW w:w="851"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69FD1861" w14:textId="3F6ECC2B" w:rsidR="00FC319D" w:rsidRDefault="00C545A8" w:rsidP="00C545A8">
            <w:pPr>
              <w:jc w:val="center"/>
              <w:rPr>
                <w:rFonts w:ascii="Times New Roman" w:hAnsi="Times New Roman" w:cs="Times New Roman"/>
                <w:lang w:val="en-US"/>
              </w:rPr>
            </w:pPr>
            <w:r>
              <w:rPr>
                <w:rFonts w:ascii="Times New Roman" w:hAnsi="Times New Roman" w:cs="Times New Roman"/>
                <w:lang w:val="en-US"/>
              </w:rPr>
              <w:t>50</w:t>
            </w:r>
          </w:p>
        </w:tc>
        <w:tc>
          <w:tcPr>
            <w:tcW w:w="850"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2D9D438A" w14:textId="2F183106" w:rsidR="00FC319D" w:rsidRDefault="00C545A8" w:rsidP="00C545A8">
            <w:pPr>
              <w:jc w:val="center"/>
              <w:rPr>
                <w:rFonts w:ascii="Times New Roman" w:hAnsi="Times New Roman" w:cs="Times New Roman"/>
                <w:lang w:val="en-US"/>
              </w:rPr>
            </w:pPr>
            <w:r>
              <w:rPr>
                <w:rFonts w:ascii="Times New Roman" w:hAnsi="Times New Roman" w:cs="Times New Roman"/>
                <w:lang w:val="en-US"/>
              </w:rPr>
              <w:t>42.7</w:t>
            </w:r>
          </w:p>
        </w:tc>
        <w:tc>
          <w:tcPr>
            <w:tcW w:w="993"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0534DA1B" w14:textId="0803B459" w:rsidR="00FC319D" w:rsidRDefault="009A7C64" w:rsidP="00C545A8">
            <w:pPr>
              <w:jc w:val="center"/>
              <w:rPr>
                <w:rFonts w:ascii="Times New Roman" w:hAnsi="Times New Roman" w:cs="Times New Roman"/>
                <w:lang w:val="en-US"/>
              </w:rPr>
            </w:pPr>
            <w:r>
              <w:rPr>
                <w:rFonts w:ascii="Times New Roman" w:hAnsi="Times New Roman" w:cs="Times New Roman"/>
                <w:lang w:val="en-US"/>
              </w:rPr>
              <w:t>293</w:t>
            </w:r>
          </w:p>
        </w:tc>
        <w:tc>
          <w:tcPr>
            <w:tcW w:w="1275" w:type="dxa"/>
            <w:tcBorders>
              <w:top w:val="single" w:sz="4" w:space="0" w:color="FFFFFF" w:themeColor="background1"/>
              <w:left w:val="single" w:sz="4" w:space="0" w:color="FFFFFF"/>
              <w:bottom w:val="single" w:sz="4" w:space="0" w:color="FFFFFF" w:themeColor="background1"/>
            </w:tcBorders>
            <w:vAlign w:val="center"/>
          </w:tcPr>
          <w:p w14:paraId="579FF089" w14:textId="4DCF0E37" w:rsidR="00FC319D" w:rsidRDefault="009A7C64" w:rsidP="00C545A8">
            <w:pPr>
              <w:jc w:val="center"/>
              <w:rPr>
                <w:rFonts w:ascii="Times New Roman" w:hAnsi="Times New Roman" w:cs="Times New Roman"/>
                <w:lang w:val="en-US"/>
              </w:rPr>
            </w:pPr>
            <w:r>
              <w:rPr>
                <w:rFonts w:ascii="Times New Roman" w:hAnsi="Times New Roman" w:cs="Times New Roman"/>
                <w:lang w:val="en-US"/>
              </w:rPr>
              <w:t>372</w:t>
            </w:r>
          </w:p>
        </w:tc>
        <w:tc>
          <w:tcPr>
            <w:tcW w:w="993" w:type="dxa"/>
            <w:tcBorders>
              <w:top w:val="single" w:sz="4" w:space="0" w:color="FFFFFF" w:themeColor="background1"/>
              <w:bottom w:val="single" w:sz="4" w:space="0" w:color="FFFFFF" w:themeColor="background1"/>
              <w:right w:val="single" w:sz="4" w:space="0" w:color="FFFFFF"/>
            </w:tcBorders>
            <w:vAlign w:val="center"/>
          </w:tcPr>
          <w:p w14:paraId="2DDB907C" w14:textId="382B5FF2" w:rsidR="00FC319D" w:rsidRDefault="009A7C64" w:rsidP="00C545A8">
            <w:pPr>
              <w:jc w:val="center"/>
              <w:rPr>
                <w:rFonts w:ascii="Times New Roman" w:hAnsi="Times New Roman" w:cs="Times New Roman"/>
                <w:lang w:val="en-US"/>
              </w:rPr>
            </w:pPr>
            <w:r>
              <w:rPr>
                <w:rFonts w:ascii="Times New Roman" w:hAnsi="Times New Roman" w:cs="Times New Roman"/>
                <w:lang w:val="en-US"/>
              </w:rPr>
              <w:t>229</w:t>
            </w:r>
          </w:p>
        </w:tc>
        <w:tc>
          <w:tcPr>
            <w:tcW w:w="992"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5B42C148" w14:textId="0061EA95" w:rsidR="00FC319D" w:rsidRDefault="009A7C64" w:rsidP="00C545A8">
            <w:pPr>
              <w:jc w:val="center"/>
              <w:rPr>
                <w:rFonts w:ascii="Times New Roman" w:hAnsi="Times New Roman" w:cs="Times New Roman"/>
                <w:lang w:val="en-US"/>
              </w:rPr>
            </w:pPr>
            <w:r>
              <w:rPr>
                <w:rFonts w:ascii="Times New Roman" w:hAnsi="Times New Roman" w:cs="Times New Roman"/>
                <w:lang w:val="en-US"/>
              </w:rPr>
              <w:t>323</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2AFDD800" w14:textId="76D1FB4B" w:rsidR="00FC319D" w:rsidRDefault="009A7C64" w:rsidP="00C545A8">
            <w:pPr>
              <w:jc w:val="center"/>
              <w:rPr>
                <w:rFonts w:ascii="Times New Roman" w:hAnsi="Times New Roman" w:cs="Times New Roman"/>
                <w:lang w:val="en-US"/>
              </w:rPr>
            </w:pPr>
            <w:r>
              <w:rPr>
                <w:rFonts w:ascii="Times New Roman" w:hAnsi="Times New Roman" w:cs="Times New Roman"/>
                <w:lang w:val="en-US"/>
              </w:rPr>
              <w:t>361</w:t>
            </w:r>
          </w:p>
        </w:tc>
        <w:tc>
          <w:tcPr>
            <w:tcW w:w="850" w:type="dxa"/>
            <w:tcBorders>
              <w:top w:val="single" w:sz="4" w:space="0" w:color="FFFFFF" w:themeColor="background1"/>
              <w:left w:val="single" w:sz="4" w:space="0" w:color="FFFFFF"/>
              <w:bottom w:val="single" w:sz="4" w:space="0" w:color="FFFFFF" w:themeColor="background1"/>
              <w:right w:val="nil"/>
            </w:tcBorders>
            <w:vAlign w:val="center"/>
          </w:tcPr>
          <w:p w14:paraId="13EE7FEC" w14:textId="106AF6E1" w:rsidR="00FC319D" w:rsidRDefault="009A7C64" w:rsidP="00C545A8">
            <w:pPr>
              <w:jc w:val="center"/>
              <w:rPr>
                <w:rFonts w:ascii="Times New Roman" w:hAnsi="Times New Roman" w:cs="Times New Roman"/>
                <w:lang w:val="en-US"/>
              </w:rPr>
            </w:pPr>
            <w:r>
              <w:rPr>
                <w:rFonts w:ascii="Times New Roman" w:hAnsi="Times New Roman" w:cs="Times New Roman"/>
                <w:lang w:val="en-US"/>
              </w:rPr>
              <w:t>97</w:t>
            </w:r>
          </w:p>
        </w:tc>
      </w:tr>
      <w:tr w:rsidR="00C545A8" w14:paraId="3FE53D50" w14:textId="73172F77" w:rsidTr="00C77C51">
        <w:trPr>
          <w:trHeight w:val="340"/>
        </w:trPr>
        <w:tc>
          <w:tcPr>
            <w:tcW w:w="1696" w:type="dxa"/>
            <w:tcBorders>
              <w:top w:val="single" w:sz="4" w:space="0" w:color="FFFFFF" w:themeColor="background1"/>
              <w:left w:val="nil"/>
              <w:right w:val="single" w:sz="4" w:space="0" w:color="FFFFFF"/>
            </w:tcBorders>
            <w:vAlign w:val="center"/>
          </w:tcPr>
          <w:p w14:paraId="263F5486" w14:textId="15599AC4" w:rsidR="00FC319D" w:rsidRPr="00C545A8" w:rsidRDefault="00FC319D" w:rsidP="00C545A8">
            <w:pPr>
              <w:rPr>
                <w:rFonts w:ascii="Times New Roman" w:hAnsi="Times New Roman" w:cs="Times New Roman"/>
                <w:b/>
                <w:bCs/>
                <w:lang w:val="en-US"/>
              </w:rPr>
            </w:pPr>
            <w:r w:rsidRPr="00C545A8">
              <w:rPr>
                <w:rFonts w:ascii="Times New Roman" w:hAnsi="Times New Roman" w:cs="Times New Roman"/>
                <w:b/>
                <w:bCs/>
                <w:lang w:val="en-US"/>
              </w:rPr>
              <w:t>PCE-H</w:t>
            </w:r>
            <w:r w:rsidRPr="00C77C51">
              <w:rPr>
                <w:rFonts w:ascii="Times New Roman" w:hAnsi="Times New Roman" w:cs="Times New Roman"/>
                <w:b/>
                <w:bCs/>
                <w:vertAlign w:val="subscript"/>
                <w:lang w:val="en-US"/>
              </w:rPr>
              <w:t>2</w:t>
            </w:r>
            <w:r w:rsidRPr="00C545A8">
              <w:rPr>
                <w:rFonts w:ascii="Times New Roman" w:hAnsi="Times New Roman" w:cs="Times New Roman"/>
                <w:b/>
                <w:bCs/>
                <w:lang w:val="en-US"/>
              </w:rPr>
              <w:t>O</w:t>
            </w:r>
          </w:p>
        </w:tc>
        <w:tc>
          <w:tcPr>
            <w:tcW w:w="851" w:type="dxa"/>
            <w:tcBorders>
              <w:top w:val="single" w:sz="4" w:space="0" w:color="FFFFFF" w:themeColor="background1"/>
              <w:left w:val="single" w:sz="4" w:space="0" w:color="FFFFFF"/>
              <w:right w:val="single" w:sz="4" w:space="0" w:color="FFFFFF"/>
            </w:tcBorders>
            <w:vAlign w:val="center"/>
          </w:tcPr>
          <w:p w14:paraId="669A66D4" w14:textId="1EB45655" w:rsidR="00FC319D" w:rsidRDefault="00C545A8" w:rsidP="00C545A8">
            <w:pPr>
              <w:jc w:val="center"/>
              <w:rPr>
                <w:rFonts w:ascii="Times New Roman" w:hAnsi="Times New Roman" w:cs="Times New Roman"/>
                <w:lang w:val="en-US"/>
              </w:rPr>
            </w:pPr>
            <w:r>
              <w:rPr>
                <w:rFonts w:ascii="Times New Roman" w:hAnsi="Times New Roman" w:cs="Times New Roman"/>
                <w:lang w:val="en-US"/>
              </w:rPr>
              <w:t>50</w:t>
            </w:r>
          </w:p>
        </w:tc>
        <w:tc>
          <w:tcPr>
            <w:tcW w:w="850" w:type="dxa"/>
            <w:tcBorders>
              <w:top w:val="single" w:sz="4" w:space="0" w:color="FFFFFF" w:themeColor="background1"/>
              <w:left w:val="single" w:sz="4" w:space="0" w:color="FFFFFF"/>
              <w:right w:val="single" w:sz="4" w:space="0" w:color="FFFFFF"/>
            </w:tcBorders>
            <w:vAlign w:val="center"/>
          </w:tcPr>
          <w:p w14:paraId="4C67BE2A" w14:textId="5FB1F4D8" w:rsidR="00FC319D" w:rsidRDefault="00C545A8" w:rsidP="00C545A8">
            <w:pPr>
              <w:jc w:val="center"/>
              <w:rPr>
                <w:rFonts w:ascii="Times New Roman" w:hAnsi="Times New Roman" w:cs="Times New Roman"/>
                <w:lang w:val="en-US"/>
              </w:rPr>
            </w:pPr>
            <w:r>
              <w:rPr>
                <w:rFonts w:ascii="Times New Roman" w:hAnsi="Times New Roman" w:cs="Times New Roman"/>
                <w:lang w:val="en-US"/>
              </w:rPr>
              <w:t>42.7</w:t>
            </w:r>
          </w:p>
        </w:tc>
        <w:tc>
          <w:tcPr>
            <w:tcW w:w="993" w:type="dxa"/>
            <w:tcBorders>
              <w:top w:val="single" w:sz="4" w:space="0" w:color="FFFFFF" w:themeColor="background1"/>
              <w:left w:val="single" w:sz="4" w:space="0" w:color="FFFFFF"/>
              <w:right w:val="single" w:sz="4" w:space="0" w:color="FFFFFF"/>
            </w:tcBorders>
            <w:vAlign w:val="center"/>
          </w:tcPr>
          <w:p w14:paraId="42F7215B" w14:textId="4B00906E" w:rsidR="00FC319D" w:rsidRDefault="009A7C64" w:rsidP="00C545A8">
            <w:pPr>
              <w:jc w:val="center"/>
              <w:rPr>
                <w:rFonts w:ascii="Times New Roman" w:hAnsi="Times New Roman" w:cs="Times New Roman"/>
                <w:lang w:val="en-US"/>
              </w:rPr>
            </w:pPr>
            <w:r>
              <w:rPr>
                <w:rFonts w:ascii="Times New Roman" w:hAnsi="Times New Roman" w:cs="Times New Roman"/>
                <w:lang w:val="en-US"/>
              </w:rPr>
              <w:t>349</w:t>
            </w:r>
          </w:p>
        </w:tc>
        <w:tc>
          <w:tcPr>
            <w:tcW w:w="1275" w:type="dxa"/>
            <w:tcBorders>
              <w:top w:val="single" w:sz="4" w:space="0" w:color="FFFFFF" w:themeColor="background1"/>
              <w:left w:val="single" w:sz="4" w:space="0" w:color="FFFFFF"/>
            </w:tcBorders>
            <w:vAlign w:val="center"/>
          </w:tcPr>
          <w:p w14:paraId="1DC78092" w14:textId="3FA6D684" w:rsidR="00FC319D" w:rsidRDefault="009A7C64" w:rsidP="00C545A8">
            <w:pPr>
              <w:jc w:val="center"/>
              <w:rPr>
                <w:rFonts w:ascii="Times New Roman" w:hAnsi="Times New Roman" w:cs="Times New Roman"/>
                <w:lang w:val="en-US"/>
              </w:rPr>
            </w:pPr>
            <w:r>
              <w:rPr>
                <w:rFonts w:ascii="Times New Roman" w:hAnsi="Times New Roman" w:cs="Times New Roman"/>
                <w:lang w:val="en-US"/>
              </w:rPr>
              <w:t>405</w:t>
            </w:r>
          </w:p>
        </w:tc>
        <w:tc>
          <w:tcPr>
            <w:tcW w:w="993" w:type="dxa"/>
            <w:tcBorders>
              <w:top w:val="single" w:sz="4" w:space="0" w:color="FFFFFF" w:themeColor="background1"/>
              <w:right w:val="single" w:sz="4" w:space="0" w:color="FFFFFF"/>
            </w:tcBorders>
            <w:vAlign w:val="center"/>
          </w:tcPr>
          <w:p w14:paraId="099C12B8" w14:textId="6573E588" w:rsidR="00FC319D" w:rsidRDefault="009A7C64" w:rsidP="00C545A8">
            <w:pPr>
              <w:jc w:val="center"/>
              <w:rPr>
                <w:rFonts w:ascii="Times New Roman" w:hAnsi="Times New Roman" w:cs="Times New Roman"/>
                <w:lang w:val="en-US"/>
              </w:rPr>
            </w:pPr>
            <w:r>
              <w:rPr>
                <w:rFonts w:ascii="Times New Roman" w:hAnsi="Times New Roman" w:cs="Times New Roman"/>
                <w:lang w:val="en-US"/>
              </w:rPr>
              <w:t>458</w:t>
            </w:r>
          </w:p>
        </w:tc>
        <w:tc>
          <w:tcPr>
            <w:tcW w:w="992" w:type="dxa"/>
            <w:tcBorders>
              <w:top w:val="single" w:sz="4" w:space="0" w:color="FFFFFF" w:themeColor="background1"/>
              <w:left w:val="single" w:sz="4" w:space="0" w:color="FFFFFF"/>
              <w:right w:val="single" w:sz="4" w:space="0" w:color="FFFFFF"/>
            </w:tcBorders>
            <w:vAlign w:val="center"/>
          </w:tcPr>
          <w:p w14:paraId="4386E0BB" w14:textId="47710F39" w:rsidR="00FC319D" w:rsidRDefault="009A7C64" w:rsidP="00C545A8">
            <w:pPr>
              <w:jc w:val="center"/>
              <w:rPr>
                <w:rFonts w:ascii="Times New Roman" w:hAnsi="Times New Roman" w:cs="Times New Roman"/>
                <w:lang w:val="en-US"/>
              </w:rPr>
            </w:pPr>
            <w:r>
              <w:rPr>
                <w:rFonts w:ascii="Times New Roman" w:hAnsi="Times New Roman" w:cs="Times New Roman"/>
                <w:lang w:val="en-US"/>
              </w:rPr>
              <w:t>/</w:t>
            </w:r>
          </w:p>
        </w:tc>
        <w:tc>
          <w:tcPr>
            <w:tcW w:w="1276" w:type="dxa"/>
            <w:tcBorders>
              <w:top w:val="single" w:sz="4" w:space="0" w:color="FFFFFF" w:themeColor="background1"/>
              <w:left w:val="single" w:sz="4" w:space="0" w:color="FFFFFF"/>
              <w:right w:val="single" w:sz="4" w:space="0" w:color="FFFFFF"/>
            </w:tcBorders>
            <w:vAlign w:val="center"/>
          </w:tcPr>
          <w:p w14:paraId="28682F24" w14:textId="44DD1A06" w:rsidR="00FC319D" w:rsidRPr="00FC319D" w:rsidRDefault="009A7C64" w:rsidP="00C545A8">
            <w:pPr>
              <w:jc w:val="center"/>
            </w:pPr>
            <w:r>
              <w:t>218</w:t>
            </w:r>
          </w:p>
        </w:tc>
        <w:tc>
          <w:tcPr>
            <w:tcW w:w="850" w:type="dxa"/>
            <w:tcBorders>
              <w:top w:val="single" w:sz="4" w:space="0" w:color="FFFFFF" w:themeColor="background1"/>
              <w:left w:val="single" w:sz="4" w:space="0" w:color="FFFFFF"/>
              <w:right w:val="nil"/>
            </w:tcBorders>
            <w:vAlign w:val="center"/>
          </w:tcPr>
          <w:p w14:paraId="1B23D5A0" w14:textId="467DFCDB" w:rsidR="00FC319D" w:rsidRDefault="009A7C64" w:rsidP="00C545A8">
            <w:pPr>
              <w:jc w:val="center"/>
              <w:rPr>
                <w:rFonts w:ascii="Times New Roman" w:hAnsi="Times New Roman" w:cs="Times New Roman"/>
                <w:lang w:val="en-US"/>
              </w:rPr>
            </w:pPr>
            <w:r>
              <w:rPr>
                <w:rFonts w:ascii="Times New Roman" w:hAnsi="Times New Roman" w:cs="Times New Roman"/>
                <w:lang w:val="en-US"/>
              </w:rPr>
              <w:t>54</w:t>
            </w:r>
          </w:p>
        </w:tc>
      </w:tr>
    </w:tbl>
    <w:p w14:paraId="0DE817AB" w14:textId="264B4D38" w:rsidR="00DA51A3" w:rsidRDefault="00DA51A3" w:rsidP="00DA51A3">
      <w:pPr>
        <w:snapToGrid w:val="0"/>
        <w:spacing w:before="240" w:line="300" w:lineRule="auto"/>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EF36150" w14:textId="53B956D7" w:rsidR="008F022E" w:rsidRPr="00FA456A" w:rsidRDefault="00C77C51" w:rsidP="00E60F8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jc w:val="both"/>
        <w:rPr>
          <w:lang w:val="en"/>
        </w:rPr>
      </w:pPr>
      <w:r>
        <w:rPr>
          <w:rFonts w:ascii="Times New Roman" w:eastAsia="MS PGothic" w:hAnsi="Times New Roman"/>
          <w:lang w:val="en-US" w:eastAsia="ko-KR"/>
        </w:rPr>
        <w:t>This</w:t>
      </w:r>
      <w:r w:rsidR="009C0433" w:rsidRPr="009C0433">
        <w:rPr>
          <w:rFonts w:ascii="Times New Roman" w:eastAsia="MS PGothic" w:hAnsi="Times New Roman"/>
          <w:lang w:val="en-US" w:eastAsia="ko-KR"/>
        </w:rPr>
        <w:t xml:space="preserve"> work has been focused on the </w:t>
      </w:r>
      <w:r w:rsidR="009C0433">
        <w:rPr>
          <w:rFonts w:ascii="Times New Roman" w:eastAsia="MS PGothic" w:hAnsi="Times New Roman"/>
          <w:lang w:val="en-US" w:eastAsia="ko-KR"/>
        </w:rPr>
        <w:t>evaluation</w:t>
      </w:r>
      <w:r w:rsidR="009C0433" w:rsidRPr="009C0433">
        <w:rPr>
          <w:rFonts w:ascii="Times New Roman" w:eastAsia="MS PGothic" w:hAnsi="Times New Roman"/>
          <w:lang w:val="en-US" w:eastAsia="ko-KR"/>
        </w:rPr>
        <w:t xml:space="preserve"> of the</w:t>
      </w:r>
      <w:r>
        <w:rPr>
          <w:rFonts w:ascii="Times New Roman" w:eastAsia="MS PGothic" w:hAnsi="Times New Roman"/>
          <w:lang w:val="en-US" w:eastAsia="ko-KR"/>
        </w:rPr>
        <w:t xml:space="preserve"> two investigate</w:t>
      </w:r>
      <w:r w:rsidR="009C0433">
        <w:rPr>
          <w:rFonts w:ascii="Times New Roman" w:eastAsia="MS PGothic" w:hAnsi="Times New Roman"/>
          <w:lang w:val="en-US" w:eastAsia="ko-KR"/>
        </w:rPr>
        <w:t xml:space="preserve"> surfactants</w:t>
      </w:r>
      <w:r>
        <w:rPr>
          <w:rFonts w:ascii="Times New Roman" w:eastAsia="MS PGothic" w:hAnsi="Times New Roman"/>
          <w:lang w:val="en-US" w:eastAsia="ko-KR"/>
        </w:rPr>
        <w:t xml:space="preserve"> (APG and RL)</w:t>
      </w:r>
      <w:r w:rsidR="009C0433" w:rsidRPr="009C0433">
        <w:rPr>
          <w:rFonts w:ascii="Times New Roman" w:eastAsia="MS PGothic" w:hAnsi="Times New Roman"/>
          <w:lang w:val="en-US" w:eastAsia="ko-KR"/>
        </w:rPr>
        <w:t xml:space="preserve"> mobilizing capacity towards NAPLs adsorbed through </w:t>
      </w:r>
      <w:r w:rsidR="009C0433">
        <w:rPr>
          <w:rFonts w:ascii="Times New Roman" w:eastAsia="MS PGothic" w:hAnsi="Times New Roman"/>
          <w:lang w:val="en-US" w:eastAsia="ko-KR"/>
        </w:rPr>
        <w:t xml:space="preserve">a </w:t>
      </w:r>
      <w:r w:rsidR="009C0433" w:rsidRPr="009C0433">
        <w:rPr>
          <w:rFonts w:ascii="Times New Roman" w:eastAsia="MS PGothic" w:hAnsi="Times New Roman"/>
          <w:lang w:val="en-US" w:eastAsia="ko-KR"/>
        </w:rPr>
        <w:t>continuous column test.</w:t>
      </w:r>
      <w:r w:rsidR="00E60F87">
        <w:rPr>
          <w:rFonts w:ascii="Times New Roman" w:eastAsia="MS PGothic" w:hAnsi="Times New Roman"/>
          <w:lang w:val="en-US" w:eastAsia="ko-KR"/>
        </w:rPr>
        <w:t xml:space="preserve"> </w:t>
      </w:r>
      <w:r w:rsidR="00E60F87" w:rsidRPr="00E60F87">
        <w:rPr>
          <w:rFonts w:ascii="Times New Roman" w:hAnsi="Times New Roman" w:cs="Times New Roman"/>
          <w:lang w:val="en"/>
        </w:rPr>
        <w:t>Also, in this way it was also possible to carry out a comparative assessment and verify any possible difference in the mobilization capacity of the pollutants according to different origin of surfactant (synthetic and natural).</w:t>
      </w:r>
      <w:r w:rsidR="00FA456A">
        <w:rPr>
          <w:lang w:val="en"/>
        </w:rPr>
        <w:t xml:space="preserve"> </w:t>
      </w:r>
      <w:r w:rsidR="009C0433" w:rsidRPr="009C0433">
        <w:rPr>
          <w:rFonts w:ascii="Times New Roman" w:eastAsia="MS PGothic" w:hAnsi="Times New Roman"/>
          <w:lang w:val="en-US" w:eastAsia="ko-KR"/>
        </w:rPr>
        <w:t xml:space="preserve">The high capacity of surfactants to facilitate </w:t>
      </w:r>
      <w:r w:rsidR="008F022E">
        <w:rPr>
          <w:rFonts w:ascii="Times New Roman" w:eastAsia="MS PGothic" w:hAnsi="Times New Roman"/>
          <w:lang w:val="en-US" w:eastAsia="ko-KR"/>
        </w:rPr>
        <w:t xml:space="preserve">contaminants </w:t>
      </w:r>
      <w:r w:rsidR="009C0433" w:rsidRPr="009C0433">
        <w:rPr>
          <w:rFonts w:ascii="Times New Roman" w:eastAsia="MS PGothic" w:hAnsi="Times New Roman"/>
          <w:lang w:val="en-US" w:eastAsia="ko-KR"/>
        </w:rPr>
        <w:t xml:space="preserve">mobilization has been demonstrated by a significant increase in the </w:t>
      </w:r>
      <w:r w:rsidR="008F022E">
        <w:rPr>
          <w:rFonts w:ascii="Times New Roman" w:eastAsia="MS PGothic" w:hAnsi="Times New Roman"/>
          <w:lang w:val="en-US" w:eastAsia="ko-KR"/>
        </w:rPr>
        <w:t xml:space="preserve">effluent </w:t>
      </w:r>
      <w:r w:rsidR="009C0433" w:rsidRPr="009C0433">
        <w:rPr>
          <w:rFonts w:ascii="Times New Roman" w:eastAsia="MS PGothic" w:hAnsi="Times New Roman"/>
          <w:lang w:val="en-US" w:eastAsia="ko-KR"/>
        </w:rPr>
        <w:t>concentration of contaminant</w:t>
      </w:r>
      <w:r w:rsidR="008F022E">
        <w:rPr>
          <w:rFonts w:ascii="Times New Roman" w:eastAsia="MS PGothic" w:hAnsi="Times New Roman"/>
          <w:lang w:val="en-US" w:eastAsia="ko-KR"/>
        </w:rPr>
        <w:t xml:space="preserve"> </w:t>
      </w:r>
      <w:r w:rsidR="008F022E" w:rsidRPr="008F022E">
        <w:rPr>
          <w:rFonts w:ascii="Times New Roman" w:eastAsia="MS PGothic" w:hAnsi="Times New Roman"/>
          <w:lang w:val="en-US" w:eastAsia="ko-KR"/>
        </w:rPr>
        <w:t xml:space="preserve">after a few hours of feeding </w:t>
      </w:r>
      <w:r w:rsidR="008F022E">
        <w:rPr>
          <w:rFonts w:ascii="Times New Roman" w:eastAsia="MS PGothic" w:hAnsi="Times New Roman"/>
          <w:lang w:val="en-US" w:eastAsia="ko-KR"/>
        </w:rPr>
        <w:t>of</w:t>
      </w:r>
      <w:r w:rsidR="009C0433" w:rsidRPr="009C0433">
        <w:rPr>
          <w:rFonts w:ascii="Times New Roman" w:eastAsia="MS PGothic" w:hAnsi="Times New Roman"/>
          <w:lang w:val="en-US" w:eastAsia="ko-KR"/>
        </w:rPr>
        <w:t xml:space="preserve"> </w:t>
      </w:r>
      <w:r w:rsidR="008F022E">
        <w:rPr>
          <w:rFonts w:ascii="Times New Roman" w:eastAsia="MS PGothic" w:hAnsi="Times New Roman"/>
          <w:lang w:val="en-US" w:eastAsia="ko-KR"/>
        </w:rPr>
        <w:t>flushing</w:t>
      </w:r>
      <w:r w:rsidR="009C0433" w:rsidRPr="009C0433">
        <w:rPr>
          <w:rFonts w:ascii="Times New Roman" w:eastAsia="MS PGothic" w:hAnsi="Times New Roman"/>
          <w:lang w:val="en-US" w:eastAsia="ko-KR"/>
        </w:rPr>
        <w:t xml:space="preserve"> solution, compared to a water-only feed where </w:t>
      </w:r>
      <w:r w:rsidR="008F022E">
        <w:rPr>
          <w:rFonts w:ascii="Times New Roman" w:eastAsia="MS PGothic" w:hAnsi="Times New Roman"/>
          <w:lang w:val="en-US" w:eastAsia="ko-KR"/>
        </w:rPr>
        <w:t xml:space="preserve">only </w:t>
      </w:r>
      <w:r w:rsidR="009C0433" w:rsidRPr="009C0433">
        <w:rPr>
          <w:rFonts w:ascii="Times New Roman" w:eastAsia="MS PGothic" w:hAnsi="Times New Roman"/>
          <w:lang w:val="en-US" w:eastAsia="ko-KR"/>
        </w:rPr>
        <w:t>a slow decrease in the output concentration was observed.</w:t>
      </w:r>
      <w:r w:rsidR="00A271E0">
        <w:rPr>
          <w:rFonts w:ascii="Times New Roman" w:eastAsia="MS PGothic" w:hAnsi="Times New Roman"/>
          <w:lang w:val="en-US" w:eastAsia="ko-KR"/>
        </w:rPr>
        <w:t xml:space="preserve"> </w:t>
      </w:r>
      <w:r w:rsidR="00252865" w:rsidRPr="00252865">
        <w:rPr>
          <w:rFonts w:ascii="Times New Roman" w:eastAsia="MS PGothic" w:hAnsi="Times New Roman"/>
          <w:lang w:val="en-US" w:eastAsia="ko-KR"/>
        </w:rPr>
        <w:t>Both surfactants investigated have guaranteed good removal yields, with</w:t>
      </w:r>
      <w:r w:rsidR="00A271E0">
        <w:rPr>
          <w:rFonts w:ascii="Times New Roman" w:eastAsia="MS PGothic" w:hAnsi="Times New Roman"/>
          <w:lang w:val="en-US" w:eastAsia="ko-KR"/>
        </w:rPr>
        <w:t xml:space="preserve"> both</w:t>
      </w:r>
      <w:r w:rsidR="00252865">
        <w:rPr>
          <w:rFonts w:ascii="Times New Roman" w:eastAsia="MS PGothic" w:hAnsi="Times New Roman"/>
          <w:lang w:val="en-US" w:eastAsia="ko-KR"/>
        </w:rPr>
        <w:t xml:space="preserve"> </w:t>
      </w:r>
      <w:r w:rsidR="00252865" w:rsidRPr="00252865">
        <w:rPr>
          <w:rFonts w:ascii="Times New Roman" w:eastAsia="MS PGothic" w:hAnsi="Times New Roman"/>
          <w:lang w:val="en-US" w:eastAsia="ko-KR"/>
        </w:rPr>
        <w:t>PCE and toluene</w:t>
      </w:r>
      <w:r w:rsidR="00252865">
        <w:rPr>
          <w:rFonts w:ascii="Times New Roman" w:eastAsia="MS PGothic" w:hAnsi="Times New Roman"/>
          <w:lang w:val="en-US" w:eastAsia="ko-KR"/>
        </w:rPr>
        <w:t xml:space="preserve">. Specifically, </w:t>
      </w:r>
      <w:r w:rsidR="00A271E0" w:rsidRPr="00252865">
        <w:rPr>
          <w:rFonts w:ascii="Times New Roman" w:eastAsia="MS PGothic" w:hAnsi="Times New Roman"/>
          <w:lang w:val="en-US" w:eastAsia="ko-KR"/>
        </w:rPr>
        <w:t>the</w:t>
      </w:r>
      <w:r w:rsidR="00252865" w:rsidRPr="00252865">
        <w:rPr>
          <w:rFonts w:ascii="Times New Roman" w:eastAsia="MS PGothic" w:hAnsi="Times New Roman"/>
          <w:lang w:val="en-US" w:eastAsia="ko-KR"/>
        </w:rPr>
        <w:t xml:space="preserve"> experimental results showed that the biosurfactant RL2 was particularly efficient in </w:t>
      </w:r>
      <w:r w:rsidR="00A271E0">
        <w:rPr>
          <w:rFonts w:ascii="Times New Roman" w:eastAsia="MS PGothic" w:hAnsi="Times New Roman"/>
          <w:lang w:val="en-US" w:eastAsia="ko-KR"/>
        </w:rPr>
        <w:t>the mobilization of</w:t>
      </w:r>
      <w:r w:rsidR="00252865" w:rsidRPr="00252865">
        <w:rPr>
          <w:rFonts w:ascii="Times New Roman" w:eastAsia="MS PGothic" w:hAnsi="Times New Roman"/>
          <w:lang w:val="en-US" w:eastAsia="ko-KR"/>
        </w:rPr>
        <w:t xml:space="preserve"> both PCE and toluene</w:t>
      </w:r>
      <w:r w:rsidR="00A271E0">
        <w:rPr>
          <w:rFonts w:ascii="Times New Roman" w:eastAsia="MS PGothic" w:hAnsi="Times New Roman"/>
          <w:lang w:val="en-US" w:eastAsia="ko-KR"/>
        </w:rPr>
        <w:t>,</w:t>
      </w:r>
      <w:r w:rsidR="00252865" w:rsidRPr="00252865">
        <w:rPr>
          <w:rFonts w:ascii="Times New Roman" w:eastAsia="MS PGothic" w:hAnsi="Times New Roman"/>
          <w:lang w:val="en-US" w:eastAsia="ko-KR"/>
        </w:rPr>
        <w:t xml:space="preserve"> compared to the synthetic surfactant APG2. In fact, it has been seen how the </w:t>
      </w:r>
      <w:r w:rsidR="00A271E0">
        <w:rPr>
          <w:rFonts w:ascii="Times New Roman" w:eastAsia="MS PGothic" w:hAnsi="Times New Roman"/>
          <w:lang w:val="en-US" w:eastAsia="ko-KR"/>
        </w:rPr>
        <w:t xml:space="preserve">columns flushing </w:t>
      </w:r>
      <w:r w:rsidR="00252865" w:rsidRPr="00252865">
        <w:rPr>
          <w:rFonts w:ascii="Times New Roman" w:eastAsia="MS PGothic" w:hAnsi="Times New Roman"/>
          <w:lang w:val="en-US" w:eastAsia="ko-KR"/>
        </w:rPr>
        <w:t>with the solution of RL2 (5x</w:t>
      </w:r>
      <w:r w:rsidR="00A271E0">
        <w:rPr>
          <w:rFonts w:ascii="Times New Roman" w:eastAsia="MS PGothic" w:hAnsi="Times New Roman"/>
          <w:lang w:val="en-US" w:eastAsia="ko-KR"/>
        </w:rPr>
        <w:t xml:space="preserve"> </w:t>
      </w:r>
      <w:r w:rsidR="00252865" w:rsidRPr="00252865">
        <w:rPr>
          <w:rFonts w:ascii="Times New Roman" w:eastAsia="MS PGothic" w:hAnsi="Times New Roman"/>
          <w:lang w:val="en-US" w:eastAsia="ko-KR"/>
        </w:rPr>
        <w:lastRenderedPageBreak/>
        <w:t xml:space="preserve">CMC) has determined a removal of 97% and 82% for PCE and toluene, respectively. While the </w:t>
      </w:r>
      <w:r w:rsidR="00A271E0">
        <w:rPr>
          <w:rFonts w:ascii="Times New Roman" w:eastAsia="MS PGothic" w:hAnsi="Times New Roman"/>
          <w:lang w:val="en-US" w:eastAsia="ko-KR"/>
        </w:rPr>
        <w:t>flushing</w:t>
      </w:r>
      <w:r w:rsidR="00252865" w:rsidRPr="00252865">
        <w:rPr>
          <w:rFonts w:ascii="Times New Roman" w:eastAsia="MS PGothic" w:hAnsi="Times New Roman"/>
          <w:lang w:val="en-US" w:eastAsia="ko-KR"/>
        </w:rPr>
        <w:t xml:space="preserve"> with APG2 </w:t>
      </w:r>
      <w:r w:rsidR="00A271E0">
        <w:rPr>
          <w:rFonts w:ascii="Times New Roman" w:eastAsia="MS PGothic" w:hAnsi="Times New Roman"/>
          <w:lang w:val="en-US" w:eastAsia="ko-KR"/>
        </w:rPr>
        <w:t xml:space="preserve">solution </w:t>
      </w:r>
      <w:r w:rsidR="00252865" w:rsidRPr="00252865">
        <w:rPr>
          <w:rFonts w:ascii="Times New Roman" w:eastAsia="MS PGothic" w:hAnsi="Times New Roman"/>
          <w:lang w:val="en-US" w:eastAsia="ko-KR"/>
        </w:rPr>
        <w:t>(5xCMC) resulted in a removal of 92% and 70% for PCE and toluene, respectively.</w:t>
      </w:r>
    </w:p>
    <w:p w14:paraId="78A934A9" w14:textId="726D46C9" w:rsidR="00A271E0" w:rsidRPr="009C0433" w:rsidRDefault="00A271E0" w:rsidP="00E60F87">
      <w:pPr>
        <w:snapToGrid w:val="0"/>
        <w:spacing w:before="240" w:line="276" w:lineRule="auto"/>
        <w:jc w:val="both"/>
        <w:rPr>
          <w:rFonts w:ascii="Times New Roman" w:eastAsia="MS PGothic" w:hAnsi="Times New Roman"/>
          <w:lang w:val="en-US" w:eastAsia="ko-KR"/>
        </w:rPr>
      </w:pPr>
      <w:r w:rsidRPr="00A271E0">
        <w:rPr>
          <w:rFonts w:ascii="Times New Roman" w:eastAsia="MS PGothic" w:hAnsi="Times New Roman"/>
          <w:lang w:val="en-US" w:eastAsia="ko-KR"/>
        </w:rPr>
        <w:t xml:space="preserve">The results obtained from continuous test have amply confirmed the validity of the use of surfactants, </w:t>
      </w:r>
      <w:proofErr w:type="gramStart"/>
      <w:r w:rsidRPr="00A271E0">
        <w:rPr>
          <w:rFonts w:ascii="Times New Roman" w:eastAsia="MS PGothic" w:hAnsi="Times New Roman"/>
          <w:lang w:val="en-US" w:eastAsia="ko-KR"/>
        </w:rPr>
        <w:t xml:space="preserve">in particular </w:t>
      </w:r>
      <w:r>
        <w:rPr>
          <w:rFonts w:ascii="Times New Roman" w:eastAsia="MS PGothic" w:hAnsi="Times New Roman"/>
          <w:lang w:val="en-US" w:eastAsia="ko-KR"/>
        </w:rPr>
        <w:t>of</w:t>
      </w:r>
      <w:proofErr w:type="gramEnd"/>
      <w:r>
        <w:rPr>
          <w:rFonts w:ascii="Times New Roman" w:eastAsia="MS PGothic" w:hAnsi="Times New Roman"/>
          <w:lang w:val="en-US" w:eastAsia="ko-KR"/>
        </w:rPr>
        <w:t xml:space="preserve"> the </w:t>
      </w:r>
      <w:r w:rsidRPr="00A271E0">
        <w:rPr>
          <w:rFonts w:ascii="Times New Roman" w:eastAsia="MS PGothic" w:hAnsi="Times New Roman"/>
          <w:lang w:val="en-US" w:eastAsia="ko-KR"/>
        </w:rPr>
        <w:t xml:space="preserve">biosurfactant RL2, in soil-flushing processes for the remediation of </w:t>
      </w:r>
      <w:r>
        <w:rPr>
          <w:rFonts w:ascii="Times New Roman" w:eastAsia="MS PGothic" w:hAnsi="Times New Roman"/>
          <w:lang w:val="en-US" w:eastAsia="ko-KR"/>
        </w:rPr>
        <w:t>NAPLs contaminated sites</w:t>
      </w:r>
      <w:r w:rsidRPr="00A271E0">
        <w:rPr>
          <w:rFonts w:ascii="Times New Roman" w:eastAsia="MS PGothic" w:hAnsi="Times New Roman"/>
          <w:lang w:val="en-US" w:eastAsia="ko-KR"/>
        </w:rPr>
        <w:t xml:space="preserve"> using SEAR technology</w:t>
      </w:r>
      <w:r>
        <w:rPr>
          <w:rFonts w:ascii="Times New Roman" w:eastAsia="MS PGothic" w:hAnsi="Times New Roman"/>
          <w:lang w:val="en-US" w:eastAsia="ko-KR"/>
        </w:rPr>
        <w:t xml:space="preserve"> approach.</w:t>
      </w:r>
      <w:r w:rsidR="000B3E4D">
        <w:rPr>
          <w:rFonts w:ascii="Times New Roman" w:eastAsia="MS PGothic" w:hAnsi="Times New Roman"/>
          <w:lang w:val="en-US" w:eastAsia="ko-KR"/>
        </w:rPr>
        <w:t xml:space="preserve"> </w:t>
      </w:r>
      <w:r w:rsidR="000B3E4D" w:rsidRPr="000B3E4D">
        <w:rPr>
          <w:rFonts w:ascii="Times New Roman" w:eastAsia="MS PGothic" w:hAnsi="Times New Roman"/>
          <w:lang w:val="en-US" w:eastAsia="ko-KR"/>
        </w:rPr>
        <w:t>Moreover, it should be considered that the RL2 biosurfactant, as produced by the secondary metabolism of microorganisms</w:t>
      </w:r>
      <w:r w:rsidR="000B3E4D">
        <w:rPr>
          <w:rFonts w:ascii="Times New Roman" w:eastAsia="MS PGothic" w:hAnsi="Times New Roman"/>
          <w:lang w:val="en-US" w:eastAsia="ko-KR"/>
        </w:rPr>
        <w:t xml:space="preserve"> (</w:t>
      </w:r>
      <w:r w:rsidR="000B3E4D" w:rsidRPr="000B3E4D">
        <w:rPr>
          <w:rFonts w:ascii="Times New Roman" w:eastAsia="MS PGothic" w:hAnsi="Times New Roman"/>
          <w:i/>
          <w:iCs/>
          <w:lang w:val="en-US" w:eastAsia="ko-KR"/>
        </w:rPr>
        <w:t>Pseudomonas Aeruginosa</w:t>
      </w:r>
      <w:r w:rsidR="000B3E4D">
        <w:rPr>
          <w:rFonts w:ascii="Times New Roman" w:eastAsia="MS PGothic" w:hAnsi="Times New Roman"/>
          <w:lang w:val="en-US" w:eastAsia="ko-KR"/>
        </w:rPr>
        <w:t>)</w:t>
      </w:r>
      <w:r w:rsidR="000B3E4D" w:rsidRPr="000B3E4D">
        <w:rPr>
          <w:rFonts w:ascii="Times New Roman" w:eastAsia="MS PGothic" w:hAnsi="Times New Roman"/>
          <w:lang w:val="en-US" w:eastAsia="ko-KR"/>
        </w:rPr>
        <w:t>, is completely biodegradable, and therefore able to offer a high environmental compatibility and reduce the effect of secondary contamination.</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7D22CDD2" w14:textId="2C17CBEA"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413598">
        <w:rPr>
          <w:rFonts w:ascii="Times New Roman" w:hAnsi="Times New Roman" w:cs="Times New Roman"/>
          <w:sz w:val="20"/>
          <w:szCs w:val="20"/>
          <w:lang w:val="en-US"/>
        </w:rPr>
        <w:fldChar w:fldCharType="begin" w:fldLock="1"/>
      </w:r>
      <w:r w:rsidRPr="00413598">
        <w:rPr>
          <w:rFonts w:ascii="Times New Roman" w:hAnsi="Times New Roman" w:cs="Times New Roman"/>
          <w:sz w:val="20"/>
          <w:szCs w:val="20"/>
          <w:lang w:val="en-US"/>
        </w:rPr>
        <w:instrText xml:space="preserve">ADDIN Mendeley Bibliography CSL_BIBLIOGRAPHY </w:instrText>
      </w:r>
      <w:r w:rsidRPr="00413598">
        <w:rPr>
          <w:rFonts w:ascii="Times New Roman" w:hAnsi="Times New Roman" w:cs="Times New Roman"/>
          <w:sz w:val="20"/>
          <w:szCs w:val="20"/>
          <w:lang w:val="en-US"/>
        </w:rPr>
        <w:fldChar w:fldCharType="separate"/>
      </w:r>
      <w:r w:rsidRPr="0050754C">
        <w:rPr>
          <w:rFonts w:ascii="Times New Roman" w:hAnsi="Times New Roman" w:cs="Times New Roman"/>
          <w:noProof/>
          <w:sz w:val="20"/>
          <w:szCs w:val="20"/>
          <w:lang w:val="en-US"/>
        </w:rPr>
        <w:t>[1]</w:t>
      </w:r>
      <w:r w:rsidRPr="0050754C">
        <w:rPr>
          <w:rFonts w:ascii="Times New Roman" w:hAnsi="Times New Roman" w:cs="Times New Roman"/>
          <w:noProof/>
          <w:sz w:val="20"/>
          <w:szCs w:val="20"/>
          <w:lang w:val="en-US"/>
        </w:rPr>
        <w:tab/>
        <w:t xml:space="preserve">C. M. Steelman, J. R. Meyer, P. Wanner, B. J. Swanson, O. Conway-White, and B. L. Parker, “The importance of transects for characterizing aged organic contaminant plumes in groundwater,” </w:t>
      </w:r>
      <w:r w:rsidRPr="0050754C">
        <w:rPr>
          <w:rFonts w:ascii="Times New Roman" w:hAnsi="Times New Roman" w:cs="Times New Roman"/>
          <w:i/>
          <w:iCs/>
          <w:noProof/>
          <w:sz w:val="20"/>
          <w:szCs w:val="20"/>
          <w:lang w:val="en-US"/>
        </w:rPr>
        <w:t>J. Contam. Hydrol.</w:t>
      </w:r>
      <w:r w:rsidRPr="0050754C">
        <w:rPr>
          <w:rFonts w:ascii="Times New Roman" w:hAnsi="Times New Roman" w:cs="Times New Roman"/>
          <w:noProof/>
          <w:sz w:val="20"/>
          <w:szCs w:val="20"/>
          <w:lang w:val="en-US"/>
        </w:rPr>
        <w:t>, vol. 235, Nov. 2020, doi: 10.1016/j.jconhyd.2020.103728.</w:t>
      </w:r>
    </w:p>
    <w:p w14:paraId="3B3EDA1D"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[2]</w:t>
      </w:r>
      <w:r w:rsidRPr="0050754C">
        <w:rPr>
          <w:rFonts w:ascii="Times New Roman" w:hAnsi="Times New Roman" w:cs="Times New Roman"/>
          <w:noProof/>
          <w:sz w:val="20"/>
          <w:szCs w:val="20"/>
          <w:lang w:val="en-US"/>
        </w:rPr>
        <w:tab/>
        <w:t xml:space="preserve">Z. Guo, M. L. Brusseau, and G. E. Fogg, “Determining the long-term operational performance of pump and treat and the possibility of closure for a large TCE plume,” </w:t>
      </w:r>
      <w:r w:rsidRPr="0050754C">
        <w:rPr>
          <w:rFonts w:ascii="Times New Roman" w:hAnsi="Times New Roman" w:cs="Times New Roman"/>
          <w:i/>
          <w:iCs/>
          <w:noProof/>
          <w:sz w:val="20"/>
          <w:szCs w:val="20"/>
          <w:lang w:val="en-US"/>
        </w:rPr>
        <w:t>J. Hazard. Mater.</w:t>
      </w:r>
      <w:r w:rsidRPr="0050754C">
        <w:rPr>
          <w:rFonts w:ascii="Times New Roman" w:hAnsi="Times New Roman" w:cs="Times New Roman"/>
          <w:noProof/>
          <w:sz w:val="20"/>
          <w:szCs w:val="20"/>
          <w:lang w:val="en-US"/>
        </w:rPr>
        <w:t>, vol. 365, pp. 796–803, Mar. 2019, doi: 10.1016/j.jhazmat.2018.11.057.</w:t>
      </w:r>
    </w:p>
    <w:p w14:paraId="754268DE"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[3]</w:t>
      </w:r>
      <w:r w:rsidRPr="0050754C">
        <w:rPr>
          <w:rFonts w:ascii="Times New Roman" w:hAnsi="Times New Roman" w:cs="Times New Roman"/>
          <w:noProof/>
          <w:sz w:val="20"/>
          <w:szCs w:val="20"/>
          <w:lang w:val="en-US"/>
        </w:rPr>
        <w:tab/>
        <w:t xml:space="preserve">J. W. Liu </w:t>
      </w:r>
      <w:r w:rsidRPr="0050754C">
        <w:rPr>
          <w:rFonts w:ascii="Times New Roman" w:hAnsi="Times New Roman" w:cs="Times New Roman"/>
          <w:i/>
          <w:iCs/>
          <w:noProof/>
          <w:sz w:val="20"/>
          <w:szCs w:val="20"/>
          <w:lang w:val="en-US"/>
        </w:rPr>
        <w:t>et al.</w:t>
      </w:r>
      <w:r w:rsidRPr="0050754C">
        <w:rPr>
          <w:rFonts w:ascii="Times New Roman" w:hAnsi="Times New Roman" w:cs="Times New Roman"/>
          <w:noProof/>
          <w:sz w:val="20"/>
          <w:szCs w:val="20"/>
          <w:lang w:val="en-US"/>
        </w:rPr>
        <w:t xml:space="preserve">, “Surfactant-enhanced remediation of oil-contaminated soil and groundwater: A review,” </w:t>
      </w:r>
      <w:r w:rsidRPr="0050754C">
        <w:rPr>
          <w:rFonts w:ascii="Times New Roman" w:hAnsi="Times New Roman" w:cs="Times New Roman"/>
          <w:i/>
          <w:iCs/>
          <w:noProof/>
          <w:sz w:val="20"/>
          <w:szCs w:val="20"/>
          <w:lang w:val="en-US"/>
        </w:rPr>
        <w:t>Sci. Total Environ.</w:t>
      </w:r>
      <w:r w:rsidRPr="0050754C">
        <w:rPr>
          <w:rFonts w:ascii="Times New Roman" w:hAnsi="Times New Roman" w:cs="Times New Roman"/>
          <w:noProof/>
          <w:sz w:val="20"/>
          <w:szCs w:val="20"/>
          <w:lang w:val="en-US"/>
        </w:rPr>
        <w:t>, vol. 756, p. 144142, 2021, doi: 10.1016/j.scitotenv.2020.144142.</w:t>
      </w:r>
    </w:p>
    <w:p w14:paraId="0FBE00CA"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[4]</w:t>
      </w:r>
      <w:r w:rsidRPr="0050754C">
        <w:rPr>
          <w:rFonts w:ascii="Times New Roman" w:hAnsi="Times New Roman" w:cs="Times New Roman"/>
          <w:noProof/>
          <w:sz w:val="20"/>
          <w:szCs w:val="20"/>
          <w:lang w:val="en-US"/>
        </w:rPr>
        <w:tab/>
        <w:t xml:space="preserve">L. Huo, G. Liu, X. Yang, Z. Ahmad, and H. Zhong, “Surfactant-enhanced aquifer remediation: Mechanisms, influences, limitations and the countermeasures,” </w:t>
      </w:r>
      <w:r w:rsidRPr="0050754C">
        <w:rPr>
          <w:rFonts w:ascii="Times New Roman" w:hAnsi="Times New Roman" w:cs="Times New Roman"/>
          <w:i/>
          <w:iCs/>
          <w:noProof/>
          <w:sz w:val="20"/>
          <w:szCs w:val="20"/>
          <w:lang w:val="en-US"/>
        </w:rPr>
        <w:t>Chemosphere</w:t>
      </w:r>
      <w:r w:rsidRPr="0050754C">
        <w:rPr>
          <w:rFonts w:ascii="Times New Roman" w:hAnsi="Times New Roman" w:cs="Times New Roman"/>
          <w:noProof/>
          <w:sz w:val="20"/>
          <w:szCs w:val="20"/>
          <w:lang w:val="en-US"/>
        </w:rPr>
        <w:t>, vol. 252. Elsevier Ltd, Aug. 01, 2020, doi: 10.1016/j.chemosphere.2020.126620.</w:t>
      </w:r>
    </w:p>
    <w:p w14:paraId="07310DD8"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[5]</w:t>
      </w:r>
      <w:r w:rsidRPr="0050754C">
        <w:rPr>
          <w:rFonts w:ascii="Times New Roman" w:hAnsi="Times New Roman" w:cs="Times New Roman"/>
          <w:noProof/>
          <w:sz w:val="20"/>
          <w:szCs w:val="20"/>
          <w:lang w:val="en-US"/>
        </w:rPr>
        <w:tab/>
        <w:t xml:space="preserve">R. García-Cervilla, A. Romero, A. Santos, and D. Lorenzo, “Surfactant-enhanced solubilization of chlorinated organic compounds contained in dnapl from lindane waste: Effect of surfactant type and ph,” </w:t>
      </w:r>
      <w:r w:rsidRPr="0050754C">
        <w:rPr>
          <w:rFonts w:ascii="Times New Roman" w:hAnsi="Times New Roman" w:cs="Times New Roman"/>
          <w:i/>
          <w:iCs/>
          <w:noProof/>
          <w:sz w:val="20"/>
          <w:szCs w:val="20"/>
          <w:lang w:val="en-US"/>
        </w:rPr>
        <w:t>Int. J. Environ. Res. Public Health</w:t>
      </w:r>
      <w:r w:rsidRPr="0050754C">
        <w:rPr>
          <w:rFonts w:ascii="Times New Roman" w:hAnsi="Times New Roman" w:cs="Times New Roman"/>
          <w:noProof/>
          <w:sz w:val="20"/>
          <w:szCs w:val="20"/>
          <w:lang w:val="en-US"/>
        </w:rPr>
        <w:t>, vol. 17, no. 12, pp. 1–14, Jun. 2020, doi: 10.3390/ijerph17124494.</w:t>
      </w:r>
    </w:p>
    <w:p w14:paraId="7FECBD61"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[6]</w:t>
      </w:r>
      <w:r w:rsidRPr="0050754C">
        <w:rPr>
          <w:rFonts w:ascii="Times New Roman" w:hAnsi="Times New Roman" w:cs="Times New Roman"/>
          <w:noProof/>
          <w:sz w:val="20"/>
          <w:szCs w:val="20"/>
          <w:lang w:val="en-US"/>
        </w:rPr>
        <w:tab/>
        <w:t xml:space="preserve">K. Sookhak Lari, J. L. Rayner, and G. B. Davis, “Toward Optimizing LNAPL Remediation,” </w:t>
      </w:r>
      <w:r w:rsidRPr="0050754C">
        <w:rPr>
          <w:rFonts w:ascii="Times New Roman" w:hAnsi="Times New Roman" w:cs="Times New Roman"/>
          <w:i/>
          <w:iCs/>
          <w:noProof/>
          <w:sz w:val="20"/>
          <w:szCs w:val="20"/>
          <w:lang w:val="en-US"/>
        </w:rPr>
        <w:t>Water Resour. Res.</w:t>
      </w:r>
      <w:r w:rsidRPr="0050754C">
        <w:rPr>
          <w:rFonts w:ascii="Times New Roman" w:hAnsi="Times New Roman" w:cs="Times New Roman"/>
          <w:noProof/>
          <w:sz w:val="20"/>
          <w:szCs w:val="20"/>
          <w:lang w:val="en-US"/>
        </w:rPr>
        <w:t>, vol. 55, pp. 87–96, Mar. 2019, doi: 10.1029/2018WR023380.</w:t>
      </w:r>
    </w:p>
    <w:p w14:paraId="382A2EFF"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[7]</w:t>
      </w:r>
      <w:r w:rsidRPr="0050754C">
        <w:rPr>
          <w:rFonts w:ascii="Times New Roman" w:hAnsi="Times New Roman" w:cs="Times New Roman"/>
          <w:noProof/>
          <w:sz w:val="20"/>
          <w:szCs w:val="20"/>
          <w:lang w:val="en-US"/>
        </w:rPr>
        <w:tab/>
        <w:t xml:space="preserve">Y. Fu, C. Qin, S. Gao, C. Lv, C. Zhang, and Y. Yao, “Aquifer flushing using a SDS/1-butanol based in-situ microemulsion: Performance and mechanism for the remediation of nitrobenzene contamination,” </w:t>
      </w:r>
      <w:r w:rsidRPr="0050754C">
        <w:rPr>
          <w:rFonts w:ascii="Times New Roman" w:hAnsi="Times New Roman" w:cs="Times New Roman"/>
          <w:i/>
          <w:iCs/>
          <w:noProof/>
          <w:sz w:val="20"/>
          <w:szCs w:val="20"/>
          <w:lang w:val="en-US"/>
        </w:rPr>
        <w:t>J. Hazard. Mater.</w:t>
      </w:r>
      <w:r w:rsidRPr="0050754C">
        <w:rPr>
          <w:rFonts w:ascii="Times New Roman" w:hAnsi="Times New Roman" w:cs="Times New Roman"/>
          <w:noProof/>
          <w:sz w:val="20"/>
          <w:szCs w:val="20"/>
          <w:lang w:val="en-US"/>
        </w:rPr>
        <w:t>, vol. 424, 2022, doi: 10.1016/j.jhazmat.2021.127409.</w:t>
      </w:r>
    </w:p>
    <w:p w14:paraId="4559B0BF"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[8]</w:t>
      </w:r>
      <w:r w:rsidRPr="0050754C">
        <w:rPr>
          <w:rFonts w:ascii="Times New Roman" w:hAnsi="Times New Roman" w:cs="Times New Roman"/>
          <w:noProof/>
          <w:sz w:val="20"/>
          <w:szCs w:val="20"/>
          <w:lang w:val="en-US"/>
        </w:rPr>
        <w:tab/>
        <w:t xml:space="preserve">M. Le Meur, G. J. V. Cohen, M. Laurent, P. Höhener, and O. Atteia, “Effect of NAPL mixture and alteration on 222Rn partitioning coefficients: Implications for NAPL subsurface contamination quantification,” </w:t>
      </w:r>
      <w:r w:rsidRPr="0050754C">
        <w:rPr>
          <w:rFonts w:ascii="Times New Roman" w:hAnsi="Times New Roman" w:cs="Times New Roman"/>
          <w:i/>
          <w:iCs/>
          <w:noProof/>
          <w:sz w:val="20"/>
          <w:szCs w:val="20"/>
          <w:lang w:val="en-US"/>
        </w:rPr>
        <w:t>Sci. Total Environ.</w:t>
      </w:r>
      <w:r w:rsidRPr="0050754C">
        <w:rPr>
          <w:rFonts w:ascii="Times New Roman" w:hAnsi="Times New Roman" w:cs="Times New Roman"/>
          <w:noProof/>
          <w:sz w:val="20"/>
          <w:szCs w:val="20"/>
          <w:lang w:val="en-US"/>
        </w:rPr>
        <w:t>, vol. 791, Oct. 2021, doi: 10.1016/j.scitotenv.2021.148210.</w:t>
      </w:r>
    </w:p>
    <w:p w14:paraId="1CDE6D80"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[9]</w:t>
      </w:r>
      <w:r w:rsidRPr="0050754C">
        <w:rPr>
          <w:rFonts w:ascii="Times New Roman" w:hAnsi="Times New Roman" w:cs="Times New Roman"/>
          <w:noProof/>
          <w:sz w:val="20"/>
          <w:szCs w:val="20"/>
          <w:lang w:val="en-US"/>
        </w:rPr>
        <w:tab/>
        <w:t xml:space="preserve">M. M. Rossi </w:t>
      </w:r>
      <w:r w:rsidRPr="0050754C">
        <w:rPr>
          <w:rFonts w:ascii="Times New Roman" w:hAnsi="Times New Roman" w:cs="Times New Roman"/>
          <w:i/>
          <w:iCs/>
          <w:noProof/>
          <w:sz w:val="20"/>
          <w:szCs w:val="20"/>
          <w:lang w:val="en-US"/>
        </w:rPr>
        <w:t>et al.</w:t>
      </w:r>
      <w:r w:rsidRPr="0050754C">
        <w:rPr>
          <w:rFonts w:ascii="Times New Roman" w:hAnsi="Times New Roman" w:cs="Times New Roman"/>
          <w:noProof/>
          <w:sz w:val="20"/>
          <w:szCs w:val="20"/>
          <w:lang w:val="en-US"/>
        </w:rPr>
        <w:t xml:space="preserve">, “Combined Strategies to Prompt the Biological Reduction of Chlorinated Aliphatic Hydrocarbons: New Sustainable Options for Bioremediation Application,” </w:t>
      </w:r>
      <w:r w:rsidRPr="0050754C">
        <w:rPr>
          <w:rFonts w:ascii="Times New Roman" w:hAnsi="Times New Roman" w:cs="Times New Roman"/>
          <w:i/>
          <w:iCs/>
          <w:noProof/>
          <w:sz w:val="20"/>
          <w:szCs w:val="20"/>
          <w:lang w:val="en-US"/>
        </w:rPr>
        <w:t>Bioeng. 2021, Vol. 8, Page 109</w:t>
      </w:r>
      <w:r w:rsidRPr="0050754C">
        <w:rPr>
          <w:rFonts w:ascii="Times New Roman" w:hAnsi="Times New Roman" w:cs="Times New Roman"/>
          <w:noProof/>
          <w:sz w:val="20"/>
          <w:szCs w:val="20"/>
          <w:lang w:val="en-US"/>
        </w:rPr>
        <w:t>, vol. 8, no. 8, p. 109, Aug. 2021, doi: 10.3390/BIOENGINEERING8080109.</w:t>
      </w:r>
    </w:p>
    <w:p w14:paraId="1C1B8060"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[10]</w:t>
      </w:r>
      <w:r w:rsidRPr="0050754C">
        <w:rPr>
          <w:rFonts w:ascii="Times New Roman" w:hAnsi="Times New Roman" w:cs="Times New Roman"/>
          <w:noProof/>
          <w:sz w:val="20"/>
          <w:szCs w:val="20"/>
          <w:lang w:val="en-US"/>
        </w:rPr>
        <w:tab/>
        <w:t xml:space="preserve">D. O’Connor </w:t>
      </w:r>
      <w:r w:rsidRPr="0050754C">
        <w:rPr>
          <w:rFonts w:ascii="Times New Roman" w:hAnsi="Times New Roman" w:cs="Times New Roman"/>
          <w:i/>
          <w:iCs/>
          <w:noProof/>
          <w:sz w:val="20"/>
          <w:szCs w:val="20"/>
          <w:lang w:val="en-US"/>
        </w:rPr>
        <w:t>et al.</w:t>
      </w:r>
      <w:r w:rsidRPr="0050754C">
        <w:rPr>
          <w:rFonts w:ascii="Times New Roman" w:hAnsi="Times New Roman" w:cs="Times New Roman"/>
          <w:noProof/>
          <w:sz w:val="20"/>
          <w:szCs w:val="20"/>
          <w:lang w:val="en-US"/>
        </w:rPr>
        <w:t xml:space="preserve">, “Sustainable in situ remediation of recalcitrant organic pollutants in groundwater with controlled release materials: A review,” </w:t>
      </w:r>
      <w:r w:rsidRPr="0050754C">
        <w:rPr>
          <w:rFonts w:ascii="Times New Roman" w:hAnsi="Times New Roman" w:cs="Times New Roman"/>
          <w:i/>
          <w:iCs/>
          <w:noProof/>
          <w:sz w:val="20"/>
          <w:szCs w:val="20"/>
          <w:lang w:val="en-US"/>
        </w:rPr>
        <w:t>Journal of Controlled Release</w:t>
      </w:r>
      <w:r w:rsidRPr="0050754C">
        <w:rPr>
          <w:rFonts w:ascii="Times New Roman" w:hAnsi="Times New Roman" w:cs="Times New Roman"/>
          <w:noProof/>
          <w:sz w:val="20"/>
          <w:szCs w:val="20"/>
          <w:lang w:val="en-US"/>
        </w:rPr>
        <w:t>, vol. 283. Elsevier B.V., pp. 200–213, Aug. 10, 2018, doi: 10.1016/j.jconrel.2018.06.007.</w:t>
      </w:r>
    </w:p>
    <w:p w14:paraId="6618912E"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[11]</w:t>
      </w:r>
      <w:r w:rsidRPr="0050754C">
        <w:rPr>
          <w:rFonts w:ascii="Times New Roman" w:hAnsi="Times New Roman" w:cs="Times New Roman"/>
          <w:noProof/>
          <w:sz w:val="20"/>
          <w:szCs w:val="20"/>
          <w:lang w:val="en-US"/>
        </w:rPr>
        <w:tab/>
        <w:t xml:space="preserve">E. H. Teramoto, M. A. Z. Pede, and H. K. Chang, “Impact of water table fluctuations on the seasonal effectiveness of the pump-and-treat remediation in wet–dry tropical regions,” </w:t>
      </w:r>
      <w:r w:rsidRPr="0050754C">
        <w:rPr>
          <w:rFonts w:ascii="Times New Roman" w:hAnsi="Times New Roman" w:cs="Times New Roman"/>
          <w:i/>
          <w:iCs/>
          <w:noProof/>
          <w:sz w:val="20"/>
          <w:szCs w:val="20"/>
          <w:lang w:val="en-US"/>
        </w:rPr>
        <w:t>Environ. Earth Sci.</w:t>
      </w:r>
      <w:r w:rsidRPr="0050754C">
        <w:rPr>
          <w:rFonts w:ascii="Times New Roman" w:hAnsi="Times New Roman" w:cs="Times New Roman"/>
          <w:noProof/>
          <w:sz w:val="20"/>
          <w:szCs w:val="20"/>
          <w:lang w:val="en-US"/>
        </w:rPr>
        <w:t>, vol. 79, no. 18, Sep. 2020, doi: 10.1007/s12665-020-09182-1.</w:t>
      </w:r>
    </w:p>
    <w:p w14:paraId="5786754A"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[12]</w:t>
      </w:r>
      <w:r w:rsidRPr="0050754C">
        <w:rPr>
          <w:rFonts w:ascii="Times New Roman" w:hAnsi="Times New Roman" w:cs="Times New Roman"/>
          <w:noProof/>
          <w:sz w:val="20"/>
          <w:szCs w:val="20"/>
          <w:lang w:val="en-US"/>
        </w:rPr>
        <w:tab/>
        <w:t xml:space="preserve">A. A. Befkadu and Q. Chen, “Surfactant-Enhanced Soil Washing for Removal of Petroleum Hydrocarbons from Contaminated Soils: A Review,” </w:t>
      </w:r>
      <w:r w:rsidRPr="0050754C">
        <w:rPr>
          <w:rFonts w:ascii="Times New Roman" w:hAnsi="Times New Roman" w:cs="Times New Roman"/>
          <w:i/>
          <w:iCs/>
          <w:noProof/>
          <w:sz w:val="20"/>
          <w:szCs w:val="20"/>
          <w:lang w:val="en-US"/>
        </w:rPr>
        <w:t>Pedosphere</w:t>
      </w:r>
      <w:r w:rsidRPr="0050754C">
        <w:rPr>
          <w:rFonts w:ascii="Times New Roman" w:hAnsi="Times New Roman" w:cs="Times New Roman"/>
          <w:noProof/>
          <w:sz w:val="20"/>
          <w:szCs w:val="20"/>
          <w:lang w:val="en-US"/>
        </w:rPr>
        <w:t>, vol. 28, no. 3, pp. 383–410, 2018, doi: 10.1016/S1002-0160(18)60027-X.</w:t>
      </w:r>
    </w:p>
    <w:p w14:paraId="5C4E8115"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[13]</w:t>
      </w:r>
      <w:r w:rsidRPr="0050754C">
        <w:rPr>
          <w:rFonts w:ascii="Times New Roman" w:hAnsi="Times New Roman" w:cs="Times New Roman"/>
          <w:noProof/>
          <w:sz w:val="20"/>
          <w:szCs w:val="20"/>
          <w:lang w:val="en-US"/>
        </w:rPr>
        <w:tab/>
        <w:t xml:space="preserve">T. Gaudin, P. Rotureau, I. Pezron, and G. Fayet, “New QSPR models to predict the critical micelle concentration of sugar-based surfactants,” </w:t>
      </w:r>
      <w:r w:rsidRPr="0050754C">
        <w:rPr>
          <w:rFonts w:ascii="Times New Roman" w:hAnsi="Times New Roman" w:cs="Times New Roman"/>
          <w:i/>
          <w:iCs/>
          <w:noProof/>
          <w:sz w:val="20"/>
          <w:szCs w:val="20"/>
          <w:lang w:val="en-US"/>
        </w:rPr>
        <w:t>Ind. Eng. Chem. Res.</w:t>
      </w:r>
      <w:r w:rsidRPr="0050754C">
        <w:rPr>
          <w:rFonts w:ascii="Times New Roman" w:hAnsi="Times New Roman" w:cs="Times New Roman"/>
          <w:noProof/>
          <w:sz w:val="20"/>
          <w:szCs w:val="20"/>
          <w:lang w:val="en-US"/>
        </w:rPr>
        <w:t>, vol. 55, no. 45, pp. 11716–11726, 2016, doi: 10.1021/acs.iecr.6b02890.</w:t>
      </w:r>
    </w:p>
    <w:p w14:paraId="4ABADD5E"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[14]</w:t>
      </w:r>
      <w:r w:rsidRPr="0050754C">
        <w:rPr>
          <w:rFonts w:ascii="Times New Roman" w:hAnsi="Times New Roman" w:cs="Times New Roman"/>
          <w:noProof/>
          <w:sz w:val="20"/>
          <w:szCs w:val="20"/>
          <w:lang w:val="en-US"/>
        </w:rPr>
        <w:tab/>
        <w:t xml:space="preserve">S. T. Malkapuram </w:t>
      </w:r>
      <w:r w:rsidRPr="0050754C">
        <w:rPr>
          <w:rFonts w:ascii="Times New Roman" w:hAnsi="Times New Roman" w:cs="Times New Roman"/>
          <w:i/>
          <w:iCs/>
          <w:noProof/>
          <w:sz w:val="20"/>
          <w:szCs w:val="20"/>
          <w:lang w:val="en-US"/>
        </w:rPr>
        <w:t>et al.</w:t>
      </w:r>
      <w:r w:rsidRPr="0050754C">
        <w:rPr>
          <w:rFonts w:ascii="Times New Roman" w:hAnsi="Times New Roman" w:cs="Times New Roman"/>
          <w:noProof/>
          <w:sz w:val="20"/>
          <w:szCs w:val="20"/>
          <w:lang w:val="en-US"/>
        </w:rPr>
        <w:t xml:space="preserve">, “A review on recent advances in the application of biosurfactants in wastewater treatment,” </w:t>
      </w:r>
      <w:r w:rsidRPr="0050754C">
        <w:rPr>
          <w:rFonts w:ascii="Times New Roman" w:hAnsi="Times New Roman" w:cs="Times New Roman"/>
          <w:i/>
          <w:iCs/>
          <w:noProof/>
          <w:sz w:val="20"/>
          <w:szCs w:val="20"/>
          <w:lang w:val="en-US"/>
        </w:rPr>
        <w:t>Sustain. Energy Technol. Assessments</w:t>
      </w:r>
      <w:r w:rsidRPr="0050754C">
        <w:rPr>
          <w:rFonts w:ascii="Times New Roman" w:hAnsi="Times New Roman" w:cs="Times New Roman"/>
          <w:noProof/>
          <w:sz w:val="20"/>
          <w:szCs w:val="20"/>
          <w:lang w:val="en-US"/>
        </w:rPr>
        <w:t>, vol. 48, no. August, p. 101576, Dec. 2021, doi: 10.1016/j.seta.2021.101576.</w:t>
      </w:r>
    </w:p>
    <w:p w14:paraId="7DCB37B6" w14:textId="77777777" w:rsidR="00413598" w:rsidRPr="0050754C"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lang w:val="en-US"/>
        </w:rPr>
      </w:pPr>
      <w:r w:rsidRPr="0050754C">
        <w:rPr>
          <w:rFonts w:ascii="Times New Roman" w:hAnsi="Times New Roman" w:cs="Times New Roman"/>
          <w:noProof/>
          <w:sz w:val="20"/>
          <w:szCs w:val="20"/>
          <w:lang w:val="en-US"/>
        </w:rPr>
        <w:t>[15]</w:t>
      </w:r>
      <w:r w:rsidRPr="0050754C">
        <w:rPr>
          <w:rFonts w:ascii="Times New Roman" w:hAnsi="Times New Roman" w:cs="Times New Roman"/>
          <w:noProof/>
          <w:sz w:val="20"/>
          <w:szCs w:val="20"/>
          <w:lang w:val="en-US"/>
        </w:rPr>
        <w:tab/>
        <w:t xml:space="preserve">P. Ciampi, C. Esposito, G. Cassiani, G. P. Deidda, P. Rizzetto, and M. P. Papini, “A field-scale remediation of residual light non-aqueous phase liquid (LNAPL): chemical enhancers for pump and treat,” </w:t>
      </w:r>
      <w:r w:rsidRPr="0050754C">
        <w:rPr>
          <w:rFonts w:ascii="Times New Roman" w:hAnsi="Times New Roman" w:cs="Times New Roman"/>
          <w:i/>
          <w:iCs/>
          <w:noProof/>
          <w:sz w:val="20"/>
          <w:szCs w:val="20"/>
          <w:lang w:val="en-US"/>
        </w:rPr>
        <w:t>Environ. Sci. Pollut. Res.</w:t>
      </w:r>
      <w:r w:rsidRPr="0050754C">
        <w:rPr>
          <w:rFonts w:ascii="Times New Roman" w:hAnsi="Times New Roman" w:cs="Times New Roman"/>
          <w:noProof/>
          <w:sz w:val="20"/>
          <w:szCs w:val="20"/>
          <w:lang w:val="en-US"/>
        </w:rPr>
        <w:t>, vol. 28, pp. 35286–35296, 2021, doi: 10.1007/s11356-021-14558-2/Published.</w:t>
      </w:r>
    </w:p>
    <w:p w14:paraId="782535C7" w14:textId="77777777" w:rsidR="00413598" w:rsidRPr="00413598" w:rsidRDefault="00413598" w:rsidP="00413598">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50754C">
        <w:rPr>
          <w:rFonts w:ascii="Times New Roman" w:hAnsi="Times New Roman" w:cs="Times New Roman"/>
          <w:noProof/>
          <w:sz w:val="20"/>
          <w:szCs w:val="20"/>
          <w:lang w:val="en-US"/>
        </w:rPr>
        <w:t>[16]</w:t>
      </w:r>
      <w:r w:rsidRPr="0050754C">
        <w:rPr>
          <w:rFonts w:ascii="Times New Roman" w:hAnsi="Times New Roman" w:cs="Times New Roman"/>
          <w:noProof/>
          <w:sz w:val="20"/>
          <w:szCs w:val="20"/>
          <w:lang w:val="en-US"/>
        </w:rPr>
        <w:tab/>
        <w:t xml:space="preserve">C. Yang </w:t>
      </w:r>
      <w:r w:rsidRPr="0050754C">
        <w:rPr>
          <w:rFonts w:ascii="Times New Roman" w:hAnsi="Times New Roman" w:cs="Times New Roman"/>
          <w:i/>
          <w:iCs/>
          <w:noProof/>
          <w:sz w:val="20"/>
          <w:szCs w:val="20"/>
          <w:lang w:val="en-US"/>
        </w:rPr>
        <w:t>et al.</w:t>
      </w:r>
      <w:r w:rsidRPr="0050754C">
        <w:rPr>
          <w:rFonts w:ascii="Times New Roman" w:hAnsi="Times New Roman" w:cs="Times New Roman"/>
          <w:noProof/>
          <w:sz w:val="20"/>
          <w:szCs w:val="20"/>
          <w:lang w:val="en-US"/>
        </w:rPr>
        <w:t xml:space="preserve">, “The role of surfactants in colloidal biliquid aphrons and their transport in saturated porous medium,” </w:t>
      </w:r>
      <w:r w:rsidRPr="0050754C">
        <w:rPr>
          <w:rFonts w:ascii="Times New Roman" w:hAnsi="Times New Roman" w:cs="Times New Roman"/>
          <w:i/>
          <w:iCs/>
          <w:noProof/>
          <w:sz w:val="20"/>
          <w:szCs w:val="20"/>
          <w:lang w:val="en-US"/>
        </w:rPr>
        <w:t xml:space="preserve">Environ. </w:t>
      </w:r>
      <w:r w:rsidRPr="00413598">
        <w:rPr>
          <w:rFonts w:ascii="Times New Roman" w:hAnsi="Times New Roman" w:cs="Times New Roman"/>
          <w:i/>
          <w:iCs/>
          <w:noProof/>
          <w:sz w:val="20"/>
          <w:szCs w:val="20"/>
        </w:rPr>
        <w:t>Pollut.</w:t>
      </w:r>
      <w:r w:rsidRPr="00413598">
        <w:rPr>
          <w:rFonts w:ascii="Times New Roman" w:hAnsi="Times New Roman" w:cs="Times New Roman"/>
          <w:noProof/>
          <w:sz w:val="20"/>
          <w:szCs w:val="20"/>
        </w:rPr>
        <w:t>, vol. 265, Oct. 2020, doi: 10.1016/j.envpol.2020.114564.</w:t>
      </w:r>
    </w:p>
    <w:p w14:paraId="5A650773" w14:textId="6AE69CBC" w:rsidR="005B71B2" w:rsidRPr="00DA51A3" w:rsidRDefault="00413598" w:rsidP="00FA456A">
      <w:pPr>
        <w:spacing w:after="0" w:line="240" w:lineRule="auto"/>
        <w:jc w:val="both"/>
        <w:rPr>
          <w:lang w:val="en-US"/>
        </w:rPr>
      </w:pPr>
      <w:r w:rsidRPr="00413598">
        <w:rPr>
          <w:rFonts w:ascii="Times New Roman" w:hAnsi="Times New Roman" w:cs="Times New Roman"/>
          <w:sz w:val="20"/>
          <w:szCs w:val="20"/>
          <w:lang w:val="en-US"/>
        </w:rPr>
        <w:fldChar w:fldCharType="end"/>
      </w:r>
    </w:p>
    <w:sectPr w:rsidR="005B71B2" w:rsidRPr="00DA51A3" w:rsidSect="001D0E0C">
      <w:headerReference w:type="default" r:id="rId16"/>
      <w:head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901B" w14:textId="77777777" w:rsidR="00E632CF" w:rsidRDefault="00E632CF" w:rsidP="001D0E0C">
      <w:pPr>
        <w:spacing w:after="0" w:line="240" w:lineRule="auto"/>
      </w:pPr>
      <w:r>
        <w:separator/>
      </w:r>
    </w:p>
  </w:endnote>
  <w:endnote w:type="continuationSeparator" w:id="0">
    <w:p w14:paraId="7B5576A7" w14:textId="77777777" w:rsidR="00E632CF" w:rsidRDefault="00E632C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0AF8" w14:textId="77777777" w:rsidR="00E632CF" w:rsidRDefault="00E632CF" w:rsidP="001D0E0C">
      <w:pPr>
        <w:spacing w:after="0" w:line="240" w:lineRule="auto"/>
      </w:pPr>
      <w:r>
        <w:separator/>
      </w:r>
    </w:p>
  </w:footnote>
  <w:footnote w:type="continuationSeparator" w:id="0">
    <w:p w14:paraId="108E95A0" w14:textId="77777777" w:rsidR="00E632CF" w:rsidRDefault="00E632C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33719"/>
    <w:rsid w:val="000379F8"/>
    <w:rsid w:val="000517B4"/>
    <w:rsid w:val="00071EF7"/>
    <w:rsid w:val="000910D0"/>
    <w:rsid w:val="000B3E4D"/>
    <w:rsid w:val="000C4569"/>
    <w:rsid w:val="000D589C"/>
    <w:rsid w:val="000E53E0"/>
    <w:rsid w:val="000E6EAA"/>
    <w:rsid w:val="0010485C"/>
    <w:rsid w:val="0012712E"/>
    <w:rsid w:val="0013532A"/>
    <w:rsid w:val="00135ECA"/>
    <w:rsid w:val="001376D1"/>
    <w:rsid w:val="001437F6"/>
    <w:rsid w:val="00164678"/>
    <w:rsid w:val="00164D95"/>
    <w:rsid w:val="00181DF6"/>
    <w:rsid w:val="0018667F"/>
    <w:rsid w:val="001A14E8"/>
    <w:rsid w:val="001A2C94"/>
    <w:rsid w:val="001A7BBF"/>
    <w:rsid w:val="001B060D"/>
    <w:rsid w:val="001B292A"/>
    <w:rsid w:val="001D0E0C"/>
    <w:rsid w:val="001D5607"/>
    <w:rsid w:val="001E3116"/>
    <w:rsid w:val="001F4687"/>
    <w:rsid w:val="001F6896"/>
    <w:rsid w:val="00203A64"/>
    <w:rsid w:val="00207DE6"/>
    <w:rsid w:val="00224D44"/>
    <w:rsid w:val="00233D28"/>
    <w:rsid w:val="00252865"/>
    <w:rsid w:val="00253343"/>
    <w:rsid w:val="00257033"/>
    <w:rsid w:val="00284231"/>
    <w:rsid w:val="002A011D"/>
    <w:rsid w:val="002A5F15"/>
    <w:rsid w:val="002C6C95"/>
    <w:rsid w:val="002D288E"/>
    <w:rsid w:val="0031702A"/>
    <w:rsid w:val="00320EB2"/>
    <w:rsid w:val="00331F3D"/>
    <w:rsid w:val="0033481F"/>
    <w:rsid w:val="00342DD9"/>
    <w:rsid w:val="00344A1B"/>
    <w:rsid w:val="00352ED7"/>
    <w:rsid w:val="0037475D"/>
    <w:rsid w:val="00385AF1"/>
    <w:rsid w:val="00392AEA"/>
    <w:rsid w:val="003940F0"/>
    <w:rsid w:val="003F160A"/>
    <w:rsid w:val="00402674"/>
    <w:rsid w:val="00413598"/>
    <w:rsid w:val="00426FAA"/>
    <w:rsid w:val="00431B7F"/>
    <w:rsid w:val="00432C7C"/>
    <w:rsid w:val="00435633"/>
    <w:rsid w:val="0046535B"/>
    <w:rsid w:val="00467A7C"/>
    <w:rsid w:val="004939B2"/>
    <w:rsid w:val="004B2D51"/>
    <w:rsid w:val="004C56B4"/>
    <w:rsid w:val="004D7FD0"/>
    <w:rsid w:val="00501A09"/>
    <w:rsid w:val="0050754C"/>
    <w:rsid w:val="00533DAE"/>
    <w:rsid w:val="00536D0E"/>
    <w:rsid w:val="00562C0F"/>
    <w:rsid w:val="005A4144"/>
    <w:rsid w:val="005B3160"/>
    <w:rsid w:val="005B36EA"/>
    <w:rsid w:val="005B71B2"/>
    <w:rsid w:val="005C2A12"/>
    <w:rsid w:val="005C3F6D"/>
    <w:rsid w:val="005C5B0A"/>
    <w:rsid w:val="005C68C1"/>
    <w:rsid w:val="005D2C98"/>
    <w:rsid w:val="005D5772"/>
    <w:rsid w:val="005E21EB"/>
    <w:rsid w:val="00610518"/>
    <w:rsid w:val="006147EB"/>
    <w:rsid w:val="0061690C"/>
    <w:rsid w:val="00624C2F"/>
    <w:rsid w:val="006349B8"/>
    <w:rsid w:val="00637C48"/>
    <w:rsid w:val="00644329"/>
    <w:rsid w:val="00646FCB"/>
    <w:rsid w:val="0069587C"/>
    <w:rsid w:val="00697CD6"/>
    <w:rsid w:val="006A156C"/>
    <w:rsid w:val="006B1415"/>
    <w:rsid w:val="006B75AC"/>
    <w:rsid w:val="006C26C7"/>
    <w:rsid w:val="006C7E4D"/>
    <w:rsid w:val="006C7FF1"/>
    <w:rsid w:val="006D56E1"/>
    <w:rsid w:val="006F79B9"/>
    <w:rsid w:val="007073F5"/>
    <w:rsid w:val="00716914"/>
    <w:rsid w:val="00734E41"/>
    <w:rsid w:val="0075107B"/>
    <w:rsid w:val="00752A83"/>
    <w:rsid w:val="00754642"/>
    <w:rsid w:val="007614D3"/>
    <w:rsid w:val="00773816"/>
    <w:rsid w:val="00776F08"/>
    <w:rsid w:val="007773D2"/>
    <w:rsid w:val="007C42C7"/>
    <w:rsid w:val="007C76FF"/>
    <w:rsid w:val="007F63D3"/>
    <w:rsid w:val="0080783B"/>
    <w:rsid w:val="00852A47"/>
    <w:rsid w:val="00855392"/>
    <w:rsid w:val="008607AF"/>
    <w:rsid w:val="00863142"/>
    <w:rsid w:val="008865DF"/>
    <w:rsid w:val="008871B1"/>
    <w:rsid w:val="00897D56"/>
    <w:rsid w:val="008D310D"/>
    <w:rsid w:val="008E0015"/>
    <w:rsid w:val="008E5DD6"/>
    <w:rsid w:val="008F022E"/>
    <w:rsid w:val="00901825"/>
    <w:rsid w:val="00943BCD"/>
    <w:rsid w:val="00944211"/>
    <w:rsid w:val="009451E3"/>
    <w:rsid w:val="009530E0"/>
    <w:rsid w:val="0096538A"/>
    <w:rsid w:val="00966872"/>
    <w:rsid w:val="00987184"/>
    <w:rsid w:val="009926D4"/>
    <w:rsid w:val="009A6FA3"/>
    <w:rsid w:val="009A7C64"/>
    <w:rsid w:val="009B37E2"/>
    <w:rsid w:val="009C0433"/>
    <w:rsid w:val="009D4427"/>
    <w:rsid w:val="009E09C0"/>
    <w:rsid w:val="00A1383D"/>
    <w:rsid w:val="00A243FC"/>
    <w:rsid w:val="00A25DCA"/>
    <w:rsid w:val="00A271E0"/>
    <w:rsid w:val="00A41CA9"/>
    <w:rsid w:val="00A46E95"/>
    <w:rsid w:val="00A51F7C"/>
    <w:rsid w:val="00A62D0C"/>
    <w:rsid w:val="00A64C20"/>
    <w:rsid w:val="00AB1801"/>
    <w:rsid w:val="00AB4795"/>
    <w:rsid w:val="00AE0CA2"/>
    <w:rsid w:val="00B0163C"/>
    <w:rsid w:val="00B250FC"/>
    <w:rsid w:val="00B64C3E"/>
    <w:rsid w:val="00B749C5"/>
    <w:rsid w:val="00B75D31"/>
    <w:rsid w:val="00BA632F"/>
    <w:rsid w:val="00BA737F"/>
    <w:rsid w:val="00BB4DF2"/>
    <w:rsid w:val="00BC66DF"/>
    <w:rsid w:val="00BD4758"/>
    <w:rsid w:val="00BD4762"/>
    <w:rsid w:val="00BD5B6A"/>
    <w:rsid w:val="00BE1270"/>
    <w:rsid w:val="00BF0A85"/>
    <w:rsid w:val="00BF23B7"/>
    <w:rsid w:val="00BF5C59"/>
    <w:rsid w:val="00C263F4"/>
    <w:rsid w:val="00C40840"/>
    <w:rsid w:val="00C5420D"/>
    <w:rsid w:val="00C545A8"/>
    <w:rsid w:val="00C77C51"/>
    <w:rsid w:val="00C808AD"/>
    <w:rsid w:val="00C9033E"/>
    <w:rsid w:val="00CC0826"/>
    <w:rsid w:val="00CD03D1"/>
    <w:rsid w:val="00CF6F0F"/>
    <w:rsid w:val="00D03DB3"/>
    <w:rsid w:val="00D118FD"/>
    <w:rsid w:val="00D322F1"/>
    <w:rsid w:val="00D35F32"/>
    <w:rsid w:val="00D412A9"/>
    <w:rsid w:val="00D431C1"/>
    <w:rsid w:val="00D63CEF"/>
    <w:rsid w:val="00D66779"/>
    <w:rsid w:val="00DA51A3"/>
    <w:rsid w:val="00DC3ADF"/>
    <w:rsid w:val="00DD2D8C"/>
    <w:rsid w:val="00DE76AC"/>
    <w:rsid w:val="00DF7360"/>
    <w:rsid w:val="00E107DC"/>
    <w:rsid w:val="00E14722"/>
    <w:rsid w:val="00E42563"/>
    <w:rsid w:val="00E505BD"/>
    <w:rsid w:val="00E60F87"/>
    <w:rsid w:val="00E632CF"/>
    <w:rsid w:val="00E67250"/>
    <w:rsid w:val="00E82A56"/>
    <w:rsid w:val="00E96A3B"/>
    <w:rsid w:val="00EA74FF"/>
    <w:rsid w:val="00EB7812"/>
    <w:rsid w:val="00EC3792"/>
    <w:rsid w:val="00EC3AC9"/>
    <w:rsid w:val="00EF16E9"/>
    <w:rsid w:val="00F03C72"/>
    <w:rsid w:val="00F24290"/>
    <w:rsid w:val="00F27D2B"/>
    <w:rsid w:val="00F33FC8"/>
    <w:rsid w:val="00F54973"/>
    <w:rsid w:val="00F710D7"/>
    <w:rsid w:val="00F87F61"/>
    <w:rsid w:val="00FA0B65"/>
    <w:rsid w:val="00FA1ABF"/>
    <w:rsid w:val="00FA456A"/>
    <w:rsid w:val="00FA4B07"/>
    <w:rsid w:val="00FC3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Didascalia">
    <w:name w:val="caption"/>
    <w:basedOn w:val="Normale"/>
    <w:next w:val="Normale"/>
    <w:uiPriority w:val="35"/>
    <w:unhideWhenUsed/>
    <w:qFormat/>
    <w:rsid w:val="00CC0826"/>
    <w:pPr>
      <w:spacing w:after="200" w:line="240" w:lineRule="auto"/>
    </w:pPr>
    <w:rPr>
      <w:i/>
      <w:iCs/>
      <w:color w:val="44546A" w:themeColor="text2"/>
      <w:sz w:val="18"/>
      <w:szCs w:val="18"/>
    </w:rPr>
  </w:style>
  <w:style w:type="character" w:styleId="Testosegnaposto">
    <w:name w:val="Placeholder Text"/>
    <w:basedOn w:val="Carpredefinitoparagrafo"/>
    <w:uiPriority w:val="99"/>
    <w:semiHidden/>
    <w:rsid w:val="00F03C72"/>
    <w:rPr>
      <w:color w:val="808080"/>
    </w:rPr>
  </w:style>
  <w:style w:type="table" w:styleId="Grigliatabella">
    <w:name w:val="Table Grid"/>
    <w:basedOn w:val="Tabellanormale"/>
    <w:uiPriority w:val="39"/>
    <w:rsid w:val="00F0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52A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63142"/>
    <w:rPr>
      <w:color w:val="0563C1" w:themeColor="hyperlink"/>
      <w:u w:val="single"/>
    </w:rPr>
  </w:style>
  <w:style w:type="character" w:styleId="Menzionenonrisolta">
    <w:name w:val="Unresolved Mention"/>
    <w:basedOn w:val="Carpredefinitoparagrafo"/>
    <w:uiPriority w:val="99"/>
    <w:semiHidden/>
    <w:unhideWhenUsed/>
    <w:rsid w:val="00863142"/>
    <w:rPr>
      <w:color w:val="605E5C"/>
      <w:shd w:val="clear" w:color="auto" w:fill="E1DFDD"/>
    </w:rPr>
  </w:style>
  <w:style w:type="paragraph" w:styleId="Paragrafoelenco">
    <w:name w:val="List Paragraph"/>
    <w:basedOn w:val="Normale"/>
    <w:uiPriority w:val="34"/>
    <w:qFormat/>
    <w:rsid w:val="007614D3"/>
    <w:pPr>
      <w:ind w:left="720"/>
      <w:contextualSpacing/>
    </w:pPr>
  </w:style>
  <w:style w:type="character" w:customStyle="1" w:styleId="corrected-phrasedisplayed-text">
    <w:name w:val="corrected-phrase__displayed-text"/>
    <w:basedOn w:val="Carpredefinitoparagrafo"/>
    <w:rsid w:val="007614D3"/>
  </w:style>
  <w:style w:type="character" w:styleId="Rimandonotaapidipagina">
    <w:name w:val="footnote reference"/>
    <w:basedOn w:val="Carpredefinitoparagrafo"/>
    <w:uiPriority w:val="99"/>
    <w:semiHidden/>
    <w:unhideWhenUsed/>
    <w:rsid w:val="00761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8023">
      <w:bodyDiv w:val="1"/>
      <w:marLeft w:val="0"/>
      <w:marRight w:val="0"/>
      <w:marTop w:val="0"/>
      <w:marBottom w:val="0"/>
      <w:divBdr>
        <w:top w:val="none" w:sz="0" w:space="0" w:color="auto"/>
        <w:left w:val="none" w:sz="0" w:space="0" w:color="auto"/>
        <w:bottom w:val="none" w:sz="0" w:space="0" w:color="auto"/>
        <w:right w:val="none" w:sz="0" w:space="0" w:color="auto"/>
      </w:divBdr>
    </w:div>
    <w:div w:id="496656761">
      <w:bodyDiv w:val="1"/>
      <w:marLeft w:val="0"/>
      <w:marRight w:val="0"/>
      <w:marTop w:val="0"/>
      <w:marBottom w:val="0"/>
      <w:divBdr>
        <w:top w:val="none" w:sz="0" w:space="0" w:color="auto"/>
        <w:left w:val="none" w:sz="0" w:space="0" w:color="auto"/>
        <w:bottom w:val="none" w:sz="0" w:space="0" w:color="auto"/>
        <w:right w:val="none" w:sz="0" w:space="0" w:color="auto"/>
      </w:divBdr>
    </w:div>
    <w:div w:id="1172182547">
      <w:bodyDiv w:val="1"/>
      <w:marLeft w:val="0"/>
      <w:marRight w:val="0"/>
      <w:marTop w:val="0"/>
      <w:marBottom w:val="0"/>
      <w:divBdr>
        <w:top w:val="none" w:sz="0" w:space="0" w:color="auto"/>
        <w:left w:val="none" w:sz="0" w:space="0" w:color="auto"/>
        <w:bottom w:val="none" w:sz="0" w:space="0" w:color="auto"/>
        <w:right w:val="none" w:sz="0" w:space="0" w:color="auto"/>
      </w:divBdr>
    </w:div>
    <w:div w:id="1343774019">
      <w:bodyDiv w:val="1"/>
      <w:marLeft w:val="0"/>
      <w:marRight w:val="0"/>
      <w:marTop w:val="0"/>
      <w:marBottom w:val="0"/>
      <w:divBdr>
        <w:top w:val="none" w:sz="0" w:space="0" w:color="auto"/>
        <w:left w:val="none" w:sz="0" w:space="0" w:color="auto"/>
        <w:bottom w:val="none" w:sz="0" w:space="0" w:color="auto"/>
        <w:right w:val="none" w:sz="0" w:space="0" w:color="auto"/>
      </w:divBdr>
    </w:div>
    <w:div w:id="1925451650">
      <w:bodyDiv w:val="1"/>
      <w:marLeft w:val="0"/>
      <w:marRight w:val="0"/>
      <w:marTop w:val="0"/>
      <w:marBottom w:val="0"/>
      <w:divBdr>
        <w:top w:val="none" w:sz="0" w:space="0" w:color="auto"/>
        <w:left w:val="none" w:sz="0" w:space="0" w:color="auto"/>
        <w:bottom w:val="none" w:sz="0" w:space="0" w:color="auto"/>
        <w:right w:val="none" w:sz="0" w:space="0" w:color="auto"/>
      </w:divBdr>
    </w:div>
    <w:div w:id="20924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ardino.barbati@uniroma1.it"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6869-0FEB-4A50-BA93-953C1ABA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9255</Words>
  <Characters>52759</Characters>
  <Application>Microsoft Office Word</Application>
  <DocSecurity>0</DocSecurity>
  <Lines>439</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Berardino Barbati</cp:lastModifiedBy>
  <cp:revision>5</cp:revision>
  <cp:lastPrinted>2022-03-21T18:12:00Z</cp:lastPrinted>
  <dcterms:created xsi:type="dcterms:W3CDTF">2022-03-15T09:58:00Z</dcterms:created>
  <dcterms:modified xsi:type="dcterms:W3CDTF">2022-03-21T18:29:00Z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http://www.zotero.org/styles/springer-basic-brackets-no-et-al</vt:lpwstr>
  </property>
  <property fmtid="{D5CDD505-2E9C-101B-9397-08002B2CF9AE}" pid="21" name="Mendeley Recent Style Name 9_1">
    <vt:lpwstr>Springer - Basic (numeric, brackets, no "et al.")</vt:lpwstr>
  </property>
  <property fmtid="{D5CDD505-2E9C-101B-9397-08002B2CF9AE}" pid="22" name="Mendeley Document_1">
    <vt:lpwstr>True</vt:lpwstr>
  </property>
  <property fmtid="{D5CDD505-2E9C-101B-9397-08002B2CF9AE}" pid="23" name="Mendeley Unique User Id_1">
    <vt:lpwstr>e5a3092c-8f22-31b5-9062-4fe024fffdba</vt:lpwstr>
  </property>
  <property fmtid="{D5CDD505-2E9C-101B-9397-08002B2CF9AE}" pid="24" name="Mendeley Citation Style_1">
    <vt:lpwstr>http://www.zotero.org/styles/ieee</vt:lpwstr>
  </property>
</Properties>
</file>