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702E43A3" w:rsidR="00DA51A3" w:rsidRPr="00C573D8" w:rsidRDefault="00C573D8" w:rsidP="00DA51A3">
      <w:pPr>
        <w:snapToGrid w:val="0"/>
        <w:jc w:val="center"/>
        <w:rPr>
          <w:rFonts w:ascii="Times New Roman" w:eastAsia="MS PGothic" w:hAnsi="Times New Roman"/>
          <w:b/>
          <w:bCs/>
          <w:sz w:val="24"/>
          <w:szCs w:val="24"/>
          <w:lang w:val="en-GB"/>
        </w:rPr>
      </w:pPr>
      <w:r w:rsidRPr="00C573D8">
        <w:rPr>
          <w:rFonts w:ascii="Times New Roman" w:eastAsia="MS PGothic" w:hAnsi="Times New Roman"/>
          <w:b/>
          <w:bCs/>
          <w:sz w:val="24"/>
          <w:szCs w:val="24"/>
          <w:lang w:val="en-GB"/>
        </w:rPr>
        <w:t xml:space="preserve">Simulation of a </w:t>
      </w:r>
      <w:r>
        <w:rPr>
          <w:rFonts w:ascii="Times New Roman" w:eastAsia="MS PGothic" w:hAnsi="Times New Roman"/>
          <w:b/>
          <w:bCs/>
          <w:sz w:val="24"/>
          <w:szCs w:val="24"/>
          <w:lang w:val="en-GB"/>
        </w:rPr>
        <w:t>methane-based Poly(3-hydroxybutyrate) production process: the effect of internal gas recycling</w:t>
      </w:r>
    </w:p>
    <w:p w14:paraId="5DC330F9" w14:textId="77777777" w:rsidR="00DA51A3" w:rsidRPr="00C573D8" w:rsidRDefault="00DA51A3" w:rsidP="00DA51A3">
      <w:pPr>
        <w:snapToGrid w:val="0"/>
        <w:jc w:val="center"/>
        <w:rPr>
          <w:rFonts w:ascii="Times New Roman" w:eastAsia="MS PGothic" w:hAnsi="Times New Roman"/>
          <w:b/>
          <w:bCs/>
          <w:sz w:val="24"/>
          <w:szCs w:val="24"/>
          <w:lang w:val="en-GB" w:eastAsia="ko-KR"/>
        </w:rPr>
      </w:pPr>
    </w:p>
    <w:p w14:paraId="243AAF34" w14:textId="1B016B00" w:rsidR="00DA51A3" w:rsidRPr="00AA27FD" w:rsidRDefault="00880D04" w:rsidP="00DA51A3">
      <w:pPr>
        <w:snapToGrid w:val="0"/>
        <w:jc w:val="center"/>
        <w:rPr>
          <w:rFonts w:ascii="Times New Roman" w:eastAsia="MS PGothic" w:hAnsi="Times New Roman"/>
          <w:sz w:val="24"/>
          <w:szCs w:val="24"/>
          <w:u w:val="single"/>
        </w:rPr>
      </w:pPr>
      <w:r w:rsidRPr="00AA27FD">
        <w:rPr>
          <w:rFonts w:ascii="Times New Roman" w:eastAsia="SimSun" w:hAnsi="Times New Roman"/>
          <w:sz w:val="24"/>
          <w:szCs w:val="24"/>
          <w:u w:val="single"/>
          <w:lang w:eastAsia="zh-CN"/>
        </w:rPr>
        <w:t>Claudia Amabile</w:t>
      </w:r>
      <w:r w:rsidR="00DA51A3" w:rsidRPr="00AA27FD">
        <w:rPr>
          <w:rFonts w:ascii="Times New Roman" w:eastAsia="SimSun" w:hAnsi="Times New Roman"/>
          <w:sz w:val="24"/>
          <w:szCs w:val="24"/>
          <w:u w:val="single"/>
          <w:vertAlign w:val="superscript"/>
          <w:lang w:eastAsia="zh-CN"/>
        </w:rPr>
        <w:t>1</w:t>
      </w:r>
      <w:r w:rsidR="00DA51A3" w:rsidRPr="00AA27FD">
        <w:rPr>
          <w:rFonts w:ascii="Times New Roman" w:eastAsia="SimSun" w:hAnsi="Times New Roman"/>
          <w:sz w:val="24"/>
          <w:szCs w:val="24"/>
          <w:u w:val="single"/>
          <w:lang w:eastAsia="zh-CN"/>
        </w:rPr>
        <w:t>,</w:t>
      </w:r>
      <w:r w:rsidRPr="00AA27FD">
        <w:rPr>
          <w:rFonts w:ascii="Times New Roman" w:eastAsia="SimSun" w:hAnsi="Times New Roman"/>
          <w:sz w:val="24"/>
          <w:szCs w:val="24"/>
          <w:u w:val="single"/>
          <w:lang w:eastAsia="zh-CN"/>
        </w:rPr>
        <w:t xml:space="preserve"> Teresa Abate</w:t>
      </w:r>
      <w:r w:rsidRPr="00AA27FD">
        <w:rPr>
          <w:rFonts w:ascii="Times New Roman" w:eastAsia="SimSun" w:hAnsi="Times New Roman"/>
          <w:sz w:val="24"/>
          <w:szCs w:val="24"/>
          <w:u w:val="single"/>
          <w:vertAlign w:val="superscript"/>
          <w:lang w:eastAsia="zh-CN"/>
        </w:rPr>
        <w:t>1</w:t>
      </w:r>
      <w:r w:rsidRPr="00AA27FD">
        <w:rPr>
          <w:rFonts w:ascii="Times New Roman" w:eastAsia="SimSun" w:hAnsi="Times New Roman"/>
          <w:sz w:val="24"/>
          <w:szCs w:val="24"/>
          <w:u w:val="single"/>
          <w:lang w:eastAsia="zh-CN"/>
        </w:rPr>
        <w:t>, Simeone Chianese</w:t>
      </w:r>
      <w:r w:rsidRPr="00AA27FD">
        <w:rPr>
          <w:rFonts w:ascii="Times New Roman" w:eastAsia="SimSun" w:hAnsi="Times New Roman"/>
          <w:sz w:val="24"/>
          <w:szCs w:val="24"/>
          <w:u w:val="single"/>
          <w:vertAlign w:val="superscript"/>
          <w:lang w:eastAsia="zh-CN"/>
        </w:rPr>
        <w:t>1</w:t>
      </w:r>
      <w:r w:rsidR="00CF281E">
        <w:rPr>
          <w:rFonts w:ascii="Times New Roman" w:eastAsia="SimSun" w:hAnsi="Times New Roman"/>
          <w:sz w:val="24"/>
          <w:szCs w:val="24"/>
          <w:u w:val="single"/>
          <w:vertAlign w:val="superscript"/>
          <w:lang w:eastAsia="zh-CN"/>
        </w:rPr>
        <w:t>*</w:t>
      </w:r>
      <w:r w:rsidRPr="00AA27FD">
        <w:rPr>
          <w:rFonts w:ascii="Times New Roman" w:eastAsia="SimSun" w:hAnsi="Times New Roman"/>
          <w:sz w:val="24"/>
          <w:szCs w:val="24"/>
          <w:u w:val="single"/>
          <w:lang w:eastAsia="zh-CN"/>
        </w:rPr>
        <w:t>, Dino Musmarra</w:t>
      </w:r>
      <w:r w:rsidRPr="00AA27FD">
        <w:rPr>
          <w:rFonts w:ascii="Times New Roman" w:eastAsia="SimSun" w:hAnsi="Times New Roman"/>
          <w:sz w:val="24"/>
          <w:szCs w:val="24"/>
          <w:u w:val="single"/>
          <w:vertAlign w:val="superscript"/>
          <w:lang w:eastAsia="zh-CN"/>
        </w:rPr>
        <w:t>1</w:t>
      </w:r>
    </w:p>
    <w:p w14:paraId="7A602332" w14:textId="65F59FD4" w:rsidR="00DA51A3" w:rsidRPr="00CF281E" w:rsidRDefault="00DA51A3" w:rsidP="00CF281E">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7A41EE">
        <w:rPr>
          <w:rFonts w:ascii="Times New Roman" w:eastAsia="MS PGothic" w:hAnsi="Times New Roman"/>
          <w:i/>
          <w:iCs/>
          <w:sz w:val="20"/>
          <w:lang w:val="en-US"/>
        </w:rPr>
        <w:t xml:space="preserve">Department of engineering, University of Campania “Luigi </w:t>
      </w:r>
      <w:proofErr w:type="spellStart"/>
      <w:r w:rsidR="007A41EE">
        <w:rPr>
          <w:rFonts w:ascii="Times New Roman" w:eastAsia="MS PGothic" w:hAnsi="Times New Roman"/>
          <w:i/>
          <w:iCs/>
          <w:sz w:val="20"/>
          <w:lang w:val="en-US"/>
        </w:rPr>
        <w:t>Vanvitelli</w:t>
      </w:r>
      <w:proofErr w:type="spellEnd"/>
      <w:r w:rsidR="007A41EE">
        <w:rPr>
          <w:rFonts w:ascii="Times New Roman" w:eastAsia="MS PGothic" w:hAnsi="Times New Roman"/>
          <w:i/>
          <w:iCs/>
          <w:sz w:val="20"/>
          <w:lang w:val="en-US"/>
        </w:rPr>
        <w:t>”, Via Roma 29, 81031,</w:t>
      </w:r>
      <w:r w:rsidR="00B4243B">
        <w:rPr>
          <w:rFonts w:ascii="Times New Roman" w:eastAsia="MS PGothic" w:hAnsi="Times New Roman"/>
          <w:i/>
          <w:iCs/>
          <w:sz w:val="20"/>
          <w:lang w:val="en-US"/>
        </w:rPr>
        <w:t xml:space="preserve"> </w:t>
      </w:r>
      <w:proofErr w:type="gramStart"/>
      <w:r w:rsidR="007A41EE">
        <w:rPr>
          <w:rFonts w:ascii="Times New Roman" w:eastAsia="MS PGothic" w:hAnsi="Times New Roman"/>
          <w:i/>
          <w:iCs/>
          <w:sz w:val="20"/>
          <w:lang w:val="en-US"/>
        </w:rPr>
        <w:t>Aversa</w:t>
      </w:r>
      <w:r w:rsidRPr="00466FFD">
        <w:rPr>
          <w:rFonts w:ascii="Times New Roman" w:eastAsia="MS PGothic" w:hAnsi="Times New Roman"/>
          <w:i/>
          <w:iCs/>
          <w:sz w:val="20"/>
          <w:lang w:val="en-US"/>
        </w:rPr>
        <w:t>;</w:t>
      </w:r>
      <w:proofErr w:type="gramEnd"/>
      <w:r w:rsidRPr="00466FFD">
        <w:rPr>
          <w:rFonts w:ascii="Times New Roman" w:eastAsia="MS PGothic" w:hAnsi="Times New Roman"/>
          <w:i/>
          <w:iCs/>
          <w:sz w:val="20"/>
          <w:lang w:val="en-US"/>
        </w:rPr>
        <w:t xml:space="preserve"> </w:t>
      </w:r>
    </w:p>
    <w:p w14:paraId="5533360A" w14:textId="42179BBF"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CF281E">
        <w:rPr>
          <w:rFonts w:ascii="Times New Roman" w:eastAsia="MS PGothic" w:hAnsi="Times New Roman"/>
          <w:bCs/>
          <w:i/>
          <w:iCs/>
          <w:sz w:val="20"/>
          <w:lang w:val="en-US"/>
        </w:rPr>
        <w:t>simeone.chianese@unicampania.it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FD89DA9" w14:textId="0F21062C" w:rsidR="00CA1041" w:rsidRDefault="00C573D8" w:rsidP="00C573D8">
      <w:pPr>
        <w:snapToGrid w:val="0"/>
        <w:spacing w:after="120"/>
        <w:rPr>
          <w:rFonts w:ascii="Times New Roman" w:eastAsia="MS PGothic" w:hAnsi="Times New Roman"/>
          <w:lang w:val="en-US"/>
        </w:rPr>
      </w:pPr>
      <w:r>
        <w:rPr>
          <w:rFonts w:ascii="Times New Roman" w:eastAsia="MS PGothic" w:hAnsi="Times New Roman"/>
          <w:lang w:val="en-US"/>
        </w:rPr>
        <w:t xml:space="preserve">Poly(3-hydroxybutyrate) (PHB) is a thermoplastic polyester belonging to the family of </w:t>
      </w:r>
      <w:proofErr w:type="spellStart"/>
      <w:r>
        <w:rPr>
          <w:rFonts w:ascii="Times New Roman" w:eastAsia="MS PGothic" w:hAnsi="Times New Roman"/>
          <w:lang w:val="en-US"/>
        </w:rPr>
        <w:t>Polyhydroxyalkanoates</w:t>
      </w:r>
      <w:proofErr w:type="spellEnd"/>
      <w:r>
        <w:rPr>
          <w:rFonts w:ascii="Times New Roman" w:eastAsia="MS PGothic" w:hAnsi="Times New Roman"/>
          <w:lang w:val="en-US"/>
        </w:rPr>
        <w:t xml:space="preserve"> (PHAs), which are well-known biobased and biodegradable biopolymers</w:t>
      </w:r>
      <w:r w:rsidR="00AC541A">
        <w:rPr>
          <w:rFonts w:ascii="Times New Roman" w:eastAsia="MS PGothic" w:hAnsi="Times New Roman"/>
          <w:lang w:val="en-US"/>
        </w:rPr>
        <w:t xml:space="preserve"> </w:t>
      </w:r>
      <w:r w:rsidR="00AC541A">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{"citationItems":[{"id":"ITEM-1","itemData":{"DOI":"10.1016/S0960-8524(02)00212-2","ISSN":"09608524","PMID":"12765352","abstract":"Polyhydroxyalkanoates have gained major importance due to their structural diversity and close analogy to plastics. These are gaining more and more importance world over. Different sources (natural isolates, recombinant bacteria, plants) and other methods are being investigated to exert more control over the quality, quantity and economics of poly(3-hydroxybutyrate) (PHB) production. Their biodegradability makes them extremely desirable substitutes for synthetic plastics. The PHB biosynthetic genes phbA, phbB and phbC are clustered and organized in one phbCAB operon. The PHB pathway is highly divergent in the bacterial genera with regard to orientation and clustering of genes involved. Inspite of this the enzymes display a high degree of sequence conservation. But how similar are the mechanisms of regulation of these divergent operons is as yet unknown. Structural studies will further improve our understanding of the mechanism of action of these enzymes and aid us in improving and selecting better candidates for increased production. Metabolic engineering thereafter promises to bring a feasible solution for the production of \"green plastic\". © 2002 Elsevier Science Ltd. All rights reserved.","author":[{"dropping-particle":"","family":"Reddy","given":"C. S.K.","non-dropping-particle":"","parse-names":false,"suffix":""},{"dropping-particle":"","family":"Ghai","given":"R.","non-dropping-particle":"","parse-names":false,"suffix":""},{"dropping-particle":"","family":"Rashmi","given":"","non-dropping-particle":"","parse-names":false,"suffix":""},{"dropping-particle":"","family":"Kalia","given":"V. C.","non-dropping-particle":"","parse-names":false,"suffix":""}],"container-title":"Bioresource Technology","id":"ITEM-1","issue":"2","issued":{"date-parts":[["2003"]]},"page":"137-146","title":"Polyhydroxyalkanoates: An overview","type":"article-journal","volume":"87"},"uris":["http://www.mendeley.com/documents/?uuid=505a180f-7fda-41f4-b2d9-7f626f17dc66"]}],"mendeley":{"formattedCitation":"[1]","plainTextFormattedCitation":"[1]","previouslyFormattedCitation":"(Reddy et al., 2003)"},"properties":{"noteIndex":0},"schema":"https://github.com/citation-style-language/schema/raw/master/csl-citation.json"}</w:instrText>
      </w:r>
      <w:r w:rsidR="00AC541A">
        <w:rPr>
          <w:rFonts w:ascii="Times New Roman" w:eastAsia="MS PGothic" w:hAnsi="Times New Roman"/>
          <w:lang w:val="en-US"/>
        </w:rPr>
        <w:fldChar w:fldCharType="separate"/>
      </w:r>
      <w:r w:rsidR="003977BB" w:rsidRPr="003977BB">
        <w:rPr>
          <w:rFonts w:ascii="Times New Roman" w:eastAsia="MS PGothic" w:hAnsi="Times New Roman"/>
          <w:noProof/>
          <w:lang w:val="en-US"/>
        </w:rPr>
        <w:t>[1]</w:t>
      </w:r>
      <w:r w:rsidR="00AC541A">
        <w:rPr>
          <w:rFonts w:ascii="Times New Roman" w:eastAsia="MS PGothic" w:hAnsi="Times New Roman"/>
          <w:lang w:val="en-US"/>
        </w:rPr>
        <w:fldChar w:fldCharType="end"/>
      </w:r>
      <w:r>
        <w:rPr>
          <w:rFonts w:ascii="Times New Roman" w:eastAsia="MS PGothic" w:hAnsi="Times New Roman"/>
          <w:lang w:val="en-US"/>
        </w:rPr>
        <w:t xml:space="preserve">. </w:t>
      </w:r>
      <w:r w:rsidR="00373DE3">
        <w:rPr>
          <w:rFonts w:ascii="Times New Roman" w:eastAsia="MS PGothic" w:hAnsi="Times New Roman"/>
          <w:lang w:val="en-US"/>
        </w:rPr>
        <w:t xml:space="preserve">Many microorganisms, mainly type II methanotrophs, are capable to grow on methane and oxygen and to accumulate granules of PHB into the cell structure when a </w:t>
      </w:r>
      <w:r w:rsidR="00113416">
        <w:rPr>
          <w:rFonts w:ascii="Times New Roman" w:eastAsia="MS PGothic" w:hAnsi="Times New Roman"/>
          <w:lang w:val="en-US"/>
        </w:rPr>
        <w:t>metabolic</w:t>
      </w:r>
      <w:r w:rsidR="00373DE3">
        <w:rPr>
          <w:rFonts w:ascii="Times New Roman" w:eastAsia="MS PGothic" w:hAnsi="Times New Roman"/>
          <w:lang w:val="en-US"/>
        </w:rPr>
        <w:t xml:space="preserve"> stress due to the lack of nutrients in the medium is induced</w:t>
      </w:r>
      <w:r w:rsidR="00CA1041">
        <w:rPr>
          <w:rFonts w:ascii="Times New Roman" w:eastAsia="MS PGothic" w:hAnsi="Times New Roman"/>
          <w:lang w:val="en-US"/>
        </w:rPr>
        <w:t xml:space="preserve"> (Figure 1)</w:t>
      </w:r>
      <w:r w:rsidR="00AC541A">
        <w:rPr>
          <w:rFonts w:ascii="Times New Roman" w:eastAsia="MS PGothic" w:hAnsi="Times New Roman"/>
          <w:lang w:val="en-US"/>
        </w:rPr>
        <w:t xml:space="preserve"> </w:t>
      </w:r>
      <w:r w:rsidR="00AC541A">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{"citationItems":[{"id":"ITEM-1","itemData":{"DOI":"10.1016/j.ese.2020.100029","ISSN":"26664984","abstract":"This is a PDF file of an article that has undergone enhancements after acceptance, such as the addition of a cover page and metadata, and formatting for readability, but it is not yet the definitive version of record. This version will undergo additional copyediting, typesetting and review before it is published in its final form, but we are providing this version to give early visibility of the article. Please note that, during the production process, errors may be discovered which could affect the content, and all legal disclaimers that apply to the journal pertain.","author":[{"dropping-particle":"","family":"Liu","given":"Lu-Yao","non-dropping-particle":"","parse-names":false,"suffix":""},{"dropping-particle":"","family":"Xie","given":"Guo-Jun","non-dropping-particle":"","parse-names":false,"suffix":""},{"dropping-particle":"","family":"Xing","given":"De-Feng","non-dropping-particle":"","parse-names":false,"suffix":""},{"dropping-particle":"","family":"Liu","given":"Bing-Feng","non-dropping-particle":"","parse-names":false,"suffix":""},{"dropping-particle":"","family":"Ding","given":"Jie","non-dropping-particle":"","parse-names":false,"suffix":""},{"dropping-particle":"","family":"Ren","given":"Nan-Qi","non-dropping-particle":"","parse-names":false,"suffix":""}],"container-title":"Environmental Science and Ecotechnology","id":"ITEM-1","issued":{"date-parts":[["2020"]]},"page":"100029","publisher":"Elsevier Ltd","title":"Biological conversion of methane to polyhydroxyalkanoates: Current advances, challenges, and perspectives","type":"article-journal","volume":"2"},"uris":["http://www.mendeley.com/documents/?uuid=3bdf5ef6-77bc-424b-bb3d-80af8027c828"]}],"mendeley":{"formattedCitation":"[2]","plainTextFormattedCitation":"[2]","previouslyFormattedCitation":"(Liu et al., 2020)"},"properties":{"noteIndex":0},"schema":"https://github.com/citation-style-language/schema/raw/master/csl-citation.json"}</w:instrText>
      </w:r>
      <w:r w:rsidR="00AC541A">
        <w:rPr>
          <w:rFonts w:ascii="Times New Roman" w:eastAsia="MS PGothic" w:hAnsi="Times New Roman"/>
          <w:lang w:val="en-US"/>
        </w:rPr>
        <w:fldChar w:fldCharType="separate"/>
      </w:r>
      <w:r w:rsidR="003977BB" w:rsidRPr="003977BB">
        <w:rPr>
          <w:rFonts w:ascii="Times New Roman" w:eastAsia="MS PGothic" w:hAnsi="Times New Roman"/>
          <w:noProof/>
          <w:lang w:val="en-US"/>
        </w:rPr>
        <w:t>[2]</w:t>
      </w:r>
      <w:r w:rsidR="00AC541A">
        <w:rPr>
          <w:rFonts w:ascii="Times New Roman" w:eastAsia="MS PGothic" w:hAnsi="Times New Roman"/>
          <w:lang w:val="en-US"/>
        </w:rPr>
        <w:fldChar w:fldCharType="end"/>
      </w:r>
      <w:r w:rsidR="00373DE3">
        <w:rPr>
          <w:rFonts w:ascii="Times New Roman" w:eastAsia="MS PGothic" w:hAnsi="Times New Roman"/>
          <w:lang w:val="en-US"/>
        </w:rPr>
        <w:t>.</w:t>
      </w:r>
      <w:r w:rsidR="00113416">
        <w:rPr>
          <w:rFonts w:ascii="Times New Roman" w:eastAsia="MS PGothic" w:hAnsi="Times New Roman"/>
          <w:lang w:val="en-US"/>
        </w:rPr>
        <w:t xml:space="preserve"> These granules can then be extracted from the cells, processed, and used to produce several products</w:t>
      </w:r>
      <w:r w:rsidR="00721CEF">
        <w:rPr>
          <w:rFonts w:ascii="Times New Roman" w:eastAsia="MS PGothic" w:hAnsi="Times New Roman"/>
          <w:lang w:val="en-US"/>
        </w:rPr>
        <w:t xml:space="preserve"> </w:t>
      </w:r>
      <w:r w:rsidR="00721CEF">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{"citationItems":[{"id":"ITEM-1","itemData":{"DOI":"10.1128/mmbr.63.1.21-53.1999","ISSN":"1092-2172","PMID":"10066830","abstract":"Poly(3-hydroxyalkanoates) (PHAs) are a class of microbially produced polyesters that have potential applications as conventional plastics, specifically thermoplastic elastomers. A wealth of biological diversity in PHA formation exists, with at least 100 different PHA constituents and at least five different dedicated PHA biosynthetic pathways. This diversity, in combination with classical microbial physiology and modern molecular biology, has now opened up this area for genetic and metabolic engineering to develop optimal PHA-producing organisms. Commercial processes for PHA production were initially developed by W. R. Grace in the 1960s and later developed by Imperial Chemical Industries, Ltd., in the United Kingdom in the 1970s and 1980s. Since the early 1990s, Metabolix Inc. and Monsanto have been the driving forces behind the commercial exploitation of PHA polymers in the United States. The gram-negative bacterium Ralstonia eutropha, formerly known as Alcaligenes eutrophus, has generally been used as the production organism of choice, and intracellular accumulation of PHA of over 90% of the cell dry weight have been reported. The advent of molecular biological techniques and a developing environmental awareness initiated a renewed scientific interest in PHAs, and the biosynthetic machinery for PHA metabolism has been studied in great detail over the last two decades. Because the structure and monomeric composition of PHAs determine the applications for each type of polymer, a variety of polymers have been synthesized by cofeeding of various substrates or by metabolic engineering of the production organism. Classical microbiology and modern molecular bacterial physiology have been brought together to decipher the intricacies of PHA metabolism both for production purposes and for the unraveling of the natural role of PHAs. This review provides an overview of the different PHA biosynthetic systems and their genetic background, followed by a detailed summation of how this natural diversity is being used to develop commercially attractive, recombinant processes for the large-scale production of PHAs.","author":[{"dropping-particle":"","family":"Madison","given":"Lara L.","non-dropping-particle":"","parse-names":false,"suffix":""},{"dropping-particle":"","family":"Huisman","given":"Gjalt W.","non-dropping-particle":"","parse-names":false,"suffix":""}],"container-title":"Microbiology and Molecular Biology Reviews","id":"ITEM-1","issue":"1","issued":{"date-parts":[["1999"]]},"page":"21-53","title":"Metabolic Engineering of Poly(3-Hydroxyalkanoates): From DNA to Plastic","type":"article-journal","volume":"63"},"uris":["http://www.mendeley.com/documents/?uuid=9fe05653-959c-40e6-9875-55f0c7fe0398"]}],"mendeley":{"formattedCitation":"[3]","plainTextFormattedCitation":"[3]","previouslyFormattedCitation":"(Madison and Huisman, 1999)"},"properties":{"noteIndex":0},"schema":"https://github.com/citation-style-language/schema/raw/master/csl-citation.json"}</w:instrText>
      </w:r>
      <w:r w:rsidR="00721CEF">
        <w:rPr>
          <w:rFonts w:ascii="Times New Roman" w:eastAsia="MS PGothic" w:hAnsi="Times New Roman"/>
          <w:lang w:val="en-US"/>
        </w:rPr>
        <w:fldChar w:fldCharType="separate"/>
      </w:r>
      <w:r w:rsidR="003977BB" w:rsidRPr="003977BB">
        <w:rPr>
          <w:rFonts w:ascii="Times New Roman" w:eastAsia="MS PGothic" w:hAnsi="Times New Roman"/>
          <w:noProof/>
          <w:lang w:val="en-US"/>
        </w:rPr>
        <w:t>[3]</w:t>
      </w:r>
      <w:r w:rsidR="00721CEF">
        <w:rPr>
          <w:rFonts w:ascii="Times New Roman" w:eastAsia="MS PGothic" w:hAnsi="Times New Roman"/>
          <w:lang w:val="en-US"/>
        </w:rPr>
        <w:fldChar w:fldCharType="end"/>
      </w:r>
      <w:r w:rsidR="00721CEF">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{"citationItems":[{"id":"ITEM-1","itemData":{"DOI":"10.1007/978-3-642-03287-5_6","ISBN":"9783642032875","abstract":"Many years of research efforts have led to the large-scale production of poly[(R)-3-hydroxybutyrate], copolymers of (R)-3-hydroxybutyrate and (R)-3- hydroxyvalerate, copolymers of (R)-3-hydroxybutyrate and 4-hydroxybutyrate, as well as copolymers of (R)-3-hydroxybutyrate and (R)-3-hydroxyhexanoate. A small amount of medium-chain-length polyhydroxyalkanoate (PHA) has also been reported to have been produced. Worldwide, 24 companies are known to be engaged in PHA production and applications. Beginning from 2009, more than 10,000 PHA will be available on the market, and new applications are expected to be developed when large amounts of PHA are available for exploitation. In the future, the large scale of PHA applications will be dependent on the production cost. Therefore, it is very urgent to develop low-cost PHA production technology, including those of continuous and nonsterile processes based on mixed cultures and mixed substrates.","author":[{"dropping-particle":"","family":"Chen","given":"Guo-Qiang","non-dropping-particle":"","parse-names":false,"suffix":""}],"id":"ITEM-1","issue":"January","issued":{"date-parts":[["2010"]]},"page":"121-132","title":"Industrial Production of PHA","type":"article-journal"},"uris":["http://www.mendeley.com/documents/?uuid=0ddf3eb9-717b-4a09-90b9-5b59a43d6b63"]}],"mendeley":{"formattedCitation":"[4]","plainTextFormattedCitation":"[4]","previouslyFormattedCitation":"(Chen, 2010)"},"properties":{"noteIndex":0},"schema":"https://github.com/citation-style-language/schema/raw/master/csl-citation.json"}</w:instrText>
      </w:r>
      <w:r w:rsidR="00721CEF">
        <w:rPr>
          <w:rFonts w:ascii="Times New Roman" w:eastAsia="MS PGothic" w:hAnsi="Times New Roman"/>
          <w:lang w:val="en-US"/>
        </w:rPr>
        <w:fldChar w:fldCharType="separate"/>
      </w:r>
      <w:r w:rsidR="003977BB" w:rsidRPr="003977BB">
        <w:rPr>
          <w:rFonts w:ascii="Times New Roman" w:eastAsia="MS PGothic" w:hAnsi="Times New Roman"/>
          <w:noProof/>
          <w:lang w:val="en-US"/>
        </w:rPr>
        <w:t>[4]</w:t>
      </w:r>
      <w:r w:rsidR="00721CEF">
        <w:rPr>
          <w:rFonts w:ascii="Times New Roman" w:eastAsia="MS PGothic" w:hAnsi="Times New Roman"/>
          <w:lang w:val="en-US"/>
        </w:rPr>
        <w:fldChar w:fldCharType="end"/>
      </w:r>
      <w:r w:rsidR="00113416">
        <w:rPr>
          <w:rFonts w:ascii="Times New Roman" w:eastAsia="MS PGothic" w:hAnsi="Times New Roman"/>
          <w:lang w:val="en-US"/>
        </w:rPr>
        <w:t xml:space="preserve">. </w:t>
      </w:r>
    </w:p>
    <w:p w14:paraId="648FB718" w14:textId="3AE879BB" w:rsidR="00CA1041" w:rsidRDefault="00094BFF" w:rsidP="00094BFF">
      <w:pPr>
        <w:snapToGrid w:val="0"/>
        <w:spacing w:after="120"/>
        <w:jc w:val="center"/>
        <w:rPr>
          <w:rFonts w:ascii="Times New Roman" w:eastAsia="MS PGothic" w:hAnsi="Times New Roman"/>
          <w:lang w:val="en-US"/>
        </w:rPr>
      </w:pPr>
      <w:r w:rsidRPr="00BA695D">
        <w:rPr>
          <w:noProof/>
          <w:lang w:eastAsia="en-GB"/>
        </w:rPr>
        <w:drawing>
          <wp:inline distT="0" distB="0" distL="0" distR="0" wp14:anchorId="499A1BBB" wp14:editId="0EEFC6BE">
            <wp:extent cx="2086528" cy="1780626"/>
            <wp:effectExtent l="19050" t="19050" r="28575" b="10160"/>
            <wp:docPr id="16" name="Immagine 15" descr="p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jpg"/>
                    <pic:cNvPicPr/>
                  </pic:nvPicPr>
                  <pic:blipFill>
                    <a:blip r:embed="rId8"/>
                    <a:srcRect l="57182" t="51734" r="1168" b="1505"/>
                    <a:stretch>
                      <a:fillRect/>
                    </a:stretch>
                  </pic:blipFill>
                  <pic:spPr>
                    <a:xfrm>
                      <a:off x="0" y="0"/>
                      <a:ext cx="2086528" cy="1780626"/>
                    </a:xfrm>
                    <a:prstGeom prst="rect">
                      <a:avLst/>
                    </a:prstGeom>
                    <a:ln>
                      <a:solidFill>
                        <a:schemeClr val="tx1"/>
                      </a:solidFill>
                    </a:ln>
                  </pic:spPr>
                </pic:pic>
              </a:graphicData>
            </a:graphic>
          </wp:inline>
        </w:drawing>
      </w:r>
    </w:p>
    <w:p w14:paraId="0392D095" w14:textId="5E5EC91D" w:rsidR="00A34314" w:rsidRPr="00A34314" w:rsidRDefault="00A34314" w:rsidP="00A34314">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0696D">
        <w:rPr>
          <w:rFonts w:ascii="Times New Roman" w:eastAsia="MS PGothic" w:hAnsi="Times New Roman"/>
          <w:szCs w:val="18"/>
          <w:lang w:val="en-US"/>
        </w:rPr>
        <w:t>Granules of PHB</w:t>
      </w:r>
      <w:r w:rsidRPr="00466FFD">
        <w:rPr>
          <w:rFonts w:ascii="Times New Roman" w:eastAsia="MS PGothic" w:hAnsi="Times New Roman"/>
          <w:szCs w:val="18"/>
          <w:lang w:val="en-US"/>
        </w:rPr>
        <w:t xml:space="preserve"> </w:t>
      </w:r>
    </w:p>
    <w:p w14:paraId="6A28850D" w14:textId="4FCDF95D" w:rsidR="00A34314" w:rsidRDefault="00C573D8" w:rsidP="00C573D8">
      <w:pPr>
        <w:snapToGrid w:val="0"/>
        <w:spacing w:after="120"/>
        <w:rPr>
          <w:rFonts w:ascii="Times New Roman" w:eastAsia="MS PGothic" w:hAnsi="Times New Roman"/>
          <w:lang w:val="en-US"/>
        </w:rPr>
      </w:pPr>
      <w:r>
        <w:rPr>
          <w:rFonts w:ascii="Times New Roman" w:eastAsia="MS PGothic" w:hAnsi="Times New Roman"/>
          <w:lang w:val="en-US"/>
        </w:rPr>
        <w:t xml:space="preserve">The properties of PHB make it a potential substitute for conventional plastics, </w:t>
      </w:r>
      <w:r w:rsidR="001A6AF3">
        <w:rPr>
          <w:rFonts w:ascii="Times New Roman" w:eastAsia="MS PGothic" w:hAnsi="Times New Roman"/>
          <w:lang w:val="en-US"/>
        </w:rPr>
        <w:t>which</w:t>
      </w:r>
      <w:r>
        <w:rPr>
          <w:rFonts w:ascii="Times New Roman" w:eastAsia="MS PGothic" w:hAnsi="Times New Roman"/>
          <w:lang w:val="en-US"/>
        </w:rPr>
        <w:t xml:space="preserve"> nowadays represent one of the </w:t>
      </w:r>
      <w:r w:rsidR="00F6439C">
        <w:rPr>
          <w:rFonts w:ascii="Times New Roman" w:eastAsia="MS PGothic" w:hAnsi="Times New Roman"/>
          <w:lang w:val="en-US"/>
        </w:rPr>
        <w:t>main</w:t>
      </w:r>
      <w:r>
        <w:rPr>
          <w:rFonts w:ascii="Times New Roman" w:eastAsia="MS PGothic" w:hAnsi="Times New Roman"/>
          <w:lang w:val="en-US"/>
        </w:rPr>
        <w:t xml:space="preserve"> </w:t>
      </w:r>
      <w:r w:rsidR="00F6439C">
        <w:rPr>
          <w:rFonts w:ascii="Times New Roman" w:eastAsia="MS PGothic" w:hAnsi="Times New Roman"/>
          <w:lang w:val="en-US"/>
        </w:rPr>
        <w:t>causes of</w:t>
      </w:r>
      <w:r>
        <w:rPr>
          <w:rFonts w:ascii="Times New Roman" w:eastAsia="MS PGothic" w:hAnsi="Times New Roman"/>
          <w:lang w:val="en-US"/>
        </w:rPr>
        <w:t xml:space="preserve"> environmental pollution</w:t>
      </w:r>
      <w:r w:rsidR="00AC541A">
        <w:rPr>
          <w:rFonts w:ascii="Times New Roman" w:eastAsia="MS PGothic" w:hAnsi="Times New Roman"/>
          <w:lang w:val="en-US"/>
        </w:rPr>
        <w:t xml:space="preserve"> </w:t>
      </w:r>
      <w:r w:rsidR="00AC541A">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{"citationItems":[{"id":"ITEM-1","itemData":{"abstract":"Dependence on conventional plastics and their boundless usage have resulted in waste accumulation and greenhouse gas emissions. Recent technologies are directed towards the development of bio-green materials that exert negligible side- effects on the environment. A biologically-synthesized plastic, polyhydroxyalkanoate (PHA), has been attracting major interests due to its similar physical properties to synthetic plastics. Unlike synthetic plastics, PHA is produced from renewable resources and is degraded aerobically by microorganisms to CO2 and H2O upon disposal. The selections of suitable bacterial strains, inexpensive carbon sources, efficient fermentation and recovery processes are important aspects that should be taken into consideration for the commercialization of PHA. This chapter discusses economical strategies to reduce production costs of PHA as well as its applications in various fields.","author":[{"dropping-particle":"","family":"Chee","given":"Jiun-yee","non-dropping-particle":"","parse-names":false,"suffix":""},{"dropping-particle":"","family":"Yoga","given":"Sugama-salim","non-dropping-particle":"","parse-names":false,"suffix":""},{"dropping-particle":"","family":"Lau","given":"Nyok-sean","non-dropping-particle":"","parse-names":false,"suffix":""},{"dropping-particle":"","family":"Ling","given":"Siew-chen","non-dropping-particle":"","parse-names":false,"suffix":""},{"dropping-particle":"","family":"Abed","given":"Raeid M M","non-dropping-particle":"","parse-names":false,"suffix":""}],"id":"ITEM-1","issue":"May 2014","issued":{"date-parts":[["2010"]]},"page":"1395-1404","title":"Bacterially Produced Polyhydroxyalkanoate ( PHA ): Converting Renewable Resources into Bioplastics","type":"article-journal"},"uris":["http://www.mendeley.com/documents/?uuid=7d98bde7-3fb9-4e6c-822b-6e91a3163fac"]}],"mendeley":{"formattedCitation":"[5]","plainTextFormattedCitation":"[5]","previouslyFormattedCitation":"(Chee et al., 2010)"},"properties":{"noteIndex":0},"schema":"https://github.com/citation-style-language/schema/raw/master/csl-citation.json"}</w:instrText>
      </w:r>
      <w:r w:rsidR="00AC541A">
        <w:rPr>
          <w:rFonts w:ascii="Times New Roman" w:eastAsia="MS PGothic" w:hAnsi="Times New Roman"/>
          <w:lang w:val="en-US"/>
        </w:rPr>
        <w:fldChar w:fldCharType="separate"/>
      </w:r>
      <w:r w:rsidR="003977BB" w:rsidRPr="003977BB">
        <w:rPr>
          <w:rFonts w:ascii="Times New Roman" w:eastAsia="MS PGothic" w:hAnsi="Times New Roman"/>
          <w:noProof/>
          <w:lang w:val="en-US"/>
        </w:rPr>
        <w:t>[5]</w:t>
      </w:r>
      <w:r w:rsidR="00AC541A">
        <w:rPr>
          <w:rFonts w:ascii="Times New Roman" w:eastAsia="MS PGothic" w:hAnsi="Times New Roman"/>
          <w:lang w:val="en-US"/>
        </w:rPr>
        <w:fldChar w:fldCharType="end"/>
      </w:r>
      <w:r>
        <w:rPr>
          <w:rFonts w:ascii="Times New Roman" w:eastAsia="MS PGothic" w:hAnsi="Times New Roman"/>
          <w:lang w:val="en-US"/>
        </w:rPr>
        <w:t>. Anyway</w:t>
      </w:r>
      <w:r w:rsidR="00373DE3">
        <w:rPr>
          <w:rFonts w:ascii="Times New Roman" w:eastAsia="MS PGothic" w:hAnsi="Times New Roman"/>
          <w:lang w:val="en-US"/>
        </w:rPr>
        <w:t xml:space="preserve">, </w:t>
      </w:r>
      <w:r w:rsidR="001A6AF3">
        <w:rPr>
          <w:rFonts w:ascii="Times New Roman" w:eastAsia="MS PGothic" w:hAnsi="Times New Roman"/>
          <w:lang w:val="en-US"/>
        </w:rPr>
        <w:t>the high market price</w:t>
      </w:r>
      <w:r w:rsidR="00373DE3">
        <w:rPr>
          <w:rFonts w:ascii="Times New Roman" w:eastAsia="MS PGothic" w:hAnsi="Times New Roman"/>
          <w:lang w:val="en-US"/>
        </w:rPr>
        <w:t xml:space="preserve"> of these polymers and </w:t>
      </w:r>
      <w:r>
        <w:rPr>
          <w:rFonts w:ascii="Times New Roman" w:eastAsia="MS PGothic" w:hAnsi="Times New Roman"/>
          <w:lang w:val="en-US"/>
        </w:rPr>
        <w:t xml:space="preserve">the </w:t>
      </w:r>
      <w:r w:rsidR="001A6AF3">
        <w:rPr>
          <w:rFonts w:ascii="Times New Roman" w:eastAsia="MS PGothic" w:hAnsi="Times New Roman"/>
          <w:lang w:val="en-US"/>
        </w:rPr>
        <w:t>poor</w:t>
      </w:r>
      <w:r>
        <w:rPr>
          <w:rFonts w:ascii="Times New Roman" w:eastAsia="MS PGothic" w:hAnsi="Times New Roman"/>
          <w:lang w:val="en-US"/>
        </w:rPr>
        <w:t xml:space="preserve"> scalability of the process</w:t>
      </w:r>
      <w:r w:rsidR="001A6AF3">
        <w:rPr>
          <w:rFonts w:ascii="Times New Roman" w:eastAsia="MS PGothic" w:hAnsi="Times New Roman"/>
          <w:lang w:val="en-US"/>
        </w:rPr>
        <w:t xml:space="preserve"> </w:t>
      </w:r>
      <w:r w:rsidR="00113416">
        <w:rPr>
          <w:rFonts w:ascii="Times New Roman" w:eastAsia="MS PGothic" w:hAnsi="Times New Roman"/>
          <w:lang w:val="en-US"/>
        </w:rPr>
        <w:t xml:space="preserve">result in </w:t>
      </w:r>
      <w:r w:rsidR="002E1A4F">
        <w:rPr>
          <w:rFonts w:ascii="Times New Roman" w:eastAsia="MS PGothic" w:hAnsi="Times New Roman"/>
          <w:lang w:val="en-US"/>
        </w:rPr>
        <w:t>in</w:t>
      </w:r>
      <w:r w:rsidR="00113416">
        <w:rPr>
          <w:rFonts w:ascii="Times New Roman" w:eastAsia="MS PGothic" w:hAnsi="Times New Roman"/>
          <w:lang w:val="en-US"/>
        </w:rPr>
        <w:t>efficient</w:t>
      </w:r>
      <w:r w:rsidR="00373DE3">
        <w:rPr>
          <w:rFonts w:ascii="Times New Roman" w:eastAsia="MS PGothic" w:hAnsi="Times New Roman"/>
          <w:lang w:val="en-US"/>
        </w:rPr>
        <w:t xml:space="preserve"> PHB</w:t>
      </w:r>
      <w:r w:rsidR="00113416">
        <w:rPr>
          <w:rFonts w:ascii="Times New Roman" w:eastAsia="MS PGothic" w:hAnsi="Times New Roman"/>
          <w:lang w:val="en-US"/>
        </w:rPr>
        <w:t xml:space="preserve"> production</w:t>
      </w:r>
      <w:r w:rsidR="001A6AF3">
        <w:rPr>
          <w:rFonts w:ascii="Times New Roman" w:eastAsia="MS PGothic" w:hAnsi="Times New Roman"/>
          <w:lang w:val="en-US"/>
        </w:rPr>
        <w:t xml:space="preserve">. </w:t>
      </w:r>
      <w:r w:rsidR="00373DE3">
        <w:rPr>
          <w:rFonts w:ascii="Times New Roman" w:eastAsia="MS PGothic" w:hAnsi="Times New Roman"/>
          <w:lang w:val="en-US"/>
        </w:rPr>
        <w:t xml:space="preserve">Moreover, the low productivities, which have been largely estimated </w:t>
      </w:r>
      <w:r w:rsidR="00AC541A">
        <w:rPr>
          <w:rFonts w:ascii="Times New Roman" w:eastAsia="MS PGothic" w:hAnsi="Times New Roman"/>
          <w:lang w:val="en-US"/>
        </w:rPr>
        <w:t xml:space="preserve">using </w:t>
      </w:r>
      <w:r w:rsidR="008B2D40">
        <w:rPr>
          <w:rFonts w:ascii="Times New Roman" w:eastAsia="MS PGothic" w:hAnsi="Times New Roman"/>
          <w:lang w:val="en-US"/>
        </w:rPr>
        <w:t xml:space="preserve">continuous </w:t>
      </w:r>
      <w:r w:rsidR="00AC541A">
        <w:rPr>
          <w:rFonts w:ascii="Times New Roman" w:eastAsia="MS PGothic" w:hAnsi="Times New Roman"/>
          <w:lang w:val="en-US"/>
        </w:rPr>
        <w:t xml:space="preserve">bioreactors </w:t>
      </w:r>
      <w:r w:rsidR="00373DE3">
        <w:rPr>
          <w:rFonts w:ascii="Times New Roman" w:eastAsia="MS PGothic" w:hAnsi="Times New Roman"/>
          <w:lang w:val="en-US"/>
        </w:rPr>
        <w:t>at a lab</w:t>
      </w:r>
      <w:r w:rsidR="00113416">
        <w:rPr>
          <w:rFonts w:ascii="Times New Roman" w:eastAsia="MS PGothic" w:hAnsi="Times New Roman"/>
          <w:lang w:val="en-US"/>
        </w:rPr>
        <w:t>oratory</w:t>
      </w:r>
      <w:r w:rsidR="00373DE3">
        <w:rPr>
          <w:rFonts w:ascii="Times New Roman" w:eastAsia="MS PGothic" w:hAnsi="Times New Roman"/>
          <w:lang w:val="en-US"/>
        </w:rPr>
        <w:t xml:space="preserve"> scale, r</w:t>
      </w:r>
      <w:r w:rsidR="008B2D40">
        <w:rPr>
          <w:rFonts w:ascii="Times New Roman" w:eastAsia="MS PGothic" w:hAnsi="Times New Roman"/>
          <w:lang w:val="en-US"/>
        </w:rPr>
        <w:t>emain at</w:t>
      </w:r>
      <w:r w:rsidR="000A058F">
        <w:rPr>
          <w:rFonts w:ascii="Times New Roman" w:eastAsia="MS PGothic" w:hAnsi="Times New Roman"/>
          <w:lang w:val="en-US"/>
        </w:rPr>
        <w:t xml:space="preserve"> approximately</w:t>
      </w:r>
      <w:r w:rsidR="008B2D40">
        <w:rPr>
          <w:rFonts w:ascii="Times New Roman" w:eastAsia="MS PGothic" w:hAnsi="Times New Roman"/>
          <w:lang w:val="en-US"/>
        </w:rPr>
        <w:t xml:space="preserve"> </w:t>
      </w:r>
      <w:r w:rsidR="008B2D40">
        <w:rPr>
          <w:rFonts w:ascii="Times New Roman" w:eastAsia="MS PGothic" w:hAnsi="Times New Roman" w:cs="Times New Roman"/>
          <w:lang w:val="en-US"/>
        </w:rPr>
        <w:t>≈</w:t>
      </w:r>
      <w:r w:rsidR="008B2D40">
        <w:rPr>
          <w:rFonts w:ascii="Times New Roman" w:eastAsia="MS PGothic" w:hAnsi="Times New Roman"/>
          <w:lang w:val="en-US"/>
        </w:rPr>
        <w:t xml:space="preserve">0.03 </w:t>
      </w:r>
      <w:r w:rsidR="00373DE3">
        <w:rPr>
          <w:rFonts w:ascii="Times New Roman" w:eastAsia="MS PGothic" w:hAnsi="Times New Roman"/>
          <w:lang w:val="en-US"/>
        </w:rPr>
        <w:t>kg m</w:t>
      </w:r>
      <w:r w:rsidR="00373DE3" w:rsidRPr="00113416">
        <w:rPr>
          <w:rFonts w:ascii="Times New Roman" w:eastAsia="MS PGothic" w:hAnsi="Times New Roman"/>
          <w:vertAlign w:val="superscript"/>
          <w:lang w:val="en-US"/>
        </w:rPr>
        <w:t>-3</w:t>
      </w:r>
      <w:r w:rsidR="00373DE3">
        <w:rPr>
          <w:rFonts w:ascii="Times New Roman" w:eastAsia="MS PGothic" w:hAnsi="Times New Roman"/>
          <w:lang w:val="en-US"/>
        </w:rPr>
        <w:t>d</w:t>
      </w:r>
      <w:r w:rsidR="00373DE3" w:rsidRPr="00113416">
        <w:rPr>
          <w:rFonts w:ascii="Times New Roman" w:eastAsia="MS PGothic" w:hAnsi="Times New Roman"/>
          <w:vertAlign w:val="superscript"/>
          <w:lang w:val="en-US"/>
        </w:rPr>
        <w:t>-1</w:t>
      </w:r>
      <w:r w:rsidR="008B2D40">
        <w:rPr>
          <w:rFonts w:ascii="Times New Roman" w:eastAsia="MS PGothic" w:hAnsi="Times New Roman"/>
          <w:vertAlign w:val="superscript"/>
          <w:lang w:val="en-US"/>
        </w:rPr>
        <w:t xml:space="preserve"> </w:t>
      </w:r>
      <w:r w:rsidR="008B2D40">
        <w:rPr>
          <w:rFonts w:ascii="Times New Roman" w:eastAsia="MS PGothic" w:hAnsi="Times New Roman"/>
          <w:vertAlign w:val="superscript"/>
          <w:lang w:val="en-US"/>
        </w:rPr>
        <w:fldChar w:fldCharType="begin" w:fldLock="1"/>
      </w:r>
      <w:r w:rsidR="003977BB">
        <w:rPr>
          <w:rFonts w:ascii="Times New Roman" w:eastAsia="MS PGothic" w:hAnsi="Times New Roman"/>
          <w:vertAlign w:val="superscript"/>
          <w:lang w:val="en-US"/>
        </w:rPr>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bioreactor","type":"article-journal","volume":"334"},"uris":["http://www.mendeley.com/documents/?uuid=612dd36a-3279-47e4-bddf-67a9c12ad4b2"]}],"mendeley":{"formattedCitation":"[6]","plainTextFormattedCitation":"[6]","previouslyFormattedCitation":"(García-Pérez Teresa, C.López Juan, Passos Fabiana, Lebrero Raquel, Revah Sergio, 2018)"},"properties":{"noteIndex":0},"schema":"https://github.com/citation-style-language/schema/raw/master/csl-citation.json"}</w:instrText>
      </w:r>
      <w:r w:rsidR="008B2D40">
        <w:rPr>
          <w:rFonts w:ascii="Times New Roman" w:eastAsia="MS PGothic" w:hAnsi="Times New Roman"/>
          <w:vertAlign w:val="superscript"/>
          <w:lang w:val="en-US"/>
        </w:rPr>
        <w:fldChar w:fldCharType="separate"/>
      </w:r>
      <w:r w:rsidR="003977BB" w:rsidRPr="003977BB">
        <w:rPr>
          <w:rFonts w:ascii="Times New Roman" w:eastAsia="MS PGothic" w:hAnsi="Times New Roman"/>
          <w:noProof/>
          <w:lang w:val="en-US"/>
        </w:rPr>
        <w:t>[6]</w:t>
      </w:r>
      <w:r w:rsidR="008B2D40">
        <w:rPr>
          <w:rFonts w:ascii="Times New Roman" w:eastAsia="MS PGothic" w:hAnsi="Times New Roman"/>
          <w:vertAlign w:val="superscript"/>
          <w:lang w:val="en-US"/>
        </w:rPr>
        <w:fldChar w:fldCharType="end"/>
      </w:r>
      <w:r w:rsidR="00373DE3">
        <w:rPr>
          <w:rFonts w:ascii="Times New Roman" w:eastAsia="MS PGothic" w:hAnsi="Times New Roman"/>
          <w:lang w:val="en-US"/>
        </w:rPr>
        <w:t xml:space="preserve">. In this context, among the several factors that affect </w:t>
      </w:r>
      <w:r w:rsidR="00113416">
        <w:rPr>
          <w:rFonts w:ascii="Times New Roman" w:eastAsia="MS PGothic" w:hAnsi="Times New Roman"/>
          <w:lang w:val="en-US"/>
        </w:rPr>
        <w:t xml:space="preserve">the </w:t>
      </w:r>
      <w:r w:rsidR="00373DE3">
        <w:rPr>
          <w:rFonts w:ascii="Times New Roman" w:eastAsia="MS PGothic" w:hAnsi="Times New Roman"/>
          <w:lang w:val="en-US"/>
        </w:rPr>
        <w:t xml:space="preserve">process </w:t>
      </w:r>
      <w:r w:rsidR="001A6AF3">
        <w:rPr>
          <w:rFonts w:ascii="Times New Roman" w:eastAsia="MS PGothic" w:hAnsi="Times New Roman"/>
          <w:lang w:val="en-US"/>
        </w:rPr>
        <w:t xml:space="preserve">yields, mass transfer from the gas </w:t>
      </w:r>
      <w:r w:rsidR="00373DE3">
        <w:rPr>
          <w:rFonts w:ascii="Times New Roman" w:eastAsia="MS PGothic" w:hAnsi="Times New Roman"/>
          <w:lang w:val="en-US"/>
        </w:rPr>
        <w:t>to</w:t>
      </w:r>
      <w:r w:rsidR="001A6AF3">
        <w:rPr>
          <w:rFonts w:ascii="Times New Roman" w:eastAsia="MS PGothic" w:hAnsi="Times New Roman"/>
          <w:lang w:val="en-US"/>
        </w:rPr>
        <w:t xml:space="preserve"> the liquid </w:t>
      </w:r>
      <w:r w:rsidR="00373DE3">
        <w:rPr>
          <w:rFonts w:ascii="Times New Roman" w:eastAsia="MS PGothic" w:hAnsi="Times New Roman"/>
          <w:lang w:val="en-US"/>
        </w:rPr>
        <w:t>represent</w:t>
      </w:r>
      <w:r w:rsidR="001A6AF3">
        <w:rPr>
          <w:rFonts w:ascii="Times New Roman" w:eastAsia="MS PGothic" w:hAnsi="Times New Roman"/>
          <w:lang w:val="en-US"/>
        </w:rPr>
        <w:t xml:space="preserve"> a key aspect</w:t>
      </w:r>
      <w:r w:rsidR="008B2D40">
        <w:rPr>
          <w:rFonts w:ascii="Times New Roman" w:eastAsia="MS PGothic" w:hAnsi="Times New Roman"/>
          <w:lang w:val="en-US"/>
        </w:rPr>
        <w:t xml:space="preserve"> </w:t>
      </w:r>
      <w:r w:rsidR="008B2D40">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bioreactor","type":"article-journal","volume":"334"},"uris":["http://www.mendeley.com/documents/?uuid=612dd36a-3279-47e4-bddf-67a9c12ad4b2"]}],"mendeley":{"formattedCitation":"[6]","plainTextFormattedCitation":"[6]","previouslyFormattedCitation":"(García-Pérez Teresa, C.López Juan, Passos Fabiana, Lebrero Raquel, Revah Sergio, 2018)"},"properties":{"noteIndex":0},"schema":"https://github.com/citation-style-language/schema/raw/master/csl-citation.json"}</w:instrText>
      </w:r>
      <w:r w:rsidR="008B2D40">
        <w:rPr>
          <w:rFonts w:ascii="Times New Roman" w:eastAsia="MS PGothic" w:hAnsi="Times New Roman"/>
          <w:lang w:val="en-US"/>
        </w:rPr>
        <w:fldChar w:fldCharType="separate"/>
      </w:r>
      <w:r w:rsidR="003977BB" w:rsidRPr="003977BB">
        <w:rPr>
          <w:rFonts w:ascii="Times New Roman" w:eastAsia="MS PGothic" w:hAnsi="Times New Roman"/>
          <w:noProof/>
          <w:lang w:val="en-US"/>
        </w:rPr>
        <w:t>[6]</w:t>
      </w:r>
      <w:r w:rsidR="008B2D40">
        <w:rPr>
          <w:rFonts w:ascii="Times New Roman" w:eastAsia="MS PGothic" w:hAnsi="Times New Roman"/>
          <w:lang w:val="en-US"/>
        </w:rPr>
        <w:fldChar w:fldCharType="end"/>
      </w:r>
      <w:r w:rsidR="001A6AF3">
        <w:rPr>
          <w:rFonts w:ascii="Times New Roman" w:eastAsia="MS PGothic" w:hAnsi="Times New Roman"/>
          <w:lang w:val="en-US"/>
        </w:rPr>
        <w:t xml:space="preserve">. </w:t>
      </w:r>
      <w:r w:rsidR="00373DE3">
        <w:rPr>
          <w:rFonts w:ascii="Times New Roman" w:eastAsia="MS PGothic" w:hAnsi="Times New Roman"/>
          <w:lang w:val="en-US"/>
        </w:rPr>
        <w:t xml:space="preserve">Normally, </w:t>
      </w:r>
      <w:r w:rsidR="00094BFF">
        <w:rPr>
          <w:rFonts w:ascii="Times New Roman" w:eastAsia="MS PGothic" w:hAnsi="Times New Roman"/>
          <w:lang w:val="en-US"/>
        </w:rPr>
        <w:t>methanotrophs</w:t>
      </w:r>
      <w:r w:rsidR="00113416">
        <w:rPr>
          <w:rFonts w:ascii="Times New Roman" w:eastAsia="MS PGothic" w:hAnsi="Times New Roman"/>
          <w:lang w:val="en-US"/>
        </w:rPr>
        <w:t xml:space="preserve"> </w:t>
      </w:r>
      <w:r w:rsidR="00AD40F8">
        <w:rPr>
          <w:rFonts w:ascii="Times New Roman" w:eastAsia="MS PGothic" w:hAnsi="Times New Roman"/>
          <w:lang w:val="en-US"/>
        </w:rPr>
        <w:t>use</w:t>
      </w:r>
      <w:r w:rsidR="00373DE3">
        <w:rPr>
          <w:rFonts w:ascii="Times New Roman" w:eastAsia="MS PGothic" w:hAnsi="Times New Roman"/>
          <w:lang w:val="en-US"/>
        </w:rPr>
        <w:t xml:space="preserve"> oxygen and methane for growing </w:t>
      </w:r>
      <w:r w:rsidR="00094BFF">
        <w:rPr>
          <w:rFonts w:ascii="Times New Roman" w:eastAsia="MS PGothic" w:hAnsi="Times New Roman"/>
          <w:lang w:val="en-US"/>
        </w:rPr>
        <w:t xml:space="preserve">in presence of nutrients </w:t>
      </w:r>
      <w:r w:rsidR="00373DE3">
        <w:rPr>
          <w:rFonts w:ascii="Times New Roman" w:eastAsia="MS PGothic" w:hAnsi="Times New Roman"/>
          <w:lang w:val="en-US"/>
        </w:rPr>
        <w:t>and accumulating the polymer into the cell structure</w:t>
      </w:r>
      <w:r w:rsidR="00094BFF">
        <w:rPr>
          <w:rFonts w:ascii="Times New Roman" w:eastAsia="MS PGothic" w:hAnsi="Times New Roman"/>
          <w:lang w:val="en-US"/>
        </w:rPr>
        <w:t xml:space="preserve"> under an induced metabolic stress</w:t>
      </w:r>
      <w:r w:rsidR="00113416">
        <w:rPr>
          <w:rFonts w:ascii="Times New Roman" w:eastAsia="MS PGothic" w:hAnsi="Times New Roman"/>
          <w:lang w:val="en-US"/>
        </w:rPr>
        <w:t>, but the low solubility of methane often limits the availability of these</w:t>
      </w:r>
      <w:r w:rsidR="00094BFF">
        <w:rPr>
          <w:rFonts w:ascii="Times New Roman" w:eastAsia="MS PGothic" w:hAnsi="Times New Roman"/>
          <w:lang w:val="en-US"/>
        </w:rPr>
        <w:t xml:space="preserve"> gaseous</w:t>
      </w:r>
      <w:r w:rsidR="00113416">
        <w:rPr>
          <w:rFonts w:ascii="Times New Roman" w:eastAsia="MS PGothic" w:hAnsi="Times New Roman"/>
          <w:lang w:val="en-US"/>
        </w:rPr>
        <w:t xml:space="preserve"> </w:t>
      </w:r>
      <w:r w:rsidR="00094BFF">
        <w:rPr>
          <w:rFonts w:ascii="Times New Roman" w:eastAsia="MS PGothic" w:hAnsi="Times New Roman"/>
          <w:lang w:val="en-US"/>
        </w:rPr>
        <w:t>reactants</w:t>
      </w:r>
      <w:r w:rsidR="00113416">
        <w:rPr>
          <w:rFonts w:ascii="Times New Roman" w:eastAsia="MS PGothic" w:hAnsi="Times New Roman"/>
          <w:lang w:val="en-US"/>
        </w:rPr>
        <w:t xml:space="preserve"> in</w:t>
      </w:r>
      <w:r w:rsidR="00AD40F8">
        <w:rPr>
          <w:rFonts w:ascii="Times New Roman" w:eastAsia="MS PGothic" w:hAnsi="Times New Roman"/>
          <w:lang w:val="en-US"/>
        </w:rPr>
        <w:t xml:space="preserve">to </w:t>
      </w:r>
      <w:r w:rsidR="00113416">
        <w:rPr>
          <w:rFonts w:ascii="Times New Roman" w:eastAsia="MS PGothic" w:hAnsi="Times New Roman"/>
          <w:lang w:val="en-US"/>
        </w:rPr>
        <w:t>the liquid phase</w:t>
      </w:r>
      <w:r w:rsidR="00AD40F8">
        <w:rPr>
          <w:rFonts w:ascii="Times New Roman" w:eastAsia="MS PGothic" w:hAnsi="Times New Roman"/>
          <w:lang w:val="en-US"/>
        </w:rPr>
        <w:t xml:space="preserve">. Many strategies for improving </w:t>
      </w:r>
      <w:r w:rsidR="000A058F">
        <w:rPr>
          <w:rFonts w:ascii="Times New Roman" w:eastAsia="MS PGothic" w:hAnsi="Times New Roman"/>
          <w:lang w:val="en-US"/>
        </w:rPr>
        <w:t>gas-liquid</w:t>
      </w:r>
      <w:r w:rsidR="00AD40F8">
        <w:rPr>
          <w:rFonts w:ascii="Times New Roman" w:eastAsia="MS PGothic" w:hAnsi="Times New Roman"/>
          <w:lang w:val="en-US"/>
        </w:rPr>
        <w:t xml:space="preserve"> mass transfer </w:t>
      </w:r>
      <w:r w:rsidR="004A75DE">
        <w:rPr>
          <w:rFonts w:ascii="Times New Roman" w:eastAsia="MS PGothic" w:hAnsi="Times New Roman"/>
          <w:lang w:val="en-US"/>
        </w:rPr>
        <w:t xml:space="preserve">and saving methane </w:t>
      </w:r>
      <w:r w:rsidR="00AD40F8">
        <w:rPr>
          <w:rFonts w:ascii="Times New Roman" w:eastAsia="MS PGothic" w:hAnsi="Times New Roman"/>
          <w:lang w:val="en-US"/>
        </w:rPr>
        <w:t xml:space="preserve">have been studied in the literature, some of them reporting interesting results in terms of PHB </w:t>
      </w:r>
      <w:r w:rsidR="00A34314">
        <w:rPr>
          <w:rFonts w:ascii="Times New Roman" w:eastAsia="MS PGothic" w:hAnsi="Times New Roman"/>
          <w:lang w:val="en-US"/>
        </w:rPr>
        <w:t>productivity</w:t>
      </w:r>
      <w:r w:rsidR="008B2D40">
        <w:rPr>
          <w:rFonts w:ascii="Times New Roman" w:eastAsia="MS PGothic" w:hAnsi="Times New Roman"/>
          <w:lang w:val="en-US"/>
        </w:rPr>
        <w:t xml:space="preserve"> </w:t>
      </w:r>
      <w:r w:rsidR="008B2D40">
        <w:rPr>
          <w:rFonts w:ascii="Times New Roman" w:eastAsia="MS PGothic" w:hAnsi="Times New Roman"/>
          <w:lang w:val="en-US"/>
        </w:rPr>
        <w:fldChar w:fldCharType="begin" w:fldLock="1"/>
      </w:r>
      <w:r w:rsidR="003977BB">
        <w:rPr>
          <w:rFonts w:ascii="Times New Roman" w:eastAsia="MS PGothic" w:hAnsi="Times New Roman"/>
          <w:lang w:val="en-US"/>
        </w:rPr>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bioreactor","type":"article-journal","volume":"334"},"uris":["http://www.mendeley.com/documents/?uuid=612dd36a-3279-47e4-bddf-67a9c12ad4b2"]}],"mendeley":{"formattedCitation":"[6]","plainTextFormattedCitation":"[6]","previouslyFormattedCitation":"(García-Pérez Teresa, C.López Juan, Passos Fabiana, Lebrero Raquel, Revah Sergio, 2018)"},"properties":{"noteIndex":0},"schema":"https://github.com/citation-style-language/schema/raw/master/csl-citation.json"}</w:instrText>
      </w:r>
      <w:r w:rsidR="008B2D40">
        <w:rPr>
          <w:rFonts w:ascii="Times New Roman" w:eastAsia="MS PGothic" w:hAnsi="Times New Roman"/>
          <w:lang w:val="en-US"/>
        </w:rPr>
        <w:fldChar w:fldCharType="separate"/>
      </w:r>
      <w:r w:rsidR="003977BB" w:rsidRPr="003977BB">
        <w:rPr>
          <w:rFonts w:ascii="Times New Roman" w:eastAsia="MS PGothic" w:hAnsi="Times New Roman"/>
          <w:noProof/>
          <w:lang w:val="en-US"/>
        </w:rPr>
        <w:t>[6]</w:t>
      </w:r>
      <w:r w:rsidR="008B2D40">
        <w:rPr>
          <w:rFonts w:ascii="Times New Roman" w:eastAsia="MS PGothic" w:hAnsi="Times New Roman"/>
          <w:lang w:val="en-US"/>
        </w:rPr>
        <w:fldChar w:fldCharType="end"/>
      </w:r>
      <w:r w:rsidR="00AD40F8">
        <w:rPr>
          <w:rFonts w:ascii="Times New Roman" w:eastAsia="MS PGothic" w:hAnsi="Times New Roman"/>
          <w:lang w:val="en-US"/>
        </w:rPr>
        <w:t xml:space="preserve">. For example, the use of </w:t>
      </w:r>
      <w:r w:rsidR="002E1A4F">
        <w:rPr>
          <w:rFonts w:ascii="Times New Roman" w:eastAsia="MS PGothic" w:hAnsi="Times New Roman"/>
          <w:lang w:val="en-US"/>
        </w:rPr>
        <w:t>an internal</w:t>
      </w:r>
      <w:r w:rsidR="00AD40F8">
        <w:rPr>
          <w:rFonts w:ascii="Times New Roman" w:eastAsia="MS PGothic" w:hAnsi="Times New Roman"/>
          <w:lang w:val="en-US"/>
        </w:rPr>
        <w:t xml:space="preserve"> gas recycling strategy in a bubble column bioreactor operating in a continuous mode to produce Poly(3-hydroxybutyrate) from methane, resulted in a higher </w:t>
      </w:r>
      <w:r w:rsidR="002E1A4F">
        <w:rPr>
          <w:rFonts w:ascii="Times New Roman" w:eastAsia="MS PGothic" w:hAnsi="Times New Roman"/>
          <w:lang w:val="en-US"/>
        </w:rPr>
        <w:t>productivity</w:t>
      </w:r>
      <w:r w:rsidR="00AD40F8">
        <w:rPr>
          <w:rFonts w:ascii="Times New Roman" w:eastAsia="MS PGothic" w:hAnsi="Times New Roman"/>
          <w:lang w:val="en-US"/>
        </w:rPr>
        <w:t xml:space="preserve"> of 1.4 kg m</w:t>
      </w:r>
      <w:r w:rsidR="00AD40F8" w:rsidRPr="00AD40F8">
        <w:rPr>
          <w:rFonts w:ascii="Times New Roman" w:eastAsia="MS PGothic" w:hAnsi="Times New Roman"/>
          <w:vertAlign w:val="superscript"/>
          <w:lang w:val="en-US"/>
        </w:rPr>
        <w:t>-3</w:t>
      </w:r>
      <w:r w:rsidR="00AD40F8">
        <w:rPr>
          <w:rFonts w:ascii="Times New Roman" w:eastAsia="MS PGothic" w:hAnsi="Times New Roman"/>
          <w:lang w:val="en-US"/>
        </w:rPr>
        <w:t>d</w:t>
      </w:r>
      <w:r w:rsidR="00AD40F8" w:rsidRPr="00AD40F8">
        <w:rPr>
          <w:rFonts w:ascii="Times New Roman" w:eastAsia="MS PGothic" w:hAnsi="Times New Roman"/>
          <w:vertAlign w:val="superscript"/>
          <w:lang w:val="en-US"/>
        </w:rPr>
        <w:t>-1</w:t>
      </w:r>
      <w:r w:rsidR="00AD40F8">
        <w:rPr>
          <w:rFonts w:ascii="Times New Roman" w:eastAsia="MS PGothic" w:hAnsi="Times New Roman"/>
          <w:lang w:val="en-US"/>
        </w:rPr>
        <w:t xml:space="preserve">. </w:t>
      </w:r>
    </w:p>
    <w:p w14:paraId="300344C3" w14:textId="744B5E88" w:rsidR="00DA51A3" w:rsidRPr="00AD40F8" w:rsidRDefault="00AD40F8" w:rsidP="00C573D8">
      <w:pPr>
        <w:snapToGrid w:val="0"/>
        <w:spacing w:after="120"/>
        <w:rPr>
          <w:rFonts w:ascii="Times New Roman" w:eastAsia="MS PGothic" w:hAnsi="Times New Roman"/>
          <w:b/>
          <w:u w:val="single"/>
          <w:lang w:val="en-US"/>
        </w:rPr>
      </w:pPr>
      <w:r>
        <w:rPr>
          <w:rFonts w:ascii="Times New Roman" w:eastAsia="MS PGothic" w:hAnsi="Times New Roman"/>
          <w:lang w:val="en-US"/>
        </w:rPr>
        <w:t xml:space="preserve">In this work, a double step process was simulated to grow </w:t>
      </w:r>
      <w:proofErr w:type="spellStart"/>
      <w:r w:rsidRPr="00AA27FD">
        <w:rPr>
          <w:rFonts w:ascii="Times New Roman" w:eastAsia="MS PGothic" w:hAnsi="Times New Roman"/>
          <w:i/>
          <w:iCs/>
          <w:lang w:val="en-US"/>
        </w:rPr>
        <w:t>Methylocystis</w:t>
      </w:r>
      <w:proofErr w:type="spellEnd"/>
      <w:r w:rsidRPr="00AA27FD">
        <w:rPr>
          <w:rFonts w:ascii="Times New Roman" w:eastAsia="MS PGothic" w:hAnsi="Times New Roman"/>
          <w:i/>
          <w:iCs/>
          <w:lang w:val="en-US"/>
        </w:rPr>
        <w:t xml:space="preserve"> </w:t>
      </w:r>
      <w:proofErr w:type="spellStart"/>
      <w:r w:rsidRPr="00AA27FD">
        <w:rPr>
          <w:rFonts w:ascii="Times New Roman" w:eastAsia="MS PGothic" w:hAnsi="Times New Roman"/>
          <w:i/>
          <w:iCs/>
          <w:lang w:val="en-US"/>
        </w:rPr>
        <w:t>Hirsuta</w:t>
      </w:r>
      <w:proofErr w:type="spellEnd"/>
      <w:r>
        <w:rPr>
          <w:rFonts w:ascii="Times New Roman" w:eastAsia="MS PGothic" w:hAnsi="Times New Roman"/>
          <w:lang w:val="en-US"/>
        </w:rPr>
        <w:t xml:space="preserve"> and to accumulate PHB in 400L bubble column bioreactors working in series in </w:t>
      </w:r>
      <w:r w:rsidR="00A34314">
        <w:rPr>
          <w:rFonts w:ascii="Times New Roman" w:eastAsia="MS PGothic" w:hAnsi="Times New Roman"/>
          <w:lang w:val="en-US"/>
        </w:rPr>
        <w:t xml:space="preserve">a </w:t>
      </w:r>
      <w:r>
        <w:rPr>
          <w:rFonts w:ascii="Times New Roman" w:eastAsia="MS PGothic" w:hAnsi="Times New Roman"/>
          <w:lang w:val="en-US"/>
        </w:rPr>
        <w:t>semi-continuous mode. The process was simulated twice: first, a process scheme without internal gas recycling was</w:t>
      </w:r>
      <w:r w:rsidR="00AA27FD">
        <w:rPr>
          <w:rFonts w:ascii="Times New Roman" w:eastAsia="MS PGothic" w:hAnsi="Times New Roman"/>
          <w:lang w:val="en-US"/>
        </w:rPr>
        <w:t xml:space="preserve"> considered</w:t>
      </w:r>
      <w:r>
        <w:rPr>
          <w:rFonts w:ascii="Times New Roman" w:eastAsia="MS PGothic" w:hAnsi="Times New Roman"/>
          <w:lang w:val="en-US"/>
        </w:rPr>
        <w:t xml:space="preserve">, then, the same conditions were repeated in </w:t>
      </w:r>
      <w:r w:rsidR="00AA27FD">
        <w:rPr>
          <w:rFonts w:ascii="Times New Roman" w:eastAsia="MS PGothic" w:hAnsi="Times New Roman"/>
          <w:lang w:val="en-US"/>
        </w:rPr>
        <w:t xml:space="preserve">two reactors provided with a </w:t>
      </w:r>
      <w:r w:rsidR="00A34314">
        <w:rPr>
          <w:rFonts w:ascii="Times New Roman" w:eastAsia="MS PGothic" w:hAnsi="Times New Roman"/>
          <w:lang w:val="en-US"/>
        </w:rPr>
        <w:t xml:space="preserve">gas </w:t>
      </w:r>
      <w:r w:rsidR="00AA27FD">
        <w:rPr>
          <w:rFonts w:ascii="Times New Roman" w:eastAsia="MS PGothic" w:hAnsi="Times New Roman"/>
          <w:lang w:val="en-US"/>
        </w:rPr>
        <w:t>recycling unit and working at several recycling rate.</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DD66C24" w14:textId="7ECB89D7" w:rsidR="00263C00" w:rsidRDefault="00AA27FD" w:rsidP="00DA51A3">
      <w:pPr>
        <w:snapToGrid w:val="0"/>
        <w:spacing w:after="120"/>
        <w:rPr>
          <w:rFonts w:ascii="Cambria Math" w:eastAsia="MS PGothic" w:hAnsi="Cambria Math"/>
          <w:i/>
          <w:lang w:val="en-US"/>
        </w:rPr>
      </w:pPr>
      <w:r>
        <w:rPr>
          <w:rFonts w:ascii="Times New Roman" w:eastAsia="MS PGothic" w:hAnsi="Times New Roman"/>
          <w:lang w:val="en-US"/>
        </w:rPr>
        <w:lastRenderedPageBreak/>
        <w:t xml:space="preserve">The process </w:t>
      </w:r>
      <w:r w:rsidR="00280F57">
        <w:rPr>
          <w:rFonts w:ascii="Times New Roman" w:eastAsia="MS PGothic" w:hAnsi="Times New Roman"/>
          <w:lang w:val="en-US"/>
        </w:rPr>
        <w:t>to produce</w:t>
      </w:r>
      <w:r>
        <w:rPr>
          <w:rFonts w:ascii="Times New Roman" w:eastAsia="MS PGothic" w:hAnsi="Times New Roman"/>
          <w:lang w:val="en-US"/>
        </w:rPr>
        <w:t xml:space="preserve"> Poly(3-hydroxubytyrate) was simulated using two </w:t>
      </w:r>
      <w:r w:rsidR="00280F57">
        <w:rPr>
          <w:rFonts w:ascii="Times New Roman" w:eastAsia="MS PGothic" w:hAnsi="Times New Roman"/>
          <w:lang w:val="en-US"/>
        </w:rPr>
        <w:t>400L</w:t>
      </w:r>
      <w:r w:rsidR="000E443C">
        <w:rPr>
          <w:rFonts w:ascii="Times New Roman" w:eastAsia="MS PGothic" w:hAnsi="Times New Roman"/>
          <w:lang w:val="en-US"/>
        </w:rPr>
        <w:t xml:space="preserve"> semicontinuous </w:t>
      </w:r>
      <w:r>
        <w:rPr>
          <w:rFonts w:ascii="Times New Roman" w:eastAsia="MS PGothic" w:hAnsi="Times New Roman"/>
          <w:lang w:val="en-US"/>
        </w:rPr>
        <w:t xml:space="preserve">bubble column bioreactors working in series. The first step consisted </w:t>
      </w:r>
      <w:r w:rsidR="002E1A4F">
        <w:rPr>
          <w:rFonts w:ascii="Times New Roman" w:eastAsia="MS PGothic" w:hAnsi="Times New Roman"/>
          <w:lang w:val="en-US"/>
        </w:rPr>
        <w:t>in</w:t>
      </w:r>
      <w:r>
        <w:rPr>
          <w:rFonts w:ascii="Times New Roman" w:eastAsia="MS PGothic" w:hAnsi="Times New Roman"/>
          <w:lang w:val="en-US"/>
        </w:rPr>
        <w:t xml:space="preserve"> the growth of a Type II methanotroph in presence of NO</w:t>
      </w:r>
      <w:r w:rsidRPr="00AA27FD">
        <w:rPr>
          <w:rFonts w:ascii="Times New Roman" w:eastAsia="MS PGothic" w:hAnsi="Times New Roman"/>
          <w:vertAlign w:val="subscript"/>
          <w:lang w:val="en-US"/>
        </w:rPr>
        <w:t>3</w:t>
      </w:r>
      <w:r w:rsidRPr="00AA27FD">
        <w:rPr>
          <w:rFonts w:ascii="Times New Roman" w:eastAsia="MS PGothic" w:hAnsi="Times New Roman"/>
          <w:vertAlign w:val="superscript"/>
          <w:lang w:val="en-US"/>
        </w:rPr>
        <w:t>-</w:t>
      </w:r>
      <w:r>
        <w:rPr>
          <w:rFonts w:ascii="Times New Roman" w:eastAsia="MS PGothic" w:hAnsi="Times New Roman"/>
          <w:vertAlign w:val="superscript"/>
          <w:lang w:val="en-US"/>
        </w:rPr>
        <w:t xml:space="preserve"> </w:t>
      </w:r>
      <w:r>
        <w:rPr>
          <w:rFonts w:ascii="Times New Roman" w:eastAsia="MS PGothic" w:hAnsi="Times New Roman"/>
          <w:lang w:val="en-US"/>
        </w:rPr>
        <w:t>and methane as nitrogen and carbon source, respectively;</w:t>
      </w:r>
      <w:r w:rsidR="00280F57">
        <w:rPr>
          <w:rFonts w:ascii="Times New Roman" w:eastAsia="MS PGothic" w:hAnsi="Times New Roman"/>
          <w:lang w:val="en-US"/>
        </w:rPr>
        <w:t xml:space="preserve"> the second phase was aimed at the accumulation of </w:t>
      </w:r>
      <w:r w:rsidR="004A75DE">
        <w:rPr>
          <w:rFonts w:ascii="Times New Roman" w:eastAsia="MS PGothic" w:hAnsi="Times New Roman"/>
          <w:lang w:val="en-US"/>
        </w:rPr>
        <w:t>PHB</w:t>
      </w:r>
      <w:r w:rsidR="00280F57">
        <w:rPr>
          <w:rFonts w:ascii="Times New Roman" w:eastAsia="MS PGothic" w:hAnsi="Times New Roman"/>
          <w:lang w:val="en-US"/>
        </w:rPr>
        <w:t xml:space="preserve"> in absence of nutrients in the medium. The </w:t>
      </w:r>
      <w:r w:rsidR="00A34314">
        <w:rPr>
          <w:rFonts w:ascii="Times New Roman" w:eastAsia="MS PGothic" w:hAnsi="Times New Roman"/>
          <w:lang w:val="en-US"/>
        </w:rPr>
        <w:t>flowsheet was designed both</w:t>
      </w:r>
      <w:r w:rsidR="00280F57">
        <w:rPr>
          <w:rFonts w:ascii="Times New Roman" w:eastAsia="MS PGothic" w:hAnsi="Times New Roman"/>
          <w:lang w:val="en-US"/>
        </w:rPr>
        <w:t xml:space="preserve"> with and without a gas recycling unit (Figure </w:t>
      </w:r>
      <w:r w:rsidR="00F0696D">
        <w:rPr>
          <w:rFonts w:ascii="Times New Roman" w:eastAsia="MS PGothic" w:hAnsi="Times New Roman"/>
          <w:lang w:val="en-US"/>
        </w:rPr>
        <w:t>2</w:t>
      </w:r>
      <w:r w:rsidR="00280F57">
        <w:rPr>
          <w:rFonts w:ascii="Times New Roman" w:eastAsia="MS PGothic" w:hAnsi="Times New Roman"/>
          <w:lang w:val="en-US"/>
        </w:rPr>
        <w:t xml:space="preserve">a and </w:t>
      </w:r>
      <w:r w:rsidR="00F0696D">
        <w:rPr>
          <w:rFonts w:ascii="Times New Roman" w:eastAsia="MS PGothic" w:hAnsi="Times New Roman"/>
          <w:lang w:val="en-US"/>
        </w:rPr>
        <w:t>2</w:t>
      </w:r>
      <w:r w:rsidR="00280F57">
        <w:rPr>
          <w:rFonts w:ascii="Times New Roman" w:eastAsia="MS PGothic" w:hAnsi="Times New Roman"/>
          <w:lang w:val="en-US"/>
        </w:rPr>
        <w:t xml:space="preserve">b) </w:t>
      </w:r>
      <w:r w:rsidR="000E443C">
        <w:rPr>
          <w:rFonts w:ascii="Times New Roman" w:eastAsia="MS PGothic" w:hAnsi="Times New Roman"/>
          <w:lang w:val="en-US"/>
        </w:rPr>
        <w:t>to</w:t>
      </w:r>
      <w:r w:rsidR="00280F57">
        <w:rPr>
          <w:rFonts w:ascii="Times New Roman" w:eastAsia="MS PGothic" w:hAnsi="Times New Roman"/>
          <w:lang w:val="en-US"/>
        </w:rPr>
        <w:t xml:space="preserve"> assess the effects of gas r</w:t>
      </w:r>
      <w:r w:rsidR="004A75DE">
        <w:rPr>
          <w:rFonts w:ascii="Times New Roman" w:eastAsia="MS PGothic" w:hAnsi="Times New Roman"/>
          <w:lang w:val="en-US"/>
        </w:rPr>
        <w:t>ecirculation</w:t>
      </w:r>
      <w:r w:rsidR="00280F57">
        <w:rPr>
          <w:rFonts w:ascii="Times New Roman" w:eastAsia="MS PGothic" w:hAnsi="Times New Roman"/>
          <w:lang w:val="en-US"/>
        </w:rPr>
        <w:t xml:space="preserve"> on </w:t>
      </w:r>
      <w:r w:rsidR="000E443C">
        <w:rPr>
          <w:rFonts w:ascii="Times New Roman" w:eastAsia="MS PGothic" w:hAnsi="Times New Roman"/>
          <w:lang w:val="en-US"/>
        </w:rPr>
        <w:t>PHB yields with respect to the methane fed</w:t>
      </w:r>
      <w:r w:rsidR="00280F57">
        <w:rPr>
          <w:rFonts w:ascii="Times New Roman" w:eastAsia="MS PGothic" w:hAnsi="Times New Roman"/>
          <w:lang w:val="en-US"/>
        </w:rPr>
        <w:t xml:space="preserve">. </w:t>
      </w:r>
      <w:r w:rsidR="000E443C">
        <w:rPr>
          <w:rFonts w:ascii="Times New Roman" w:eastAsia="MS PGothic" w:hAnsi="Times New Roman"/>
          <w:lang w:val="en-US"/>
        </w:rPr>
        <w:t xml:space="preserve">When the recycling unit was not included in the flowsheet, the </w:t>
      </w:r>
      <w:r w:rsidR="00263C00">
        <w:rPr>
          <w:rFonts w:ascii="Times New Roman" w:eastAsia="MS PGothic" w:hAnsi="Times New Roman"/>
          <w:lang w:val="en-US"/>
        </w:rPr>
        <w:t>empty bed residence time (EBRT) (eq.1) was set to 2 min, which corresponded to a superficial gas velocity of 0.027 cm s</w:t>
      </w:r>
      <w:r w:rsidR="00263C00" w:rsidRPr="00280F57">
        <w:rPr>
          <w:rFonts w:ascii="Times New Roman" w:eastAsia="MS PGothic" w:hAnsi="Times New Roman"/>
          <w:vertAlign w:val="superscript"/>
          <w:lang w:val="en-US"/>
        </w:rPr>
        <w:t>-</w:t>
      </w:r>
      <w:r w:rsidR="00263C00" w:rsidRPr="00263C00">
        <w:rPr>
          <w:rFonts w:ascii="Times New Roman" w:eastAsia="MS PGothic" w:hAnsi="Times New Roman"/>
          <w:lang w:val="en-US"/>
        </w:rPr>
        <w:t>1</w:t>
      </w:r>
      <w:r w:rsidR="000A058F">
        <w:rPr>
          <w:rFonts w:ascii="Times New Roman" w:eastAsia="MS PGothic" w:hAnsi="Times New Roman"/>
          <w:lang w:val="en-US"/>
        </w:rPr>
        <w:t>; w</w:t>
      </w:r>
      <w:r w:rsidR="00263C00">
        <w:rPr>
          <w:rFonts w:ascii="Times New Roman" w:eastAsia="MS PGothic" w:hAnsi="Times New Roman"/>
          <w:lang w:val="en-US"/>
        </w:rPr>
        <w:t>hen gas recirculation was considered, the</w:t>
      </w:r>
      <w:r w:rsidR="00280F57">
        <w:rPr>
          <w:rFonts w:ascii="Times New Roman" w:eastAsia="MS PGothic" w:hAnsi="Times New Roman"/>
          <w:lang w:val="en-US"/>
        </w:rPr>
        <w:t xml:space="preserve"> </w:t>
      </w:r>
      <w:r w:rsidR="000E443C">
        <w:rPr>
          <w:rFonts w:ascii="Times New Roman" w:eastAsia="MS PGothic" w:hAnsi="Times New Roman"/>
          <w:lang w:val="en-US"/>
        </w:rPr>
        <w:t>virtual</w:t>
      </w:r>
      <w:r w:rsidR="00280F57">
        <w:rPr>
          <w:rFonts w:ascii="Times New Roman" w:eastAsia="MS PGothic" w:hAnsi="Times New Roman"/>
          <w:lang w:val="en-US"/>
        </w:rPr>
        <w:t xml:space="preserve"> residence time (</w:t>
      </w:r>
      <w:r w:rsidR="000E443C">
        <w:rPr>
          <w:rFonts w:ascii="Times New Roman" w:eastAsia="MS PGothic" w:hAnsi="Times New Roman"/>
          <w:lang w:val="en-US"/>
        </w:rPr>
        <w:t>V</w:t>
      </w:r>
      <w:r w:rsidR="00280F57">
        <w:rPr>
          <w:rFonts w:ascii="Times New Roman" w:eastAsia="MS PGothic" w:hAnsi="Times New Roman"/>
          <w:lang w:val="en-US"/>
        </w:rPr>
        <w:t xml:space="preserve">RT) </w:t>
      </w:r>
      <w:r w:rsidR="000E443C">
        <w:rPr>
          <w:rFonts w:ascii="Times New Roman" w:eastAsia="MS PGothic" w:hAnsi="Times New Roman"/>
          <w:lang w:val="en-US"/>
        </w:rPr>
        <w:t>(eq.</w:t>
      </w:r>
      <w:r w:rsidR="00263C00">
        <w:rPr>
          <w:rFonts w:ascii="Times New Roman" w:eastAsia="MS PGothic" w:hAnsi="Times New Roman"/>
          <w:lang w:val="en-US"/>
        </w:rPr>
        <w:t>2</w:t>
      </w:r>
      <w:r w:rsidR="000E443C">
        <w:rPr>
          <w:rFonts w:ascii="Times New Roman" w:eastAsia="MS PGothic" w:hAnsi="Times New Roman"/>
          <w:lang w:val="en-US"/>
        </w:rPr>
        <w:t xml:space="preserve">) </w:t>
      </w:r>
      <w:r w:rsidR="00280F57">
        <w:rPr>
          <w:rFonts w:ascii="Times New Roman" w:eastAsia="MS PGothic" w:hAnsi="Times New Roman"/>
          <w:lang w:val="en-US"/>
        </w:rPr>
        <w:t xml:space="preserve">was set to 2 min, </w:t>
      </w:r>
      <w:r w:rsidR="00263C00">
        <w:rPr>
          <w:rFonts w:ascii="Times New Roman" w:eastAsia="MS PGothic" w:hAnsi="Times New Roman"/>
          <w:lang w:val="en-US"/>
        </w:rPr>
        <w:t>to have a fixed final velocity of</w:t>
      </w:r>
      <w:r w:rsidR="004A75DE">
        <w:rPr>
          <w:rFonts w:ascii="Times New Roman" w:eastAsia="MS PGothic" w:hAnsi="Times New Roman"/>
          <w:lang w:val="en-US"/>
        </w:rPr>
        <w:t xml:space="preserve"> </w:t>
      </w:r>
      <w:r w:rsidR="00280F57">
        <w:rPr>
          <w:rFonts w:ascii="Times New Roman" w:eastAsia="MS PGothic" w:hAnsi="Times New Roman"/>
          <w:lang w:val="en-US"/>
        </w:rPr>
        <w:t>0.027 cm s</w:t>
      </w:r>
      <w:r w:rsidR="00280F57" w:rsidRPr="00280F57">
        <w:rPr>
          <w:rFonts w:ascii="Times New Roman" w:eastAsia="MS PGothic" w:hAnsi="Times New Roman"/>
          <w:vertAlign w:val="superscript"/>
          <w:lang w:val="en-US"/>
        </w:rPr>
        <w:t>-1</w:t>
      </w:r>
      <w:r w:rsidR="00280F57">
        <w:rPr>
          <w:rFonts w:ascii="Times New Roman" w:eastAsia="MS PGothic" w:hAnsi="Times New Roman"/>
          <w:lang w:val="en-US"/>
        </w:rPr>
        <w:t>.</w:t>
      </w:r>
      <w:r w:rsidR="000E443C">
        <w:rPr>
          <w:rFonts w:ascii="Times New Roman" w:eastAsia="MS PGothic" w:hAnsi="Times New Roman"/>
          <w:lang w:val="en-US"/>
        </w:rPr>
        <w:t xml:space="preserve"> </w:t>
      </w:r>
      <w:r w:rsidR="00263C00">
        <w:rPr>
          <w:rFonts w:ascii="Times New Roman" w:eastAsia="MS PGothic" w:hAnsi="Times New Roman"/>
          <w:lang w:val="en-US"/>
        </w:rPr>
        <w:t>This</w:t>
      </w:r>
      <w:r w:rsidR="000E443C">
        <w:rPr>
          <w:rFonts w:ascii="Times New Roman" w:eastAsia="MS PGothic" w:hAnsi="Times New Roman"/>
          <w:lang w:val="en-US"/>
        </w:rPr>
        <w:t xml:space="preserve"> condition was reached starting from empty bed residence time of 30, 15, 10 </w:t>
      </w:r>
      <w:r w:rsidR="00A34314">
        <w:rPr>
          <w:rFonts w:ascii="Times New Roman" w:eastAsia="MS PGothic" w:hAnsi="Times New Roman"/>
          <w:lang w:val="en-US"/>
        </w:rPr>
        <w:t xml:space="preserve">and </w:t>
      </w:r>
      <w:r w:rsidR="000E443C">
        <w:rPr>
          <w:rFonts w:ascii="Times New Roman" w:eastAsia="MS PGothic" w:hAnsi="Times New Roman"/>
          <w:lang w:val="en-US"/>
        </w:rPr>
        <w:t>5</w:t>
      </w:r>
      <w:r w:rsidR="00A34314">
        <w:rPr>
          <w:rFonts w:ascii="Times New Roman" w:eastAsia="MS PGothic" w:hAnsi="Times New Roman"/>
          <w:lang w:val="en-US"/>
        </w:rPr>
        <w:t xml:space="preserve"> min</w:t>
      </w:r>
      <w:r w:rsidR="000E443C">
        <w:rPr>
          <w:rFonts w:ascii="Times New Roman" w:eastAsia="MS PGothic" w:hAnsi="Times New Roman"/>
          <w:lang w:val="en-US"/>
        </w:rPr>
        <w:t xml:space="preserve"> and increasing the recycling ratio (eq.3) from </w:t>
      </w:r>
      <w:r w:rsidR="00A34314">
        <w:rPr>
          <w:rFonts w:ascii="Times New Roman" w:eastAsia="MS PGothic" w:hAnsi="Times New Roman"/>
          <w:lang w:val="en-US"/>
        </w:rPr>
        <w:t>1.5</w:t>
      </w:r>
      <w:r w:rsidR="000E443C">
        <w:rPr>
          <w:rFonts w:ascii="Times New Roman" w:eastAsia="MS PGothic" w:hAnsi="Times New Roman"/>
          <w:lang w:val="en-US"/>
        </w:rPr>
        <w:t xml:space="preserve"> to 14.</w:t>
      </w:r>
      <w:r w:rsidR="004A75DE">
        <w:rPr>
          <w:rFonts w:ascii="Times New Roman" w:eastAsia="MS PGothic" w:hAnsi="Times New Roman"/>
          <w:lang w:val="en-US"/>
        </w:rPr>
        <w:t xml:space="preserve"> The summary of the scenarios simulated is reported in Table 1.</w:t>
      </w:r>
      <w:r w:rsidR="00263C00" w:rsidRPr="00263C00">
        <w:rPr>
          <w:rFonts w:ascii="Cambria Math" w:eastAsia="MS PGothic" w:hAnsi="Cambria Math"/>
          <w:i/>
          <w:lang w:val="en-US"/>
        </w:rPr>
        <w:t xml:space="preserve"> </w:t>
      </w:r>
    </w:p>
    <w:p w14:paraId="0EC05FD2" w14:textId="088504B3" w:rsidR="00DA51A3" w:rsidRDefault="00263C00" w:rsidP="00DA51A3">
      <w:pPr>
        <w:snapToGrid w:val="0"/>
        <w:spacing w:after="120"/>
        <w:rPr>
          <w:rFonts w:ascii="Times New Roman" w:eastAsia="MS PGothic" w:hAnsi="Times New Roman"/>
          <w:lang w:val="en-US"/>
        </w:rPr>
      </w:pPr>
      <m:oMath>
        <m:r>
          <w:rPr>
            <w:rFonts w:ascii="Cambria Math" w:eastAsia="MS PGothic" w:hAnsi="Cambria Math"/>
            <w:lang w:val="en-US"/>
          </w:rPr>
          <m:t>EBRT=</m:t>
        </m:r>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V</m:t>
                </m:r>
              </m:e>
              <m:sub>
                <m:r>
                  <w:rPr>
                    <w:rFonts w:ascii="Cambria Math" w:eastAsia="MS PGothic" w:hAnsi="Cambria Math"/>
                    <w:lang w:val="en-US"/>
                  </w:rPr>
                  <m:t>r</m:t>
                </m:r>
              </m:sub>
            </m:sSub>
          </m:num>
          <m:den>
            <m:sSub>
              <m:sSubPr>
                <m:ctrlPr>
                  <w:rPr>
                    <w:rFonts w:ascii="Cambria Math" w:eastAsia="MS PGothic" w:hAnsi="Cambria Math"/>
                    <w:i/>
                    <w:lang w:val="en-US"/>
                  </w:rPr>
                </m:ctrlPr>
              </m:sSubPr>
              <m:e>
                <m:r>
                  <w:rPr>
                    <w:rFonts w:ascii="Cambria Math" w:eastAsia="MS PGothic" w:hAnsi="Cambria Math"/>
                    <w:lang w:val="en-US"/>
                  </w:rPr>
                  <m:t>Q</m:t>
                </m:r>
              </m:e>
              <m:sub>
                <m:r>
                  <w:rPr>
                    <w:rFonts w:ascii="Cambria Math" w:eastAsia="MS PGothic" w:hAnsi="Cambria Math"/>
                    <w:lang w:val="en-US"/>
                  </w:rPr>
                  <m:t>fed</m:t>
                </m:r>
              </m:sub>
            </m:sSub>
          </m:den>
        </m:f>
      </m:oMath>
      <w:r>
        <w:rPr>
          <w:rFonts w:ascii="Times New Roman" w:eastAsia="MS PGothic" w:hAnsi="Times New Roman"/>
          <w:lang w:val="en-US"/>
        </w:rPr>
        <w:t xml:space="preserve">                                                                                                                                                    (1)</w:t>
      </w:r>
    </w:p>
    <w:p w14:paraId="403F11C6" w14:textId="16D4D0B2" w:rsidR="000E443C" w:rsidRDefault="000E443C" w:rsidP="00DA51A3">
      <w:pPr>
        <w:snapToGrid w:val="0"/>
        <w:spacing w:after="120"/>
        <w:rPr>
          <w:rFonts w:ascii="Times New Roman" w:eastAsia="MS PGothic" w:hAnsi="Times New Roman"/>
          <w:i/>
          <w:lang w:val="en-US"/>
        </w:rPr>
      </w:pPr>
      <m:oMath>
        <m:r>
          <w:rPr>
            <w:rFonts w:ascii="Cambria Math" w:eastAsia="MS PGothic" w:hAnsi="Cambria Math"/>
            <w:lang w:val="en-US"/>
          </w:rPr>
          <m:t>VRT=</m:t>
        </m:r>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V</m:t>
                </m:r>
              </m:e>
              <m:sub>
                <m:r>
                  <w:rPr>
                    <w:rFonts w:ascii="Cambria Math" w:eastAsia="MS PGothic" w:hAnsi="Cambria Math"/>
                    <w:lang w:val="en-US"/>
                  </w:rPr>
                  <m:t>r</m:t>
                </m:r>
              </m:sub>
            </m:sSub>
          </m:num>
          <m:den>
            <m:sSub>
              <m:sSubPr>
                <m:ctrlPr>
                  <w:rPr>
                    <w:rFonts w:ascii="Cambria Math" w:eastAsia="MS PGothic" w:hAnsi="Cambria Math"/>
                    <w:i/>
                    <w:lang w:val="en-US"/>
                  </w:rPr>
                </m:ctrlPr>
              </m:sSubPr>
              <m:e>
                <m:r>
                  <w:rPr>
                    <w:rFonts w:ascii="Cambria Math" w:eastAsia="MS PGothic" w:hAnsi="Cambria Math"/>
                    <w:lang w:val="en-US"/>
                  </w:rPr>
                  <m:t>Q</m:t>
                </m:r>
              </m:e>
              <m:sub>
                <m:r>
                  <w:rPr>
                    <w:rFonts w:ascii="Cambria Math" w:eastAsia="MS PGothic" w:hAnsi="Cambria Math"/>
                    <w:lang w:val="en-US"/>
                  </w:rPr>
                  <m:t>fed</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Q</m:t>
                </m:r>
              </m:e>
              <m:sub>
                <m:r>
                  <w:rPr>
                    <w:rFonts w:ascii="Cambria Math" w:eastAsia="MS PGothic" w:hAnsi="Cambria Math"/>
                    <w:lang w:val="en-US"/>
                  </w:rPr>
                  <m:t>rec</m:t>
                </m:r>
              </m:sub>
            </m:sSub>
          </m:den>
        </m:f>
      </m:oMath>
      <w:r>
        <w:rPr>
          <w:rFonts w:ascii="Times New Roman" w:eastAsia="MS PGothic" w:hAnsi="Times New Roman"/>
          <w:i/>
          <w:lang w:val="en-US"/>
        </w:rPr>
        <w:t xml:space="preserve"> </w:t>
      </w:r>
      <w:r w:rsidR="00263C00">
        <w:rPr>
          <w:rFonts w:ascii="Times New Roman" w:eastAsia="MS PGothic" w:hAnsi="Times New Roman"/>
          <w:i/>
          <w:lang w:val="en-US"/>
        </w:rPr>
        <w:t xml:space="preserve">                                                                                                                                              </w:t>
      </w:r>
      <w:r w:rsidR="00263C00" w:rsidRPr="00263C00">
        <w:rPr>
          <w:rFonts w:ascii="Times New Roman" w:eastAsia="MS PGothic" w:hAnsi="Times New Roman"/>
          <w:iCs/>
          <w:lang w:val="en-US"/>
        </w:rPr>
        <w:t>(2)</w:t>
      </w:r>
    </w:p>
    <w:p w14:paraId="5123E971" w14:textId="36240775" w:rsidR="000E443C" w:rsidRDefault="000E443C" w:rsidP="00DA51A3">
      <w:pPr>
        <w:snapToGrid w:val="0"/>
        <w:spacing w:after="120"/>
        <w:rPr>
          <w:rFonts w:ascii="Times New Roman" w:eastAsia="MS PGothic" w:hAnsi="Times New Roman"/>
          <w:i/>
          <w:lang w:val="en-US"/>
        </w:rPr>
      </w:pPr>
      <m:oMath>
        <m:r>
          <w:rPr>
            <w:rFonts w:ascii="Cambria Math" w:eastAsia="MS PGothic" w:hAnsi="Cambria Math"/>
            <w:lang w:val="en-US"/>
          </w:rPr>
          <m:t>RR=</m:t>
        </m:r>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Q</m:t>
                </m:r>
              </m:e>
              <m:sub>
                <m:r>
                  <w:rPr>
                    <w:rFonts w:ascii="Cambria Math" w:eastAsia="MS PGothic" w:hAnsi="Cambria Math"/>
                    <w:lang w:val="en-US"/>
                  </w:rPr>
                  <m:t>rec</m:t>
                </m:r>
              </m:sub>
            </m:sSub>
          </m:num>
          <m:den>
            <m:sSub>
              <m:sSubPr>
                <m:ctrlPr>
                  <w:rPr>
                    <w:rFonts w:ascii="Cambria Math" w:eastAsia="MS PGothic" w:hAnsi="Cambria Math"/>
                    <w:i/>
                    <w:lang w:val="en-US"/>
                  </w:rPr>
                </m:ctrlPr>
              </m:sSubPr>
              <m:e>
                <m:r>
                  <w:rPr>
                    <w:rFonts w:ascii="Cambria Math" w:eastAsia="MS PGothic" w:hAnsi="Cambria Math"/>
                    <w:lang w:val="en-US"/>
                  </w:rPr>
                  <m:t>Q</m:t>
                </m:r>
              </m:e>
              <m:sub>
                <m:r>
                  <w:rPr>
                    <w:rFonts w:ascii="Cambria Math" w:eastAsia="MS PGothic" w:hAnsi="Cambria Math"/>
                    <w:lang w:val="en-US"/>
                  </w:rPr>
                  <m:t>fed</m:t>
                </m:r>
              </m:sub>
            </m:sSub>
          </m:den>
        </m:f>
      </m:oMath>
      <w:r>
        <w:rPr>
          <w:rFonts w:ascii="Times New Roman" w:eastAsia="MS PGothic" w:hAnsi="Times New Roman"/>
          <w:i/>
          <w:lang w:val="en-US"/>
        </w:rPr>
        <w:t xml:space="preserve"> </w:t>
      </w:r>
      <w:r w:rsidR="00263C00">
        <w:rPr>
          <w:rFonts w:ascii="Times New Roman" w:eastAsia="MS PGothic" w:hAnsi="Times New Roman"/>
          <w:i/>
          <w:lang w:val="en-US"/>
        </w:rPr>
        <w:t xml:space="preserve">                                                                                                                                                        </w:t>
      </w:r>
      <w:r w:rsidR="00263C00" w:rsidRPr="00263C00">
        <w:rPr>
          <w:rFonts w:ascii="Times New Roman" w:eastAsia="MS PGothic" w:hAnsi="Times New Roman"/>
          <w:iCs/>
          <w:lang w:val="en-US"/>
        </w:rPr>
        <w:t>(3)</w:t>
      </w:r>
    </w:p>
    <w:p w14:paraId="1F3EE5B4" w14:textId="09DDE7B0"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 xml:space="preserve">In the previous equations, </w:t>
      </w:r>
      <w:proofErr w:type="spellStart"/>
      <w:r w:rsidRPr="00263C00">
        <w:rPr>
          <w:rFonts w:ascii="Times New Roman" w:eastAsia="MS PGothic" w:hAnsi="Times New Roman"/>
          <w:i/>
          <w:lang w:val="en-US"/>
        </w:rPr>
        <w:t>V</w:t>
      </w:r>
      <w:r w:rsidRPr="00263C00">
        <w:rPr>
          <w:rFonts w:ascii="Times New Roman" w:eastAsia="MS PGothic" w:hAnsi="Times New Roman"/>
          <w:i/>
          <w:vertAlign w:val="subscript"/>
          <w:lang w:val="en-US"/>
        </w:rPr>
        <w:t>r</w:t>
      </w:r>
      <w:proofErr w:type="spellEnd"/>
      <w:r w:rsidRPr="00263C00">
        <w:rPr>
          <w:rFonts w:ascii="Times New Roman" w:eastAsia="MS PGothic" w:hAnsi="Times New Roman"/>
          <w:i/>
          <w:lang w:val="en-US"/>
        </w:rPr>
        <w:t xml:space="preserve"> </w:t>
      </w:r>
      <w:r>
        <w:rPr>
          <w:rFonts w:ascii="Times New Roman" w:eastAsia="MS PGothic" w:hAnsi="Times New Roman"/>
          <w:iCs/>
          <w:lang w:val="en-US"/>
        </w:rPr>
        <w:t xml:space="preserve">is the volume of the reactors, </w:t>
      </w:r>
      <w:proofErr w:type="spellStart"/>
      <w:r w:rsidRPr="00263C00">
        <w:rPr>
          <w:rFonts w:ascii="Times New Roman" w:eastAsia="MS PGothic" w:hAnsi="Times New Roman"/>
          <w:i/>
          <w:lang w:val="en-US"/>
        </w:rPr>
        <w:t>Q</w:t>
      </w:r>
      <w:r w:rsidRPr="00263C00">
        <w:rPr>
          <w:rFonts w:ascii="Times New Roman" w:eastAsia="MS PGothic" w:hAnsi="Times New Roman"/>
          <w:i/>
          <w:vertAlign w:val="subscript"/>
          <w:lang w:val="en-US"/>
        </w:rPr>
        <w:t>fed</w:t>
      </w:r>
      <w:proofErr w:type="spellEnd"/>
      <w:r>
        <w:rPr>
          <w:rFonts w:ascii="Times New Roman" w:eastAsia="MS PGothic" w:hAnsi="Times New Roman"/>
          <w:iCs/>
          <w:lang w:val="en-US"/>
        </w:rPr>
        <w:t xml:space="preserve"> is the fresh methane fed to the reactors and </w:t>
      </w:r>
      <w:proofErr w:type="spellStart"/>
      <w:r w:rsidRPr="00263C00">
        <w:rPr>
          <w:rFonts w:ascii="Times New Roman" w:eastAsia="MS PGothic" w:hAnsi="Times New Roman"/>
          <w:i/>
          <w:lang w:val="en-US"/>
        </w:rPr>
        <w:t>Q</w:t>
      </w:r>
      <w:r w:rsidRPr="00263C00">
        <w:rPr>
          <w:rFonts w:ascii="Times New Roman" w:eastAsia="MS PGothic" w:hAnsi="Times New Roman"/>
          <w:i/>
          <w:vertAlign w:val="subscript"/>
          <w:lang w:val="en-US"/>
        </w:rPr>
        <w:t>rec</w:t>
      </w:r>
      <w:proofErr w:type="spellEnd"/>
      <w:r>
        <w:rPr>
          <w:rFonts w:ascii="Times New Roman" w:eastAsia="MS PGothic" w:hAnsi="Times New Roman"/>
          <w:iCs/>
          <w:lang w:val="en-US"/>
        </w:rPr>
        <w:t xml:space="preserve"> is the recycled flow.</w:t>
      </w:r>
    </w:p>
    <w:p w14:paraId="210DFEF1" w14:textId="000C28FC" w:rsidR="00FF7224" w:rsidRDefault="00FF7224" w:rsidP="00DA51A3">
      <w:pPr>
        <w:snapToGrid w:val="0"/>
        <w:spacing w:after="120"/>
        <w:rPr>
          <w:rFonts w:ascii="Times New Roman" w:eastAsia="MS PGothic" w:hAnsi="Times New Roman"/>
          <w:iCs/>
          <w:lang w:val="en-US"/>
        </w:rPr>
      </w:pPr>
      <w:r>
        <w:rPr>
          <w:rFonts w:ascii="Times New Roman" w:eastAsia="MS PGothic" w:hAnsi="Times New Roman"/>
          <w:b/>
          <w:szCs w:val="18"/>
          <w:lang w:val="en-US"/>
        </w:rPr>
        <w:t>Table</w:t>
      </w:r>
      <w:r w:rsidRPr="00466FFD">
        <w:rPr>
          <w:rFonts w:ascii="Times New Roman" w:eastAsia="MS PGothic" w:hAnsi="Times New Roman"/>
          <w:b/>
          <w:szCs w:val="18"/>
          <w:lang w:val="en-US"/>
        </w:rPr>
        <w:t xml:space="preserve"> </w:t>
      </w:r>
      <w:r>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Details of the scenarios simulated, with and without the internal gas recirculation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76"/>
        <w:gridCol w:w="2126"/>
        <w:gridCol w:w="2126"/>
        <w:gridCol w:w="851"/>
      </w:tblGrid>
      <w:tr w:rsidR="00263C00" w14:paraId="0E226CF6" w14:textId="77777777" w:rsidTr="00F0696D">
        <w:tc>
          <w:tcPr>
            <w:tcW w:w="1413" w:type="dxa"/>
            <w:tcBorders>
              <w:top w:val="single" w:sz="4" w:space="0" w:color="auto"/>
              <w:bottom w:val="single" w:sz="4" w:space="0" w:color="auto"/>
            </w:tcBorders>
          </w:tcPr>
          <w:p w14:paraId="18066012" w14:textId="14E15F41"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EBRT</w:t>
            </w:r>
            <w:r w:rsidR="00DC0E89">
              <w:rPr>
                <w:rFonts w:ascii="Times New Roman" w:eastAsia="MS PGothic" w:hAnsi="Times New Roman"/>
                <w:iCs/>
                <w:lang w:val="en-US"/>
              </w:rPr>
              <w:t xml:space="preserve"> [min]</w:t>
            </w:r>
          </w:p>
        </w:tc>
        <w:tc>
          <w:tcPr>
            <w:tcW w:w="1276" w:type="dxa"/>
            <w:tcBorders>
              <w:top w:val="single" w:sz="4" w:space="0" w:color="auto"/>
              <w:bottom w:val="single" w:sz="4" w:space="0" w:color="auto"/>
            </w:tcBorders>
          </w:tcPr>
          <w:p w14:paraId="47A03E4C" w14:textId="2FDDF425"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VRT</w:t>
            </w:r>
            <w:r w:rsidR="00DC0E89">
              <w:rPr>
                <w:rFonts w:ascii="Times New Roman" w:eastAsia="MS PGothic" w:hAnsi="Times New Roman"/>
                <w:iCs/>
                <w:lang w:val="en-US"/>
              </w:rPr>
              <w:t xml:space="preserve"> [min]</w:t>
            </w:r>
          </w:p>
        </w:tc>
        <w:tc>
          <w:tcPr>
            <w:tcW w:w="2126" w:type="dxa"/>
            <w:tcBorders>
              <w:top w:val="single" w:sz="4" w:space="0" w:color="auto"/>
              <w:bottom w:val="single" w:sz="4" w:space="0" w:color="auto"/>
            </w:tcBorders>
          </w:tcPr>
          <w:p w14:paraId="6982C671" w14:textId="72FBDD79" w:rsidR="00263C00" w:rsidRPr="00DC0E89" w:rsidRDefault="00263C00" w:rsidP="00DA51A3">
            <w:pPr>
              <w:snapToGrid w:val="0"/>
              <w:spacing w:after="120"/>
              <w:rPr>
                <w:rFonts w:ascii="Times New Roman" w:eastAsia="MS PGothic" w:hAnsi="Times New Roman"/>
                <w:iCs/>
                <w:lang w:val="en-US"/>
              </w:rPr>
            </w:pPr>
            <w:proofErr w:type="spellStart"/>
            <w:r>
              <w:rPr>
                <w:rFonts w:ascii="Times New Roman" w:eastAsia="MS PGothic" w:hAnsi="Times New Roman"/>
                <w:iCs/>
                <w:lang w:val="en-US"/>
              </w:rPr>
              <w:t>Q</w:t>
            </w:r>
            <w:r w:rsidRPr="00263C00">
              <w:rPr>
                <w:rFonts w:ascii="Times New Roman" w:eastAsia="MS PGothic" w:hAnsi="Times New Roman"/>
                <w:iCs/>
                <w:vertAlign w:val="subscript"/>
                <w:lang w:val="en-US"/>
              </w:rPr>
              <w:t>fed</w:t>
            </w:r>
            <w:proofErr w:type="spellEnd"/>
            <w:r w:rsidR="00DC0E89">
              <w:rPr>
                <w:rFonts w:ascii="Times New Roman" w:eastAsia="MS PGothic" w:hAnsi="Times New Roman"/>
                <w:iCs/>
                <w:vertAlign w:val="subscript"/>
                <w:lang w:val="en-US"/>
              </w:rPr>
              <w:t xml:space="preserve"> </w:t>
            </w:r>
            <w:r w:rsidR="00DC0E89">
              <w:rPr>
                <w:rFonts w:ascii="Times New Roman" w:eastAsia="MS PGothic" w:hAnsi="Times New Roman"/>
                <w:iCs/>
                <w:lang w:val="en-US"/>
              </w:rPr>
              <w:t>[</w:t>
            </w:r>
            <w:r w:rsidR="00AF279C">
              <w:rPr>
                <w:rFonts w:ascii="Times New Roman" w:eastAsia="MS PGothic" w:hAnsi="Times New Roman"/>
                <w:iCs/>
                <w:lang w:val="en-US"/>
              </w:rPr>
              <w:t>m</w:t>
            </w:r>
            <w:r w:rsidR="00AF279C" w:rsidRPr="00AF279C">
              <w:rPr>
                <w:rFonts w:ascii="Times New Roman" w:eastAsia="MS PGothic" w:hAnsi="Times New Roman"/>
                <w:iCs/>
                <w:vertAlign w:val="superscript"/>
                <w:lang w:val="en-US"/>
              </w:rPr>
              <w:t>3</w:t>
            </w:r>
            <w:r w:rsidR="00AF279C" w:rsidRPr="00AF279C">
              <w:rPr>
                <w:rFonts w:ascii="Times New Roman" w:eastAsia="MS PGothic" w:hAnsi="Times New Roman"/>
                <w:iCs/>
                <w:vertAlign w:val="subscript"/>
                <w:lang w:val="en-US"/>
              </w:rPr>
              <w:t>gas</w:t>
            </w:r>
            <w:r w:rsidR="00DC0E89">
              <w:rPr>
                <w:rFonts w:ascii="Times New Roman" w:eastAsia="MS PGothic" w:hAnsi="Times New Roman"/>
                <w:iCs/>
                <w:lang w:val="en-US"/>
              </w:rPr>
              <w:t xml:space="preserve"> </w:t>
            </w:r>
            <w:r w:rsidR="00AF279C">
              <w:rPr>
                <w:rFonts w:ascii="Times New Roman" w:eastAsia="MS PGothic" w:hAnsi="Times New Roman"/>
                <w:iCs/>
                <w:lang w:val="en-US"/>
              </w:rPr>
              <w:t>m</w:t>
            </w:r>
            <w:r w:rsidR="00AF279C" w:rsidRPr="00AF279C">
              <w:rPr>
                <w:rFonts w:ascii="Times New Roman" w:eastAsia="MS PGothic" w:hAnsi="Times New Roman"/>
                <w:iCs/>
                <w:vertAlign w:val="superscript"/>
                <w:lang w:val="en-US"/>
              </w:rPr>
              <w:t>-3</w:t>
            </w:r>
            <w:r w:rsidR="00AF279C" w:rsidRPr="00AF279C">
              <w:rPr>
                <w:rFonts w:ascii="Times New Roman" w:eastAsia="MS PGothic" w:hAnsi="Times New Roman"/>
                <w:iCs/>
                <w:vertAlign w:val="subscript"/>
                <w:lang w:val="en-US"/>
              </w:rPr>
              <w:t>reatt</w:t>
            </w:r>
            <w:r w:rsidR="00DC0E89">
              <w:rPr>
                <w:rFonts w:ascii="Times New Roman" w:eastAsia="MS PGothic" w:hAnsi="Times New Roman"/>
                <w:iCs/>
                <w:lang w:val="en-US"/>
              </w:rPr>
              <w:t>h</w:t>
            </w:r>
            <w:r w:rsidR="00DC0E89" w:rsidRPr="00DC0E89">
              <w:rPr>
                <w:rFonts w:ascii="Times New Roman" w:eastAsia="MS PGothic" w:hAnsi="Times New Roman"/>
                <w:iCs/>
                <w:vertAlign w:val="superscript"/>
                <w:lang w:val="en-US"/>
              </w:rPr>
              <w:t>-1</w:t>
            </w:r>
            <w:r w:rsidR="00DC0E89">
              <w:rPr>
                <w:rFonts w:ascii="Times New Roman" w:eastAsia="MS PGothic" w:hAnsi="Times New Roman"/>
                <w:iCs/>
                <w:lang w:val="en-US"/>
              </w:rPr>
              <w:t>]</w:t>
            </w:r>
          </w:p>
        </w:tc>
        <w:tc>
          <w:tcPr>
            <w:tcW w:w="2126" w:type="dxa"/>
            <w:tcBorders>
              <w:top w:val="single" w:sz="4" w:space="0" w:color="auto"/>
              <w:bottom w:val="single" w:sz="4" w:space="0" w:color="auto"/>
            </w:tcBorders>
          </w:tcPr>
          <w:p w14:paraId="5903DF46" w14:textId="36BD44E5" w:rsidR="00263C00" w:rsidRPr="00DC0E89" w:rsidRDefault="00263C00" w:rsidP="00DA51A3">
            <w:pPr>
              <w:snapToGrid w:val="0"/>
              <w:spacing w:after="120"/>
              <w:rPr>
                <w:rFonts w:ascii="Times New Roman" w:eastAsia="MS PGothic" w:hAnsi="Times New Roman"/>
                <w:iCs/>
                <w:lang w:val="en-US"/>
              </w:rPr>
            </w:pPr>
            <w:proofErr w:type="spellStart"/>
            <w:r>
              <w:rPr>
                <w:rFonts w:ascii="Times New Roman" w:eastAsia="MS PGothic" w:hAnsi="Times New Roman"/>
                <w:iCs/>
                <w:lang w:val="en-US"/>
              </w:rPr>
              <w:t>Q</w:t>
            </w:r>
            <w:r w:rsidRPr="00263C00">
              <w:rPr>
                <w:rFonts w:ascii="Times New Roman" w:eastAsia="MS PGothic" w:hAnsi="Times New Roman"/>
                <w:iCs/>
                <w:vertAlign w:val="subscript"/>
                <w:lang w:val="en-US"/>
              </w:rPr>
              <w:t>rec</w:t>
            </w:r>
            <w:proofErr w:type="spellEnd"/>
            <w:r w:rsidR="00DC0E89">
              <w:rPr>
                <w:rFonts w:ascii="Times New Roman" w:eastAsia="MS PGothic" w:hAnsi="Times New Roman"/>
                <w:iCs/>
                <w:vertAlign w:val="subscript"/>
                <w:lang w:val="en-US"/>
              </w:rPr>
              <w:t xml:space="preserve"> </w:t>
            </w:r>
            <w:r w:rsidR="00AF279C">
              <w:rPr>
                <w:rFonts w:ascii="Times New Roman" w:eastAsia="MS PGothic" w:hAnsi="Times New Roman"/>
                <w:iCs/>
                <w:lang w:val="en-US"/>
              </w:rPr>
              <w:t>[m</w:t>
            </w:r>
            <w:r w:rsidR="00AF279C" w:rsidRPr="00AF279C">
              <w:rPr>
                <w:rFonts w:ascii="Times New Roman" w:eastAsia="MS PGothic" w:hAnsi="Times New Roman"/>
                <w:iCs/>
                <w:vertAlign w:val="superscript"/>
                <w:lang w:val="en-US"/>
              </w:rPr>
              <w:t>3</w:t>
            </w:r>
            <w:r w:rsidR="00AF279C" w:rsidRPr="00AF279C">
              <w:rPr>
                <w:rFonts w:ascii="Times New Roman" w:eastAsia="MS PGothic" w:hAnsi="Times New Roman"/>
                <w:iCs/>
                <w:vertAlign w:val="subscript"/>
                <w:lang w:val="en-US"/>
              </w:rPr>
              <w:t>gas</w:t>
            </w:r>
            <w:r w:rsidR="00AF279C">
              <w:rPr>
                <w:rFonts w:ascii="Times New Roman" w:eastAsia="MS PGothic" w:hAnsi="Times New Roman"/>
                <w:iCs/>
                <w:lang w:val="en-US"/>
              </w:rPr>
              <w:t xml:space="preserve"> m</w:t>
            </w:r>
            <w:r w:rsidR="00AF279C" w:rsidRPr="00AF279C">
              <w:rPr>
                <w:rFonts w:ascii="Times New Roman" w:eastAsia="MS PGothic" w:hAnsi="Times New Roman"/>
                <w:iCs/>
                <w:vertAlign w:val="superscript"/>
                <w:lang w:val="en-US"/>
              </w:rPr>
              <w:t>-3</w:t>
            </w:r>
            <w:r w:rsidR="00AF279C" w:rsidRPr="00AF279C">
              <w:rPr>
                <w:rFonts w:ascii="Times New Roman" w:eastAsia="MS PGothic" w:hAnsi="Times New Roman"/>
                <w:iCs/>
                <w:vertAlign w:val="subscript"/>
                <w:lang w:val="en-US"/>
              </w:rPr>
              <w:t>reatt</w:t>
            </w:r>
            <w:r w:rsidR="00AF279C">
              <w:rPr>
                <w:rFonts w:ascii="Times New Roman" w:eastAsia="MS PGothic" w:hAnsi="Times New Roman"/>
                <w:iCs/>
                <w:lang w:val="en-US"/>
              </w:rPr>
              <w:t>h</w:t>
            </w:r>
            <w:r w:rsidR="00AF279C" w:rsidRPr="00DC0E89">
              <w:rPr>
                <w:rFonts w:ascii="Times New Roman" w:eastAsia="MS PGothic" w:hAnsi="Times New Roman"/>
                <w:iCs/>
                <w:vertAlign w:val="superscript"/>
                <w:lang w:val="en-US"/>
              </w:rPr>
              <w:t>-1</w:t>
            </w:r>
            <w:r w:rsidR="00AF279C">
              <w:rPr>
                <w:rFonts w:ascii="Times New Roman" w:eastAsia="MS PGothic" w:hAnsi="Times New Roman"/>
                <w:iCs/>
                <w:lang w:val="en-US"/>
              </w:rPr>
              <w:t>]</w:t>
            </w:r>
          </w:p>
        </w:tc>
        <w:tc>
          <w:tcPr>
            <w:tcW w:w="851" w:type="dxa"/>
            <w:tcBorders>
              <w:top w:val="single" w:sz="4" w:space="0" w:color="auto"/>
              <w:bottom w:val="single" w:sz="4" w:space="0" w:color="auto"/>
            </w:tcBorders>
          </w:tcPr>
          <w:p w14:paraId="049974CC" w14:textId="4D4C29A8"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RR</w:t>
            </w:r>
          </w:p>
        </w:tc>
      </w:tr>
      <w:tr w:rsidR="00263C00" w14:paraId="76D368BB" w14:textId="77777777" w:rsidTr="00F0696D">
        <w:tc>
          <w:tcPr>
            <w:tcW w:w="1413" w:type="dxa"/>
            <w:tcBorders>
              <w:top w:val="single" w:sz="4" w:space="0" w:color="auto"/>
            </w:tcBorders>
          </w:tcPr>
          <w:p w14:paraId="59BACB58" w14:textId="446F79E3"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1276" w:type="dxa"/>
            <w:tcBorders>
              <w:top w:val="single" w:sz="4" w:space="0" w:color="auto"/>
            </w:tcBorders>
          </w:tcPr>
          <w:p w14:paraId="6E17CEBA" w14:textId="03A3E511"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2126" w:type="dxa"/>
            <w:tcBorders>
              <w:top w:val="single" w:sz="4" w:space="0" w:color="auto"/>
            </w:tcBorders>
          </w:tcPr>
          <w:p w14:paraId="226294A8" w14:textId="45237E33"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1.2</w:t>
            </w:r>
          </w:p>
        </w:tc>
        <w:tc>
          <w:tcPr>
            <w:tcW w:w="2126" w:type="dxa"/>
            <w:tcBorders>
              <w:top w:val="single" w:sz="4" w:space="0" w:color="auto"/>
            </w:tcBorders>
          </w:tcPr>
          <w:p w14:paraId="3AEDB7D7" w14:textId="65772C90" w:rsidR="00263C00" w:rsidRDefault="00DC0E89" w:rsidP="00DA51A3">
            <w:pPr>
              <w:snapToGrid w:val="0"/>
              <w:spacing w:after="120"/>
              <w:rPr>
                <w:rFonts w:ascii="Times New Roman" w:eastAsia="MS PGothic" w:hAnsi="Times New Roman"/>
                <w:iCs/>
                <w:lang w:val="en-US"/>
              </w:rPr>
            </w:pPr>
            <w:r>
              <w:rPr>
                <w:rFonts w:ascii="Times New Roman" w:eastAsia="MS PGothic" w:hAnsi="Times New Roman"/>
                <w:iCs/>
                <w:lang w:val="en-US"/>
              </w:rPr>
              <w:t>0</w:t>
            </w:r>
          </w:p>
        </w:tc>
        <w:tc>
          <w:tcPr>
            <w:tcW w:w="851" w:type="dxa"/>
            <w:tcBorders>
              <w:top w:val="single" w:sz="4" w:space="0" w:color="auto"/>
            </w:tcBorders>
          </w:tcPr>
          <w:p w14:paraId="4CB27F88" w14:textId="41976A5C" w:rsidR="00263C00" w:rsidRDefault="00263C00" w:rsidP="00DA51A3">
            <w:pPr>
              <w:snapToGrid w:val="0"/>
              <w:spacing w:after="120"/>
              <w:rPr>
                <w:rFonts w:ascii="Times New Roman" w:eastAsia="MS PGothic" w:hAnsi="Times New Roman"/>
                <w:iCs/>
                <w:lang w:val="en-US"/>
              </w:rPr>
            </w:pPr>
            <w:r>
              <w:rPr>
                <w:rFonts w:ascii="Times New Roman" w:eastAsia="MS PGothic" w:hAnsi="Times New Roman"/>
                <w:iCs/>
                <w:lang w:val="en-US"/>
              </w:rPr>
              <w:t>0</w:t>
            </w:r>
          </w:p>
        </w:tc>
      </w:tr>
      <w:tr w:rsidR="00263C00" w14:paraId="0A6030C3" w14:textId="77777777" w:rsidTr="00F0696D">
        <w:tc>
          <w:tcPr>
            <w:tcW w:w="1413" w:type="dxa"/>
          </w:tcPr>
          <w:p w14:paraId="2765D674" w14:textId="3862DBEE"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5</w:t>
            </w:r>
          </w:p>
        </w:tc>
        <w:tc>
          <w:tcPr>
            <w:tcW w:w="1276" w:type="dxa"/>
          </w:tcPr>
          <w:p w14:paraId="08E0F82F" w14:textId="467CD427"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2126" w:type="dxa"/>
          </w:tcPr>
          <w:p w14:paraId="399DE6F6" w14:textId="1E9CAA5D"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0.48</w:t>
            </w:r>
          </w:p>
        </w:tc>
        <w:tc>
          <w:tcPr>
            <w:tcW w:w="2126" w:type="dxa"/>
          </w:tcPr>
          <w:p w14:paraId="79B23492" w14:textId="7F7E177F"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0.72</w:t>
            </w:r>
          </w:p>
        </w:tc>
        <w:tc>
          <w:tcPr>
            <w:tcW w:w="851" w:type="dxa"/>
          </w:tcPr>
          <w:p w14:paraId="4497B0A3" w14:textId="40708C8C"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1.5</w:t>
            </w:r>
          </w:p>
        </w:tc>
      </w:tr>
      <w:tr w:rsidR="00263C00" w14:paraId="3B6ABBA4" w14:textId="77777777" w:rsidTr="00F0696D">
        <w:tc>
          <w:tcPr>
            <w:tcW w:w="1413" w:type="dxa"/>
          </w:tcPr>
          <w:p w14:paraId="273B709F" w14:textId="52CEA2FA"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10</w:t>
            </w:r>
          </w:p>
        </w:tc>
        <w:tc>
          <w:tcPr>
            <w:tcW w:w="1276" w:type="dxa"/>
          </w:tcPr>
          <w:p w14:paraId="2E5C5E0D" w14:textId="3DE3A6F2"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2126" w:type="dxa"/>
          </w:tcPr>
          <w:p w14:paraId="2890EDD8" w14:textId="63F51718"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0.25</w:t>
            </w:r>
          </w:p>
        </w:tc>
        <w:tc>
          <w:tcPr>
            <w:tcW w:w="2126" w:type="dxa"/>
          </w:tcPr>
          <w:p w14:paraId="5B013821" w14:textId="14201697"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1.02</w:t>
            </w:r>
          </w:p>
        </w:tc>
        <w:tc>
          <w:tcPr>
            <w:tcW w:w="851" w:type="dxa"/>
          </w:tcPr>
          <w:p w14:paraId="58D340D3" w14:textId="38CCBF76"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4</w:t>
            </w:r>
          </w:p>
        </w:tc>
      </w:tr>
      <w:tr w:rsidR="00263C00" w14:paraId="7E8FC6D1" w14:textId="77777777" w:rsidTr="00F0696D">
        <w:tc>
          <w:tcPr>
            <w:tcW w:w="1413" w:type="dxa"/>
          </w:tcPr>
          <w:p w14:paraId="08AD4604" w14:textId="633E7169"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15</w:t>
            </w:r>
          </w:p>
        </w:tc>
        <w:tc>
          <w:tcPr>
            <w:tcW w:w="1276" w:type="dxa"/>
          </w:tcPr>
          <w:p w14:paraId="7A63CD35" w14:textId="61887664"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2126" w:type="dxa"/>
          </w:tcPr>
          <w:p w14:paraId="61C46E93" w14:textId="37359A27"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0.16</w:t>
            </w:r>
          </w:p>
        </w:tc>
        <w:tc>
          <w:tcPr>
            <w:tcW w:w="2126" w:type="dxa"/>
          </w:tcPr>
          <w:p w14:paraId="47D2F536" w14:textId="47693E42"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1.04</w:t>
            </w:r>
          </w:p>
        </w:tc>
        <w:tc>
          <w:tcPr>
            <w:tcW w:w="851" w:type="dxa"/>
          </w:tcPr>
          <w:p w14:paraId="03160378" w14:textId="74D1FAF0"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6.5</w:t>
            </w:r>
          </w:p>
        </w:tc>
      </w:tr>
      <w:tr w:rsidR="00263C00" w14:paraId="63C4EF66" w14:textId="77777777" w:rsidTr="00F0696D">
        <w:tc>
          <w:tcPr>
            <w:tcW w:w="1413" w:type="dxa"/>
            <w:tcBorders>
              <w:bottom w:val="single" w:sz="4" w:space="0" w:color="auto"/>
            </w:tcBorders>
          </w:tcPr>
          <w:p w14:paraId="6CCB30EB" w14:textId="0A7F08AF"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30</w:t>
            </w:r>
          </w:p>
        </w:tc>
        <w:tc>
          <w:tcPr>
            <w:tcW w:w="1276" w:type="dxa"/>
            <w:tcBorders>
              <w:bottom w:val="single" w:sz="4" w:space="0" w:color="auto"/>
            </w:tcBorders>
          </w:tcPr>
          <w:p w14:paraId="4A2094FE" w14:textId="4B32CA6C"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2</w:t>
            </w:r>
          </w:p>
        </w:tc>
        <w:tc>
          <w:tcPr>
            <w:tcW w:w="2126" w:type="dxa"/>
            <w:tcBorders>
              <w:bottom w:val="single" w:sz="4" w:space="0" w:color="auto"/>
            </w:tcBorders>
          </w:tcPr>
          <w:p w14:paraId="5F00A438" w14:textId="59D6110A"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0.08</w:t>
            </w:r>
          </w:p>
        </w:tc>
        <w:tc>
          <w:tcPr>
            <w:tcW w:w="2126" w:type="dxa"/>
            <w:tcBorders>
              <w:bottom w:val="single" w:sz="4" w:space="0" w:color="auto"/>
            </w:tcBorders>
          </w:tcPr>
          <w:p w14:paraId="36A8F147" w14:textId="27BDCD80" w:rsidR="00263C00" w:rsidRDefault="00AF279C" w:rsidP="00DA51A3">
            <w:pPr>
              <w:snapToGrid w:val="0"/>
              <w:spacing w:after="120"/>
              <w:rPr>
                <w:rFonts w:ascii="Times New Roman" w:eastAsia="MS PGothic" w:hAnsi="Times New Roman"/>
                <w:iCs/>
                <w:lang w:val="en-US"/>
              </w:rPr>
            </w:pPr>
            <w:r>
              <w:rPr>
                <w:rFonts w:ascii="Times New Roman" w:eastAsia="MS PGothic" w:hAnsi="Times New Roman"/>
                <w:iCs/>
                <w:lang w:val="en-US"/>
              </w:rPr>
              <w:t>1.12</w:t>
            </w:r>
          </w:p>
        </w:tc>
        <w:tc>
          <w:tcPr>
            <w:tcW w:w="851" w:type="dxa"/>
            <w:tcBorders>
              <w:bottom w:val="single" w:sz="4" w:space="0" w:color="auto"/>
            </w:tcBorders>
          </w:tcPr>
          <w:p w14:paraId="0A3D1114" w14:textId="04103DBD" w:rsidR="00263C00" w:rsidRDefault="009E403A" w:rsidP="00DA51A3">
            <w:pPr>
              <w:snapToGrid w:val="0"/>
              <w:spacing w:after="120"/>
              <w:rPr>
                <w:rFonts w:ascii="Times New Roman" w:eastAsia="MS PGothic" w:hAnsi="Times New Roman"/>
                <w:iCs/>
                <w:lang w:val="en-US"/>
              </w:rPr>
            </w:pPr>
            <w:r>
              <w:rPr>
                <w:rFonts w:ascii="Times New Roman" w:eastAsia="MS PGothic" w:hAnsi="Times New Roman"/>
                <w:iCs/>
                <w:lang w:val="en-US"/>
              </w:rPr>
              <w:t>14</w:t>
            </w:r>
          </w:p>
        </w:tc>
      </w:tr>
    </w:tbl>
    <w:p w14:paraId="3BD94F8B" w14:textId="6D77968C" w:rsidR="00263C00" w:rsidRDefault="00263C00" w:rsidP="00DA51A3">
      <w:pPr>
        <w:snapToGrid w:val="0"/>
        <w:spacing w:after="120"/>
        <w:rPr>
          <w:rFonts w:ascii="Times New Roman" w:eastAsia="MS PGothic" w:hAnsi="Times New Roman"/>
          <w:iCs/>
          <w:lang w:val="en-US"/>
        </w:rPr>
      </w:pPr>
    </w:p>
    <w:p w14:paraId="1FD7788A" w14:textId="0CC6881E" w:rsidR="00CA1041" w:rsidRDefault="00CA1041" w:rsidP="00DA51A3">
      <w:pPr>
        <w:snapToGrid w:val="0"/>
        <w:spacing w:after="120"/>
        <w:rPr>
          <w:rFonts w:ascii="Times New Roman" w:eastAsia="MS PGothic" w:hAnsi="Times New Roman"/>
          <w:iCs/>
          <w:lang w:val="en-US"/>
        </w:rPr>
      </w:pPr>
      <w:r>
        <w:rPr>
          <w:noProof/>
        </w:rPr>
        <w:drawing>
          <wp:inline distT="0" distB="0" distL="0" distR="0" wp14:anchorId="5E37319D" wp14:editId="1E2CCDF5">
            <wp:extent cx="5920454" cy="3068955"/>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2481" cy="3075189"/>
                    </a:xfrm>
                    <a:prstGeom prst="rect">
                      <a:avLst/>
                    </a:prstGeom>
                  </pic:spPr>
                </pic:pic>
              </a:graphicData>
            </a:graphic>
          </wp:inline>
        </w:drawing>
      </w:r>
    </w:p>
    <w:p w14:paraId="376091AF" w14:textId="6A4E0C75" w:rsidR="00A34314" w:rsidRPr="00A34314" w:rsidRDefault="00A34314" w:rsidP="00A34314">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F0696D">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0696D">
        <w:rPr>
          <w:rFonts w:ascii="Times New Roman" w:eastAsia="MS PGothic" w:hAnsi="Times New Roman"/>
          <w:szCs w:val="18"/>
          <w:lang w:val="en-US"/>
        </w:rPr>
        <w:t>Flowsheet used for the simulations without a recycling unit (a) and with a recirculation system (b)</w:t>
      </w:r>
      <w:r w:rsidRPr="00466FFD">
        <w:rPr>
          <w:rFonts w:ascii="Times New Roman" w:eastAsia="MS PGothic" w:hAnsi="Times New Roman"/>
          <w:szCs w:val="18"/>
          <w:lang w:val="en-US"/>
        </w:rPr>
        <w:t xml:space="preserve"> </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3. Results and discussion</w:t>
      </w:r>
    </w:p>
    <w:p w14:paraId="0F4C3794" w14:textId="6D4E1277" w:rsidR="00BB0C0A" w:rsidRDefault="004A75DE" w:rsidP="00BB0C0A">
      <w:pPr>
        <w:spacing w:after="0" w:line="276" w:lineRule="auto"/>
        <w:rPr>
          <w:rFonts w:ascii="Times New Roman" w:eastAsia="MS PGothic" w:hAnsi="Times New Roman" w:cs="Times New Roman"/>
          <w:lang w:val="en-US"/>
        </w:rPr>
      </w:pPr>
      <w:r w:rsidRPr="00BB0C0A">
        <w:rPr>
          <w:rFonts w:ascii="Times New Roman" w:eastAsia="MS PGothic" w:hAnsi="Times New Roman" w:cs="Times New Roman"/>
          <w:lang w:val="en-US"/>
        </w:rPr>
        <w:t xml:space="preserve">The results of the simulations </w:t>
      </w:r>
      <w:r w:rsidR="0017140B">
        <w:rPr>
          <w:rFonts w:ascii="Times New Roman" w:eastAsia="MS PGothic" w:hAnsi="Times New Roman" w:cs="Times New Roman"/>
          <w:lang w:val="en-US"/>
        </w:rPr>
        <w:t>are reported</w:t>
      </w:r>
      <w:r w:rsidRPr="00BB0C0A">
        <w:rPr>
          <w:rFonts w:ascii="Times New Roman" w:eastAsia="MS PGothic" w:hAnsi="Times New Roman" w:cs="Times New Roman"/>
          <w:lang w:val="en-US"/>
        </w:rPr>
        <w:t xml:space="preserve"> in terms of biomass and PHB produced at the end of the cycle, producti</w:t>
      </w:r>
      <w:r w:rsidR="00A34314">
        <w:rPr>
          <w:rFonts w:ascii="Times New Roman" w:eastAsia="MS PGothic" w:hAnsi="Times New Roman" w:cs="Times New Roman"/>
          <w:lang w:val="en-US"/>
        </w:rPr>
        <w:t>on</w:t>
      </w:r>
      <w:r w:rsidRPr="00BB0C0A">
        <w:rPr>
          <w:rFonts w:ascii="Times New Roman" w:eastAsia="MS PGothic" w:hAnsi="Times New Roman" w:cs="Times New Roman"/>
          <w:lang w:val="en-US"/>
        </w:rPr>
        <w:t xml:space="preserve"> of PHB for unit of substrate </w:t>
      </w:r>
      <w:r w:rsidR="00586203">
        <w:rPr>
          <w:rFonts w:ascii="Times New Roman" w:eastAsia="MS PGothic" w:hAnsi="Times New Roman" w:cs="Times New Roman"/>
          <w:lang w:val="en-US"/>
        </w:rPr>
        <w:t>(</w:t>
      </w:r>
      <w:r w:rsidR="000A058F">
        <w:rPr>
          <w:rFonts w:ascii="Times New Roman" w:eastAsia="MS PGothic" w:hAnsi="Times New Roman" w:cs="Times New Roman"/>
          <w:lang w:val="en-US"/>
        </w:rPr>
        <w:t>S</w:t>
      </w:r>
      <w:r w:rsidR="00586203" w:rsidRPr="000A058F">
        <w:rPr>
          <w:rFonts w:ascii="Times New Roman" w:eastAsia="MS PGothic" w:hAnsi="Times New Roman" w:cs="Times New Roman"/>
          <w:vertAlign w:val="subscript"/>
          <w:lang w:val="en-US"/>
        </w:rPr>
        <w:t>PHB</w:t>
      </w:r>
      <w:r w:rsidR="00586203" w:rsidRPr="000A058F">
        <w:rPr>
          <w:rFonts w:ascii="Times New Roman" w:eastAsia="MS PGothic" w:hAnsi="Times New Roman" w:cs="Times New Roman"/>
          <w:lang w:val="en-US"/>
        </w:rPr>
        <w:t>)</w:t>
      </w:r>
      <w:r w:rsidR="00586203">
        <w:rPr>
          <w:rFonts w:ascii="Times New Roman" w:eastAsia="MS PGothic" w:hAnsi="Times New Roman" w:cs="Times New Roman"/>
          <w:lang w:val="en-US"/>
        </w:rPr>
        <w:t xml:space="preserve"> </w:t>
      </w:r>
      <w:r w:rsidRPr="00BB0C0A">
        <w:rPr>
          <w:rFonts w:ascii="Times New Roman" w:eastAsia="MS PGothic" w:hAnsi="Times New Roman" w:cs="Times New Roman"/>
          <w:lang w:val="en-US"/>
        </w:rPr>
        <w:t xml:space="preserve">and </w:t>
      </w:r>
      <w:r w:rsidR="00586203">
        <w:rPr>
          <w:rFonts w:ascii="Times New Roman" w:eastAsia="MS PGothic" w:hAnsi="Times New Roman" w:cs="Times New Roman"/>
          <w:lang w:val="en-US"/>
        </w:rPr>
        <w:t>methane utilization capacity (eq.4)</w:t>
      </w:r>
      <w:r w:rsidRPr="00BB0C0A">
        <w:rPr>
          <w:rFonts w:ascii="Times New Roman" w:eastAsia="MS PGothic" w:hAnsi="Times New Roman" w:cs="Times New Roman"/>
          <w:lang w:val="en-US"/>
        </w:rPr>
        <w:t xml:space="preserve">. </w:t>
      </w:r>
      <w:r w:rsidR="00BB0C0A" w:rsidRPr="00BB0C0A">
        <w:rPr>
          <w:rFonts w:ascii="Times New Roman" w:eastAsia="MS PGothic" w:hAnsi="Times New Roman" w:cs="Times New Roman"/>
          <w:lang w:val="en-US"/>
        </w:rPr>
        <w:t>When</w:t>
      </w:r>
      <w:r w:rsidRPr="00BB0C0A">
        <w:rPr>
          <w:rFonts w:ascii="Times New Roman" w:eastAsia="MS PGothic" w:hAnsi="Times New Roman" w:cs="Times New Roman"/>
          <w:lang w:val="en-US"/>
        </w:rPr>
        <w:t xml:space="preserve"> working with a recycling unit, </w:t>
      </w:r>
      <w:r w:rsidR="00A34314">
        <w:rPr>
          <w:rFonts w:ascii="Times New Roman" w:eastAsia="MS PGothic" w:hAnsi="Times New Roman" w:cs="Times New Roman"/>
          <w:lang w:val="en-US"/>
        </w:rPr>
        <w:t>methane saving was also evaluated</w:t>
      </w:r>
      <w:r w:rsidR="00586203">
        <w:rPr>
          <w:rFonts w:ascii="Times New Roman" w:eastAsia="MS PGothic" w:hAnsi="Times New Roman" w:cs="Times New Roman"/>
          <w:lang w:val="en-US"/>
        </w:rPr>
        <w:t>.</w:t>
      </w:r>
    </w:p>
    <w:p w14:paraId="4DCEB252" w14:textId="4DA4E17E" w:rsidR="00586203" w:rsidRDefault="00586203" w:rsidP="00BB0C0A">
      <w:pPr>
        <w:spacing w:after="0" w:line="276" w:lineRule="auto"/>
        <w:rPr>
          <w:rFonts w:ascii="Times New Roman" w:eastAsiaTheme="minorEastAsia" w:hAnsi="Times New Roman" w:cs="Times New Roman"/>
          <w:lang w:val="en-US"/>
        </w:rPr>
      </w:pPr>
      <m:oMath>
        <m:r>
          <w:rPr>
            <w:rFonts w:ascii="Cambria Math" w:hAnsi="Cambria Math" w:cs="Times New Roman"/>
            <w:lang w:val="en-US"/>
          </w:rPr>
          <m:t>EC-C</m:t>
        </m:r>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4</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lang w:val="en-US"/>
                  </w:rPr>
                  <m:t>gas</m:t>
                </m:r>
              </m:sub>
            </m:sSub>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C</m:t>
                    </m:r>
                    <m:sSub>
                      <m:sSubPr>
                        <m:ctrlPr>
                          <w:rPr>
                            <w:rFonts w:ascii="Cambria Math" w:hAnsi="Cambria Math" w:cs="Times New Roman"/>
                            <w:i/>
                            <w:lang w:val="en-US"/>
                          </w:rPr>
                        </m:ctrlPr>
                      </m:sSubPr>
                      <m:e>
                        <m:r>
                          <w:rPr>
                            <w:rFonts w:ascii="Cambria Math" w:hAnsi="Cambria Math" w:cs="Times New Roman"/>
                            <w:lang w:val="en-US"/>
                          </w:rPr>
                          <m:t>H</m:t>
                        </m:r>
                      </m:e>
                      <m:sub>
                        <m:sSub>
                          <m:sSubPr>
                            <m:ctrlPr>
                              <w:rPr>
                                <w:rFonts w:ascii="Cambria Math" w:hAnsi="Cambria Math" w:cs="Times New Roman"/>
                                <w:i/>
                                <w:lang w:val="en-US"/>
                              </w:rPr>
                            </m:ctrlPr>
                          </m:sSubPr>
                          <m:e>
                            <m:r>
                              <w:rPr>
                                <w:rFonts w:ascii="Cambria Math" w:hAnsi="Cambria Math" w:cs="Times New Roman"/>
                                <w:lang w:val="en-US"/>
                              </w:rPr>
                              <m:t>4</m:t>
                            </m:r>
                          </m:e>
                          <m:sub>
                            <m:r>
                              <w:rPr>
                                <w:rFonts w:ascii="Cambria Math" w:hAnsi="Cambria Math" w:cs="Times New Roman"/>
                                <w:lang w:val="en-US"/>
                              </w:rPr>
                              <m:t>in</m:t>
                            </m:r>
                          </m:sub>
                        </m:sSub>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C</m:t>
                    </m:r>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4</m:t>
                            </m:r>
                          </m:sub>
                        </m:sSub>
                      </m:e>
                      <m:sub>
                        <m:r>
                          <w:rPr>
                            <w:rFonts w:ascii="Cambria Math" w:hAnsi="Cambria Math" w:cs="Times New Roman"/>
                            <w:lang w:val="en-US"/>
                          </w:rPr>
                          <m:t>out</m:t>
                        </m:r>
                      </m:sub>
                    </m:sSub>
                  </m:sub>
                </m:sSub>
              </m:e>
            </m:d>
          </m:num>
          <m:den>
            <m:r>
              <w:rPr>
                <w:rFonts w:ascii="Cambria Math" w:hAnsi="Cambria Math" w:cs="Times New Roman"/>
                <w:lang w:val="en-US"/>
              </w:rPr>
              <m:t>Vr</m:t>
            </m:r>
          </m:den>
        </m:f>
      </m:oMath>
      <w:r>
        <w:rPr>
          <w:rFonts w:ascii="Times New Roman" w:eastAsiaTheme="minorEastAsia" w:hAnsi="Times New Roman" w:cs="Times New Roman"/>
          <w:lang w:val="en-US"/>
        </w:rPr>
        <w:t xml:space="preserve">                                                                                                                   (4)</w:t>
      </w:r>
    </w:p>
    <w:p w14:paraId="496B705F" w14:textId="1B80B80F" w:rsidR="00586203" w:rsidRDefault="0017140B" w:rsidP="00BB0C0A">
      <w:pPr>
        <w:spacing w:after="0" w:line="276" w:lineRule="auto"/>
        <w:rPr>
          <w:rFonts w:ascii="Times New Roman" w:eastAsiaTheme="minorEastAsia" w:hAnsi="Times New Roman" w:cs="Times New Roman"/>
          <w:lang w:val="en-US"/>
        </w:rPr>
      </w:pPr>
      <w:r>
        <w:rPr>
          <w:rFonts w:ascii="Times New Roman" w:eastAsiaTheme="minorEastAsia" w:hAnsi="Times New Roman" w:cs="Times New Roman"/>
          <w:lang w:val="en-US"/>
        </w:rPr>
        <w:t>In eq.4,</w:t>
      </w:r>
      <w:r w:rsidR="00586203">
        <w:rPr>
          <w:rFonts w:ascii="Times New Roman" w:eastAsiaTheme="minorEastAsia" w:hAnsi="Times New Roman" w:cs="Times New Roman"/>
          <w:lang w:val="en-US"/>
        </w:rPr>
        <w:t xml:space="preserve"> </w:t>
      </w:r>
      <w:proofErr w:type="spellStart"/>
      <w:r w:rsidR="00586203" w:rsidRPr="00586203">
        <w:rPr>
          <w:rFonts w:ascii="Times New Roman" w:eastAsiaTheme="minorEastAsia" w:hAnsi="Times New Roman" w:cs="Times New Roman"/>
          <w:i/>
          <w:iCs/>
          <w:lang w:val="en-US"/>
        </w:rPr>
        <w:t>Q</w:t>
      </w:r>
      <w:r w:rsidR="00586203" w:rsidRPr="00586203">
        <w:rPr>
          <w:rFonts w:ascii="Times New Roman" w:eastAsiaTheme="minorEastAsia" w:hAnsi="Times New Roman" w:cs="Times New Roman"/>
          <w:i/>
          <w:iCs/>
          <w:vertAlign w:val="subscript"/>
          <w:lang w:val="en-US"/>
        </w:rPr>
        <w:t>gas</w:t>
      </w:r>
      <w:proofErr w:type="spellEnd"/>
      <w:r w:rsidR="00586203">
        <w:rPr>
          <w:rFonts w:ascii="Times New Roman" w:eastAsiaTheme="minorEastAsia" w:hAnsi="Times New Roman" w:cs="Times New Roman"/>
          <w:lang w:val="en-US"/>
        </w:rPr>
        <w:t xml:space="preserve"> is the gas fed to the reactor, </w:t>
      </w:r>
      <w:r w:rsidR="00586203" w:rsidRPr="00586203">
        <w:rPr>
          <w:rFonts w:ascii="Times New Roman" w:eastAsiaTheme="minorEastAsia" w:hAnsi="Times New Roman" w:cs="Times New Roman"/>
          <w:i/>
          <w:iCs/>
          <w:lang w:val="en-US"/>
        </w:rPr>
        <w:t>C</w:t>
      </w:r>
      <w:r w:rsidR="00586203" w:rsidRPr="00586203">
        <w:rPr>
          <w:rFonts w:ascii="Times New Roman" w:eastAsiaTheme="minorEastAsia" w:hAnsi="Times New Roman" w:cs="Times New Roman"/>
          <w:i/>
          <w:iCs/>
          <w:vertAlign w:val="subscript"/>
          <w:lang w:val="en-US"/>
        </w:rPr>
        <w:t>CH4in</w:t>
      </w:r>
      <w:r w:rsidR="00586203">
        <w:rPr>
          <w:rFonts w:ascii="Times New Roman" w:eastAsiaTheme="minorEastAsia" w:hAnsi="Times New Roman" w:cs="Times New Roman"/>
          <w:lang w:val="en-US"/>
        </w:rPr>
        <w:t xml:space="preserve"> and </w:t>
      </w:r>
      <w:r w:rsidR="00586203" w:rsidRPr="00586203">
        <w:rPr>
          <w:rFonts w:ascii="Times New Roman" w:eastAsiaTheme="minorEastAsia" w:hAnsi="Times New Roman" w:cs="Times New Roman"/>
          <w:i/>
          <w:iCs/>
          <w:lang w:val="en-US"/>
        </w:rPr>
        <w:t>C</w:t>
      </w:r>
      <w:r w:rsidR="00586203" w:rsidRPr="00586203">
        <w:rPr>
          <w:rFonts w:ascii="Times New Roman" w:eastAsiaTheme="minorEastAsia" w:hAnsi="Times New Roman" w:cs="Times New Roman"/>
          <w:i/>
          <w:iCs/>
          <w:vertAlign w:val="subscript"/>
          <w:lang w:val="en-US"/>
        </w:rPr>
        <w:t>CH4out</w:t>
      </w:r>
      <w:r w:rsidR="00586203">
        <w:rPr>
          <w:rFonts w:ascii="Times New Roman" w:eastAsiaTheme="minorEastAsia" w:hAnsi="Times New Roman" w:cs="Times New Roman"/>
          <w:lang w:val="en-US"/>
        </w:rPr>
        <w:t xml:space="preserve"> are the inlet and outlet methane concentrations, respectively, and </w:t>
      </w:r>
      <w:proofErr w:type="spellStart"/>
      <w:r w:rsidR="00586203" w:rsidRPr="00586203">
        <w:rPr>
          <w:rFonts w:ascii="Times New Roman" w:eastAsiaTheme="minorEastAsia" w:hAnsi="Times New Roman" w:cs="Times New Roman"/>
          <w:i/>
          <w:iCs/>
          <w:lang w:val="en-US"/>
        </w:rPr>
        <w:t>V</w:t>
      </w:r>
      <w:r w:rsidR="00586203" w:rsidRPr="00586203">
        <w:rPr>
          <w:rFonts w:ascii="Times New Roman" w:eastAsiaTheme="minorEastAsia" w:hAnsi="Times New Roman" w:cs="Times New Roman"/>
          <w:i/>
          <w:iCs/>
          <w:vertAlign w:val="subscript"/>
          <w:lang w:val="en-US"/>
        </w:rPr>
        <w:t>r</w:t>
      </w:r>
      <w:proofErr w:type="spellEnd"/>
      <w:r w:rsidR="00586203">
        <w:rPr>
          <w:rFonts w:ascii="Times New Roman" w:eastAsiaTheme="minorEastAsia" w:hAnsi="Times New Roman" w:cs="Times New Roman"/>
          <w:lang w:val="en-US"/>
        </w:rPr>
        <w:t xml:space="preserve"> is the volume of the reactors (400L).</w:t>
      </w:r>
    </w:p>
    <w:p w14:paraId="3421D2DE" w14:textId="77777777" w:rsidR="0017140B" w:rsidRPr="00BB0C0A" w:rsidRDefault="0017140B" w:rsidP="00BB0C0A">
      <w:pPr>
        <w:spacing w:after="0" w:line="276" w:lineRule="auto"/>
        <w:rPr>
          <w:rFonts w:ascii="Times New Roman" w:hAnsi="Times New Roman" w:cs="Times New Roman"/>
          <w:lang w:val="en-US"/>
        </w:rPr>
      </w:pPr>
    </w:p>
    <w:p w14:paraId="35DED346" w14:textId="05C0CB96" w:rsidR="00F0696D" w:rsidRDefault="00586203" w:rsidP="00EF5D7F">
      <w:pPr>
        <w:spacing w:after="0" w:line="276" w:lineRule="auto"/>
        <w:rPr>
          <w:rFonts w:ascii="Times New Roman" w:hAnsi="Times New Roman" w:cs="Times New Roman"/>
          <w:lang w:val="en-US"/>
        </w:rPr>
      </w:pPr>
      <w:r>
        <w:rPr>
          <w:rFonts w:ascii="Times New Roman" w:hAnsi="Times New Roman" w:cs="Times New Roman"/>
          <w:lang w:val="en-US"/>
        </w:rPr>
        <w:t>The total biomass produced at the end of the</w:t>
      </w:r>
      <w:r w:rsidR="008303E7">
        <w:rPr>
          <w:rFonts w:ascii="Times New Roman" w:hAnsi="Times New Roman" w:cs="Times New Roman"/>
          <w:lang w:val="en-US"/>
        </w:rPr>
        <w:t xml:space="preserve"> growth</w:t>
      </w:r>
      <w:r>
        <w:rPr>
          <w:rFonts w:ascii="Times New Roman" w:hAnsi="Times New Roman" w:cs="Times New Roman"/>
          <w:lang w:val="en-US"/>
        </w:rPr>
        <w:t xml:space="preserve"> cycle was 1.22 kg, </w:t>
      </w:r>
      <w:r w:rsidR="00B4644F">
        <w:rPr>
          <w:rFonts w:ascii="Times New Roman" w:hAnsi="Times New Roman" w:cs="Times New Roman"/>
          <w:lang w:val="en-US"/>
        </w:rPr>
        <w:t>the</w:t>
      </w:r>
      <w:r>
        <w:rPr>
          <w:rFonts w:ascii="Times New Roman" w:hAnsi="Times New Roman" w:cs="Times New Roman"/>
          <w:lang w:val="en-US"/>
        </w:rPr>
        <w:t xml:space="preserve"> PHB amounted to </w:t>
      </w:r>
      <w:r w:rsidR="00BB0C0A" w:rsidRPr="00BB0C0A">
        <w:rPr>
          <w:rFonts w:ascii="Times New Roman" w:hAnsi="Times New Roman" w:cs="Times New Roman"/>
          <w:lang w:val="en-US"/>
        </w:rPr>
        <w:t>0.76 kg</w:t>
      </w:r>
      <w:r w:rsidR="000A058F">
        <w:rPr>
          <w:rFonts w:ascii="Times New Roman" w:hAnsi="Times New Roman" w:cs="Times New Roman"/>
          <w:lang w:val="en-US"/>
        </w:rPr>
        <w:t xml:space="preserve"> after 12 days of accumulation</w:t>
      </w:r>
      <w:r w:rsidR="00BB0C0A" w:rsidRPr="00BB0C0A">
        <w:rPr>
          <w:rFonts w:ascii="Times New Roman" w:hAnsi="Times New Roman" w:cs="Times New Roman"/>
          <w:lang w:val="en-US"/>
        </w:rPr>
        <w:t xml:space="preserve">, </w:t>
      </w:r>
      <w:r>
        <w:rPr>
          <w:rFonts w:ascii="Times New Roman" w:hAnsi="Times New Roman" w:cs="Times New Roman"/>
          <w:lang w:val="en-US"/>
        </w:rPr>
        <w:t>thus resulting in</w:t>
      </w:r>
      <w:r w:rsidR="00BB0C0A" w:rsidRPr="00BB0C0A">
        <w:rPr>
          <w:rFonts w:ascii="Times New Roman" w:hAnsi="Times New Roman" w:cs="Times New Roman"/>
          <w:lang w:val="en-US"/>
        </w:rPr>
        <w:t xml:space="preserve"> 38% w/w</w:t>
      </w:r>
      <w:r w:rsidR="000A058F">
        <w:rPr>
          <w:rFonts w:ascii="Times New Roman" w:hAnsi="Times New Roman" w:cs="Times New Roman"/>
          <w:lang w:val="en-US"/>
        </w:rPr>
        <w:t>,</w:t>
      </w:r>
      <w:r w:rsidR="00B4644F">
        <w:rPr>
          <w:rFonts w:ascii="Times New Roman" w:hAnsi="Times New Roman" w:cs="Times New Roman"/>
          <w:lang w:val="en-US"/>
        </w:rPr>
        <w:t xml:space="preserve"> and</w:t>
      </w:r>
      <w:r w:rsidR="00BB0C0A" w:rsidRPr="00BB0C0A">
        <w:rPr>
          <w:rFonts w:ascii="Times New Roman" w:hAnsi="Times New Roman" w:cs="Times New Roman"/>
          <w:lang w:val="en-US"/>
        </w:rPr>
        <w:t xml:space="preserve"> </w:t>
      </w:r>
      <w:r w:rsidR="00B4644F">
        <w:rPr>
          <w:rFonts w:ascii="Times New Roman" w:hAnsi="Times New Roman" w:cs="Times New Roman"/>
          <w:lang w:val="en-US"/>
        </w:rPr>
        <w:t>t</w:t>
      </w:r>
      <w:r w:rsidR="00BB0C0A" w:rsidRPr="00BB0C0A">
        <w:rPr>
          <w:rFonts w:ascii="Times New Roman" w:hAnsi="Times New Roman" w:cs="Times New Roman"/>
          <w:lang w:val="en-US"/>
        </w:rPr>
        <w:t xml:space="preserve">he methane utilization capacity </w:t>
      </w:r>
      <w:r>
        <w:rPr>
          <w:rFonts w:ascii="Times New Roman" w:hAnsi="Times New Roman" w:cs="Times New Roman"/>
          <w:lang w:val="en-US"/>
        </w:rPr>
        <w:t xml:space="preserve">calculated according to eq.4 </w:t>
      </w:r>
      <w:r w:rsidR="00BB0C0A" w:rsidRPr="00BB0C0A">
        <w:rPr>
          <w:rFonts w:ascii="Times New Roman" w:hAnsi="Times New Roman" w:cs="Times New Roman"/>
          <w:lang w:val="en-US"/>
        </w:rPr>
        <w:t>remained constant at 59 gCH</w:t>
      </w:r>
      <w:r w:rsidR="00BB0C0A" w:rsidRPr="00BB0C0A">
        <w:rPr>
          <w:rFonts w:ascii="Times New Roman" w:hAnsi="Times New Roman" w:cs="Times New Roman"/>
          <w:vertAlign w:val="subscript"/>
          <w:lang w:val="en-US"/>
        </w:rPr>
        <w:t>4</w:t>
      </w:r>
      <w:r w:rsidR="00BB0C0A" w:rsidRPr="00BB0C0A">
        <w:rPr>
          <w:rFonts w:ascii="Times New Roman" w:hAnsi="Times New Roman" w:cs="Times New Roman"/>
          <w:lang w:val="en-US"/>
        </w:rPr>
        <w:t xml:space="preserve"> m</w:t>
      </w:r>
      <w:r w:rsidR="00BB0C0A" w:rsidRPr="00BB0C0A">
        <w:rPr>
          <w:rFonts w:ascii="Times New Roman" w:hAnsi="Times New Roman" w:cs="Times New Roman"/>
          <w:vertAlign w:val="superscript"/>
          <w:lang w:val="en-US"/>
        </w:rPr>
        <w:t xml:space="preserve">-3 </w:t>
      </w:r>
      <w:r w:rsidR="00BB0C0A" w:rsidRPr="00BB0C0A">
        <w:rPr>
          <w:rFonts w:ascii="Times New Roman" w:hAnsi="Times New Roman" w:cs="Times New Roman"/>
          <w:lang w:val="en-US"/>
        </w:rPr>
        <w:t>h</w:t>
      </w:r>
      <w:r w:rsidR="00BB0C0A" w:rsidRPr="00BB0C0A">
        <w:rPr>
          <w:rFonts w:ascii="Times New Roman" w:hAnsi="Times New Roman" w:cs="Times New Roman"/>
          <w:vertAlign w:val="superscript"/>
          <w:lang w:val="en-US"/>
        </w:rPr>
        <w:t>-1</w:t>
      </w:r>
      <w:r w:rsidR="00B4644F">
        <w:rPr>
          <w:rFonts w:ascii="Times New Roman" w:hAnsi="Times New Roman" w:cs="Times New Roman"/>
          <w:lang w:val="en-US"/>
        </w:rPr>
        <w:t>. It should be noted that the</w:t>
      </w:r>
      <w:r w:rsidR="0017140B">
        <w:rPr>
          <w:rFonts w:ascii="Times New Roman" w:hAnsi="Times New Roman" w:cs="Times New Roman"/>
          <w:lang w:val="en-US"/>
        </w:rPr>
        <w:t>se</w:t>
      </w:r>
      <w:r w:rsidR="00B4644F">
        <w:rPr>
          <w:rFonts w:ascii="Times New Roman" w:hAnsi="Times New Roman" w:cs="Times New Roman"/>
          <w:lang w:val="en-US"/>
        </w:rPr>
        <w:t xml:space="preserve"> results were </w:t>
      </w:r>
      <w:r w:rsidR="0017140B">
        <w:rPr>
          <w:rFonts w:ascii="Times New Roman" w:hAnsi="Times New Roman" w:cs="Times New Roman"/>
          <w:lang w:val="en-US"/>
        </w:rPr>
        <w:t>the same</w:t>
      </w:r>
      <w:r w:rsidR="00BB0C0A" w:rsidRPr="00BB0C0A">
        <w:rPr>
          <w:rFonts w:ascii="Times New Roman" w:hAnsi="Times New Roman" w:cs="Times New Roman"/>
          <w:lang w:val="en-US"/>
        </w:rPr>
        <w:t xml:space="preserve"> for all cases</w:t>
      </w:r>
      <w:r w:rsidR="00BB0C0A">
        <w:rPr>
          <w:rFonts w:ascii="Times New Roman" w:hAnsi="Times New Roman" w:cs="Times New Roman"/>
          <w:lang w:val="en-US"/>
        </w:rPr>
        <w:t xml:space="preserve">, </w:t>
      </w:r>
      <w:r w:rsidR="00BB0C0A" w:rsidRPr="00BB0C0A">
        <w:rPr>
          <w:rFonts w:ascii="Times New Roman" w:hAnsi="Times New Roman" w:cs="Times New Roman"/>
          <w:lang w:val="en-US"/>
        </w:rPr>
        <w:t xml:space="preserve">since </w:t>
      </w:r>
      <w:r>
        <w:rPr>
          <w:rFonts w:ascii="Times New Roman" w:hAnsi="Times New Roman" w:cs="Times New Roman"/>
          <w:lang w:val="en-US"/>
        </w:rPr>
        <w:t xml:space="preserve">the </w:t>
      </w:r>
      <w:r w:rsidR="00B4644F">
        <w:rPr>
          <w:rFonts w:ascii="Times New Roman" w:hAnsi="Times New Roman" w:cs="Times New Roman"/>
          <w:lang w:val="en-US"/>
        </w:rPr>
        <w:t xml:space="preserve">final operating conditions were </w:t>
      </w:r>
      <w:r w:rsidR="0017140B">
        <w:rPr>
          <w:rFonts w:ascii="Times New Roman" w:hAnsi="Times New Roman" w:cs="Times New Roman"/>
          <w:lang w:val="en-US"/>
        </w:rPr>
        <w:t>fixed</w:t>
      </w:r>
      <w:r w:rsidR="00B4644F">
        <w:rPr>
          <w:rFonts w:ascii="Times New Roman" w:hAnsi="Times New Roman" w:cs="Times New Roman"/>
          <w:lang w:val="en-US"/>
        </w:rPr>
        <w:t xml:space="preserve">: </w:t>
      </w:r>
      <w:r w:rsidR="0017140B">
        <w:rPr>
          <w:rFonts w:ascii="Times New Roman" w:hAnsi="Times New Roman" w:cs="Times New Roman"/>
          <w:lang w:val="en-US"/>
        </w:rPr>
        <w:t xml:space="preserve">the </w:t>
      </w:r>
      <w:r>
        <w:rPr>
          <w:rFonts w:ascii="Times New Roman" w:hAnsi="Times New Roman" w:cs="Times New Roman"/>
          <w:lang w:val="en-US"/>
        </w:rPr>
        <w:t>total methane fed (fresh + recycled) was kept constant at</w:t>
      </w:r>
      <w:r w:rsidR="00BB0C0A" w:rsidRPr="00BB0C0A">
        <w:rPr>
          <w:rFonts w:ascii="Times New Roman" w:hAnsi="Times New Roman" w:cs="Times New Roman"/>
          <w:lang w:val="en-US"/>
        </w:rPr>
        <w:t xml:space="preserve"> 300 g h</w:t>
      </w:r>
      <w:r w:rsidR="00BB0C0A" w:rsidRPr="00BB0C0A">
        <w:rPr>
          <w:rFonts w:ascii="Times New Roman" w:hAnsi="Times New Roman" w:cs="Times New Roman"/>
          <w:vertAlign w:val="superscript"/>
          <w:lang w:val="en-US"/>
        </w:rPr>
        <w:t>-1</w:t>
      </w:r>
      <w:r w:rsidR="00B4644F">
        <w:rPr>
          <w:rFonts w:ascii="Times New Roman" w:hAnsi="Times New Roman" w:cs="Times New Roman"/>
          <w:lang w:val="en-US"/>
        </w:rPr>
        <w:t>,</w:t>
      </w:r>
      <w:r w:rsidR="0017140B">
        <w:rPr>
          <w:rFonts w:ascii="Times New Roman" w:hAnsi="Times New Roman" w:cs="Times New Roman"/>
          <w:lang w:val="en-US"/>
        </w:rPr>
        <w:t xml:space="preserve"> the</w:t>
      </w:r>
      <w:r w:rsidR="00B4644F">
        <w:rPr>
          <w:rFonts w:ascii="Times New Roman" w:hAnsi="Times New Roman" w:cs="Times New Roman"/>
          <w:lang w:val="en-US"/>
        </w:rPr>
        <w:t xml:space="preserve"> superficial gas velocity was set at 0.027 cm s</w:t>
      </w:r>
      <w:r w:rsidR="00B4644F" w:rsidRPr="00B4644F">
        <w:rPr>
          <w:rFonts w:ascii="Times New Roman" w:hAnsi="Times New Roman" w:cs="Times New Roman"/>
          <w:vertAlign w:val="superscript"/>
          <w:lang w:val="en-US"/>
        </w:rPr>
        <w:t>-1</w:t>
      </w:r>
      <w:r w:rsidR="00B4644F">
        <w:rPr>
          <w:rFonts w:ascii="Times New Roman" w:hAnsi="Times New Roman" w:cs="Times New Roman"/>
          <w:lang w:val="en-US"/>
        </w:rPr>
        <w:t xml:space="preserve"> and </w:t>
      </w:r>
      <w:r w:rsidR="0017140B">
        <w:rPr>
          <w:rFonts w:ascii="Times New Roman" w:hAnsi="Times New Roman" w:cs="Times New Roman"/>
          <w:lang w:val="en-US"/>
        </w:rPr>
        <w:t xml:space="preserve">the </w:t>
      </w:r>
      <w:r w:rsidR="00B4644F">
        <w:rPr>
          <w:rFonts w:ascii="Times New Roman" w:hAnsi="Times New Roman" w:cs="Times New Roman"/>
          <w:lang w:val="en-US"/>
        </w:rPr>
        <w:t>VRT at 2 min</w:t>
      </w:r>
      <w:r w:rsidR="00BB0C0A" w:rsidRPr="00BB0C0A">
        <w:rPr>
          <w:rFonts w:ascii="Times New Roman" w:hAnsi="Times New Roman" w:cs="Times New Roman"/>
          <w:lang w:val="en-US"/>
        </w:rPr>
        <w:t xml:space="preserve">. Anyway, </w:t>
      </w:r>
      <w:r>
        <w:rPr>
          <w:rFonts w:ascii="Times New Roman" w:hAnsi="Times New Roman" w:cs="Times New Roman"/>
          <w:lang w:val="en-US"/>
        </w:rPr>
        <w:t>Figure</w:t>
      </w:r>
      <w:r w:rsidR="00B4644F">
        <w:rPr>
          <w:rFonts w:ascii="Times New Roman" w:hAnsi="Times New Roman" w:cs="Times New Roman"/>
          <w:lang w:val="en-US"/>
        </w:rPr>
        <w:t xml:space="preserve"> </w:t>
      </w:r>
      <w:r w:rsidR="00FF7224">
        <w:rPr>
          <w:rFonts w:ascii="Times New Roman" w:hAnsi="Times New Roman" w:cs="Times New Roman"/>
          <w:lang w:val="en-US"/>
        </w:rPr>
        <w:t xml:space="preserve">3 </w:t>
      </w:r>
      <w:r w:rsidR="00B4644F">
        <w:rPr>
          <w:rFonts w:ascii="Times New Roman" w:hAnsi="Times New Roman" w:cs="Times New Roman"/>
          <w:lang w:val="en-US"/>
        </w:rPr>
        <w:t xml:space="preserve">shows </w:t>
      </w:r>
      <w:r w:rsidR="00F0696D">
        <w:rPr>
          <w:rFonts w:ascii="Times New Roman" w:hAnsi="Times New Roman" w:cs="Times New Roman"/>
          <w:lang w:val="en-US"/>
        </w:rPr>
        <w:t>the convenience of using a recycling unit with a high RR: it resulted that,</w:t>
      </w:r>
      <w:r w:rsidR="00B4644F">
        <w:rPr>
          <w:rFonts w:ascii="Times New Roman" w:hAnsi="Times New Roman" w:cs="Times New Roman"/>
          <w:lang w:val="en-US"/>
        </w:rPr>
        <w:t xml:space="preserve"> </w:t>
      </w:r>
      <w:r w:rsidR="006243DA">
        <w:rPr>
          <w:rFonts w:ascii="Times New Roman" w:hAnsi="Times New Roman" w:cs="Times New Roman"/>
          <w:lang w:val="en-US"/>
        </w:rPr>
        <w:t>the higher the EBRT, the higher the recycling ratio and the production of PHB for unit of substrate</w:t>
      </w:r>
      <w:bookmarkStart w:id="0" w:name="_Hlk92454915"/>
      <w:bookmarkStart w:id="1" w:name="_Hlk92294934"/>
      <w:bookmarkStart w:id="2" w:name="_Hlk71280460"/>
      <w:r w:rsidR="0017140B">
        <w:rPr>
          <w:rFonts w:ascii="Times New Roman" w:hAnsi="Times New Roman" w:cs="Times New Roman"/>
          <w:lang w:val="en-US"/>
        </w:rPr>
        <w:t>, with an evident saving of methane</w:t>
      </w:r>
      <w:r w:rsidR="00916174">
        <w:rPr>
          <w:rFonts w:ascii="Times New Roman" w:hAnsi="Times New Roman" w:cs="Times New Roman"/>
          <w:lang w:val="en-US"/>
        </w:rPr>
        <w:t xml:space="preserve"> (93% of methane saved at a RR=14).</w:t>
      </w:r>
    </w:p>
    <w:p w14:paraId="0338B8BA" w14:textId="3DE57CEC" w:rsidR="00DA51A3" w:rsidRPr="00EF5D7F" w:rsidRDefault="00BB0C0A" w:rsidP="00EF5D7F">
      <w:pPr>
        <w:spacing w:after="0" w:line="276" w:lineRule="auto"/>
        <w:rPr>
          <w:rFonts w:ascii="Times New Roman" w:hAnsi="Times New Roman" w:cs="Times New Roman"/>
          <w:lang w:val="en-GB"/>
        </w:rPr>
      </w:pPr>
      <w:r w:rsidRPr="00BB0C0A">
        <w:rPr>
          <w:rFonts w:ascii="Times New Roman" w:hAnsi="Times New Roman" w:cs="Times New Roman"/>
          <w:lang w:val="en-GB"/>
        </w:rPr>
        <w:t xml:space="preserve">The </w:t>
      </w:r>
      <w:r w:rsidR="006243DA">
        <w:rPr>
          <w:rFonts w:ascii="Times New Roman" w:hAnsi="Times New Roman" w:cs="Times New Roman"/>
          <w:lang w:val="en-GB"/>
        </w:rPr>
        <w:t>convenience in using a</w:t>
      </w:r>
      <w:r w:rsidRPr="00BB0C0A">
        <w:rPr>
          <w:rFonts w:ascii="Times New Roman" w:hAnsi="Times New Roman" w:cs="Times New Roman"/>
          <w:lang w:val="en-GB"/>
        </w:rPr>
        <w:t xml:space="preserve"> recycle stream</w:t>
      </w:r>
      <w:r w:rsidR="00F0696D">
        <w:rPr>
          <w:rFonts w:ascii="Times New Roman" w:hAnsi="Times New Roman" w:cs="Times New Roman"/>
          <w:lang w:val="en-GB"/>
        </w:rPr>
        <w:t xml:space="preserve"> for reducing the VRT and saving methane at the same time</w:t>
      </w:r>
      <w:r w:rsidRPr="00BB0C0A">
        <w:rPr>
          <w:rFonts w:ascii="Times New Roman" w:hAnsi="Times New Roman" w:cs="Times New Roman"/>
          <w:lang w:val="en-GB"/>
        </w:rPr>
        <w:t xml:space="preserve"> was previously </w:t>
      </w:r>
      <w:r w:rsidR="006243DA">
        <w:rPr>
          <w:rFonts w:ascii="Times New Roman" w:hAnsi="Times New Roman" w:cs="Times New Roman"/>
          <w:lang w:val="en-GB"/>
        </w:rPr>
        <w:t>stated</w:t>
      </w:r>
      <w:r w:rsidR="00F0696D">
        <w:rPr>
          <w:rFonts w:ascii="Times New Roman" w:hAnsi="Times New Roman" w:cs="Times New Roman"/>
          <w:lang w:val="en-GB"/>
        </w:rPr>
        <w:t>,</w:t>
      </w:r>
      <w:r w:rsidR="006243DA">
        <w:rPr>
          <w:rFonts w:ascii="Times New Roman" w:hAnsi="Times New Roman" w:cs="Times New Roman"/>
          <w:lang w:val="en-GB"/>
        </w:rPr>
        <w:t xml:space="preserve"> </w:t>
      </w:r>
      <w:r w:rsidRPr="00BB0C0A">
        <w:rPr>
          <w:rFonts w:ascii="Times New Roman" w:hAnsi="Times New Roman" w:cs="Times New Roman"/>
          <w:lang w:val="en-GB"/>
        </w:rPr>
        <w:t xml:space="preserve">with an increase of </w:t>
      </w:r>
      <w:r w:rsidRPr="00BB0C0A">
        <w:rPr>
          <w:rFonts w:ascii="Times New Roman" w:hAnsi="Times New Roman" w:cs="Times New Roman"/>
          <w:i/>
          <w:lang w:val="en-GB"/>
        </w:rPr>
        <w:t>EC-CH</w:t>
      </w:r>
      <w:r w:rsidRPr="00BB0C0A">
        <w:rPr>
          <w:rFonts w:ascii="Times New Roman" w:hAnsi="Times New Roman" w:cs="Times New Roman"/>
          <w:i/>
          <w:vertAlign w:val="subscript"/>
          <w:lang w:val="en-GB"/>
        </w:rPr>
        <w:t>4</w:t>
      </w:r>
      <w:r w:rsidRPr="00BB0C0A">
        <w:rPr>
          <w:rFonts w:ascii="Times New Roman" w:hAnsi="Times New Roman" w:cs="Times New Roman"/>
          <w:vertAlign w:val="subscript"/>
          <w:lang w:val="en-GB"/>
        </w:rPr>
        <w:t xml:space="preserve"> </w:t>
      </w:r>
      <w:r w:rsidR="006243DA">
        <w:rPr>
          <w:rFonts w:ascii="Times New Roman" w:hAnsi="Times New Roman" w:cs="Times New Roman"/>
          <w:lang w:val="en-GB"/>
        </w:rPr>
        <w:t>which was function of the</w:t>
      </w:r>
      <w:r w:rsidRPr="00BB0C0A">
        <w:rPr>
          <w:rFonts w:ascii="Times New Roman" w:hAnsi="Times New Roman" w:cs="Times New Roman"/>
          <w:lang w:val="en-GB"/>
        </w:rPr>
        <w:t xml:space="preserve"> </w:t>
      </w:r>
      <w:r w:rsidR="00F0696D">
        <w:rPr>
          <w:rFonts w:ascii="Times New Roman" w:hAnsi="Times New Roman" w:cs="Times New Roman"/>
          <w:lang w:val="en-GB"/>
        </w:rPr>
        <w:t xml:space="preserve">EBRT and of the </w:t>
      </w:r>
      <w:r w:rsidRPr="00BB0C0A">
        <w:rPr>
          <w:rFonts w:ascii="Times New Roman" w:hAnsi="Times New Roman" w:cs="Times New Roman"/>
          <w:lang w:val="en-GB"/>
        </w:rPr>
        <w:t xml:space="preserve">recycling ratio. </w:t>
      </w:r>
      <w:r w:rsidR="006243DA">
        <w:rPr>
          <w:rFonts w:ascii="Times New Roman" w:hAnsi="Times New Roman" w:cs="Times New Roman"/>
          <w:lang w:val="en-GB"/>
        </w:rPr>
        <w:t>For example, an increase of</w:t>
      </w:r>
      <w:r w:rsidRPr="00BB0C0A">
        <w:rPr>
          <w:rFonts w:ascii="Times New Roman" w:hAnsi="Times New Roman" w:cs="Times New Roman"/>
          <w:lang w:val="en-GB"/>
        </w:rPr>
        <w:t xml:space="preserve"> methane utilizing capacity </w:t>
      </w:r>
      <w:r w:rsidR="006243DA">
        <w:rPr>
          <w:rFonts w:ascii="Times New Roman" w:hAnsi="Times New Roman" w:cs="Times New Roman"/>
          <w:lang w:val="en-GB"/>
        </w:rPr>
        <w:t xml:space="preserve">from </w:t>
      </w:r>
      <w:r w:rsidRPr="00BB0C0A">
        <w:rPr>
          <w:rFonts w:ascii="Times New Roman" w:hAnsi="Times New Roman" w:cs="Times New Roman"/>
          <w:lang w:val="en-GB"/>
        </w:rPr>
        <w:t>29.8 ± 2.0 g</w:t>
      </w:r>
      <w:r w:rsidRPr="00BB0C0A">
        <w:rPr>
          <w:rFonts w:ascii="Times New Roman" w:hAnsi="Times New Roman" w:cs="Times New Roman"/>
          <w:lang w:val="en-US"/>
        </w:rPr>
        <w:t xml:space="preserve"> CH</w:t>
      </w:r>
      <w:r w:rsidRPr="00BB0C0A">
        <w:rPr>
          <w:rFonts w:ascii="Times New Roman" w:hAnsi="Times New Roman" w:cs="Times New Roman"/>
          <w:vertAlign w:val="subscript"/>
          <w:lang w:val="en-US"/>
        </w:rPr>
        <w:t xml:space="preserve">4 </w:t>
      </w:r>
      <w:r w:rsidRPr="00BB0C0A">
        <w:rPr>
          <w:rFonts w:ascii="Times New Roman" w:hAnsi="Times New Roman" w:cs="Times New Roman"/>
          <w:lang w:val="en-GB"/>
        </w:rPr>
        <w:t>m</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3</w:t>
      </w:r>
      <w:r w:rsidRPr="00BB0C0A">
        <w:rPr>
          <w:rFonts w:ascii="Times New Roman" w:hAnsi="Times New Roman" w:cs="Times New Roman"/>
          <w:lang w:val="en-GB"/>
        </w:rPr>
        <w:t xml:space="preserve"> h</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1</w:t>
      </w:r>
      <w:r w:rsidRPr="00BB0C0A">
        <w:rPr>
          <w:rFonts w:ascii="Times New Roman" w:hAnsi="Times New Roman" w:cs="Times New Roman"/>
          <w:lang w:val="en-GB"/>
        </w:rPr>
        <w:t xml:space="preserve"> at </w:t>
      </w:r>
      <w:r w:rsidRPr="00BB0C0A">
        <w:rPr>
          <w:rFonts w:ascii="Times New Roman" w:hAnsi="Times New Roman" w:cs="Times New Roman"/>
          <w:i/>
          <w:lang w:val="en-GB"/>
        </w:rPr>
        <w:t>EBRT</w:t>
      </w:r>
      <w:r w:rsidRPr="00BB0C0A">
        <w:rPr>
          <w:rFonts w:ascii="Times New Roman" w:hAnsi="Times New Roman" w:cs="Times New Roman"/>
          <w:lang w:val="en-GB"/>
        </w:rPr>
        <w:t xml:space="preserve">=30 min with no internal gas recirculation </w:t>
      </w:r>
      <w:r w:rsidR="006243DA">
        <w:rPr>
          <w:rFonts w:ascii="Times New Roman" w:hAnsi="Times New Roman" w:cs="Times New Roman"/>
          <w:lang w:val="en-GB"/>
        </w:rPr>
        <w:t>to</w:t>
      </w:r>
      <w:r w:rsidRPr="00BB0C0A">
        <w:rPr>
          <w:rFonts w:ascii="Times New Roman" w:hAnsi="Times New Roman" w:cs="Times New Roman"/>
          <w:lang w:val="en-GB"/>
        </w:rPr>
        <w:t xml:space="preserve"> 73.8 ± 2.1</w:t>
      </w:r>
      <w:r w:rsidRPr="00BB0C0A">
        <w:rPr>
          <w:rFonts w:ascii="Times New Roman" w:hAnsi="Times New Roman" w:cs="Times New Roman"/>
          <w:sz w:val="16"/>
          <w:szCs w:val="16"/>
          <w:lang w:val="en-GB"/>
        </w:rPr>
        <w:t xml:space="preserve"> </w:t>
      </w:r>
      <w:r w:rsidRPr="00BB0C0A">
        <w:rPr>
          <w:rFonts w:ascii="Times New Roman" w:hAnsi="Times New Roman" w:cs="Times New Roman"/>
          <w:lang w:val="en-GB"/>
        </w:rPr>
        <w:t>g</w:t>
      </w:r>
      <w:r w:rsidRPr="00BB0C0A">
        <w:rPr>
          <w:rFonts w:ascii="Times New Roman" w:hAnsi="Times New Roman" w:cs="Times New Roman"/>
          <w:lang w:val="en-US"/>
        </w:rPr>
        <w:t xml:space="preserve"> CH</w:t>
      </w:r>
      <w:r w:rsidRPr="00BB0C0A">
        <w:rPr>
          <w:rFonts w:ascii="Times New Roman" w:hAnsi="Times New Roman" w:cs="Times New Roman"/>
          <w:vertAlign w:val="subscript"/>
          <w:lang w:val="en-US"/>
        </w:rPr>
        <w:t xml:space="preserve">4 </w:t>
      </w:r>
      <w:r w:rsidRPr="00BB0C0A">
        <w:rPr>
          <w:rFonts w:ascii="Times New Roman" w:hAnsi="Times New Roman" w:cs="Times New Roman"/>
          <w:lang w:val="en-GB"/>
        </w:rPr>
        <w:t>m</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3</w:t>
      </w:r>
      <w:r w:rsidRPr="00BB0C0A">
        <w:rPr>
          <w:rFonts w:ascii="Times New Roman" w:hAnsi="Times New Roman" w:cs="Times New Roman"/>
          <w:lang w:val="en-GB"/>
        </w:rPr>
        <w:t xml:space="preserve"> h</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1</w:t>
      </w:r>
      <w:r w:rsidRPr="00BB0C0A">
        <w:rPr>
          <w:rFonts w:ascii="Times New Roman" w:hAnsi="Times New Roman" w:cs="Times New Roman"/>
          <w:lang w:val="en-GB"/>
        </w:rPr>
        <w:t xml:space="preserve"> with a final </w:t>
      </w:r>
      <w:r w:rsidRPr="00BB0C0A">
        <w:rPr>
          <w:rFonts w:ascii="Times New Roman" w:hAnsi="Times New Roman" w:cs="Times New Roman"/>
          <w:i/>
          <w:lang w:val="en-GB"/>
        </w:rPr>
        <w:t>VRT</w:t>
      </w:r>
      <w:r w:rsidRPr="00BB0C0A">
        <w:rPr>
          <w:rFonts w:ascii="Times New Roman" w:hAnsi="Times New Roman" w:cs="Times New Roman"/>
          <w:lang w:val="en-GB"/>
        </w:rPr>
        <w:t xml:space="preserve"> of 1 min employing a recycle ratio of 30</w:t>
      </w:r>
      <w:r w:rsidR="00F0696D">
        <w:rPr>
          <w:rFonts w:ascii="Times New Roman" w:hAnsi="Times New Roman" w:cs="Times New Roman"/>
          <w:lang w:val="en-GB"/>
        </w:rPr>
        <w:t>,</w:t>
      </w:r>
      <w:r w:rsidR="006243DA">
        <w:rPr>
          <w:rFonts w:ascii="Times New Roman" w:hAnsi="Times New Roman" w:cs="Times New Roman"/>
          <w:lang w:val="en-GB"/>
        </w:rPr>
        <w:t xml:space="preserve"> was reported</w:t>
      </w:r>
      <w:r w:rsidRPr="00BB0C0A">
        <w:rPr>
          <w:rFonts w:ascii="Times New Roman" w:hAnsi="Times New Roman" w:cs="Times New Roman"/>
          <w:lang w:val="en-GB"/>
        </w:rPr>
        <w:t xml:space="preserve"> </w:t>
      </w:r>
      <w:r w:rsidRPr="00BB0C0A">
        <w:rPr>
          <w:rFonts w:ascii="Times New Roman" w:hAnsi="Times New Roman" w:cs="Times New Roman"/>
        </w:rPr>
        <w:fldChar w:fldCharType="begin" w:fldLock="1"/>
      </w:r>
      <w:r w:rsidR="003977BB">
        <w:rPr>
          <w:rFonts w:ascii="Times New Roman" w:hAnsi="Times New Roman" w:cs="Times New Roman"/>
          <w:lang w:val="en-GB"/>
        </w:rPr>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bioreactor","type":"article-journal","volume":"334"},"uris":["http://www.mendeley.com/documents/?uuid=612dd36a-3279-47e4-bddf-67a9c12ad4b2"]}],"mendeley":{"formattedCitation":"[6]","plainTextFormattedCitation":"[6]","previouslyFormattedCitation":"(García-Pérez Teresa, C.López Juan, Passos Fabiana, Lebrero Raquel, Revah Sergio, 2018)"},"properties":{"noteIndex":0},"schema":"https://github.com/citation-style-language/schema/raw/master/csl-citation.json"}</w:instrText>
      </w:r>
      <w:r w:rsidRPr="00BB0C0A">
        <w:rPr>
          <w:rFonts w:ascii="Times New Roman" w:hAnsi="Times New Roman" w:cs="Times New Roman"/>
        </w:rPr>
        <w:fldChar w:fldCharType="separate"/>
      </w:r>
      <w:r w:rsidR="003977BB" w:rsidRPr="003977BB">
        <w:rPr>
          <w:rFonts w:ascii="Times New Roman" w:hAnsi="Times New Roman" w:cs="Times New Roman"/>
          <w:noProof/>
          <w:lang w:val="en-GB"/>
        </w:rPr>
        <w:t>[6]</w:t>
      </w:r>
      <w:r w:rsidRPr="00BB0C0A">
        <w:rPr>
          <w:rFonts w:ascii="Times New Roman" w:hAnsi="Times New Roman" w:cs="Times New Roman"/>
        </w:rPr>
        <w:fldChar w:fldCharType="end"/>
      </w:r>
      <w:r w:rsidRPr="00BB0C0A">
        <w:rPr>
          <w:rFonts w:ascii="Times New Roman" w:hAnsi="Times New Roman" w:cs="Times New Roman"/>
          <w:lang w:val="en-GB"/>
        </w:rPr>
        <w:t xml:space="preserve">. </w:t>
      </w:r>
      <w:r w:rsidRPr="006243DA">
        <w:rPr>
          <w:rFonts w:ascii="Times New Roman" w:hAnsi="Times New Roman" w:cs="Times New Roman"/>
          <w:lang w:val="en-GB"/>
        </w:rPr>
        <w:t xml:space="preserve">Others </w:t>
      </w:r>
      <w:r w:rsidRPr="00BB0C0A">
        <w:rPr>
          <w:rFonts w:ascii="Times New Roman" w:hAnsi="Times New Roman" w:cs="Times New Roman"/>
          <w:lang w:val="en-US"/>
        </w:rPr>
        <w:fldChar w:fldCharType="begin" w:fldLock="1"/>
      </w:r>
      <w:r w:rsidR="003977BB">
        <w:rPr>
          <w:rFonts w:ascii="Times New Roman" w:hAnsi="Times New Roman" w:cs="Times New Roman"/>
          <w:lang w:val="en-GB"/>
        </w:rPr>
        <w:instrText>ADDIN CSL_CITATION {"citationItems":[{"id":"ITEM-1","itemData":{"DOI":"10.1016/j.wasman.2020.06.009","ISSN":"18792456","PMID":"32585559","abstract":"Creating additional value out of biogas during waste treatment has become a priority in past years. Biogas bioconversion into valuable bioproducts such as biopolymers has emerged as a promising strategy. This work assessed the operational feasibility of a bubble column bioreactor (BCB) implemented with gas recirculation and inoculated with a polyhydroxybutyrate (PHB)-producing strain using biogas as substrate. The BCB was initially operated at empty bed residence times (EBRTs) ranging from 30 to 120 min and gas recirculation ratios (R) from 0 to 30 to assess the gas-to-liquid mass transfer and bioconversion of CH4. Subsequently, the BCB was continuously operated at a R of 30 and an EBRT of 60 min under excess of nitrogen and nitrogen feast-famine cycles of 24 h:24 h to trigger PHB synthesis. Gas recirculation played a major role in CH4 gas–liquid transfer, providing almost fourfold higher CH4 elimination capacities (~41 g CH4 m−3 h−1) at the highest R and EBRT of 60 min. The long-term operation under N excess conditions entailed nitrite accumulation (induced by O2 limiting conditions) and concurrent methanotrophic activity inhibition above ~60 mg N-NO2− L−1. Adjusting the N-NO3− supply to match microbial N demand successfully prevented nitrite accumulation. Finally, the N feast-famine 24 h:24 h strategy supported a stable CH4 conversion with a removal efficiency of 70% along with a continuous PHB production, which yielded PHB accumulations of 14.5 ± 2.9% (mg PHB mg−1 total suspended solids × 100). These outcomes represent the first step towards the integration of biogas biorefineries into conventional anaerobic digestion plants.","author":[{"dropping-particle":"","family":"Rodríguez","given":"Yadira","non-dropping-particle":"","parse-names":false,"suffix":""},{"dropping-particle":"","family":"Firmino","given":"Paulo Igor Milen","non-dropping-particle":"","parse-names":false,"suffix":""},{"dropping-particle":"","family":"Pérez","given":"Víctor","non-dropping-particle":"","parse-names":false,"suffix":""},{"dropping-particle":"","family":"Lebrero","given":"Raquel","non-dropping-particle":"","parse-names":false,"suffix":""},{"dropping-particle":"","family":"Muñoz","given":"Raúl","non-dropping-particle":"","parse-names":false,"suffix":""}],"container-title":"Waste Management","id":"ITEM-1","issued":{"date-parts":[["2020"]]},"page":"395-403","title":"Biogas valorization via continuous polyhydroxybutyrate production by Methylocystis hirsuta in a bubble column bioreactor","type":"article-journal","volume":"113"},"uris":["http://www.mendeley.com/documents/?uuid=707d8c8f-bd01-45a2-af29-f4c1e1948bd4"]}],"mendeley":{"formattedCitation":"[7]","plainTextFormattedCitation":"[7]","previouslyFormattedCitation":"(Rodríguez et al., 2020)"},"properties":{"noteIndex":0},"schema":"https://github.com/citation-style-language/schema/raw/master/csl-citation.json"}</w:instrText>
      </w:r>
      <w:r w:rsidRPr="00BB0C0A">
        <w:rPr>
          <w:rFonts w:ascii="Times New Roman" w:hAnsi="Times New Roman" w:cs="Times New Roman"/>
          <w:lang w:val="en-US"/>
        </w:rPr>
        <w:fldChar w:fldCharType="separate"/>
      </w:r>
      <w:r w:rsidR="003977BB" w:rsidRPr="003977BB">
        <w:rPr>
          <w:rFonts w:ascii="Times New Roman" w:hAnsi="Times New Roman" w:cs="Times New Roman"/>
          <w:noProof/>
          <w:lang w:val="en-GB"/>
        </w:rPr>
        <w:t>[7]</w:t>
      </w:r>
      <w:r w:rsidRPr="00BB0C0A">
        <w:rPr>
          <w:rFonts w:ascii="Times New Roman" w:hAnsi="Times New Roman" w:cs="Times New Roman"/>
          <w:lang w:val="en-US"/>
        </w:rPr>
        <w:fldChar w:fldCharType="end"/>
      </w:r>
      <w:r w:rsidRPr="00BB0C0A">
        <w:rPr>
          <w:rFonts w:ascii="Times New Roman" w:hAnsi="Times New Roman" w:cs="Times New Roman"/>
          <w:lang w:val="en-GB"/>
        </w:rPr>
        <w:t xml:space="preserve"> confirmed the </w:t>
      </w:r>
      <w:r w:rsidR="006243DA">
        <w:rPr>
          <w:rFonts w:ascii="Times New Roman" w:hAnsi="Times New Roman" w:cs="Times New Roman"/>
          <w:lang w:val="en-GB"/>
        </w:rPr>
        <w:t>opportunity of enhancing the methane consumption</w:t>
      </w:r>
      <w:r w:rsidRPr="00BB0C0A">
        <w:rPr>
          <w:rFonts w:ascii="Times New Roman" w:hAnsi="Times New Roman" w:cs="Times New Roman"/>
          <w:lang w:val="en-GB"/>
        </w:rPr>
        <w:t xml:space="preserve"> </w:t>
      </w:r>
      <w:r w:rsidR="006243DA">
        <w:rPr>
          <w:rFonts w:ascii="Times New Roman" w:hAnsi="Times New Roman" w:cs="Times New Roman"/>
          <w:lang w:val="en-GB"/>
        </w:rPr>
        <w:t>by</w:t>
      </w:r>
      <w:r w:rsidRPr="00BB0C0A">
        <w:rPr>
          <w:rFonts w:ascii="Times New Roman" w:hAnsi="Times New Roman" w:cs="Times New Roman"/>
          <w:lang w:val="en-GB"/>
        </w:rPr>
        <w:t xml:space="preserve"> using a recirculation strategy, </w:t>
      </w:r>
      <w:r w:rsidR="00B4644F">
        <w:rPr>
          <w:rFonts w:ascii="Times New Roman" w:hAnsi="Times New Roman" w:cs="Times New Roman"/>
          <w:lang w:val="en-GB"/>
        </w:rPr>
        <w:t>with an increase of EC-CH</w:t>
      </w:r>
      <w:r w:rsidR="00B4644F" w:rsidRPr="00B4644F">
        <w:rPr>
          <w:rFonts w:ascii="Times New Roman" w:hAnsi="Times New Roman" w:cs="Times New Roman"/>
          <w:vertAlign w:val="subscript"/>
          <w:lang w:val="en-GB"/>
        </w:rPr>
        <w:t>4</w:t>
      </w:r>
      <w:r w:rsidR="00B4644F">
        <w:rPr>
          <w:rFonts w:ascii="Times New Roman" w:hAnsi="Times New Roman" w:cs="Times New Roman"/>
          <w:lang w:val="en-GB"/>
        </w:rPr>
        <w:t xml:space="preserve"> from</w:t>
      </w:r>
      <w:r w:rsidRPr="00BB0C0A">
        <w:rPr>
          <w:rFonts w:ascii="Times New Roman" w:hAnsi="Times New Roman" w:cs="Times New Roman"/>
          <w:lang w:val="en-GB"/>
        </w:rPr>
        <w:t xml:space="preserve"> 8.5 ± 0.3 g</w:t>
      </w:r>
      <w:r w:rsidRPr="00BB0C0A">
        <w:rPr>
          <w:rFonts w:ascii="Times New Roman" w:hAnsi="Times New Roman" w:cs="Times New Roman"/>
          <w:lang w:val="en-US"/>
        </w:rPr>
        <w:t>CH</w:t>
      </w:r>
      <w:r w:rsidRPr="00BB0C0A">
        <w:rPr>
          <w:rFonts w:ascii="Times New Roman" w:hAnsi="Times New Roman" w:cs="Times New Roman"/>
          <w:vertAlign w:val="subscript"/>
          <w:lang w:val="en-US"/>
        </w:rPr>
        <w:t xml:space="preserve">4 </w:t>
      </w:r>
      <w:r w:rsidRPr="00BB0C0A">
        <w:rPr>
          <w:rFonts w:ascii="Times New Roman" w:hAnsi="Times New Roman" w:cs="Times New Roman"/>
          <w:lang w:val="en-GB"/>
        </w:rPr>
        <w:t>m</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3</w:t>
      </w:r>
      <w:r w:rsidRPr="00BB0C0A">
        <w:rPr>
          <w:rFonts w:ascii="Times New Roman" w:hAnsi="Times New Roman" w:cs="Times New Roman"/>
          <w:lang w:val="en-GB"/>
        </w:rPr>
        <w:t xml:space="preserve"> h</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1</w:t>
      </w:r>
      <w:r w:rsidRPr="00BB0C0A">
        <w:rPr>
          <w:rFonts w:ascii="Times New Roman" w:hAnsi="Times New Roman" w:cs="Times New Roman"/>
          <w:lang w:val="en-GB"/>
        </w:rPr>
        <w:t xml:space="preserve"> to 18.7 ± 0.2 g</w:t>
      </w:r>
      <w:r w:rsidRPr="00BB0C0A">
        <w:rPr>
          <w:rFonts w:ascii="Times New Roman" w:hAnsi="Times New Roman" w:cs="Times New Roman"/>
          <w:lang w:val="en-US"/>
        </w:rPr>
        <w:t>CH</w:t>
      </w:r>
      <w:r w:rsidRPr="00BB0C0A">
        <w:rPr>
          <w:rFonts w:ascii="Times New Roman" w:hAnsi="Times New Roman" w:cs="Times New Roman"/>
          <w:vertAlign w:val="subscript"/>
          <w:lang w:val="en-US"/>
        </w:rPr>
        <w:t xml:space="preserve">4 </w:t>
      </w:r>
      <w:r w:rsidRPr="00BB0C0A">
        <w:rPr>
          <w:rFonts w:ascii="Times New Roman" w:hAnsi="Times New Roman" w:cs="Times New Roman"/>
          <w:lang w:val="en-GB"/>
        </w:rPr>
        <w:t>m</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3</w:t>
      </w:r>
      <w:r w:rsidRPr="00BB0C0A">
        <w:rPr>
          <w:rFonts w:ascii="Times New Roman" w:hAnsi="Times New Roman" w:cs="Times New Roman"/>
          <w:lang w:val="en-GB"/>
        </w:rPr>
        <w:t xml:space="preserve"> h</w:t>
      </w:r>
      <w:r w:rsidRPr="00BB0C0A">
        <w:rPr>
          <w:rFonts w:ascii="Times New Roman" w:eastAsia="AdvOT596495f2+22" w:hAnsi="Times New Roman" w:cs="Times New Roman"/>
          <w:vertAlign w:val="superscript"/>
          <w:lang w:val="en-GB"/>
        </w:rPr>
        <w:t>−</w:t>
      </w:r>
      <w:r w:rsidRPr="00BB0C0A">
        <w:rPr>
          <w:rFonts w:ascii="Times New Roman" w:hAnsi="Times New Roman" w:cs="Times New Roman"/>
          <w:vertAlign w:val="superscript"/>
          <w:lang w:val="en-GB"/>
        </w:rPr>
        <w:t>1</w:t>
      </w:r>
      <w:r w:rsidRPr="00BB0C0A">
        <w:rPr>
          <w:rFonts w:ascii="Times New Roman" w:hAnsi="Times New Roman" w:cs="Times New Roman"/>
          <w:lang w:val="en-GB"/>
        </w:rPr>
        <w:t xml:space="preserve"> when increasing the recycling rate from 0 m</w:t>
      </w:r>
      <w:r w:rsidRPr="00BB0C0A">
        <w:rPr>
          <w:rFonts w:ascii="Times New Roman" w:hAnsi="Times New Roman" w:cs="Times New Roman"/>
          <w:vertAlign w:val="superscript"/>
          <w:lang w:val="en-GB"/>
        </w:rPr>
        <w:t>3</w:t>
      </w:r>
      <w:r w:rsidRPr="00BB0C0A">
        <w:rPr>
          <w:rFonts w:ascii="Times New Roman" w:hAnsi="Times New Roman" w:cs="Times New Roman"/>
          <w:vertAlign w:val="subscript"/>
          <w:lang w:val="en-GB"/>
        </w:rPr>
        <w:t>gas</w:t>
      </w:r>
      <w:r w:rsidRPr="00BB0C0A">
        <w:rPr>
          <w:rFonts w:ascii="Times New Roman" w:hAnsi="Times New Roman" w:cs="Times New Roman"/>
          <w:lang w:val="en-GB"/>
        </w:rPr>
        <w:t xml:space="preserve"> m</w:t>
      </w:r>
      <w:r w:rsidRPr="00BB0C0A">
        <w:rPr>
          <w:rFonts w:ascii="Times New Roman" w:hAnsi="Times New Roman" w:cs="Times New Roman"/>
          <w:vertAlign w:val="superscript"/>
          <w:lang w:val="en-GB"/>
        </w:rPr>
        <w:t>-3</w:t>
      </w:r>
      <w:r w:rsidRPr="00BB0C0A">
        <w:rPr>
          <w:rFonts w:ascii="Times New Roman" w:hAnsi="Times New Roman" w:cs="Times New Roman"/>
          <w:vertAlign w:val="subscript"/>
          <w:lang w:val="en-GB"/>
        </w:rPr>
        <w:t xml:space="preserve">reatt </w:t>
      </w:r>
      <w:r w:rsidRPr="00BB0C0A">
        <w:rPr>
          <w:rFonts w:ascii="Times New Roman" w:hAnsi="Times New Roman" w:cs="Times New Roman"/>
          <w:lang w:val="en-GB"/>
        </w:rPr>
        <w:t>min</w:t>
      </w:r>
      <w:r w:rsidRPr="00BB0C0A">
        <w:rPr>
          <w:rFonts w:ascii="Times New Roman" w:hAnsi="Times New Roman" w:cs="Times New Roman"/>
          <w:vertAlign w:val="superscript"/>
          <w:lang w:val="en-GB"/>
        </w:rPr>
        <w:t>-1</w:t>
      </w:r>
      <w:r w:rsidRPr="00BB0C0A">
        <w:rPr>
          <w:rFonts w:ascii="Times New Roman" w:hAnsi="Times New Roman" w:cs="Times New Roman"/>
          <w:lang w:val="en-GB"/>
        </w:rPr>
        <w:t xml:space="preserve"> </w:t>
      </w:r>
      <w:r w:rsidR="00B4644F">
        <w:rPr>
          <w:rFonts w:ascii="Times New Roman" w:hAnsi="Times New Roman" w:cs="Times New Roman"/>
          <w:lang w:val="en-GB"/>
        </w:rPr>
        <w:t xml:space="preserve">at </w:t>
      </w:r>
      <w:r w:rsidRPr="00BB0C0A">
        <w:rPr>
          <w:rFonts w:ascii="Times New Roman" w:hAnsi="Times New Roman" w:cs="Times New Roman"/>
          <w:i/>
          <w:lang w:val="en-GB"/>
        </w:rPr>
        <w:t>EBRT</w:t>
      </w:r>
      <w:r w:rsidRPr="00BB0C0A">
        <w:rPr>
          <w:rFonts w:ascii="Times New Roman" w:hAnsi="Times New Roman" w:cs="Times New Roman"/>
          <w:lang w:val="en-GB"/>
        </w:rPr>
        <w:t>= 60min to 0.25 m</w:t>
      </w:r>
      <w:r w:rsidRPr="00BB0C0A">
        <w:rPr>
          <w:rFonts w:ascii="Times New Roman" w:hAnsi="Times New Roman" w:cs="Times New Roman"/>
          <w:vertAlign w:val="superscript"/>
          <w:lang w:val="en-GB"/>
        </w:rPr>
        <w:t>3</w:t>
      </w:r>
      <w:r w:rsidRPr="00BB0C0A">
        <w:rPr>
          <w:rFonts w:ascii="Times New Roman" w:hAnsi="Times New Roman" w:cs="Times New Roman"/>
          <w:vertAlign w:val="subscript"/>
          <w:lang w:val="en-GB"/>
        </w:rPr>
        <w:t xml:space="preserve">gas  </w:t>
      </w:r>
      <w:r w:rsidRPr="00BB0C0A">
        <w:rPr>
          <w:rFonts w:ascii="Times New Roman" w:hAnsi="Times New Roman" w:cs="Times New Roman"/>
          <w:lang w:val="en-GB"/>
        </w:rPr>
        <w:t>m</w:t>
      </w:r>
      <w:r w:rsidRPr="00BB0C0A">
        <w:rPr>
          <w:rFonts w:ascii="Times New Roman" w:hAnsi="Times New Roman" w:cs="Times New Roman"/>
          <w:vertAlign w:val="superscript"/>
          <w:lang w:val="en-GB"/>
        </w:rPr>
        <w:t>-3</w:t>
      </w:r>
      <w:r w:rsidRPr="00BB0C0A">
        <w:rPr>
          <w:rFonts w:ascii="Times New Roman" w:hAnsi="Times New Roman" w:cs="Times New Roman"/>
          <w:vertAlign w:val="subscript"/>
          <w:lang w:val="en-GB"/>
        </w:rPr>
        <w:t xml:space="preserve">reatt </w:t>
      </w:r>
      <w:r w:rsidRPr="00BB0C0A">
        <w:rPr>
          <w:rFonts w:ascii="Times New Roman" w:hAnsi="Times New Roman" w:cs="Times New Roman"/>
          <w:lang w:val="en-GB"/>
        </w:rPr>
        <w:t>min</w:t>
      </w:r>
      <w:r w:rsidRPr="00BB0C0A">
        <w:rPr>
          <w:rFonts w:ascii="Times New Roman" w:hAnsi="Times New Roman" w:cs="Times New Roman"/>
          <w:vertAlign w:val="superscript"/>
          <w:lang w:val="en-GB"/>
        </w:rPr>
        <w:t xml:space="preserve">-1 </w:t>
      </w:r>
      <w:r w:rsidR="00B4644F">
        <w:rPr>
          <w:rFonts w:ascii="Times New Roman" w:hAnsi="Times New Roman" w:cs="Times New Roman"/>
          <w:lang w:val="en-GB"/>
        </w:rPr>
        <w:t xml:space="preserve">at VRT=4 min starting from </w:t>
      </w:r>
      <w:r w:rsidRPr="00BB0C0A">
        <w:rPr>
          <w:rFonts w:ascii="Times New Roman" w:hAnsi="Times New Roman" w:cs="Times New Roman"/>
          <w:i/>
          <w:lang w:val="en-GB"/>
        </w:rPr>
        <w:t>EBRT</w:t>
      </w:r>
      <w:r w:rsidRPr="00BB0C0A">
        <w:rPr>
          <w:rFonts w:ascii="Times New Roman" w:hAnsi="Times New Roman" w:cs="Times New Roman"/>
          <w:lang w:val="en-GB"/>
        </w:rPr>
        <w:t>=60min</w:t>
      </w:r>
      <w:bookmarkEnd w:id="0"/>
      <w:bookmarkEnd w:id="1"/>
      <w:bookmarkEnd w:id="2"/>
      <w:r w:rsidR="00B4644F">
        <w:rPr>
          <w:rFonts w:ascii="Times New Roman" w:hAnsi="Times New Roman" w:cs="Times New Roman"/>
          <w:lang w:val="en-GB"/>
        </w:rPr>
        <w:t>.</w:t>
      </w:r>
    </w:p>
    <w:p w14:paraId="321363DB" w14:textId="3CA734E0" w:rsidR="00DA51A3" w:rsidRPr="008303E7" w:rsidRDefault="00DA51A3" w:rsidP="00DA51A3">
      <w:pPr>
        <w:snapToGrid w:val="0"/>
        <w:spacing w:after="120"/>
        <w:jc w:val="center"/>
        <w:rPr>
          <w:rFonts w:ascii="Times New Roman" w:eastAsia="MS PGothic" w:hAnsi="Times New Roman"/>
          <w:lang w:val="en-GB"/>
        </w:rPr>
      </w:pPr>
    </w:p>
    <w:p w14:paraId="6E0C88E5" w14:textId="68AFF16D" w:rsidR="00EF5D7F" w:rsidRDefault="00916174" w:rsidP="00DA51A3">
      <w:pPr>
        <w:snapToGrid w:val="0"/>
        <w:spacing w:after="120"/>
        <w:jc w:val="center"/>
        <w:rPr>
          <w:rFonts w:ascii="Times New Roman" w:eastAsia="MS PGothic" w:hAnsi="Times New Roman"/>
          <w:szCs w:val="18"/>
          <w:lang w:val="en-US"/>
        </w:rPr>
      </w:pPr>
      <w:r w:rsidRPr="00916174">
        <w:rPr>
          <w:rFonts w:ascii="Times New Roman" w:eastAsia="MS PGothic" w:hAnsi="Times New Roman"/>
          <w:noProof/>
          <w:szCs w:val="18"/>
          <w:lang w:val="en-US"/>
        </w:rPr>
        <w:drawing>
          <wp:inline distT="0" distB="0" distL="0" distR="0" wp14:anchorId="5438AB54" wp14:editId="2760C18D">
            <wp:extent cx="4998398" cy="3479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970"/>
                    <a:stretch/>
                  </pic:blipFill>
                  <pic:spPr bwMode="auto">
                    <a:xfrm>
                      <a:off x="0" y="0"/>
                      <a:ext cx="5005664" cy="3484859"/>
                    </a:xfrm>
                    <a:prstGeom prst="rect">
                      <a:avLst/>
                    </a:prstGeom>
                    <a:noFill/>
                    <a:ln>
                      <a:noFill/>
                    </a:ln>
                    <a:extLst>
                      <a:ext uri="{53640926-AAD7-44D8-BBD7-CCE9431645EC}">
                        <a14:shadowObscured xmlns:a14="http://schemas.microsoft.com/office/drawing/2010/main"/>
                      </a:ext>
                    </a:extLst>
                  </pic:spPr>
                </pic:pic>
              </a:graphicData>
            </a:graphic>
          </wp:inline>
        </w:drawing>
      </w:r>
    </w:p>
    <w:p w14:paraId="69C51082" w14:textId="655FE3F2" w:rsidR="00EF5D7F" w:rsidRDefault="00EF5D7F" w:rsidP="00CA1041">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FF7224">
        <w:rPr>
          <w:rFonts w:ascii="Times New Roman" w:eastAsia="MS PGothic" w:hAnsi="Times New Roman"/>
          <w:b/>
          <w:szCs w:val="18"/>
          <w:lang w:val="en-US"/>
        </w:rPr>
        <w:t>3</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F7224">
        <w:rPr>
          <w:rFonts w:ascii="Times New Roman" w:eastAsia="MS PGothic" w:hAnsi="Times New Roman"/>
          <w:szCs w:val="18"/>
          <w:lang w:val="en-US"/>
        </w:rPr>
        <w:t>Elimination capacity of methane and production of PHB for unit of substrate fed as function of the recycling ratio</w:t>
      </w:r>
      <w:r w:rsidRPr="00466FFD">
        <w:rPr>
          <w:rFonts w:ascii="Times New Roman" w:eastAsia="MS PGothic" w:hAnsi="Times New Roman"/>
          <w:szCs w:val="18"/>
          <w:lang w:val="en-US"/>
        </w:rPr>
        <w:t xml:space="preserve"> </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1BE0C082" w14:textId="3F6576D9" w:rsidR="00DA51A3" w:rsidRPr="00466FFD" w:rsidRDefault="00EF5D7F" w:rsidP="00DA51A3">
      <w:pPr>
        <w:snapToGrid w:val="0"/>
        <w:spacing w:after="120"/>
        <w:rPr>
          <w:rFonts w:ascii="Times New Roman" w:eastAsia="MS PGothic" w:hAnsi="Times New Roman"/>
          <w:lang w:val="en-US"/>
        </w:rPr>
      </w:pPr>
      <w:r>
        <w:rPr>
          <w:rFonts w:ascii="Times New Roman" w:eastAsia="MS PGothic" w:hAnsi="Times New Roman"/>
          <w:lang w:val="en-US"/>
        </w:rPr>
        <w:t xml:space="preserve">The process for producing PHB from methane </w:t>
      </w:r>
      <w:r w:rsidR="00916174">
        <w:rPr>
          <w:rFonts w:ascii="Times New Roman" w:eastAsia="MS PGothic" w:hAnsi="Times New Roman"/>
          <w:lang w:val="en-US"/>
        </w:rPr>
        <w:t>through</w:t>
      </w:r>
      <w:r>
        <w:rPr>
          <w:rFonts w:ascii="Times New Roman" w:eastAsia="MS PGothic" w:hAnsi="Times New Roman"/>
          <w:lang w:val="en-US"/>
        </w:rPr>
        <w:t xml:space="preserve"> a double step configuration was simulated in this work. </w:t>
      </w:r>
      <w:proofErr w:type="spellStart"/>
      <w:r w:rsidRPr="00916174">
        <w:rPr>
          <w:rFonts w:ascii="Times New Roman" w:eastAsia="MS PGothic" w:hAnsi="Times New Roman"/>
          <w:i/>
          <w:iCs/>
          <w:lang w:val="en-US"/>
        </w:rPr>
        <w:t>Methylocystis</w:t>
      </w:r>
      <w:proofErr w:type="spellEnd"/>
      <w:r w:rsidRPr="00916174">
        <w:rPr>
          <w:rFonts w:ascii="Times New Roman" w:eastAsia="MS PGothic" w:hAnsi="Times New Roman"/>
          <w:i/>
          <w:iCs/>
          <w:lang w:val="en-US"/>
        </w:rPr>
        <w:t xml:space="preserve"> </w:t>
      </w:r>
      <w:proofErr w:type="spellStart"/>
      <w:r w:rsidRPr="00916174">
        <w:rPr>
          <w:rFonts w:ascii="Times New Roman" w:eastAsia="MS PGothic" w:hAnsi="Times New Roman"/>
          <w:i/>
          <w:iCs/>
          <w:lang w:val="en-US"/>
        </w:rPr>
        <w:t>hirsuta</w:t>
      </w:r>
      <w:proofErr w:type="spellEnd"/>
      <w:r>
        <w:rPr>
          <w:rFonts w:ascii="Times New Roman" w:eastAsia="MS PGothic" w:hAnsi="Times New Roman"/>
          <w:lang w:val="en-US"/>
        </w:rPr>
        <w:t xml:space="preserve"> was grown for 20 days and accumulated PHB in lack of nitrate. The opportunity for enhancing gas-liquid mass transfer and saving methane was evaluated through the addition of a gas recycling unit, with a recycling ratio ranging from 0 to 14. The production of PHB at the end of the cycle was 0.</w:t>
      </w:r>
      <w:r w:rsidR="00FF7224">
        <w:rPr>
          <w:rFonts w:ascii="Times New Roman" w:eastAsia="MS PGothic" w:hAnsi="Times New Roman"/>
          <w:lang w:val="en-US"/>
        </w:rPr>
        <w:t>7</w:t>
      </w:r>
      <w:r w:rsidR="00916174">
        <w:rPr>
          <w:rFonts w:ascii="Times New Roman" w:eastAsia="MS PGothic" w:hAnsi="Times New Roman"/>
          <w:lang w:val="en-US"/>
        </w:rPr>
        <w:t>6</w:t>
      </w:r>
      <w:r>
        <w:rPr>
          <w:rFonts w:ascii="Times New Roman" w:eastAsia="MS PGothic" w:hAnsi="Times New Roman"/>
          <w:lang w:val="en-US"/>
        </w:rPr>
        <w:t xml:space="preserve"> kg, which corresponded to 38%w/w of PHB</w:t>
      </w:r>
      <w:r w:rsidR="00916174">
        <w:rPr>
          <w:rFonts w:ascii="Times New Roman" w:eastAsia="MS PGothic" w:hAnsi="Times New Roman"/>
          <w:lang w:val="en-US"/>
        </w:rPr>
        <w:t xml:space="preserve"> with respect to the total suspended solids</w:t>
      </w:r>
      <w:r>
        <w:rPr>
          <w:rFonts w:ascii="Times New Roman" w:eastAsia="MS PGothic" w:hAnsi="Times New Roman"/>
          <w:lang w:val="en-US"/>
        </w:rPr>
        <w:t xml:space="preserve">. The best condition, in terms of methane saved, was reached at the highest recycling ratio (14), saving </w:t>
      </w:r>
      <w:r w:rsidR="00916174">
        <w:rPr>
          <w:rFonts w:ascii="Times New Roman" w:eastAsia="MS PGothic" w:hAnsi="Times New Roman"/>
          <w:lang w:val="en-US"/>
        </w:rPr>
        <w:t>93%</w:t>
      </w:r>
      <w:r>
        <w:rPr>
          <w:rFonts w:ascii="Times New Roman" w:eastAsia="MS PGothic" w:hAnsi="Times New Roman"/>
          <w:lang w:val="en-US"/>
        </w:rPr>
        <w:t xml:space="preserve"> </w:t>
      </w:r>
      <w:r w:rsidR="00916174">
        <w:rPr>
          <w:rFonts w:ascii="Times New Roman" w:eastAsia="MS PGothic" w:hAnsi="Times New Roman"/>
          <w:lang w:val="en-US"/>
        </w:rPr>
        <w:t xml:space="preserve">of methane compared </w:t>
      </w:r>
      <w:r>
        <w:rPr>
          <w:rFonts w:ascii="Times New Roman" w:eastAsia="MS PGothic" w:hAnsi="Times New Roman"/>
          <w:lang w:val="en-US"/>
        </w:rPr>
        <w:t xml:space="preserve">to the condition in which no gas recycling was considered.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27E22DB" w14:textId="08EF62E8" w:rsidR="003977BB" w:rsidRPr="00CF281E" w:rsidRDefault="00721CEF" w:rsidP="00DE6C7B">
      <w:pPr>
        <w:widowControl w:val="0"/>
        <w:autoSpaceDE w:val="0"/>
        <w:autoSpaceDN w:val="0"/>
        <w:adjustRightInd w:val="0"/>
        <w:spacing w:after="120" w:line="276" w:lineRule="auto"/>
        <w:ind w:left="640" w:hanging="640"/>
        <w:rPr>
          <w:rFonts w:ascii="Times New Roman" w:hAnsi="Times New Roman" w:cs="Times New Roman"/>
          <w:noProof/>
          <w:sz w:val="20"/>
          <w:szCs w:val="20"/>
          <w:lang w:val="en-GB"/>
        </w:rPr>
      </w:pPr>
      <w:r w:rsidRPr="00DE6C7B">
        <w:rPr>
          <w:rFonts w:ascii="Times New Roman" w:eastAsia="MS PGothic" w:hAnsi="Times New Roman" w:cs="Times New Roman"/>
          <w:sz w:val="20"/>
          <w:szCs w:val="20"/>
        </w:rPr>
        <w:fldChar w:fldCharType="begin" w:fldLock="1"/>
      </w:r>
      <w:r w:rsidRPr="00CF281E">
        <w:rPr>
          <w:rFonts w:ascii="Times New Roman" w:eastAsia="MS PGothic" w:hAnsi="Times New Roman" w:cs="Times New Roman"/>
          <w:sz w:val="20"/>
          <w:szCs w:val="20"/>
          <w:lang w:val="en-GB"/>
        </w:rPr>
        <w:instrText xml:space="preserve">ADDIN Mendeley Bibliography CSL_BIBLIOGRAPHY </w:instrText>
      </w:r>
      <w:r w:rsidRPr="00DE6C7B">
        <w:rPr>
          <w:rFonts w:ascii="Times New Roman" w:eastAsia="MS PGothic" w:hAnsi="Times New Roman" w:cs="Times New Roman"/>
          <w:sz w:val="20"/>
          <w:szCs w:val="20"/>
        </w:rPr>
        <w:fldChar w:fldCharType="separate"/>
      </w:r>
      <w:r w:rsidR="003977BB" w:rsidRPr="00CF281E">
        <w:rPr>
          <w:rFonts w:ascii="Times New Roman" w:hAnsi="Times New Roman" w:cs="Times New Roman"/>
          <w:noProof/>
          <w:sz w:val="20"/>
          <w:szCs w:val="20"/>
          <w:lang w:val="en-GB"/>
        </w:rPr>
        <w:t>[1]</w:t>
      </w:r>
      <w:r w:rsidR="003977BB" w:rsidRPr="00CF281E">
        <w:rPr>
          <w:rFonts w:ascii="Times New Roman" w:hAnsi="Times New Roman" w:cs="Times New Roman"/>
          <w:noProof/>
          <w:sz w:val="20"/>
          <w:szCs w:val="20"/>
          <w:lang w:val="en-GB"/>
        </w:rPr>
        <w:tab/>
        <w:t>C. S. K. Reddy, R. Ghai, Rashmi, and V. C. Kalia, Bioresour. Technol. 87 (2003) 137–146</w:t>
      </w:r>
    </w:p>
    <w:p w14:paraId="1C0C07A6" w14:textId="45D1F204" w:rsidR="003977BB" w:rsidRPr="00CF281E" w:rsidRDefault="003977BB" w:rsidP="00DE6C7B">
      <w:pPr>
        <w:widowControl w:val="0"/>
        <w:autoSpaceDE w:val="0"/>
        <w:autoSpaceDN w:val="0"/>
        <w:adjustRightInd w:val="0"/>
        <w:spacing w:after="120" w:line="276" w:lineRule="auto"/>
        <w:ind w:left="640" w:hanging="640"/>
        <w:rPr>
          <w:rFonts w:ascii="Times New Roman" w:hAnsi="Times New Roman" w:cs="Times New Roman"/>
          <w:noProof/>
          <w:sz w:val="20"/>
          <w:szCs w:val="20"/>
          <w:lang w:val="en-GB"/>
        </w:rPr>
      </w:pPr>
      <w:r w:rsidRPr="00CF281E">
        <w:rPr>
          <w:rFonts w:ascii="Times New Roman" w:hAnsi="Times New Roman" w:cs="Times New Roman"/>
          <w:noProof/>
          <w:sz w:val="20"/>
          <w:szCs w:val="20"/>
          <w:lang w:val="en-GB"/>
        </w:rPr>
        <w:t>[2]</w:t>
      </w:r>
      <w:r w:rsidRPr="00CF281E">
        <w:rPr>
          <w:rFonts w:ascii="Times New Roman" w:hAnsi="Times New Roman" w:cs="Times New Roman"/>
          <w:noProof/>
          <w:sz w:val="20"/>
          <w:szCs w:val="20"/>
          <w:lang w:val="en-GB"/>
        </w:rPr>
        <w:tab/>
        <w:t>L.-Y. Liu, G.-J. Xie, D.-F. Xing, B.-F. Liu, J. Ding, and N.-Q. Ren, Environ. Sci. Ecotechnology 2 (2020) 100029</w:t>
      </w:r>
    </w:p>
    <w:p w14:paraId="148E27DA" w14:textId="0A543A8A" w:rsidR="003977BB" w:rsidRPr="00CF281E" w:rsidRDefault="003977BB" w:rsidP="00DE6C7B">
      <w:pPr>
        <w:widowControl w:val="0"/>
        <w:autoSpaceDE w:val="0"/>
        <w:autoSpaceDN w:val="0"/>
        <w:adjustRightInd w:val="0"/>
        <w:spacing w:after="120" w:line="276" w:lineRule="auto"/>
        <w:ind w:left="640" w:hanging="640"/>
        <w:rPr>
          <w:rFonts w:ascii="Times New Roman" w:hAnsi="Times New Roman" w:cs="Times New Roman"/>
          <w:noProof/>
          <w:sz w:val="20"/>
          <w:szCs w:val="20"/>
          <w:lang w:val="en-GB"/>
        </w:rPr>
      </w:pPr>
      <w:r w:rsidRPr="00CF281E">
        <w:rPr>
          <w:rFonts w:ascii="Times New Roman" w:hAnsi="Times New Roman" w:cs="Times New Roman"/>
          <w:noProof/>
          <w:sz w:val="20"/>
          <w:szCs w:val="20"/>
          <w:lang w:val="en-GB"/>
        </w:rPr>
        <w:t>[3]</w:t>
      </w:r>
      <w:r w:rsidRPr="00CF281E">
        <w:rPr>
          <w:rFonts w:ascii="Times New Roman" w:hAnsi="Times New Roman" w:cs="Times New Roman"/>
          <w:noProof/>
          <w:sz w:val="20"/>
          <w:szCs w:val="20"/>
          <w:lang w:val="en-GB"/>
        </w:rPr>
        <w:tab/>
        <w:t>L. L. Madison and G. W. Huisman, Microbiol. Mol. Biol. Rev. 63 (1999) 21–53</w:t>
      </w:r>
    </w:p>
    <w:p w14:paraId="68150416" w14:textId="5A5F7F01" w:rsidR="00DE6C7B" w:rsidRPr="00DE6C7B" w:rsidRDefault="003977BB" w:rsidP="00DE6C7B">
      <w:pPr>
        <w:spacing w:after="0" w:line="276" w:lineRule="auto"/>
        <w:rPr>
          <w:rFonts w:ascii="Times New Roman" w:hAnsi="Times New Roman" w:cs="Times New Roman"/>
          <w:sz w:val="20"/>
          <w:szCs w:val="20"/>
          <w:lang w:val="en-GB"/>
        </w:rPr>
      </w:pPr>
      <w:r w:rsidRPr="00DE6C7B">
        <w:rPr>
          <w:rFonts w:ascii="Times New Roman" w:hAnsi="Times New Roman" w:cs="Times New Roman"/>
          <w:noProof/>
          <w:sz w:val="20"/>
          <w:szCs w:val="20"/>
          <w:lang w:val="en-GB"/>
        </w:rPr>
        <w:t>[4]</w:t>
      </w:r>
      <w:r w:rsidR="00DE6C7B" w:rsidRPr="00DE6C7B">
        <w:rPr>
          <w:rFonts w:ascii="Times New Roman" w:hAnsi="Times New Roman" w:cs="Times New Roman"/>
          <w:noProof/>
          <w:sz w:val="20"/>
          <w:szCs w:val="20"/>
          <w:lang w:val="en-GB"/>
        </w:rPr>
        <w:t xml:space="preserve">        G.Q. </w:t>
      </w:r>
      <w:r w:rsidR="00DE6C7B" w:rsidRPr="00DE6C7B">
        <w:rPr>
          <w:rFonts w:ascii="Times New Roman" w:hAnsi="Times New Roman" w:cs="Times New Roman"/>
          <w:sz w:val="20"/>
          <w:szCs w:val="20"/>
          <w:lang w:val="en-GB"/>
        </w:rPr>
        <w:t>Chen, China Plastic and Rubber Journal, April Issue, 2010.</w:t>
      </w:r>
    </w:p>
    <w:p w14:paraId="64A46CAC" w14:textId="094ABF00" w:rsidR="003977BB" w:rsidRPr="00CF281E" w:rsidRDefault="003977BB" w:rsidP="00DE6C7B">
      <w:pPr>
        <w:widowControl w:val="0"/>
        <w:autoSpaceDE w:val="0"/>
        <w:autoSpaceDN w:val="0"/>
        <w:adjustRightInd w:val="0"/>
        <w:spacing w:after="120" w:line="276" w:lineRule="auto"/>
        <w:ind w:left="640" w:hanging="640"/>
        <w:rPr>
          <w:rFonts w:ascii="Times New Roman" w:hAnsi="Times New Roman" w:cs="Times New Roman"/>
          <w:noProof/>
          <w:sz w:val="20"/>
          <w:szCs w:val="20"/>
          <w:lang w:val="en-GB"/>
        </w:rPr>
      </w:pPr>
      <w:r w:rsidRPr="00CF281E">
        <w:rPr>
          <w:rFonts w:ascii="Times New Roman" w:hAnsi="Times New Roman" w:cs="Times New Roman"/>
          <w:noProof/>
          <w:sz w:val="20"/>
          <w:szCs w:val="20"/>
          <w:lang w:val="en-GB"/>
        </w:rPr>
        <w:t>[5]</w:t>
      </w:r>
      <w:r w:rsidRPr="00CF281E">
        <w:rPr>
          <w:rFonts w:ascii="Times New Roman" w:hAnsi="Times New Roman" w:cs="Times New Roman"/>
          <w:noProof/>
          <w:sz w:val="20"/>
          <w:szCs w:val="20"/>
          <w:lang w:val="en-GB"/>
        </w:rPr>
        <w:tab/>
        <w:t>J. Chee, S. Yoga, N. Lau, S. Ling, and R. M. M. Abed, (2010) pp. 1395–1404</w:t>
      </w:r>
    </w:p>
    <w:p w14:paraId="12E9FE0B" w14:textId="693A39CF" w:rsidR="003977BB" w:rsidRPr="00CF281E" w:rsidRDefault="003977BB" w:rsidP="00DE6C7B">
      <w:pPr>
        <w:widowControl w:val="0"/>
        <w:autoSpaceDE w:val="0"/>
        <w:autoSpaceDN w:val="0"/>
        <w:adjustRightInd w:val="0"/>
        <w:spacing w:after="120" w:line="276" w:lineRule="auto"/>
        <w:ind w:left="640" w:hanging="640"/>
        <w:rPr>
          <w:rFonts w:ascii="Times New Roman" w:hAnsi="Times New Roman" w:cs="Times New Roman"/>
          <w:noProof/>
          <w:sz w:val="20"/>
          <w:szCs w:val="20"/>
          <w:lang w:val="es-419"/>
        </w:rPr>
      </w:pPr>
      <w:r w:rsidRPr="00CF281E">
        <w:rPr>
          <w:rFonts w:ascii="Times New Roman" w:hAnsi="Times New Roman" w:cs="Times New Roman"/>
          <w:noProof/>
          <w:sz w:val="20"/>
          <w:szCs w:val="20"/>
          <w:lang w:val="es-419"/>
        </w:rPr>
        <w:t>[6]</w:t>
      </w:r>
      <w:r w:rsidRPr="00CF281E">
        <w:rPr>
          <w:rFonts w:ascii="Times New Roman" w:hAnsi="Times New Roman" w:cs="Times New Roman"/>
          <w:noProof/>
          <w:sz w:val="20"/>
          <w:szCs w:val="20"/>
          <w:lang w:val="es-419"/>
        </w:rPr>
        <w:tab/>
        <w:t>M. R. García-Pérez, C.</w:t>
      </w:r>
      <w:r w:rsidR="00DE6C7B" w:rsidRPr="00CF281E">
        <w:rPr>
          <w:rFonts w:ascii="Times New Roman" w:hAnsi="Times New Roman" w:cs="Times New Roman"/>
          <w:noProof/>
          <w:sz w:val="20"/>
          <w:szCs w:val="20"/>
          <w:lang w:val="es-419"/>
        </w:rPr>
        <w:t xml:space="preserve">J. </w:t>
      </w:r>
      <w:r w:rsidRPr="00CF281E">
        <w:rPr>
          <w:rFonts w:ascii="Times New Roman" w:hAnsi="Times New Roman" w:cs="Times New Roman"/>
          <w:noProof/>
          <w:sz w:val="20"/>
          <w:szCs w:val="20"/>
          <w:lang w:val="es-419"/>
        </w:rPr>
        <w:t>López, F. Passos, R. Lebrero, S. Revah, “Chem. Eng. J. 334</w:t>
      </w:r>
      <w:r w:rsidR="00DE6C7B" w:rsidRPr="00CF281E">
        <w:rPr>
          <w:rFonts w:ascii="Times New Roman" w:hAnsi="Times New Roman" w:cs="Times New Roman"/>
          <w:noProof/>
          <w:sz w:val="20"/>
          <w:szCs w:val="20"/>
          <w:lang w:val="es-419"/>
        </w:rPr>
        <w:t xml:space="preserve"> (2018)</w:t>
      </w:r>
      <w:r w:rsidRPr="00CF281E">
        <w:rPr>
          <w:rFonts w:ascii="Times New Roman" w:hAnsi="Times New Roman" w:cs="Times New Roman"/>
          <w:noProof/>
          <w:sz w:val="20"/>
          <w:szCs w:val="20"/>
          <w:lang w:val="es-419"/>
        </w:rPr>
        <w:t xml:space="preserve"> 691–697</w:t>
      </w:r>
    </w:p>
    <w:p w14:paraId="35C3B3A1" w14:textId="0F7C20E0" w:rsidR="003977BB" w:rsidRPr="00DE6C7B" w:rsidRDefault="003977BB" w:rsidP="00DE6C7B">
      <w:pPr>
        <w:widowControl w:val="0"/>
        <w:autoSpaceDE w:val="0"/>
        <w:autoSpaceDN w:val="0"/>
        <w:adjustRightInd w:val="0"/>
        <w:spacing w:after="120" w:line="276" w:lineRule="auto"/>
        <w:ind w:left="640" w:hanging="640"/>
        <w:rPr>
          <w:rFonts w:ascii="Times New Roman" w:hAnsi="Times New Roman" w:cs="Times New Roman"/>
          <w:noProof/>
          <w:sz w:val="20"/>
          <w:szCs w:val="20"/>
        </w:rPr>
      </w:pPr>
      <w:r w:rsidRPr="00CF281E">
        <w:rPr>
          <w:rFonts w:ascii="Times New Roman" w:hAnsi="Times New Roman" w:cs="Times New Roman"/>
          <w:noProof/>
          <w:sz w:val="20"/>
          <w:szCs w:val="20"/>
          <w:lang w:val="es-419"/>
        </w:rPr>
        <w:t>[7]</w:t>
      </w:r>
      <w:r w:rsidRPr="00CF281E">
        <w:rPr>
          <w:rFonts w:ascii="Times New Roman" w:hAnsi="Times New Roman" w:cs="Times New Roman"/>
          <w:noProof/>
          <w:sz w:val="20"/>
          <w:szCs w:val="20"/>
          <w:lang w:val="es-419"/>
        </w:rPr>
        <w:tab/>
        <w:t>Y. Rodríguez, P. I. M. Firmino, V. Pérez, R. Lebrero, and R. Muñoz, Waste Manag.</w:t>
      </w:r>
      <w:r w:rsidR="00DE6C7B" w:rsidRPr="00CF281E">
        <w:rPr>
          <w:rFonts w:ascii="Times New Roman" w:hAnsi="Times New Roman" w:cs="Times New Roman"/>
          <w:noProof/>
          <w:sz w:val="20"/>
          <w:szCs w:val="20"/>
          <w:lang w:val="es-419"/>
        </w:rPr>
        <w:t xml:space="preserve"> </w:t>
      </w:r>
      <w:r w:rsidRPr="00DE6C7B">
        <w:rPr>
          <w:rFonts w:ascii="Times New Roman" w:hAnsi="Times New Roman" w:cs="Times New Roman"/>
          <w:noProof/>
          <w:sz w:val="20"/>
          <w:szCs w:val="20"/>
        </w:rPr>
        <w:t>113</w:t>
      </w:r>
      <w:r w:rsidR="00DE6C7B" w:rsidRPr="00DE6C7B">
        <w:rPr>
          <w:rFonts w:ascii="Times New Roman" w:hAnsi="Times New Roman" w:cs="Times New Roman"/>
          <w:noProof/>
          <w:sz w:val="20"/>
          <w:szCs w:val="20"/>
        </w:rPr>
        <w:t xml:space="preserve"> (2020)</w:t>
      </w:r>
      <w:r w:rsidRPr="00DE6C7B">
        <w:rPr>
          <w:rFonts w:ascii="Times New Roman" w:hAnsi="Times New Roman" w:cs="Times New Roman"/>
          <w:noProof/>
          <w:sz w:val="20"/>
          <w:szCs w:val="20"/>
        </w:rPr>
        <w:t xml:space="preserve"> 395–403</w:t>
      </w:r>
    </w:p>
    <w:p w14:paraId="5A650773" w14:textId="26021A10" w:rsidR="005B71B2" w:rsidRPr="00CA1041" w:rsidRDefault="00721CEF" w:rsidP="00DE6C7B">
      <w:pPr>
        <w:snapToGrid w:val="0"/>
        <w:spacing w:after="120" w:line="276" w:lineRule="auto"/>
        <w:rPr>
          <w:rFonts w:ascii="Times New Roman" w:eastAsia="SimSun" w:hAnsi="Times New Roman"/>
          <w:lang w:eastAsia="zh-CN"/>
        </w:rPr>
      </w:pPr>
      <w:r w:rsidRPr="00DE6C7B">
        <w:rPr>
          <w:rFonts w:ascii="Times New Roman" w:eastAsia="MS PGothic" w:hAnsi="Times New Roman" w:cs="Times New Roman"/>
          <w:sz w:val="20"/>
          <w:szCs w:val="20"/>
        </w:rPr>
        <w:fldChar w:fldCharType="end"/>
      </w:r>
    </w:p>
    <w:sectPr w:rsidR="005B71B2" w:rsidRPr="00CA1041" w:rsidSect="001D0E0C">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1F11" w14:textId="77777777" w:rsidR="009E6D57" w:rsidRDefault="009E6D57" w:rsidP="001D0E0C">
      <w:pPr>
        <w:spacing w:after="0" w:line="240" w:lineRule="auto"/>
      </w:pPr>
      <w:r>
        <w:separator/>
      </w:r>
    </w:p>
  </w:endnote>
  <w:endnote w:type="continuationSeparator" w:id="0">
    <w:p w14:paraId="10661BD3" w14:textId="77777777" w:rsidR="009E6D57" w:rsidRDefault="009E6D5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vOT596495f2+22">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E64A" w14:textId="77777777" w:rsidR="009E6D57" w:rsidRDefault="009E6D57" w:rsidP="001D0E0C">
      <w:pPr>
        <w:spacing w:after="0" w:line="240" w:lineRule="auto"/>
      </w:pPr>
      <w:r>
        <w:separator/>
      </w:r>
    </w:p>
  </w:footnote>
  <w:footnote w:type="continuationSeparator" w:id="0">
    <w:p w14:paraId="3829AD43" w14:textId="77777777" w:rsidR="009E6D57" w:rsidRDefault="009E6D5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4A8062A1" w:rsidR="001D0E0C" w:rsidRDefault="00F44D5C" w:rsidP="001D0E0C">
    <w:pPr>
      <w:pStyle w:val="Intestazione"/>
      <w:jc w:val="center"/>
    </w:pPr>
    <w:r>
      <w:rPr>
        <w:noProof/>
      </w:rPr>
      <mc:AlternateContent>
        <mc:Choice Requires="wps">
          <w:drawing>
            <wp:anchor distT="0" distB="0" distL="114300" distR="114300" simplePos="0" relativeHeight="251659264" behindDoc="0" locked="0" layoutInCell="1" allowOverlap="1" wp14:anchorId="743B6B27" wp14:editId="7BC187B7">
              <wp:simplePos x="0" y="0"/>
              <wp:positionH relativeFrom="column">
                <wp:posOffset>57150</wp:posOffset>
              </wp:positionH>
              <wp:positionV relativeFrom="paragraph">
                <wp:posOffset>103505</wp:posOffset>
              </wp:positionV>
              <wp:extent cx="5631180" cy="7620"/>
              <wp:effectExtent l="0" t="0" r="7620" b="1143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BE55B" id="Connettore dirit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" strokecolor="#0070c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59001AA4"/>
    <w:multiLevelType w:val="hybridMultilevel"/>
    <w:tmpl w:val="8806BA56"/>
    <w:lvl w:ilvl="0" w:tplc="0410000B">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3BC3"/>
    <w:rsid w:val="00094BFF"/>
    <w:rsid w:val="000A058F"/>
    <w:rsid w:val="000E443C"/>
    <w:rsid w:val="00113416"/>
    <w:rsid w:val="0017140B"/>
    <w:rsid w:val="0018667F"/>
    <w:rsid w:val="001904EF"/>
    <w:rsid w:val="001A6AF3"/>
    <w:rsid w:val="001B060D"/>
    <w:rsid w:val="001D0E0C"/>
    <w:rsid w:val="00263C00"/>
    <w:rsid w:val="00280F57"/>
    <w:rsid w:val="002E1A4F"/>
    <w:rsid w:val="00373DE3"/>
    <w:rsid w:val="003977BB"/>
    <w:rsid w:val="003F160A"/>
    <w:rsid w:val="00402674"/>
    <w:rsid w:val="004A75DE"/>
    <w:rsid w:val="004C56B4"/>
    <w:rsid w:val="00586203"/>
    <w:rsid w:val="005B71B2"/>
    <w:rsid w:val="005C2A12"/>
    <w:rsid w:val="006243DA"/>
    <w:rsid w:val="00697CD6"/>
    <w:rsid w:val="00721CEF"/>
    <w:rsid w:val="007A41EE"/>
    <w:rsid w:val="00804806"/>
    <w:rsid w:val="008303E7"/>
    <w:rsid w:val="00880D04"/>
    <w:rsid w:val="008871B1"/>
    <w:rsid w:val="008B2D40"/>
    <w:rsid w:val="008C0BDD"/>
    <w:rsid w:val="00916174"/>
    <w:rsid w:val="009437E7"/>
    <w:rsid w:val="00962D8C"/>
    <w:rsid w:val="009E403A"/>
    <w:rsid w:val="009E6D57"/>
    <w:rsid w:val="00A34314"/>
    <w:rsid w:val="00A82B36"/>
    <w:rsid w:val="00AA27FD"/>
    <w:rsid w:val="00AA5492"/>
    <w:rsid w:val="00AB1801"/>
    <w:rsid w:val="00AC541A"/>
    <w:rsid w:val="00AD40F8"/>
    <w:rsid w:val="00AF279C"/>
    <w:rsid w:val="00B15D79"/>
    <w:rsid w:val="00B4243B"/>
    <w:rsid w:val="00B4644F"/>
    <w:rsid w:val="00BB0C0A"/>
    <w:rsid w:val="00C40840"/>
    <w:rsid w:val="00C573D8"/>
    <w:rsid w:val="00CA1041"/>
    <w:rsid w:val="00CF281E"/>
    <w:rsid w:val="00D03DB3"/>
    <w:rsid w:val="00D322F1"/>
    <w:rsid w:val="00D412A9"/>
    <w:rsid w:val="00DA39B0"/>
    <w:rsid w:val="00DA51A3"/>
    <w:rsid w:val="00DC0E89"/>
    <w:rsid w:val="00DD2D8C"/>
    <w:rsid w:val="00DE6C7B"/>
    <w:rsid w:val="00EF5D7F"/>
    <w:rsid w:val="00F0696D"/>
    <w:rsid w:val="00F161F5"/>
    <w:rsid w:val="00F24290"/>
    <w:rsid w:val="00F44D5C"/>
    <w:rsid w:val="00F6439C"/>
    <w:rsid w:val="00FF4ABF"/>
    <w:rsid w:val="00FF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docId w15:val="{62D63911-10EC-4CCE-A3D5-C138D556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CETAddress">
    <w:name w:val="CET Address"/>
    <w:link w:val="CETAddressCarattere"/>
    <w:qFormat/>
    <w:rsid w:val="007A41EE"/>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Normale"/>
    <w:rsid w:val="007A41EE"/>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7A41EE"/>
    <w:rPr>
      <w:rFonts w:ascii="Arial" w:eastAsia="Times New Roman" w:hAnsi="Arial" w:cs="Times New Roman"/>
      <w:noProof/>
      <w:sz w:val="16"/>
      <w:szCs w:val="20"/>
      <w:lang w:val="en-GB"/>
    </w:rPr>
  </w:style>
  <w:style w:type="character" w:styleId="Testosegnaposto">
    <w:name w:val="Placeholder Text"/>
    <w:basedOn w:val="Carpredefinitoparagrafo"/>
    <w:uiPriority w:val="99"/>
    <w:semiHidden/>
    <w:rsid w:val="000E443C"/>
    <w:rPr>
      <w:color w:val="808080"/>
    </w:rPr>
  </w:style>
  <w:style w:type="table" w:styleId="Grigliatabella">
    <w:name w:val="Table Grid"/>
    <w:basedOn w:val="Tabellanormale"/>
    <w:uiPriority w:val="39"/>
    <w:rsid w:val="0026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E6C7B"/>
    <w:pPr>
      <w:tabs>
        <w:tab w:val="left" w:pos="425"/>
      </w:tabs>
      <w:spacing w:after="200" w:line="360" w:lineRule="auto"/>
      <w:ind w:left="720" w:firstLine="425"/>
      <w:contextualSpacing/>
      <w:jc w:val="both"/>
    </w:pPr>
    <w:rPr>
      <w:rFonts w:ascii="Times New Roman" w:eastAsiaTheme="minorEastAsia" w:hAnsi="Times New Roman" w:cs="Times New Roman"/>
      <w:sz w:val="24"/>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76CF-1688-446A-9B3D-203F6704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4022</Words>
  <Characters>22932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Claudia Amabile</cp:lastModifiedBy>
  <cp:revision>4</cp:revision>
  <cp:lastPrinted>2022-01-31T11:56:00Z</cp:lastPrinted>
  <dcterms:created xsi:type="dcterms:W3CDTF">2022-03-08T15:19:00Z</dcterms:created>
  <dcterms:modified xsi:type="dcterms:W3CDTF">2022-03-11T08:21:00Z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94ff78b2-1262-36cb-8649-3925b4fff616</vt:lpwstr>
  </property>
  <property fmtid="{D5CDD505-2E9C-101B-9397-08002B2CF9AE}" pid="4" name="Mendeley Citation Style_1">
    <vt:lpwstr>http://www.zotero.org/styles/ieee</vt:lpwstr>
  </property>
  <property fmtid="{D5CDD505-2E9C-101B-9397-08002B2CF9AE}" pid="5" name="Mendeley Recent Style Id 0_1">
    <vt:lpwstr>http://www.zotero.org/styles/acs-sustainable-chemistry-and-engineering</vt:lpwstr>
  </property>
  <property fmtid="{D5CDD505-2E9C-101B-9397-08002B2CF9AE}" pid="6" name="Mendeley Recent Style Name 0_1">
    <vt:lpwstr>ACS Sustainable Chemistry &amp; Engineering</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http://www.zotero.org/styles/elsevier-harvard-without-titles</vt:lpwstr>
  </property>
  <property fmtid="{D5CDD505-2E9C-101B-9397-08002B2CF9AE}" pid="18" name="Mendeley Recent Style Name 6_1">
    <vt:lpwstr>Elsevier - Harvard (without titles)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http://www.zotero.org/styles/science-without-titles</vt:lpwstr>
  </property>
  <property fmtid="{D5CDD505-2E9C-101B-9397-08002B2CF9AE}" pid="24" name="Mendeley Recent Style Name 9_1">
    <vt:lpwstr>Science (without titles)</vt:lpwstr>
  </property>
</Properties>
</file>