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CE7BE" w14:textId="5F45D4DC" w:rsidR="00DA51A3" w:rsidRPr="00466FFD" w:rsidRDefault="008D6E6F"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Advancements</w:t>
      </w:r>
      <w:r w:rsidR="00607643">
        <w:rPr>
          <w:rFonts w:ascii="Times New Roman" w:eastAsia="MS PGothic" w:hAnsi="Times New Roman"/>
          <w:b/>
          <w:bCs/>
          <w:sz w:val="24"/>
          <w:szCs w:val="24"/>
          <w:lang w:val="en-US"/>
        </w:rPr>
        <w:t xml:space="preserve"> of</w:t>
      </w:r>
      <w:r w:rsidR="0062181C">
        <w:rPr>
          <w:rFonts w:ascii="Times New Roman" w:eastAsia="MS PGothic" w:hAnsi="Times New Roman"/>
          <w:b/>
          <w:bCs/>
          <w:sz w:val="24"/>
          <w:szCs w:val="24"/>
          <w:lang w:val="en-US"/>
        </w:rPr>
        <w:t xml:space="preserve"> scale-up </w:t>
      </w:r>
      <w:r w:rsidR="00607643">
        <w:rPr>
          <w:rFonts w:ascii="Times New Roman" w:eastAsia="MS PGothic" w:hAnsi="Times New Roman"/>
          <w:b/>
          <w:bCs/>
          <w:sz w:val="24"/>
          <w:szCs w:val="24"/>
          <w:lang w:val="en-US"/>
        </w:rPr>
        <w:t>methods for stirred aerobic fermenters</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68355462" w:rsidR="00DA51A3" w:rsidRPr="0062181C" w:rsidRDefault="0062181C" w:rsidP="00DA51A3">
      <w:pPr>
        <w:snapToGrid w:val="0"/>
        <w:jc w:val="center"/>
        <w:rPr>
          <w:rFonts w:ascii="Times New Roman" w:eastAsia="MS PGothic" w:hAnsi="Times New Roman"/>
          <w:sz w:val="24"/>
          <w:szCs w:val="24"/>
        </w:rPr>
      </w:pPr>
      <w:r w:rsidRPr="0062181C">
        <w:rPr>
          <w:rFonts w:ascii="Times New Roman" w:eastAsia="SimSun" w:hAnsi="Times New Roman"/>
          <w:sz w:val="24"/>
          <w:szCs w:val="24"/>
          <w:u w:val="single"/>
          <w:lang w:eastAsia="zh-CN"/>
        </w:rPr>
        <w:t>Federico Alberini</w:t>
      </w:r>
      <w:r w:rsidR="00DA51A3" w:rsidRPr="0062181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Francesco </w:t>
      </w:r>
      <w:proofErr w:type="spellStart"/>
      <w:r>
        <w:rPr>
          <w:rFonts w:ascii="Times New Roman" w:eastAsia="SimSun" w:hAnsi="Times New Roman"/>
          <w:sz w:val="24"/>
          <w:szCs w:val="24"/>
          <w:lang w:eastAsia="zh-CN"/>
        </w:rPr>
        <w:t>Maluta</w:t>
      </w:r>
      <w:proofErr w:type="spellEnd"/>
      <w:r>
        <w:rPr>
          <w:rFonts w:ascii="Times New Roman" w:eastAsia="SimSun" w:hAnsi="Times New Roman"/>
          <w:sz w:val="24"/>
          <w:szCs w:val="24"/>
          <w:lang w:eastAsia="zh-CN"/>
        </w:rPr>
        <w:t>, Giuseppina Montante, Alessandro Paglianti</w:t>
      </w:r>
      <w:r w:rsidR="00DA51A3" w:rsidRPr="0062181C">
        <w:rPr>
          <w:rFonts w:ascii="Times New Roman" w:eastAsia="SimSun" w:hAnsi="Times New Roman"/>
          <w:sz w:val="24"/>
          <w:szCs w:val="24"/>
          <w:lang w:eastAsia="zh-CN"/>
        </w:rPr>
        <w:t>*</w:t>
      </w:r>
    </w:p>
    <w:p w14:paraId="7A602332" w14:textId="0DD3FE76" w:rsidR="00DA51A3" w:rsidRPr="0062181C" w:rsidRDefault="0062181C" w:rsidP="00DA51A3">
      <w:pPr>
        <w:snapToGrid w:val="0"/>
        <w:spacing w:after="120"/>
        <w:jc w:val="center"/>
        <w:rPr>
          <w:rFonts w:ascii="Times New Roman" w:eastAsia="MS PGothic" w:hAnsi="Times New Roman"/>
          <w:i/>
          <w:iCs/>
          <w:sz w:val="20"/>
        </w:rPr>
      </w:pPr>
      <w:r w:rsidRPr="0062181C">
        <w:rPr>
          <w:rFonts w:ascii="Times New Roman" w:eastAsia="MS PGothic" w:hAnsi="Times New Roman"/>
          <w:i/>
          <w:iCs/>
          <w:sz w:val="20"/>
        </w:rPr>
        <w:t>Dipartimento di Chimica Industriale, Unive</w:t>
      </w:r>
      <w:r w:rsidR="005913D5">
        <w:rPr>
          <w:rFonts w:ascii="Times New Roman" w:eastAsia="MS PGothic" w:hAnsi="Times New Roman"/>
          <w:i/>
          <w:iCs/>
          <w:sz w:val="20"/>
        </w:rPr>
        <w:t>r</w:t>
      </w:r>
      <w:r w:rsidRPr="0062181C">
        <w:rPr>
          <w:rFonts w:ascii="Times New Roman" w:eastAsia="MS PGothic" w:hAnsi="Times New Roman"/>
          <w:i/>
          <w:iCs/>
          <w:sz w:val="20"/>
        </w:rPr>
        <w:t xml:space="preserve">sità di </w:t>
      </w:r>
      <w:r>
        <w:rPr>
          <w:rFonts w:ascii="Times New Roman" w:eastAsia="MS PGothic" w:hAnsi="Times New Roman"/>
          <w:i/>
          <w:iCs/>
          <w:sz w:val="20"/>
        </w:rPr>
        <w:t>Bologna, viale Risorgimento 4, 40136 Bologna</w:t>
      </w:r>
    </w:p>
    <w:p w14:paraId="5533360A" w14:textId="7E1A48DE"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0062181C">
        <w:rPr>
          <w:rFonts w:ascii="Times New Roman" w:eastAsia="MS PGothic" w:hAnsi="Times New Roman"/>
          <w:bCs/>
          <w:i/>
          <w:iCs/>
          <w:sz w:val="20"/>
          <w:lang w:val="en-US"/>
        </w:rPr>
        <w:t>alessandro.paglianti</w:t>
      </w:r>
      <w:r w:rsidRPr="00466FFD">
        <w:rPr>
          <w:rFonts w:ascii="Times New Roman" w:eastAsia="MS PGothic" w:hAnsi="Times New Roman"/>
          <w:bCs/>
          <w:i/>
          <w:iCs/>
          <w:sz w:val="20"/>
          <w:lang w:val="en-US"/>
        </w:rPr>
        <w:t>@</w:t>
      </w:r>
      <w:r w:rsidR="0062181C">
        <w:rPr>
          <w:rFonts w:ascii="Times New Roman" w:eastAsia="MS PGothic" w:hAnsi="Times New Roman"/>
          <w:bCs/>
          <w:i/>
          <w:iCs/>
          <w:sz w:val="20"/>
          <w:lang w:val="en-US"/>
        </w:rPr>
        <w:t>unibo</w:t>
      </w:r>
      <w:r w:rsidRPr="00466FFD">
        <w:rPr>
          <w:rFonts w:ascii="Times New Roman" w:eastAsia="MS PGothic" w:hAnsi="Times New Roman"/>
          <w:bCs/>
          <w:i/>
          <w:iCs/>
          <w:sz w:val="20"/>
          <w:lang w:val="en-US"/>
        </w:rPr>
        <w:t>.</w:t>
      </w:r>
      <w:r w:rsidR="0062181C">
        <w:rPr>
          <w:rFonts w:ascii="Times New Roman" w:eastAsia="MS PGothic" w:hAnsi="Times New Roman"/>
          <w:bCs/>
          <w:i/>
          <w:iCs/>
          <w:sz w:val="20"/>
          <w:lang w:val="en-US"/>
        </w:rPr>
        <w:t>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2A731E1E" w14:textId="77777777" w:rsidR="00607643" w:rsidRDefault="00244585" w:rsidP="000C3ECC">
      <w:pPr>
        <w:snapToGrid w:val="0"/>
        <w:spacing w:after="120"/>
        <w:rPr>
          <w:rFonts w:ascii="Times New Roman" w:eastAsia="MS PGothic" w:hAnsi="Times New Roman"/>
          <w:lang w:val="en-US"/>
        </w:rPr>
      </w:pPr>
      <w:r w:rsidRPr="00244585">
        <w:rPr>
          <w:rFonts w:ascii="Times New Roman" w:eastAsia="MS PGothic" w:hAnsi="Times New Roman"/>
          <w:lang w:val="en-US"/>
        </w:rPr>
        <w:t>Aerobic fermentations are adopted in an increasing variety of industrial productions, but their application is often limited</w:t>
      </w:r>
      <w:r w:rsidR="000C3ECC">
        <w:rPr>
          <w:rFonts w:ascii="Times New Roman" w:eastAsia="MS PGothic" w:hAnsi="Times New Roman"/>
          <w:lang w:val="en-US"/>
        </w:rPr>
        <w:t xml:space="preserve"> from high </w:t>
      </w:r>
      <w:r w:rsidR="000C3ECC" w:rsidRPr="00244585">
        <w:rPr>
          <w:rFonts w:ascii="Times New Roman" w:eastAsia="MS PGothic" w:hAnsi="Times New Roman"/>
          <w:lang w:val="en-US"/>
        </w:rPr>
        <w:t>dissolved oxygen requirements</w:t>
      </w:r>
      <w:r w:rsidR="000C3ECC">
        <w:rPr>
          <w:rFonts w:ascii="Times New Roman" w:eastAsia="MS PGothic" w:hAnsi="Times New Roman"/>
          <w:lang w:val="en-US"/>
        </w:rPr>
        <w:t>, which result in unaffordable cost unless low volume and/or</w:t>
      </w:r>
      <w:r w:rsidR="000C3ECC" w:rsidRPr="00244585">
        <w:rPr>
          <w:rFonts w:ascii="Times New Roman" w:eastAsia="MS PGothic" w:hAnsi="Times New Roman"/>
          <w:lang w:val="en-US"/>
        </w:rPr>
        <w:t xml:space="preserve"> high value compounds </w:t>
      </w:r>
      <w:r w:rsidR="000C3ECC">
        <w:rPr>
          <w:rFonts w:ascii="Times New Roman" w:eastAsia="MS PGothic" w:hAnsi="Times New Roman"/>
          <w:lang w:val="en-US"/>
        </w:rPr>
        <w:t xml:space="preserve">are produced </w:t>
      </w:r>
      <w:r w:rsidRPr="00244585">
        <w:rPr>
          <w:rFonts w:ascii="Times New Roman" w:eastAsia="MS PGothic" w:hAnsi="Times New Roman"/>
          <w:noProof/>
          <w:lang w:val="en-US"/>
        </w:rPr>
        <w:t>[1]</w:t>
      </w:r>
      <w:r w:rsidRPr="00244585">
        <w:rPr>
          <w:rFonts w:ascii="Times New Roman" w:eastAsia="MS PGothic" w:hAnsi="Times New Roman"/>
          <w:lang w:val="en-US"/>
        </w:rPr>
        <w:t>. The issue of the determination of the most advantageous scale of the production is industrially relevant and it has been often tackled employing lumped correlations, both in design and techno-economic analysis. Since around 90% of industrial bioprocesses using bacteria and yeast are carried out in stirred bioreactors</w:t>
      </w:r>
      <w:r w:rsidR="009F1435">
        <w:rPr>
          <w:rFonts w:ascii="Times New Roman" w:eastAsia="MS PGothic" w:hAnsi="Times New Roman"/>
          <w:lang w:val="en-US"/>
        </w:rPr>
        <w:t xml:space="preserve"> </w:t>
      </w:r>
      <w:r w:rsidR="007D07CA" w:rsidRPr="007D07CA">
        <w:rPr>
          <w:rFonts w:ascii="Times New Roman" w:eastAsia="MS PGothic" w:hAnsi="Times New Roman"/>
          <w:noProof/>
          <w:lang w:val="en-US"/>
        </w:rPr>
        <w:t>[2]</w:t>
      </w:r>
      <w:r w:rsidRPr="00244585">
        <w:rPr>
          <w:rFonts w:ascii="Times New Roman" w:eastAsia="MS PGothic" w:hAnsi="Times New Roman"/>
          <w:lang w:val="en-US"/>
        </w:rPr>
        <w:t>, the choice of the stirred tank geometry, its size and operating conditions is of primary importance. Scale-up and scale-down of aerated bioreactors is a very challenging and complex task</w:t>
      </w:r>
      <w:r w:rsidR="00607643">
        <w:rPr>
          <w:rFonts w:ascii="Times New Roman" w:eastAsia="MS PGothic" w:hAnsi="Times New Roman"/>
          <w:lang w:val="en-US"/>
        </w:rPr>
        <w:t>,</w:t>
      </w:r>
      <w:r w:rsidRPr="00244585">
        <w:rPr>
          <w:rFonts w:ascii="Times New Roman" w:eastAsia="MS PGothic" w:hAnsi="Times New Roman"/>
          <w:lang w:val="en-US"/>
        </w:rPr>
        <w:t xml:space="preserve"> due to the interplay of many factors, such as </w:t>
      </w:r>
      <w:r w:rsidR="009F1435">
        <w:rPr>
          <w:rFonts w:ascii="Times New Roman" w:eastAsia="MS PGothic" w:hAnsi="Times New Roman"/>
          <w:lang w:val="en-US"/>
        </w:rPr>
        <w:t>oxygen</w:t>
      </w:r>
      <w:r w:rsidRPr="00244585">
        <w:rPr>
          <w:rFonts w:ascii="Times New Roman" w:eastAsia="MS PGothic" w:hAnsi="Times New Roman"/>
          <w:lang w:val="en-US"/>
        </w:rPr>
        <w:t xml:space="preserve"> </w:t>
      </w:r>
      <w:r w:rsidR="009F1435">
        <w:rPr>
          <w:rFonts w:ascii="Times New Roman" w:eastAsia="MS PGothic" w:hAnsi="Times New Roman"/>
          <w:lang w:val="en-US"/>
        </w:rPr>
        <w:t>transfer</w:t>
      </w:r>
      <w:r w:rsidRPr="00244585">
        <w:rPr>
          <w:rFonts w:ascii="Times New Roman" w:eastAsia="MS PGothic" w:hAnsi="Times New Roman"/>
          <w:lang w:val="en-US"/>
        </w:rPr>
        <w:t xml:space="preserve"> rates and flow regimes</w:t>
      </w:r>
      <w:r w:rsidR="009F1435">
        <w:rPr>
          <w:rFonts w:ascii="Times New Roman" w:eastAsia="MS PGothic" w:hAnsi="Times New Roman"/>
          <w:lang w:val="en-US"/>
        </w:rPr>
        <w:t>,</w:t>
      </w:r>
      <w:r w:rsidRPr="00244585">
        <w:rPr>
          <w:rFonts w:ascii="Times New Roman" w:eastAsia="MS PGothic" w:hAnsi="Times New Roman"/>
          <w:lang w:val="en-US"/>
        </w:rPr>
        <w:t xml:space="preserve"> that inherently depend on the system scale</w:t>
      </w:r>
      <w:r w:rsidR="009F1435">
        <w:rPr>
          <w:rFonts w:ascii="Times New Roman" w:eastAsia="MS PGothic" w:hAnsi="Times New Roman"/>
          <w:lang w:val="en-US"/>
        </w:rPr>
        <w:t xml:space="preserve"> </w:t>
      </w:r>
      <w:r w:rsidR="007D07CA" w:rsidRPr="007D07CA">
        <w:rPr>
          <w:rFonts w:ascii="Times New Roman" w:eastAsia="MS PGothic" w:hAnsi="Times New Roman"/>
          <w:noProof/>
          <w:lang w:val="en-US"/>
        </w:rPr>
        <w:t>[3]</w:t>
      </w:r>
      <w:r w:rsidR="009F1435">
        <w:rPr>
          <w:rFonts w:ascii="Times New Roman" w:eastAsia="MS PGothic" w:hAnsi="Times New Roman"/>
          <w:noProof/>
          <w:lang w:val="en-US"/>
        </w:rPr>
        <w:t xml:space="preserve">, and </w:t>
      </w:r>
      <w:r w:rsidR="009F1435">
        <w:rPr>
          <w:rFonts w:ascii="Times New Roman" w:eastAsia="MS PGothic" w:hAnsi="Times New Roman"/>
          <w:lang w:val="en-US"/>
        </w:rPr>
        <w:t>a</w:t>
      </w:r>
      <w:r w:rsidRPr="00244585">
        <w:rPr>
          <w:rFonts w:ascii="Times New Roman" w:eastAsia="MS PGothic" w:hAnsi="Times New Roman"/>
          <w:lang w:val="en-US"/>
        </w:rPr>
        <w:t xml:space="preserve">dditional coupling </w:t>
      </w:r>
      <w:r w:rsidR="009F1435">
        <w:rPr>
          <w:rFonts w:ascii="Times New Roman" w:eastAsia="MS PGothic" w:hAnsi="Times New Roman"/>
          <w:lang w:val="en-US"/>
        </w:rPr>
        <w:t>with</w:t>
      </w:r>
      <w:r w:rsidRPr="00244585">
        <w:rPr>
          <w:rFonts w:ascii="Times New Roman" w:eastAsia="MS PGothic" w:hAnsi="Times New Roman"/>
          <w:lang w:val="en-US"/>
        </w:rPr>
        <w:t xml:space="preserve"> key </w:t>
      </w:r>
      <w:r w:rsidR="000C3ECC">
        <w:rPr>
          <w:rFonts w:ascii="Times New Roman" w:eastAsia="MS PGothic" w:hAnsi="Times New Roman"/>
          <w:lang w:val="en-US"/>
        </w:rPr>
        <w:t>variables</w:t>
      </w:r>
      <w:r w:rsidRPr="00244585">
        <w:rPr>
          <w:rFonts w:ascii="Times New Roman" w:eastAsia="MS PGothic" w:hAnsi="Times New Roman"/>
          <w:lang w:val="en-US"/>
        </w:rPr>
        <w:t xml:space="preserve"> </w:t>
      </w:r>
      <w:r w:rsidR="009F1435">
        <w:rPr>
          <w:rFonts w:ascii="Times New Roman" w:eastAsia="MS PGothic" w:hAnsi="Times New Roman"/>
          <w:lang w:val="en-US"/>
        </w:rPr>
        <w:t>related to</w:t>
      </w:r>
      <w:r w:rsidRPr="00244585">
        <w:rPr>
          <w:rFonts w:ascii="Times New Roman" w:eastAsia="MS PGothic" w:hAnsi="Times New Roman"/>
          <w:lang w:val="en-US"/>
        </w:rPr>
        <w:t xml:space="preserve"> </w:t>
      </w:r>
      <w:r w:rsidR="009F1435">
        <w:rPr>
          <w:rFonts w:ascii="Times New Roman" w:eastAsia="MS PGothic" w:hAnsi="Times New Roman"/>
          <w:lang w:val="en-US"/>
        </w:rPr>
        <w:t xml:space="preserve">morphology </w:t>
      </w:r>
      <w:r w:rsidRPr="00244585">
        <w:rPr>
          <w:rFonts w:ascii="Times New Roman" w:eastAsia="MS PGothic" w:hAnsi="Times New Roman"/>
          <w:lang w:val="en-US"/>
        </w:rPr>
        <w:t>and physiology of microorganisms.</w:t>
      </w:r>
      <w:r w:rsidR="00FA6D59">
        <w:rPr>
          <w:rFonts w:ascii="Times New Roman" w:eastAsia="MS PGothic" w:hAnsi="Times New Roman"/>
          <w:lang w:val="en-US"/>
        </w:rPr>
        <w:t xml:space="preserve"> </w:t>
      </w:r>
    </w:p>
    <w:p w14:paraId="6326173E" w14:textId="2C35A124" w:rsidR="00733770" w:rsidRDefault="009F1435" w:rsidP="000C3ECC">
      <w:pPr>
        <w:snapToGrid w:val="0"/>
        <w:spacing w:after="120"/>
        <w:rPr>
          <w:rFonts w:ascii="Times New Roman" w:eastAsia="MS PGothic" w:hAnsi="Times New Roman"/>
          <w:lang w:val="en-US"/>
        </w:rPr>
      </w:pPr>
      <w:r>
        <w:rPr>
          <w:rFonts w:ascii="Times New Roman" w:eastAsia="MS PGothic" w:hAnsi="Times New Roman"/>
          <w:lang w:val="en-US"/>
        </w:rPr>
        <w:t>This contribution is focused on the experimental and computational investigation of a pilot scale gas-liquid stirred tank, with the main aim of deepen</w:t>
      </w:r>
      <w:r w:rsidR="008D6E6F">
        <w:rPr>
          <w:rFonts w:ascii="Times New Roman" w:eastAsia="MS PGothic" w:hAnsi="Times New Roman"/>
          <w:lang w:val="en-US"/>
        </w:rPr>
        <w:t>ing</w:t>
      </w:r>
      <w:r>
        <w:rPr>
          <w:rFonts w:ascii="Times New Roman" w:eastAsia="MS PGothic" w:hAnsi="Times New Roman"/>
          <w:lang w:val="en-US"/>
        </w:rPr>
        <w:t xml:space="preserve"> the detection </w:t>
      </w:r>
      <w:r w:rsidR="000C3ECC">
        <w:rPr>
          <w:rFonts w:ascii="Times New Roman" w:eastAsia="MS PGothic" w:hAnsi="Times New Roman"/>
          <w:lang w:val="en-US"/>
        </w:rPr>
        <w:t xml:space="preserve">and prediction </w:t>
      </w:r>
      <w:r>
        <w:rPr>
          <w:rFonts w:ascii="Times New Roman" w:eastAsia="MS PGothic" w:hAnsi="Times New Roman"/>
          <w:lang w:val="en-US"/>
        </w:rPr>
        <w:t xml:space="preserve">capability of fundamental </w:t>
      </w:r>
      <w:r w:rsidR="00C3221D">
        <w:rPr>
          <w:rFonts w:ascii="Times New Roman" w:eastAsia="MS PGothic" w:hAnsi="Times New Roman"/>
          <w:lang w:val="en-US"/>
        </w:rPr>
        <w:t xml:space="preserve">two-phase flow </w:t>
      </w:r>
      <w:r>
        <w:rPr>
          <w:rFonts w:ascii="Times New Roman" w:eastAsia="MS PGothic" w:hAnsi="Times New Roman"/>
          <w:lang w:val="en-US"/>
        </w:rPr>
        <w:t>variables that affect aerobic fermentation</w:t>
      </w:r>
      <w:r w:rsidR="00C3221D">
        <w:rPr>
          <w:rFonts w:ascii="Times New Roman" w:eastAsia="MS PGothic" w:hAnsi="Times New Roman"/>
          <w:lang w:val="en-US"/>
        </w:rPr>
        <w:t xml:space="preserve">. To this end, experimental and computational methods are adopted in a very challenging context combining the </w:t>
      </w:r>
      <w:r w:rsidR="00187FD0">
        <w:rPr>
          <w:rFonts w:ascii="Times New Roman" w:eastAsia="MS PGothic" w:hAnsi="Times New Roman"/>
          <w:lang w:val="en-US"/>
        </w:rPr>
        <w:t xml:space="preserve">physical </w:t>
      </w:r>
      <w:r w:rsidR="00C3221D">
        <w:rPr>
          <w:rFonts w:ascii="Times New Roman" w:eastAsia="MS PGothic" w:hAnsi="Times New Roman"/>
          <w:lang w:val="en-US"/>
        </w:rPr>
        <w:t xml:space="preserve">complexity of </w:t>
      </w:r>
      <w:r w:rsidR="00187FD0">
        <w:rPr>
          <w:rFonts w:ascii="Times New Roman" w:eastAsia="MS PGothic" w:hAnsi="Times New Roman"/>
          <w:lang w:val="en-US"/>
        </w:rPr>
        <w:t xml:space="preserve">turbulent </w:t>
      </w:r>
      <w:r w:rsidR="00C3221D">
        <w:rPr>
          <w:rFonts w:ascii="Times New Roman" w:eastAsia="MS PGothic" w:hAnsi="Times New Roman"/>
          <w:lang w:val="en-US"/>
        </w:rPr>
        <w:t xml:space="preserve">gas-liquid dispersions and the geometric complexity of </w:t>
      </w:r>
      <w:r w:rsidR="00187FD0">
        <w:rPr>
          <w:rFonts w:ascii="Times New Roman" w:eastAsia="MS PGothic" w:hAnsi="Times New Roman"/>
          <w:lang w:val="en-US"/>
        </w:rPr>
        <w:t xml:space="preserve">baffled </w:t>
      </w:r>
      <w:r w:rsidR="00C3221D">
        <w:rPr>
          <w:rFonts w:ascii="Times New Roman" w:eastAsia="MS PGothic" w:hAnsi="Times New Roman"/>
          <w:lang w:val="en-US"/>
        </w:rPr>
        <w:t xml:space="preserve">stirred tanks. </w:t>
      </w:r>
    </w:p>
    <w:p w14:paraId="15996294" w14:textId="1BEEAF52" w:rsidR="00C3221D" w:rsidRDefault="00C3221D" w:rsidP="00DA51A3">
      <w:pPr>
        <w:snapToGrid w:val="0"/>
        <w:spacing w:after="120"/>
        <w:rPr>
          <w:rFonts w:ascii="Times New Roman" w:eastAsia="MS PGothic" w:hAnsi="Times New Roman"/>
          <w:lang w:val="en-US"/>
        </w:rPr>
      </w:pPr>
      <w:r>
        <w:rPr>
          <w:rFonts w:ascii="Times New Roman" w:eastAsia="MS PGothic" w:hAnsi="Times New Roman"/>
          <w:lang w:val="en-US"/>
        </w:rPr>
        <w:t>The</w:t>
      </w:r>
      <w:r w:rsidR="00DA07E4">
        <w:rPr>
          <w:rFonts w:ascii="Times New Roman" w:eastAsia="MS PGothic" w:hAnsi="Times New Roman"/>
          <w:lang w:val="en-US"/>
        </w:rPr>
        <w:t xml:space="preserve"> </w:t>
      </w:r>
      <w:r w:rsidR="006955CD" w:rsidRPr="006955CD">
        <w:rPr>
          <w:rFonts w:ascii="Times New Roman" w:eastAsia="MS PGothic" w:hAnsi="Times New Roman"/>
          <w:lang w:val="en-US"/>
        </w:rPr>
        <w:t xml:space="preserve">experimental </w:t>
      </w:r>
      <w:r>
        <w:rPr>
          <w:rFonts w:ascii="Times New Roman" w:eastAsia="MS PGothic" w:hAnsi="Times New Roman"/>
          <w:lang w:val="en-US"/>
        </w:rPr>
        <w:t>part of the investigation</w:t>
      </w:r>
      <w:r w:rsidR="00187FD0">
        <w:rPr>
          <w:rFonts w:ascii="Times New Roman" w:eastAsia="MS PGothic" w:hAnsi="Times New Roman"/>
          <w:lang w:val="en-US"/>
        </w:rPr>
        <w:t xml:space="preserve"> is based on the adoption of Electrical Resistance Tomography (ERT)</w:t>
      </w:r>
      <w:r w:rsidR="005913D5">
        <w:rPr>
          <w:rFonts w:ascii="Times New Roman" w:eastAsia="MS PGothic" w:hAnsi="Times New Roman"/>
          <w:lang w:val="en-US"/>
        </w:rPr>
        <w:t xml:space="preserve">. It </w:t>
      </w:r>
      <w:r>
        <w:rPr>
          <w:rFonts w:ascii="Times New Roman" w:eastAsia="MS PGothic" w:hAnsi="Times New Roman"/>
          <w:lang w:val="en-US"/>
        </w:rPr>
        <w:t>provides</w:t>
      </w:r>
      <w:r w:rsidRPr="00C3221D">
        <w:rPr>
          <w:rFonts w:ascii="Times New Roman" w:eastAsia="MS PGothic" w:hAnsi="Times New Roman"/>
          <w:lang w:val="en-US"/>
        </w:rPr>
        <w:t xml:space="preserve"> detailed information on the spatial distribution of the gas phase and on the effect of bubbles on the liquid homogenization dynamics. The </w:t>
      </w:r>
      <w:r w:rsidR="00187FD0">
        <w:rPr>
          <w:rFonts w:ascii="Times New Roman" w:eastAsia="MS PGothic" w:hAnsi="Times New Roman"/>
          <w:lang w:val="en-US"/>
        </w:rPr>
        <w:t xml:space="preserve">selected </w:t>
      </w:r>
      <w:r w:rsidRPr="00C3221D">
        <w:rPr>
          <w:rFonts w:ascii="Times New Roman" w:eastAsia="MS PGothic" w:hAnsi="Times New Roman"/>
          <w:lang w:val="en-US"/>
        </w:rPr>
        <w:t xml:space="preserve">experimental technique allows to overcome the typical limitations of optical methods and to gain insight into the </w:t>
      </w:r>
      <w:r w:rsidR="002A5B75">
        <w:rPr>
          <w:rFonts w:ascii="Times New Roman" w:eastAsia="MS PGothic" w:hAnsi="Times New Roman"/>
          <w:lang w:val="en-US"/>
        </w:rPr>
        <w:t>two-phase flow characteristics</w:t>
      </w:r>
      <w:r w:rsidRPr="00C3221D">
        <w:rPr>
          <w:rFonts w:ascii="Times New Roman" w:eastAsia="MS PGothic" w:hAnsi="Times New Roman"/>
          <w:lang w:val="en-US"/>
        </w:rPr>
        <w:t xml:space="preserve"> of </w:t>
      </w:r>
      <w:proofErr w:type="spellStart"/>
      <w:r w:rsidRPr="00C3221D">
        <w:rPr>
          <w:rFonts w:ascii="Times New Roman" w:eastAsia="MS PGothic" w:hAnsi="Times New Roman"/>
          <w:lang w:val="en-US"/>
        </w:rPr>
        <w:t>sparged</w:t>
      </w:r>
      <w:proofErr w:type="spellEnd"/>
      <w:r w:rsidRPr="00C3221D">
        <w:rPr>
          <w:rFonts w:ascii="Times New Roman" w:eastAsia="MS PGothic" w:hAnsi="Times New Roman"/>
          <w:lang w:val="en-US"/>
        </w:rPr>
        <w:t xml:space="preserve"> stirred tanks without restriction on the upper value of overall gas hold-up, that is of great interest for </w:t>
      </w:r>
      <w:r>
        <w:rPr>
          <w:rFonts w:ascii="Times New Roman" w:eastAsia="MS PGothic" w:hAnsi="Times New Roman"/>
          <w:lang w:val="en-US"/>
        </w:rPr>
        <w:t>industrial aerobic fe</w:t>
      </w:r>
      <w:r w:rsidR="00187FD0">
        <w:rPr>
          <w:rFonts w:ascii="Times New Roman" w:eastAsia="MS PGothic" w:hAnsi="Times New Roman"/>
          <w:lang w:val="en-US"/>
        </w:rPr>
        <w:t>r</w:t>
      </w:r>
      <w:r>
        <w:rPr>
          <w:rFonts w:ascii="Times New Roman" w:eastAsia="MS PGothic" w:hAnsi="Times New Roman"/>
          <w:lang w:val="en-US"/>
        </w:rPr>
        <w:t>mentation</w:t>
      </w:r>
      <w:r w:rsidRPr="00C3221D">
        <w:rPr>
          <w:rFonts w:ascii="Times New Roman" w:eastAsia="MS PGothic" w:hAnsi="Times New Roman"/>
          <w:lang w:val="en-US"/>
        </w:rPr>
        <w:t>.</w:t>
      </w:r>
      <w:r w:rsidR="00187FD0">
        <w:rPr>
          <w:rFonts w:ascii="Times New Roman" w:eastAsia="MS PGothic" w:hAnsi="Times New Roman"/>
          <w:lang w:val="en-US"/>
        </w:rPr>
        <w:t xml:space="preserve"> </w:t>
      </w:r>
      <w:r w:rsidR="00187FD0" w:rsidRPr="00187FD0">
        <w:rPr>
          <w:rFonts w:ascii="Times New Roman" w:eastAsia="MS PGothic" w:hAnsi="Times New Roman"/>
          <w:lang w:val="en-US"/>
        </w:rPr>
        <w:t xml:space="preserve">The outcomes of </w:t>
      </w:r>
      <w:r w:rsidR="00187FD0">
        <w:rPr>
          <w:rFonts w:ascii="Times New Roman" w:eastAsia="MS PGothic" w:hAnsi="Times New Roman"/>
          <w:lang w:val="en-US"/>
        </w:rPr>
        <w:t xml:space="preserve">the experimental work </w:t>
      </w:r>
      <w:r w:rsidR="00187FD0" w:rsidRPr="00187FD0">
        <w:rPr>
          <w:rFonts w:ascii="Times New Roman" w:eastAsia="MS PGothic" w:hAnsi="Times New Roman"/>
          <w:lang w:val="en-US"/>
        </w:rPr>
        <w:t xml:space="preserve">can be directly adopted for obtaining practical guidelines for </w:t>
      </w:r>
      <w:r w:rsidR="00187FD0">
        <w:rPr>
          <w:rFonts w:ascii="Times New Roman" w:eastAsia="MS PGothic" w:hAnsi="Times New Roman"/>
          <w:lang w:val="en-US"/>
        </w:rPr>
        <w:t>design and intensification of aerobic fermentation in</w:t>
      </w:r>
      <w:r w:rsidR="00187FD0" w:rsidRPr="00187FD0">
        <w:rPr>
          <w:rFonts w:ascii="Times New Roman" w:eastAsia="MS PGothic" w:hAnsi="Times New Roman"/>
          <w:lang w:val="en-US"/>
        </w:rPr>
        <w:t xml:space="preserve"> stirred tanks</w:t>
      </w:r>
      <w:r w:rsidR="00187FD0">
        <w:rPr>
          <w:rFonts w:ascii="Times New Roman" w:eastAsia="MS PGothic" w:hAnsi="Times New Roman"/>
          <w:lang w:val="en-US"/>
        </w:rPr>
        <w:t xml:space="preserve">. In addition, </w:t>
      </w:r>
      <w:r w:rsidR="00187FD0" w:rsidRPr="00187FD0">
        <w:rPr>
          <w:rFonts w:ascii="Times New Roman" w:eastAsia="MS PGothic" w:hAnsi="Times New Roman"/>
          <w:lang w:val="en-US"/>
        </w:rPr>
        <w:t xml:space="preserve">novel local data suitable for </w:t>
      </w:r>
      <w:r w:rsidR="002A5B75">
        <w:rPr>
          <w:rFonts w:ascii="Times New Roman" w:eastAsia="MS PGothic" w:hAnsi="Times New Roman"/>
          <w:lang w:val="en-US"/>
        </w:rPr>
        <w:t xml:space="preserve">detailed </w:t>
      </w:r>
      <w:r w:rsidR="00187FD0" w:rsidRPr="00187FD0">
        <w:rPr>
          <w:rFonts w:ascii="Times New Roman" w:eastAsia="MS PGothic" w:hAnsi="Times New Roman"/>
          <w:lang w:val="en-US"/>
        </w:rPr>
        <w:t xml:space="preserve">model validation </w:t>
      </w:r>
      <w:r w:rsidR="00187FD0">
        <w:rPr>
          <w:rFonts w:ascii="Times New Roman" w:eastAsia="MS PGothic" w:hAnsi="Times New Roman"/>
          <w:lang w:val="en-US"/>
        </w:rPr>
        <w:t>are obtained</w:t>
      </w:r>
      <w:r w:rsidR="00187FD0" w:rsidRPr="00187FD0">
        <w:rPr>
          <w:rFonts w:ascii="Times New Roman" w:eastAsia="MS PGothic" w:hAnsi="Times New Roman"/>
          <w:lang w:val="en-US"/>
        </w:rPr>
        <w:t>.</w:t>
      </w:r>
      <w:r w:rsidR="00FA6D59">
        <w:rPr>
          <w:rFonts w:ascii="Times New Roman" w:eastAsia="MS PGothic" w:hAnsi="Times New Roman"/>
          <w:lang w:val="en-US"/>
        </w:rPr>
        <w:t xml:space="preserve"> </w:t>
      </w:r>
      <w:r w:rsidR="00187FD0">
        <w:rPr>
          <w:rFonts w:ascii="Times New Roman" w:eastAsia="MS PGothic" w:hAnsi="Times New Roman"/>
          <w:lang w:val="en-US"/>
        </w:rPr>
        <w:t xml:space="preserve">The </w:t>
      </w:r>
      <w:r w:rsidR="002A5B75">
        <w:rPr>
          <w:rFonts w:ascii="Times New Roman" w:eastAsia="MS PGothic" w:hAnsi="Times New Roman"/>
          <w:lang w:val="en-US"/>
        </w:rPr>
        <w:t xml:space="preserve">computational part of the investigation is carried out </w:t>
      </w:r>
      <w:r w:rsidR="00C63A6E">
        <w:rPr>
          <w:rFonts w:ascii="Times New Roman" w:eastAsia="MS PGothic" w:hAnsi="Times New Roman"/>
          <w:lang w:val="en-US"/>
        </w:rPr>
        <w:t>in the realm of</w:t>
      </w:r>
      <w:r w:rsidR="002A5B75">
        <w:rPr>
          <w:rFonts w:ascii="Times New Roman" w:eastAsia="MS PGothic" w:hAnsi="Times New Roman"/>
          <w:lang w:val="en-US"/>
        </w:rPr>
        <w:t xml:space="preserve"> Computational Fluid Dynamics (CFD)</w:t>
      </w:r>
      <w:r w:rsidR="00B43AD0">
        <w:rPr>
          <w:rFonts w:ascii="Times New Roman" w:eastAsia="MS PGothic" w:hAnsi="Times New Roman"/>
          <w:lang w:val="en-US"/>
        </w:rPr>
        <w:t xml:space="preserve">. The modelling method contributes to move </w:t>
      </w:r>
      <w:r w:rsidR="002A5B75">
        <w:rPr>
          <w:rFonts w:ascii="Times New Roman" w:eastAsia="MS PGothic" w:hAnsi="Times New Roman"/>
          <w:lang w:val="en-US"/>
        </w:rPr>
        <w:t xml:space="preserve">a step forward </w:t>
      </w:r>
      <w:r w:rsidR="003B40F7">
        <w:rPr>
          <w:rFonts w:ascii="Times New Roman" w:eastAsia="MS PGothic" w:hAnsi="Times New Roman"/>
          <w:lang w:val="en-US"/>
        </w:rPr>
        <w:t>in</w:t>
      </w:r>
      <w:r w:rsidR="002A5B75">
        <w:rPr>
          <w:rFonts w:ascii="Times New Roman" w:eastAsia="MS PGothic" w:hAnsi="Times New Roman"/>
          <w:lang w:val="en-US"/>
        </w:rPr>
        <w:t xml:space="preserve"> the </w:t>
      </w:r>
      <w:r w:rsidR="00187FD0">
        <w:rPr>
          <w:rFonts w:ascii="Times New Roman" w:eastAsia="MS PGothic" w:hAnsi="Times New Roman"/>
          <w:lang w:val="en-US"/>
        </w:rPr>
        <w:t xml:space="preserve">development of </w:t>
      </w:r>
      <w:r w:rsidR="00C63A6E">
        <w:rPr>
          <w:rFonts w:ascii="Times New Roman" w:eastAsia="MS PGothic" w:hAnsi="Times New Roman"/>
          <w:lang w:val="en-US"/>
        </w:rPr>
        <w:t xml:space="preserve">a </w:t>
      </w:r>
      <w:r w:rsidR="00187FD0">
        <w:rPr>
          <w:rFonts w:ascii="Times New Roman" w:eastAsia="MS PGothic" w:hAnsi="Times New Roman"/>
          <w:lang w:val="en-US"/>
        </w:rPr>
        <w:t>c</w:t>
      </w:r>
      <w:r w:rsidR="00C63A6E">
        <w:rPr>
          <w:rFonts w:ascii="Times New Roman" w:eastAsia="MS PGothic" w:hAnsi="Times New Roman"/>
          <w:lang w:val="en-US"/>
        </w:rPr>
        <w:t>omprehensive model</w:t>
      </w:r>
      <w:r w:rsidR="000C3ECC" w:rsidRPr="006955CD">
        <w:rPr>
          <w:rFonts w:ascii="Times New Roman" w:eastAsia="MS PGothic" w:hAnsi="Times New Roman"/>
          <w:lang w:val="en-US"/>
        </w:rPr>
        <w:t xml:space="preserve"> for the simulation of aerobic stirred bioreactors </w:t>
      </w:r>
      <w:r w:rsidR="00A2426A">
        <w:rPr>
          <w:rFonts w:ascii="Times New Roman" w:eastAsia="MS PGothic" w:hAnsi="Times New Roman"/>
          <w:lang w:val="en-US"/>
        </w:rPr>
        <w:t xml:space="preserve">of complex geometry </w:t>
      </w:r>
      <w:r w:rsidR="000C3ECC" w:rsidRPr="006955CD">
        <w:rPr>
          <w:rFonts w:ascii="Times New Roman" w:eastAsia="MS PGothic" w:hAnsi="Times New Roman"/>
          <w:lang w:val="en-US"/>
        </w:rPr>
        <w:t>ensur</w:t>
      </w:r>
      <w:r w:rsidR="000C3ECC">
        <w:rPr>
          <w:rFonts w:ascii="Times New Roman" w:eastAsia="MS PGothic" w:hAnsi="Times New Roman"/>
          <w:lang w:val="en-US"/>
        </w:rPr>
        <w:t>ing</w:t>
      </w:r>
      <w:r w:rsidR="000C3ECC" w:rsidRPr="006955CD">
        <w:rPr>
          <w:rFonts w:ascii="Times New Roman" w:eastAsia="MS PGothic" w:hAnsi="Times New Roman"/>
          <w:lang w:val="en-US"/>
        </w:rPr>
        <w:t xml:space="preserve"> consistency of the predictions in a variety of multiphase conditions at any scale</w:t>
      </w:r>
      <w:r w:rsidR="000C3ECC">
        <w:rPr>
          <w:rFonts w:ascii="Times New Roman" w:eastAsia="MS PGothic" w:hAnsi="Times New Roman"/>
          <w:lang w:val="en-US"/>
        </w:rPr>
        <w:t xml:space="preserve"> </w:t>
      </w:r>
      <w:r w:rsidR="000C3ECC" w:rsidRPr="00DA07E4">
        <w:rPr>
          <w:rFonts w:ascii="Times New Roman" w:eastAsia="MS PGothic" w:hAnsi="Times New Roman"/>
          <w:noProof/>
          <w:lang w:val="en-US"/>
        </w:rPr>
        <w:t>[4]</w:t>
      </w:r>
      <w:r w:rsidR="000C3ECC">
        <w:rPr>
          <w:rFonts w:ascii="Times New Roman" w:eastAsia="MS PGothic" w:hAnsi="Times New Roman"/>
          <w:lang w:val="en-US"/>
        </w:rPr>
        <w:t>.</w:t>
      </w:r>
    </w:p>
    <w:p w14:paraId="7534D397" w14:textId="77777777" w:rsidR="00C3221D" w:rsidRDefault="00C3221D" w:rsidP="00DA51A3">
      <w:pPr>
        <w:snapToGrid w:val="0"/>
        <w:spacing w:after="120"/>
        <w:rPr>
          <w:rFonts w:ascii="Times New Roman" w:eastAsia="MS PGothic" w:hAnsi="Times New Roman"/>
          <w:lang w:val="en-US"/>
        </w:rPr>
      </w:pP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4DBB5203" w14:textId="655C94C4" w:rsidR="00A2426A" w:rsidRPr="00A2426A" w:rsidRDefault="00A2426A" w:rsidP="00A2426A">
      <w:pPr>
        <w:snapToGrid w:val="0"/>
        <w:spacing w:after="120"/>
        <w:rPr>
          <w:rFonts w:ascii="Times New Roman" w:eastAsia="MS PGothic" w:hAnsi="Times New Roman"/>
          <w:lang w:val="en-US"/>
        </w:rPr>
      </w:pPr>
      <w:r w:rsidRPr="00A2426A">
        <w:rPr>
          <w:rFonts w:ascii="Times New Roman" w:eastAsia="MS PGothic" w:hAnsi="Times New Roman"/>
          <w:lang w:val="en-US"/>
        </w:rPr>
        <w:t>The investigated pilot-scale baffled stirred tank</w:t>
      </w:r>
      <w:r w:rsidR="003B40F7">
        <w:rPr>
          <w:rFonts w:ascii="Times New Roman" w:eastAsia="MS PGothic" w:hAnsi="Times New Roman"/>
          <w:lang w:val="en-US"/>
        </w:rPr>
        <w:t xml:space="preserve"> </w:t>
      </w:r>
      <w:r w:rsidRPr="00A2426A">
        <w:rPr>
          <w:rFonts w:ascii="Times New Roman" w:eastAsia="MS PGothic" w:hAnsi="Times New Roman"/>
          <w:lang w:val="en-US"/>
        </w:rPr>
        <w:t xml:space="preserve">consisted of a cylindrical, flat bottomed vessel of diameter, T, equal to 0.48 m and height, H, equal to 1.6 m, equipped with four equally-spaced baffles of width, W, equal to T/10. In order to evaluate the gas dispersion features, a standard configuration, </w:t>
      </w:r>
      <w:r>
        <w:rPr>
          <w:rFonts w:ascii="Times New Roman" w:eastAsia="MS PGothic" w:hAnsi="Times New Roman"/>
          <w:lang w:val="en-US"/>
        </w:rPr>
        <w:t xml:space="preserve">resembling a single stage of a typical multiple impeller stirred fermenter, </w:t>
      </w:r>
      <w:r w:rsidR="005A0E0D">
        <w:rPr>
          <w:rFonts w:ascii="Times New Roman" w:eastAsia="MS PGothic" w:hAnsi="Times New Roman"/>
          <w:lang w:val="en-US"/>
        </w:rPr>
        <w:t>was</w:t>
      </w:r>
      <w:r w:rsidRPr="00A2426A">
        <w:rPr>
          <w:rFonts w:ascii="Times New Roman" w:eastAsia="MS PGothic" w:hAnsi="Times New Roman"/>
          <w:lang w:val="en-US"/>
        </w:rPr>
        <w:t xml:space="preserve"> considered. </w:t>
      </w:r>
      <w:r w:rsidR="005913D5" w:rsidRPr="00C3221D">
        <w:rPr>
          <w:rFonts w:ascii="Times New Roman" w:eastAsia="MS PGothic" w:hAnsi="Times New Roman"/>
          <w:lang w:val="en-US"/>
        </w:rPr>
        <w:t xml:space="preserve">The analysis </w:t>
      </w:r>
      <w:r w:rsidR="005A0E0D">
        <w:rPr>
          <w:rFonts w:ascii="Times New Roman" w:eastAsia="MS PGothic" w:hAnsi="Times New Roman"/>
          <w:lang w:val="en-US"/>
        </w:rPr>
        <w:t>was</w:t>
      </w:r>
      <w:r w:rsidR="005913D5" w:rsidRPr="00C3221D">
        <w:rPr>
          <w:rFonts w:ascii="Times New Roman" w:eastAsia="MS PGothic" w:hAnsi="Times New Roman"/>
          <w:lang w:val="en-US"/>
        </w:rPr>
        <w:t xml:space="preserve"> carried out under variable gas flow rates</w:t>
      </w:r>
      <w:r w:rsidR="005A0E0D">
        <w:rPr>
          <w:rFonts w:ascii="Times New Roman" w:eastAsia="MS PGothic" w:hAnsi="Times New Roman"/>
          <w:lang w:val="en-US"/>
        </w:rPr>
        <w:t>, Q</w:t>
      </w:r>
      <w:r w:rsidR="005A0E0D" w:rsidRPr="005A0E0D">
        <w:rPr>
          <w:rFonts w:ascii="Times New Roman" w:eastAsia="MS PGothic" w:hAnsi="Times New Roman"/>
          <w:vertAlign w:val="subscript"/>
          <w:lang w:val="en-US"/>
        </w:rPr>
        <w:t>G</w:t>
      </w:r>
      <w:r w:rsidR="005A0E0D">
        <w:rPr>
          <w:rFonts w:ascii="Times New Roman" w:eastAsia="MS PGothic" w:hAnsi="Times New Roman"/>
          <w:lang w:val="en-US"/>
        </w:rPr>
        <w:t>,</w:t>
      </w:r>
      <w:r w:rsidR="005913D5" w:rsidRPr="00C3221D">
        <w:rPr>
          <w:rFonts w:ascii="Times New Roman" w:eastAsia="MS PGothic" w:hAnsi="Times New Roman"/>
          <w:lang w:val="en-US"/>
        </w:rPr>
        <w:t xml:space="preserve"> and impeller speeds, </w:t>
      </w:r>
      <w:r w:rsidR="005A0E0D">
        <w:rPr>
          <w:rFonts w:ascii="Times New Roman" w:eastAsia="MS PGothic" w:hAnsi="Times New Roman"/>
          <w:lang w:val="en-US"/>
        </w:rPr>
        <w:t xml:space="preserve">N, </w:t>
      </w:r>
      <w:r w:rsidR="005913D5" w:rsidRPr="00C3221D">
        <w:rPr>
          <w:rFonts w:ascii="Times New Roman" w:eastAsia="MS PGothic" w:hAnsi="Times New Roman"/>
          <w:lang w:val="en-US"/>
        </w:rPr>
        <w:t>thus covering different regimes of gas-</w:t>
      </w:r>
      <w:r w:rsidR="005913D5">
        <w:rPr>
          <w:rFonts w:ascii="Times New Roman" w:eastAsia="MS PGothic" w:hAnsi="Times New Roman"/>
          <w:lang w:val="en-US"/>
        </w:rPr>
        <w:t>liquid and gas-</w:t>
      </w:r>
      <w:r w:rsidR="005913D5" w:rsidRPr="00C3221D">
        <w:rPr>
          <w:rFonts w:ascii="Times New Roman" w:eastAsia="MS PGothic" w:hAnsi="Times New Roman"/>
          <w:lang w:val="en-US"/>
        </w:rPr>
        <w:t xml:space="preserve">impeller interaction, as obtained by </w:t>
      </w:r>
      <w:r w:rsidR="005913D5">
        <w:rPr>
          <w:rFonts w:ascii="Times New Roman" w:eastAsia="MS PGothic" w:hAnsi="Times New Roman"/>
          <w:lang w:val="en-US"/>
        </w:rPr>
        <w:t>the conventional Rushton Turbine and the innovative Bakker Turbine. Both the</w:t>
      </w:r>
      <w:r w:rsidRPr="00A2426A">
        <w:rPr>
          <w:rFonts w:ascii="Times New Roman" w:eastAsia="MS PGothic" w:hAnsi="Times New Roman"/>
          <w:lang w:val="en-US"/>
        </w:rPr>
        <w:t xml:space="preserve"> Rushton turbines </w:t>
      </w:r>
      <w:r>
        <w:rPr>
          <w:rFonts w:ascii="Times New Roman" w:eastAsia="MS PGothic" w:hAnsi="Times New Roman"/>
          <w:lang w:val="en-US"/>
        </w:rPr>
        <w:t>of</w:t>
      </w:r>
      <w:r w:rsidRPr="00A2426A">
        <w:rPr>
          <w:rFonts w:ascii="Times New Roman" w:eastAsia="MS PGothic" w:hAnsi="Times New Roman"/>
          <w:lang w:val="en-US"/>
        </w:rPr>
        <w:t xml:space="preserve"> diameter, D, equal to 0.19 m (D=0.40T)</w:t>
      </w:r>
      <w:r>
        <w:rPr>
          <w:rFonts w:ascii="Times New Roman" w:eastAsia="MS PGothic" w:hAnsi="Times New Roman"/>
          <w:lang w:val="en-US"/>
        </w:rPr>
        <w:t xml:space="preserve"> </w:t>
      </w:r>
      <w:r w:rsidR="005913D5">
        <w:rPr>
          <w:rFonts w:ascii="Times New Roman" w:eastAsia="MS PGothic" w:hAnsi="Times New Roman"/>
          <w:lang w:val="en-US"/>
        </w:rPr>
        <w:t>and</w:t>
      </w:r>
      <w:r>
        <w:rPr>
          <w:rFonts w:ascii="Times New Roman" w:eastAsia="MS PGothic" w:hAnsi="Times New Roman"/>
          <w:lang w:val="en-US"/>
        </w:rPr>
        <w:t xml:space="preserve"> </w:t>
      </w:r>
      <w:r w:rsidR="00B43AD0">
        <w:rPr>
          <w:rFonts w:ascii="Times New Roman" w:eastAsia="MS PGothic" w:hAnsi="Times New Roman"/>
          <w:lang w:val="en-US"/>
        </w:rPr>
        <w:t xml:space="preserve">the </w:t>
      </w:r>
      <w:r>
        <w:rPr>
          <w:rFonts w:ascii="Times New Roman" w:eastAsia="MS PGothic" w:hAnsi="Times New Roman"/>
          <w:lang w:val="en-US"/>
        </w:rPr>
        <w:t>Bakker Turbine of D=0.215m (D=0.45T)</w:t>
      </w:r>
      <w:r w:rsidR="005913D5">
        <w:rPr>
          <w:rFonts w:ascii="Times New Roman" w:eastAsia="MS PGothic" w:hAnsi="Times New Roman"/>
          <w:lang w:val="en-US"/>
        </w:rPr>
        <w:t xml:space="preserve"> </w:t>
      </w:r>
      <w:r w:rsidR="003B40F7">
        <w:rPr>
          <w:rFonts w:ascii="Times New Roman" w:eastAsia="MS PGothic" w:hAnsi="Times New Roman"/>
          <w:lang w:val="en-US"/>
        </w:rPr>
        <w:t>were</w:t>
      </w:r>
      <w:r w:rsidR="005913D5">
        <w:rPr>
          <w:rFonts w:ascii="Times New Roman" w:eastAsia="MS PGothic" w:hAnsi="Times New Roman"/>
          <w:lang w:val="en-US"/>
        </w:rPr>
        <w:t xml:space="preserve"> </w:t>
      </w:r>
      <w:r>
        <w:rPr>
          <w:rFonts w:ascii="Times New Roman" w:eastAsia="MS PGothic" w:hAnsi="Times New Roman"/>
          <w:lang w:val="en-US"/>
        </w:rPr>
        <w:t xml:space="preserve">located at </w:t>
      </w:r>
      <w:r w:rsidRPr="00A2426A">
        <w:rPr>
          <w:rFonts w:ascii="Times New Roman" w:eastAsia="MS PGothic" w:hAnsi="Times New Roman"/>
          <w:lang w:val="en-US"/>
        </w:rPr>
        <w:t xml:space="preserve">an off-bottom clearance, C, of T/2. In all the experiments, the tank was filled with </w:t>
      </w:r>
      <w:r w:rsidRPr="00A2426A">
        <w:rPr>
          <w:rFonts w:ascii="Times New Roman" w:eastAsia="MS PGothic" w:hAnsi="Times New Roman"/>
          <w:lang w:val="en-US"/>
        </w:rPr>
        <w:lastRenderedPageBreak/>
        <w:t xml:space="preserve">demineralized water up to a height, </w:t>
      </w:r>
      <w:r w:rsidR="00095B90">
        <w:rPr>
          <w:rFonts w:ascii="Times New Roman" w:eastAsia="MS PGothic" w:hAnsi="Times New Roman"/>
          <w:lang w:val="en-US"/>
        </w:rPr>
        <w:t>H</w:t>
      </w:r>
      <w:r w:rsidR="00095B90" w:rsidRPr="00095B90">
        <w:rPr>
          <w:rFonts w:ascii="Times New Roman" w:eastAsia="MS PGothic" w:hAnsi="Times New Roman"/>
          <w:vertAlign w:val="subscript"/>
          <w:lang w:val="en-US"/>
        </w:rPr>
        <w:t>L</w:t>
      </w:r>
      <w:r w:rsidR="00095B90">
        <w:rPr>
          <w:rFonts w:ascii="Times New Roman" w:eastAsia="MS PGothic" w:hAnsi="Times New Roman"/>
          <w:lang w:val="en-US"/>
        </w:rPr>
        <w:t xml:space="preserve"> slightly higher than </w:t>
      </w:r>
      <w:r>
        <w:rPr>
          <w:rFonts w:ascii="Times New Roman" w:eastAsia="MS PGothic" w:hAnsi="Times New Roman"/>
          <w:lang w:val="en-US"/>
        </w:rPr>
        <w:t>T</w:t>
      </w:r>
      <w:r w:rsidRPr="00A2426A">
        <w:rPr>
          <w:rFonts w:ascii="Times New Roman" w:eastAsia="MS PGothic" w:hAnsi="Times New Roman"/>
          <w:lang w:val="en-US"/>
        </w:rPr>
        <w:t xml:space="preserve">. Afterwards, air was </w:t>
      </w:r>
      <w:r w:rsidR="00465B95">
        <w:rPr>
          <w:rFonts w:ascii="Times New Roman" w:eastAsia="MS PGothic" w:hAnsi="Times New Roman"/>
          <w:lang w:val="en-US"/>
        </w:rPr>
        <w:t xml:space="preserve">fed </w:t>
      </w:r>
      <w:r w:rsidRPr="00A2426A">
        <w:rPr>
          <w:rFonts w:ascii="Times New Roman" w:eastAsia="MS PGothic" w:hAnsi="Times New Roman"/>
          <w:lang w:val="en-US"/>
        </w:rPr>
        <w:t xml:space="preserve">in water through a ring </w:t>
      </w:r>
      <w:proofErr w:type="spellStart"/>
      <w:r w:rsidRPr="00A2426A">
        <w:rPr>
          <w:rFonts w:ascii="Times New Roman" w:eastAsia="MS PGothic" w:hAnsi="Times New Roman"/>
          <w:lang w:val="en-US"/>
        </w:rPr>
        <w:t>sparger</w:t>
      </w:r>
      <w:proofErr w:type="spellEnd"/>
      <w:r w:rsidRPr="00A2426A">
        <w:rPr>
          <w:rFonts w:ascii="Times New Roman" w:eastAsia="MS PGothic" w:hAnsi="Times New Roman"/>
          <w:lang w:val="en-US"/>
        </w:rPr>
        <w:t xml:space="preserve"> </w:t>
      </w:r>
      <w:r w:rsidR="00095B90">
        <w:rPr>
          <w:rFonts w:ascii="Times New Roman" w:eastAsia="MS PGothic" w:hAnsi="Times New Roman"/>
          <w:lang w:val="en-US"/>
        </w:rPr>
        <w:t xml:space="preserve">located at a clearance, </w:t>
      </w:r>
      <w:r w:rsidR="00B43AD0">
        <w:rPr>
          <w:rFonts w:ascii="Times New Roman" w:eastAsia="MS PGothic" w:hAnsi="Times New Roman"/>
          <w:lang w:val="en-US"/>
        </w:rPr>
        <w:t>Cs, equal to 85 mm (Cs</w:t>
      </w:r>
      <w:r w:rsidRPr="00A2426A">
        <w:rPr>
          <w:rFonts w:ascii="Times New Roman" w:eastAsia="MS PGothic" w:hAnsi="Times New Roman"/>
          <w:lang w:val="en-US"/>
        </w:rPr>
        <w:t>=0.18T).</w:t>
      </w:r>
      <w:r w:rsidR="00095B90">
        <w:rPr>
          <w:rFonts w:ascii="Times New Roman" w:eastAsia="MS PGothic" w:hAnsi="Times New Roman"/>
          <w:lang w:val="en-US"/>
        </w:rPr>
        <w:t xml:space="preserve"> </w:t>
      </w:r>
    </w:p>
    <w:p w14:paraId="607A7B3B" w14:textId="77777777" w:rsidR="005A0E0D" w:rsidRDefault="00A2426A" w:rsidP="00FA6D59">
      <w:pPr>
        <w:snapToGrid w:val="0"/>
        <w:spacing w:after="120"/>
        <w:rPr>
          <w:rFonts w:ascii="Times New Roman" w:eastAsia="MS PGothic" w:hAnsi="Times New Roman"/>
          <w:lang w:val="en-US"/>
        </w:rPr>
      </w:pPr>
      <w:r w:rsidRPr="00A2426A">
        <w:rPr>
          <w:rFonts w:ascii="Times New Roman" w:eastAsia="MS PGothic" w:hAnsi="Times New Roman"/>
          <w:lang w:val="en-US"/>
        </w:rPr>
        <w:t xml:space="preserve">The mixing time and the gas hold-up distribution were determined on three horizontal planes by using an ITS P2000 ERT instrumentation by Industrial Tomography Systems </w:t>
      </w:r>
      <w:r w:rsidRPr="00B43AD0">
        <w:rPr>
          <w:rFonts w:ascii="Times New Roman" w:eastAsia="MS PGothic" w:hAnsi="Times New Roman"/>
          <w:lang w:val="en-US"/>
        </w:rPr>
        <w:t xml:space="preserve">Ltd. </w:t>
      </w:r>
      <w:r w:rsidR="00465B95" w:rsidRPr="00B43AD0">
        <w:rPr>
          <w:rFonts w:ascii="Times New Roman" w:eastAsia="MS PGothic" w:hAnsi="Times New Roman"/>
          <w:lang w:val="en-US"/>
        </w:rPr>
        <w:t xml:space="preserve">On each </w:t>
      </w:r>
      <w:r w:rsidR="005A0E0D">
        <w:rPr>
          <w:rFonts w:ascii="Times New Roman" w:eastAsia="MS PGothic" w:hAnsi="Times New Roman"/>
          <w:lang w:val="en-US"/>
        </w:rPr>
        <w:t>measurement</w:t>
      </w:r>
      <w:r w:rsidR="00465B95" w:rsidRPr="00B43AD0">
        <w:rPr>
          <w:rFonts w:ascii="Times New Roman" w:eastAsia="MS PGothic" w:hAnsi="Times New Roman"/>
          <w:lang w:val="en-US"/>
        </w:rPr>
        <w:t xml:space="preserve"> plane</w:t>
      </w:r>
      <w:r w:rsidR="00B43AD0">
        <w:rPr>
          <w:rFonts w:ascii="Times New Roman" w:eastAsia="MS PGothic" w:hAnsi="Times New Roman"/>
          <w:lang w:val="en-US"/>
        </w:rPr>
        <w:t>,</w:t>
      </w:r>
      <w:r w:rsidR="00465B95" w:rsidRPr="00B43AD0">
        <w:rPr>
          <w:rFonts w:ascii="Times New Roman" w:eastAsia="MS PGothic" w:hAnsi="Times New Roman"/>
          <w:lang w:val="en-US"/>
        </w:rPr>
        <w:t xml:space="preserve"> 16 equally spaced electrodes o</w:t>
      </w:r>
      <w:r w:rsidR="00B43AD0">
        <w:rPr>
          <w:rFonts w:ascii="Times New Roman" w:eastAsia="MS PGothic" w:hAnsi="Times New Roman"/>
          <w:lang w:val="en-US"/>
        </w:rPr>
        <w:t>f 30 mm side and 1 mm thickness</w:t>
      </w:r>
      <w:r w:rsidR="00465B95" w:rsidRPr="00B43AD0">
        <w:rPr>
          <w:rFonts w:ascii="Times New Roman" w:eastAsia="MS PGothic" w:hAnsi="Times New Roman"/>
          <w:lang w:val="en-US"/>
        </w:rPr>
        <w:t xml:space="preserve"> were fixed to the vessel wall.</w:t>
      </w:r>
      <w:r w:rsidR="00465B95" w:rsidRPr="00A2426A">
        <w:rPr>
          <w:rFonts w:ascii="Times New Roman" w:eastAsia="MS PGothic" w:hAnsi="Times New Roman"/>
          <w:lang w:val="en-US"/>
        </w:rPr>
        <w:t xml:space="preserve"> </w:t>
      </w:r>
      <w:r w:rsidRPr="00A2426A">
        <w:rPr>
          <w:rFonts w:ascii="Times New Roman" w:eastAsia="MS PGothic" w:hAnsi="Times New Roman"/>
          <w:lang w:val="en-US"/>
        </w:rPr>
        <w:t>The electrodes were connected to the data acquisition s</w:t>
      </w:r>
      <w:r w:rsidR="00095B90">
        <w:rPr>
          <w:rFonts w:ascii="Times New Roman" w:eastAsia="MS PGothic" w:hAnsi="Times New Roman"/>
          <w:lang w:val="en-US"/>
        </w:rPr>
        <w:t xml:space="preserve">ystem (DAS) by coaxial cables. </w:t>
      </w:r>
      <w:r w:rsidRPr="00A2426A">
        <w:rPr>
          <w:rFonts w:ascii="Times New Roman" w:eastAsia="MS PGothic" w:hAnsi="Times New Roman"/>
          <w:lang w:val="en-US"/>
        </w:rPr>
        <w:t xml:space="preserve">The measurements were based on the </w:t>
      </w:r>
      <w:r w:rsidR="00B43AD0">
        <w:rPr>
          <w:rFonts w:ascii="Times New Roman" w:eastAsia="MS PGothic" w:hAnsi="Times New Roman"/>
          <w:lang w:val="en-US"/>
        </w:rPr>
        <w:t xml:space="preserve">circular </w:t>
      </w:r>
      <w:r w:rsidRPr="00A2426A">
        <w:rPr>
          <w:rFonts w:ascii="Times New Roman" w:eastAsia="MS PGothic" w:hAnsi="Times New Roman"/>
          <w:lang w:val="en-US"/>
        </w:rPr>
        <w:t>adjacent strategy, in which electric current is injected from adjacent electrodes pair at a time and the voltage difference is measured from the remaining pairs of electrodes. The procedure is repeated for all the independent pairs of electrodes. The conductivity maps were reconstructed from the electric potential measurements by the linearized (non-iterative) modified sensitivity back projection (MSBP) algorithm.</w:t>
      </w:r>
      <w:r w:rsidR="00FA6D59">
        <w:rPr>
          <w:rFonts w:ascii="Times New Roman" w:eastAsia="MS PGothic" w:hAnsi="Times New Roman"/>
          <w:lang w:val="en-US"/>
        </w:rPr>
        <w:t xml:space="preserve"> </w:t>
      </w:r>
    </w:p>
    <w:p w14:paraId="4552EE32" w14:textId="583E1362" w:rsidR="00E94D43" w:rsidRDefault="00E94D43" w:rsidP="00FA6D59">
      <w:pPr>
        <w:snapToGrid w:val="0"/>
        <w:spacing w:after="120"/>
        <w:rPr>
          <w:rFonts w:ascii="Times New Roman" w:eastAsia="MS PGothic" w:hAnsi="Times New Roman"/>
          <w:lang w:val="en-US"/>
        </w:rPr>
      </w:pPr>
      <w:r>
        <w:rPr>
          <w:rFonts w:ascii="Times New Roman" w:eastAsia="MS PGothic" w:hAnsi="Times New Roman"/>
          <w:lang w:val="en-US"/>
        </w:rPr>
        <w:t xml:space="preserve">The CFD modelling was based on the Two Fluid Model (TFM) formulation of the Reynolds averaged </w:t>
      </w:r>
      <w:proofErr w:type="spellStart"/>
      <w:r>
        <w:rPr>
          <w:rFonts w:ascii="Times New Roman" w:eastAsia="MS PGothic" w:hAnsi="Times New Roman"/>
          <w:lang w:val="en-US"/>
        </w:rPr>
        <w:t>Navier</w:t>
      </w:r>
      <w:proofErr w:type="spellEnd"/>
      <w:r>
        <w:rPr>
          <w:rFonts w:ascii="Times New Roman" w:eastAsia="MS PGothic" w:hAnsi="Times New Roman"/>
          <w:lang w:val="en-US"/>
        </w:rPr>
        <w:t>-Stokes (RANS) equations</w:t>
      </w:r>
      <w:r w:rsidR="003B40F7">
        <w:rPr>
          <w:rFonts w:ascii="Times New Roman" w:eastAsia="MS PGothic" w:hAnsi="Times New Roman"/>
          <w:lang w:val="en-US"/>
        </w:rPr>
        <w:t>. D</w:t>
      </w:r>
      <w:r w:rsidR="00902917">
        <w:rPr>
          <w:rFonts w:ascii="Times New Roman" w:eastAsia="MS PGothic" w:hAnsi="Times New Roman"/>
          <w:lang w:val="en-US"/>
        </w:rPr>
        <w:t xml:space="preserve">etails on the computational model </w:t>
      </w:r>
      <w:r w:rsidR="003B40F7">
        <w:rPr>
          <w:rFonts w:ascii="Times New Roman" w:eastAsia="MS PGothic" w:hAnsi="Times New Roman"/>
          <w:lang w:val="en-US"/>
        </w:rPr>
        <w:t>can be</w:t>
      </w:r>
      <w:r w:rsidR="00902917">
        <w:rPr>
          <w:rFonts w:ascii="Times New Roman" w:eastAsia="MS PGothic" w:hAnsi="Times New Roman"/>
          <w:lang w:val="en-US"/>
        </w:rPr>
        <w:t xml:space="preserve"> found elsewhere [</w:t>
      </w:r>
      <w:r w:rsidR="00095B90">
        <w:rPr>
          <w:rFonts w:ascii="Times New Roman" w:eastAsia="MS PGothic" w:hAnsi="Times New Roman"/>
          <w:lang w:val="en-US"/>
        </w:rPr>
        <w:t>5</w:t>
      </w:r>
      <w:r w:rsidR="00902917">
        <w:rPr>
          <w:rFonts w:ascii="Times New Roman" w:eastAsia="MS PGothic" w:hAnsi="Times New Roman"/>
          <w:lang w:val="en-US"/>
        </w:rPr>
        <w:t>].</w:t>
      </w:r>
    </w:p>
    <w:p w14:paraId="0528A46E" w14:textId="6F26E6AD"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7173ADCE" w14:textId="29826AFD" w:rsidR="0074506B" w:rsidRPr="006647FA" w:rsidRDefault="00BB61E0" w:rsidP="00DA51A3">
      <w:pPr>
        <w:snapToGrid w:val="0"/>
        <w:spacing w:after="120"/>
        <w:rPr>
          <w:rFonts w:ascii="Times New Roman" w:eastAsia="MS PGothic" w:hAnsi="Times New Roman"/>
          <w:lang w:val="en-CA"/>
        </w:rPr>
      </w:pPr>
      <w:r>
        <w:rPr>
          <w:rFonts w:ascii="Times New Roman" w:eastAsia="MS PGothic" w:hAnsi="Times New Roman"/>
          <w:lang w:val="en-US"/>
        </w:rPr>
        <w:t xml:space="preserve">The local gas volume fraction distribution on the three measurement planes </w:t>
      </w:r>
      <w:r w:rsidR="00344082">
        <w:rPr>
          <w:rFonts w:ascii="Times New Roman" w:eastAsia="MS PGothic" w:hAnsi="Times New Roman"/>
          <w:lang w:val="en-US"/>
        </w:rPr>
        <w:t>in</w:t>
      </w:r>
      <w:r w:rsidR="00095B90">
        <w:rPr>
          <w:rFonts w:ascii="Times New Roman" w:eastAsia="MS PGothic" w:hAnsi="Times New Roman"/>
          <w:lang w:val="en-US"/>
        </w:rPr>
        <w:t xml:space="preserve"> the vessel stirred with the Bakker turbine </w:t>
      </w:r>
      <w:r>
        <w:rPr>
          <w:rFonts w:ascii="Times New Roman" w:eastAsia="MS PGothic" w:hAnsi="Times New Roman"/>
          <w:lang w:val="en-US"/>
        </w:rPr>
        <w:t>is shown in Figure 1, together with numerical predictions on the same planes. By means of example, just the condition of Q</w:t>
      </w:r>
      <w:r w:rsidR="00A93C1B" w:rsidRPr="00A93C1B">
        <w:rPr>
          <w:rFonts w:ascii="Times New Roman" w:eastAsia="MS PGothic" w:hAnsi="Times New Roman"/>
          <w:vertAlign w:val="subscript"/>
          <w:lang w:val="en-US"/>
        </w:rPr>
        <w:t>G</w:t>
      </w:r>
      <w:r>
        <w:rPr>
          <w:rFonts w:ascii="Times New Roman" w:eastAsia="MS PGothic" w:hAnsi="Times New Roman"/>
          <w:lang w:val="en-US"/>
        </w:rPr>
        <w:t xml:space="preserve">=25L/min and N=200rpm is reported. </w:t>
      </w:r>
    </w:p>
    <w:tbl>
      <w:tblPr>
        <w:tblStyle w:val="Tabellasemplice4"/>
        <w:tblW w:w="0" w:type="auto"/>
        <w:tblLook w:val="0600" w:firstRow="0" w:lastRow="0" w:firstColumn="0" w:lastColumn="0" w:noHBand="1" w:noVBand="1"/>
      </w:tblPr>
      <w:tblGrid>
        <w:gridCol w:w="4751"/>
        <w:gridCol w:w="4751"/>
      </w:tblGrid>
      <w:tr w:rsidR="0074506B" w14:paraId="00D4C6E6" w14:textId="77777777" w:rsidTr="006647FA">
        <w:tc>
          <w:tcPr>
            <w:tcW w:w="4751" w:type="dxa"/>
          </w:tcPr>
          <w:p w14:paraId="21A7633A" w14:textId="7CC464ED" w:rsidR="0074506B" w:rsidRDefault="005A5644" w:rsidP="00D92CA5">
            <w:pPr>
              <w:spacing w:line="360" w:lineRule="auto"/>
              <w:jc w:val="both"/>
              <w:rPr>
                <w:rFonts w:ascii="Times New Roman" w:eastAsiaTheme="minorEastAsia" w:hAnsi="Times New Roman" w:cs="Times New Roman"/>
                <w:sz w:val="24"/>
                <w:szCs w:val="24"/>
              </w:rPr>
            </w:pPr>
            <w:r w:rsidRPr="005A5644">
              <w:rPr>
                <w:rFonts w:ascii="Times New Roman" w:eastAsiaTheme="minorEastAsia" w:hAnsi="Times New Roman" w:cs="Times New Roman"/>
                <w:noProof/>
                <w:sz w:val="24"/>
                <w:szCs w:val="24"/>
                <w:lang w:eastAsia="it-IT"/>
              </w:rPr>
              <mc:AlternateContent>
                <mc:Choice Requires="wps">
                  <w:drawing>
                    <wp:anchor distT="45720" distB="45720" distL="114300" distR="114300" simplePos="0" relativeHeight="251659264" behindDoc="0" locked="0" layoutInCell="1" allowOverlap="1" wp14:anchorId="426A6DDC" wp14:editId="625650AD">
                      <wp:simplePos x="0" y="0"/>
                      <wp:positionH relativeFrom="column">
                        <wp:posOffset>2197274</wp:posOffset>
                      </wp:positionH>
                      <wp:positionV relativeFrom="paragraph">
                        <wp:posOffset>14432</wp:posOffset>
                      </wp:positionV>
                      <wp:extent cx="422564" cy="332509"/>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64" cy="332509"/>
                              </a:xfrm>
                              <a:prstGeom prst="rect">
                                <a:avLst/>
                              </a:prstGeom>
                              <a:solidFill>
                                <a:srgbClr val="FFFFFF"/>
                              </a:solidFill>
                              <a:ln w="9525">
                                <a:noFill/>
                                <a:miter lim="800000"/>
                                <a:headEnd/>
                                <a:tailEnd/>
                              </a:ln>
                            </wps:spPr>
                            <wps:txbx>
                              <w:txbxContent>
                                <w:p w14:paraId="561E6716" w14:textId="265F7BEA" w:rsidR="005A5644" w:rsidRDefault="005A5644">
                                  <w:r>
                                    <w:rPr>
                                      <w:rFonts w:ascii="Times New Roman" w:eastAsiaTheme="minorEastAsia" w:hAnsi="Times New Roman" w:cs="Times New Roman"/>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A6DDC" id="_x0000_t202" coordsize="21600,21600" o:spt="202" path="m,l,21600r21600,l21600,xe">
                      <v:stroke joinstyle="miter"/>
                      <v:path gradientshapeok="t" o:connecttype="rect"/>
                    </v:shapetype>
                    <v:shape id="Casella di testo 2" o:spid="_x0000_s1026" type="#_x0000_t202" style="position:absolute;left:0;text-align:left;margin-left:173pt;margin-top:1.15pt;width:33.25pt;height:2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" stroked="f">
                      <v:textbox>
                        <w:txbxContent>
                          <w:p w14:paraId="561E6716" w14:textId="265F7BEA" w:rsidR="005A5644" w:rsidRDefault="005A5644">
                            <w:r>
                              <w:rPr>
                                <w:rFonts w:ascii="Times New Roman" w:eastAsiaTheme="minorEastAsia" w:hAnsi="Times New Roman" w:cs="Times New Roman"/>
                                <w:sz w:val="24"/>
                                <w:szCs w:val="24"/>
                              </w:rPr>
                              <w:t>(A)</w:t>
                            </w:r>
                          </w:p>
                        </w:txbxContent>
                      </v:textbox>
                    </v:shape>
                  </w:pict>
                </mc:Fallback>
              </mc:AlternateContent>
            </w:r>
            <w:r w:rsidR="0074506B">
              <w:rPr>
                <w:noProof/>
                <w:lang w:eastAsia="it-IT"/>
              </w:rPr>
              <w:drawing>
                <wp:inline distT="0" distB="0" distL="0" distR="0" wp14:anchorId="37020D32" wp14:editId="62502EC1">
                  <wp:extent cx="2113710" cy="1241930"/>
                  <wp:effectExtent l="0" t="0" r="1270" b="0"/>
                  <wp:docPr id="19" name="Immagine 19" descr="Chart, funnel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descr="Chart, funnel chart&#10;&#10;Description automatically generated with medium confidence"/>
                          <pic:cNvPicPr/>
                        </pic:nvPicPr>
                        <pic:blipFill rotWithShape="1">
                          <a:blip r:embed="rId8"/>
                          <a:srcRect l="1480" t="18334" r="587" b="16885"/>
                          <a:stretch/>
                        </pic:blipFill>
                        <pic:spPr bwMode="auto">
                          <a:xfrm>
                            <a:off x="0" y="0"/>
                            <a:ext cx="2115342" cy="1242889"/>
                          </a:xfrm>
                          <a:prstGeom prst="rect">
                            <a:avLst/>
                          </a:prstGeom>
                          <a:ln>
                            <a:noFill/>
                          </a:ln>
                          <a:extLst>
                            <a:ext uri="{53640926-AAD7-44D8-BBD7-CCE9431645EC}">
                              <a14:shadowObscured xmlns:a14="http://schemas.microsoft.com/office/drawing/2010/main"/>
                            </a:ext>
                          </a:extLst>
                        </pic:spPr>
                      </pic:pic>
                    </a:graphicData>
                  </a:graphic>
                </wp:inline>
              </w:drawing>
            </w:r>
          </w:p>
        </w:tc>
        <w:tc>
          <w:tcPr>
            <w:tcW w:w="4751" w:type="dxa"/>
          </w:tcPr>
          <w:p w14:paraId="2D967A0B" w14:textId="1560DD79" w:rsidR="0074506B" w:rsidRDefault="00FA6D59" w:rsidP="00D92CA5">
            <w:pPr>
              <w:spacing w:line="360" w:lineRule="auto"/>
              <w:jc w:val="both"/>
              <w:rPr>
                <w:rFonts w:ascii="Times New Roman" w:eastAsiaTheme="minorEastAsia" w:hAnsi="Times New Roman" w:cs="Times New Roman"/>
                <w:sz w:val="24"/>
                <w:szCs w:val="24"/>
              </w:rPr>
            </w:pPr>
            <w:r w:rsidRPr="005A5644">
              <w:rPr>
                <w:rFonts w:ascii="Times New Roman" w:eastAsiaTheme="minorEastAsia" w:hAnsi="Times New Roman" w:cs="Times New Roman"/>
                <w:noProof/>
                <w:sz w:val="24"/>
                <w:szCs w:val="24"/>
                <w:lang w:eastAsia="it-IT"/>
              </w:rPr>
              <mc:AlternateContent>
                <mc:Choice Requires="wps">
                  <w:drawing>
                    <wp:anchor distT="45720" distB="45720" distL="114300" distR="114300" simplePos="0" relativeHeight="251661312" behindDoc="0" locked="0" layoutInCell="1" allowOverlap="1" wp14:anchorId="1A03E602" wp14:editId="619774CB">
                      <wp:simplePos x="0" y="0"/>
                      <wp:positionH relativeFrom="column">
                        <wp:posOffset>2164715</wp:posOffset>
                      </wp:positionH>
                      <wp:positionV relativeFrom="paragraph">
                        <wp:posOffset>17376</wp:posOffset>
                      </wp:positionV>
                      <wp:extent cx="422564" cy="332509"/>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64" cy="332509"/>
                              </a:xfrm>
                              <a:prstGeom prst="rect">
                                <a:avLst/>
                              </a:prstGeom>
                              <a:solidFill>
                                <a:srgbClr val="FFFFFF"/>
                              </a:solidFill>
                              <a:ln w="9525">
                                <a:noFill/>
                                <a:miter lim="800000"/>
                                <a:headEnd/>
                                <a:tailEnd/>
                              </a:ln>
                            </wps:spPr>
                            <wps:txbx>
                              <w:txbxContent>
                                <w:p w14:paraId="13403E8B" w14:textId="39FCC4CA" w:rsidR="00FA6D59" w:rsidRDefault="00FA6D59" w:rsidP="00FA6D59">
                                  <w:r>
                                    <w:rPr>
                                      <w:rFonts w:ascii="Times New Roman" w:eastAsiaTheme="minorEastAsia" w:hAnsi="Times New Roman" w:cs="Times New Roman"/>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3E602" id="_x0000_s1027" type="#_x0000_t202" style="position:absolute;left:0;text-align:left;margin-left:170.45pt;margin-top:1.35pt;width:33.25pt;height:2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" stroked="f">
                      <v:textbox>
                        <w:txbxContent>
                          <w:p w14:paraId="13403E8B" w14:textId="39FCC4CA" w:rsidR="00FA6D59" w:rsidRDefault="00FA6D59" w:rsidP="00FA6D59">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w:t>
                            </w:r>
                          </w:p>
                        </w:txbxContent>
                      </v:textbox>
                    </v:shape>
                  </w:pict>
                </mc:Fallback>
              </mc:AlternateContent>
            </w:r>
            <w:r w:rsidR="0074506B">
              <w:rPr>
                <w:noProof/>
                <w:lang w:eastAsia="it-IT"/>
              </w:rPr>
              <w:drawing>
                <wp:inline distT="0" distB="0" distL="0" distR="0" wp14:anchorId="5BEFF978" wp14:editId="29A30C6A">
                  <wp:extent cx="2074620" cy="1213757"/>
                  <wp:effectExtent l="0" t="0" r="1905" b="5715"/>
                  <wp:docPr id="24" name="Immagine 2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0" descr="A picture containing schematic&#10;&#10;Description automatically generated"/>
                          <pic:cNvPicPr/>
                        </pic:nvPicPr>
                        <pic:blipFill rotWithShape="1">
                          <a:blip r:embed="rId9"/>
                          <a:srcRect l="2899" t="18597" r="953" b="18075"/>
                          <a:stretch/>
                        </pic:blipFill>
                        <pic:spPr bwMode="auto">
                          <a:xfrm>
                            <a:off x="0" y="0"/>
                            <a:ext cx="2076782" cy="1215022"/>
                          </a:xfrm>
                          <a:prstGeom prst="rect">
                            <a:avLst/>
                          </a:prstGeom>
                          <a:ln>
                            <a:noFill/>
                          </a:ln>
                          <a:extLst>
                            <a:ext uri="{53640926-AAD7-44D8-BBD7-CCE9431645EC}">
                              <a14:shadowObscured xmlns:a14="http://schemas.microsoft.com/office/drawing/2010/main"/>
                            </a:ext>
                          </a:extLst>
                        </pic:spPr>
                      </pic:pic>
                    </a:graphicData>
                  </a:graphic>
                </wp:inline>
              </w:drawing>
            </w:r>
          </w:p>
        </w:tc>
      </w:tr>
    </w:tbl>
    <w:p w14:paraId="2CEA8973" w14:textId="7567EE0B" w:rsidR="00DA51A3" w:rsidRPr="00466FFD" w:rsidRDefault="00DA51A3" w:rsidP="00DA51A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FA6D59">
        <w:rPr>
          <w:rFonts w:ascii="Times New Roman" w:hAnsi="Times New Roman"/>
          <w:lang w:val="en-US"/>
        </w:rPr>
        <w:t xml:space="preserve">Percentage </w:t>
      </w:r>
      <w:r w:rsidR="00FA6D59">
        <w:rPr>
          <w:rFonts w:ascii="Times New Roman" w:eastAsia="MS PGothic" w:hAnsi="Times New Roman"/>
          <w:szCs w:val="18"/>
          <w:lang w:val="en-US"/>
        </w:rPr>
        <w:t>g</w:t>
      </w:r>
      <w:r w:rsidR="0000676E" w:rsidRPr="0000676E">
        <w:rPr>
          <w:rFonts w:ascii="Times New Roman" w:eastAsia="MS PGothic" w:hAnsi="Times New Roman"/>
          <w:szCs w:val="18"/>
          <w:lang w:val="en-US"/>
        </w:rPr>
        <w:t xml:space="preserve">as volume fraction obtained from (A) CFD and (B) ERT at </w:t>
      </w:r>
      <w:r w:rsidR="00A93C1B">
        <w:rPr>
          <w:rFonts w:ascii="Times New Roman" w:eastAsia="MS PGothic" w:hAnsi="Times New Roman"/>
          <w:szCs w:val="18"/>
          <w:lang w:val="en-US"/>
        </w:rPr>
        <w:t xml:space="preserve">the elevation </w:t>
      </w:r>
      <w:r w:rsidR="0000676E" w:rsidRPr="0000676E">
        <w:rPr>
          <w:rFonts w:ascii="Times New Roman" w:eastAsia="MS PGothic" w:hAnsi="Times New Roman"/>
          <w:szCs w:val="18"/>
          <w:lang w:val="en-US"/>
        </w:rPr>
        <w:t>z=0.18 m, z=0.30 m and z=0.42 m from the bottom of the tank.</w:t>
      </w:r>
      <w:r w:rsidR="00A93C1B">
        <w:rPr>
          <w:rFonts w:ascii="Times New Roman" w:eastAsia="MS PGothic" w:hAnsi="Times New Roman"/>
          <w:szCs w:val="18"/>
          <w:lang w:val="en-US"/>
        </w:rPr>
        <w:t xml:space="preserve"> The impeller is located at z=0.24m</w:t>
      </w:r>
    </w:p>
    <w:p w14:paraId="700EF824" w14:textId="4E7102BD" w:rsidR="005B5FA8" w:rsidRDefault="005B5FA8" w:rsidP="00DA51A3">
      <w:pPr>
        <w:snapToGrid w:val="0"/>
        <w:spacing w:before="240" w:line="300" w:lineRule="auto"/>
        <w:rPr>
          <w:rFonts w:ascii="Times New Roman" w:eastAsia="MS PGothic" w:hAnsi="Times New Roman"/>
          <w:lang w:val="en-US"/>
        </w:rPr>
      </w:pPr>
      <w:r>
        <w:rPr>
          <w:rFonts w:ascii="Times New Roman" w:eastAsia="MS PGothic" w:hAnsi="Times New Roman"/>
          <w:lang w:val="en-US"/>
        </w:rPr>
        <w:t xml:space="preserve">In these conditions, the gas phase is in complete recirculation, having a consistent amount of gas below the impeller plane. On the other hand, the bubbles are not homogeneously distributed in the </w:t>
      </w:r>
      <w:r w:rsidR="00546946">
        <w:rPr>
          <w:rFonts w:ascii="Times New Roman" w:eastAsia="MS PGothic" w:hAnsi="Times New Roman"/>
          <w:lang w:val="en-US"/>
        </w:rPr>
        <w:t>vessel</w:t>
      </w:r>
      <w:r>
        <w:rPr>
          <w:rFonts w:ascii="Times New Roman" w:eastAsia="MS PGothic" w:hAnsi="Times New Roman"/>
          <w:lang w:val="en-US"/>
        </w:rPr>
        <w:t xml:space="preserve"> volume, with the most peculiar </w:t>
      </w:r>
      <w:r w:rsidR="00A93C1B">
        <w:rPr>
          <w:rFonts w:ascii="Times New Roman" w:eastAsia="MS PGothic" w:hAnsi="Times New Roman"/>
          <w:lang w:val="en-US"/>
        </w:rPr>
        <w:t>features</w:t>
      </w:r>
      <w:r>
        <w:rPr>
          <w:rFonts w:ascii="Times New Roman" w:eastAsia="MS PGothic" w:hAnsi="Times New Roman"/>
          <w:lang w:val="en-US"/>
        </w:rPr>
        <w:t xml:space="preserve"> observed in the </w:t>
      </w:r>
      <w:r w:rsidR="00546946">
        <w:rPr>
          <w:rFonts w:ascii="Times New Roman" w:eastAsia="MS PGothic" w:hAnsi="Times New Roman"/>
          <w:lang w:val="en-US"/>
        </w:rPr>
        <w:t>tank zone below the impeller. Here</w:t>
      </w:r>
      <w:r w:rsidR="00095B90">
        <w:rPr>
          <w:rFonts w:ascii="Times New Roman" w:eastAsia="MS PGothic" w:hAnsi="Times New Roman"/>
          <w:lang w:val="en-US"/>
        </w:rPr>
        <w:t>,</w:t>
      </w:r>
      <w:r w:rsidR="00546946">
        <w:rPr>
          <w:rFonts w:ascii="Times New Roman" w:eastAsia="MS PGothic" w:hAnsi="Times New Roman"/>
          <w:lang w:val="en-US"/>
        </w:rPr>
        <w:t xml:space="preserve"> large amounts of gas are found both towards the center of the vessel, where the coherent gas stream from the sparger is not dispersed by the action of the impeller, and at the radial periphery of the tank, where the lower recirculation loop generated by the impeller entrains the bubbles just in the proximity of the cylindrical walls of the system. </w:t>
      </w:r>
      <w:r w:rsidR="006B2B57">
        <w:rPr>
          <w:rFonts w:ascii="Times New Roman" w:eastAsia="MS PGothic" w:hAnsi="Times New Roman"/>
          <w:lang w:val="en-US"/>
        </w:rPr>
        <w:t xml:space="preserve">At intermediate radial coordinates, there is a well-defined volume devoid of bubbles. This behavior is observed both from the ERT measurements and the CFD simulations, as apparent on the lowest plane of Figure 1. </w:t>
      </w:r>
      <w:r w:rsidR="00095B90">
        <w:rPr>
          <w:rFonts w:ascii="Times New Roman" w:eastAsia="MS PGothic" w:hAnsi="Times New Roman"/>
          <w:lang w:val="en-US"/>
        </w:rPr>
        <w:t>Overall, the</w:t>
      </w:r>
      <w:r w:rsidR="00095B90" w:rsidRPr="00095B90">
        <w:rPr>
          <w:rFonts w:ascii="Times New Roman" w:eastAsia="MS PGothic" w:hAnsi="Times New Roman"/>
          <w:lang w:val="en-US"/>
        </w:rPr>
        <w:t xml:space="preserve"> proposed </w:t>
      </w:r>
      <w:r w:rsidR="00095B90">
        <w:rPr>
          <w:rFonts w:ascii="Times New Roman" w:eastAsia="MS PGothic" w:hAnsi="Times New Roman"/>
          <w:lang w:val="en-US"/>
        </w:rPr>
        <w:t xml:space="preserve">computational </w:t>
      </w:r>
      <w:r w:rsidR="00095B90" w:rsidRPr="00095B90">
        <w:rPr>
          <w:rFonts w:ascii="Times New Roman" w:eastAsia="MS PGothic" w:hAnsi="Times New Roman"/>
          <w:lang w:val="en-US"/>
        </w:rPr>
        <w:t>approach validated in this work may help in the design of industrial aerated stirred fermenters</w:t>
      </w:r>
      <w:r w:rsidR="00A93C1B">
        <w:rPr>
          <w:rFonts w:ascii="Times New Roman" w:eastAsia="MS PGothic" w:hAnsi="Times New Roman"/>
          <w:lang w:val="en-US"/>
        </w:rPr>
        <w:t>,</w:t>
      </w:r>
      <w:r w:rsidR="00095B90" w:rsidRPr="00095B90">
        <w:rPr>
          <w:rFonts w:ascii="Times New Roman" w:eastAsia="MS PGothic" w:hAnsi="Times New Roman"/>
          <w:lang w:val="en-US"/>
        </w:rPr>
        <w:t xml:space="preserve"> since it proved very reliable in fully predictively reproducing the power consumption and the gas-liquid flow regimes, and it may be applied to other geometries and impeller types, without the need for global correlations and ad hoc experiments.</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6CE7E41" w14:textId="46F9E0EF" w:rsidR="00902917" w:rsidRPr="00902917" w:rsidRDefault="00902917" w:rsidP="00902917">
      <w:pPr>
        <w:widowControl w:val="0"/>
        <w:autoSpaceDE w:val="0"/>
        <w:autoSpaceDN w:val="0"/>
        <w:adjustRightInd w:val="0"/>
        <w:spacing w:after="0" w:line="240" w:lineRule="auto"/>
        <w:ind w:left="426" w:hanging="426"/>
        <w:rPr>
          <w:rFonts w:ascii="Times New Roman" w:hAnsi="Times New Roman" w:cs="Times New Roman"/>
          <w:noProof/>
          <w:sz w:val="20"/>
        </w:rPr>
      </w:pPr>
      <w:r w:rsidRPr="009F1435">
        <w:rPr>
          <w:rFonts w:ascii="Times New Roman" w:hAnsi="Times New Roman" w:cs="Times New Roman"/>
          <w:noProof/>
          <w:sz w:val="20"/>
          <w:lang w:val="en-US"/>
        </w:rPr>
        <w:t>[1]</w:t>
      </w:r>
      <w:r w:rsidRPr="009F1435">
        <w:rPr>
          <w:rFonts w:ascii="Times New Roman" w:hAnsi="Times New Roman" w:cs="Times New Roman"/>
          <w:noProof/>
          <w:sz w:val="20"/>
          <w:lang w:val="en-US"/>
        </w:rPr>
        <w:tab/>
        <w:t xml:space="preserve">D. Humbird, R. Davis, J.D. McMillan, Biochem. </w:t>
      </w:r>
      <w:r w:rsidRPr="00902917">
        <w:rPr>
          <w:rFonts w:ascii="Times New Roman" w:hAnsi="Times New Roman" w:cs="Times New Roman"/>
          <w:noProof/>
          <w:sz w:val="20"/>
        </w:rPr>
        <w:t xml:space="preserve">Eng. J. 127 (2017) 161–166. </w:t>
      </w:r>
    </w:p>
    <w:p w14:paraId="1ACE60D4" w14:textId="4E9A82E8" w:rsidR="00902917" w:rsidRPr="009F1435" w:rsidRDefault="00902917" w:rsidP="00902917">
      <w:pPr>
        <w:widowControl w:val="0"/>
        <w:autoSpaceDE w:val="0"/>
        <w:autoSpaceDN w:val="0"/>
        <w:adjustRightInd w:val="0"/>
        <w:spacing w:after="0" w:line="240" w:lineRule="auto"/>
        <w:ind w:left="426" w:hanging="426"/>
        <w:rPr>
          <w:rFonts w:ascii="Times New Roman" w:hAnsi="Times New Roman" w:cs="Times New Roman"/>
          <w:noProof/>
          <w:sz w:val="20"/>
          <w:lang w:val="en-US"/>
        </w:rPr>
      </w:pPr>
      <w:r w:rsidRPr="00902917">
        <w:rPr>
          <w:rFonts w:ascii="Times New Roman" w:hAnsi="Times New Roman" w:cs="Times New Roman"/>
          <w:noProof/>
          <w:sz w:val="20"/>
        </w:rPr>
        <w:t>[2]</w:t>
      </w:r>
      <w:r w:rsidRPr="00902917">
        <w:rPr>
          <w:rFonts w:ascii="Times New Roman" w:hAnsi="Times New Roman" w:cs="Times New Roman"/>
          <w:noProof/>
          <w:sz w:val="20"/>
        </w:rPr>
        <w:tab/>
        <w:t xml:space="preserve">F. Garcia-Ochoa, E. Gomez, V.E. Santos, Biochem. </w:t>
      </w:r>
      <w:r w:rsidRPr="009F1435">
        <w:rPr>
          <w:rFonts w:ascii="Times New Roman" w:hAnsi="Times New Roman" w:cs="Times New Roman"/>
          <w:noProof/>
          <w:sz w:val="20"/>
          <w:lang w:val="en-US"/>
        </w:rPr>
        <w:t xml:space="preserve">Eng. J. 164 (2020) 107803. </w:t>
      </w:r>
    </w:p>
    <w:p w14:paraId="7A6556FD" w14:textId="483856A8" w:rsidR="00902917" w:rsidRPr="009F1435" w:rsidRDefault="00902917" w:rsidP="00902917">
      <w:pPr>
        <w:widowControl w:val="0"/>
        <w:autoSpaceDE w:val="0"/>
        <w:autoSpaceDN w:val="0"/>
        <w:adjustRightInd w:val="0"/>
        <w:spacing w:after="0" w:line="240" w:lineRule="auto"/>
        <w:ind w:left="426" w:hanging="426"/>
        <w:rPr>
          <w:rFonts w:ascii="Times New Roman" w:hAnsi="Times New Roman" w:cs="Times New Roman"/>
          <w:noProof/>
          <w:sz w:val="20"/>
          <w:lang w:val="en-US"/>
        </w:rPr>
      </w:pPr>
      <w:r w:rsidRPr="009F1435">
        <w:rPr>
          <w:rFonts w:ascii="Times New Roman" w:hAnsi="Times New Roman" w:cs="Times New Roman"/>
          <w:noProof/>
          <w:sz w:val="20"/>
          <w:lang w:val="en-US"/>
        </w:rPr>
        <w:t>[3]</w:t>
      </w:r>
      <w:r w:rsidRPr="009F1435">
        <w:rPr>
          <w:rFonts w:ascii="Times New Roman" w:hAnsi="Times New Roman" w:cs="Times New Roman"/>
          <w:noProof/>
          <w:sz w:val="20"/>
          <w:lang w:val="en-US"/>
        </w:rPr>
        <w:tab/>
        <w:t>H.J. Noorman, W. van Winden, J.J. Heijnen, R.G.J.M. van der Lans, RSC Green Chem., Royal Society of Chemistry, 2018</w:t>
      </w:r>
      <w:r w:rsidR="003C03C8" w:rsidRPr="009F1435">
        <w:rPr>
          <w:rFonts w:ascii="Times New Roman" w:hAnsi="Times New Roman" w:cs="Times New Roman"/>
          <w:noProof/>
          <w:sz w:val="20"/>
          <w:lang w:val="en-US"/>
        </w:rPr>
        <w:t>.</w:t>
      </w:r>
    </w:p>
    <w:p w14:paraId="1CC72E09" w14:textId="1ADB8544" w:rsidR="00902917" w:rsidRPr="00607643" w:rsidRDefault="00902917" w:rsidP="00902917">
      <w:pPr>
        <w:widowControl w:val="0"/>
        <w:autoSpaceDE w:val="0"/>
        <w:autoSpaceDN w:val="0"/>
        <w:adjustRightInd w:val="0"/>
        <w:spacing w:after="0" w:line="240" w:lineRule="auto"/>
        <w:ind w:left="426" w:hanging="426"/>
        <w:rPr>
          <w:rFonts w:ascii="Times New Roman" w:hAnsi="Times New Roman" w:cs="Times New Roman"/>
          <w:noProof/>
          <w:sz w:val="20"/>
        </w:rPr>
      </w:pPr>
      <w:r w:rsidRPr="00902917">
        <w:rPr>
          <w:rFonts w:ascii="Times New Roman" w:hAnsi="Times New Roman" w:cs="Times New Roman"/>
          <w:noProof/>
          <w:sz w:val="20"/>
        </w:rPr>
        <w:t>[4]</w:t>
      </w:r>
      <w:r w:rsidRPr="00902917">
        <w:rPr>
          <w:rFonts w:ascii="Times New Roman" w:hAnsi="Times New Roman" w:cs="Times New Roman"/>
          <w:noProof/>
          <w:sz w:val="20"/>
        </w:rPr>
        <w:tab/>
        <w:t xml:space="preserve">F. Maluta, A. Paglianti, G. Montante, Biochem. </w:t>
      </w:r>
      <w:r w:rsidRPr="00607643">
        <w:rPr>
          <w:rFonts w:ascii="Times New Roman" w:hAnsi="Times New Roman" w:cs="Times New Roman"/>
          <w:noProof/>
          <w:sz w:val="20"/>
        </w:rPr>
        <w:t>Eng. J. (2022) 108405.</w:t>
      </w:r>
    </w:p>
    <w:p w14:paraId="5B85CA34" w14:textId="7AF9A83A" w:rsidR="003C03C8" w:rsidRPr="00095B90" w:rsidRDefault="00095B90" w:rsidP="00C32958">
      <w:pPr>
        <w:widowControl w:val="0"/>
        <w:autoSpaceDE w:val="0"/>
        <w:autoSpaceDN w:val="0"/>
        <w:adjustRightInd w:val="0"/>
        <w:spacing w:after="0" w:line="240" w:lineRule="auto"/>
        <w:ind w:left="426" w:hanging="426"/>
        <w:rPr>
          <w:rFonts w:ascii="Times New Roman" w:eastAsia="SimSun" w:hAnsi="Times New Roman"/>
          <w:lang w:eastAsia="zh-CN"/>
        </w:rPr>
      </w:pPr>
      <w:r>
        <w:rPr>
          <w:rFonts w:ascii="Times New Roman" w:hAnsi="Times New Roman" w:cs="Times New Roman"/>
          <w:noProof/>
          <w:sz w:val="20"/>
        </w:rPr>
        <w:t>[5</w:t>
      </w:r>
      <w:r w:rsidR="003C03C8">
        <w:rPr>
          <w:rFonts w:ascii="Times New Roman" w:hAnsi="Times New Roman" w:cs="Times New Roman"/>
          <w:noProof/>
          <w:sz w:val="20"/>
        </w:rPr>
        <w:t>]</w:t>
      </w:r>
      <w:r w:rsidR="003C03C8">
        <w:rPr>
          <w:rFonts w:ascii="Times New Roman" w:hAnsi="Times New Roman" w:cs="Times New Roman"/>
          <w:noProof/>
          <w:sz w:val="20"/>
        </w:rPr>
        <w:tab/>
      </w:r>
      <w:r w:rsidR="003C03C8" w:rsidRPr="00902917">
        <w:rPr>
          <w:rFonts w:ascii="Times New Roman" w:hAnsi="Times New Roman" w:cs="Times New Roman"/>
          <w:noProof/>
          <w:sz w:val="20"/>
        </w:rPr>
        <w:t xml:space="preserve">F. Maluta, </w:t>
      </w:r>
      <w:r w:rsidR="003C03C8">
        <w:rPr>
          <w:rFonts w:ascii="Times New Roman" w:hAnsi="Times New Roman" w:cs="Times New Roman"/>
          <w:noProof/>
          <w:sz w:val="20"/>
        </w:rPr>
        <w:t xml:space="preserve">F. Alberini, </w:t>
      </w:r>
      <w:r w:rsidR="003C03C8" w:rsidRPr="00902917">
        <w:rPr>
          <w:rFonts w:ascii="Times New Roman" w:hAnsi="Times New Roman" w:cs="Times New Roman"/>
          <w:noProof/>
          <w:sz w:val="20"/>
        </w:rPr>
        <w:t>G. Montante</w:t>
      </w:r>
      <w:r w:rsidR="003C03C8">
        <w:rPr>
          <w:rFonts w:ascii="Times New Roman" w:hAnsi="Times New Roman" w:cs="Times New Roman"/>
          <w:noProof/>
          <w:sz w:val="20"/>
        </w:rPr>
        <w:t xml:space="preserve">, </w:t>
      </w:r>
      <w:r w:rsidR="003C03C8" w:rsidRPr="00902917">
        <w:rPr>
          <w:rFonts w:ascii="Times New Roman" w:hAnsi="Times New Roman" w:cs="Times New Roman"/>
          <w:noProof/>
          <w:sz w:val="20"/>
        </w:rPr>
        <w:t>A. Paglianti,</w:t>
      </w:r>
      <w:r w:rsidR="003C03C8">
        <w:rPr>
          <w:rFonts w:ascii="Times New Roman" w:hAnsi="Times New Roman" w:cs="Times New Roman"/>
          <w:noProof/>
          <w:sz w:val="20"/>
        </w:rPr>
        <w:t xml:space="preserve"> </w:t>
      </w:r>
      <w:r w:rsidR="003C03C8" w:rsidRPr="003C03C8">
        <w:rPr>
          <w:rFonts w:ascii="Times New Roman" w:hAnsi="Times New Roman" w:cs="Times New Roman"/>
          <w:noProof/>
          <w:sz w:val="20"/>
          <w:szCs w:val="24"/>
        </w:rPr>
        <w:t>Can. J. Chem. Eng.</w:t>
      </w:r>
      <w:r w:rsidR="003C03C8">
        <w:rPr>
          <w:rFonts w:ascii="Times New Roman" w:hAnsi="Times New Roman" w:cs="Times New Roman"/>
          <w:noProof/>
          <w:sz w:val="20"/>
          <w:szCs w:val="24"/>
        </w:rPr>
        <w:t xml:space="preserve"> (2022)</w:t>
      </w:r>
      <w:r w:rsidR="00F86E54">
        <w:rPr>
          <w:rFonts w:ascii="Times New Roman" w:hAnsi="Times New Roman" w:cs="Times New Roman"/>
          <w:noProof/>
          <w:sz w:val="20"/>
          <w:szCs w:val="24"/>
        </w:rPr>
        <w:t xml:space="preserve"> </w:t>
      </w:r>
      <w:r w:rsidR="00F86E54" w:rsidRPr="00F86E54">
        <w:rPr>
          <w:rFonts w:ascii="Times New Roman" w:hAnsi="Times New Roman" w:cs="Times New Roman"/>
          <w:i/>
          <w:iCs/>
          <w:noProof/>
          <w:sz w:val="20"/>
          <w:szCs w:val="24"/>
        </w:rPr>
        <w:t>in press</w:t>
      </w:r>
      <w:r w:rsidR="00F86E54">
        <w:rPr>
          <w:rFonts w:ascii="Times New Roman" w:hAnsi="Times New Roman" w:cs="Times New Roman"/>
          <w:noProof/>
          <w:sz w:val="20"/>
          <w:szCs w:val="24"/>
        </w:rPr>
        <w:t>.</w:t>
      </w:r>
      <w:bookmarkStart w:id="0" w:name="_GoBack"/>
      <w:bookmarkEnd w:id="0"/>
    </w:p>
    <w:sectPr w:rsidR="003C03C8" w:rsidRPr="00095B90"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D9434" w14:textId="77777777" w:rsidR="00034956" w:rsidRDefault="00034956" w:rsidP="001D0E0C">
      <w:pPr>
        <w:spacing w:after="0" w:line="240" w:lineRule="auto"/>
      </w:pPr>
      <w:r>
        <w:separator/>
      </w:r>
    </w:p>
  </w:endnote>
  <w:endnote w:type="continuationSeparator" w:id="0">
    <w:p w14:paraId="6FC7EA44" w14:textId="77777777" w:rsidR="00034956" w:rsidRDefault="00034956"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6BBE3" w14:textId="77777777" w:rsidR="00034956" w:rsidRDefault="00034956" w:rsidP="001D0E0C">
      <w:pPr>
        <w:spacing w:after="0" w:line="240" w:lineRule="auto"/>
      </w:pPr>
      <w:r>
        <w:separator/>
      </w:r>
    </w:p>
  </w:footnote>
  <w:footnote w:type="continuationSeparator" w:id="0">
    <w:p w14:paraId="499DBBAC" w14:textId="77777777" w:rsidR="00034956" w:rsidRDefault="00034956"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eastAsia="it-IT"/>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eastAsia="it-IT"/>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A3"/>
    <w:rsid w:val="0000676E"/>
    <w:rsid w:val="00034956"/>
    <w:rsid w:val="00036AB2"/>
    <w:rsid w:val="0004183C"/>
    <w:rsid w:val="000517B4"/>
    <w:rsid w:val="00053B08"/>
    <w:rsid w:val="00054D53"/>
    <w:rsid w:val="00095B90"/>
    <w:rsid w:val="000C3ECC"/>
    <w:rsid w:val="000D0825"/>
    <w:rsid w:val="0018667F"/>
    <w:rsid w:val="00187FD0"/>
    <w:rsid w:val="001B060D"/>
    <w:rsid w:val="001D0E0C"/>
    <w:rsid w:val="00244585"/>
    <w:rsid w:val="002A5B75"/>
    <w:rsid w:val="00324FDF"/>
    <w:rsid w:val="00344082"/>
    <w:rsid w:val="003B40F7"/>
    <w:rsid w:val="003C03C8"/>
    <w:rsid w:val="003F160A"/>
    <w:rsid w:val="00402674"/>
    <w:rsid w:val="004532E8"/>
    <w:rsid w:val="00465B95"/>
    <w:rsid w:val="004C56B4"/>
    <w:rsid w:val="00546946"/>
    <w:rsid w:val="005913D5"/>
    <w:rsid w:val="005A0E0D"/>
    <w:rsid w:val="005A5644"/>
    <w:rsid w:val="005B5FA8"/>
    <w:rsid w:val="005B71B2"/>
    <w:rsid w:val="005C2A12"/>
    <w:rsid w:val="00607643"/>
    <w:rsid w:val="0062181C"/>
    <w:rsid w:val="006647FA"/>
    <w:rsid w:val="006955CD"/>
    <w:rsid w:val="00697CD6"/>
    <w:rsid w:val="006B2B57"/>
    <w:rsid w:val="006D6678"/>
    <w:rsid w:val="00733770"/>
    <w:rsid w:val="0074506B"/>
    <w:rsid w:val="0079185C"/>
    <w:rsid w:val="007B1BFE"/>
    <w:rsid w:val="007D07CA"/>
    <w:rsid w:val="008871B1"/>
    <w:rsid w:val="008D6E6F"/>
    <w:rsid w:val="008F72F0"/>
    <w:rsid w:val="00902917"/>
    <w:rsid w:val="009338F6"/>
    <w:rsid w:val="009F1435"/>
    <w:rsid w:val="00A2426A"/>
    <w:rsid w:val="00A93C1B"/>
    <w:rsid w:val="00AB1801"/>
    <w:rsid w:val="00B43AD0"/>
    <w:rsid w:val="00BB61E0"/>
    <w:rsid w:val="00C15D2B"/>
    <w:rsid w:val="00C3221D"/>
    <w:rsid w:val="00C32958"/>
    <w:rsid w:val="00C40840"/>
    <w:rsid w:val="00C63A6E"/>
    <w:rsid w:val="00D03DB3"/>
    <w:rsid w:val="00D322F1"/>
    <w:rsid w:val="00D412A9"/>
    <w:rsid w:val="00D92712"/>
    <w:rsid w:val="00D960D6"/>
    <w:rsid w:val="00DA07E4"/>
    <w:rsid w:val="00DA51A3"/>
    <w:rsid w:val="00DD2D8C"/>
    <w:rsid w:val="00DE1B03"/>
    <w:rsid w:val="00E47747"/>
    <w:rsid w:val="00E94D43"/>
    <w:rsid w:val="00F24290"/>
    <w:rsid w:val="00F86E54"/>
    <w:rsid w:val="00F92674"/>
    <w:rsid w:val="00FA6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table" w:styleId="Tabellasemplice4">
    <w:name w:val="Plain Table 4"/>
    <w:basedOn w:val="Tabellanormale"/>
    <w:uiPriority w:val="44"/>
    <w:rsid w:val="0074506B"/>
    <w:pPr>
      <w:spacing w:after="0" w:line="240" w:lineRule="auto"/>
    </w:pPr>
    <w:rPr>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0C1A-4AB1-430E-9A63-1848D1DE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6200</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Giuseppina</cp:lastModifiedBy>
  <cp:revision>4</cp:revision>
  <cp:lastPrinted>2022-01-31T11:56:00Z</cp:lastPrinted>
  <dcterms:created xsi:type="dcterms:W3CDTF">2022-03-15T21:06:00Z</dcterms:created>
  <dcterms:modified xsi:type="dcterms:W3CDTF">2022-03-15T21:24:00Z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f272ba65-6ef8-33e9-b1fe-20f32f8c55d7</vt:lpwstr>
  </property>
  <property fmtid="{D5CDD505-2E9C-101B-9397-08002B2CF9AE}" pid="4" name="Mendeley Citation Style_1">
    <vt:lpwstr>http://www.zotero.org/styles/biochemical-engineering-journal</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http://www.zotero.org/styles/biochemical-engineering-journal</vt:lpwstr>
  </property>
  <property fmtid="{D5CDD505-2E9C-101B-9397-08002B2CF9AE}" pid="12" name="Mendeley Recent Style Name 3_1">
    <vt:lpwstr>Biochemical Engineering Journal</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http://www.zotero.org/styles/elsevier-harvard</vt:lpwstr>
  </property>
  <property fmtid="{D5CDD505-2E9C-101B-9397-08002B2CF9AE}" pid="16" name="Mendeley Recent Style Name 5_1">
    <vt:lpwstr>Elsevier - Harvard (with titles)</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http://www.zotero.org/styles/leidraad-voor-juridische-auteurs</vt:lpwstr>
  </property>
  <property fmtid="{D5CDD505-2E9C-101B-9397-08002B2CF9AE}" pid="20" name="Mendeley Recent Style Name 7_1">
    <vt:lpwstr>Leidraad voor juridische auteurs (Dutch)</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http://www.zotero.org/styles/swedish-legal</vt:lpwstr>
  </property>
  <property fmtid="{D5CDD505-2E9C-101B-9397-08002B2CF9AE}" pid="24" name="Mendeley Recent Style Name 9_1">
    <vt:lpwstr>Swedish Legal (Swedish)</vt:lpwstr>
  </property>
</Properties>
</file>