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 xml:space="preserve">Jiří Jaromír </w:t>
            </w:r>
            <w:proofErr w:type="spellStart"/>
            <w:r w:rsidRPr="00293D18">
              <w:rPr>
                <w:rFonts w:ascii="Tahoma" w:hAnsi="Tahoma" w:cs="Tahoma"/>
                <w:sz w:val="14"/>
                <w:szCs w:val="14"/>
                <w:shd w:val="clear" w:color="auto" w:fill="FFFFFF"/>
              </w:rPr>
              <w:t>Klemeš</w:t>
            </w:r>
            <w:proofErr w:type="spellEnd"/>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10701E2" w14:textId="349A837B" w:rsidR="008805A3" w:rsidRDefault="008805A3" w:rsidP="008805A3">
      <w:pPr>
        <w:pStyle w:val="CETTitle"/>
      </w:pPr>
      <w:r w:rsidRPr="008805A3">
        <w:t xml:space="preserve">Inherent Safety Development </w:t>
      </w:r>
      <w:r w:rsidR="00640B76">
        <w:t>A</w:t>
      </w:r>
      <w:r w:rsidRPr="008805A3">
        <w:t xml:space="preserve">pplied to </w:t>
      </w:r>
      <w:r w:rsidR="00640B76">
        <w:t xml:space="preserve">Green Processes </w:t>
      </w:r>
      <w:r w:rsidR="006863C1">
        <w:t xml:space="preserve">and Energy </w:t>
      </w:r>
      <w:r w:rsidR="00640B76">
        <w:t>Transition</w:t>
      </w:r>
    </w:p>
    <w:p w14:paraId="0488FED2" w14:textId="0938BF13" w:rsidR="00B57E6F" w:rsidRPr="008805A3" w:rsidRDefault="008805A3" w:rsidP="008805A3">
      <w:pPr>
        <w:pStyle w:val="CETAuthors"/>
        <w:rPr>
          <w:vertAlign w:val="superscript"/>
          <w:lang w:val="it-IT"/>
        </w:rPr>
      </w:pPr>
      <w:r w:rsidRPr="008805A3">
        <w:rPr>
          <w:lang w:val="it-IT"/>
        </w:rPr>
        <w:t>Maria Bolla</w:t>
      </w:r>
      <w:r w:rsidRPr="008805A3">
        <w:rPr>
          <w:vertAlign w:val="superscript"/>
          <w:lang w:val="it-IT"/>
        </w:rPr>
        <w:t>*</w:t>
      </w:r>
      <w:r w:rsidR="00B57E6F" w:rsidRPr="008805A3">
        <w:rPr>
          <w:lang w:val="it-IT"/>
        </w:rPr>
        <w:t xml:space="preserve">, </w:t>
      </w:r>
      <w:r w:rsidRPr="008805A3">
        <w:rPr>
          <w:lang w:val="it-IT"/>
        </w:rPr>
        <w:t>Margherita Pettinato</w:t>
      </w:r>
      <w:r w:rsidR="00B57E6F" w:rsidRPr="008805A3">
        <w:rPr>
          <w:lang w:val="it-IT"/>
        </w:rPr>
        <w:t xml:space="preserve">, </w:t>
      </w:r>
      <w:r w:rsidRPr="008805A3">
        <w:rPr>
          <w:lang w:val="it-IT"/>
        </w:rPr>
        <w:t>Bruno Fabiano</w:t>
      </w:r>
    </w:p>
    <w:p w14:paraId="73F1267A" w14:textId="7E4E9ED2" w:rsidR="00B57E6F" w:rsidRDefault="008805A3" w:rsidP="008805A3">
      <w:pPr>
        <w:pStyle w:val="CETAddress"/>
        <w:rPr>
          <w:vertAlign w:val="superscript"/>
        </w:rPr>
      </w:pPr>
      <w:r w:rsidRPr="008805A3">
        <w:t>Department of Civil Chemical and Environmental Engineering University of Genoa, via Opera Pia 15, 16145, Genoa, Italy.</w:t>
      </w:r>
    </w:p>
    <w:p w14:paraId="058870D5" w14:textId="33C16443" w:rsidR="008805A3" w:rsidRDefault="00E73145" w:rsidP="008805A3">
      <w:pPr>
        <w:pStyle w:val="CETAddress"/>
      </w:pPr>
      <w:r w:rsidRPr="00B44D1D">
        <w:t>*maria.bolla01@edu.unige.it</w:t>
      </w:r>
    </w:p>
    <w:p w14:paraId="2B8793E3" w14:textId="77777777" w:rsidR="00E73145" w:rsidRPr="008805A3" w:rsidRDefault="00E73145" w:rsidP="008805A3">
      <w:pPr>
        <w:pStyle w:val="CETAddress"/>
      </w:pPr>
    </w:p>
    <w:p w14:paraId="734FEEBD" w14:textId="19DB4031" w:rsidR="008805A3" w:rsidRDefault="008805A3" w:rsidP="008805A3">
      <w:pPr>
        <w:rPr>
          <w:rFonts w:asciiTheme="minorHAnsi" w:hAnsiTheme="minorHAnsi"/>
          <w:sz w:val="22"/>
        </w:rPr>
      </w:pPr>
      <w:r w:rsidRPr="00DA4872">
        <w:t>Agri-food wastes are annually generated in huge amounts along the whole supply chain</w:t>
      </w:r>
      <w:r w:rsidR="00430B28">
        <w:t xml:space="preserve"> and </w:t>
      </w:r>
      <w:r w:rsidRPr="00DA4872">
        <w:t>are distinguished for their high moisture content, biological instability</w:t>
      </w:r>
      <w:r w:rsidR="00430B28">
        <w:t>,</w:t>
      </w:r>
      <w:r w:rsidRPr="00DA4872">
        <w:t xml:space="preserve"> organic load</w:t>
      </w:r>
      <w:r w:rsidR="00E73145">
        <w:t>,</w:t>
      </w:r>
      <w:r w:rsidR="00430B28">
        <w:t xml:space="preserve"> and potential </w:t>
      </w:r>
      <w:r w:rsidRPr="00DA4872">
        <w:t xml:space="preserve">environmental </w:t>
      </w:r>
      <w:r w:rsidR="00406D0F">
        <w:t>i</w:t>
      </w:r>
      <w:r w:rsidR="00430B28">
        <w:t>mpact</w:t>
      </w:r>
      <w:r w:rsidR="007E404F">
        <w:t xml:space="preserve">, </w:t>
      </w:r>
      <w:r w:rsidR="00406D0F">
        <w:t>contributing t</w:t>
      </w:r>
      <w:r w:rsidR="00E93B39">
        <w:t xml:space="preserve">o </w:t>
      </w:r>
      <w:r w:rsidR="007E404F">
        <w:t>climate changes.</w:t>
      </w:r>
      <w:r w:rsidR="00857368" w:rsidRPr="00DA4872">
        <w:t xml:space="preserve"> For these reason</w:t>
      </w:r>
      <w:r w:rsidR="007E404F">
        <w:t>s</w:t>
      </w:r>
      <w:r w:rsidR="00857368" w:rsidRPr="00DA4872">
        <w:t xml:space="preserve">, </w:t>
      </w:r>
      <w:r w:rsidR="00426C7B">
        <w:t>agri-</w:t>
      </w:r>
      <w:r w:rsidRPr="00DA4872">
        <w:t xml:space="preserve">food waste reuse and recycle are highlighted by </w:t>
      </w:r>
      <w:r w:rsidR="00B10952">
        <w:t>EU</w:t>
      </w:r>
      <w:r w:rsidRPr="00DA4872">
        <w:t xml:space="preserve"> within a broader biorefinery concept. In this context, spent coffee grounds (SCG</w:t>
      </w:r>
      <w:r w:rsidR="00857368" w:rsidRPr="00DA4872">
        <w:t>s</w:t>
      </w:r>
      <w:r w:rsidRPr="00DA4872">
        <w:t xml:space="preserve">) represent a promising source of high-added value compounds due to their appreciable amounts of </w:t>
      </w:r>
      <w:r w:rsidR="00C14B79">
        <w:t>polyphenols</w:t>
      </w:r>
      <w:r w:rsidRPr="00DA4872">
        <w:t xml:space="preserve">, caffeine, and lipids, which can be </w:t>
      </w:r>
      <w:r w:rsidR="009344E5">
        <w:t>recovered to find applications</w:t>
      </w:r>
      <w:r w:rsidRPr="00DA4872">
        <w:t xml:space="preserve"> in several industrial fields</w:t>
      </w:r>
      <w:r w:rsidR="00524CC4">
        <w:t>.</w:t>
      </w:r>
      <w:r w:rsidR="00EF48AB">
        <w:t xml:space="preserve"> </w:t>
      </w:r>
      <w:r w:rsidR="000E133C">
        <w:t>Nevertheless, the unit operation of s</w:t>
      </w:r>
      <w:r w:rsidRPr="00DA4872">
        <w:t xml:space="preserve">olid-liquid extraction, </w:t>
      </w:r>
      <w:r w:rsidR="006F0AF2">
        <w:t>can be carried out by several alternative methods</w:t>
      </w:r>
      <w:r w:rsidR="006D0942">
        <w:t xml:space="preserve"> and solvents</w:t>
      </w:r>
      <w:r w:rsidR="00B10952">
        <w:t xml:space="preserve"> under different</w:t>
      </w:r>
      <w:r w:rsidR="00ED714A">
        <w:t xml:space="preserve"> operating conditions</w:t>
      </w:r>
      <w:r w:rsidRPr="00DA4872">
        <w:t xml:space="preserve">. </w:t>
      </w:r>
      <w:r w:rsidR="0098054C">
        <w:t>Green extraction processes</w:t>
      </w:r>
      <w:r w:rsidR="003C1553">
        <w:t xml:space="preserve"> can be seen as an alter</w:t>
      </w:r>
      <w:r w:rsidR="000C7BE6">
        <w:t xml:space="preserve">native to conventional solvent extraction, but </w:t>
      </w:r>
      <w:r w:rsidR="007B7499">
        <w:t>may entail</w:t>
      </w:r>
      <w:r w:rsidR="008F5096">
        <w:t xml:space="preserve"> new </w:t>
      </w:r>
      <w:r w:rsidR="00FB3F61">
        <w:t>threats</w:t>
      </w:r>
      <w:r w:rsidR="008F5096">
        <w:t xml:space="preserve"> that require</w:t>
      </w:r>
      <w:r w:rsidR="00EC4BC6">
        <w:t xml:space="preserve"> further investigation, since the equivalence between </w:t>
      </w:r>
      <w:r w:rsidR="00A179DB">
        <w:t>green and safer must not be taken for granted</w:t>
      </w:r>
      <w:r w:rsidR="00DF6E00">
        <w:t>.</w:t>
      </w:r>
      <w:r w:rsidR="008F5096">
        <w:t xml:space="preserve"> </w:t>
      </w:r>
      <w:r w:rsidR="00B10952">
        <w:t>Each</w:t>
      </w:r>
      <w:r w:rsidRPr="00DA4872">
        <w:t xml:space="preserve"> </w:t>
      </w:r>
      <w:r w:rsidR="00ED714A">
        <w:t>option</w:t>
      </w:r>
      <w:r w:rsidRPr="00DA4872">
        <w:t xml:space="preserve"> inevitably comprises several </w:t>
      </w:r>
      <w:r w:rsidR="00FB3F61">
        <w:t>hazards</w:t>
      </w:r>
      <w:r w:rsidRPr="00DA4872">
        <w:t>, including fire and explosio</w:t>
      </w:r>
      <w:r w:rsidR="00DB742A">
        <w:t>n</w:t>
      </w:r>
      <w:r w:rsidRPr="00DA4872">
        <w:t xml:space="preserve"> </w:t>
      </w:r>
      <w:r w:rsidR="00B10952">
        <w:t>to</w:t>
      </w:r>
      <w:r w:rsidRPr="00DA4872">
        <w:t xml:space="preserve"> be “aprioristically” considered at the initial design stages. This work focuses on the implementation of </w:t>
      </w:r>
      <w:r w:rsidR="00857368" w:rsidRPr="00DA4872">
        <w:t xml:space="preserve">specific </w:t>
      </w:r>
      <w:r w:rsidRPr="00DA4872">
        <w:t xml:space="preserve">inherent safety </w:t>
      </w:r>
      <w:r w:rsidR="00DB742A">
        <w:t>indexes</w:t>
      </w:r>
      <w:r w:rsidRPr="00DA4872">
        <w:t xml:space="preserve"> to </w:t>
      </w:r>
      <w:r w:rsidR="00857368" w:rsidRPr="00DA4872">
        <w:t xml:space="preserve">compare </w:t>
      </w:r>
      <w:r w:rsidRPr="00DA4872">
        <w:t>SCG</w:t>
      </w:r>
      <w:r w:rsidR="00857368" w:rsidRPr="00DA4872">
        <w:t>s</w:t>
      </w:r>
      <w:r w:rsidRPr="00DA4872">
        <w:t xml:space="preserve"> treatments</w:t>
      </w:r>
      <w:r w:rsidR="00857368" w:rsidRPr="00DA4872">
        <w:t xml:space="preserve"> alternatives</w:t>
      </w:r>
      <w:r w:rsidRPr="00DA4872">
        <w:t xml:space="preserve"> </w:t>
      </w:r>
      <w:r w:rsidR="001731D2">
        <w:t>for design</w:t>
      </w:r>
      <w:r w:rsidR="00092DB6">
        <w:t>ing</w:t>
      </w:r>
      <w:r w:rsidR="001731D2">
        <w:t xml:space="preserve"> </w:t>
      </w:r>
      <w:r w:rsidR="007A05BC">
        <w:t>intrinsically safer p</w:t>
      </w:r>
      <w:r w:rsidR="00983E21">
        <w:t>lants</w:t>
      </w:r>
      <w:r w:rsidR="00B10952">
        <w:t xml:space="preserve"> and</w:t>
      </w:r>
      <w:r w:rsidR="00D61053">
        <w:t xml:space="preserve"> contribut</w:t>
      </w:r>
      <w:r w:rsidR="00430B28">
        <w:t>ing</w:t>
      </w:r>
      <w:r w:rsidR="00D61053">
        <w:t xml:space="preserve"> to a more aware transition to </w:t>
      </w:r>
      <w:r w:rsidR="00983E21">
        <w:t xml:space="preserve">green processes. </w:t>
      </w:r>
    </w:p>
    <w:p w14:paraId="476B2F2E" w14:textId="77777777" w:rsidR="00600535" w:rsidRPr="00B57B36" w:rsidRDefault="00600535" w:rsidP="00600535">
      <w:pPr>
        <w:pStyle w:val="CETHeading1"/>
        <w:rPr>
          <w:lang w:val="en-GB"/>
        </w:rPr>
      </w:pPr>
      <w:r w:rsidRPr="00B57B36">
        <w:rPr>
          <w:lang w:val="en-GB"/>
        </w:rPr>
        <w:t>Introduction</w:t>
      </w:r>
    </w:p>
    <w:p w14:paraId="1A0C019D" w14:textId="24EE5CB7" w:rsidR="00F952D4" w:rsidRDefault="007D6A35" w:rsidP="00897CDD">
      <w:pPr>
        <w:pStyle w:val="CETBodytext"/>
        <w:rPr>
          <w:lang w:val="en-GB"/>
        </w:rPr>
      </w:pPr>
      <w:r>
        <w:rPr>
          <w:lang w:val="en-GB"/>
        </w:rPr>
        <w:t>D</w:t>
      </w:r>
      <w:r w:rsidR="00E25719">
        <w:rPr>
          <w:lang w:val="en-GB"/>
        </w:rPr>
        <w:t xml:space="preserve">uring the last decade, </w:t>
      </w:r>
      <w:r w:rsidR="004E7929">
        <w:rPr>
          <w:lang w:val="en-GB"/>
        </w:rPr>
        <w:t xml:space="preserve">many </w:t>
      </w:r>
      <w:r w:rsidR="005B1490">
        <w:rPr>
          <w:lang w:val="en-GB"/>
        </w:rPr>
        <w:t xml:space="preserve">efforts </w:t>
      </w:r>
      <w:r w:rsidR="00A70D21">
        <w:rPr>
          <w:lang w:val="en-GB"/>
        </w:rPr>
        <w:t>h</w:t>
      </w:r>
      <w:r w:rsidR="00D65FD2">
        <w:rPr>
          <w:lang w:val="en-GB"/>
        </w:rPr>
        <w:t>a</w:t>
      </w:r>
      <w:r w:rsidR="00A70D21">
        <w:rPr>
          <w:lang w:val="en-GB"/>
        </w:rPr>
        <w:t xml:space="preserve">ve been expended </w:t>
      </w:r>
      <w:r w:rsidR="005B1490">
        <w:rPr>
          <w:lang w:val="en-GB"/>
        </w:rPr>
        <w:t>to counte</w:t>
      </w:r>
      <w:r w:rsidR="004E7929">
        <w:rPr>
          <w:lang w:val="en-GB"/>
        </w:rPr>
        <w:t>ract improper disposal of waste</w:t>
      </w:r>
      <w:r w:rsidR="00D65FD2">
        <w:rPr>
          <w:lang w:val="en-GB"/>
        </w:rPr>
        <w:t>, which is re</w:t>
      </w:r>
      <w:r w:rsidR="0020698E">
        <w:rPr>
          <w:lang w:val="en-GB"/>
        </w:rPr>
        <w:t>lated to remarkable environmental pollution. Thus,</w:t>
      </w:r>
      <w:r w:rsidR="004E7929">
        <w:rPr>
          <w:lang w:val="en-GB"/>
        </w:rPr>
        <w:t xml:space="preserve"> </w:t>
      </w:r>
      <w:r w:rsidR="00E25719">
        <w:rPr>
          <w:lang w:val="en-GB"/>
        </w:rPr>
        <w:t xml:space="preserve">policies and legislations </w:t>
      </w:r>
      <w:r w:rsidR="00CE01C7">
        <w:rPr>
          <w:lang w:val="en-GB"/>
        </w:rPr>
        <w:t xml:space="preserve">have </w:t>
      </w:r>
      <w:r w:rsidR="00E25719">
        <w:rPr>
          <w:lang w:val="en-GB"/>
        </w:rPr>
        <w:t>bec</w:t>
      </w:r>
      <w:r w:rsidR="00CE01C7">
        <w:rPr>
          <w:lang w:val="en-GB"/>
        </w:rPr>
        <w:t>o</w:t>
      </w:r>
      <w:r w:rsidR="00E25719">
        <w:rPr>
          <w:lang w:val="en-GB"/>
        </w:rPr>
        <w:t xml:space="preserve">me </w:t>
      </w:r>
      <w:r w:rsidR="00162A13">
        <w:rPr>
          <w:lang w:val="en-GB"/>
        </w:rPr>
        <w:t>m</w:t>
      </w:r>
      <w:r w:rsidR="00E25719">
        <w:rPr>
          <w:lang w:val="en-GB"/>
        </w:rPr>
        <w:t xml:space="preserve">ore restrictive in terms of </w:t>
      </w:r>
      <w:r w:rsidR="0020698E">
        <w:rPr>
          <w:lang w:val="en-GB"/>
        </w:rPr>
        <w:t xml:space="preserve">their </w:t>
      </w:r>
      <w:r w:rsidR="00E25719">
        <w:rPr>
          <w:lang w:val="en-GB"/>
        </w:rPr>
        <w:t xml:space="preserve">handling and end-of-life </w:t>
      </w:r>
      <w:r>
        <w:rPr>
          <w:lang w:val="en-GB"/>
        </w:rPr>
        <w:t>procedures</w:t>
      </w:r>
      <w:r w:rsidR="0020698E">
        <w:rPr>
          <w:lang w:val="en-GB"/>
        </w:rPr>
        <w:t xml:space="preserve">, including agri-food </w:t>
      </w:r>
      <w:r w:rsidR="0017421A">
        <w:rPr>
          <w:lang w:val="en-GB"/>
        </w:rPr>
        <w:t>by-products</w:t>
      </w:r>
      <w:r w:rsidR="0020698E">
        <w:rPr>
          <w:lang w:val="en-GB"/>
        </w:rPr>
        <w:t xml:space="preserve">. </w:t>
      </w:r>
      <w:r>
        <w:rPr>
          <w:lang w:val="en-GB"/>
        </w:rPr>
        <w:t xml:space="preserve">According to the Food Waste </w:t>
      </w:r>
      <w:r w:rsidRPr="00C14B79">
        <w:rPr>
          <w:lang w:val="en-GB"/>
        </w:rPr>
        <w:t xml:space="preserve">Hierarchy (FWH) framework, </w:t>
      </w:r>
      <w:r w:rsidR="0017421A" w:rsidRPr="00C14B79">
        <w:rPr>
          <w:lang w:val="en-GB"/>
        </w:rPr>
        <w:t xml:space="preserve">the best recommended practice </w:t>
      </w:r>
      <w:r w:rsidR="0017421A">
        <w:rPr>
          <w:lang w:val="en-GB"/>
        </w:rPr>
        <w:t xml:space="preserve">is to prevent </w:t>
      </w:r>
      <w:r w:rsidRPr="00C14B79">
        <w:rPr>
          <w:lang w:val="en-GB"/>
        </w:rPr>
        <w:t xml:space="preserve">waste </w:t>
      </w:r>
      <w:r w:rsidR="0017421A">
        <w:rPr>
          <w:lang w:val="en-GB"/>
        </w:rPr>
        <w:t xml:space="preserve">generation, in favour of </w:t>
      </w:r>
      <w:r w:rsidRPr="00C14B79">
        <w:rPr>
          <w:lang w:val="en-GB"/>
        </w:rPr>
        <w:t>reuse and recycle</w:t>
      </w:r>
      <w:r w:rsidR="0017421A">
        <w:rPr>
          <w:lang w:val="en-GB"/>
        </w:rPr>
        <w:t>, up to</w:t>
      </w:r>
      <w:r w:rsidR="00CB2D10" w:rsidRPr="00C14B79">
        <w:rPr>
          <w:lang w:val="en-GB"/>
        </w:rPr>
        <w:t xml:space="preserve"> the production of energy </w:t>
      </w:r>
      <w:r w:rsidR="00B10952">
        <w:rPr>
          <w:lang w:val="en-GB"/>
        </w:rPr>
        <w:t>in</w:t>
      </w:r>
      <w:r w:rsidR="00CB2D10" w:rsidRPr="00C14B79">
        <w:rPr>
          <w:lang w:val="en-GB"/>
        </w:rPr>
        <w:t xml:space="preserve"> a biorefinery </w:t>
      </w:r>
      <w:r w:rsidR="00B86410">
        <w:rPr>
          <w:lang w:val="en-GB"/>
        </w:rPr>
        <w:t>layout</w:t>
      </w:r>
      <w:r w:rsidR="00B86410" w:rsidRPr="00C14B79">
        <w:rPr>
          <w:lang w:val="en-GB"/>
        </w:rPr>
        <w:t xml:space="preserve"> </w:t>
      </w:r>
      <w:r w:rsidR="00162A13" w:rsidRPr="00C14B79">
        <w:rPr>
          <w:lang w:val="en-GB"/>
        </w:rPr>
        <w:t>(Nayak &amp; Bhushan, 2019)</w:t>
      </w:r>
      <w:r w:rsidR="00092DB6">
        <w:rPr>
          <w:lang w:val="en-GB"/>
        </w:rPr>
        <w:t xml:space="preserve"> and </w:t>
      </w:r>
      <w:r w:rsidR="00B10952">
        <w:rPr>
          <w:lang w:val="en-GB"/>
        </w:rPr>
        <w:t xml:space="preserve">within </w:t>
      </w:r>
      <w:r w:rsidR="00092DB6">
        <w:rPr>
          <w:lang w:val="en-GB"/>
        </w:rPr>
        <w:t>the broader context of energy transition</w:t>
      </w:r>
      <w:r w:rsidR="00CB2D10" w:rsidRPr="00C14B79">
        <w:rPr>
          <w:lang w:val="en-GB"/>
        </w:rPr>
        <w:t>.</w:t>
      </w:r>
      <w:r w:rsidR="00B10952">
        <w:rPr>
          <w:lang w:val="en-GB"/>
        </w:rPr>
        <w:t xml:space="preserve"> </w:t>
      </w:r>
      <w:r w:rsidR="00823733">
        <w:rPr>
          <w:lang w:val="en-GB"/>
        </w:rPr>
        <w:t>Together with climate change, t</w:t>
      </w:r>
      <w:r w:rsidR="00B10952">
        <w:rPr>
          <w:lang w:val="en-GB"/>
        </w:rPr>
        <w:t>he l</w:t>
      </w:r>
      <w:r w:rsidR="00823733">
        <w:rPr>
          <w:lang w:val="en-GB"/>
        </w:rPr>
        <w:t>ast one</w:t>
      </w:r>
      <w:r w:rsidR="00B10952">
        <w:rPr>
          <w:lang w:val="en-GB"/>
        </w:rPr>
        <w:t xml:space="preserve"> </w:t>
      </w:r>
      <w:r w:rsidR="00CC6892">
        <w:rPr>
          <w:lang w:val="en-GB"/>
        </w:rPr>
        <w:t>implies</w:t>
      </w:r>
      <w:r w:rsidR="00B10952">
        <w:rPr>
          <w:lang w:val="en-GB"/>
        </w:rPr>
        <w:t xml:space="preserve"> </w:t>
      </w:r>
      <w:r w:rsidR="00823733">
        <w:rPr>
          <w:lang w:val="en-GB"/>
        </w:rPr>
        <w:t xml:space="preserve">challenges </w:t>
      </w:r>
      <w:r w:rsidR="00CC6892">
        <w:rPr>
          <w:lang w:val="en-GB"/>
        </w:rPr>
        <w:t xml:space="preserve">for </w:t>
      </w:r>
      <w:r w:rsidR="00C87446" w:rsidRPr="00C87446">
        <w:rPr>
          <w:lang w:val="en-GB"/>
        </w:rPr>
        <w:t>new technologies and processes entail</w:t>
      </w:r>
      <w:r w:rsidR="00CC6892">
        <w:rPr>
          <w:lang w:val="en-GB"/>
        </w:rPr>
        <w:t>ing</w:t>
      </w:r>
      <w:r w:rsidR="00C87446" w:rsidRPr="00C87446">
        <w:rPr>
          <w:lang w:val="en-GB"/>
        </w:rPr>
        <w:t xml:space="preserve"> new process and personal hazards</w:t>
      </w:r>
      <w:r w:rsidR="00CC6892">
        <w:rPr>
          <w:lang w:val="en-GB"/>
        </w:rPr>
        <w:t>, with</w:t>
      </w:r>
      <w:r w:rsidR="00C87446" w:rsidRPr="00C87446">
        <w:rPr>
          <w:lang w:val="en-GB"/>
        </w:rPr>
        <w:t xml:space="preserve"> much effort </w:t>
      </w:r>
      <w:r w:rsidR="00CC6892">
        <w:rPr>
          <w:lang w:val="en-GB"/>
        </w:rPr>
        <w:t>spent</w:t>
      </w:r>
      <w:r w:rsidR="00C87446" w:rsidRPr="00C87446">
        <w:rPr>
          <w:lang w:val="en-GB"/>
        </w:rPr>
        <w:t xml:space="preserve"> into renewal but </w:t>
      </w:r>
      <w:r w:rsidR="00CC6892">
        <w:rPr>
          <w:lang w:val="en-GB"/>
        </w:rPr>
        <w:t xml:space="preserve">limited </w:t>
      </w:r>
      <w:r w:rsidR="00C87446" w:rsidRPr="00C87446">
        <w:rPr>
          <w:lang w:val="en-GB"/>
        </w:rPr>
        <w:t xml:space="preserve">safety analyses </w:t>
      </w:r>
      <w:r w:rsidR="00823733">
        <w:rPr>
          <w:lang w:val="en-GB"/>
        </w:rPr>
        <w:t>(Pasman et al., 2023)</w:t>
      </w:r>
      <w:r w:rsidR="00B10952">
        <w:rPr>
          <w:lang w:val="en-GB"/>
        </w:rPr>
        <w:t>.</w:t>
      </w:r>
      <w:r w:rsidR="00CB2D10" w:rsidRPr="00C14B79">
        <w:rPr>
          <w:lang w:val="en-GB"/>
        </w:rPr>
        <w:t xml:space="preserve"> </w:t>
      </w:r>
      <w:r w:rsidR="00630E6C">
        <w:rPr>
          <w:lang w:val="en-GB"/>
        </w:rPr>
        <w:t>Within</w:t>
      </w:r>
      <w:r w:rsidR="00630E6C" w:rsidRPr="00C14B79">
        <w:rPr>
          <w:lang w:val="en-GB"/>
        </w:rPr>
        <w:t xml:space="preserve"> </w:t>
      </w:r>
      <w:r w:rsidR="00162A13" w:rsidRPr="00C14B79">
        <w:rPr>
          <w:lang w:val="en-GB"/>
        </w:rPr>
        <w:t xml:space="preserve">this </w:t>
      </w:r>
      <w:r w:rsidR="00CC6892">
        <w:rPr>
          <w:lang w:val="en-GB"/>
        </w:rPr>
        <w:t xml:space="preserve">broad </w:t>
      </w:r>
      <w:r w:rsidR="00162A13" w:rsidRPr="00C14B79">
        <w:rPr>
          <w:lang w:val="en-GB"/>
        </w:rPr>
        <w:t>context, spent coffee grounds (SCG</w:t>
      </w:r>
      <w:r w:rsidR="003B5968" w:rsidRPr="00C14B79">
        <w:rPr>
          <w:lang w:val="en-GB"/>
        </w:rPr>
        <w:t>s</w:t>
      </w:r>
      <w:r w:rsidR="00162A13" w:rsidRPr="00C14B79">
        <w:rPr>
          <w:lang w:val="en-GB"/>
        </w:rPr>
        <w:t xml:space="preserve">) </w:t>
      </w:r>
      <w:r w:rsidR="008904E9" w:rsidRPr="00C14B79">
        <w:rPr>
          <w:lang w:val="en-GB"/>
        </w:rPr>
        <w:t xml:space="preserve">are </w:t>
      </w:r>
      <w:r w:rsidR="00D82270">
        <w:rPr>
          <w:lang w:val="en-GB"/>
        </w:rPr>
        <w:t xml:space="preserve">a potential </w:t>
      </w:r>
      <w:r w:rsidR="00F6162C">
        <w:rPr>
          <w:lang w:val="en-GB"/>
        </w:rPr>
        <w:t>source of chemical</w:t>
      </w:r>
      <w:r w:rsidR="00D82270">
        <w:rPr>
          <w:lang w:val="en-GB"/>
        </w:rPr>
        <w:t>s</w:t>
      </w:r>
      <w:r w:rsidR="00F6162C">
        <w:rPr>
          <w:lang w:val="en-GB"/>
        </w:rPr>
        <w:t xml:space="preserve"> and energy</w:t>
      </w:r>
      <w:r w:rsidR="00D82270">
        <w:rPr>
          <w:lang w:val="en-GB"/>
        </w:rPr>
        <w:t>, but</w:t>
      </w:r>
      <w:r w:rsidR="00F6162C">
        <w:rPr>
          <w:lang w:val="en-GB"/>
        </w:rPr>
        <w:t xml:space="preserve"> </w:t>
      </w:r>
      <w:r w:rsidR="008904E9" w:rsidRPr="00C14B79">
        <w:rPr>
          <w:lang w:val="en-GB"/>
        </w:rPr>
        <w:t xml:space="preserve">commonly disposed in landfill as solid wastes, incinerated, or used as fertilizers. Due to their </w:t>
      </w:r>
      <w:r w:rsidR="00D82270">
        <w:rPr>
          <w:lang w:val="en-GB"/>
        </w:rPr>
        <w:t>large</w:t>
      </w:r>
      <w:r w:rsidR="00D82270" w:rsidRPr="00C14B79">
        <w:rPr>
          <w:lang w:val="en-GB"/>
        </w:rPr>
        <w:t xml:space="preserve"> </w:t>
      </w:r>
      <w:r w:rsidR="008904E9" w:rsidRPr="00C14B79">
        <w:rPr>
          <w:lang w:val="en-GB"/>
        </w:rPr>
        <w:t xml:space="preserve">amount of </w:t>
      </w:r>
      <w:r w:rsidR="00CB3B73" w:rsidRPr="00C14B79">
        <w:rPr>
          <w:lang w:val="en-GB"/>
        </w:rPr>
        <w:t>compounds</w:t>
      </w:r>
      <w:r w:rsidR="00441CF9">
        <w:rPr>
          <w:lang w:val="en-GB"/>
        </w:rPr>
        <w:t xml:space="preserve"> they still contain</w:t>
      </w:r>
      <w:r w:rsidR="00FF44BB" w:rsidRPr="00C14B79">
        <w:rPr>
          <w:lang w:val="en-GB"/>
        </w:rPr>
        <w:t>,</w:t>
      </w:r>
      <w:r w:rsidR="008904E9" w:rsidRPr="00C14B79">
        <w:rPr>
          <w:lang w:val="en-GB"/>
        </w:rPr>
        <w:t xml:space="preserve"> such as caffeine, tannins, and polyphenols, their disposal can </w:t>
      </w:r>
      <w:r w:rsidR="00441CF9">
        <w:rPr>
          <w:lang w:val="en-GB"/>
        </w:rPr>
        <w:t>exert</w:t>
      </w:r>
      <w:r w:rsidR="00441CF9" w:rsidRPr="00C14B79">
        <w:rPr>
          <w:lang w:val="en-GB"/>
        </w:rPr>
        <w:t xml:space="preserve"> </w:t>
      </w:r>
      <w:r w:rsidR="008904E9" w:rsidRPr="00C14B79">
        <w:rPr>
          <w:lang w:val="en-GB"/>
        </w:rPr>
        <w:t xml:space="preserve">a </w:t>
      </w:r>
      <w:r w:rsidR="00E93492">
        <w:rPr>
          <w:lang w:val="en-GB"/>
        </w:rPr>
        <w:t>negat</w:t>
      </w:r>
      <w:r w:rsidR="00181482">
        <w:rPr>
          <w:lang w:val="en-GB"/>
        </w:rPr>
        <w:t>i</w:t>
      </w:r>
      <w:r w:rsidR="00E93492">
        <w:rPr>
          <w:lang w:val="en-GB"/>
        </w:rPr>
        <w:t>ve</w:t>
      </w:r>
      <w:r w:rsidR="00C0438B" w:rsidRPr="00C14B79">
        <w:rPr>
          <w:lang w:val="en-GB"/>
        </w:rPr>
        <w:t xml:space="preserve"> </w:t>
      </w:r>
      <w:r w:rsidR="008904E9" w:rsidRPr="00C14B79">
        <w:rPr>
          <w:lang w:val="en-GB"/>
        </w:rPr>
        <w:t>effect on the environment</w:t>
      </w:r>
      <w:r w:rsidR="00C0438B">
        <w:rPr>
          <w:lang w:val="en-GB"/>
        </w:rPr>
        <w:t>,</w:t>
      </w:r>
      <w:r w:rsidR="008904E9" w:rsidRPr="00C14B79">
        <w:rPr>
          <w:lang w:val="en-GB"/>
        </w:rPr>
        <w:t xml:space="preserve"> </w:t>
      </w:r>
      <w:r w:rsidR="00C0438B">
        <w:rPr>
          <w:lang w:val="en-GB"/>
        </w:rPr>
        <w:t>which</w:t>
      </w:r>
      <w:r w:rsidR="00D274C4" w:rsidRPr="00C14B79">
        <w:rPr>
          <w:lang w:val="en-GB"/>
        </w:rPr>
        <w:t xml:space="preserve"> can be reduced through their conversion into </w:t>
      </w:r>
      <w:r w:rsidR="00FF44BB" w:rsidRPr="00C14B79">
        <w:rPr>
          <w:lang w:val="en-GB"/>
        </w:rPr>
        <w:t>high-added value compounds</w:t>
      </w:r>
      <w:r w:rsidR="00D274C4" w:rsidRPr="00C14B79">
        <w:rPr>
          <w:lang w:val="en-GB"/>
        </w:rPr>
        <w:t xml:space="preserve">. </w:t>
      </w:r>
      <w:r w:rsidR="00E93492">
        <w:rPr>
          <w:lang w:val="en-GB"/>
        </w:rPr>
        <w:t xml:space="preserve">On the other hand, the same compounds </w:t>
      </w:r>
      <w:r w:rsidR="00795E0B">
        <w:rPr>
          <w:lang w:val="en-GB"/>
        </w:rPr>
        <w:t xml:space="preserve">can be recovered and </w:t>
      </w:r>
      <w:r w:rsidR="00795E0B" w:rsidRPr="00C14B79">
        <w:rPr>
          <w:lang w:val="en-GB"/>
        </w:rPr>
        <w:t>employed for different purposes, including the production of active food packaging and biopolymers</w:t>
      </w:r>
      <w:r w:rsidR="00181482">
        <w:rPr>
          <w:lang w:val="en-GB"/>
        </w:rPr>
        <w:t xml:space="preserve"> (Pettinato, 2021)</w:t>
      </w:r>
      <w:r w:rsidR="00795E0B" w:rsidRPr="00C14B79">
        <w:rPr>
          <w:lang w:val="en-GB"/>
        </w:rPr>
        <w:t xml:space="preserve">. </w:t>
      </w:r>
      <w:r w:rsidR="00D43B65" w:rsidRPr="00C14B79">
        <w:rPr>
          <w:lang w:val="en-GB"/>
        </w:rPr>
        <w:t xml:space="preserve">Several </w:t>
      </w:r>
      <w:r w:rsidR="00092DB6">
        <w:rPr>
          <w:lang w:val="en-GB"/>
        </w:rPr>
        <w:t xml:space="preserve">methods </w:t>
      </w:r>
      <w:r w:rsidR="00D43B65" w:rsidRPr="00C14B79">
        <w:rPr>
          <w:lang w:val="en-GB"/>
        </w:rPr>
        <w:t>can be exploited</w:t>
      </w:r>
      <w:r w:rsidR="0080645A">
        <w:rPr>
          <w:lang w:val="en-GB"/>
        </w:rPr>
        <w:t xml:space="preserve"> for this purpose</w:t>
      </w:r>
      <w:r w:rsidR="00D43B65" w:rsidRPr="00C14B79">
        <w:rPr>
          <w:lang w:val="en-GB"/>
        </w:rPr>
        <w:t xml:space="preserve">, including both the traditional </w:t>
      </w:r>
      <w:r w:rsidR="006A665A" w:rsidRPr="00C14B79">
        <w:rPr>
          <w:lang w:val="en-GB"/>
        </w:rPr>
        <w:t xml:space="preserve">solid-liquid extraction </w:t>
      </w:r>
      <w:r w:rsidR="000531B6" w:rsidRPr="00C14B79">
        <w:rPr>
          <w:lang w:val="en-GB"/>
        </w:rPr>
        <w:t xml:space="preserve">(SLE) </w:t>
      </w:r>
      <w:r w:rsidR="00D43B65" w:rsidRPr="00C14B79">
        <w:rPr>
          <w:lang w:val="en-GB"/>
        </w:rPr>
        <w:t xml:space="preserve">and </w:t>
      </w:r>
      <w:r w:rsidR="00A737A9" w:rsidRPr="00C14B79">
        <w:rPr>
          <w:lang w:val="en-GB"/>
        </w:rPr>
        <w:t xml:space="preserve">the </w:t>
      </w:r>
      <w:r w:rsidR="00D43B65" w:rsidRPr="00C14B79">
        <w:rPr>
          <w:lang w:val="en-GB"/>
        </w:rPr>
        <w:t xml:space="preserve">non-conventional </w:t>
      </w:r>
      <w:r w:rsidR="00BB07E6">
        <w:rPr>
          <w:lang w:val="en-GB"/>
        </w:rPr>
        <w:t>techniques</w:t>
      </w:r>
      <w:r w:rsidR="00081F18">
        <w:rPr>
          <w:lang w:val="en-GB"/>
        </w:rPr>
        <w:t xml:space="preserve">, </w:t>
      </w:r>
      <w:r w:rsidR="00173059">
        <w:rPr>
          <w:lang w:val="en-GB"/>
        </w:rPr>
        <w:t xml:space="preserve">the last </w:t>
      </w:r>
      <w:r w:rsidR="000971AA">
        <w:rPr>
          <w:lang w:val="en-GB"/>
        </w:rPr>
        <w:t>providing higher extraction yields with</w:t>
      </w:r>
      <w:r w:rsidR="00081F18">
        <w:rPr>
          <w:lang w:val="en-GB"/>
        </w:rPr>
        <w:t xml:space="preserve"> lower energy demand</w:t>
      </w:r>
      <w:r w:rsidR="00D43B65" w:rsidRPr="00C14B79">
        <w:rPr>
          <w:lang w:val="en-GB"/>
        </w:rPr>
        <w:t>,</w:t>
      </w:r>
      <w:r w:rsidR="00081F18">
        <w:rPr>
          <w:lang w:val="en-GB"/>
        </w:rPr>
        <w:t xml:space="preserve"> </w:t>
      </w:r>
      <w:r w:rsidR="00173059">
        <w:rPr>
          <w:lang w:val="en-GB"/>
        </w:rPr>
        <w:t>reduced volumes of equipment</w:t>
      </w:r>
      <w:r w:rsidR="000971AA">
        <w:rPr>
          <w:lang w:val="en-GB"/>
        </w:rPr>
        <w:t xml:space="preserve">, </w:t>
      </w:r>
      <w:r w:rsidR="00173059">
        <w:rPr>
          <w:lang w:val="en-GB"/>
        </w:rPr>
        <w:t xml:space="preserve">and </w:t>
      </w:r>
      <w:r w:rsidR="00CB04CE">
        <w:rPr>
          <w:lang w:val="en-GB"/>
        </w:rPr>
        <w:t>higher extract</w:t>
      </w:r>
      <w:r w:rsidR="000971AA">
        <w:rPr>
          <w:lang w:val="en-GB"/>
        </w:rPr>
        <w:t xml:space="preserve"> </w:t>
      </w:r>
      <w:r w:rsidR="00CB04CE">
        <w:rPr>
          <w:lang w:val="en-GB"/>
        </w:rPr>
        <w:t>quality</w:t>
      </w:r>
      <w:r w:rsidR="00F44487">
        <w:rPr>
          <w:lang w:val="en-GB"/>
        </w:rPr>
        <w:t>, like</w:t>
      </w:r>
      <w:r w:rsidR="00D43B65" w:rsidRPr="00C14B79">
        <w:rPr>
          <w:lang w:val="en-GB"/>
        </w:rPr>
        <w:t xml:space="preserve"> high pressure and temperature extraction</w:t>
      </w:r>
      <w:r w:rsidR="001A3C8A" w:rsidRPr="00C14B79">
        <w:rPr>
          <w:lang w:val="en-GB"/>
        </w:rPr>
        <w:t xml:space="preserve"> (HPTE)</w:t>
      </w:r>
      <w:r w:rsidR="00D43B65" w:rsidRPr="00C14B79">
        <w:rPr>
          <w:lang w:val="en-GB"/>
        </w:rPr>
        <w:t>, microwave-assisted extraction</w:t>
      </w:r>
      <w:r w:rsidR="001A3C8A" w:rsidRPr="00C14B79">
        <w:rPr>
          <w:lang w:val="en-GB"/>
        </w:rPr>
        <w:t xml:space="preserve"> (MAE)</w:t>
      </w:r>
      <w:r w:rsidR="00D43B65" w:rsidRPr="00C14B79">
        <w:rPr>
          <w:lang w:val="en-GB"/>
        </w:rPr>
        <w:t>, and ultrasound-assisted extraction</w:t>
      </w:r>
      <w:r w:rsidR="001A3C8A" w:rsidRPr="00C14B79">
        <w:rPr>
          <w:lang w:val="en-GB"/>
        </w:rPr>
        <w:t xml:space="preserve"> (UAE)</w:t>
      </w:r>
      <w:r w:rsidR="00D43B65" w:rsidRPr="00C14B79">
        <w:rPr>
          <w:lang w:val="en-GB"/>
        </w:rPr>
        <w:t xml:space="preserve">. </w:t>
      </w:r>
      <w:r w:rsidR="00675F4F">
        <w:rPr>
          <w:lang w:val="en-GB"/>
        </w:rPr>
        <w:t>The different p</w:t>
      </w:r>
      <w:r w:rsidR="00F44487" w:rsidRPr="00C14B79">
        <w:rPr>
          <w:lang w:val="en-GB"/>
        </w:rPr>
        <w:t xml:space="preserve">rocess alternatives </w:t>
      </w:r>
      <w:r w:rsidR="00D43B65" w:rsidRPr="00C14B79">
        <w:rPr>
          <w:lang w:val="en-GB"/>
        </w:rPr>
        <w:t>can involve</w:t>
      </w:r>
      <w:r w:rsidR="004F19DF" w:rsidRPr="00C14B79">
        <w:rPr>
          <w:lang w:val="en-GB"/>
        </w:rPr>
        <w:t xml:space="preserve"> the use of organic solvents under mild operating conditions</w:t>
      </w:r>
      <w:r w:rsidR="00430B28">
        <w:rPr>
          <w:lang w:val="en-GB"/>
        </w:rPr>
        <w:t>,</w:t>
      </w:r>
      <w:r w:rsidR="004F19DF" w:rsidRPr="00C14B79">
        <w:rPr>
          <w:lang w:val="en-GB"/>
        </w:rPr>
        <w:t xml:space="preserve"> or</w:t>
      </w:r>
      <w:r w:rsidR="00675F4F">
        <w:rPr>
          <w:lang w:val="en-GB"/>
        </w:rPr>
        <w:t xml:space="preserve"> </w:t>
      </w:r>
      <w:r w:rsidR="001E0D54" w:rsidRPr="00C14B79">
        <w:rPr>
          <w:lang w:val="en-GB"/>
        </w:rPr>
        <w:t>environmental</w:t>
      </w:r>
      <w:r w:rsidR="00675F4F">
        <w:rPr>
          <w:lang w:val="en-GB"/>
        </w:rPr>
        <w:t>-</w:t>
      </w:r>
      <w:r w:rsidR="001E0D54" w:rsidRPr="00C14B79">
        <w:rPr>
          <w:lang w:val="en-GB"/>
        </w:rPr>
        <w:t xml:space="preserve">friendly </w:t>
      </w:r>
      <w:r w:rsidR="00D43B65" w:rsidRPr="00C14B79">
        <w:rPr>
          <w:lang w:val="en-GB"/>
        </w:rPr>
        <w:t>solvents</w:t>
      </w:r>
      <w:r w:rsidR="00060299" w:rsidRPr="00C14B79">
        <w:rPr>
          <w:lang w:val="en-GB"/>
        </w:rPr>
        <w:t>,</w:t>
      </w:r>
      <w:r w:rsidR="0047214E">
        <w:rPr>
          <w:lang w:val="en-GB"/>
        </w:rPr>
        <w:t xml:space="preserve"> </w:t>
      </w:r>
      <w:r w:rsidR="00D43B65" w:rsidRPr="00C14B79">
        <w:rPr>
          <w:lang w:val="en-GB"/>
        </w:rPr>
        <w:t xml:space="preserve">but </w:t>
      </w:r>
      <w:r w:rsidR="00000434" w:rsidRPr="00C14B79">
        <w:rPr>
          <w:lang w:val="en-GB"/>
        </w:rPr>
        <w:t>entailing</w:t>
      </w:r>
      <w:r w:rsidR="00D43B65" w:rsidRPr="00C14B79">
        <w:rPr>
          <w:lang w:val="en-GB"/>
        </w:rPr>
        <w:t xml:space="preserve"> </w:t>
      </w:r>
      <w:r w:rsidR="001E0D54" w:rsidRPr="00C14B79">
        <w:rPr>
          <w:lang w:val="en-GB"/>
        </w:rPr>
        <w:t>different</w:t>
      </w:r>
      <w:r w:rsidR="00D43B65" w:rsidRPr="00C14B79">
        <w:rPr>
          <w:lang w:val="en-GB"/>
        </w:rPr>
        <w:t xml:space="preserve"> hazards due to </w:t>
      </w:r>
      <w:r w:rsidR="001E0D54" w:rsidRPr="00C14B79">
        <w:rPr>
          <w:lang w:val="en-GB"/>
        </w:rPr>
        <w:t>stricter</w:t>
      </w:r>
      <w:r w:rsidR="00D43B65" w:rsidRPr="00C14B79">
        <w:rPr>
          <w:lang w:val="en-GB"/>
        </w:rPr>
        <w:t xml:space="preserve"> </w:t>
      </w:r>
      <w:r w:rsidR="00000434" w:rsidRPr="00C14B79">
        <w:rPr>
          <w:lang w:val="en-GB"/>
        </w:rPr>
        <w:t>operational states</w:t>
      </w:r>
      <w:r w:rsidR="001E0D54" w:rsidRPr="00C14B79">
        <w:rPr>
          <w:lang w:val="en-GB"/>
        </w:rPr>
        <w:t xml:space="preserve"> (</w:t>
      </w:r>
      <w:proofErr w:type="spellStart"/>
      <w:r w:rsidR="00060299" w:rsidRPr="00C14B79">
        <w:rPr>
          <w:lang w:val="en-GB"/>
        </w:rPr>
        <w:t>Frosi</w:t>
      </w:r>
      <w:proofErr w:type="spellEnd"/>
      <w:r w:rsidR="00060299" w:rsidRPr="00C14B79">
        <w:rPr>
          <w:lang w:val="en-GB"/>
        </w:rPr>
        <w:t xml:space="preserve"> et al., 2021</w:t>
      </w:r>
      <w:r w:rsidR="001E0D54" w:rsidRPr="00C14B79">
        <w:rPr>
          <w:lang w:val="en-GB"/>
        </w:rPr>
        <w:t>)</w:t>
      </w:r>
      <w:r w:rsidR="00D43B65" w:rsidRPr="00C14B79">
        <w:rPr>
          <w:lang w:val="en-GB"/>
        </w:rPr>
        <w:t>. E</w:t>
      </w:r>
      <w:r w:rsidR="004F19DF" w:rsidRPr="00C14B79">
        <w:rPr>
          <w:lang w:val="en-GB"/>
        </w:rPr>
        <w:t xml:space="preserve">ach treatment </w:t>
      </w:r>
      <w:r w:rsidR="001E0D54" w:rsidRPr="00C14B79">
        <w:rPr>
          <w:lang w:val="en-GB"/>
        </w:rPr>
        <w:t xml:space="preserve">alternative </w:t>
      </w:r>
      <w:r w:rsidR="004F19DF" w:rsidRPr="00C14B79">
        <w:rPr>
          <w:lang w:val="en-GB"/>
        </w:rPr>
        <w:t>inevitably comprises several hazards, including fire and explosion</w:t>
      </w:r>
      <w:r w:rsidR="00430B28">
        <w:rPr>
          <w:lang w:val="en-GB"/>
        </w:rPr>
        <w:t xml:space="preserve"> (F&amp;E)</w:t>
      </w:r>
      <w:r w:rsidR="00000434" w:rsidRPr="00C14B79">
        <w:rPr>
          <w:lang w:val="en-GB"/>
        </w:rPr>
        <w:t xml:space="preserve">, </w:t>
      </w:r>
      <w:r w:rsidR="004F19DF" w:rsidRPr="00C14B79">
        <w:rPr>
          <w:lang w:val="en-GB"/>
        </w:rPr>
        <w:t xml:space="preserve">that should be </w:t>
      </w:r>
      <w:r w:rsidR="00000434" w:rsidRPr="00C14B79">
        <w:rPr>
          <w:lang w:val="en-GB"/>
        </w:rPr>
        <w:t>taken into account</w:t>
      </w:r>
      <w:r w:rsidR="004F19DF" w:rsidRPr="00C14B79">
        <w:rPr>
          <w:lang w:val="en-GB"/>
        </w:rPr>
        <w:t xml:space="preserve"> at the </w:t>
      </w:r>
      <w:r w:rsidR="00430B28">
        <w:rPr>
          <w:lang w:val="en-GB"/>
        </w:rPr>
        <w:t>process</w:t>
      </w:r>
      <w:r w:rsidR="00430B28" w:rsidRPr="00C14B79">
        <w:rPr>
          <w:lang w:val="en-GB"/>
        </w:rPr>
        <w:t xml:space="preserve"> </w:t>
      </w:r>
      <w:r w:rsidR="004F19DF" w:rsidRPr="00C14B79">
        <w:rPr>
          <w:lang w:val="en-GB"/>
        </w:rPr>
        <w:t>design stage</w:t>
      </w:r>
      <w:r w:rsidR="00430B28">
        <w:rPr>
          <w:lang w:val="en-GB"/>
        </w:rPr>
        <w:t>.</w:t>
      </w:r>
      <w:r w:rsidR="006A665A" w:rsidRPr="00C14B79">
        <w:t xml:space="preserve"> </w:t>
      </w:r>
      <w:r w:rsidR="00DB742A" w:rsidRPr="00C14B79">
        <w:rPr>
          <w:lang w:val="en-GB"/>
        </w:rPr>
        <w:t>A</w:t>
      </w:r>
      <w:r w:rsidR="006A665A" w:rsidRPr="00C14B79">
        <w:rPr>
          <w:lang w:val="en-GB"/>
        </w:rPr>
        <w:t xml:space="preserve"> safe process relies on a four-layer strategy, including procedural, active, passive, and inherently safe design</w:t>
      </w:r>
      <w:r w:rsidR="00897CDD" w:rsidRPr="00C14B79">
        <w:rPr>
          <w:lang w:val="en-GB"/>
        </w:rPr>
        <w:t>.</w:t>
      </w:r>
      <w:r w:rsidR="00171C07" w:rsidRPr="00C14B79">
        <w:rPr>
          <w:lang w:val="en-GB"/>
        </w:rPr>
        <w:t xml:space="preserve"> </w:t>
      </w:r>
      <w:r w:rsidR="00B10952">
        <w:rPr>
          <w:lang w:val="en-GB"/>
        </w:rPr>
        <w:t>The</w:t>
      </w:r>
      <w:r w:rsidR="00897CDD" w:rsidRPr="00C14B79">
        <w:rPr>
          <w:lang w:val="en-GB"/>
        </w:rPr>
        <w:t xml:space="preserve"> minimization of process risk can be attained by modifying and identifying the best materials, operative conditions</w:t>
      </w:r>
      <w:r w:rsidR="006A665A" w:rsidRPr="00C14B79">
        <w:rPr>
          <w:lang w:val="en-GB"/>
        </w:rPr>
        <w:t>,</w:t>
      </w:r>
      <w:r w:rsidR="00897CDD" w:rsidRPr="00C14B79">
        <w:rPr>
          <w:lang w:val="en-GB"/>
        </w:rPr>
        <w:t xml:space="preserve"> and equipment, rather than placing additional </w:t>
      </w:r>
      <w:r w:rsidR="008C3C3E" w:rsidRPr="00C14B79">
        <w:rPr>
          <w:lang w:val="en-GB"/>
        </w:rPr>
        <w:t xml:space="preserve">and expensive </w:t>
      </w:r>
      <w:r w:rsidR="00897CDD" w:rsidRPr="00C14B79">
        <w:rPr>
          <w:lang w:val="en-GB"/>
        </w:rPr>
        <w:t xml:space="preserve">safety measures and devices (Fabiano et al., 2019). Seveso II </w:t>
      </w:r>
      <w:r w:rsidR="00092DB6">
        <w:rPr>
          <w:lang w:val="en-GB"/>
        </w:rPr>
        <w:t xml:space="preserve">and III </w:t>
      </w:r>
      <w:r w:rsidR="003E6735">
        <w:rPr>
          <w:lang w:val="en-GB"/>
        </w:rPr>
        <w:t>directive</w:t>
      </w:r>
      <w:r w:rsidR="00092DB6">
        <w:rPr>
          <w:lang w:val="en-GB"/>
        </w:rPr>
        <w:t>s</w:t>
      </w:r>
      <w:r w:rsidR="003E6735">
        <w:rPr>
          <w:lang w:val="en-GB"/>
        </w:rPr>
        <w:t xml:space="preserve"> </w:t>
      </w:r>
      <w:r w:rsidR="004E7697">
        <w:rPr>
          <w:lang w:val="en-GB"/>
        </w:rPr>
        <w:lastRenderedPageBreak/>
        <w:t>implementation in different Countries (Laurent et al., 2021) explicitly consider</w:t>
      </w:r>
      <w:r w:rsidR="004E7697" w:rsidRPr="00C14B79">
        <w:rPr>
          <w:lang w:val="en-GB"/>
        </w:rPr>
        <w:t xml:space="preserve"> </w:t>
      </w:r>
      <w:r w:rsidR="00D80722">
        <w:rPr>
          <w:lang w:val="en-GB"/>
        </w:rPr>
        <w:t xml:space="preserve">inherent safety </w:t>
      </w:r>
      <w:r w:rsidR="00B10952">
        <w:rPr>
          <w:lang w:val="en-GB"/>
        </w:rPr>
        <w:t xml:space="preserve">(IS) </w:t>
      </w:r>
      <w:r w:rsidR="00D80722">
        <w:rPr>
          <w:lang w:val="en-GB"/>
        </w:rPr>
        <w:t xml:space="preserve">design </w:t>
      </w:r>
      <w:r w:rsidR="00897CDD" w:rsidRPr="00C14B79">
        <w:rPr>
          <w:lang w:val="en-GB"/>
        </w:rPr>
        <w:t xml:space="preserve">as the </w:t>
      </w:r>
      <w:r w:rsidR="00D80722">
        <w:rPr>
          <w:lang w:val="en-GB"/>
        </w:rPr>
        <w:t xml:space="preserve">best </w:t>
      </w:r>
      <w:r w:rsidR="00A40045">
        <w:rPr>
          <w:lang w:val="en-GB"/>
        </w:rPr>
        <w:t>approach</w:t>
      </w:r>
      <w:r w:rsidR="00D80722" w:rsidRPr="00C14B79">
        <w:rPr>
          <w:lang w:val="en-GB"/>
        </w:rPr>
        <w:t xml:space="preserve"> </w:t>
      </w:r>
      <w:r w:rsidR="00897CDD" w:rsidRPr="00C14B79">
        <w:rPr>
          <w:lang w:val="en-GB"/>
        </w:rPr>
        <w:t>to avoid accidents, by stating that “</w:t>
      </w:r>
      <w:r w:rsidR="007F08E3">
        <w:rPr>
          <w:lang w:val="en-GB"/>
        </w:rPr>
        <w:t>h</w:t>
      </w:r>
      <w:r w:rsidR="00897CDD" w:rsidRPr="00C14B79">
        <w:rPr>
          <w:lang w:val="en-GB"/>
        </w:rPr>
        <w:t>azards should be possibly avoided or reduced at source through the application of inherently safe practices”</w:t>
      </w:r>
      <w:r w:rsidR="006A665A" w:rsidRPr="00C14B79">
        <w:rPr>
          <w:lang w:val="en-GB"/>
        </w:rPr>
        <w:t xml:space="preserve"> </w:t>
      </w:r>
      <w:r w:rsidR="00897CDD" w:rsidRPr="00C14B79">
        <w:rPr>
          <w:lang w:val="en-GB"/>
        </w:rPr>
        <w:t xml:space="preserve">(Athar et al., 2019). </w:t>
      </w:r>
      <w:r w:rsidR="00092DB6">
        <w:rPr>
          <w:lang w:val="en-GB"/>
        </w:rPr>
        <w:t>The</w:t>
      </w:r>
      <w:r w:rsidR="008C3C3E" w:rsidRPr="00C14B79">
        <w:rPr>
          <w:lang w:val="en-GB"/>
        </w:rPr>
        <w:t xml:space="preserve"> application </w:t>
      </w:r>
      <w:r w:rsidR="00735E44">
        <w:rPr>
          <w:lang w:val="en-GB"/>
        </w:rPr>
        <w:t xml:space="preserve">in </w:t>
      </w:r>
      <w:r w:rsidR="00092DB6">
        <w:rPr>
          <w:lang w:val="en-GB"/>
        </w:rPr>
        <w:t xml:space="preserve">the </w:t>
      </w:r>
      <w:r w:rsidR="00897CDD" w:rsidRPr="00C14B79">
        <w:rPr>
          <w:lang w:val="en-GB"/>
        </w:rPr>
        <w:t xml:space="preserve">early design stages </w:t>
      </w:r>
      <w:r w:rsidR="00092DB6">
        <w:rPr>
          <w:lang w:val="en-GB"/>
        </w:rPr>
        <w:t>of the guidewords “</w:t>
      </w:r>
      <w:r w:rsidR="00092DB6" w:rsidRPr="00C14B79">
        <w:rPr>
          <w:lang w:val="en-GB"/>
        </w:rPr>
        <w:t>intensification</w:t>
      </w:r>
      <w:r w:rsidR="00092DB6">
        <w:rPr>
          <w:lang w:val="en-GB"/>
        </w:rPr>
        <w:t>”</w:t>
      </w:r>
      <w:r w:rsidR="00092DB6" w:rsidRPr="00C14B79">
        <w:rPr>
          <w:lang w:val="en-GB"/>
        </w:rPr>
        <w:t xml:space="preserve">, </w:t>
      </w:r>
      <w:r w:rsidR="00092DB6">
        <w:rPr>
          <w:lang w:val="en-GB"/>
        </w:rPr>
        <w:t>“</w:t>
      </w:r>
      <w:r w:rsidR="00092DB6" w:rsidRPr="00C14B79">
        <w:rPr>
          <w:lang w:val="en-GB"/>
        </w:rPr>
        <w:t>substitution</w:t>
      </w:r>
      <w:r w:rsidR="00092DB6">
        <w:rPr>
          <w:lang w:val="en-GB"/>
        </w:rPr>
        <w:t>”</w:t>
      </w:r>
      <w:r w:rsidR="00092DB6" w:rsidRPr="00C14B79">
        <w:rPr>
          <w:lang w:val="en-GB"/>
        </w:rPr>
        <w:t xml:space="preserve">, </w:t>
      </w:r>
      <w:r w:rsidR="00092DB6">
        <w:rPr>
          <w:lang w:val="en-GB"/>
        </w:rPr>
        <w:t>“</w:t>
      </w:r>
      <w:r w:rsidR="00092DB6" w:rsidRPr="00C14B79">
        <w:rPr>
          <w:lang w:val="en-GB"/>
        </w:rPr>
        <w:t>attenuatio</w:t>
      </w:r>
      <w:r w:rsidR="00092DB6">
        <w:rPr>
          <w:lang w:val="en-GB"/>
        </w:rPr>
        <w:t>n”</w:t>
      </w:r>
      <w:r w:rsidR="00092DB6" w:rsidRPr="00C14B79">
        <w:rPr>
          <w:lang w:val="en-GB"/>
        </w:rPr>
        <w:t xml:space="preserve">, </w:t>
      </w:r>
      <w:r w:rsidR="00092DB6">
        <w:rPr>
          <w:lang w:val="en-GB"/>
        </w:rPr>
        <w:t>“</w:t>
      </w:r>
      <w:r w:rsidR="00092DB6" w:rsidRPr="00C14B79">
        <w:rPr>
          <w:lang w:val="en-GB"/>
        </w:rPr>
        <w:t>simplification</w:t>
      </w:r>
      <w:r w:rsidR="00092DB6">
        <w:rPr>
          <w:lang w:val="en-GB"/>
        </w:rPr>
        <w:t>”</w:t>
      </w:r>
      <w:r w:rsidR="00092DB6" w:rsidRPr="00C14B79" w:rsidDel="00735E44">
        <w:rPr>
          <w:lang w:val="en-GB"/>
        </w:rPr>
        <w:t xml:space="preserve"> </w:t>
      </w:r>
      <w:r w:rsidR="00897CDD" w:rsidRPr="00C14B79">
        <w:rPr>
          <w:lang w:val="en-GB"/>
        </w:rPr>
        <w:t>offer</w:t>
      </w:r>
      <w:r w:rsidR="00092DB6">
        <w:rPr>
          <w:lang w:val="en-GB"/>
        </w:rPr>
        <w:t>s</w:t>
      </w:r>
      <w:r w:rsidR="00897CDD" w:rsidRPr="00C14B79">
        <w:rPr>
          <w:lang w:val="en-GB"/>
        </w:rPr>
        <w:t xml:space="preserve"> more flexibility, both from a decision making and economic point of view</w:t>
      </w:r>
      <w:r w:rsidR="008C3C3E" w:rsidRPr="00C14B79">
        <w:rPr>
          <w:lang w:val="en-GB"/>
        </w:rPr>
        <w:t xml:space="preserve">, even if </w:t>
      </w:r>
      <w:r w:rsidR="00DF268A">
        <w:rPr>
          <w:lang w:val="en-GB"/>
        </w:rPr>
        <w:t>some difficulties</w:t>
      </w:r>
      <w:r w:rsidR="007F33E5">
        <w:rPr>
          <w:lang w:val="en-GB"/>
        </w:rPr>
        <w:t xml:space="preserve"> arise from </w:t>
      </w:r>
      <w:r w:rsidR="00EE542D">
        <w:rPr>
          <w:lang w:val="en-GB"/>
        </w:rPr>
        <w:t>little</w:t>
      </w:r>
      <w:r w:rsidR="008C3C3E" w:rsidRPr="00C14B79">
        <w:rPr>
          <w:lang w:val="en-GB"/>
        </w:rPr>
        <w:t xml:space="preserve"> information available </w:t>
      </w:r>
      <w:r w:rsidR="00897CDD" w:rsidRPr="00C14B79">
        <w:rPr>
          <w:lang w:val="en-GB"/>
        </w:rPr>
        <w:t>(Park et al., 2020).</w:t>
      </w:r>
      <w:r w:rsidR="001F7942" w:rsidRPr="00C14B79">
        <w:rPr>
          <w:lang w:val="en-GB"/>
        </w:rPr>
        <w:t xml:space="preserve"> </w:t>
      </w:r>
      <w:r w:rsidR="003336B4">
        <w:rPr>
          <w:lang w:val="en-GB"/>
        </w:rPr>
        <w:t>T</w:t>
      </w:r>
      <w:r w:rsidR="001F7942" w:rsidRPr="00C14B79">
        <w:rPr>
          <w:lang w:val="en-GB"/>
        </w:rPr>
        <w:t xml:space="preserve">he advantages and disadvantages of any alternative should be compared for each case, </w:t>
      </w:r>
      <w:r w:rsidR="00D929C2">
        <w:rPr>
          <w:lang w:val="en-GB"/>
        </w:rPr>
        <w:t>as</w:t>
      </w:r>
      <w:r w:rsidR="00D929C2" w:rsidRPr="00C14B79">
        <w:rPr>
          <w:lang w:val="en-GB"/>
        </w:rPr>
        <w:t xml:space="preserve"> </w:t>
      </w:r>
      <w:r w:rsidR="00D929C2">
        <w:rPr>
          <w:lang w:val="en-GB"/>
        </w:rPr>
        <w:t xml:space="preserve">a </w:t>
      </w:r>
      <w:r w:rsidR="001F7942" w:rsidRPr="00C14B79">
        <w:rPr>
          <w:lang w:val="en-GB"/>
        </w:rPr>
        <w:t xml:space="preserve">function of the </w:t>
      </w:r>
      <w:r w:rsidR="00BE118E" w:rsidRPr="00C14B79">
        <w:rPr>
          <w:lang w:val="en-GB"/>
        </w:rPr>
        <w:t xml:space="preserve">involved </w:t>
      </w:r>
      <w:r w:rsidR="001F7942" w:rsidRPr="00C14B79">
        <w:rPr>
          <w:lang w:val="en-GB"/>
        </w:rPr>
        <w:t>process, materials</w:t>
      </w:r>
      <w:r w:rsidR="007D1F14">
        <w:rPr>
          <w:lang w:val="en-GB"/>
        </w:rPr>
        <w:t>,</w:t>
      </w:r>
      <w:r w:rsidR="001F7942" w:rsidRPr="00C14B79">
        <w:rPr>
          <w:lang w:val="en-GB"/>
        </w:rPr>
        <w:t xml:space="preserve"> and equipment by the implementation of new and reproducible </w:t>
      </w:r>
      <w:r w:rsidR="00B10952">
        <w:rPr>
          <w:lang w:val="en-GB"/>
        </w:rPr>
        <w:t>IS</w:t>
      </w:r>
      <w:r w:rsidR="001F7942" w:rsidRPr="00C14B79">
        <w:rPr>
          <w:lang w:val="en-GB"/>
        </w:rPr>
        <w:t xml:space="preserve"> methods (Heikkilä, 1999). </w:t>
      </w:r>
      <w:r w:rsidR="007F08E3">
        <w:rPr>
          <w:lang w:val="en-GB"/>
        </w:rPr>
        <w:t>An</w:t>
      </w:r>
      <w:r w:rsidR="00FB262D" w:rsidRPr="00FB262D">
        <w:rPr>
          <w:lang w:val="en-GB"/>
        </w:rPr>
        <w:t xml:space="preserve"> aprioristic approach </w:t>
      </w:r>
      <w:r w:rsidR="007F08E3">
        <w:rPr>
          <w:lang w:val="en-GB"/>
        </w:rPr>
        <w:t>based on targeted risk indexes (</w:t>
      </w:r>
      <w:r w:rsidR="00CB3B73">
        <w:rPr>
          <w:lang w:val="en-GB"/>
        </w:rPr>
        <w:t>e.g.,</w:t>
      </w:r>
      <w:r w:rsidR="007F08E3">
        <w:rPr>
          <w:lang w:val="en-GB"/>
        </w:rPr>
        <w:t xml:space="preserve"> Dow F&amp;E Indexes) </w:t>
      </w:r>
      <w:r w:rsidR="00FB262D" w:rsidRPr="00FB262D">
        <w:rPr>
          <w:lang w:val="en-GB"/>
        </w:rPr>
        <w:t>allows for a quantitative comparison of different conceptual design solutions that embed the process and risk analysis</w:t>
      </w:r>
      <w:r w:rsidR="00F355E6">
        <w:rPr>
          <w:lang w:val="en-GB"/>
        </w:rPr>
        <w:t xml:space="preserve">, </w:t>
      </w:r>
      <w:r w:rsidR="00F355E6" w:rsidRPr="00F355E6">
        <w:rPr>
          <w:lang w:val="en-GB"/>
        </w:rPr>
        <w:t>including easiness of calculation, ranking capability according to different features of the</w:t>
      </w:r>
      <w:r w:rsidR="00FC3F32">
        <w:rPr>
          <w:lang w:val="en-GB"/>
        </w:rPr>
        <w:t xml:space="preserve"> investigated</w:t>
      </w:r>
      <w:r w:rsidR="00F355E6" w:rsidRPr="00F355E6">
        <w:rPr>
          <w:lang w:val="en-GB"/>
        </w:rPr>
        <w:t xml:space="preserve"> process, and generalizability</w:t>
      </w:r>
      <w:r w:rsidR="00B10952">
        <w:rPr>
          <w:lang w:val="en-GB"/>
        </w:rPr>
        <w:t xml:space="preserve"> (</w:t>
      </w:r>
      <w:r w:rsidR="007F08E3">
        <w:rPr>
          <w:lang w:val="en-GB"/>
        </w:rPr>
        <w:t>Bassani</w:t>
      </w:r>
      <w:r w:rsidR="007F08E3" w:rsidRPr="00C14B79">
        <w:rPr>
          <w:lang w:val="en-GB"/>
        </w:rPr>
        <w:t xml:space="preserve"> </w:t>
      </w:r>
      <w:r w:rsidR="00487698" w:rsidRPr="00C14B79">
        <w:rPr>
          <w:lang w:val="en-GB"/>
        </w:rPr>
        <w:t>et al., 202</w:t>
      </w:r>
      <w:r w:rsidR="007F08E3">
        <w:rPr>
          <w:lang w:val="en-GB"/>
        </w:rPr>
        <w:t>2</w:t>
      </w:r>
      <w:r w:rsidR="00171C07" w:rsidRPr="00C14B79">
        <w:rPr>
          <w:lang w:val="en-GB"/>
        </w:rPr>
        <w:t>).</w:t>
      </w:r>
      <w:r w:rsidR="00EC2BF4" w:rsidRPr="00C14B79">
        <w:rPr>
          <w:lang w:val="en-GB"/>
        </w:rPr>
        <w:t xml:space="preserve"> </w:t>
      </w:r>
      <w:r w:rsidR="007F08E3">
        <w:rPr>
          <w:lang w:val="en-GB"/>
        </w:rPr>
        <w:t>This</w:t>
      </w:r>
      <w:r w:rsidR="002B3975">
        <w:rPr>
          <w:lang w:val="en-GB"/>
        </w:rPr>
        <w:t xml:space="preserve"> preliminary</w:t>
      </w:r>
      <w:r w:rsidR="001F2581" w:rsidRPr="00C14B79">
        <w:rPr>
          <w:lang w:val="en-GB"/>
        </w:rPr>
        <w:t xml:space="preserve"> work focuses on the development of safety </w:t>
      </w:r>
      <w:r w:rsidR="006E254E" w:rsidRPr="00C14B79">
        <w:rPr>
          <w:lang w:val="en-GB"/>
        </w:rPr>
        <w:t>ind</w:t>
      </w:r>
      <w:r w:rsidR="006E254E">
        <w:rPr>
          <w:lang w:val="en-GB"/>
        </w:rPr>
        <w:t>exes</w:t>
      </w:r>
      <w:r w:rsidR="006E254E" w:rsidRPr="00C14B79">
        <w:rPr>
          <w:lang w:val="en-GB"/>
        </w:rPr>
        <w:t xml:space="preserve"> </w:t>
      </w:r>
      <w:r w:rsidR="001F2581" w:rsidRPr="00C14B79">
        <w:rPr>
          <w:lang w:val="en-GB"/>
        </w:rPr>
        <w:t xml:space="preserve">applied to </w:t>
      </w:r>
      <w:r w:rsidR="0008442B">
        <w:rPr>
          <w:lang w:val="en-GB"/>
        </w:rPr>
        <w:t xml:space="preserve">the </w:t>
      </w:r>
      <w:r w:rsidR="007F08E3">
        <w:rPr>
          <w:lang w:val="en-GB"/>
        </w:rPr>
        <w:t xml:space="preserve">design of </w:t>
      </w:r>
      <w:r w:rsidR="001F2581" w:rsidRPr="00C14B79">
        <w:rPr>
          <w:lang w:val="en-GB"/>
        </w:rPr>
        <w:t xml:space="preserve">extraction processes of antioxidant and lipidic compounds from SCGs. </w:t>
      </w:r>
      <w:r w:rsidR="00F952D4" w:rsidRPr="00C14B79">
        <w:rPr>
          <w:lang w:val="en-GB"/>
        </w:rPr>
        <w:t xml:space="preserve">The safest alternatives were individuated </w:t>
      </w:r>
      <w:r w:rsidR="007F08E3">
        <w:rPr>
          <w:lang w:val="en-GB"/>
        </w:rPr>
        <w:t>accounting for</w:t>
      </w:r>
      <w:r w:rsidR="00F952D4" w:rsidRPr="00C14B79">
        <w:rPr>
          <w:lang w:val="en-GB"/>
        </w:rPr>
        <w:t xml:space="preserve"> </w:t>
      </w:r>
      <w:r w:rsidR="00BB0CA1">
        <w:rPr>
          <w:lang w:val="en-GB"/>
        </w:rPr>
        <w:t>chemicals</w:t>
      </w:r>
      <w:r w:rsidR="00F952D4" w:rsidRPr="00C14B79">
        <w:rPr>
          <w:lang w:val="en-GB"/>
        </w:rPr>
        <w:t xml:space="preserve">, operating conditions, and equipment. Special attention was </w:t>
      </w:r>
      <w:r w:rsidR="00B10952">
        <w:rPr>
          <w:lang w:val="en-GB"/>
        </w:rPr>
        <w:t>paid</w:t>
      </w:r>
      <w:r w:rsidR="00B10952" w:rsidRPr="00C14B79">
        <w:rPr>
          <w:lang w:val="en-GB"/>
        </w:rPr>
        <w:t xml:space="preserve"> </w:t>
      </w:r>
      <w:r w:rsidR="00F952D4" w:rsidRPr="00C14B79">
        <w:rPr>
          <w:lang w:val="en-GB"/>
        </w:rPr>
        <w:t xml:space="preserve">to the </w:t>
      </w:r>
      <w:r w:rsidR="00430B28">
        <w:rPr>
          <w:lang w:val="en-GB"/>
        </w:rPr>
        <w:t>F&amp;E</w:t>
      </w:r>
      <w:r w:rsidR="00B10952">
        <w:rPr>
          <w:lang w:val="en-GB"/>
        </w:rPr>
        <w:t xml:space="preserve"> </w:t>
      </w:r>
      <w:r w:rsidR="00F952D4" w:rsidRPr="00C14B79">
        <w:rPr>
          <w:lang w:val="en-GB"/>
        </w:rPr>
        <w:t>hazards of the investigated systems, as well as those associated with the toxicity levels and conditions potentially harmful for human health.</w:t>
      </w:r>
      <w:r w:rsidR="00F952D4">
        <w:rPr>
          <w:lang w:val="en-GB"/>
        </w:rPr>
        <w:t xml:space="preserve"> </w:t>
      </w:r>
    </w:p>
    <w:p w14:paraId="5741900F" w14:textId="743DCEB0" w:rsidR="00453E24" w:rsidRDefault="00DB742A" w:rsidP="00453E24">
      <w:pPr>
        <w:pStyle w:val="CETHeading1"/>
      </w:pPr>
      <w:r>
        <w:t>Theoretical</w:t>
      </w:r>
    </w:p>
    <w:p w14:paraId="207EE4CB" w14:textId="4BE30599" w:rsidR="00EC078F" w:rsidRDefault="00A747FA" w:rsidP="00EC078F">
      <w:pPr>
        <w:pStyle w:val="CETBodytext"/>
        <w:rPr>
          <w:lang w:val="en-GB"/>
        </w:rPr>
      </w:pPr>
      <w:r>
        <w:t xml:space="preserve">In this study, an inherent safety </w:t>
      </w:r>
      <w:r w:rsidR="008A4F0F">
        <w:t xml:space="preserve">(IS) </w:t>
      </w:r>
      <w:r>
        <w:t xml:space="preserve">approach was applied to </w:t>
      </w:r>
      <w:r w:rsidR="00CC6B2E">
        <w:t>the</w:t>
      </w:r>
      <w:r w:rsidR="00896E61">
        <w:t xml:space="preserve"> selection of </w:t>
      </w:r>
      <w:r w:rsidR="0031630E">
        <w:t xml:space="preserve">the </w:t>
      </w:r>
      <w:r w:rsidR="00CC6B2E">
        <w:t xml:space="preserve">extraction </w:t>
      </w:r>
      <w:r w:rsidR="0031630E">
        <w:t>method to be applied fo</w:t>
      </w:r>
      <w:r w:rsidR="00DC1F91">
        <w:t>r</w:t>
      </w:r>
      <w:r w:rsidR="0031630E">
        <w:t xml:space="preserve"> the recovery of</w:t>
      </w:r>
      <w:r w:rsidR="00CC6B2E">
        <w:t xml:space="preserve"> antioxidant compounds and lipids from SCGs.</w:t>
      </w:r>
      <w:r w:rsidR="00D101C4">
        <w:t xml:space="preserve"> </w:t>
      </w:r>
      <w:r w:rsidR="00517338">
        <w:rPr>
          <w:lang w:val="en-GB"/>
        </w:rPr>
        <w:t>The inherent safety of the selected process routes was evaluated by applying the inherent safety index (ISI)</w:t>
      </w:r>
      <w:r w:rsidR="00517338" w:rsidRPr="00A55B86">
        <w:rPr>
          <w:lang w:val="en-GB"/>
        </w:rPr>
        <w:t xml:space="preserve"> </w:t>
      </w:r>
      <w:r w:rsidR="00517338">
        <w:rPr>
          <w:lang w:val="en-GB"/>
        </w:rPr>
        <w:t>methodology (</w:t>
      </w:r>
      <w:r w:rsidR="00517338" w:rsidRPr="009E34EA">
        <w:rPr>
          <w:lang w:val="en-GB"/>
        </w:rPr>
        <w:t>Heikkilä, 1999</w:t>
      </w:r>
      <w:r w:rsidR="00517338">
        <w:rPr>
          <w:lang w:val="en-GB"/>
        </w:rPr>
        <w:t xml:space="preserve">), </w:t>
      </w:r>
      <w:r w:rsidR="00CC6892">
        <w:rPr>
          <w:lang w:val="en-GB"/>
        </w:rPr>
        <w:t xml:space="preserve">ad-hoc </w:t>
      </w:r>
      <w:r w:rsidR="00517338">
        <w:rPr>
          <w:lang w:val="en-GB"/>
        </w:rPr>
        <w:t xml:space="preserve">properly modified and expanded. </w:t>
      </w:r>
      <w:r w:rsidR="00FB688D">
        <w:rPr>
          <w:lang w:val="en-GB"/>
        </w:rPr>
        <w:t>According to</w:t>
      </w:r>
      <w:r w:rsidR="00CC186D">
        <w:rPr>
          <w:lang w:val="en-GB"/>
        </w:rPr>
        <w:t xml:space="preserve"> </w:t>
      </w:r>
      <w:r w:rsidR="00FB688D">
        <w:rPr>
          <w:lang w:val="en-GB"/>
        </w:rPr>
        <w:t>a cautious assumption</w:t>
      </w:r>
      <w:r w:rsidR="00CC186D">
        <w:rPr>
          <w:lang w:val="en-GB"/>
        </w:rPr>
        <w:t>,</w:t>
      </w:r>
      <w:r w:rsidR="00FB688D">
        <w:rPr>
          <w:lang w:val="en-GB"/>
        </w:rPr>
        <w:t xml:space="preserve"> the</w:t>
      </w:r>
      <w:r w:rsidR="003018EE">
        <w:rPr>
          <w:lang w:val="en-GB"/>
        </w:rPr>
        <w:t xml:space="preserve"> index was evaluated in the </w:t>
      </w:r>
      <w:r w:rsidR="00FB688D">
        <w:rPr>
          <w:lang w:val="en-GB"/>
        </w:rPr>
        <w:t>most severe</w:t>
      </w:r>
      <w:r w:rsidR="003018EE">
        <w:rPr>
          <w:lang w:val="en-GB"/>
        </w:rPr>
        <w:t xml:space="preserve"> conditions. </w:t>
      </w:r>
      <w:r w:rsidR="00FB688D">
        <w:rPr>
          <w:lang w:val="en-GB"/>
        </w:rPr>
        <w:t>Ad-</w:t>
      </w:r>
      <w:r w:rsidR="005622DD">
        <w:rPr>
          <w:lang w:val="en-GB"/>
        </w:rPr>
        <w:t xml:space="preserve">hoc indexes </w:t>
      </w:r>
      <w:r w:rsidR="00AB223E">
        <w:rPr>
          <w:lang w:val="en-GB"/>
        </w:rPr>
        <w:t xml:space="preserve">were developed to account </w:t>
      </w:r>
      <w:r w:rsidR="00CC6892">
        <w:rPr>
          <w:lang w:val="en-GB"/>
        </w:rPr>
        <w:t xml:space="preserve">for </w:t>
      </w:r>
      <w:r w:rsidR="00CC186D">
        <w:rPr>
          <w:lang w:val="en-GB"/>
        </w:rPr>
        <w:t xml:space="preserve">the different </w:t>
      </w:r>
      <w:r w:rsidR="00AB223E">
        <w:rPr>
          <w:lang w:val="en-GB"/>
        </w:rPr>
        <w:t xml:space="preserve">hazards </w:t>
      </w:r>
      <w:r w:rsidR="00CC186D">
        <w:rPr>
          <w:lang w:val="en-GB"/>
        </w:rPr>
        <w:t>connected with</w:t>
      </w:r>
      <w:r w:rsidR="00AB223E">
        <w:rPr>
          <w:lang w:val="en-GB"/>
        </w:rPr>
        <w:t xml:space="preserve"> the </w:t>
      </w:r>
      <w:r w:rsidR="00EA25FD">
        <w:rPr>
          <w:lang w:val="en-GB"/>
        </w:rPr>
        <w:t xml:space="preserve">application of SLE, MAE, </w:t>
      </w:r>
      <w:r w:rsidR="00F71ED9">
        <w:rPr>
          <w:lang w:val="en-GB"/>
        </w:rPr>
        <w:t xml:space="preserve">UAE, and HPTE. </w:t>
      </w:r>
      <w:r w:rsidR="00EE4CE9">
        <w:t>D</w:t>
      </w:r>
      <w:r w:rsidR="00CF42B3">
        <w:t>ata collected by p</w:t>
      </w:r>
      <w:r w:rsidR="00C06D6D">
        <w:t xml:space="preserve">reliminary experimental </w:t>
      </w:r>
      <w:r w:rsidR="00CC186D">
        <w:t xml:space="preserve">runs </w:t>
      </w:r>
      <w:r w:rsidR="00421A5C">
        <w:t>were used to establish the technical feasibility and to compare</w:t>
      </w:r>
      <w:r w:rsidR="00EC72E5">
        <w:t xml:space="preserve"> </w:t>
      </w:r>
      <w:r w:rsidR="00C41C24">
        <w:t>chemical and process hazards.</w:t>
      </w:r>
      <w:r w:rsidR="001B6944">
        <w:t xml:space="preserve"> </w:t>
      </w:r>
      <w:r w:rsidR="00ED0C91">
        <w:rPr>
          <w:lang w:val="en-GB"/>
        </w:rPr>
        <w:t>The overall</w:t>
      </w:r>
      <w:r w:rsidR="00EC078F">
        <w:rPr>
          <w:lang w:val="en-GB"/>
        </w:rPr>
        <w:t xml:space="preserve"> inherent safety index (I</w:t>
      </w:r>
      <w:r w:rsidR="00EC078F" w:rsidRPr="00A55B86">
        <w:rPr>
          <w:vertAlign w:val="subscript"/>
          <w:lang w:val="en-GB"/>
        </w:rPr>
        <w:t>TI</w:t>
      </w:r>
      <w:r w:rsidR="00EC078F">
        <w:rPr>
          <w:lang w:val="en-GB"/>
        </w:rPr>
        <w:t xml:space="preserve">) was evaluated </w:t>
      </w:r>
      <w:r w:rsidR="00F340E5">
        <w:rPr>
          <w:lang w:val="en-GB"/>
        </w:rPr>
        <w:t>basing on</w:t>
      </w:r>
      <w:r w:rsidR="00EC078F">
        <w:rPr>
          <w:lang w:val="en-GB"/>
        </w:rPr>
        <w:t xml:space="preserve"> two </w:t>
      </w:r>
      <w:r w:rsidR="00662B24">
        <w:rPr>
          <w:lang w:val="en-GB"/>
        </w:rPr>
        <w:t>subindexes</w:t>
      </w:r>
      <w:r w:rsidR="00EC078F">
        <w:rPr>
          <w:lang w:val="en-GB"/>
        </w:rPr>
        <w:t>, i.e., the chemical safety index (I</w:t>
      </w:r>
      <w:r w:rsidR="00EC078F" w:rsidRPr="00A55B86">
        <w:rPr>
          <w:vertAlign w:val="subscript"/>
          <w:lang w:val="en-GB"/>
        </w:rPr>
        <w:t>CI</w:t>
      </w:r>
      <w:r w:rsidR="00EC078F">
        <w:rPr>
          <w:lang w:val="en-GB"/>
        </w:rPr>
        <w:t>) and the process safety index (I</w:t>
      </w:r>
      <w:r w:rsidR="00EC078F" w:rsidRPr="00A55B86">
        <w:rPr>
          <w:vertAlign w:val="subscript"/>
          <w:lang w:val="en-GB"/>
        </w:rPr>
        <w:t>PI</w:t>
      </w:r>
      <w:r w:rsidR="00EC078F">
        <w:rPr>
          <w:lang w:val="en-GB"/>
        </w:rPr>
        <w:t xml:space="preserve">), as reported in </w:t>
      </w:r>
      <w:proofErr w:type="spellStart"/>
      <w:r w:rsidR="00EC078F">
        <w:rPr>
          <w:lang w:val="en-GB"/>
        </w:rPr>
        <w:t>Eq</w:t>
      </w:r>
      <w:proofErr w:type="spellEnd"/>
      <w:r w:rsidR="00EC078F">
        <w:rPr>
          <w:lang w:val="en-GB"/>
        </w:rPr>
        <w:t>(</w:t>
      </w:r>
      <w:r w:rsidR="00200911">
        <w:rPr>
          <w:lang w:val="en-GB"/>
        </w:rPr>
        <w:t>1</w:t>
      </w:r>
      <w:r w:rsidR="00EC078F">
        <w:rPr>
          <w:lang w:val="en-GB"/>
        </w:rPr>
        <w:t>)</w:t>
      </w:r>
      <w:r w:rsidR="003D7DC2">
        <w:rPr>
          <w:lang w:val="en-GB"/>
        </w:rPr>
        <w:t>.</w:t>
      </w:r>
    </w:p>
    <w:p w14:paraId="3F1C104B" w14:textId="0B734480" w:rsidR="00EC078F" w:rsidRPr="00A55B86" w:rsidRDefault="00000000" w:rsidP="00EC078F">
      <w:pPr>
        <w:pStyle w:val="CETBodytext"/>
        <w:spacing w:before="240" w:after="240"/>
      </w:pPr>
      <m:oMath>
        <m:sSub>
          <m:sSubPr>
            <m:ctrlPr>
              <w:rPr>
                <w:rFonts w:ascii="Cambria Math" w:hAnsi="Cambria Math"/>
                <w:i/>
                <w:lang w:val="it-IT"/>
              </w:rPr>
            </m:ctrlPr>
          </m:sSubPr>
          <m:e>
            <m:r>
              <w:rPr>
                <w:rFonts w:ascii="Cambria Math" w:hAnsi="Cambria Math"/>
                <w:lang w:val="it-IT"/>
              </w:rPr>
              <m:t>I</m:t>
            </m:r>
          </m:e>
          <m:sub>
            <m:r>
              <w:rPr>
                <w:rFonts w:ascii="Cambria Math" w:hAnsi="Cambria Math"/>
                <w:lang w:val="it-IT"/>
              </w:rPr>
              <m:t>TI</m:t>
            </m:r>
          </m:sub>
        </m:sSub>
        <m:r>
          <w:rPr>
            <w:rFonts w:ascii="Cambria Math" w:hAnsi="Cambria Math"/>
          </w:rPr>
          <m:t xml:space="preserve">= </m:t>
        </m:r>
        <m:sSub>
          <m:sSubPr>
            <m:ctrlPr>
              <w:rPr>
                <w:rFonts w:ascii="Cambria Math" w:hAnsi="Cambria Math"/>
                <w:i/>
                <w:lang w:val="it-IT"/>
              </w:rPr>
            </m:ctrlPr>
          </m:sSubPr>
          <m:e>
            <m:r>
              <w:rPr>
                <w:rFonts w:ascii="Cambria Math" w:hAnsi="Cambria Math"/>
                <w:lang w:val="it-IT"/>
              </w:rPr>
              <m:t>I</m:t>
            </m:r>
            <m:ctrlPr>
              <w:rPr>
                <w:rFonts w:ascii="Cambria Math" w:hAnsi="Cambria Math"/>
                <w:i/>
              </w:rPr>
            </m:ctrlPr>
          </m:e>
          <m:sub>
            <m:r>
              <w:rPr>
                <w:rFonts w:ascii="Cambria Math" w:hAnsi="Cambria Math"/>
                <w:lang w:val="it-IT"/>
              </w:rPr>
              <m:t>CI</m:t>
            </m:r>
          </m:sub>
        </m:sSub>
        <m:r>
          <w:rPr>
            <w:rFonts w:ascii="Cambria Math" w:hAnsi="Cambria Math"/>
          </w:rPr>
          <m:t>+</m:t>
        </m:r>
        <m:sSub>
          <m:sSubPr>
            <m:ctrlPr>
              <w:rPr>
                <w:rFonts w:ascii="Cambria Math" w:hAnsi="Cambria Math"/>
                <w:i/>
                <w:lang w:val="it-IT"/>
              </w:rPr>
            </m:ctrlPr>
          </m:sSubPr>
          <m:e>
            <m:r>
              <w:rPr>
                <w:rFonts w:ascii="Cambria Math" w:hAnsi="Cambria Math"/>
                <w:lang w:val="it-IT"/>
              </w:rPr>
              <m:t>I</m:t>
            </m:r>
          </m:e>
          <m:sub>
            <m:r>
              <w:rPr>
                <w:rFonts w:ascii="Cambria Math" w:hAnsi="Cambria Math"/>
                <w:lang w:val="it-IT"/>
              </w:rPr>
              <m:t>PI</m:t>
            </m:r>
          </m:sub>
        </m:sSub>
      </m:oMath>
      <w:r w:rsidR="00EC078F" w:rsidRPr="004D3E67">
        <w:t xml:space="preserve"> </w:t>
      </w:r>
      <w:r w:rsidR="00EC078F">
        <w:t xml:space="preserve">                                                                                                                                                      (</w:t>
      </w:r>
      <w:r w:rsidR="00200911">
        <w:t>1</w:t>
      </w:r>
      <w:r w:rsidR="00EC078F">
        <w:t xml:space="preserve">)                                </w:t>
      </w:r>
    </w:p>
    <w:p w14:paraId="32A9F134" w14:textId="7BF17017" w:rsidR="00EC078F" w:rsidRDefault="000C24F5" w:rsidP="00EC078F">
      <w:pPr>
        <w:pStyle w:val="CETBodytext"/>
      </w:pPr>
      <w:r>
        <w:t>I</w:t>
      </w:r>
      <w:r w:rsidRPr="00DC1F91">
        <w:rPr>
          <w:vertAlign w:val="subscript"/>
        </w:rPr>
        <w:t>CI</w:t>
      </w:r>
      <w:r>
        <w:t xml:space="preserve"> </w:t>
      </w:r>
      <w:r w:rsidR="00F56276">
        <w:t xml:space="preserve">is associated to </w:t>
      </w:r>
      <w:r w:rsidR="000F0D63">
        <w:t>chemical hazards triggered by the intrinsic properties of the solvent, representin</w:t>
      </w:r>
      <w:r w:rsidR="0058285A">
        <w:t>g one of the main actors of the extraction process</w:t>
      </w:r>
      <w:r w:rsidR="00DC1F91">
        <w:t xml:space="preserve"> (Eq(2))</w:t>
      </w:r>
      <w:r w:rsidR="0058285A">
        <w:t xml:space="preserve">. </w:t>
      </w:r>
    </w:p>
    <w:p w14:paraId="3C971735" w14:textId="62667FF8" w:rsidR="00EC078F" w:rsidRPr="00A55B86" w:rsidRDefault="00000000" w:rsidP="00EC078F">
      <w:pPr>
        <w:pStyle w:val="CETBodytext"/>
        <w:spacing w:before="240" w:after="240"/>
      </w:pPr>
      <m:oMath>
        <m:sSub>
          <m:sSubPr>
            <m:ctrlPr>
              <w:rPr>
                <w:rFonts w:ascii="Cambria Math" w:hAnsi="Cambria Math"/>
                <w:i/>
                <w:lang w:val="it-IT"/>
              </w:rPr>
            </m:ctrlPr>
          </m:sSubPr>
          <m:e>
            <m:r>
              <w:rPr>
                <w:rFonts w:ascii="Cambria Math" w:hAnsi="Cambria Math"/>
                <w:lang w:val="it-IT"/>
              </w:rPr>
              <m:t>I</m:t>
            </m:r>
          </m:e>
          <m:sub>
            <m:r>
              <w:rPr>
                <w:rFonts w:ascii="Cambria Math" w:hAnsi="Cambria Math"/>
                <w:lang w:val="it-IT"/>
              </w:rPr>
              <m:t>CI</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FL, max</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EX,  max</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TOX,  max</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COR,max</m:t>
            </m:r>
          </m:sub>
        </m:sSub>
      </m:oMath>
      <w:r w:rsidR="00EC078F">
        <w:t xml:space="preserve">                                                                                               </w:t>
      </w:r>
      <w:r w:rsidR="00200911">
        <w:t xml:space="preserve">  </w:t>
      </w:r>
      <w:r w:rsidR="00EC078F">
        <w:t xml:space="preserve">      (</w:t>
      </w:r>
      <w:r w:rsidR="00200911">
        <w:t>2</w:t>
      </w:r>
      <w:r w:rsidR="00EC078F">
        <w:t xml:space="preserve">)                                </w:t>
      </w:r>
    </w:p>
    <w:p w14:paraId="31354540" w14:textId="2AA63BF0" w:rsidR="00200911" w:rsidRDefault="007167FF" w:rsidP="00200911">
      <w:pPr>
        <w:pStyle w:val="CETBodytext"/>
        <w:spacing w:after="240"/>
      </w:pPr>
      <w:r>
        <w:t>I</w:t>
      </w:r>
      <w:r w:rsidRPr="00DC1F91">
        <w:rPr>
          <w:vertAlign w:val="subscript"/>
        </w:rPr>
        <w:t>CI</w:t>
      </w:r>
      <w:r>
        <w:t xml:space="preserve"> was defined </w:t>
      </w:r>
      <w:r w:rsidR="00F82FE5">
        <w:t xml:space="preserve">as the summary of the contributions of </w:t>
      </w:r>
      <w:r w:rsidR="00EC078F">
        <w:t>flammability, explosiveness, toxicity, and corrosiveness</w:t>
      </w:r>
      <w:r w:rsidR="002974B4">
        <w:t xml:space="preserve"> of chemicals. </w:t>
      </w:r>
      <w:r w:rsidR="00EC078F">
        <w:t>The flashpoints, the lower and upper explosivity limits (LEL and UEL), the toxicity levels, and the corrosiveness attitude of each solvent involved in the process were used to give a</w:t>
      </w:r>
      <w:r w:rsidR="002974B4">
        <w:t xml:space="preserve"> relative </w:t>
      </w:r>
      <w:r w:rsidR="00EC078F">
        <w:t xml:space="preserve">score to </w:t>
      </w:r>
      <w:proofErr w:type="spellStart"/>
      <w:r w:rsidR="00EC078F" w:rsidRPr="002D3B8C">
        <w:t>I</w:t>
      </w:r>
      <w:r w:rsidR="0020508E" w:rsidRPr="002D3B8C">
        <w:rPr>
          <w:vertAlign w:val="subscript"/>
        </w:rPr>
        <w:t>FL</w:t>
      </w:r>
      <w:r w:rsidR="0020508E" w:rsidRPr="002D3B8C">
        <w:t>,</w:t>
      </w:r>
      <w:r w:rsidR="0020508E" w:rsidRPr="002D3B8C">
        <w:rPr>
          <w:vertAlign w:val="subscript"/>
        </w:rPr>
        <w:t>max</w:t>
      </w:r>
      <w:proofErr w:type="spellEnd"/>
      <w:r w:rsidR="00EC078F" w:rsidRPr="002D3B8C">
        <w:t xml:space="preserve">, </w:t>
      </w:r>
      <w:proofErr w:type="spellStart"/>
      <w:r w:rsidR="00EC078F" w:rsidRPr="002D3B8C">
        <w:t>I</w:t>
      </w:r>
      <w:r w:rsidR="0020508E" w:rsidRPr="002D3B8C">
        <w:rPr>
          <w:vertAlign w:val="subscript"/>
        </w:rPr>
        <w:t>EX</w:t>
      </w:r>
      <w:r w:rsidR="0020508E" w:rsidRPr="002D3B8C">
        <w:t>,</w:t>
      </w:r>
      <w:r w:rsidR="0020508E" w:rsidRPr="002D3B8C">
        <w:rPr>
          <w:vertAlign w:val="subscript"/>
        </w:rPr>
        <w:t>max</w:t>
      </w:r>
      <w:proofErr w:type="spellEnd"/>
      <w:r w:rsidR="00EC078F" w:rsidRPr="002D3B8C">
        <w:t xml:space="preserve">, </w:t>
      </w:r>
      <w:proofErr w:type="spellStart"/>
      <w:r w:rsidR="00EC078F" w:rsidRPr="002D3B8C">
        <w:t>I</w:t>
      </w:r>
      <w:r w:rsidR="0020508E" w:rsidRPr="002D3B8C">
        <w:rPr>
          <w:vertAlign w:val="subscript"/>
        </w:rPr>
        <w:t>TOX,max</w:t>
      </w:r>
      <w:proofErr w:type="spellEnd"/>
      <w:r w:rsidR="00EC078F" w:rsidRPr="002D3B8C">
        <w:t xml:space="preserve">, </w:t>
      </w:r>
      <w:r w:rsidR="00AD1EC7">
        <w:t xml:space="preserve">and </w:t>
      </w:r>
      <w:proofErr w:type="spellStart"/>
      <w:r w:rsidR="00EC078F" w:rsidRPr="002D3B8C">
        <w:t>I</w:t>
      </w:r>
      <w:r w:rsidR="00EC078F" w:rsidRPr="002D3B8C">
        <w:rPr>
          <w:vertAlign w:val="subscript"/>
        </w:rPr>
        <w:t>COR</w:t>
      </w:r>
      <w:r w:rsidR="0020508E" w:rsidRPr="002D3B8C">
        <w:rPr>
          <w:vertAlign w:val="subscript"/>
        </w:rPr>
        <w:t>,max</w:t>
      </w:r>
      <w:proofErr w:type="spellEnd"/>
      <w:r w:rsidR="009E34EA">
        <w:t>, respectively</w:t>
      </w:r>
      <w:r w:rsidR="00EC078F">
        <w:t xml:space="preserve">. </w:t>
      </w:r>
      <w:r w:rsidR="002974B4">
        <w:t>F</w:t>
      </w:r>
      <w:r w:rsidR="00EC078F">
        <w:t xml:space="preserve">lashpoints </w:t>
      </w:r>
      <w:r w:rsidR="002974B4">
        <w:t xml:space="preserve">of </w:t>
      </w:r>
      <w:r w:rsidR="00EC078F">
        <w:t>pure compounds were obtained from OSHA (</w:t>
      </w:r>
      <w:r w:rsidR="002021DF">
        <w:t>Occupational Safety and Health Administration, 2023</w:t>
      </w:r>
      <w:r w:rsidR="00EC078F">
        <w:t xml:space="preserve">), while those for hydroalcoholic mixtures were evaluated </w:t>
      </w:r>
      <w:r w:rsidR="007F08E3">
        <w:t xml:space="preserve">by </w:t>
      </w:r>
      <w:r w:rsidR="00773806">
        <w:t xml:space="preserve">the </w:t>
      </w:r>
      <w:r w:rsidR="00EC078F">
        <w:t xml:space="preserve">empirical correlation proposed by </w:t>
      </w:r>
      <w:r w:rsidR="00EC078F" w:rsidRPr="009E34EA">
        <w:t>Hristova et al. (2011)</w:t>
      </w:r>
      <w:r w:rsidR="00773806">
        <w:t>,</w:t>
      </w:r>
      <w:r w:rsidR="00200911">
        <w:t xml:space="preserve"> </w:t>
      </w:r>
      <w:r w:rsidR="00CC6892">
        <w:t>according to</w:t>
      </w:r>
      <w:r w:rsidR="00200911">
        <w:t xml:space="preserve"> Eq(</w:t>
      </w:r>
      <w:r w:rsidR="00773806">
        <w:t>3</w:t>
      </w:r>
      <w:r w:rsidR="00200911">
        <w:t>)</w:t>
      </w:r>
      <w:r w:rsidR="00773806">
        <w:t>:</w:t>
      </w:r>
    </w:p>
    <w:p w14:paraId="36C4B4EB" w14:textId="56D11106" w:rsidR="00200911" w:rsidRDefault="00200911" w:rsidP="00EC078F">
      <w:pPr>
        <w:pStyle w:val="CETBodytext"/>
      </w:pPr>
      <m:oMath>
        <m:r>
          <w:rPr>
            <w:rFonts w:ascii="Cambria Math" w:hAnsi="Cambria Math"/>
          </w:rPr>
          <m:t>FP=40.2-86.1x+122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-63</m:t>
        </m:r>
        <m:sSup>
          <m:sSupPr>
            <m:ctrlPr>
              <w:rPr>
                <w:rFonts w:ascii="Cambria Math" w:hAnsi="Cambria Math"/>
                <w:i/>
              </w:rPr>
            </m:ctrlPr>
          </m:sSupPr>
          <m:e>
            <m:r>
              <w:rPr>
                <w:rFonts w:ascii="Cambria Math" w:hAnsi="Cambria Math"/>
              </w:rPr>
              <m:t>x</m:t>
            </m:r>
          </m:e>
          <m:sup>
            <m:r>
              <w:rPr>
                <w:rFonts w:ascii="Cambria Math" w:hAnsi="Cambria Math"/>
              </w:rPr>
              <m:t>3</m:t>
            </m:r>
          </m:sup>
        </m:sSup>
      </m:oMath>
      <w:r>
        <w:t xml:space="preserve">                                                                                                                     (</w:t>
      </w:r>
      <w:r w:rsidR="00773806">
        <w:t>3</w:t>
      </w:r>
      <w:r>
        <w:t>)</w:t>
      </w:r>
    </w:p>
    <w:p w14:paraId="63E0DACE" w14:textId="79AFE49A" w:rsidR="00BE3A36" w:rsidRPr="00BE3A36" w:rsidRDefault="00200911" w:rsidP="00200911">
      <w:pPr>
        <w:pStyle w:val="CETBodytext"/>
        <w:spacing w:before="240"/>
      </w:pPr>
      <w:r>
        <w:t xml:space="preserve">where </w:t>
      </w:r>
      <w:r w:rsidRPr="002D3B8C">
        <w:t>FP</w:t>
      </w:r>
      <w:r w:rsidR="001868D5">
        <w:t xml:space="preserve"> (°C)</w:t>
      </w:r>
      <w:r>
        <w:t xml:space="preserve"> is the ethanol-water mixture flashpoint and </w:t>
      </w:r>
      <w:r w:rsidRPr="002D3B8C">
        <w:t xml:space="preserve">x </w:t>
      </w:r>
      <w:r>
        <w:t>is the molar fraction of ethanol.</w:t>
      </w:r>
    </w:p>
    <w:p w14:paraId="06B17B2A" w14:textId="77259D11" w:rsidR="00742C82" w:rsidRDefault="00EC078F" w:rsidP="00200911">
      <w:pPr>
        <w:pStyle w:val="CETBodytext"/>
      </w:pPr>
      <w:r>
        <w:t>LEL</w:t>
      </w:r>
      <w:r w:rsidR="00FB688D">
        <w:t xml:space="preserve"> and </w:t>
      </w:r>
      <w:r>
        <w:t>UEL at atmospheric conditions for pure compounds were collected from OSHA (</w:t>
      </w:r>
      <w:r w:rsidR="002021DF">
        <w:t>Occupational Safety and Health Administration, 2023</w:t>
      </w:r>
      <w:r>
        <w:t>)</w:t>
      </w:r>
      <w:r w:rsidR="00A5323B">
        <w:t>.</w:t>
      </w:r>
      <w:r>
        <w:t xml:space="preserve"> </w:t>
      </w:r>
      <w:r w:rsidR="00E564CF">
        <w:t xml:space="preserve">The </w:t>
      </w:r>
      <w:r>
        <w:t xml:space="preserve">method reported </w:t>
      </w:r>
      <w:r w:rsidRPr="002021DF">
        <w:t xml:space="preserve">by </w:t>
      </w:r>
      <w:proofErr w:type="spellStart"/>
      <w:r w:rsidRPr="002021DF">
        <w:t>Zabetakis</w:t>
      </w:r>
      <w:proofErr w:type="spellEnd"/>
      <w:r w:rsidRPr="002021DF">
        <w:t xml:space="preserve"> (1965)</w:t>
      </w:r>
      <w:r w:rsidR="002D3B8C" w:rsidRPr="002021DF">
        <w:t xml:space="preserve"> </w:t>
      </w:r>
      <w:r w:rsidR="00E564CF">
        <w:t xml:space="preserve">was used </w:t>
      </w:r>
      <w:r w:rsidR="00D74B9F">
        <w:t>to determine the Mixture Lower Explosivity Limit (MLEL</w:t>
      </w:r>
      <w:r w:rsidR="00931E33">
        <w:t xml:space="preserve">) </w:t>
      </w:r>
      <w:r w:rsidR="00FB688D">
        <w:t xml:space="preserve">[vol%] </w:t>
      </w:r>
      <w:r w:rsidR="002D3B8C" w:rsidRPr="002021DF">
        <w:t>and</w:t>
      </w:r>
      <w:r w:rsidR="002D3B8C">
        <w:t xml:space="preserve"> </w:t>
      </w:r>
      <w:r w:rsidR="00931E33">
        <w:t>the Mixture Upper Explosivity Limit (M</w:t>
      </w:r>
      <w:r w:rsidR="00742C82">
        <w:t>U</w:t>
      </w:r>
      <w:r w:rsidR="00931E33">
        <w:t>EL</w:t>
      </w:r>
      <w:r w:rsidR="00FB688D">
        <w:t>) [vol%], as follows</w:t>
      </w:r>
      <w:r w:rsidR="00DC1F91">
        <w:t xml:space="preserve"> in Eq(4) and Eq(5)</w:t>
      </w:r>
      <w:r w:rsidR="00742C82">
        <w:t>:</w:t>
      </w:r>
    </w:p>
    <w:p w14:paraId="6EAD38EA" w14:textId="5A9FEBEE" w:rsidR="002D3B8C" w:rsidRDefault="00931E33" w:rsidP="00200911">
      <w:pPr>
        <w:pStyle w:val="CETBodytext"/>
      </w:pPr>
      <w:r>
        <w:t xml:space="preserve"> </w:t>
      </w:r>
    </w:p>
    <w:p w14:paraId="2C170910" w14:textId="442AEED7" w:rsidR="002D3B8C" w:rsidRPr="001868D5" w:rsidRDefault="002D3B8C" w:rsidP="00200911">
      <w:pPr>
        <w:pStyle w:val="CETBodytext"/>
      </w:pPr>
      <m:oMath>
        <m:r>
          <w:rPr>
            <w:rFonts w:ascii="Cambria Math" w:hAnsi="Cambria Math"/>
          </w:rPr>
          <m:t xml:space="preserve">MLEL= </m:t>
        </m:r>
        <m:f>
          <m:fPr>
            <m:ctrlPr>
              <w:rPr>
                <w:rFonts w:ascii="Cambria Math" w:hAnsi="Cambria Math"/>
                <w:i/>
              </w:rPr>
            </m:ctrlPr>
          </m:fPr>
          <m:num>
            <m:r>
              <w:rPr>
                <w:rFonts w:ascii="Cambria Math" w:hAnsi="Cambria Math"/>
              </w:rPr>
              <m:t>1</m:t>
            </m:r>
          </m:num>
          <m:den>
            <m:nary>
              <m:naryPr>
                <m:chr m:val="∑"/>
                <m:limLoc m:val="undOvr"/>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r>
                      <w:rPr>
                        <w:rFonts w:ascii="Cambria Math" w:hAnsi="Cambria Math"/>
                      </w:rPr>
                      <m:t>LE</m:t>
                    </m:r>
                    <m:sSub>
                      <m:sSubPr>
                        <m:ctrlPr>
                          <w:rPr>
                            <w:rFonts w:ascii="Cambria Math" w:hAnsi="Cambria Math"/>
                            <w:i/>
                          </w:rPr>
                        </m:ctrlPr>
                      </m:sSubPr>
                      <m:e>
                        <m:r>
                          <w:rPr>
                            <w:rFonts w:ascii="Cambria Math" w:hAnsi="Cambria Math"/>
                          </w:rPr>
                          <m:t>L</m:t>
                        </m:r>
                      </m:e>
                      <m:sub>
                        <m:r>
                          <w:rPr>
                            <w:rFonts w:ascii="Cambria Math" w:hAnsi="Cambria Math"/>
                          </w:rPr>
                          <m:t>i</m:t>
                        </m:r>
                      </m:sub>
                    </m:sSub>
                  </m:den>
                </m:f>
              </m:e>
            </m:nary>
          </m:den>
        </m:f>
      </m:oMath>
      <w:r w:rsidR="001868D5">
        <w:t xml:space="preserve">                                                                                                                                                        (</w:t>
      </w:r>
      <w:r w:rsidR="00931E33">
        <w:t>4</w:t>
      </w:r>
      <w:r w:rsidR="001868D5">
        <w:t xml:space="preserve">)     </w:t>
      </w:r>
    </w:p>
    <w:p w14:paraId="47DB3C84" w14:textId="3E197EBB" w:rsidR="001868D5" w:rsidRPr="001868D5" w:rsidRDefault="001868D5" w:rsidP="001868D5">
      <w:pPr>
        <w:pStyle w:val="CETBodytext"/>
        <w:spacing w:before="240"/>
      </w:pPr>
      <m:oMath>
        <m:r>
          <w:rPr>
            <w:rFonts w:ascii="Cambria Math" w:hAnsi="Cambria Math"/>
          </w:rPr>
          <m:t xml:space="preserve">MUEL= </m:t>
        </m:r>
        <m:f>
          <m:fPr>
            <m:ctrlPr>
              <w:rPr>
                <w:rFonts w:ascii="Cambria Math" w:hAnsi="Cambria Math"/>
                <w:i/>
              </w:rPr>
            </m:ctrlPr>
          </m:fPr>
          <m:num>
            <m:r>
              <w:rPr>
                <w:rFonts w:ascii="Cambria Math" w:hAnsi="Cambria Math"/>
              </w:rPr>
              <m:t>1</m:t>
            </m:r>
          </m:num>
          <m:den>
            <m:nary>
              <m:naryPr>
                <m:chr m:val="∑"/>
                <m:limLoc m:val="undOvr"/>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r>
                      <w:rPr>
                        <w:rFonts w:ascii="Cambria Math" w:hAnsi="Cambria Math"/>
                      </w:rPr>
                      <m:t>UE</m:t>
                    </m:r>
                    <m:sSub>
                      <m:sSubPr>
                        <m:ctrlPr>
                          <w:rPr>
                            <w:rFonts w:ascii="Cambria Math" w:hAnsi="Cambria Math"/>
                            <w:i/>
                          </w:rPr>
                        </m:ctrlPr>
                      </m:sSubPr>
                      <m:e>
                        <m:r>
                          <w:rPr>
                            <w:rFonts w:ascii="Cambria Math" w:hAnsi="Cambria Math"/>
                          </w:rPr>
                          <m:t>L</m:t>
                        </m:r>
                      </m:e>
                      <m:sub>
                        <m:r>
                          <w:rPr>
                            <w:rFonts w:ascii="Cambria Math" w:hAnsi="Cambria Math"/>
                          </w:rPr>
                          <m:t>i</m:t>
                        </m:r>
                      </m:sub>
                    </m:sSub>
                  </m:den>
                </m:f>
              </m:e>
            </m:nary>
          </m:den>
        </m:f>
      </m:oMath>
      <w:r>
        <w:t xml:space="preserve">                                                                                                                                                        (</w:t>
      </w:r>
      <w:r w:rsidR="00742C82">
        <w:t>5</w:t>
      </w:r>
      <w:r>
        <w:t xml:space="preserve">)     </w:t>
      </w:r>
    </w:p>
    <w:p w14:paraId="48F2DF6D" w14:textId="41837960" w:rsidR="001868D5" w:rsidRDefault="00FB688D" w:rsidP="00B44D1D">
      <w:pPr>
        <w:pStyle w:val="CETBodytext"/>
        <w:spacing w:before="240"/>
      </w:pPr>
      <w:r>
        <w:t>where</w:t>
      </w:r>
      <w:r w:rsidR="00183369">
        <w:t xml:space="preserve"> </w:t>
      </w:r>
      <w:r w:rsidR="001868D5">
        <w:t>LEL</w:t>
      </w:r>
      <w:r w:rsidR="001868D5">
        <w:rPr>
          <w:vertAlign w:val="subscript"/>
        </w:rPr>
        <w:t>i</w:t>
      </w:r>
      <w:r w:rsidR="001868D5">
        <w:t xml:space="preserve"> and UEL</w:t>
      </w:r>
      <w:r w:rsidR="001868D5">
        <w:rPr>
          <w:vertAlign w:val="subscript"/>
        </w:rPr>
        <w:t>i</w:t>
      </w:r>
      <w:r w:rsidR="001868D5">
        <w:t xml:space="preserve"> </w:t>
      </w:r>
      <w:r w:rsidR="00DC1F91">
        <w:t xml:space="preserve">[vol%] </w:t>
      </w:r>
      <w:r w:rsidR="001868D5">
        <w:t xml:space="preserve">are the LEL and UEL </w:t>
      </w:r>
      <w:r w:rsidR="009E34EA">
        <w:t>of</w:t>
      </w:r>
      <w:r w:rsidR="001868D5">
        <w:t xml:space="preserve"> a single component of the mixture and x</w:t>
      </w:r>
      <w:r w:rsidR="001868D5">
        <w:rPr>
          <w:vertAlign w:val="subscript"/>
        </w:rPr>
        <w:t>i</w:t>
      </w:r>
      <w:r w:rsidR="001868D5">
        <w:t xml:space="preserve"> is the molar fraction</w:t>
      </w:r>
      <w:r>
        <w:t xml:space="preserve">. </w:t>
      </w:r>
      <w:r w:rsidR="00FC3F32">
        <w:t xml:space="preserve">The </w:t>
      </w:r>
      <w:r w:rsidR="007E1490">
        <w:t xml:space="preserve">Burgess-Wheeler </w:t>
      </w:r>
      <w:r w:rsidR="00CC6892">
        <w:t>method (</w:t>
      </w:r>
      <w:proofErr w:type="spellStart"/>
      <w:r w:rsidR="00FC4212" w:rsidRPr="009E34EA">
        <w:t>Zabetakis</w:t>
      </w:r>
      <w:proofErr w:type="spellEnd"/>
      <w:r w:rsidR="00FC4212" w:rsidRPr="009E34EA">
        <w:t>, 1965</w:t>
      </w:r>
      <w:r w:rsidR="00FC4212">
        <w:t>) were</w:t>
      </w:r>
      <w:r w:rsidR="00266693">
        <w:t xml:space="preserve"> </w:t>
      </w:r>
      <w:r w:rsidR="00FC4212">
        <w:t xml:space="preserve">used </w:t>
      </w:r>
      <w:r w:rsidR="00DC1F91">
        <w:t xml:space="preserve">to </w:t>
      </w:r>
      <w:r w:rsidR="008A4F0F">
        <w:t>account for temperature difference</w:t>
      </w:r>
      <w:r w:rsidR="00CC6892">
        <w:t>,</w:t>
      </w:r>
      <w:r w:rsidR="00CC6892" w:rsidRPr="00CC6892">
        <w:t xml:space="preserve"> </w:t>
      </w:r>
      <w:r w:rsidR="00CC6892">
        <w:t>according to Eq(6) and Eq(7</w:t>
      </w:r>
      <w:r w:rsidR="00CC6892" w:rsidRPr="009E34EA">
        <w:t>)</w:t>
      </w:r>
      <w:r w:rsidR="00CC6892">
        <w:t>, respectively.</w:t>
      </w:r>
    </w:p>
    <w:p w14:paraId="3EC6B2B7" w14:textId="0DA901D9" w:rsidR="001868D5" w:rsidRDefault="00000000" w:rsidP="001868D5">
      <w:pPr>
        <w:pStyle w:val="CETBodytext"/>
      </w:pPr>
      <m:oMath>
        <m:f>
          <m:fPr>
            <m:ctrlPr>
              <w:rPr>
                <w:rFonts w:ascii="Cambria Math" w:hAnsi="Cambria Math"/>
                <w:i/>
              </w:rPr>
            </m:ctrlPr>
          </m:fPr>
          <m:num>
            <m:r>
              <w:rPr>
                <w:rFonts w:ascii="Cambria Math" w:hAnsi="Cambria Math"/>
              </w:rPr>
              <m:t>LEL(T)</m:t>
            </m:r>
          </m:num>
          <m:den>
            <m:r>
              <w:rPr>
                <w:rFonts w:ascii="Cambria Math" w:hAnsi="Cambria Math"/>
              </w:rPr>
              <m:t>LEL(</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en>
        </m:f>
        <m:r>
          <w:rPr>
            <w:rFonts w:ascii="Cambria Math" w:hAnsi="Cambria Math"/>
          </w:rPr>
          <m:t>= 1-0.000721(T-25°C)</m:t>
        </m:r>
      </m:oMath>
      <w:r w:rsidR="001868D5">
        <w:t xml:space="preserve">                                                                                                                                                        (</w:t>
      </w:r>
      <w:r w:rsidR="00266693">
        <w:t>6</w:t>
      </w:r>
      <w:r w:rsidR="001868D5">
        <w:t xml:space="preserve">)     </w:t>
      </w:r>
    </w:p>
    <w:p w14:paraId="4BA25F45" w14:textId="27B8A438" w:rsidR="001868D5" w:rsidRDefault="00000000" w:rsidP="001868D5">
      <w:pPr>
        <w:pStyle w:val="CETBodytext"/>
        <w:spacing w:before="240"/>
      </w:pPr>
      <m:oMath>
        <m:f>
          <m:fPr>
            <m:ctrlPr>
              <w:rPr>
                <w:rFonts w:ascii="Cambria Math" w:hAnsi="Cambria Math"/>
                <w:i/>
              </w:rPr>
            </m:ctrlPr>
          </m:fPr>
          <m:num>
            <m:r>
              <w:rPr>
                <w:rFonts w:ascii="Cambria Math" w:hAnsi="Cambria Math"/>
              </w:rPr>
              <m:t>UEL(T)</m:t>
            </m:r>
          </m:num>
          <m:den>
            <m:r>
              <w:rPr>
                <w:rFonts w:ascii="Cambria Math" w:hAnsi="Cambria Math"/>
              </w:rPr>
              <m:t>UEL(</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den>
        </m:f>
        <m:r>
          <w:rPr>
            <w:rFonts w:ascii="Cambria Math" w:hAnsi="Cambria Math"/>
          </w:rPr>
          <m:t>= 1+0.000721(T-25°C)</m:t>
        </m:r>
      </m:oMath>
      <w:r w:rsidR="001868D5">
        <w:t xml:space="preserve">                                                                                                                                                        (</w:t>
      </w:r>
      <w:r w:rsidR="00266693">
        <w:t>7</w:t>
      </w:r>
      <w:r w:rsidR="001868D5">
        <w:t xml:space="preserve">)     </w:t>
      </w:r>
    </w:p>
    <w:p w14:paraId="1B7C7D13" w14:textId="77777777" w:rsidR="00CC186D" w:rsidRDefault="00CC186D" w:rsidP="00FB688D">
      <w:pPr>
        <w:pStyle w:val="CETBodytext"/>
      </w:pPr>
    </w:p>
    <w:p w14:paraId="5FE48857" w14:textId="7C476C5B" w:rsidR="00FB688D" w:rsidRDefault="001868D5" w:rsidP="00DC1F91">
      <w:pPr>
        <w:pStyle w:val="CETBodytext"/>
      </w:pPr>
      <w:r>
        <w:t xml:space="preserve">where LEL(T) and UEL(T) </w:t>
      </w:r>
      <w:r w:rsidR="00FB688D">
        <w:t>[</w:t>
      </w:r>
      <w:r>
        <w:t>vol%</w:t>
      </w:r>
      <w:r w:rsidR="00FB688D">
        <w:t>]</w:t>
      </w:r>
      <w:r>
        <w:t xml:space="preserve"> are LEL and UEL at the working temperature T (°C)</w:t>
      </w:r>
      <w:r w:rsidR="000538DB">
        <w:t xml:space="preserve"> and LEL(T</w:t>
      </w:r>
      <w:r w:rsidR="000538DB">
        <w:rPr>
          <w:vertAlign w:val="subscript"/>
        </w:rPr>
        <w:t>0</w:t>
      </w:r>
      <w:r w:rsidR="000538DB">
        <w:t>) and UEL(T</w:t>
      </w:r>
      <w:r w:rsidR="000538DB">
        <w:rPr>
          <w:vertAlign w:val="subscript"/>
        </w:rPr>
        <w:t>0</w:t>
      </w:r>
      <w:r w:rsidR="000538DB">
        <w:t xml:space="preserve">) </w:t>
      </w:r>
      <w:r w:rsidR="00FB688D">
        <w:t>[vol%]</w:t>
      </w:r>
      <w:r w:rsidR="000538DB">
        <w:t xml:space="preserve"> are LEL and UEL </w:t>
      </w:r>
      <w:r w:rsidR="00FB688D">
        <w:t>[vol%]</w:t>
      </w:r>
      <w:r w:rsidR="008E7A57">
        <w:t xml:space="preserve"> </w:t>
      </w:r>
      <w:r w:rsidR="000538DB">
        <w:t>at 25°C.</w:t>
      </w:r>
      <w:r w:rsidR="00BC6D52">
        <w:t xml:space="preserve"> </w:t>
      </w:r>
      <w:r w:rsidR="00EC078F">
        <w:t>The effect of pressure</w:t>
      </w:r>
      <w:r w:rsidR="00BC6D52">
        <w:t xml:space="preserve"> </w:t>
      </w:r>
      <w:r w:rsidR="00EC078F">
        <w:t xml:space="preserve">was considered by applying </w:t>
      </w:r>
      <w:r w:rsidRPr="001868D5">
        <w:t>Eq(</w:t>
      </w:r>
      <w:r w:rsidR="00BC6D52">
        <w:t>8</w:t>
      </w:r>
      <w:r w:rsidRPr="001868D5">
        <w:t>)</w:t>
      </w:r>
      <w:r w:rsidR="000538DB">
        <w:t xml:space="preserve"> and </w:t>
      </w:r>
      <w:r w:rsidR="006D0745">
        <w:t>Eq</w:t>
      </w:r>
      <w:r w:rsidR="00BC6D52">
        <w:t>(9) (</w:t>
      </w:r>
      <w:proofErr w:type="spellStart"/>
      <w:r w:rsidR="009E34EA" w:rsidRPr="009E34EA">
        <w:t>Zabetakis</w:t>
      </w:r>
      <w:proofErr w:type="spellEnd"/>
      <w:r w:rsidR="009E34EA" w:rsidRPr="009E34EA">
        <w:t>, 1965</w:t>
      </w:r>
      <w:r w:rsidR="009E34EA">
        <w:t>)</w:t>
      </w:r>
      <w:r w:rsidR="00766174">
        <w:t>:</w:t>
      </w:r>
      <w:r w:rsidR="00EC078F">
        <w:t xml:space="preserve"> </w:t>
      </w:r>
    </w:p>
    <w:p w14:paraId="4409C0F5" w14:textId="21A62614" w:rsidR="001868D5" w:rsidRPr="000538DB" w:rsidRDefault="000538DB" w:rsidP="00DC1F91">
      <w:pPr>
        <w:pStyle w:val="CETBodytext"/>
        <w:spacing w:before="240"/>
      </w:pPr>
      <m:oMath>
        <m:r>
          <w:rPr>
            <w:rFonts w:ascii="Cambria Math" w:hAnsi="Cambria Math"/>
          </w:rPr>
          <m:t>LEL</m:t>
        </m:r>
        <m:d>
          <m:dPr>
            <m:ctrlPr>
              <w:rPr>
                <w:rFonts w:ascii="Cambria Math" w:hAnsi="Cambria Math"/>
                <w:i/>
              </w:rPr>
            </m:ctrlPr>
          </m:dPr>
          <m:e>
            <m:r>
              <w:rPr>
                <w:rFonts w:ascii="Cambria Math" w:hAnsi="Cambria Math"/>
              </w:rPr>
              <m:t>P</m:t>
            </m:r>
          </m:e>
        </m:d>
        <m:r>
          <w:rPr>
            <w:rFonts w:ascii="Cambria Math" w:hAnsi="Cambria Math"/>
          </w:rPr>
          <m:t>=LEL</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e>
        </m:d>
        <m:r>
          <w:rPr>
            <w:rFonts w:ascii="Cambria Math" w:hAnsi="Cambria Math"/>
          </w:rPr>
          <m:t>-0.71log∆P</m:t>
        </m:r>
      </m:oMath>
      <w:r>
        <w:t xml:space="preserve">                                                                                                                             (</w:t>
      </w:r>
      <w:r w:rsidR="00BC6D52">
        <w:t>8</w:t>
      </w:r>
      <w:r>
        <w:t>)</w:t>
      </w:r>
    </w:p>
    <w:p w14:paraId="088DE7B0" w14:textId="7E0FA06F" w:rsidR="000538DB" w:rsidRPr="000538DB" w:rsidRDefault="000538DB" w:rsidP="00DC1F91">
      <w:pPr>
        <w:pStyle w:val="CETBodytext"/>
        <w:spacing w:before="240"/>
      </w:pPr>
      <m:oMath>
        <m:r>
          <w:rPr>
            <w:rFonts w:ascii="Cambria Math" w:hAnsi="Cambria Math"/>
          </w:rPr>
          <m:t>UEL</m:t>
        </m:r>
        <m:d>
          <m:dPr>
            <m:ctrlPr>
              <w:rPr>
                <w:rFonts w:ascii="Cambria Math" w:hAnsi="Cambria Math"/>
                <w:i/>
              </w:rPr>
            </m:ctrlPr>
          </m:dPr>
          <m:e>
            <m:r>
              <w:rPr>
                <w:rFonts w:ascii="Cambria Math" w:hAnsi="Cambria Math"/>
              </w:rPr>
              <m:t>P</m:t>
            </m:r>
          </m:e>
        </m:d>
        <m:r>
          <w:rPr>
            <w:rFonts w:ascii="Cambria Math" w:hAnsi="Cambria Math"/>
          </w:rPr>
          <m:t>=UEL</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0</m:t>
                </m:r>
              </m:sub>
            </m:sSub>
          </m:e>
        </m:d>
        <m:r>
          <w:rPr>
            <w:rFonts w:ascii="Cambria Math" w:hAnsi="Cambria Math"/>
          </w:rPr>
          <m:t>+0.71log∆P</m:t>
        </m:r>
      </m:oMath>
      <w:r>
        <w:t xml:space="preserve">                                                                                                                             (</w:t>
      </w:r>
      <w:r w:rsidR="00BC6D52">
        <w:t>9</w:t>
      </w:r>
      <w:r>
        <w:t>)</w:t>
      </w:r>
    </w:p>
    <w:p w14:paraId="621CB090" w14:textId="4824D866" w:rsidR="00200C16" w:rsidRPr="002B549B" w:rsidRDefault="004544DA" w:rsidP="00B44D1D">
      <w:pPr>
        <w:pStyle w:val="CETBodytext"/>
        <w:spacing w:before="240"/>
      </w:pPr>
      <w:r>
        <w:t>w</w:t>
      </w:r>
      <w:r w:rsidR="000538DB">
        <w:t xml:space="preserve">here LEL(P) and UEL(P) </w:t>
      </w:r>
      <w:r w:rsidR="006D0745">
        <w:t>[</w:t>
      </w:r>
      <w:r w:rsidR="000538DB">
        <w:t>vol%</w:t>
      </w:r>
      <w:r w:rsidR="006D0745">
        <w:t>]</w:t>
      </w:r>
      <w:r w:rsidR="000538DB">
        <w:t xml:space="preserve"> are LEL and UEL at the working pressure P (bar) and LEL(P</w:t>
      </w:r>
      <w:r w:rsidR="000538DB">
        <w:rPr>
          <w:vertAlign w:val="subscript"/>
        </w:rPr>
        <w:t>0</w:t>
      </w:r>
      <w:r w:rsidR="000538DB">
        <w:t>) and UEL(P</w:t>
      </w:r>
      <w:r w:rsidR="000538DB">
        <w:rPr>
          <w:vertAlign w:val="subscript"/>
        </w:rPr>
        <w:t>0</w:t>
      </w:r>
      <w:r w:rsidR="000538DB">
        <w:t xml:space="preserve">) </w:t>
      </w:r>
      <w:r w:rsidR="006D0745">
        <w:t>[</w:t>
      </w:r>
      <w:r w:rsidR="000538DB">
        <w:t>vol%</w:t>
      </w:r>
      <w:r w:rsidR="006D0745">
        <w:t>]</w:t>
      </w:r>
      <w:r w:rsidR="000538DB">
        <w:t xml:space="preserve"> are LEL and UEL at 1 </w:t>
      </w:r>
      <w:proofErr w:type="spellStart"/>
      <w:r w:rsidR="000538DB">
        <w:t>bar.</w:t>
      </w:r>
      <w:r w:rsidR="00EC078F">
        <w:t>The</w:t>
      </w:r>
      <w:proofErr w:type="spellEnd"/>
      <w:r w:rsidR="00EC078F">
        <w:t xml:space="preserve"> toxicity </w:t>
      </w:r>
      <w:r w:rsidR="00EA144E">
        <w:t>(</w:t>
      </w:r>
      <w:proofErr w:type="spellStart"/>
      <w:r w:rsidR="00EA144E">
        <w:t>I</w:t>
      </w:r>
      <w:r w:rsidR="00EA144E" w:rsidRPr="00EA144E">
        <w:rPr>
          <w:vertAlign w:val="subscript"/>
        </w:rPr>
        <w:t>TOX,max</w:t>
      </w:r>
      <w:proofErr w:type="spellEnd"/>
      <w:r w:rsidR="00EA144E">
        <w:t xml:space="preserve">) </w:t>
      </w:r>
      <w:r w:rsidR="00EC078F">
        <w:t>was evaluated</w:t>
      </w:r>
      <w:r w:rsidR="00EA144E">
        <w:t xml:space="preserve"> by </w:t>
      </w:r>
      <w:r w:rsidR="00EC078F">
        <w:t xml:space="preserve">accounting for the </w:t>
      </w:r>
      <w:r w:rsidR="00EC078F" w:rsidRPr="00197706">
        <w:t>ACGIH</w:t>
      </w:r>
      <w:r w:rsidR="00EC078F">
        <w:t xml:space="preserve"> </w:t>
      </w:r>
      <w:r w:rsidR="00EC078F" w:rsidRPr="00197706">
        <w:t>Threshold Limit Value</w:t>
      </w:r>
      <w:r w:rsidR="00EC078F">
        <w:t xml:space="preserve"> </w:t>
      </w:r>
      <w:r w:rsidR="00EC078F" w:rsidRPr="00197706">
        <w:t>–</w:t>
      </w:r>
      <w:r w:rsidR="00EC078F">
        <w:t xml:space="preserve"> </w:t>
      </w:r>
      <w:r w:rsidR="00EC078F" w:rsidRPr="00197706">
        <w:t>Short-Term Exposure Limit (TLV</w:t>
      </w:r>
      <w:r w:rsidR="00EC078F">
        <w:t xml:space="preserve"> </w:t>
      </w:r>
      <w:r w:rsidR="00EC078F" w:rsidRPr="00197706">
        <w:t>–</w:t>
      </w:r>
      <w:r w:rsidR="00EC078F">
        <w:t xml:space="preserve"> </w:t>
      </w:r>
      <w:r w:rsidR="00EC078F" w:rsidRPr="00197706">
        <w:t>STEL)</w:t>
      </w:r>
      <w:r w:rsidR="00EC078F">
        <w:t xml:space="preserve"> and the OSHA Permissible Exposure Limit </w:t>
      </w:r>
      <w:r w:rsidR="00EC078F" w:rsidRPr="00197706">
        <w:t>–</w:t>
      </w:r>
      <w:r w:rsidR="00EC078F">
        <w:t xml:space="preserve"> 8-hour </w:t>
      </w:r>
      <w:r w:rsidR="00EC078F" w:rsidRPr="00197706">
        <w:t>Time-Weighted Average</w:t>
      </w:r>
      <w:r w:rsidR="00EC078F">
        <w:t xml:space="preserve"> (PEL </w:t>
      </w:r>
      <w:r w:rsidR="00EC078F" w:rsidRPr="00197706">
        <w:t>–</w:t>
      </w:r>
      <w:r w:rsidR="00EC078F">
        <w:t xml:space="preserve"> 8 hour </w:t>
      </w:r>
      <w:r w:rsidR="00EC078F" w:rsidRPr="00197706">
        <w:rPr>
          <w:caps/>
        </w:rPr>
        <w:t>TW</w:t>
      </w:r>
      <w:r w:rsidR="00EC078F">
        <w:rPr>
          <w:caps/>
        </w:rPr>
        <w:t>A)</w:t>
      </w:r>
      <w:r w:rsidR="00EC078F">
        <w:t xml:space="preserve"> for methanol, ethanol and n-hexane, petroleum ether, respectively</w:t>
      </w:r>
      <w:r w:rsidR="009E34EA">
        <w:t xml:space="preserve"> </w:t>
      </w:r>
      <w:r w:rsidR="009E34EA" w:rsidRPr="002021DF">
        <w:t>(</w:t>
      </w:r>
      <w:r w:rsidR="00CC6892">
        <w:t>OSHA,</w:t>
      </w:r>
      <w:r w:rsidR="002021DF" w:rsidRPr="002B549B">
        <w:t xml:space="preserve"> 2023</w:t>
      </w:r>
      <w:r w:rsidR="009E34EA" w:rsidRPr="002B549B">
        <w:t>)</w:t>
      </w:r>
      <w:r w:rsidR="00EC078F" w:rsidRPr="002B549B">
        <w:t xml:space="preserve">. </w:t>
      </w:r>
      <w:r w:rsidR="00200C16" w:rsidRPr="002B549B">
        <w:t xml:space="preserve">The </w:t>
      </w:r>
      <w:r w:rsidR="00630E6C">
        <w:t>overall</w:t>
      </w:r>
      <w:r w:rsidR="00B131AD">
        <w:t xml:space="preserve"> </w:t>
      </w:r>
      <w:r w:rsidR="00200C16" w:rsidRPr="002B549B">
        <w:t>process safet</w:t>
      </w:r>
      <w:r w:rsidR="00F47468">
        <w:t>y</w:t>
      </w:r>
      <w:r w:rsidR="00200C16" w:rsidRPr="002B549B">
        <w:t xml:space="preserve"> </w:t>
      </w:r>
      <w:r w:rsidR="00DA750E" w:rsidRPr="002B549B">
        <w:t>index (I</w:t>
      </w:r>
      <w:r w:rsidR="00DA750E" w:rsidRPr="00DC1F91">
        <w:rPr>
          <w:vertAlign w:val="subscript"/>
        </w:rPr>
        <w:t>PI</w:t>
      </w:r>
      <w:r w:rsidR="00DA750E" w:rsidRPr="002B549B">
        <w:t xml:space="preserve">) </w:t>
      </w:r>
      <w:r w:rsidR="00630E6C">
        <w:t xml:space="preserve">provided by Eq.(10) </w:t>
      </w:r>
      <w:r w:rsidR="003353A7">
        <w:t>is strictly related to</w:t>
      </w:r>
      <w:r w:rsidR="00E005E6">
        <w:t xml:space="preserve"> the</w:t>
      </w:r>
      <w:r w:rsidR="003353A7">
        <w:t xml:space="preserve"> process equipment and </w:t>
      </w:r>
      <w:r w:rsidR="00E005E6">
        <w:t xml:space="preserve">the adopted </w:t>
      </w:r>
      <w:r w:rsidR="003353A7">
        <w:t xml:space="preserve">operating conditions. </w:t>
      </w:r>
    </w:p>
    <w:p w14:paraId="4BE59CA8" w14:textId="709322CA" w:rsidR="005878D5" w:rsidRPr="003C773C" w:rsidRDefault="00000000" w:rsidP="005878D5">
      <w:pPr>
        <w:pStyle w:val="CETBodytext"/>
        <w:spacing w:before="240" w:after="240"/>
      </w:pPr>
      <m:oMath>
        <m:sSub>
          <m:sSubPr>
            <m:ctrlPr>
              <w:rPr>
                <w:rFonts w:ascii="Cambria Math" w:hAnsi="Cambria Math"/>
                <w:i/>
                <w:lang w:val="it-IT"/>
              </w:rPr>
            </m:ctrlPr>
          </m:sSubPr>
          <m:e>
            <m:r>
              <w:rPr>
                <w:rFonts w:ascii="Cambria Math" w:hAnsi="Cambria Math"/>
                <w:lang w:val="it-IT"/>
              </w:rPr>
              <m:t>I</m:t>
            </m:r>
          </m:e>
          <m:sub>
            <m:r>
              <w:rPr>
                <w:rFonts w:ascii="Cambria Math" w:hAnsi="Cambria Math"/>
                <w:lang w:val="it-IT"/>
              </w:rPr>
              <m:t>PI</m:t>
            </m:r>
          </m:sub>
        </m:sSub>
        <m:r>
          <w:rPr>
            <w:rFonts w:ascii="Cambria Math" w:hAnsi="Cambria Math"/>
          </w:rPr>
          <m:t xml:space="preserve">= </m:t>
        </m:r>
        <m:sSub>
          <m:sSubPr>
            <m:ctrlPr>
              <w:rPr>
                <w:rFonts w:ascii="Cambria Math" w:hAnsi="Cambria Math"/>
                <w:i/>
                <w:lang w:val="it-IT"/>
              </w:rPr>
            </m:ctrlPr>
          </m:sSubPr>
          <m:e>
            <m:r>
              <w:rPr>
                <w:rFonts w:ascii="Cambria Math" w:hAnsi="Cambria Math"/>
                <w:lang w:val="it-IT"/>
              </w:rPr>
              <m:t>I</m:t>
            </m:r>
            <m:ctrlPr>
              <w:rPr>
                <w:rFonts w:ascii="Cambria Math" w:hAnsi="Cambria Math"/>
                <w:i/>
              </w:rPr>
            </m:ctrlPr>
          </m:e>
          <m:sub>
            <m:r>
              <w:rPr>
                <w:rFonts w:ascii="Cambria Math" w:hAnsi="Cambria Math"/>
                <w:lang w:val="it-IT"/>
              </w:rPr>
              <m:t>I</m:t>
            </m:r>
            <m:r>
              <w:rPr>
                <w:rFonts w:ascii="Cambria Math" w:hAnsi="Cambria Math"/>
              </w:rPr>
              <m:t>,</m:t>
            </m:r>
            <m:r>
              <w:rPr>
                <w:rFonts w:ascii="Cambria Math" w:hAnsi="Cambria Math"/>
                <w:lang w:val="it-IT"/>
              </w:rPr>
              <m:t>max</m:t>
            </m:r>
          </m:sub>
        </m:sSub>
        <m:r>
          <w:rPr>
            <w:rFonts w:ascii="Cambria Math" w:hAnsi="Cambria Math"/>
          </w:rPr>
          <m:t>+</m:t>
        </m:r>
        <m:sSub>
          <m:sSubPr>
            <m:ctrlPr>
              <w:rPr>
                <w:rFonts w:ascii="Cambria Math" w:hAnsi="Cambria Math"/>
                <w:i/>
                <w:lang w:val="it-IT"/>
              </w:rPr>
            </m:ctrlPr>
          </m:sSubPr>
          <m:e>
            <m:r>
              <w:rPr>
                <w:rFonts w:ascii="Cambria Math" w:hAnsi="Cambria Math"/>
                <w:lang w:val="it-IT"/>
              </w:rPr>
              <m:t>I</m:t>
            </m:r>
          </m:e>
          <m:sub>
            <m:r>
              <w:rPr>
                <w:rFonts w:ascii="Cambria Math" w:hAnsi="Cambria Math"/>
                <w:lang w:val="it-IT"/>
              </w:rPr>
              <m:t>T</m:t>
            </m:r>
            <m:r>
              <w:rPr>
                <w:rFonts w:ascii="Cambria Math" w:hAnsi="Cambria Math"/>
              </w:rPr>
              <m:t>,</m:t>
            </m:r>
            <m:r>
              <w:rPr>
                <w:rFonts w:ascii="Cambria Math" w:hAnsi="Cambria Math"/>
                <w:lang w:val="it-IT"/>
              </w:rPr>
              <m:t>max</m:t>
            </m:r>
          </m:sub>
        </m:sSub>
        <m:r>
          <w:rPr>
            <w:rFonts w:ascii="Cambria Math" w:hAnsi="Cambria Math"/>
          </w:rPr>
          <m:t>+</m:t>
        </m:r>
        <m:sSub>
          <m:sSubPr>
            <m:ctrlPr>
              <w:rPr>
                <w:rFonts w:ascii="Cambria Math" w:hAnsi="Cambria Math"/>
                <w:i/>
              </w:rPr>
            </m:ctrlPr>
          </m:sSubPr>
          <m:e>
            <m:r>
              <w:rPr>
                <w:rFonts w:ascii="Cambria Math" w:hAnsi="Cambria Math"/>
                <w:lang w:val="it-IT"/>
              </w:rPr>
              <m:t>I</m:t>
            </m:r>
            <m:ctrlPr>
              <w:rPr>
                <w:rFonts w:ascii="Cambria Math" w:hAnsi="Cambria Math"/>
                <w:i/>
                <w:lang w:val="it-IT"/>
              </w:rPr>
            </m:ctrlPr>
          </m:e>
          <m:sub>
            <m:r>
              <w:rPr>
                <w:rFonts w:ascii="Cambria Math" w:hAnsi="Cambria Math"/>
                <w:lang w:val="it-IT"/>
              </w:rPr>
              <m:t>P</m:t>
            </m:r>
            <m:r>
              <w:rPr>
                <w:rFonts w:ascii="Cambria Math" w:hAnsi="Cambria Math"/>
              </w:rPr>
              <m:t>,</m:t>
            </m:r>
            <m:r>
              <w:rPr>
                <w:rFonts w:ascii="Cambria Math" w:hAnsi="Cambria Math"/>
                <w:lang w:val="it-IT"/>
              </w:rPr>
              <m:t>max</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EQ</m:t>
            </m:r>
          </m:sub>
        </m:sSub>
      </m:oMath>
      <w:r w:rsidR="005878D5" w:rsidRPr="002B549B">
        <w:t xml:space="preserve">                                                                                                                                       (</w:t>
      </w:r>
      <w:r w:rsidR="002B549B" w:rsidRPr="00DC1F91">
        <w:t>10</w:t>
      </w:r>
      <w:r w:rsidR="005878D5" w:rsidRPr="002B549B">
        <w:t>)</w:t>
      </w:r>
      <w:r w:rsidR="005878D5">
        <w:t xml:space="preserve">                                </w:t>
      </w:r>
    </w:p>
    <w:p w14:paraId="55956479" w14:textId="17696FA5" w:rsidR="00EC078F" w:rsidRDefault="00EC078F" w:rsidP="00EC078F">
      <w:pPr>
        <w:pStyle w:val="CETBodytext"/>
      </w:pPr>
      <w:proofErr w:type="spellStart"/>
      <w:r w:rsidRPr="00CF11EE">
        <w:t>I</w:t>
      </w:r>
      <w:r w:rsidRPr="00CF11EE">
        <w:rPr>
          <w:vertAlign w:val="subscript"/>
        </w:rPr>
        <w:t>I</w:t>
      </w:r>
      <w:r w:rsidR="00EA144E">
        <w:rPr>
          <w:vertAlign w:val="subscript"/>
        </w:rPr>
        <w:t>,max</w:t>
      </w:r>
      <w:proofErr w:type="spellEnd"/>
      <w:r w:rsidRPr="00CF11EE">
        <w:t>,</w:t>
      </w:r>
      <w:r>
        <w:t xml:space="preserve"> the inventory </w:t>
      </w:r>
      <w:r w:rsidRPr="007329F2">
        <w:t xml:space="preserve">subindex, was defined </w:t>
      </w:r>
      <w:r w:rsidR="0020508E" w:rsidRPr="007329F2">
        <w:t>as a</w:t>
      </w:r>
      <w:r w:rsidRPr="007329F2">
        <w:t xml:space="preserve"> function of </w:t>
      </w:r>
      <w:r w:rsidR="005B6668" w:rsidRPr="007329F2">
        <w:t xml:space="preserve">the total </w:t>
      </w:r>
      <w:r w:rsidR="00FF21EE">
        <w:t xml:space="preserve">feed </w:t>
      </w:r>
      <w:r w:rsidR="005B6668" w:rsidRPr="007329F2">
        <w:t>flow</w:t>
      </w:r>
      <w:r w:rsidRPr="007329F2">
        <w:t xml:space="preserve"> </w:t>
      </w:r>
      <w:r w:rsidR="005B6668" w:rsidRPr="007329F2">
        <w:t xml:space="preserve">rate, </w:t>
      </w:r>
      <w:r w:rsidR="00FF21EE">
        <w:t>cons</w:t>
      </w:r>
      <w:r w:rsidR="006D0745">
        <w:t>i</w:t>
      </w:r>
      <w:r w:rsidR="00FF21EE">
        <w:t xml:space="preserve">sting of the sum </w:t>
      </w:r>
      <w:r w:rsidR="002B21B7">
        <w:t>of solvent and biomass flow rates</w:t>
      </w:r>
      <w:r w:rsidR="00750854">
        <w:t xml:space="preserve">. </w:t>
      </w:r>
      <w:r w:rsidR="004544DA">
        <w:t>P</w:t>
      </w:r>
      <w:r w:rsidR="00750854">
        <w:t>rocess stream</w:t>
      </w:r>
      <w:r w:rsidR="004544DA">
        <w:t xml:space="preserve"> calculation</w:t>
      </w:r>
      <w:r w:rsidR="00750854">
        <w:t xml:space="preserve"> w</w:t>
      </w:r>
      <w:r w:rsidR="004544DA">
        <w:t>as</w:t>
      </w:r>
      <w:r w:rsidR="00750854">
        <w:t xml:space="preserve"> </w:t>
      </w:r>
      <w:r w:rsidR="00F44C38">
        <w:t>based on batch experiment</w:t>
      </w:r>
      <w:r w:rsidR="004544DA">
        <w:t>al runs</w:t>
      </w:r>
      <w:r w:rsidR="00F44C38">
        <w:t>, by fixing the compounds of interest flow rate</w:t>
      </w:r>
      <w:r w:rsidR="00425E7D">
        <w:t xml:space="preserve"> equal to the highest experimentally obtained among the tested extraction techniques and process variables.</w:t>
      </w:r>
      <w:r w:rsidR="009E34EA">
        <w:t xml:space="preserve"> </w:t>
      </w:r>
      <w:r w:rsidR="004544DA">
        <w:t>T</w:t>
      </w:r>
      <w:r w:rsidR="009E34EA">
        <w:t>he</w:t>
      </w:r>
      <w:r w:rsidR="005B6668" w:rsidRPr="007329F2">
        <w:t xml:space="preserve"> liquid and the solid flow rates</w:t>
      </w:r>
      <w:r w:rsidR="004544DA">
        <w:t xml:space="preserve"> were</w:t>
      </w:r>
      <w:r w:rsidR="005B6668" w:rsidRPr="007329F2">
        <w:t xml:space="preserve"> normalized to a maximum TP flow rate as a product. </w:t>
      </w:r>
      <w:r w:rsidR="007329F2" w:rsidRPr="007329F2">
        <w:t>The input and</w:t>
      </w:r>
      <w:r w:rsidR="009E34EA">
        <w:t xml:space="preserve"> the</w:t>
      </w:r>
      <w:r w:rsidR="007329F2" w:rsidRPr="007329F2">
        <w:t xml:space="preserve"> output flow rates </w:t>
      </w:r>
      <w:r w:rsidR="009E34EA">
        <w:t xml:space="preserve">were defined as the </w:t>
      </w:r>
      <w:r w:rsidR="007329F2" w:rsidRPr="007329F2">
        <w:t>cumulative quantities needed to</w:t>
      </w:r>
      <w:r w:rsidR="007329F2">
        <w:t xml:space="preserve"> perform a defined number of extractions in 24 hours. The maximum number of feasible batches </w:t>
      </w:r>
      <w:r w:rsidR="0023594F">
        <w:t>per day</w:t>
      </w:r>
      <w:r w:rsidR="007329F2">
        <w:t xml:space="preserve"> </w:t>
      </w:r>
      <w:r w:rsidR="009E34EA">
        <w:t>for each extraction process was</w:t>
      </w:r>
      <w:r w:rsidR="007329F2">
        <w:t xml:space="preserve"> evaluated </w:t>
      </w:r>
      <w:r w:rsidR="0023594F">
        <w:t>considering both the</w:t>
      </w:r>
      <w:r w:rsidR="00CA3F15">
        <w:t xml:space="preserve"> extraction and dead times,</w:t>
      </w:r>
      <w:r w:rsidR="007329F2">
        <w:t xml:space="preserve"> </w:t>
      </w:r>
      <w:r w:rsidR="00CA3F15">
        <w:t xml:space="preserve">the latter </w:t>
      </w:r>
      <w:r w:rsidR="003F4905">
        <w:t>includ</w:t>
      </w:r>
      <w:r w:rsidR="00CA3F15">
        <w:t xml:space="preserve">ing </w:t>
      </w:r>
      <w:r w:rsidR="003F4905">
        <w:t xml:space="preserve">the </w:t>
      </w:r>
      <w:r w:rsidR="007329F2">
        <w:t xml:space="preserve">heating, cooling, </w:t>
      </w:r>
      <w:r w:rsidR="00CA3F15">
        <w:t>material loading</w:t>
      </w:r>
      <w:r w:rsidR="007329F2">
        <w:t>,</w:t>
      </w:r>
      <w:r w:rsidR="003F4905">
        <w:t xml:space="preserve"> </w:t>
      </w:r>
      <w:r w:rsidR="007329F2">
        <w:t>and discharging</w:t>
      </w:r>
      <w:r w:rsidR="003F4905">
        <w:t xml:space="preserve"> </w:t>
      </w:r>
      <w:r w:rsidR="00AE518B">
        <w:t>phases</w:t>
      </w:r>
      <w:r w:rsidR="007329F2">
        <w:t>.</w:t>
      </w:r>
      <w:r w:rsidR="00A01178">
        <w:t xml:space="preserve"> </w:t>
      </w:r>
      <w:proofErr w:type="spellStart"/>
      <w:r w:rsidR="007329F2" w:rsidRPr="000538DB">
        <w:t>I</w:t>
      </w:r>
      <w:r w:rsidR="007329F2" w:rsidRPr="000538DB">
        <w:rPr>
          <w:vertAlign w:val="subscript"/>
        </w:rPr>
        <w:t>T,max</w:t>
      </w:r>
      <w:proofErr w:type="spellEnd"/>
      <w:r w:rsidR="007329F2" w:rsidRPr="000538DB">
        <w:t xml:space="preserve"> and </w:t>
      </w:r>
      <w:proofErr w:type="spellStart"/>
      <w:r w:rsidR="007329F2" w:rsidRPr="000538DB">
        <w:t>I</w:t>
      </w:r>
      <w:r w:rsidR="007329F2" w:rsidRPr="000538DB">
        <w:rPr>
          <w:vertAlign w:val="subscript"/>
        </w:rPr>
        <w:t>P,max</w:t>
      </w:r>
      <w:proofErr w:type="spellEnd"/>
      <w:r w:rsidR="007329F2">
        <w:t xml:space="preserve"> </w:t>
      </w:r>
      <w:r w:rsidR="00A01178">
        <w:t>consider</w:t>
      </w:r>
      <w:r w:rsidR="007329F2">
        <w:t xml:space="preserve"> the maximum </w:t>
      </w:r>
      <w:r w:rsidR="00AA0D3C">
        <w:t>process</w:t>
      </w:r>
      <w:r w:rsidR="007329F2">
        <w:t xml:space="preserve"> </w:t>
      </w:r>
      <w:r>
        <w:t>temperatures and pressures</w:t>
      </w:r>
      <w:r w:rsidR="00B55164">
        <w:t>, respectively</w:t>
      </w:r>
      <w:r w:rsidR="00AA0D3C">
        <w:t xml:space="preserve">. </w:t>
      </w:r>
      <w:r w:rsidRPr="000538DB">
        <w:t>I</w:t>
      </w:r>
      <w:r w:rsidRPr="000538DB">
        <w:rPr>
          <w:vertAlign w:val="subscript"/>
        </w:rPr>
        <w:t>EQ</w:t>
      </w:r>
      <w:r>
        <w:t xml:space="preserve"> was associated to equipment</w:t>
      </w:r>
      <w:r w:rsidR="0098763B">
        <w:t xml:space="preserve"> complexity</w:t>
      </w:r>
      <w:r w:rsidR="002B0540">
        <w:t xml:space="preserve">, in agreement with </w:t>
      </w:r>
      <w:r w:rsidR="009D3073">
        <w:t>“</w:t>
      </w:r>
      <w:r w:rsidR="00590B02">
        <w:t>simplification</w:t>
      </w:r>
      <w:r w:rsidR="009D3073">
        <w:t>”</w:t>
      </w:r>
      <w:r w:rsidR="00590B02">
        <w:t xml:space="preserve"> pr</w:t>
      </w:r>
      <w:r w:rsidR="000D104E">
        <w:t>inciple of inherent safety design.</w:t>
      </w:r>
      <w:r w:rsidR="0020508E">
        <w:t xml:space="preserve"> </w:t>
      </w:r>
      <w:r w:rsidR="003C2BF7">
        <w:t>Index values</w:t>
      </w:r>
      <w:r w:rsidR="00724B69">
        <w:t xml:space="preserve"> were assigned according to the </w:t>
      </w:r>
      <w:r>
        <w:t xml:space="preserve">checklist reported in Table </w:t>
      </w:r>
      <w:r w:rsidR="009E34EA">
        <w:t>1</w:t>
      </w:r>
      <w:r>
        <w:t xml:space="preserve">. Answers </w:t>
      </w:r>
      <w:r w:rsidR="005914D8">
        <w:t xml:space="preserve">to </w:t>
      </w:r>
      <w:r w:rsidR="006D0745">
        <w:t xml:space="preserve">the </w:t>
      </w:r>
      <w:r w:rsidR="005914D8">
        <w:t xml:space="preserve">proposed questions </w:t>
      </w:r>
      <w:r w:rsidR="00DF7140">
        <w:t xml:space="preserve">were provided </w:t>
      </w:r>
      <w:r w:rsidR="00630E6C">
        <w:t xml:space="preserve">by expert elicitation, </w:t>
      </w:r>
      <w:r w:rsidR="002D3F1C">
        <w:t>on the basis of specific numerical parameters</w:t>
      </w:r>
      <w:r w:rsidR="005F7C38">
        <w:t xml:space="preserve"> (LEL, UEL, </w:t>
      </w:r>
      <w:r w:rsidR="005F7C38" w:rsidRPr="00197706">
        <w:t>TLV</w:t>
      </w:r>
      <w:r w:rsidR="005F7C38">
        <w:t>, etc.)</w:t>
      </w:r>
      <w:r w:rsidR="002D3F1C">
        <w:t xml:space="preserve">, experience, and </w:t>
      </w:r>
      <w:r w:rsidR="005F7C38">
        <w:t>targeted literature review</w:t>
      </w:r>
      <w:r w:rsidR="004544DA">
        <w:t>,</w:t>
      </w:r>
      <w:r w:rsidR="005F7C38">
        <w:t xml:space="preserve"> </w:t>
      </w:r>
      <w:r>
        <w:t>for both chemicals and process factors</w:t>
      </w:r>
      <w:r w:rsidR="004544DA">
        <w:t>.</w:t>
      </w:r>
    </w:p>
    <w:p w14:paraId="5F3C54BD" w14:textId="5AB075BA" w:rsidR="00EC078F" w:rsidRPr="00B57B36" w:rsidRDefault="00EC078F" w:rsidP="00EC078F">
      <w:pPr>
        <w:pStyle w:val="CETTabletitle"/>
      </w:pPr>
      <w:r w:rsidRPr="00B57B36">
        <w:t xml:space="preserve">Table </w:t>
      </w:r>
      <w:r w:rsidR="009E34EA">
        <w:t>1</w:t>
      </w:r>
      <w:r w:rsidRPr="00B57B36">
        <w:t xml:space="preserve">: </w:t>
      </w:r>
      <w:r>
        <w:t>C</w:t>
      </w:r>
      <w:r w:rsidRPr="004C2AAE">
        <w:t xml:space="preserve">hecklist </w:t>
      </w:r>
      <w:r>
        <w:t>to qualitatively evaluate</w:t>
      </w:r>
      <w:r w:rsidRPr="004C2AAE">
        <w:t xml:space="preserve"> the inherent </w:t>
      </w:r>
      <w:r>
        <w:t>safety</w:t>
      </w:r>
      <w:r w:rsidRPr="004C2AAE">
        <w:t xml:space="preserve"> of </w:t>
      </w:r>
      <w:r>
        <w:t>chemicals, process, and equipment involved in the process alternatives under study</w:t>
      </w:r>
      <w:r w:rsidR="00CC186D">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7655"/>
      </w:tblGrid>
      <w:tr w:rsidR="00EC078F" w:rsidRPr="00831BEA" w14:paraId="7F82D7F7" w14:textId="77777777" w:rsidTr="00525921">
        <w:tc>
          <w:tcPr>
            <w:tcW w:w="1134" w:type="dxa"/>
            <w:tcBorders>
              <w:top w:val="single" w:sz="12" w:space="0" w:color="008000"/>
              <w:bottom w:val="single" w:sz="6" w:space="0" w:color="008000"/>
            </w:tcBorders>
            <w:shd w:val="clear" w:color="auto" w:fill="FFFFFF"/>
            <w:vAlign w:val="center"/>
          </w:tcPr>
          <w:p w14:paraId="288BCE3F" w14:textId="77777777" w:rsidR="00EC078F" w:rsidRPr="00831BEA" w:rsidRDefault="00EC078F" w:rsidP="00525921">
            <w:pPr>
              <w:pStyle w:val="CETBodytext"/>
              <w:jc w:val="left"/>
              <w:rPr>
                <w:sz w:val="16"/>
                <w:szCs w:val="18"/>
                <w:lang w:val="en-GB"/>
              </w:rPr>
            </w:pPr>
            <w:r w:rsidRPr="00831BEA">
              <w:rPr>
                <w:sz w:val="16"/>
                <w:szCs w:val="18"/>
                <w:lang w:val="en-GB"/>
              </w:rPr>
              <w:t xml:space="preserve">Question number </w:t>
            </w:r>
          </w:p>
        </w:tc>
        <w:tc>
          <w:tcPr>
            <w:tcW w:w="7655" w:type="dxa"/>
            <w:tcBorders>
              <w:top w:val="single" w:sz="12" w:space="0" w:color="008000"/>
              <w:bottom w:val="single" w:sz="6" w:space="0" w:color="008000"/>
            </w:tcBorders>
            <w:shd w:val="clear" w:color="auto" w:fill="FFFFFF"/>
            <w:vAlign w:val="center"/>
          </w:tcPr>
          <w:p w14:paraId="16741CD5" w14:textId="77777777" w:rsidR="00EC078F" w:rsidRPr="00831BEA" w:rsidRDefault="00EC078F" w:rsidP="00525921">
            <w:pPr>
              <w:pStyle w:val="CETBodytext"/>
              <w:ind w:right="-1"/>
              <w:jc w:val="left"/>
              <w:rPr>
                <w:rFonts w:cs="Arial"/>
                <w:sz w:val="16"/>
                <w:szCs w:val="18"/>
                <w:lang w:val="en-GB"/>
              </w:rPr>
            </w:pPr>
            <w:r w:rsidRPr="00831BEA">
              <w:rPr>
                <w:rFonts w:cs="Arial"/>
                <w:sz w:val="16"/>
                <w:szCs w:val="18"/>
                <w:lang w:val="en-GB"/>
              </w:rPr>
              <w:t>Question</w:t>
            </w:r>
          </w:p>
        </w:tc>
      </w:tr>
      <w:tr w:rsidR="00EC078F" w:rsidRPr="00831BEA" w14:paraId="05D0E4C5" w14:textId="77777777" w:rsidTr="00525921">
        <w:tc>
          <w:tcPr>
            <w:tcW w:w="8789" w:type="dxa"/>
            <w:gridSpan w:val="2"/>
            <w:tcBorders>
              <w:top w:val="single" w:sz="12" w:space="0" w:color="008000"/>
              <w:bottom w:val="single" w:sz="6" w:space="0" w:color="008000"/>
            </w:tcBorders>
            <w:shd w:val="clear" w:color="auto" w:fill="FFFFFF"/>
          </w:tcPr>
          <w:p w14:paraId="59A40E99" w14:textId="77777777" w:rsidR="00EC078F" w:rsidRPr="00831BEA" w:rsidRDefault="00EC078F" w:rsidP="00525921">
            <w:pPr>
              <w:pStyle w:val="CETBodytext"/>
              <w:ind w:right="-1"/>
              <w:rPr>
                <w:rFonts w:cs="Arial"/>
                <w:i/>
                <w:iCs/>
                <w:sz w:val="16"/>
                <w:szCs w:val="18"/>
                <w:lang w:val="en-GB"/>
              </w:rPr>
            </w:pPr>
            <w:r w:rsidRPr="00831BEA">
              <w:rPr>
                <w:rFonts w:cs="Arial"/>
                <w:i/>
                <w:iCs/>
                <w:sz w:val="16"/>
                <w:szCs w:val="18"/>
                <w:lang w:val="en-GB"/>
              </w:rPr>
              <w:t>Chemicals</w:t>
            </w:r>
          </w:p>
        </w:tc>
      </w:tr>
      <w:tr w:rsidR="00EC078F" w:rsidRPr="00831BEA" w14:paraId="2830D6E0" w14:textId="77777777" w:rsidTr="00525921">
        <w:tc>
          <w:tcPr>
            <w:tcW w:w="1134" w:type="dxa"/>
            <w:shd w:val="clear" w:color="auto" w:fill="FFFFFF"/>
          </w:tcPr>
          <w:p w14:paraId="7601FA07" w14:textId="35DDCCA3" w:rsidR="00EC078F" w:rsidRPr="00831BEA" w:rsidRDefault="005D0082" w:rsidP="00525921">
            <w:pPr>
              <w:pStyle w:val="CETBodytext"/>
              <w:rPr>
                <w:sz w:val="16"/>
                <w:szCs w:val="18"/>
                <w:lang w:val="en-GB"/>
              </w:rPr>
            </w:pPr>
            <w:r>
              <w:rPr>
                <w:sz w:val="16"/>
                <w:szCs w:val="18"/>
                <w:lang w:val="en-GB"/>
              </w:rPr>
              <w:t>1</w:t>
            </w:r>
          </w:p>
        </w:tc>
        <w:tc>
          <w:tcPr>
            <w:tcW w:w="7655" w:type="dxa"/>
            <w:shd w:val="clear" w:color="auto" w:fill="FFFFFF"/>
          </w:tcPr>
          <w:p w14:paraId="44E1DEE5"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is the hazard level of the boiling temperature of the chemicals involved in the reaction?</w:t>
            </w:r>
          </w:p>
        </w:tc>
      </w:tr>
      <w:tr w:rsidR="00EC078F" w:rsidRPr="00831BEA" w14:paraId="6D4800A5" w14:textId="77777777" w:rsidTr="00525921">
        <w:tc>
          <w:tcPr>
            <w:tcW w:w="1134" w:type="dxa"/>
            <w:shd w:val="clear" w:color="auto" w:fill="FFFFFF"/>
          </w:tcPr>
          <w:p w14:paraId="74B0277D" w14:textId="3F85DA84" w:rsidR="00EC078F" w:rsidRPr="00831BEA" w:rsidRDefault="005D0082" w:rsidP="00525921">
            <w:pPr>
              <w:pStyle w:val="CETBodytext"/>
              <w:ind w:right="-1"/>
              <w:rPr>
                <w:rFonts w:cs="Arial"/>
                <w:sz w:val="16"/>
                <w:szCs w:val="18"/>
                <w:lang w:val="en-GB"/>
              </w:rPr>
            </w:pPr>
            <w:r>
              <w:rPr>
                <w:rFonts w:cs="Arial"/>
                <w:sz w:val="16"/>
                <w:szCs w:val="18"/>
                <w:lang w:val="en-GB"/>
              </w:rPr>
              <w:t>2</w:t>
            </w:r>
          </w:p>
        </w:tc>
        <w:tc>
          <w:tcPr>
            <w:tcW w:w="7655" w:type="dxa"/>
            <w:shd w:val="clear" w:color="auto" w:fill="FFFFFF"/>
          </w:tcPr>
          <w:p w14:paraId="24E7D7A1"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is the flashpoint of each component of the mixture?</w:t>
            </w:r>
          </w:p>
        </w:tc>
      </w:tr>
      <w:tr w:rsidR="00EC078F" w:rsidRPr="00831BEA" w14:paraId="3F3A8E18" w14:textId="77777777" w:rsidTr="00525921">
        <w:tc>
          <w:tcPr>
            <w:tcW w:w="1134" w:type="dxa"/>
            <w:shd w:val="clear" w:color="auto" w:fill="FFFFFF"/>
          </w:tcPr>
          <w:p w14:paraId="7E4DACE1" w14:textId="35F77340" w:rsidR="00EC078F" w:rsidRPr="00831BEA" w:rsidRDefault="005D0082" w:rsidP="00525921">
            <w:pPr>
              <w:pStyle w:val="CETBodytext"/>
              <w:ind w:right="-1"/>
              <w:rPr>
                <w:rFonts w:cs="Arial"/>
                <w:sz w:val="16"/>
                <w:szCs w:val="18"/>
                <w:lang w:val="en-GB"/>
              </w:rPr>
            </w:pPr>
            <w:r>
              <w:rPr>
                <w:rFonts w:cs="Arial"/>
                <w:sz w:val="16"/>
                <w:szCs w:val="18"/>
                <w:lang w:val="en-GB"/>
              </w:rPr>
              <w:t>3</w:t>
            </w:r>
          </w:p>
        </w:tc>
        <w:tc>
          <w:tcPr>
            <w:tcW w:w="7655" w:type="dxa"/>
            <w:shd w:val="clear" w:color="auto" w:fill="FFFFFF"/>
          </w:tcPr>
          <w:p w14:paraId="04EE2628"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are the explosivity limits of each component of the mixture?</w:t>
            </w:r>
          </w:p>
        </w:tc>
      </w:tr>
      <w:tr w:rsidR="00EC078F" w:rsidRPr="00831BEA" w14:paraId="4C0431C2" w14:textId="77777777" w:rsidTr="00525921">
        <w:tc>
          <w:tcPr>
            <w:tcW w:w="1134" w:type="dxa"/>
            <w:shd w:val="clear" w:color="auto" w:fill="FFFFFF"/>
          </w:tcPr>
          <w:p w14:paraId="446A0616" w14:textId="204DBD23" w:rsidR="00EC078F" w:rsidRPr="00831BEA" w:rsidRDefault="005D0082" w:rsidP="00525921">
            <w:pPr>
              <w:pStyle w:val="CETBodytext"/>
              <w:ind w:right="-1"/>
              <w:rPr>
                <w:rFonts w:cs="Arial"/>
                <w:sz w:val="16"/>
                <w:szCs w:val="18"/>
                <w:lang w:val="en-GB"/>
              </w:rPr>
            </w:pPr>
            <w:r>
              <w:rPr>
                <w:rFonts w:cs="Arial"/>
                <w:sz w:val="16"/>
                <w:szCs w:val="18"/>
                <w:lang w:val="en-GB"/>
              </w:rPr>
              <w:t>4</w:t>
            </w:r>
          </w:p>
        </w:tc>
        <w:tc>
          <w:tcPr>
            <w:tcW w:w="7655" w:type="dxa"/>
            <w:shd w:val="clear" w:color="auto" w:fill="FFFFFF"/>
          </w:tcPr>
          <w:p w14:paraId="32784BE4"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Are the chemicals involved in the process stable at the chosen operating condition?</w:t>
            </w:r>
          </w:p>
        </w:tc>
      </w:tr>
      <w:tr w:rsidR="00EC078F" w:rsidRPr="00831BEA" w14:paraId="5CD2457A" w14:textId="77777777" w:rsidTr="00525921">
        <w:tc>
          <w:tcPr>
            <w:tcW w:w="1134" w:type="dxa"/>
            <w:shd w:val="clear" w:color="auto" w:fill="FFFFFF"/>
          </w:tcPr>
          <w:p w14:paraId="57F5C7B3" w14:textId="61EBD7E1" w:rsidR="00EC078F" w:rsidRPr="00831BEA" w:rsidRDefault="005D0082" w:rsidP="00525921">
            <w:pPr>
              <w:pStyle w:val="CETBodytext"/>
              <w:ind w:right="-1"/>
              <w:rPr>
                <w:rFonts w:cs="Arial"/>
                <w:sz w:val="16"/>
                <w:szCs w:val="18"/>
                <w:lang w:val="en-GB"/>
              </w:rPr>
            </w:pPr>
            <w:r>
              <w:rPr>
                <w:rFonts w:cs="Arial"/>
                <w:sz w:val="16"/>
                <w:szCs w:val="18"/>
                <w:lang w:val="en-GB"/>
              </w:rPr>
              <w:t>5</w:t>
            </w:r>
          </w:p>
        </w:tc>
        <w:tc>
          <w:tcPr>
            <w:tcW w:w="7655" w:type="dxa"/>
            <w:shd w:val="clear" w:color="auto" w:fill="FFFFFF"/>
          </w:tcPr>
          <w:p w14:paraId="0AFB1145" w14:textId="3D6BE825" w:rsidR="00EC078F" w:rsidRPr="00831BEA" w:rsidRDefault="00EC078F" w:rsidP="00525921">
            <w:pPr>
              <w:pStyle w:val="CETBodytext"/>
              <w:ind w:right="-1"/>
              <w:rPr>
                <w:rFonts w:cs="Arial"/>
                <w:sz w:val="16"/>
                <w:szCs w:val="18"/>
                <w:lang w:val="en-GB"/>
              </w:rPr>
            </w:pPr>
            <w:r w:rsidRPr="00831BEA">
              <w:rPr>
                <w:rFonts w:cs="Arial"/>
                <w:sz w:val="16"/>
                <w:szCs w:val="18"/>
                <w:lang w:val="en-GB"/>
              </w:rPr>
              <w:t xml:space="preserve">What is the toxicity level of the chemicals involved in the </w:t>
            </w:r>
            <w:r w:rsidR="00FD313B">
              <w:rPr>
                <w:rFonts w:cs="Arial"/>
                <w:sz w:val="16"/>
                <w:szCs w:val="18"/>
                <w:lang w:val="en-GB"/>
              </w:rPr>
              <w:t>extraction</w:t>
            </w:r>
            <w:r w:rsidRPr="00831BEA">
              <w:rPr>
                <w:rFonts w:cs="Arial"/>
                <w:sz w:val="16"/>
                <w:szCs w:val="18"/>
                <w:lang w:val="en-GB"/>
              </w:rPr>
              <w:t>?</w:t>
            </w:r>
          </w:p>
        </w:tc>
      </w:tr>
      <w:tr w:rsidR="00EC078F" w:rsidRPr="00831BEA" w14:paraId="12B02F08" w14:textId="77777777" w:rsidTr="00525921">
        <w:tc>
          <w:tcPr>
            <w:tcW w:w="1134" w:type="dxa"/>
            <w:tcBorders>
              <w:bottom w:val="single" w:sz="4" w:space="0" w:color="00B050"/>
            </w:tcBorders>
            <w:shd w:val="clear" w:color="auto" w:fill="FFFFFF"/>
          </w:tcPr>
          <w:p w14:paraId="09C0491E" w14:textId="52C17EA7" w:rsidR="00EC078F" w:rsidRPr="00831BEA" w:rsidRDefault="005D0082" w:rsidP="00525921">
            <w:pPr>
              <w:pStyle w:val="CETBodytext"/>
              <w:ind w:right="-1"/>
              <w:rPr>
                <w:rFonts w:cs="Arial"/>
                <w:sz w:val="16"/>
                <w:szCs w:val="18"/>
                <w:lang w:val="en-GB"/>
              </w:rPr>
            </w:pPr>
            <w:r>
              <w:rPr>
                <w:rFonts w:cs="Arial"/>
                <w:sz w:val="16"/>
                <w:szCs w:val="18"/>
                <w:lang w:val="en-GB"/>
              </w:rPr>
              <w:t>6</w:t>
            </w:r>
          </w:p>
        </w:tc>
        <w:tc>
          <w:tcPr>
            <w:tcW w:w="7655" w:type="dxa"/>
            <w:tcBorders>
              <w:bottom w:val="single" w:sz="4" w:space="0" w:color="00B050"/>
            </w:tcBorders>
            <w:shd w:val="clear" w:color="auto" w:fill="FFFFFF"/>
          </w:tcPr>
          <w:p w14:paraId="30C1B7AD" w14:textId="6FB5A4BC" w:rsidR="00EC078F" w:rsidRPr="00831BEA" w:rsidRDefault="00EC078F" w:rsidP="00525921">
            <w:pPr>
              <w:pStyle w:val="CETBodytext"/>
              <w:ind w:right="-1"/>
              <w:rPr>
                <w:rFonts w:cs="Arial"/>
                <w:sz w:val="16"/>
                <w:szCs w:val="18"/>
                <w:lang w:val="en-GB"/>
              </w:rPr>
            </w:pPr>
            <w:r w:rsidRPr="00831BEA">
              <w:rPr>
                <w:rFonts w:cs="Arial"/>
                <w:sz w:val="16"/>
                <w:szCs w:val="18"/>
                <w:lang w:val="en-GB"/>
              </w:rPr>
              <w:t xml:space="preserve">What is the corrosiveness level of the chemicals involved in the </w:t>
            </w:r>
            <w:r w:rsidR="00FD313B">
              <w:rPr>
                <w:rFonts w:cs="Arial"/>
                <w:sz w:val="16"/>
                <w:szCs w:val="18"/>
                <w:lang w:val="en-GB"/>
              </w:rPr>
              <w:t>extraction</w:t>
            </w:r>
            <w:r w:rsidRPr="00831BEA">
              <w:rPr>
                <w:rFonts w:cs="Arial"/>
                <w:sz w:val="16"/>
                <w:szCs w:val="18"/>
                <w:lang w:val="en-GB"/>
              </w:rPr>
              <w:t>?</w:t>
            </w:r>
          </w:p>
        </w:tc>
      </w:tr>
      <w:tr w:rsidR="00EC078F" w:rsidRPr="00831BEA" w14:paraId="528A1149" w14:textId="77777777" w:rsidTr="00525921">
        <w:tc>
          <w:tcPr>
            <w:tcW w:w="8789" w:type="dxa"/>
            <w:gridSpan w:val="2"/>
            <w:tcBorders>
              <w:top w:val="single" w:sz="4" w:space="0" w:color="9BBB59" w:themeColor="accent3"/>
              <w:bottom w:val="single" w:sz="6" w:space="0" w:color="008000"/>
            </w:tcBorders>
            <w:shd w:val="clear" w:color="auto" w:fill="FFFFFF"/>
          </w:tcPr>
          <w:p w14:paraId="0C090ED1" w14:textId="77777777" w:rsidR="00EC078F" w:rsidRPr="00831BEA" w:rsidRDefault="00EC078F" w:rsidP="00525921">
            <w:pPr>
              <w:pStyle w:val="CETBodytext"/>
              <w:ind w:right="-1"/>
              <w:rPr>
                <w:rFonts w:cs="Arial"/>
                <w:i/>
                <w:iCs/>
                <w:sz w:val="16"/>
                <w:szCs w:val="18"/>
                <w:lang w:val="en-GB"/>
              </w:rPr>
            </w:pPr>
            <w:r w:rsidRPr="00831BEA">
              <w:rPr>
                <w:rFonts w:cs="Arial"/>
                <w:i/>
                <w:iCs/>
                <w:sz w:val="16"/>
                <w:szCs w:val="18"/>
                <w:lang w:val="en-GB"/>
              </w:rPr>
              <w:t>Process and equipment</w:t>
            </w:r>
          </w:p>
        </w:tc>
      </w:tr>
      <w:tr w:rsidR="00EC078F" w:rsidRPr="00831BEA" w14:paraId="04EEF13E" w14:textId="77777777" w:rsidTr="00525921">
        <w:tc>
          <w:tcPr>
            <w:tcW w:w="1134" w:type="dxa"/>
            <w:shd w:val="clear" w:color="auto" w:fill="FFFFFF"/>
          </w:tcPr>
          <w:p w14:paraId="15C6018D"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1</w:t>
            </w:r>
          </w:p>
        </w:tc>
        <w:tc>
          <w:tcPr>
            <w:tcW w:w="7655" w:type="dxa"/>
            <w:shd w:val="clear" w:color="auto" w:fill="FFFFFF"/>
          </w:tcPr>
          <w:p w14:paraId="68364481" w14:textId="05347555" w:rsidR="00EC078F" w:rsidRPr="00831BEA" w:rsidRDefault="00CC186D" w:rsidP="00525921">
            <w:pPr>
              <w:pStyle w:val="CETBodytext"/>
              <w:ind w:right="-1"/>
              <w:rPr>
                <w:rFonts w:cs="Arial"/>
                <w:sz w:val="16"/>
                <w:szCs w:val="18"/>
                <w:lang w:val="en-GB"/>
              </w:rPr>
            </w:pPr>
            <w:r>
              <w:rPr>
                <w:rFonts w:cs="Arial"/>
                <w:sz w:val="16"/>
                <w:szCs w:val="18"/>
                <w:lang w:val="en-GB"/>
              </w:rPr>
              <w:t xml:space="preserve">Does </w:t>
            </w:r>
            <w:r w:rsidR="00EC078F" w:rsidRPr="00831BEA">
              <w:rPr>
                <w:rFonts w:cs="Arial"/>
                <w:sz w:val="16"/>
                <w:szCs w:val="18"/>
                <w:lang w:val="en-GB"/>
              </w:rPr>
              <w:t xml:space="preserve">the </w:t>
            </w:r>
            <w:r w:rsidR="00FD313B">
              <w:rPr>
                <w:rFonts w:cs="Arial"/>
                <w:sz w:val="16"/>
                <w:szCs w:val="18"/>
                <w:lang w:val="en-GB"/>
              </w:rPr>
              <w:t>inlet</w:t>
            </w:r>
            <w:r w:rsidR="00FD313B" w:rsidRPr="00831BEA">
              <w:rPr>
                <w:rFonts w:cs="Arial"/>
                <w:sz w:val="16"/>
                <w:szCs w:val="18"/>
                <w:lang w:val="en-GB"/>
              </w:rPr>
              <w:t xml:space="preserve"> </w:t>
            </w:r>
            <w:r w:rsidR="00EC078F" w:rsidRPr="00831BEA">
              <w:rPr>
                <w:rFonts w:cs="Arial"/>
                <w:sz w:val="16"/>
                <w:szCs w:val="18"/>
                <w:lang w:val="en-GB"/>
              </w:rPr>
              <w:t xml:space="preserve">mass flow to the process </w:t>
            </w:r>
            <w:r>
              <w:rPr>
                <w:rFonts w:cs="Arial"/>
                <w:sz w:val="16"/>
                <w:szCs w:val="18"/>
                <w:lang w:val="en-GB"/>
              </w:rPr>
              <w:t>constitute a relevant</w:t>
            </w:r>
            <w:r w:rsidR="00EC078F" w:rsidRPr="00831BEA">
              <w:rPr>
                <w:rFonts w:cs="Arial"/>
                <w:sz w:val="16"/>
                <w:szCs w:val="18"/>
                <w:lang w:val="en-GB"/>
              </w:rPr>
              <w:t xml:space="preserve"> hazard?</w:t>
            </w:r>
          </w:p>
        </w:tc>
      </w:tr>
      <w:tr w:rsidR="00EC078F" w:rsidRPr="00831BEA" w14:paraId="5A251074" w14:textId="77777777" w:rsidTr="00525921">
        <w:tc>
          <w:tcPr>
            <w:tcW w:w="1134" w:type="dxa"/>
            <w:shd w:val="clear" w:color="auto" w:fill="FFFFFF"/>
          </w:tcPr>
          <w:p w14:paraId="5DA98BF9"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2</w:t>
            </w:r>
          </w:p>
        </w:tc>
        <w:tc>
          <w:tcPr>
            <w:tcW w:w="7655" w:type="dxa"/>
            <w:shd w:val="clear" w:color="auto" w:fill="FFFFFF"/>
          </w:tcPr>
          <w:p w14:paraId="4C6BAEFD" w14:textId="4885E2AB" w:rsidR="00EC078F" w:rsidRPr="00831BEA" w:rsidRDefault="00EC078F" w:rsidP="00525921">
            <w:pPr>
              <w:pStyle w:val="CETBodytext"/>
              <w:ind w:right="-1"/>
              <w:rPr>
                <w:rFonts w:cs="Arial"/>
                <w:sz w:val="16"/>
                <w:szCs w:val="18"/>
                <w:lang w:val="en-GB"/>
              </w:rPr>
            </w:pPr>
            <w:r w:rsidRPr="00831BEA">
              <w:rPr>
                <w:rFonts w:cs="Arial"/>
                <w:sz w:val="16"/>
                <w:szCs w:val="18"/>
                <w:lang w:val="en-GB"/>
              </w:rPr>
              <w:t xml:space="preserve">What is the volume level of the chemicals in the process tanks and </w:t>
            </w:r>
            <w:r w:rsidR="00532001">
              <w:rPr>
                <w:rFonts w:cs="Arial"/>
                <w:sz w:val="16"/>
                <w:szCs w:val="18"/>
                <w:lang w:val="en-GB"/>
              </w:rPr>
              <w:t>extractors</w:t>
            </w:r>
            <w:r w:rsidRPr="00831BEA">
              <w:rPr>
                <w:rFonts w:cs="Arial"/>
                <w:sz w:val="16"/>
                <w:szCs w:val="18"/>
                <w:lang w:val="en-GB"/>
              </w:rPr>
              <w:t>?</w:t>
            </w:r>
          </w:p>
        </w:tc>
      </w:tr>
      <w:tr w:rsidR="00EC078F" w:rsidRPr="00831BEA" w14:paraId="3C9709CA" w14:textId="77777777" w:rsidTr="00525921">
        <w:tc>
          <w:tcPr>
            <w:tcW w:w="1134" w:type="dxa"/>
            <w:shd w:val="clear" w:color="auto" w:fill="FFFFFF"/>
          </w:tcPr>
          <w:p w14:paraId="5AF5053C"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3</w:t>
            </w:r>
          </w:p>
        </w:tc>
        <w:tc>
          <w:tcPr>
            <w:tcW w:w="7655" w:type="dxa"/>
            <w:shd w:val="clear" w:color="auto" w:fill="FFFFFF"/>
          </w:tcPr>
          <w:p w14:paraId="04D6B980" w14:textId="53559B14" w:rsidR="00EC078F" w:rsidRPr="00831BEA" w:rsidRDefault="00EC078F" w:rsidP="00525921">
            <w:pPr>
              <w:pStyle w:val="CETBodytext"/>
              <w:ind w:right="-1"/>
              <w:rPr>
                <w:rFonts w:cs="Arial"/>
                <w:sz w:val="16"/>
                <w:szCs w:val="18"/>
                <w:lang w:val="en-GB"/>
              </w:rPr>
            </w:pPr>
            <w:r w:rsidRPr="00831BEA">
              <w:rPr>
                <w:rFonts w:cs="Arial"/>
                <w:sz w:val="16"/>
                <w:szCs w:val="18"/>
                <w:lang w:val="en-GB"/>
              </w:rPr>
              <w:t xml:space="preserve">How many process control devices are </w:t>
            </w:r>
            <w:r w:rsidR="00532001">
              <w:rPr>
                <w:rFonts w:cs="Arial"/>
                <w:sz w:val="16"/>
                <w:szCs w:val="18"/>
                <w:lang w:val="en-GB"/>
              </w:rPr>
              <w:t>needed</w:t>
            </w:r>
            <w:r w:rsidRPr="00831BEA">
              <w:rPr>
                <w:rFonts w:cs="Arial"/>
                <w:sz w:val="16"/>
                <w:szCs w:val="18"/>
                <w:lang w:val="en-GB"/>
              </w:rPr>
              <w:t>?</w:t>
            </w:r>
          </w:p>
        </w:tc>
      </w:tr>
      <w:tr w:rsidR="00EC078F" w:rsidRPr="00831BEA" w14:paraId="72AADACB" w14:textId="77777777" w:rsidTr="00525921">
        <w:tc>
          <w:tcPr>
            <w:tcW w:w="1134" w:type="dxa"/>
            <w:shd w:val="clear" w:color="auto" w:fill="FFFFFF"/>
          </w:tcPr>
          <w:p w14:paraId="095F5D42"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4</w:t>
            </w:r>
          </w:p>
        </w:tc>
        <w:tc>
          <w:tcPr>
            <w:tcW w:w="7655" w:type="dxa"/>
            <w:shd w:val="clear" w:color="auto" w:fill="FFFFFF"/>
          </w:tcPr>
          <w:p w14:paraId="2A895C68"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is the maximum achievable temperature?</w:t>
            </w:r>
          </w:p>
        </w:tc>
      </w:tr>
      <w:tr w:rsidR="00EC078F" w:rsidRPr="00831BEA" w14:paraId="62E02B58" w14:textId="77777777" w:rsidTr="00525921">
        <w:tc>
          <w:tcPr>
            <w:tcW w:w="1134" w:type="dxa"/>
            <w:shd w:val="clear" w:color="auto" w:fill="FFFFFF"/>
          </w:tcPr>
          <w:p w14:paraId="1F9895DC"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5</w:t>
            </w:r>
          </w:p>
        </w:tc>
        <w:tc>
          <w:tcPr>
            <w:tcW w:w="7655" w:type="dxa"/>
            <w:shd w:val="clear" w:color="auto" w:fill="FFFFFF"/>
          </w:tcPr>
          <w:p w14:paraId="3BB9D2FE"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is the maximum achievable pressure?</w:t>
            </w:r>
          </w:p>
        </w:tc>
      </w:tr>
      <w:tr w:rsidR="00EC078F" w:rsidRPr="00831BEA" w14:paraId="3B4B4072" w14:textId="77777777" w:rsidTr="00525921">
        <w:tc>
          <w:tcPr>
            <w:tcW w:w="1134" w:type="dxa"/>
            <w:shd w:val="clear" w:color="auto" w:fill="FFFFFF"/>
          </w:tcPr>
          <w:p w14:paraId="4CEBBD56"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6</w:t>
            </w:r>
          </w:p>
        </w:tc>
        <w:tc>
          <w:tcPr>
            <w:tcW w:w="7655" w:type="dxa"/>
            <w:shd w:val="clear" w:color="auto" w:fill="FFFFFF"/>
          </w:tcPr>
          <w:p w14:paraId="0ACB7B70"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How is the equipment layout organized?</w:t>
            </w:r>
          </w:p>
        </w:tc>
      </w:tr>
      <w:tr w:rsidR="00EC078F" w:rsidRPr="00831BEA" w14:paraId="6CA4DD01" w14:textId="77777777" w:rsidTr="00525921">
        <w:tc>
          <w:tcPr>
            <w:tcW w:w="1134" w:type="dxa"/>
            <w:shd w:val="clear" w:color="auto" w:fill="FFFFFF"/>
          </w:tcPr>
          <w:p w14:paraId="50F41733"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7</w:t>
            </w:r>
          </w:p>
        </w:tc>
        <w:tc>
          <w:tcPr>
            <w:tcW w:w="7655" w:type="dxa"/>
            <w:shd w:val="clear" w:color="auto" w:fill="FFFFFF"/>
          </w:tcPr>
          <w:p w14:paraId="3F2AEBCD"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is the level of complexity of the system?</w:t>
            </w:r>
          </w:p>
        </w:tc>
      </w:tr>
      <w:tr w:rsidR="00EC078F" w:rsidRPr="00831BEA" w14:paraId="79166B15" w14:textId="77777777" w:rsidTr="00525921">
        <w:tc>
          <w:tcPr>
            <w:tcW w:w="1134" w:type="dxa"/>
            <w:shd w:val="clear" w:color="auto" w:fill="FFFFFF"/>
          </w:tcPr>
          <w:p w14:paraId="0BBF5EC9"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8</w:t>
            </w:r>
          </w:p>
        </w:tc>
        <w:tc>
          <w:tcPr>
            <w:tcW w:w="7655" w:type="dxa"/>
            <w:shd w:val="clear" w:color="auto" w:fill="FFFFFF"/>
          </w:tcPr>
          <w:p w14:paraId="47A3FC64" w14:textId="162B29C2" w:rsidR="00EC078F" w:rsidRPr="00831BEA" w:rsidRDefault="00EC078F" w:rsidP="00525921">
            <w:pPr>
              <w:pStyle w:val="CETBodytext"/>
              <w:ind w:right="-1"/>
              <w:rPr>
                <w:rFonts w:cs="Arial"/>
                <w:sz w:val="16"/>
                <w:szCs w:val="18"/>
                <w:lang w:val="en-GB"/>
              </w:rPr>
            </w:pPr>
            <w:r w:rsidRPr="00831BEA">
              <w:rPr>
                <w:rFonts w:cs="Arial"/>
                <w:sz w:val="16"/>
                <w:szCs w:val="18"/>
                <w:lang w:val="en-GB"/>
              </w:rPr>
              <w:t xml:space="preserve">Does the equipment in the onsite area work in </w:t>
            </w:r>
            <w:r w:rsidR="00CC186D">
              <w:rPr>
                <w:rFonts w:cs="Arial"/>
                <w:sz w:val="16"/>
                <w:szCs w:val="18"/>
                <w:lang w:val="en-GB"/>
              </w:rPr>
              <w:t>hazardous</w:t>
            </w:r>
            <w:r w:rsidR="00CC186D" w:rsidRPr="00831BEA">
              <w:rPr>
                <w:rFonts w:cs="Arial"/>
                <w:sz w:val="16"/>
                <w:szCs w:val="18"/>
                <w:lang w:val="en-GB"/>
              </w:rPr>
              <w:t xml:space="preserve"> </w:t>
            </w:r>
            <w:r w:rsidRPr="00831BEA">
              <w:rPr>
                <w:rFonts w:cs="Arial"/>
                <w:sz w:val="16"/>
                <w:szCs w:val="18"/>
                <w:lang w:val="en-GB"/>
              </w:rPr>
              <w:t>conditions?</w:t>
            </w:r>
          </w:p>
        </w:tc>
      </w:tr>
      <w:tr w:rsidR="00EC078F" w:rsidRPr="00831BEA" w14:paraId="263BE684" w14:textId="77777777" w:rsidTr="00525921">
        <w:tc>
          <w:tcPr>
            <w:tcW w:w="1134" w:type="dxa"/>
            <w:shd w:val="clear" w:color="auto" w:fill="FFFFFF"/>
          </w:tcPr>
          <w:p w14:paraId="6C16EDE7"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9</w:t>
            </w:r>
          </w:p>
        </w:tc>
        <w:tc>
          <w:tcPr>
            <w:tcW w:w="7655" w:type="dxa"/>
            <w:shd w:val="clear" w:color="auto" w:fill="FFFFFF"/>
          </w:tcPr>
          <w:p w14:paraId="46B198B3"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What is the integrity level of the process structures?</w:t>
            </w:r>
          </w:p>
        </w:tc>
      </w:tr>
      <w:tr w:rsidR="00EC078F" w:rsidRPr="00831BEA" w14:paraId="33AF0866" w14:textId="77777777" w:rsidTr="00525921">
        <w:tc>
          <w:tcPr>
            <w:tcW w:w="1134" w:type="dxa"/>
            <w:shd w:val="clear" w:color="auto" w:fill="FFFFFF"/>
          </w:tcPr>
          <w:p w14:paraId="63072779"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10</w:t>
            </w:r>
          </w:p>
        </w:tc>
        <w:tc>
          <w:tcPr>
            <w:tcW w:w="7655" w:type="dxa"/>
            <w:shd w:val="clear" w:color="auto" w:fill="FFFFFF"/>
          </w:tcPr>
          <w:p w14:paraId="24823EC6" w14:textId="77777777" w:rsidR="00EC078F" w:rsidRPr="00831BEA" w:rsidRDefault="00EC078F" w:rsidP="00525921">
            <w:pPr>
              <w:pStyle w:val="CETBodytext"/>
              <w:ind w:right="-1"/>
              <w:rPr>
                <w:rFonts w:cs="Arial"/>
                <w:sz w:val="16"/>
                <w:szCs w:val="18"/>
                <w:lang w:val="en-GB"/>
              </w:rPr>
            </w:pPr>
            <w:r w:rsidRPr="00831BEA">
              <w:rPr>
                <w:rFonts w:cs="Arial"/>
                <w:sz w:val="16"/>
                <w:szCs w:val="18"/>
                <w:lang w:val="en-GB"/>
              </w:rPr>
              <w:t>Which operations are involved in the process and how are they connected together?</w:t>
            </w:r>
          </w:p>
        </w:tc>
      </w:tr>
    </w:tbl>
    <w:p w14:paraId="5CE1FC0E" w14:textId="3F0ABC2E" w:rsidR="00EC078F" w:rsidRDefault="00650E79" w:rsidP="00EC078F">
      <w:pPr>
        <w:pStyle w:val="CETBodytext"/>
        <w:spacing w:before="240"/>
      </w:pPr>
      <w:r>
        <w:lastRenderedPageBreak/>
        <w:t>Scores</w:t>
      </w:r>
      <w:r w:rsidR="00E34595">
        <w:t xml:space="preserve"> were assigned</w:t>
      </w:r>
      <w:r w:rsidR="00EC078F">
        <w:t xml:space="preserve"> to each subindex through the use of specific </w:t>
      </w:r>
      <w:r w:rsidR="00DB2C55">
        <w:t>values associated to</w:t>
      </w:r>
      <w:r w:rsidR="00EF652F">
        <w:t xml:space="preserve"> the</w:t>
      </w:r>
      <w:r w:rsidR="00DB2C55">
        <w:t xml:space="preserve"> process</w:t>
      </w:r>
      <w:r w:rsidR="00AA6F10">
        <w:t xml:space="preserve"> features</w:t>
      </w:r>
      <w:r w:rsidR="00EC078F">
        <w:t xml:space="preserve">, </w:t>
      </w:r>
      <w:r w:rsidR="00E34595">
        <w:t>according to</w:t>
      </w:r>
      <w:r w:rsidR="00EC078F">
        <w:t xml:space="preserve"> Table </w:t>
      </w:r>
      <w:r w:rsidR="009E34EA">
        <w:t>2</w:t>
      </w:r>
      <w:r w:rsidR="00E34595">
        <w:t xml:space="preserve">. Consequently, </w:t>
      </w:r>
      <w:r w:rsidR="0020508E">
        <w:t>the</w:t>
      </w:r>
      <w:r w:rsidR="00EC078F">
        <w:t xml:space="preserve"> lower the </w:t>
      </w:r>
      <w:r w:rsidR="00376572">
        <w:t xml:space="preserve">total </w:t>
      </w:r>
      <w:r w:rsidR="00EC078F">
        <w:t xml:space="preserve">score, </w:t>
      </w:r>
      <w:r w:rsidR="0020508E">
        <w:t xml:space="preserve">the </w:t>
      </w:r>
      <w:r w:rsidR="00EC078F">
        <w:t xml:space="preserve">higher the relative safety associated to the index under investigation. </w:t>
      </w:r>
      <w:r w:rsidR="002A17D0">
        <w:t>Va</w:t>
      </w:r>
      <w:r w:rsidR="00215D90">
        <w:t>l</w:t>
      </w:r>
      <w:r w:rsidR="002A17D0">
        <w:t>ues of weights</w:t>
      </w:r>
      <w:r w:rsidR="00EC078F">
        <w:t xml:space="preserve"> were </w:t>
      </w:r>
      <w:r w:rsidR="005D02BA">
        <w:t xml:space="preserve">set </w:t>
      </w:r>
      <w:r w:rsidR="00AE518B">
        <w:t xml:space="preserve">according to the methodology outlined </w:t>
      </w:r>
      <w:r w:rsidR="00EC078F">
        <w:t xml:space="preserve">by </w:t>
      </w:r>
      <w:r w:rsidR="00EC078F" w:rsidRPr="00614E86">
        <w:rPr>
          <w:lang w:val="en-GB"/>
        </w:rPr>
        <w:t>Heikkilä</w:t>
      </w:r>
      <w:r w:rsidR="00EC078F">
        <w:rPr>
          <w:lang w:val="en-GB"/>
        </w:rPr>
        <w:t xml:space="preserve"> </w:t>
      </w:r>
      <w:r w:rsidR="00AE518B">
        <w:rPr>
          <w:lang w:val="en-GB"/>
        </w:rPr>
        <w:t>(</w:t>
      </w:r>
      <w:r w:rsidR="00EC078F" w:rsidRPr="009E34EA">
        <w:rPr>
          <w:lang w:val="en-GB"/>
        </w:rPr>
        <w:t>1999</w:t>
      </w:r>
      <w:r w:rsidR="00EC078F">
        <w:rPr>
          <w:lang w:val="en-GB"/>
        </w:rPr>
        <w:t>), properly adapted to th</w:t>
      </w:r>
      <w:r w:rsidR="00215D90">
        <w:rPr>
          <w:lang w:val="en-GB"/>
        </w:rPr>
        <w:t>e investigated</w:t>
      </w:r>
      <w:r w:rsidR="00EC078F">
        <w:rPr>
          <w:lang w:val="en-GB"/>
        </w:rPr>
        <w:t xml:space="preserve"> case study.</w:t>
      </w:r>
    </w:p>
    <w:p w14:paraId="648F9E78" w14:textId="54D1A54E" w:rsidR="00EC078F" w:rsidRPr="00B57B36" w:rsidRDefault="00EC078F" w:rsidP="00EC078F">
      <w:pPr>
        <w:pStyle w:val="CETTabletitle"/>
      </w:pPr>
      <w:r w:rsidRPr="00B57B36">
        <w:t xml:space="preserve">Table </w:t>
      </w:r>
      <w:r w:rsidR="009E34EA">
        <w:t>2</w:t>
      </w:r>
      <w:r w:rsidRPr="00B57B36">
        <w:t xml:space="preserve">: </w:t>
      </w:r>
      <w:r w:rsidR="00DB2C55">
        <w:t>Values</w:t>
      </w:r>
      <w:r w:rsidR="005D02BA">
        <w:t xml:space="preserve"> </w:t>
      </w:r>
      <w:r>
        <w:t xml:space="preserve">associated to </w:t>
      </w:r>
      <w:r w:rsidR="005D02BA">
        <w:t>chemicals and process conditions</w:t>
      </w:r>
      <w:r w:rsidR="008A4F0F">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7938"/>
      </w:tblGrid>
      <w:tr w:rsidR="00EC078F" w:rsidRPr="00831BEA" w14:paraId="0DFAC3BF" w14:textId="77777777" w:rsidTr="00525921">
        <w:tc>
          <w:tcPr>
            <w:tcW w:w="851" w:type="dxa"/>
            <w:tcBorders>
              <w:top w:val="single" w:sz="12" w:space="0" w:color="008000"/>
              <w:bottom w:val="single" w:sz="6" w:space="0" w:color="008000"/>
            </w:tcBorders>
            <w:shd w:val="clear" w:color="auto" w:fill="FFFFFF"/>
          </w:tcPr>
          <w:p w14:paraId="74BF4552" w14:textId="77777777" w:rsidR="00EC078F" w:rsidRPr="00831BEA" w:rsidRDefault="00EC078F" w:rsidP="00525921">
            <w:pPr>
              <w:pStyle w:val="CETBodytext"/>
              <w:jc w:val="center"/>
              <w:rPr>
                <w:sz w:val="16"/>
                <w:szCs w:val="18"/>
                <w:lang w:val="en-GB"/>
              </w:rPr>
            </w:pPr>
            <w:r w:rsidRPr="00831BEA">
              <w:rPr>
                <w:sz w:val="16"/>
                <w:szCs w:val="18"/>
                <w:lang w:val="en-GB"/>
              </w:rPr>
              <w:t>Index</w:t>
            </w:r>
          </w:p>
        </w:tc>
        <w:tc>
          <w:tcPr>
            <w:tcW w:w="7938" w:type="dxa"/>
            <w:tcBorders>
              <w:top w:val="single" w:sz="12" w:space="0" w:color="008000"/>
              <w:bottom w:val="single" w:sz="6" w:space="0" w:color="008000"/>
            </w:tcBorders>
            <w:shd w:val="clear" w:color="auto" w:fill="FFFFFF"/>
          </w:tcPr>
          <w:p w14:paraId="68D351EC" w14:textId="77777777" w:rsidR="00EC078F" w:rsidRPr="00831BEA" w:rsidRDefault="00EC078F" w:rsidP="00525921">
            <w:pPr>
              <w:pStyle w:val="CETBodytext"/>
              <w:ind w:right="-1"/>
              <w:jc w:val="center"/>
              <w:rPr>
                <w:rFonts w:cs="Arial"/>
                <w:sz w:val="16"/>
                <w:szCs w:val="18"/>
                <w:lang w:val="en-GB"/>
              </w:rPr>
            </w:pPr>
            <w:r w:rsidRPr="00831BEA">
              <w:rPr>
                <w:rFonts w:cs="Arial"/>
                <w:sz w:val="16"/>
                <w:szCs w:val="18"/>
                <w:lang w:val="en-GB"/>
              </w:rPr>
              <w:t>Score</w:t>
            </w:r>
          </w:p>
        </w:tc>
      </w:tr>
      <w:tr w:rsidR="00EC078F" w:rsidRPr="00831BEA" w14:paraId="51D09ED2" w14:textId="77777777" w:rsidTr="00525921">
        <w:trPr>
          <w:trHeight w:val="454"/>
        </w:trPr>
        <w:tc>
          <w:tcPr>
            <w:tcW w:w="851" w:type="dxa"/>
            <w:shd w:val="clear" w:color="auto" w:fill="FFFFFF"/>
            <w:vAlign w:val="center"/>
          </w:tcPr>
          <w:p w14:paraId="68343746" w14:textId="6AC4EE7E"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FL</w:t>
            </w:r>
            <w:r w:rsidR="00EA144E">
              <w:rPr>
                <w:rFonts w:cs="Arial"/>
                <w:sz w:val="16"/>
                <w:szCs w:val="18"/>
                <w:vertAlign w:val="subscript"/>
                <w:lang w:val="en-GB"/>
              </w:rPr>
              <w:t>,max</w:t>
            </w:r>
            <w:proofErr w:type="spellEnd"/>
          </w:p>
        </w:tc>
        <w:tc>
          <w:tcPr>
            <w:tcW w:w="7938" w:type="dxa"/>
            <w:shd w:val="clear" w:color="auto" w:fill="FFFFFF"/>
            <w:vAlign w:val="center"/>
          </w:tcPr>
          <w:p w14:paraId="36395DCF" w14:textId="0950FBD7" w:rsidR="00EC078F" w:rsidRPr="00831BEA" w:rsidRDefault="00EC078F" w:rsidP="00525921">
            <w:pPr>
              <w:pStyle w:val="CETBodytext"/>
              <w:ind w:right="-1"/>
              <w:jc w:val="center"/>
              <w:rPr>
                <w:rFonts w:cs="Arial"/>
                <w:sz w:val="16"/>
                <w:szCs w:val="18"/>
                <w:lang w:val="en-GB"/>
              </w:rPr>
            </w:pPr>
            <w:r w:rsidRPr="00831BEA">
              <w:rPr>
                <w:rFonts w:cs="Arial"/>
                <w:sz w:val="16"/>
                <w:szCs w:val="18"/>
                <w:lang w:val="en-GB"/>
              </w:rPr>
              <w:t>Non-flammable: 0; Combustible (flash point &gt;328 K): 1; Flammable (flash point ≤ 328 K): 2; Easily flammable (flash point &lt;294 K)</w:t>
            </w:r>
            <w:r w:rsidR="0020508E">
              <w:rPr>
                <w:rFonts w:cs="Arial"/>
                <w:sz w:val="16"/>
                <w:szCs w:val="18"/>
                <w:lang w:val="en-GB"/>
              </w:rPr>
              <w:t>: 3</w:t>
            </w:r>
            <w:r w:rsidRPr="00831BEA">
              <w:rPr>
                <w:rFonts w:cs="Arial"/>
                <w:sz w:val="16"/>
                <w:szCs w:val="18"/>
                <w:lang w:val="en-GB"/>
              </w:rPr>
              <w:t>; Very flammable (flash point &lt;273 K &amp; boiling point ≤ 308 K)</w:t>
            </w:r>
            <w:r w:rsidR="0020508E">
              <w:rPr>
                <w:rFonts w:cs="Arial"/>
                <w:sz w:val="16"/>
                <w:szCs w:val="18"/>
                <w:lang w:val="en-GB"/>
              </w:rPr>
              <w:t>: 4</w:t>
            </w:r>
          </w:p>
        </w:tc>
      </w:tr>
      <w:tr w:rsidR="00EC078F" w:rsidRPr="00DB742A" w14:paraId="551BCADB" w14:textId="77777777" w:rsidTr="00525921">
        <w:trPr>
          <w:trHeight w:val="454"/>
        </w:trPr>
        <w:tc>
          <w:tcPr>
            <w:tcW w:w="851" w:type="dxa"/>
            <w:shd w:val="clear" w:color="auto" w:fill="FFFFFF"/>
            <w:vAlign w:val="center"/>
          </w:tcPr>
          <w:p w14:paraId="4B69C936" w14:textId="10026F28"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EX</w:t>
            </w:r>
            <w:r w:rsidR="00EA144E">
              <w:rPr>
                <w:rFonts w:cs="Arial"/>
                <w:sz w:val="16"/>
                <w:szCs w:val="18"/>
                <w:vertAlign w:val="subscript"/>
                <w:lang w:val="en-GB"/>
              </w:rPr>
              <w:t>,max</w:t>
            </w:r>
            <w:proofErr w:type="spellEnd"/>
          </w:p>
        </w:tc>
        <w:tc>
          <w:tcPr>
            <w:tcW w:w="7938" w:type="dxa"/>
            <w:shd w:val="clear" w:color="auto" w:fill="FFFFFF"/>
            <w:vAlign w:val="center"/>
          </w:tcPr>
          <w:p w14:paraId="6901AA08" w14:textId="77777777" w:rsidR="00BB15E1" w:rsidRDefault="00EC078F" w:rsidP="00525921">
            <w:pPr>
              <w:pStyle w:val="CETBodytext"/>
              <w:ind w:right="-1"/>
              <w:jc w:val="center"/>
              <w:rPr>
                <w:rFonts w:cs="Arial"/>
                <w:sz w:val="16"/>
                <w:szCs w:val="18"/>
                <w:lang w:val="nl-NL"/>
              </w:rPr>
            </w:pPr>
            <w:r w:rsidRPr="00831BEA">
              <w:rPr>
                <w:rFonts w:cs="Arial"/>
                <w:sz w:val="16"/>
                <w:szCs w:val="18"/>
                <w:lang w:val="nl-NL"/>
              </w:rPr>
              <w:t xml:space="preserve">Non </w:t>
            </w:r>
            <w:proofErr w:type="spellStart"/>
            <w:r w:rsidRPr="00831BEA">
              <w:rPr>
                <w:rFonts w:cs="Arial"/>
                <w:sz w:val="16"/>
                <w:szCs w:val="18"/>
                <w:lang w:val="nl-NL"/>
              </w:rPr>
              <w:t>explosive</w:t>
            </w:r>
            <w:proofErr w:type="spellEnd"/>
            <w:r w:rsidRPr="00831BEA">
              <w:rPr>
                <w:rFonts w:cs="Arial"/>
                <w:sz w:val="16"/>
                <w:szCs w:val="18"/>
                <w:lang w:val="nl-NL"/>
              </w:rPr>
              <w:t>: 0; (UEL-LEL) vol% = 0–20: 1; (UEL-LEL) vol% = 20–45: 2; (UEL-LEL) vol% = 45–70: 3;</w:t>
            </w:r>
          </w:p>
          <w:p w14:paraId="3458FE2D" w14:textId="7FE4DAE1" w:rsidR="00EC078F" w:rsidRPr="00831BEA" w:rsidRDefault="00EC078F" w:rsidP="00525921">
            <w:pPr>
              <w:pStyle w:val="CETBodytext"/>
              <w:ind w:right="-1"/>
              <w:jc w:val="center"/>
              <w:rPr>
                <w:rFonts w:cs="Arial"/>
                <w:sz w:val="16"/>
                <w:szCs w:val="18"/>
                <w:lang w:val="nl-NL"/>
              </w:rPr>
            </w:pPr>
            <w:r w:rsidRPr="00831BEA">
              <w:rPr>
                <w:rFonts w:cs="Arial"/>
                <w:sz w:val="16"/>
                <w:szCs w:val="18"/>
                <w:lang w:val="nl-NL"/>
              </w:rPr>
              <w:t>(UEL-LEL) vol% = 70–100: 4</w:t>
            </w:r>
          </w:p>
        </w:tc>
      </w:tr>
      <w:tr w:rsidR="00EC078F" w:rsidRPr="00831BEA" w14:paraId="53F53E39" w14:textId="77777777" w:rsidTr="00525921">
        <w:trPr>
          <w:trHeight w:val="454"/>
        </w:trPr>
        <w:tc>
          <w:tcPr>
            <w:tcW w:w="851" w:type="dxa"/>
            <w:shd w:val="clear" w:color="auto" w:fill="FFFFFF"/>
            <w:vAlign w:val="center"/>
          </w:tcPr>
          <w:p w14:paraId="26420A7A" w14:textId="486F1531"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TOX</w:t>
            </w:r>
            <w:r w:rsidR="00EA144E">
              <w:rPr>
                <w:rFonts w:cs="Arial"/>
                <w:sz w:val="16"/>
                <w:szCs w:val="18"/>
                <w:vertAlign w:val="subscript"/>
                <w:lang w:val="en-GB"/>
              </w:rPr>
              <w:t>,max</w:t>
            </w:r>
            <w:proofErr w:type="spellEnd"/>
          </w:p>
        </w:tc>
        <w:tc>
          <w:tcPr>
            <w:tcW w:w="7938" w:type="dxa"/>
            <w:shd w:val="clear" w:color="auto" w:fill="FFFFFF"/>
            <w:vAlign w:val="center"/>
          </w:tcPr>
          <w:p w14:paraId="4E98B8C5" w14:textId="6AE0A425" w:rsidR="00EC078F" w:rsidRPr="00831BEA" w:rsidRDefault="00EC078F" w:rsidP="00EF652F">
            <w:pPr>
              <w:pStyle w:val="CETBodytext"/>
              <w:ind w:right="-1"/>
              <w:jc w:val="center"/>
              <w:rPr>
                <w:rFonts w:cs="Arial"/>
                <w:sz w:val="16"/>
                <w:szCs w:val="18"/>
                <w:lang w:val="en-GB"/>
              </w:rPr>
            </w:pPr>
            <w:r w:rsidRPr="00831BEA">
              <w:rPr>
                <w:rFonts w:cs="Arial"/>
                <w:sz w:val="16"/>
                <w:szCs w:val="18"/>
                <w:lang w:val="en-GB"/>
              </w:rPr>
              <w:t>TLV</w:t>
            </w:r>
            <w:r w:rsidR="00EF652F">
              <w:rPr>
                <w:rFonts w:cs="Arial"/>
                <w:sz w:val="16"/>
                <w:szCs w:val="18"/>
                <w:lang w:val="en-GB"/>
              </w:rPr>
              <w:t xml:space="preserve"> or </w:t>
            </w:r>
            <w:r w:rsidRPr="00831BEA">
              <w:rPr>
                <w:rFonts w:cs="Arial"/>
                <w:sz w:val="16"/>
                <w:szCs w:val="18"/>
                <w:lang w:val="en-GB"/>
              </w:rPr>
              <w:t>PEL &gt; 10000 ppm: 0; TLV</w:t>
            </w:r>
            <w:r w:rsidR="00EF652F">
              <w:rPr>
                <w:rFonts w:cs="Arial"/>
                <w:sz w:val="16"/>
                <w:szCs w:val="18"/>
                <w:lang w:val="en-GB"/>
              </w:rPr>
              <w:t xml:space="preserve"> or </w:t>
            </w:r>
            <w:r w:rsidRPr="00831BEA">
              <w:rPr>
                <w:rFonts w:cs="Arial"/>
                <w:sz w:val="16"/>
                <w:szCs w:val="18"/>
                <w:lang w:val="en-GB"/>
              </w:rPr>
              <w:t>PEL ≤ 10000</w:t>
            </w:r>
            <w:r w:rsidR="00EF652F">
              <w:rPr>
                <w:rFonts w:cs="Arial"/>
                <w:sz w:val="16"/>
                <w:szCs w:val="18"/>
                <w:lang w:val="en-GB"/>
              </w:rPr>
              <w:t xml:space="preserve"> ppm</w:t>
            </w:r>
            <w:r w:rsidRPr="00831BEA">
              <w:rPr>
                <w:rFonts w:cs="Arial"/>
                <w:sz w:val="16"/>
                <w:szCs w:val="18"/>
                <w:lang w:val="en-GB"/>
              </w:rPr>
              <w:t>: 1; TLV</w:t>
            </w:r>
            <w:r w:rsidR="00EF652F">
              <w:rPr>
                <w:rFonts w:cs="Arial"/>
                <w:sz w:val="16"/>
                <w:szCs w:val="18"/>
                <w:lang w:val="en-GB"/>
              </w:rPr>
              <w:t xml:space="preserve"> or </w:t>
            </w:r>
            <w:r w:rsidRPr="00831BEA">
              <w:rPr>
                <w:rFonts w:cs="Arial"/>
                <w:sz w:val="16"/>
                <w:szCs w:val="18"/>
                <w:lang w:val="en-GB"/>
              </w:rPr>
              <w:t>PEL ≤ 1000</w:t>
            </w:r>
            <w:r w:rsidR="00EF652F">
              <w:rPr>
                <w:rFonts w:cs="Arial"/>
                <w:sz w:val="16"/>
                <w:szCs w:val="18"/>
                <w:lang w:val="en-GB"/>
              </w:rPr>
              <w:t xml:space="preserve"> ppm</w:t>
            </w:r>
            <w:r w:rsidRPr="00831BEA">
              <w:rPr>
                <w:rFonts w:cs="Arial"/>
                <w:sz w:val="16"/>
                <w:szCs w:val="18"/>
                <w:lang w:val="en-GB"/>
              </w:rPr>
              <w:t>: 2; TLV</w:t>
            </w:r>
            <w:r w:rsidR="00EF652F">
              <w:rPr>
                <w:rFonts w:cs="Arial"/>
                <w:sz w:val="16"/>
                <w:szCs w:val="18"/>
                <w:lang w:val="en-GB"/>
              </w:rPr>
              <w:t xml:space="preserve"> or </w:t>
            </w:r>
            <w:r w:rsidRPr="00831BEA">
              <w:rPr>
                <w:rFonts w:cs="Arial"/>
                <w:sz w:val="16"/>
                <w:szCs w:val="18"/>
                <w:lang w:val="en-GB"/>
              </w:rPr>
              <w:t>PEL ≤ 100 ppm: 3;</w:t>
            </w:r>
            <w:r w:rsidR="00EF652F">
              <w:rPr>
                <w:rFonts w:cs="Arial"/>
                <w:sz w:val="16"/>
                <w:szCs w:val="18"/>
                <w:lang w:val="en-GB"/>
              </w:rPr>
              <w:t xml:space="preserve"> </w:t>
            </w:r>
            <w:r w:rsidRPr="00831BEA">
              <w:rPr>
                <w:rFonts w:cs="Arial"/>
                <w:sz w:val="16"/>
                <w:szCs w:val="18"/>
                <w:lang w:val="en-GB"/>
              </w:rPr>
              <w:t>TLV</w:t>
            </w:r>
            <w:r w:rsidR="00EF652F">
              <w:rPr>
                <w:rFonts w:cs="Arial"/>
                <w:sz w:val="16"/>
                <w:szCs w:val="18"/>
                <w:lang w:val="en-GB"/>
              </w:rPr>
              <w:t xml:space="preserve"> or </w:t>
            </w:r>
            <w:r w:rsidRPr="00831BEA">
              <w:rPr>
                <w:rFonts w:cs="Arial"/>
                <w:sz w:val="16"/>
                <w:szCs w:val="18"/>
                <w:lang w:val="en-GB"/>
              </w:rPr>
              <w:t>PEL ≤ 10 ppm: 4; TLV</w:t>
            </w:r>
            <w:r w:rsidR="00EF652F">
              <w:rPr>
                <w:rFonts w:cs="Arial"/>
                <w:sz w:val="16"/>
                <w:szCs w:val="18"/>
                <w:lang w:val="en-GB"/>
              </w:rPr>
              <w:t xml:space="preserve"> or </w:t>
            </w:r>
            <w:r w:rsidRPr="00831BEA">
              <w:rPr>
                <w:rFonts w:cs="Arial"/>
                <w:sz w:val="16"/>
                <w:szCs w:val="18"/>
                <w:lang w:val="en-GB"/>
              </w:rPr>
              <w:t>PEL ≤ 1 ppm: 5; TLV</w:t>
            </w:r>
            <w:r w:rsidR="00EF652F">
              <w:rPr>
                <w:rFonts w:cs="Arial"/>
                <w:sz w:val="16"/>
                <w:szCs w:val="18"/>
                <w:lang w:val="en-GB"/>
              </w:rPr>
              <w:t xml:space="preserve"> or </w:t>
            </w:r>
            <w:r w:rsidRPr="00831BEA">
              <w:rPr>
                <w:rFonts w:cs="Arial"/>
                <w:sz w:val="16"/>
                <w:szCs w:val="18"/>
                <w:lang w:val="en-GB"/>
              </w:rPr>
              <w:t>PEL ≤ 0.1 ppm: 6</w:t>
            </w:r>
          </w:p>
        </w:tc>
      </w:tr>
      <w:tr w:rsidR="00EC078F" w:rsidRPr="00831BEA" w14:paraId="44191316" w14:textId="77777777" w:rsidTr="00525921">
        <w:trPr>
          <w:trHeight w:val="454"/>
        </w:trPr>
        <w:tc>
          <w:tcPr>
            <w:tcW w:w="851" w:type="dxa"/>
            <w:shd w:val="clear" w:color="auto" w:fill="FFFFFF"/>
            <w:vAlign w:val="center"/>
          </w:tcPr>
          <w:p w14:paraId="0260F6B0" w14:textId="688CD376"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COR</w:t>
            </w:r>
            <w:r w:rsidR="00EA144E">
              <w:rPr>
                <w:rFonts w:cs="Arial"/>
                <w:sz w:val="16"/>
                <w:szCs w:val="18"/>
                <w:vertAlign w:val="subscript"/>
                <w:lang w:val="en-GB"/>
              </w:rPr>
              <w:t>,max</w:t>
            </w:r>
            <w:proofErr w:type="spellEnd"/>
          </w:p>
        </w:tc>
        <w:tc>
          <w:tcPr>
            <w:tcW w:w="7938" w:type="dxa"/>
            <w:shd w:val="clear" w:color="auto" w:fill="FFFFFF"/>
            <w:vAlign w:val="center"/>
          </w:tcPr>
          <w:p w14:paraId="5CE47994" w14:textId="1E0F0EB2" w:rsidR="00EC078F" w:rsidRPr="00831BEA" w:rsidRDefault="00EC078F" w:rsidP="00525921">
            <w:pPr>
              <w:pStyle w:val="CETBodytext"/>
              <w:ind w:right="-1"/>
              <w:jc w:val="center"/>
              <w:rPr>
                <w:rFonts w:cs="Arial"/>
                <w:sz w:val="16"/>
                <w:szCs w:val="18"/>
                <w:lang w:val="en-GB"/>
              </w:rPr>
            </w:pPr>
            <w:r w:rsidRPr="00831BEA">
              <w:rPr>
                <w:rFonts w:cs="Arial"/>
                <w:sz w:val="16"/>
                <w:szCs w:val="18"/>
                <w:lang w:val="en-GB"/>
              </w:rPr>
              <w:t xml:space="preserve">Carbon steel: 0; Stainless steel:1; </w:t>
            </w:r>
            <w:r w:rsidR="0020508E">
              <w:rPr>
                <w:rFonts w:cs="Arial"/>
                <w:sz w:val="16"/>
                <w:szCs w:val="18"/>
                <w:lang w:val="en-GB"/>
              </w:rPr>
              <w:t>Special materials</w:t>
            </w:r>
            <w:r w:rsidRPr="00831BEA">
              <w:rPr>
                <w:rFonts w:cs="Arial"/>
                <w:sz w:val="16"/>
                <w:szCs w:val="18"/>
                <w:lang w:val="en-GB"/>
              </w:rPr>
              <w:t>: 2</w:t>
            </w:r>
          </w:p>
        </w:tc>
      </w:tr>
      <w:tr w:rsidR="00EC078F" w:rsidRPr="00831BEA" w14:paraId="43A33BE4" w14:textId="77777777" w:rsidTr="00525921">
        <w:trPr>
          <w:trHeight w:val="454"/>
        </w:trPr>
        <w:tc>
          <w:tcPr>
            <w:tcW w:w="851" w:type="dxa"/>
            <w:shd w:val="clear" w:color="auto" w:fill="FFFFFF"/>
            <w:vAlign w:val="center"/>
          </w:tcPr>
          <w:p w14:paraId="10FE0830" w14:textId="7D994DD3"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I</w:t>
            </w:r>
            <w:r w:rsidR="00EA144E">
              <w:rPr>
                <w:rFonts w:cs="Arial"/>
                <w:sz w:val="16"/>
                <w:szCs w:val="18"/>
                <w:vertAlign w:val="subscript"/>
                <w:lang w:val="en-GB"/>
              </w:rPr>
              <w:t>,max</w:t>
            </w:r>
            <w:proofErr w:type="spellEnd"/>
          </w:p>
        </w:tc>
        <w:tc>
          <w:tcPr>
            <w:tcW w:w="7938" w:type="dxa"/>
            <w:shd w:val="clear" w:color="auto" w:fill="FFFFFF"/>
            <w:vAlign w:val="center"/>
          </w:tcPr>
          <w:p w14:paraId="7C8CE111" w14:textId="772E24F1" w:rsidR="00EC078F" w:rsidRPr="00BB15E1" w:rsidRDefault="00F74F9A" w:rsidP="00F74F9A">
            <w:pPr>
              <w:pStyle w:val="CETBodytext"/>
              <w:ind w:right="-1"/>
              <w:jc w:val="center"/>
              <w:rPr>
                <w:rFonts w:cs="Arial"/>
                <w:sz w:val="16"/>
                <w:szCs w:val="18"/>
                <w:lang w:val="en-GB"/>
              </w:rPr>
            </w:pPr>
            <w:r w:rsidRPr="00F74F9A">
              <w:rPr>
                <w:rFonts w:cs="Arial"/>
                <w:sz w:val="16"/>
                <w:szCs w:val="18"/>
                <w:lang w:val="en-GB"/>
              </w:rPr>
              <w:t>(L+S)</w:t>
            </w:r>
            <w:r w:rsidRPr="006D0745">
              <w:rPr>
                <w:rFonts w:cs="Arial"/>
                <w:sz w:val="16"/>
                <w:szCs w:val="18"/>
                <w:vertAlign w:val="subscript"/>
                <w:lang w:val="en-GB"/>
              </w:rPr>
              <w:t>in</w:t>
            </w:r>
            <w:r w:rsidRPr="00F74F9A">
              <w:rPr>
                <w:rFonts w:cs="Arial"/>
                <w:sz w:val="16"/>
                <w:szCs w:val="18"/>
                <w:lang w:val="en-GB"/>
              </w:rPr>
              <w:t>/(L+</w:t>
            </w:r>
            <w:r w:rsidR="008E4FDF">
              <w:rPr>
                <w:rFonts w:cs="Arial"/>
                <w:sz w:val="16"/>
                <w:szCs w:val="18"/>
                <w:lang w:val="en-GB"/>
              </w:rPr>
              <w:t>S</w:t>
            </w:r>
            <w:r w:rsidRPr="00F74F9A">
              <w:rPr>
                <w:rFonts w:cs="Arial"/>
                <w:sz w:val="16"/>
                <w:szCs w:val="18"/>
                <w:lang w:val="en-GB"/>
              </w:rPr>
              <w:t>)</w:t>
            </w:r>
            <w:r w:rsidRPr="006D0745">
              <w:rPr>
                <w:rFonts w:cs="Arial"/>
                <w:sz w:val="16"/>
                <w:szCs w:val="18"/>
                <w:vertAlign w:val="subscript"/>
                <w:lang w:val="en-GB"/>
              </w:rPr>
              <w:t>min</w:t>
            </w:r>
            <w:r w:rsidR="006D0745">
              <w:rPr>
                <w:rFonts w:cs="Arial"/>
                <w:sz w:val="16"/>
                <w:szCs w:val="18"/>
                <w:lang w:val="en-GB"/>
              </w:rPr>
              <w:t xml:space="preserve"> </w:t>
            </w:r>
            <w:r w:rsidRPr="00F74F9A">
              <w:rPr>
                <w:rFonts w:cs="Arial"/>
                <w:sz w:val="16"/>
                <w:szCs w:val="18"/>
                <w:lang w:val="en-GB"/>
              </w:rPr>
              <w:t>&lt; 1.5: 0; (L+S)</w:t>
            </w:r>
            <w:r w:rsidRPr="006D0745">
              <w:rPr>
                <w:rFonts w:cs="Arial"/>
                <w:sz w:val="16"/>
                <w:szCs w:val="18"/>
                <w:vertAlign w:val="subscript"/>
                <w:lang w:val="en-GB"/>
              </w:rPr>
              <w:t>in</w:t>
            </w:r>
            <w:r w:rsidRPr="00F74F9A">
              <w:rPr>
                <w:rFonts w:cs="Arial"/>
                <w:sz w:val="16"/>
                <w:szCs w:val="18"/>
                <w:lang w:val="en-GB"/>
              </w:rPr>
              <w:t>/(L+</w:t>
            </w:r>
            <w:r w:rsidR="008E4FDF">
              <w:rPr>
                <w:rFonts w:cs="Arial"/>
                <w:sz w:val="16"/>
                <w:szCs w:val="18"/>
                <w:lang w:val="en-GB"/>
              </w:rPr>
              <w:t>S</w:t>
            </w:r>
            <w:r w:rsidRPr="00F74F9A">
              <w:rPr>
                <w:rFonts w:cs="Arial"/>
                <w:sz w:val="16"/>
                <w:szCs w:val="18"/>
                <w:lang w:val="en-GB"/>
              </w:rPr>
              <w:t>)</w:t>
            </w:r>
            <w:r w:rsidRPr="006D0745">
              <w:rPr>
                <w:rFonts w:cs="Arial"/>
                <w:sz w:val="16"/>
                <w:szCs w:val="18"/>
                <w:vertAlign w:val="subscript"/>
                <w:lang w:val="en-GB"/>
              </w:rPr>
              <w:t>min</w:t>
            </w:r>
            <w:r w:rsidR="006D0745">
              <w:rPr>
                <w:rFonts w:cs="Arial"/>
                <w:sz w:val="16"/>
                <w:szCs w:val="18"/>
                <w:lang w:val="en-GB"/>
              </w:rPr>
              <w:t xml:space="preserve"> </w:t>
            </w:r>
            <w:r w:rsidRPr="00F74F9A">
              <w:rPr>
                <w:rFonts w:cs="Arial"/>
                <w:sz w:val="16"/>
                <w:szCs w:val="18"/>
                <w:lang w:val="en-GB"/>
              </w:rPr>
              <w:t>= 1.5</w:t>
            </w:r>
            <w:r w:rsidR="006D0745" w:rsidRPr="006D0745">
              <w:rPr>
                <w:rFonts w:cs="Arial"/>
                <w:sz w:val="16"/>
                <w:szCs w:val="18"/>
                <w:lang w:val="en-GB"/>
              </w:rPr>
              <w:t>–</w:t>
            </w:r>
            <w:r w:rsidRPr="00F74F9A">
              <w:rPr>
                <w:rFonts w:cs="Arial"/>
                <w:sz w:val="16"/>
                <w:szCs w:val="18"/>
                <w:lang w:val="en-GB"/>
              </w:rPr>
              <w:t>3: 1; (L+S)</w:t>
            </w:r>
            <w:r w:rsidRPr="006D0745">
              <w:rPr>
                <w:rFonts w:cs="Arial"/>
                <w:sz w:val="16"/>
                <w:szCs w:val="18"/>
                <w:vertAlign w:val="subscript"/>
                <w:lang w:val="en-GB"/>
              </w:rPr>
              <w:t>in</w:t>
            </w:r>
            <w:r w:rsidRPr="00F74F9A">
              <w:rPr>
                <w:rFonts w:cs="Arial"/>
                <w:sz w:val="16"/>
                <w:szCs w:val="18"/>
                <w:lang w:val="en-GB"/>
              </w:rPr>
              <w:t>/(L+</w:t>
            </w:r>
            <w:r w:rsidR="006D0745">
              <w:rPr>
                <w:rFonts w:cs="Arial"/>
                <w:sz w:val="16"/>
                <w:szCs w:val="18"/>
                <w:lang w:val="en-GB"/>
              </w:rPr>
              <w:t>S</w:t>
            </w:r>
            <w:r w:rsidRPr="00F74F9A">
              <w:rPr>
                <w:rFonts w:cs="Arial"/>
                <w:sz w:val="16"/>
                <w:szCs w:val="18"/>
                <w:lang w:val="en-GB"/>
              </w:rPr>
              <w:t>)</w:t>
            </w:r>
            <w:r w:rsidRPr="006D0745">
              <w:rPr>
                <w:rFonts w:cs="Arial"/>
                <w:sz w:val="16"/>
                <w:szCs w:val="18"/>
                <w:vertAlign w:val="subscript"/>
                <w:lang w:val="en-GB"/>
              </w:rPr>
              <w:t>min</w:t>
            </w:r>
            <w:r w:rsidR="006D0745">
              <w:rPr>
                <w:rFonts w:cs="Arial"/>
                <w:sz w:val="16"/>
                <w:szCs w:val="18"/>
                <w:lang w:val="en-GB"/>
              </w:rPr>
              <w:t xml:space="preserve"> </w:t>
            </w:r>
            <w:r w:rsidRPr="00F74F9A">
              <w:rPr>
                <w:rFonts w:cs="Arial"/>
                <w:sz w:val="16"/>
                <w:szCs w:val="18"/>
                <w:lang w:val="en-GB"/>
              </w:rPr>
              <w:t>=</w:t>
            </w:r>
            <w:r w:rsidR="006D0745">
              <w:rPr>
                <w:rFonts w:cs="Arial"/>
                <w:sz w:val="16"/>
                <w:szCs w:val="18"/>
                <w:lang w:val="en-GB"/>
              </w:rPr>
              <w:t xml:space="preserve"> </w:t>
            </w:r>
            <w:r w:rsidRPr="00F74F9A">
              <w:rPr>
                <w:rFonts w:cs="Arial"/>
                <w:sz w:val="16"/>
                <w:szCs w:val="18"/>
                <w:lang w:val="en-GB"/>
              </w:rPr>
              <w:t>3</w:t>
            </w:r>
            <w:r w:rsidR="006D0745" w:rsidRPr="006D0745">
              <w:rPr>
                <w:rFonts w:cs="Arial"/>
                <w:sz w:val="16"/>
                <w:szCs w:val="18"/>
                <w:lang w:val="en-GB"/>
              </w:rPr>
              <w:t>–</w:t>
            </w:r>
            <w:r w:rsidRPr="00F74F9A">
              <w:rPr>
                <w:rFonts w:cs="Arial"/>
                <w:sz w:val="16"/>
                <w:szCs w:val="18"/>
                <w:lang w:val="en-GB"/>
              </w:rPr>
              <w:t>5: 2; (L+S)</w:t>
            </w:r>
            <w:r w:rsidRPr="006D0745">
              <w:rPr>
                <w:rFonts w:cs="Arial"/>
                <w:sz w:val="16"/>
                <w:szCs w:val="18"/>
                <w:vertAlign w:val="subscript"/>
                <w:lang w:val="en-GB"/>
              </w:rPr>
              <w:t>in</w:t>
            </w:r>
            <w:r w:rsidRPr="00F74F9A">
              <w:rPr>
                <w:rFonts w:cs="Arial"/>
                <w:sz w:val="16"/>
                <w:szCs w:val="18"/>
                <w:lang w:val="en-GB"/>
              </w:rPr>
              <w:t>/(L+</w:t>
            </w:r>
            <w:r w:rsidR="006D0745">
              <w:rPr>
                <w:rFonts w:cs="Arial"/>
                <w:sz w:val="16"/>
                <w:szCs w:val="18"/>
                <w:lang w:val="en-GB"/>
              </w:rPr>
              <w:t>S</w:t>
            </w:r>
            <w:r w:rsidRPr="00F74F9A">
              <w:rPr>
                <w:rFonts w:cs="Arial"/>
                <w:sz w:val="16"/>
                <w:szCs w:val="18"/>
                <w:lang w:val="en-GB"/>
              </w:rPr>
              <w:t>)</w:t>
            </w:r>
            <w:r w:rsidRPr="006D0745">
              <w:rPr>
                <w:rFonts w:cs="Arial"/>
                <w:sz w:val="16"/>
                <w:szCs w:val="18"/>
                <w:vertAlign w:val="subscript"/>
                <w:lang w:val="en-GB"/>
              </w:rPr>
              <w:t>min</w:t>
            </w:r>
            <w:r w:rsidRPr="00F74F9A">
              <w:rPr>
                <w:rFonts w:cs="Arial"/>
                <w:sz w:val="16"/>
                <w:szCs w:val="18"/>
                <w:lang w:val="en-GB"/>
              </w:rPr>
              <w:t xml:space="preserve"> =</w:t>
            </w:r>
            <w:r w:rsidR="006D0745">
              <w:rPr>
                <w:rFonts w:cs="Arial"/>
                <w:sz w:val="16"/>
                <w:szCs w:val="18"/>
                <w:lang w:val="en-GB"/>
              </w:rPr>
              <w:t xml:space="preserve"> </w:t>
            </w:r>
            <w:r w:rsidRPr="00F74F9A">
              <w:rPr>
                <w:rFonts w:cs="Arial"/>
                <w:sz w:val="16"/>
                <w:szCs w:val="18"/>
                <w:lang w:val="en-GB"/>
              </w:rPr>
              <w:t>5</w:t>
            </w:r>
            <w:r w:rsidR="006D0745" w:rsidRPr="006D0745">
              <w:rPr>
                <w:rFonts w:cs="Arial"/>
                <w:sz w:val="16"/>
                <w:szCs w:val="18"/>
                <w:lang w:val="en-GB"/>
              </w:rPr>
              <w:t>–</w:t>
            </w:r>
            <w:r w:rsidRPr="00F74F9A">
              <w:rPr>
                <w:rFonts w:cs="Arial"/>
                <w:sz w:val="16"/>
                <w:szCs w:val="18"/>
                <w:lang w:val="en-GB"/>
              </w:rPr>
              <w:t>8: 3;</w:t>
            </w:r>
            <w:r w:rsidR="008E4FDF" w:rsidRPr="00F74F9A">
              <w:rPr>
                <w:rFonts w:cs="Arial"/>
                <w:sz w:val="16"/>
                <w:szCs w:val="18"/>
                <w:lang w:val="en-GB"/>
              </w:rPr>
              <w:t xml:space="preserve"> (L+S)</w:t>
            </w:r>
            <w:r w:rsidR="008E4FDF" w:rsidRPr="006D0745">
              <w:rPr>
                <w:rFonts w:cs="Arial"/>
                <w:sz w:val="16"/>
                <w:szCs w:val="18"/>
                <w:vertAlign w:val="subscript"/>
                <w:lang w:val="en-GB"/>
              </w:rPr>
              <w:t>in</w:t>
            </w:r>
            <w:r w:rsidR="008E4FDF" w:rsidRPr="00F74F9A">
              <w:rPr>
                <w:rFonts w:cs="Arial"/>
                <w:sz w:val="16"/>
                <w:szCs w:val="18"/>
                <w:lang w:val="en-GB"/>
              </w:rPr>
              <w:t>/(L+</w:t>
            </w:r>
            <w:r w:rsidR="006D0745">
              <w:rPr>
                <w:rFonts w:cs="Arial"/>
                <w:sz w:val="16"/>
                <w:szCs w:val="18"/>
                <w:lang w:val="en-GB"/>
              </w:rPr>
              <w:t>S</w:t>
            </w:r>
            <w:r w:rsidR="008E4FDF" w:rsidRPr="00F74F9A">
              <w:rPr>
                <w:rFonts w:cs="Arial"/>
                <w:sz w:val="16"/>
                <w:szCs w:val="18"/>
                <w:lang w:val="en-GB"/>
              </w:rPr>
              <w:t>)</w:t>
            </w:r>
            <w:r w:rsidR="008E4FDF" w:rsidRPr="00103553">
              <w:rPr>
                <w:rFonts w:cs="Arial"/>
                <w:sz w:val="16"/>
                <w:szCs w:val="18"/>
                <w:vertAlign w:val="subscript"/>
                <w:lang w:val="en-GB"/>
              </w:rPr>
              <w:t>min</w:t>
            </w:r>
            <w:r w:rsidR="008E4FDF" w:rsidRPr="00F74F9A">
              <w:rPr>
                <w:rFonts w:cs="Arial"/>
                <w:sz w:val="16"/>
                <w:szCs w:val="18"/>
                <w:lang w:val="en-GB"/>
              </w:rPr>
              <w:t xml:space="preserve"> =</w:t>
            </w:r>
            <w:r w:rsidR="008E4FDF">
              <w:rPr>
                <w:rFonts w:cs="Arial"/>
                <w:sz w:val="16"/>
                <w:szCs w:val="18"/>
                <w:lang w:val="en-GB"/>
              </w:rPr>
              <w:t xml:space="preserve"> </w:t>
            </w:r>
            <w:r w:rsidRPr="00F74F9A">
              <w:rPr>
                <w:rFonts w:cs="Arial"/>
                <w:sz w:val="16"/>
                <w:szCs w:val="18"/>
                <w:lang w:val="en-GB"/>
              </w:rPr>
              <w:t>8</w:t>
            </w:r>
            <w:r w:rsidR="006D0745" w:rsidRPr="006D0745">
              <w:rPr>
                <w:rFonts w:cs="Arial"/>
                <w:sz w:val="16"/>
                <w:szCs w:val="18"/>
                <w:lang w:val="en-GB"/>
              </w:rPr>
              <w:t>–</w:t>
            </w:r>
            <w:r w:rsidRPr="00F74F9A">
              <w:rPr>
                <w:rFonts w:cs="Arial"/>
                <w:sz w:val="16"/>
                <w:szCs w:val="18"/>
                <w:lang w:val="en-GB"/>
              </w:rPr>
              <w:t>10:</w:t>
            </w:r>
            <w:r w:rsidR="006D0745">
              <w:rPr>
                <w:rFonts w:cs="Arial"/>
                <w:sz w:val="16"/>
                <w:szCs w:val="18"/>
                <w:lang w:val="en-GB"/>
              </w:rPr>
              <w:t xml:space="preserve"> </w:t>
            </w:r>
            <w:r w:rsidRPr="00F74F9A">
              <w:rPr>
                <w:rFonts w:cs="Arial"/>
                <w:sz w:val="16"/>
                <w:szCs w:val="18"/>
                <w:lang w:val="en-GB"/>
              </w:rPr>
              <w:t xml:space="preserve">4; </w:t>
            </w:r>
            <w:r w:rsidR="008E4FDF" w:rsidRPr="00F74F9A">
              <w:rPr>
                <w:rFonts w:cs="Arial"/>
                <w:sz w:val="16"/>
                <w:szCs w:val="18"/>
                <w:lang w:val="en-GB"/>
              </w:rPr>
              <w:t>(L+S)</w:t>
            </w:r>
            <w:r w:rsidR="008E4FDF" w:rsidRPr="006D0745">
              <w:rPr>
                <w:rFonts w:cs="Arial"/>
                <w:sz w:val="16"/>
                <w:szCs w:val="18"/>
                <w:vertAlign w:val="subscript"/>
                <w:lang w:val="en-GB"/>
              </w:rPr>
              <w:t>in</w:t>
            </w:r>
            <w:r w:rsidR="008E4FDF" w:rsidRPr="00F74F9A">
              <w:rPr>
                <w:rFonts w:cs="Arial"/>
                <w:sz w:val="16"/>
                <w:szCs w:val="18"/>
                <w:lang w:val="en-GB"/>
              </w:rPr>
              <w:t>/(L+</w:t>
            </w:r>
            <w:r w:rsidR="006D0745">
              <w:rPr>
                <w:rFonts w:cs="Arial"/>
                <w:sz w:val="16"/>
                <w:szCs w:val="18"/>
                <w:lang w:val="en-GB"/>
              </w:rPr>
              <w:t>S</w:t>
            </w:r>
            <w:r w:rsidR="008E4FDF" w:rsidRPr="00F74F9A">
              <w:rPr>
                <w:rFonts w:cs="Arial"/>
                <w:sz w:val="16"/>
                <w:szCs w:val="18"/>
                <w:lang w:val="en-GB"/>
              </w:rPr>
              <w:t>)</w:t>
            </w:r>
            <w:r w:rsidR="008E4FDF" w:rsidRPr="00103553">
              <w:rPr>
                <w:rFonts w:cs="Arial"/>
                <w:sz w:val="16"/>
                <w:szCs w:val="18"/>
                <w:vertAlign w:val="subscript"/>
                <w:lang w:val="en-GB"/>
              </w:rPr>
              <w:t>min</w:t>
            </w:r>
            <w:r w:rsidR="006D0745">
              <w:rPr>
                <w:rFonts w:cs="Arial"/>
                <w:sz w:val="16"/>
                <w:szCs w:val="18"/>
                <w:lang w:val="en-GB"/>
              </w:rPr>
              <w:t xml:space="preserve"> ≥ </w:t>
            </w:r>
            <w:r w:rsidRPr="00F74F9A">
              <w:rPr>
                <w:rFonts w:cs="Arial"/>
                <w:sz w:val="16"/>
                <w:szCs w:val="18"/>
                <w:lang w:val="en-GB"/>
              </w:rPr>
              <w:t>10</w:t>
            </w:r>
            <w:r w:rsidR="006D0745">
              <w:rPr>
                <w:rFonts w:cs="Arial"/>
                <w:sz w:val="16"/>
                <w:szCs w:val="18"/>
                <w:lang w:val="en-GB"/>
              </w:rPr>
              <w:t>:</w:t>
            </w:r>
            <w:r w:rsidRPr="00F74F9A">
              <w:rPr>
                <w:rFonts w:cs="Arial"/>
                <w:sz w:val="16"/>
                <w:szCs w:val="18"/>
                <w:lang w:val="en-GB"/>
              </w:rPr>
              <w:t xml:space="preserve"> 5</w:t>
            </w:r>
          </w:p>
        </w:tc>
      </w:tr>
      <w:tr w:rsidR="00EC078F" w:rsidRPr="000F3983" w14:paraId="5D4277E3" w14:textId="77777777" w:rsidTr="00525921">
        <w:trPr>
          <w:trHeight w:val="454"/>
        </w:trPr>
        <w:tc>
          <w:tcPr>
            <w:tcW w:w="851" w:type="dxa"/>
            <w:shd w:val="clear" w:color="auto" w:fill="FFFFFF"/>
            <w:vAlign w:val="center"/>
          </w:tcPr>
          <w:p w14:paraId="683D7743" w14:textId="7D4B906F"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T</w:t>
            </w:r>
            <w:r w:rsidR="00EA144E">
              <w:rPr>
                <w:rFonts w:cs="Arial"/>
                <w:sz w:val="16"/>
                <w:szCs w:val="18"/>
                <w:vertAlign w:val="subscript"/>
                <w:lang w:val="en-GB"/>
              </w:rPr>
              <w:t>,max</w:t>
            </w:r>
            <w:proofErr w:type="spellEnd"/>
          </w:p>
        </w:tc>
        <w:tc>
          <w:tcPr>
            <w:tcW w:w="7938" w:type="dxa"/>
            <w:shd w:val="clear" w:color="auto" w:fill="FFFFFF"/>
            <w:vAlign w:val="center"/>
          </w:tcPr>
          <w:p w14:paraId="19153297" w14:textId="77217CC5" w:rsidR="00EC078F" w:rsidRPr="0020508E" w:rsidRDefault="0020508E" w:rsidP="00525921">
            <w:pPr>
              <w:pStyle w:val="CETBodytext"/>
              <w:ind w:right="-1"/>
              <w:jc w:val="center"/>
              <w:rPr>
                <w:rFonts w:cs="Arial"/>
                <w:sz w:val="16"/>
                <w:szCs w:val="18"/>
                <w:lang w:val="de-DE"/>
              </w:rPr>
            </w:pPr>
            <w:r w:rsidRPr="0020508E">
              <w:rPr>
                <w:rFonts w:cs="Arial"/>
                <w:sz w:val="16"/>
                <w:szCs w:val="18"/>
                <w:lang w:val="de-DE"/>
              </w:rPr>
              <w:t xml:space="preserve">T = </w:t>
            </w:r>
            <w:r w:rsidR="00EC078F" w:rsidRPr="0020508E">
              <w:rPr>
                <w:rFonts w:cs="Arial"/>
                <w:sz w:val="16"/>
                <w:szCs w:val="18"/>
                <w:lang w:val="de-DE"/>
              </w:rPr>
              <w:t xml:space="preserve">273–343 K: 0; </w:t>
            </w:r>
            <w:r w:rsidR="00EF652F" w:rsidRPr="0020508E">
              <w:rPr>
                <w:rFonts w:cs="Arial"/>
                <w:sz w:val="16"/>
                <w:szCs w:val="18"/>
                <w:lang w:val="de-DE"/>
              </w:rPr>
              <w:t>T &lt; 273 K</w:t>
            </w:r>
            <w:r w:rsidR="00EF652F">
              <w:rPr>
                <w:rFonts w:cs="Arial"/>
                <w:sz w:val="16"/>
                <w:szCs w:val="18"/>
                <w:lang w:val="de-DE"/>
              </w:rPr>
              <w:t xml:space="preserve"> </w:t>
            </w:r>
            <w:proofErr w:type="spellStart"/>
            <w:r w:rsidR="00EF652F">
              <w:rPr>
                <w:rFonts w:cs="Arial"/>
                <w:sz w:val="16"/>
                <w:szCs w:val="18"/>
                <w:lang w:val="de-DE"/>
              </w:rPr>
              <w:t>or</w:t>
            </w:r>
            <w:proofErr w:type="spellEnd"/>
            <w:r w:rsidR="00EF652F">
              <w:rPr>
                <w:rFonts w:cs="Arial"/>
                <w:sz w:val="16"/>
                <w:szCs w:val="18"/>
                <w:lang w:val="de-DE"/>
              </w:rPr>
              <w:t xml:space="preserve"> </w:t>
            </w:r>
            <w:r w:rsidRPr="0020508E">
              <w:rPr>
                <w:rFonts w:cs="Arial"/>
                <w:sz w:val="16"/>
                <w:szCs w:val="18"/>
                <w:lang w:val="de-DE"/>
              </w:rPr>
              <w:t xml:space="preserve">T = </w:t>
            </w:r>
            <w:r w:rsidR="00EC078F" w:rsidRPr="0020508E">
              <w:rPr>
                <w:rFonts w:cs="Arial"/>
                <w:sz w:val="16"/>
                <w:szCs w:val="18"/>
                <w:lang w:val="de-DE"/>
              </w:rPr>
              <w:t>343–423 K: 1;</w:t>
            </w:r>
            <w:r w:rsidRPr="0020508E">
              <w:rPr>
                <w:rFonts w:cs="Arial"/>
                <w:sz w:val="16"/>
                <w:szCs w:val="18"/>
                <w:lang w:val="de-DE"/>
              </w:rPr>
              <w:t xml:space="preserve"> T</w:t>
            </w:r>
            <w:r>
              <w:rPr>
                <w:rFonts w:cs="Arial"/>
                <w:sz w:val="16"/>
                <w:szCs w:val="18"/>
                <w:lang w:val="de-DE"/>
              </w:rPr>
              <w:t xml:space="preserve"> =</w:t>
            </w:r>
            <w:r w:rsidR="00EC078F" w:rsidRPr="0020508E">
              <w:rPr>
                <w:rFonts w:cs="Arial"/>
                <w:sz w:val="16"/>
                <w:szCs w:val="18"/>
                <w:lang w:val="de-DE"/>
              </w:rPr>
              <w:t xml:space="preserve"> 423–573 K: 2;</w:t>
            </w:r>
            <w:r>
              <w:rPr>
                <w:rFonts w:cs="Arial"/>
                <w:sz w:val="16"/>
                <w:szCs w:val="18"/>
                <w:lang w:val="de-DE"/>
              </w:rPr>
              <w:t xml:space="preserve"> T =</w:t>
            </w:r>
            <w:r w:rsidR="00EC078F" w:rsidRPr="0020508E">
              <w:rPr>
                <w:rFonts w:cs="Arial"/>
                <w:sz w:val="16"/>
                <w:szCs w:val="18"/>
                <w:lang w:val="de-DE"/>
              </w:rPr>
              <w:t xml:space="preserve"> 573–873 K: 3; </w:t>
            </w:r>
            <w:r>
              <w:rPr>
                <w:rFonts w:cs="Arial"/>
                <w:sz w:val="16"/>
                <w:szCs w:val="18"/>
                <w:lang w:val="de-DE"/>
              </w:rPr>
              <w:t xml:space="preserve">T </w:t>
            </w:r>
            <w:r w:rsidR="00EC078F" w:rsidRPr="0020508E">
              <w:rPr>
                <w:rFonts w:cs="Arial"/>
                <w:sz w:val="16"/>
                <w:szCs w:val="18"/>
                <w:lang w:val="de-DE"/>
              </w:rPr>
              <w:t>&gt;</w:t>
            </w:r>
            <w:r w:rsidR="00E46319">
              <w:rPr>
                <w:rFonts w:cs="Arial"/>
                <w:sz w:val="16"/>
                <w:szCs w:val="18"/>
                <w:lang w:val="de-DE"/>
              </w:rPr>
              <w:t xml:space="preserve"> </w:t>
            </w:r>
            <w:r w:rsidR="00EC078F" w:rsidRPr="0020508E">
              <w:rPr>
                <w:rFonts w:cs="Arial"/>
                <w:sz w:val="16"/>
                <w:szCs w:val="18"/>
                <w:lang w:val="de-DE"/>
              </w:rPr>
              <w:t>873 K: 4</w:t>
            </w:r>
          </w:p>
        </w:tc>
      </w:tr>
      <w:tr w:rsidR="00EC078F" w:rsidRPr="00E46319" w14:paraId="1B9829D3" w14:textId="77777777" w:rsidTr="00525921">
        <w:trPr>
          <w:trHeight w:val="454"/>
        </w:trPr>
        <w:tc>
          <w:tcPr>
            <w:tcW w:w="851" w:type="dxa"/>
            <w:shd w:val="clear" w:color="auto" w:fill="FFFFFF"/>
            <w:vAlign w:val="center"/>
          </w:tcPr>
          <w:p w14:paraId="59FE1FAC" w14:textId="56F0EB08" w:rsidR="00EC078F" w:rsidRPr="00831BEA" w:rsidRDefault="00EC078F" w:rsidP="00525921">
            <w:pPr>
              <w:pStyle w:val="CETBodytext"/>
              <w:ind w:right="-1"/>
              <w:jc w:val="center"/>
              <w:rPr>
                <w:rFonts w:cs="Arial"/>
                <w:sz w:val="16"/>
                <w:szCs w:val="18"/>
                <w:lang w:val="en-GB"/>
              </w:rPr>
            </w:pPr>
            <w:proofErr w:type="spellStart"/>
            <w:r w:rsidRPr="00831BEA">
              <w:rPr>
                <w:rFonts w:cs="Arial"/>
                <w:sz w:val="16"/>
                <w:szCs w:val="18"/>
                <w:lang w:val="en-GB"/>
              </w:rPr>
              <w:t>I</w:t>
            </w:r>
            <w:r w:rsidRPr="00831BEA">
              <w:rPr>
                <w:rFonts w:cs="Arial"/>
                <w:sz w:val="16"/>
                <w:szCs w:val="18"/>
                <w:vertAlign w:val="subscript"/>
                <w:lang w:val="en-GB"/>
              </w:rPr>
              <w:t>P</w:t>
            </w:r>
            <w:r w:rsidR="00EA144E">
              <w:rPr>
                <w:rFonts w:cs="Arial"/>
                <w:sz w:val="16"/>
                <w:szCs w:val="18"/>
                <w:vertAlign w:val="subscript"/>
                <w:lang w:val="en-GB"/>
              </w:rPr>
              <w:t>,max</w:t>
            </w:r>
            <w:proofErr w:type="spellEnd"/>
          </w:p>
        </w:tc>
        <w:tc>
          <w:tcPr>
            <w:tcW w:w="7938" w:type="dxa"/>
            <w:shd w:val="clear" w:color="auto" w:fill="FFFFFF"/>
            <w:vAlign w:val="center"/>
          </w:tcPr>
          <w:p w14:paraId="712DE620" w14:textId="2196AD53" w:rsidR="00BB15E1" w:rsidRDefault="00E46319" w:rsidP="00525921">
            <w:pPr>
              <w:pStyle w:val="CETBodytext"/>
              <w:ind w:right="-1"/>
              <w:jc w:val="center"/>
              <w:rPr>
                <w:rFonts w:cs="Arial"/>
                <w:sz w:val="16"/>
                <w:szCs w:val="18"/>
                <w:lang w:val="en-GB"/>
              </w:rPr>
            </w:pPr>
            <w:r w:rsidRPr="00E46319">
              <w:rPr>
                <w:rFonts w:cs="Arial"/>
                <w:sz w:val="16"/>
                <w:szCs w:val="18"/>
                <w:lang w:val="en-GB"/>
              </w:rPr>
              <w:t xml:space="preserve">P = </w:t>
            </w:r>
            <w:r w:rsidR="00EC078F" w:rsidRPr="00E46319">
              <w:rPr>
                <w:rFonts w:cs="Arial"/>
                <w:sz w:val="16"/>
                <w:szCs w:val="18"/>
                <w:lang w:val="en-GB"/>
              </w:rPr>
              <w:t xml:space="preserve">0.05–0.5 MPa: 0; </w:t>
            </w:r>
            <w:r w:rsidRPr="00E46319">
              <w:rPr>
                <w:rFonts w:cs="Arial"/>
                <w:sz w:val="16"/>
                <w:szCs w:val="18"/>
                <w:lang w:val="en-GB"/>
              </w:rPr>
              <w:t xml:space="preserve">P = </w:t>
            </w:r>
            <w:r w:rsidR="00EC078F" w:rsidRPr="00E46319">
              <w:rPr>
                <w:rFonts w:cs="Arial"/>
                <w:sz w:val="16"/>
                <w:szCs w:val="18"/>
                <w:lang w:val="en-GB"/>
              </w:rPr>
              <w:t xml:space="preserve">0–0.05 or </w:t>
            </w:r>
            <w:r w:rsidRPr="00E46319">
              <w:rPr>
                <w:rFonts w:cs="Arial"/>
                <w:sz w:val="16"/>
                <w:szCs w:val="18"/>
                <w:lang w:val="en-GB"/>
              </w:rPr>
              <w:t xml:space="preserve">P </w:t>
            </w:r>
            <w:r>
              <w:rPr>
                <w:rFonts w:cs="Arial"/>
                <w:sz w:val="16"/>
                <w:szCs w:val="18"/>
                <w:lang w:val="en-GB"/>
              </w:rPr>
              <w:t xml:space="preserve">= </w:t>
            </w:r>
            <w:r w:rsidR="00EC078F" w:rsidRPr="00E46319">
              <w:rPr>
                <w:rFonts w:cs="Arial"/>
                <w:sz w:val="16"/>
                <w:szCs w:val="18"/>
                <w:lang w:val="en-GB"/>
              </w:rPr>
              <w:t>0.5–2.5 M</w:t>
            </w:r>
            <w:r w:rsidR="00EF652F">
              <w:rPr>
                <w:rFonts w:cs="Arial"/>
                <w:sz w:val="16"/>
                <w:szCs w:val="18"/>
                <w:lang w:val="en-GB"/>
              </w:rPr>
              <w:t>P</w:t>
            </w:r>
            <w:r w:rsidR="00EC078F" w:rsidRPr="00E46319">
              <w:rPr>
                <w:rFonts w:cs="Arial"/>
                <w:sz w:val="16"/>
                <w:szCs w:val="18"/>
                <w:lang w:val="en-GB"/>
              </w:rPr>
              <w:t xml:space="preserve">a: 1; </w:t>
            </w:r>
            <w:r>
              <w:rPr>
                <w:rFonts w:cs="Arial"/>
                <w:sz w:val="16"/>
                <w:szCs w:val="18"/>
                <w:lang w:val="en-GB"/>
              </w:rPr>
              <w:t xml:space="preserve">P = </w:t>
            </w:r>
            <w:r w:rsidR="00EC078F" w:rsidRPr="00E46319">
              <w:rPr>
                <w:rFonts w:cs="Arial"/>
                <w:sz w:val="16"/>
                <w:szCs w:val="18"/>
                <w:lang w:val="en-GB"/>
              </w:rPr>
              <w:t>2.5–5.0 M</w:t>
            </w:r>
            <w:r w:rsidR="00EF652F">
              <w:rPr>
                <w:rFonts w:cs="Arial"/>
                <w:sz w:val="16"/>
                <w:szCs w:val="18"/>
                <w:lang w:val="en-GB"/>
              </w:rPr>
              <w:t>P</w:t>
            </w:r>
            <w:r w:rsidR="00EC078F" w:rsidRPr="00E46319">
              <w:rPr>
                <w:rFonts w:cs="Arial"/>
                <w:sz w:val="16"/>
                <w:szCs w:val="18"/>
                <w:lang w:val="en-GB"/>
              </w:rPr>
              <w:t xml:space="preserve">a: 2; </w:t>
            </w:r>
            <w:r>
              <w:rPr>
                <w:rFonts w:cs="Arial"/>
                <w:sz w:val="16"/>
                <w:szCs w:val="18"/>
                <w:lang w:val="en-GB"/>
              </w:rPr>
              <w:t xml:space="preserve">P = </w:t>
            </w:r>
            <w:r w:rsidR="00EC078F" w:rsidRPr="00E46319">
              <w:rPr>
                <w:rFonts w:cs="Arial"/>
                <w:sz w:val="16"/>
                <w:szCs w:val="18"/>
                <w:lang w:val="en-GB"/>
              </w:rPr>
              <w:t>5.0–20.0 M</w:t>
            </w:r>
            <w:r w:rsidR="00EF652F">
              <w:rPr>
                <w:rFonts w:cs="Arial"/>
                <w:sz w:val="16"/>
                <w:szCs w:val="18"/>
                <w:lang w:val="en-GB"/>
              </w:rPr>
              <w:t>P</w:t>
            </w:r>
            <w:r w:rsidR="00EC078F" w:rsidRPr="00E46319">
              <w:rPr>
                <w:rFonts w:cs="Arial"/>
                <w:sz w:val="16"/>
                <w:szCs w:val="18"/>
                <w:lang w:val="en-GB"/>
              </w:rPr>
              <w:t>a: 3;</w:t>
            </w:r>
          </w:p>
          <w:p w14:paraId="0511EC05" w14:textId="2C840D7D" w:rsidR="00EC078F" w:rsidRPr="00E46319" w:rsidRDefault="00E46319" w:rsidP="00525921">
            <w:pPr>
              <w:pStyle w:val="CETBodytext"/>
              <w:ind w:right="-1"/>
              <w:jc w:val="center"/>
              <w:rPr>
                <w:rFonts w:cs="Arial"/>
                <w:sz w:val="16"/>
                <w:szCs w:val="18"/>
                <w:lang w:val="en-GB"/>
              </w:rPr>
            </w:pPr>
            <w:r>
              <w:rPr>
                <w:rFonts w:cs="Arial"/>
                <w:sz w:val="16"/>
                <w:szCs w:val="18"/>
                <w:lang w:val="en-GB"/>
              </w:rPr>
              <w:t xml:space="preserve">P = </w:t>
            </w:r>
            <w:r w:rsidR="00EC078F" w:rsidRPr="00E46319">
              <w:rPr>
                <w:rFonts w:cs="Arial"/>
                <w:sz w:val="16"/>
                <w:szCs w:val="18"/>
                <w:lang w:val="en-GB"/>
              </w:rPr>
              <w:t>20.0–100.0 M</w:t>
            </w:r>
            <w:r w:rsidR="00EF652F">
              <w:rPr>
                <w:rFonts w:cs="Arial"/>
                <w:sz w:val="16"/>
                <w:szCs w:val="18"/>
                <w:lang w:val="en-GB"/>
              </w:rPr>
              <w:t>P</w:t>
            </w:r>
            <w:r w:rsidR="00EC078F" w:rsidRPr="00E46319">
              <w:rPr>
                <w:rFonts w:cs="Arial"/>
                <w:sz w:val="16"/>
                <w:szCs w:val="18"/>
                <w:lang w:val="en-GB"/>
              </w:rPr>
              <w:t>a: 4</w:t>
            </w:r>
          </w:p>
        </w:tc>
      </w:tr>
      <w:tr w:rsidR="00EC078F" w:rsidRPr="00831BEA" w14:paraId="5326E143" w14:textId="77777777" w:rsidTr="00525921">
        <w:trPr>
          <w:trHeight w:val="454"/>
        </w:trPr>
        <w:tc>
          <w:tcPr>
            <w:tcW w:w="851" w:type="dxa"/>
            <w:shd w:val="clear" w:color="auto" w:fill="FFFFFF"/>
            <w:vAlign w:val="center"/>
          </w:tcPr>
          <w:p w14:paraId="37894B5C" w14:textId="77777777" w:rsidR="00EC078F" w:rsidRPr="00831BEA" w:rsidRDefault="00EC078F" w:rsidP="00525921">
            <w:pPr>
              <w:pStyle w:val="CETBodytext"/>
              <w:ind w:right="-1"/>
              <w:jc w:val="center"/>
              <w:rPr>
                <w:rFonts w:cs="Arial"/>
                <w:sz w:val="16"/>
                <w:szCs w:val="18"/>
                <w:lang w:val="en-GB"/>
              </w:rPr>
            </w:pPr>
            <w:r w:rsidRPr="00831BEA">
              <w:rPr>
                <w:rFonts w:cs="Arial"/>
                <w:sz w:val="16"/>
                <w:szCs w:val="18"/>
                <w:lang w:val="en-GB"/>
              </w:rPr>
              <w:t>I</w:t>
            </w:r>
            <w:r w:rsidRPr="00831BEA">
              <w:rPr>
                <w:rFonts w:cs="Arial"/>
                <w:sz w:val="16"/>
                <w:szCs w:val="18"/>
                <w:vertAlign w:val="subscript"/>
                <w:lang w:val="en-GB"/>
              </w:rPr>
              <w:t>EQ</w:t>
            </w:r>
          </w:p>
        </w:tc>
        <w:tc>
          <w:tcPr>
            <w:tcW w:w="7938" w:type="dxa"/>
            <w:shd w:val="clear" w:color="auto" w:fill="FFFFFF"/>
            <w:vAlign w:val="center"/>
          </w:tcPr>
          <w:p w14:paraId="291CDBBE" w14:textId="171B89D1" w:rsidR="00EC078F" w:rsidRPr="00831BEA" w:rsidRDefault="00E46319" w:rsidP="00525921">
            <w:pPr>
              <w:pStyle w:val="CETBodytext"/>
              <w:ind w:right="-1"/>
              <w:jc w:val="center"/>
              <w:rPr>
                <w:rFonts w:cs="Arial"/>
                <w:sz w:val="16"/>
                <w:szCs w:val="18"/>
                <w:lang w:val="en-GB"/>
              </w:rPr>
            </w:pPr>
            <w:r>
              <w:rPr>
                <w:rFonts w:cs="Arial"/>
                <w:sz w:val="16"/>
                <w:szCs w:val="18"/>
                <w:lang w:val="en-GB"/>
              </w:rPr>
              <w:t>Stirred vessel: 0; Stirred vessel with heating jacket: 1; Stirred vessel with ultrasounds: 2; Stirred vessel with heating jacket and under pressure: 3; Stirred vessel with heating jacket and condenser: 4; Stirred vessel with heating jacket and microwaves</w:t>
            </w:r>
            <w:r w:rsidR="006D0745">
              <w:rPr>
                <w:rFonts w:cs="Arial"/>
                <w:sz w:val="16"/>
                <w:szCs w:val="18"/>
                <w:lang w:val="en-GB"/>
              </w:rPr>
              <w:t>,</w:t>
            </w:r>
            <w:r>
              <w:rPr>
                <w:rFonts w:cs="Arial"/>
                <w:sz w:val="16"/>
                <w:szCs w:val="18"/>
                <w:lang w:val="en-GB"/>
              </w:rPr>
              <w:t xml:space="preserve"> under pressure: 5</w:t>
            </w:r>
          </w:p>
        </w:tc>
      </w:tr>
    </w:tbl>
    <w:p w14:paraId="0636B784" w14:textId="1AB7F602" w:rsidR="00453E24" w:rsidRDefault="003F2A81" w:rsidP="008E59B6">
      <w:pPr>
        <w:pStyle w:val="CETHeading1"/>
      </w:pPr>
      <w:r>
        <w:t>Materials and methods</w:t>
      </w:r>
    </w:p>
    <w:p w14:paraId="7E178359" w14:textId="052E35E7" w:rsidR="00B1641D" w:rsidRPr="00B1641D" w:rsidRDefault="00B1641D" w:rsidP="00B1641D">
      <w:pPr>
        <w:pStyle w:val="CETTabletitle"/>
      </w:pPr>
      <w:r w:rsidRPr="00B57B36">
        <w:t xml:space="preserve">Table </w:t>
      </w:r>
      <w:r w:rsidR="005A138D">
        <w:t>3</w:t>
      </w:r>
      <w:r w:rsidRPr="00B57B36">
        <w:t xml:space="preserve">: </w:t>
      </w:r>
      <w:r w:rsidR="00B809EF">
        <w:t>Experimental extraction conditions</w:t>
      </w:r>
      <w:r w:rsidR="008A4F0F">
        <w:t>.</w:t>
      </w:r>
      <w:r w:rsidR="00CB74DC">
        <w:t xml:space="preserve"> </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701"/>
        <w:gridCol w:w="1304"/>
        <w:gridCol w:w="964"/>
        <w:gridCol w:w="1134"/>
        <w:gridCol w:w="1134"/>
        <w:gridCol w:w="1276"/>
      </w:tblGrid>
      <w:tr w:rsidR="00272E98" w:rsidRPr="00831BEA" w14:paraId="0034EBB3" w14:textId="0B9948E1" w:rsidTr="00B44D1D">
        <w:trPr>
          <w:trHeight w:val="306"/>
        </w:trPr>
        <w:tc>
          <w:tcPr>
            <w:tcW w:w="1418" w:type="dxa"/>
            <w:tcBorders>
              <w:top w:val="single" w:sz="12" w:space="0" w:color="008000"/>
              <w:bottom w:val="single" w:sz="6" w:space="0" w:color="008000"/>
            </w:tcBorders>
            <w:shd w:val="clear" w:color="auto" w:fill="FFFFFF"/>
            <w:vAlign w:val="center"/>
          </w:tcPr>
          <w:p w14:paraId="2D49EE14" w14:textId="60F6E31B" w:rsidR="00272E98" w:rsidRPr="00831BEA" w:rsidRDefault="00272E98" w:rsidP="00614E86">
            <w:pPr>
              <w:pStyle w:val="CETBodytext"/>
              <w:jc w:val="center"/>
              <w:rPr>
                <w:sz w:val="16"/>
                <w:szCs w:val="18"/>
                <w:lang w:val="en-GB"/>
              </w:rPr>
            </w:pPr>
            <w:r w:rsidRPr="00831BEA">
              <w:rPr>
                <w:sz w:val="16"/>
                <w:szCs w:val="18"/>
                <w:lang w:val="en-GB"/>
              </w:rPr>
              <w:t>Extraction technique</w:t>
            </w:r>
          </w:p>
        </w:tc>
        <w:tc>
          <w:tcPr>
            <w:tcW w:w="1701" w:type="dxa"/>
            <w:tcBorders>
              <w:top w:val="single" w:sz="12" w:space="0" w:color="008000"/>
              <w:bottom w:val="single" w:sz="6" w:space="0" w:color="008000"/>
            </w:tcBorders>
            <w:shd w:val="clear" w:color="auto" w:fill="FFFFFF"/>
            <w:vAlign w:val="center"/>
          </w:tcPr>
          <w:p w14:paraId="69B04EAC" w14:textId="6700F613"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Solvent type</w:t>
            </w:r>
          </w:p>
        </w:tc>
        <w:tc>
          <w:tcPr>
            <w:tcW w:w="1304" w:type="dxa"/>
            <w:tcBorders>
              <w:top w:val="single" w:sz="12" w:space="0" w:color="008000"/>
              <w:bottom w:val="single" w:sz="6" w:space="0" w:color="008000"/>
            </w:tcBorders>
            <w:shd w:val="clear" w:color="auto" w:fill="FFFFFF"/>
            <w:vAlign w:val="center"/>
          </w:tcPr>
          <w:p w14:paraId="20359223" w14:textId="38BE029F" w:rsidR="00272E98" w:rsidRPr="00831BEA" w:rsidRDefault="0049249B" w:rsidP="00614E86">
            <w:pPr>
              <w:pStyle w:val="CETBodytext"/>
              <w:ind w:right="-1"/>
              <w:jc w:val="center"/>
              <w:rPr>
                <w:rFonts w:cs="Arial"/>
                <w:sz w:val="16"/>
                <w:szCs w:val="18"/>
                <w:lang w:val="en-GB"/>
              </w:rPr>
            </w:pPr>
            <w:r w:rsidRPr="00831BEA">
              <w:rPr>
                <w:rFonts w:cs="Arial"/>
                <w:sz w:val="16"/>
                <w:szCs w:val="18"/>
                <w:lang w:val="en-GB"/>
              </w:rPr>
              <w:t>L/S</w:t>
            </w:r>
          </w:p>
          <w:p w14:paraId="7047D548" w14:textId="165E8FB2" w:rsidR="00272E98" w:rsidRPr="00831BEA" w:rsidRDefault="00272E98" w:rsidP="00614E86">
            <w:pPr>
              <w:pStyle w:val="CETBodytext"/>
              <w:ind w:right="-1"/>
              <w:jc w:val="center"/>
              <w:rPr>
                <w:rFonts w:cs="Arial"/>
                <w:sz w:val="16"/>
                <w:szCs w:val="18"/>
                <w:lang w:val="en-GB"/>
              </w:rPr>
            </w:pPr>
            <w:r w:rsidRPr="00831BEA">
              <w:rPr>
                <w:rFonts w:cs="Arial"/>
                <w:sz w:val="16"/>
                <w:szCs w:val="18"/>
                <w:lang w:val="en-GB"/>
              </w:rPr>
              <w:t>(</w:t>
            </w:r>
            <w:r w:rsidR="0049249B" w:rsidRPr="00831BEA">
              <w:rPr>
                <w:rFonts w:cs="Arial"/>
                <w:sz w:val="16"/>
                <w:szCs w:val="18"/>
                <w:lang w:val="en-GB"/>
              </w:rPr>
              <w:t>10</w:t>
            </w:r>
            <w:r w:rsidR="0049249B" w:rsidRPr="00831BEA">
              <w:rPr>
                <w:rFonts w:cs="Arial"/>
                <w:sz w:val="16"/>
                <w:szCs w:val="18"/>
                <w:vertAlign w:val="superscript"/>
                <w:lang w:val="en-GB"/>
              </w:rPr>
              <w:t>-3</w:t>
            </w:r>
            <w:r w:rsidR="0049249B" w:rsidRPr="00831BEA">
              <w:rPr>
                <w:rFonts w:cs="Arial"/>
                <w:sz w:val="16"/>
                <w:szCs w:val="18"/>
                <w:lang w:val="en-GB"/>
              </w:rPr>
              <w:t xml:space="preserve"> m</w:t>
            </w:r>
            <w:r w:rsidR="0049249B" w:rsidRPr="00831BEA">
              <w:rPr>
                <w:rFonts w:cs="Arial"/>
                <w:sz w:val="16"/>
                <w:szCs w:val="18"/>
                <w:vertAlign w:val="superscript"/>
                <w:lang w:val="en-GB"/>
              </w:rPr>
              <w:t>3</w:t>
            </w:r>
            <w:r w:rsidR="0049249B" w:rsidRPr="00831BEA">
              <w:rPr>
                <w:rFonts w:cs="Arial"/>
                <w:sz w:val="16"/>
                <w:szCs w:val="18"/>
                <w:lang w:val="en-GB"/>
              </w:rPr>
              <w:t>/kg</w:t>
            </w:r>
            <w:r w:rsidRPr="00831BEA">
              <w:rPr>
                <w:rFonts w:cs="Arial"/>
                <w:sz w:val="16"/>
                <w:szCs w:val="18"/>
                <w:lang w:val="en-GB"/>
              </w:rPr>
              <w:t>)</w:t>
            </w:r>
          </w:p>
        </w:tc>
        <w:tc>
          <w:tcPr>
            <w:tcW w:w="964" w:type="dxa"/>
            <w:tcBorders>
              <w:top w:val="single" w:sz="12" w:space="0" w:color="008000"/>
              <w:bottom w:val="single" w:sz="6" w:space="0" w:color="008000"/>
            </w:tcBorders>
            <w:shd w:val="clear" w:color="auto" w:fill="FFFFFF"/>
            <w:vAlign w:val="center"/>
          </w:tcPr>
          <w:p w14:paraId="44D3A51D" w14:textId="77777777" w:rsidR="00D7049B" w:rsidRDefault="00272E98" w:rsidP="0049249B">
            <w:pPr>
              <w:pStyle w:val="CETBodytext"/>
              <w:ind w:right="-1"/>
              <w:jc w:val="center"/>
              <w:rPr>
                <w:rFonts w:cs="Arial"/>
                <w:sz w:val="16"/>
                <w:szCs w:val="18"/>
                <w:lang w:val="en-GB"/>
              </w:rPr>
            </w:pPr>
            <w:r w:rsidRPr="00831BEA">
              <w:rPr>
                <w:rFonts w:cs="Arial"/>
                <w:sz w:val="16"/>
                <w:szCs w:val="18"/>
                <w:lang w:val="en-GB"/>
              </w:rPr>
              <w:t>Solvent</w:t>
            </w:r>
          </w:p>
          <w:p w14:paraId="00B2D419" w14:textId="45C27B79"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w:t>
            </w:r>
            <w:r w:rsidR="0049249B" w:rsidRPr="00831BEA">
              <w:rPr>
                <w:rFonts w:cs="Arial"/>
                <w:sz w:val="16"/>
                <w:szCs w:val="18"/>
                <w:lang w:val="en-GB"/>
              </w:rPr>
              <w:t>*10</w:t>
            </w:r>
            <w:r w:rsidR="0049249B" w:rsidRPr="00831BEA">
              <w:rPr>
                <w:rFonts w:cs="Arial"/>
                <w:sz w:val="16"/>
                <w:szCs w:val="18"/>
                <w:vertAlign w:val="superscript"/>
                <w:lang w:val="en-GB"/>
              </w:rPr>
              <w:t>-6</w:t>
            </w:r>
            <w:r w:rsidR="0049249B" w:rsidRPr="00831BEA">
              <w:rPr>
                <w:rFonts w:cs="Arial"/>
                <w:sz w:val="16"/>
                <w:szCs w:val="18"/>
                <w:lang w:val="en-GB"/>
              </w:rPr>
              <w:t xml:space="preserve"> m</w:t>
            </w:r>
            <w:r w:rsidR="0049249B" w:rsidRPr="00831BEA">
              <w:rPr>
                <w:rFonts w:cs="Arial"/>
                <w:sz w:val="16"/>
                <w:szCs w:val="18"/>
                <w:vertAlign w:val="superscript"/>
                <w:lang w:val="en-GB"/>
              </w:rPr>
              <w:t>3</w:t>
            </w:r>
            <w:r w:rsidRPr="00831BEA">
              <w:rPr>
                <w:rFonts w:cs="Arial"/>
                <w:sz w:val="16"/>
                <w:szCs w:val="18"/>
                <w:lang w:val="en-GB"/>
              </w:rPr>
              <w:t>)</w:t>
            </w:r>
          </w:p>
        </w:tc>
        <w:tc>
          <w:tcPr>
            <w:tcW w:w="1134" w:type="dxa"/>
            <w:tcBorders>
              <w:top w:val="single" w:sz="12" w:space="0" w:color="008000"/>
              <w:bottom w:val="single" w:sz="6" w:space="0" w:color="008000"/>
            </w:tcBorders>
            <w:shd w:val="clear" w:color="auto" w:fill="FFFFFF"/>
            <w:vAlign w:val="center"/>
          </w:tcPr>
          <w:p w14:paraId="43A05216" w14:textId="72406FF3" w:rsidR="00272E98" w:rsidRPr="00831BEA" w:rsidRDefault="0049249B" w:rsidP="00614E86">
            <w:pPr>
              <w:pStyle w:val="CETBodytext"/>
              <w:ind w:right="-1"/>
              <w:jc w:val="center"/>
              <w:rPr>
                <w:rFonts w:cs="Arial"/>
                <w:sz w:val="16"/>
                <w:szCs w:val="18"/>
                <w:lang w:val="en-GB"/>
              </w:rPr>
            </w:pPr>
            <w:proofErr w:type="spellStart"/>
            <w:r w:rsidRPr="00831BEA">
              <w:rPr>
                <w:rFonts w:cs="Arial"/>
                <w:sz w:val="16"/>
                <w:szCs w:val="18"/>
                <w:lang w:val="en-GB"/>
              </w:rPr>
              <w:t>T</w:t>
            </w:r>
            <w:r w:rsidR="00272E98" w:rsidRPr="00831BEA">
              <w:rPr>
                <w:rFonts w:cs="Arial"/>
                <w:sz w:val="16"/>
                <w:szCs w:val="18"/>
                <w:vertAlign w:val="subscript"/>
                <w:lang w:val="en-GB"/>
              </w:rPr>
              <w:t>max</w:t>
            </w:r>
            <w:proofErr w:type="spellEnd"/>
            <w:r w:rsidR="00272E98" w:rsidRPr="00831BEA">
              <w:rPr>
                <w:rFonts w:cs="Arial"/>
                <w:sz w:val="16"/>
                <w:szCs w:val="18"/>
                <w:lang w:val="en-GB"/>
              </w:rPr>
              <w:t xml:space="preserve"> (</w:t>
            </w:r>
            <w:r w:rsidRPr="00831BEA">
              <w:rPr>
                <w:rFonts w:cs="Arial"/>
                <w:sz w:val="16"/>
                <w:szCs w:val="18"/>
                <w:lang w:val="en-GB"/>
              </w:rPr>
              <w:t>K</w:t>
            </w:r>
            <w:r w:rsidR="00272E98" w:rsidRPr="00831BEA">
              <w:rPr>
                <w:rFonts w:cs="Arial"/>
                <w:sz w:val="16"/>
                <w:szCs w:val="18"/>
                <w:lang w:val="en-GB"/>
              </w:rPr>
              <w:t>)</w:t>
            </w:r>
          </w:p>
        </w:tc>
        <w:tc>
          <w:tcPr>
            <w:tcW w:w="1134" w:type="dxa"/>
            <w:tcBorders>
              <w:top w:val="single" w:sz="12" w:space="0" w:color="008000"/>
              <w:bottom w:val="single" w:sz="6" w:space="0" w:color="008000"/>
            </w:tcBorders>
            <w:shd w:val="clear" w:color="auto" w:fill="FFFFFF"/>
            <w:vAlign w:val="center"/>
          </w:tcPr>
          <w:p w14:paraId="421AA0E0" w14:textId="46722D17" w:rsidR="00272E98" w:rsidRPr="00831BEA" w:rsidRDefault="00272E98" w:rsidP="00614E86">
            <w:pPr>
              <w:pStyle w:val="CETBodytext"/>
              <w:ind w:right="-1"/>
              <w:jc w:val="center"/>
              <w:rPr>
                <w:rFonts w:cs="Arial"/>
                <w:sz w:val="16"/>
                <w:szCs w:val="18"/>
                <w:lang w:val="en-GB"/>
              </w:rPr>
            </w:pPr>
            <w:r w:rsidRPr="00831BEA">
              <w:rPr>
                <w:rFonts w:cs="Arial"/>
                <w:sz w:val="16"/>
                <w:szCs w:val="18"/>
                <w:lang w:val="en-GB"/>
              </w:rPr>
              <w:t>P</w:t>
            </w:r>
            <w:r w:rsidRPr="00831BEA">
              <w:rPr>
                <w:rFonts w:cs="Arial"/>
                <w:sz w:val="16"/>
                <w:szCs w:val="18"/>
                <w:vertAlign w:val="subscript"/>
                <w:lang w:val="en-GB"/>
              </w:rPr>
              <w:t>max</w:t>
            </w:r>
            <w:r w:rsidRPr="00831BEA">
              <w:rPr>
                <w:rFonts w:cs="Arial"/>
                <w:sz w:val="16"/>
                <w:szCs w:val="18"/>
                <w:lang w:val="en-GB"/>
              </w:rPr>
              <w:t xml:space="preserve"> (</w:t>
            </w:r>
            <w:r w:rsidR="00594A37" w:rsidRPr="00831BEA">
              <w:rPr>
                <w:rFonts w:cs="Arial"/>
                <w:sz w:val="16"/>
                <w:szCs w:val="18"/>
                <w:lang w:val="en-GB"/>
              </w:rPr>
              <w:t>M</w:t>
            </w:r>
            <w:r w:rsidR="0049249B" w:rsidRPr="00831BEA">
              <w:rPr>
                <w:rFonts w:cs="Arial"/>
                <w:sz w:val="16"/>
                <w:szCs w:val="18"/>
                <w:lang w:val="en-GB"/>
              </w:rPr>
              <w:t>Pa</w:t>
            </w:r>
            <w:r w:rsidRPr="00831BEA">
              <w:rPr>
                <w:rFonts w:cs="Arial"/>
                <w:sz w:val="16"/>
                <w:szCs w:val="18"/>
                <w:lang w:val="en-GB"/>
              </w:rPr>
              <w:t>)</w:t>
            </w:r>
          </w:p>
        </w:tc>
        <w:tc>
          <w:tcPr>
            <w:tcW w:w="1276" w:type="dxa"/>
            <w:tcBorders>
              <w:top w:val="single" w:sz="12" w:space="0" w:color="008000"/>
              <w:bottom w:val="single" w:sz="6" w:space="0" w:color="008000"/>
            </w:tcBorders>
            <w:shd w:val="clear" w:color="auto" w:fill="FFFFFF"/>
            <w:vAlign w:val="center"/>
          </w:tcPr>
          <w:p w14:paraId="083F51E1" w14:textId="78AB9950" w:rsidR="00272E98" w:rsidRPr="00831BEA" w:rsidRDefault="00272E98" w:rsidP="00614E86">
            <w:pPr>
              <w:pStyle w:val="CETBodytext"/>
              <w:ind w:right="-1"/>
              <w:jc w:val="center"/>
              <w:rPr>
                <w:rFonts w:cs="Arial"/>
                <w:sz w:val="16"/>
                <w:szCs w:val="18"/>
                <w:lang w:val="en-GB"/>
              </w:rPr>
            </w:pPr>
            <w:r w:rsidRPr="00831BEA">
              <w:rPr>
                <w:rFonts w:cs="Arial"/>
                <w:sz w:val="16"/>
                <w:szCs w:val="18"/>
                <w:lang w:val="en-GB"/>
              </w:rPr>
              <w:t>t (</w:t>
            </w:r>
            <w:r w:rsidR="001E2F40">
              <w:rPr>
                <w:rFonts w:cs="Arial"/>
                <w:sz w:val="16"/>
                <w:szCs w:val="18"/>
                <w:lang w:val="en-GB"/>
              </w:rPr>
              <w:t>h</w:t>
            </w:r>
            <w:r w:rsidRPr="00831BEA">
              <w:rPr>
                <w:rFonts w:cs="Arial"/>
                <w:sz w:val="16"/>
                <w:szCs w:val="18"/>
                <w:lang w:val="en-GB"/>
              </w:rPr>
              <w:t>)</w:t>
            </w:r>
          </w:p>
        </w:tc>
      </w:tr>
      <w:tr w:rsidR="00272E98" w:rsidRPr="00831BEA" w14:paraId="7854016A" w14:textId="5DDF44EF" w:rsidTr="00B44D1D">
        <w:trPr>
          <w:trHeight w:val="227"/>
        </w:trPr>
        <w:tc>
          <w:tcPr>
            <w:tcW w:w="1418" w:type="dxa"/>
            <w:vMerge w:val="restart"/>
            <w:shd w:val="clear" w:color="auto" w:fill="FFFFFF"/>
            <w:vAlign w:val="center"/>
          </w:tcPr>
          <w:p w14:paraId="42F6EFC5" w14:textId="7E006594" w:rsidR="00272E98" w:rsidRPr="00831BEA" w:rsidRDefault="00272E98" w:rsidP="003F36BA">
            <w:pPr>
              <w:pStyle w:val="CETBodytext"/>
              <w:jc w:val="center"/>
              <w:rPr>
                <w:sz w:val="16"/>
                <w:szCs w:val="18"/>
                <w:lang w:val="en-GB"/>
              </w:rPr>
            </w:pPr>
            <w:r w:rsidRPr="00831BEA">
              <w:rPr>
                <w:sz w:val="16"/>
                <w:szCs w:val="18"/>
                <w:lang w:val="en-GB"/>
              </w:rPr>
              <w:t>SLE</w:t>
            </w:r>
          </w:p>
        </w:tc>
        <w:tc>
          <w:tcPr>
            <w:tcW w:w="1701" w:type="dxa"/>
            <w:shd w:val="clear" w:color="auto" w:fill="FFFFFF"/>
            <w:vAlign w:val="center"/>
          </w:tcPr>
          <w:p w14:paraId="0E401929" w14:textId="64418C09"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Methanol</w:t>
            </w:r>
          </w:p>
        </w:tc>
        <w:tc>
          <w:tcPr>
            <w:tcW w:w="1304" w:type="dxa"/>
            <w:shd w:val="clear" w:color="auto" w:fill="FFFFFF"/>
            <w:vAlign w:val="center"/>
          </w:tcPr>
          <w:p w14:paraId="1414F4C2" w14:textId="6673CA16" w:rsidR="00272E98" w:rsidRPr="00831BEA" w:rsidRDefault="00272E98" w:rsidP="00A467A1">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EC64B34" w14:textId="3046237C"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30</w:t>
            </w:r>
          </w:p>
        </w:tc>
        <w:tc>
          <w:tcPr>
            <w:tcW w:w="1134" w:type="dxa"/>
            <w:shd w:val="clear" w:color="auto" w:fill="FFFFFF"/>
            <w:vAlign w:val="center"/>
          </w:tcPr>
          <w:p w14:paraId="7A03A3C3" w14:textId="23910440" w:rsidR="00272E98" w:rsidRPr="00831BEA" w:rsidRDefault="0049249B" w:rsidP="00A467A1">
            <w:pPr>
              <w:pStyle w:val="CETBodytext"/>
              <w:ind w:right="-1"/>
              <w:jc w:val="center"/>
              <w:rPr>
                <w:rFonts w:cs="Arial"/>
                <w:sz w:val="16"/>
                <w:szCs w:val="18"/>
                <w:lang w:val="en-GB"/>
              </w:rPr>
            </w:pPr>
            <w:r w:rsidRPr="00831BEA">
              <w:rPr>
                <w:rFonts w:cs="Arial"/>
                <w:sz w:val="16"/>
                <w:szCs w:val="18"/>
                <w:lang w:val="en-GB"/>
              </w:rPr>
              <w:t>298</w:t>
            </w:r>
          </w:p>
        </w:tc>
        <w:tc>
          <w:tcPr>
            <w:tcW w:w="1134" w:type="dxa"/>
            <w:shd w:val="clear" w:color="auto" w:fill="FFFFFF"/>
            <w:vAlign w:val="center"/>
          </w:tcPr>
          <w:p w14:paraId="4E292B29" w14:textId="7D79F1C1" w:rsidR="00272E98" w:rsidRPr="00831BEA" w:rsidRDefault="00594A37" w:rsidP="00A467A1">
            <w:pPr>
              <w:pStyle w:val="CETBodytext"/>
              <w:ind w:right="-1"/>
              <w:jc w:val="center"/>
              <w:rPr>
                <w:rFonts w:cs="Arial"/>
                <w:sz w:val="16"/>
                <w:szCs w:val="18"/>
                <w:lang w:val="en-GB"/>
              </w:rPr>
            </w:pPr>
            <w:r w:rsidRPr="00831BEA">
              <w:rPr>
                <w:rFonts w:cs="Arial"/>
                <w:sz w:val="16"/>
                <w:szCs w:val="18"/>
                <w:lang w:val="en-GB"/>
              </w:rPr>
              <w:t>0.10</w:t>
            </w:r>
          </w:p>
        </w:tc>
        <w:tc>
          <w:tcPr>
            <w:tcW w:w="1276" w:type="dxa"/>
            <w:shd w:val="clear" w:color="auto" w:fill="FFFFFF"/>
            <w:vAlign w:val="center"/>
          </w:tcPr>
          <w:p w14:paraId="16593BB3" w14:textId="1400E01F" w:rsidR="00272E98" w:rsidRPr="00831BEA" w:rsidRDefault="001E2F40" w:rsidP="00A467A1">
            <w:pPr>
              <w:pStyle w:val="CETBodytext"/>
              <w:ind w:right="-1"/>
              <w:jc w:val="center"/>
              <w:rPr>
                <w:rFonts w:cs="Arial"/>
                <w:sz w:val="16"/>
                <w:szCs w:val="18"/>
                <w:lang w:val="en-GB"/>
              </w:rPr>
            </w:pPr>
            <w:r>
              <w:rPr>
                <w:rFonts w:cs="Arial"/>
                <w:sz w:val="16"/>
                <w:szCs w:val="18"/>
                <w:lang w:val="en-GB"/>
              </w:rPr>
              <w:t>24</w:t>
            </w:r>
          </w:p>
        </w:tc>
      </w:tr>
      <w:tr w:rsidR="00272E98" w:rsidRPr="00831BEA" w14:paraId="2DD3563B" w14:textId="77777777" w:rsidTr="00B44D1D">
        <w:trPr>
          <w:trHeight w:val="227"/>
        </w:trPr>
        <w:tc>
          <w:tcPr>
            <w:tcW w:w="1418" w:type="dxa"/>
            <w:vMerge/>
            <w:shd w:val="clear" w:color="auto" w:fill="FFFFFF"/>
            <w:vAlign w:val="center"/>
          </w:tcPr>
          <w:p w14:paraId="2B44AB30"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04682B41" w14:textId="5D5807B4"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w:t>
            </w:r>
          </w:p>
        </w:tc>
        <w:tc>
          <w:tcPr>
            <w:tcW w:w="1304" w:type="dxa"/>
            <w:shd w:val="clear" w:color="auto" w:fill="FFFFFF"/>
            <w:vAlign w:val="center"/>
          </w:tcPr>
          <w:p w14:paraId="2B5015C9" w14:textId="5CE63280" w:rsidR="00272E98" w:rsidRPr="00831BEA" w:rsidRDefault="00272E98" w:rsidP="00A467A1">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3A608A33" w14:textId="6B212F48"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30</w:t>
            </w:r>
          </w:p>
        </w:tc>
        <w:tc>
          <w:tcPr>
            <w:tcW w:w="1134" w:type="dxa"/>
            <w:shd w:val="clear" w:color="auto" w:fill="FFFFFF"/>
            <w:vAlign w:val="center"/>
          </w:tcPr>
          <w:p w14:paraId="24A299A0" w14:textId="3A7718B8" w:rsidR="00272E98" w:rsidRPr="00831BEA" w:rsidRDefault="0049249B" w:rsidP="00A467A1">
            <w:pPr>
              <w:pStyle w:val="CETBodytext"/>
              <w:ind w:right="-1"/>
              <w:jc w:val="center"/>
              <w:rPr>
                <w:rFonts w:cs="Arial"/>
                <w:sz w:val="16"/>
                <w:szCs w:val="18"/>
                <w:lang w:val="en-GB"/>
              </w:rPr>
            </w:pPr>
            <w:r w:rsidRPr="00831BEA">
              <w:rPr>
                <w:rFonts w:cs="Arial"/>
                <w:sz w:val="16"/>
                <w:szCs w:val="18"/>
                <w:lang w:val="en-GB"/>
              </w:rPr>
              <w:t>298</w:t>
            </w:r>
          </w:p>
        </w:tc>
        <w:tc>
          <w:tcPr>
            <w:tcW w:w="1134" w:type="dxa"/>
            <w:shd w:val="clear" w:color="auto" w:fill="FFFFFF"/>
            <w:vAlign w:val="center"/>
          </w:tcPr>
          <w:p w14:paraId="0CEC5377" w14:textId="4B901988" w:rsidR="00272E98" w:rsidRPr="00831BEA" w:rsidRDefault="00594A37" w:rsidP="00A467A1">
            <w:pPr>
              <w:pStyle w:val="CETBodytext"/>
              <w:ind w:right="-1"/>
              <w:jc w:val="center"/>
              <w:rPr>
                <w:rFonts w:cs="Arial"/>
                <w:sz w:val="16"/>
                <w:szCs w:val="18"/>
                <w:lang w:val="en-GB"/>
              </w:rPr>
            </w:pPr>
            <w:r w:rsidRPr="00831BEA">
              <w:rPr>
                <w:rFonts w:cs="Arial"/>
                <w:sz w:val="16"/>
                <w:szCs w:val="18"/>
                <w:lang w:val="en-GB"/>
              </w:rPr>
              <w:t>0.10</w:t>
            </w:r>
          </w:p>
        </w:tc>
        <w:tc>
          <w:tcPr>
            <w:tcW w:w="1276" w:type="dxa"/>
            <w:shd w:val="clear" w:color="auto" w:fill="FFFFFF"/>
            <w:vAlign w:val="center"/>
          </w:tcPr>
          <w:p w14:paraId="614AA284" w14:textId="5FC32DD0" w:rsidR="00272E98" w:rsidRPr="00831BEA" w:rsidRDefault="001E2F40" w:rsidP="00A467A1">
            <w:pPr>
              <w:pStyle w:val="CETBodytext"/>
              <w:ind w:right="-1"/>
              <w:jc w:val="center"/>
              <w:rPr>
                <w:rFonts w:cs="Arial"/>
                <w:sz w:val="16"/>
                <w:szCs w:val="18"/>
                <w:lang w:val="en-GB"/>
              </w:rPr>
            </w:pPr>
            <w:r>
              <w:rPr>
                <w:rFonts w:cs="Arial"/>
                <w:sz w:val="16"/>
                <w:szCs w:val="18"/>
                <w:lang w:val="en-GB"/>
              </w:rPr>
              <w:t>24</w:t>
            </w:r>
          </w:p>
        </w:tc>
      </w:tr>
      <w:tr w:rsidR="00272E98" w:rsidRPr="00831BEA" w14:paraId="1C7AA874" w14:textId="77777777" w:rsidTr="00B44D1D">
        <w:trPr>
          <w:trHeight w:val="227"/>
        </w:trPr>
        <w:tc>
          <w:tcPr>
            <w:tcW w:w="1418" w:type="dxa"/>
            <w:vMerge/>
            <w:shd w:val="clear" w:color="auto" w:fill="FFFFFF"/>
            <w:vAlign w:val="center"/>
          </w:tcPr>
          <w:p w14:paraId="0A02FF63"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300C3A4E" w14:textId="408A436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Water</w:t>
            </w:r>
          </w:p>
        </w:tc>
        <w:tc>
          <w:tcPr>
            <w:tcW w:w="1304" w:type="dxa"/>
            <w:shd w:val="clear" w:color="auto" w:fill="FFFFFF"/>
            <w:vAlign w:val="center"/>
          </w:tcPr>
          <w:p w14:paraId="602584CC" w14:textId="69549C9C" w:rsidR="00272E98" w:rsidRPr="00831BEA" w:rsidRDefault="00272E98" w:rsidP="00A467A1">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A64645F" w14:textId="27149469"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30</w:t>
            </w:r>
          </w:p>
        </w:tc>
        <w:tc>
          <w:tcPr>
            <w:tcW w:w="1134" w:type="dxa"/>
            <w:shd w:val="clear" w:color="auto" w:fill="FFFFFF"/>
            <w:vAlign w:val="center"/>
          </w:tcPr>
          <w:p w14:paraId="186B5752" w14:textId="329CDBD4" w:rsidR="00272E98" w:rsidRPr="00831BEA" w:rsidRDefault="0049249B" w:rsidP="00A467A1">
            <w:pPr>
              <w:pStyle w:val="CETBodytext"/>
              <w:ind w:right="-1"/>
              <w:jc w:val="center"/>
              <w:rPr>
                <w:rFonts w:cs="Arial"/>
                <w:sz w:val="16"/>
                <w:szCs w:val="18"/>
                <w:lang w:val="en-GB"/>
              </w:rPr>
            </w:pPr>
            <w:r w:rsidRPr="00831BEA">
              <w:rPr>
                <w:rFonts w:cs="Arial"/>
                <w:sz w:val="16"/>
                <w:szCs w:val="18"/>
                <w:lang w:val="en-GB"/>
              </w:rPr>
              <w:t>298</w:t>
            </w:r>
          </w:p>
        </w:tc>
        <w:tc>
          <w:tcPr>
            <w:tcW w:w="1134" w:type="dxa"/>
            <w:shd w:val="clear" w:color="auto" w:fill="FFFFFF"/>
            <w:vAlign w:val="center"/>
          </w:tcPr>
          <w:p w14:paraId="6901B137" w14:textId="72304261" w:rsidR="00272E98" w:rsidRPr="00831BEA" w:rsidRDefault="00594A37" w:rsidP="00A467A1">
            <w:pPr>
              <w:pStyle w:val="CETBodytext"/>
              <w:ind w:right="-1"/>
              <w:jc w:val="center"/>
              <w:rPr>
                <w:rFonts w:cs="Arial"/>
                <w:sz w:val="16"/>
                <w:szCs w:val="18"/>
                <w:lang w:val="en-GB"/>
              </w:rPr>
            </w:pPr>
            <w:r w:rsidRPr="00831BEA">
              <w:rPr>
                <w:rFonts w:cs="Arial"/>
                <w:sz w:val="16"/>
                <w:szCs w:val="18"/>
                <w:lang w:val="en-GB"/>
              </w:rPr>
              <w:t>0.10</w:t>
            </w:r>
          </w:p>
        </w:tc>
        <w:tc>
          <w:tcPr>
            <w:tcW w:w="1276" w:type="dxa"/>
            <w:shd w:val="clear" w:color="auto" w:fill="FFFFFF"/>
            <w:vAlign w:val="center"/>
          </w:tcPr>
          <w:p w14:paraId="00F86F50" w14:textId="40B5F137" w:rsidR="00272E98" w:rsidRPr="00831BEA" w:rsidRDefault="001E2F40" w:rsidP="00A467A1">
            <w:pPr>
              <w:pStyle w:val="CETBodytext"/>
              <w:ind w:right="-1"/>
              <w:jc w:val="center"/>
              <w:rPr>
                <w:rFonts w:cs="Arial"/>
                <w:sz w:val="16"/>
                <w:szCs w:val="18"/>
                <w:lang w:val="en-GB"/>
              </w:rPr>
            </w:pPr>
            <w:r>
              <w:rPr>
                <w:rFonts w:cs="Arial"/>
                <w:sz w:val="16"/>
                <w:szCs w:val="18"/>
                <w:lang w:val="en-GB"/>
              </w:rPr>
              <w:t>24</w:t>
            </w:r>
          </w:p>
        </w:tc>
      </w:tr>
      <w:tr w:rsidR="00272E98" w:rsidRPr="00831BEA" w14:paraId="02C3621E" w14:textId="77777777" w:rsidTr="00B44D1D">
        <w:trPr>
          <w:trHeight w:val="227"/>
        </w:trPr>
        <w:tc>
          <w:tcPr>
            <w:tcW w:w="1418" w:type="dxa"/>
            <w:vMerge/>
            <w:shd w:val="clear" w:color="auto" w:fill="FFFFFF"/>
            <w:vAlign w:val="center"/>
          </w:tcPr>
          <w:p w14:paraId="7C1E6D03"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3648F943" w14:textId="749B7528"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50% (v/v)</w:t>
            </w:r>
          </w:p>
        </w:tc>
        <w:tc>
          <w:tcPr>
            <w:tcW w:w="1304" w:type="dxa"/>
            <w:shd w:val="clear" w:color="auto" w:fill="FFFFFF"/>
            <w:vAlign w:val="center"/>
          </w:tcPr>
          <w:p w14:paraId="288F4BD8" w14:textId="6B0C2CE2" w:rsidR="00272E98" w:rsidRPr="00831BEA" w:rsidRDefault="00272E98" w:rsidP="00A467A1">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C5D6268" w14:textId="7DDCF8B3"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30</w:t>
            </w:r>
          </w:p>
        </w:tc>
        <w:tc>
          <w:tcPr>
            <w:tcW w:w="1134" w:type="dxa"/>
            <w:shd w:val="clear" w:color="auto" w:fill="FFFFFF"/>
            <w:vAlign w:val="center"/>
          </w:tcPr>
          <w:p w14:paraId="4594E774" w14:textId="081E6E36" w:rsidR="00272E98" w:rsidRPr="00831BEA" w:rsidRDefault="0049249B" w:rsidP="00A467A1">
            <w:pPr>
              <w:pStyle w:val="CETBodytext"/>
              <w:ind w:right="-1"/>
              <w:jc w:val="center"/>
              <w:rPr>
                <w:rFonts w:cs="Arial"/>
                <w:sz w:val="16"/>
                <w:szCs w:val="18"/>
                <w:lang w:val="en-GB"/>
              </w:rPr>
            </w:pPr>
            <w:r w:rsidRPr="00831BEA">
              <w:rPr>
                <w:rFonts w:cs="Arial"/>
                <w:sz w:val="16"/>
                <w:szCs w:val="18"/>
                <w:lang w:val="en-GB"/>
              </w:rPr>
              <w:t>298</w:t>
            </w:r>
          </w:p>
        </w:tc>
        <w:tc>
          <w:tcPr>
            <w:tcW w:w="1134" w:type="dxa"/>
            <w:shd w:val="clear" w:color="auto" w:fill="FFFFFF"/>
            <w:vAlign w:val="center"/>
          </w:tcPr>
          <w:p w14:paraId="7C802567" w14:textId="406F8A7C" w:rsidR="00272E98" w:rsidRPr="00831BEA" w:rsidRDefault="00594A37" w:rsidP="00A467A1">
            <w:pPr>
              <w:pStyle w:val="CETBodytext"/>
              <w:ind w:right="-1"/>
              <w:jc w:val="center"/>
              <w:rPr>
                <w:rFonts w:cs="Arial"/>
                <w:sz w:val="16"/>
                <w:szCs w:val="18"/>
                <w:lang w:val="en-GB"/>
              </w:rPr>
            </w:pPr>
            <w:r w:rsidRPr="00831BEA">
              <w:rPr>
                <w:rFonts w:cs="Arial"/>
                <w:sz w:val="16"/>
                <w:szCs w:val="18"/>
                <w:lang w:val="en-GB"/>
              </w:rPr>
              <w:t>0.10</w:t>
            </w:r>
          </w:p>
        </w:tc>
        <w:tc>
          <w:tcPr>
            <w:tcW w:w="1276" w:type="dxa"/>
            <w:shd w:val="clear" w:color="auto" w:fill="FFFFFF"/>
            <w:vAlign w:val="center"/>
          </w:tcPr>
          <w:p w14:paraId="5B27DF92" w14:textId="6CF8D006" w:rsidR="00272E98" w:rsidRPr="00831BEA" w:rsidRDefault="001E2F40" w:rsidP="00A467A1">
            <w:pPr>
              <w:pStyle w:val="CETBodytext"/>
              <w:ind w:right="-1"/>
              <w:jc w:val="center"/>
              <w:rPr>
                <w:rFonts w:cs="Arial"/>
                <w:sz w:val="16"/>
                <w:szCs w:val="18"/>
                <w:lang w:val="en-GB"/>
              </w:rPr>
            </w:pPr>
            <w:r>
              <w:rPr>
                <w:rFonts w:cs="Arial"/>
                <w:sz w:val="16"/>
                <w:szCs w:val="18"/>
                <w:lang w:val="en-GB"/>
              </w:rPr>
              <w:t>24</w:t>
            </w:r>
          </w:p>
        </w:tc>
      </w:tr>
      <w:tr w:rsidR="00272E98" w:rsidRPr="00831BEA" w14:paraId="5D0B6941" w14:textId="7C1FFF73" w:rsidTr="00B44D1D">
        <w:trPr>
          <w:trHeight w:val="227"/>
        </w:trPr>
        <w:tc>
          <w:tcPr>
            <w:tcW w:w="1418" w:type="dxa"/>
            <w:vMerge w:val="restart"/>
            <w:tcBorders>
              <w:top w:val="single" w:sz="4" w:space="0" w:color="00823B"/>
            </w:tcBorders>
            <w:shd w:val="clear" w:color="auto" w:fill="FFFFFF"/>
            <w:vAlign w:val="center"/>
          </w:tcPr>
          <w:p w14:paraId="3AE226E6" w14:textId="44893C58" w:rsidR="00272E98" w:rsidRPr="00831BEA" w:rsidRDefault="00272E98" w:rsidP="003F36BA">
            <w:pPr>
              <w:pStyle w:val="CETBodytext"/>
              <w:jc w:val="center"/>
              <w:rPr>
                <w:sz w:val="16"/>
                <w:szCs w:val="18"/>
                <w:lang w:val="en-GB"/>
              </w:rPr>
            </w:pPr>
            <w:r w:rsidRPr="00831BEA">
              <w:rPr>
                <w:sz w:val="16"/>
                <w:szCs w:val="18"/>
                <w:lang w:val="en-GB"/>
              </w:rPr>
              <w:t>HPTE</w:t>
            </w:r>
          </w:p>
        </w:tc>
        <w:tc>
          <w:tcPr>
            <w:tcW w:w="1701" w:type="dxa"/>
            <w:tcBorders>
              <w:top w:val="single" w:sz="4" w:space="0" w:color="00823B"/>
            </w:tcBorders>
            <w:shd w:val="clear" w:color="auto" w:fill="FFFFFF"/>
            <w:vAlign w:val="center"/>
          </w:tcPr>
          <w:p w14:paraId="10FB11FC" w14:textId="5FAB0153"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Methanol</w:t>
            </w:r>
          </w:p>
        </w:tc>
        <w:tc>
          <w:tcPr>
            <w:tcW w:w="1304" w:type="dxa"/>
            <w:tcBorders>
              <w:top w:val="single" w:sz="4" w:space="0" w:color="00823B"/>
            </w:tcBorders>
            <w:shd w:val="clear" w:color="auto" w:fill="FFFFFF"/>
            <w:vAlign w:val="center"/>
          </w:tcPr>
          <w:p w14:paraId="0AEDAE84" w14:textId="7CB59875"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top w:val="single" w:sz="4" w:space="0" w:color="00823B"/>
            </w:tcBorders>
            <w:shd w:val="clear" w:color="auto" w:fill="FFFFFF"/>
            <w:vAlign w:val="center"/>
          </w:tcPr>
          <w:p w14:paraId="03922B52" w14:textId="3DF83C29"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tcBorders>
              <w:top w:val="single" w:sz="4" w:space="0" w:color="00823B"/>
            </w:tcBorders>
            <w:shd w:val="clear" w:color="auto" w:fill="FFFFFF"/>
            <w:vAlign w:val="center"/>
          </w:tcPr>
          <w:p w14:paraId="5B4CB9BF" w14:textId="61C1BA87"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453</w:t>
            </w:r>
          </w:p>
        </w:tc>
        <w:tc>
          <w:tcPr>
            <w:tcW w:w="1134" w:type="dxa"/>
            <w:tcBorders>
              <w:top w:val="single" w:sz="4" w:space="0" w:color="00823B"/>
            </w:tcBorders>
            <w:shd w:val="clear" w:color="auto" w:fill="FFFFFF"/>
            <w:vAlign w:val="center"/>
          </w:tcPr>
          <w:p w14:paraId="297EAC48" w14:textId="12208BA5"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2.50</w:t>
            </w:r>
          </w:p>
        </w:tc>
        <w:tc>
          <w:tcPr>
            <w:tcW w:w="1276" w:type="dxa"/>
            <w:tcBorders>
              <w:top w:val="single" w:sz="4" w:space="0" w:color="00823B"/>
            </w:tcBorders>
            <w:shd w:val="clear" w:color="auto" w:fill="FFFFFF"/>
            <w:vAlign w:val="center"/>
          </w:tcPr>
          <w:p w14:paraId="7BA3FC1A" w14:textId="591FF864"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160C34EB" w14:textId="77777777" w:rsidTr="00B44D1D">
        <w:trPr>
          <w:trHeight w:val="227"/>
        </w:trPr>
        <w:tc>
          <w:tcPr>
            <w:tcW w:w="1418" w:type="dxa"/>
            <w:vMerge/>
            <w:shd w:val="clear" w:color="auto" w:fill="FFFFFF"/>
            <w:vAlign w:val="center"/>
          </w:tcPr>
          <w:p w14:paraId="37636EFF"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7CA5FB15" w14:textId="620C1A92"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w:t>
            </w:r>
          </w:p>
        </w:tc>
        <w:tc>
          <w:tcPr>
            <w:tcW w:w="1304" w:type="dxa"/>
            <w:shd w:val="clear" w:color="auto" w:fill="FFFFFF"/>
            <w:vAlign w:val="center"/>
          </w:tcPr>
          <w:p w14:paraId="069E5BA7" w14:textId="7788B4B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042ED570" w14:textId="221B733E"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13BECCE8" w14:textId="021BBDD1"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453</w:t>
            </w:r>
          </w:p>
        </w:tc>
        <w:tc>
          <w:tcPr>
            <w:tcW w:w="1134" w:type="dxa"/>
            <w:shd w:val="clear" w:color="auto" w:fill="FFFFFF"/>
            <w:vAlign w:val="center"/>
          </w:tcPr>
          <w:p w14:paraId="19C7A1FF" w14:textId="0599EF32"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2</w:t>
            </w:r>
            <w:r w:rsidR="00594A37" w:rsidRPr="00831BEA">
              <w:rPr>
                <w:rFonts w:cs="Arial"/>
                <w:sz w:val="16"/>
                <w:szCs w:val="18"/>
                <w:lang w:val="en-GB"/>
              </w:rPr>
              <w:t>.00</w:t>
            </w:r>
          </w:p>
        </w:tc>
        <w:tc>
          <w:tcPr>
            <w:tcW w:w="1276" w:type="dxa"/>
            <w:shd w:val="clear" w:color="auto" w:fill="FFFFFF"/>
            <w:vAlign w:val="center"/>
          </w:tcPr>
          <w:p w14:paraId="1A9E7294" w14:textId="6DF03CDF"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5EDAE9D9" w14:textId="77777777" w:rsidTr="00B44D1D">
        <w:trPr>
          <w:trHeight w:val="227"/>
        </w:trPr>
        <w:tc>
          <w:tcPr>
            <w:tcW w:w="1418" w:type="dxa"/>
            <w:vMerge/>
            <w:shd w:val="clear" w:color="auto" w:fill="FFFFFF"/>
            <w:vAlign w:val="center"/>
          </w:tcPr>
          <w:p w14:paraId="3BE7FF9E"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4E461B8D" w14:textId="2726E4CF"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Water</w:t>
            </w:r>
          </w:p>
        </w:tc>
        <w:tc>
          <w:tcPr>
            <w:tcW w:w="1304" w:type="dxa"/>
            <w:shd w:val="clear" w:color="auto" w:fill="FFFFFF"/>
            <w:vAlign w:val="center"/>
          </w:tcPr>
          <w:p w14:paraId="729BD12D" w14:textId="07381374"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5EB4AD32" w14:textId="0F1B3833"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54654F20" w14:textId="26932954"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453</w:t>
            </w:r>
          </w:p>
        </w:tc>
        <w:tc>
          <w:tcPr>
            <w:tcW w:w="1134" w:type="dxa"/>
            <w:shd w:val="clear" w:color="auto" w:fill="FFFFFF"/>
            <w:vAlign w:val="center"/>
          </w:tcPr>
          <w:p w14:paraId="4D99510C" w14:textId="302174D1"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1.30</w:t>
            </w:r>
          </w:p>
        </w:tc>
        <w:tc>
          <w:tcPr>
            <w:tcW w:w="1276" w:type="dxa"/>
            <w:shd w:val="clear" w:color="auto" w:fill="FFFFFF"/>
            <w:vAlign w:val="center"/>
          </w:tcPr>
          <w:p w14:paraId="0DC70BB5" w14:textId="542D80E6"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7D697763" w14:textId="77777777" w:rsidTr="00B44D1D">
        <w:trPr>
          <w:trHeight w:val="227"/>
        </w:trPr>
        <w:tc>
          <w:tcPr>
            <w:tcW w:w="1418" w:type="dxa"/>
            <w:vMerge/>
            <w:shd w:val="clear" w:color="auto" w:fill="FFFFFF"/>
            <w:vAlign w:val="center"/>
          </w:tcPr>
          <w:p w14:paraId="38688991"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1D725B51" w14:textId="74221384"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50% (v/v)</w:t>
            </w:r>
          </w:p>
        </w:tc>
        <w:tc>
          <w:tcPr>
            <w:tcW w:w="1304" w:type="dxa"/>
            <w:shd w:val="clear" w:color="auto" w:fill="FFFFFF"/>
            <w:vAlign w:val="center"/>
          </w:tcPr>
          <w:p w14:paraId="4725EB85" w14:textId="290A78E9"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4C936E5" w14:textId="34DE7506"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064BA00C" w14:textId="3E416752"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453</w:t>
            </w:r>
          </w:p>
        </w:tc>
        <w:tc>
          <w:tcPr>
            <w:tcW w:w="1134" w:type="dxa"/>
            <w:shd w:val="clear" w:color="auto" w:fill="FFFFFF"/>
            <w:vAlign w:val="center"/>
          </w:tcPr>
          <w:p w14:paraId="1E47B052" w14:textId="0FBF780E"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w:t>
            </w:r>
            <w:r w:rsidR="00594A37" w:rsidRPr="00831BEA">
              <w:rPr>
                <w:rFonts w:cs="Arial"/>
                <w:sz w:val="16"/>
                <w:szCs w:val="18"/>
                <w:lang w:val="en-GB"/>
              </w:rPr>
              <w:t>.</w:t>
            </w:r>
            <w:r w:rsidRPr="00831BEA">
              <w:rPr>
                <w:rFonts w:cs="Arial"/>
                <w:sz w:val="16"/>
                <w:szCs w:val="18"/>
                <w:lang w:val="en-GB"/>
              </w:rPr>
              <w:t>60</w:t>
            </w:r>
          </w:p>
        </w:tc>
        <w:tc>
          <w:tcPr>
            <w:tcW w:w="1276" w:type="dxa"/>
            <w:shd w:val="clear" w:color="auto" w:fill="FFFFFF"/>
            <w:vAlign w:val="center"/>
          </w:tcPr>
          <w:p w14:paraId="3F4409F6" w14:textId="21703066"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489EB57C" w14:textId="77777777" w:rsidTr="00B44D1D">
        <w:trPr>
          <w:trHeight w:val="227"/>
        </w:trPr>
        <w:tc>
          <w:tcPr>
            <w:tcW w:w="1418" w:type="dxa"/>
            <w:vMerge/>
            <w:shd w:val="clear" w:color="auto" w:fill="FFFFFF"/>
            <w:vAlign w:val="center"/>
          </w:tcPr>
          <w:p w14:paraId="05E59EED"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550E8CDD" w14:textId="7EA2B223"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Methanol</w:t>
            </w:r>
          </w:p>
        </w:tc>
        <w:tc>
          <w:tcPr>
            <w:tcW w:w="1304" w:type="dxa"/>
            <w:shd w:val="clear" w:color="auto" w:fill="FFFFFF"/>
            <w:vAlign w:val="center"/>
          </w:tcPr>
          <w:p w14:paraId="2A3EDEEA" w14:textId="0B6814FE"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48FA8EAC" w14:textId="04B9816E"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4F404A41" w14:textId="4FBE5532" w:rsidR="0049249B" w:rsidRPr="00831BEA" w:rsidRDefault="0049249B" w:rsidP="0049249B">
            <w:pPr>
              <w:pStyle w:val="CETBodytext"/>
              <w:ind w:right="-1"/>
              <w:jc w:val="center"/>
              <w:rPr>
                <w:rFonts w:cs="Arial"/>
                <w:sz w:val="16"/>
                <w:szCs w:val="18"/>
                <w:lang w:val="en-GB"/>
              </w:rPr>
            </w:pPr>
            <w:r w:rsidRPr="00831BEA">
              <w:rPr>
                <w:rFonts w:cs="Arial"/>
                <w:sz w:val="16"/>
                <w:szCs w:val="18"/>
                <w:lang w:val="en-GB"/>
              </w:rPr>
              <w:t>423</w:t>
            </w:r>
          </w:p>
        </w:tc>
        <w:tc>
          <w:tcPr>
            <w:tcW w:w="1134" w:type="dxa"/>
            <w:shd w:val="clear" w:color="auto" w:fill="FFFFFF"/>
            <w:vAlign w:val="center"/>
          </w:tcPr>
          <w:p w14:paraId="706D7D6C" w14:textId="61420ACC"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w:t>
            </w:r>
            <w:r w:rsidR="00594A37" w:rsidRPr="00831BEA">
              <w:rPr>
                <w:rFonts w:cs="Arial"/>
                <w:sz w:val="16"/>
                <w:szCs w:val="18"/>
                <w:lang w:val="en-GB"/>
              </w:rPr>
              <w:t>.</w:t>
            </w:r>
            <w:r w:rsidRPr="00831BEA">
              <w:rPr>
                <w:rFonts w:cs="Arial"/>
                <w:sz w:val="16"/>
                <w:szCs w:val="18"/>
                <w:lang w:val="en-GB"/>
              </w:rPr>
              <w:t>40</w:t>
            </w:r>
          </w:p>
        </w:tc>
        <w:tc>
          <w:tcPr>
            <w:tcW w:w="1276" w:type="dxa"/>
            <w:shd w:val="clear" w:color="auto" w:fill="FFFFFF"/>
            <w:vAlign w:val="center"/>
          </w:tcPr>
          <w:p w14:paraId="337181F6" w14:textId="5393D311"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4E9B1D12" w14:textId="77777777" w:rsidTr="00B44D1D">
        <w:trPr>
          <w:trHeight w:val="227"/>
        </w:trPr>
        <w:tc>
          <w:tcPr>
            <w:tcW w:w="1418" w:type="dxa"/>
            <w:vMerge/>
            <w:shd w:val="clear" w:color="auto" w:fill="FFFFFF"/>
            <w:vAlign w:val="center"/>
          </w:tcPr>
          <w:p w14:paraId="351FA716"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1A59C5BF" w14:textId="4298E40C"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w:t>
            </w:r>
          </w:p>
        </w:tc>
        <w:tc>
          <w:tcPr>
            <w:tcW w:w="1304" w:type="dxa"/>
            <w:shd w:val="clear" w:color="auto" w:fill="FFFFFF"/>
            <w:vAlign w:val="center"/>
          </w:tcPr>
          <w:p w14:paraId="0103E032" w14:textId="3FA5E44A"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0CBC8D4C" w14:textId="33610D2E"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388559C1" w14:textId="1A79B5C6"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w:t>
            </w:r>
            <w:r w:rsidR="008942AC" w:rsidRPr="00831BEA">
              <w:rPr>
                <w:rFonts w:cs="Arial"/>
                <w:sz w:val="16"/>
                <w:szCs w:val="18"/>
                <w:lang w:val="en-GB"/>
              </w:rPr>
              <w:t>2</w:t>
            </w:r>
            <w:r w:rsidRPr="00831BEA">
              <w:rPr>
                <w:rFonts w:cs="Arial"/>
                <w:sz w:val="16"/>
                <w:szCs w:val="18"/>
                <w:lang w:val="en-GB"/>
              </w:rPr>
              <w:t>3</w:t>
            </w:r>
          </w:p>
        </w:tc>
        <w:tc>
          <w:tcPr>
            <w:tcW w:w="1134" w:type="dxa"/>
            <w:shd w:val="clear" w:color="auto" w:fill="FFFFFF"/>
            <w:vAlign w:val="center"/>
          </w:tcPr>
          <w:p w14:paraId="6ED1087B" w14:textId="3D80261A"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w:t>
            </w:r>
            <w:r w:rsidR="00272E98" w:rsidRPr="00831BEA">
              <w:rPr>
                <w:rFonts w:cs="Arial"/>
                <w:sz w:val="16"/>
                <w:szCs w:val="18"/>
                <w:lang w:val="en-GB"/>
              </w:rPr>
              <w:t>96</w:t>
            </w:r>
          </w:p>
        </w:tc>
        <w:tc>
          <w:tcPr>
            <w:tcW w:w="1276" w:type="dxa"/>
            <w:shd w:val="clear" w:color="auto" w:fill="FFFFFF"/>
            <w:vAlign w:val="center"/>
          </w:tcPr>
          <w:p w14:paraId="643F443A" w14:textId="0F09E8E2"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5508E25C" w14:textId="77777777" w:rsidTr="00B44D1D">
        <w:trPr>
          <w:trHeight w:val="227"/>
        </w:trPr>
        <w:tc>
          <w:tcPr>
            <w:tcW w:w="1418" w:type="dxa"/>
            <w:vMerge/>
            <w:shd w:val="clear" w:color="auto" w:fill="FFFFFF"/>
            <w:vAlign w:val="center"/>
          </w:tcPr>
          <w:p w14:paraId="62FCAD72"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1296DB23" w14:textId="7E717998"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Water</w:t>
            </w:r>
          </w:p>
        </w:tc>
        <w:tc>
          <w:tcPr>
            <w:tcW w:w="1304" w:type="dxa"/>
            <w:shd w:val="clear" w:color="auto" w:fill="FFFFFF"/>
            <w:vAlign w:val="center"/>
          </w:tcPr>
          <w:p w14:paraId="406196B2" w14:textId="0ED26199"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7ADF015A" w14:textId="0CA23830"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5843DFF7" w14:textId="729FE964"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w:t>
            </w:r>
            <w:r w:rsidR="008942AC" w:rsidRPr="00831BEA">
              <w:rPr>
                <w:rFonts w:cs="Arial"/>
                <w:sz w:val="16"/>
                <w:szCs w:val="18"/>
                <w:lang w:val="en-GB"/>
              </w:rPr>
              <w:t>2</w:t>
            </w:r>
            <w:r w:rsidRPr="00831BEA">
              <w:rPr>
                <w:rFonts w:cs="Arial"/>
                <w:sz w:val="16"/>
                <w:szCs w:val="18"/>
                <w:lang w:val="en-GB"/>
              </w:rPr>
              <w:t>3</w:t>
            </w:r>
          </w:p>
        </w:tc>
        <w:tc>
          <w:tcPr>
            <w:tcW w:w="1134" w:type="dxa"/>
            <w:shd w:val="clear" w:color="auto" w:fill="FFFFFF"/>
            <w:vAlign w:val="center"/>
          </w:tcPr>
          <w:p w14:paraId="3EF3F3C0" w14:textId="6DB5D4DA"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0.48</w:t>
            </w:r>
          </w:p>
        </w:tc>
        <w:tc>
          <w:tcPr>
            <w:tcW w:w="1276" w:type="dxa"/>
            <w:shd w:val="clear" w:color="auto" w:fill="FFFFFF"/>
            <w:vAlign w:val="center"/>
          </w:tcPr>
          <w:p w14:paraId="2FDAF19B" w14:textId="0907BBF9"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3A73F520" w14:textId="77777777" w:rsidTr="00B44D1D">
        <w:trPr>
          <w:trHeight w:val="227"/>
        </w:trPr>
        <w:tc>
          <w:tcPr>
            <w:tcW w:w="1418" w:type="dxa"/>
            <w:vMerge/>
            <w:shd w:val="clear" w:color="auto" w:fill="FFFFFF"/>
            <w:vAlign w:val="center"/>
          </w:tcPr>
          <w:p w14:paraId="4448AD2E"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33288DA9" w14:textId="6252C93B"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50% (v/v)</w:t>
            </w:r>
          </w:p>
        </w:tc>
        <w:tc>
          <w:tcPr>
            <w:tcW w:w="1304" w:type="dxa"/>
            <w:shd w:val="clear" w:color="auto" w:fill="FFFFFF"/>
            <w:vAlign w:val="center"/>
          </w:tcPr>
          <w:p w14:paraId="35CF5EF7" w14:textId="161906F5"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6F7B0A03" w14:textId="5CA1470C"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5E3BFE96" w14:textId="7EF96ABC"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w:t>
            </w:r>
            <w:r w:rsidR="008942AC" w:rsidRPr="00831BEA">
              <w:rPr>
                <w:rFonts w:cs="Arial"/>
                <w:sz w:val="16"/>
                <w:szCs w:val="18"/>
                <w:lang w:val="en-GB"/>
              </w:rPr>
              <w:t>2</w:t>
            </w:r>
            <w:r w:rsidRPr="00831BEA">
              <w:rPr>
                <w:rFonts w:cs="Arial"/>
                <w:sz w:val="16"/>
                <w:szCs w:val="18"/>
                <w:lang w:val="en-GB"/>
              </w:rPr>
              <w:t>3</w:t>
            </w:r>
          </w:p>
        </w:tc>
        <w:tc>
          <w:tcPr>
            <w:tcW w:w="1134" w:type="dxa"/>
            <w:shd w:val="clear" w:color="auto" w:fill="FFFFFF"/>
            <w:vAlign w:val="center"/>
          </w:tcPr>
          <w:p w14:paraId="3EA2B71B" w14:textId="42A50056"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0.7</w:t>
            </w:r>
            <w:r w:rsidR="00272E98" w:rsidRPr="00831BEA">
              <w:rPr>
                <w:rFonts w:cs="Arial"/>
                <w:sz w:val="16"/>
                <w:szCs w:val="18"/>
                <w:lang w:val="en-GB"/>
              </w:rPr>
              <w:t>2</w:t>
            </w:r>
          </w:p>
        </w:tc>
        <w:tc>
          <w:tcPr>
            <w:tcW w:w="1276" w:type="dxa"/>
            <w:shd w:val="clear" w:color="auto" w:fill="FFFFFF"/>
            <w:vAlign w:val="center"/>
          </w:tcPr>
          <w:p w14:paraId="03574EE5" w14:textId="69BA38D0"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57432461" w14:textId="77777777" w:rsidTr="00B44D1D">
        <w:trPr>
          <w:trHeight w:val="227"/>
        </w:trPr>
        <w:tc>
          <w:tcPr>
            <w:tcW w:w="1418" w:type="dxa"/>
            <w:vMerge/>
            <w:shd w:val="clear" w:color="auto" w:fill="FFFFFF"/>
            <w:vAlign w:val="center"/>
          </w:tcPr>
          <w:p w14:paraId="10E6D1E8"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020F7D56" w14:textId="246F135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Methanol</w:t>
            </w:r>
          </w:p>
        </w:tc>
        <w:tc>
          <w:tcPr>
            <w:tcW w:w="1304" w:type="dxa"/>
            <w:shd w:val="clear" w:color="auto" w:fill="FFFFFF"/>
            <w:vAlign w:val="center"/>
          </w:tcPr>
          <w:p w14:paraId="27480DBB" w14:textId="4CE9E638"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2438F56" w14:textId="367DC01B"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44DE9CE6" w14:textId="02FF9253"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393</w:t>
            </w:r>
          </w:p>
        </w:tc>
        <w:tc>
          <w:tcPr>
            <w:tcW w:w="1134" w:type="dxa"/>
            <w:shd w:val="clear" w:color="auto" w:fill="FFFFFF"/>
            <w:vAlign w:val="center"/>
          </w:tcPr>
          <w:p w14:paraId="2B360869" w14:textId="62461AA4"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w:t>
            </w:r>
            <w:r w:rsidR="00272E98" w:rsidRPr="00831BEA">
              <w:rPr>
                <w:rFonts w:cs="Arial"/>
                <w:sz w:val="16"/>
                <w:szCs w:val="18"/>
                <w:lang w:val="en-GB"/>
              </w:rPr>
              <w:t>64</w:t>
            </w:r>
          </w:p>
        </w:tc>
        <w:tc>
          <w:tcPr>
            <w:tcW w:w="1276" w:type="dxa"/>
            <w:shd w:val="clear" w:color="auto" w:fill="FFFFFF"/>
            <w:vAlign w:val="center"/>
          </w:tcPr>
          <w:p w14:paraId="52ED6A5A" w14:textId="4E98EE36"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6D3229CB" w14:textId="77777777" w:rsidTr="00B44D1D">
        <w:trPr>
          <w:trHeight w:val="227"/>
        </w:trPr>
        <w:tc>
          <w:tcPr>
            <w:tcW w:w="1418" w:type="dxa"/>
            <w:vMerge/>
            <w:shd w:val="clear" w:color="auto" w:fill="FFFFFF"/>
            <w:vAlign w:val="center"/>
          </w:tcPr>
          <w:p w14:paraId="6F019BBA"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2BC02269" w14:textId="5445898E"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w:t>
            </w:r>
          </w:p>
        </w:tc>
        <w:tc>
          <w:tcPr>
            <w:tcW w:w="1304" w:type="dxa"/>
            <w:shd w:val="clear" w:color="auto" w:fill="FFFFFF"/>
            <w:vAlign w:val="center"/>
          </w:tcPr>
          <w:p w14:paraId="04F4E918" w14:textId="4428679E"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429EF41E" w14:textId="503314F4"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6707F7CA" w14:textId="101BB648"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393</w:t>
            </w:r>
          </w:p>
        </w:tc>
        <w:tc>
          <w:tcPr>
            <w:tcW w:w="1134" w:type="dxa"/>
            <w:shd w:val="clear" w:color="auto" w:fill="FFFFFF"/>
            <w:vAlign w:val="center"/>
          </w:tcPr>
          <w:p w14:paraId="37B9F8DE" w14:textId="0F8629AC"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w:t>
            </w:r>
            <w:r w:rsidR="00272E98" w:rsidRPr="00831BEA">
              <w:rPr>
                <w:rFonts w:cs="Arial"/>
                <w:sz w:val="16"/>
                <w:szCs w:val="18"/>
                <w:lang w:val="en-GB"/>
              </w:rPr>
              <w:t>42</w:t>
            </w:r>
          </w:p>
        </w:tc>
        <w:tc>
          <w:tcPr>
            <w:tcW w:w="1276" w:type="dxa"/>
            <w:shd w:val="clear" w:color="auto" w:fill="FFFFFF"/>
            <w:vAlign w:val="center"/>
          </w:tcPr>
          <w:p w14:paraId="748D397B" w14:textId="3EBB947E"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533379F2" w14:textId="77777777" w:rsidTr="00B44D1D">
        <w:trPr>
          <w:trHeight w:val="227"/>
        </w:trPr>
        <w:tc>
          <w:tcPr>
            <w:tcW w:w="1418" w:type="dxa"/>
            <w:vMerge/>
            <w:shd w:val="clear" w:color="auto" w:fill="FFFFFF"/>
            <w:vAlign w:val="center"/>
          </w:tcPr>
          <w:p w14:paraId="0B10458D"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0A48E52E" w14:textId="0ABAF91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Water</w:t>
            </w:r>
          </w:p>
        </w:tc>
        <w:tc>
          <w:tcPr>
            <w:tcW w:w="1304" w:type="dxa"/>
            <w:shd w:val="clear" w:color="auto" w:fill="FFFFFF"/>
            <w:vAlign w:val="center"/>
          </w:tcPr>
          <w:p w14:paraId="298CCD9A" w14:textId="161FE934"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9B8447F" w14:textId="6B379BA8"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4D288DE2" w14:textId="546CA6BF"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393</w:t>
            </w:r>
          </w:p>
        </w:tc>
        <w:tc>
          <w:tcPr>
            <w:tcW w:w="1134" w:type="dxa"/>
            <w:shd w:val="clear" w:color="auto" w:fill="FFFFFF"/>
            <w:vAlign w:val="center"/>
          </w:tcPr>
          <w:p w14:paraId="27D7F776" w14:textId="5B1FEAFE"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w:t>
            </w:r>
            <w:r w:rsidR="00272E98" w:rsidRPr="00831BEA">
              <w:rPr>
                <w:rFonts w:cs="Arial"/>
                <w:sz w:val="16"/>
                <w:szCs w:val="18"/>
                <w:lang w:val="en-GB"/>
              </w:rPr>
              <w:t>20</w:t>
            </w:r>
          </w:p>
        </w:tc>
        <w:tc>
          <w:tcPr>
            <w:tcW w:w="1276" w:type="dxa"/>
            <w:shd w:val="clear" w:color="auto" w:fill="FFFFFF"/>
            <w:vAlign w:val="center"/>
          </w:tcPr>
          <w:p w14:paraId="233D33F9" w14:textId="55B9130B"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620F8671" w14:textId="77777777" w:rsidTr="00B44D1D">
        <w:trPr>
          <w:trHeight w:val="227"/>
        </w:trPr>
        <w:tc>
          <w:tcPr>
            <w:tcW w:w="1418" w:type="dxa"/>
            <w:vMerge/>
            <w:shd w:val="clear" w:color="auto" w:fill="FFFFFF"/>
            <w:vAlign w:val="center"/>
          </w:tcPr>
          <w:p w14:paraId="5A2FF182"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7C50DB65" w14:textId="41F27511"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50% (v/v)</w:t>
            </w:r>
          </w:p>
        </w:tc>
        <w:tc>
          <w:tcPr>
            <w:tcW w:w="1304" w:type="dxa"/>
            <w:shd w:val="clear" w:color="auto" w:fill="FFFFFF"/>
            <w:vAlign w:val="center"/>
          </w:tcPr>
          <w:p w14:paraId="44FDA35C" w14:textId="426A7247"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5170C907" w14:textId="003BE3B1"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40</w:t>
            </w:r>
          </w:p>
        </w:tc>
        <w:tc>
          <w:tcPr>
            <w:tcW w:w="1134" w:type="dxa"/>
            <w:shd w:val="clear" w:color="auto" w:fill="FFFFFF"/>
            <w:vAlign w:val="center"/>
          </w:tcPr>
          <w:p w14:paraId="6EDCEBC1" w14:textId="7CF2B6FA"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393</w:t>
            </w:r>
          </w:p>
        </w:tc>
        <w:tc>
          <w:tcPr>
            <w:tcW w:w="1134" w:type="dxa"/>
            <w:shd w:val="clear" w:color="auto" w:fill="FFFFFF"/>
            <w:vAlign w:val="center"/>
          </w:tcPr>
          <w:p w14:paraId="2C4D3FA1" w14:textId="3470D793"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w:t>
            </w:r>
            <w:r w:rsidR="00272E98" w:rsidRPr="00831BEA">
              <w:rPr>
                <w:rFonts w:cs="Arial"/>
                <w:sz w:val="16"/>
                <w:szCs w:val="18"/>
                <w:lang w:val="en-GB"/>
              </w:rPr>
              <w:t>31</w:t>
            </w:r>
          </w:p>
        </w:tc>
        <w:tc>
          <w:tcPr>
            <w:tcW w:w="1276" w:type="dxa"/>
            <w:shd w:val="clear" w:color="auto" w:fill="FFFFFF"/>
            <w:vAlign w:val="center"/>
          </w:tcPr>
          <w:p w14:paraId="2A8EC859" w14:textId="336E5F41"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5965653D" w14:textId="77777777" w:rsidTr="00B44D1D">
        <w:trPr>
          <w:trHeight w:val="227"/>
        </w:trPr>
        <w:tc>
          <w:tcPr>
            <w:tcW w:w="1418" w:type="dxa"/>
            <w:vMerge/>
            <w:tcBorders>
              <w:bottom w:val="single" w:sz="4" w:space="0" w:color="00823B"/>
            </w:tcBorders>
            <w:shd w:val="clear" w:color="auto" w:fill="FFFFFF"/>
            <w:vAlign w:val="center"/>
          </w:tcPr>
          <w:p w14:paraId="2A3BD1A9" w14:textId="77777777" w:rsidR="00272E98" w:rsidRPr="00831BEA" w:rsidRDefault="00272E98" w:rsidP="003F36BA">
            <w:pPr>
              <w:pStyle w:val="CETBodytext"/>
              <w:jc w:val="center"/>
              <w:rPr>
                <w:sz w:val="16"/>
                <w:szCs w:val="18"/>
                <w:lang w:val="en-GB"/>
              </w:rPr>
            </w:pPr>
          </w:p>
        </w:tc>
        <w:tc>
          <w:tcPr>
            <w:tcW w:w="1701" w:type="dxa"/>
            <w:tcBorders>
              <w:bottom w:val="single" w:sz="4" w:space="0" w:color="00823B"/>
            </w:tcBorders>
            <w:shd w:val="clear" w:color="auto" w:fill="FFFFFF"/>
            <w:vAlign w:val="center"/>
          </w:tcPr>
          <w:p w14:paraId="53E6F73E" w14:textId="371431CB"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54% (v/v)</w:t>
            </w:r>
          </w:p>
        </w:tc>
        <w:tc>
          <w:tcPr>
            <w:tcW w:w="1304" w:type="dxa"/>
            <w:tcBorders>
              <w:bottom w:val="single" w:sz="4" w:space="0" w:color="00823B"/>
            </w:tcBorders>
            <w:shd w:val="clear" w:color="auto" w:fill="FFFFFF"/>
            <w:vAlign w:val="center"/>
          </w:tcPr>
          <w:p w14:paraId="5EA7DDDD" w14:textId="18F35AC4"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bottom w:val="single" w:sz="4" w:space="0" w:color="00823B"/>
            </w:tcBorders>
            <w:shd w:val="clear" w:color="auto" w:fill="FFFFFF"/>
            <w:vAlign w:val="center"/>
          </w:tcPr>
          <w:p w14:paraId="68F7470B" w14:textId="2BBCF477" w:rsidR="00272E98" w:rsidRPr="00831BEA" w:rsidRDefault="00EF652F" w:rsidP="0049249B">
            <w:pPr>
              <w:pStyle w:val="CETBodytext"/>
              <w:ind w:right="-1"/>
              <w:jc w:val="center"/>
              <w:rPr>
                <w:rFonts w:cs="Arial"/>
                <w:sz w:val="16"/>
                <w:szCs w:val="18"/>
                <w:lang w:val="en-GB"/>
              </w:rPr>
            </w:pPr>
            <w:r>
              <w:rPr>
                <w:rFonts w:cs="Arial"/>
                <w:sz w:val="16"/>
                <w:szCs w:val="18"/>
                <w:lang w:val="en-GB"/>
              </w:rPr>
              <w:t>40</w:t>
            </w:r>
          </w:p>
        </w:tc>
        <w:tc>
          <w:tcPr>
            <w:tcW w:w="1134" w:type="dxa"/>
            <w:tcBorders>
              <w:bottom w:val="single" w:sz="4" w:space="0" w:color="00823B"/>
            </w:tcBorders>
            <w:shd w:val="clear" w:color="auto" w:fill="FFFFFF"/>
            <w:vAlign w:val="center"/>
          </w:tcPr>
          <w:p w14:paraId="716D5014" w14:textId="4E35084C"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453</w:t>
            </w:r>
          </w:p>
        </w:tc>
        <w:tc>
          <w:tcPr>
            <w:tcW w:w="1134" w:type="dxa"/>
            <w:tcBorders>
              <w:bottom w:val="single" w:sz="4" w:space="0" w:color="00823B"/>
            </w:tcBorders>
            <w:shd w:val="clear" w:color="auto" w:fill="FFFFFF"/>
            <w:vAlign w:val="center"/>
          </w:tcPr>
          <w:p w14:paraId="09A5FC5D" w14:textId="6D50FCA2"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w:t>
            </w:r>
            <w:r w:rsidR="00272E98" w:rsidRPr="00831BEA">
              <w:rPr>
                <w:rFonts w:cs="Arial"/>
                <w:sz w:val="16"/>
                <w:szCs w:val="18"/>
                <w:lang w:val="en-GB"/>
              </w:rPr>
              <w:t>72</w:t>
            </w:r>
          </w:p>
        </w:tc>
        <w:tc>
          <w:tcPr>
            <w:tcW w:w="1276" w:type="dxa"/>
            <w:tcBorders>
              <w:bottom w:val="single" w:sz="4" w:space="0" w:color="00823B"/>
            </w:tcBorders>
            <w:shd w:val="clear" w:color="auto" w:fill="FFFFFF"/>
            <w:vAlign w:val="center"/>
          </w:tcPr>
          <w:p w14:paraId="3FCF413E" w14:textId="5E407178" w:rsidR="00272E98" w:rsidRPr="00831BEA" w:rsidRDefault="001E2F40" w:rsidP="00B957F4">
            <w:pPr>
              <w:pStyle w:val="CETBodytext"/>
              <w:ind w:right="-1"/>
              <w:jc w:val="center"/>
              <w:rPr>
                <w:rFonts w:cs="Arial"/>
                <w:sz w:val="16"/>
                <w:szCs w:val="18"/>
                <w:lang w:val="en-GB"/>
              </w:rPr>
            </w:pPr>
            <w:r>
              <w:rPr>
                <w:rFonts w:cs="Arial"/>
                <w:sz w:val="16"/>
                <w:szCs w:val="18"/>
                <w:lang w:val="en-GB"/>
              </w:rPr>
              <w:t>1</w:t>
            </w:r>
          </w:p>
        </w:tc>
      </w:tr>
      <w:tr w:rsidR="00272E98" w:rsidRPr="00831BEA" w14:paraId="17CE9D55" w14:textId="47A5711B" w:rsidTr="00B44D1D">
        <w:trPr>
          <w:trHeight w:val="227"/>
        </w:trPr>
        <w:tc>
          <w:tcPr>
            <w:tcW w:w="1418" w:type="dxa"/>
            <w:vMerge w:val="restart"/>
            <w:tcBorders>
              <w:top w:val="single" w:sz="4" w:space="0" w:color="00823B"/>
            </w:tcBorders>
            <w:shd w:val="clear" w:color="auto" w:fill="FFFFFF"/>
            <w:vAlign w:val="center"/>
          </w:tcPr>
          <w:p w14:paraId="3D2CC929" w14:textId="77777777" w:rsidR="00272E98" w:rsidRPr="00831BEA" w:rsidRDefault="00272E98" w:rsidP="003F36BA">
            <w:pPr>
              <w:pStyle w:val="CETBodytext"/>
              <w:jc w:val="center"/>
              <w:rPr>
                <w:sz w:val="16"/>
                <w:szCs w:val="18"/>
                <w:lang w:val="en-GB"/>
              </w:rPr>
            </w:pPr>
            <w:r w:rsidRPr="00831BEA">
              <w:rPr>
                <w:sz w:val="16"/>
                <w:szCs w:val="18"/>
                <w:lang w:val="en-GB"/>
              </w:rPr>
              <w:t>MAE</w:t>
            </w:r>
          </w:p>
          <w:p w14:paraId="4426F7D1" w14:textId="6B0E0604" w:rsidR="00272E98" w:rsidRPr="00831BEA" w:rsidRDefault="00272E98" w:rsidP="003F36BA">
            <w:pPr>
              <w:pStyle w:val="CETBodytext"/>
              <w:spacing w:after="240"/>
              <w:jc w:val="center"/>
              <w:rPr>
                <w:sz w:val="16"/>
                <w:szCs w:val="18"/>
                <w:lang w:val="en-GB"/>
              </w:rPr>
            </w:pPr>
            <w:r w:rsidRPr="00831BEA">
              <w:rPr>
                <w:sz w:val="14"/>
                <w:szCs w:val="16"/>
                <w:lang w:val="en-GB"/>
              </w:rPr>
              <w:t>Maximum radiation power: 500 W</w:t>
            </w:r>
          </w:p>
        </w:tc>
        <w:tc>
          <w:tcPr>
            <w:tcW w:w="1701" w:type="dxa"/>
            <w:tcBorders>
              <w:top w:val="single" w:sz="4" w:space="0" w:color="00823B"/>
            </w:tcBorders>
            <w:shd w:val="clear" w:color="auto" w:fill="FFFFFF"/>
            <w:vAlign w:val="center"/>
          </w:tcPr>
          <w:p w14:paraId="25FDD875" w14:textId="63E1886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Methanol</w:t>
            </w:r>
          </w:p>
        </w:tc>
        <w:tc>
          <w:tcPr>
            <w:tcW w:w="1304" w:type="dxa"/>
            <w:tcBorders>
              <w:top w:val="single" w:sz="4" w:space="0" w:color="00823B"/>
            </w:tcBorders>
            <w:shd w:val="clear" w:color="auto" w:fill="FFFFFF"/>
            <w:vAlign w:val="center"/>
          </w:tcPr>
          <w:p w14:paraId="1665B794" w14:textId="5E1CAC61"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top w:val="single" w:sz="4" w:space="0" w:color="00823B"/>
            </w:tcBorders>
            <w:shd w:val="clear" w:color="auto" w:fill="FFFFFF"/>
            <w:vAlign w:val="center"/>
          </w:tcPr>
          <w:p w14:paraId="744A393C" w14:textId="6C0A4D71"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20</w:t>
            </w:r>
          </w:p>
        </w:tc>
        <w:tc>
          <w:tcPr>
            <w:tcW w:w="1134" w:type="dxa"/>
            <w:tcBorders>
              <w:top w:val="single" w:sz="4" w:space="0" w:color="00823B"/>
            </w:tcBorders>
            <w:shd w:val="clear" w:color="auto" w:fill="FFFFFF"/>
            <w:vAlign w:val="center"/>
          </w:tcPr>
          <w:p w14:paraId="57406FA6" w14:textId="732AEDA0"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383</w:t>
            </w:r>
          </w:p>
        </w:tc>
        <w:tc>
          <w:tcPr>
            <w:tcW w:w="1134" w:type="dxa"/>
            <w:tcBorders>
              <w:top w:val="single" w:sz="4" w:space="0" w:color="00823B"/>
            </w:tcBorders>
            <w:shd w:val="clear" w:color="auto" w:fill="FFFFFF"/>
            <w:vAlign w:val="center"/>
          </w:tcPr>
          <w:p w14:paraId="5E0806B3" w14:textId="0FBC7715" w:rsidR="00272E98" w:rsidRPr="00831BEA" w:rsidRDefault="006952E9" w:rsidP="00B957F4">
            <w:pPr>
              <w:pStyle w:val="CETBodytext"/>
              <w:ind w:right="-1"/>
              <w:jc w:val="center"/>
              <w:rPr>
                <w:rFonts w:cs="Arial"/>
                <w:sz w:val="16"/>
                <w:szCs w:val="18"/>
                <w:lang w:val="en-GB"/>
              </w:rPr>
            </w:pPr>
            <w:r>
              <w:rPr>
                <w:rFonts w:cs="Arial"/>
                <w:sz w:val="16"/>
                <w:szCs w:val="18"/>
                <w:lang w:val="en-GB"/>
              </w:rPr>
              <w:t>0.48</w:t>
            </w:r>
          </w:p>
        </w:tc>
        <w:tc>
          <w:tcPr>
            <w:tcW w:w="1276" w:type="dxa"/>
            <w:tcBorders>
              <w:top w:val="single" w:sz="4" w:space="0" w:color="00823B"/>
            </w:tcBorders>
            <w:shd w:val="clear" w:color="auto" w:fill="FFFFFF"/>
            <w:vAlign w:val="center"/>
          </w:tcPr>
          <w:p w14:paraId="74F5E13B" w14:textId="088EE816"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02C343B4" w14:textId="77777777" w:rsidTr="00B44D1D">
        <w:trPr>
          <w:trHeight w:val="227"/>
        </w:trPr>
        <w:tc>
          <w:tcPr>
            <w:tcW w:w="1418" w:type="dxa"/>
            <w:vMerge/>
            <w:shd w:val="clear" w:color="auto" w:fill="FFFFFF"/>
            <w:vAlign w:val="center"/>
          </w:tcPr>
          <w:p w14:paraId="64775EB9"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5279BD9E" w14:textId="5E3AB00E"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w:t>
            </w:r>
          </w:p>
        </w:tc>
        <w:tc>
          <w:tcPr>
            <w:tcW w:w="1304" w:type="dxa"/>
            <w:shd w:val="clear" w:color="auto" w:fill="FFFFFF"/>
            <w:vAlign w:val="center"/>
          </w:tcPr>
          <w:p w14:paraId="236C2B25" w14:textId="6A56589A"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07BFEEA1" w14:textId="78EE340D"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20</w:t>
            </w:r>
          </w:p>
        </w:tc>
        <w:tc>
          <w:tcPr>
            <w:tcW w:w="1134" w:type="dxa"/>
            <w:shd w:val="clear" w:color="auto" w:fill="FFFFFF"/>
            <w:vAlign w:val="center"/>
          </w:tcPr>
          <w:p w14:paraId="69325533" w14:textId="14661932"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383</w:t>
            </w:r>
          </w:p>
        </w:tc>
        <w:tc>
          <w:tcPr>
            <w:tcW w:w="1134" w:type="dxa"/>
            <w:shd w:val="clear" w:color="auto" w:fill="FFFFFF"/>
            <w:vAlign w:val="center"/>
          </w:tcPr>
          <w:p w14:paraId="4AFB8701" w14:textId="5EC45B6B" w:rsidR="00272E98" w:rsidRPr="00831BEA" w:rsidRDefault="006952E9" w:rsidP="00B957F4">
            <w:pPr>
              <w:pStyle w:val="CETBodytext"/>
              <w:ind w:right="-1"/>
              <w:jc w:val="center"/>
              <w:rPr>
                <w:rFonts w:cs="Arial"/>
                <w:sz w:val="16"/>
                <w:szCs w:val="18"/>
                <w:lang w:val="en-GB"/>
              </w:rPr>
            </w:pPr>
            <w:r>
              <w:rPr>
                <w:rFonts w:cs="Arial"/>
                <w:sz w:val="16"/>
                <w:szCs w:val="18"/>
                <w:lang w:val="en-GB"/>
              </w:rPr>
              <w:t>0.30</w:t>
            </w:r>
          </w:p>
        </w:tc>
        <w:tc>
          <w:tcPr>
            <w:tcW w:w="1276" w:type="dxa"/>
            <w:shd w:val="clear" w:color="auto" w:fill="FFFFFF"/>
            <w:vAlign w:val="center"/>
          </w:tcPr>
          <w:p w14:paraId="2E770669" w14:textId="23E25A22"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2FA9A63F" w14:textId="77777777" w:rsidTr="00B44D1D">
        <w:trPr>
          <w:trHeight w:val="227"/>
        </w:trPr>
        <w:tc>
          <w:tcPr>
            <w:tcW w:w="1418" w:type="dxa"/>
            <w:vMerge/>
            <w:shd w:val="clear" w:color="auto" w:fill="FFFFFF"/>
            <w:vAlign w:val="center"/>
          </w:tcPr>
          <w:p w14:paraId="561C632B"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1A1552F2" w14:textId="0C8104B9"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Water</w:t>
            </w:r>
          </w:p>
        </w:tc>
        <w:tc>
          <w:tcPr>
            <w:tcW w:w="1304" w:type="dxa"/>
            <w:shd w:val="clear" w:color="auto" w:fill="FFFFFF"/>
            <w:vAlign w:val="center"/>
          </w:tcPr>
          <w:p w14:paraId="3F1BDE16" w14:textId="3379470D"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2B23D978" w14:textId="2F95BDA7"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20</w:t>
            </w:r>
          </w:p>
        </w:tc>
        <w:tc>
          <w:tcPr>
            <w:tcW w:w="1134" w:type="dxa"/>
            <w:shd w:val="clear" w:color="auto" w:fill="FFFFFF"/>
            <w:vAlign w:val="center"/>
          </w:tcPr>
          <w:p w14:paraId="195AA484" w14:textId="7C76D236"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383</w:t>
            </w:r>
          </w:p>
        </w:tc>
        <w:tc>
          <w:tcPr>
            <w:tcW w:w="1134" w:type="dxa"/>
            <w:shd w:val="clear" w:color="auto" w:fill="FFFFFF"/>
            <w:vAlign w:val="center"/>
          </w:tcPr>
          <w:p w14:paraId="45662036" w14:textId="265DF9DA" w:rsidR="00272E98" w:rsidRPr="00831BEA" w:rsidRDefault="006952E9" w:rsidP="00B957F4">
            <w:pPr>
              <w:pStyle w:val="CETBodytext"/>
              <w:ind w:right="-1"/>
              <w:jc w:val="center"/>
              <w:rPr>
                <w:rFonts w:cs="Arial"/>
                <w:sz w:val="16"/>
                <w:szCs w:val="18"/>
                <w:lang w:val="en-GB"/>
              </w:rPr>
            </w:pPr>
            <w:r>
              <w:rPr>
                <w:rFonts w:cs="Arial"/>
                <w:sz w:val="16"/>
                <w:szCs w:val="18"/>
                <w:lang w:val="en-GB"/>
              </w:rPr>
              <w:t>0.14</w:t>
            </w:r>
          </w:p>
        </w:tc>
        <w:tc>
          <w:tcPr>
            <w:tcW w:w="1276" w:type="dxa"/>
            <w:shd w:val="clear" w:color="auto" w:fill="FFFFFF"/>
            <w:vAlign w:val="center"/>
          </w:tcPr>
          <w:p w14:paraId="79EEA3A9" w14:textId="09764010"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4E9F4A29" w14:textId="77777777" w:rsidTr="00B44D1D">
        <w:trPr>
          <w:trHeight w:val="227"/>
        </w:trPr>
        <w:tc>
          <w:tcPr>
            <w:tcW w:w="1418" w:type="dxa"/>
            <w:vMerge/>
            <w:shd w:val="clear" w:color="auto" w:fill="FFFFFF"/>
            <w:vAlign w:val="center"/>
          </w:tcPr>
          <w:p w14:paraId="3E8A6425" w14:textId="77777777" w:rsidR="00272E98" w:rsidRPr="00831BEA" w:rsidRDefault="00272E98" w:rsidP="003F36BA">
            <w:pPr>
              <w:pStyle w:val="CETBodytext"/>
              <w:jc w:val="center"/>
              <w:rPr>
                <w:sz w:val="16"/>
                <w:szCs w:val="18"/>
                <w:lang w:val="en-GB"/>
              </w:rPr>
            </w:pPr>
          </w:p>
        </w:tc>
        <w:tc>
          <w:tcPr>
            <w:tcW w:w="1701" w:type="dxa"/>
            <w:shd w:val="clear" w:color="auto" w:fill="FFFFFF"/>
            <w:vAlign w:val="center"/>
          </w:tcPr>
          <w:p w14:paraId="5E30BC5A" w14:textId="4C9ED571"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50% (v/v)</w:t>
            </w:r>
          </w:p>
        </w:tc>
        <w:tc>
          <w:tcPr>
            <w:tcW w:w="1304" w:type="dxa"/>
            <w:shd w:val="clear" w:color="auto" w:fill="FFFFFF"/>
            <w:vAlign w:val="center"/>
          </w:tcPr>
          <w:p w14:paraId="0EB6AB87" w14:textId="0D9F4A4D"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shd w:val="clear" w:color="auto" w:fill="FFFFFF"/>
            <w:vAlign w:val="center"/>
          </w:tcPr>
          <w:p w14:paraId="10DF23ED" w14:textId="7EEA63AF"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20</w:t>
            </w:r>
          </w:p>
        </w:tc>
        <w:tc>
          <w:tcPr>
            <w:tcW w:w="1134" w:type="dxa"/>
            <w:shd w:val="clear" w:color="auto" w:fill="FFFFFF"/>
            <w:vAlign w:val="center"/>
          </w:tcPr>
          <w:p w14:paraId="5B71F252" w14:textId="34523E80"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383</w:t>
            </w:r>
          </w:p>
        </w:tc>
        <w:tc>
          <w:tcPr>
            <w:tcW w:w="1134" w:type="dxa"/>
            <w:shd w:val="clear" w:color="auto" w:fill="FFFFFF"/>
            <w:vAlign w:val="center"/>
          </w:tcPr>
          <w:p w14:paraId="3D6A089C" w14:textId="405AD15A" w:rsidR="00272E98" w:rsidRPr="00831BEA" w:rsidRDefault="006952E9" w:rsidP="00B957F4">
            <w:pPr>
              <w:pStyle w:val="CETBodytext"/>
              <w:ind w:right="-1"/>
              <w:jc w:val="center"/>
              <w:rPr>
                <w:rFonts w:cs="Arial"/>
                <w:sz w:val="16"/>
                <w:szCs w:val="18"/>
                <w:lang w:val="en-GB"/>
              </w:rPr>
            </w:pPr>
            <w:r>
              <w:rPr>
                <w:rFonts w:cs="Arial"/>
                <w:sz w:val="16"/>
                <w:szCs w:val="18"/>
                <w:lang w:val="en-GB"/>
              </w:rPr>
              <w:t>0.36</w:t>
            </w:r>
          </w:p>
        </w:tc>
        <w:tc>
          <w:tcPr>
            <w:tcW w:w="1276" w:type="dxa"/>
            <w:shd w:val="clear" w:color="auto" w:fill="FFFFFF"/>
            <w:vAlign w:val="center"/>
          </w:tcPr>
          <w:p w14:paraId="27D913D4" w14:textId="292B7481" w:rsidR="00272E98" w:rsidRPr="00831BEA" w:rsidRDefault="001E2F40" w:rsidP="00B957F4">
            <w:pPr>
              <w:pStyle w:val="CETBodytext"/>
              <w:ind w:right="-1"/>
              <w:jc w:val="center"/>
              <w:rPr>
                <w:rFonts w:cs="Arial"/>
                <w:sz w:val="16"/>
                <w:szCs w:val="18"/>
                <w:lang w:val="en-GB"/>
              </w:rPr>
            </w:pPr>
            <w:r>
              <w:rPr>
                <w:rFonts w:cs="Arial"/>
                <w:sz w:val="16"/>
                <w:szCs w:val="18"/>
                <w:lang w:val="en-GB"/>
              </w:rPr>
              <w:t>1.5</w:t>
            </w:r>
          </w:p>
        </w:tc>
      </w:tr>
      <w:tr w:rsidR="00272E98" w:rsidRPr="00831BEA" w14:paraId="1BFAD626" w14:textId="77777777" w:rsidTr="00B44D1D">
        <w:trPr>
          <w:trHeight w:val="227"/>
        </w:trPr>
        <w:tc>
          <w:tcPr>
            <w:tcW w:w="1418" w:type="dxa"/>
            <w:vMerge/>
            <w:tcBorders>
              <w:bottom w:val="single" w:sz="4" w:space="0" w:color="00823B"/>
            </w:tcBorders>
            <w:shd w:val="clear" w:color="auto" w:fill="FFFFFF"/>
            <w:vAlign w:val="center"/>
          </w:tcPr>
          <w:p w14:paraId="03C37943" w14:textId="77777777" w:rsidR="00272E98" w:rsidRPr="00831BEA" w:rsidRDefault="00272E98" w:rsidP="003F36BA">
            <w:pPr>
              <w:pStyle w:val="CETBodytext"/>
              <w:jc w:val="center"/>
              <w:rPr>
                <w:sz w:val="16"/>
                <w:szCs w:val="18"/>
                <w:lang w:val="en-GB"/>
              </w:rPr>
            </w:pPr>
          </w:p>
        </w:tc>
        <w:tc>
          <w:tcPr>
            <w:tcW w:w="1701" w:type="dxa"/>
            <w:tcBorders>
              <w:bottom w:val="single" w:sz="4" w:space="0" w:color="00823B"/>
            </w:tcBorders>
            <w:shd w:val="clear" w:color="auto" w:fill="FFFFFF"/>
            <w:vAlign w:val="center"/>
          </w:tcPr>
          <w:p w14:paraId="7D0FAC4B" w14:textId="046F3EA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54% (v/v)</w:t>
            </w:r>
          </w:p>
        </w:tc>
        <w:tc>
          <w:tcPr>
            <w:tcW w:w="1304" w:type="dxa"/>
            <w:tcBorders>
              <w:bottom w:val="single" w:sz="4" w:space="0" w:color="00823B"/>
            </w:tcBorders>
            <w:shd w:val="clear" w:color="auto" w:fill="FFFFFF"/>
            <w:vAlign w:val="center"/>
          </w:tcPr>
          <w:p w14:paraId="5D51B8D9" w14:textId="0C1522D1"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bottom w:val="single" w:sz="4" w:space="0" w:color="00823B"/>
            </w:tcBorders>
            <w:shd w:val="clear" w:color="auto" w:fill="FFFFFF"/>
            <w:vAlign w:val="center"/>
          </w:tcPr>
          <w:p w14:paraId="232D4390" w14:textId="5AFBDD13"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20</w:t>
            </w:r>
          </w:p>
        </w:tc>
        <w:tc>
          <w:tcPr>
            <w:tcW w:w="1134" w:type="dxa"/>
            <w:tcBorders>
              <w:bottom w:val="single" w:sz="4" w:space="0" w:color="00823B"/>
            </w:tcBorders>
            <w:shd w:val="clear" w:color="auto" w:fill="FFFFFF"/>
            <w:vAlign w:val="center"/>
          </w:tcPr>
          <w:p w14:paraId="1A859FEA" w14:textId="70A223D0"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453</w:t>
            </w:r>
          </w:p>
        </w:tc>
        <w:tc>
          <w:tcPr>
            <w:tcW w:w="1134" w:type="dxa"/>
            <w:tcBorders>
              <w:bottom w:val="single" w:sz="4" w:space="0" w:color="00823B"/>
            </w:tcBorders>
            <w:shd w:val="clear" w:color="auto" w:fill="FFFFFF"/>
            <w:vAlign w:val="center"/>
          </w:tcPr>
          <w:p w14:paraId="13549B1E" w14:textId="183BB5CF" w:rsidR="00272E98" w:rsidRPr="00831BEA" w:rsidRDefault="006952E9" w:rsidP="00B957F4">
            <w:pPr>
              <w:pStyle w:val="CETBodytext"/>
              <w:ind w:right="-1"/>
              <w:jc w:val="center"/>
              <w:rPr>
                <w:rFonts w:cs="Arial"/>
                <w:sz w:val="16"/>
                <w:szCs w:val="18"/>
                <w:lang w:val="en-GB"/>
              </w:rPr>
            </w:pPr>
            <w:r>
              <w:rPr>
                <w:rFonts w:cs="Arial"/>
                <w:sz w:val="16"/>
                <w:szCs w:val="18"/>
                <w:lang w:val="en-GB"/>
              </w:rPr>
              <w:t>0.36</w:t>
            </w:r>
          </w:p>
        </w:tc>
        <w:tc>
          <w:tcPr>
            <w:tcW w:w="1276" w:type="dxa"/>
            <w:tcBorders>
              <w:bottom w:val="single" w:sz="4" w:space="0" w:color="00823B"/>
            </w:tcBorders>
            <w:shd w:val="clear" w:color="auto" w:fill="FFFFFF"/>
            <w:vAlign w:val="center"/>
          </w:tcPr>
          <w:p w14:paraId="2FCF8FD6" w14:textId="6E19954B" w:rsidR="00272E98" w:rsidRPr="00831BEA" w:rsidRDefault="001E2F40" w:rsidP="00B957F4">
            <w:pPr>
              <w:pStyle w:val="CETBodytext"/>
              <w:ind w:right="-1"/>
              <w:jc w:val="center"/>
              <w:rPr>
                <w:rFonts w:cs="Arial"/>
                <w:sz w:val="16"/>
                <w:szCs w:val="18"/>
                <w:lang w:val="en-GB"/>
              </w:rPr>
            </w:pPr>
            <w:r>
              <w:rPr>
                <w:rFonts w:cs="Arial"/>
                <w:sz w:val="16"/>
                <w:szCs w:val="18"/>
                <w:lang w:val="en-GB"/>
              </w:rPr>
              <w:t>1</w:t>
            </w:r>
          </w:p>
        </w:tc>
      </w:tr>
      <w:tr w:rsidR="00272E98" w:rsidRPr="00831BEA" w14:paraId="0ADCAE67" w14:textId="25E1A441" w:rsidTr="00B44D1D">
        <w:trPr>
          <w:trHeight w:val="227"/>
        </w:trPr>
        <w:tc>
          <w:tcPr>
            <w:tcW w:w="1418" w:type="dxa"/>
            <w:vMerge w:val="restart"/>
            <w:tcBorders>
              <w:top w:val="single" w:sz="4" w:space="0" w:color="00823B"/>
            </w:tcBorders>
            <w:shd w:val="clear" w:color="auto" w:fill="FFFFFF"/>
            <w:vAlign w:val="center"/>
          </w:tcPr>
          <w:p w14:paraId="592B80E1" w14:textId="5F6A927F" w:rsidR="00272E98" w:rsidRPr="00831BEA" w:rsidRDefault="00272E98" w:rsidP="003F36BA">
            <w:pPr>
              <w:pStyle w:val="CETBodytext"/>
              <w:jc w:val="center"/>
              <w:rPr>
                <w:sz w:val="16"/>
                <w:szCs w:val="18"/>
                <w:lang w:val="en-GB"/>
              </w:rPr>
            </w:pPr>
            <w:r w:rsidRPr="00831BEA">
              <w:rPr>
                <w:sz w:val="16"/>
                <w:szCs w:val="18"/>
                <w:lang w:val="en-GB"/>
              </w:rPr>
              <w:t>UAE</w:t>
            </w:r>
          </w:p>
          <w:p w14:paraId="36CC61DE" w14:textId="7641967D" w:rsidR="00272E98" w:rsidRPr="00831BEA" w:rsidRDefault="00272E98" w:rsidP="00B44D1D">
            <w:pPr>
              <w:pStyle w:val="CETBodytext"/>
              <w:jc w:val="center"/>
              <w:rPr>
                <w:sz w:val="16"/>
                <w:szCs w:val="18"/>
                <w:lang w:val="en-GB"/>
              </w:rPr>
            </w:pPr>
            <w:r w:rsidRPr="00831BEA">
              <w:rPr>
                <w:sz w:val="14"/>
                <w:szCs w:val="16"/>
                <w:lang w:val="en-GB"/>
              </w:rPr>
              <w:t>Ultrasound amplitude: 40%</w:t>
            </w:r>
            <w:r w:rsidR="004D1C0E">
              <w:rPr>
                <w:sz w:val="14"/>
                <w:szCs w:val="16"/>
                <w:lang w:val="en-GB"/>
              </w:rPr>
              <w:t>,</w:t>
            </w:r>
            <w:r w:rsidRPr="00831BEA">
              <w:rPr>
                <w:sz w:val="14"/>
                <w:szCs w:val="16"/>
                <w:lang w:val="en-GB"/>
              </w:rPr>
              <w:t>On/off pulsed ratio:</w:t>
            </w:r>
            <w:r w:rsidR="004D1C0E">
              <w:rPr>
                <w:sz w:val="14"/>
                <w:szCs w:val="16"/>
                <w:lang w:val="en-GB"/>
              </w:rPr>
              <w:t xml:space="preserve"> </w:t>
            </w:r>
            <w:r w:rsidRPr="00831BEA">
              <w:rPr>
                <w:sz w:val="14"/>
                <w:szCs w:val="16"/>
                <w:lang w:val="en-GB"/>
              </w:rPr>
              <w:t>30 s/ 30 s</w:t>
            </w:r>
          </w:p>
        </w:tc>
        <w:tc>
          <w:tcPr>
            <w:tcW w:w="1701" w:type="dxa"/>
            <w:tcBorders>
              <w:top w:val="single" w:sz="4" w:space="0" w:color="00823B"/>
            </w:tcBorders>
            <w:shd w:val="clear" w:color="auto" w:fill="FFFFFF"/>
            <w:vAlign w:val="center"/>
          </w:tcPr>
          <w:p w14:paraId="59D34FCC" w14:textId="7E859FA6"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Ethanol 54% (v/v)</w:t>
            </w:r>
          </w:p>
        </w:tc>
        <w:tc>
          <w:tcPr>
            <w:tcW w:w="1304" w:type="dxa"/>
            <w:tcBorders>
              <w:top w:val="single" w:sz="4" w:space="0" w:color="00823B"/>
            </w:tcBorders>
            <w:shd w:val="clear" w:color="auto" w:fill="FFFFFF"/>
            <w:vAlign w:val="center"/>
          </w:tcPr>
          <w:p w14:paraId="1AA93042" w14:textId="6C727E0C"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top w:val="single" w:sz="4" w:space="0" w:color="00823B"/>
            </w:tcBorders>
            <w:shd w:val="clear" w:color="auto" w:fill="FFFFFF"/>
            <w:vAlign w:val="center"/>
          </w:tcPr>
          <w:p w14:paraId="572B17F8" w14:textId="33B117E2"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30</w:t>
            </w:r>
          </w:p>
        </w:tc>
        <w:tc>
          <w:tcPr>
            <w:tcW w:w="1134" w:type="dxa"/>
            <w:tcBorders>
              <w:top w:val="single" w:sz="4" w:space="0" w:color="00823B"/>
            </w:tcBorders>
            <w:shd w:val="clear" w:color="auto" w:fill="FFFFFF"/>
            <w:vAlign w:val="center"/>
          </w:tcPr>
          <w:p w14:paraId="67AD2413" w14:textId="7064ACB1"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298</w:t>
            </w:r>
          </w:p>
        </w:tc>
        <w:tc>
          <w:tcPr>
            <w:tcW w:w="1134" w:type="dxa"/>
            <w:tcBorders>
              <w:top w:val="single" w:sz="4" w:space="0" w:color="00823B"/>
            </w:tcBorders>
            <w:shd w:val="clear" w:color="auto" w:fill="FFFFFF"/>
            <w:vAlign w:val="center"/>
          </w:tcPr>
          <w:p w14:paraId="784DCD68" w14:textId="244AF3B1"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0.10</w:t>
            </w:r>
          </w:p>
        </w:tc>
        <w:tc>
          <w:tcPr>
            <w:tcW w:w="1276" w:type="dxa"/>
            <w:tcBorders>
              <w:top w:val="single" w:sz="4" w:space="0" w:color="00823B"/>
            </w:tcBorders>
            <w:shd w:val="clear" w:color="auto" w:fill="FFFFFF"/>
            <w:vAlign w:val="center"/>
          </w:tcPr>
          <w:p w14:paraId="5BCE0D2F" w14:textId="2D60B83E" w:rsidR="00272E98" w:rsidRPr="00831BEA" w:rsidRDefault="001E2F40" w:rsidP="00B957F4">
            <w:pPr>
              <w:pStyle w:val="CETBodytext"/>
              <w:ind w:right="-1"/>
              <w:jc w:val="center"/>
              <w:rPr>
                <w:rFonts w:cs="Arial"/>
                <w:sz w:val="16"/>
                <w:szCs w:val="18"/>
                <w:lang w:val="en-GB"/>
              </w:rPr>
            </w:pPr>
            <w:r>
              <w:rPr>
                <w:rFonts w:cs="Arial"/>
                <w:sz w:val="16"/>
                <w:szCs w:val="18"/>
                <w:lang w:val="en-GB"/>
              </w:rPr>
              <w:t>1</w:t>
            </w:r>
          </w:p>
        </w:tc>
      </w:tr>
      <w:tr w:rsidR="00272E98" w:rsidRPr="00831BEA" w14:paraId="1B9C4BC3" w14:textId="77777777" w:rsidTr="00B44D1D">
        <w:trPr>
          <w:trHeight w:val="227"/>
        </w:trPr>
        <w:tc>
          <w:tcPr>
            <w:tcW w:w="1418" w:type="dxa"/>
            <w:vMerge/>
            <w:tcBorders>
              <w:bottom w:val="single" w:sz="4" w:space="0" w:color="00823B"/>
            </w:tcBorders>
            <w:shd w:val="clear" w:color="auto" w:fill="FFFFFF"/>
            <w:vAlign w:val="center"/>
          </w:tcPr>
          <w:p w14:paraId="54472E07" w14:textId="77777777" w:rsidR="00272E98" w:rsidRPr="00831BEA" w:rsidRDefault="00272E98" w:rsidP="003F36BA">
            <w:pPr>
              <w:pStyle w:val="CETBodytext"/>
              <w:jc w:val="center"/>
              <w:rPr>
                <w:sz w:val="16"/>
                <w:szCs w:val="18"/>
                <w:lang w:val="en-GB"/>
              </w:rPr>
            </w:pPr>
          </w:p>
        </w:tc>
        <w:tc>
          <w:tcPr>
            <w:tcW w:w="1701" w:type="dxa"/>
            <w:tcBorders>
              <w:bottom w:val="single" w:sz="4" w:space="0" w:color="00823B"/>
            </w:tcBorders>
            <w:shd w:val="clear" w:color="auto" w:fill="FFFFFF"/>
            <w:vAlign w:val="center"/>
          </w:tcPr>
          <w:p w14:paraId="49BDB376" w14:textId="66C64DD9"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Water</w:t>
            </w:r>
          </w:p>
        </w:tc>
        <w:tc>
          <w:tcPr>
            <w:tcW w:w="1304" w:type="dxa"/>
            <w:tcBorders>
              <w:bottom w:val="single" w:sz="4" w:space="0" w:color="00823B"/>
            </w:tcBorders>
            <w:shd w:val="clear" w:color="auto" w:fill="FFFFFF"/>
            <w:vAlign w:val="center"/>
          </w:tcPr>
          <w:p w14:paraId="0D9A8572" w14:textId="66F7BD9E" w:rsidR="00272E98" w:rsidRPr="00831BEA" w:rsidRDefault="00272E98"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bottom w:val="single" w:sz="4" w:space="0" w:color="00823B"/>
            </w:tcBorders>
            <w:shd w:val="clear" w:color="auto" w:fill="FFFFFF"/>
            <w:vAlign w:val="center"/>
          </w:tcPr>
          <w:p w14:paraId="7BFE1624" w14:textId="549421E8" w:rsidR="00272E98" w:rsidRPr="00831BEA" w:rsidRDefault="00272E98" w:rsidP="0049249B">
            <w:pPr>
              <w:pStyle w:val="CETBodytext"/>
              <w:ind w:right="-1"/>
              <w:jc w:val="center"/>
              <w:rPr>
                <w:rFonts w:cs="Arial"/>
                <w:sz w:val="16"/>
                <w:szCs w:val="18"/>
                <w:lang w:val="en-GB"/>
              </w:rPr>
            </w:pPr>
            <w:r w:rsidRPr="00831BEA">
              <w:rPr>
                <w:rFonts w:cs="Arial"/>
                <w:sz w:val="16"/>
                <w:szCs w:val="18"/>
                <w:lang w:val="en-GB"/>
              </w:rPr>
              <w:t>30</w:t>
            </w:r>
          </w:p>
        </w:tc>
        <w:tc>
          <w:tcPr>
            <w:tcW w:w="1134" w:type="dxa"/>
            <w:tcBorders>
              <w:bottom w:val="single" w:sz="4" w:space="0" w:color="00823B"/>
            </w:tcBorders>
            <w:shd w:val="clear" w:color="auto" w:fill="FFFFFF"/>
            <w:vAlign w:val="center"/>
          </w:tcPr>
          <w:p w14:paraId="5DA457F7" w14:textId="38E8E8C2" w:rsidR="00272E98" w:rsidRPr="00831BEA" w:rsidRDefault="0049249B" w:rsidP="00B957F4">
            <w:pPr>
              <w:pStyle w:val="CETBodytext"/>
              <w:ind w:right="-1"/>
              <w:jc w:val="center"/>
              <w:rPr>
                <w:rFonts w:cs="Arial"/>
                <w:sz w:val="16"/>
                <w:szCs w:val="18"/>
                <w:lang w:val="en-GB"/>
              </w:rPr>
            </w:pPr>
            <w:r w:rsidRPr="00831BEA">
              <w:rPr>
                <w:rFonts w:cs="Arial"/>
                <w:sz w:val="16"/>
                <w:szCs w:val="18"/>
                <w:lang w:val="en-GB"/>
              </w:rPr>
              <w:t>298</w:t>
            </w:r>
            <w:r w:rsidR="00272E98" w:rsidRPr="00831BEA">
              <w:rPr>
                <w:rFonts w:cs="Arial"/>
                <w:sz w:val="16"/>
                <w:szCs w:val="18"/>
                <w:lang w:val="en-GB"/>
              </w:rPr>
              <w:t xml:space="preserve"> </w:t>
            </w:r>
          </w:p>
        </w:tc>
        <w:tc>
          <w:tcPr>
            <w:tcW w:w="1134" w:type="dxa"/>
            <w:tcBorders>
              <w:bottom w:val="single" w:sz="4" w:space="0" w:color="00823B"/>
            </w:tcBorders>
            <w:shd w:val="clear" w:color="auto" w:fill="FFFFFF"/>
            <w:vAlign w:val="center"/>
          </w:tcPr>
          <w:p w14:paraId="04CF865C" w14:textId="6A73833F" w:rsidR="00272E98" w:rsidRPr="00831BEA" w:rsidRDefault="00594A37" w:rsidP="00B957F4">
            <w:pPr>
              <w:pStyle w:val="CETBodytext"/>
              <w:ind w:right="-1"/>
              <w:jc w:val="center"/>
              <w:rPr>
                <w:rFonts w:cs="Arial"/>
                <w:sz w:val="16"/>
                <w:szCs w:val="18"/>
                <w:lang w:val="en-GB"/>
              </w:rPr>
            </w:pPr>
            <w:r w:rsidRPr="00831BEA">
              <w:rPr>
                <w:rFonts w:cs="Arial"/>
                <w:sz w:val="16"/>
                <w:szCs w:val="18"/>
                <w:lang w:val="en-GB"/>
              </w:rPr>
              <w:t>0.10</w:t>
            </w:r>
          </w:p>
        </w:tc>
        <w:tc>
          <w:tcPr>
            <w:tcW w:w="1276" w:type="dxa"/>
            <w:tcBorders>
              <w:bottom w:val="single" w:sz="4" w:space="0" w:color="00823B"/>
            </w:tcBorders>
            <w:shd w:val="clear" w:color="auto" w:fill="FFFFFF"/>
            <w:vAlign w:val="center"/>
          </w:tcPr>
          <w:p w14:paraId="286232EB" w14:textId="07B758F8" w:rsidR="00272E98" w:rsidRPr="00831BEA" w:rsidRDefault="001E2F40" w:rsidP="00B957F4">
            <w:pPr>
              <w:pStyle w:val="CETBodytext"/>
              <w:ind w:right="-1"/>
              <w:jc w:val="center"/>
              <w:rPr>
                <w:rFonts w:cs="Arial"/>
                <w:sz w:val="16"/>
                <w:szCs w:val="18"/>
                <w:lang w:val="en-GB"/>
              </w:rPr>
            </w:pPr>
            <w:r>
              <w:rPr>
                <w:rFonts w:cs="Arial"/>
                <w:sz w:val="16"/>
                <w:szCs w:val="18"/>
                <w:lang w:val="en-GB"/>
              </w:rPr>
              <w:t>1</w:t>
            </w:r>
          </w:p>
        </w:tc>
      </w:tr>
      <w:tr w:rsidR="0049249B" w:rsidRPr="00831BEA" w14:paraId="56CFCED7" w14:textId="7C319BDD" w:rsidTr="00B44D1D">
        <w:trPr>
          <w:trHeight w:val="227"/>
        </w:trPr>
        <w:tc>
          <w:tcPr>
            <w:tcW w:w="1418" w:type="dxa"/>
            <w:vMerge w:val="restart"/>
            <w:tcBorders>
              <w:top w:val="single" w:sz="4" w:space="0" w:color="00823B"/>
            </w:tcBorders>
            <w:shd w:val="clear" w:color="auto" w:fill="FFFFFF"/>
            <w:vAlign w:val="center"/>
          </w:tcPr>
          <w:p w14:paraId="020D2186" w14:textId="5B86A4F7" w:rsidR="0049249B" w:rsidRPr="00831BEA" w:rsidRDefault="0049249B" w:rsidP="003F36BA">
            <w:pPr>
              <w:pStyle w:val="CETBodytext"/>
              <w:jc w:val="center"/>
              <w:rPr>
                <w:sz w:val="16"/>
                <w:szCs w:val="18"/>
                <w:lang w:val="en-GB"/>
              </w:rPr>
            </w:pPr>
            <w:r w:rsidRPr="00831BEA">
              <w:rPr>
                <w:sz w:val="16"/>
                <w:szCs w:val="18"/>
                <w:lang w:val="en-GB"/>
              </w:rPr>
              <w:t>RE</w:t>
            </w:r>
          </w:p>
        </w:tc>
        <w:tc>
          <w:tcPr>
            <w:tcW w:w="1701" w:type="dxa"/>
            <w:tcBorders>
              <w:top w:val="single" w:sz="4" w:space="0" w:color="00823B"/>
            </w:tcBorders>
            <w:shd w:val="clear" w:color="auto" w:fill="FFFFFF"/>
            <w:vAlign w:val="center"/>
          </w:tcPr>
          <w:p w14:paraId="4CCBD0D8" w14:textId="5E104997" w:rsidR="0049249B" w:rsidRPr="00831BEA" w:rsidRDefault="0049249B" w:rsidP="00B957F4">
            <w:pPr>
              <w:pStyle w:val="CETBodytext"/>
              <w:ind w:right="-1"/>
              <w:jc w:val="center"/>
              <w:rPr>
                <w:rFonts w:cs="Arial"/>
                <w:sz w:val="16"/>
                <w:szCs w:val="18"/>
                <w:lang w:val="en-GB"/>
              </w:rPr>
            </w:pPr>
            <w:r w:rsidRPr="00831BEA">
              <w:rPr>
                <w:rFonts w:cs="Arial"/>
                <w:sz w:val="16"/>
                <w:szCs w:val="18"/>
                <w:lang w:val="en-GB"/>
              </w:rPr>
              <w:t>n-hexane</w:t>
            </w:r>
          </w:p>
        </w:tc>
        <w:tc>
          <w:tcPr>
            <w:tcW w:w="1304" w:type="dxa"/>
            <w:tcBorders>
              <w:top w:val="single" w:sz="4" w:space="0" w:color="00823B"/>
            </w:tcBorders>
            <w:shd w:val="clear" w:color="auto" w:fill="FFFFFF"/>
            <w:vAlign w:val="center"/>
          </w:tcPr>
          <w:p w14:paraId="4217CD08" w14:textId="68A156F3" w:rsidR="0049249B" w:rsidRPr="00831BEA" w:rsidRDefault="0049249B" w:rsidP="00B957F4">
            <w:pPr>
              <w:pStyle w:val="CETBodytext"/>
              <w:ind w:right="-1"/>
              <w:jc w:val="center"/>
              <w:rPr>
                <w:rFonts w:cs="Arial"/>
                <w:sz w:val="16"/>
                <w:szCs w:val="18"/>
                <w:lang w:val="en-GB"/>
              </w:rPr>
            </w:pPr>
            <w:r w:rsidRPr="00831BEA">
              <w:rPr>
                <w:rFonts w:cs="Arial"/>
                <w:sz w:val="16"/>
                <w:szCs w:val="18"/>
                <w:lang w:val="en-GB"/>
              </w:rPr>
              <w:t>10</w:t>
            </w:r>
          </w:p>
        </w:tc>
        <w:tc>
          <w:tcPr>
            <w:tcW w:w="964" w:type="dxa"/>
            <w:tcBorders>
              <w:top w:val="single" w:sz="4" w:space="0" w:color="00823B"/>
            </w:tcBorders>
            <w:shd w:val="clear" w:color="auto" w:fill="FFFFFF"/>
            <w:vAlign w:val="center"/>
          </w:tcPr>
          <w:p w14:paraId="55A305B5" w14:textId="7A91DD7D" w:rsidR="0049249B" w:rsidRPr="00831BEA" w:rsidRDefault="0049249B" w:rsidP="0049249B">
            <w:pPr>
              <w:pStyle w:val="CETBodytext"/>
              <w:ind w:right="-1"/>
              <w:jc w:val="center"/>
              <w:rPr>
                <w:rFonts w:cs="Arial"/>
                <w:sz w:val="16"/>
                <w:szCs w:val="18"/>
                <w:lang w:val="en-GB"/>
              </w:rPr>
            </w:pPr>
            <w:r w:rsidRPr="00831BEA">
              <w:rPr>
                <w:rFonts w:cs="Arial"/>
                <w:sz w:val="16"/>
                <w:szCs w:val="18"/>
                <w:lang w:val="en-GB"/>
              </w:rPr>
              <w:t>200</w:t>
            </w:r>
          </w:p>
        </w:tc>
        <w:tc>
          <w:tcPr>
            <w:tcW w:w="1134" w:type="dxa"/>
            <w:tcBorders>
              <w:top w:val="single" w:sz="4" w:space="0" w:color="00823B"/>
            </w:tcBorders>
            <w:shd w:val="clear" w:color="auto" w:fill="FFFFFF"/>
            <w:vAlign w:val="center"/>
          </w:tcPr>
          <w:p w14:paraId="26217F3A" w14:textId="29857C35" w:rsidR="0049249B" w:rsidRPr="00831BEA" w:rsidRDefault="0049249B" w:rsidP="00B957F4">
            <w:pPr>
              <w:pStyle w:val="CETBodytext"/>
              <w:ind w:right="-1"/>
              <w:jc w:val="center"/>
              <w:rPr>
                <w:rFonts w:cs="Arial"/>
                <w:sz w:val="16"/>
                <w:szCs w:val="18"/>
                <w:lang w:val="en-GB"/>
              </w:rPr>
            </w:pPr>
            <w:r w:rsidRPr="00831BEA">
              <w:rPr>
                <w:rFonts w:cs="Arial"/>
                <w:sz w:val="16"/>
                <w:szCs w:val="18"/>
                <w:lang w:val="en-GB"/>
              </w:rPr>
              <w:t>342</w:t>
            </w:r>
          </w:p>
        </w:tc>
        <w:tc>
          <w:tcPr>
            <w:tcW w:w="1134" w:type="dxa"/>
            <w:tcBorders>
              <w:top w:val="single" w:sz="4" w:space="0" w:color="00823B"/>
            </w:tcBorders>
            <w:shd w:val="clear" w:color="auto" w:fill="FFFFFF"/>
            <w:vAlign w:val="center"/>
          </w:tcPr>
          <w:p w14:paraId="6E1AAD4F" w14:textId="6C7EFFB2" w:rsidR="0049249B" w:rsidRPr="00831BEA" w:rsidRDefault="00594A37" w:rsidP="00B957F4">
            <w:pPr>
              <w:pStyle w:val="CETBodytext"/>
              <w:ind w:right="-1"/>
              <w:jc w:val="center"/>
              <w:rPr>
                <w:rFonts w:cs="Arial"/>
                <w:sz w:val="16"/>
                <w:szCs w:val="18"/>
                <w:lang w:val="en-GB"/>
              </w:rPr>
            </w:pPr>
            <w:r w:rsidRPr="00831BEA">
              <w:rPr>
                <w:rFonts w:cs="Arial"/>
                <w:sz w:val="16"/>
                <w:szCs w:val="18"/>
                <w:lang w:val="en-GB"/>
              </w:rPr>
              <w:t>0.10</w:t>
            </w:r>
          </w:p>
        </w:tc>
        <w:tc>
          <w:tcPr>
            <w:tcW w:w="1276" w:type="dxa"/>
            <w:tcBorders>
              <w:top w:val="single" w:sz="4" w:space="0" w:color="00823B"/>
            </w:tcBorders>
            <w:shd w:val="clear" w:color="auto" w:fill="FFFFFF"/>
            <w:vAlign w:val="center"/>
          </w:tcPr>
          <w:p w14:paraId="1077965B" w14:textId="78167B65" w:rsidR="0049249B" w:rsidRPr="00831BEA" w:rsidRDefault="001E2F40" w:rsidP="00B957F4">
            <w:pPr>
              <w:pStyle w:val="CETBodytext"/>
              <w:ind w:right="-1"/>
              <w:jc w:val="center"/>
              <w:rPr>
                <w:rFonts w:cs="Arial"/>
                <w:sz w:val="16"/>
                <w:szCs w:val="18"/>
                <w:lang w:val="en-GB"/>
              </w:rPr>
            </w:pPr>
            <w:r>
              <w:rPr>
                <w:rFonts w:cs="Arial"/>
                <w:sz w:val="16"/>
                <w:szCs w:val="18"/>
                <w:lang w:val="en-GB"/>
              </w:rPr>
              <w:t>2</w:t>
            </w:r>
          </w:p>
        </w:tc>
      </w:tr>
      <w:tr w:rsidR="0049249B" w:rsidRPr="00831BEA" w14:paraId="4B520348" w14:textId="17E1C6C0" w:rsidTr="00B44D1D">
        <w:trPr>
          <w:trHeight w:val="227"/>
        </w:trPr>
        <w:tc>
          <w:tcPr>
            <w:tcW w:w="1418" w:type="dxa"/>
            <w:vMerge/>
            <w:shd w:val="clear" w:color="auto" w:fill="FFFFFF"/>
            <w:vAlign w:val="center"/>
          </w:tcPr>
          <w:p w14:paraId="0396BED4" w14:textId="639F3CFF" w:rsidR="0049249B" w:rsidRPr="00831BEA" w:rsidRDefault="0049249B" w:rsidP="003F36BA">
            <w:pPr>
              <w:pStyle w:val="CETBodytext"/>
              <w:jc w:val="center"/>
              <w:rPr>
                <w:sz w:val="16"/>
                <w:szCs w:val="18"/>
                <w:lang w:val="en-GB"/>
              </w:rPr>
            </w:pPr>
          </w:p>
        </w:tc>
        <w:tc>
          <w:tcPr>
            <w:tcW w:w="1701" w:type="dxa"/>
            <w:shd w:val="clear" w:color="auto" w:fill="FFFFFF"/>
            <w:vAlign w:val="center"/>
          </w:tcPr>
          <w:p w14:paraId="492382E9" w14:textId="3AE7725E" w:rsidR="0049249B" w:rsidRPr="00831BEA" w:rsidRDefault="0049249B" w:rsidP="00B957F4">
            <w:pPr>
              <w:pStyle w:val="CETBodytext"/>
              <w:ind w:right="-1"/>
              <w:jc w:val="center"/>
              <w:rPr>
                <w:rFonts w:cs="Arial"/>
                <w:sz w:val="16"/>
                <w:szCs w:val="18"/>
                <w:lang w:val="en-GB"/>
              </w:rPr>
            </w:pPr>
            <w:r w:rsidRPr="00831BEA">
              <w:rPr>
                <w:rFonts w:cs="Arial"/>
                <w:sz w:val="16"/>
                <w:szCs w:val="18"/>
                <w:lang w:val="en-GB"/>
              </w:rPr>
              <w:t>Petroleum ether</w:t>
            </w:r>
          </w:p>
        </w:tc>
        <w:tc>
          <w:tcPr>
            <w:tcW w:w="1304" w:type="dxa"/>
            <w:shd w:val="clear" w:color="auto" w:fill="FFFFFF"/>
            <w:vAlign w:val="center"/>
          </w:tcPr>
          <w:p w14:paraId="726211D0" w14:textId="4E346CD3" w:rsidR="0049249B" w:rsidRPr="00831BEA" w:rsidRDefault="0049249B" w:rsidP="00B957F4">
            <w:pPr>
              <w:pStyle w:val="CETBodytext"/>
              <w:ind w:right="-1"/>
              <w:jc w:val="center"/>
              <w:rPr>
                <w:rFonts w:cs="Arial"/>
                <w:sz w:val="16"/>
                <w:szCs w:val="18"/>
                <w:lang w:val="en-GB"/>
              </w:rPr>
            </w:pPr>
            <w:r w:rsidRPr="00831BEA">
              <w:rPr>
                <w:rFonts w:cs="Arial"/>
                <w:sz w:val="16"/>
                <w:szCs w:val="18"/>
                <w:lang w:val="en-GB"/>
              </w:rPr>
              <w:t>25</w:t>
            </w:r>
          </w:p>
        </w:tc>
        <w:tc>
          <w:tcPr>
            <w:tcW w:w="964" w:type="dxa"/>
            <w:shd w:val="clear" w:color="auto" w:fill="FFFFFF"/>
            <w:vAlign w:val="center"/>
          </w:tcPr>
          <w:p w14:paraId="3AD614D0" w14:textId="129679F8" w:rsidR="0049249B" w:rsidRPr="00831BEA" w:rsidRDefault="0049249B" w:rsidP="0049249B">
            <w:pPr>
              <w:pStyle w:val="CETBodytext"/>
              <w:ind w:right="-1"/>
              <w:jc w:val="center"/>
              <w:rPr>
                <w:rFonts w:cs="Arial"/>
                <w:sz w:val="16"/>
                <w:szCs w:val="18"/>
                <w:highlight w:val="yellow"/>
                <w:lang w:val="en-GB"/>
              </w:rPr>
            </w:pPr>
            <w:r w:rsidRPr="00831BEA">
              <w:rPr>
                <w:rFonts w:cs="Arial"/>
                <w:sz w:val="16"/>
                <w:szCs w:val="18"/>
                <w:lang w:val="en-GB"/>
              </w:rPr>
              <w:t>50</w:t>
            </w:r>
          </w:p>
        </w:tc>
        <w:tc>
          <w:tcPr>
            <w:tcW w:w="1134" w:type="dxa"/>
            <w:shd w:val="clear" w:color="auto" w:fill="FFFFFF"/>
            <w:vAlign w:val="center"/>
          </w:tcPr>
          <w:p w14:paraId="37524B5A" w14:textId="58AB0DE8" w:rsidR="0049249B" w:rsidRPr="00831BEA" w:rsidRDefault="0049249B" w:rsidP="00B957F4">
            <w:pPr>
              <w:pStyle w:val="CETBodytext"/>
              <w:ind w:right="-1"/>
              <w:jc w:val="center"/>
              <w:rPr>
                <w:rFonts w:cs="Arial"/>
                <w:sz w:val="16"/>
                <w:szCs w:val="18"/>
                <w:lang w:val="en-GB"/>
              </w:rPr>
            </w:pPr>
            <w:r w:rsidRPr="00831BEA">
              <w:rPr>
                <w:rFonts w:cs="Arial"/>
                <w:sz w:val="16"/>
                <w:szCs w:val="18"/>
                <w:lang w:val="en-GB"/>
              </w:rPr>
              <w:t>333</w:t>
            </w:r>
          </w:p>
        </w:tc>
        <w:tc>
          <w:tcPr>
            <w:tcW w:w="1134" w:type="dxa"/>
            <w:shd w:val="clear" w:color="auto" w:fill="FFFFFF"/>
            <w:vAlign w:val="center"/>
          </w:tcPr>
          <w:p w14:paraId="6B21A006" w14:textId="5F243A83" w:rsidR="0049249B" w:rsidRPr="00831BEA" w:rsidRDefault="00594A37" w:rsidP="00B957F4">
            <w:pPr>
              <w:pStyle w:val="CETBodytext"/>
              <w:ind w:right="-1"/>
              <w:jc w:val="center"/>
              <w:rPr>
                <w:rFonts w:cs="Arial"/>
                <w:sz w:val="16"/>
                <w:szCs w:val="18"/>
                <w:lang w:val="en-GB"/>
              </w:rPr>
            </w:pPr>
            <w:r w:rsidRPr="00831BEA">
              <w:rPr>
                <w:rFonts w:cs="Arial"/>
                <w:sz w:val="16"/>
                <w:szCs w:val="18"/>
                <w:lang w:val="en-GB"/>
              </w:rPr>
              <w:t>0.10</w:t>
            </w:r>
          </w:p>
        </w:tc>
        <w:tc>
          <w:tcPr>
            <w:tcW w:w="1276" w:type="dxa"/>
            <w:shd w:val="clear" w:color="auto" w:fill="FFFFFF"/>
            <w:vAlign w:val="center"/>
          </w:tcPr>
          <w:p w14:paraId="0404E857" w14:textId="47B85DA6" w:rsidR="0049249B" w:rsidRPr="00831BEA" w:rsidRDefault="001E2F40" w:rsidP="00B957F4">
            <w:pPr>
              <w:pStyle w:val="CETBodytext"/>
              <w:ind w:right="-1"/>
              <w:jc w:val="center"/>
              <w:rPr>
                <w:rFonts w:cs="Arial"/>
                <w:sz w:val="16"/>
                <w:szCs w:val="18"/>
                <w:lang w:val="en-GB"/>
              </w:rPr>
            </w:pPr>
            <w:r>
              <w:rPr>
                <w:rFonts w:cs="Arial"/>
                <w:sz w:val="16"/>
                <w:szCs w:val="18"/>
                <w:lang w:val="en-GB"/>
              </w:rPr>
              <w:t>4</w:t>
            </w:r>
          </w:p>
        </w:tc>
      </w:tr>
    </w:tbl>
    <w:p w14:paraId="615BBEA1" w14:textId="32C83EFD" w:rsidR="00D9350F" w:rsidRDefault="00E23921" w:rsidP="0098627F">
      <w:pPr>
        <w:pStyle w:val="CETBodytext"/>
        <w:spacing w:before="240"/>
      </w:pPr>
      <w:r>
        <w:lastRenderedPageBreak/>
        <w:t xml:space="preserve">Antioxidant compounds were extracted from dried SCGs by testing four different techniques: SLE, HPTE, MAE, and UAE. SLE was performed in a stirred extractor working at room temperature, while for HPTE a stainless-steel extractor equipped with a heating jacket was used. </w:t>
      </w:r>
      <w:r w:rsidR="00F355E6">
        <w:t>The s</w:t>
      </w:r>
      <w:r w:rsidR="008A4F0F">
        <w:t xml:space="preserve">ystem worked at temperature higher than </w:t>
      </w:r>
      <w:r w:rsidR="00EF652F">
        <w:t xml:space="preserve">the </w:t>
      </w:r>
      <w:r w:rsidR="008A4F0F">
        <w:t>solvent boiling point temperature (1 atm), so under pressure (</w:t>
      </w:r>
      <w:r w:rsidR="008A4F0F" w:rsidRPr="006B2B57">
        <w:rPr>
          <w:i/>
          <w:iCs/>
        </w:rPr>
        <w:t>f(T)</w:t>
      </w:r>
      <w:r w:rsidR="008A4F0F" w:rsidRPr="00E5403D">
        <w:t>)</w:t>
      </w:r>
      <w:r w:rsidR="008A4F0F">
        <w:t>, and in the closed vessel an inert atmosphere was created by fluxing N</w:t>
      </w:r>
      <w:r w:rsidR="008A4F0F" w:rsidRPr="006B2B57">
        <w:rPr>
          <w:vertAlign w:val="subscript"/>
        </w:rPr>
        <w:t>2</w:t>
      </w:r>
      <w:r w:rsidR="008A4F0F">
        <w:t xml:space="preserve"> before vessel sealing and heating, to reduce antioxidants’ degradation reactions. MAE was carried out in a closed PTFE vessel, posed under agitation in a microwave laboratory oven</w:t>
      </w:r>
      <w:r w:rsidR="00EF652F">
        <w:t>,</w:t>
      </w:r>
      <w:r w:rsidR="008A4F0F">
        <w:t xml:space="preserve"> composed by a stirred vessel, equipped with a heating jacket and a microwave generator. A vessel working at room temperature and atmospheric pressure was employed for UAE, w</w:t>
      </w:r>
      <w:r w:rsidR="00037ADE">
        <w:t>h</w:t>
      </w:r>
      <w:r w:rsidR="008A4F0F">
        <w:t xml:space="preserve">ere a submerged ultrasound probe delivered the mechanical energy to </w:t>
      </w:r>
      <w:r w:rsidR="006D0745">
        <w:t xml:space="preserve">the </w:t>
      </w:r>
      <w:r w:rsidR="008A4F0F">
        <w:t xml:space="preserve">extraction medium. Reflux extraction (RE) was, instead, the selected technique aimed at recovering the coffee oil (lipidic fractions of SCG). The reflux extractor, working at the solution boiling point, is composed of an extraction vessel, heated by an external jacket, and of a condenser at the top, to avoid internal pressure raising. Operating conditions </w:t>
      </w:r>
      <w:r w:rsidR="003E75B4">
        <w:t>adopted</w:t>
      </w:r>
      <w:r w:rsidR="008A4F0F">
        <w:t xml:space="preserve"> for each extraction technique are shown in Table 3. Optimal operating conditions were chosen after a critical literature review and previous sets of experiments (Pettinato 2019, 2021).</w:t>
      </w:r>
      <w:r w:rsidR="00EF652F">
        <w:t>The obtained e</w:t>
      </w:r>
      <w:r w:rsidR="001E595F">
        <w:t>xtract</w:t>
      </w:r>
      <w:r w:rsidR="00EF652F">
        <w:t>s</w:t>
      </w:r>
      <w:r w:rsidR="00E7504E">
        <w:t xml:space="preserve"> were analy</w:t>
      </w:r>
      <w:r w:rsidR="00AB0BE1">
        <w:t>z</w:t>
      </w:r>
      <w:r w:rsidR="00E7504E">
        <w:t>ed in terms of total polyphenol yields</w:t>
      </w:r>
      <w:r w:rsidR="005B23CE">
        <w:t xml:space="preserve"> (</w:t>
      </w:r>
      <w:r w:rsidR="009A0D9C">
        <w:t xml:space="preserve">TPY, </w:t>
      </w:r>
      <w:r w:rsidR="0006683C">
        <w:t>Eq(11))</w:t>
      </w:r>
      <w:r w:rsidR="00E7504E">
        <w:t xml:space="preserve"> through Folin-</w:t>
      </w:r>
      <w:proofErr w:type="spellStart"/>
      <w:r w:rsidR="00E7504E">
        <w:t>Ciocalteu’s</w:t>
      </w:r>
      <w:proofErr w:type="spellEnd"/>
      <w:r w:rsidR="00E7504E">
        <w:t xml:space="preserve"> assay</w:t>
      </w:r>
      <w:r w:rsidR="003D0DBD">
        <w:t xml:space="preserve">, according to the protocol reported in Pettinato et al., (2019) </w:t>
      </w:r>
      <w:r w:rsidR="00FD5840">
        <w:t xml:space="preserve">and </w:t>
      </w:r>
      <w:r w:rsidR="00583895">
        <w:t>lipid fraction (Eq(</w:t>
      </w:r>
      <w:r w:rsidR="00E61463">
        <w:t>12</w:t>
      </w:r>
      <w:r w:rsidR="00583895">
        <w:t>)</w:t>
      </w:r>
      <w:r w:rsidR="00FD5840">
        <w:t>)</w:t>
      </w:r>
      <w:r w:rsidR="005B23CE">
        <w:t>, determined gravimetrically</w:t>
      </w:r>
      <w:r w:rsidR="000B3140">
        <w:t>.</w:t>
      </w:r>
    </w:p>
    <w:p w14:paraId="1B50A742" w14:textId="77BE905E" w:rsidR="00583895" w:rsidRPr="00726623" w:rsidRDefault="005B23CE" w:rsidP="00726623">
      <w:pPr>
        <w:pStyle w:val="CETBodytext"/>
        <w:spacing w:before="240"/>
      </w:pPr>
      <m:oMath>
        <m:r>
          <w:rPr>
            <w:rFonts w:ascii="Cambria Math" w:hAnsi="Cambria Math"/>
          </w:rPr>
          <m:t>TPY=Total polyphenol concentration in the extract·</m:t>
        </m:r>
        <m:f>
          <m:fPr>
            <m:ctrlPr>
              <w:rPr>
                <w:rFonts w:ascii="Cambria Math" w:hAnsi="Cambria Math"/>
                <w:i/>
              </w:rPr>
            </m:ctrlPr>
          </m:fPr>
          <m:num>
            <m:r>
              <w:rPr>
                <w:rFonts w:ascii="Cambria Math" w:hAnsi="Cambria Math"/>
              </w:rPr>
              <m:t>Solvent volume</m:t>
            </m:r>
          </m:num>
          <m:den>
            <m:sSub>
              <m:sSubPr>
                <m:ctrlPr>
                  <w:rPr>
                    <w:rFonts w:ascii="Cambria Math" w:hAnsi="Cambria Math"/>
                    <w:i/>
                  </w:rPr>
                </m:ctrlPr>
              </m:sSubPr>
              <m:e>
                <m:r>
                  <w:rPr>
                    <w:rFonts w:ascii="Cambria Math" w:hAnsi="Cambria Math"/>
                  </w:rPr>
                  <m:t>mass</m:t>
                </m:r>
              </m:e>
              <m:sub>
                <m:r>
                  <w:rPr>
                    <w:rFonts w:ascii="Cambria Math" w:hAnsi="Cambria Math"/>
                  </w:rPr>
                  <m:t>dried SCG</m:t>
                </m:r>
              </m:sub>
            </m:sSub>
          </m:den>
        </m:f>
      </m:oMath>
      <w:r w:rsidR="00726623">
        <w:rPr>
          <w:lang w:val="en-GB"/>
        </w:rPr>
        <w:t xml:space="preserve">        </w:t>
      </w:r>
      <w:r w:rsidR="00FB6C82">
        <w:rPr>
          <w:lang w:val="en-GB"/>
        </w:rPr>
        <w:t xml:space="preserve">     </w:t>
      </w:r>
      <w:r w:rsidR="00726623">
        <w:rPr>
          <w:lang w:val="en-GB"/>
        </w:rPr>
        <w:t xml:space="preserve">                                                      (1</w:t>
      </w:r>
      <w:r w:rsidR="00E61463">
        <w:rPr>
          <w:lang w:val="en-GB"/>
        </w:rPr>
        <w:t>1</w:t>
      </w:r>
      <w:r w:rsidR="00726623">
        <w:rPr>
          <w:lang w:val="en-GB"/>
        </w:rPr>
        <w:t>)</w:t>
      </w:r>
    </w:p>
    <w:p w14:paraId="05E7041A" w14:textId="216D5060" w:rsidR="00726623" w:rsidRPr="00726623" w:rsidRDefault="00000000" w:rsidP="00726623">
      <w:pPr>
        <w:pStyle w:val="CETBodytext"/>
        <w:spacing w:before="240"/>
      </w:pPr>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mass</m:t>
                </m:r>
              </m:e>
              <m:sub>
                <m:r>
                  <w:rPr>
                    <w:rFonts w:ascii="Cambria Math" w:hAnsi="Cambria Math"/>
                  </w:rPr>
                  <m:t>lipids</m:t>
                </m:r>
              </m:sub>
            </m:sSub>
          </m:num>
          <m:den>
            <m:r>
              <w:rPr>
                <w:rFonts w:ascii="Cambria Math" w:hAnsi="Cambria Math"/>
              </w:rPr>
              <m:t>mas</m:t>
            </m:r>
            <m:sSub>
              <m:sSubPr>
                <m:ctrlPr>
                  <w:rPr>
                    <w:rFonts w:ascii="Cambria Math" w:hAnsi="Cambria Math"/>
                    <w:i/>
                  </w:rPr>
                </m:ctrlPr>
              </m:sSubPr>
              <m:e>
                <m:r>
                  <w:rPr>
                    <w:rFonts w:ascii="Cambria Math" w:hAnsi="Cambria Math"/>
                  </w:rPr>
                  <m:t>s</m:t>
                </m:r>
              </m:e>
              <m:sub>
                <m:r>
                  <w:rPr>
                    <w:rFonts w:ascii="Cambria Math" w:hAnsi="Cambria Math"/>
                  </w:rPr>
                  <m:t>dried SCG</m:t>
                </m:r>
              </m:sub>
            </m:sSub>
          </m:den>
        </m:f>
      </m:oMath>
      <w:r w:rsidR="00726623" w:rsidRPr="00726623">
        <w:t xml:space="preserve">        </w:t>
      </w:r>
      <w:r w:rsidR="00726623">
        <w:t xml:space="preserve">                                                                                                                                                (</w:t>
      </w:r>
      <w:r w:rsidR="00E61463">
        <w:t>1</w:t>
      </w:r>
      <w:r w:rsidR="00726623">
        <w:t>2)</w:t>
      </w:r>
      <w:r w:rsidR="00726623" w:rsidRPr="00726623">
        <w:t xml:space="preserve">                                                                                                                                      </w:t>
      </w:r>
    </w:p>
    <w:p w14:paraId="677EBFF0" w14:textId="00B10481" w:rsidR="00600535" w:rsidRPr="00B57B36" w:rsidRDefault="00A72B9B" w:rsidP="00600535">
      <w:pPr>
        <w:pStyle w:val="CETHeading1"/>
        <w:tabs>
          <w:tab w:val="clear" w:pos="360"/>
          <w:tab w:val="right" w:pos="7100"/>
        </w:tabs>
        <w:jc w:val="both"/>
        <w:rPr>
          <w:lang w:val="en-GB"/>
        </w:rPr>
      </w:pPr>
      <w:r>
        <w:rPr>
          <w:lang w:val="en-GB"/>
        </w:rPr>
        <w:t>Results</w:t>
      </w:r>
    </w:p>
    <w:p w14:paraId="04963A06" w14:textId="3A099545" w:rsidR="00600535" w:rsidRPr="00B57B36" w:rsidRDefault="002A7E5B" w:rsidP="00FA5F5F">
      <w:pPr>
        <w:pStyle w:val="CETheadingx"/>
      </w:pPr>
      <w:r>
        <w:t>Extractions yields and comparison</w:t>
      </w:r>
    </w:p>
    <w:p w14:paraId="530BE7C1" w14:textId="68E75BE7" w:rsidR="00594A37" w:rsidRPr="00B57B36" w:rsidRDefault="00594A37" w:rsidP="00831BEA">
      <w:pPr>
        <w:pStyle w:val="CETBodytext"/>
        <w:rPr>
          <w:lang w:val="en-GB"/>
        </w:rPr>
      </w:pPr>
      <w:r>
        <w:rPr>
          <w:lang w:val="en-GB"/>
        </w:rPr>
        <w:t xml:space="preserve">The highest TP </w:t>
      </w:r>
      <w:r w:rsidR="00DC4FE7">
        <w:rPr>
          <w:lang w:val="en-GB"/>
        </w:rPr>
        <w:t xml:space="preserve">yield </w:t>
      </w:r>
      <w:r w:rsidR="000954CC">
        <w:rPr>
          <w:lang w:val="en-GB"/>
        </w:rPr>
        <w:t>(</w:t>
      </w:r>
      <w:r w:rsidR="000954CC">
        <w:rPr>
          <w:rFonts w:cs="Arial"/>
          <w:szCs w:val="18"/>
          <w:lang w:val="en-GB"/>
        </w:rPr>
        <w:t>71.8 ± 4.9 mg</w:t>
      </w:r>
      <w:r w:rsidR="000954CC">
        <w:rPr>
          <w:rFonts w:cs="Arial"/>
          <w:szCs w:val="18"/>
          <w:vertAlign w:val="subscript"/>
          <w:lang w:val="en-GB"/>
        </w:rPr>
        <w:t>CAE</w:t>
      </w:r>
      <w:r w:rsidR="000954CC">
        <w:rPr>
          <w:rFonts w:cs="Arial"/>
          <w:szCs w:val="18"/>
          <w:lang w:val="en-GB"/>
        </w:rPr>
        <w:t>/g</w:t>
      </w:r>
      <w:r w:rsidR="000954CC">
        <w:rPr>
          <w:rFonts w:cs="Arial"/>
          <w:szCs w:val="18"/>
          <w:vertAlign w:val="subscript"/>
          <w:lang w:val="en-GB"/>
        </w:rPr>
        <w:t>SCG</w:t>
      </w:r>
      <w:r w:rsidR="000954CC">
        <w:rPr>
          <w:lang w:val="en-GB"/>
        </w:rPr>
        <w:t xml:space="preserve">) </w:t>
      </w:r>
      <w:r>
        <w:rPr>
          <w:lang w:val="en-GB"/>
        </w:rPr>
        <w:t xml:space="preserve">was obtained </w:t>
      </w:r>
      <w:r w:rsidR="001D3F28">
        <w:rPr>
          <w:lang w:val="en-GB"/>
        </w:rPr>
        <w:t>by</w:t>
      </w:r>
      <w:r>
        <w:rPr>
          <w:lang w:val="en-GB"/>
        </w:rPr>
        <w:t xml:space="preserve"> </w:t>
      </w:r>
      <w:r w:rsidR="001D3F28">
        <w:rPr>
          <w:lang w:val="en-GB"/>
        </w:rPr>
        <w:t>HPTE</w:t>
      </w:r>
      <w:r>
        <w:rPr>
          <w:lang w:val="en-GB"/>
        </w:rPr>
        <w:t xml:space="preserve"> at </w:t>
      </w:r>
      <w:r w:rsidR="001D3F28">
        <w:rPr>
          <w:lang w:val="en-GB"/>
        </w:rPr>
        <w:t>453 K and 1.6 MPa</w:t>
      </w:r>
      <w:r>
        <w:rPr>
          <w:lang w:val="en-GB"/>
        </w:rPr>
        <w:t xml:space="preserve"> and with ethanol 50% (v/v) as solvent</w:t>
      </w:r>
      <w:r w:rsidR="001E2041">
        <w:rPr>
          <w:lang w:val="en-GB"/>
        </w:rPr>
        <w:t xml:space="preserve">, so this performance was used as reference for </w:t>
      </w:r>
      <w:r w:rsidR="008A4F0F">
        <w:rPr>
          <w:lang w:val="en-GB"/>
        </w:rPr>
        <w:t>calculations.</w:t>
      </w:r>
      <w:r w:rsidR="001D3F28">
        <w:rPr>
          <w:rFonts w:cs="Arial"/>
          <w:szCs w:val="18"/>
          <w:lang w:val="en-GB"/>
        </w:rPr>
        <w:t xml:space="preserve"> </w:t>
      </w:r>
      <w:r w:rsidR="008A4F0F">
        <w:rPr>
          <w:rFonts w:cs="Arial"/>
          <w:szCs w:val="18"/>
          <w:lang w:val="en-GB"/>
        </w:rPr>
        <w:t>A</w:t>
      </w:r>
      <w:r w:rsidR="000954CC">
        <w:rPr>
          <w:rFonts w:cs="Arial"/>
          <w:szCs w:val="18"/>
          <w:lang w:val="en-GB"/>
        </w:rPr>
        <w:t>pproximately</w:t>
      </w:r>
      <w:r w:rsidR="00B30B2C">
        <w:rPr>
          <w:rFonts w:cs="Arial"/>
          <w:szCs w:val="18"/>
          <w:lang w:val="en-GB"/>
        </w:rPr>
        <w:t>,</w:t>
      </w:r>
      <w:r w:rsidR="000954CC">
        <w:rPr>
          <w:rFonts w:cs="Arial"/>
          <w:szCs w:val="18"/>
          <w:lang w:val="en-GB"/>
        </w:rPr>
        <w:t xml:space="preserve"> the same results were obtained </w:t>
      </w:r>
      <w:r w:rsidR="008A4F0F">
        <w:rPr>
          <w:rFonts w:cs="Arial"/>
          <w:szCs w:val="18"/>
          <w:lang w:val="en-GB"/>
        </w:rPr>
        <w:t>for RE under</w:t>
      </w:r>
      <w:r w:rsidR="000954CC">
        <w:rPr>
          <w:rFonts w:cs="Arial"/>
          <w:szCs w:val="18"/>
          <w:lang w:val="en-GB"/>
        </w:rPr>
        <w:t xml:space="preserve"> both the explored extraction conditions: 8.13 ± 0.21% and 8.42 ± 1.58% for </w:t>
      </w:r>
      <w:r w:rsidR="000954CC" w:rsidRPr="0098627F">
        <w:rPr>
          <w:rFonts w:cs="Arial"/>
          <w:i/>
          <w:iCs/>
          <w:szCs w:val="18"/>
          <w:lang w:val="en-GB"/>
        </w:rPr>
        <w:t>n</w:t>
      </w:r>
      <w:r w:rsidR="000954CC">
        <w:rPr>
          <w:rFonts w:cs="Arial"/>
          <w:szCs w:val="18"/>
          <w:lang w:val="en-GB"/>
        </w:rPr>
        <w:t>-hexane and petroleum ether, respectively.</w:t>
      </w:r>
    </w:p>
    <w:p w14:paraId="1F96CA21" w14:textId="06F58BF5" w:rsidR="00600535" w:rsidRDefault="00A72B9B" w:rsidP="00FA5F5F">
      <w:pPr>
        <w:pStyle w:val="CETheadingx"/>
      </w:pPr>
      <w:r>
        <w:t>Inherent safety assessment</w:t>
      </w:r>
    </w:p>
    <w:p w14:paraId="1EA20D5A" w14:textId="1EAD0354" w:rsidR="00AA29F4" w:rsidRPr="00B57B36" w:rsidRDefault="004609A1" w:rsidP="00AA29F4">
      <w:pPr>
        <w:pStyle w:val="CETBodytext"/>
      </w:pPr>
      <w:r>
        <w:t xml:space="preserve">The checklist procedure was carried out for each extraction alternative to qualitatively identify the weakest points to focus on during the score assignment step. </w:t>
      </w:r>
      <w:r w:rsidR="00F32063">
        <w:t>M</w:t>
      </w:r>
      <w:r>
        <w:t>ethanol</w:t>
      </w:r>
      <w:r w:rsidR="00AE5F30">
        <w:t xml:space="preserve"> was</w:t>
      </w:r>
      <w:r>
        <w:t xml:space="preserve"> the most hazardous</w:t>
      </w:r>
      <w:r w:rsidR="00F32063">
        <w:t xml:space="preserve"> solvent</w:t>
      </w:r>
      <w:r>
        <w:t xml:space="preserve"> in terms of flammability, explosiveness, toxicity, and corrosiveness</w:t>
      </w:r>
      <w:r w:rsidR="00C029A9">
        <w:t>, due to its lower boiling point and flashpoint and its broader explosive range</w:t>
      </w:r>
      <w:r>
        <w:t xml:space="preserve">. </w:t>
      </w:r>
      <w:r w:rsidR="00BB44D9">
        <w:t xml:space="preserve">At more severe conditions, the hazards of the chemicals </w:t>
      </w:r>
      <w:r w:rsidR="005A138D">
        <w:t xml:space="preserve">mainly </w:t>
      </w:r>
      <w:r w:rsidR="00BB44D9">
        <w:t>increase</w:t>
      </w:r>
      <w:r w:rsidR="00EF652F">
        <w:t>d</w:t>
      </w:r>
      <w:r w:rsidR="00BB44D9">
        <w:t xml:space="preserve"> </w:t>
      </w:r>
      <w:r w:rsidR="00F7050C">
        <w:t xml:space="preserve">using </w:t>
      </w:r>
      <w:r w:rsidR="00BB44D9">
        <w:t>HPTE</w:t>
      </w:r>
      <w:r w:rsidR="00C029A9">
        <w:t>, which exploits higher pressures and temperatures</w:t>
      </w:r>
      <w:r w:rsidR="00246114">
        <w:t>.</w:t>
      </w:r>
      <w:r w:rsidR="00BB44D9">
        <w:t xml:space="preserve"> MAE and UAE present additional hazards related to thermal, non-thermal, and acoustic impacts in the surrounding environment.</w:t>
      </w:r>
      <w:r w:rsidR="007F6C94">
        <w:t xml:space="preserve"> </w:t>
      </w:r>
      <w:r w:rsidR="00CE6554">
        <w:t xml:space="preserve">For each proposed antioxidant extraction technology, water was the </w:t>
      </w:r>
      <w:r w:rsidR="00C029A9">
        <w:t xml:space="preserve">safest </w:t>
      </w:r>
      <w:r w:rsidR="00CE6554">
        <w:t xml:space="preserve">solvent, since it led to </w:t>
      </w:r>
      <w:r w:rsidR="005A138D">
        <w:t xml:space="preserve">a </w:t>
      </w:r>
      <w:r w:rsidR="00CE6554">
        <w:t>lower I</w:t>
      </w:r>
      <w:r w:rsidR="00CE6554" w:rsidRPr="005D305A">
        <w:rPr>
          <w:vertAlign w:val="subscript"/>
        </w:rPr>
        <w:t>CI</w:t>
      </w:r>
      <w:r w:rsidR="00CE6554">
        <w:t xml:space="preserve"> and, consequently, I</w:t>
      </w:r>
      <w:r w:rsidR="00CE6554" w:rsidRPr="005D305A">
        <w:rPr>
          <w:vertAlign w:val="subscript"/>
        </w:rPr>
        <w:t>TI</w:t>
      </w:r>
      <w:r w:rsidR="00CE6554">
        <w:t xml:space="preserve">. </w:t>
      </w:r>
      <w:r w:rsidR="0030039A">
        <w:t xml:space="preserve">However, </w:t>
      </w:r>
      <w:r w:rsidR="008D1E2E">
        <w:t>solvent</w:t>
      </w:r>
      <w:r w:rsidR="0030039A">
        <w:t xml:space="preserve"> separation required an increased energy consumption, if compared to the use of other more volatile solvents, like methanol. The last one</w:t>
      </w:r>
      <w:r w:rsidR="00162D12">
        <w:t xml:space="preserve"> </w:t>
      </w:r>
      <w:r w:rsidR="00965F77">
        <w:t xml:space="preserve">demonstrated to be the most hazardous </w:t>
      </w:r>
      <w:r w:rsidR="0030039A">
        <w:t xml:space="preserve">extraction </w:t>
      </w:r>
      <w:r w:rsidR="00965F77">
        <w:t>solvent</w:t>
      </w:r>
      <w:r w:rsidR="00162D12">
        <w:t xml:space="preserve"> (Figure 1)</w:t>
      </w:r>
      <w:r w:rsidR="00965F77">
        <w:t>, as verified by the calculous of I</w:t>
      </w:r>
      <w:r w:rsidR="00965F77" w:rsidRPr="00965F77">
        <w:rPr>
          <w:vertAlign w:val="subscript"/>
        </w:rPr>
        <w:t>CI</w:t>
      </w:r>
      <w:r w:rsidR="00162D12">
        <w:t>. It</w:t>
      </w:r>
      <w:r w:rsidR="00965F77">
        <w:t xml:space="preserve"> also presented the highest score for I</w:t>
      </w:r>
      <w:r w:rsidR="00965F77">
        <w:rPr>
          <w:vertAlign w:val="subscript"/>
        </w:rPr>
        <w:t>TI</w:t>
      </w:r>
      <w:r w:rsidR="00965F77">
        <w:t>, if used in combination with HPTE at 453 K and 2.5 MPa. In fact, the severe operating conditions had a significant impact on I</w:t>
      </w:r>
      <w:r w:rsidR="00965F77" w:rsidRPr="00965F77">
        <w:rPr>
          <w:vertAlign w:val="subscript"/>
        </w:rPr>
        <w:t>PI</w:t>
      </w:r>
      <w:r w:rsidR="00965F77">
        <w:t>, as well as the equipment complexity, affecting I</w:t>
      </w:r>
      <w:r w:rsidR="00965F77" w:rsidRPr="00965F77">
        <w:rPr>
          <w:vertAlign w:val="subscript"/>
        </w:rPr>
        <w:t>EQ</w:t>
      </w:r>
      <w:r w:rsidR="00965F77">
        <w:t>.</w:t>
      </w:r>
      <w:r w:rsidR="00CE6554">
        <w:t xml:space="preserve"> </w:t>
      </w:r>
      <w:r w:rsidR="00864D1E">
        <w:t>Significant lower I</w:t>
      </w:r>
      <w:r w:rsidR="00864D1E">
        <w:rPr>
          <w:vertAlign w:val="subscript"/>
        </w:rPr>
        <w:t>T</w:t>
      </w:r>
      <w:r w:rsidR="00864D1E">
        <w:t xml:space="preserve"> and I</w:t>
      </w:r>
      <w:r w:rsidR="00864D1E" w:rsidRPr="0098627F">
        <w:rPr>
          <w:vertAlign w:val="subscript"/>
        </w:rPr>
        <w:t>P</w:t>
      </w:r>
      <w:r w:rsidR="00864D1E">
        <w:t xml:space="preserve"> scores were obtained by </w:t>
      </w:r>
      <w:r w:rsidR="00965F77">
        <w:t xml:space="preserve">applying the inherent safety </w:t>
      </w:r>
      <w:r w:rsidR="003E75B4">
        <w:t>guideword “</w:t>
      </w:r>
      <w:r w:rsidR="00965F77">
        <w:t>attenuation</w:t>
      </w:r>
      <w:r w:rsidR="003E75B4">
        <w:t>”</w:t>
      </w:r>
      <w:r w:rsidR="00864D1E">
        <w:t xml:space="preserve">: </w:t>
      </w:r>
      <w:r w:rsidR="007B65AB">
        <w:t>L</w:t>
      </w:r>
      <w:r w:rsidR="00CE6554">
        <w:t>ower temperature</w:t>
      </w:r>
      <w:r w:rsidR="00864D1E">
        <w:t>s</w:t>
      </w:r>
      <w:r w:rsidR="00CE6554">
        <w:t xml:space="preserve"> and pressure</w:t>
      </w:r>
      <w:r w:rsidR="00864D1E">
        <w:t>s</w:t>
      </w:r>
      <w:r w:rsidR="00CE6554">
        <w:t xml:space="preserve"> </w:t>
      </w:r>
      <w:r w:rsidR="001D125A">
        <w:t>than</w:t>
      </w:r>
      <w:r w:rsidR="00FA2A39">
        <w:t xml:space="preserve"> HPTE </w:t>
      </w:r>
      <w:r w:rsidR="004E7697">
        <w:t xml:space="preserve">were selected as optimal ones in </w:t>
      </w:r>
      <w:r w:rsidR="00CE6554">
        <w:t>MAE</w:t>
      </w:r>
      <w:r w:rsidR="00864D1E">
        <w:t xml:space="preserve">. </w:t>
      </w:r>
      <w:r w:rsidR="00CE6554">
        <w:t xml:space="preserve">However, </w:t>
      </w:r>
      <w:r w:rsidR="004E7697">
        <w:t xml:space="preserve">it should be remarked that </w:t>
      </w:r>
      <w:r w:rsidR="00CE6554">
        <w:t>the equipment complexity increased, due to the microwaves</w:t>
      </w:r>
      <w:r w:rsidR="001D125A">
        <w:t xml:space="preserve"> application</w:t>
      </w:r>
      <w:r w:rsidR="00CE6554">
        <w:t>.</w:t>
      </w:r>
      <w:r w:rsidR="00501621">
        <w:t xml:space="preserve"> </w:t>
      </w:r>
      <w:r w:rsidR="00E61463">
        <w:t xml:space="preserve">SLE was applied as a further alternative by a </w:t>
      </w:r>
      <w:r w:rsidR="00CE6554">
        <w:t xml:space="preserve">combination of the </w:t>
      </w:r>
      <w:r w:rsidR="00CD4998">
        <w:t>“</w:t>
      </w:r>
      <w:r w:rsidR="00CE6554">
        <w:t>attenuation</w:t>
      </w:r>
      <w:r w:rsidR="00CD4998">
        <w:t>”</w:t>
      </w:r>
      <w:r w:rsidR="00CE6554">
        <w:t xml:space="preserve"> and </w:t>
      </w:r>
      <w:r w:rsidR="00CD4998">
        <w:t>“</w:t>
      </w:r>
      <w:r w:rsidR="00CE6554">
        <w:t>simplification</w:t>
      </w:r>
      <w:r w:rsidR="00CD4998">
        <w:t>”</w:t>
      </w:r>
      <w:r w:rsidR="00CE6554">
        <w:t xml:space="preserve"> principl</w:t>
      </w:r>
      <w:r w:rsidR="00E61463">
        <w:t>es</w:t>
      </w:r>
      <w:r w:rsidR="00CE6554">
        <w:t>, leading to less hazardous operating conditions and a simple</w:t>
      </w:r>
      <w:r w:rsidR="00F355E6">
        <w:t>r</w:t>
      </w:r>
      <w:r w:rsidR="00CE6554">
        <w:t xml:space="preserve"> equipment. On the other hand, I</w:t>
      </w:r>
      <w:r w:rsidR="00CE6554" w:rsidRPr="00CE6554">
        <w:rPr>
          <w:vertAlign w:val="subscript"/>
        </w:rPr>
        <w:t>I</w:t>
      </w:r>
      <w:r w:rsidR="00CE6554">
        <w:t xml:space="preserve"> increased</w:t>
      </w:r>
      <w:r w:rsidR="00E61463">
        <w:t>, leading to the necessity of stor</w:t>
      </w:r>
      <w:r w:rsidR="005A138D">
        <w:t>ing</w:t>
      </w:r>
      <w:r w:rsidR="00E61463">
        <w:t xml:space="preserve"> and handl</w:t>
      </w:r>
      <w:r w:rsidR="005A138D">
        <w:t>ing</w:t>
      </w:r>
      <w:r w:rsidR="00E61463">
        <w:t xml:space="preserve"> </w:t>
      </w:r>
      <w:r w:rsidR="006D2CBE">
        <w:t>larger amount</w:t>
      </w:r>
      <w:r w:rsidR="00E61463">
        <w:t xml:space="preserve"> of chemical</w:t>
      </w:r>
      <w:r w:rsidR="005A138D">
        <w:t>s</w:t>
      </w:r>
      <w:r w:rsidR="00E61463">
        <w:t xml:space="preserve">. This </w:t>
      </w:r>
      <w:r w:rsidR="001977FB">
        <w:t xml:space="preserve">finding is connected to </w:t>
      </w:r>
      <w:r w:rsidR="00CE6554">
        <w:t xml:space="preserve">the higher inlet flow rates with respect to those of HPTE, where the </w:t>
      </w:r>
      <w:r w:rsidR="001977FB">
        <w:t>guideword</w:t>
      </w:r>
      <w:r w:rsidR="00CE6554">
        <w:t xml:space="preserve"> </w:t>
      </w:r>
      <w:r w:rsidR="001977FB">
        <w:t>“</w:t>
      </w:r>
      <w:r w:rsidR="00CE6554">
        <w:t>intensification</w:t>
      </w:r>
      <w:r w:rsidR="001977FB">
        <w:t>”</w:t>
      </w:r>
      <w:r w:rsidR="00CE6554">
        <w:t xml:space="preserve"> was </w:t>
      </w:r>
      <w:r w:rsidR="001977FB">
        <w:t xml:space="preserve">fully </w:t>
      </w:r>
      <w:r w:rsidR="00CE6554">
        <w:t>applied.</w:t>
      </w:r>
      <w:r w:rsidR="00E61463">
        <w:t xml:space="preserve"> </w:t>
      </w:r>
      <w:r w:rsidR="001977FB">
        <w:t>SLE carried out with water, as a substitute of methanol and ethanol, was finally individuated as the safest alternative, but not the most economic and technical solution due to the low extraction yield, the large volume of equipment requires, and the lower volatility of the solvent to be separated from the compounds of interest.</w:t>
      </w:r>
      <w:r w:rsidR="00AA29F4">
        <w:t xml:space="preserve"> Once the antioxidants were recovered, the obtained solid residues were further treated to extract.</w:t>
      </w:r>
      <w:r w:rsidR="00AA29F4" w:rsidRPr="00AA29F4">
        <w:t xml:space="preserve"> </w:t>
      </w:r>
      <w:r w:rsidR="00AA29F4">
        <w:t>Extraction of lipids were carried out by using the same process equipment at similar operating conditions with petroleum ether and n-hexane as solvents. The final I</w:t>
      </w:r>
      <w:r w:rsidR="00AA29F4" w:rsidRPr="0058119A">
        <w:rPr>
          <w:vertAlign w:val="subscript"/>
        </w:rPr>
        <w:t>TI</w:t>
      </w:r>
      <w:r w:rsidR="00AA29F4">
        <w:t xml:space="preserve"> were affected only in terms of inventory, since petroleum ether required a higher inlet flow rate.</w:t>
      </w:r>
    </w:p>
    <w:p w14:paraId="3FAAF159" w14:textId="7488E919" w:rsidR="00B809EF" w:rsidRDefault="00B809EF" w:rsidP="006C33AD">
      <w:pPr>
        <w:pStyle w:val="CETBodytext"/>
      </w:pPr>
    </w:p>
    <w:p w14:paraId="4FDDF684" w14:textId="150C96B2" w:rsidR="00B809EF" w:rsidRPr="00BD077D" w:rsidRDefault="00D33B45" w:rsidP="00CA3C80">
      <w:pPr>
        <w:pStyle w:val="CETCaption"/>
      </w:pPr>
      <w:r>
        <w:rPr>
          <w:noProof/>
        </w:rPr>
        <w:lastRenderedPageBreak/>
        <w:drawing>
          <wp:anchor distT="0" distB="0" distL="114300" distR="114300" simplePos="0" relativeHeight="251658240" behindDoc="1" locked="0" layoutInCell="1" allowOverlap="1" wp14:anchorId="126186A9" wp14:editId="43529BC2">
            <wp:simplePos x="0" y="0"/>
            <wp:positionH relativeFrom="margin">
              <wp:align>left</wp:align>
            </wp:positionH>
            <wp:positionV relativeFrom="paragraph">
              <wp:posOffset>57</wp:posOffset>
            </wp:positionV>
            <wp:extent cx="3679190" cy="1432560"/>
            <wp:effectExtent l="0" t="0" r="16510" b="15240"/>
            <wp:wrapTopAndBottom/>
            <wp:docPr id="155615249" name="Grafico 1">
              <a:extLst xmlns:a="http://schemas.openxmlformats.org/drawingml/2006/main">
                <a:ext uri="{FF2B5EF4-FFF2-40B4-BE49-F238E27FC236}">
                  <a16:creationId xmlns:a16="http://schemas.microsoft.com/office/drawing/2014/main" id="{F83590F8-2498-7294-0D57-ABD4D580D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809EF" w:rsidRPr="00BD077D">
        <w:rPr>
          <w:rStyle w:val="CETCaptionCarattere"/>
          <w:i/>
        </w:rPr>
        <w:t xml:space="preserve">Figure 1: </w:t>
      </w:r>
      <w:r w:rsidR="00B809EF">
        <w:rPr>
          <w:rStyle w:val="CETCaptionCarattere"/>
          <w:i/>
        </w:rPr>
        <w:t>I</w:t>
      </w:r>
      <w:r w:rsidR="00B809EF" w:rsidRPr="00857368">
        <w:rPr>
          <w:rStyle w:val="CETCaptionCarattere"/>
          <w:i/>
          <w:vertAlign w:val="subscript"/>
        </w:rPr>
        <w:t>CI</w:t>
      </w:r>
      <w:r w:rsidR="00B809EF">
        <w:rPr>
          <w:rStyle w:val="CETCaptionCarattere"/>
          <w:i/>
        </w:rPr>
        <w:t xml:space="preserve"> and I</w:t>
      </w:r>
      <w:r w:rsidR="00B809EF" w:rsidRPr="00857368">
        <w:rPr>
          <w:rStyle w:val="CETCaptionCarattere"/>
          <w:i/>
          <w:vertAlign w:val="subscript"/>
        </w:rPr>
        <w:t>PI</w:t>
      </w:r>
      <w:r w:rsidR="00B809EF">
        <w:rPr>
          <w:rStyle w:val="CETCaptionCarattere"/>
          <w:i/>
        </w:rPr>
        <w:t xml:space="preserve"> for SLE, HPTE, and MAE with methanol</w:t>
      </w:r>
      <w:r w:rsidR="00B809EF">
        <w:t xml:space="preserve"> as solvent</w:t>
      </w:r>
      <w:r w:rsidR="00CC186D">
        <w:t>.</w:t>
      </w:r>
    </w:p>
    <w:p w14:paraId="68D26B83" w14:textId="77777777" w:rsidR="00600535" w:rsidRPr="00B57B36" w:rsidRDefault="00600535" w:rsidP="00600535">
      <w:pPr>
        <w:pStyle w:val="CETHeading1"/>
        <w:rPr>
          <w:lang w:val="en-GB"/>
        </w:rPr>
      </w:pPr>
      <w:r w:rsidRPr="00B57B36">
        <w:rPr>
          <w:lang w:val="en-GB"/>
        </w:rPr>
        <w:t>Conclusions</w:t>
      </w:r>
    </w:p>
    <w:p w14:paraId="5108473C" w14:textId="4427682C" w:rsidR="009117D4" w:rsidRDefault="00CF7CB8" w:rsidP="00F355E6">
      <w:pPr>
        <w:pStyle w:val="CETBodytext"/>
      </w:pPr>
      <w:r>
        <w:rPr>
          <w:lang w:val="en-GB"/>
        </w:rPr>
        <w:t>Within the broad context of energy transition, i</w:t>
      </w:r>
      <w:r w:rsidR="00601C44">
        <w:rPr>
          <w:lang w:val="en-GB"/>
        </w:rPr>
        <w:t>n this study, SCGs were valorised by recovering antioxidant</w:t>
      </w:r>
      <w:r w:rsidR="00CD4998">
        <w:rPr>
          <w:lang w:val="en-GB"/>
        </w:rPr>
        <w:t>s</w:t>
      </w:r>
      <w:r w:rsidR="00601C44">
        <w:rPr>
          <w:lang w:val="en-GB"/>
        </w:rPr>
        <w:t xml:space="preserve"> </w:t>
      </w:r>
      <w:r w:rsidR="00896DEC">
        <w:rPr>
          <w:lang w:val="en-GB"/>
        </w:rPr>
        <w:t>and</w:t>
      </w:r>
      <w:r w:rsidR="00601C44">
        <w:rPr>
          <w:lang w:val="en-GB"/>
        </w:rPr>
        <w:t xml:space="preserve"> </w:t>
      </w:r>
      <w:r w:rsidR="00896DEC">
        <w:rPr>
          <w:lang w:val="en-GB"/>
        </w:rPr>
        <w:t>lipids</w:t>
      </w:r>
      <w:r w:rsidR="00601C44">
        <w:rPr>
          <w:lang w:val="en-GB"/>
        </w:rPr>
        <w:t xml:space="preserve">. Starting from experimental data, an inherent safety </w:t>
      </w:r>
      <w:r w:rsidR="00896DEC">
        <w:rPr>
          <w:lang w:val="en-GB"/>
        </w:rPr>
        <w:t>index</w:t>
      </w:r>
      <w:r w:rsidR="003E60A9">
        <w:rPr>
          <w:lang w:val="en-GB"/>
        </w:rPr>
        <w:t xml:space="preserve"> was developed to compare</w:t>
      </w:r>
      <w:r w:rsidR="00896DEC">
        <w:rPr>
          <w:lang w:val="en-GB"/>
        </w:rPr>
        <w:t xml:space="preserve"> </w:t>
      </w:r>
      <w:r w:rsidR="00601C44">
        <w:rPr>
          <w:lang w:val="en-GB"/>
        </w:rPr>
        <w:t xml:space="preserve">different extraction techniques in terms of chemicals, process conditions, and equipment. </w:t>
      </w:r>
      <w:r w:rsidR="00157997">
        <w:rPr>
          <w:lang w:val="en-GB"/>
        </w:rPr>
        <w:t>Solvent</w:t>
      </w:r>
      <w:r w:rsidR="00F355E6">
        <w:rPr>
          <w:lang w:val="en-GB"/>
        </w:rPr>
        <w:t xml:space="preserve"> selection</w:t>
      </w:r>
      <w:r w:rsidR="00157997">
        <w:rPr>
          <w:lang w:val="en-GB"/>
        </w:rPr>
        <w:t xml:space="preserve"> and operating conditions</w:t>
      </w:r>
      <w:r w:rsidR="0064542A">
        <w:rPr>
          <w:lang w:val="en-GB"/>
        </w:rPr>
        <w:t xml:space="preserve"> are the aspects mainly impacting the</w:t>
      </w:r>
      <w:r w:rsidR="00F355E6">
        <w:rPr>
          <w:lang w:val="en-GB"/>
        </w:rPr>
        <w:t xml:space="preserve"> IS</w:t>
      </w:r>
      <w:r w:rsidR="0064542A">
        <w:rPr>
          <w:lang w:val="en-GB"/>
        </w:rPr>
        <w:t xml:space="preserve"> index value. </w:t>
      </w:r>
      <w:r w:rsidR="00F355E6">
        <w:rPr>
          <w:lang w:val="en-GB"/>
        </w:rPr>
        <w:t>F</w:t>
      </w:r>
      <w:r w:rsidR="00F355E6" w:rsidRPr="00F355E6">
        <w:rPr>
          <w:lang w:val="en-GB"/>
        </w:rPr>
        <w:t>urther step</w:t>
      </w:r>
      <w:r w:rsidR="00F355E6">
        <w:rPr>
          <w:lang w:val="en-GB"/>
        </w:rPr>
        <w:t xml:space="preserve">s include extending the approach to occupational safety indices, e.g., to evaluate </w:t>
      </w:r>
      <w:r w:rsidR="00F355E6">
        <w:t xml:space="preserve">the non-thermal effect of cavitation and the ultrasonically induced heating, as well as </w:t>
      </w:r>
      <w:r w:rsidR="00F355E6" w:rsidRPr="00F355E6">
        <w:rPr>
          <w:lang w:val="en-GB"/>
        </w:rPr>
        <w:t>investigat</w:t>
      </w:r>
      <w:r w:rsidR="00F355E6">
        <w:rPr>
          <w:lang w:val="en-GB"/>
        </w:rPr>
        <w:t>ing</w:t>
      </w:r>
      <w:r w:rsidR="00F355E6" w:rsidRPr="00F355E6">
        <w:rPr>
          <w:lang w:val="en-GB"/>
        </w:rPr>
        <w:t xml:space="preserve"> the trade-off between the safety level and the costs connected to the process</w:t>
      </w:r>
      <w:r w:rsidR="00AE5E6D">
        <w:t>.</w:t>
      </w:r>
    </w:p>
    <w:p w14:paraId="1425C4C9" w14:textId="77777777" w:rsidR="00501621" w:rsidRPr="00630D2B" w:rsidRDefault="00501621" w:rsidP="00501621">
      <w:pPr>
        <w:pStyle w:val="CETAcknowledgementstitle"/>
      </w:pPr>
      <w:r w:rsidRPr="00630D2B">
        <w:t>Acknowledgments</w:t>
      </w:r>
    </w:p>
    <w:p w14:paraId="669E01EE" w14:textId="6DFD575E" w:rsidR="00B9363A" w:rsidRDefault="00501621" w:rsidP="00501621">
      <w:pPr>
        <w:pStyle w:val="CETBodytext"/>
        <w:rPr>
          <w:lang w:val="en-GB"/>
        </w:rPr>
      </w:pPr>
      <w:r w:rsidRPr="00630D2B">
        <w:rPr>
          <w:lang w:val="en-GB"/>
        </w:rPr>
        <w:t xml:space="preserve">The authors gratefully acknowledge </w:t>
      </w:r>
      <w:r w:rsidR="00B131AD">
        <w:rPr>
          <w:lang w:val="en-GB"/>
        </w:rPr>
        <w:t xml:space="preserve">partial </w:t>
      </w:r>
      <w:r w:rsidRPr="00630D2B">
        <w:rPr>
          <w:lang w:val="en-GB"/>
        </w:rPr>
        <w:t>funding by INAIL</w:t>
      </w:r>
      <w:r w:rsidR="00B131AD">
        <w:rPr>
          <w:lang w:val="en-GB"/>
        </w:rPr>
        <w:t>,</w:t>
      </w:r>
      <w:r w:rsidRPr="00630D2B">
        <w:rPr>
          <w:lang w:val="en-GB"/>
        </w:rPr>
        <w:t xml:space="preserve"> within the framework of the call BRIC/2021/ID3 (Project DRIVERS- </w:t>
      </w:r>
      <w:proofErr w:type="spellStart"/>
      <w:r w:rsidRPr="00630D2B">
        <w:rPr>
          <w:lang w:val="en-GB"/>
        </w:rPr>
        <w:t>Approccio</w:t>
      </w:r>
      <w:proofErr w:type="spellEnd"/>
      <w:r w:rsidRPr="00630D2B">
        <w:rPr>
          <w:lang w:val="en-GB"/>
        </w:rPr>
        <w:t xml:space="preserve"> </w:t>
      </w:r>
      <w:proofErr w:type="spellStart"/>
      <w:r w:rsidRPr="00630D2B">
        <w:rPr>
          <w:lang w:val="en-GB"/>
        </w:rPr>
        <w:t>combinato</w:t>
      </w:r>
      <w:proofErr w:type="spellEnd"/>
      <w:r w:rsidRPr="00630D2B">
        <w:rPr>
          <w:lang w:val="en-GB"/>
        </w:rPr>
        <w:t xml:space="preserve"> data</w:t>
      </w:r>
      <w:r w:rsidRPr="00630D2B">
        <w:rPr>
          <w:rFonts w:ascii="Cambria Math" w:hAnsi="Cambria Math" w:cs="Cambria Math"/>
          <w:lang w:val="en-GB"/>
        </w:rPr>
        <w:t>‐</w:t>
      </w:r>
      <w:r w:rsidRPr="00630D2B">
        <w:rPr>
          <w:lang w:val="en-GB"/>
        </w:rPr>
        <w:t>driven ed experience</w:t>
      </w:r>
      <w:r w:rsidRPr="00630D2B">
        <w:rPr>
          <w:rFonts w:ascii="Cambria Math" w:hAnsi="Cambria Math" w:cs="Cambria Math"/>
          <w:lang w:val="en-GB"/>
        </w:rPr>
        <w:t>‐</w:t>
      </w:r>
      <w:r w:rsidRPr="00630D2B">
        <w:rPr>
          <w:lang w:val="en-GB"/>
        </w:rPr>
        <w:t xml:space="preserve">driven </w:t>
      </w:r>
      <w:proofErr w:type="spellStart"/>
      <w:r w:rsidRPr="00630D2B">
        <w:rPr>
          <w:lang w:val="en-GB"/>
        </w:rPr>
        <w:t>all</w:t>
      </w:r>
      <w:r w:rsidRPr="00630D2B">
        <w:rPr>
          <w:rFonts w:cs="Arial"/>
          <w:lang w:val="en-GB"/>
        </w:rPr>
        <w:t>’</w:t>
      </w:r>
      <w:r w:rsidRPr="00630D2B">
        <w:rPr>
          <w:lang w:val="en-GB"/>
        </w:rPr>
        <w:t>analisi</w:t>
      </w:r>
      <w:proofErr w:type="spellEnd"/>
      <w:r w:rsidRPr="00630D2B">
        <w:rPr>
          <w:lang w:val="en-GB"/>
        </w:rPr>
        <w:t xml:space="preserve"> del </w:t>
      </w:r>
      <w:proofErr w:type="spellStart"/>
      <w:r w:rsidRPr="00630D2B">
        <w:rPr>
          <w:lang w:val="en-GB"/>
        </w:rPr>
        <w:t>rischio</w:t>
      </w:r>
      <w:proofErr w:type="spellEnd"/>
      <w:r w:rsidRPr="00630D2B">
        <w:rPr>
          <w:lang w:val="en-GB"/>
        </w:rPr>
        <w:t xml:space="preserve"> </w:t>
      </w:r>
      <w:proofErr w:type="spellStart"/>
      <w:r w:rsidRPr="00630D2B">
        <w:rPr>
          <w:lang w:val="en-GB"/>
        </w:rPr>
        <w:t>sistemico</w:t>
      </w:r>
      <w:proofErr w:type="spellEnd"/>
      <w:r w:rsidRPr="00630D2B">
        <w:rPr>
          <w:lang w:val="en-GB"/>
        </w:rPr>
        <w:t>)</w:t>
      </w:r>
      <w:r>
        <w:rPr>
          <w:lang w:val="en-GB"/>
        </w:rPr>
        <w:t>.</w:t>
      </w:r>
    </w:p>
    <w:p w14:paraId="4F1327F8" w14:textId="77777777" w:rsidR="00600535" w:rsidRPr="002021DF" w:rsidRDefault="00600535" w:rsidP="00600535">
      <w:pPr>
        <w:pStyle w:val="CETReference"/>
        <w:rPr>
          <w:lang w:val="en-US"/>
        </w:rPr>
      </w:pPr>
      <w:r w:rsidRPr="002021DF">
        <w:rPr>
          <w:lang w:val="en-US"/>
        </w:rPr>
        <w:t>References</w:t>
      </w:r>
    </w:p>
    <w:p w14:paraId="3FD82F6B" w14:textId="77A33F90" w:rsidR="002E0250" w:rsidRDefault="002E0250" w:rsidP="002E0250">
      <w:pPr>
        <w:pStyle w:val="CETReferencetext"/>
        <w:rPr>
          <w:lang w:val="en-US"/>
        </w:rPr>
      </w:pPr>
      <w:r>
        <w:rPr>
          <w:lang w:val="en-US"/>
        </w:rPr>
        <w:t xml:space="preserve">Athar M., Shariff A.M., Buang A., </w:t>
      </w:r>
      <w:r w:rsidRPr="002E0250">
        <w:rPr>
          <w:lang w:val="en-US"/>
        </w:rPr>
        <w:t>Hermansyah</w:t>
      </w:r>
      <w:r>
        <w:rPr>
          <w:lang w:val="en-US"/>
        </w:rPr>
        <w:t xml:space="preserve"> H., 2019, </w:t>
      </w:r>
      <w:r w:rsidRPr="002E0250">
        <w:rPr>
          <w:lang w:val="en-US"/>
        </w:rPr>
        <w:t>Equipment-based route index of inherent safety</w:t>
      </w:r>
      <w:r>
        <w:rPr>
          <w:lang w:val="en-US"/>
        </w:rPr>
        <w:t>, Process Safety Progress, 39.</w:t>
      </w:r>
    </w:p>
    <w:p w14:paraId="4BEAE503" w14:textId="55E84F8D" w:rsidR="00FB262D" w:rsidRDefault="00FB262D" w:rsidP="002E0250">
      <w:pPr>
        <w:pStyle w:val="CETReferencetext"/>
        <w:rPr>
          <w:lang w:val="en-US"/>
        </w:rPr>
      </w:pPr>
      <w:r w:rsidRPr="006D0745">
        <w:rPr>
          <w:lang w:val="it-IT"/>
        </w:rPr>
        <w:t>Bassani A., Vianello C., Mocellin P., Dell’Angelo A., Spigno G., Fabiano B., Maschio G., Manenti F</w:t>
      </w:r>
      <w:r w:rsidR="008165D1">
        <w:rPr>
          <w:lang w:val="it-IT"/>
        </w:rPr>
        <w:t>,</w:t>
      </w:r>
      <w:r w:rsidRPr="006D0745">
        <w:rPr>
          <w:lang w:val="it-IT"/>
        </w:rPr>
        <w:t xml:space="preserve"> 2023. </w:t>
      </w:r>
      <w:r w:rsidRPr="00FB262D">
        <w:rPr>
          <w:lang w:val="en-US"/>
        </w:rPr>
        <w:t xml:space="preserve">Aprioristic </w:t>
      </w:r>
      <w:r w:rsidR="00823733">
        <w:rPr>
          <w:lang w:val="en-US"/>
        </w:rPr>
        <w:t>i</w:t>
      </w:r>
      <w:r w:rsidRPr="00FB262D">
        <w:rPr>
          <w:lang w:val="en-US"/>
        </w:rPr>
        <w:t xml:space="preserve">ntegration of </w:t>
      </w:r>
      <w:r w:rsidR="00823733">
        <w:rPr>
          <w:lang w:val="en-US"/>
        </w:rPr>
        <w:t>p</w:t>
      </w:r>
      <w:r w:rsidRPr="00FB262D">
        <w:rPr>
          <w:lang w:val="en-US"/>
        </w:rPr>
        <w:t xml:space="preserve">rocess </w:t>
      </w:r>
      <w:r w:rsidR="00823733">
        <w:rPr>
          <w:lang w:val="en-US"/>
        </w:rPr>
        <w:t>o</w:t>
      </w:r>
      <w:r w:rsidRPr="00FB262D">
        <w:rPr>
          <w:lang w:val="en-US"/>
        </w:rPr>
        <w:t xml:space="preserve">perations and </w:t>
      </w:r>
      <w:r w:rsidR="00823733">
        <w:rPr>
          <w:lang w:val="en-US"/>
        </w:rPr>
        <w:t>r</w:t>
      </w:r>
      <w:r w:rsidRPr="00FB262D">
        <w:rPr>
          <w:lang w:val="en-US"/>
        </w:rPr>
        <w:t xml:space="preserve">isk </w:t>
      </w:r>
      <w:r w:rsidR="00823733">
        <w:rPr>
          <w:lang w:val="en-US"/>
        </w:rPr>
        <w:t>a</w:t>
      </w:r>
      <w:r w:rsidRPr="00FB262D">
        <w:rPr>
          <w:lang w:val="en-US"/>
        </w:rPr>
        <w:t xml:space="preserve">nalysis: Definition of the </w:t>
      </w:r>
      <w:r w:rsidR="00823733">
        <w:rPr>
          <w:lang w:val="en-US"/>
        </w:rPr>
        <w:t>w</w:t>
      </w:r>
      <w:r w:rsidRPr="00FB262D">
        <w:rPr>
          <w:lang w:val="en-US"/>
        </w:rPr>
        <w:t>eighted F&amp;EI-</w:t>
      </w:r>
      <w:r w:rsidR="00823733">
        <w:rPr>
          <w:lang w:val="en-US"/>
        </w:rPr>
        <w:t>b</w:t>
      </w:r>
      <w:r w:rsidRPr="00FB262D">
        <w:rPr>
          <w:lang w:val="en-US"/>
        </w:rPr>
        <w:t xml:space="preserve">ased </w:t>
      </w:r>
      <w:r w:rsidR="00823733">
        <w:rPr>
          <w:lang w:val="en-US"/>
        </w:rPr>
        <w:t>c</w:t>
      </w:r>
      <w:r w:rsidRPr="00FB262D">
        <w:rPr>
          <w:lang w:val="en-US"/>
        </w:rPr>
        <w:t xml:space="preserve">oncept and </w:t>
      </w:r>
      <w:r w:rsidR="00823733">
        <w:rPr>
          <w:lang w:val="en-US"/>
        </w:rPr>
        <w:t>a</w:t>
      </w:r>
      <w:r w:rsidRPr="00FB262D">
        <w:rPr>
          <w:lang w:val="en-US"/>
        </w:rPr>
        <w:t xml:space="preserve">pplication to AG2S </w:t>
      </w:r>
      <w:r w:rsidR="00823733">
        <w:rPr>
          <w:lang w:val="en-US"/>
        </w:rPr>
        <w:t>t</w:t>
      </w:r>
      <w:r w:rsidRPr="00FB262D">
        <w:rPr>
          <w:lang w:val="en-US"/>
        </w:rPr>
        <w:t>echnology</w:t>
      </w:r>
      <w:r w:rsidR="008165D1">
        <w:rPr>
          <w:lang w:val="en-US"/>
        </w:rPr>
        <w:t>,</w:t>
      </w:r>
      <w:r w:rsidRPr="00FB262D">
        <w:rPr>
          <w:lang w:val="en-US"/>
        </w:rPr>
        <w:t xml:space="preserve"> </w:t>
      </w:r>
      <w:r w:rsidR="000F3983" w:rsidRPr="000F3983">
        <w:rPr>
          <w:lang w:val="en-US"/>
        </w:rPr>
        <w:t>Ind. Eng. Chem. Res.</w:t>
      </w:r>
      <w:r w:rsidR="000F3983">
        <w:rPr>
          <w:lang w:val="en-US"/>
        </w:rPr>
        <w:t xml:space="preserve">, </w:t>
      </w:r>
      <w:r w:rsidRPr="00FB262D">
        <w:rPr>
          <w:lang w:val="en-US"/>
        </w:rPr>
        <w:t>62, 500-510.</w:t>
      </w:r>
    </w:p>
    <w:p w14:paraId="70E411DE" w14:textId="1C95F4AC" w:rsidR="004D144D" w:rsidRPr="002E0250" w:rsidRDefault="004D144D" w:rsidP="002E0250">
      <w:pPr>
        <w:pStyle w:val="CETReferencetext"/>
        <w:rPr>
          <w:lang w:val="en-US"/>
        </w:rPr>
      </w:pPr>
      <w:r w:rsidRPr="002E0250">
        <w:rPr>
          <w:lang w:val="en-US"/>
        </w:rPr>
        <w:t xml:space="preserve">Fabiano B., </w:t>
      </w:r>
      <w:proofErr w:type="spellStart"/>
      <w:r w:rsidR="002E0250" w:rsidRPr="002E0250">
        <w:rPr>
          <w:lang w:val="en-US"/>
        </w:rPr>
        <w:t>Reverberi</w:t>
      </w:r>
      <w:proofErr w:type="spellEnd"/>
      <w:r w:rsidR="002E0250" w:rsidRPr="002E0250">
        <w:rPr>
          <w:lang w:val="en-US"/>
        </w:rPr>
        <w:t xml:space="preserve"> A.P., </w:t>
      </w:r>
      <w:proofErr w:type="spellStart"/>
      <w:r w:rsidR="002E0250" w:rsidRPr="002E0250">
        <w:rPr>
          <w:lang w:val="en-US"/>
        </w:rPr>
        <w:t>Verbanov</w:t>
      </w:r>
      <w:proofErr w:type="spellEnd"/>
      <w:r w:rsidR="002E0250" w:rsidRPr="002E0250">
        <w:rPr>
          <w:lang w:val="en-US"/>
        </w:rPr>
        <w:t xml:space="preserve"> P.S., 2019, Safety opportunities for the synthesis of metal nanoparticles and</w:t>
      </w:r>
      <w:r w:rsidR="002E0250">
        <w:rPr>
          <w:lang w:val="en-US"/>
        </w:rPr>
        <w:t xml:space="preserve"> </w:t>
      </w:r>
      <w:r w:rsidR="002E0250" w:rsidRPr="002E0250">
        <w:rPr>
          <w:lang w:val="en-US"/>
        </w:rPr>
        <w:t>short-cut approach to workplace risk evaluation</w:t>
      </w:r>
      <w:r w:rsidR="002E0250">
        <w:rPr>
          <w:lang w:val="en-US"/>
        </w:rPr>
        <w:t xml:space="preserve">, </w:t>
      </w:r>
      <w:r w:rsidR="002E0250" w:rsidRPr="002E0250">
        <w:rPr>
          <w:lang w:val="en-US"/>
        </w:rPr>
        <w:t>Journal of Cleaner Production</w:t>
      </w:r>
      <w:r w:rsidR="002E0250">
        <w:rPr>
          <w:lang w:val="en-US"/>
        </w:rPr>
        <w:t>, 209, 297-308.</w:t>
      </w:r>
    </w:p>
    <w:p w14:paraId="5EE9A072" w14:textId="39BBB38E" w:rsidR="004D144D" w:rsidRDefault="004D144D" w:rsidP="004D144D">
      <w:pPr>
        <w:pStyle w:val="CETReferencetext"/>
        <w:rPr>
          <w:lang w:val="en-US"/>
        </w:rPr>
      </w:pPr>
      <w:proofErr w:type="spellStart"/>
      <w:r w:rsidRPr="004D144D">
        <w:rPr>
          <w:lang w:val="en-US"/>
        </w:rPr>
        <w:t>Frosi</w:t>
      </w:r>
      <w:proofErr w:type="spellEnd"/>
      <w:r w:rsidRPr="004D144D">
        <w:rPr>
          <w:lang w:val="en-US"/>
        </w:rPr>
        <w:t xml:space="preserve"> I., Montagna I., Colombo R., Milanese C., Papetti A., 2021, Recovery of Chlorogenic Acids from Agri-Food Wastes:</w:t>
      </w:r>
      <w:r>
        <w:rPr>
          <w:lang w:val="en-US"/>
        </w:rPr>
        <w:t xml:space="preserve"> </w:t>
      </w:r>
      <w:r w:rsidRPr="004D144D">
        <w:rPr>
          <w:lang w:val="en-US"/>
        </w:rPr>
        <w:t>Updates on Green Extraction Techniques</w:t>
      </w:r>
      <w:r>
        <w:rPr>
          <w:lang w:val="en-US"/>
        </w:rPr>
        <w:t>, 26.</w:t>
      </w:r>
    </w:p>
    <w:p w14:paraId="293E5F9F" w14:textId="18FEC34D" w:rsidR="002E0250" w:rsidRDefault="002E0250" w:rsidP="002E0250">
      <w:pPr>
        <w:pStyle w:val="CETReferencetext"/>
        <w:rPr>
          <w:lang w:val="en-US"/>
        </w:rPr>
      </w:pPr>
      <w:r w:rsidRPr="002E0250">
        <w:rPr>
          <w:lang w:val="en-US"/>
        </w:rPr>
        <w:t>Heikkilä A.M., 1999</w:t>
      </w:r>
      <w:r>
        <w:rPr>
          <w:lang w:val="en-US"/>
        </w:rPr>
        <w:t>,</w:t>
      </w:r>
      <w:r w:rsidRPr="002E0250">
        <w:rPr>
          <w:lang w:val="en-US"/>
        </w:rPr>
        <w:t xml:space="preserve"> Inherent safety in process plant design. An index-based approach</w:t>
      </w:r>
      <w:r>
        <w:rPr>
          <w:lang w:val="en-US"/>
        </w:rPr>
        <w:t>,</w:t>
      </w:r>
      <w:r w:rsidRPr="002E0250">
        <w:rPr>
          <w:lang w:val="en-US"/>
        </w:rPr>
        <w:t xml:space="preserve"> VTT Publ.</w:t>
      </w:r>
      <w:r>
        <w:rPr>
          <w:lang w:val="en-US"/>
        </w:rPr>
        <w:t xml:space="preserve"> </w:t>
      </w:r>
      <w:r w:rsidRPr="002E0250">
        <w:rPr>
          <w:lang w:val="en-US"/>
        </w:rPr>
        <w:t>Hollnagel</w:t>
      </w:r>
      <w:r w:rsidR="00E92843">
        <w:rPr>
          <w:lang w:val="en-US"/>
        </w:rPr>
        <w:t>.</w:t>
      </w:r>
    </w:p>
    <w:p w14:paraId="54ACCDCB" w14:textId="42E561C0" w:rsidR="00BF098E" w:rsidRDefault="00BF098E" w:rsidP="00BF098E">
      <w:pPr>
        <w:pStyle w:val="CETReferencetext"/>
        <w:rPr>
          <w:lang w:val="en-US"/>
        </w:rPr>
      </w:pPr>
      <w:r w:rsidRPr="00BF098E">
        <w:rPr>
          <w:lang w:val="en-US"/>
        </w:rPr>
        <w:t xml:space="preserve">Hristova M., </w:t>
      </w:r>
      <w:proofErr w:type="spellStart"/>
      <w:r w:rsidRPr="00BF098E">
        <w:rPr>
          <w:lang w:val="en-US"/>
        </w:rPr>
        <w:t>Damgaliev</w:t>
      </w:r>
      <w:proofErr w:type="spellEnd"/>
      <w:r w:rsidRPr="00BF098E">
        <w:rPr>
          <w:lang w:val="en-US"/>
        </w:rPr>
        <w:t xml:space="preserve"> D., Hristov J., 2011, </w:t>
      </w:r>
      <w:r>
        <w:rPr>
          <w:lang w:val="en-US"/>
        </w:rPr>
        <w:t>P</w:t>
      </w:r>
      <w:r w:rsidRPr="00BF098E">
        <w:rPr>
          <w:lang w:val="en-US"/>
        </w:rPr>
        <w:t>ractical data correlation of flashpoints of binary</w:t>
      </w:r>
      <w:r>
        <w:rPr>
          <w:lang w:val="en-US"/>
        </w:rPr>
        <w:t xml:space="preserve"> </w:t>
      </w:r>
      <w:r w:rsidRPr="00BF098E">
        <w:rPr>
          <w:lang w:val="en-US"/>
        </w:rPr>
        <w:t>mixtures by a reciprocal function: the concept and</w:t>
      </w:r>
      <w:r>
        <w:rPr>
          <w:lang w:val="en-US"/>
        </w:rPr>
        <w:t xml:space="preserve"> </w:t>
      </w:r>
      <w:r w:rsidRPr="00BF098E">
        <w:rPr>
          <w:lang w:val="en-US"/>
        </w:rPr>
        <w:t>numerical examples</w:t>
      </w:r>
      <w:r>
        <w:rPr>
          <w:lang w:val="en-US"/>
        </w:rPr>
        <w:t>, Thermal Science, 15, 905-910.</w:t>
      </w:r>
    </w:p>
    <w:p w14:paraId="23E14ED0" w14:textId="036A9C1B" w:rsidR="003E75B4" w:rsidRDefault="003E75B4" w:rsidP="003E75B4">
      <w:pPr>
        <w:pStyle w:val="CETReferencetext"/>
        <w:rPr>
          <w:lang w:val="en-US"/>
        </w:rPr>
      </w:pPr>
      <w:r w:rsidRPr="003E75B4">
        <w:rPr>
          <w:lang w:val="en-US"/>
        </w:rPr>
        <w:t>Laurent A.</w:t>
      </w:r>
      <w:r w:rsidR="008165D1">
        <w:rPr>
          <w:lang w:val="en-US"/>
        </w:rPr>
        <w:t>,</w:t>
      </w:r>
      <w:r w:rsidRPr="003E75B4">
        <w:rPr>
          <w:lang w:val="en-US"/>
        </w:rPr>
        <w:t xml:space="preserve"> Pey A.</w:t>
      </w:r>
      <w:r w:rsidR="008165D1">
        <w:rPr>
          <w:lang w:val="en-US"/>
        </w:rPr>
        <w:t>,</w:t>
      </w:r>
      <w:r w:rsidRPr="003E75B4">
        <w:rPr>
          <w:lang w:val="en-US"/>
        </w:rPr>
        <w:t xml:space="preserve"> </w:t>
      </w:r>
      <w:proofErr w:type="spellStart"/>
      <w:r w:rsidRPr="003E75B4">
        <w:rPr>
          <w:lang w:val="en-US"/>
        </w:rPr>
        <w:t>Gurtel</w:t>
      </w:r>
      <w:proofErr w:type="spellEnd"/>
      <w:r w:rsidRPr="003E75B4">
        <w:rPr>
          <w:lang w:val="en-US"/>
        </w:rPr>
        <w:t xml:space="preserve"> P.</w:t>
      </w:r>
      <w:r w:rsidR="008165D1">
        <w:rPr>
          <w:lang w:val="en-US"/>
        </w:rPr>
        <w:t>,</w:t>
      </w:r>
      <w:r w:rsidRPr="003E75B4">
        <w:rPr>
          <w:lang w:val="en-US"/>
        </w:rPr>
        <w:t xml:space="preserve"> Fabiano B. </w:t>
      </w:r>
      <w:r w:rsidR="000F3983">
        <w:rPr>
          <w:lang w:val="en-US"/>
        </w:rPr>
        <w:t xml:space="preserve">2021, </w:t>
      </w:r>
      <w:r w:rsidRPr="003E75B4">
        <w:rPr>
          <w:lang w:val="en-US"/>
        </w:rPr>
        <w:t>A critical perspective on the implementation of the EU Council Seveso Directives in</w:t>
      </w:r>
      <w:r>
        <w:rPr>
          <w:lang w:val="en-US"/>
        </w:rPr>
        <w:t xml:space="preserve"> </w:t>
      </w:r>
      <w:r w:rsidRPr="003E75B4">
        <w:rPr>
          <w:lang w:val="en-US"/>
        </w:rPr>
        <w:t>France, Germany, Italy and Spain</w:t>
      </w:r>
      <w:r w:rsidR="008165D1">
        <w:rPr>
          <w:lang w:val="en-US"/>
        </w:rPr>
        <w:t>,</w:t>
      </w:r>
      <w:r w:rsidRPr="003E75B4">
        <w:rPr>
          <w:lang w:val="en-US"/>
        </w:rPr>
        <w:t xml:space="preserve"> </w:t>
      </w:r>
      <w:r w:rsidR="008165D1">
        <w:rPr>
          <w:lang w:val="en-US"/>
        </w:rPr>
        <w:t>Process Safety and Environmental Protection,</w:t>
      </w:r>
      <w:r w:rsidRPr="003E75B4">
        <w:rPr>
          <w:lang w:val="en-US"/>
        </w:rPr>
        <w:t>148, 47–74.</w:t>
      </w:r>
    </w:p>
    <w:p w14:paraId="19C4FC68" w14:textId="7E5A7349" w:rsidR="004628D2" w:rsidRDefault="00F46EEB" w:rsidP="002E0250">
      <w:pPr>
        <w:pStyle w:val="CETReferencetext"/>
      </w:pPr>
      <w:r>
        <w:t xml:space="preserve">Nayak A., Bhushan B., 2019, An overview of the recent trends on the waste </w:t>
      </w:r>
      <w:proofErr w:type="spellStart"/>
      <w:r>
        <w:t>valorization</w:t>
      </w:r>
      <w:proofErr w:type="spellEnd"/>
      <w:r>
        <w:t xml:space="preserve"> techniques for</w:t>
      </w:r>
      <w:r w:rsidR="002021DF">
        <w:t xml:space="preserve"> </w:t>
      </w:r>
      <w:r>
        <w:t xml:space="preserve">food wastes, </w:t>
      </w:r>
      <w:r w:rsidR="004D144D" w:rsidRPr="004D144D">
        <w:t>Journal of Environmental Management</w:t>
      </w:r>
      <w:r w:rsidR="004D144D">
        <w:t xml:space="preserve">, </w:t>
      </w:r>
      <w:r>
        <w:t>233, 352-370.</w:t>
      </w:r>
    </w:p>
    <w:p w14:paraId="0BF6E1EC" w14:textId="57EEAF65" w:rsidR="005A138D" w:rsidRPr="00065B20" w:rsidRDefault="00CC6892" w:rsidP="002E0250">
      <w:pPr>
        <w:pStyle w:val="CETReferencetext"/>
      </w:pPr>
      <w:r>
        <w:t xml:space="preserve">OSHA, 2023, </w:t>
      </w:r>
      <w:r w:rsidR="005A138D">
        <w:t>Occupational Safety and Health Administration, United States Department of Labor</w:t>
      </w:r>
      <w:r w:rsidR="00065B20">
        <w:t xml:space="preserve">, </w:t>
      </w:r>
      <w:hyperlink r:id="rId11" w:history="1">
        <w:r w:rsidR="002021DF">
          <w:rPr>
            <w:rStyle w:val="Collegamentoipertestuale"/>
            <w:color w:val="auto"/>
            <w:u w:val="none"/>
          </w:rPr>
          <w:t>&lt;</w:t>
        </w:r>
        <w:r w:rsidR="00065B20" w:rsidRPr="00065B20">
          <w:rPr>
            <w:rStyle w:val="Collegamentoipertestuale"/>
            <w:color w:val="auto"/>
            <w:u w:val="none"/>
          </w:rPr>
          <w:t>osha.gov</w:t>
        </w:r>
      </w:hyperlink>
      <w:r w:rsidR="002021DF">
        <w:rPr>
          <w:rStyle w:val="Collegamentoipertestuale"/>
          <w:color w:val="auto"/>
          <w:u w:val="none"/>
        </w:rPr>
        <w:t>&gt;</w:t>
      </w:r>
      <w:r w:rsidR="002021DF">
        <w:t xml:space="preserve"> </w:t>
      </w:r>
      <w:r w:rsidR="00065B20" w:rsidRPr="006B4888">
        <w:t xml:space="preserve">accessed </w:t>
      </w:r>
      <w:r w:rsidR="00065B20">
        <w:t>28</w:t>
      </w:r>
      <w:r w:rsidR="00065B20" w:rsidRPr="006B4888">
        <w:t>.</w:t>
      </w:r>
      <w:r w:rsidR="00065B20">
        <w:t>06.2023.</w:t>
      </w:r>
    </w:p>
    <w:p w14:paraId="5A7AD781" w14:textId="11091CC4" w:rsidR="00BF098E" w:rsidRDefault="00704E7A" w:rsidP="00F46EEB">
      <w:pPr>
        <w:pStyle w:val="CETReferencetext"/>
        <w:rPr>
          <w:lang w:val="en-US"/>
        </w:rPr>
      </w:pPr>
      <w:r w:rsidRPr="00704E7A">
        <w:rPr>
          <w:lang w:val="en-US"/>
        </w:rPr>
        <w:t>Pettinato M., Casazza A.A., Ferrari P.F., Palombo D., Perego P., 2019, Eco-sustainable recovery of antioxidants from</w:t>
      </w:r>
      <w:r>
        <w:rPr>
          <w:lang w:val="en-US"/>
        </w:rPr>
        <w:t xml:space="preserve"> </w:t>
      </w:r>
      <w:r w:rsidRPr="00704E7A">
        <w:rPr>
          <w:lang w:val="en-US"/>
        </w:rPr>
        <w:t>spent coffee grounds by microwave-assisted</w:t>
      </w:r>
      <w:r>
        <w:rPr>
          <w:lang w:val="en-US"/>
        </w:rPr>
        <w:t xml:space="preserve"> </w:t>
      </w:r>
      <w:r w:rsidRPr="00704E7A">
        <w:rPr>
          <w:lang w:val="en-US"/>
        </w:rPr>
        <w:t>extraction: Process optimization, kinetic modeling</w:t>
      </w:r>
      <w:r>
        <w:rPr>
          <w:lang w:val="en-US"/>
        </w:rPr>
        <w:t xml:space="preserve"> </w:t>
      </w:r>
      <w:r w:rsidRPr="00704E7A">
        <w:rPr>
          <w:lang w:val="en-US"/>
        </w:rPr>
        <w:t>and biological validation</w:t>
      </w:r>
      <w:r>
        <w:rPr>
          <w:lang w:val="en-US"/>
        </w:rPr>
        <w:t>, Food and Bioproducts Processing, 114, 31-42.</w:t>
      </w:r>
    </w:p>
    <w:p w14:paraId="112CE80F" w14:textId="115BBE14" w:rsidR="00F90D45" w:rsidRDefault="00F90D45" w:rsidP="00F90D45">
      <w:pPr>
        <w:pStyle w:val="CETReferencetext"/>
      </w:pPr>
      <w:r>
        <w:t xml:space="preserve">Pettinato M., Drago E., Campardelli R., Perego P., 2021, Spent coffee grounds extract for active packaging production, </w:t>
      </w:r>
      <w:r w:rsidR="008165D1">
        <w:t>Chemical Engineering Transactions</w:t>
      </w:r>
      <w:r>
        <w:t xml:space="preserve">, 87, 583–588. </w:t>
      </w:r>
    </w:p>
    <w:p w14:paraId="70B0C527" w14:textId="2BF359E7" w:rsidR="002E0250" w:rsidRDefault="002E0250" w:rsidP="002E0250">
      <w:pPr>
        <w:pStyle w:val="CETReferencetext"/>
        <w:tabs>
          <w:tab w:val="left" w:pos="5714"/>
        </w:tabs>
        <w:rPr>
          <w:lang w:val="en-US"/>
        </w:rPr>
      </w:pPr>
      <w:r w:rsidRPr="002E0250">
        <w:rPr>
          <w:lang w:val="en-US"/>
        </w:rPr>
        <w:t>Park S., Xu S., Rogers W., Pasman H., El-</w:t>
      </w:r>
      <w:proofErr w:type="spellStart"/>
      <w:r w:rsidRPr="002E0250">
        <w:rPr>
          <w:lang w:val="en-US"/>
        </w:rPr>
        <w:t>Halwagi</w:t>
      </w:r>
      <w:proofErr w:type="spellEnd"/>
      <w:r w:rsidRPr="002E0250">
        <w:rPr>
          <w:lang w:val="en-US"/>
        </w:rPr>
        <w:t xml:space="preserve"> M.M., 2020, Incorporating inherent safety during the conceptual process design stage: A</w:t>
      </w:r>
      <w:r>
        <w:rPr>
          <w:lang w:val="en-US"/>
        </w:rPr>
        <w:t xml:space="preserve"> </w:t>
      </w:r>
      <w:r w:rsidRPr="002E0250">
        <w:rPr>
          <w:lang w:val="en-US"/>
        </w:rPr>
        <w:t>literature review</w:t>
      </w:r>
      <w:r>
        <w:rPr>
          <w:lang w:val="en-US"/>
        </w:rPr>
        <w:t xml:space="preserve">, </w:t>
      </w:r>
      <w:r w:rsidR="000F3983" w:rsidRPr="000F3983">
        <w:rPr>
          <w:lang w:val="en-US"/>
        </w:rPr>
        <w:t>J Loss Prev Process Ind.</w:t>
      </w:r>
      <w:r w:rsidR="000F3983" w:rsidRPr="000F3983" w:rsidDel="000F3983">
        <w:rPr>
          <w:lang w:val="en-US"/>
        </w:rPr>
        <w:t xml:space="preserve"> </w:t>
      </w:r>
      <w:r w:rsidR="008165D1">
        <w:rPr>
          <w:lang w:val="en-US"/>
        </w:rPr>
        <w:t>,</w:t>
      </w:r>
      <w:r>
        <w:rPr>
          <w:lang w:val="en-US"/>
        </w:rPr>
        <w:t xml:space="preserve"> 63</w:t>
      </w:r>
      <w:r w:rsidR="000F3983">
        <w:rPr>
          <w:lang w:val="en-US"/>
        </w:rPr>
        <w:t>, 104040</w:t>
      </w:r>
      <w:r w:rsidR="00CC186D">
        <w:rPr>
          <w:lang w:val="en-US"/>
        </w:rPr>
        <w:t>.</w:t>
      </w:r>
    </w:p>
    <w:p w14:paraId="568E954E" w14:textId="5725E554" w:rsidR="00823733" w:rsidRDefault="00823733" w:rsidP="00823733">
      <w:pPr>
        <w:pStyle w:val="CETReferencetext"/>
        <w:tabs>
          <w:tab w:val="left" w:pos="5714"/>
        </w:tabs>
        <w:rPr>
          <w:lang w:val="en-US"/>
        </w:rPr>
      </w:pPr>
      <w:r w:rsidRPr="00823733">
        <w:rPr>
          <w:lang w:val="en-US"/>
        </w:rPr>
        <w:t>Pasman H.</w:t>
      </w:r>
      <w:r>
        <w:rPr>
          <w:lang w:val="en-US"/>
        </w:rPr>
        <w:t xml:space="preserve">, </w:t>
      </w:r>
      <w:proofErr w:type="spellStart"/>
      <w:r w:rsidRPr="00823733">
        <w:rPr>
          <w:lang w:val="en-US"/>
        </w:rPr>
        <w:t>Sripaul</w:t>
      </w:r>
      <w:proofErr w:type="spellEnd"/>
      <w:r w:rsidRPr="00823733">
        <w:rPr>
          <w:lang w:val="en-US"/>
        </w:rPr>
        <w:t xml:space="preserve"> E.</w:t>
      </w:r>
      <w:r>
        <w:rPr>
          <w:lang w:val="en-US"/>
        </w:rPr>
        <w:t xml:space="preserve">, </w:t>
      </w:r>
      <w:r w:rsidRPr="00823733">
        <w:rPr>
          <w:lang w:val="en-US"/>
        </w:rPr>
        <w:t>Khan F.</w:t>
      </w:r>
      <w:r>
        <w:rPr>
          <w:lang w:val="en-US"/>
        </w:rPr>
        <w:t xml:space="preserve">, </w:t>
      </w:r>
      <w:r w:rsidRPr="00823733">
        <w:rPr>
          <w:lang w:val="en-US"/>
        </w:rPr>
        <w:t>Fabiano, B.</w:t>
      </w:r>
      <w:r>
        <w:rPr>
          <w:lang w:val="en-US"/>
        </w:rPr>
        <w:t>, 2023,</w:t>
      </w:r>
      <w:r w:rsidRPr="00823733">
        <w:t xml:space="preserve"> </w:t>
      </w:r>
      <w:r w:rsidRPr="00823733">
        <w:rPr>
          <w:lang w:val="en-US"/>
        </w:rPr>
        <w:t>Energy transition technology comes with new process safety challenges and risks</w:t>
      </w:r>
      <w:r>
        <w:rPr>
          <w:lang w:val="en-US"/>
        </w:rPr>
        <w:t>, Process Safety and Environmental Protection,177, 765-794.</w:t>
      </w:r>
    </w:p>
    <w:p w14:paraId="2BC901A0" w14:textId="79BBA811" w:rsidR="001977FB" w:rsidRDefault="00BF098E" w:rsidP="006D0745">
      <w:pPr>
        <w:pStyle w:val="CETReferencetext"/>
        <w:tabs>
          <w:tab w:val="left" w:pos="5714"/>
        </w:tabs>
        <w:rPr>
          <w:lang w:val="en-US"/>
        </w:rPr>
      </w:pPr>
      <w:proofErr w:type="spellStart"/>
      <w:r>
        <w:rPr>
          <w:lang w:val="en-US"/>
        </w:rPr>
        <w:t>Zabetakis</w:t>
      </w:r>
      <w:proofErr w:type="spellEnd"/>
      <w:r>
        <w:rPr>
          <w:lang w:val="en-US"/>
        </w:rPr>
        <w:t xml:space="preserve"> M.G., 1965, </w:t>
      </w:r>
      <w:r w:rsidR="00AE518B" w:rsidRPr="00AE518B">
        <w:rPr>
          <w:lang w:val="en-US"/>
        </w:rPr>
        <w:t>Flammability characteristics of combustible gases and vapors. Bureau of Mines Bulletin 627</w:t>
      </w:r>
      <w:r w:rsidR="00AE518B">
        <w:rPr>
          <w:lang w:val="en-US"/>
        </w:rPr>
        <w:t>,</w:t>
      </w:r>
      <w:r w:rsidR="00AE518B" w:rsidRPr="00AE518B">
        <w:rPr>
          <w:lang w:val="en-US"/>
        </w:rPr>
        <w:t xml:space="preserve"> </w:t>
      </w:r>
      <w:r w:rsidR="00AE518B" w:rsidRPr="00BF098E">
        <w:rPr>
          <w:lang w:val="en-US"/>
        </w:rPr>
        <w:t>Washington</w:t>
      </w:r>
      <w:r w:rsidR="00AE518B">
        <w:rPr>
          <w:lang w:val="en-US"/>
        </w:rPr>
        <w:t>,</w:t>
      </w:r>
      <w:r w:rsidR="00AE518B" w:rsidRPr="00AE518B">
        <w:rPr>
          <w:lang w:val="en-US"/>
        </w:rPr>
        <w:t xml:space="preserve"> USA.</w:t>
      </w:r>
      <w:r w:rsidR="00AE518B">
        <w:rPr>
          <w:lang w:val="en-US"/>
        </w:rPr>
        <w:t xml:space="preserve"> </w:t>
      </w:r>
    </w:p>
    <w:p w14:paraId="1B720246" w14:textId="77777777" w:rsidR="000F3983" w:rsidRPr="00704E7A" w:rsidRDefault="000F3983" w:rsidP="006D0745">
      <w:pPr>
        <w:pStyle w:val="CETReferencetext"/>
        <w:tabs>
          <w:tab w:val="left" w:pos="5714"/>
        </w:tabs>
        <w:rPr>
          <w:lang w:val="en-US"/>
        </w:rPr>
      </w:pPr>
    </w:p>
    <w:sectPr w:rsidR="000F3983" w:rsidRPr="00704E7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15AE" w14:textId="77777777" w:rsidR="004331D0" w:rsidRDefault="004331D0" w:rsidP="004F5E36">
      <w:r>
        <w:separator/>
      </w:r>
    </w:p>
  </w:endnote>
  <w:endnote w:type="continuationSeparator" w:id="0">
    <w:p w14:paraId="36F968D3" w14:textId="77777777" w:rsidR="004331D0" w:rsidRDefault="004331D0" w:rsidP="004F5E36">
      <w:r>
        <w:continuationSeparator/>
      </w:r>
    </w:p>
  </w:endnote>
  <w:endnote w:type="continuationNotice" w:id="1">
    <w:p w14:paraId="751FB10F" w14:textId="77777777" w:rsidR="004331D0" w:rsidRDefault="004331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4BF0" w14:textId="77777777" w:rsidR="004331D0" w:rsidRDefault="004331D0" w:rsidP="004F5E36">
      <w:r>
        <w:separator/>
      </w:r>
    </w:p>
  </w:footnote>
  <w:footnote w:type="continuationSeparator" w:id="0">
    <w:p w14:paraId="59D66073" w14:textId="77777777" w:rsidR="004331D0" w:rsidRDefault="004331D0" w:rsidP="004F5E36">
      <w:r>
        <w:continuationSeparator/>
      </w:r>
    </w:p>
  </w:footnote>
  <w:footnote w:type="continuationNotice" w:id="1">
    <w:p w14:paraId="5B27D725" w14:textId="77777777" w:rsidR="004331D0" w:rsidRDefault="004331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8025F5D"/>
    <w:multiLevelType w:val="multilevel"/>
    <w:tmpl w:val="954C05C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4131322">
    <w:abstractNumId w:val="10"/>
  </w:num>
  <w:num w:numId="2" w16cid:durableId="581525929">
    <w:abstractNumId w:val="8"/>
  </w:num>
  <w:num w:numId="3" w16cid:durableId="1270888111">
    <w:abstractNumId w:val="3"/>
  </w:num>
  <w:num w:numId="4" w16cid:durableId="1814828928">
    <w:abstractNumId w:val="2"/>
  </w:num>
  <w:num w:numId="5" w16cid:durableId="338460249">
    <w:abstractNumId w:val="1"/>
  </w:num>
  <w:num w:numId="6" w16cid:durableId="1416433442">
    <w:abstractNumId w:val="0"/>
  </w:num>
  <w:num w:numId="7" w16cid:durableId="1561096073">
    <w:abstractNumId w:val="9"/>
  </w:num>
  <w:num w:numId="8" w16cid:durableId="721951137">
    <w:abstractNumId w:val="7"/>
  </w:num>
  <w:num w:numId="9" w16cid:durableId="1094280932">
    <w:abstractNumId w:val="6"/>
  </w:num>
  <w:num w:numId="10" w16cid:durableId="1730880287">
    <w:abstractNumId w:val="5"/>
  </w:num>
  <w:num w:numId="11" w16cid:durableId="1432167279">
    <w:abstractNumId w:val="4"/>
  </w:num>
  <w:num w:numId="12" w16cid:durableId="203564027">
    <w:abstractNumId w:val="18"/>
  </w:num>
  <w:num w:numId="13" w16cid:durableId="1997027637">
    <w:abstractNumId w:val="12"/>
  </w:num>
  <w:num w:numId="14" w16cid:durableId="2043556377">
    <w:abstractNumId w:val="19"/>
  </w:num>
  <w:num w:numId="15" w16cid:durableId="83305473">
    <w:abstractNumId w:val="21"/>
  </w:num>
  <w:num w:numId="16" w16cid:durableId="1240138645">
    <w:abstractNumId w:val="20"/>
  </w:num>
  <w:num w:numId="17" w16cid:durableId="567306599">
    <w:abstractNumId w:val="11"/>
  </w:num>
  <w:num w:numId="18" w16cid:durableId="285821623">
    <w:abstractNumId w:val="12"/>
    <w:lvlOverride w:ilvl="0">
      <w:startOverride w:val="1"/>
    </w:lvlOverride>
  </w:num>
  <w:num w:numId="19" w16cid:durableId="1690719125">
    <w:abstractNumId w:val="17"/>
  </w:num>
  <w:num w:numId="20" w16cid:durableId="745146737">
    <w:abstractNumId w:val="16"/>
  </w:num>
  <w:num w:numId="21" w16cid:durableId="1140343686">
    <w:abstractNumId w:val="15"/>
  </w:num>
  <w:num w:numId="22" w16cid:durableId="897592596">
    <w:abstractNumId w:val="14"/>
  </w:num>
  <w:num w:numId="23" w16cid:durableId="1126698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34"/>
    <w:rsid w:val="000027C0"/>
    <w:rsid w:val="000052FB"/>
    <w:rsid w:val="000063B4"/>
    <w:rsid w:val="0000650F"/>
    <w:rsid w:val="00006CF9"/>
    <w:rsid w:val="00007D24"/>
    <w:rsid w:val="000117CB"/>
    <w:rsid w:val="00015515"/>
    <w:rsid w:val="000200AC"/>
    <w:rsid w:val="0003148D"/>
    <w:rsid w:val="00031EEC"/>
    <w:rsid w:val="00035085"/>
    <w:rsid w:val="00037ADE"/>
    <w:rsid w:val="000431C9"/>
    <w:rsid w:val="00051566"/>
    <w:rsid w:val="000531B6"/>
    <w:rsid w:val="000538DB"/>
    <w:rsid w:val="000562A9"/>
    <w:rsid w:val="00060299"/>
    <w:rsid w:val="000626E9"/>
    <w:rsid w:val="00062A9A"/>
    <w:rsid w:val="00063EF7"/>
    <w:rsid w:val="00065058"/>
    <w:rsid w:val="00065B20"/>
    <w:rsid w:val="0006683C"/>
    <w:rsid w:val="00081F18"/>
    <w:rsid w:val="0008442B"/>
    <w:rsid w:val="00086C39"/>
    <w:rsid w:val="00092DB6"/>
    <w:rsid w:val="000954CC"/>
    <w:rsid w:val="000971AA"/>
    <w:rsid w:val="000A03B2"/>
    <w:rsid w:val="000A0787"/>
    <w:rsid w:val="000B3140"/>
    <w:rsid w:val="000B5F41"/>
    <w:rsid w:val="000C24F5"/>
    <w:rsid w:val="000C7BE6"/>
    <w:rsid w:val="000D0268"/>
    <w:rsid w:val="000D0E20"/>
    <w:rsid w:val="000D104E"/>
    <w:rsid w:val="000D34BE"/>
    <w:rsid w:val="000E0ECE"/>
    <w:rsid w:val="000E102F"/>
    <w:rsid w:val="000E133C"/>
    <w:rsid w:val="000E24F4"/>
    <w:rsid w:val="000E36F1"/>
    <w:rsid w:val="000E3A73"/>
    <w:rsid w:val="000E414A"/>
    <w:rsid w:val="000F04D1"/>
    <w:rsid w:val="000F093C"/>
    <w:rsid w:val="000F0D63"/>
    <w:rsid w:val="000F3983"/>
    <w:rsid w:val="000F55A5"/>
    <w:rsid w:val="000F787B"/>
    <w:rsid w:val="0010309F"/>
    <w:rsid w:val="00110F47"/>
    <w:rsid w:val="0012091F"/>
    <w:rsid w:val="001212A8"/>
    <w:rsid w:val="00124EDC"/>
    <w:rsid w:val="00126BC2"/>
    <w:rsid w:val="001308B6"/>
    <w:rsid w:val="0013121F"/>
    <w:rsid w:val="00131FE6"/>
    <w:rsid w:val="0013263F"/>
    <w:rsid w:val="001331DF"/>
    <w:rsid w:val="00134DE4"/>
    <w:rsid w:val="0014034D"/>
    <w:rsid w:val="00144D16"/>
    <w:rsid w:val="00145972"/>
    <w:rsid w:val="001463F8"/>
    <w:rsid w:val="00150E59"/>
    <w:rsid w:val="00152DE3"/>
    <w:rsid w:val="00157997"/>
    <w:rsid w:val="00162A13"/>
    <w:rsid w:val="00162D12"/>
    <w:rsid w:val="00164CF9"/>
    <w:rsid w:val="001667A6"/>
    <w:rsid w:val="0017025E"/>
    <w:rsid w:val="00171C07"/>
    <w:rsid w:val="00172308"/>
    <w:rsid w:val="00173059"/>
    <w:rsid w:val="001731D2"/>
    <w:rsid w:val="0017421A"/>
    <w:rsid w:val="001765C3"/>
    <w:rsid w:val="00177F36"/>
    <w:rsid w:val="0018140E"/>
    <w:rsid w:val="00181482"/>
    <w:rsid w:val="00183369"/>
    <w:rsid w:val="00184AD6"/>
    <w:rsid w:val="001868D5"/>
    <w:rsid w:val="00187FDE"/>
    <w:rsid w:val="00197706"/>
    <w:rsid w:val="001977FB"/>
    <w:rsid w:val="00197946"/>
    <w:rsid w:val="001A3C8A"/>
    <w:rsid w:val="001A4AF7"/>
    <w:rsid w:val="001B0349"/>
    <w:rsid w:val="001B0807"/>
    <w:rsid w:val="001B082C"/>
    <w:rsid w:val="001B1E93"/>
    <w:rsid w:val="001B65C1"/>
    <w:rsid w:val="001B6944"/>
    <w:rsid w:val="001C396D"/>
    <w:rsid w:val="001C684B"/>
    <w:rsid w:val="001C7487"/>
    <w:rsid w:val="001D0CFB"/>
    <w:rsid w:val="001D125A"/>
    <w:rsid w:val="001D21AF"/>
    <w:rsid w:val="001D3F28"/>
    <w:rsid w:val="001D53FC"/>
    <w:rsid w:val="001E0D54"/>
    <w:rsid w:val="001E2041"/>
    <w:rsid w:val="001E2F40"/>
    <w:rsid w:val="001E595F"/>
    <w:rsid w:val="001F2581"/>
    <w:rsid w:val="001F2ABF"/>
    <w:rsid w:val="001F42A5"/>
    <w:rsid w:val="001F7942"/>
    <w:rsid w:val="001F7B9D"/>
    <w:rsid w:val="00200911"/>
    <w:rsid w:val="00200C16"/>
    <w:rsid w:val="00201C93"/>
    <w:rsid w:val="002021DF"/>
    <w:rsid w:val="0020508E"/>
    <w:rsid w:val="0020698E"/>
    <w:rsid w:val="00210818"/>
    <w:rsid w:val="00215D90"/>
    <w:rsid w:val="002224B4"/>
    <w:rsid w:val="002351C5"/>
    <w:rsid w:val="0023594F"/>
    <w:rsid w:val="002447EF"/>
    <w:rsid w:val="00246114"/>
    <w:rsid w:val="00251550"/>
    <w:rsid w:val="00252414"/>
    <w:rsid w:val="002551F6"/>
    <w:rsid w:val="0026077E"/>
    <w:rsid w:val="00263B05"/>
    <w:rsid w:val="002663D6"/>
    <w:rsid w:val="00266693"/>
    <w:rsid w:val="0027221A"/>
    <w:rsid w:val="00272E98"/>
    <w:rsid w:val="00275B61"/>
    <w:rsid w:val="00280FAF"/>
    <w:rsid w:val="00282656"/>
    <w:rsid w:val="002857CD"/>
    <w:rsid w:val="002863C0"/>
    <w:rsid w:val="0029478D"/>
    <w:rsid w:val="00296B83"/>
    <w:rsid w:val="002974B4"/>
    <w:rsid w:val="002A17D0"/>
    <w:rsid w:val="002A1F6A"/>
    <w:rsid w:val="002A7E5B"/>
    <w:rsid w:val="002B0540"/>
    <w:rsid w:val="002B21B7"/>
    <w:rsid w:val="002B2EA4"/>
    <w:rsid w:val="002B3975"/>
    <w:rsid w:val="002B4015"/>
    <w:rsid w:val="002B549B"/>
    <w:rsid w:val="002B78CE"/>
    <w:rsid w:val="002C2FB6"/>
    <w:rsid w:val="002D3B8C"/>
    <w:rsid w:val="002D3F1C"/>
    <w:rsid w:val="002E0250"/>
    <w:rsid w:val="002E5FA7"/>
    <w:rsid w:val="002F3309"/>
    <w:rsid w:val="002F6DE1"/>
    <w:rsid w:val="0030039A"/>
    <w:rsid w:val="003008CE"/>
    <w:rsid w:val="003009B7"/>
    <w:rsid w:val="00300E56"/>
    <w:rsid w:val="0030152C"/>
    <w:rsid w:val="003018EE"/>
    <w:rsid w:val="0030469C"/>
    <w:rsid w:val="00313598"/>
    <w:rsid w:val="0031630E"/>
    <w:rsid w:val="00316774"/>
    <w:rsid w:val="00321CA6"/>
    <w:rsid w:val="00323763"/>
    <w:rsid w:val="00323C5F"/>
    <w:rsid w:val="003336B4"/>
    <w:rsid w:val="00334C09"/>
    <w:rsid w:val="003353A7"/>
    <w:rsid w:val="00336022"/>
    <w:rsid w:val="00345D5E"/>
    <w:rsid w:val="003723D4"/>
    <w:rsid w:val="003735C8"/>
    <w:rsid w:val="00376316"/>
    <w:rsid w:val="00376572"/>
    <w:rsid w:val="00381905"/>
    <w:rsid w:val="00384CC8"/>
    <w:rsid w:val="003868DD"/>
    <w:rsid w:val="003871FD"/>
    <w:rsid w:val="003A1E30"/>
    <w:rsid w:val="003A2829"/>
    <w:rsid w:val="003A4483"/>
    <w:rsid w:val="003A4EA9"/>
    <w:rsid w:val="003A7D1C"/>
    <w:rsid w:val="003B304B"/>
    <w:rsid w:val="003B3146"/>
    <w:rsid w:val="003B5968"/>
    <w:rsid w:val="003C1553"/>
    <w:rsid w:val="003C2BF7"/>
    <w:rsid w:val="003C773C"/>
    <w:rsid w:val="003D0DBD"/>
    <w:rsid w:val="003D7DC2"/>
    <w:rsid w:val="003E26DF"/>
    <w:rsid w:val="003E60A9"/>
    <w:rsid w:val="003E6735"/>
    <w:rsid w:val="003E6A62"/>
    <w:rsid w:val="003E75B4"/>
    <w:rsid w:val="003F015E"/>
    <w:rsid w:val="003F2A81"/>
    <w:rsid w:val="003F2CD1"/>
    <w:rsid w:val="003F36BA"/>
    <w:rsid w:val="003F4905"/>
    <w:rsid w:val="00400414"/>
    <w:rsid w:val="00406D0F"/>
    <w:rsid w:val="00411D2B"/>
    <w:rsid w:val="00412BBF"/>
    <w:rsid w:val="0041446B"/>
    <w:rsid w:val="00421A5C"/>
    <w:rsid w:val="00425E7D"/>
    <w:rsid w:val="00426C7B"/>
    <w:rsid w:val="00430B28"/>
    <w:rsid w:val="00430B43"/>
    <w:rsid w:val="00431F9B"/>
    <w:rsid w:val="004331D0"/>
    <w:rsid w:val="00437E6C"/>
    <w:rsid w:val="0044071E"/>
    <w:rsid w:val="00441CF9"/>
    <w:rsid w:val="0044329C"/>
    <w:rsid w:val="00445AD4"/>
    <w:rsid w:val="0044612C"/>
    <w:rsid w:val="00453E24"/>
    <w:rsid w:val="004544DA"/>
    <w:rsid w:val="00456179"/>
    <w:rsid w:val="00457456"/>
    <w:rsid w:val="004577FE"/>
    <w:rsid w:val="00457B9C"/>
    <w:rsid w:val="004609A1"/>
    <w:rsid w:val="0046164A"/>
    <w:rsid w:val="004623EA"/>
    <w:rsid w:val="004628D2"/>
    <w:rsid w:val="00462DCD"/>
    <w:rsid w:val="004648AD"/>
    <w:rsid w:val="004703A9"/>
    <w:rsid w:val="00471864"/>
    <w:rsid w:val="0047214E"/>
    <w:rsid w:val="00472922"/>
    <w:rsid w:val="004760DE"/>
    <w:rsid w:val="004763D7"/>
    <w:rsid w:val="00487698"/>
    <w:rsid w:val="00487980"/>
    <w:rsid w:val="0049249B"/>
    <w:rsid w:val="004979F5"/>
    <w:rsid w:val="004A004E"/>
    <w:rsid w:val="004A24CF"/>
    <w:rsid w:val="004B2BAF"/>
    <w:rsid w:val="004C2AAE"/>
    <w:rsid w:val="004C3D1D"/>
    <w:rsid w:val="004C3D84"/>
    <w:rsid w:val="004C7913"/>
    <w:rsid w:val="004C7B1E"/>
    <w:rsid w:val="004D144D"/>
    <w:rsid w:val="004D1C0E"/>
    <w:rsid w:val="004E4DD6"/>
    <w:rsid w:val="004E7697"/>
    <w:rsid w:val="004E7929"/>
    <w:rsid w:val="004F19DF"/>
    <w:rsid w:val="004F5E36"/>
    <w:rsid w:val="004F74EC"/>
    <w:rsid w:val="004F7DAF"/>
    <w:rsid w:val="00501621"/>
    <w:rsid w:val="00507B47"/>
    <w:rsid w:val="00507BEF"/>
    <w:rsid w:val="00507CC9"/>
    <w:rsid w:val="00507EBD"/>
    <w:rsid w:val="005119A5"/>
    <w:rsid w:val="00517338"/>
    <w:rsid w:val="00517DF9"/>
    <w:rsid w:val="00524CC4"/>
    <w:rsid w:val="005278B7"/>
    <w:rsid w:val="00532001"/>
    <w:rsid w:val="00532016"/>
    <w:rsid w:val="00533A55"/>
    <w:rsid w:val="005346C8"/>
    <w:rsid w:val="00536165"/>
    <w:rsid w:val="00543E7D"/>
    <w:rsid w:val="00547A68"/>
    <w:rsid w:val="005510B2"/>
    <w:rsid w:val="005531C9"/>
    <w:rsid w:val="00560342"/>
    <w:rsid w:val="005622DD"/>
    <w:rsid w:val="00570C43"/>
    <w:rsid w:val="0057474A"/>
    <w:rsid w:val="0058119A"/>
    <w:rsid w:val="0058285A"/>
    <w:rsid w:val="00583895"/>
    <w:rsid w:val="005878D5"/>
    <w:rsid w:val="00590B02"/>
    <w:rsid w:val="005914D8"/>
    <w:rsid w:val="00591C6E"/>
    <w:rsid w:val="00594A37"/>
    <w:rsid w:val="005A06B3"/>
    <w:rsid w:val="005A138D"/>
    <w:rsid w:val="005A25D9"/>
    <w:rsid w:val="005B1490"/>
    <w:rsid w:val="005B1A02"/>
    <w:rsid w:val="005B2110"/>
    <w:rsid w:val="005B23CE"/>
    <w:rsid w:val="005B61E6"/>
    <w:rsid w:val="005B6668"/>
    <w:rsid w:val="005C77E1"/>
    <w:rsid w:val="005D0082"/>
    <w:rsid w:val="005D02BA"/>
    <w:rsid w:val="005D305A"/>
    <w:rsid w:val="005D376C"/>
    <w:rsid w:val="005D4B1A"/>
    <w:rsid w:val="005D668A"/>
    <w:rsid w:val="005D6A2F"/>
    <w:rsid w:val="005E1A82"/>
    <w:rsid w:val="005E1AF4"/>
    <w:rsid w:val="005E794C"/>
    <w:rsid w:val="005F0A28"/>
    <w:rsid w:val="005F0E5E"/>
    <w:rsid w:val="005F2CA2"/>
    <w:rsid w:val="005F7870"/>
    <w:rsid w:val="005F7C38"/>
    <w:rsid w:val="006000A7"/>
    <w:rsid w:val="00600535"/>
    <w:rsid w:val="00601C44"/>
    <w:rsid w:val="00610CD6"/>
    <w:rsid w:val="00614E86"/>
    <w:rsid w:val="00620DEE"/>
    <w:rsid w:val="00621F92"/>
    <w:rsid w:val="0062280A"/>
    <w:rsid w:val="0062297E"/>
    <w:rsid w:val="00625639"/>
    <w:rsid w:val="00627AB9"/>
    <w:rsid w:val="00630E6C"/>
    <w:rsid w:val="00631B33"/>
    <w:rsid w:val="00640B76"/>
    <w:rsid w:val="0064184D"/>
    <w:rsid w:val="006422CC"/>
    <w:rsid w:val="006440E5"/>
    <w:rsid w:val="0064542A"/>
    <w:rsid w:val="00650E79"/>
    <w:rsid w:val="00660E3E"/>
    <w:rsid w:val="00662B24"/>
    <w:rsid w:val="00662E74"/>
    <w:rsid w:val="0067084A"/>
    <w:rsid w:val="00675F4F"/>
    <w:rsid w:val="00680C23"/>
    <w:rsid w:val="006863C1"/>
    <w:rsid w:val="00692724"/>
    <w:rsid w:val="00692F5A"/>
    <w:rsid w:val="00693766"/>
    <w:rsid w:val="006952E9"/>
    <w:rsid w:val="006A3281"/>
    <w:rsid w:val="006A665A"/>
    <w:rsid w:val="006B4888"/>
    <w:rsid w:val="006C2E45"/>
    <w:rsid w:val="006C300A"/>
    <w:rsid w:val="006C33AD"/>
    <w:rsid w:val="006C359C"/>
    <w:rsid w:val="006C4839"/>
    <w:rsid w:val="006C5579"/>
    <w:rsid w:val="006D0745"/>
    <w:rsid w:val="006D0942"/>
    <w:rsid w:val="006D2CBE"/>
    <w:rsid w:val="006D3D11"/>
    <w:rsid w:val="006D6E8B"/>
    <w:rsid w:val="006E254E"/>
    <w:rsid w:val="006E737D"/>
    <w:rsid w:val="006F0AF2"/>
    <w:rsid w:val="0070373F"/>
    <w:rsid w:val="00704E7A"/>
    <w:rsid w:val="00713973"/>
    <w:rsid w:val="007167FF"/>
    <w:rsid w:val="00720A24"/>
    <w:rsid w:val="007240F3"/>
    <w:rsid w:val="00724B69"/>
    <w:rsid w:val="00726623"/>
    <w:rsid w:val="00732386"/>
    <w:rsid w:val="007329F2"/>
    <w:rsid w:val="0073514D"/>
    <w:rsid w:val="00735E44"/>
    <w:rsid w:val="0074012A"/>
    <w:rsid w:val="00742C82"/>
    <w:rsid w:val="007447F3"/>
    <w:rsid w:val="00750854"/>
    <w:rsid w:val="0075499F"/>
    <w:rsid w:val="007566AF"/>
    <w:rsid w:val="00761AFD"/>
    <w:rsid w:val="00766174"/>
    <w:rsid w:val="007661C8"/>
    <w:rsid w:val="0077098D"/>
    <w:rsid w:val="0077125B"/>
    <w:rsid w:val="00773806"/>
    <w:rsid w:val="00777A77"/>
    <w:rsid w:val="007931FA"/>
    <w:rsid w:val="00794AA5"/>
    <w:rsid w:val="00795E0B"/>
    <w:rsid w:val="00796DDC"/>
    <w:rsid w:val="007A05BC"/>
    <w:rsid w:val="007A4861"/>
    <w:rsid w:val="007A7BBA"/>
    <w:rsid w:val="007B0C50"/>
    <w:rsid w:val="007B16D5"/>
    <w:rsid w:val="007B48F9"/>
    <w:rsid w:val="007B65AB"/>
    <w:rsid w:val="007B7499"/>
    <w:rsid w:val="007C1667"/>
    <w:rsid w:val="007C1A43"/>
    <w:rsid w:val="007D0951"/>
    <w:rsid w:val="007D1F14"/>
    <w:rsid w:val="007D6A35"/>
    <w:rsid w:val="007E1490"/>
    <w:rsid w:val="007E404F"/>
    <w:rsid w:val="007F08E3"/>
    <w:rsid w:val="007F2C15"/>
    <w:rsid w:val="007F33E5"/>
    <w:rsid w:val="007F6C94"/>
    <w:rsid w:val="0080013E"/>
    <w:rsid w:val="0080645A"/>
    <w:rsid w:val="00812512"/>
    <w:rsid w:val="00813288"/>
    <w:rsid w:val="008165D1"/>
    <w:rsid w:val="008168FC"/>
    <w:rsid w:val="00823733"/>
    <w:rsid w:val="00825F4B"/>
    <w:rsid w:val="00830996"/>
    <w:rsid w:val="00831995"/>
    <w:rsid w:val="00831BEA"/>
    <w:rsid w:val="008345F1"/>
    <w:rsid w:val="00836C50"/>
    <w:rsid w:val="0084295E"/>
    <w:rsid w:val="00857368"/>
    <w:rsid w:val="00864D1E"/>
    <w:rsid w:val="00865B07"/>
    <w:rsid w:val="008667EA"/>
    <w:rsid w:val="0087305D"/>
    <w:rsid w:val="0087637F"/>
    <w:rsid w:val="008805A3"/>
    <w:rsid w:val="0088399D"/>
    <w:rsid w:val="00890283"/>
    <w:rsid w:val="008904E9"/>
    <w:rsid w:val="00892AD5"/>
    <w:rsid w:val="008942AC"/>
    <w:rsid w:val="00896DEC"/>
    <w:rsid w:val="00896E61"/>
    <w:rsid w:val="00897CDD"/>
    <w:rsid w:val="008A01A9"/>
    <w:rsid w:val="008A1512"/>
    <w:rsid w:val="008A4F0F"/>
    <w:rsid w:val="008A68FB"/>
    <w:rsid w:val="008A70C2"/>
    <w:rsid w:val="008B0C61"/>
    <w:rsid w:val="008B6427"/>
    <w:rsid w:val="008C3C3E"/>
    <w:rsid w:val="008D1E2E"/>
    <w:rsid w:val="008D32B9"/>
    <w:rsid w:val="008D433B"/>
    <w:rsid w:val="008D4A16"/>
    <w:rsid w:val="008E4FDF"/>
    <w:rsid w:val="008E566E"/>
    <w:rsid w:val="008E7A57"/>
    <w:rsid w:val="008F5096"/>
    <w:rsid w:val="008F5986"/>
    <w:rsid w:val="0090161A"/>
    <w:rsid w:val="00901EB6"/>
    <w:rsid w:val="009032D5"/>
    <w:rsid w:val="00904C62"/>
    <w:rsid w:val="009117D4"/>
    <w:rsid w:val="00920185"/>
    <w:rsid w:val="00922BA8"/>
    <w:rsid w:val="00924DAC"/>
    <w:rsid w:val="00927058"/>
    <w:rsid w:val="0093077A"/>
    <w:rsid w:val="00931E33"/>
    <w:rsid w:val="0093220B"/>
    <w:rsid w:val="009342EE"/>
    <w:rsid w:val="009344E5"/>
    <w:rsid w:val="00942750"/>
    <w:rsid w:val="00944E91"/>
    <w:rsid w:val="009450CE"/>
    <w:rsid w:val="009459BB"/>
    <w:rsid w:val="00947179"/>
    <w:rsid w:val="0095164B"/>
    <w:rsid w:val="00954090"/>
    <w:rsid w:val="009573E7"/>
    <w:rsid w:val="00963E05"/>
    <w:rsid w:val="00964A45"/>
    <w:rsid w:val="00965F77"/>
    <w:rsid w:val="00967843"/>
    <w:rsid w:val="00967D54"/>
    <w:rsid w:val="00971028"/>
    <w:rsid w:val="00973190"/>
    <w:rsid w:val="00976145"/>
    <w:rsid w:val="0098054C"/>
    <w:rsid w:val="00983E21"/>
    <w:rsid w:val="0098627F"/>
    <w:rsid w:val="0098763B"/>
    <w:rsid w:val="00993B84"/>
    <w:rsid w:val="00996197"/>
    <w:rsid w:val="00996483"/>
    <w:rsid w:val="00996F5A"/>
    <w:rsid w:val="009A0D9C"/>
    <w:rsid w:val="009A48F9"/>
    <w:rsid w:val="009B041A"/>
    <w:rsid w:val="009B1F63"/>
    <w:rsid w:val="009B622E"/>
    <w:rsid w:val="009C1115"/>
    <w:rsid w:val="009C37C3"/>
    <w:rsid w:val="009C568E"/>
    <w:rsid w:val="009C7C86"/>
    <w:rsid w:val="009D2FF7"/>
    <w:rsid w:val="009D3073"/>
    <w:rsid w:val="009D44BA"/>
    <w:rsid w:val="009D6A3C"/>
    <w:rsid w:val="009E34EA"/>
    <w:rsid w:val="009E7884"/>
    <w:rsid w:val="009E788A"/>
    <w:rsid w:val="009F0E08"/>
    <w:rsid w:val="009F2F8A"/>
    <w:rsid w:val="00A01178"/>
    <w:rsid w:val="00A1186A"/>
    <w:rsid w:val="00A1280B"/>
    <w:rsid w:val="00A1763D"/>
    <w:rsid w:val="00A179DB"/>
    <w:rsid w:val="00A17CEC"/>
    <w:rsid w:val="00A27EF0"/>
    <w:rsid w:val="00A35688"/>
    <w:rsid w:val="00A40045"/>
    <w:rsid w:val="00A42361"/>
    <w:rsid w:val="00A467A1"/>
    <w:rsid w:val="00A50B20"/>
    <w:rsid w:val="00A50FCE"/>
    <w:rsid w:val="00A51390"/>
    <w:rsid w:val="00A5323B"/>
    <w:rsid w:val="00A55B86"/>
    <w:rsid w:val="00A60D13"/>
    <w:rsid w:val="00A645DF"/>
    <w:rsid w:val="00A65410"/>
    <w:rsid w:val="00A70D21"/>
    <w:rsid w:val="00A7223D"/>
    <w:rsid w:val="00A72745"/>
    <w:rsid w:val="00A72B9B"/>
    <w:rsid w:val="00A737A9"/>
    <w:rsid w:val="00A747FA"/>
    <w:rsid w:val="00A76EFC"/>
    <w:rsid w:val="00A82829"/>
    <w:rsid w:val="00A85A07"/>
    <w:rsid w:val="00A87D50"/>
    <w:rsid w:val="00A91010"/>
    <w:rsid w:val="00A97F29"/>
    <w:rsid w:val="00AA0D3C"/>
    <w:rsid w:val="00AA29F4"/>
    <w:rsid w:val="00AA6F10"/>
    <w:rsid w:val="00AA702E"/>
    <w:rsid w:val="00AA7D26"/>
    <w:rsid w:val="00AB0964"/>
    <w:rsid w:val="00AB0BE1"/>
    <w:rsid w:val="00AB223E"/>
    <w:rsid w:val="00AB5011"/>
    <w:rsid w:val="00AC7368"/>
    <w:rsid w:val="00AD16B9"/>
    <w:rsid w:val="00AD1D60"/>
    <w:rsid w:val="00AD1EC7"/>
    <w:rsid w:val="00AD7929"/>
    <w:rsid w:val="00AE377D"/>
    <w:rsid w:val="00AE41C5"/>
    <w:rsid w:val="00AE49C0"/>
    <w:rsid w:val="00AE518B"/>
    <w:rsid w:val="00AE5E6D"/>
    <w:rsid w:val="00AE5F30"/>
    <w:rsid w:val="00AF0EBA"/>
    <w:rsid w:val="00B02C8A"/>
    <w:rsid w:val="00B10952"/>
    <w:rsid w:val="00B131AD"/>
    <w:rsid w:val="00B1641D"/>
    <w:rsid w:val="00B17FBD"/>
    <w:rsid w:val="00B22205"/>
    <w:rsid w:val="00B30B2C"/>
    <w:rsid w:val="00B311DC"/>
    <w:rsid w:val="00B315A6"/>
    <w:rsid w:val="00B31813"/>
    <w:rsid w:val="00B33365"/>
    <w:rsid w:val="00B44D1D"/>
    <w:rsid w:val="00B53B38"/>
    <w:rsid w:val="00B55164"/>
    <w:rsid w:val="00B57B36"/>
    <w:rsid w:val="00B57E6F"/>
    <w:rsid w:val="00B64E19"/>
    <w:rsid w:val="00B67180"/>
    <w:rsid w:val="00B675B0"/>
    <w:rsid w:val="00B80429"/>
    <w:rsid w:val="00B809EF"/>
    <w:rsid w:val="00B826A6"/>
    <w:rsid w:val="00B85A0E"/>
    <w:rsid w:val="00B86410"/>
    <w:rsid w:val="00B8686D"/>
    <w:rsid w:val="00B9363A"/>
    <w:rsid w:val="00B93F69"/>
    <w:rsid w:val="00B957F4"/>
    <w:rsid w:val="00BA4698"/>
    <w:rsid w:val="00BA487D"/>
    <w:rsid w:val="00BB07E6"/>
    <w:rsid w:val="00BB0CA1"/>
    <w:rsid w:val="00BB15E1"/>
    <w:rsid w:val="00BB1DDC"/>
    <w:rsid w:val="00BB44D9"/>
    <w:rsid w:val="00BC30C9"/>
    <w:rsid w:val="00BC5F72"/>
    <w:rsid w:val="00BC6D52"/>
    <w:rsid w:val="00BD077D"/>
    <w:rsid w:val="00BE118E"/>
    <w:rsid w:val="00BE3A36"/>
    <w:rsid w:val="00BE3E58"/>
    <w:rsid w:val="00BE5431"/>
    <w:rsid w:val="00BE64BF"/>
    <w:rsid w:val="00BE70B2"/>
    <w:rsid w:val="00BF098E"/>
    <w:rsid w:val="00BF4653"/>
    <w:rsid w:val="00BF4E03"/>
    <w:rsid w:val="00C01616"/>
    <w:rsid w:val="00C0162B"/>
    <w:rsid w:val="00C029A9"/>
    <w:rsid w:val="00C0438B"/>
    <w:rsid w:val="00C05285"/>
    <w:rsid w:val="00C068ED"/>
    <w:rsid w:val="00C06D6D"/>
    <w:rsid w:val="00C076BC"/>
    <w:rsid w:val="00C14B79"/>
    <w:rsid w:val="00C1628E"/>
    <w:rsid w:val="00C22E0C"/>
    <w:rsid w:val="00C2524D"/>
    <w:rsid w:val="00C27BAA"/>
    <w:rsid w:val="00C315F1"/>
    <w:rsid w:val="00C345B1"/>
    <w:rsid w:val="00C378CA"/>
    <w:rsid w:val="00C40142"/>
    <w:rsid w:val="00C417B2"/>
    <w:rsid w:val="00C41C24"/>
    <w:rsid w:val="00C52C3C"/>
    <w:rsid w:val="00C57182"/>
    <w:rsid w:val="00C57823"/>
    <w:rsid w:val="00C57863"/>
    <w:rsid w:val="00C640AF"/>
    <w:rsid w:val="00C655FD"/>
    <w:rsid w:val="00C71459"/>
    <w:rsid w:val="00C75407"/>
    <w:rsid w:val="00C80E20"/>
    <w:rsid w:val="00C838DC"/>
    <w:rsid w:val="00C870A8"/>
    <w:rsid w:val="00C87446"/>
    <w:rsid w:val="00C94434"/>
    <w:rsid w:val="00C9771E"/>
    <w:rsid w:val="00CA0D75"/>
    <w:rsid w:val="00CA1C95"/>
    <w:rsid w:val="00CA3C80"/>
    <w:rsid w:val="00CA3F15"/>
    <w:rsid w:val="00CA5510"/>
    <w:rsid w:val="00CA5A9C"/>
    <w:rsid w:val="00CA638C"/>
    <w:rsid w:val="00CB04CE"/>
    <w:rsid w:val="00CB2D10"/>
    <w:rsid w:val="00CB3B73"/>
    <w:rsid w:val="00CB74DC"/>
    <w:rsid w:val="00CC186D"/>
    <w:rsid w:val="00CC4C20"/>
    <w:rsid w:val="00CC6892"/>
    <w:rsid w:val="00CC6B2E"/>
    <w:rsid w:val="00CD3517"/>
    <w:rsid w:val="00CD4998"/>
    <w:rsid w:val="00CD4A82"/>
    <w:rsid w:val="00CD5CE3"/>
    <w:rsid w:val="00CD5FE2"/>
    <w:rsid w:val="00CD7331"/>
    <w:rsid w:val="00CD735F"/>
    <w:rsid w:val="00CE01C7"/>
    <w:rsid w:val="00CE6554"/>
    <w:rsid w:val="00CE6F8E"/>
    <w:rsid w:val="00CE7C68"/>
    <w:rsid w:val="00CF11EE"/>
    <w:rsid w:val="00CF42B3"/>
    <w:rsid w:val="00CF7CB8"/>
    <w:rsid w:val="00D02B4C"/>
    <w:rsid w:val="00D040C4"/>
    <w:rsid w:val="00D06605"/>
    <w:rsid w:val="00D101C4"/>
    <w:rsid w:val="00D20AD1"/>
    <w:rsid w:val="00D21594"/>
    <w:rsid w:val="00D274C4"/>
    <w:rsid w:val="00D33B45"/>
    <w:rsid w:val="00D43B65"/>
    <w:rsid w:val="00D46B7E"/>
    <w:rsid w:val="00D5206A"/>
    <w:rsid w:val="00D57C84"/>
    <w:rsid w:val="00D6057D"/>
    <w:rsid w:val="00D61053"/>
    <w:rsid w:val="00D63770"/>
    <w:rsid w:val="00D65FD2"/>
    <w:rsid w:val="00D7004B"/>
    <w:rsid w:val="00D7049B"/>
    <w:rsid w:val="00D71640"/>
    <w:rsid w:val="00D74B9F"/>
    <w:rsid w:val="00D80722"/>
    <w:rsid w:val="00D82270"/>
    <w:rsid w:val="00D836C5"/>
    <w:rsid w:val="00D84576"/>
    <w:rsid w:val="00D85317"/>
    <w:rsid w:val="00D929C2"/>
    <w:rsid w:val="00D9350F"/>
    <w:rsid w:val="00DA1399"/>
    <w:rsid w:val="00DA24C6"/>
    <w:rsid w:val="00DA4872"/>
    <w:rsid w:val="00DA4D7B"/>
    <w:rsid w:val="00DA750E"/>
    <w:rsid w:val="00DB2C55"/>
    <w:rsid w:val="00DB742A"/>
    <w:rsid w:val="00DC1F91"/>
    <w:rsid w:val="00DC4FE7"/>
    <w:rsid w:val="00DD271C"/>
    <w:rsid w:val="00DE264A"/>
    <w:rsid w:val="00DE7B2F"/>
    <w:rsid w:val="00DF268A"/>
    <w:rsid w:val="00DF5072"/>
    <w:rsid w:val="00DF6E00"/>
    <w:rsid w:val="00DF7140"/>
    <w:rsid w:val="00E005E6"/>
    <w:rsid w:val="00E02D18"/>
    <w:rsid w:val="00E041E7"/>
    <w:rsid w:val="00E1745A"/>
    <w:rsid w:val="00E23921"/>
    <w:rsid w:val="00E23CA1"/>
    <w:rsid w:val="00E25719"/>
    <w:rsid w:val="00E34595"/>
    <w:rsid w:val="00E409A8"/>
    <w:rsid w:val="00E46319"/>
    <w:rsid w:val="00E50C12"/>
    <w:rsid w:val="00E5403D"/>
    <w:rsid w:val="00E564CF"/>
    <w:rsid w:val="00E61463"/>
    <w:rsid w:val="00E62321"/>
    <w:rsid w:val="00E65B91"/>
    <w:rsid w:val="00E7209D"/>
    <w:rsid w:val="00E72EAD"/>
    <w:rsid w:val="00E73145"/>
    <w:rsid w:val="00E7504E"/>
    <w:rsid w:val="00E77223"/>
    <w:rsid w:val="00E8528B"/>
    <w:rsid w:val="00E85B94"/>
    <w:rsid w:val="00E863AC"/>
    <w:rsid w:val="00E92843"/>
    <w:rsid w:val="00E93492"/>
    <w:rsid w:val="00E93B39"/>
    <w:rsid w:val="00E95252"/>
    <w:rsid w:val="00E978D0"/>
    <w:rsid w:val="00EA144E"/>
    <w:rsid w:val="00EA25FD"/>
    <w:rsid w:val="00EA4613"/>
    <w:rsid w:val="00EA7F91"/>
    <w:rsid w:val="00EB1523"/>
    <w:rsid w:val="00EC078F"/>
    <w:rsid w:val="00EC0E49"/>
    <w:rsid w:val="00EC101F"/>
    <w:rsid w:val="00EC1D9F"/>
    <w:rsid w:val="00EC2BF4"/>
    <w:rsid w:val="00EC4BC6"/>
    <w:rsid w:val="00EC50F9"/>
    <w:rsid w:val="00EC72E5"/>
    <w:rsid w:val="00ED0C91"/>
    <w:rsid w:val="00ED714A"/>
    <w:rsid w:val="00EE0131"/>
    <w:rsid w:val="00EE17B0"/>
    <w:rsid w:val="00EE1BE9"/>
    <w:rsid w:val="00EE4CE9"/>
    <w:rsid w:val="00EE542D"/>
    <w:rsid w:val="00EF06D9"/>
    <w:rsid w:val="00EF21BF"/>
    <w:rsid w:val="00EF3660"/>
    <w:rsid w:val="00EF48AB"/>
    <w:rsid w:val="00EF5D28"/>
    <w:rsid w:val="00EF652F"/>
    <w:rsid w:val="00F06DE1"/>
    <w:rsid w:val="00F3049E"/>
    <w:rsid w:val="00F30C64"/>
    <w:rsid w:val="00F32063"/>
    <w:rsid w:val="00F327F5"/>
    <w:rsid w:val="00F32BA2"/>
    <w:rsid w:val="00F32CDB"/>
    <w:rsid w:val="00F334C5"/>
    <w:rsid w:val="00F340E5"/>
    <w:rsid w:val="00F35096"/>
    <w:rsid w:val="00F355E6"/>
    <w:rsid w:val="00F437C6"/>
    <w:rsid w:val="00F44487"/>
    <w:rsid w:val="00F44C38"/>
    <w:rsid w:val="00F46EEB"/>
    <w:rsid w:val="00F47468"/>
    <w:rsid w:val="00F534B8"/>
    <w:rsid w:val="00F56276"/>
    <w:rsid w:val="00F565FE"/>
    <w:rsid w:val="00F6162C"/>
    <w:rsid w:val="00F61B3E"/>
    <w:rsid w:val="00F63A70"/>
    <w:rsid w:val="00F63D8C"/>
    <w:rsid w:val="00F7050C"/>
    <w:rsid w:val="00F71ED9"/>
    <w:rsid w:val="00F74140"/>
    <w:rsid w:val="00F74F9A"/>
    <w:rsid w:val="00F7534E"/>
    <w:rsid w:val="00F82FE5"/>
    <w:rsid w:val="00F90D45"/>
    <w:rsid w:val="00F927B9"/>
    <w:rsid w:val="00F93EDF"/>
    <w:rsid w:val="00F952D4"/>
    <w:rsid w:val="00F9677C"/>
    <w:rsid w:val="00FA1802"/>
    <w:rsid w:val="00FA21D0"/>
    <w:rsid w:val="00FA2A39"/>
    <w:rsid w:val="00FA475F"/>
    <w:rsid w:val="00FA5347"/>
    <w:rsid w:val="00FA5B7D"/>
    <w:rsid w:val="00FA5F5F"/>
    <w:rsid w:val="00FB262D"/>
    <w:rsid w:val="00FB3F61"/>
    <w:rsid w:val="00FB4F1A"/>
    <w:rsid w:val="00FB62F4"/>
    <w:rsid w:val="00FB688D"/>
    <w:rsid w:val="00FB6C82"/>
    <w:rsid w:val="00FB730C"/>
    <w:rsid w:val="00FC2695"/>
    <w:rsid w:val="00FC3E03"/>
    <w:rsid w:val="00FC3F32"/>
    <w:rsid w:val="00FC3FC1"/>
    <w:rsid w:val="00FC4212"/>
    <w:rsid w:val="00FD313B"/>
    <w:rsid w:val="00FD5840"/>
    <w:rsid w:val="00FF20F1"/>
    <w:rsid w:val="00FF21EE"/>
    <w:rsid w:val="00FF44BB"/>
    <w:rsid w:val="00FF624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Testosegnaposto">
    <w:name w:val="Placeholder Text"/>
    <w:basedOn w:val="Carpredefinitoparagrafo"/>
    <w:uiPriority w:val="99"/>
    <w:semiHidden/>
    <w:rsid w:val="00583895"/>
    <w:rPr>
      <w:color w:val="808080"/>
    </w:rPr>
  </w:style>
  <w:style w:type="character" w:styleId="Menzionenonrisolta">
    <w:name w:val="Unresolved Mention"/>
    <w:basedOn w:val="Carpredefinitoparagrafo"/>
    <w:uiPriority w:val="99"/>
    <w:semiHidden/>
    <w:unhideWhenUsed/>
    <w:rsid w:val="00065B20"/>
    <w:rPr>
      <w:color w:val="605E5C"/>
      <w:shd w:val="clear" w:color="auto" w:fill="E1DFDD"/>
    </w:rPr>
  </w:style>
  <w:style w:type="paragraph" w:styleId="Revisione">
    <w:name w:val="Revision"/>
    <w:hidden/>
    <w:uiPriority w:val="99"/>
    <w:semiHidden/>
    <w:rsid w:val="007F2C1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27704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210919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955839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GRAPHS!$B$5</c:f>
              <c:strCache>
                <c:ptCount val="1"/>
                <c:pt idx="0">
                  <c:v>SLE 298 K, 0.10 MPa</c:v>
                </c:pt>
              </c:strCache>
            </c:strRef>
          </c:tx>
          <c:spPr>
            <a:solidFill>
              <a:schemeClr val="accent6">
                <a:lumMod val="40000"/>
                <a:lumOff val="60000"/>
              </a:schemeClr>
            </a:solidFill>
            <a:ln>
              <a:solidFill>
                <a:schemeClr val="tx1"/>
              </a:solidFill>
            </a:ln>
            <a:effectLst/>
          </c:spPr>
          <c:invertIfNegative val="0"/>
          <c:dPt>
            <c:idx val="1"/>
            <c:invertIfNegative val="0"/>
            <c:bubble3D val="0"/>
            <c:spPr>
              <a:solidFill>
                <a:schemeClr val="accent6">
                  <a:lumMod val="40000"/>
                  <a:lumOff val="60000"/>
                </a:schemeClr>
              </a:solidFill>
              <a:ln>
                <a:solidFill>
                  <a:schemeClr val="tx1"/>
                </a:solidFill>
              </a:ln>
              <a:effectLst/>
            </c:spPr>
            <c:extLst>
              <c:ext xmlns:c16="http://schemas.microsoft.com/office/drawing/2014/chart" uri="{C3380CC4-5D6E-409C-BE32-E72D297353CC}">
                <c16:uniqueId val="{00000001-E8CF-4E9D-9F20-ABA658C34ED4}"/>
              </c:ext>
            </c:extLst>
          </c:dPt>
          <c:cat>
            <c:strRef>
              <c:f>GRAPHS!$A$6:$A$7</c:f>
              <c:strCache>
                <c:ptCount val="2"/>
                <c:pt idx="0">
                  <c:v>ICI</c:v>
                </c:pt>
                <c:pt idx="1">
                  <c:v>IPI</c:v>
                </c:pt>
              </c:strCache>
            </c:strRef>
          </c:cat>
          <c:val>
            <c:numRef>
              <c:f>GRAPHS!$B$6:$B$7</c:f>
              <c:numCache>
                <c:formatCode>General</c:formatCode>
                <c:ptCount val="2"/>
                <c:pt idx="0">
                  <c:v>7</c:v>
                </c:pt>
                <c:pt idx="1">
                  <c:v>3</c:v>
                </c:pt>
              </c:numCache>
            </c:numRef>
          </c:val>
          <c:extLst>
            <c:ext xmlns:c16="http://schemas.microsoft.com/office/drawing/2014/chart" uri="{C3380CC4-5D6E-409C-BE32-E72D297353CC}">
              <c16:uniqueId val="{00000002-E8CF-4E9D-9F20-ABA658C34ED4}"/>
            </c:ext>
          </c:extLst>
        </c:ser>
        <c:ser>
          <c:idx val="1"/>
          <c:order val="1"/>
          <c:tx>
            <c:strRef>
              <c:f>GRAPHS!$C$5</c:f>
              <c:strCache>
                <c:ptCount val="1"/>
                <c:pt idx="0">
                  <c:v>HPTE 453 K, 1.30 MPa</c:v>
                </c:pt>
              </c:strCache>
            </c:strRef>
          </c:tx>
          <c:spPr>
            <a:solidFill>
              <a:schemeClr val="accent4">
                <a:lumMod val="60000"/>
                <a:lumOff val="40000"/>
              </a:schemeClr>
            </a:solidFill>
            <a:ln>
              <a:solidFill>
                <a:schemeClr val="tx1"/>
              </a:solidFill>
            </a:ln>
            <a:effectLst/>
          </c:spPr>
          <c:invertIfNegative val="0"/>
          <c:cat>
            <c:strRef>
              <c:f>GRAPHS!$A$6:$A$7</c:f>
              <c:strCache>
                <c:ptCount val="2"/>
                <c:pt idx="0">
                  <c:v>ICI</c:v>
                </c:pt>
                <c:pt idx="1">
                  <c:v>IPI</c:v>
                </c:pt>
              </c:strCache>
            </c:strRef>
          </c:cat>
          <c:val>
            <c:numRef>
              <c:f>GRAPHS!$C$6:$C$7</c:f>
              <c:numCache>
                <c:formatCode>General</c:formatCode>
                <c:ptCount val="2"/>
                <c:pt idx="0">
                  <c:v>10</c:v>
                </c:pt>
                <c:pt idx="1">
                  <c:v>8</c:v>
                </c:pt>
              </c:numCache>
            </c:numRef>
          </c:val>
          <c:extLst>
            <c:ext xmlns:c16="http://schemas.microsoft.com/office/drawing/2014/chart" uri="{C3380CC4-5D6E-409C-BE32-E72D297353CC}">
              <c16:uniqueId val="{00000003-E8CF-4E9D-9F20-ABA658C34ED4}"/>
            </c:ext>
          </c:extLst>
        </c:ser>
        <c:ser>
          <c:idx val="2"/>
          <c:order val="2"/>
          <c:tx>
            <c:strRef>
              <c:f>GRAPHS!$D$5</c:f>
              <c:strCache>
                <c:ptCount val="1"/>
                <c:pt idx="0">
                  <c:v>HPTE 423 K, 0.48 MPa</c:v>
                </c:pt>
              </c:strCache>
            </c:strRef>
          </c:tx>
          <c:spPr>
            <a:solidFill>
              <a:schemeClr val="accent4">
                <a:lumMod val="40000"/>
                <a:lumOff val="60000"/>
              </a:schemeClr>
            </a:solidFill>
            <a:ln>
              <a:solidFill>
                <a:schemeClr val="tx1"/>
              </a:solidFill>
            </a:ln>
            <a:effectLst/>
          </c:spPr>
          <c:invertIfNegative val="0"/>
          <c:cat>
            <c:strRef>
              <c:f>GRAPHS!$A$6:$A$7</c:f>
              <c:strCache>
                <c:ptCount val="2"/>
                <c:pt idx="0">
                  <c:v>ICI</c:v>
                </c:pt>
                <c:pt idx="1">
                  <c:v>IPI</c:v>
                </c:pt>
              </c:strCache>
            </c:strRef>
          </c:cat>
          <c:val>
            <c:numRef>
              <c:f>GRAPHS!$D$6:$D$7</c:f>
              <c:numCache>
                <c:formatCode>General</c:formatCode>
                <c:ptCount val="2"/>
                <c:pt idx="0">
                  <c:v>10</c:v>
                </c:pt>
                <c:pt idx="1">
                  <c:v>7</c:v>
                </c:pt>
              </c:numCache>
            </c:numRef>
          </c:val>
          <c:extLst>
            <c:ext xmlns:c16="http://schemas.microsoft.com/office/drawing/2014/chart" uri="{C3380CC4-5D6E-409C-BE32-E72D297353CC}">
              <c16:uniqueId val="{00000004-E8CF-4E9D-9F20-ABA658C34ED4}"/>
            </c:ext>
          </c:extLst>
        </c:ser>
        <c:ser>
          <c:idx val="3"/>
          <c:order val="3"/>
          <c:tx>
            <c:strRef>
              <c:f>GRAPHS!$E$5</c:f>
              <c:strCache>
                <c:ptCount val="1"/>
                <c:pt idx="0">
                  <c:v>HPTE 393 K, 0.20 MPa</c:v>
                </c:pt>
              </c:strCache>
            </c:strRef>
          </c:tx>
          <c:spPr>
            <a:solidFill>
              <a:schemeClr val="accent4">
                <a:lumMod val="20000"/>
                <a:lumOff val="80000"/>
              </a:schemeClr>
            </a:solidFill>
            <a:ln>
              <a:solidFill>
                <a:sysClr val="windowText" lastClr="000000"/>
              </a:solidFill>
            </a:ln>
            <a:effectLst/>
          </c:spPr>
          <c:invertIfNegative val="0"/>
          <c:cat>
            <c:strRef>
              <c:f>GRAPHS!$A$6:$A$7</c:f>
              <c:strCache>
                <c:ptCount val="2"/>
                <c:pt idx="0">
                  <c:v>ICI</c:v>
                </c:pt>
                <c:pt idx="1">
                  <c:v>IPI</c:v>
                </c:pt>
              </c:strCache>
            </c:strRef>
          </c:cat>
          <c:val>
            <c:numRef>
              <c:f>GRAPHS!$E$6:$E$7</c:f>
              <c:numCache>
                <c:formatCode>General</c:formatCode>
                <c:ptCount val="2"/>
                <c:pt idx="0">
                  <c:v>10</c:v>
                </c:pt>
                <c:pt idx="1">
                  <c:v>7</c:v>
                </c:pt>
              </c:numCache>
            </c:numRef>
          </c:val>
          <c:extLst>
            <c:ext xmlns:c16="http://schemas.microsoft.com/office/drawing/2014/chart" uri="{C3380CC4-5D6E-409C-BE32-E72D297353CC}">
              <c16:uniqueId val="{00000005-E8CF-4E9D-9F20-ABA658C34ED4}"/>
            </c:ext>
          </c:extLst>
        </c:ser>
        <c:ser>
          <c:idx val="4"/>
          <c:order val="4"/>
          <c:tx>
            <c:strRef>
              <c:f>GRAPHS!$F$5</c:f>
              <c:strCache>
                <c:ptCount val="1"/>
                <c:pt idx="0">
                  <c:v>MAE 383 K, 0.48 MPa</c:v>
                </c:pt>
              </c:strCache>
            </c:strRef>
          </c:tx>
          <c:spPr>
            <a:solidFill>
              <a:schemeClr val="accent5">
                <a:lumMod val="20000"/>
                <a:lumOff val="80000"/>
              </a:schemeClr>
            </a:solidFill>
            <a:ln>
              <a:solidFill>
                <a:schemeClr val="tx1"/>
              </a:solidFill>
            </a:ln>
            <a:effectLst/>
          </c:spPr>
          <c:invertIfNegative val="0"/>
          <c:cat>
            <c:strRef>
              <c:f>GRAPHS!$A$6:$A$7</c:f>
              <c:strCache>
                <c:ptCount val="2"/>
                <c:pt idx="0">
                  <c:v>ICI</c:v>
                </c:pt>
                <c:pt idx="1">
                  <c:v>IPI</c:v>
                </c:pt>
              </c:strCache>
            </c:strRef>
          </c:cat>
          <c:val>
            <c:numRef>
              <c:f>GRAPHS!$F$6:$F$7</c:f>
              <c:numCache>
                <c:formatCode>General</c:formatCode>
                <c:ptCount val="2"/>
                <c:pt idx="0">
                  <c:v>9</c:v>
                </c:pt>
                <c:pt idx="1">
                  <c:v>8</c:v>
                </c:pt>
              </c:numCache>
            </c:numRef>
          </c:val>
          <c:extLst>
            <c:ext xmlns:c16="http://schemas.microsoft.com/office/drawing/2014/chart" uri="{C3380CC4-5D6E-409C-BE32-E72D297353CC}">
              <c16:uniqueId val="{00000006-E8CF-4E9D-9F20-ABA658C34ED4}"/>
            </c:ext>
          </c:extLst>
        </c:ser>
        <c:dLbls>
          <c:showLegendKey val="0"/>
          <c:showVal val="0"/>
          <c:showCatName val="0"/>
          <c:showSerName val="0"/>
          <c:showPercent val="0"/>
          <c:showBubbleSize val="0"/>
        </c:dLbls>
        <c:gapWidth val="500"/>
        <c:overlap val="-80"/>
        <c:axId val="2032690319"/>
        <c:axId val="2032688399"/>
      </c:barChart>
      <c:catAx>
        <c:axId val="2032690319"/>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032688399"/>
        <c:crosses val="autoZero"/>
        <c:auto val="1"/>
        <c:lblAlgn val="ctr"/>
        <c:lblOffset val="100"/>
        <c:noMultiLvlLbl val="0"/>
      </c:catAx>
      <c:valAx>
        <c:axId val="203268839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it-IT" sz="800">
                    <a:latin typeface="Arial" panose="020B0604020202020204" pitchFamily="34" charset="0"/>
                    <a:cs typeface="Arial" panose="020B0604020202020204" pitchFamily="34" charset="0"/>
                  </a:rPr>
                  <a:t>Score</a:t>
                </a:r>
              </a:p>
            </c:rich>
          </c:tx>
          <c:layout>
            <c:manualLayout>
              <c:xMode val="edge"/>
              <c:yMode val="edge"/>
              <c:x val="3.7970314118053156E-2"/>
              <c:y val="0.40176537108393373"/>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0326903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4D204-7880-4E67-8D61-0B01994A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3841</Words>
  <Characters>21900</Characters>
  <Application>Microsoft Office Word</Application>
  <DocSecurity>0</DocSecurity>
  <Lines>182</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Maria Bolla</cp:lastModifiedBy>
  <cp:revision>41</cp:revision>
  <cp:lastPrinted>2023-06-29T06:26:00Z</cp:lastPrinted>
  <dcterms:created xsi:type="dcterms:W3CDTF">2023-06-30T12:14:00Z</dcterms:created>
  <dcterms:modified xsi:type="dcterms:W3CDTF">2023-08-01T07:22:00Z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7ba1a783-e802-36b2-80fe-ebfa6f91ec26</vt:lpwstr>
  </property>
</Properties>
</file>