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23F64" w14:paraId="2A131A54" w14:textId="77777777" w:rsidTr="00302E78">
        <w:trPr>
          <w:trHeight w:val="852"/>
          <w:jc w:val="center"/>
        </w:trPr>
        <w:tc>
          <w:tcPr>
            <w:tcW w:w="6940" w:type="dxa"/>
            <w:vMerge w:val="restart"/>
            <w:tcBorders>
              <w:right w:val="single" w:sz="4" w:space="0" w:color="auto"/>
            </w:tcBorders>
          </w:tcPr>
          <w:p w14:paraId="38C3D2BA" w14:textId="77777777" w:rsidR="000A03B2" w:rsidRPr="00423F64" w:rsidRDefault="000A03B2" w:rsidP="00DE264A">
            <w:pPr>
              <w:tabs>
                <w:tab w:val="left" w:pos="-108"/>
              </w:tabs>
              <w:ind w:left="-108"/>
              <w:jc w:val="left"/>
              <w:rPr>
                <w:rFonts w:cs="Arial"/>
                <w:b/>
                <w:bCs/>
                <w:i/>
                <w:iCs/>
                <w:color w:val="000066"/>
                <w:sz w:val="12"/>
                <w:szCs w:val="12"/>
                <w:lang w:eastAsia="it-IT"/>
              </w:rPr>
            </w:pPr>
            <w:r w:rsidRPr="00423F64">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23F64">
              <w:rPr>
                <w:rFonts w:ascii="AdvP6960" w:hAnsi="AdvP6960" w:cs="AdvP6960"/>
                <w:color w:val="241F20"/>
                <w:szCs w:val="18"/>
                <w:lang w:eastAsia="it-IT"/>
              </w:rPr>
              <w:t xml:space="preserve"> </w:t>
            </w:r>
            <w:r w:rsidRPr="00423F64">
              <w:rPr>
                <w:rFonts w:cs="Arial"/>
                <w:b/>
                <w:bCs/>
                <w:i/>
                <w:iCs/>
                <w:color w:val="000066"/>
                <w:sz w:val="24"/>
                <w:szCs w:val="24"/>
                <w:lang w:eastAsia="it-IT"/>
              </w:rPr>
              <w:t>CHEMICAL ENGINEERING</w:t>
            </w:r>
            <w:r w:rsidRPr="00423F64">
              <w:rPr>
                <w:rFonts w:cs="Arial"/>
                <w:b/>
                <w:bCs/>
                <w:i/>
                <w:iCs/>
                <w:color w:val="0033FF"/>
                <w:sz w:val="24"/>
                <w:szCs w:val="24"/>
                <w:lang w:eastAsia="it-IT"/>
              </w:rPr>
              <w:t xml:space="preserve"> </w:t>
            </w:r>
            <w:r w:rsidRPr="00423F64">
              <w:rPr>
                <w:rFonts w:cs="Arial"/>
                <w:b/>
                <w:bCs/>
                <w:i/>
                <w:iCs/>
                <w:color w:val="666666"/>
                <w:sz w:val="24"/>
                <w:szCs w:val="24"/>
                <w:lang w:eastAsia="it-IT"/>
              </w:rPr>
              <w:t>TRANSACTIONS</w:t>
            </w:r>
            <w:r w:rsidRPr="00423F64">
              <w:rPr>
                <w:color w:val="333333"/>
                <w:sz w:val="24"/>
                <w:szCs w:val="24"/>
                <w:lang w:eastAsia="it-IT"/>
              </w:rPr>
              <w:t xml:space="preserve"> </w:t>
            </w:r>
            <w:r w:rsidRPr="00423F64">
              <w:rPr>
                <w:rFonts w:cs="Arial"/>
                <w:b/>
                <w:bCs/>
                <w:i/>
                <w:iCs/>
                <w:color w:val="000066"/>
                <w:sz w:val="27"/>
                <w:szCs w:val="27"/>
                <w:lang w:eastAsia="it-IT"/>
              </w:rPr>
              <w:br/>
            </w:r>
          </w:p>
          <w:p w14:paraId="4B780582" w14:textId="530285EB" w:rsidR="000A03B2" w:rsidRPr="00423F64" w:rsidRDefault="00A76EFC" w:rsidP="001D21AF">
            <w:pPr>
              <w:tabs>
                <w:tab w:val="left" w:pos="-108"/>
              </w:tabs>
              <w:ind w:left="-108"/>
              <w:rPr>
                <w:rFonts w:cs="Arial"/>
                <w:b/>
                <w:bCs/>
                <w:i/>
                <w:iCs/>
                <w:color w:val="000066"/>
                <w:sz w:val="22"/>
                <w:szCs w:val="22"/>
                <w:lang w:eastAsia="it-IT"/>
              </w:rPr>
            </w:pPr>
            <w:r w:rsidRPr="00423F64">
              <w:rPr>
                <w:rFonts w:cs="Arial"/>
                <w:b/>
                <w:bCs/>
                <w:i/>
                <w:iCs/>
                <w:color w:val="000066"/>
                <w:sz w:val="22"/>
                <w:szCs w:val="22"/>
                <w:lang w:eastAsia="it-IT"/>
              </w:rPr>
              <w:t xml:space="preserve">VOL. </w:t>
            </w:r>
            <w:r w:rsidR="0030152C" w:rsidRPr="00423F64">
              <w:rPr>
                <w:rFonts w:cs="Arial"/>
                <w:b/>
                <w:bCs/>
                <w:i/>
                <w:iCs/>
                <w:color w:val="000066"/>
                <w:sz w:val="22"/>
                <w:szCs w:val="22"/>
                <w:lang w:eastAsia="it-IT"/>
              </w:rPr>
              <w:t xml:space="preserve"> </w:t>
            </w:r>
            <w:proofErr w:type="gramStart"/>
            <w:r w:rsidR="0030152C" w:rsidRPr="00423F64">
              <w:rPr>
                <w:rFonts w:cs="Arial"/>
                <w:b/>
                <w:bCs/>
                <w:i/>
                <w:iCs/>
                <w:color w:val="000066"/>
                <w:sz w:val="22"/>
                <w:szCs w:val="22"/>
                <w:lang w:eastAsia="it-IT"/>
              </w:rPr>
              <w:t xml:space="preserve">  </w:t>
            </w:r>
            <w:r w:rsidR="007B48F9" w:rsidRPr="00423F64">
              <w:rPr>
                <w:rFonts w:cs="Arial"/>
                <w:b/>
                <w:bCs/>
                <w:i/>
                <w:iCs/>
                <w:color w:val="000066"/>
                <w:sz w:val="22"/>
                <w:szCs w:val="22"/>
                <w:lang w:eastAsia="it-IT"/>
              </w:rPr>
              <w:t>,</w:t>
            </w:r>
            <w:proofErr w:type="gramEnd"/>
            <w:r w:rsidR="00FA5F5F" w:rsidRPr="00423F64">
              <w:rPr>
                <w:rFonts w:cs="Arial"/>
                <w:b/>
                <w:bCs/>
                <w:i/>
                <w:iCs/>
                <w:color w:val="000066"/>
                <w:sz w:val="22"/>
                <w:szCs w:val="22"/>
                <w:lang w:eastAsia="it-IT"/>
              </w:rPr>
              <w:t xml:space="preserve"> </w:t>
            </w:r>
            <w:r w:rsidR="0030152C" w:rsidRPr="00423F64">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423F64" w:rsidRDefault="000A03B2" w:rsidP="00CD5FE2">
            <w:pPr>
              <w:spacing w:line="140" w:lineRule="atLeast"/>
              <w:jc w:val="right"/>
              <w:rPr>
                <w:rFonts w:cs="Arial"/>
                <w:sz w:val="14"/>
                <w:szCs w:val="14"/>
              </w:rPr>
            </w:pPr>
            <w:r w:rsidRPr="00423F64">
              <w:rPr>
                <w:rFonts w:cs="Arial"/>
                <w:sz w:val="14"/>
                <w:szCs w:val="14"/>
              </w:rPr>
              <w:t>A publication of</w:t>
            </w:r>
          </w:p>
          <w:p w14:paraId="599E5441" w14:textId="77777777" w:rsidR="000A03B2" w:rsidRPr="00423F64" w:rsidRDefault="000A03B2" w:rsidP="00CD5FE2">
            <w:pPr>
              <w:jc w:val="right"/>
            </w:pPr>
            <w:r w:rsidRPr="00423F64">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23F64" w14:paraId="380FA3CD" w14:textId="77777777" w:rsidTr="00302E78">
        <w:trPr>
          <w:trHeight w:val="567"/>
          <w:jc w:val="center"/>
        </w:trPr>
        <w:tc>
          <w:tcPr>
            <w:tcW w:w="6940" w:type="dxa"/>
            <w:vMerge/>
            <w:tcBorders>
              <w:right w:val="single" w:sz="4" w:space="0" w:color="auto"/>
            </w:tcBorders>
          </w:tcPr>
          <w:p w14:paraId="39E5E4C1" w14:textId="77777777" w:rsidR="000A03B2" w:rsidRPr="00423F64"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423F64" w:rsidRDefault="000A03B2" w:rsidP="00CD5FE2">
            <w:pPr>
              <w:spacing w:line="140" w:lineRule="atLeast"/>
              <w:jc w:val="right"/>
              <w:rPr>
                <w:rFonts w:cs="Arial"/>
                <w:sz w:val="14"/>
                <w:szCs w:val="14"/>
              </w:rPr>
            </w:pPr>
            <w:r w:rsidRPr="00423F64">
              <w:rPr>
                <w:rFonts w:cs="Arial"/>
                <w:sz w:val="14"/>
                <w:szCs w:val="14"/>
              </w:rPr>
              <w:t>The Italian Association</w:t>
            </w:r>
          </w:p>
          <w:p w14:paraId="7522B1D2" w14:textId="77777777" w:rsidR="000A03B2" w:rsidRPr="00423F64" w:rsidRDefault="000A03B2" w:rsidP="00CD5FE2">
            <w:pPr>
              <w:spacing w:line="140" w:lineRule="atLeast"/>
              <w:jc w:val="right"/>
              <w:rPr>
                <w:rFonts w:cs="Arial"/>
                <w:sz w:val="14"/>
                <w:szCs w:val="14"/>
              </w:rPr>
            </w:pPr>
            <w:r w:rsidRPr="00423F64">
              <w:rPr>
                <w:rFonts w:cs="Arial"/>
                <w:sz w:val="14"/>
                <w:szCs w:val="14"/>
              </w:rPr>
              <w:t>of Chemical Engineering</w:t>
            </w:r>
          </w:p>
          <w:p w14:paraId="4F0CC5DE" w14:textId="47FDB2FC" w:rsidR="000A03B2" w:rsidRPr="00423F64" w:rsidRDefault="000D0268" w:rsidP="00CD5FE2">
            <w:pPr>
              <w:spacing w:line="140" w:lineRule="atLeast"/>
              <w:jc w:val="right"/>
              <w:rPr>
                <w:rFonts w:cs="Arial"/>
                <w:sz w:val="13"/>
                <w:szCs w:val="13"/>
              </w:rPr>
            </w:pPr>
            <w:r w:rsidRPr="00423F64">
              <w:rPr>
                <w:rFonts w:cs="Arial"/>
                <w:sz w:val="13"/>
                <w:szCs w:val="13"/>
              </w:rPr>
              <w:t>Online at www.cetjournal.it</w:t>
            </w:r>
          </w:p>
        </w:tc>
      </w:tr>
      <w:tr w:rsidR="000A03B2" w:rsidRPr="00423F64" w14:paraId="2D1B7169" w14:textId="77777777" w:rsidTr="00302E78">
        <w:trPr>
          <w:trHeight w:val="68"/>
          <w:jc w:val="center"/>
        </w:trPr>
        <w:tc>
          <w:tcPr>
            <w:tcW w:w="8782" w:type="dxa"/>
            <w:gridSpan w:val="2"/>
          </w:tcPr>
          <w:p w14:paraId="1D8DD3C9" w14:textId="086598E2" w:rsidR="00AA7D26" w:rsidRPr="00423F64" w:rsidRDefault="00AA7D26" w:rsidP="00AA7D26">
            <w:pPr>
              <w:ind w:left="-107"/>
              <w:outlineLvl w:val="2"/>
              <w:rPr>
                <w:rFonts w:ascii="Tahoma" w:hAnsi="Tahoma" w:cs="Tahoma"/>
                <w:bCs/>
                <w:color w:val="000000"/>
                <w:sz w:val="14"/>
                <w:szCs w:val="14"/>
                <w:lang w:eastAsia="it-IT"/>
              </w:rPr>
            </w:pPr>
            <w:r w:rsidRPr="00423F64">
              <w:rPr>
                <w:rFonts w:ascii="Tahoma" w:hAnsi="Tahoma" w:cs="Tahoma"/>
                <w:iCs/>
                <w:color w:val="333333"/>
                <w:sz w:val="14"/>
                <w:szCs w:val="14"/>
                <w:lang w:eastAsia="it-IT"/>
              </w:rPr>
              <w:t>Guest Editors:</w:t>
            </w:r>
            <w:r w:rsidRPr="00423F64">
              <w:rPr>
                <w:rFonts w:ascii="Tahoma" w:hAnsi="Tahoma" w:cs="Tahoma"/>
                <w:color w:val="000000"/>
                <w:sz w:val="14"/>
                <w:szCs w:val="14"/>
                <w:shd w:val="clear" w:color="auto" w:fill="FFFFFF"/>
              </w:rPr>
              <w:t xml:space="preserve"> </w:t>
            </w:r>
          </w:p>
          <w:p w14:paraId="1B0F1814" w14:textId="1CDEFB22" w:rsidR="000A03B2" w:rsidRPr="00423F64" w:rsidRDefault="00AA7D26" w:rsidP="00AA7D26">
            <w:pPr>
              <w:tabs>
                <w:tab w:val="left" w:pos="-108"/>
              </w:tabs>
              <w:spacing w:line="140" w:lineRule="atLeast"/>
              <w:ind w:left="-107"/>
              <w:jc w:val="left"/>
            </w:pPr>
            <w:r w:rsidRPr="00423F64">
              <w:rPr>
                <w:rFonts w:ascii="Tahoma" w:hAnsi="Tahoma" w:cs="Tahoma"/>
                <w:iCs/>
                <w:color w:val="333333"/>
                <w:sz w:val="14"/>
                <w:szCs w:val="14"/>
                <w:lang w:eastAsia="it-IT"/>
              </w:rPr>
              <w:t xml:space="preserve">Copyright © 2023, AIDIC </w:t>
            </w:r>
            <w:proofErr w:type="spellStart"/>
            <w:r w:rsidRPr="00423F64">
              <w:rPr>
                <w:rFonts w:ascii="Tahoma" w:hAnsi="Tahoma" w:cs="Tahoma"/>
                <w:iCs/>
                <w:color w:val="333333"/>
                <w:sz w:val="14"/>
                <w:szCs w:val="14"/>
                <w:lang w:eastAsia="it-IT"/>
              </w:rPr>
              <w:t>Servizi</w:t>
            </w:r>
            <w:proofErr w:type="spellEnd"/>
            <w:r w:rsidRPr="00423F64">
              <w:rPr>
                <w:rFonts w:ascii="Tahoma" w:hAnsi="Tahoma" w:cs="Tahoma"/>
                <w:iCs/>
                <w:color w:val="333333"/>
                <w:sz w:val="14"/>
                <w:szCs w:val="14"/>
                <w:lang w:eastAsia="it-IT"/>
              </w:rPr>
              <w:t xml:space="preserve"> </w:t>
            </w:r>
            <w:proofErr w:type="spellStart"/>
            <w:r w:rsidRPr="00423F64">
              <w:rPr>
                <w:rFonts w:ascii="Tahoma" w:hAnsi="Tahoma" w:cs="Tahoma"/>
                <w:iCs/>
                <w:color w:val="333333"/>
                <w:sz w:val="14"/>
                <w:szCs w:val="14"/>
                <w:lang w:eastAsia="it-IT"/>
              </w:rPr>
              <w:t>S.r.l</w:t>
            </w:r>
            <w:proofErr w:type="spellEnd"/>
            <w:r w:rsidRPr="00423F64">
              <w:rPr>
                <w:rFonts w:ascii="Tahoma" w:hAnsi="Tahoma" w:cs="Tahoma"/>
                <w:iCs/>
                <w:color w:val="333333"/>
                <w:sz w:val="14"/>
                <w:szCs w:val="14"/>
                <w:lang w:eastAsia="it-IT"/>
              </w:rPr>
              <w:t>.</w:t>
            </w:r>
            <w:r w:rsidRPr="00423F64">
              <w:rPr>
                <w:rFonts w:ascii="Tahoma" w:hAnsi="Tahoma" w:cs="Tahoma"/>
                <w:iCs/>
                <w:color w:val="333333"/>
                <w:sz w:val="14"/>
                <w:szCs w:val="14"/>
                <w:lang w:eastAsia="it-IT"/>
              </w:rPr>
              <w:br/>
            </w:r>
            <w:r w:rsidRPr="00423F64">
              <w:rPr>
                <w:rFonts w:ascii="Tahoma" w:hAnsi="Tahoma" w:cs="Tahoma"/>
                <w:b/>
                <w:iCs/>
                <w:color w:val="000000"/>
                <w:sz w:val="14"/>
                <w:szCs w:val="14"/>
                <w:lang w:eastAsia="it-IT"/>
              </w:rPr>
              <w:t>ISBN</w:t>
            </w:r>
            <w:r w:rsidRPr="00423F64">
              <w:rPr>
                <w:rFonts w:ascii="Tahoma" w:hAnsi="Tahoma" w:cs="Tahoma"/>
                <w:iCs/>
                <w:color w:val="000000"/>
                <w:sz w:val="14"/>
                <w:szCs w:val="14"/>
                <w:lang w:eastAsia="it-IT"/>
              </w:rPr>
              <w:t xml:space="preserve"> </w:t>
            </w:r>
            <w:r w:rsidR="00D2582C" w:rsidRPr="00423F64">
              <w:rPr>
                <w:rFonts w:ascii="Tahoma" w:hAnsi="Tahoma" w:cs="Tahoma"/>
                <w:sz w:val="14"/>
                <w:szCs w:val="14"/>
              </w:rPr>
              <w:t>979-12-81206-</w:t>
            </w:r>
            <w:r w:rsidR="00557E00" w:rsidRPr="00423F64">
              <w:rPr>
                <w:rFonts w:ascii="Tahoma" w:hAnsi="Tahoma" w:cs="Tahoma"/>
                <w:sz w:val="14"/>
                <w:szCs w:val="14"/>
              </w:rPr>
              <w:t>XX</w:t>
            </w:r>
            <w:r w:rsidR="00D2582C" w:rsidRPr="00423F64">
              <w:rPr>
                <w:rFonts w:ascii="Tahoma" w:hAnsi="Tahoma" w:cs="Tahoma"/>
                <w:sz w:val="14"/>
                <w:szCs w:val="14"/>
              </w:rPr>
              <w:t>-</w:t>
            </w:r>
            <w:r w:rsidR="00557E00" w:rsidRPr="00423F64">
              <w:rPr>
                <w:rFonts w:ascii="Tahoma" w:hAnsi="Tahoma" w:cs="Tahoma"/>
                <w:sz w:val="14"/>
                <w:szCs w:val="14"/>
              </w:rPr>
              <w:t>X</w:t>
            </w:r>
            <w:r w:rsidRPr="00423F64">
              <w:rPr>
                <w:rFonts w:ascii="Tahoma" w:hAnsi="Tahoma" w:cs="Tahoma"/>
                <w:iCs/>
                <w:color w:val="333333"/>
                <w:sz w:val="14"/>
                <w:szCs w:val="14"/>
                <w:lang w:eastAsia="it-IT"/>
              </w:rPr>
              <w:t xml:space="preserve">; </w:t>
            </w:r>
            <w:r w:rsidRPr="00423F64">
              <w:rPr>
                <w:rFonts w:ascii="Tahoma" w:hAnsi="Tahoma" w:cs="Tahoma"/>
                <w:b/>
                <w:iCs/>
                <w:color w:val="333333"/>
                <w:sz w:val="14"/>
                <w:szCs w:val="14"/>
                <w:lang w:eastAsia="it-IT"/>
              </w:rPr>
              <w:t>ISSN</w:t>
            </w:r>
            <w:r w:rsidRPr="00423F64">
              <w:rPr>
                <w:rFonts w:ascii="Tahoma" w:hAnsi="Tahoma" w:cs="Tahoma"/>
                <w:iCs/>
                <w:color w:val="333333"/>
                <w:sz w:val="14"/>
                <w:szCs w:val="14"/>
                <w:lang w:eastAsia="it-IT"/>
              </w:rPr>
              <w:t xml:space="preserve"> 2283-9216</w:t>
            </w:r>
          </w:p>
        </w:tc>
      </w:tr>
    </w:tbl>
    <w:p w14:paraId="2E667253" w14:textId="03C10B6A" w:rsidR="00E978D0" w:rsidRPr="00423F64" w:rsidRDefault="00302E78" w:rsidP="00E978D0">
      <w:pPr>
        <w:pStyle w:val="CETTitle"/>
      </w:pPr>
      <w:r w:rsidRPr="0086647E">
        <w:rPr>
          <w:highlight w:val="yellow"/>
        </w:rPr>
        <w:t xml:space="preserve">Optimal </w:t>
      </w:r>
      <w:r w:rsidR="006F61D4" w:rsidRPr="0086647E">
        <w:rPr>
          <w:highlight w:val="yellow"/>
        </w:rPr>
        <w:t>E</w:t>
      </w:r>
      <w:r w:rsidRPr="0086647E">
        <w:rPr>
          <w:highlight w:val="yellow"/>
        </w:rPr>
        <w:t xml:space="preserve">vacuation of </w:t>
      </w:r>
      <w:r w:rsidR="006F61D4" w:rsidRPr="0086647E">
        <w:rPr>
          <w:highlight w:val="yellow"/>
        </w:rPr>
        <w:t>P</w:t>
      </w:r>
      <w:r w:rsidR="006E3D67" w:rsidRPr="0086647E">
        <w:rPr>
          <w:highlight w:val="yellow"/>
        </w:rPr>
        <w:t>rocess</w:t>
      </w:r>
      <w:r w:rsidRPr="0086647E">
        <w:rPr>
          <w:highlight w:val="yellow"/>
        </w:rPr>
        <w:t xml:space="preserve"> </w:t>
      </w:r>
      <w:r w:rsidR="006F61D4" w:rsidRPr="0086647E">
        <w:rPr>
          <w:highlight w:val="yellow"/>
        </w:rPr>
        <w:t>P</w:t>
      </w:r>
      <w:r w:rsidRPr="0086647E">
        <w:rPr>
          <w:highlight w:val="yellow"/>
        </w:rPr>
        <w:t xml:space="preserve">lants in </w:t>
      </w:r>
      <w:r w:rsidR="006F61D4" w:rsidRPr="0086647E">
        <w:rPr>
          <w:highlight w:val="yellow"/>
        </w:rPr>
        <w:t>C</w:t>
      </w:r>
      <w:r w:rsidR="00283049" w:rsidRPr="0086647E">
        <w:rPr>
          <w:highlight w:val="yellow"/>
        </w:rPr>
        <w:t>ase</w:t>
      </w:r>
      <w:r w:rsidRPr="0086647E">
        <w:rPr>
          <w:highlight w:val="yellow"/>
        </w:rPr>
        <w:t xml:space="preserve"> of </w:t>
      </w:r>
      <w:r w:rsidR="006F61D4" w:rsidRPr="0086647E">
        <w:rPr>
          <w:highlight w:val="yellow"/>
        </w:rPr>
        <w:t>T</w:t>
      </w:r>
      <w:r w:rsidRPr="0086647E">
        <w:rPr>
          <w:highlight w:val="yellow"/>
        </w:rPr>
        <w:t xml:space="preserve">ank </w:t>
      </w:r>
      <w:r w:rsidR="006F61D4" w:rsidRPr="0086647E">
        <w:rPr>
          <w:highlight w:val="yellow"/>
        </w:rPr>
        <w:t>F</w:t>
      </w:r>
      <w:r w:rsidRPr="0086647E">
        <w:rPr>
          <w:highlight w:val="yellow"/>
        </w:rPr>
        <w:t>ires</w:t>
      </w:r>
    </w:p>
    <w:p w14:paraId="0488FED2" w14:textId="1F50703D" w:rsidR="00B57E6F" w:rsidRPr="00423F64" w:rsidRDefault="00302E78" w:rsidP="00B57E6F">
      <w:pPr>
        <w:pStyle w:val="CETAuthors"/>
      </w:pPr>
      <w:r w:rsidRPr="00423F64">
        <w:t>Nima Khakzad</w:t>
      </w:r>
      <w:r w:rsidR="00B57E6F" w:rsidRPr="00423F64">
        <w:rPr>
          <w:vertAlign w:val="superscript"/>
        </w:rPr>
        <w:t>a</w:t>
      </w:r>
      <w:r w:rsidRPr="00423F64">
        <w:rPr>
          <w:vertAlign w:val="superscript"/>
        </w:rPr>
        <w:t>,*</w:t>
      </w:r>
      <w:r w:rsidR="00B57E6F" w:rsidRPr="00423F64">
        <w:t xml:space="preserve">, </w:t>
      </w:r>
      <w:r w:rsidRPr="00423F64">
        <w:t>Paul Amyotte</w:t>
      </w:r>
      <w:r w:rsidR="00B57E6F" w:rsidRPr="00423F64">
        <w:rPr>
          <w:vertAlign w:val="superscript"/>
        </w:rPr>
        <w:t>b</w:t>
      </w:r>
    </w:p>
    <w:p w14:paraId="6B2D21B3" w14:textId="71E9D7E9" w:rsidR="00B57E6F" w:rsidRPr="00423F64" w:rsidRDefault="00B57E6F" w:rsidP="00B57E6F">
      <w:pPr>
        <w:pStyle w:val="CETAddress"/>
      </w:pPr>
      <w:r w:rsidRPr="00423F64">
        <w:rPr>
          <w:vertAlign w:val="superscript"/>
        </w:rPr>
        <w:t>a</w:t>
      </w:r>
      <w:r w:rsidR="00302E78" w:rsidRPr="00423F64">
        <w:t>Toronto Metropolitan University, Toronto, Canada</w:t>
      </w:r>
      <w:r w:rsidRPr="00423F64">
        <w:t xml:space="preserve"> </w:t>
      </w:r>
    </w:p>
    <w:p w14:paraId="3D72B0B0" w14:textId="62866A48" w:rsidR="00B57E6F" w:rsidRPr="00423F64" w:rsidRDefault="00B57E6F" w:rsidP="00B57E6F">
      <w:pPr>
        <w:pStyle w:val="CETAddress"/>
      </w:pPr>
      <w:r w:rsidRPr="00423F64">
        <w:rPr>
          <w:vertAlign w:val="superscript"/>
        </w:rPr>
        <w:t>b</w:t>
      </w:r>
      <w:r w:rsidR="00302E78" w:rsidRPr="00423F64">
        <w:t>Dalhousie University, Halifax, Canada</w:t>
      </w:r>
    </w:p>
    <w:p w14:paraId="73F1267A" w14:textId="172A68F4" w:rsidR="00B57E6F" w:rsidRPr="00423F64" w:rsidRDefault="00B57E6F" w:rsidP="00B57E6F">
      <w:pPr>
        <w:pStyle w:val="CETemail"/>
      </w:pPr>
      <w:r w:rsidRPr="00423F64">
        <w:t xml:space="preserve"> </w:t>
      </w:r>
      <w:hyperlink r:id="rId10" w:history="1">
        <w:r w:rsidR="00302E78" w:rsidRPr="00423F64">
          <w:rPr>
            <w:rStyle w:val="Hyperlink"/>
          </w:rPr>
          <w:t>nima.khakzad@torontomu.ca</w:t>
        </w:r>
      </w:hyperlink>
      <w:r w:rsidR="00302E78" w:rsidRPr="00423F64">
        <w:t xml:space="preserve"> </w:t>
      </w:r>
    </w:p>
    <w:p w14:paraId="1CFB040D" w14:textId="748BAC0E" w:rsidR="006048FB" w:rsidRPr="00423F64" w:rsidRDefault="006048FB" w:rsidP="006048FB">
      <w:pPr>
        <w:pStyle w:val="CETBodytext"/>
      </w:pPr>
      <w:r w:rsidRPr="00423F64">
        <w:t xml:space="preserve">Effective firefighting and evacuation as integral parts of emergency response in petrochemical plants play a key role in protecting human lives in the event of major tank fires. Compared to firefighting, however, studies devoted to planning and optimizing evacuation plans in the event of tank fires, and particularly concurrent tank fires, have been very few. In the present study, considering the thermal dose as the main cause of casualties in outdoor fires, an innovative methodology is developed to identify proactive evacuation plans for credible fire scenarios. The methodology consists of three main parts: (1) For a given fire scenario (e.g., a single or multiple tank fires), the tank terminal is modelled as a </w:t>
      </w:r>
      <w:r w:rsidR="00092380" w:rsidRPr="00423F64">
        <w:t>thermal</w:t>
      </w:r>
      <w:r w:rsidRPr="00423F64">
        <w:t xml:space="preserve"> graph in which the </w:t>
      </w:r>
      <w:r w:rsidR="00423F64">
        <w:t>weight</w:t>
      </w:r>
      <w:r w:rsidRPr="00423F64">
        <w:t xml:space="preserve"> of each node presents the corresponding heat flux, and the weight of each edge presents the thermal dose between the connected nodes; (2) Dijkstra’s algorithm is used to find the shortest paths (a series of </w:t>
      </w:r>
      <w:r w:rsidR="00423F64">
        <w:t xml:space="preserve">connected </w:t>
      </w:r>
      <w:r w:rsidRPr="00423F64">
        <w:t>edges with the least total thermal dose) to the safe spots (</w:t>
      </w:r>
      <w:r w:rsidR="00423F64">
        <w:t xml:space="preserve">e.g., </w:t>
      </w:r>
      <w:r w:rsidRPr="00423F64">
        <w:t>shelters</w:t>
      </w:r>
      <w:r w:rsidR="00423F64">
        <w:t>)</w:t>
      </w:r>
      <w:r w:rsidRPr="00423F64">
        <w:t xml:space="preserve">; (3) Considering the limited capacities of safe spots, mathematical programming is used to identify the number of evacuees to be assigned to each safe spot so as to minimize the total risk of casualties during evacuation. </w:t>
      </w:r>
      <w:r w:rsidR="00092380" w:rsidRPr="00423F64">
        <w:t xml:space="preserve">Application of the methodology to an illustrative process plant </w:t>
      </w:r>
      <w:r w:rsidR="00423F64">
        <w:t xml:space="preserve">resulted in </w:t>
      </w:r>
      <w:r w:rsidR="00092380" w:rsidRPr="00423F64">
        <w:t xml:space="preserve">intuitive evacuation plans, which is indicative of the methodology’s validity, particularly in the absence of similar studies for comparison and validation purposes. </w:t>
      </w:r>
    </w:p>
    <w:p w14:paraId="476B2F2E" w14:textId="77777777" w:rsidR="00600535" w:rsidRPr="00423F64" w:rsidRDefault="00600535" w:rsidP="00600535">
      <w:pPr>
        <w:pStyle w:val="CETHeading1"/>
        <w:rPr>
          <w:lang w:val="en-GB"/>
        </w:rPr>
      </w:pPr>
      <w:r w:rsidRPr="00423F64">
        <w:rPr>
          <w:lang w:val="en-GB"/>
        </w:rPr>
        <w:t>Introduction</w:t>
      </w:r>
    </w:p>
    <w:p w14:paraId="713A8890" w14:textId="003BF230" w:rsidR="007C3AC5" w:rsidRPr="00423F64" w:rsidRDefault="004F465C" w:rsidP="004F465C">
      <w:pPr>
        <w:pStyle w:val="CETBodytext"/>
        <w:rPr>
          <w:lang w:val="en-GB"/>
        </w:rPr>
      </w:pPr>
      <w:r w:rsidRPr="00423F64">
        <w:rPr>
          <w:lang w:val="en-GB"/>
        </w:rPr>
        <w:t>Among industrial plants, chemical and process plants are very susceptible to accidental and intentional fires due to the presence of large quantities of flammable chemicals</w:t>
      </w:r>
      <w:r w:rsidR="00FA6081" w:rsidRPr="00423F64">
        <w:rPr>
          <w:lang w:val="en-GB"/>
        </w:rPr>
        <w:t xml:space="preserve"> and a variety of ignition sources</w:t>
      </w:r>
      <w:r w:rsidRPr="00423F64">
        <w:rPr>
          <w:lang w:val="en-GB"/>
        </w:rPr>
        <w:t xml:space="preserve">. Fire at chemical and process plants may vary from small fires, which can safely be handled by portable fire extinguishers, to </w:t>
      </w:r>
      <w:r w:rsidR="00FA6081" w:rsidRPr="00423F64">
        <w:rPr>
          <w:lang w:val="en-GB"/>
        </w:rPr>
        <w:t>major</w:t>
      </w:r>
      <w:r w:rsidRPr="00423F64">
        <w:rPr>
          <w:lang w:val="en-GB"/>
        </w:rPr>
        <w:t xml:space="preserve"> tank fires, which </w:t>
      </w:r>
      <w:r w:rsidR="005948C7" w:rsidRPr="00423F64">
        <w:rPr>
          <w:lang w:val="en-GB"/>
        </w:rPr>
        <w:t xml:space="preserve">demand emergency response measures, including </w:t>
      </w:r>
      <w:r w:rsidRPr="00423F64">
        <w:rPr>
          <w:lang w:val="en-GB"/>
        </w:rPr>
        <w:t>plant evacuation and fire</w:t>
      </w:r>
      <w:r w:rsidR="005948C7" w:rsidRPr="00423F64">
        <w:rPr>
          <w:lang w:val="en-GB"/>
        </w:rPr>
        <w:t>fighting</w:t>
      </w:r>
      <w:r w:rsidRPr="00423F64">
        <w:rPr>
          <w:lang w:val="en-GB"/>
        </w:rPr>
        <w:t>.</w:t>
      </w:r>
      <w:r w:rsidR="00FA6081" w:rsidRPr="00423F64">
        <w:rPr>
          <w:lang w:val="en-GB"/>
        </w:rPr>
        <w:t xml:space="preserve"> Despite </w:t>
      </w:r>
      <w:r w:rsidR="00957D5D" w:rsidRPr="00423F64">
        <w:rPr>
          <w:lang w:val="en-GB"/>
        </w:rPr>
        <w:t>several</w:t>
      </w:r>
      <w:r w:rsidR="00FA6081" w:rsidRPr="00423F64">
        <w:rPr>
          <w:lang w:val="en-GB"/>
        </w:rPr>
        <w:t xml:space="preserve"> studies on fire </w:t>
      </w:r>
      <w:r w:rsidR="00957D5D" w:rsidRPr="00423F64">
        <w:rPr>
          <w:lang w:val="en-GB"/>
        </w:rPr>
        <w:t xml:space="preserve">protection </w:t>
      </w:r>
      <w:r w:rsidR="008D2B88" w:rsidRPr="00423F64">
        <w:rPr>
          <w:lang w:val="en-GB"/>
        </w:rPr>
        <w:t>(</w:t>
      </w:r>
      <w:r w:rsidR="008D2B88" w:rsidRPr="00423F64">
        <w:t>Janssens</w:t>
      </w:r>
      <w:r w:rsidR="008D2B88" w:rsidRPr="00423F64">
        <w:rPr>
          <w:lang w:val="en-GB"/>
        </w:rPr>
        <w:t xml:space="preserve"> et al., 2015; </w:t>
      </w:r>
      <w:proofErr w:type="spellStart"/>
      <w:r w:rsidR="008D2B88" w:rsidRPr="00423F64">
        <w:rPr>
          <w:lang w:val="en-GB"/>
        </w:rPr>
        <w:t>Landucci</w:t>
      </w:r>
      <w:proofErr w:type="spellEnd"/>
      <w:r w:rsidR="008D2B88" w:rsidRPr="00423F64">
        <w:rPr>
          <w:lang w:val="en-GB"/>
        </w:rPr>
        <w:t xml:space="preserve"> et al., 201</w:t>
      </w:r>
      <w:r w:rsidR="00921705" w:rsidRPr="00423F64">
        <w:rPr>
          <w:lang w:val="en-GB"/>
        </w:rPr>
        <w:t>5</w:t>
      </w:r>
      <w:r w:rsidR="00FD598F" w:rsidRPr="00423F64">
        <w:rPr>
          <w:lang w:val="en-GB"/>
        </w:rPr>
        <w:t xml:space="preserve">; </w:t>
      </w:r>
      <w:proofErr w:type="spellStart"/>
      <w:r w:rsidR="00FD598F" w:rsidRPr="00423F64">
        <w:rPr>
          <w:lang w:val="en-GB"/>
        </w:rPr>
        <w:t>Ovidi</w:t>
      </w:r>
      <w:proofErr w:type="spellEnd"/>
      <w:r w:rsidR="00FD598F" w:rsidRPr="00423F64">
        <w:rPr>
          <w:lang w:val="en-GB"/>
        </w:rPr>
        <w:t xml:space="preserve"> et al., 2021</w:t>
      </w:r>
      <w:r w:rsidR="008D2B88" w:rsidRPr="00423F64">
        <w:rPr>
          <w:lang w:val="en-GB"/>
        </w:rPr>
        <w:t xml:space="preserve">) </w:t>
      </w:r>
      <w:r w:rsidR="00957D5D" w:rsidRPr="00423F64">
        <w:rPr>
          <w:lang w:val="en-GB"/>
        </w:rPr>
        <w:t>and optimal firefighting of process plants (</w:t>
      </w:r>
      <w:proofErr w:type="spellStart"/>
      <w:r w:rsidR="00957D5D" w:rsidRPr="00423F64">
        <w:rPr>
          <w:lang w:val="en-GB"/>
        </w:rPr>
        <w:t>Khakzad</w:t>
      </w:r>
      <w:proofErr w:type="spellEnd"/>
      <w:r w:rsidR="00957D5D" w:rsidRPr="00423F64">
        <w:rPr>
          <w:lang w:val="en-GB"/>
        </w:rPr>
        <w:t xml:space="preserve">, 2018, 2021), </w:t>
      </w:r>
      <w:r w:rsidR="00FA6081" w:rsidRPr="00423F64">
        <w:rPr>
          <w:lang w:val="en-GB"/>
        </w:rPr>
        <w:t xml:space="preserve">works devoted to </w:t>
      </w:r>
      <w:r w:rsidR="007C3AC5" w:rsidRPr="00423F64">
        <w:rPr>
          <w:lang w:val="en-GB"/>
        </w:rPr>
        <w:t>evacuation</w:t>
      </w:r>
      <w:r w:rsidR="00957D5D" w:rsidRPr="00423F64">
        <w:rPr>
          <w:lang w:val="en-GB"/>
        </w:rPr>
        <w:t xml:space="preserve"> of chemical and process plants</w:t>
      </w:r>
      <w:r w:rsidR="00FA6081" w:rsidRPr="00423F64">
        <w:rPr>
          <w:lang w:val="en-GB"/>
        </w:rPr>
        <w:t xml:space="preserve"> </w:t>
      </w:r>
      <w:r w:rsidR="007C3AC5" w:rsidRPr="00423F64">
        <w:rPr>
          <w:lang w:val="en-GB"/>
        </w:rPr>
        <w:t xml:space="preserve">in the event of major fires </w:t>
      </w:r>
      <w:r w:rsidR="00FA6081" w:rsidRPr="00423F64">
        <w:rPr>
          <w:lang w:val="en-GB"/>
        </w:rPr>
        <w:t>have relatively been very few.</w:t>
      </w:r>
      <w:r w:rsidR="007C3AC5" w:rsidRPr="00423F64">
        <w:rPr>
          <w:lang w:val="en-GB"/>
        </w:rPr>
        <w:t xml:space="preserve"> </w:t>
      </w:r>
    </w:p>
    <w:p w14:paraId="409ED88D" w14:textId="777012C9" w:rsidR="004F465C" w:rsidRPr="00423F64" w:rsidRDefault="007C3AC5" w:rsidP="004F465C">
      <w:pPr>
        <w:pStyle w:val="CETBodytext"/>
        <w:rPr>
          <w:lang w:val="en-GB"/>
        </w:rPr>
      </w:pPr>
      <w:r w:rsidRPr="00423F64">
        <w:rPr>
          <w:lang w:val="en-GB"/>
        </w:rPr>
        <w:t>Previous research has usually come up with general recommendation</w:t>
      </w:r>
      <w:r w:rsidR="0098006A">
        <w:rPr>
          <w:lang w:val="en-GB"/>
        </w:rPr>
        <w:t>s</w:t>
      </w:r>
      <w:r w:rsidRPr="00423F64">
        <w:rPr>
          <w:lang w:val="en-GB"/>
        </w:rPr>
        <w:t xml:space="preserve"> for evacuation during major safety and security events (</w:t>
      </w:r>
      <w:proofErr w:type="spellStart"/>
      <w:r w:rsidRPr="00423F64">
        <w:rPr>
          <w:lang w:val="en-GB"/>
        </w:rPr>
        <w:t>Hosseinnia</w:t>
      </w:r>
      <w:proofErr w:type="spellEnd"/>
      <w:r w:rsidRPr="00423F64">
        <w:rPr>
          <w:lang w:val="en-GB"/>
        </w:rPr>
        <w:t>, et al., 2018), has investigated the issue from an economic perspective – is it economically viable to shut down and evacuate the plant? (</w:t>
      </w:r>
      <w:proofErr w:type="spellStart"/>
      <w:r w:rsidRPr="00423F64">
        <w:rPr>
          <w:lang w:val="en-GB"/>
        </w:rPr>
        <w:t>Reniers</w:t>
      </w:r>
      <w:proofErr w:type="spellEnd"/>
      <w:r w:rsidRPr="00423F64">
        <w:rPr>
          <w:lang w:val="en-GB"/>
        </w:rPr>
        <w:t xml:space="preserve"> et al., 2007), or has been devoted to evacuation in the event of </w:t>
      </w:r>
      <w:r w:rsidR="000B6B4D">
        <w:rPr>
          <w:lang w:val="en-GB"/>
        </w:rPr>
        <w:t>accidents other than</w:t>
      </w:r>
      <w:r w:rsidRPr="00423F64">
        <w:rPr>
          <w:lang w:val="en-GB"/>
        </w:rPr>
        <w:t xml:space="preserve"> fires (</w:t>
      </w:r>
      <w:r w:rsidR="00A97E3F" w:rsidRPr="00423F64">
        <w:rPr>
          <w:lang w:val="en-GB"/>
        </w:rPr>
        <w:t xml:space="preserve">Zhang et al., 2017; </w:t>
      </w:r>
      <w:proofErr w:type="spellStart"/>
      <w:r w:rsidRPr="00423F64">
        <w:rPr>
          <w:lang w:val="en-GB"/>
        </w:rPr>
        <w:t>Yoo</w:t>
      </w:r>
      <w:proofErr w:type="spellEnd"/>
      <w:r w:rsidRPr="00423F64">
        <w:rPr>
          <w:lang w:val="en-GB"/>
        </w:rPr>
        <w:t xml:space="preserve"> and Choi, 2019). </w:t>
      </w:r>
      <w:r w:rsidR="00285513">
        <w:rPr>
          <w:lang w:val="en-GB"/>
        </w:rPr>
        <w:t>Also, a</w:t>
      </w:r>
      <w:r w:rsidRPr="00423F64">
        <w:rPr>
          <w:lang w:val="en-GB"/>
        </w:rPr>
        <w:t xml:space="preserve">vailable guidelines and standards such as </w:t>
      </w:r>
      <w:r w:rsidR="00A97E3F" w:rsidRPr="00423F64">
        <w:rPr>
          <w:lang w:val="en-GB"/>
        </w:rPr>
        <w:t xml:space="preserve">CAAP (2010) </w:t>
      </w:r>
      <w:r w:rsidRPr="00423F64">
        <w:rPr>
          <w:lang w:val="en-GB"/>
        </w:rPr>
        <w:t>and API RP 2001 (2011) are too general to be used to identify optimal evacuation plans in chemical and process plant</w:t>
      </w:r>
      <w:r w:rsidR="00285513">
        <w:rPr>
          <w:lang w:val="en-GB"/>
        </w:rPr>
        <w:t xml:space="preserve"> fires</w:t>
      </w:r>
      <w:r w:rsidRPr="00423F64">
        <w:rPr>
          <w:lang w:val="en-GB"/>
        </w:rPr>
        <w:t>.</w:t>
      </w:r>
      <w:r w:rsidR="00FA6081" w:rsidRPr="00423F64">
        <w:rPr>
          <w:lang w:val="en-GB"/>
        </w:rPr>
        <w:t xml:space="preserve"> </w:t>
      </w:r>
    </w:p>
    <w:p w14:paraId="7F895E20" w14:textId="75FDFB91" w:rsidR="00CA7932" w:rsidRPr="00423F64" w:rsidRDefault="006E3D67" w:rsidP="006E3D67">
      <w:pPr>
        <w:pStyle w:val="CETBodytext"/>
        <w:rPr>
          <w:lang w:val="en-GB"/>
        </w:rPr>
      </w:pPr>
      <w:r w:rsidRPr="00423F64">
        <w:rPr>
          <w:lang w:val="en-GB"/>
        </w:rPr>
        <w:t xml:space="preserve">The present study is aimed at developing a methodology for optimal evacuation of process plants in the event of major tank fires. </w:t>
      </w:r>
      <w:r w:rsidRPr="006F61D4">
        <w:rPr>
          <w:highlight w:val="yellow"/>
          <w:lang w:val="en-GB"/>
        </w:rPr>
        <w:t xml:space="preserve">To this end, considering the thermal dose as the main cause of casualties, Dijkstra’s algorithm </w:t>
      </w:r>
      <w:r w:rsidR="0098006A" w:rsidRPr="006F61D4">
        <w:rPr>
          <w:highlight w:val="yellow"/>
          <w:lang w:val="en-GB"/>
        </w:rPr>
        <w:t xml:space="preserve">is </w:t>
      </w:r>
      <w:r w:rsidRPr="006F61D4">
        <w:rPr>
          <w:highlight w:val="yellow"/>
          <w:lang w:val="en-GB"/>
        </w:rPr>
        <w:t xml:space="preserve">used to identify the </w:t>
      </w:r>
      <w:r w:rsidR="006F61D4" w:rsidRPr="006F61D4">
        <w:rPr>
          <w:highlight w:val="yellow"/>
          <w:lang w:val="en-GB"/>
        </w:rPr>
        <w:t>shortest</w:t>
      </w:r>
      <w:r w:rsidRPr="006F61D4">
        <w:rPr>
          <w:highlight w:val="yellow"/>
          <w:lang w:val="en-GB"/>
        </w:rPr>
        <w:t xml:space="preserve"> evacuation path from an operating unit to a safe spot given single or concurrent tank fires</w:t>
      </w:r>
      <w:r w:rsidR="006F61D4" w:rsidRPr="006F61D4">
        <w:rPr>
          <w:highlight w:val="yellow"/>
          <w:lang w:val="en-GB"/>
        </w:rPr>
        <w:t xml:space="preserve">, with the distance </w:t>
      </w:r>
      <w:r w:rsidR="006F61D4">
        <w:rPr>
          <w:highlight w:val="yellow"/>
          <w:lang w:val="en-GB"/>
        </w:rPr>
        <w:t xml:space="preserve">from </w:t>
      </w:r>
      <w:r w:rsidR="006F61D4" w:rsidRPr="006F61D4">
        <w:rPr>
          <w:highlight w:val="yellow"/>
          <w:lang w:val="en-GB"/>
        </w:rPr>
        <w:t xml:space="preserve">node </w:t>
      </w:r>
      <w:proofErr w:type="spellStart"/>
      <w:r w:rsidR="006F61D4" w:rsidRPr="006F61D4">
        <w:rPr>
          <w:highlight w:val="yellow"/>
          <w:lang w:val="en-GB"/>
        </w:rPr>
        <w:t>i</w:t>
      </w:r>
      <w:proofErr w:type="spellEnd"/>
      <w:r w:rsidR="006F61D4" w:rsidRPr="006F61D4">
        <w:rPr>
          <w:highlight w:val="yellow"/>
          <w:lang w:val="en-GB"/>
        </w:rPr>
        <w:t xml:space="preserve"> </w:t>
      </w:r>
      <w:r w:rsidR="006F61D4">
        <w:rPr>
          <w:highlight w:val="yellow"/>
          <w:lang w:val="en-GB"/>
        </w:rPr>
        <w:t>to</w:t>
      </w:r>
      <w:r w:rsidR="006F61D4" w:rsidRPr="006F61D4">
        <w:rPr>
          <w:highlight w:val="yellow"/>
          <w:lang w:val="en-GB"/>
        </w:rPr>
        <w:t xml:space="preserve"> node i+1 being </w:t>
      </w:r>
      <w:r w:rsidR="006F61D4">
        <w:rPr>
          <w:highlight w:val="yellow"/>
          <w:lang w:val="en-GB"/>
        </w:rPr>
        <w:t xml:space="preserve">equal to </w:t>
      </w:r>
      <w:r w:rsidR="006F61D4" w:rsidRPr="006F61D4">
        <w:rPr>
          <w:highlight w:val="yellow"/>
          <w:lang w:val="en-GB"/>
        </w:rPr>
        <w:t xml:space="preserve">the received thermal dose from </w:t>
      </w:r>
      <w:proofErr w:type="spellStart"/>
      <w:r w:rsidR="006F61D4" w:rsidRPr="006F61D4">
        <w:rPr>
          <w:highlight w:val="yellow"/>
          <w:lang w:val="en-GB"/>
        </w:rPr>
        <w:t>i</w:t>
      </w:r>
      <w:proofErr w:type="spellEnd"/>
      <w:r w:rsidR="006F61D4" w:rsidRPr="006F61D4">
        <w:rPr>
          <w:highlight w:val="yellow"/>
          <w:lang w:val="en-GB"/>
        </w:rPr>
        <w:t xml:space="preserve"> to i+1</w:t>
      </w:r>
      <w:r w:rsidRPr="006F61D4">
        <w:rPr>
          <w:highlight w:val="yellow"/>
          <w:lang w:val="en-GB"/>
        </w:rPr>
        <w:t xml:space="preserve">. </w:t>
      </w:r>
      <w:r w:rsidR="006F61D4" w:rsidRPr="006F61D4">
        <w:rPr>
          <w:highlight w:val="yellow"/>
          <w:lang w:val="en-GB"/>
        </w:rPr>
        <w:t>This way, the shortest path would be a path with the least accumulated thermal dose, and would thus be the safest path. That being said, throughout this manuscript, shortest path and safest path are used interchangeably</w:t>
      </w:r>
      <w:r w:rsidR="006F61D4">
        <w:rPr>
          <w:lang w:val="en-GB"/>
        </w:rPr>
        <w:t xml:space="preserve">. </w:t>
      </w:r>
      <w:r w:rsidRPr="00423F64">
        <w:rPr>
          <w:lang w:val="en-GB"/>
        </w:rPr>
        <w:t>In case of having multiple limited-capacity safe spots, mathematical programming can be used to optimally disperse the evacuees among the safe spot</w:t>
      </w:r>
      <w:r w:rsidR="0098006A">
        <w:rPr>
          <w:lang w:val="en-GB"/>
        </w:rPr>
        <w:t>s</w:t>
      </w:r>
      <w:r w:rsidRPr="00423F64">
        <w:rPr>
          <w:lang w:val="en-GB"/>
        </w:rPr>
        <w:t xml:space="preserve"> in order to minimize the risk of casualties. This way, pre-planned evacuation procedures can be identified and presented in the form of decision-making tables to facilitate evacuation of process plants in the event of fire scenarios.</w:t>
      </w:r>
    </w:p>
    <w:p w14:paraId="09406386" w14:textId="0B987B4B" w:rsidR="00453E24" w:rsidRPr="00423F64" w:rsidRDefault="004E6CBC" w:rsidP="00453E24">
      <w:pPr>
        <w:pStyle w:val="CETHeading1"/>
      </w:pPr>
      <w:r w:rsidRPr="00423F64">
        <w:lastRenderedPageBreak/>
        <w:t>Methods and Materials</w:t>
      </w:r>
    </w:p>
    <w:p w14:paraId="0636B784" w14:textId="0D384E2D" w:rsidR="00453E24" w:rsidRPr="00423F64" w:rsidRDefault="004E6CBC" w:rsidP="00453E24">
      <w:pPr>
        <w:pStyle w:val="CETheadingx"/>
      </w:pPr>
      <w:r w:rsidRPr="00423F64">
        <w:t xml:space="preserve">Thermal </w:t>
      </w:r>
      <w:r w:rsidR="00BE6B8D" w:rsidRPr="00423F64">
        <w:t>grid</w:t>
      </w:r>
    </w:p>
    <w:p w14:paraId="3859B7C3" w14:textId="521551D5" w:rsidR="00266697" w:rsidRPr="00423F64" w:rsidRDefault="00266697" w:rsidP="004E6CBC">
      <w:pPr>
        <w:pStyle w:val="CETBodytext"/>
      </w:pPr>
      <w:r w:rsidRPr="00423F64">
        <w:t>Exposed to fire, t</w:t>
      </w:r>
      <w:r w:rsidR="004E6CBC" w:rsidRPr="00423F64">
        <w:t xml:space="preserve">he thermal dose </w:t>
      </w:r>
      <w:r w:rsidRPr="00423F64">
        <w:t xml:space="preserve">(D) </w:t>
      </w:r>
      <w:r w:rsidR="004E6CBC" w:rsidRPr="00423F64">
        <w:t xml:space="preserve">received by a human is dependent on the intensity of heat flux </w:t>
      </w:r>
      <w:r w:rsidR="0086647E">
        <w:t>(</w:t>
      </w:r>
      <w:r w:rsidRPr="00423F64">
        <w:t>q</w:t>
      </w:r>
      <w:r w:rsidR="0086647E">
        <w:t xml:space="preserve">) </w:t>
      </w:r>
      <w:r w:rsidR="004E6CBC" w:rsidRPr="00423F64">
        <w:t>and exposure time</w:t>
      </w:r>
      <w:r w:rsidRPr="00423F64">
        <w:t xml:space="preserve"> </w:t>
      </w:r>
      <w:r w:rsidR="0086647E">
        <w:t>(</w:t>
      </w:r>
      <w:proofErr w:type="spellStart"/>
      <w:r w:rsidRPr="00423F64">
        <w:t>t</w:t>
      </w:r>
      <w:r w:rsidRPr="00423F64">
        <w:rPr>
          <w:vertAlign w:val="subscript"/>
        </w:rPr>
        <w:t>e</w:t>
      </w:r>
      <w:proofErr w:type="spellEnd"/>
      <w:r w:rsidR="0086647E">
        <w:t xml:space="preserve">) </w:t>
      </w:r>
      <w:r w:rsidRPr="00423F64">
        <w:t>(</w:t>
      </w:r>
      <w:proofErr w:type="spellStart"/>
      <w:r w:rsidRPr="00423F64">
        <w:t>Assael</w:t>
      </w:r>
      <w:proofErr w:type="spellEnd"/>
      <w:r w:rsidRPr="00423F64">
        <w:t xml:space="preserve"> and </w:t>
      </w:r>
      <w:proofErr w:type="spellStart"/>
      <w:r w:rsidRPr="00423F64">
        <w:t>Kakosimos</w:t>
      </w:r>
      <w:proofErr w:type="spellEnd"/>
      <w:r w:rsidRPr="00423F64">
        <w:t>, 2010):</w:t>
      </w:r>
    </w:p>
    <w:p w14:paraId="55C1AF2A" w14:textId="356B51AB" w:rsidR="00266697" w:rsidRPr="00423F64" w:rsidRDefault="00266697" w:rsidP="004E6CBC">
      <w:pPr>
        <w:pStyle w:val="CETBodytext"/>
      </w:pPr>
    </w:p>
    <w:p w14:paraId="393A39D1" w14:textId="7128CEAE" w:rsidR="00266697" w:rsidRPr="00423F64" w:rsidRDefault="00266697" w:rsidP="004E6CBC">
      <w:pPr>
        <w:pStyle w:val="CETBodytext"/>
      </w:pPr>
      <m:oMath>
        <m:r>
          <w:rPr>
            <w:rFonts w:ascii="Cambria Math" w:hAnsi="Cambria Math"/>
          </w:rPr>
          <m:t>D=</m:t>
        </m:r>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4/3</m:t>
            </m:r>
          </m:sup>
        </m:sSup>
      </m:oMath>
      <w:r w:rsidRPr="00423F64">
        <w:t xml:space="preserve"> </w:t>
      </w:r>
      <w:r w:rsidRPr="00423F64">
        <w:tab/>
      </w:r>
      <w:r w:rsidRPr="00423F64">
        <w:tab/>
      </w:r>
      <w:r w:rsidRPr="00423F64">
        <w:tab/>
        <w:t>(1)</w:t>
      </w:r>
    </w:p>
    <w:p w14:paraId="458DE6F1" w14:textId="77777777" w:rsidR="00266697" w:rsidRPr="00423F64" w:rsidRDefault="00266697" w:rsidP="004E6CBC">
      <w:pPr>
        <w:pStyle w:val="CETBodytext"/>
      </w:pPr>
    </w:p>
    <w:p w14:paraId="46360583" w14:textId="57E9E821" w:rsidR="001069CD" w:rsidRPr="00423F64" w:rsidRDefault="001069CD" w:rsidP="004E6CBC">
      <w:pPr>
        <w:pStyle w:val="CETBodytext"/>
      </w:pPr>
      <w:r w:rsidRPr="00423F64">
        <w:t xml:space="preserve">For a fire, q </w:t>
      </w:r>
      <w:r w:rsidR="0086647E">
        <w:t>(W/m</w:t>
      </w:r>
      <w:r w:rsidR="0086647E" w:rsidRPr="0086647E">
        <w:rPr>
          <w:vertAlign w:val="superscript"/>
        </w:rPr>
        <w:t>2</w:t>
      </w:r>
      <w:r w:rsidR="0086647E" w:rsidRPr="00423F64">
        <w:t>)</w:t>
      </w:r>
      <w:r w:rsidR="0086647E">
        <w:t xml:space="preserve"> </w:t>
      </w:r>
      <w:r w:rsidRPr="00423F64">
        <w:t xml:space="preserve">at a distance can be calculated using a variety of analytical and numerical models (e.g., the point source mode). The exposure time </w:t>
      </w:r>
      <w:proofErr w:type="spellStart"/>
      <w:r w:rsidRPr="00423F64">
        <w:t>t</w:t>
      </w:r>
      <w:r w:rsidRPr="00423F64">
        <w:rPr>
          <w:vertAlign w:val="subscript"/>
        </w:rPr>
        <w:t>e</w:t>
      </w:r>
      <w:proofErr w:type="spellEnd"/>
      <w:r w:rsidR="0086647E">
        <w:t>(</w:t>
      </w:r>
      <w:r w:rsidR="0086647E">
        <w:t>s)</w:t>
      </w:r>
      <w:r w:rsidR="0086647E">
        <w:t xml:space="preserve"> </w:t>
      </w:r>
      <w:r w:rsidRPr="00423F64">
        <w:t>can be calculated using the relationship below (</w:t>
      </w:r>
      <w:proofErr w:type="spellStart"/>
      <w:r w:rsidRPr="00423F64">
        <w:t>Assael</w:t>
      </w:r>
      <w:proofErr w:type="spellEnd"/>
      <w:r w:rsidRPr="00423F64">
        <w:t xml:space="preserve"> and </w:t>
      </w:r>
      <w:proofErr w:type="spellStart"/>
      <w:r w:rsidRPr="00423F64">
        <w:t>Kakosimos</w:t>
      </w:r>
      <w:proofErr w:type="spellEnd"/>
      <w:r w:rsidRPr="00423F64">
        <w:t>, 2010):</w:t>
      </w:r>
    </w:p>
    <w:p w14:paraId="67E64BBD" w14:textId="08F473E5" w:rsidR="001069CD" w:rsidRPr="00423F64" w:rsidRDefault="001069CD" w:rsidP="004E6CBC">
      <w:pPr>
        <w:pStyle w:val="CETBodytext"/>
      </w:pPr>
    </w:p>
    <w:p w14:paraId="250ED0B0" w14:textId="7079D3DE" w:rsidR="001069CD" w:rsidRPr="00423F64" w:rsidRDefault="00000000" w:rsidP="004E6CBC">
      <w:pPr>
        <w:pStyle w:val="CETBodytext"/>
      </w:pPr>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u</m:t>
            </m:r>
          </m:den>
        </m:f>
      </m:oMath>
      <w:r w:rsidR="001069CD" w:rsidRPr="00423F64">
        <w:tab/>
      </w:r>
      <w:r w:rsidR="001069CD" w:rsidRPr="00423F64">
        <w:tab/>
      </w:r>
      <w:r w:rsidR="001069CD" w:rsidRPr="00423F64">
        <w:tab/>
        <w:t>(2)</w:t>
      </w:r>
    </w:p>
    <w:p w14:paraId="4184A02A" w14:textId="180135F7" w:rsidR="001069CD" w:rsidRPr="00423F64" w:rsidRDefault="001069CD" w:rsidP="004E6CBC">
      <w:pPr>
        <w:pStyle w:val="CETBodytext"/>
      </w:pPr>
    </w:p>
    <w:p w14:paraId="419126CF" w14:textId="7F92F89E" w:rsidR="001069CD" w:rsidRPr="00423F64" w:rsidRDefault="001069CD" w:rsidP="004E6CBC">
      <w:pPr>
        <w:pStyle w:val="CETBodytext"/>
      </w:pPr>
      <w:r w:rsidRPr="00423F64">
        <w:t>where t</w:t>
      </w:r>
      <w:r w:rsidRPr="00423F64">
        <w:rPr>
          <w:vertAlign w:val="subscript"/>
        </w:rPr>
        <w:t>r</w:t>
      </w:r>
      <w:r w:rsidRPr="00423F64">
        <w:t xml:space="preserve"> </w:t>
      </w:r>
      <w:r w:rsidR="0086647E">
        <w:t xml:space="preserve">(s) </w:t>
      </w:r>
      <w:r w:rsidRPr="00423F64">
        <w:t>is the reaction time; L</w:t>
      </w:r>
      <w:r w:rsidR="0086647E">
        <w:t xml:space="preserve"> (m)</w:t>
      </w:r>
      <w:r w:rsidRPr="00423F64">
        <w:t xml:space="preserve"> is the </w:t>
      </w:r>
      <w:proofErr w:type="gramStart"/>
      <w:r w:rsidRPr="00423F64">
        <w:t>distance</w:t>
      </w:r>
      <w:proofErr w:type="gramEnd"/>
      <w:r w:rsidRPr="00423F64">
        <w:t xml:space="preserve"> the exposed person should run to get the safe spot; u is the average speed of the person (~ 4</w:t>
      </w:r>
      <w:r w:rsidR="00197A22" w:rsidRPr="00423F64">
        <w:t xml:space="preserve"> </w:t>
      </w:r>
      <w:r w:rsidRPr="00423F64">
        <w:t xml:space="preserve">m/s). For trained personnel who expect fires and explosions at </w:t>
      </w:r>
      <w:r w:rsidR="008B6F31">
        <w:t xml:space="preserve">the </w:t>
      </w:r>
      <w:r w:rsidRPr="00423F64">
        <w:t>workplace, t</w:t>
      </w:r>
      <w:r w:rsidRPr="00AD7256">
        <w:rPr>
          <w:vertAlign w:val="subscript"/>
        </w:rPr>
        <w:t>r</w:t>
      </w:r>
      <w:r w:rsidRPr="00423F64">
        <w:t xml:space="preserve"> ~ 3</w:t>
      </w:r>
      <w:r w:rsidR="00197A22" w:rsidRPr="00423F64">
        <w:t xml:space="preserve"> </w:t>
      </w:r>
      <w:r w:rsidRPr="00423F64">
        <w:t xml:space="preserve">s while for </w:t>
      </w:r>
      <w:r w:rsidR="008B6F31">
        <w:t xml:space="preserve">a </w:t>
      </w:r>
      <w:r w:rsidRPr="00423F64">
        <w:t xml:space="preserve">lay person tr ~ </w:t>
      </w:r>
      <w:r w:rsidR="003159DE" w:rsidRPr="00423F64">
        <w:t>8</w:t>
      </w:r>
      <w:r w:rsidR="00197A22" w:rsidRPr="00423F64">
        <w:t xml:space="preserve"> </w:t>
      </w:r>
      <w:r w:rsidRPr="00423F64">
        <w:t xml:space="preserve">s. </w:t>
      </w:r>
    </w:p>
    <w:p w14:paraId="287A9DBA" w14:textId="1488AF2B" w:rsidR="00CE1F49" w:rsidRPr="00423F64" w:rsidRDefault="00CE1F49" w:rsidP="004E6CBC">
      <w:pPr>
        <w:pStyle w:val="CETBodytext"/>
      </w:pPr>
      <w:r w:rsidRPr="00423F64">
        <w:t>For a given fire scenario, such as a tank fire, a process plant can be modeled as a two-dimensional grid. The intensity of heat flux for each node of the grid can be calculated and assigned as the weight of that node. Subsequently, by c</w:t>
      </w:r>
      <w:r w:rsidR="001069CD" w:rsidRPr="00423F64">
        <w:t>ombining Eq</w:t>
      </w:r>
      <w:r w:rsidR="00957D5D" w:rsidRPr="00423F64">
        <w:t xml:space="preserve"> </w:t>
      </w:r>
      <w:r w:rsidR="001069CD" w:rsidRPr="00423F64">
        <w:t xml:space="preserve">(1) </w:t>
      </w:r>
      <w:r w:rsidR="00092380" w:rsidRPr="00423F64">
        <w:t>and</w:t>
      </w:r>
      <w:r w:rsidR="001069CD" w:rsidRPr="00423F64">
        <w:t xml:space="preserve"> Eq</w:t>
      </w:r>
      <w:r w:rsidR="00957D5D" w:rsidRPr="00423F64">
        <w:t xml:space="preserve"> </w:t>
      </w:r>
      <w:r w:rsidR="001069CD" w:rsidRPr="00423F64">
        <w:t>(2),</w:t>
      </w:r>
      <w:r w:rsidRPr="00423F64">
        <w:t xml:space="preserve"> the thermal dose an evacuee may receive while </w:t>
      </w:r>
      <w:r w:rsidR="00FB448D" w:rsidRPr="00423F64">
        <w:t>escaping</w:t>
      </w:r>
      <w:r w:rsidRPr="00423F64">
        <w:t xml:space="preserve"> from their location (at node </w:t>
      </w:r>
      <w:proofErr w:type="spellStart"/>
      <w:r w:rsidRPr="00423F64">
        <w:t>i</w:t>
      </w:r>
      <w:proofErr w:type="spellEnd"/>
      <w:r w:rsidRPr="00423F64">
        <w:t xml:space="preserve"> = 0) to the safe spot (at node j) can be calculated as</w:t>
      </w:r>
      <w:r w:rsidR="00702633" w:rsidRPr="00423F64">
        <w:t xml:space="preserve"> (Khakzad, 2023)</w:t>
      </w:r>
      <w:r w:rsidRPr="00423F64">
        <w:t>:</w:t>
      </w:r>
    </w:p>
    <w:p w14:paraId="75528A66" w14:textId="77777777" w:rsidR="00CE1F49" w:rsidRPr="00423F64" w:rsidRDefault="00CE1F49" w:rsidP="004E6CBC">
      <w:pPr>
        <w:pStyle w:val="CETBodytext"/>
      </w:pPr>
    </w:p>
    <w:p w14:paraId="017FFBE2" w14:textId="3C73EE2E" w:rsidR="001069CD" w:rsidRPr="00423F64" w:rsidRDefault="00CE1F49" w:rsidP="004E6CBC">
      <w:pPr>
        <w:pStyle w:val="CETBodytext"/>
      </w:pPr>
      <m:oMath>
        <m:r>
          <w:rPr>
            <w:rFonts w:ascii="Cambria Math" w:eastAsiaTheme="minorEastAsia" w:hAnsi="Cambria Math"/>
            <w:lang w:val="en-GB"/>
          </w:rPr>
          <m:t>D=</m:t>
        </m:r>
        <m:sSub>
          <m:sSubPr>
            <m:ctrlPr>
              <w:rPr>
                <w:rFonts w:ascii="Cambria Math" w:eastAsiaTheme="minorEastAsia" w:hAnsi="Cambria Math"/>
                <w:i/>
                <w:lang w:val="en-GB"/>
              </w:rPr>
            </m:ctrlPr>
          </m:sSubPr>
          <m:e>
            <m:r>
              <w:rPr>
                <w:rFonts w:ascii="Cambria Math" w:eastAsiaTheme="minorEastAsia" w:hAnsi="Cambria Math"/>
                <w:lang w:val="en-GB"/>
              </w:rPr>
              <m:t>t</m:t>
            </m:r>
          </m:e>
          <m:sub>
            <m:r>
              <w:rPr>
                <w:rFonts w:ascii="Cambria Math" w:eastAsiaTheme="minorEastAsia" w:hAnsi="Cambria Math"/>
                <w:lang w:val="en-GB"/>
              </w:rPr>
              <m:t>r</m:t>
            </m:r>
          </m:sub>
        </m:sSub>
        <m:sSubSup>
          <m:sSubSupPr>
            <m:ctrlPr>
              <w:rPr>
                <w:rFonts w:ascii="Cambria Math" w:eastAsiaTheme="minorEastAsia" w:hAnsi="Cambria Math"/>
                <w:i/>
                <w:lang w:val="en-GB"/>
              </w:rPr>
            </m:ctrlPr>
          </m:sSubSupPr>
          <m:e>
            <m:r>
              <w:rPr>
                <w:rFonts w:ascii="Cambria Math" w:eastAsiaTheme="minorEastAsia" w:hAnsi="Cambria Math"/>
                <w:lang w:val="en-GB"/>
              </w:rPr>
              <m:t xml:space="preserve"> q</m:t>
            </m:r>
          </m:e>
          <m:sub>
            <m:r>
              <w:rPr>
                <w:rFonts w:ascii="Cambria Math" w:eastAsiaTheme="minorEastAsia" w:hAnsi="Cambria Math"/>
                <w:lang w:val="en-GB"/>
              </w:rPr>
              <m:t>0</m:t>
            </m:r>
          </m:sub>
          <m:sup>
            <m:r>
              <w:rPr>
                <w:rFonts w:ascii="Cambria Math" w:eastAsiaTheme="minorEastAsia" w:hAnsi="Cambria Math"/>
                <w:lang w:val="en-GB"/>
              </w:rPr>
              <m:t xml:space="preserve">  </m:t>
            </m:r>
            <m:f>
              <m:fPr>
                <m:ctrlPr>
                  <w:rPr>
                    <w:rFonts w:ascii="Cambria Math" w:eastAsiaTheme="minorEastAsia" w:hAnsi="Cambria Math"/>
                    <w:i/>
                    <w:lang w:val="en-GB"/>
                  </w:rPr>
                </m:ctrlPr>
              </m:fPr>
              <m:num>
                <m:r>
                  <w:rPr>
                    <w:rFonts w:ascii="Cambria Math" w:eastAsiaTheme="minorEastAsia" w:hAnsi="Cambria Math"/>
                    <w:lang w:val="en-GB"/>
                  </w:rPr>
                  <m:t>4</m:t>
                </m:r>
              </m:num>
              <m:den>
                <m:r>
                  <w:rPr>
                    <w:rFonts w:ascii="Cambria Math" w:eastAsiaTheme="minorEastAsia" w:hAnsi="Cambria Math"/>
                    <w:lang w:val="en-GB"/>
                  </w:rPr>
                  <m:t>3</m:t>
                </m:r>
              </m:den>
            </m:f>
          </m:sup>
        </m:sSubSup>
        <m:r>
          <w:rPr>
            <w:rFonts w:ascii="Cambria Math" w:eastAsiaTheme="minorEastAsia" w:hAnsi="Cambria Math"/>
            <w:lang w:val="en-GB"/>
          </w:rPr>
          <m:t>+</m:t>
        </m:r>
        <m:nary>
          <m:naryPr>
            <m:chr m:val="∑"/>
            <m:limLoc m:val="undOvr"/>
            <m:ctrlPr>
              <w:rPr>
                <w:rFonts w:ascii="Cambria Math" w:eastAsiaTheme="minorEastAsia" w:hAnsi="Cambria Math"/>
                <w:i/>
                <w:lang w:val="en-GB"/>
              </w:rPr>
            </m:ctrlPr>
          </m:naryPr>
          <m:sub>
            <m:r>
              <w:rPr>
                <w:rFonts w:ascii="Cambria Math" w:eastAsiaTheme="minorEastAsia" w:hAnsi="Cambria Math"/>
                <w:lang w:val="en-GB"/>
              </w:rPr>
              <m:t>i=1</m:t>
            </m:r>
          </m:sub>
          <m:sup>
            <m:r>
              <w:rPr>
                <w:rFonts w:ascii="Cambria Math" w:eastAsiaTheme="minorEastAsia" w:hAnsi="Cambria Math"/>
                <w:lang w:val="en-GB"/>
              </w:rPr>
              <m:t>j</m:t>
            </m:r>
          </m:sup>
          <m:e>
            <m:sSup>
              <m:sSupPr>
                <m:ctrlPr>
                  <w:rPr>
                    <w:rFonts w:ascii="Cambria Math" w:eastAsiaTheme="minorEastAsia" w:hAnsi="Cambria Math"/>
                    <w:i/>
                    <w:lang w:val="en-GB"/>
                  </w:rPr>
                </m:ctrlPr>
              </m:sSupPr>
              <m:e>
                <m:d>
                  <m:dPr>
                    <m:ctrlPr>
                      <w:rPr>
                        <w:rFonts w:ascii="Cambria Math" w:eastAsiaTheme="minorEastAsia" w:hAnsi="Cambria Math"/>
                        <w:i/>
                        <w:lang w:val="en-GB"/>
                      </w:rPr>
                    </m:ctrlPr>
                  </m:dPr>
                  <m:e>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q</m:t>
                            </m:r>
                          </m:e>
                          <m:sub>
                            <m:r>
                              <w:rPr>
                                <w:rFonts w:ascii="Cambria Math" w:eastAsiaTheme="minorEastAsia" w:hAnsi="Cambria Math"/>
                                <w:lang w:val="en-GB"/>
                              </w:rPr>
                              <m:t>i</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q</m:t>
                            </m:r>
                          </m:e>
                          <m:sub>
                            <m:r>
                              <w:rPr>
                                <w:rFonts w:ascii="Cambria Math" w:eastAsiaTheme="minorEastAsia" w:hAnsi="Cambria Math"/>
                                <w:lang w:val="en-GB"/>
                              </w:rPr>
                              <m:t>i-1</m:t>
                            </m:r>
                          </m:sub>
                        </m:sSub>
                      </m:num>
                      <m:den>
                        <m:r>
                          <w:rPr>
                            <w:rFonts w:ascii="Cambria Math" w:eastAsiaTheme="minorEastAsia" w:hAnsi="Cambria Math"/>
                            <w:lang w:val="en-GB"/>
                          </w:rPr>
                          <m:t>2</m:t>
                        </m:r>
                      </m:den>
                    </m:f>
                  </m:e>
                </m:d>
              </m:e>
              <m:sup>
                <m:f>
                  <m:fPr>
                    <m:ctrlPr>
                      <w:rPr>
                        <w:rFonts w:ascii="Cambria Math" w:eastAsiaTheme="minorEastAsia" w:hAnsi="Cambria Math"/>
                        <w:i/>
                        <w:lang w:val="en-GB"/>
                      </w:rPr>
                    </m:ctrlPr>
                  </m:fPr>
                  <m:num>
                    <m:r>
                      <w:rPr>
                        <w:rFonts w:ascii="Cambria Math" w:eastAsiaTheme="minorEastAsia" w:hAnsi="Cambria Math"/>
                        <w:lang w:val="en-GB"/>
                      </w:rPr>
                      <m:t>4</m:t>
                    </m:r>
                  </m:num>
                  <m:den>
                    <m:r>
                      <w:rPr>
                        <w:rFonts w:ascii="Cambria Math" w:eastAsiaTheme="minorEastAsia" w:hAnsi="Cambria Math"/>
                        <w:lang w:val="en-GB"/>
                      </w:rPr>
                      <m:t>3</m:t>
                    </m:r>
                  </m:den>
                </m:f>
              </m:sup>
            </m:sSup>
            <m:r>
              <w:rPr>
                <w:rFonts w:ascii="Cambria Math" w:eastAsiaTheme="minorEastAsia" w:hAnsi="Cambria Math"/>
                <w:lang w:val="en-GB"/>
              </w:rPr>
              <m:t xml:space="preserve"> </m:t>
            </m:r>
            <m:f>
              <m:fPr>
                <m:ctrlPr>
                  <w:rPr>
                    <w:rFonts w:ascii="Cambria Math" w:eastAsiaTheme="minorEastAsia" w:hAnsi="Cambria Math"/>
                    <w:i/>
                    <w:lang w:val="en-GB"/>
                  </w:rPr>
                </m:ctrlPr>
              </m:fPr>
              <m:num>
                <m:r>
                  <w:rPr>
                    <w:rFonts w:ascii="Cambria Math" w:eastAsiaTheme="minorEastAsia" w:hAnsi="Cambria Math"/>
                    <w:lang w:val="en-GB"/>
                  </w:rPr>
                  <m:t>∆x</m:t>
                </m:r>
              </m:num>
              <m:den>
                <m:r>
                  <w:rPr>
                    <w:rFonts w:ascii="Cambria Math" w:eastAsiaTheme="minorEastAsia" w:hAnsi="Cambria Math"/>
                    <w:lang w:val="en-GB"/>
                  </w:rPr>
                  <m:t>u</m:t>
                </m:r>
              </m:den>
            </m:f>
          </m:e>
        </m:nary>
      </m:oMath>
      <w:r w:rsidRPr="00423F64">
        <w:t xml:space="preserve"> </w:t>
      </w:r>
      <w:r w:rsidRPr="00423F64">
        <w:tab/>
      </w:r>
      <w:r w:rsidRPr="00423F64">
        <w:tab/>
      </w:r>
      <w:r w:rsidRPr="00423F64">
        <w:tab/>
        <w:t>(3)</w:t>
      </w:r>
    </w:p>
    <w:p w14:paraId="039D7CC7" w14:textId="77777777" w:rsidR="001069CD" w:rsidRPr="00423F64" w:rsidRDefault="001069CD" w:rsidP="004E6CBC">
      <w:pPr>
        <w:pStyle w:val="CETBodytext"/>
      </w:pPr>
    </w:p>
    <w:p w14:paraId="757A05F4" w14:textId="2CC6171A" w:rsidR="007A68F6" w:rsidRPr="00423F64" w:rsidRDefault="00CE1F49" w:rsidP="007A68F6">
      <w:pPr>
        <w:pStyle w:val="CETBodytext"/>
      </w:pPr>
      <w:r w:rsidRPr="00423F64">
        <w:t xml:space="preserve">where </w:t>
      </w:r>
      <m:oMath>
        <m:sSub>
          <m:sSubPr>
            <m:ctrlPr>
              <w:rPr>
                <w:rFonts w:ascii="Cambria Math" w:hAnsi="Cambria Math"/>
              </w:rPr>
            </m:ctrlPr>
          </m:sSubPr>
          <m:e>
            <m:r>
              <w:rPr>
                <w:rFonts w:ascii="Cambria Math" w:hAnsi="Cambria Math"/>
              </w:rPr>
              <m:t>q</m:t>
            </m:r>
          </m:e>
          <m:sub>
            <m:r>
              <w:rPr>
                <w:rFonts w:ascii="Cambria Math" w:hAnsi="Cambria Math"/>
              </w:rPr>
              <m:t>i</m:t>
            </m:r>
          </m:sub>
        </m:sSub>
      </m:oMath>
      <w:r w:rsidRPr="00423F64">
        <w:t xml:space="preserve"> and </w:t>
      </w:r>
      <m:oMath>
        <m:sSub>
          <m:sSubPr>
            <m:ctrlPr>
              <w:rPr>
                <w:rFonts w:ascii="Cambria Math" w:hAnsi="Cambria Math"/>
              </w:rPr>
            </m:ctrlPr>
          </m:sSubPr>
          <m:e>
            <m:r>
              <w:rPr>
                <w:rFonts w:ascii="Cambria Math" w:hAnsi="Cambria Math"/>
              </w:rPr>
              <m:t>q</m:t>
            </m:r>
          </m:e>
          <m:sub>
            <m:r>
              <w:rPr>
                <w:rFonts w:ascii="Cambria Math" w:hAnsi="Cambria Math"/>
              </w:rPr>
              <m:t>i</m:t>
            </m:r>
            <m:r>
              <m:rPr>
                <m:sty m:val="p"/>
              </m:rPr>
              <w:rPr>
                <w:rFonts w:ascii="Cambria Math" w:hAnsi="Cambria Math"/>
              </w:rPr>
              <m:t>+1</m:t>
            </m:r>
          </m:sub>
        </m:sSub>
      </m:oMath>
      <w:r w:rsidRPr="00423F64">
        <w:t xml:space="preserve"> are two adjacent nodes on the grid; </w:t>
      </w:r>
      <m:oMath>
        <m:r>
          <m:rPr>
            <m:sty m:val="p"/>
          </m:rPr>
          <w:rPr>
            <w:rFonts w:ascii="Cambria Math" w:hAnsi="Cambria Math"/>
          </w:rPr>
          <m:t>∆</m:t>
        </m:r>
        <m:r>
          <w:rPr>
            <w:rFonts w:ascii="Cambria Math" w:hAnsi="Cambria Math"/>
          </w:rPr>
          <m:t>x</m:t>
        </m:r>
      </m:oMath>
      <w:r w:rsidRPr="00423F64">
        <w:t xml:space="preserve"> is the distance between the adjacent nodes; q</w:t>
      </w:r>
      <w:r w:rsidRPr="00423F64">
        <w:rPr>
          <w:vertAlign w:val="subscript"/>
        </w:rPr>
        <w:t>0</w:t>
      </w:r>
      <w:r w:rsidRPr="00423F64">
        <w:t xml:space="preserve"> is the heat flux at the </w:t>
      </w:r>
      <w:r w:rsidR="0035290A" w:rsidRPr="00423F64">
        <w:t>initial location of the evacuee</w:t>
      </w:r>
      <w:r w:rsidRPr="00423F64">
        <w:t>.</w:t>
      </w:r>
      <w:r w:rsidR="0035290A" w:rsidRPr="00423F64">
        <w:t xml:space="preserve"> As an example, consider a thermal grid in Figure 1 where for a given fire, </w:t>
      </w:r>
      <w:r w:rsidR="006B073F" w:rsidRPr="00423F64">
        <w:t xml:space="preserve">an evacuee should leave their initial location at node </w:t>
      </w:r>
      <w:proofErr w:type="spellStart"/>
      <w:r w:rsidR="006B073F" w:rsidRPr="00423F64">
        <w:t>i</w:t>
      </w:r>
      <w:proofErr w:type="spellEnd"/>
      <w:r w:rsidR="006B073F" w:rsidRPr="00423F64">
        <w:t xml:space="preserve"> = 0 and seek shelter at the safe spot at node </w:t>
      </w:r>
      <w:proofErr w:type="spellStart"/>
      <w:r w:rsidR="006B073F" w:rsidRPr="00423F64">
        <w:t>i</w:t>
      </w:r>
      <w:proofErr w:type="spellEnd"/>
      <w:r w:rsidR="006B073F" w:rsidRPr="00423F64">
        <w:t xml:space="preserve"> = 3. In doing so, the evacuee decides to traverse nodes </w:t>
      </w:r>
      <w:proofErr w:type="spellStart"/>
      <w:r w:rsidR="006B073F" w:rsidRPr="00423F64">
        <w:t>i</w:t>
      </w:r>
      <w:proofErr w:type="spellEnd"/>
      <w:r w:rsidR="006B073F" w:rsidRPr="00423F64">
        <w:t xml:space="preserve"> = 0, 1, 2, and 3 in sequence. T</w:t>
      </w:r>
      <w:r w:rsidR="0035290A" w:rsidRPr="00423F64">
        <w:t>he heat flux intensit</w:t>
      </w:r>
      <w:r w:rsidR="006B073F" w:rsidRPr="00423F64">
        <w:t>y</w:t>
      </w:r>
      <w:r w:rsidR="0035290A" w:rsidRPr="00423F64">
        <w:t xml:space="preserve"> </w:t>
      </w:r>
      <w:r w:rsidR="006B073F" w:rsidRPr="00423F64">
        <w:t xml:space="preserve">at each node has been calculated and shown as q inside the node. </w:t>
      </w:r>
    </w:p>
    <w:p w14:paraId="464AF5F0" w14:textId="77777777" w:rsidR="007A68F6" w:rsidRPr="00423F64" w:rsidRDefault="007A68F6" w:rsidP="007A68F6">
      <w:pPr>
        <w:pStyle w:val="CETBodytext"/>
      </w:pPr>
    </w:p>
    <w:p w14:paraId="470DEB60" w14:textId="645BC03F" w:rsidR="00CE1F49" w:rsidRPr="00423F64" w:rsidRDefault="00111C0C" w:rsidP="00CE1F49">
      <w:pPr>
        <w:spacing w:after="120" w:line="360" w:lineRule="auto"/>
        <w:rPr>
          <w:rFonts w:eastAsiaTheme="minorEastAsia"/>
        </w:rPr>
      </w:pPr>
      <w:r w:rsidRPr="00423F64">
        <w:rPr>
          <w:rFonts w:eastAsiaTheme="minorEastAsia"/>
          <w:noProof/>
        </w:rPr>
        <w:drawing>
          <wp:inline distT="0" distB="0" distL="0" distR="0" wp14:anchorId="6FE9315B" wp14:editId="7BB5AD53">
            <wp:extent cx="2788327" cy="205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8327" cy="2052000"/>
                    </a:xfrm>
                    <a:prstGeom prst="rect">
                      <a:avLst/>
                    </a:prstGeom>
                    <a:noFill/>
                  </pic:spPr>
                </pic:pic>
              </a:graphicData>
            </a:graphic>
          </wp:inline>
        </w:drawing>
      </w:r>
    </w:p>
    <w:p w14:paraId="3D966B8B" w14:textId="27FE82C0" w:rsidR="007A68F6" w:rsidRPr="00423F64" w:rsidRDefault="007A68F6" w:rsidP="007A68F6">
      <w:pPr>
        <w:pStyle w:val="CETCaption"/>
        <w:rPr>
          <w:rFonts w:eastAsiaTheme="minorEastAsia"/>
        </w:rPr>
      </w:pPr>
      <w:r w:rsidRPr="00423F64">
        <w:rPr>
          <w:rFonts w:eastAsiaTheme="minorEastAsia"/>
        </w:rPr>
        <w:t xml:space="preserve">Figure 1. Thermal </w:t>
      </w:r>
      <w:r w:rsidR="00BE6B8D" w:rsidRPr="00423F64">
        <w:rPr>
          <w:rFonts w:eastAsiaTheme="minorEastAsia"/>
        </w:rPr>
        <w:t>grid</w:t>
      </w:r>
      <w:r w:rsidRPr="00423F64">
        <w:rPr>
          <w:rFonts w:eastAsiaTheme="minorEastAsia"/>
        </w:rPr>
        <w:t xml:space="preserve"> given a fire in the process plant.</w:t>
      </w:r>
      <w:r w:rsidR="006B073F" w:rsidRPr="00423F64">
        <w:rPr>
          <w:rFonts w:eastAsiaTheme="minorEastAsia"/>
        </w:rPr>
        <w:t xml:space="preserve"> Each node is indicated with two indices:</w:t>
      </w:r>
      <w:r w:rsidRPr="00423F64">
        <w:rPr>
          <w:rFonts w:eastAsiaTheme="minorEastAsia"/>
        </w:rPr>
        <w:t xml:space="preserve"> </w:t>
      </w:r>
      <w:proofErr w:type="spellStart"/>
      <w:r w:rsidR="006B073F" w:rsidRPr="00423F64">
        <w:rPr>
          <w:rFonts w:eastAsiaTheme="minorEastAsia"/>
        </w:rPr>
        <w:t>i</w:t>
      </w:r>
      <w:proofErr w:type="spellEnd"/>
      <w:r w:rsidR="006B073F" w:rsidRPr="00423F64">
        <w:rPr>
          <w:rFonts w:eastAsiaTheme="minorEastAsia"/>
        </w:rPr>
        <w:t xml:space="preserve"> refers to the node number </w:t>
      </w:r>
      <w:r w:rsidR="00285513">
        <w:rPr>
          <w:rFonts w:eastAsiaTheme="minorEastAsia"/>
        </w:rPr>
        <w:t>while</w:t>
      </w:r>
      <w:r w:rsidR="006B073F" w:rsidRPr="00423F64">
        <w:rPr>
          <w:rFonts w:eastAsiaTheme="minorEastAsia"/>
        </w:rPr>
        <w:t xml:space="preserve"> q </w:t>
      </w:r>
      <w:r w:rsidR="00712D9A" w:rsidRPr="00423F64">
        <w:rPr>
          <w:rFonts w:eastAsiaTheme="minorEastAsia"/>
        </w:rPr>
        <w:t>(kW/m</w:t>
      </w:r>
      <w:r w:rsidR="00712D9A" w:rsidRPr="00423F64">
        <w:rPr>
          <w:rFonts w:eastAsiaTheme="minorEastAsia"/>
          <w:vertAlign w:val="superscript"/>
        </w:rPr>
        <w:t>2</w:t>
      </w:r>
      <w:r w:rsidR="00712D9A" w:rsidRPr="00423F64">
        <w:rPr>
          <w:rFonts w:eastAsiaTheme="minorEastAsia"/>
        </w:rPr>
        <w:t xml:space="preserve">) </w:t>
      </w:r>
      <w:r w:rsidR="006B073F" w:rsidRPr="00423F64">
        <w:rPr>
          <w:rFonts w:eastAsiaTheme="minorEastAsia"/>
        </w:rPr>
        <w:t xml:space="preserve">shows </w:t>
      </w:r>
      <w:r w:rsidRPr="00423F64">
        <w:rPr>
          <w:rFonts w:eastAsiaTheme="minorEastAsia"/>
        </w:rPr>
        <w:t xml:space="preserve">the intensity of heat flux at that node. </w:t>
      </w:r>
      <w:r w:rsidR="00702633" w:rsidRPr="00423F64">
        <w:rPr>
          <w:rFonts w:eastAsiaTheme="minorEastAsia"/>
        </w:rPr>
        <w:t>An evacuee is supposed t</w:t>
      </w:r>
      <w:r w:rsidR="00537C0B" w:rsidRPr="00423F64">
        <w:rPr>
          <w:rFonts w:eastAsiaTheme="minorEastAsia"/>
        </w:rPr>
        <w:t>o</w:t>
      </w:r>
      <w:r w:rsidR="00702633" w:rsidRPr="00423F64">
        <w:rPr>
          <w:rFonts w:eastAsiaTheme="minorEastAsia"/>
        </w:rPr>
        <w:t xml:space="preserve"> </w:t>
      </w:r>
      <w:r w:rsidR="00537C0B" w:rsidRPr="00423F64">
        <w:rPr>
          <w:rFonts w:eastAsiaTheme="minorEastAsia"/>
        </w:rPr>
        <w:t>e</w:t>
      </w:r>
      <w:r w:rsidR="00702633" w:rsidRPr="00423F64">
        <w:rPr>
          <w:rFonts w:eastAsiaTheme="minorEastAsia"/>
        </w:rPr>
        <w:t>s</w:t>
      </w:r>
      <w:r w:rsidR="00537C0B" w:rsidRPr="00423F64">
        <w:rPr>
          <w:rFonts w:eastAsiaTheme="minorEastAsia"/>
        </w:rPr>
        <w:t>c</w:t>
      </w:r>
      <w:r w:rsidR="00702633" w:rsidRPr="00423F64">
        <w:rPr>
          <w:rFonts w:eastAsiaTheme="minorEastAsia"/>
        </w:rPr>
        <w:t xml:space="preserve">ape from their location at </w:t>
      </w:r>
      <w:proofErr w:type="spellStart"/>
      <w:r w:rsidR="00702633" w:rsidRPr="00423F64">
        <w:rPr>
          <w:rFonts w:eastAsiaTheme="minorEastAsia"/>
        </w:rPr>
        <w:t>i</w:t>
      </w:r>
      <w:proofErr w:type="spellEnd"/>
      <w:r w:rsidR="00702633" w:rsidRPr="00423F64">
        <w:rPr>
          <w:rFonts w:eastAsiaTheme="minorEastAsia"/>
        </w:rPr>
        <w:t xml:space="preserve"> = 0 to a safe spot at </w:t>
      </w:r>
      <w:proofErr w:type="spellStart"/>
      <w:r w:rsidR="00702633" w:rsidRPr="00423F64">
        <w:rPr>
          <w:rFonts w:eastAsiaTheme="minorEastAsia"/>
        </w:rPr>
        <w:t>i</w:t>
      </w:r>
      <w:proofErr w:type="spellEnd"/>
      <w:r w:rsidR="00702633" w:rsidRPr="00423F64">
        <w:rPr>
          <w:rFonts w:eastAsiaTheme="minorEastAsia"/>
        </w:rPr>
        <w:t xml:space="preserve"> = 3. The presented path here is for illustrative purposes and is not necessarily the shortest (safest) available path. </w:t>
      </w:r>
    </w:p>
    <w:p w14:paraId="61217C9A" w14:textId="0C281D63" w:rsidR="00712D9A" w:rsidRPr="00423F64" w:rsidRDefault="00712D9A" w:rsidP="00712D9A">
      <w:pPr>
        <w:pStyle w:val="CETBodytext"/>
      </w:pPr>
      <w:r w:rsidRPr="00423F64">
        <w:t xml:space="preserve">Further, assume that the distances between the adjacent nodes are </w:t>
      </w:r>
      <m:oMath>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01</m:t>
            </m:r>
          </m:sub>
        </m:sSub>
        <m:r>
          <m:rPr>
            <m:sty m:val="p"/>
          </m:rPr>
          <w:rPr>
            <w:rFonts w:ascii="Cambria Math" w:hAnsi="Cambria Math" w:cs="Arial"/>
          </w:rPr>
          <m:t>=40 m</m:t>
        </m:r>
      </m:oMath>
      <w:r w:rsidRPr="00423F64">
        <w:t xml:space="preserve">, </w:t>
      </w: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12</m:t>
            </m:r>
          </m:sub>
        </m:sSub>
        <m:r>
          <m:rPr>
            <m:sty m:val="p"/>
          </m:rPr>
          <w:rPr>
            <w:rFonts w:ascii="Cambria Math" w:hAnsi="Cambria Math"/>
          </w:rPr>
          <m:t>=20 m</m:t>
        </m:r>
      </m:oMath>
      <w:r w:rsidRPr="00423F64">
        <w:t xml:space="preserve">, and </w:t>
      </w: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23</m:t>
            </m:r>
          </m:sub>
        </m:sSub>
        <m:r>
          <m:rPr>
            <m:sty m:val="p"/>
          </m:rPr>
          <w:rPr>
            <w:rFonts w:ascii="Cambria Math" w:hAnsi="Cambria Math"/>
          </w:rPr>
          <m:t>=40 m</m:t>
        </m:r>
      </m:oMath>
      <w:r w:rsidRPr="00423F64">
        <w:t>. Assuming t</w:t>
      </w:r>
      <w:r w:rsidRPr="00423F64">
        <w:rPr>
          <w:vertAlign w:val="subscript"/>
        </w:rPr>
        <w:t xml:space="preserve">r </w:t>
      </w:r>
      <w:r w:rsidRPr="00423F64">
        <w:t>= 3</w:t>
      </w:r>
      <w:r w:rsidR="00197A22" w:rsidRPr="00423F64">
        <w:t xml:space="preserve"> </w:t>
      </w:r>
      <w:r w:rsidRPr="00423F64">
        <w:t>s and u = 4</w:t>
      </w:r>
      <w:r w:rsidR="00197A22" w:rsidRPr="00423F64">
        <w:t xml:space="preserve"> </w:t>
      </w:r>
      <w:r w:rsidRPr="00423F64">
        <w:t xml:space="preserve">m/s, the total thermal dose the evacuee would receive while escaping from the ‘initial location’ to the ‘safe spot’ can be calculated as: </w:t>
      </w:r>
    </w:p>
    <w:p w14:paraId="2631A313" w14:textId="1314FB7B" w:rsidR="00712D9A" w:rsidRPr="001E2A25" w:rsidRDefault="00BD415E" w:rsidP="00712D9A">
      <w:pPr>
        <w:pStyle w:val="CETBodytext"/>
        <w:rPr>
          <w:rFonts w:cs="Arial"/>
        </w:rPr>
      </w:pPr>
      <m:oMath>
        <m:r>
          <m:rPr>
            <m:sty m:val="p"/>
          </m:rPr>
          <w:rPr>
            <w:rFonts w:ascii="Cambria Math" w:eastAsiaTheme="minorEastAsia" w:hAnsi="Cambria Math" w:cs="Arial"/>
            <w:lang w:val="en-GB"/>
          </w:rPr>
          <m:t>D=</m:t>
        </m:r>
        <m:sSub>
          <m:sSubPr>
            <m:ctrlPr>
              <w:rPr>
                <w:rFonts w:ascii="Cambria Math" w:eastAsiaTheme="minorEastAsia" w:hAnsi="Cambria Math" w:cs="Arial"/>
                <w:lang w:val="en-GB"/>
              </w:rPr>
            </m:ctrlPr>
          </m:sSubPr>
          <m:e>
            <m:r>
              <m:rPr>
                <m:sty m:val="p"/>
              </m:rPr>
              <w:rPr>
                <w:rFonts w:ascii="Cambria Math" w:eastAsiaTheme="minorEastAsia" w:hAnsi="Cambria Math" w:cs="Arial"/>
                <w:lang w:val="en-GB"/>
              </w:rPr>
              <m:t>t</m:t>
            </m:r>
          </m:e>
          <m:sub>
            <m:r>
              <m:rPr>
                <m:sty m:val="p"/>
              </m:rPr>
              <w:rPr>
                <w:rFonts w:ascii="Cambria Math" w:eastAsiaTheme="minorEastAsia" w:hAnsi="Cambria Math" w:cs="Arial"/>
                <w:lang w:val="en-GB"/>
              </w:rPr>
              <m:t>r</m:t>
            </m:r>
          </m:sub>
        </m:sSub>
        <m:sSubSup>
          <m:sSubSupPr>
            <m:ctrlPr>
              <w:rPr>
                <w:rFonts w:ascii="Cambria Math" w:eastAsiaTheme="minorEastAsia" w:hAnsi="Cambria Math" w:cs="Arial"/>
                <w:lang w:val="en-GB"/>
              </w:rPr>
            </m:ctrlPr>
          </m:sSubSupPr>
          <m:e>
            <m:r>
              <m:rPr>
                <m:sty m:val="p"/>
              </m:rPr>
              <w:rPr>
                <w:rFonts w:ascii="Cambria Math" w:eastAsiaTheme="minorEastAsia" w:hAnsi="Cambria Math" w:cs="Arial"/>
                <w:lang w:val="en-GB"/>
              </w:rPr>
              <m:t xml:space="preserve"> q</m:t>
            </m:r>
          </m:e>
          <m:sub>
            <m:r>
              <m:rPr>
                <m:sty m:val="p"/>
              </m:rPr>
              <w:rPr>
                <w:rFonts w:ascii="Cambria Math" w:eastAsiaTheme="minorEastAsia" w:hAnsi="Cambria Math" w:cs="Arial"/>
                <w:lang w:val="en-GB"/>
              </w:rPr>
              <m:t>0</m:t>
            </m:r>
          </m:sub>
          <m:sup>
            <m:r>
              <m:rPr>
                <m:sty m:val="p"/>
              </m:rPr>
              <w:rPr>
                <w:rFonts w:ascii="Cambria Math" w:eastAsiaTheme="minorEastAsia" w:hAnsi="Cambria Math" w:cs="Arial"/>
                <w:lang w:val="en-GB"/>
              </w:rPr>
              <m:t xml:space="preserve">  </m:t>
            </m:r>
            <m:f>
              <m:fPr>
                <m:ctrlPr>
                  <w:rPr>
                    <w:rFonts w:ascii="Cambria Math" w:eastAsiaTheme="minorEastAsia" w:hAnsi="Cambria Math" w:cs="Arial"/>
                    <w:lang w:val="en-GB"/>
                  </w:rPr>
                </m:ctrlPr>
              </m:fPr>
              <m:num>
                <m:r>
                  <m:rPr>
                    <m:sty m:val="p"/>
                  </m:rPr>
                  <w:rPr>
                    <w:rFonts w:ascii="Cambria Math" w:eastAsiaTheme="minorEastAsia" w:hAnsi="Cambria Math" w:cs="Arial"/>
                    <w:lang w:val="en-GB"/>
                  </w:rPr>
                  <m:t>4</m:t>
                </m:r>
              </m:num>
              <m:den>
                <m:r>
                  <m:rPr>
                    <m:sty m:val="p"/>
                  </m:rPr>
                  <w:rPr>
                    <w:rFonts w:ascii="Cambria Math" w:eastAsiaTheme="minorEastAsia" w:hAnsi="Cambria Math" w:cs="Arial"/>
                    <w:lang w:val="en-GB"/>
                  </w:rPr>
                  <m:t>3</m:t>
                </m:r>
              </m:den>
            </m:f>
          </m:sup>
        </m:sSubSup>
        <m:r>
          <m:rPr>
            <m:sty m:val="p"/>
          </m:rPr>
          <w:rPr>
            <w:rFonts w:ascii="Cambria Math" w:eastAsiaTheme="minorEastAsia" w:hAnsi="Cambria Math" w:cs="Arial"/>
            <w:lang w:val="en-GB"/>
          </w:rPr>
          <m:t>+</m:t>
        </m:r>
        <m:nary>
          <m:naryPr>
            <m:chr m:val="∑"/>
            <m:limLoc m:val="undOvr"/>
            <m:ctrlPr>
              <w:rPr>
                <w:rFonts w:ascii="Cambria Math" w:eastAsiaTheme="minorEastAsia" w:hAnsi="Cambria Math" w:cs="Arial"/>
                <w:lang w:val="en-GB"/>
              </w:rPr>
            </m:ctrlPr>
          </m:naryPr>
          <m:sub>
            <m:r>
              <m:rPr>
                <m:sty m:val="p"/>
              </m:rPr>
              <w:rPr>
                <w:rFonts w:ascii="Cambria Math" w:eastAsiaTheme="minorEastAsia" w:hAnsi="Cambria Math" w:cs="Arial"/>
                <w:lang w:val="en-GB"/>
              </w:rPr>
              <m:t>i=1</m:t>
            </m:r>
          </m:sub>
          <m:sup>
            <m:r>
              <m:rPr>
                <m:sty m:val="p"/>
              </m:rPr>
              <w:rPr>
                <w:rFonts w:ascii="Cambria Math" w:eastAsiaTheme="minorEastAsia" w:hAnsi="Cambria Math" w:cs="Arial"/>
                <w:lang w:val="en-GB"/>
              </w:rPr>
              <m:t>j</m:t>
            </m:r>
          </m:sup>
          <m:e>
            <m:sSup>
              <m:sSupPr>
                <m:ctrlPr>
                  <w:rPr>
                    <w:rFonts w:ascii="Cambria Math" w:eastAsiaTheme="minorEastAsia" w:hAnsi="Cambria Math" w:cs="Arial"/>
                    <w:lang w:val="en-GB"/>
                  </w:rPr>
                </m:ctrlPr>
              </m:sSupPr>
              <m:e>
                <m:d>
                  <m:dPr>
                    <m:ctrlPr>
                      <w:rPr>
                        <w:rFonts w:ascii="Cambria Math" w:eastAsiaTheme="minorEastAsia" w:hAnsi="Cambria Math" w:cs="Arial"/>
                        <w:lang w:val="en-GB"/>
                      </w:rPr>
                    </m:ctrlPr>
                  </m:dPr>
                  <m:e>
                    <m:f>
                      <m:fPr>
                        <m:ctrlPr>
                          <w:rPr>
                            <w:rFonts w:ascii="Cambria Math" w:eastAsiaTheme="minorEastAsia" w:hAnsi="Cambria Math" w:cs="Arial"/>
                            <w:lang w:val="en-GB"/>
                          </w:rPr>
                        </m:ctrlPr>
                      </m:fPr>
                      <m:num>
                        <m:sSub>
                          <m:sSubPr>
                            <m:ctrlPr>
                              <w:rPr>
                                <w:rFonts w:ascii="Cambria Math" w:eastAsiaTheme="minorEastAsia" w:hAnsi="Cambria Math" w:cs="Arial"/>
                                <w:lang w:val="en-GB"/>
                              </w:rPr>
                            </m:ctrlPr>
                          </m:sSubPr>
                          <m:e>
                            <m:r>
                              <m:rPr>
                                <m:sty m:val="p"/>
                              </m:rPr>
                              <w:rPr>
                                <w:rFonts w:ascii="Cambria Math" w:eastAsiaTheme="minorEastAsia" w:hAnsi="Cambria Math" w:cs="Arial"/>
                                <w:lang w:val="en-GB"/>
                              </w:rPr>
                              <m:t>q</m:t>
                            </m:r>
                          </m:e>
                          <m:sub>
                            <m:r>
                              <m:rPr>
                                <m:sty m:val="p"/>
                              </m:rPr>
                              <w:rPr>
                                <w:rFonts w:ascii="Cambria Math" w:eastAsiaTheme="minorEastAsia" w:hAnsi="Cambria Math" w:cs="Arial"/>
                                <w:lang w:val="en-GB"/>
                              </w:rPr>
                              <m:t>i</m:t>
                            </m:r>
                          </m:sub>
                        </m:sSub>
                        <m:r>
                          <m:rPr>
                            <m:sty m:val="p"/>
                          </m:rPr>
                          <w:rPr>
                            <w:rFonts w:ascii="Cambria Math" w:eastAsiaTheme="minorEastAsia" w:hAnsi="Cambria Math" w:cs="Arial"/>
                            <w:lang w:val="en-GB"/>
                          </w:rPr>
                          <m:t>+</m:t>
                        </m:r>
                        <m:sSub>
                          <m:sSubPr>
                            <m:ctrlPr>
                              <w:rPr>
                                <w:rFonts w:ascii="Cambria Math" w:eastAsiaTheme="minorEastAsia" w:hAnsi="Cambria Math" w:cs="Arial"/>
                                <w:lang w:val="en-GB"/>
                              </w:rPr>
                            </m:ctrlPr>
                          </m:sSubPr>
                          <m:e>
                            <m:r>
                              <m:rPr>
                                <m:sty m:val="p"/>
                              </m:rPr>
                              <w:rPr>
                                <w:rFonts w:ascii="Cambria Math" w:eastAsiaTheme="minorEastAsia" w:hAnsi="Cambria Math" w:cs="Arial"/>
                                <w:lang w:val="en-GB"/>
                              </w:rPr>
                              <m:t>q</m:t>
                            </m:r>
                          </m:e>
                          <m:sub>
                            <m:r>
                              <m:rPr>
                                <m:sty m:val="p"/>
                              </m:rPr>
                              <w:rPr>
                                <w:rFonts w:ascii="Cambria Math" w:eastAsiaTheme="minorEastAsia" w:hAnsi="Cambria Math" w:cs="Arial"/>
                                <w:lang w:val="en-GB"/>
                              </w:rPr>
                              <m:t>i-1</m:t>
                            </m:r>
                          </m:sub>
                        </m:sSub>
                      </m:num>
                      <m:den>
                        <m:r>
                          <m:rPr>
                            <m:sty m:val="p"/>
                          </m:rPr>
                          <w:rPr>
                            <w:rFonts w:ascii="Cambria Math" w:eastAsiaTheme="minorEastAsia" w:hAnsi="Cambria Math" w:cs="Arial"/>
                            <w:lang w:val="en-GB"/>
                          </w:rPr>
                          <m:t>2</m:t>
                        </m:r>
                      </m:den>
                    </m:f>
                  </m:e>
                </m:d>
              </m:e>
              <m:sup>
                <m:f>
                  <m:fPr>
                    <m:ctrlPr>
                      <w:rPr>
                        <w:rFonts w:ascii="Cambria Math" w:eastAsiaTheme="minorEastAsia" w:hAnsi="Cambria Math" w:cs="Arial"/>
                        <w:lang w:val="en-GB"/>
                      </w:rPr>
                    </m:ctrlPr>
                  </m:fPr>
                  <m:num>
                    <m:r>
                      <m:rPr>
                        <m:sty m:val="p"/>
                      </m:rPr>
                      <w:rPr>
                        <w:rFonts w:ascii="Cambria Math" w:eastAsiaTheme="minorEastAsia" w:hAnsi="Cambria Math" w:cs="Arial"/>
                        <w:lang w:val="en-GB"/>
                      </w:rPr>
                      <m:t>4</m:t>
                    </m:r>
                  </m:num>
                  <m:den>
                    <m:r>
                      <m:rPr>
                        <m:sty m:val="p"/>
                      </m:rPr>
                      <w:rPr>
                        <w:rFonts w:ascii="Cambria Math" w:eastAsiaTheme="minorEastAsia" w:hAnsi="Cambria Math" w:cs="Arial"/>
                        <w:lang w:val="en-GB"/>
                      </w:rPr>
                      <m:t>3</m:t>
                    </m:r>
                  </m:den>
                </m:f>
              </m:sup>
            </m:sSup>
            <m:r>
              <m:rPr>
                <m:sty m:val="p"/>
              </m:rPr>
              <w:rPr>
                <w:rFonts w:ascii="Cambria Math" w:eastAsiaTheme="minorEastAsia" w:hAnsi="Cambria Math" w:cs="Arial"/>
                <w:lang w:val="en-GB"/>
              </w:rPr>
              <m:t xml:space="preserve"> </m:t>
            </m:r>
            <m:f>
              <m:fPr>
                <m:ctrlPr>
                  <w:rPr>
                    <w:rFonts w:ascii="Cambria Math" w:eastAsiaTheme="minorEastAsia" w:hAnsi="Cambria Math" w:cs="Arial"/>
                    <w:lang w:val="en-GB"/>
                  </w:rPr>
                </m:ctrlPr>
              </m:fPr>
              <m:num>
                <m:r>
                  <m:rPr>
                    <m:sty m:val="p"/>
                  </m:rPr>
                  <w:rPr>
                    <w:rFonts w:ascii="Cambria Math" w:eastAsiaTheme="minorEastAsia" w:hAnsi="Cambria Math" w:cs="Arial"/>
                    <w:lang w:val="en-GB"/>
                  </w:rPr>
                  <m:t>∆x</m:t>
                </m:r>
              </m:num>
              <m:den>
                <m:r>
                  <m:rPr>
                    <m:sty m:val="p"/>
                  </m:rPr>
                  <w:rPr>
                    <w:rFonts w:ascii="Cambria Math" w:eastAsiaTheme="minorEastAsia" w:hAnsi="Cambria Math" w:cs="Arial"/>
                    <w:lang w:val="en-GB"/>
                  </w:rPr>
                  <m:t>u</m:t>
                </m:r>
              </m:den>
            </m:f>
          </m:e>
        </m:nary>
        <m:r>
          <m:rPr>
            <m:sty m:val="p"/>
          </m:rPr>
          <w:rPr>
            <w:rFonts w:ascii="Cambria Math" w:eastAsiaTheme="minorEastAsia" w:hAnsi="Cambria Math" w:cs="Arial"/>
            <w:lang w:val="en-GB"/>
          </w:rPr>
          <m:t>=3</m:t>
        </m:r>
        <m:sSup>
          <m:sSupPr>
            <m:ctrlPr>
              <w:rPr>
                <w:rFonts w:ascii="Cambria Math" w:eastAsiaTheme="minorEastAsia" w:hAnsi="Cambria Math" w:cs="Arial"/>
                <w:lang w:val="en-GB"/>
              </w:rPr>
            </m:ctrlPr>
          </m:sSupPr>
          <m:e>
            <m:r>
              <m:rPr>
                <m:sty m:val="p"/>
              </m:rPr>
              <w:rPr>
                <w:rFonts w:ascii="Cambria Math" w:eastAsiaTheme="minorEastAsia" w:hAnsi="Cambria Math" w:cs="Arial"/>
                <w:lang w:val="en-GB"/>
              </w:rPr>
              <m:t>(12000)</m:t>
            </m:r>
          </m:e>
          <m:sup>
            <m:r>
              <m:rPr>
                <m:sty m:val="p"/>
              </m:rPr>
              <w:rPr>
                <w:rFonts w:ascii="Cambria Math" w:eastAsiaTheme="minorEastAsia" w:hAnsi="Cambria Math" w:cs="Arial"/>
                <w:lang w:val="en-GB"/>
              </w:rPr>
              <m:t>4/3</m:t>
            </m:r>
          </m:sup>
        </m:sSup>
        <m:r>
          <m:rPr>
            <m:sty m:val="p"/>
          </m:rPr>
          <w:rPr>
            <w:rFonts w:ascii="Cambria Math" w:eastAsiaTheme="minorEastAsia" w:hAnsi="Cambria Math" w:cs="Arial"/>
            <w:lang w:val="en-GB"/>
          </w:rPr>
          <m:t>+</m:t>
        </m:r>
        <m:sSup>
          <m:sSupPr>
            <m:ctrlPr>
              <w:rPr>
                <w:rFonts w:ascii="Cambria Math" w:eastAsiaTheme="minorEastAsia" w:hAnsi="Cambria Math" w:cs="Arial"/>
                <w:lang w:val="en-GB"/>
              </w:rPr>
            </m:ctrlPr>
          </m:sSupPr>
          <m:e>
            <m:r>
              <m:rPr>
                <m:sty m:val="p"/>
              </m:rPr>
              <w:rPr>
                <w:rFonts w:ascii="Cambria Math" w:eastAsiaTheme="minorEastAsia" w:hAnsi="Cambria Math" w:cs="Arial"/>
                <w:lang w:val="en-GB"/>
              </w:rPr>
              <m:t>(</m:t>
            </m:r>
            <m:f>
              <m:fPr>
                <m:ctrlPr>
                  <w:rPr>
                    <w:rFonts w:ascii="Cambria Math" w:eastAsiaTheme="minorEastAsia" w:hAnsi="Cambria Math" w:cs="Arial"/>
                    <w:lang w:val="en-GB"/>
                  </w:rPr>
                </m:ctrlPr>
              </m:fPr>
              <m:num>
                <m:r>
                  <m:rPr>
                    <m:sty m:val="p"/>
                  </m:rPr>
                  <w:rPr>
                    <w:rFonts w:ascii="Cambria Math" w:eastAsiaTheme="minorEastAsia" w:hAnsi="Cambria Math" w:cs="Arial"/>
                    <w:lang w:val="en-GB"/>
                  </w:rPr>
                  <m:t>12000+8000</m:t>
                </m:r>
              </m:num>
              <m:den>
                <m:r>
                  <m:rPr>
                    <m:sty m:val="p"/>
                  </m:rPr>
                  <w:rPr>
                    <w:rFonts w:ascii="Cambria Math" w:eastAsiaTheme="minorEastAsia" w:hAnsi="Cambria Math" w:cs="Arial"/>
                    <w:lang w:val="en-GB"/>
                  </w:rPr>
                  <m:t>2</m:t>
                </m:r>
              </m:den>
            </m:f>
            <m:r>
              <m:rPr>
                <m:sty m:val="p"/>
              </m:rPr>
              <w:rPr>
                <w:rFonts w:ascii="Cambria Math" w:eastAsiaTheme="minorEastAsia" w:hAnsi="Cambria Math" w:cs="Arial"/>
                <w:lang w:val="en-GB"/>
              </w:rPr>
              <m:t>)</m:t>
            </m:r>
          </m:e>
          <m:sup>
            <m:r>
              <m:rPr>
                <m:sty m:val="p"/>
              </m:rPr>
              <w:rPr>
                <w:rFonts w:ascii="Cambria Math" w:eastAsiaTheme="minorEastAsia" w:hAnsi="Cambria Math" w:cs="Arial"/>
                <w:lang w:val="en-GB"/>
              </w:rPr>
              <m:t>4/3</m:t>
            </m:r>
          </m:sup>
        </m:sSup>
        <m:f>
          <m:fPr>
            <m:ctrlPr>
              <w:rPr>
                <w:rFonts w:ascii="Cambria Math" w:eastAsiaTheme="minorEastAsia" w:hAnsi="Cambria Math" w:cs="Arial"/>
                <w:lang w:val="en-GB"/>
              </w:rPr>
            </m:ctrlPr>
          </m:fPr>
          <m:num>
            <m:r>
              <m:rPr>
                <m:sty m:val="p"/>
              </m:rPr>
              <w:rPr>
                <w:rFonts w:ascii="Cambria Math" w:eastAsiaTheme="minorEastAsia" w:hAnsi="Cambria Math" w:cs="Arial"/>
                <w:lang w:val="en-GB"/>
              </w:rPr>
              <m:t>40</m:t>
            </m:r>
          </m:num>
          <m:den>
            <m:r>
              <m:rPr>
                <m:sty m:val="p"/>
              </m:rPr>
              <w:rPr>
                <w:rFonts w:ascii="Cambria Math" w:eastAsiaTheme="minorEastAsia" w:hAnsi="Cambria Math" w:cs="Arial"/>
                <w:lang w:val="en-GB"/>
              </w:rPr>
              <m:t>4</m:t>
            </m:r>
          </m:den>
        </m:f>
        <m:r>
          <m:rPr>
            <m:sty m:val="p"/>
          </m:rPr>
          <w:rPr>
            <w:rFonts w:ascii="Cambria Math" w:eastAsiaTheme="minorEastAsia" w:hAnsi="Cambria Math" w:cs="Arial"/>
            <w:lang w:val="en-GB"/>
          </w:rPr>
          <m:t>+</m:t>
        </m:r>
        <m:sSup>
          <m:sSupPr>
            <m:ctrlPr>
              <w:rPr>
                <w:rFonts w:ascii="Cambria Math" w:eastAsiaTheme="minorEastAsia" w:hAnsi="Cambria Math" w:cs="Arial"/>
                <w:lang w:val="en-GB"/>
              </w:rPr>
            </m:ctrlPr>
          </m:sSupPr>
          <m:e>
            <m:r>
              <m:rPr>
                <m:sty m:val="p"/>
              </m:rPr>
              <w:rPr>
                <w:rFonts w:ascii="Cambria Math" w:eastAsiaTheme="minorEastAsia" w:hAnsi="Cambria Math" w:cs="Arial"/>
                <w:lang w:val="en-GB"/>
              </w:rPr>
              <m:t>(</m:t>
            </m:r>
            <m:f>
              <m:fPr>
                <m:ctrlPr>
                  <w:rPr>
                    <w:rFonts w:ascii="Cambria Math" w:eastAsiaTheme="minorEastAsia" w:hAnsi="Cambria Math" w:cs="Arial"/>
                    <w:lang w:val="en-GB"/>
                  </w:rPr>
                </m:ctrlPr>
              </m:fPr>
              <m:num>
                <m:r>
                  <m:rPr>
                    <m:sty m:val="p"/>
                  </m:rPr>
                  <w:rPr>
                    <w:rFonts w:ascii="Cambria Math" w:eastAsiaTheme="minorEastAsia" w:hAnsi="Cambria Math" w:cs="Arial"/>
                    <w:lang w:val="en-GB"/>
                  </w:rPr>
                  <m:t>8000+8000</m:t>
                </m:r>
              </m:num>
              <m:den>
                <m:r>
                  <m:rPr>
                    <m:sty m:val="p"/>
                  </m:rPr>
                  <w:rPr>
                    <w:rFonts w:ascii="Cambria Math" w:eastAsiaTheme="minorEastAsia" w:hAnsi="Cambria Math" w:cs="Arial"/>
                    <w:lang w:val="en-GB"/>
                  </w:rPr>
                  <m:t>2</m:t>
                </m:r>
              </m:den>
            </m:f>
            <m:r>
              <m:rPr>
                <m:sty m:val="p"/>
              </m:rPr>
              <w:rPr>
                <w:rFonts w:ascii="Cambria Math" w:eastAsiaTheme="minorEastAsia" w:hAnsi="Cambria Math" w:cs="Arial"/>
                <w:lang w:val="en-GB"/>
              </w:rPr>
              <m:t>)</m:t>
            </m:r>
          </m:e>
          <m:sup>
            <m:r>
              <m:rPr>
                <m:sty m:val="p"/>
              </m:rPr>
              <w:rPr>
                <w:rFonts w:ascii="Cambria Math" w:eastAsiaTheme="minorEastAsia" w:hAnsi="Cambria Math" w:cs="Arial"/>
                <w:lang w:val="en-GB"/>
              </w:rPr>
              <m:t>4/3</m:t>
            </m:r>
          </m:sup>
        </m:sSup>
        <m:f>
          <m:fPr>
            <m:ctrlPr>
              <w:rPr>
                <w:rFonts w:ascii="Cambria Math" w:eastAsiaTheme="minorEastAsia" w:hAnsi="Cambria Math" w:cs="Arial"/>
                <w:lang w:val="en-GB"/>
              </w:rPr>
            </m:ctrlPr>
          </m:fPr>
          <m:num>
            <m:r>
              <m:rPr>
                <m:sty m:val="p"/>
              </m:rPr>
              <w:rPr>
                <w:rFonts w:ascii="Cambria Math" w:eastAsiaTheme="minorEastAsia" w:hAnsi="Cambria Math" w:cs="Arial"/>
                <w:lang w:val="en-GB"/>
              </w:rPr>
              <m:t>20</m:t>
            </m:r>
          </m:num>
          <m:den>
            <m:r>
              <m:rPr>
                <m:sty m:val="p"/>
              </m:rPr>
              <w:rPr>
                <w:rFonts w:ascii="Cambria Math" w:eastAsiaTheme="minorEastAsia" w:hAnsi="Cambria Math" w:cs="Arial"/>
                <w:lang w:val="en-GB"/>
              </w:rPr>
              <m:t>4</m:t>
            </m:r>
          </m:den>
        </m:f>
        <m:r>
          <m:rPr>
            <m:sty m:val="p"/>
          </m:rPr>
          <w:rPr>
            <w:rFonts w:ascii="Cambria Math" w:eastAsiaTheme="minorEastAsia" w:hAnsi="Cambria Math" w:cs="Arial"/>
            <w:lang w:val="en-GB"/>
          </w:rPr>
          <m:t>+</m:t>
        </m:r>
        <m:sSup>
          <m:sSupPr>
            <m:ctrlPr>
              <w:rPr>
                <w:rFonts w:ascii="Cambria Math" w:eastAsiaTheme="minorEastAsia" w:hAnsi="Cambria Math" w:cs="Arial"/>
                <w:lang w:val="en-GB"/>
              </w:rPr>
            </m:ctrlPr>
          </m:sSupPr>
          <m:e>
            <m:r>
              <m:rPr>
                <m:sty m:val="p"/>
              </m:rPr>
              <w:rPr>
                <w:rFonts w:ascii="Cambria Math" w:eastAsiaTheme="minorEastAsia" w:hAnsi="Cambria Math" w:cs="Arial"/>
                <w:lang w:val="en-GB"/>
              </w:rPr>
              <m:t>(</m:t>
            </m:r>
            <m:f>
              <m:fPr>
                <m:ctrlPr>
                  <w:rPr>
                    <w:rFonts w:ascii="Cambria Math" w:eastAsiaTheme="minorEastAsia" w:hAnsi="Cambria Math" w:cs="Arial"/>
                    <w:lang w:val="en-GB"/>
                  </w:rPr>
                </m:ctrlPr>
              </m:fPr>
              <m:num>
                <m:r>
                  <m:rPr>
                    <m:sty m:val="p"/>
                  </m:rPr>
                  <w:rPr>
                    <w:rFonts w:ascii="Cambria Math" w:eastAsiaTheme="minorEastAsia" w:hAnsi="Cambria Math" w:cs="Arial"/>
                    <w:lang w:val="en-GB"/>
                  </w:rPr>
                  <m:t>8000+2000</m:t>
                </m:r>
              </m:num>
              <m:den>
                <m:r>
                  <m:rPr>
                    <m:sty m:val="p"/>
                  </m:rPr>
                  <w:rPr>
                    <w:rFonts w:ascii="Cambria Math" w:eastAsiaTheme="minorEastAsia" w:hAnsi="Cambria Math" w:cs="Arial"/>
                    <w:lang w:val="en-GB"/>
                  </w:rPr>
                  <m:t>2</m:t>
                </m:r>
              </m:den>
            </m:f>
            <m:r>
              <m:rPr>
                <m:sty m:val="p"/>
              </m:rPr>
              <w:rPr>
                <w:rFonts w:ascii="Cambria Math" w:eastAsiaTheme="minorEastAsia" w:hAnsi="Cambria Math" w:cs="Arial"/>
                <w:lang w:val="en-GB"/>
              </w:rPr>
              <m:t>)</m:t>
            </m:r>
          </m:e>
          <m:sup>
            <m:r>
              <m:rPr>
                <m:sty m:val="p"/>
              </m:rPr>
              <w:rPr>
                <w:rFonts w:ascii="Cambria Math" w:eastAsiaTheme="minorEastAsia" w:hAnsi="Cambria Math" w:cs="Arial"/>
                <w:lang w:val="en-GB"/>
              </w:rPr>
              <m:t>4/3</m:t>
            </m:r>
          </m:sup>
        </m:sSup>
        <m:f>
          <m:fPr>
            <m:ctrlPr>
              <w:rPr>
                <w:rFonts w:ascii="Cambria Math" w:eastAsiaTheme="minorEastAsia" w:hAnsi="Cambria Math" w:cs="Arial"/>
                <w:lang w:val="en-GB"/>
              </w:rPr>
            </m:ctrlPr>
          </m:fPr>
          <m:num>
            <m:r>
              <m:rPr>
                <m:sty m:val="p"/>
              </m:rPr>
              <w:rPr>
                <w:rFonts w:ascii="Cambria Math" w:eastAsiaTheme="minorEastAsia" w:hAnsi="Cambria Math" w:cs="Arial"/>
                <w:lang w:val="en-GB"/>
              </w:rPr>
              <m:t>40</m:t>
            </m:r>
          </m:num>
          <m:den>
            <m:r>
              <m:rPr>
                <m:sty m:val="p"/>
              </m:rPr>
              <w:rPr>
                <w:rFonts w:ascii="Cambria Math" w:eastAsiaTheme="minorEastAsia" w:hAnsi="Cambria Math" w:cs="Arial"/>
                <w:lang w:val="en-GB"/>
              </w:rPr>
              <m:t>4</m:t>
            </m:r>
          </m:den>
        </m:f>
        <m:r>
          <m:rPr>
            <m:sty m:val="p"/>
          </m:rPr>
          <w:rPr>
            <w:rFonts w:ascii="Cambria Math" w:eastAsiaTheme="minorEastAsia" w:hAnsi="Cambria Math" w:cs="Arial"/>
            <w:lang w:val="en-GB"/>
          </w:rPr>
          <m:t>=4,633,617</m:t>
        </m:r>
      </m:oMath>
      <w:r w:rsidR="00712D9A" w:rsidRPr="00423F64">
        <w:rPr>
          <w:rFonts w:cs="Arial"/>
          <w:lang w:val="en-GB"/>
        </w:rPr>
        <w:t xml:space="preserve"> </w:t>
      </w:r>
      <w:r w:rsidR="001E2A25">
        <w:rPr>
          <w:rFonts w:cs="Arial"/>
          <w:lang w:val="en-GB"/>
        </w:rPr>
        <w:t>(W</w:t>
      </w:r>
      <w:r w:rsidR="001E2A25">
        <w:rPr>
          <w:rFonts w:cs="Arial"/>
          <w:vertAlign w:val="superscript"/>
          <w:lang w:val="en-GB"/>
        </w:rPr>
        <w:t>4/3</w:t>
      </w:r>
      <w:r w:rsidR="001E2A25">
        <w:rPr>
          <w:rFonts w:cs="Arial"/>
          <w:lang w:val="en-GB"/>
        </w:rPr>
        <w:t>m</w:t>
      </w:r>
      <w:r w:rsidR="001E2A25">
        <w:rPr>
          <w:rFonts w:cs="Arial"/>
          <w:vertAlign w:val="superscript"/>
          <w:lang w:val="en-GB"/>
        </w:rPr>
        <w:t>-8/3</w:t>
      </w:r>
      <w:r w:rsidR="001E2A25">
        <w:rPr>
          <w:rFonts w:cs="Arial"/>
          <w:lang w:val="en-GB"/>
        </w:rPr>
        <w:t xml:space="preserve">s). </w:t>
      </w:r>
    </w:p>
    <w:p w14:paraId="79C56BA7" w14:textId="5F57B97E" w:rsidR="00753F67" w:rsidRPr="00423F64" w:rsidRDefault="00266697" w:rsidP="004E6CBC">
      <w:pPr>
        <w:pStyle w:val="CETBodytext"/>
      </w:pPr>
      <w:r w:rsidRPr="00423F64">
        <w:lastRenderedPageBreak/>
        <w:t>Given t</w:t>
      </w:r>
      <w:r w:rsidR="004E6CBC" w:rsidRPr="00423F64">
        <w:t>he thermal dose</w:t>
      </w:r>
      <w:r w:rsidRPr="00423F64">
        <w:t>, dose-response relationships</w:t>
      </w:r>
      <w:r w:rsidR="004E6CBC" w:rsidRPr="00423F64">
        <w:t xml:space="preserve"> </w:t>
      </w:r>
      <w:r w:rsidRPr="00423F64">
        <w:t xml:space="preserve">can be used to estimate </w:t>
      </w:r>
      <w:r w:rsidR="004E6CBC" w:rsidRPr="00423F64">
        <w:t>the probability of injury (e.g., 2</w:t>
      </w:r>
      <w:r w:rsidR="004E6CBC" w:rsidRPr="00423F64">
        <w:rPr>
          <w:vertAlign w:val="superscript"/>
        </w:rPr>
        <w:t>nd</w:t>
      </w:r>
      <w:r w:rsidRPr="00423F64">
        <w:t xml:space="preserve"> </w:t>
      </w:r>
      <w:r w:rsidR="004E6CBC" w:rsidRPr="00423F64">
        <w:t>degree burn</w:t>
      </w:r>
      <w:r w:rsidRPr="00423F64">
        <w:t>s</w:t>
      </w:r>
      <w:r w:rsidR="004E6CBC" w:rsidRPr="00423F64">
        <w:t>) or death.</w:t>
      </w:r>
      <w:r w:rsidRPr="00423F64">
        <w:t xml:space="preserve"> </w:t>
      </w:r>
      <w:r w:rsidR="00491D06">
        <w:t>T</w:t>
      </w:r>
      <w:r w:rsidR="00753F67" w:rsidRPr="00423F64">
        <w:t>he following probit function can be used to estimate the death probability due to heat exposure (</w:t>
      </w:r>
      <w:proofErr w:type="spellStart"/>
      <w:r w:rsidR="00753F67" w:rsidRPr="00423F64">
        <w:t>Assael</w:t>
      </w:r>
      <w:proofErr w:type="spellEnd"/>
      <w:r w:rsidR="00753F67" w:rsidRPr="00423F64">
        <w:t xml:space="preserve"> and </w:t>
      </w:r>
      <w:proofErr w:type="spellStart"/>
      <w:r w:rsidR="00753F67" w:rsidRPr="00423F64">
        <w:t>Kakosimos</w:t>
      </w:r>
      <w:proofErr w:type="spellEnd"/>
      <w:r w:rsidR="00753F67" w:rsidRPr="00423F64">
        <w:t>, 2010):</w:t>
      </w:r>
    </w:p>
    <w:p w14:paraId="4C9D9C72" w14:textId="77777777" w:rsidR="00753F67" w:rsidRPr="00423F64" w:rsidRDefault="00753F67" w:rsidP="004E6CBC">
      <w:pPr>
        <w:pStyle w:val="CETBodytext"/>
      </w:pPr>
    </w:p>
    <w:p w14:paraId="512D5DD3" w14:textId="7E3B8615" w:rsidR="00753F67" w:rsidRPr="00423F64" w:rsidRDefault="00000000" w:rsidP="00753F67">
      <w:pPr>
        <w:pStyle w:val="CETBodytext"/>
        <w:spacing w:after="240"/>
        <w:rPr>
          <w:lang w:val="en-GB"/>
        </w:rPr>
      </w:pPr>
      <m:oMath>
        <m:func>
          <m:funcPr>
            <m:ctrlPr>
              <w:rPr>
                <w:rFonts w:ascii="Cambria Math" w:hAnsi="Cambria Math" w:cs="Arial"/>
                <w:lang w:val="en-GB"/>
              </w:rPr>
            </m:ctrlPr>
          </m:funcPr>
          <m:fName>
            <m:r>
              <m:rPr>
                <m:sty m:val="p"/>
              </m:rPr>
              <w:rPr>
                <w:rFonts w:ascii="Cambria Math" w:hAnsi="Cambria Math" w:cs="Arial"/>
                <w:lang w:val="en-GB"/>
              </w:rPr>
              <m:t>Y</m:t>
            </m:r>
          </m:fName>
          <m:e>
            <m:r>
              <m:rPr>
                <m:sty m:val="p"/>
              </m:rPr>
              <w:rPr>
                <w:rFonts w:ascii="Cambria Math" w:hAnsi="Cambria Math" w:cs="Arial"/>
                <w:lang w:val="en-GB"/>
              </w:rPr>
              <m:t>= -36.38+2.56</m:t>
            </m:r>
            <m:func>
              <m:funcPr>
                <m:ctrlPr>
                  <w:rPr>
                    <w:rFonts w:ascii="Cambria Math" w:hAnsi="Cambria Math" w:cs="Arial"/>
                    <w:lang w:val="en-GB"/>
                  </w:rPr>
                </m:ctrlPr>
              </m:funcPr>
              <m:fName>
                <m:r>
                  <m:rPr>
                    <m:sty m:val="p"/>
                  </m:rPr>
                  <w:rPr>
                    <w:rFonts w:ascii="Cambria Math" w:hAnsi="Cambria Math" w:cs="Arial"/>
                    <w:lang w:val="en-GB"/>
                  </w:rPr>
                  <m:t>ln</m:t>
                </m:r>
              </m:fName>
              <m:e>
                <m:d>
                  <m:dPr>
                    <m:ctrlPr>
                      <w:rPr>
                        <w:rFonts w:ascii="Cambria Math" w:hAnsi="Cambria Math" w:cs="Arial"/>
                        <w:lang w:val="en-GB"/>
                      </w:rPr>
                    </m:ctrlPr>
                  </m:dPr>
                  <m:e>
                    <m:r>
                      <m:rPr>
                        <m:sty m:val="p"/>
                      </m:rPr>
                      <w:rPr>
                        <w:rFonts w:ascii="Cambria Math" w:hAnsi="Cambria Math" w:cs="Arial"/>
                        <w:lang w:val="en-GB"/>
                      </w:rPr>
                      <m:t>D</m:t>
                    </m:r>
                  </m:e>
                </m:d>
              </m:e>
            </m:func>
          </m:e>
        </m:func>
      </m:oMath>
      <w:r w:rsidR="00753F67" w:rsidRPr="00423F64">
        <w:rPr>
          <w:lang w:val="en-GB"/>
        </w:rPr>
        <w:tab/>
      </w:r>
      <w:r w:rsidR="00753F67" w:rsidRPr="00423F64">
        <w:rPr>
          <w:lang w:val="en-GB"/>
        </w:rPr>
        <w:tab/>
      </w:r>
      <w:r w:rsidR="00753F67" w:rsidRPr="00423F64">
        <w:rPr>
          <w:lang w:val="en-GB"/>
        </w:rPr>
        <w:tab/>
        <w:t>(4)</w:t>
      </w:r>
    </w:p>
    <w:p w14:paraId="4C93D508" w14:textId="1FFBFD42" w:rsidR="00753F67" w:rsidRPr="00423F64" w:rsidRDefault="00753F67" w:rsidP="00753F67">
      <w:pPr>
        <w:pStyle w:val="CETBodytext"/>
        <w:spacing w:after="240"/>
        <w:rPr>
          <w:lang w:val="en-GB"/>
        </w:rPr>
      </w:pPr>
      <m:oMath>
        <m:r>
          <w:rPr>
            <w:rFonts w:ascii="Cambria Math" w:hAnsi="Cambria Math" w:cs="Arial"/>
            <w:lang w:val="en-GB"/>
          </w:rPr>
          <m:t>P=</m:t>
        </m:r>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C</m:t>
            </m:r>
          </m:sub>
        </m:sSub>
        <m:r>
          <w:rPr>
            <w:rFonts w:ascii="Cambria Math" w:hAnsi="Cambria Math" w:cs="Arial"/>
            <w:lang w:val="en-GB"/>
          </w:rPr>
          <m:t>.</m:t>
        </m:r>
        <m:r>
          <m:rPr>
            <m:sty m:val="p"/>
          </m:rPr>
          <w:rPr>
            <w:rFonts w:ascii="Cambria Math" w:hAnsi="Cambria Math" w:cs="Arial"/>
            <w:lang w:val="en-GB"/>
          </w:rPr>
          <m:t>Φ</m:t>
        </m:r>
        <m:r>
          <w:rPr>
            <w:rFonts w:ascii="Cambria Math" w:hAnsi="Cambria Math" w:cs="Arial"/>
            <w:lang w:val="en-GB"/>
          </w:rPr>
          <m:t>(Y-5)</m:t>
        </m:r>
      </m:oMath>
      <w:r w:rsidRPr="00423F64">
        <w:rPr>
          <w:lang w:val="en-GB"/>
        </w:rPr>
        <w:tab/>
      </w:r>
      <w:r w:rsidRPr="00423F64">
        <w:rPr>
          <w:lang w:val="en-GB"/>
        </w:rPr>
        <w:tab/>
      </w:r>
      <w:r w:rsidRPr="00423F64">
        <w:rPr>
          <w:lang w:val="en-GB"/>
        </w:rPr>
        <w:tab/>
        <w:t>(5)</w:t>
      </w:r>
    </w:p>
    <w:p w14:paraId="08980377" w14:textId="01950E5D" w:rsidR="00753F67" w:rsidRPr="00423F64" w:rsidRDefault="00753F67" w:rsidP="004E6CBC">
      <w:pPr>
        <w:pStyle w:val="CETBodytext"/>
      </w:pPr>
      <w:r w:rsidRPr="00423F64">
        <w:t>Where Y is the probit value; F</w:t>
      </w:r>
      <w:r w:rsidRPr="00423F64">
        <w:rPr>
          <w:vertAlign w:val="subscript"/>
        </w:rPr>
        <w:t>C</w:t>
      </w:r>
      <w:r w:rsidRPr="00423F64">
        <w:t xml:space="preserve"> is the cloth</w:t>
      </w:r>
      <w:r w:rsidR="00D25F10">
        <w:t>ing</w:t>
      </w:r>
      <w:r w:rsidRPr="00423F64">
        <w:t xml:space="preserve"> coefficient, accounting for the role of cloth</w:t>
      </w:r>
      <w:r w:rsidR="00D25F10">
        <w:t>ing</w:t>
      </w:r>
      <w:r w:rsidRPr="00423F64">
        <w:t xml:space="preserve"> in protecting an exposed human, with typical values of 0.85 and 0.18 for summer and winter outfits, respectively; Φ(.) is the cumulative density function for standard normal distribution.</w:t>
      </w:r>
    </w:p>
    <w:p w14:paraId="18BAFA6F" w14:textId="74F854A9" w:rsidR="00453E24" w:rsidRPr="00423F64" w:rsidRDefault="004E6CBC" w:rsidP="00453E24">
      <w:pPr>
        <w:pStyle w:val="CETheadingx"/>
      </w:pPr>
      <w:r w:rsidRPr="00423F64">
        <w:t xml:space="preserve">Dijkstra’s algorithm </w:t>
      </w:r>
    </w:p>
    <w:p w14:paraId="4FF5CF70" w14:textId="41818593" w:rsidR="00295383" w:rsidRPr="00423F64" w:rsidRDefault="00295383" w:rsidP="004E2716">
      <w:pPr>
        <w:pStyle w:val="CETBodytext"/>
        <w:rPr>
          <w:lang w:val="en-GB"/>
        </w:rPr>
      </w:pPr>
      <w:r w:rsidRPr="00423F64">
        <w:rPr>
          <w:lang w:val="en-GB"/>
        </w:rPr>
        <w:t xml:space="preserve">Dijkstra’s shortest path algorithm (Dijkstra, 1959) is a greedy algorithm to identify the shortest path between two nodes on a graph (or mesh). </w:t>
      </w:r>
      <w:r w:rsidR="00197A22" w:rsidRPr="00423F64">
        <w:rPr>
          <w:lang w:val="en-GB"/>
        </w:rPr>
        <w:t xml:space="preserve">In Dijkstra’s algorithm, the state of a node is identified by two variables: the distance value of the node </w:t>
      </w:r>
      <w:proofErr w:type="spellStart"/>
      <w:r w:rsidR="00197A22" w:rsidRPr="00423F64">
        <w:rPr>
          <w:lang w:val="en-GB"/>
        </w:rPr>
        <w:t>d</w:t>
      </w:r>
      <w:r w:rsidR="00197A22" w:rsidRPr="00423F64">
        <w:rPr>
          <w:vertAlign w:val="subscript"/>
          <w:lang w:val="en-GB"/>
        </w:rPr>
        <w:t>j</w:t>
      </w:r>
      <w:proofErr w:type="spellEnd"/>
      <w:r w:rsidR="00197A22" w:rsidRPr="00423F64">
        <w:rPr>
          <w:lang w:val="en-GB"/>
        </w:rPr>
        <w:t xml:space="preserve">, which is its distance from the starting node, and the status label of the node, which can be permanent (p) or temporary (t). The status label is permanent only if the distance value of the node is the shortest distance from the starting node. Dijkstra’s algorithm measures and updates the distance values of the nodes until all the status labels become permanent. The algorithm for finding the shortest paths from a starting node to other nodes of the graph includes three stages: Initialization, Updating, and Termination. </w:t>
      </w:r>
    </w:p>
    <w:p w14:paraId="5755BC9B" w14:textId="25CB11B0" w:rsidR="00197A22" w:rsidRPr="00423F64" w:rsidRDefault="00197A22" w:rsidP="00197A22">
      <w:pPr>
        <w:pStyle w:val="CETBodytext"/>
        <w:numPr>
          <w:ilvl w:val="0"/>
          <w:numId w:val="23"/>
        </w:numPr>
        <w:rPr>
          <w:lang w:val="en-GB"/>
        </w:rPr>
      </w:pPr>
      <w:r w:rsidRPr="00423F64">
        <w:rPr>
          <w:lang w:val="en-GB"/>
        </w:rPr>
        <w:t xml:space="preserve">Initialization </w:t>
      </w:r>
    </w:p>
    <w:p w14:paraId="5D7FA731" w14:textId="54C8A71A" w:rsidR="00197A22" w:rsidRPr="00423F64" w:rsidRDefault="00197A22" w:rsidP="004E2716">
      <w:pPr>
        <w:pStyle w:val="CETBodytext"/>
        <w:rPr>
          <w:lang w:val="en-GB"/>
        </w:rPr>
      </w:pPr>
      <w:r w:rsidRPr="00423F64">
        <w:rPr>
          <w:lang w:val="en-GB"/>
        </w:rPr>
        <w:t xml:space="preserve">Assign zero to the distance value and </w:t>
      </w:r>
      <w:r w:rsidR="00D25F10">
        <w:rPr>
          <w:lang w:val="en-GB"/>
        </w:rPr>
        <w:t>‘</w:t>
      </w:r>
      <w:r w:rsidRPr="00423F64">
        <w:rPr>
          <w:lang w:val="en-GB"/>
        </w:rPr>
        <w:t>permanent</w:t>
      </w:r>
      <w:r w:rsidR="00D25F10">
        <w:rPr>
          <w:lang w:val="en-GB"/>
        </w:rPr>
        <w:t>’</w:t>
      </w:r>
      <w:r w:rsidRPr="00423F64">
        <w:rPr>
          <w:lang w:val="en-GB"/>
        </w:rPr>
        <w:t xml:space="preserve"> to the status label of the starting node </w:t>
      </w:r>
      <w:proofErr w:type="spellStart"/>
      <w:r w:rsidRPr="00423F64">
        <w:rPr>
          <w:lang w:val="en-GB"/>
        </w:rPr>
        <w:t>i</w:t>
      </w:r>
      <w:proofErr w:type="spellEnd"/>
      <w:r w:rsidRPr="00423F64">
        <w:rPr>
          <w:lang w:val="en-GB"/>
        </w:rPr>
        <w:t xml:space="preserve"> = 0: The state of this node is now (0, p). Assign to every other node a distance value </w:t>
      </w:r>
      <w:r w:rsidR="00D25F10">
        <w:rPr>
          <w:lang w:val="en-GB"/>
        </w:rPr>
        <w:t>‘</w:t>
      </w:r>
      <w:r w:rsidRPr="00423F64">
        <w:rPr>
          <w:rFonts w:ascii="Calibri" w:hAnsi="Calibri" w:cs="Calibri"/>
          <w:lang w:val="en-GB"/>
        </w:rPr>
        <w:t>ꚙ</w:t>
      </w:r>
      <w:r w:rsidR="00D25F10">
        <w:rPr>
          <w:rFonts w:ascii="Calibri" w:hAnsi="Calibri" w:cs="Calibri"/>
          <w:lang w:val="en-GB"/>
        </w:rPr>
        <w:t>’</w:t>
      </w:r>
      <w:r w:rsidRPr="00423F64">
        <w:rPr>
          <w:lang w:val="en-GB"/>
        </w:rPr>
        <w:t xml:space="preserve"> and a status label </w:t>
      </w:r>
      <w:r w:rsidR="00D25F10">
        <w:rPr>
          <w:lang w:val="en-GB"/>
        </w:rPr>
        <w:t>‘</w:t>
      </w:r>
      <w:r w:rsidRPr="00423F64">
        <w:rPr>
          <w:lang w:val="en-GB"/>
        </w:rPr>
        <w:t>temporary</w:t>
      </w:r>
      <w:r w:rsidR="00D25F10">
        <w:rPr>
          <w:lang w:val="en-GB"/>
        </w:rPr>
        <w:t>’</w:t>
      </w:r>
      <w:r w:rsidRPr="00423F64">
        <w:rPr>
          <w:lang w:val="en-GB"/>
        </w:rPr>
        <w:t>. The states of the other nodes are now (</w:t>
      </w:r>
      <w:r w:rsidRPr="00423F64">
        <w:rPr>
          <w:rFonts w:ascii="Calibri" w:hAnsi="Calibri" w:cs="Calibri"/>
          <w:lang w:val="en-GB"/>
        </w:rPr>
        <w:t>ꚙ</w:t>
      </w:r>
      <w:r w:rsidRPr="00423F64">
        <w:rPr>
          <w:lang w:val="en-GB"/>
        </w:rPr>
        <w:t xml:space="preserve">, t). Designate the starting node </w:t>
      </w:r>
      <w:proofErr w:type="spellStart"/>
      <w:r w:rsidRPr="00423F64">
        <w:rPr>
          <w:lang w:val="en-GB"/>
        </w:rPr>
        <w:t>i</w:t>
      </w:r>
      <w:proofErr w:type="spellEnd"/>
      <w:r w:rsidRPr="00423F64">
        <w:rPr>
          <w:lang w:val="en-GB"/>
        </w:rPr>
        <w:t xml:space="preserve"> = 0 as the </w:t>
      </w:r>
      <w:r w:rsidR="00D25F10">
        <w:rPr>
          <w:lang w:val="en-GB"/>
        </w:rPr>
        <w:t>‘</w:t>
      </w:r>
      <w:r w:rsidRPr="00423F64">
        <w:rPr>
          <w:lang w:val="en-GB"/>
        </w:rPr>
        <w:t>current</w:t>
      </w:r>
      <w:r w:rsidR="00D25F10">
        <w:rPr>
          <w:lang w:val="en-GB"/>
        </w:rPr>
        <w:t>’</w:t>
      </w:r>
      <w:r w:rsidRPr="00423F64">
        <w:rPr>
          <w:lang w:val="en-GB"/>
        </w:rPr>
        <w:t xml:space="preserve"> node.</w:t>
      </w:r>
    </w:p>
    <w:p w14:paraId="05D9CBD5" w14:textId="7B22CFD1" w:rsidR="00197A22" w:rsidRPr="00423F64" w:rsidRDefault="00197A22" w:rsidP="00197A22">
      <w:pPr>
        <w:pStyle w:val="CETBodytext"/>
        <w:numPr>
          <w:ilvl w:val="0"/>
          <w:numId w:val="23"/>
        </w:numPr>
        <w:rPr>
          <w:lang w:val="en-GB"/>
        </w:rPr>
      </w:pPr>
      <w:r w:rsidRPr="00423F64">
        <w:rPr>
          <w:lang w:val="en-GB"/>
        </w:rPr>
        <w:t xml:space="preserve">Updating distance values </w:t>
      </w:r>
    </w:p>
    <w:p w14:paraId="4E469250" w14:textId="73BFABF8" w:rsidR="00197A22" w:rsidRPr="00423F64" w:rsidRDefault="00197A22" w:rsidP="004E2716">
      <w:pPr>
        <w:pStyle w:val="CETBodytext"/>
        <w:rPr>
          <w:lang w:val="en-GB"/>
        </w:rPr>
      </w:pPr>
      <w:r w:rsidRPr="00423F64">
        <w:rPr>
          <w:lang w:val="en-GB"/>
        </w:rPr>
        <w:t>Find the set J of nodes with temporary labels that can be reached from the current node via a single link. For each j</w:t>
      </w:r>
      <w:r w:rsidR="0028580C" w:rsidRPr="00423F64">
        <w:rPr>
          <w:lang w:val="en-GB"/>
        </w:rPr>
        <w:t xml:space="preserve"> </w:t>
      </w:r>
      <w:r w:rsidRPr="00423F64">
        <w:rPr>
          <w:rFonts w:ascii="Cambria Math" w:hAnsi="Cambria Math" w:cs="Cambria Math"/>
          <w:lang w:val="en-GB"/>
        </w:rPr>
        <w:t>∈</w:t>
      </w:r>
      <w:r w:rsidR="0028580C" w:rsidRPr="00423F64">
        <w:rPr>
          <w:rFonts w:ascii="Cambria Math" w:hAnsi="Cambria Math" w:cs="Cambria Math"/>
          <w:lang w:val="en-GB"/>
        </w:rPr>
        <w:t xml:space="preserve"> </w:t>
      </w:r>
      <w:r w:rsidRPr="00423F64">
        <w:rPr>
          <w:lang w:val="en-GB"/>
        </w:rPr>
        <w:t xml:space="preserve">J, the distance value of node j is updated as: </w:t>
      </w:r>
      <w:proofErr w:type="spellStart"/>
      <w:r w:rsidRPr="00423F64">
        <w:rPr>
          <w:lang w:val="en-GB"/>
        </w:rPr>
        <w:t>d</w:t>
      </w:r>
      <w:r w:rsidRPr="00423F64">
        <w:rPr>
          <w:vertAlign w:val="subscript"/>
          <w:lang w:val="en-GB"/>
        </w:rPr>
        <w:t>j</w:t>
      </w:r>
      <w:proofErr w:type="spellEnd"/>
      <w:r w:rsidR="0028580C" w:rsidRPr="00423F64">
        <w:rPr>
          <w:vertAlign w:val="subscript"/>
          <w:lang w:val="en-GB"/>
        </w:rPr>
        <w:t xml:space="preserve"> </w:t>
      </w:r>
      <w:r w:rsidRPr="00423F64">
        <w:rPr>
          <w:lang w:val="en-GB"/>
        </w:rPr>
        <w:t>=</w:t>
      </w:r>
      <w:r w:rsidR="0028580C" w:rsidRPr="00423F64">
        <w:rPr>
          <w:lang w:val="en-GB"/>
        </w:rPr>
        <w:t xml:space="preserve"> </w:t>
      </w:r>
      <w:r w:rsidRPr="00423F64">
        <w:rPr>
          <w:lang w:val="en-GB"/>
        </w:rPr>
        <w:t>min</w:t>
      </w:r>
      <w:r w:rsidR="0028580C" w:rsidRPr="00423F64">
        <w:rPr>
          <w:lang w:val="en-GB"/>
        </w:rPr>
        <w:t xml:space="preserve"> </w:t>
      </w:r>
      <w:r w:rsidRPr="00423F64">
        <w:rPr>
          <w:lang w:val="en-GB"/>
        </w:rPr>
        <w:t>{</w:t>
      </w:r>
      <w:proofErr w:type="spellStart"/>
      <w:r w:rsidRPr="00423F64">
        <w:rPr>
          <w:lang w:val="en-GB"/>
        </w:rPr>
        <w:t>d</w:t>
      </w:r>
      <w:r w:rsidRPr="00423F64">
        <w:rPr>
          <w:vertAlign w:val="subscript"/>
          <w:lang w:val="en-GB"/>
        </w:rPr>
        <w:t>j</w:t>
      </w:r>
      <w:proofErr w:type="spellEnd"/>
      <w:r w:rsidRPr="00423F64">
        <w:rPr>
          <w:lang w:val="en-GB"/>
        </w:rPr>
        <w:t>,</w:t>
      </w:r>
      <w:r w:rsidR="0028580C" w:rsidRPr="00423F64">
        <w:rPr>
          <w:lang w:val="en-GB"/>
        </w:rPr>
        <w:t xml:space="preserve"> </w:t>
      </w:r>
      <w:proofErr w:type="spellStart"/>
      <w:r w:rsidRPr="00423F64">
        <w:rPr>
          <w:lang w:val="en-GB"/>
        </w:rPr>
        <w:t>d</w:t>
      </w:r>
      <w:r w:rsidRPr="00423F64">
        <w:rPr>
          <w:vertAlign w:val="subscript"/>
          <w:lang w:val="en-GB"/>
        </w:rPr>
        <w:t>j</w:t>
      </w:r>
      <w:proofErr w:type="spellEnd"/>
      <w:r w:rsidR="0028580C" w:rsidRPr="00423F64">
        <w:rPr>
          <w:lang w:val="en-GB"/>
        </w:rPr>
        <w:t xml:space="preserve"> </w:t>
      </w:r>
      <w:r w:rsidRPr="00423F64">
        <w:rPr>
          <w:lang w:val="en-GB"/>
        </w:rPr>
        <w:t>+</w:t>
      </w:r>
      <w:r w:rsidR="0028580C" w:rsidRPr="00423F64">
        <w:rPr>
          <w:lang w:val="en-GB"/>
        </w:rPr>
        <w:t xml:space="preserve"> </w:t>
      </w:r>
      <w:proofErr w:type="spellStart"/>
      <w:r w:rsidRPr="00423F64">
        <w:rPr>
          <w:lang w:val="en-GB"/>
        </w:rPr>
        <w:t>w</w:t>
      </w:r>
      <w:r w:rsidRPr="00423F64">
        <w:rPr>
          <w:vertAlign w:val="subscript"/>
          <w:lang w:val="en-GB"/>
        </w:rPr>
        <w:t>ij</w:t>
      </w:r>
      <w:proofErr w:type="spellEnd"/>
      <w:r w:rsidRPr="00423F64">
        <w:rPr>
          <w:lang w:val="en-GB"/>
        </w:rPr>
        <w:t xml:space="preserve">}, where </w:t>
      </w:r>
      <w:proofErr w:type="spellStart"/>
      <w:r w:rsidRPr="00423F64">
        <w:rPr>
          <w:lang w:val="en-GB"/>
        </w:rPr>
        <w:t>w</w:t>
      </w:r>
      <w:r w:rsidRPr="00423F64">
        <w:rPr>
          <w:vertAlign w:val="subscript"/>
          <w:lang w:val="en-GB"/>
        </w:rPr>
        <w:t>ij</w:t>
      </w:r>
      <w:proofErr w:type="spellEnd"/>
      <w:r w:rsidRPr="00423F64">
        <w:rPr>
          <w:lang w:val="en-GB"/>
        </w:rPr>
        <w:t xml:space="preserve"> is the weight of the edge linking node </w:t>
      </w:r>
      <w:proofErr w:type="spellStart"/>
      <w:r w:rsidRPr="00423F64">
        <w:rPr>
          <w:lang w:val="en-GB"/>
        </w:rPr>
        <w:t>i</w:t>
      </w:r>
      <w:proofErr w:type="spellEnd"/>
      <w:r w:rsidRPr="00423F64">
        <w:rPr>
          <w:lang w:val="en-GB"/>
        </w:rPr>
        <w:t xml:space="preserve"> to node j. Among the nodes, the one with the smallest updated distance value </w:t>
      </w:r>
      <w:r w:rsidR="001C0C38" w:rsidRPr="00423F64">
        <w:rPr>
          <w:lang w:val="en-GB"/>
        </w:rPr>
        <w:t xml:space="preserve">(node j*) </w:t>
      </w:r>
      <w:r w:rsidRPr="00423F64">
        <w:rPr>
          <w:lang w:val="en-GB"/>
        </w:rPr>
        <w:t xml:space="preserve">is added to the set of current nodes and its status is changed to </w:t>
      </w:r>
      <w:r w:rsidR="00D25F10">
        <w:rPr>
          <w:lang w:val="en-GB"/>
        </w:rPr>
        <w:t>‘</w:t>
      </w:r>
      <w:r w:rsidRPr="00423F64">
        <w:rPr>
          <w:lang w:val="en-GB"/>
        </w:rPr>
        <w:t>permanent</w:t>
      </w:r>
      <w:r w:rsidR="00D25F10">
        <w:rPr>
          <w:lang w:val="en-GB"/>
        </w:rPr>
        <w:t>’</w:t>
      </w:r>
      <w:r w:rsidRPr="00423F64">
        <w:rPr>
          <w:lang w:val="en-GB"/>
        </w:rPr>
        <w:t xml:space="preserve">. The state of this node </w:t>
      </w:r>
      <w:r w:rsidR="0028580C" w:rsidRPr="00423F64">
        <w:rPr>
          <w:lang w:val="en-GB"/>
        </w:rPr>
        <w:t xml:space="preserve">is </w:t>
      </w:r>
      <w:r w:rsidRPr="00423F64">
        <w:rPr>
          <w:lang w:val="en-GB"/>
        </w:rPr>
        <w:t xml:space="preserve">thus </w:t>
      </w:r>
      <w:r w:rsidR="0028580C" w:rsidRPr="00423F64">
        <w:rPr>
          <w:lang w:val="en-GB"/>
        </w:rPr>
        <w:t xml:space="preserve">updated </w:t>
      </w:r>
      <w:r w:rsidRPr="00423F64">
        <w:rPr>
          <w:lang w:val="en-GB"/>
        </w:rPr>
        <w:t>to (</w:t>
      </w:r>
      <w:proofErr w:type="spellStart"/>
      <w:r w:rsidRPr="00423F64">
        <w:rPr>
          <w:lang w:val="en-GB"/>
        </w:rPr>
        <w:t>d</w:t>
      </w:r>
      <w:r w:rsidRPr="00423F64">
        <w:rPr>
          <w:vertAlign w:val="subscript"/>
          <w:lang w:val="en-GB"/>
        </w:rPr>
        <w:t>j</w:t>
      </w:r>
      <w:proofErr w:type="spellEnd"/>
      <w:r w:rsidRPr="00423F64">
        <w:rPr>
          <w:lang w:val="en-GB"/>
        </w:rPr>
        <w:t>*,</w:t>
      </w:r>
      <w:r w:rsidR="0028580C" w:rsidRPr="00423F64">
        <w:rPr>
          <w:lang w:val="en-GB"/>
        </w:rPr>
        <w:t xml:space="preserve"> </w:t>
      </w:r>
      <w:r w:rsidRPr="00423F64">
        <w:rPr>
          <w:lang w:val="en-GB"/>
        </w:rPr>
        <w:t>p).</w:t>
      </w:r>
    </w:p>
    <w:p w14:paraId="7DBF91DA" w14:textId="77777777" w:rsidR="001C0C38" w:rsidRPr="00423F64" w:rsidRDefault="001C0C38" w:rsidP="001C0C38">
      <w:pPr>
        <w:pStyle w:val="CETBodytext"/>
        <w:numPr>
          <w:ilvl w:val="0"/>
          <w:numId w:val="23"/>
        </w:numPr>
        <w:rPr>
          <w:rFonts w:eastAsiaTheme="minorEastAsia"/>
          <w:lang w:eastAsia="fr-FR"/>
        </w:rPr>
      </w:pPr>
      <w:r w:rsidRPr="00423F64">
        <w:rPr>
          <w:rFonts w:eastAsiaTheme="minorEastAsia"/>
          <w:lang w:eastAsia="fr-FR"/>
        </w:rPr>
        <w:t>Termination</w:t>
      </w:r>
    </w:p>
    <w:p w14:paraId="179714BE" w14:textId="476FD38F" w:rsidR="001C0C38" w:rsidRPr="00423F64" w:rsidRDefault="001C0C38" w:rsidP="001C0C38">
      <w:pPr>
        <w:pStyle w:val="CETBodytext"/>
        <w:rPr>
          <w:rFonts w:eastAsiaTheme="minorEastAsia"/>
          <w:lang w:eastAsia="fr-FR"/>
        </w:rPr>
      </w:pPr>
      <w:r w:rsidRPr="00423F64">
        <w:rPr>
          <w:rFonts w:eastAsiaTheme="minorEastAsia"/>
          <w:lang w:eastAsia="fr-FR"/>
        </w:rPr>
        <w:t xml:space="preserve">The previous step should be repeated by finding the set of nodes </w:t>
      </w:r>
      <w:r w:rsidRPr="00423F64">
        <w:rPr>
          <w:lang w:eastAsia="fr-FR"/>
        </w:rPr>
        <w:t xml:space="preserve">with temporary labels that can be reached from any of the current nodes </w:t>
      </w:r>
      <w:proofErr w:type="spellStart"/>
      <w:r w:rsidRPr="00423F64">
        <w:rPr>
          <w:lang w:eastAsia="fr-FR"/>
        </w:rPr>
        <w:t>i</w:t>
      </w:r>
      <w:proofErr w:type="spellEnd"/>
      <w:r w:rsidRPr="00423F64">
        <w:rPr>
          <w:lang w:eastAsia="fr-FR"/>
        </w:rPr>
        <w:t xml:space="preserve"> or </w:t>
      </w:r>
      <m:oMath>
        <m:sSup>
          <m:sSupPr>
            <m:ctrlPr>
              <w:rPr>
                <w:rFonts w:ascii="Cambria Math" w:eastAsiaTheme="minorEastAsia" w:hAnsi="Cambria Math"/>
                <w:lang w:eastAsia="fr-FR"/>
              </w:rPr>
            </m:ctrlPr>
          </m:sSupPr>
          <m:e>
            <m:r>
              <m:rPr>
                <m:sty m:val="p"/>
              </m:rPr>
              <w:rPr>
                <w:rFonts w:ascii="Cambria Math" w:eastAsiaTheme="minorEastAsia" w:hAnsi="Cambria Math"/>
                <w:lang w:eastAsia="fr-FR"/>
              </w:rPr>
              <m:t>j</m:t>
            </m:r>
          </m:e>
          <m:sup>
            <m:r>
              <m:rPr>
                <m:sty m:val="p"/>
              </m:rPr>
              <w:rPr>
                <w:rFonts w:ascii="Cambria Math" w:eastAsiaTheme="minorEastAsia" w:hAnsi="Cambria Math"/>
                <w:lang w:eastAsia="fr-FR"/>
              </w:rPr>
              <m:t>*</m:t>
            </m:r>
          </m:sup>
        </m:sSup>
      </m:oMath>
      <w:r w:rsidRPr="00423F64">
        <w:rPr>
          <w:rFonts w:eastAsiaTheme="minorEastAsia"/>
          <w:lang w:eastAsia="fr-FR"/>
        </w:rPr>
        <w:t xml:space="preserve"> </w:t>
      </w:r>
      <w:r w:rsidRPr="00423F64">
        <w:rPr>
          <w:lang w:eastAsia="fr-FR"/>
        </w:rPr>
        <w:t xml:space="preserve">via a single edge. </w:t>
      </w:r>
      <w:r w:rsidRPr="00423F64">
        <w:rPr>
          <w:rFonts w:eastAsiaTheme="minorEastAsia"/>
          <w:lang w:eastAsia="fr-FR"/>
        </w:rPr>
        <w:t xml:space="preserve">The algorithm terminates when the status labels of all the nodes (or the destination node of interest) that can be reached from the starting node </w:t>
      </w:r>
      <w:proofErr w:type="spellStart"/>
      <w:r w:rsidRPr="00423F64">
        <w:rPr>
          <w:rFonts w:eastAsiaTheme="minorEastAsia"/>
          <w:lang w:eastAsia="fr-FR"/>
        </w:rPr>
        <w:t>i</w:t>
      </w:r>
      <w:proofErr w:type="spellEnd"/>
      <w:r w:rsidRPr="00423F64">
        <w:rPr>
          <w:rFonts w:eastAsiaTheme="minorEastAsia"/>
          <w:lang w:eastAsia="fr-FR"/>
        </w:rPr>
        <w:t xml:space="preserve"> = 0 turns to </w:t>
      </w:r>
      <w:r w:rsidR="00D25F10">
        <w:rPr>
          <w:rFonts w:eastAsiaTheme="minorEastAsia"/>
          <w:lang w:eastAsia="fr-FR"/>
        </w:rPr>
        <w:t>‘</w:t>
      </w:r>
      <w:r w:rsidRPr="00423F64">
        <w:rPr>
          <w:rFonts w:eastAsiaTheme="minorEastAsia"/>
          <w:lang w:eastAsia="fr-FR"/>
        </w:rPr>
        <w:t>permanent</w:t>
      </w:r>
      <w:r w:rsidR="00D25F10">
        <w:rPr>
          <w:rFonts w:eastAsiaTheme="minorEastAsia"/>
          <w:lang w:eastAsia="fr-FR"/>
        </w:rPr>
        <w:t>’</w:t>
      </w:r>
      <w:r w:rsidRPr="00423F64">
        <w:rPr>
          <w:rFonts w:eastAsiaTheme="minorEastAsia"/>
          <w:lang w:eastAsia="fr-FR"/>
        </w:rPr>
        <w:t xml:space="preserve">. </w:t>
      </w:r>
    </w:p>
    <w:p w14:paraId="108F453B" w14:textId="2AEA2FED" w:rsidR="00800174" w:rsidRPr="00423F64" w:rsidRDefault="00800174" w:rsidP="001C0C38">
      <w:pPr>
        <w:pStyle w:val="CETBodytext"/>
        <w:rPr>
          <w:rFonts w:eastAsiaTheme="minorEastAsia"/>
          <w:lang w:eastAsia="fr-FR"/>
        </w:rPr>
      </w:pPr>
      <w:r w:rsidRPr="00423F64">
        <w:rPr>
          <w:rFonts w:eastAsiaTheme="minorEastAsia"/>
          <w:lang w:eastAsia="fr-FR"/>
        </w:rPr>
        <w:t>An application of Dijkstra’s algorithms has been exemplified in Figure 2 to find the shortest path between nodes A and D.</w:t>
      </w:r>
    </w:p>
    <w:p w14:paraId="278F661D" w14:textId="77777777" w:rsidR="00800174" w:rsidRPr="00423F64" w:rsidRDefault="00800174" w:rsidP="001C0C38">
      <w:pPr>
        <w:pStyle w:val="CETBodytext"/>
        <w:rPr>
          <w:rFonts w:eastAsiaTheme="minorEastAsia"/>
          <w:lang w:eastAsia="fr-FR"/>
        </w:rPr>
      </w:pPr>
    </w:p>
    <w:p w14:paraId="0E39486A" w14:textId="696B2A63" w:rsidR="00295383" w:rsidRPr="00423F64" w:rsidRDefault="00A74B71" w:rsidP="00453E24">
      <w:pPr>
        <w:pStyle w:val="CETBodytext"/>
      </w:pPr>
      <w:r>
        <w:rPr>
          <w:noProof/>
        </w:rPr>
        <w:object w:dxaOrig="5595" w:dyaOrig="6210" w14:anchorId="533C5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97.95pt;height:113.9pt;mso-width-percent:0;mso-height-percent:0;mso-position-vertical:absolute;mso-width-percent:0;mso-height-percent:0" o:ole="">
            <v:imagedata r:id="rId12" o:title=""/>
          </v:shape>
          <o:OLEObject Type="Embed" ProgID="Visio.Drawing.15" ShapeID="_x0000_i1028" DrawAspect="Content" ObjectID="_1750773364" r:id="rId13"/>
        </w:object>
      </w:r>
      <w:r w:rsidR="00800174" w:rsidRPr="00423F64">
        <w:t xml:space="preserve">  </w:t>
      </w:r>
      <w:r>
        <w:rPr>
          <w:noProof/>
        </w:rPr>
        <w:object w:dxaOrig="5595" w:dyaOrig="6210" w14:anchorId="2E4C87EB">
          <v:shape id="_x0000_i1027" type="#_x0000_t75" alt="" style="width:97.95pt;height:113.9pt;mso-width-percent:0;mso-height-percent:0;mso-position-horizontal:absolute;mso-width-percent:0;mso-height-percent:0" o:ole="">
            <v:imagedata r:id="rId14" o:title=""/>
          </v:shape>
          <o:OLEObject Type="Embed" ProgID="Visio.Drawing.15" ShapeID="_x0000_i1027" DrawAspect="Content" ObjectID="_1750773365" r:id="rId15"/>
        </w:object>
      </w:r>
      <w:r w:rsidR="00800174" w:rsidRPr="00423F64">
        <w:t xml:space="preserve">  </w:t>
      </w:r>
      <w:r>
        <w:rPr>
          <w:noProof/>
        </w:rPr>
        <w:object w:dxaOrig="5625" w:dyaOrig="6210" w14:anchorId="10198BCF">
          <v:shape id="_x0000_i1026" type="#_x0000_t75" alt="" style="width:103.85pt;height:113.9pt;mso-width-percent:0;mso-height-percent:0;mso-width-percent:0;mso-height-percent:0" o:ole="">
            <v:imagedata r:id="rId16" o:title=""/>
          </v:shape>
          <o:OLEObject Type="Embed" ProgID="Visio.Drawing.15" ShapeID="_x0000_i1026" DrawAspect="Content" ObjectID="_1750773366" r:id="rId17"/>
        </w:object>
      </w:r>
      <w:r w:rsidR="00800174" w:rsidRPr="00423F64">
        <w:t xml:space="preserve">  </w:t>
      </w:r>
      <w:r>
        <w:rPr>
          <w:noProof/>
        </w:rPr>
        <w:object w:dxaOrig="5595" w:dyaOrig="6210" w14:anchorId="2DBC11F8">
          <v:shape id="_x0000_i1025" type="#_x0000_t75" alt="" style="width:97.95pt;height:113.9pt;mso-width-percent:0;mso-height-percent:0;mso-position-horizontal:absolute;mso-width-percent:0;mso-height-percent:0" o:ole="">
            <v:imagedata r:id="rId18" o:title=""/>
          </v:shape>
          <o:OLEObject Type="Embed" ProgID="Visio.Drawing.15" ShapeID="_x0000_i1025" DrawAspect="Content" ObjectID="_1750773367" r:id="rId19"/>
        </w:object>
      </w:r>
    </w:p>
    <w:p w14:paraId="4A1D0CB2" w14:textId="511226C6" w:rsidR="00155158" w:rsidRPr="00423F64" w:rsidRDefault="00155158" w:rsidP="00155158">
      <w:pPr>
        <w:pStyle w:val="CETCaption"/>
        <w:rPr>
          <w:rFonts w:eastAsiaTheme="minorEastAsia"/>
        </w:rPr>
      </w:pPr>
      <w:r w:rsidRPr="00423F64">
        <w:rPr>
          <w:rFonts w:eastAsiaTheme="minorEastAsia"/>
        </w:rPr>
        <w:t>Figure 2. Application of</w:t>
      </w:r>
      <w:r w:rsidR="00CC0AED">
        <w:rPr>
          <w:rFonts w:eastAsiaTheme="minorEastAsia"/>
        </w:rPr>
        <w:t xml:space="preserve"> </w:t>
      </w:r>
      <w:r w:rsidRPr="00423F64">
        <w:rPr>
          <w:rFonts w:eastAsiaTheme="minorEastAsia"/>
        </w:rPr>
        <w:t>Dijkstra’s algorithm to find the shortest path and distance from node A to node D. Panels (a)-(d) present the sequential steps via the algorithm</w:t>
      </w:r>
      <w:r w:rsidR="00702633" w:rsidRPr="00423F64">
        <w:rPr>
          <w:rFonts w:eastAsiaTheme="minorEastAsia"/>
        </w:rPr>
        <w:t xml:space="preserve"> (Khakzad, 2023)</w:t>
      </w:r>
      <w:r w:rsidRPr="00423F64">
        <w:rPr>
          <w:rFonts w:eastAsiaTheme="minorEastAsia"/>
        </w:rPr>
        <w:t>.</w:t>
      </w:r>
    </w:p>
    <w:p w14:paraId="4F4603F0" w14:textId="354503F1" w:rsidR="00155158" w:rsidRPr="00423F64" w:rsidRDefault="006307CA" w:rsidP="006307CA">
      <w:pPr>
        <w:pStyle w:val="CETheadingx"/>
      </w:pPr>
      <w:r w:rsidRPr="00423F64">
        <w:t>Mathematical programming</w:t>
      </w:r>
    </w:p>
    <w:p w14:paraId="3A3954BF" w14:textId="2FC26262" w:rsidR="0005597D" w:rsidRPr="00423F64" w:rsidRDefault="00D25F10" w:rsidP="0005597D">
      <w:pPr>
        <w:pStyle w:val="CETBodytext"/>
      </w:pPr>
      <w:r>
        <w:t>M</w:t>
      </w:r>
      <w:r w:rsidR="0005597D" w:rsidRPr="00423F64">
        <w:t xml:space="preserve">athematical programming </w:t>
      </w:r>
      <w:r w:rsidR="00B43432">
        <w:t xml:space="preserve">includes a number of techniques </w:t>
      </w:r>
      <w:r w:rsidR="00D35246">
        <w:t xml:space="preserve">to maximize or minimize the value of a function </w:t>
      </w:r>
      <w:r w:rsidR="00F65572">
        <w:t xml:space="preserve">(known as </w:t>
      </w:r>
      <w:r w:rsidR="00D35246">
        <w:t>objective function</w:t>
      </w:r>
      <w:r w:rsidR="00F65572">
        <w:t>)</w:t>
      </w:r>
      <w:r w:rsidR="00D35246">
        <w:t xml:space="preserve"> by finding the </w:t>
      </w:r>
      <w:r w:rsidR="0005597D" w:rsidRPr="00423F64">
        <w:t xml:space="preserve">best values of </w:t>
      </w:r>
      <w:r w:rsidR="00D35246">
        <w:t xml:space="preserve">the function parameters. </w:t>
      </w:r>
      <w:r w:rsidR="00D35246" w:rsidRPr="00F65572">
        <w:rPr>
          <w:highlight w:val="yellow"/>
        </w:rPr>
        <w:t>Maximum or minimum value of the function and thus the optimal value</w:t>
      </w:r>
      <w:r w:rsidR="00F65572" w:rsidRPr="00F65572">
        <w:rPr>
          <w:highlight w:val="yellow"/>
        </w:rPr>
        <w:t>s</w:t>
      </w:r>
      <w:r w:rsidR="00D35246" w:rsidRPr="00F65572">
        <w:rPr>
          <w:highlight w:val="yellow"/>
        </w:rPr>
        <w:t xml:space="preserve"> of its </w:t>
      </w:r>
      <w:r w:rsidR="00F65572" w:rsidRPr="00F65572">
        <w:rPr>
          <w:highlight w:val="yellow"/>
        </w:rPr>
        <w:t>variables</w:t>
      </w:r>
      <w:r w:rsidR="00D35246" w:rsidRPr="00F65572">
        <w:rPr>
          <w:highlight w:val="yellow"/>
        </w:rPr>
        <w:t xml:space="preserve"> would be subject to some constraints. In some mathematical programming techniques, a feasible solution (i.e., </w:t>
      </w:r>
      <w:r w:rsidR="00F65572" w:rsidRPr="00F65572">
        <w:rPr>
          <w:highlight w:val="yellow"/>
        </w:rPr>
        <w:t xml:space="preserve">the set of </w:t>
      </w:r>
      <w:r w:rsidR="00D35246" w:rsidRPr="00F65572">
        <w:rPr>
          <w:highlight w:val="yellow"/>
        </w:rPr>
        <w:t xml:space="preserve">optimal values of </w:t>
      </w:r>
      <w:r w:rsidR="00F65572" w:rsidRPr="00F65572">
        <w:rPr>
          <w:highlight w:val="yellow"/>
        </w:rPr>
        <w:t>variables</w:t>
      </w:r>
      <w:r w:rsidR="00D35246" w:rsidRPr="00F65572">
        <w:rPr>
          <w:highlight w:val="yellow"/>
        </w:rPr>
        <w:t xml:space="preserve">) </w:t>
      </w:r>
      <w:r w:rsidR="00F65572" w:rsidRPr="00F65572">
        <w:rPr>
          <w:highlight w:val="yellow"/>
        </w:rPr>
        <w:t xml:space="preserve">can be obtained </w:t>
      </w:r>
      <w:r w:rsidR="00D35246" w:rsidRPr="00F65572">
        <w:rPr>
          <w:highlight w:val="yellow"/>
        </w:rPr>
        <w:t xml:space="preserve">only if all the constraints </w:t>
      </w:r>
      <w:r w:rsidR="00F65572" w:rsidRPr="00F65572">
        <w:rPr>
          <w:highlight w:val="yellow"/>
        </w:rPr>
        <w:t>are</w:t>
      </w:r>
      <w:r w:rsidR="00D35246" w:rsidRPr="00F65572">
        <w:rPr>
          <w:highlight w:val="yellow"/>
        </w:rPr>
        <w:t xml:space="preserve"> satisfied. However, </w:t>
      </w:r>
      <w:r w:rsidR="00F65572" w:rsidRPr="00F65572">
        <w:rPr>
          <w:highlight w:val="yellow"/>
        </w:rPr>
        <w:t>some</w:t>
      </w:r>
      <w:r w:rsidR="00D35246" w:rsidRPr="00F65572">
        <w:rPr>
          <w:highlight w:val="yellow"/>
        </w:rPr>
        <w:t xml:space="preserve"> other techniques</w:t>
      </w:r>
      <w:r w:rsidR="00F65572" w:rsidRPr="00F65572">
        <w:rPr>
          <w:highlight w:val="yellow"/>
        </w:rPr>
        <w:t xml:space="preserve"> such as </w:t>
      </w:r>
      <w:r w:rsidR="00D35246" w:rsidRPr="00F65572">
        <w:rPr>
          <w:highlight w:val="yellow"/>
        </w:rPr>
        <w:t>goal programming</w:t>
      </w:r>
      <w:r w:rsidR="00F65572" w:rsidRPr="00F65572">
        <w:rPr>
          <w:highlight w:val="yellow"/>
        </w:rPr>
        <w:t xml:space="preserve"> </w:t>
      </w:r>
      <w:r w:rsidR="00F65572" w:rsidRPr="00F65572">
        <w:rPr>
          <w:highlight w:val="yellow"/>
        </w:rPr>
        <w:lastRenderedPageBreak/>
        <w:t xml:space="preserve">can render </w:t>
      </w:r>
      <w:r w:rsidR="00D35246" w:rsidRPr="00F65572">
        <w:rPr>
          <w:highlight w:val="yellow"/>
        </w:rPr>
        <w:t xml:space="preserve">a feasible solution </w:t>
      </w:r>
      <w:r w:rsidR="00F65572" w:rsidRPr="00F65572">
        <w:rPr>
          <w:highlight w:val="yellow"/>
        </w:rPr>
        <w:t>even if some less important constraints are violated</w:t>
      </w:r>
      <w:r w:rsidR="00D35246" w:rsidRPr="00F65572">
        <w:rPr>
          <w:highlight w:val="yellow"/>
        </w:rPr>
        <w:t xml:space="preserve"> </w:t>
      </w:r>
      <w:r w:rsidR="00F65572" w:rsidRPr="00F65572">
        <w:rPr>
          <w:highlight w:val="yellow"/>
        </w:rPr>
        <w:t>in favor of more important constraints</w:t>
      </w:r>
      <w:r w:rsidR="0005597D" w:rsidRPr="00423F64">
        <w:t xml:space="preserve">. Mathematical </w:t>
      </w:r>
      <w:r w:rsidR="00E218C2" w:rsidRPr="00423F64">
        <w:t xml:space="preserve">programming </w:t>
      </w:r>
      <w:r w:rsidR="0005597D" w:rsidRPr="00423F64">
        <w:t xml:space="preserve">in the form of minimization, for instance, can be </w:t>
      </w:r>
      <w:r w:rsidR="00F65572">
        <w:t>presented</w:t>
      </w:r>
      <w:r w:rsidR="0005597D" w:rsidRPr="00423F64">
        <w:t xml:space="preserve"> as:</w:t>
      </w:r>
    </w:p>
    <w:p w14:paraId="7C687F57" w14:textId="77777777" w:rsidR="00E218C2" w:rsidRPr="00423F64" w:rsidRDefault="00E218C2" w:rsidP="0005597D">
      <w:pPr>
        <w:pStyle w:val="CETBodytext"/>
      </w:pPr>
    </w:p>
    <w:p w14:paraId="4474F116" w14:textId="4333FC1E" w:rsidR="0005597D" w:rsidRPr="00423F64" w:rsidRDefault="0005597D" w:rsidP="0005597D">
      <w:pPr>
        <w:pStyle w:val="CETBodytext"/>
        <w:rPr>
          <w:rFonts w:eastAsiaTheme="minorEastAsia"/>
        </w:rPr>
      </w:pPr>
      <m:oMath>
        <m:r>
          <w:rPr>
            <w:rFonts w:ascii="Cambria Math" w:hAnsi="Cambria Math"/>
          </w:rPr>
          <m:t>minimize Z=f</m:t>
        </m:r>
        <m:d>
          <m:dPr>
            <m:ctrlPr>
              <w:rPr>
                <w:rFonts w:ascii="Cambria Math" w:hAnsi="Cambria Math"/>
                <w:i/>
              </w:rPr>
            </m:ctrlPr>
          </m:dPr>
          <m:e>
            <m:r>
              <w:rPr>
                <w:rFonts w:ascii="Cambria Math" w:hAnsi="Cambria Math"/>
              </w:rPr>
              <m:t>X</m:t>
            </m:r>
          </m:e>
        </m:d>
      </m:oMath>
      <w:r w:rsidRPr="00423F64">
        <w:rPr>
          <w:rFonts w:eastAsiaTheme="minorEastAsia"/>
        </w:rPr>
        <w:tab/>
      </w:r>
      <w:r w:rsidR="00E218C2" w:rsidRPr="00423F64">
        <w:rPr>
          <w:rFonts w:eastAsiaTheme="minorEastAsia"/>
        </w:rPr>
        <w:tab/>
      </w:r>
      <w:r w:rsidR="00E218C2" w:rsidRPr="00423F64">
        <w:rPr>
          <w:rFonts w:eastAsiaTheme="minorEastAsia"/>
        </w:rPr>
        <w:tab/>
        <w:t>(6)</w:t>
      </w:r>
    </w:p>
    <w:p w14:paraId="5551C0B1" w14:textId="1C3CE849" w:rsidR="0005597D" w:rsidRPr="00423F64" w:rsidRDefault="00092380" w:rsidP="0005597D">
      <w:pPr>
        <w:pStyle w:val="CETBodytext"/>
        <w:rPr>
          <w:rFonts w:eastAsiaTheme="minorEastAsia"/>
        </w:rPr>
      </w:pPr>
      <m:oMath>
        <m:r>
          <w:rPr>
            <w:rFonts w:ascii="Cambria Math" w:eastAsiaTheme="minorEastAsia" w:hAnsi="Cambria Math"/>
          </w:rPr>
          <m:t xml:space="preserve">Subject to: </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e>
              </m:mr>
              <m:mr>
                <m:e>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e>
              </m:mr>
            </m:m>
          </m:e>
        </m:d>
        <m:r>
          <w:rPr>
            <w:rFonts w:ascii="Cambria Math" w:eastAsiaTheme="minorEastAsia" w:hAnsi="Cambria Math"/>
          </w:rPr>
          <m:t xml:space="preserve"> </m:t>
        </m:r>
      </m:oMath>
      <w:r w:rsidR="0005597D" w:rsidRPr="00423F64">
        <w:rPr>
          <w:rFonts w:eastAsiaTheme="minorEastAsia"/>
        </w:rPr>
        <w:tab/>
      </w:r>
      <w:r w:rsidR="0005597D" w:rsidRPr="00423F64">
        <w:rPr>
          <w:rFonts w:eastAsiaTheme="minorEastAsia"/>
        </w:rPr>
        <w:tab/>
      </w:r>
      <w:r w:rsidR="0005597D" w:rsidRPr="00423F64">
        <w:rPr>
          <w:rFonts w:eastAsiaTheme="minorEastAsia"/>
        </w:rPr>
        <w:tab/>
      </w:r>
    </w:p>
    <w:p w14:paraId="4BBFB3C5" w14:textId="77777777" w:rsidR="00E218C2" w:rsidRPr="00423F64" w:rsidRDefault="00E218C2" w:rsidP="0005597D">
      <w:pPr>
        <w:pStyle w:val="CETBodytext"/>
        <w:rPr>
          <w:rFonts w:eastAsiaTheme="minorEastAsia"/>
        </w:rPr>
      </w:pPr>
    </w:p>
    <w:p w14:paraId="6ABEC611" w14:textId="27A553EF" w:rsidR="00800174" w:rsidRPr="00423F64" w:rsidRDefault="0005597D" w:rsidP="00453E24">
      <w:pPr>
        <w:pStyle w:val="CETBodytext"/>
      </w:pPr>
      <w:r w:rsidRPr="00423F64">
        <w:rPr>
          <w:rFonts w:eastAsiaTheme="minorEastAsia"/>
        </w:rPr>
        <w:t xml:space="preserve">where </w:t>
      </w:r>
      <m:oMath>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Pr="00423F64">
        <w:rPr>
          <w:rFonts w:eastAsiaTheme="minorEastAsia"/>
        </w:rPr>
        <w:t xml:space="preserve"> is the set of variables</w:t>
      </w:r>
      <w:r w:rsidR="00F65572">
        <w:rPr>
          <w:rFonts w:eastAsiaTheme="minorEastAsia"/>
        </w:rPr>
        <w:t>, or function parameters</w:t>
      </w:r>
      <w:r w:rsidRPr="00423F64">
        <w:rPr>
          <w:rFonts w:eastAsiaTheme="minorEastAsia"/>
        </w:rPr>
        <w:t xml:space="preserve">; </w:t>
      </w:r>
      <w:r w:rsidR="00E218C2" w:rsidRPr="00423F64">
        <w:rPr>
          <w:rFonts w:eastAsiaTheme="minorEastAsia"/>
        </w:rPr>
        <w:t xml:space="preserve">Z </w:t>
      </w:r>
      <w:r w:rsidRPr="00423F64">
        <w:rPr>
          <w:rFonts w:eastAsiaTheme="minorEastAsia"/>
        </w:rPr>
        <w:t>is the objective function</w:t>
      </w:r>
      <w:r w:rsidR="006A6B5F" w:rsidRPr="00423F64">
        <w:rPr>
          <w:rFonts w:eastAsiaTheme="minorEastAsia"/>
        </w:rPr>
        <w:t xml:space="preserve"> </w:t>
      </w:r>
      <w:r w:rsidR="00F65572">
        <w:rPr>
          <w:rFonts w:eastAsiaTheme="minorEastAsia"/>
        </w:rPr>
        <w:t xml:space="preserve">as a function </w:t>
      </w:r>
      <w:r w:rsidR="006A6B5F" w:rsidRPr="00423F64">
        <w:rPr>
          <w:rFonts w:eastAsiaTheme="minorEastAsia"/>
        </w:rPr>
        <w:t xml:space="preserve">of </w:t>
      </w:r>
      <w:r w:rsidR="00F65572">
        <w:rPr>
          <w:rFonts w:eastAsiaTheme="minorEastAsia"/>
        </w:rPr>
        <w:t>X</w:t>
      </w:r>
      <w:r w:rsidRPr="00423F64">
        <w:rPr>
          <w:rFonts w:eastAsiaTheme="minorEastAsia"/>
        </w:rPr>
        <w:t xml:space="preserve">; </w:t>
      </w:r>
      <w:r w:rsidR="006A6B5F" w:rsidRPr="00423F64">
        <w:rPr>
          <w:rFonts w:eastAsiaTheme="minorEastAsia"/>
        </w:rPr>
        <w:t xml:space="preserve">and </w:t>
      </w:r>
      <w:r w:rsidRPr="00423F64">
        <w:rPr>
          <w:rFonts w:eastAsiaTheme="minorEastAsia"/>
        </w:rPr>
        <w:t>g(X) and h(X) are the constraint</w:t>
      </w:r>
      <w:r w:rsidR="00F65572">
        <w:rPr>
          <w:rFonts w:eastAsiaTheme="minorEastAsia"/>
        </w:rPr>
        <w:t xml:space="preserve"> functions. </w:t>
      </w:r>
    </w:p>
    <w:p w14:paraId="677EBFF0" w14:textId="7A03D109" w:rsidR="00600535" w:rsidRPr="00423F64" w:rsidRDefault="006A6B5F" w:rsidP="00600535">
      <w:pPr>
        <w:pStyle w:val="CETHeading1"/>
        <w:tabs>
          <w:tab w:val="clear" w:pos="360"/>
          <w:tab w:val="right" w:pos="7100"/>
        </w:tabs>
        <w:jc w:val="both"/>
        <w:rPr>
          <w:lang w:val="en-GB"/>
        </w:rPr>
      </w:pPr>
      <w:r w:rsidRPr="00423F64">
        <w:rPr>
          <w:lang w:val="en-GB"/>
        </w:rPr>
        <w:t xml:space="preserve">Methodology </w:t>
      </w:r>
    </w:p>
    <w:p w14:paraId="04963A06" w14:textId="4EF722EE" w:rsidR="00600535" w:rsidRPr="00423F64" w:rsidRDefault="006A6B5F" w:rsidP="00FA5F5F">
      <w:pPr>
        <w:pStyle w:val="CETheadingx"/>
      </w:pPr>
      <w:r w:rsidRPr="00423F64">
        <w:t xml:space="preserve">Case study </w:t>
      </w:r>
    </w:p>
    <w:p w14:paraId="123CB7DF" w14:textId="644AE90A" w:rsidR="00600535" w:rsidRPr="00423F64" w:rsidRDefault="007D4167" w:rsidP="00600535">
      <w:pPr>
        <w:pStyle w:val="CETBodytext"/>
        <w:rPr>
          <w:lang w:val="en-GB"/>
        </w:rPr>
      </w:pPr>
      <w:r w:rsidRPr="00423F64">
        <w:rPr>
          <w:lang w:val="en-GB"/>
        </w:rPr>
        <w:t xml:space="preserve">Consider a process area with two </w:t>
      </w:r>
      <w:r w:rsidR="005A0F4E" w:rsidRPr="00423F64">
        <w:rPr>
          <w:lang w:val="en-GB"/>
        </w:rPr>
        <w:t xml:space="preserve">operating units, two </w:t>
      </w:r>
      <w:r w:rsidRPr="00423F64">
        <w:rPr>
          <w:lang w:val="en-GB"/>
        </w:rPr>
        <w:t>gasoline storage tanks and two fire shelters in Figure 2.</w:t>
      </w:r>
      <w:r w:rsidR="00BE6B8D" w:rsidRPr="00423F64">
        <w:rPr>
          <w:lang w:val="en-GB"/>
        </w:rPr>
        <w:t xml:space="preserve"> Given concurrent tank fires at Tank #1 and #2, the process area can be modelled as a thermal grid showing the intensity of heat flux at each node of the grid. </w:t>
      </w:r>
      <w:r w:rsidR="00373BA8" w:rsidRPr="00423F64">
        <w:rPr>
          <w:lang w:val="en-GB"/>
        </w:rPr>
        <w:t xml:space="preserve">The heat flux intensity at each node can be calculated for each tank fire via a number of models and techniques (e.g., the point source model) knowing the tank size and weather conditions, and then in case of multiple simultaneous fires these heat flux intensities can be superimposed to find the total heat flux intensity at each node. For the sake of exemplification, assume that the heat flux intensities for each tank fire were already calculated, superimposed, and presented inside each node with q. This way, each node of the grid can be indexed with a number </w:t>
      </w:r>
      <w:r w:rsidR="00D25F10">
        <w:rPr>
          <w:lang w:val="en-GB"/>
        </w:rPr>
        <w:t>‘I’</w:t>
      </w:r>
      <w:r w:rsidR="00373BA8" w:rsidRPr="00423F64">
        <w:rPr>
          <w:lang w:val="en-GB"/>
        </w:rPr>
        <w:t xml:space="preserve"> and its corresponding heat flux intensity </w:t>
      </w:r>
      <w:r w:rsidR="00D25F10">
        <w:rPr>
          <w:lang w:val="en-GB"/>
        </w:rPr>
        <w:t>‘</w:t>
      </w:r>
      <w:r w:rsidR="00373BA8" w:rsidRPr="00423F64">
        <w:rPr>
          <w:lang w:val="en-GB"/>
        </w:rPr>
        <w:t>q</w:t>
      </w:r>
      <w:r w:rsidR="00D25F10">
        <w:rPr>
          <w:lang w:val="en-GB"/>
        </w:rPr>
        <w:t>’</w:t>
      </w:r>
      <w:r w:rsidR="00373BA8" w:rsidRPr="00423F64">
        <w:rPr>
          <w:lang w:val="en-GB"/>
        </w:rPr>
        <w:t>.</w:t>
      </w:r>
    </w:p>
    <w:p w14:paraId="16DC6423" w14:textId="1FFA473E" w:rsidR="00B83B91" w:rsidRPr="00423F64" w:rsidRDefault="00B83B91" w:rsidP="00600535">
      <w:pPr>
        <w:pStyle w:val="CETBodytext"/>
        <w:rPr>
          <w:lang w:val="en-GB"/>
        </w:rPr>
      </w:pPr>
    </w:p>
    <w:p w14:paraId="5F8BD5A9" w14:textId="64F71F0B" w:rsidR="00B83B91" w:rsidRPr="00423F64" w:rsidRDefault="005A0F4E" w:rsidP="00600535">
      <w:pPr>
        <w:pStyle w:val="CETBodytext"/>
        <w:rPr>
          <w:lang w:val="en-GB"/>
        </w:rPr>
      </w:pPr>
      <w:r w:rsidRPr="00423F64">
        <w:rPr>
          <w:noProof/>
          <w:lang w:val="en-GB"/>
        </w:rPr>
        <w:drawing>
          <wp:inline distT="0" distB="0" distL="0" distR="0" wp14:anchorId="1E121FCE" wp14:editId="7FC5EB75">
            <wp:extent cx="2324813" cy="201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813" cy="2016000"/>
                    </a:xfrm>
                    <a:prstGeom prst="rect">
                      <a:avLst/>
                    </a:prstGeom>
                    <a:noFill/>
                  </pic:spPr>
                </pic:pic>
              </a:graphicData>
            </a:graphic>
          </wp:inline>
        </w:drawing>
      </w:r>
      <w:r w:rsidR="007D4167" w:rsidRPr="00423F64">
        <w:rPr>
          <w:lang w:val="en-GB"/>
        </w:rPr>
        <w:t xml:space="preserve">        </w:t>
      </w:r>
      <w:r w:rsidRPr="00423F64">
        <w:rPr>
          <w:noProof/>
          <w:lang w:val="en-GB"/>
        </w:rPr>
        <w:drawing>
          <wp:inline distT="0" distB="0" distL="0" distR="0" wp14:anchorId="07673A70" wp14:editId="7A4A8E91">
            <wp:extent cx="2596271" cy="216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6271" cy="2160000"/>
                    </a:xfrm>
                    <a:prstGeom prst="rect">
                      <a:avLst/>
                    </a:prstGeom>
                    <a:noFill/>
                  </pic:spPr>
                </pic:pic>
              </a:graphicData>
            </a:graphic>
          </wp:inline>
        </w:drawing>
      </w:r>
    </w:p>
    <w:p w14:paraId="295F82BC" w14:textId="6F9E70B1" w:rsidR="00021ECA" w:rsidRPr="00423F64" w:rsidRDefault="00021ECA" w:rsidP="00021ECA">
      <w:pPr>
        <w:pStyle w:val="CETCaption"/>
        <w:numPr>
          <w:ilvl w:val="0"/>
          <w:numId w:val="27"/>
        </w:numPr>
      </w:pPr>
      <w:r w:rsidRPr="00423F64">
        <w:t xml:space="preserve"> (b)</w:t>
      </w:r>
    </w:p>
    <w:p w14:paraId="1ADC06B1" w14:textId="16A85186" w:rsidR="00021ECA" w:rsidRPr="00423F64" w:rsidRDefault="00021ECA" w:rsidP="00021ECA">
      <w:pPr>
        <w:pStyle w:val="CETCaption"/>
      </w:pPr>
      <w:r w:rsidRPr="00423F64">
        <w:t xml:space="preserve">Figure 2. (a) A process area, consisting of two </w:t>
      </w:r>
      <w:r w:rsidR="005A0F4E" w:rsidRPr="00423F64">
        <w:t xml:space="preserve">operating units, two </w:t>
      </w:r>
      <w:r w:rsidRPr="00423F64">
        <w:t xml:space="preserve">gasoline storage tanks, </w:t>
      </w:r>
      <w:r w:rsidR="005A0F4E" w:rsidRPr="00423F64">
        <w:t xml:space="preserve">and </w:t>
      </w:r>
      <w:r w:rsidRPr="00423F64">
        <w:t xml:space="preserve">two fire shelters. (b) Modelling the process area as a thermal </w:t>
      </w:r>
      <w:r w:rsidR="00C418BF" w:rsidRPr="00423F64">
        <w:t>grid</w:t>
      </w:r>
      <w:r w:rsidRPr="00423F64">
        <w:t xml:space="preserve"> given tank fires at the storage tanks. Each node has been identified with a node number i and the intensity of heat flux q at that node (in kW/m</w:t>
      </w:r>
      <w:r w:rsidRPr="00423F64">
        <w:rPr>
          <w:vertAlign w:val="superscript"/>
        </w:rPr>
        <w:t>2</w:t>
      </w:r>
      <w:r w:rsidRPr="00423F64">
        <w:t xml:space="preserve">).  </w:t>
      </w:r>
    </w:p>
    <w:p w14:paraId="41C2C8C2" w14:textId="25AB93AB" w:rsidR="007D4167" w:rsidRPr="00423F64" w:rsidRDefault="00D25F10" w:rsidP="00600535">
      <w:pPr>
        <w:pStyle w:val="CETBodytext"/>
        <w:rPr>
          <w:lang w:val="en-GB"/>
        </w:rPr>
      </w:pPr>
      <w:r>
        <w:rPr>
          <w:lang w:val="en-GB"/>
        </w:rPr>
        <w:t>Knowing</w:t>
      </w:r>
      <w:r w:rsidR="0009641D" w:rsidRPr="00423F64">
        <w:rPr>
          <w:lang w:val="en-GB"/>
        </w:rPr>
        <w:t xml:space="preserve"> the </w:t>
      </w:r>
      <w:r w:rsidR="00940640" w:rsidRPr="00423F64">
        <w:rPr>
          <w:lang w:val="en-GB"/>
        </w:rPr>
        <w:t xml:space="preserve">heat flux intensities and the distance between adjacent nodes in Figure 2, the thermal dose one would receive while traversing between two adjacent nodes, either horizontally or diagonally, can be calculated using </w:t>
      </w:r>
      <w:proofErr w:type="spellStart"/>
      <w:r w:rsidR="00940640" w:rsidRPr="00423F64">
        <w:rPr>
          <w:lang w:val="en-GB"/>
        </w:rPr>
        <w:t>Eq</w:t>
      </w:r>
      <w:proofErr w:type="spellEnd"/>
      <w:r w:rsidR="00940640" w:rsidRPr="00423F64">
        <w:rPr>
          <w:lang w:val="en-GB"/>
        </w:rPr>
        <w:t xml:space="preserve"> (3). The results can then be summarized in the form of a thermal-dose graph in which the weight assigned to the edge connecting node </w:t>
      </w:r>
      <w:r>
        <w:rPr>
          <w:lang w:val="en-GB"/>
        </w:rPr>
        <w:t>‘I’</w:t>
      </w:r>
      <w:r w:rsidR="00940640" w:rsidRPr="00423F64">
        <w:rPr>
          <w:lang w:val="en-GB"/>
        </w:rPr>
        <w:t xml:space="preserve"> and </w:t>
      </w:r>
      <w:r>
        <w:rPr>
          <w:lang w:val="en-GB"/>
        </w:rPr>
        <w:t>‘</w:t>
      </w:r>
      <w:r w:rsidR="00940640" w:rsidRPr="00423F64">
        <w:rPr>
          <w:lang w:val="en-GB"/>
        </w:rPr>
        <w:t>i+1</w:t>
      </w:r>
      <w:r>
        <w:rPr>
          <w:lang w:val="en-GB"/>
        </w:rPr>
        <w:t>’</w:t>
      </w:r>
      <w:r w:rsidR="00940640" w:rsidRPr="00423F64">
        <w:rPr>
          <w:lang w:val="en-GB"/>
        </w:rPr>
        <w:t xml:space="preserve"> shows the corresponding thermal dose when one </w:t>
      </w:r>
      <w:r w:rsidR="004375F8" w:rsidRPr="00423F64">
        <w:rPr>
          <w:lang w:val="en-GB"/>
        </w:rPr>
        <w:t>moves from the former to the latter or vice versa. Regarding the process area in Figure 2, since the aim is to find the shortest paths from the operating unit</w:t>
      </w:r>
      <w:r w:rsidR="005A0F4E" w:rsidRPr="00423F64">
        <w:rPr>
          <w:lang w:val="en-GB"/>
        </w:rPr>
        <w:t>s</w:t>
      </w:r>
      <w:r w:rsidR="004375F8" w:rsidRPr="00423F64">
        <w:rPr>
          <w:lang w:val="en-GB"/>
        </w:rPr>
        <w:t xml:space="preserve"> (node</w:t>
      </w:r>
      <w:r>
        <w:rPr>
          <w:lang w:val="en-GB"/>
        </w:rPr>
        <w:t>s</w:t>
      </w:r>
      <w:r w:rsidR="004375F8" w:rsidRPr="00423F64">
        <w:rPr>
          <w:lang w:val="en-GB"/>
        </w:rPr>
        <w:t xml:space="preserve"> </w:t>
      </w:r>
      <w:proofErr w:type="spellStart"/>
      <w:r w:rsidR="004375F8" w:rsidRPr="00423F64">
        <w:rPr>
          <w:lang w:val="en-GB"/>
        </w:rPr>
        <w:t>i</w:t>
      </w:r>
      <w:proofErr w:type="spellEnd"/>
      <w:r w:rsidR="004375F8" w:rsidRPr="00423F64">
        <w:rPr>
          <w:lang w:val="en-GB"/>
        </w:rPr>
        <w:t xml:space="preserve"> =</w:t>
      </w:r>
      <w:r w:rsidR="00A2724F" w:rsidRPr="00423F64">
        <w:rPr>
          <w:lang w:val="en-GB"/>
        </w:rPr>
        <w:t xml:space="preserve"> 18</w:t>
      </w:r>
      <w:r w:rsidR="005A0F4E" w:rsidRPr="00423F64">
        <w:rPr>
          <w:lang w:val="en-GB"/>
        </w:rPr>
        <w:t>, 25</w:t>
      </w:r>
      <w:r w:rsidR="004375F8" w:rsidRPr="00423F64">
        <w:rPr>
          <w:lang w:val="en-GB"/>
        </w:rPr>
        <w:t xml:space="preserve">) to the shelters (nodes </w:t>
      </w:r>
      <w:proofErr w:type="spellStart"/>
      <w:r w:rsidR="004375F8" w:rsidRPr="00423F64">
        <w:rPr>
          <w:lang w:val="en-GB"/>
        </w:rPr>
        <w:t>i</w:t>
      </w:r>
      <w:proofErr w:type="spellEnd"/>
      <w:r w:rsidR="004375F8" w:rsidRPr="00423F64">
        <w:rPr>
          <w:lang w:val="en-GB"/>
        </w:rPr>
        <w:t xml:space="preserve"> = 1, 10), </w:t>
      </w:r>
      <m:oMath>
        <m:sSub>
          <m:sSubPr>
            <m:ctrlPr>
              <w:rPr>
                <w:rFonts w:ascii="Cambria Math" w:eastAsiaTheme="minorEastAsia" w:hAnsi="Cambria Math"/>
                <w:i/>
                <w:lang w:val="en-GB"/>
              </w:rPr>
            </m:ctrlPr>
          </m:sSubPr>
          <m:e>
            <m:r>
              <w:rPr>
                <w:rFonts w:ascii="Cambria Math" w:eastAsiaTheme="minorEastAsia" w:hAnsi="Cambria Math"/>
                <w:lang w:val="en-GB"/>
              </w:rPr>
              <m:t>t</m:t>
            </m:r>
          </m:e>
          <m:sub>
            <m:r>
              <w:rPr>
                <w:rFonts w:ascii="Cambria Math" w:eastAsiaTheme="minorEastAsia" w:hAnsi="Cambria Math"/>
                <w:lang w:val="en-GB"/>
              </w:rPr>
              <m:t>r</m:t>
            </m:r>
          </m:sub>
        </m:sSub>
        <m:sSubSup>
          <m:sSubSupPr>
            <m:ctrlPr>
              <w:rPr>
                <w:rFonts w:ascii="Cambria Math" w:eastAsiaTheme="minorEastAsia" w:hAnsi="Cambria Math"/>
                <w:i/>
                <w:lang w:val="en-GB"/>
              </w:rPr>
            </m:ctrlPr>
          </m:sSubSupPr>
          <m:e>
            <m:r>
              <w:rPr>
                <w:rFonts w:ascii="Cambria Math" w:eastAsiaTheme="minorEastAsia" w:hAnsi="Cambria Math"/>
                <w:lang w:val="en-GB"/>
              </w:rPr>
              <m:t xml:space="preserve"> q</m:t>
            </m:r>
          </m:e>
          <m:sub>
            <m:r>
              <w:rPr>
                <w:rFonts w:ascii="Cambria Math" w:eastAsiaTheme="minorEastAsia" w:hAnsi="Cambria Math"/>
                <w:lang w:val="en-GB"/>
              </w:rPr>
              <m:t>0</m:t>
            </m:r>
          </m:sub>
          <m:sup>
            <m:r>
              <w:rPr>
                <w:rFonts w:ascii="Cambria Math" w:eastAsiaTheme="minorEastAsia" w:hAnsi="Cambria Math"/>
                <w:lang w:val="en-GB"/>
              </w:rPr>
              <m:t xml:space="preserve">  </m:t>
            </m:r>
            <m:f>
              <m:fPr>
                <m:ctrlPr>
                  <w:rPr>
                    <w:rFonts w:ascii="Cambria Math" w:eastAsiaTheme="minorEastAsia" w:hAnsi="Cambria Math"/>
                    <w:i/>
                    <w:lang w:val="en-GB"/>
                  </w:rPr>
                </m:ctrlPr>
              </m:fPr>
              <m:num>
                <m:r>
                  <w:rPr>
                    <w:rFonts w:ascii="Cambria Math" w:eastAsiaTheme="minorEastAsia" w:hAnsi="Cambria Math"/>
                    <w:lang w:val="en-GB"/>
                  </w:rPr>
                  <m:t>4</m:t>
                </m:r>
              </m:num>
              <m:den>
                <m:r>
                  <w:rPr>
                    <w:rFonts w:ascii="Cambria Math" w:eastAsiaTheme="minorEastAsia" w:hAnsi="Cambria Math"/>
                    <w:lang w:val="en-GB"/>
                  </w:rPr>
                  <m:t>3</m:t>
                </m:r>
              </m:den>
            </m:f>
          </m:sup>
        </m:sSubSup>
      </m:oMath>
      <w:r w:rsidR="0086647E">
        <w:rPr>
          <w:lang w:val="en-GB"/>
        </w:rPr>
        <w:t xml:space="preserve"> </w:t>
      </w:r>
      <w:r w:rsidR="004375F8" w:rsidRPr="00423F64">
        <w:rPr>
          <w:lang w:val="en-GB"/>
        </w:rPr>
        <w:t xml:space="preserve">on the right-hand side of </w:t>
      </w:r>
      <w:proofErr w:type="spellStart"/>
      <w:r w:rsidR="004375F8" w:rsidRPr="00423F64">
        <w:rPr>
          <w:lang w:val="en-GB"/>
        </w:rPr>
        <w:t>Eq</w:t>
      </w:r>
      <w:proofErr w:type="spellEnd"/>
      <w:r w:rsidR="005A0F4E" w:rsidRPr="00423F64">
        <w:rPr>
          <w:lang w:val="en-GB"/>
        </w:rPr>
        <w:t xml:space="preserve"> </w:t>
      </w:r>
      <w:r w:rsidR="004375F8" w:rsidRPr="00423F64">
        <w:rPr>
          <w:lang w:val="en-GB"/>
        </w:rPr>
        <w:t>(3)</w:t>
      </w:r>
      <w:r w:rsidR="0086647E">
        <w:rPr>
          <w:lang w:val="en-GB"/>
        </w:rPr>
        <w:t xml:space="preserve"> </w:t>
      </w:r>
      <w:r w:rsidR="004375F8" w:rsidRPr="00423F64">
        <w:rPr>
          <w:lang w:val="en-GB"/>
        </w:rPr>
        <w:t xml:space="preserve">can be ignored as this term contributes equally to all the paths and thus its omission would be fine for comparison purposes (Khakzad, 2023). Figure 3 shows the thermal-dose graph for the process area where the weight of each edge </w:t>
      </w:r>
      <w:r w:rsidR="00BE12E6">
        <w:rPr>
          <w:lang w:val="en-GB"/>
        </w:rPr>
        <w:t>shows the respective</w:t>
      </w:r>
      <w:r w:rsidR="004375F8" w:rsidRPr="00423F64">
        <w:rPr>
          <w:lang w:val="en-GB"/>
        </w:rPr>
        <w:t xml:space="preserve"> thermal dose in 10</w:t>
      </w:r>
      <w:r w:rsidR="004375F8" w:rsidRPr="00423F64">
        <w:rPr>
          <w:vertAlign w:val="superscript"/>
          <w:lang w:val="en-GB"/>
        </w:rPr>
        <w:t>5</w:t>
      </w:r>
      <w:r w:rsidR="004375F8" w:rsidRPr="00423F64">
        <w:rPr>
          <w:lang w:val="en-GB"/>
        </w:rPr>
        <w:t xml:space="preserve"> W/m</w:t>
      </w:r>
      <w:r w:rsidR="004375F8" w:rsidRPr="00423F64">
        <w:rPr>
          <w:vertAlign w:val="superscript"/>
          <w:lang w:val="en-GB"/>
        </w:rPr>
        <w:t>2</w:t>
      </w:r>
      <w:r w:rsidR="00CC0AED">
        <w:rPr>
          <w:lang w:val="en-GB"/>
        </w:rPr>
        <w:t xml:space="preserve">, </w:t>
      </w:r>
      <w:r w:rsidR="004375F8" w:rsidRPr="00423F64">
        <w:rPr>
          <w:lang w:val="en-GB"/>
        </w:rPr>
        <w:t>presuming that an evacuee would not run toward the tank fires while escaping to the shelters. Due to this presumption, the edges running from</w:t>
      </w:r>
      <w:r w:rsidR="001D2D12" w:rsidRPr="00423F64">
        <w:rPr>
          <w:lang w:val="en-GB"/>
        </w:rPr>
        <w:t xml:space="preserve"> tank fires’ adjacent nodes </w:t>
      </w:r>
      <w:r w:rsidR="004375F8" w:rsidRPr="00423F64">
        <w:rPr>
          <w:lang w:val="en-GB"/>
        </w:rPr>
        <w:t>toward t</w:t>
      </w:r>
      <w:r w:rsidR="001D2D12" w:rsidRPr="00423F64">
        <w:rPr>
          <w:lang w:val="en-GB"/>
        </w:rPr>
        <w:t xml:space="preserve">he tank fires have been deleted from the graph for simplification. </w:t>
      </w:r>
    </w:p>
    <w:p w14:paraId="72CCF6A9" w14:textId="77777777" w:rsidR="00957D5D" w:rsidRPr="00423F64" w:rsidRDefault="00957D5D" w:rsidP="00600535">
      <w:pPr>
        <w:pStyle w:val="CETBodytext"/>
        <w:rPr>
          <w:lang w:val="en-GB"/>
        </w:rPr>
      </w:pPr>
    </w:p>
    <w:p w14:paraId="3699B07C" w14:textId="2010394C" w:rsidR="007D4167" w:rsidRPr="00423F64" w:rsidRDefault="00A2724F" w:rsidP="00600535">
      <w:pPr>
        <w:pStyle w:val="CETBodytext"/>
        <w:rPr>
          <w:lang w:val="en-GB"/>
        </w:rPr>
      </w:pPr>
      <w:r w:rsidRPr="00423F64">
        <w:rPr>
          <w:lang w:val="en-GB"/>
        </w:rPr>
        <w:lastRenderedPageBreak/>
        <w:t xml:space="preserve"> </w:t>
      </w:r>
      <w:r w:rsidR="005A0F4E" w:rsidRPr="00423F64">
        <w:rPr>
          <w:noProof/>
          <w:lang w:val="en-GB"/>
        </w:rPr>
        <w:drawing>
          <wp:inline distT="0" distB="0" distL="0" distR="0" wp14:anchorId="7D822535" wp14:editId="529E4936">
            <wp:extent cx="3050598" cy="277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0598" cy="2772000"/>
                    </a:xfrm>
                    <a:prstGeom prst="rect">
                      <a:avLst/>
                    </a:prstGeom>
                    <a:noFill/>
                  </pic:spPr>
                </pic:pic>
              </a:graphicData>
            </a:graphic>
          </wp:inline>
        </w:drawing>
      </w:r>
      <w:r w:rsidRPr="00423F64">
        <w:rPr>
          <w:lang w:val="en-GB"/>
        </w:rPr>
        <w:t xml:space="preserve"> </w:t>
      </w:r>
    </w:p>
    <w:p w14:paraId="0F5C85FD" w14:textId="20EEF0AF" w:rsidR="001D2D12" w:rsidRPr="00423F64" w:rsidRDefault="001D2D12" w:rsidP="00E47D24">
      <w:pPr>
        <w:pStyle w:val="CETCaption"/>
      </w:pPr>
      <w:r w:rsidRPr="00423F64">
        <w:t>Figure 3. Modelling the process area as a thermal-dose graph. The weights assigned to each edge show the corresponding thermal dose w</w:t>
      </w:r>
      <w:r w:rsidR="00D25F10">
        <w:t>h</w:t>
      </w:r>
      <w:r w:rsidRPr="00423F64">
        <w:t>ile an evacuee traverse</w:t>
      </w:r>
      <w:r w:rsidR="00D25F10">
        <w:t>s</w:t>
      </w:r>
      <w:r w:rsidRPr="00423F64">
        <w:t xml:space="preserve"> between the nodes connected by that edge. Presuming that an evacuee would</w:t>
      </w:r>
      <w:r w:rsidR="00033217" w:rsidRPr="00423F64">
        <w:t xml:space="preserve"> not</w:t>
      </w:r>
      <w:r w:rsidRPr="00423F64">
        <w:t xml:space="preserve"> run directly toward </w:t>
      </w:r>
      <w:r w:rsidR="00033217" w:rsidRPr="00423F64">
        <w:t>a</w:t>
      </w:r>
      <w:r w:rsidRPr="00423F64">
        <w:t xml:space="preserve"> tank fire, such edges have been deleted from the graph. The node numbers are presented with bold numbers.  </w:t>
      </w:r>
    </w:p>
    <w:p w14:paraId="1F96CA21" w14:textId="01ED38B0" w:rsidR="00600535" w:rsidRPr="00423F64" w:rsidRDefault="005342C9" w:rsidP="00FA5F5F">
      <w:pPr>
        <w:pStyle w:val="CETheadingx"/>
      </w:pPr>
      <w:r w:rsidRPr="00423F64">
        <w:t>Identification of shortest paths</w:t>
      </w:r>
    </w:p>
    <w:p w14:paraId="5952CB31" w14:textId="09942AD7" w:rsidR="005A0F4E" w:rsidRPr="00423F64" w:rsidRDefault="005342C9" w:rsidP="00600535">
      <w:pPr>
        <w:pStyle w:val="CETBodytext"/>
        <w:rPr>
          <w:lang w:val="en-GB"/>
        </w:rPr>
      </w:pPr>
      <w:r w:rsidRPr="00423F64">
        <w:rPr>
          <w:lang w:val="en-GB"/>
        </w:rPr>
        <w:t xml:space="preserve">Since a smaller thermal dose is attributed </w:t>
      </w:r>
      <w:r w:rsidR="00033217" w:rsidRPr="00423F64">
        <w:rPr>
          <w:lang w:val="en-GB"/>
        </w:rPr>
        <w:t>to a smaller probability of injury or death, an optimal evacuation path between the operating unit</w:t>
      </w:r>
      <w:r w:rsidR="005A0F4E" w:rsidRPr="00423F64">
        <w:rPr>
          <w:lang w:val="en-GB"/>
        </w:rPr>
        <w:t>s</w:t>
      </w:r>
      <w:r w:rsidR="00033217" w:rsidRPr="00423F64">
        <w:rPr>
          <w:lang w:val="en-GB"/>
        </w:rPr>
        <w:t xml:space="preserve"> (node</w:t>
      </w:r>
      <w:r w:rsidR="00D25F10">
        <w:rPr>
          <w:lang w:val="en-GB"/>
        </w:rPr>
        <w:t>s</w:t>
      </w:r>
      <w:r w:rsidR="00033217" w:rsidRPr="00423F64">
        <w:rPr>
          <w:lang w:val="en-GB"/>
        </w:rPr>
        <w:t xml:space="preserve"> </w:t>
      </w:r>
      <w:proofErr w:type="spellStart"/>
      <w:r w:rsidR="00033217" w:rsidRPr="00423F64">
        <w:rPr>
          <w:lang w:val="en-GB"/>
        </w:rPr>
        <w:t>i</w:t>
      </w:r>
      <w:proofErr w:type="spellEnd"/>
      <w:r w:rsidR="00033217" w:rsidRPr="00423F64">
        <w:rPr>
          <w:lang w:val="en-GB"/>
        </w:rPr>
        <w:t xml:space="preserve"> = </w:t>
      </w:r>
      <w:r w:rsidR="00A2724F" w:rsidRPr="00423F64">
        <w:rPr>
          <w:lang w:val="en-GB"/>
        </w:rPr>
        <w:t>18</w:t>
      </w:r>
      <w:r w:rsidR="005A0F4E" w:rsidRPr="00423F64">
        <w:rPr>
          <w:lang w:val="en-GB"/>
        </w:rPr>
        <w:t xml:space="preserve"> &amp; 25</w:t>
      </w:r>
      <w:r w:rsidR="00033217" w:rsidRPr="00423F64">
        <w:rPr>
          <w:lang w:val="en-GB"/>
        </w:rPr>
        <w:t xml:space="preserve">) and the shelters can be considered as a path (a sequence of </w:t>
      </w:r>
      <w:r w:rsidR="00520843" w:rsidRPr="00423F64">
        <w:rPr>
          <w:lang w:val="en-GB"/>
        </w:rPr>
        <w:t>connected edges</w:t>
      </w:r>
      <w:r w:rsidR="00033217" w:rsidRPr="00423F64">
        <w:rPr>
          <w:lang w:val="en-GB"/>
        </w:rPr>
        <w:t>) with the least accumulated thermal dose</w:t>
      </w:r>
      <w:r w:rsidR="00520843" w:rsidRPr="00423F64">
        <w:rPr>
          <w:lang w:val="en-GB"/>
        </w:rPr>
        <w:t>.</w:t>
      </w:r>
    </w:p>
    <w:p w14:paraId="5C4258CB" w14:textId="2DAB0D35" w:rsidR="00033217" w:rsidRPr="00423F64" w:rsidRDefault="00BE12E6" w:rsidP="005722CD">
      <w:pPr>
        <w:pStyle w:val="CETBodytext"/>
        <w:rPr>
          <w:lang w:val="en-GB"/>
        </w:rPr>
      </w:pPr>
      <w:r>
        <w:rPr>
          <w:lang w:val="en-GB"/>
        </w:rPr>
        <w:t>To this end, t</w:t>
      </w:r>
      <w:r w:rsidR="00033217" w:rsidRPr="00423F64">
        <w:rPr>
          <w:lang w:val="en-GB"/>
        </w:rPr>
        <w:t xml:space="preserve">he shortest paths from </w:t>
      </w:r>
      <w:r w:rsidR="005A0F4E" w:rsidRPr="00423F64">
        <w:rPr>
          <w:lang w:val="en-GB"/>
        </w:rPr>
        <w:t>Unit #1 (</w:t>
      </w:r>
      <w:r w:rsidR="00033217" w:rsidRPr="00423F64">
        <w:rPr>
          <w:lang w:val="en-GB"/>
        </w:rPr>
        <w:t xml:space="preserve">node </w:t>
      </w:r>
      <w:proofErr w:type="spellStart"/>
      <w:r w:rsidR="00033217" w:rsidRPr="00423F64">
        <w:rPr>
          <w:lang w:val="en-GB"/>
        </w:rPr>
        <w:t>i</w:t>
      </w:r>
      <w:proofErr w:type="spellEnd"/>
      <w:r w:rsidR="00033217" w:rsidRPr="00423F64">
        <w:rPr>
          <w:lang w:val="en-GB"/>
        </w:rPr>
        <w:t xml:space="preserve"> = </w:t>
      </w:r>
      <w:r w:rsidR="00A2724F" w:rsidRPr="00423F64">
        <w:rPr>
          <w:lang w:val="en-GB"/>
        </w:rPr>
        <w:t>18</w:t>
      </w:r>
      <w:r w:rsidR="005A0F4E" w:rsidRPr="00423F64">
        <w:rPr>
          <w:lang w:val="en-GB"/>
        </w:rPr>
        <w:t>)</w:t>
      </w:r>
      <w:r w:rsidR="00033217" w:rsidRPr="00423F64">
        <w:rPr>
          <w:lang w:val="en-GB"/>
        </w:rPr>
        <w:t xml:space="preserve"> to </w:t>
      </w:r>
      <w:r w:rsidR="005722CD" w:rsidRPr="00423F64">
        <w:rPr>
          <w:lang w:val="en-GB"/>
        </w:rPr>
        <w:t>the shelters (</w:t>
      </w:r>
      <w:r w:rsidR="00033217" w:rsidRPr="00423F64">
        <w:rPr>
          <w:lang w:val="en-GB"/>
        </w:rPr>
        <w:t>node</w:t>
      </w:r>
      <w:r w:rsidR="005722CD" w:rsidRPr="00423F64">
        <w:rPr>
          <w:lang w:val="en-GB"/>
        </w:rPr>
        <w:t>s</w:t>
      </w:r>
      <w:r w:rsidR="00033217" w:rsidRPr="00423F64">
        <w:rPr>
          <w:lang w:val="en-GB"/>
        </w:rPr>
        <w:t xml:space="preserve"> </w:t>
      </w:r>
      <w:proofErr w:type="spellStart"/>
      <w:r w:rsidR="00033217" w:rsidRPr="00423F64">
        <w:rPr>
          <w:lang w:val="en-GB"/>
        </w:rPr>
        <w:t>i</w:t>
      </w:r>
      <w:proofErr w:type="spellEnd"/>
      <w:r w:rsidR="00033217" w:rsidRPr="00423F64">
        <w:rPr>
          <w:lang w:val="en-GB"/>
        </w:rPr>
        <w:t xml:space="preserve"> = 1 </w:t>
      </w:r>
      <w:r w:rsidR="005722CD" w:rsidRPr="00423F64">
        <w:rPr>
          <w:lang w:val="en-GB"/>
        </w:rPr>
        <w:t xml:space="preserve">&amp; </w:t>
      </w:r>
      <w:r w:rsidR="00033217" w:rsidRPr="00423F64">
        <w:rPr>
          <w:lang w:val="en-GB"/>
        </w:rPr>
        <w:t>10</w:t>
      </w:r>
      <w:r w:rsidR="005722CD" w:rsidRPr="00423F64">
        <w:rPr>
          <w:lang w:val="en-GB"/>
        </w:rPr>
        <w:t>)</w:t>
      </w:r>
      <w:r w:rsidR="00033217" w:rsidRPr="00423F64">
        <w:rPr>
          <w:lang w:val="en-GB"/>
        </w:rPr>
        <w:t xml:space="preserve"> can be identifi</w:t>
      </w:r>
      <w:r w:rsidR="00520843" w:rsidRPr="00423F64">
        <w:rPr>
          <w:lang w:val="en-GB"/>
        </w:rPr>
        <w:t>ed</w:t>
      </w:r>
      <w:r w:rsidR="00033217" w:rsidRPr="00423F64">
        <w:rPr>
          <w:lang w:val="en-GB"/>
        </w:rPr>
        <w:t xml:space="preserve"> by applying Dijkstra’s algorithm</w:t>
      </w:r>
      <w:r w:rsidR="005A0F4E" w:rsidRPr="00423F64">
        <w:rPr>
          <w:lang w:val="en-GB"/>
        </w:rPr>
        <w:t xml:space="preserve"> as:</w:t>
      </w:r>
      <w:r w:rsidR="00033217" w:rsidRPr="00423F64">
        <w:rPr>
          <w:lang w:val="en-GB"/>
        </w:rPr>
        <w:t xml:space="preserve"> </w:t>
      </w:r>
    </w:p>
    <w:p w14:paraId="665CE3ED" w14:textId="327E67F6" w:rsidR="007B0338" w:rsidRPr="00423F64" w:rsidRDefault="00520843" w:rsidP="007B0338">
      <w:pPr>
        <w:pStyle w:val="CETListbullets"/>
        <w:numPr>
          <w:ilvl w:val="0"/>
          <w:numId w:val="23"/>
        </w:numPr>
      </w:pPr>
      <w:r w:rsidRPr="00423F64">
        <w:t>From Unit #1 t</w:t>
      </w:r>
      <w:r w:rsidR="007B0338" w:rsidRPr="00423F64">
        <w:t xml:space="preserve">o Shelter #1: </w:t>
      </w:r>
      <w:proofErr w:type="spellStart"/>
      <w:r w:rsidR="007B0338" w:rsidRPr="00423F64">
        <w:t>i</w:t>
      </w:r>
      <w:proofErr w:type="spellEnd"/>
      <w:r w:rsidR="007B0338" w:rsidRPr="00423F64">
        <w:t xml:space="preserve"> = </w:t>
      </w:r>
      <w:r w:rsidR="00A2724F" w:rsidRPr="00423F64">
        <w:t>18</w:t>
      </w:r>
      <w:r w:rsidR="007B0338" w:rsidRPr="00423F64">
        <w:t xml:space="preserve"> </w:t>
      </w:r>
      <w:r w:rsidR="007B0338" w:rsidRPr="00423F64">
        <w:rPr>
          <w:rFonts w:cs="Arial"/>
        </w:rPr>
        <w:t>→</w:t>
      </w:r>
      <w:r w:rsidR="007B0338" w:rsidRPr="00423F64">
        <w:t xml:space="preserve"> </w:t>
      </w:r>
      <w:proofErr w:type="spellStart"/>
      <w:r w:rsidR="007B0338" w:rsidRPr="00423F64">
        <w:t>i</w:t>
      </w:r>
      <w:proofErr w:type="spellEnd"/>
      <w:r w:rsidR="007B0338" w:rsidRPr="00423F64">
        <w:t xml:space="preserve"> = 22 </w:t>
      </w:r>
      <w:r w:rsidR="007B0338" w:rsidRPr="00423F64">
        <w:rPr>
          <w:rFonts w:cs="Arial"/>
        </w:rPr>
        <w:t>→</w:t>
      </w:r>
      <w:r w:rsidR="007B0338" w:rsidRPr="00423F64">
        <w:t xml:space="preserve"> </w:t>
      </w:r>
      <w:proofErr w:type="spellStart"/>
      <w:r w:rsidR="007B0338" w:rsidRPr="00423F64">
        <w:t>i</w:t>
      </w:r>
      <w:proofErr w:type="spellEnd"/>
      <w:r w:rsidR="007B0338" w:rsidRPr="00423F64">
        <w:t xml:space="preserve"> = 21 </w:t>
      </w:r>
      <w:r w:rsidR="007B0338" w:rsidRPr="00423F64">
        <w:rPr>
          <w:rFonts w:cs="Arial"/>
        </w:rPr>
        <w:t>→</w:t>
      </w:r>
      <w:r w:rsidR="007B0338" w:rsidRPr="00423F64">
        <w:t xml:space="preserve"> </w:t>
      </w:r>
      <w:proofErr w:type="spellStart"/>
      <w:r w:rsidR="007B0338" w:rsidRPr="00423F64">
        <w:t>i</w:t>
      </w:r>
      <w:proofErr w:type="spellEnd"/>
      <w:r w:rsidR="007B0338" w:rsidRPr="00423F64">
        <w:t xml:space="preserve"> = 16 </w:t>
      </w:r>
      <w:r w:rsidR="007B0338" w:rsidRPr="00423F64">
        <w:rPr>
          <w:rFonts w:cs="Arial"/>
        </w:rPr>
        <w:t>→</w:t>
      </w:r>
      <w:r w:rsidR="007B0338" w:rsidRPr="00423F64">
        <w:t xml:space="preserve"> </w:t>
      </w:r>
      <w:proofErr w:type="spellStart"/>
      <w:r w:rsidR="007B0338" w:rsidRPr="00423F64">
        <w:t>i</w:t>
      </w:r>
      <w:proofErr w:type="spellEnd"/>
      <w:r w:rsidR="007B0338" w:rsidRPr="00423F64">
        <w:t xml:space="preserve"> = 11 </w:t>
      </w:r>
      <w:r w:rsidR="007B0338" w:rsidRPr="00423F64">
        <w:rPr>
          <w:rFonts w:cs="Arial"/>
        </w:rPr>
        <w:t>→</w:t>
      </w:r>
      <w:r w:rsidR="007B0338" w:rsidRPr="00423F64">
        <w:t xml:space="preserve"> </w:t>
      </w:r>
      <w:proofErr w:type="spellStart"/>
      <w:r w:rsidR="007B0338" w:rsidRPr="00423F64">
        <w:t>i</w:t>
      </w:r>
      <w:proofErr w:type="spellEnd"/>
      <w:r w:rsidR="007B0338" w:rsidRPr="00423F64">
        <w:t xml:space="preserve"> = 6 </w:t>
      </w:r>
      <w:r w:rsidR="007B0338" w:rsidRPr="00423F64">
        <w:rPr>
          <w:rFonts w:cs="Arial"/>
        </w:rPr>
        <w:t>→</w:t>
      </w:r>
      <w:r w:rsidR="007B0338" w:rsidRPr="00423F64">
        <w:t xml:space="preserve"> </w:t>
      </w:r>
      <w:proofErr w:type="spellStart"/>
      <w:r w:rsidR="007B0338" w:rsidRPr="00423F64">
        <w:t>i</w:t>
      </w:r>
      <w:proofErr w:type="spellEnd"/>
      <w:r w:rsidR="007B0338" w:rsidRPr="00423F64">
        <w:t xml:space="preserve"> = 1</w:t>
      </w:r>
      <w:r w:rsidR="005A0F4E" w:rsidRPr="00423F64">
        <w:t>, with the total thermal dose 7</w:t>
      </w:r>
      <w:r w:rsidR="005722CD" w:rsidRPr="00423F64">
        <w:t>7</w:t>
      </w:r>
      <w:r w:rsidR="005A0F4E" w:rsidRPr="00423F64">
        <w:t xml:space="preserve"> </w:t>
      </w:r>
      <w:r w:rsidR="005A0F4E" w:rsidRPr="00423F64">
        <w:rPr>
          <w:rFonts w:cs="Arial"/>
        </w:rPr>
        <w:t>×</w:t>
      </w:r>
      <w:r w:rsidR="005A0F4E" w:rsidRPr="00423F64">
        <w:t xml:space="preserve"> 10</w:t>
      </w:r>
      <w:r w:rsidR="005A0F4E" w:rsidRPr="00423F64">
        <w:rPr>
          <w:vertAlign w:val="superscript"/>
        </w:rPr>
        <w:t>5</w:t>
      </w:r>
      <w:r w:rsidR="005A0F4E" w:rsidRPr="00423F64">
        <w:t xml:space="preserve"> kW/m</w:t>
      </w:r>
      <w:r w:rsidR="005A0F4E" w:rsidRPr="00423F64">
        <w:rPr>
          <w:vertAlign w:val="superscript"/>
        </w:rPr>
        <w:t>2</w:t>
      </w:r>
      <w:r w:rsidR="005A0F4E" w:rsidRPr="00423F64">
        <w:t>, and</w:t>
      </w:r>
    </w:p>
    <w:p w14:paraId="1BB8542A" w14:textId="705C6627" w:rsidR="005A0F4E" w:rsidRPr="00423F64" w:rsidRDefault="00520843" w:rsidP="005722CD">
      <w:pPr>
        <w:pStyle w:val="CETListbullets"/>
        <w:numPr>
          <w:ilvl w:val="0"/>
          <w:numId w:val="23"/>
        </w:numPr>
      </w:pPr>
      <w:r w:rsidRPr="00423F64">
        <w:t>From Unit #1 t</w:t>
      </w:r>
      <w:r w:rsidR="007B0338" w:rsidRPr="00423F64">
        <w:t xml:space="preserve">o Shelter #2: </w:t>
      </w:r>
      <w:proofErr w:type="spellStart"/>
      <w:r w:rsidR="007B0338" w:rsidRPr="00423F64">
        <w:t>i</w:t>
      </w:r>
      <w:proofErr w:type="spellEnd"/>
      <w:r w:rsidR="007B0338" w:rsidRPr="00423F64">
        <w:t xml:space="preserve"> = </w:t>
      </w:r>
      <w:r w:rsidR="00A2724F" w:rsidRPr="00423F64">
        <w:t>18</w:t>
      </w:r>
      <w:r w:rsidR="007B0338" w:rsidRPr="00423F64">
        <w:t xml:space="preserve"> </w:t>
      </w:r>
      <w:r w:rsidR="007B0338" w:rsidRPr="00423F64">
        <w:rPr>
          <w:rFonts w:cs="Arial"/>
        </w:rPr>
        <w:t>→</w:t>
      </w:r>
      <w:r w:rsidR="007B0338" w:rsidRPr="00423F64">
        <w:t xml:space="preserve"> </w:t>
      </w:r>
      <w:proofErr w:type="spellStart"/>
      <w:r w:rsidR="007B0338" w:rsidRPr="00423F64">
        <w:t>i</w:t>
      </w:r>
      <w:proofErr w:type="spellEnd"/>
      <w:r w:rsidR="007B0338" w:rsidRPr="00423F64">
        <w:t xml:space="preserve"> = </w:t>
      </w:r>
      <w:r w:rsidR="00A2724F" w:rsidRPr="00423F64">
        <w:t>1</w:t>
      </w:r>
      <w:r w:rsidR="00C761E5" w:rsidRPr="00423F64">
        <w:t>4</w:t>
      </w:r>
      <w:r w:rsidR="007B0338" w:rsidRPr="00423F64">
        <w:t xml:space="preserve"> </w:t>
      </w:r>
      <w:r w:rsidR="007B0338" w:rsidRPr="00423F64">
        <w:rPr>
          <w:rFonts w:cs="Arial"/>
        </w:rPr>
        <w:t>→</w:t>
      </w:r>
      <w:r w:rsidR="007B0338" w:rsidRPr="00423F64">
        <w:t xml:space="preserve"> </w:t>
      </w:r>
      <w:proofErr w:type="spellStart"/>
      <w:r w:rsidR="007B0338" w:rsidRPr="00423F64">
        <w:t>i</w:t>
      </w:r>
      <w:proofErr w:type="spellEnd"/>
      <w:r w:rsidR="007B0338" w:rsidRPr="00423F64">
        <w:t xml:space="preserve"> = </w:t>
      </w:r>
      <w:r w:rsidR="00A2724F" w:rsidRPr="00423F64">
        <w:t>9</w:t>
      </w:r>
      <w:r w:rsidR="007B0338" w:rsidRPr="00423F64">
        <w:t xml:space="preserve"> </w:t>
      </w:r>
      <w:r w:rsidR="007B0338" w:rsidRPr="00423F64">
        <w:rPr>
          <w:rFonts w:cs="Arial"/>
        </w:rPr>
        <w:t>→</w:t>
      </w:r>
      <w:r w:rsidR="007B0338" w:rsidRPr="00423F64">
        <w:t xml:space="preserve"> </w:t>
      </w:r>
      <w:proofErr w:type="spellStart"/>
      <w:r w:rsidR="007B0338" w:rsidRPr="00423F64">
        <w:t>i</w:t>
      </w:r>
      <w:proofErr w:type="spellEnd"/>
      <w:r w:rsidR="007B0338" w:rsidRPr="00423F64">
        <w:t xml:space="preserve"> = </w:t>
      </w:r>
      <w:r w:rsidR="00A2724F" w:rsidRPr="00423F64">
        <w:t>1</w:t>
      </w:r>
      <w:r w:rsidR="00C761E5" w:rsidRPr="00423F64">
        <w:t>0</w:t>
      </w:r>
      <w:r w:rsidR="005A0F4E" w:rsidRPr="00423F64">
        <w:t xml:space="preserve">, with the total thermal dose 74 </w:t>
      </w:r>
      <w:r w:rsidR="005A0F4E" w:rsidRPr="00423F64">
        <w:rPr>
          <w:rFonts w:cs="Arial"/>
        </w:rPr>
        <w:t>×</w:t>
      </w:r>
      <w:r w:rsidR="005A0F4E" w:rsidRPr="00423F64">
        <w:t xml:space="preserve"> 10</w:t>
      </w:r>
      <w:r w:rsidR="005A0F4E" w:rsidRPr="00423F64">
        <w:rPr>
          <w:vertAlign w:val="superscript"/>
        </w:rPr>
        <w:t>5</w:t>
      </w:r>
      <w:r w:rsidR="005A0F4E" w:rsidRPr="00423F64">
        <w:t xml:space="preserve"> kW/m</w:t>
      </w:r>
      <w:r w:rsidR="005A0F4E" w:rsidRPr="00423F64">
        <w:rPr>
          <w:vertAlign w:val="superscript"/>
        </w:rPr>
        <w:t>2</w:t>
      </w:r>
      <w:r w:rsidR="005A0F4E" w:rsidRPr="00423F64">
        <w:t xml:space="preserve">. </w:t>
      </w:r>
    </w:p>
    <w:p w14:paraId="3E5A074C" w14:textId="0246CC20" w:rsidR="005A0F4E" w:rsidRPr="00423F64" w:rsidRDefault="005A0F4E" w:rsidP="005A0F4E">
      <w:pPr>
        <w:pStyle w:val="CETBodytext"/>
        <w:rPr>
          <w:lang w:val="en-GB"/>
        </w:rPr>
      </w:pPr>
      <w:r w:rsidRPr="00423F64">
        <w:t xml:space="preserve">Similarly, </w:t>
      </w:r>
      <w:r w:rsidRPr="00423F64">
        <w:rPr>
          <w:lang w:val="en-GB"/>
        </w:rPr>
        <w:t xml:space="preserve">the shortest paths from Unit #2 (node </w:t>
      </w:r>
      <w:proofErr w:type="spellStart"/>
      <w:r w:rsidRPr="00423F64">
        <w:rPr>
          <w:lang w:val="en-GB"/>
        </w:rPr>
        <w:t>i</w:t>
      </w:r>
      <w:proofErr w:type="spellEnd"/>
      <w:r w:rsidRPr="00423F64">
        <w:rPr>
          <w:lang w:val="en-GB"/>
        </w:rPr>
        <w:t xml:space="preserve"> = 25) to </w:t>
      </w:r>
      <w:r w:rsidR="005722CD" w:rsidRPr="00423F64">
        <w:rPr>
          <w:lang w:val="en-GB"/>
        </w:rPr>
        <w:t xml:space="preserve">the shelters (nodes </w:t>
      </w:r>
      <w:proofErr w:type="spellStart"/>
      <w:r w:rsidR="005722CD" w:rsidRPr="00423F64">
        <w:rPr>
          <w:lang w:val="en-GB"/>
        </w:rPr>
        <w:t>i</w:t>
      </w:r>
      <w:proofErr w:type="spellEnd"/>
      <w:r w:rsidR="005722CD" w:rsidRPr="00423F64">
        <w:rPr>
          <w:lang w:val="en-GB"/>
        </w:rPr>
        <w:t xml:space="preserve"> = 1 &amp; 10) </w:t>
      </w:r>
      <w:r w:rsidRPr="00423F64">
        <w:rPr>
          <w:lang w:val="en-GB"/>
        </w:rPr>
        <w:t>can be identifie</w:t>
      </w:r>
      <w:r w:rsidR="00520843" w:rsidRPr="00423F64">
        <w:rPr>
          <w:lang w:val="en-GB"/>
        </w:rPr>
        <w:t>d</w:t>
      </w:r>
      <w:r w:rsidRPr="00423F64">
        <w:rPr>
          <w:lang w:val="en-GB"/>
        </w:rPr>
        <w:t xml:space="preserve"> as:</w:t>
      </w:r>
    </w:p>
    <w:p w14:paraId="1ED6C514" w14:textId="7C180763" w:rsidR="005A0F4E" w:rsidRPr="00423F64" w:rsidRDefault="00520843" w:rsidP="005A0F4E">
      <w:pPr>
        <w:pStyle w:val="CETListbullets"/>
        <w:numPr>
          <w:ilvl w:val="0"/>
          <w:numId w:val="23"/>
        </w:numPr>
      </w:pPr>
      <w:r w:rsidRPr="00423F64">
        <w:t>From Unit #2 t</w:t>
      </w:r>
      <w:r w:rsidR="005A0F4E" w:rsidRPr="00423F64">
        <w:t xml:space="preserve">o Shelter #1: </w:t>
      </w:r>
      <w:proofErr w:type="spellStart"/>
      <w:r w:rsidR="005A0F4E" w:rsidRPr="0086647E">
        <w:rPr>
          <w:highlight w:val="yellow"/>
        </w:rPr>
        <w:t>i</w:t>
      </w:r>
      <w:proofErr w:type="spellEnd"/>
      <w:r w:rsidR="005A0F4E" w:rsidRPr="0086647E">
        <w:rPr>
          <w:highlight w:val="yellow"/>
        </w:rPr>
        <w:t xml:space="preserve"> = </w:t>
      </w:r>
      <w:r w:rsidR="005722CD" w:rsidRPr="0086647E">
        <w:rPr>
          <w:highlight w:val="yellow"/>
        </w:rPr>
        <w:t>25</w:t>
      </w:r>
      <w:r w:rsidR="005A0F4E" w:rsidRPr="0086647E">
        <w:rPr>
          <w:highlight w:val="yellow"/>
        </w:rPr>
        <w:t xml:space="preserve"> </w:t>
      </w:r>
      <w:r w:rsidR="005A0F4E" w:rsidRPr="0086647E">
        <w:rPr>
          <w:rFonts w:cs="Arial"/>
          <w:highlight w:val="yellow"/>
        </w:rPr>
        <w:t>→</w:t>
      </w:r>
      <w:r w:rsidR="005A0F4E" w:rsidRPr="0086647E">
        <w:rPr>
          <w:highlight w:val="yellow"/>
        </w:rPr>
        <w:t xml:space="preserve"> </w:t>
      </w:r>
      <w:proofErr w:type="spellStart"/>
      <w:r w:rsidR="005A0F4E" w:rsidRPr="0086647E">
        <w:rPr>
          <w:highlight w:val="yellow"/>
        </w:rPr>
        <w:t>i</w:t>
      </w:r>
      <w:proofErr w:type="spellEnd"/>
      <w:r w:rsidR="005A0F4E" w:rsidRPr="0086647E">
        <w:rPr>
          <w:highlight w:val="yellow"/>
        </w:rPr>
        <w:t xml:space="preserve"> = 2</w:t>
      </w:r>
      <w:r w:rsidR="0086647E" w:rsidRPr="0086647E">
        <w:rPr>
          <w:highlight w:val="yellow"/>
        </w:rPr>
        <w:t>0</w:t>
      </w:r>
      <w:r w:rsidR="005A0F4E" w:rsidRPr="0086647E">
        <w:rPr>
          <w:highlight w:val="yellow"/>
        </w:rPr>
        <w:t xml:space="preserve"> </w:t>
      </w:r>
      <w:r w:rsidR="005A0F4E" w:rsidRPr="0086647E">
        <w:rPr>
          <w:rFonts w:cs="Arial"/>
          <w:highlight w:val="yellow"/>
        </w:rPr>
        <w:t>→</w:t>
      </w:r>
      <w:r w:rsidR="005A0F4E" w:rsidRPr="0086647E">
        <w:rPr>
          <w:highlight w:val="yellow"/>
        </w:rPr>
        <w:t xml:space="preserve"> </w:t>
      </w:r>
      <w:proofErr w:type="spellStart"/>
      <w:r w:rsidR="005A0F4E" w:rsidRPr="0086647E">
        <w:rPr>
          <w:highlight w:val="yellow"/>
        </w:rPr>
        <w:t>i</w:t>
      </w:r>
      <w:proofErr w:type="spellEnd"/>
      <w:r w:rsidR="005A0F4E" w:rsidRPr="0086647E">
        <w:rPr>
          <w:highlight w:val="yellow"/>
        </w:rPr>
        <w:t xml:space="preserve"> = </w:t>
      </w:r>
      <w:r w:rsidR="0086647E" w:rsidRPr="0086647E">
        <w:rPr>
          <w:highlight w:val="yellow"/>
        </w:rPr>
        <w:t>15</w:t>
      </w:r>
      <w:r w:rsidR="005A0F4E" w:rsidRPr="0086647E">
        <w:rPr>
          <w:highlight w:val="yellow"/>
        </w:rPr>
        <w:t xml:space="preserve"> </w:t>
      </w:r>
      <w:r w:rsidR="005A0F4E" w:rsidRPr="0086647E">
        <w:rPr>
          <w:rFonts w:cs="Arial"/>
          <w:highlight w:val="yellow"/>
        </w:rPr>
        <w:t>→</w:t>
      </w:r>
      <w:r w:rsidR="005A0F4E" w:rsidRPr="0086647E">
        <w:rPr>
          <w:highlight w:val="yellow"/>
        </w:rPr>
        <w:t xml:space="preserve"> </w:t>
      </w:r>
      <w:proofErr w:type="spellStart"/>
      <w:r w:rsidR="005A0F4E" w:rsidRPr="0086647E">
        <w:rPr>
          <w:highlight w:val="yellow"/>
        </w:rPr>
        <w:t>i</w:t>
      </w:r>
      <w:proofErr w:type="spellEnd"/>
      <w:r w:rsidR="005A0F4E" w:rsidRPr="0086647E">
        <w:rPr>
          <w:highlight w:val="yellow"/>
        </w:rPr>
        <w:t xml:space="preserve"> = </w:t>
      </w:r>
      <w:r w:rsidR="0086647E" w:rsidRPr="0086647E">
        <w:rPr>
          <w:highlight w:val="yellow"/>
        </w:rPr>
        <w:t>10</w:t>
      </w:r>
      <w:r w:rsidR="005A0F4E" w:rsidRPr="0086647E">
        <w:rPr>
          <w:highlight w:val="yellow"/>
        </w:rPr>
        <w:t xml:space="preserve"> </w:t>
      </w:r>
      <w:r w:rsidR="005A0F4E" w:rsidRPr="0086647E">
        <w:rPr>
          <w:rFonts w:cs="Arial"/>
          <w:highlight w:val="yellow"/>
        </w:rPr>
        <w:t>→</w:t>
      </w:r>
      <w:r w:rsidR="005A0F4E" w:rsidRPr="0086647E">
        <w:rPr>
          <w:highlight w:val="yellow"/>
        </w:rPr>
        <w:t xml:space="preserve"> </w:t>
      </w:r>
      <w:proofErr w:type="spellStart"/>
      <w:r w:rsidR="005A0F4E" w:rsidRPr="0086647E">
        <w:rPr>
          <w:highlight w:val="yellow"/>
        </w:rPr>
        <w:t>i</w:t>
      </w:r>
      <w:proofErr w:type="spellEnd"/>
      <w:r w:rsidR="005A0F4E" w:rsidRPr="0086647E">
        <w:rPr>
          <w:highlight w:val="yellow"/>
        </w:rPr>
        <w:t xml:space="preserve"> = </w:t>
      </w:r>
      <w:r w:rsidR="0086647E" w:rsidRPr="0086647E">
        <w:rPr>
          <w:highlight w:val="yellow"/>
        </w:rPr>
        <w:t>4</w:t>
      </w:r>
      <w:r w:rsidR="005A0F4E" w:rsidRPr="0086647E">
        <w:rPr>
          <w:highlight w:val="yellow"/>
        </w:rPr>
        <w:t xml:space="preserve"> </w:t>
      </w:r>
      <w:r w:rsidR="005A0F4E" w:rsidRPr="0086647E">
        <w:rPr>
          <w:rFonts w:cs="Arial"/>
          <w:highlight w:val="yellow"/>
        </w:rPr>
        <w:t>→</w:t>
      </w:r>
      <w:r w:rsidR="005A0F4E" w:rsidRPr="0086647E">
        <w:rPr>
          <w:highlight w:val="yellow"/>
        </w:rPr>
        <w:t xml:space="preserve"> </w:t>
      </w:r>
      <w:proofErr w:type="spellStart"/>
      <w:r w:rsidR="005A0F4E" w:rsidRPr="0086647E">
        <w:rPr>
          <w:highlight w:val="yellow"/>
        </w:rPr>
        <w:t>i</w:t>
      </w:r>
      <w:proofErr w:type="spellEnd"/>
      <w:r w:rsidR="005A0F4E" w:rsidRPr="0086647E">
        <w:rPr>
          <w:highlight w:val="yellow"/>
        </w:rPr>
        <w:t xml:space="preserve"> = </w:t>
      </w:r>
      <w:r w:rsidR="0086647E" w:rsidRPr="0086647E">
        <w:rPr>
          <w:highlight w:val="yellow"/>
        </w:rPr>
        <w:t>3</w:t>
      </w:r>
      <w:r w:rsidR="005A0F4E" w:rsidRPr="0086647E">
        <w:rPr>
          <w:highlight w:val="yellow"/>
        </w:rPr>
        <w:t xml:space="preserve"> </w:t>
      </w:r>
      <w:r w:rsidR="005A0F4E" w:rsidRPr="0086647E">
        <w:rPr>
          <w:rFonts w:cs="Arial"/>
          <w:highlight w:val="yellow"/>
        </w:rPr>
        <w:t>→</w:t>
      </w:r>
      <w:r w:rsidR="005A0F4E" w:rsidRPr="0086647E">
        <w:rPr>
          <w:highlight w:val="yellow"/>
        </w:rPr>
        <w:t xml:space="preserve"> </w:t>
      </w:r>
      <w:proofErr w:type="spellStart"/>
      <w:r w:rsidR="005A0F4E" w:rsidRPr="0086647E">
        <w:rPr>
          <w:highlight w:val="yellow"/>
        </w:rPr>
        <w:t>i</w:t>
      </w:r>
      <w:proofErr w:type="spellEnd"/>
      <w:r w:rsidR="005A0F4E" w:rsidRPr="0086647E">
        <w:rPr>
          <w:highlight w:val="yellow"/>
        </w:rPr>
        <w:t xml:space="preserve"> = </w:t>
      </w:r>
      <w:r w:rsidR="0086647E" w:rsidRPr="0086647E">
        <w:rPr>
          <w:highlight w:val="yellow"/>
        </w:rPr>
        <w:t xml:space="preserve">2 </w:t>
      </w:r>
      <w:r w:rsidR="005722CD" w:rsidRPr="0086647E">
        <w:rPr>
          <w:rFonts w:cs="Arial"/>
          <w:highlight w:val="yellow"/>
        </w:rPr>
        <w:t>→</w:t>
      </w:r>
      <w:r w:rsidR="005722CD" w:rsidRPr="0086647E">
        <w:rPr>
          <w:highlight w:val="yellow"/>
        </w:rPr>
        <w:t xml:space="preserve"> </w:t>
      </w:r>
      <w:proofErr w:type="spellStart"/>
      <w:r w:rsidR="005722CD" w:rsidRPr="0086647E">
        <w:rPr>
          <w:highlight w:val="yellow"/>
        </w:rPr>
        <w:t>i</w:t>
      </w:r>
      <w:proofErr w:type="spellEnd"/>
      <w:r w:rsidR="005722CD" w:rsidRPr="0086647E">
        <w:rPr>
          <w:highlight w:val="yellow"/>
        </w:rPr>
        <w:t xml:space="preserve"> = 1</w:t>
      </w:r>
      <w:r w:rsidR="005A0F4E" w:rsidRPr="0086647E">
        <w:rPr>
          <w:highlight w:val="yellow"/>
        </w:rPr>
        <w:t xml:space="preserve">, with the total thermal dose </w:t>
      </w:r>
      <w:r w:rsidR="0086647E" w:rsidRPr="0086647E">
        <w:rPr>
          <w:highlight w:val="yellow"/>
        </w:rPr>
        <w:t>43.5</w:t>
      </w:r>
      <w:r w:rsidR="005A0F4E" w:rsidRPr="0086647E">
        <w:rPr>
          <w:highlight w:val="yellow"/>
        </w:rPr>
        <w:t xml:space="preserve"> </w:t>
      </w:r>
      <w:r w:rsidR="005A0F4E" w:rsidRPr="0086647E">
        <w:rPr>
          <w:rFonts w:cs="Arial"/>
          <w:highlight w:val="yellow"/>
        </w:rPr>
        <w:t>×</w:t>
      </w:r>
      <w:r w:rsidR="005A0F4E" w:rsidRPr="0086647E">
        <w:rPr>
          <w:highlight w:val="yellow"/>
        </w:rPr>
        <w:t xml:space="preserve"> 10</w:t>
      </w:r>
      <w:r w:rsidR="005A0F4E" w:rsidRPr="0086647E">
        <w:rPr>
          <w:highlight w:val="yellow"/>
          <w:vertAlign w:val="superscript"/>
        </w:rPr>
        <w:t>5</w:t>
      </w:r>
      <w:r w:rsidR="005A0F4E" w:rsidRPr="0086647E">
        <w:rPr>
          <w:highlight w:val="yellow"/>
        </w:rPr>
        <w:t xml:space="preserve"> kW/m</w:t>
      </w:r>
      <w:r w:rsidR="005A0F4E" w:rsidRPr="0086647E">
        <w:rPr>
          <w:highlight w:val="yellow"/>
          <w:vertAlign w:val="superscript"/>
        </w:rPr>
        <w:t>2</w:t>
      </w:r>
      <w:r w:rsidR="005A0F4E" w:rsidRPr="00423F64">
        <w:t>, and</w:t>
      </w:r>
    </w:p>
    <w:p w14:paraId="30535B45" w14:textId="1E98BFCA" w:rsidR="005A0F4E" w:rsidRPr="00423F64" w:rsidRDefault="00520843" w:rsidP="005A0F4E">
      <w:pPr>
        <w:pStyle w:val="CETListbullets"/>
        <w:numPr>
          <w:ilvl w:val="0"/>
          <w:numId w:val="23"/>
        </w:numPr>
      </w:pPr>
      <w:r w:rsidRPr="00423F64">
        <w:t>From Unit #2 t</w:t>
      </w:r>
      <w:r w:rsidR="005722CD" w:rsidRPr="00423F64">
        <w:t>o</w:t>
      </w:r>
      <w:r w:rsidR="005A0F4E" w:rsidRPr="00423F64">
        <w:t xml:space="preserve"> Shelter #2: </w:t>
      </w:r>
      <w:proofErr w:type="spellStart"/>
      <w:r w:rsidR="005A0F4E" w:rsidRPr="00423F64">
        <w:t>i</w:t>
      </w:r>
      <w:proofErr w:type="spellEnd"/>
      <w:r w:rsidR="005A0F4E" w:rsidRPr="00423F64">
        <w:t xml:space="preserve"> = </w:t>
      </w:r>
      <w:r w:rsidR="005722CD" w:rsidRPr="00423F64">
        <w:t>25</w:t>
      </w:r>
      <w:r w:rsidR="005A0F4E" w:rsidRPr="00423F64">
        <w:t xml:space="preserve"> </w:t>
      </w:r>
      <w:r w:rsidR="005A0F4E" w:rsidRPr="00423F64">
        <w:rPr>
          <w:rFonts w:cs="Arial"/>
        </w:rPr>
        <w:t>→</w:t>
      </w:r>
      <w:r w:rsidR="005A0F4E" w:rsidRPr="00423F64">
        <w:t xml:space="preserve"> </w:t>
      </w:r>
      <w:proofErr w:type="spellStart"/>
      <w:r w:rsidR="005A0F4E" w:rsidRPr="00423F64">
        <w:t>i</w:t>
      </w:r>
      <w:proofErr w:type="spellEnd"/>
      <w:r w:rsidR="005A0F4E" w:rsidRPr="00423F64">
        <w:t xml:space="preserve"> = </w:t>
      </w:r>
      <w:r w:rsidR="005722CD" w:rsidRPr="00423F64">
        <w:t>20</w:t>
      </w:r>
      <w:r w:rsidR="005A0F4E" w:rsidRPr="00423F64">
        <w:t xml:space="preserve"> </w:t>
      </w:r>
      <w:r w:rsidR="005A0F4E" w:rsidRPr="00423F64">
        <w:rPr>
          <w:rFonts w:cs="Arial"/>
        </w:rPr>
        <w:t>→</w:t>
      </w:r>
      <w:r w:rsidR="005A0F4E" w:rsidRPr="00423F64">
        <w:t xml:space="preserve"> </w:t>
      </w:r>
      <w:proofErr w:type="spellStart"/>
      <w:r w:rsidR="005A0F4E" w:rsidRPr="00423F64">
        <w:t>i</w:t>
      </w:r>
      <w:proofErr w:type="spellEnd"/>
      <w:r w:rsidR="005A0F4E" w:rsidRPr="00423F64">
        <w:t xml:space="preserve"> = </w:t>
      </w:r>
      <w:r w:rsidR="005722CD" w:rsidRPr="00423F64">
        <w:t>15</w:t>
      </w:r>
      <w:r w:rsidR="005A0F4E" w:rsidRPr="00423F64">
        <w:t xml:space="preserve"> </w:t>
      </w:r>
      <w:r w:rsidR="005A0F4E" w:rsidRPr="00423F64">
        <w:rPr>
          <w:rFonts w:cs="Arial"/>
        </w:rPr>
        <w:t>→</w:t>
      </w:r>
      <w:r w:rsidR="005A0F4E" w:rsidRPr="00423F64">
        <w:t xml:space="preserve"> </w:t>
      </w:r>
      <w:proofErr w:type="spellStart"/>
      <w:r w:rsidR="005A0F4E" w:rsidRPr="00423F64">
        <w:t>i</w:t>
      </w:r>
      <w:proofErr w:type="spellEnd"/>
      <w:r w:rsidR="005A0F4E" w:rsidRPr="00423F64">
        <w:t xml:space="preserve"> = 10, with the total thermal dose </w:t>
      </w:r>
      <w:r w:rsidR="005722CD" w:rsidRPr="00423F64">
        <w:t>41</w:t>
      </w:r>
      <w:r w:rsidR="005A0F4E" w:rsidRPr="00423F64">
        <w:t xml:space="preserve"> </w:t>
      </w:r>
      <w:r w:rsidR="005A0F4E" w:rsidRPr="00423F64">
        <w:rPr>
          <w:rFonts w:cs="Arial"/>
        </w:rPr>
        <w:t>×</w:t>
      </w:r>
      <w:r w:rsidR="005A0F4E" w:rsidRPr="00423F64">
        <w:t xml:space="preserve"> 10</w:t>
      </w:r>
      <w:r w:rsidR="005A0F4E" w:rsidRPr="00423F64">
        <w:rPr>
          <w:vertAlign w:val="superscript"/>
        </w:rPr>
        <w:t>5</w:t>
      </w:r>
      <w:r w:rsidR="005A0F4E" w:rsidRPr="00423F64">
        <w:t xml:space="preserve"> kW/m</w:t>
      </w:r>
      <w:r w:rsidR="005A0F4E" w:rsidRPr="00423F64">
        <w:rPr>
          <w:vertAlign w:val="superscript"/>
        </w:rPr>
        <w:t>2</w:t>
      </w:r>
      <w:r w:rsidR="005A0F4E" w:rsidRPr="00423F64">
        <w:t xml:space="preserve">. </w:t>
      </w:r>
    </w:p>
    <w:p w14:paraId="5D199CBC" w14:textId="7646112E" w:rsidR="007B0338" w:rsidRPr="00423F64" w:rsidRDefault="00C761E5" w:rsidP="00C761E5">
      <w:pPr>
        <w:pStyle w:val="CETBodytext"/>
      </w:pPr>
      <w:r w:rsidRPr="00423F64">
        <w:t>Using Eq</w:t>
      </w:r>
      <w:r w:rsidR="00FD4EF8" w:rsidRPr="00423F64">
        <w:t xml:space="preserve"> </w:t>
      </w:r>
      <w:r w:rsidRPr="00423F64">
        <w:t>(4) and Eq</w:t>
      </w:r>
      <w:r w:rsidR="00FD4EF8" w:rsidRPr="00423F64">
        <w:t xml:space="preserve"> </w:t>
      </w:r>
      <w:r w:rsidRPr="00423F64">
        <w:t>(5), and considering a cloth effect of F</w:t>
      </w:r>
      <w:r w:rsidRPr="00423F64">
        <w:rPr>
          <w:vertAlign w:val="subscript"/>
        </w:rPr>
        <w:t>C</w:t>
      </w:r>
      <w:r w:rsidRPr="00423F64">
        <w:t xml:space="preserve"> = 0.</w:t>
      </w:r>
      <w:r w:rsidR="00843638" w:rsidRPr="00423F64">
        <w:t>5</w:t>
      </w:r>
      <w:r w:rsidRPr="00423F64">
        <w:t>, the probabili</w:t>
      </w:r>
      <w:r w:rsidR="00D342C3" w:rsidRPr="00423F64">
        <w:t>ty</w:t>
      </w:r>
      <w:r w:rsidRPr="00423F64">
        <w:t xml:space="preserve"> of death for a single evacuee who may </w:t>
      </w:r>
      <w:r w:rsidR="00D342C3" w:rsidRPr="00423F64">
        <w:t xml:space="preserve">escape from unit </w:t>
      </w:r>
      <w:proofErr w:type="spellStart"/>
      <w:r w:rsidR="00D342C3" w:rsidRPr="00423F64">
        <w:t>i</w:t>
      </w:r>
      <w:proofErr w:type="spellEnd"/>
      <w:r w:rsidR="00D342C3" w:rsidRPr="00423F64">
        <w:t xml:space="preserve"> to shelter j (</w:t>
      </w:r>
      <w:proofErr w:type="spellStart"/>
      <w:r w:rsidR="00D342C3" w:rsidRPr="00423F64">
        <w:t>P</w:t>
      </w:r>
      <w:r w:rsidR="00D342C3" w:rsidRPr="00423F64">
        <w:rPr>
          <w:vertAlign w:val="subscript"/>
        </w:rPr>
        <w:t>ij</w:t>
      </w:r>
      <w:proofErr w:type="spellEnd"/>
      <w:r w:rsidR="00D342C3" w:rsidRPr="00423F64">
        <w:t xml:space="preserve">) </w:t>
      </w:r>
      <w:r w:rsidR="00D25F10">
        <w:t>is</w:t>
      </w:r>
      <w:r w:rsidRPr="00423F64">
        <w:t xml:space="preserve"> calculated</w:t>
      </w:r>
      <w:r w:rsidR="00D25F10">
        <w:t xml:space="preserve"> as</w:t>
      </w:r>
      <w:r w:rsidR="00843638" w:rsidRPr="00423F64">
        <w:t xml:space="preserve"> P</w:t>
      </w:r>
      <w:r w:rsidR="00D342C3" w:rsidRPr="00423F64">
        <w:rPr>
          <w:vertAlign w:val="subscript"/>
        </w:rPr>
        <w:t>11</w:t>
      </w:r>
      <w:r w:rsidR="00D342C3" w:rsidRPr="00423F64">
        <w:t xml:space="preserve"> = 10.5%, P</w:t>
      </w:r>
      <w:r w:rsidR="00D342C3" w:rsidRPr="00423F64">
        <w:rPr>
          <w:vertAlign w:val="subscript"/>
        </w:rPr>
        <w:t>12</w:t>
      </w:r>
      <w:r w:rsidR="00D342C3" w:rsidRPr="00423F64">
        <w:t xml:space="preserve"> = 9.5%, </w:t>
      </w:r>
      <w:r w:rsidR="00D342C3" w:rsidRPr="00A637A5">
        <w:rPr>
          <w:highlight w:val="yellow"/>
        </w:rPr>
        <w:t>P</w:t>
      </w:r>
      <w:r w:rsidR="00D342C3" w:rsidRPr="00A637A5">
        <w:rPr>
          <w:highlight w:val="yellow"/>
          <w:vertAlign w:val="subscript"/>
        </w:rPr>
        <w:t>21</w:t>
      </w:r>
      <w:r w:rsidR="00D342C3" w:rsidRPr="00A637A5">
        <w:rPr>
          <w:highlight w:val="yellow"/>
        </w:rPr>
        <w:t xml:space="preserve"> = 1.5%</w:t>
      </w:r>
      <w:r w:rsidR="00D342C3" w:rsidRPr="00423F64">
        <w:t>, and P</w:t>
      </w:r>
      <w:r w:rsidR="00D342C3" w:rsidRPr="00423F64">
        <w:rPr>
          <w:vertAlign w:val="subscript"/>
        </w:rPr>
        <w:t>22</w:t>
      </w:r>
      <w:r w:rsidR="00D342C3" w:rsidRPr="00423F64">
        <w:t xml:space="preserve"> = 0.5%.</w:t>
      </w:r>
    </w:p>
    <w:p w14:paraId="238E4F2D" w14:textId="173F7751" w:rsidR="00A93493" w:rsidRPr="00423F64" w:rsidRDefault="00A93493" w:rsidP="00A93493">
      <w:pPr>
        <w:pStyle w:val="CETheadingx"/>
      </w:pPr>
      <w:r w:rsidRPr="00423F64">
        <w:t xml:space="preserve">Optimal allocation of evacuees </w:t>
      </w:r>
    </w:p>
    <w:p w14:paraId="6B60D8AB" w14:textId="1C28FA52" w:rsidR="00A93493" w:rsidRPr="00423F64" w:rsidRDefault="00520843" w:rsidP="00A93493">
      <w:pPr>
        <w:pStyle w:val="CETBodytext"/>
      </w:pPr>
      <w:r w:rsidRPr="00423F64">
        <w:t xml:space="preserve">Having the shortest paths identified by applying Dijkstra’s algorithm, mathematical programming can be employed for optimal allocation of evacuees to the shelters. To demonstrate this, assume that the number of evacuees at Units #1 and #2 are, respectively, 5 and 10, while the capacity of Shelters #1 and #2 are, respectively, 15 and 8. The goal is thus to determine the number of evacuees from each unit that should be sent to each shelter in order to minimize the number of casualties. Considering </w:t>
      </w:r>
      <w:proofErr w:type="spellStart"/>
      <w:r w:rsidRPr="00423F64">
        <w:t>X</w:t>
      </w:r>
      <w:r w:rsidRPr="00423F64">
        <w:rPr>
          <w:vertAlign w:val="subscript"/>
        </w:rPr>
        <w:t>ij</w:t>
      </w:r>
      <w:proofErr w:type="spellEnd"/>
      <w:r w:rsidRPr="00423F64">
        <w:t xml:space="preserve"> as the number of evacuees that should be sent from Unit </w:t>
      </w:r>
      <w:proofErr w:type="spellStart"/>
      <w:r w:rsidRPr="00423F64">
        <w:t>i</w:t>
      </w:r>
      <w:proofErr w:type="spellEnd"/>
      <w:r w:rsidRPr="00423F64">
        <w:t xml:space="preserve"> to Shelter j, the optimization problem can be formulated as:</w:t>
      </w:r>
    </w:p>
    <w:p w14:paraId="47CE23C3" w14:textId="77777777" w:rsidR="00520843" w:rsidRPr="00423F64" w:rsidRDefault="00520843" w:rsidP="00A93493">
      <w:pPr>
        <w:pStyle w:val="CETBodytext"/>
      </w:pPr>
    </w:p>
    <w:p w14:paraId="17E17AD5" w14:textId="7716D78E" w:rsidR="00520843" w:rsidRPr="00423F64" w:rsidRDefault="00520843" w:rsidP="00A93493">
      <w:pPr>
        <w:pStyle w:val="CETBodytext"/>
      </w:pPr>
      <m:oMath>
        <m:r>
          <w:rPr>
            <w:rFonts w:ascii="Cambria Math" w:hAnsi="Cambria Math"/>
          </w:rPr>
          <m:t>Minimize Z=</m:t>
        </m:r>
        <m:sSub>
          <m:sSubPr>
            <m:ctrlPr>
              <w:rPr>
                <w:rFonts w:ascii="Cambria Math" w:hAnsi="Cambria Math"/>
                <w:i/>
              </w:rPr>
            </m:ctrlPr>
          </m:sSubPr>
          <m:e>
            <m:r>
              <w:rPr>
                <w:rFonts w:ascii="Cambria Math" w:hAnsi="Cambria Math"/>
              </w:rPr>
              <m:t>P</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12</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22</m:t>
            </m:r>
          </m:sub>
        </m:sSub>
        <m:sSub>
          <m:sSubPr>
            <m:ctrlPr>
              <w:rPr>
                <w:rFonts w:ascii="Cambria Math" w:hAnsi="Cambria Math"/>
                <w:i/>
              </w:rPr>
            </m:ctrlPr>
          </m:sSubPr>
          <m:e>
            <m:r>
              <w:rPr>
                <w:rFonts w:ascii="Cambria Math" w:hAnsi="Cambria Math"/>
              </w:rPr>
              <m:t>X</m:t>
            </m:r>
          </m:e>
          <m:sub>
            <m:r>
              <w:rPr>
                <w:rFonts w:ascii="Cambria Math" w:hAnsi="Cambria Math"/>
              </w:rPr>
              <m:t>22</m:t>
            </m:r>
          </m:sub>
        </m:sSub>
      </m:oMath>
      <w:r w:rsidRPr="00423F64">
        <w:t xml:space="preserve"> </w:t>
      </w:r>
      <w:r w:rsidRPr="00423F64">
        <w:tab/>
      </w:r>
      <w:r w:rsidRPr="00423F64">
        <w:tab/>
      </w:r>
      <w:r w:rsidRPr="00423F64">
        <w:tab/>
        <w:t>(7)</w:t>
      </w:r>
    </w:p>
    <w:p w14:paraId="455F1108" w14:textId="77777777" w:rsidR="007013DC" w:rsidRPr="00423F64" w:rsidRDefault="007013DC" w:rsidP="00A93493">
      <w:pPr>
        <w:pStyle w:val="CETBodytext"/>
      </w:pPr>
    </w:p>
    <w:p w14:paraId="5B5E6046" w14:textId="138B0FFE" w:rsidR="00520843" w:rsidRPr="00423F64" w:rsidRDefault="00520843" w:rsidP="00A93493">
      <w:pPr>
        <w:pStyle w:val="CETBodytext"/>
      </w:pPr>
      <m:oMath>
        <m:r>
          <w:rPr>
            <w:rFonts w:ascii="Cambria Math" w:hAnsi="Cambria Math"/>
          </w:rPr>
          <m:t>Subject to:</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≤15</m:t>
                </m:r>
              </m:e>
              <m:e>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 xml:space="preserve">≤8  </m:t>
                </m:r>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 xml:space="preserve">=5   </m:t>
                      </m:r>
                    </m:e>
                  </m:mr>
                  <m:mr>
                    <m:e>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=10</m:t>
                      </m:r>
                    </m:e>
                  </m:mr>
                </m:m>
              </m:e>
            </m:eqArr>
          </m:e>
        </m:d>
      </m:oMath>
      <w:r w:rsidRPr="00423F64">
        <w:t xml:space="preserve"> </w:t>
      </w:r>
      <w:r w:rsidRPr="00423F64">
        <w:tab/>
      </w:r>
      <w:r w:rsidRPr="00423F64">
        <w:tab/>
      </w:r>
      <w:r w:rsidRPr="00423F64">
        <w:tab/>
        <w:t>(8)</w:t>
      </w:r>
    </w:p>
    <w:p w14:paraId="1F03C91D" w14:textId="77777777" w:rsidR="00092380" w:rsidRPr="00423F64" w:rsidRDefault="00092380" w:rsidP="00A93493">
      <w:pPr>
        <w:pStyle w:val="CETBodytext"/>
      </w:pPr>
    </w:p>
    <w:p w14:paraId="517FD2C5" w14:textId="403F38C8" w:rsidR="006048FB" w:rsidRPr="00423F64" w:rsidRDefault="00520843" w:rsidP="00A93493">
      <w:pPr>
        <w:pStyle w:val="CETBodytext"/>
      </w:pPr>
      <w:r w:rsidRPr="00423F64">
        <w:lastRenderedPageBreak/>
        <w:t xml:space="preserve">The first two constraints in Eq (8) are to ensure that the number of evacuees at each shelter will not exceed the shelter capacity while the last two constraints are to ensure that </w:t>
      </w:r>
      <w:r w:rsidR="00587F6E">
        <w:t>no one would be left out</w:t>
      </w:r>
      <w:r w:rsidRPr="00423F64">
        <w:t xml:space="preserve">. </w:t>
      </w:r>
      <w:r w:rsidR="00E34187" w:rsidRPr="00423F64">
        <w:t xml:space="preserve">Solving Eq (7) and Eq (8) in the Microsoft Excel Solver </w:t>
      </w:r>
      <w:r w:rsidR="00287231" w:rsidRPr="00423F64">
        <w:t>Tool Pak</w:t>
      </w:r>
      <w:r w:rsidR="00E34187" w:rsidRPr="00423F64">
        <w:t xml:space="preserve">, the optimal values of the evacuation variables </w:t>
      </w:r>
      <w:proofErr w:type="spellStart"/>
      <w:r w:rsidR="00E34187" w:rsidRPr="00423F64">
        <w:t>X</w:t>
      </w:r>
      <w:r w:rsidR="00E34187" w:rsidRPr="00423F64">
        <w:rPr>
          <w:vertAlign w:val="subscript"/>
        </w:rPr>
        <w:t>ij</w:t>
      </w:r>
      <w:proofErr w:type="spellEnd"/>
      <w:r w:rsidR="00E34187" w:rsidRPr="00423F64">
        <w:t xml:space="preserve"> are identified as: </w:t>
      </w:r>
      <w:r w:rsidR="00287231" w:rsidRPr="00423F64">
        <w:t>X</w:t>
      </w:r>
      <w:r w:rsidR="00287231" w:rsidRPr="00423F64">
        <w:rPr>
          <w:vertAlign w:val="subscript"/>
        </w:rPr>
        <w:t>11</w:t>
      </w:r>
      <w:r w:rsidR="00287231" w:rsidRPr="00423F64">
        <w:t xml:space="preserve"> = 5, X</w:t>
      </w:r>
      <w:r w:rsidR="00287231" w:rsidRPr="00423F64">
        <w:rPr>
          <w:vertAlign w:val="subscript"/>
        </w:rPr>
        <w:t>12</w:t>
      </w:r>
      <w:r w:rsidR="00287231" w:rsidRPr="00423F64">
        <w:t xml:space="preserve"> = 0, X</w:t>
      </w:r>
      <w:r w:rsidR="00287231" w:rsidRPr="00423F64">
        <w:rPr>
          <w:vertAlign w:val="subscript"/>
        </w:rPr>
        <w:t>21</w:t>
      </w:r>
      <w:r w:rsidR="00287231" w:rsidRPr="00423F64">
        <w:t xml:space="preserve"> = 2, X</w:t>
      </w:r>
      <w:r w:rsidR="00287231" w:rsidRPr="00423F64">
        <w:rPr>
          <w:vertAlign w:val="subscript"/>
        </w:rPr>
        <w:t>22</w:t>
      </w:r>
      <w:r w:rsidR="00287231" w:rsidRPr="00423F64">
        <w:t xml:space="preserve"> = 8, with the total number of casualties as </w:t>
      </w:r>
      <w:r w:rsidR="00287231" w:rsidRPr="00587F6E">
        <w:rPr>
          <w:highlight w:val="yellow"/>
        </w:rPr>
        <w:t>Z = 0.</w:t>
      </w:r>
      <w:r w:rsidR="00587F6E" w:rsidRPr="00587F6E">
        <w:rPr>
          <w:highlight w:val="yellow"/>
        </w:rPr>
        <w:t>6</w:t>
      </w:r>
      <w:r w:rsidR="00287231" w:rsidRPr="00587F6E">
        <w:rPr>
          <w:highlight w:val="yellow"/>
        </w:rPr>
        <w:t>.</w:t>
      </w:r>
      <w:r w:rsidR="00287231" w:rsidRPr="00423F64">
        <w:t xml:space="preserve"> The result is completely intuitive as evacuees from each unit are first sent to the nearest (safest) shelter (Unit #1 is near Shelter #1 and Unit #2 is near Shelter #2) and then, anyone left</w:t>
      </w:r>
      <w:r w:rsidR="00D25F10">
        <w:t xml:space="preserve"> is </w:t>
      </w:r>
      <w:r w:rsidR="00287231" w:rsidRPr="00423F64">
        <w:t xml:space="preserve">sent to the second </w:t>
      </w:r>
      <w:r w:rsidR="00587F6E">
        <w:t xml:space="preserve">nearest </w:t>
      </w:r>
      <w:r w:rsidR="00287231" w:rsidRPr="00423F64">
        <w:t>shelter.</w:t>
      </w:r>
      <w:r w:rsidR="00C926D2" w:rsidRPr="00423F64">
        <w:t xml:space="preserve"> </w:t>
      </w:r>
    </w:p>
    <w:p w14:paraId="68D26B83" w14:textId="77777777" w:rsidR="00600535" w:rsidRPr="00423F64" w:rsidRDefault="00600535" w:rsidP="00600535">
      <w:pPr>
        <w:pStyle w:val="CETHeading1"/>
        <w:rPr>
          <w:lang w:val="en-GB"/>
        </w:rPr>
      </w:pPr>
      <w:r w:rsidRPr="00423F64">
        <w:rPr>
          <w:lang w:val="en-GB"/>
        </w:rPr>
        <w:t>Conclusions</w:t>
      </w:r>
    </w:p>
    <w:p w14:paraId="7B6D2512" w14:textId="18D4EAFC" w:rsidR="00874D11" w:rsidRPr="00423F64" w:rsidRDefault="00874D11" w:rsidP="00874D11">
      <w:pPr>
        <w:pStyle w:val="CETBodytext"/>
      </w:pPr>
      <w:r w:rsidRPr="00423F64">
        <w:t xml:space="preserve">Evacuation </w:t>
      </w:r>
      <w:r w:rsidR="00D25F10">
        <w:t>is</w:t>
      </w:r>
      <w:r w:rsidRPr="00423F64">
        <w:t xml:space="preserve"> an integral part of </w:t>
      </w:r>
      <w:r w:rsidR="00092380" w:rsidRPr="00423F64">
        <w:t>fire safety and protection, which</w:t>
      </w:r>
      <w:r w:rsidRPr="00423F64">
        <w:t xml:space="preserve"> play</w:t>
      </w:r>
      <w:r w:rsidR="00092380" w:rsidRPr="00423F64">
        <w:t>s</w:t>
      </w:r>
      <w:r w:rsidRPr="00423F64">
        <w:t xml:space="preserve"> a key role in protecting human lives in the event of major</w:t>
      </w:r>
      <w:r w:rsidR="00092380" w:rsidRPr="00423F64">
        <w:t xml:space="preserve"> accidents</w:t>
      </w:r>
      <w:r w:rsidRPr="00423F64">
        <w:t xml:space="preserve"> in chemical and process plants. </w:t>
      </w:r>
      <w:r w:rsidR="00092380" w:rsidRPr="00423F64">
        <w:t>Among the major accidents, however, the majority of the previous studies have developed evacuation methodologies for release and dispersion of</w:t>
      </w:r>
      <w:r w:rsidRPr="00423F64">
        <w:t xml:space="preserve"> </w:t>
      </w:r>
      <w:r w:rsidR="00092380" w:rsidRPr="00423F64">
        <w:t xml:space="preserve">toxic chemicals with too little attention, if any, to </w:t>
      </w:r>
      <w:r w:rsidRPr="00423F64">
        <w:t>major fires and particularly concurrent multiple fires</w:t>
      </w:r>
      <w:r w:rsidR="00092380" w:rsidRPr="00423F64">
        <w:t>.</w:t>
      </w:r>
    </w:p>
    <w:p w14:paraId="2534228B" w14:textId="15C51167" w:rsidR="00874D11" w:rsidRPr="00423F64" w:rsidRDefault="00874D11" w:rsidP="00874D11">
      <w:pPr>
        <w:pStyle w:val="CETBodytext"/>
      </w:pPr>
      <w:r w:rsidRPr="00423F64">
        <w:t xml:space="preserve">In the present study, considering the thermal dose as the main </w:t>
      </w:r>
      <w:r w:rsidR="00092380" w:rsidRPr="00423F64">
        <w:t>cause of casualties</w:t>
      </w:r>
      <w:r w:rsidRPr="00423F64">
        <w:t xml:space="preserve"> during major </w:t>
      </w:r>
      <w:r w:rsidR="00092380" w:rsidRPr="00423F64">
        <w:t xml:space="preserve">industrial </w:t>
      </w:r>
      <w:r w:rsidRPr="00423F64">
        <w:t xml:space="preserve">fires, </w:t>
      </w:r>
      <w:r w:rsidR="00092380" w:rsidRPr="00423F64">
        <w:t>a methodology was developed by integrating Dijkstra’s algorithm and mathematical programming for optimal evacuation</w:t>
      </w:r>
      <w:r w:rsidRPr="00423F64">
        <w:t xml:space="preserve">. For this purpose, Dijkstra’s algorithm was employed to identify the safest path – a path with the least accumulated thermal dose – from a unit to a safe spot while mathematical programming was used to identify the number of </w:t>
      </w:r>
      <w:r w:rsidR="00092380" w:rsidRPr="00423F64">
        <w:t>evacuees</w:t>
      </w:r>
      <w:r w:rsidRPr="00423F64">
        <w:t xml:space="preserve"> that should be </w:t>
      </w:r>
      <w:r w:rsidR="00092380" w:rsidRPr="00423F64">
        <w:t>assigned</w:t>
      </w:r>
      <w:r w:rsidRPr="00423F64">
        <w:t xml:space="preserve"> </w:t>
      </w:r>
      <w:r w:rsidR="000A29DB" w:rsidRPr="00423F64">
        <w:t xml:space="preserve">to </w:t>
      </w:r>
      <w:r w:rsidRPr="00423F64">
        <w:t xml:space="preserve">each safe spot. </w:t>
      </w:r>
    </w:p>
    <w:p w14:paraId="3A1A7820" w14:textId="592FDD28" w:rsidR="00092380" w:rsidRPr="00423F64" w:rsidRDefault="00092380" w:rsidP="00874D11">
      <w:pPr>
        <w:pStyle w:val="CETBodytext"/>
      </w:pPr>
      <w:r w:rsidRPr="00423F64">
        <w:t>The applicability of the developed methodology can further be improved by considering a wider range of process plants and fire scenarios and the combined effect of heat and smoke in the form of a heat-smoke-graph.</w:t>
      </w:r>
    </w:p>
    <w:p w14:paraId="459D05E6" w14:textId="77777777" w:rsidR="00600535" w:rsidRPr="00423F64" w:rsidRDefault="00600535" w:rsidP="00600535">
      <w:pPr>
        <w:pStyle w:val="CETAcknowledgementstitle"/>
      </w:pPr>
      <w:r w:rsidRPr="00423F64">
        <w:t>Acknowledgments</w:t>
      </w:r>
    </w:p>
    <w:p w14:paraId="33F8138F" w14:textId="26657338" w:rsidR="00600535" w:rsidRPr="00423F64" w:rsidRDefault="009F0D73" w:rsidP="00600535">
      <w:pPr>
        <w:pStyle w:val="CETBodytext"/>
        <w:rPr>
          <w:lang w:val="en-GB"/>
        </w:rPr>
      </w:pPr>
      <w:r>
        <w:rPr>
          <w:lang w:val="en-GB"/>
        </w:rPr>
        <w:t>F</w:t>
      </w:r>
      <w:r w:rsidR="00874D11" w:rsidRPr="00423F64">
        <w:rPr>
          <w:lang w:val="en-GB"/>
        </w:rPr>
        <w:t xml:space="preserve">inancial support provided by the Natural Sciences and Engineering Research Council of Canada (NSERC) via </w:t>
      </w:r>
      <w:r w:rsidR="00AD3B87">
        <w:rPr>
          <w:lang w:val="en-GB"/>
        </w:rPr>
        <w:t xml:space="preserve">a </w:t>
      </w:r>
      <w:r w:rsidR="00874D11" w:rsidRPr="00423F64">
        <w:rPr>
          <w:lang w:val="en-GB"/>
        </w:rPr>
        <w:t xml:space="preserve">Discovery Grant (RGPIN/03051-2021) and </w:t>
      </w:r>
      <w:r w:rsidR="00AD3B87">
        <w:rPr>
          <w:lang w:val="en-GB"/>
        </w:rPr>
        <w:t xml:space="preserve">a </w:t>
      </w:r>
      <w:r w:rsidR="00874D11" w:rsidRPr="00423F64">
        <w:rPr>
          <w:lang w:val="en-GB"/>
        </w:rPr>
        <w:t>Launch Supplement (DGECR/00220-2021) is appreciated.</w:t>
      </w:r>
      <w:r w:rsidR="0047221F">
        <w:rPr>
          <w:lang w:val="en-GB"/>
        </w:rPr>
        <w:t xml:space="preserve"> Publication Grant, Faculty of Community Services, Toronto Metropolitan University is gratefully acknowledged. </w:t>
      </w:r>
    </w:p>
    <w:p w14:paraId="4F1327F8" w14:textId="77777777" w:rsidR="00600535" w:rsidRPr="00423F64" w:rsidRDefault="00600535" w:rsidP="00600535">
      <w:pPr>
        <w:pStyle w:val="CETReference"/>
      </w:pPr>
      <w:r w:rsidRPr="00423F64">
        <w:t>References</w:t>
      </w:r>
    </w:p>
    <w:p w14:paraId="352DC0E9" w14:textId="032DD9C1" w:rsidR="004A091E" w:rsidRPr="00423F64" w:rsidRDefault="004A091E" w:rsidP="004A091E">
      <w:pPr>
        <w:pStyle w:val="CETReferencetext"/>
        <w:rPr>
          <w:color w:val="000000" w:themeColor="text1"/>
        </w:rPr>
      </w:pPr>
      <w:r w:rsidRPr="00423F64">
        <w:rPr>
          <w:color w:val="000000" w:themeColor="text1"/>
        </w:rPr>
        <w:t>API RP 2001, 2011, Fire Protection in Refineries. Candidate Ballot Draft for API 2001 9th Edition, API Publishing Services, Washington, DC.</w:t>
      </w:r>
    </w:p>
    <w:p w14:paraId="21CDD58F" w14:textId="4D619F6C" w:rsidR="001D7BE8" w:rsidRPr="00423F64" w:rsidRDefault="001D7BE8" w:rsidP="008D2B88">
      <w:pPr>
        <w:autoSpaceDE w:val="0"/>
        <w:autoSpaceDN w:val="0"/>
        <w:adjustRightInd w:val="0"/>
        <w:rPr>
          <w:color w:val="000000" w:themeColor="text1"/>
        </w:rPr>
      </w:pPr>
      <w:proofErr w:type="spellStart"/>
      <w:r w:rsidRPr="00423F64">
        <w:rPr>
          <w:color w:val="000000" w:themeColor="text1"/>
        </w:rPr>
        <w:t>Assael</w:t>
      </w:r>
      <w:proofErr w:type="spellEnd"/>
      <w:r w:rsidRPr="00423F64">
        <w:rPr>
          <w:color w:val="000000" w:themeColor="text1"/>
        </w:rPr>
        <w:t xml:space="preserve"> M.J., </w:t>
      </w:r>
      <w:proofErr w:type="spellStart"/>
      <w:r w:rsidRPr="00423F64">
        <w:rPr>
          <w:color w:val="000000" w:themeColor="text1"/>
        </w:rPr>
        <w:t>Kakosimos</w:t>
      </w:r>
      <w:proofErr w:type="spellEnd"/>
      <w:r w:rsidRPr="00423F64">
        <w:rPr>
          <w:color w:val="000000" w:themeColor="text1"/>
        </w:rPr>
        <w:t xml:space="preserve"> K.E. (Eds), 2010. Fires, Explosions, and Toxic Gas Dispersions: Effects Calculation and Risk Analysis, CRC Press, Boca Raton, US. </w:t>
      </w:r>
    </w:p>
    <w:p w14:paraId="659F0D4B" w14:textId="337EA46C" w:rsidR="001D7BE8" w:rsidRPr="00423F64" w:rsidRDefault="001D7BE8" w:rsidP="008D2B88">
      <w:pPr>
        <w:rPr>
          <w:color w:val="000000" w:themeColor="text1"/>
        </w:rPr>
      </w:pPr>
      <w:r w:rsidRPr="00423F64">
        <w:rPr>
          <w:color w:val="000000" w:themeColor="text1"/>
        </w:rPr>
        <w:t xml:space="preserve">Dijkstra E.W., 1959, A note on two problems in connexion with graphs, </w:t>
      </w:r>
      <w:proofErr w:type="spellStart"/>
      <w:r w:rsidRPr="00423F64">
        <w:rPr>
          <w:color w:val="000000" w:themeColor="text1"/>
        </w:rPr>
        <w:t>Numerische</w:t>
      </w:r>
      <w:proofErr w:type="spellEnd"/>
      <w:r w:rsidRPr="00423F64">
        <w:rPr>
          <w:color w:val="000000" w:themeColor="text1"/>
        </w:rPr>
        <w:t xml:space="preserve"> </w:t>
      </w:r>
      <w:proofErr w:type="spellStart"/>
      <w:r w:rsidRPr="00423F64">
        <w:rPr>
          <w:color w:val="000000" w:themeColor="text1"/>
        </w:rPr>
        <w:t>Mathematik</w:t>
      </w:r>
      <w:proofErr w:type="spellEnd"/>
      <w:r w:rsidRPr="00423F64">
        <w:rPr>
          <w:color w:val="000000" w:themeColor="text1"/>
        </w:rPr>
        <w:t>, 1, 269-271.</w:t>
      </w:r>
    </w:p>
    <w:p w14:paraId="2E645EA1" w14:textId="7C6BECD8" w:rsidR="00785138" w:rsidRPr="00423F64" w:rsidRDefault="00785138" w:rsidP="00C926D2">
      <w:pPr>
        <w:pStyle w:val="CETReferencetext"/>
      </w:pPr>
      <w:proofErr w:type="spellStart"/>
      <w:r w:rsidRPr="00423F64">
        <w:t>Hosseinnia</w:t>
      </w:r>
      <w:proofErr w:type="spellEnd"/>
      <w:r w:rsidRPr="00423F64">
        <w:t xml:space="preserve"> B., </w:t>
      </w:r>
      <w:proofErr w:type="spellStart"/>
      <w:r w:rsidR="00AD3B87">
        <w:t>Khakzad</w:t>
      </w:r>
      <w:proofErr w:type="spellEnd"/>
      <w:r w:rsidR="00AD3B87">
        <w:t xml:space="preserve"> </w:t>
      </w:r>
      <w:proofErr w:type="gramStart"/>
      <w:r w:rsidR="00AD3B87">
        <w:t>N.,</w:t>
      </w:r>
      <w:proofErr w:type="spellStart"/>
      <w:r w:rsidRPr="00423F64">
        <w:t>Reniers</w:t>
      </w:r>
      <w:proofErr w:type="spellEnd"/>
      <w:proofErr w:type="gramEnd"/>
      <w:r w:rsidRPr="00423F64">
        <w:t xml:space="preserve"> G., 2018, Multi-plant emergency response for tackling major accidents in chemical industrial areas, Safety Science, 102, 275-289. </w:t>
      </w:r>
    </w:p>
    <w:p w14:paraId="7E695D5D" w14:textId="4A35F52C" w:rsidR="008D2B88" w:rsidRPr="00423F64" w:rsidRDefault="008D2B88" w:rsidP="008D2B88">
      <w:pPr>
        <w:pStyle w:val="CETReferencetext"/>
      </w:pPr>
      <w:r w:rsidRPr="00423F64">
        <w:t xml:space="preserve">Janssens J., </w:t>
      </w:r>
      <w:proofErr w:type="spellStart"/>
      <w:r w:rsidRPr="00423F64">
        <w:t>Talarico</w:t>
      </w:r>
      <w:proofErr w:type="spellEnd"/>
      <w:r w:rsidRPr="00423F64">
        <w:t xml:space="preserve"> L., </w:t>
      </w:r>
      <w:proofErr w:type="spellStart"/>
      <w:r w:rsidRPr="00423F64">
        <w:t>Reniers</w:t>
      </w:r>
      <w:proofErr w:type="spellEnd"/>
      <w:r w:rsidRPr="00423F64">
        <w:t xml:space="preserve"> G., </w:t>
      </w:r>
      <w:proofErr w:type="spellStart"/>
      <w:r w:rsidRPr="00423F64">
        <w:t>Sörensen</w:t>
      </w:r>
      <w:proofErr w:type="spellEnd"/>
      <w:r w:rsidRPr="00423F64">
        <w:t xml:space="preserve"> K., 2015, A decision model to allocate protective safety barriers and mitigate domino effects, Reliability Engineering &amp; System Safety, 143, 44-52.</w:t>
      </w:r>
    </w:p>
    <w:p w14:paraId="4936102A" w14:textId="268DF107" w:rsidR="00C926D2" w:rsidRPr="00423F64" w:rsidRDefault="00C926D2" w:rsidP="00C926D2">
      <w:pPr>
        <w:pStyle w:val="CETReferencetext"/>
      </w:pPr>
      <w:proofErr w:type="spellStart"/>
      <w:r w:rsidRPr="00423F64">
        <w:t>Khakzad</w:t>
      </w:r>
      <w:proofErr w:type="spellEnd"/>
      <w:r w:rsidRPr="00423F64">
        <w:t xml:space="preserve"> N., 2018, Which fire to extinguish first? A risk-informed approach to emergency response in oil terminals, Risk Analysis, 38(7), 1444-1454.</w:t>
      </w:r>
    </w:p>
    <w:p w14:paraId="69A8347F" w14:textId="66363903" w:rsidR="00C926D2" w:rsidRPr="00423F64" w:rsidRDefault="00C926D2" w:rsidP="00C926D2">
      <w:pPr>
        <w:pStyle w:val="CETReferencetext"/>
      </w:pPr>
      <w:proofErr w:type="spellStart"/>
      <w:r w:rsidRPr="00423F64">
        <w:t>Khakzad</w:t>
      </w:r>
      <w:proofErr w:type="spellEnd"/>
      <w:r w:rsidRPr="00423F64">
        <w:t xml:space="preserve"> N., 2021, Optimal firefighting to prevent domino effects: Methodologies based on dynamic influence diagram and mathematical programming, Reliability Engineering &amp; System Safety, 212,107577.</w:t>
      </w:r>
    </w:p>
    <w:p w14:paraId="427FE2DA" w14:textId="6E0C06F1" w:rsidR="00C926D2" w:rsidRPr="00423F64" w:rsidRDefault="00C926D2" w:rsidP="006B4888">
      <w:pPr>
        <w:pStyle w:val="CETReferencetext"/>
      </w:pPr>
      <w:proofErr w:type="spellStart"/>
      <w:r w:rsidRPr="00423F64">
        <w:t>Khakzad</w:t>
      </w:r>
      <w:proofErr w:type="spellEnd"/>
      <w:r w:rsidRPr="00423F64">
        <w:t xml:space="preserve"> N., 2023, A methodology based on Dijkstra’s algorithm and mathematical programming for optimal evacuation in process plants in the event of major tank fires, Reliability Engineering &amp; System Safety, </w:t>
      </w:r>
      <w:r w:rsidR="00423F64">
        <w:t xml:space="preserve">236, </w:t>
      </w:r>
      <w:r w:rsidRPr="00423F64">
        <w:t>109291.</w:t>
      </w:r>
    </w:p>
    <w:p w14:paraId="42C60166" w14:textId="2B0806C6" w:rsidR="008D2B88" w:rsidRPr="00423F64" w:rsidRDefault="008D2B88" w:rsidP="008D2B88">
      <w:pPr>
        <w:pStyle w:val="CETReferencetext"/>
      </w:pPr>
      <w:proofErr w:type="spellStart"/>
      <w:r w:rsidRPr="00423F64">
        <w:t>Landucci</w:t>
      </w:r>
      <w:proofErr w:type="spellEnd"/>
      <w:r w:rsidRPr="00423F64">
        <w:t xml:space="preserve"> G., </w:t>
      </w:r>
      <w:proofErr w:type="spellStart"/>
      <w:r w:rsidRPr="00423F64">
        <w:t>Argenti</w:t>
      </w:r>
      <w:proofErr w:type="spellEnd"/>
      <w:r w:rsidRPr="00423F64">
        <w:t xml:space="preserve"> F., </w:t>
      </w:r>
      <w:proofErr w:type="spellStart"/>
      <w:r w:rsidRPr="00423F64">
        <w:t>Tugnoli</w:t>
      </w:r>
      <w:proofErr w:type="spellEnd"/>
      <w:r w:rsidRPr="00423F64">
        <w:t xml:space="preserve"> A., </w:t>
      </w:r>
      <w:proofErr w:type="spellStart"/>
      <w:r w:rsidRPr="00423F64">
        <w:t>Cozzani</w:t>
      </w:r>
      <w:proofErr w:type="spellEnd"/>
      <w:r w:rsidRPr="00423F64">
        <w:t xml:space="preserve"> V., 2015, Quantitative assessment of safety barrier performance in the prevention of domino scenarios triggered by fire, Reliability Engineering &amp; System Safety, 143, 30-43. </w:t>
      </w:r>
    </w:p>
    <w:p w14:paraId="5781FF72" w14:textId="5BF86732" w:rsidR="00FD598F" w:rsidRPr="00423F64" w:rsidRDefault="00FD598F" w:rsidP="008D2B88">
      <w:pPr>
        <w:pStyle w:val="CETReferencetext"/>
      </w:pPr>
      <w:proofErr w:type="spellStart"/>
      <w:r w:rsidRPr="00423F64">
        <w:t>Ovidi</w:t>
      </w:r>
      <w:proofErr w:type="spellEnd"/>
      <w:r w:rsidRPr="00423F64">
        <w:t xml:space="preserve"> F., Zhang L., </w:t>
      </w:r>
      <w:proofErr w:type="spellStart"/>
      <w:r w:rsidRPr="00423F64">
        <w:t>Landucci</w:t>
      </w:r>
      <w:proofErr w:type="spellEnd"/>
      <w:r w:rsidRPr="00423F64">
        <w:t xml:space="preserve"> G., </w:t>
      </w:r>
      <w:proofErr w:type="spellStart"/>
      <w:r w:rsidRPr="00423F64">
        <w:t>Reniers</w:t>
      </w:r>
      <w:proofErr w:type="spellEnd"/>
      <w:r w:rsidRPr="00423F64">
        <w:t xml:space="preserve"> G., 2021, Agent-based model and simulation of mitigated domino scenarios in chemical tank farms, Reliability Engineering &amp; System Safety, 209, 107476.</w:t>
      </w:r>
    </w:p>
    <w:p w14:paraId="7F4141BD" w14:textId="32765544" w:rsidR="00495AA1" w:rsidRPr="00423F64" w:rsidRDefault="00495AA1" w:rsidP="006B4888">
      <w:pPr>
        <w:pStyle w:val="CETReferencetext"/>
        <w:rPr>
          <w:color w:val="000000" w:themeColor="text1"/>
        </w:rPr>
      </w:pPr>
      <w:proofErr w:type="spellStart"/>
      <w:r w:rsidRPr="00423F64">
        <w:rPr>
          <w:color w:val="000000" w:themeColor="text1"/>
        </w:rPr>
        <w:t>Reniers</w:t>
      </w:r>
      <w:proofErr w:type="spellEnd"/>
      <w:r w:rsidRPr="00423F64">
        <w:rPr>
          <w:color w:val="000000" w:themeColor="text1"/>
        </w:rPr>
        <w:t xml:space="preserve"> G., Pauwels N., </w:t>
      </w:r>
      <w:proofErr w:type="spellStart"/>
      <w:r w:rsidRPr="00423F64">
        <w:rPr>
          <w:color w:val="000000" w:themeColor="text1"/>
        </w:rPr>
        <w:t>Audenaert</w:t>
      </w:r>
      <w:proofErr w:type="spellEnd"/>
      <w:r w:rsidRPr="00423F64">
        <w:rPr>
          <w:color w:val="000000" w:themeColor="text1"/>
        </w:rPr>
        <w:t xml:space="preserve"> A., Ale B., Soudan K.,2007, Management of evacuation in case of fire accidents in chemical industrial areas, Journal of Hazardous Materials, 147, 478-487.</w:t>
      </w:r>
    </w:p>
    <w:p w14:paraId="636408E2" w14:textId="1836A392" w:rsidR="004A091E" w:rsidRPr="00423F64" w:rsidRDefault="004A091E" w:rsidP="006B4888">
      <w:pPr>
        <w:pStyle w:val="CETReferencetext"/>
        <w:rPr>
          <w:color w:val="000000" w:themeColor="text1"/>
        </w:rPr>
      </w:pPr>
      <w:r w:rsidRPr="00423F64">
        <w:rPr>
          <w:color w:val="000000" w:themeColor="text1"/>
        </w:rPr>
        <w:t>The Canadian Association of Petroleum Producers (CAPP), 2010, Atlantic Canada Offshore Petroleum Industry Escape, Evacuation and Rescue. St. John’s, NL, Canada, June 2010, 1-30.</w:t>
      </w:r>
    </w:p>
    <w:p w14:paraId="19C4FC68" w14:textId="26DFB47D" w:rsidR="004628D2" w:rsidRPr="00423F64" w:rsidRDefault="00C72F90" w:rsidP="004A091E">
      <w:pPr>
        <w:pStyle w:val="CETReferencetext"/>
        <w:rPr>
          <w:color w:val="000000" w:themeColor="text1"/>
        </w:rPr>
      </w:pPr>
      <w:proofErr w:type="spellStart"/>
      <w:r w:rsidRPr="00423F64">
        <w:rPr>
          <w:color w:val="000000" w:themeColor="text1"/>
        </w:rPr>
        <w:t>Yoo</w:t>
      </w:r>
      <w:proofErr w:type="spellEnd"/>
      <w:r w:rsidRPr="00423F64">
        <w:rPr>
          <w:color w:val="000000" w:themeColor="text1"/>
        </w:rPr>
        <w:t xml:space="preserve"> B., Choi S.D., 2019, Emergency evacuation plan for hazardous chemicals leakage accidents using GIS-based risk analysis techniques in South Korea, </w:t>
      </w:r>
      <w:r w:rsidRPr="00423F64">
        <w:rPr>
          <w:iCs/>
          <w:color w:val="000000" w:themeColor="text1"/>
        </w:rPr>
        <w:t xml:space="preserve">International Journal of Environmental Research and Public Health, </w:t>
      </w:r>
      <w:r w:rsidRPr="00423F64">
        <w:rPr>
          <w:color w:val="000000" w:themeColor="text1"/>
        </w:rPr>
        <w:t>16, 1948.</w:t>
      </w:r>
    </w:p>
    <w:p w14:paraId="5518B592" w14:textId="1F894714" w:rsidR="004A091E" w:rsidRPr="004A091E" w:rsidRDefault="004A091E" w:rsidP="00092380">
      <w:pPr>
        <w:pStyle w:val="CETReferencetext"/>
        <w:rPr>
          <w:color w:val="000000" w:themeColor="text1"/>
        </w:rPr>
      </w:pPr>
      <w:r w:rsidRPr="00423F64">
        <w:rPr>
          <w:color w:val="000000" w:themeColor="text1"/>
        </w:rPr>
        <w:t>Zhang J.H., Liu H.Y., Zhu R., Liu Y., 2017, Emergency evacuation of hazardous chemical accidents based on diffusion simulation, Complexity, 4927649.</w:t>
      </w:r>
      <w:r>
        <w:rPr>
          <w:color w:val="000000" w:themeColor="text1"/>
        </w:rPr>
        <w:t xml:space="preserve"> </w:t>
      </w:r>
    </w:p>
    <w:sectPr w:rsidR="004A091E" w:rsidRPr="004A091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FF1E" w14:textId="77777777" w:rsidR="00A74B71" w:rsidRDefault="00A74B71" w:rsidP="004F5E36">
      <w:r>
        <w:separator/>
      </w:r>
    </w:p>
  </w:endnote>
  <w:endnote w:type="continuationSeparator" w:id="0">
    <w:p w14:paraId="4292ECAE" w14:textId="77777777" w:rsidR="00A74B71" w:rsidRDefault="00A74B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9AA4" w14:textId="77777777" w:rsidR="00A74B71" w:rsidRDefault="00A74B71" w:rsidP="004F5E36">
      <w:r>
        <w:separator/>
      </w:r>
    </w:p>
  </w:footnote>
  <w:footnote w:type="continuationSeparator" w:id="0">
    <w:p w14:paraId="566EF1E8" w14:textId="77777777" w:rsidR="00A74B71" w:rsidRDefault="00A74B7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20DCB"/>
    <w:multiLevelType w:val="hybridMultilevel"/>
    <w:tmpl w:val="398400A2"/>
    <w:lvl w:ilvl="0" w:tplc="1EF4D6E8">
      <w:start w:val="1"/>
      <w:numFmt w:val="lowerLetter"/>
      <w:lvlText w:val="(%1)"/>
      <w:lvlJc w:val="left"/>
      <w:pPr>
        <w:ind w:left="5310" w:hanging="495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7E2BBF"/>
    <w:multiLevelType w:val="hybridMultilevel"/>
    <w:tmpl w:val="BB1CA12C"/>
    <w:lvl w:ilvl="0" w:tplc="49A0DF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1455EA4"/>
    <w:multiLevelType w:val="hybridMultilevel"/>
    <w:tmpl w:val="3028F0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AE3AC6"/>
    <w:multiLevelType w:val="hybridMultilevel"/>
    <w:tmpl w:val="DD42CC08"/>
    <w:lvl w:ilvl="0" w:tplc="6FBABD0A">
      <w:start w:val="1"/>
      <w:numFmt w:val="lowerLetter"/>
      <w:lvlText w:val="(%1)"/>
      <w:lvlJc w:val="left"/>
      <w:pPr>
        <w:ind w:left="2175" w:hanging="360"/>
      </w:pPr>
      <w:rPr>
        <w:rFonts w:hint="default"/>
      </w:rPr>
    </w:lvl>
    <w:lvl w:ilvl="1" w:tplc="10090019" w:tentative="1">
      <w:start w:val="1"/>
      <w:numFmt w:val="lowerLetter"/>
      <w:lvlText w:val="%2."/>
      <w:lvlJc w:val="left"/>
      <w:pPr>
        <w:ind w:left="2895" w:hanging="360"/>
      </w:pPr>
    </w:lvl>
    <w:lvl w:ilvl="2" w:tplc="1009001B" w:tentative="1">
      <w:start w:val="1"/>
      <w:numFmt w:val="lowerRoman"/>
      <w:lvlText w:val="%3."/>
      <w:lvlJc w:val="right"/>
      <w:pPr>
        <w:ind w:left="3615" w:hanging="180"/>
      </w:pPr>
    </w:lvl>
    <w:lvl w:ilvl="3" w:tplc="1009000F" w:tentative="1">
      <w:start w:val="1"/>
      <w:numFmt w:val="decimal"/>
      <w:lvlText w:val="%4."/>
      <w:lvlJc w:val="left"/>
      <w:pPr>
        <w:ind w:left="4335" w:hanging="360"/>
      </w:pPr>
    </w:lvl>
    <w:lvl w:ilvl="4" w:tplc="10090019" w:tentative="1">
      <w:start w:val="1"/>
      <w:numFmt w:val="lowerLetter"/>
      <w:lvlText w:val="%5."/>
      <w:lvlJc w:val="left"/>
      <w:pPr>
        <w:ind w:left="5055" w:hanging="360"/>
      </w:pPr>
    </w:lvl>
    <w:lvl w:ilvl="5" w:tplc="1009001B" w:tentative="1">
      <w:start w:val="1"/>
      <w:numFmt w:val="lowerRoman"/>
      <w:lvlText w:val="%6."/>
      <w:lvlJc w:val="right"/>
      <w:pPr>
        <w:ind w:left="5775" w:hanging="180"/>
      </w:pPr>
    </w:lvl>
    <w:lvl w:ilvl="6" w:tplc="1009000F" w:tentative="1">
      <w:start w:val="1"/>
      <w:numFmt w:val="decimal"/>
      <w:lvlText w:val="%7."/>
      <w:lvlJc w:val="left"/>
      <w:pPr>
        <w:ind w:left="6495" w:hanging="360"/>
      </w:pPr>
    </w:lvl>
    <w:lvl w:ilvl="7" w:tplc="10090019" w:tentative="1">
      <w:start w:val="1"/>
      <w:numFmt w:val="lowerLetter"/>
      <w:lvlText w:val="%8."/>
      <w:lvlJc w:val="left"/>
      <w:pPr>
        <w:ind w:left="7215" w:hanging="360"/>
      </w:pPr>
    </w:lvl>
    <w:lvl w:ilvl="8" w:tplc="1009001B" w:tentative="1">
      <w:start w:val="1"/>
      <w:numFmt w:val="lowerRoman"/>
      <w:lvlText w:val="%9."/>
      <w:lvlJc w:val="right"/>
      <w:pPr>
        <w:ind w:left="7935"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710E68"/>
    <w:multiLevelType w:val="hybridMultilevel"/>
    <w:tmpl w:val="7B8289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972201043">
    <w:abstractNumId w:val="12"/>
  </w:num>
  <w:num w:numId="2" w16cid:durableId="1672949634">
    <w:abstractNumId w:val="8"/>
  </w:num>
  <w:num w:numId="3" w16cid:durableId="1594969361">
    <w:abstractNumId w:val="3"/>
  </w:num>
  <w:num w:numId="4" w16cid:durableId="2029021299">
    <w:abstractNumId w:val="2"/>
  </w:num>
  <w:num w:numId="5" w16cid:durableId="1912734710">
    <w:abstractNumId w:val="1"/>
  </w:num>
  <w:num w:numId="6" w16cid:durableId="583757421">
    <w:abstractNumId w:val="0"/>
  </w:num>
  <w:num w:numId="7" w16cid:durableId="162281423">
    <w:abstractNumId w:val="9"/>
  </w:num>
  <w:num w:numId="8" w16cid:durableId="2067559798">
    <w:abstractNumId w:val="7"/>
  </w:num>
  <w:num w:numId="9" w16cid:durableId="997659767">
    <w:abstractNumId w:val="6"/>
  </w:num>
  <w:num w:numId="10" w16cid:durableId="1910188040">
    <w:abstractNumId w:val="5"/>
  </w:num>
  <w:num w:numId="11" w16cid:durableId="628512115">
    <w:abstractNumId w:val="4"/>
  </w:num>
  <w:num w:numId="12" w16cid:durableId="1032027038">
    <w:abstractNumId w:val="20"/>
  </w:num>
  <w:num w:numId="13" w16cid:durableId="610360326">
    <w:abstractNumId w:val="15"/>
  </w:num>
  <w:num w:numId="14" w16cid:durableId="673456139">
    <w:abstractNumId w:val="21"/>
  </w:num>
  <w:num w:numId="15" w16cid:durableId="2065791875">
    <w:abstractNumId w:val="24"/>
  </w:num>
  <w:num w:numId="16" w16cid:durableId="1119641256">
    <w:abstractNumId w:val="23"/>
  </w:num>
  <w:num w:numId="17" w16cid:durableId="171576884">
    <w:abstractNumId w:val="14"/>
  </w:num>
  <w:num w:numId="18" w16cid:durableId="1543713864">
    <w:abstractNumId w:val="15"/>
    <w:lvlOverride w:ilvl="0">
      <w:startOverride w:val="1"/>
    </w:lvlOverride>
  </w:num>
  <w:num w:numId="19" w16cid:durableId="519123837">
    <w:abstractNumId w:val="19"/>
  </w:num>
  <w:num w:numId="20" w16cid:durableId="578558862">
    <w:abstractNumId w:val="18"/>
  </w:num>
  <w:num w:numId="21" w16cid:durableId="1457986721">
    <w:abstractNumId w:val="17"/>
  </w:num>
  <w:num w:numId="22" w16cid:durableId="1231699244">
    <w:abstractNumId w:val="16"/>
  </w:num>
  <w:num w:numId="23" w16cid:durableId="1377006871">
    <w:abstractNumId w:val="25"/>
  </w:num>
  <w:num w:numId="24" w16cid:durableId="1500392026">
    <w:abstractNumId w:val="13"/>
  </w:num>
  <w:num w:numId="25" w16cid:durableId="1945192219">
    <w:abstractNumId w:val="11"/>
  </w:num>
  <w:num w:numId="26" w16cid:durableId="1760911170">
    <w:abstractNumId w:val="22"/>
  </w:num>
  <w:num w:numId="27" w16cid:durableId="1037773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1ECA"/>
    <w:rsid w:val="0003148D"/>
    <w:rsid w:val="00031EEC"/>
    <w:rsid w:val="00033217"/>
    <w:rsid w:val="00051566"/>
    <w:rsid w:val="00054288"/>
    <w:rsid w:val="0005597D"/>
    <w:rsid w:val="000562A9"/>
    <w:rsid w:val="00062A9A"/>
    <w:rsid w:val="00065058"/>
    <w:rsid w:val="00086C39"/>
    <w:rsid w:val="00092380"/>
    <w:rsid w:val="0009641D"/>
    <w:rsid w:val="000A03B2"/>
    <w:rsid w:val="000A29DB"/>
    <w:rsid w:val="000B6B4D"/>
    <w:rsid w:val="000D0268"/>
    <w:rsid w:val="000D34BE"/>
    <w:rsid w:val="000E102F"/>
    <w:rsid w:val="000E36F1"/>
    <w:rsid w:val="000E3A73"/>
    <w:rsid w:val="000E414A"/>
    <w:rsid w:val="000F093C"/>
    <w:rsid w:val="000F787B"/>
    <w:rsid w:val="001069CD"/>
    <w:rsid w:val="00111C0C"/>
    <w:rsid w:val="0012091F"/>
    <w:rsid w:val="00126BC2"/>
    <w:rsid w:val="001308B6"/>
    <w:rsid w:val="0013121F"/>
    <w:rsid w:val="00131FE6"/>
    <w:rsid w:val="0013263F"/>
    <w:rsid w:val="001331DF"/>
    <w:rsid w:val="00134DE4"/>
    <w:rsid w:val="0014034D"/>
    <w:rsid w:val="00144D16"/>
    <w:rsid w:val="00150E59"/>
    <w:rsid w:val="00152DE3"/>
    <w:rsid w:val="00155158"/>
    <w:rsid w:val="00164CF9"/>
    <w:rsid w:val="001667A6"/>
    <w:rsid w:val="00184AD6"/>
    <w:rsid w:val="00197A22"/>
    <w:rsid w:val="001A4AF7"/>
    <w:rsid w:val="001B0349"/>
    <w:rsid w:val="001B1E93"/>
    <w:rsid w:val="001B2113"/>
    <w:rsid w:val="001B65C1"/>
    <w:rsid w:val="001C0C38"/>
    <w:rsid w:val="001C684B"/>
    <w:rsid w:val="001D0CFB"/>
    <w:rsid w:val="001D21AF"/>
    <w:rsid w:val="001D2D12"/>
    <w:rsid w:val="001D53FC"/>
    <w:rsid w:val="001D7BE8"/>
    <w:rsid w:val="001E2A25"/>
    <w:rsid w:val="001E7FE4"/>
    <w:rsid w:val="001F42A5"/>
    <w:rsid w:val="001F7B9D"/>
    <w:rsid w:val="00201C93"/>
    <w:rsid w:val="00206586"/>
    <w:rsid w:val="002224B4"/>
    <w:rsid w:val="002447EF"/>
    <w:rsid w:val="00251550"/>
    <w:rsid w:val="00263B05"/>
    <w:rsid w:val="00266697"/>
    <w:rsid w:val="0027221A"/>
    <w:rsid w:val="00275B61"/>
    <w:rsid w:val="00280FAF"/>
    <w:rsid w:val="00282656"/>
    <w:rsid w:val="00283049"/>
    <w:rsid w:val="00285513"/>
    <w:rsid w:val="0028580C"/>
    <w:rsid w:val="00287231"/>
    <w:rsid w:val="00295383"/>
    <w:rsid w:val="00296B83"/>
    <w:rsid w:val="002B4015"/>
    <w:rsid w:val="002B78CE"/>
    <w:rsid w:val="002C2FB6"/>
    <w:rsid w:val="002E5FA7"/>
    <w:rsid w:val="002F3309"/>
    <w:rsid w:val="003008CE"/>
    <w:rsid w:val="003009B7"/>
    <w:rsid w:val="00300E56"/>
    <w:rsid w:val="0030152C"/>
    <w:rsid w:val="00302E78"/>
    <w:rsid w:val="0030469C"/>
    <w:rsid w:val="003159DE"/>
    <w:rsid w:val="00321CA6"/>
    <w:rsid w:val="00323763"/>
    <w:rsid w:val="00323C5F"/>
    <w:rsid w:val="00334C09"/>
    <w:rsid w:val="0035290A"/>
    <w:rsid w:val="003710B6"/>
    <w:rsid w:val="003723D4"/>
    <w:rsid w:val="00373BA8"/>
    <w:rsid w:val="00381905"/>
    <w:rsid w:val="00384CC8"/>
    <w:rsid w:val="003871FD"/>
    <w:rsid w:val="003A1E30"/>
    <w:rsid w:val="003A2829"/>
    <w:rsid w:val="003A47DB"/>
    <w:rsid w:val="003A7D1C"/>
    <w:rsid w:val="003B304B"/>
    <w:rsid w:val="003B3146"/>
    <w:rsid w:val="003F015E"/>
    <w:rsid w:val="00400414"/>
    <w:rsid w:val="0041446B"/>
    <w:rsid w:val="00423F64"/>
    <w:rsid w:val="004375F8"/>
    <w:rsid w:val="0044071E"/>
    <w:rsid w:val="0044329C"/>
    <w:rsid w:val="00453E24"/>
    <w:rsid w:val="00457456"/>
    <w:rsid w:val="004577FE"/>
    <w:rsid w:val="00457B9C"/>
    <w:rsid w:val="0046164A"/>
    <w:rsid w:val="004628D2"/>
    <w:rsid w:val="00462DCD"/>
    <w:rsid w:val="004648AD"/>
    <w:rsid w:val="004703A9"/>
    <w:rsid w:val="0047221F"/>
    <w:rsid w:val="004760DE"/>
    <w:rsid w:val="004763D7"/>
    <w:rsid w:val="00491D06"/>
    <w:rsid w:val="00495AA1"/>
    <w:rsid w:val="004A004E"/>
    <w:rsid w:val="004A091E"/>
    <w:rsid w:val="004A24CF"/>
    <w:rsid w:val="004C3D1D"/>
    <w:rsid w:val="004C3D84"/>
    <w:rsid w:val="004C7913"/>
    <w:rsid w:val="004E2716"/>
    <w:rsid w:val="004E4DD6"/>
    <w:rsid w:val="004E6CBC"/>
    <w:rsid w:val="004F465C"/>
    <w:rsid w:val="004F5E36"/>
    <w:rsid w:val="00507B47"/>
    <w:rsid w:val="00507BEF"/>
    <w:rsid w:val="00507CC9"/>
    <w:rsid w:val="005119A5"/>
    <w:rsid w:val="00520843"/>
    <w:rsid w:val="005278B7"/>
    <w:rsid w:val="00532016"/>
    <w:rsid w:val="005342C9"/>
    <w:rsid w:val="005346C8"/>
    <w:rsid w:val="00537C0B"/>
    <w:rsid w:val="00543E7D"/>
    <w:rsid w:val="00547A68"/>
    <w:rsid w:val="005531C9"/>
    <w:rsid w:val="00557E00"/>
    <w:rsid w:val="005660F2"/>
    <w:rsid w:val="00570C43"/>
    <w:rsid w:val="005722CD"/>
    <w:rsid w:val="00587F6E"/>
    <w:rsid w:val="005948C7"/>
    <w:rsid w:val="005A0F4E"/>
    <w:rsid w:val="005B2110"/>
    <w:rsid w:val="005B61E6"/>
    <w:rsid w:val="005C77E1"/>
    <w:rsid w:val="005D668A"/>
    <w:rsid w:val="005D6A2F"/>
    <w:rsid w:val="005E1A82"/>
    <w:rsid w:val="005E794C"/>
    <w:rsid w:val="005F0A28"/>
    <w:rsid w:val="005F0E5E"/>
    <w:rsid w:val="00600535"/>
    <w:rsid w:val="006048FB"/>
    <w:rsid w:val="0060633A"/>
    <w:rsid w:val="00610CD6"/>
    <w:rsid w:val="00620DEE"/>
    <w:rsid w:val="00621F92"/>
    <w:rsid w:val="0062280A"/>
    <w:rsid w:val="00625639"/>
    <w:rsid w:val="006307CA"/>
    <w:rsid w:val="00631B33"/>
    <w:rsid w:val="0064184D"/>
    <w:rsid w:val="006422CC"/>
    <w:rsid w:val="0064596B"/>
    <w:rsid w:val="00660E3E"/>
    <w:rsid w:val="00662E74"/>
    <w:rsid w:val="00680C23"/>
    <w:rsid w:val="00693766"/>
    <w:rsid w:val="006A3281"/>
    <w:rsid w:val="006A6B5F"/>
    <w:rsid w:val="006B073F"/>
    <w:rsid w:val="006B4888"/>
    <w:rsid w:val="006C2E45"/>
    <w:rsid w:val="006C359C"/>
    <w:rsid w:val="006C5579"/>
    <w:rsid w:val="006D6E8B"/>
    <w:rsid w:val="006E3D67"/>
    <w:rsid w:val="006E737D"/>
    <w:rsid w:val="006F61D4"/>
    <w:rsid w:val="007013DC"/>
    <w:rsid w:val="00702633"/>
    <w:rsid w:val="00707DD1"/>
    <w:rsid w:val="00712D9A"/>
    <w:rsid w:val="00713973"/>
    <w:rsid w:val="00720A24"/>
    <w:rsid w:val="00732386"/>
    <w:rsid w:val="0073514D"/>
    <w:rsid w:val="007447F3"/>
    <w:rsid w:val="00753F67"/>
    <w:rsid w:val="0075499F"/>
    <w:rsid w:val="007661C8"/>
    <w:rsid w:val="0077098D"/>
    <w:rsid w:val="00771430"/>
    <w:rsid w:val="00785138"/>
    <w:rsid w:val="007931FA"/>
    <w:rsid w:val="007A4861"/>
    <w:rsid w:val="007A68F6"/>
    <w:rsid w:val="007A7BBA"/>
    <w:rsid w:val="007B0338"/>
    <w:rsid w:val="007B0C50"/>
    <w:rsid w:val="007B48F9"/>
    <w:rsid w:val="007C1A43"/>
    <w:rsid w:val="007C3AC5"/>
    <w:rsid w:val="007D0951"/>
    <w:rsid w:val="007D4167"/>
    <w:rsid w:val="007F6606"/>
    <w:rsid w:val="0080013E"/>
    <w:rsid w:val="00800174"/>
    <w:rsid w:val="00813288"/>
    <w:rsid w:val="008168FC"/>
    <w:rsid w:val="00823A51"/>
    <w:rsid w:val="00830996"/>
    <w:rsid w:val="008345F1"/>
    <w:rsid w:val="00843638"/>
    <w:rsid w:val="0085150A"/>
    <w:rsid w:val="00865B07"/>
    <w:rsid w:val="0086647E"/>
    <w:rsid w:val="008667EA"/>
    <w:rsid w:val="00874D11"/>
    <w:rsid w:val="0087637F"/>
    <w:rsid w:val="00892AD5"/>
    <w:rsid w:val="0089776F"/>
    <w:rsid w:val="008A1512"/>
    <w:rsid w:val="008B6F31"/>
    <w:rsid w:val="008D2B88"/>
    <w:rsid w:val="008D32B9"/>
    <w:rsid w:val="008D433B"/>
    <w:rsid w:val="008D4A16"/>
    <w:rsid w:val="008E06D1"/>
    <w:rsid w:val="008E566E"/>
    <w:rsid w:val="008F22FE"/>
    <w:rsid w:val="0090161A"/>
    <w:rsid w:val="00901EB6"/>
    <w:rsid w:val="00904C62"/>
    <w:rsid w:val="00921705"/>
    <w:rsid w:val="00922BA8"/>
    <w:rsid w:val="00924DAC"/>
    <w:rsid w:val="00927058"/>
    <w:rsid w:val="00940640"/>
    <w:rsid w:val="00942750"/>
    <w:rsid w:val="009450CE"/>
    <w:rsid w:val="009459BB"/>
    <w:rsid w:val="00947179"/>
    <w:rsid w:val="0095164B"/>
    <w:rsid w:val="00954090"/>
    <w:rsid w:val="009573E7"/>
    <w:rsid w:val="00957D5D"/>
    <w:rsid w:val="00963E05"/>
    <w:rsid w:val="00964A45"/>
    <w:rsid w:val="00967843"/>
    <w:rsid w:val="00967D54"/>
    <w:rsid w:val="00971028"/>
    <w:rsid w:val="0098006A"/>
    <w:rsid w:val="00993B84"/>
    <w:rsid w:val="00996483"/>
    <w:rsid w:val="00996F5A"/>
    <w:rsid w:val="009B041A"/>
    <w:rsid w:val="009C37C3"/>
    <w:rsid w:val="009C7C86"/>
    <w:rsid w:val="009D2FF7"/>
    <w:rsid w:val="009E7884"/>
    <w:rsid w:val="009E788A"/>
    <w:rsid w:val="009F0D73"/>
    <w:rsid w:val="009F0E08"/>
    <w:rsid w:val="00A10866"/>
    <w:rsid w:val="00A17373"/>
    <w:rsid w:val="00A1763D"/>
    <w:rsid w:val="00A17CEC"/>
    <w:rsid w:val="00A2724F"/>
    <w:rsid w:val="00A27EF0"/>
    <w:rsid w:val="00A42361"/>
    <w:rsid w:val="00A50B20"/>
    <w:rsid w:val="00A51390"/>
    <w:rsid w:val="00A60D13"/>
    <w:rsid w:val="00A637A5"/>
    <w:rsid w:val="00A7223D"/>
    <w:rsid w:val="00A72745"/>
    <w:rsid w:val="00A74B71"/>
    <w:rsid w:val="00A76EFC"/>
    <w:rsid w:val="00A87D50"/>
    <w:rsid w:val="00A904C1"/>
    <w:rsid w:val="00A91010"/>
    <w:rsid w:val="00A93493"/>
    <w:rsid w:val="00A97E3F"/>
    <w:rsid w:val="00A97F29"/>
    <w:rsid w:val="00AA4D09"/>
    <w:rsid w:val="00AA702E"/>
    <w:rsid w:val="00AA7D26"/>
    <w:rsid w:val="00AB0964"/>
    <w:rsid w:val="00AB14ED"/>
    <w:rsid w:val="00AB5011"/>
    <w:rsid w:val="00AC7368"/>
    <w:rsid w:val="00AD16B9"/>
    <w:rsid w:val="00AD3B87"/>
    <w:rsid w:val="00AD7256"/>
    <w:rsid w:val="00AE377D"/>
    <w:rsid w:val="00AF0EBA"/>
    <w:rsid w:val="00B02C8A"/>
    <w:rsid w:val="00B17FBD"/>
    <w:rsid w:val="00B315A6"/>
    <w:rsid w:val="00B31813"/>
    <w:rsid w:val="00B33365"/>
    <w:rsid w:val="00B43432"/>
    <w:rsid w:val="00B57B36"/>
    <w:rsid w:val="00B57E6F"/>
    <w:rsid w:val="00B83B91"/>
    <w:rsid w:val="00B8686D"/>
    <w:rsid w:val="00B93F69"/>
    <w:rsid w:val="00BB1DDC"/>
    <w:rsid w:val="00BC30C9"/>
    <w:rsid w:val="00BD077D"/>
    <w:rsid w:val="00BD415E"/>
    <w:rsid w:val="00BE12E6"/>
    <w:rsid w:val="00BE3E58"/>
    <w:rsid w:val="00BE6B8D"/>
    <w:rsid w:val="00BF32AC"/>
    <w:rsid w:val="00C01616"/>
    <w:rsid w:val="00C0162B"/>
    <w:rsid w:val="00C068ED"/>
    <w:rsid w:val="00C22E0C"/>
    <w:rsid w:val="00C345B1"/>
    <w:rsid w:val="00C40142"/>
    <w:rsid w:val="00C418BF"/>
    <w:rsid w:val="00C52C3C"/>
    <w:rsid w:val="00C57182"/>
    <w:rsid w:val="00C57863"/>
    <w:rsid w:val="00C640AF"/>
    <w:rsid w:val="00C655FD"/>
    <w:rsid w:val="00C72F90"/>
    <w:rsid w:val="00C75407"/>
    <w:rsid w:val="00C761E5"/>
    <w:rsid w:val="00C841C6"/>
    <w:rsid w:val="00C870A8"/>
    <w:rsid w:val="00C926D2"/>
    <w:rsid w:val="00C94434"/>
    <w:rsid w:val="00CA0D75"/>
    <w:rsid w:val="00CA1C95"/>
    <w:rsid w:val="00CA5A9C"/>
    <w:rsid w:val="00CA7932"/>
    <w:rsid w:val="00CC0AED"/>
    <w:rsid w:val="00CC4C20"/>
    <w:rsid w:val="00CD3517"/>
    <w:rsid w:val="00CD5FE2"/>
    <w:rsid w:val="00CE1F49"/>
    <w:rsid w:val="00CE7C68"/>
    <w:rsid w:val="00CF1F8A"/>
    <w:rsid w:val="00D02B4C"/>
    <w:rsid w:val="00D040C4"/>
    <w:rsid w:val="00D20AD1"/>
    <w:rsid w:val="00D2582C"/>
    <w:rsid w:val="00D25F10"/>
    <w:rsid w:val="00D342C3"/>
    <w:rsid w:val="00D35246"/>
    <w:rsid w:val="00D46B7E"/>
    <w:rsid w:val="00D56343"/>
    <w:rsid w:val="00D57C84"/>
    <w:rsid w:val="00D6057D"/>
    <w:rsid w:val="00D65642"/>
    <w:rsid w:val="00D71640"/>
    <w:rsid w:val="00D836C5"/>
    <w:rsid w:val="00D84576"/>
    <w:rsid w:val="00DA1399"/>
    <w:rsid w:val="00DA24C6"/>
    <w:rsid w:val="00DA2622"/>
    <w:rsid w:val="00DA4D7B"/>
    <w:rsid w:val="00DD271C"/>
    <w:rsid w:val="00DE264A"/>
    <w:rsid w:val="00DF5072"/>
    <w:rsid w:val="00E02D18"/>
    <w:rsid w:val="00E041E7"/>
    <w:rsid w:val="00E1309C"/>
    <w:rsid w:val="00E218C2"/>
    <w:rsid w:val="00E23CA1"/>
    <w:rsid w:val="00E34187"/>
    <w:rsid w:val="00E409A8"/>
    <w:rsid w:val="00E424BB"/>
    <w:rsid w:val="00E47D24"/>
    <w:rsid w:val="00E50C12"/>
    <w:rsid w:val="00E55933"/>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278D8"/>
    <w:rsid w:val="00F3049E"/>
    <w:rsid w:val="00F30C64"/>
    <w:rsid w:val="00F32BA2"/>
    <w:rsid w:val="00F32CDB"/>
    <w:rsid w:val="00F565FE"/>
    <w:rsid w:val="00F63A70"/>
    <w:rsid w:val="00F63D8C"/>
    <w:rsid w:val="00F65572"/>
    <w:rsid w:val="00F7382C"/>
    <w:rsid w:val="00F7534E"/>
    <w:rsid w:val="00F93EDF"/>
    <w:rsid w:val="00FA1802"/>
    <w:rsid w:val="00FA21D0"/>
    <w:rsid w:val="00FA3665"/>
    <w:rsid w:val="00FA5F5F"/>
    <w:rsid w:val="00FA6081"/>
    <w:rsid w:val="00FB448D"/>
    <w:rsid w:val="00FB730C"/>
    <w:rsid w:val="00FC2695"/>
    <w:rsid w:val="00FC3E03"/>
    <w:rsid w:val="00FC3FC1"/>
    <w:rsid w:val="00FD4EF8"/>
    <w:rsid w:val="00FD598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302E78"/>
    <w:rPr>
      <w:color w:val="605E5C"/>
      <w:shd w:val="clear" w:color="auto" w:fill="E1DFDD"/>
    </w:rPr>
  </w:style>
  <w:style w:type="character" w:styleId="PlaceholderText">
    <w:name w:val="Placeholder Text"/>
    <w:basedOn w:val="DefaultParagraphFont"/>
    <w:uiPriority w:val="99"/>
    <w:semiHidden/>
    <w:rsid w:val="002666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564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202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vsdx"/><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hyperlink" Target="mailto:nima.khakzad@torontomu.ca"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FB231-0C09-4DEC-B620-B2B8F4E7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6</Pages>
  <Words>3098</Words>
  <Characters>17664</Characters>
  <Application>Microsoft Office Word</Application>
  <DocSecurity>0</DocSecurity>
  <Lines>147</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Nima Khakzad</cp:lastModifiedBy>
  <cp:revision>85</cp:revision>
  <cp:lastPrinted>2023-04-04T17:22:00Z</cp:lastPrinted>
  <dcterms:created xsi:type="dcterms:W3CDTF">2023-03-31T19:22:00Z</dcterms:created>
  <dcterms:modified xsi:type="dcterms:W3CDTF">2023-07-13T13:39:00Z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