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0C4430">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530285E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2023</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0C4430">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0C4430">
        <w:trPr>
          <w:trHeight w:val="68"/>
          <w:jc w:val="center"/>
        </w:trPr>
        <w:tc>
          <w:tcPr>
            <w:tcW w:w="8782" w:type="dxa"/>
            <w:gridSpan w:val="2"/>
          </w:tcPr>
          <w:p w14:paraId="1D8DD3C9" w14:textId="180CDFD0" w:rsidR="00AA7D26" w:rsidRPr="003218D4" w:rsidRDefault="00AA7D26" w:rsidP="00AA7D26">
            <w:pPr>
              <w:ind w:left="-107"/>
              <w:outlineLvl w:val="2"/>
              <w:rPr>
                <w:rFonts w:ascii="Tahoma" w:hAnsi="Tahoma" w:cs="Tahoma"/>
                <w:bCs/>
                <w:color w:val="000000"/>
                <w:sz w:val="14"/>
                <w:szCs w:val="14"/>
                <w:lang w:val="en-US" w:eastAsia="it-IT"/>
              </w:rPr>
            </w:pPr>
            <w:r w:rsidRPr="003218D4">
              <w:rPr>
                <w:rFonts w:ascii="Tahoma" w:hAnsi="Tahoma" w:cs="Tahoma"/>
                <w:iCs/>
                <w:color w:val="333333"/>
                <w:sz w:val="14"/>
                <w:szCs w:val="14"/>
                <w:lang w:val="en-US" w:eastAsia="it-IT"/>
              </w:rPr>
              <w:t>Guest Editor</w:t>
            </w:r>
            <w:r w:rsidR="008223F9" w:rsidRPr="003218D4">
              <w:rPr>
                <w:rFonts w:ascii="Tahoma" w:hAnsi="Tahoma" w:cs="Tahoma"/>
                <w:iCs/>
                <w:color w:val="333333"/>
                <w:sz w:val="14"/>
                <w:szCs w:val="14"/>
                <w:lang w:val="en-US" w:eastAsia="it-IT"/>
              </w:rPr>
              <w:t>s</w:t>
            </w:r>
            <w:r w:rsidRPr="003218D4">
              <w:rPr>
                <w:rFonts w:ascii="Tahoma" w:hAnsi="Tahoma" w:cs="Tahoma"/>
                <w:iCs/>
                <w:color w:val="333333"/>
                <w:sz w:val="14"/>
                <w:szCs w:val="14"/>
                <w:lang w:val="en-US" w:eastAsia="it-IT"/>
              </w:rPr>
              <w:t>:</w:t>
            </w:r>
            <w:r w:rsidRPr="003218D4">
              <w:rPr>
                <w:rFonts w:ascii="Tahoma" w:hAnsi="Tahoma" w:cs="Tahoma"/>
                <w:color w:val="000000"/>
                <w:sz w:val="14"/>
                <w:szCs w:val="14"/>
                <w:shd w:val="clear" w:color="auto" w:fill="FFFFFF"/>
                <w:lang w:val="en-US"/>
              </w:rPr>
              <w:t xml:space="preserve"> </w:t>
            </w:r>
            <w:r w:rsidR="003218D4" w:rsidRPr="003218D4">
              <w:rPr>
                <w:rFonts w:ascii="Tahoma" w:hAnsi="Tahoma" w:cs="Tahoma"/>
                <w:color w:val="000000"/>
                <w:sz w:val="14"/>
                <w:szCs w:val="14"/>
                <w:shd w:val="clear" w:color="auto" w:fill="FFFFFF"/>
                <w:lang w:val="en-US"/>
              </w:rPr>
              <w:t>Sabrina Copelli, Richard S</w:t>
            </w:r>
            <w:r w:rsidR="003218D4">
              <w:rPr>
                <w:rFonts w:ascii="Tahoma" w:hAnsi="Tahoma" w:cs="Tahoma"/>
                <w:color w:val="000000"/>
                <w:sz w:val="14"/>
                <w:szCs w:val="14"/>
                <w:shd w:val="clear" w:color="auto" w:fill="FFFFFF"/>
                <w:lang w:val="en-US"/>
              </w:rPr>
              <w:t>iwek</w:t>
            </w:r>
          </w:p>
          <w:p w14:paraId="1B0F1814" w14:textId="0F6107F4"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2023</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0066025F">
              <w:rPr>
                <w:rFonts w:ascii="Tahoma" w:hAnsi="Tahoma" w:cs="Tahoma"/>
                <w:sz w:val="14"/>
                <w:szCs w:val="14"/>
              </w:rPr>
              <w:t xml:space="preserve"> </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0EFEF7BB" w:rsidR="00E978D0" w:rsidRPr="00B57B36" w:rsidRDefault="00072B00" w:rsidP="00E978D0">
      <w:pPr>
        <w:pStyle w:val="CETTitle"/>
      </w:pPr>
      <w:r w:rsidRPr="00072B00">
        <w:t>Study of the Electric Spark and Combustion Characteristic Times in a MIKE 3 Apparatus</w:t>
      </w:r>
    </w:p>
    <w:p w14:paraId="0488FED2" w14:textId="73D9B507" w:rsidR="00B57E6F" w:rsidRPr="00072B00" w:rsidRDefault="00072B00" w:rsidP="00B57E6F">
      <w:pPr>
        <w:pStyle w:val="CETAuthors"/>
        <w:rPr>
          <w:lang w:val="it-IT"/>
        </w:rPr>
      </w:pPr>
      <w:r w:rsidRPr="00072B00">
        <w:rPr>
          <w:lang w:val="it-IT"/>
        </w:rPr>
        <w:t>Sieni Elisabetta</w:t>
      </w:r>
      <w:r w:rsidRPr="00072B00">
        <w:rPr>
          <w:vertAlign w:val="superscript"/>
          <w:lang w:val="it-IT"/>
        </w:rPr>
        <w:t>a</w:t>
      </w:r>
      <w:r w:rsidRPr="00072B00">
        <w:rPr>
          <w:lang w:val="it-IT"/>
        </w:rPr>
        <w:t>, Barozzi Marco</w:t>
      </w:r>
      <w:r w:rsidRPr="00072B00">
        <w:rPr>
          <w:vertAlign w:val="superscript"/>
          <w:lang w:val="it-IT"/>
        </w:rPr>
        <w:t>b</w:t>
      </w:r>
      <w:r w:rsidRPr="00072B00">
        <w:rPr>
          <w:lang w:val="it-IT"/>
        </w:rPr>
        <w:t>, Scotton Martina</w:t>
      </w:r>
      <w:r w:rsidRPr="00072B00">
        <w:rPr>
          <w:vertAlign w:val="superscript"/>
          <w:lang w:val="it-IT"/>
        </w:rPr>
        <w:t>b</w:t>
      </w:r>
      <w:r w:rsidRPr="00072B00">
        <w:rPr>
          <w:lang w:val="it-IT"/>
        </w:rPr>
        <w:t>, Sundararajan Rajeswari</w:t>
      </w:r>
      <w:r w:rsidRPr="00072B00">
        <w:rPr>
          <w:vertAlign w:val="superscript"/>
          <w:lang w:val="it-IT"/>
        </w:rPr>
        <w:t>c</w:t>
      </w:r>
      <w:r w:rsidRPr="00072B00">
        <w:rPr>
          <w:lang w:val="it-IT"/>
        </w:rPr>
        <w:t>, Lamberti Patrizia</w:t>
      </w:r>
      <w:r w:rsidRPr="00072B00">
        <w:rPr>
          <w:vertAlign w:val="superscript"/>
          <w:lang w:val="it-IT"/>
        </w:rPr>
        <w:t>d</w:t>
      </w:r>
      <w:r w:rsidRPr="00072B00">
        <w:rPr>
          <w:lang w:val="it-IT"/>
        </w:rPr>
        <w:t>, Copelli Sabrina</w:t>
      </w:r>
      <w:r w:rsidRPr="00072B00">
        <w:rPr>
          <w:vertAlign w:val="superscript"/>
          <w:lang w:val="it-IT"/>
        </w:rPr>
        <w:t>b,*</w:t>
      </w:r>
    </w:p>
    <w:p w14:paraId="7587283A" w14:textId="0E9F0ACC" w:rsidR="00072B00" w:rsidRPr="00072B00" w:rsidRDefault="00072B00" w:rsidP="00072B00">
      <w:pPr>
        <w:pStyle w:val="CETAddress"/>
        <w:rPr>
          <w:lang w:val="it-IT"/>
        </w:rPr>
      </w:pPr>
      <w:r w:rsidRPr="00072B00">
        <w:rPr>
          <w:vertAlign w:val="superscript"/>
          <w:lang w:val="it-IT"/>
        </w:rPr>
        <w:t>a</w:t>
      </w:r>
      <w:r w:rsidRPr="00072B00">
        <w:rPr>
          <w:lang w:val="it-IT"/>
        </w:rPr>
        <w:t xml:space="preserve">Università degli Studi dell’Insubria, </w:t>
      </w:r>
      <w:r>
        <w:rPr>
          <w:lang w:val="it-IT"/>
        </w:rPr>
        <w:t>Department of Theoretical and Applied Science</w:t>
      </w:r>
      <w:r w:rsidRPr="00072B00">
        <w:rPr>
          <w:lang w:val="it-IT"/>
        </w:rPr>
        <w:t xml:space="preserve">, via Dunant 3, 21100, Varese, Italy </w:t>
      </w:r>
    </w:p>
    <w:p w14:paraId="5D1F335A" w14:textId="069364FD" w:rsidR="00072B00" w:rsidRPr="00072B00" w:rsidRDefault="00072B00" w:rsidP="00072B00">
      <w:pPr>
        <w:pStyle w:val="CETAddress"/>
        <w:rPr>
          <w:lang w:val="it-IT"/>
        </w:rPr>
      </w:pPr>
      <w:r w:rsidRPr="00072B00">
        <w:rPr>
          <w:vertAlign w:val="superscript"/>
          <w:lang w:val="it-IT"/>
        </w:rPr>
        <w:t>b</w:t>
      </w:r>
      <w:r w:rsidRPr="00072B00">
        <w:rPr>
          <w:lang w:val="it-IT"/>
        </w:rPr>
        <w:t>Università degli Studi dell’Insubria, D</w:t>
      </w:r>
      <w:r>
        <w:rPr>
          <w:lang w:val="it-IT"/>
        </w:rPr>
        <w:t>epartment of Science and High Technology</w:t>
      </w:r>
      <w:r w:rsidRPr="00072B00">
        <w:rPr>
          <w:lang w:val="it-IT"/>
        </w:rPr>
        <w:t>, via Valleggio 9, 22100, Como, Italy</w:t>
      </w:r>
    </w:p>
    <w:p w14:paraId="1101EE52" w14:textId="305F33E1" w:rsidR="00072B00" w:rsidRDefault="00072B00" w:rsidP="00072B00">
      <w:pPr>
        <w:pStyle w:val="CETAddress"/>
      </w:pPr>
      <w:r w:rsidRPr="00072B00">
        <w:rPr>
          <w:vertAlign w:val="superscript"/>
        </w:rPr>
        <w:t>c</w:t>
      </w:r>
      <w:r>
        <w:t>Purdue University, 610 Purdue Mall, IN 47907, West Lafayette, USA</w:t>
      </w:r>
    </w:p>
    <w:p w14:paraId="2486C310" w14:textId="49E285D6" w:rsidR="00072B00" w:rsidRPr="0010681E" w:rsidRDefault="00072B00" w:rsidP="00072B00">
      <w:pPr>
        <w:pStyle w:val="CETAddress"/>
      </w:pPr>
      <w:r w:rsidRPr="0010681E">
        <w:rPr>
          <w:vertAlign w:val="superscript"/>
        </w:rPr>
        <w:t>d</w:t>
      </w:r>
      <w:r w:rsidRPr="0010681E">
        <w:t>Università degli Studi di Salerno, Department of Information Engineering, Electrical Engineering and Applied Mathematic, Via Giovanni Paolo II 132, 84084, Fisciano, Italy</w:t>
      </w:r>
      <w:r w:rsidR="00B57E6F" w:rsidRPr="0010681E">
        <w:t xml:space="preserve"> </w:t>
      </w:r>
    </w:p>
    <w:p w14:paraId="73F1267A" w14:textId="2FE8A3E5" w:rsidR="00B57E6F" w:rsidRPr="0010681E" w:rsidRDefault="003218D4" w:rsidP="00072B00">
      <w:pPr>
        <w:pStyle w:val="CETAddress"/>
      </w:pPr>
      <w:hyperlink r:id="rId10" w:history="1">
        <w:r w:rsidR="00072B00" w:rsidRPr="0010681E">
          <w:rPr>
            <w:rStyle w:val="Collegamentoipertestuale"/>
          </w:rPr>
          <w:t>sabrina.copelli@uninsubria.it</w:t>
        </w:r>
      </w:hyperlink>
      <w:r w:rsidR="000C4430" w:rsidRPr="0010681E">
        <w:t xml:space="preserve"> </w:t>
      </w:r>
    </w:p>
    <w:p w14:paraId="4EEAECFE" w14:textId="77777777" w:rsidR="00072B00" w:rsidRDefault="00072B00" w:rsidP="005A6B7B">
      <w:pPr>
        <w:pStyle w:val="CETBodytext"/>
        <w:rPr>
          <w:lang w:val="en-GB"/>
        </w:rPr>
      </w:pPr>
    </w:p>
    <w:p w14:paraId="1C746D0B" w14:textId="72D72233" w:rsidR="00072B00" w:rsidRPr="00072B00" w:rsidRDefault="00072B00" w:rsidP="00072B00">
      <w:pPr>
        <w:pStyle w:val="CETBodytext"/>
        <w:rPr>
          <w:lang w:val="en-GB"/>
        </w:rPr>
      </w:pPr>
      <w:r w:rsidRPr="00072B00">
        <w:rPr>
          <w:lang w:val="en-GB"/>
        </w:rPr>
        <w:t xml:space="preserve">Understanding how </w:t>
      </w:r>
      <w:r w:rsidR="00C97CC7">
        <w:rPr>
          <w:lang w:val="en-GB"/>
        </w:rPr>
        <w:t>dust</w:t>
      </w:r>
      <w:r w:rsidRPr="00072B00">
        <w:rPr>
          <w:lang w:val="en-GB"/>
        </w:rPr>
        <w:t xml:space="preserve"> can ignite and explode in an industrial contest is a</w:t>
      </w:r>
      <w:r w:rsidR="005C40DC">
        <w:rPr>
          <w:lang w:val="en-GB"/>
        </w:rPr>
        <w:t xml:space="preserve">n important and complex </w:t>
      </w:r>
      <w:r w:rsidRPr="00072B00">
        <w:rPr>
          <w:lang w:val="en-GB"/>
        </w:rPr>
        <w:t>task</w:t>
      </w:r>
      <w:r w:rsidR="005C40DC">
        <w:rPr>
          <w:lang w:val="en-GB"/>
        </w:rPr>
        <w:t>, and much of the work around this is mainly performed via experimental measurements, in accordance to specific standards.</w:t>
      </w:r>
      <w:r w:rsidRPr="00072B00">
        <w:rPr>
          <w:lang w:val="en-GB"/>
        </w:rPr>
        <w:t xml:space="preserve"> </w:t>
      </w:r>
      <w:r w:rsidR="005C40DC">
        <w:rPr>
          <w:lang w:val="en-GB"/>
        </w:rPr>
        <w:t>However, those same</w:t>
      </w:r>
      <w:r w:rsidRPr="00072B00">
        <w:rPr>
          <w:lang w:val="en-GB"/>
        </w:rPr>
        <w:t xml:space="preserve"> properties are</w:t>
      </w:r>
      <w:r w:rsidR="005C40DC">
        <w:rPr>
          <w:lang w:val="en-GB"/>
        </w:rPr>
        <w:t xml:space="preserve"> straightforwardly</w:t>
      </w:r>
      <w:r w:rsidRPr="00072B00">
        <w:rPr>
          <w:lang w:val="en-GB"/>
        </w:rPr>
        <w:t xml:space="preserve"> closely related to the nature of the experimental tests. </w:t>
      </w:r>
      <w:r w:rsidR="005C40DC">
        <w:rPr>
          <w:lang w:val="en-GB"/>
        </w:rPr>
        <w:t>Among these,</w:t>
      </w:r>
      <w:r w:rsidRPr="00072B00">
        <w:rPr>
          <w:lang w:val="en-GB"/>
        </w:rPr>
        <w:t xml:space="preserve"> the Minimum Ignition Energy (MIE) of a dust</w:t>
      </w:r>
      <w:r w:rsidR="005C40DC">
        <w:rPr>
          <w:lang w:val="en-GB"/>
        </w:rPr>
        <w:t xml:space="preserve"> cloud, that is usually measured</w:t>
      </w:r>
      <w:r w:rsidRPr="00072B00">
        <w:rPr>
          <w:lang w:val="en-GB"/>
        </w:rPr>
        <w:t xml:space="preserve"> in a MIKE 3 apparatus, </w:t>
      </w:r>
      <w:r w:rsidR="00C97CC7">
        <w:rPr>
          <w:lang w:val="en-GB"/>
        </w:rPr>
        <w:t>can be affected by several factors</w:t>
      </w:r>
      <w:r w:rsidRPr="00072B00">
        <w:rPr>
          <w:lang w:val="en-GB"/>
        </w:rPr>
        <w:t xml:space="preserve">, as: delay time of the electric spark with respect to the dust-air dispersion formation inside the apparatus, dust concentration, humidity content, dust granulometry, </w:t>
      </w:r>
      <w:r w:rsidR="00F77996" w:rsidRPr="00072B00">
        <w:rPr>
          <w:lang w:val="en-GB"/>
        </w:rPr>
        <w:t>etc.</w:t>
      </w:r>
      <w:r w:rsidRPr="00072B00">
        <w:rPr>
          <w:lang w:val="en-GB"/>
        </w:rPr>
        <w:t xml:space="preserve"> </w:t>
      </w:r>
      <w:r w:rsidR="005C40DC">
        <w:rPr>
          <w:lang w:val="en-GB"/>
        </w:rPr>
        <w:t>The</w:t>
      </w:r>
      <w:r w:rsidRPr="00072B00">
        <w:rPr>
          <w:lang w:val="en-GB"/>
        </w:rPr>
        <w:t xml:space="preserve"> delay time is one of the worst parameters</w:t>
      </w:r>
      <w:r w:rsidR="005C40DC">
        <w:rPr>
          <w:lang w:val="en-GB"/>
        </w:rPr>
        <w:t xml:space="preserve"> to adjust,</w:t>
      </w:r>
      <w:r w:rsidRPr="00072B00">
        <w:rPr>
          <w:lang w:val="en-GB"/>
        </w:rPr>
        <w:t xml:space="preserve"> because the fluid-dynamics of the dust-air mixture inside the </w:t>
      </w:r>
      <w:r w:rsidR="00F77996">
        <w:rPr>
          <w:lang w:val="en-GB"/>
        </w:rPr>
        <w:t>tube</w:t>
      </w:r>
      <w:r w:rsidRPr="00072B00">
        <w:rPr>
          <w:lang w:val="en-GB"/>
        </w:rPr>
        <w:t xml:space="preserve"> is </w:t>
      </w:r>
      <w:r w:rsidR="00F77996">
        <w:rPr>
          <w:lang w:val="en-GB"/>
        </w:rPr>
        <w:t>not easily predictable</w:t>
      </w:r>
      <w:r w:rsidRPr="00072B00">
        <w:rPr>
          <w:lang w:val="en-GB"/>
        </w:rPr>
        <w:t>. Within this work, a study on the characteristic times of all the relevant phenomena occurring within a MIKE 3 apparatus was do</w:t>
      </w:r>
      <w:r w:rsidR="00F77996">
        <w:rPr>
          <w:lang w:val="en-GB"/>
        </w:rPr>
        <w:t>n</w:t>
      </w:r>
      <w:r w:rsidRPr="00072B00">
        <w:rPr>
          <w:lang w:val="en-GB"/>
        </w:rPr>
        <w:t xml:space="preserve">e </w:t>
      </w:r>
      <w:r w:rsidR="00F77996">
        <w:rPr>
          <w:lang w:val="en-GB"/>
        </w:rPr>
        <w:t xml:space="preserve">by means of </w:t>
      </w:r>
      <w:r w:rsidR="00F77996" w:rsidRPr="00072B00">
        <w:rPr>
          <w:lang w:val="en-GB"/>
        </w:rPr>
        <w:t>slow-motion</w:t>
      </w:r>
      <w:r w:rsidRPr="00072B00">
        <w:rPr>
          <w:lang w:val="en-GB"/>
        </w:rPr>
        <w:t xml:space="preserve"> videos of the tests</w:t>
      </w:r>
      <w:r w:rsidR="00F77996">
        <w:rPr>
          <w:lang w:val="en-GB"/>
        </w:rPr>
        <w:t>.</w:t>
      </w:r>
      <w:r w:rsidRPr="00072B00">
        <w:rPr>
          <w:lang w:val="en-GB"/>
        </w:rPr>
        <w:t xml:space="preserve"> Particularly, three different characteristic times were compared referring to a given sample of niacin dust: dust lifting and settling times, effective spark delay time (that is, the time at which the spark is visible) and combustion time (that is, the time at which the flame is visible). According to the results, the effective delay time is almost always quite different with respect to the </w:t>
      </w:r>
      <w:r w:rsidR="00C97CC7">
        <w:rPr>
          <w:lang w:val="en-GB"/>
        </w:rPr>
        <w:t>theoretical one,</w:t>
      </w:r>
      <w:r w:rsidRPr="00072B00">
        <w:rPr>
          <w:lang w:val="en-GB"/>
        </w:rPr>
        <w:t xml:space="preserve"> influencing the effective concentration of dust between the electrodes and, finally, the possibility to have a flame ignition or not within the apparatus. This means that the value of the MIE parameter can be profoundly influenced by the effective delay. </w:t>
      </w:r>
    </w:p>
    <w:p w14:paraId="398812B1" w14:textId="77777777" w:rsidR="00072B00" w:rsidRPr="00072B00" w:rsidRDefault="00072B00" w:rsidP="00072B00">
      <w:pPr>
        <w:pStyle w:val="CETBodytext"/>
        <w:rPr>
          <w:lang w:val="en-GB"/>
        </w:rPr>
      </w:pPr>
    </w:p>
    <w:p w14:paraId="3B2D3727" w14:textId="77777777" w:rsidR="00072B00" w:rsidRDefault="00072B00" w:rsidP="00072B00">
      <w:pPr>
        <w:pStyle w:val="CETBodytext"/>
        <w:rPr>
          <w:lang w:val="en-GB"/>
        </w:rPr>
      </w:pPr>
      <w:r w:rsidRPr="00072B00">
        <w:rPr>
          <w:lang w:val="en-GB"/>
        </w:rPr>
        <w:t>Keywords: Process Safety; Dust Explosions; Minimum Ignition Energy; Spark Delay Time</w:t>
      </w:r>
    </w:p>
    <w:p w14:paraId="476B2F2E" w14:textId="77777777" w:rsidR="00600535" w:rsidRPr="00B57B36" w:rsidRDefault="00600535" w:rsidP="00600535">
      <w:pPr>
        <w:pStyle w:val="CETHeading1"/>
        <w:rPr>
          <w:lang w:val="en-GB"/>
        </w:rPr>
      </w:pPr>
      <w:r w:rsidRPr="00B57B36">
        <w:rPr>
          <w:lang w:val="en-GB"/>
        </w:rPr>
        <w:t>Introduction</w:t>
      </w:r>
    </w:p>
    <w:p w14:paraId="23F86FEF" w14:textId="023AECCD" w:rsidR="00600535" w:rsidRDefault="0010681E" w:rsidP="00DF3A53">
      <w:pPr>
        <w:pStyle w:val="CETBodytext"/>
        <w:rPr>
          <w:lang w:val="en-GB"/>
        </w:rPr>
      </w:pPr>
      <w:r>
        <w:rPr>
          <w:lang w:val="en-GB"/>
        </w:rPr>
        <w:t>Dust explosions are among the most severe accidents that may impact chemical industries</w:t>
      </w:r>
      <w:r w:rsidR="00AF274E">
        <w:rPr>
          <w:lang w:val="en-GB"/>
        </w:rPr>
        <w:t xml:space="preserve"> </w:t>
      </w:r>
      <w:r w:rsidR="00FC3489">
        <w:rPr>
          <w:lang w:val="en-GB"/>
        </w:rPr>
        <w:fldChar w:fldCharType="begin"/>
      </w:r>
      <w:r w:rsidR="00FC3489">
        <w:rPr>
          <w:lang w:val="en-GB"/>
        </w:rPr>
        <w:instrText xml:space="preserve"> ADDIN ZOTERO_ITEM CSL_CITATION {"citationID":"Ce63pLa7","properties":{"formattedCitation":"(Cloney, 2021)","plainCitation":"(Cloney, 2021)","noteIndex":0},"citationItems":[{"id":106,"uris":["http://zotero.org/users/local/mDzd7GNh/items/2N9338YM"],"itemData":{"id":106,"type":"document","publisher":"DustEx Research Ltd.","title":"“2021 Mid-Year Combustible Dust Incident Report - Version #1","URL":"https://dss1.s3.us-east-2.amazonaws.com/Dust-Safety-Science-Mid-2021-Incident-Report-1.pdf","author":[{"family":"Cloney","given":"Chris"}],"accessed":{"date-parts":[["2023",5,2]]},"issued":{"date-parts":[["2021"]]}}}],"schema":"https://github.com/citation-style-language/schema/raw/master/csl-citation.json"} </w:instrText>
      </w:r>
      <w:r w:rsidR="00FC3489">
        <w:rPr>
          <w:lang w:val="en-GB"/>
        </w:rPr>
        <w:fldChar w:fldCharType="separate"/>
      </w:r>
      <w:r w:rsidR="00FC3489" w:rsidRPr="00FC3489">
        <w:rPr>
          <w:rFonts w:cs="Arial"/>
        </w:rPr>
        <w:t>(Cloney, 2021)</w:t>
      </w:r>
      <w:r w:rsidR="00FC3489">
        <w:rPr>
          <w:lang w:val="en-GB"/>
        </w:rPr>
        <w:fldChar w:fldCharType="end"/>
      </w:r>
      <w:r>
        <w:rPr>
          <w:lang w:val="en-GB"/>
        </w:rPr>
        <w:t>. Several motivations lie under this statement. At first, today still too often the threat posed by combustible dust is ignored by companies and operators</w:t>
      </w:r>
      <w:r w:rsidR="00FC3489">
        <w:rPr>
          <w:lang w:val="en-GB"/>
        </w:rPr>
        <w:t xml:space="preserve"> </w:t>
      </w:r>
      <w:r w:rsidR="00FC3489">
        <w:rPr>
          <w:lang w:val="en-GB"/>
        </w:rPr>
        <w:fldChar w:fldCharType="begin"/>
      </w:r>
      <w:r w:rsidR="00FC3489">
        <w:rPr>
          <w:lang w:val="en-GB"/>
        </w:rPr>
        <w:instrText xml:space="preserve"> ADDIN ZOTERO_ITEM CSL_CITATION {"citationID":"0jt39Apz","properties":{"formattedCitation":"(Abbasi and Abbasi, 2007)","plainCitation":"(Abbasi and Abbasi, 2007)","noteIndex":0},"citationItems":[{"id":108,"uris":["http://zotero.org/users/local/mDzd7GNh/items/GHNPARGP"],"itemData":{"id":108,"type":"article-journal","abstract":"Dust explosions pose the most serious and widespread of explosion hazards in the process industry alongside vapour cloud explosions (VCE) and boiling liquid expanding vapour explosions (BLEVE). Dust explosions almost always lead to serious financial losses in terms of damage to facilities and down time. They also often cause serious injuries to personnel, and fatalities. We present the gist of the dust explosion state-of-the-art. Illustrative case studies and past accident analyses reflect the high frequency, geographic spread, and damage potential of dust explosions across the world. The sources and triggers of dust explosions, and the measures with which different factors associated with dust explosions can be quantified are reviewed alongside dust explosion mechanism. The rest of the review is focused on the ways available to prevent dust explosion, and on cushioning the impact of a dust explosion by venting when the accident does take place.","container-title":"Journal of Hazardous Materials","DOI":"10.1016/j.jhazmat.2006.11.007","ISSN":"0304-3894","issue":"1","journalAbbreviation":"Journal of Hazardous Materials","language":"en","page":"7-44","source":"ScienceDirect","title":"Dust explosions–Cases, causes, consequences, and control","volume":"140","author":[{"family":"Abbasi","given":"Tasneem"},{"family":"Abbasi","given":"S. A."}],"issued":{"date-parts":[["2007",2,9]]}}}],"schema":"https://github.com/citation-style-language/schema/raw/master/csl-citation.json"} </w:instrText>
      </w:r>
      <w:r w:rsidR="00FC3489">
        <w:rPr>
          <w:lang w:val="en-GB"/>
        </w:rPr>
        <w:fldChar w:fldCharType="separate"/>
      </w:r>
      <w:r w:rsidR="00FC3489" w:rsidRPr="00FC3489">
        <w:rPr>
          <w:rFonts w:cs="Arial"/>
        </w:rPr>
        <w:t>(Abbasi and Abbasi, 2007)</w:t>
      </w:r>
      <w:r w:rsidR="00FC3489">
        <w:rPr>
          <w:lang w:val="en-GB"/>
        </w:rPr>
        <w:fldChar w:fldCharType="end"/>
      </w:r>
      <w:r>
        <w:rPr>
          <w:lang w:val="en-GB"/>
        </w:rPr>
        <w:t>. This leads to unawareness of the danger represented by an improper handling and storage of dust, resulting in unwanted, severe accidents. According to many Chemical Safety Board analys</w:t>
      </w:r>
      <w:r w:rsidR="00BD6AEB">
        <w:rPr>
          <w:lang w:val="en-GB"/>
        </w:rPr>
        <w:t>e</w:t>
      </w:r>
      <w:r>
        <w:rPr>
          <w:lang w:val="en-GB"/>
        </w:rPr>
        <w:t xml:space="preserve">s, it was found that almost every accident where combustible dust is involved, can be related </w:t>
      </w:r>
      <w:r w:rsidR="00BD6AEB">
        <w:rPr>
          <w:lang w:val="en-GB"/>
        </w:rPr>
        <w:t>to a general lack of knowledge of the threats represented by combustible dust</w:t>
      </w:r>
      <w:r>
        <w:rPr>
          <w:lang w:val="en-GB"/>
        </w:rPr>
        <w:t xml:space="preserve"> </w:t>
      </w:r>
      <w:r w:rsidR="00BD6AEB">
        <w:rPr>
          <w:lang w:val="en-GB"/>
        </w:rPr>
        <w:fldChar w:fldCharType="begin"/>
      </w:r>
      <w:r w:rsidR="00BD6AEB">
        <w:rPr>
          <w:lang w:val="en-GB"/>
        </w:rPr>
        <w:instrText xml:space="preserve"> ADDIN ZOTERO_ITEM CSL_CITATION {"citationID":"f4NS55cy","properties":{"formattedCitation":"(CSB, 2006)","plainCitation":"(CSB, 2006)","noteIndex":0},"citationItems":[{"id":111,"uris":["http://zotero.org/users/local/mDzd7GNh/items/LZ3CAUWE"],"itemData":{"id":111,"type":"document","title":"Combustible Dust Hazard Study","URL":"https://www.csb.gov/combustible-dust-hazard-investigation/","author":[{"family":"CSB","given":""}],"accessed":{"date-parts":[["2023",5,20]]},"issued":{"date-parts":[["2006"]]}}}],"schema":"https://github.com/citation-style-language/schema/raw/master/csl-citation.json"} </w:instrText>
      </w:r>
      <w:r w:rsidR="00BD6AEB">
        <w:rPr>
          <w:lang w:val="en-GB"/>
        </w:rPr>
        <w:fldChar w:fldCharType="separate"/>
      </w:r>
      <w:r w:rsidR="00BD6AEB" w:rsidRPr="00BD6AEB">
        <w:rPr>
          <w:rFonts w:cs="Arial"/>
        </w:rPr>
        <w:t>(CSB, 2006)</w:t>
      </w:r>
      <w:r w:rsidR="00BD6AEB">
        <w:rPr>
          <w:lang w:val="en-GB"/>
        </w:rPr>
        <w:fldChar w:fldCharType="end"/>
      </w:r>
      <w:r w:rsidR="00BD6AEB">
        <w:rPr>
          <w:lang w:val="en-GB"/>
        </w:rPr>
        <w:t>.</w:t>
      </w:r>
      <w:r>
        <w:rPr>
          <w:lang w:val="en-GB"/>
        </w:rPr>
        <w:t xml:space="preserve"> Also, dust explosion is a very complex phenomenon</w:t>
      </w:r>
      <w:r w:rsidR="00FC3489">
        <w:rPr>
          <w:lang w:val="en-GB"/>
        </w:rPr>
        <w:t xml:space="preserve"> </w:t>
      </w:r>
      <w:r w:rsidR="00FC3489">
        <w:rPr>
          <w:lang w:val="en-GB"/>
        </w:rPr>
        <w:fldChar w:fldCharType="begin"/>
      </w:r>
      <w:r w:rsidR="00FC3489">
        <w:rPr>
          <w:lang w:val="en-GB"/>
        </w:rPr>
        <w:instrText xml:space="preserve"> ADDIN ZOTERO_ITEM CSL_CITATION {"citationID":"ZFGgqXdJ","properties":{"formattedCitation":"(Eckhoff, 2003)","plainCitation":"(Eckhoff, 2003)","noteIndex":0},"citationItems":[{"id":110,"uris":["http://zotero.org/users/local/mDzd7GNh/items/5ELTETRT"],"itemData":{"id":110,"type":"book","ISBN":"978-0-08-048874-5","publisher":"Elsevier Science","title":"Dust Explosions in the Process Industries: Identification, Assessment and Control of Dust Hazards","URL":"https://books.google.it/books?id=y4HkuKYqvoYC","author":[{"family":"Eckhoff","given":"R.K."}],"issued":{"date-parts":[["2003"]]}}}],"schema":"https://github.com/citation-style-language/schema/raw/master/csl-citation.json"} </w:instrText>
      </w:r>
      <w:r w:rsidR="00FC3489">
        <w:rPr>
          <w:lang w:val="en-GB"/>
        </w:rPr>
        <w:fldChar w:fldCharType="separate"/>
      </w:r>
      <w:r w:rsidR="00FC3489" w:rsidRPr="00FC3489">
        <w:rPr>
          <w:rFonts w:cs="Arial"/>
        </w:rPr>
        <w:t>(Eckhoff, 2003)</w:t>
      </w:r>
      <w:r w:rsidR="00FC3489">
        <w:rPr>
          <w:lang w:val="en-GB"/>
        </w:rPr>
        <w:fldChar w:fldCharType="end"/>
      </w:r>
      <w:r>
        <w:rPr>
          <w:lang w:val="en-GB"/>
        </w:rPr>
        <w:t>, which includes many subjects: dust lifting requires fluid-dynamic modelling of discontinuous media, dust ignition requires a proper combustion model, including every possible ignition source (which can be energy in form of heat, mechanical or electrical sparks), kinetics and turbulence, dust explosion require proper deflagration/detonation/deflagration to detonation model</w:t>
      </w:r>
      <w:r w:rsidR="00AF274E">
        <w:rPr>
          <w:lang w:val="en-GB"/>
        </w:rPr>
        <w:t xml:space="preserve"> </w:t>
      </w:r>
      <w:r w:rsidR="00AF274E">
        <w:rPr>
          <w:lang w:val="en-GB"/>
        </w:rPr>
        <w:fldChar w:fldCharType="begin"/>
      </w:r>
      <w:r w:rsidR="00AF274E">
        <w:rPr>
          <w:lang w:val="en-GB"/>
        </w:rPr>
        <w:instrText xml:space="preserve"> ADDIN ZOTERO_ITEM CSL_CITATION {"citationID":"KquE0JoQ","properties":{"formattedCitation":"(Barozzi et al., 2020)","plainCitation":"(Barozzi et al., 2020)","noteIndex":0},"citationItems":[{"id":78,"uris":["http://zotero.org/users/local/mDzd7GNh/items/FU4T28E4"],"itemData":{"id":78,"type":"article-journal","abstract":"Organic dust explosions were and are still today a critical issue in the food, pharmaceutical, and fine chemical industry. Materials such as flour, corn starch, sugar and APIs represent a cause of severe accidents. In this framework, we investigated a modified version of Recursive Operability Analysis&amp;minus;Incidental Sequence Diagrams (ROA&amp;ndash;ISD), called ROA Plus&amp;minus;ISD, specifically tailored to describe industrial processes involving organic combustible dusts. Compared to more classical techniques such as Hazard and Operability (HazOp), ROA&amp;minus;ISD allows for a direct generation of fault trees, providing a useful tool to connect Qualitative with Quantitative Risk Analysis (QRA). ROA Plus&amp;minus;ISD is very similar to ROA&amp;minus;Cause Consequence Diagrams (CCD), which has already proven to be an effective tool to perform both risk assessment on existing plants and reconstructing already occurred accidents, given its logical structure and width of the application fields. In this work, we modified specific parts of the standard ROA&amp;minus;CCD method: (1) the Failure Mode and Operability Analysis (FMEA) database has been structured in order to retrieve the well-known explosion pentagon (for dusts) and all the instruments, devices, apparatuses and controllers typical of industries which process organic dusts; (2) a new comprehensive list of process variables has been compiled. In this way, it is possible to tailor the information required for the generation of the fault trees concerning top events involving mainly dust explosions and fires. This method has been implemented in order to reconstruct the dynamics of the February 2008 Imperial Sugar refinery plant accident (Port Wentworth, GA, USA). Results demonstrated the applicability of the enhanced method by highlighting the criticalities of the process already showed by a previously detailed reconstruction performed by the Chemical Safety Board.","container-title":"International Journal of Environmental Research and Public Health","DOI":"10.3390/ijerph17093078","ISSN":"1660-4601","issue":"9","title":"Application of an Enhanced Version of Recursive Operability Analysis for Combustible Dusts Risk Assessment","volume":"17","author":[{"family":"Barozzi","given":"Marco"},{"family":"Copelli","given":"Sabrina"},{"family":"Scotton","given":"Martina S."},{"family":"Torretta","given":"Vincenzo"}],"issued":{"date-parts":[["2020"]]}}}],"schema":"https://github.com/citation-style-language/schema/raw/master/csl-citation.json"} </w:instrText>
      </w:r>
      <w:r w:rsidR="00AF274E">
        <w:rPr>
          <w:lang w:val="en-GB"/>
        </w:rPr>
        <w:fldChar w:fldCharType="separate"/>
      </w:r>
      <w:r w:rsidR="00AF274E" w:rsidRPr="00AF274E">
        <w:rPr>
          <w:rFonts w:cs="Arial"/>
        </w:rPr>
        <w:t>(Barozzi et al., 2020)</w:t>
      </w:r>
      <w:r w:rsidR="00AF274E">
        <w:rPr>
          <w:lang w:val="en-GB"/>
        </w:rPr>
        <w:fldChar w:fldCharType="end"/>
      </w:r>
      <w:r>
        <w:rPr>
          <w:lang w:val="en-GB"/>
        </w:rPr>
        <w:t xml:space="preserve">. Due to this </w:t>
      </w:r>
      <w:r w:rsidR="00A15FEB">
        <w:rPr>
          <w:lang w:val="en-GB"/>
        </w:rPr>
        <w:t>complexity, most of the work required for ensuring safety in processes that involve</w:t>
      </w:r>
      <w:r w:rsidR="00BD6AEB">
        <w:rPr>
          <w:lang w:val="en-GB"/>
        </w:rPr>
        <w:t>s</w:t>
      </w:r>
      <w:r w:rsidR="00A15FEB">
        <w:rPr>
          <w:lang w:val="en-GB"/>
        </w:rPr>
        <w:t xml:space="preserve"> dust is carried out with direct experimental testing. Usually, performing a risk assessment of a chemical process that involves combustible dust require</w:t>
      </w:r>
      <w:r w:rsidR="00BD6AEB">
        <w:rPr>
          <w:lang w:val="en-GB"/>
        </w:rPr>
        <w:t>s</w:t>
      </w:r>
      <w:r w:rsidR="00A15FEB">
        <w:rPr>
          <w:lang w:val="en-GB"/>
        </w:rPr>
        <w:t xml:space="preserve"> the determination of a certain set of well-known parameters: Minimum Explosive Concentration (MEC), Minimum Ignition Energy (MIE)</w:t>
      </w:r>
      <w:r w:rsidR="00AF274E">
        <w:rPr>
          <w:lang w:val="en-GB"/>
        </w:rPr>
        <w:t xml:space="preserve"> </w:t>
      </w:r>
      <w:r w:rsidR="00AF274E">
        <w:rPr>
          <w:lang w:val="en-GB"/>
        </w:rPr>
        <w:fldChar w:fldCharType="begin"/>
      </w:r>
      <w:r w:rsidR="00AF274E">
        <w:rPr>
          <w:lang w:val="en-GB"/>
        </w:rPr>
        <w:instrText xml:space="preserve"> ADDIN ZOTERO_ITEM CSL_CITATION {"citationID":"7lQNUg6g","properties":{"formattedCitation":"(Copelli et al., 2021)","plainCitation":"(Copelli et al., 2021)","noteIndex":0},"citationItems":[{"id":96,"uris":["http://zotero.org/users/local/mDzd7GNh/items/LSANEZ74"],"itemData":{"id":96,"type":"article-journal","abstract":"In the last decades, protection and prevention in the workplace has assumed great relevance. In this context, organic dust explosions represent one of the major risks. Within this frame, the minimum ignition energy (MIE) of a dust occupies a fundamental role for the assessment of the explosibility hazard. At present, the measurement of the MIE is performed using the standard Hartmann apparatus. This approach involves some practical limitations, mainly related to the testing times and costs. This work is focused on developing both a mathematical model capable of describing the main phenomena leading to the ignition of an organic dust inside a Hartmann tube and a simpler procedure for the estimation of the MIE. Such an approach relies on the use of accessible physicochemical properties and simple thermogravimetric analysis (TGA) experiments, coupled with a particle size analysis capable of providing a mean characteristic diameter of the dust. The proposed procedure has been validated by comparison with literature experimental data of minimum ignition energy of several organic dusts, showing a fair agreement among experimental results and model predictions.","container-title":"Industrial &amp; Engineering Chemistry Research","DOI":"10.1021/acs.iecr.1c00309","ISSN":"0888-5885","issue":"29","journalAbbreviation":"Ind. Eng. Chem. Res.","note":"publisher: American Chemical Society","page":"10807-10813","source":"ACS Publications","title":"A Practical Tool for Predicting the Minimum Ignition Energy of Organic Dusts","volume":"60","author":[{"family":"Copelli","given":"Sabrina"},{"family":"Scotton","given":"Martina S."},{"family":"Barozzi","given":"Marco"},{"family":"Derudi","given":"Marco"},{"family":"Rota","given":"Renato"}],"issued":{"date-parts":[["2021",7,28]]}}}],"schema":"https://github.com/citation-style-language/schema/raw/master/csl-citation.json"} </w:instrText>
      </w:r>
      <w:r w:rsidR="00AF274E">
        <w:rPr>
          <w:lang w:val="en-GB"/>
        </w:rPr>
        <w:fldChar w:fldCharType="separate"/>
      </w:r>
      <w:r w:rsidR="00AF274E" w:rsidRPr="00AF274E">
        <w:rPr>
          <w:rFonts w:cs="Arial"/>
        </w:rPr>
        <w:t xml:space="preserve">(Copelli et </w:t>
      </w:r>
      <w:r w:rsidR="00AF274E" w:rsidRPr="00AF274E">
        <w:rPr>
          <w:rFonts w:cs="Arial"/>
        </w:rPr>
        <w:lastRenderedPageBreak/>
        <w:t>al., 2021)</w:t>
      </w:r>
      <w:r w:rsidR="00AF274E">
        <w:rPr>
          <w:lang w:val="en-GB"/>
        </w:rPr>
        <w:fldChar w:fldCharType="end"/>
      </w:r>
      <w:r w:rsidR="00A15FEB">
        <w:rPr>
          <w:lang w:val="en-GB"/>
        </w:rPr>
        <w:t>, Limiting Oxygen Concentration (LOC), deflagration index (K</w:t>
      </w:r>
      <w:r w:rsidR="00A15FEB" w:rsidRPr="00A15FEB">
        <w:rPr>
          <w:vertAlign w:val="subscript"/>
          <w:lang w:val="en-GB"/>
        </w:rPr>
        <w:t>st</w:t>
      </w:r>
      <w:r w:rsidR="00A15FEB">
        <w:rPr>
          <w:lang w:val="en-GB"/>
        </w:rPr>
        <w:t>), Maximum Pressure (P</w:t>
      </w:r>
      <w:r w:rsidR="00A15FEB" w:rsidRPr="00A15FEB">
        <w:rPr>
          <w:vertAlign w:val="subscript"/>
          <w:lang w:val="en-GB"/>
        </w:rPr>
        <w:t>MAX</w:t>
      </w:r>
      <w:r w:rsidR="00A15FEB">
        <w:rPr>
          <w:lang w:val="en-GB"/>
        </w:rPr>
        <w:t>), Detonation test (BAM Hammer test). Each one of these parameters is found according to specific standards and proper instruments</w:t>
      </w:r>
      <w:r w:rsidR="00BD6AEB">
        <w:rPr>
          <w:lang w:val="en-GB"/>
        </w:rPr>
        <w:t xml:space="preserve"> (EN, ASTM or NFPA standards, depending on the country)</w:t>
      </w:r>
      <w:r w:rsidR="00A15FEB">
        <w:rPr>
          <w:lang w:val="en-GB"/>
        </w:rPr>
        <w:t xml:space="preserve">. It is straightforward </w:t>
      </w:r>
      <w:r w:rsidR="00BD6AEB">
        <w:rPr>
          <w:lang w:val="en-GB"/>
        </w:rPr>
        <w:t xml:space="preserve">than understanding </w:t>
      </w:r>
      <w:r w:rsidR="00A15FEB">
        <w:rPr>
          <w:lang w:val="en-GB"/>
        </w:rPr>
        <w:t>the</w:t>
      </w:r>
      <w:r w:rsidR="00BD6AEB">
        <w:rPr>
          <w:lang w:val="en-GB"/>
        </w:rPr>
        <w:t xml:space="preserve"> amount of</w:t>
      </w:r>
      <w:r w:rsidR="00A15FEB">
        <w:rPr>
          <w:lang w:val="en-GB"/>
        </w:rPr>
        <w:t xml:space="preserve"> duty required from industries to properly assess the explosivity of dust, considering the high number of parameters </w:t>
      </w:r>
      <w:r w:rsidR="00BD6AEB">
        <w:rPr>
          <w:lang w:val="en-GB"/>
        </w:rPr>
        <w:t xml:space="preserve">and verification </w:t>
      </w:r>
      <w:r w:rsidR="00A15FEB">
        <w:rPr>
          <w:lang w:val="en-GB"/>
        </w:rPr>
        <w:t xml:space="preserve">to be estimated. Among these, the MIE is an energy, usually found in the range of </w:t>
      </w:r>
      <w:r w:rsidR="00BD6AEB">
        <w:rPr>
          <w:lang w:val="en-GB"/>
        </w:rPr>
        <w:t>3</w:t>
      </w:r>
      <w:r w:rsidR="00A15FEB">
        <w:rPr>
          <w:lang w:val="en-GB"/>
        </w:rPr>
        <w:t>-1000 mJ for dust, required to ensure the generation a stable flame in a dust cloud. The most common way to find this is the Hartmann tube or a M</w:t>
      </w:r>
      <w:r w:rsidR="00BD6AEB">
        <w:rPr>
          <w:lang w:val="en-GB"/>
        </w:rPr>
        <w:t>I</w:t>
      </w:r>
      <w:r w:rsidR="00A15FEB">
        <w:rPr>
          <w:lang w:val="en-GB"/>
        </w:rPr>
        <w:t>KE device</w:t>
      </w:r>
      <w:r w:rsidR="00BD6AEB">
        <w:rPr>
          <w:lang w:val="en-GB"/>
        </w:rPr>
        <w:t xml:space="preserve"> </w:t>
      </w:r>
      <w:r w:rsidR="00BD6AEB">
        <w:rPr>
          <w:lang w:val="en-GB"/>
        </w:rPr>
        <w:fldChar w:fldCharType="begin"/>
      </w:r>
      <w:r w:rsidR="00BD6AEB">
        <w:rPr>
          <w:lang w:val="en-GB"/>
        </w:rPr>
        <w:instrText xml:space="preserve"> ADDIN ZOTERO_ITEM CSL_CITATION {"citationID":"tnaWyBCg","properties":{"formattedCitation":"(Eckhoff, 2003)","plainCitation":"(Eckhoff, 2003)","noteIndex":0},"citationItems":[{"id":110,"uris":["http://zotero.org/users/local/mDzd7GNh/items/5ELTETRT"],"itemData":{"id":110,"type":"book","ISBN":"978-0-08-048874-5","publisher":"Elsevier Science","title":"Dust Explosions in the Process Industries: Identification, Assessment and Control of Dust Hazards","URL":"https://books.google.it/books?id=y4HkuKYqvoYC","author":[{"family":"Eckhoff","given":"R.K."}],"issued":{"date-parts":[["2003"]]}}}],"schema":"https://github.com/citation-style-language/schema/raw/master/csl-citation.json"} </w:instrText>
      </w:r>
      <w:r w:rsidR="00BD6AEB">
        <w:rPr>
          <w:lang w:val="en-GB"/>
        </w:rPr>
        <w:fldChar w:fldCharType="separate"/>
      </w:r>
      <w:r w:rsidR="00BD6AEB" w:rsidRPr="00BD6AEB">
        <w:rPr>
          <w:rFonts w:cs="Arial"/>
        </w:rPr>
        <w:t>(Eckhoff, 2003)</w:t>
      </w:r>
      <w:r w:rsidR="00BD6AEB">
        <w:rPr>
          <w:lang w:val="en-GB"/>
        </w:rPr>
        <w:fldChar w:fldCharType="end"/>
      </w:r>
      <w:r w:rsidR="00A15FEB">
        <w:rPr>
          <w:lang w:val="en-GB"/>
        </w:rPr>
        <w:t>, which consist of an opened tube, where dust is loaded, dispersed, and then ignited by providing a fixed amount of energy. While the Hartmann tube is more of a historical device, and it is used today as a screening tool, the M</w:t>
      </w:r>
      <w:r w:rsidR="00BD6AEB">
        <w:rPr>
          <w:lang w:val="en-GB"/>
        </w:rPr>
        <w:t>I</w:t>
      </w:r>
      <w:r w:rsidR="00A15FEB">
        <w:rPr>
          <w:lang w:val="en-GB"/>
        </w:rPr>
        <w:t>KE (mainly in the version 3), is the most common device used to find the MIE.</w:t>
      </w:r>
      <w:r w:rsidR="00157A8E">
        <w:rPr>
          <w:lang w:val="en-GB"/>
        </w:rPr>
        <w:t xml:space="preserve"> R</w:t>
      </w:r>
      <w:r w:rsidR="00A15FEB">
        <w:rPr>
          <w:lang w:val="en-GB"/>
        </w:rPr>
        <w:t xml:space="preserve">eproducibility is a </w:t>
      </w:r>
      <w:r w:rsidR="00157A8E">
        <w:rPr>
          <w:lang w:val="en-GB"/>
        </w:rPr>
        <w:t>crucial issue in this type of test</w:t>
      </w:r>
      <w:r w:rsidR="00A15FEB">
        <w:rPr>
          <w:lang w:val="en-GB"/>
        </w:rPr>
        <w:t>.</w:t>
      </w:r>
      <w:r w:rsidR="00157A8E">
        <w:rPr>
          <w:lang w:val="en-GB"/>
        </w:rPr>
        <w:t xml:space="preserve"> Indeed, many experiments are required to find the MIE</w:t>
      </w:r>
      <w:r w:rsidR="00BD6AEB">
        <w:rPr>
          <w:lang w:val="en-GB"/>
        </w:rPr>
        <w:t xml:space="preserve"> </w:t>
      </w:r>
      <w:r w:rsidR="00BD6AEB">
        <w:rPr>
          <w:lang w:val="en-GB"/>
        </w:rPr>
        <w:fldChar w:fldCharType="begin"/>
      </w:r>
      <w:r w:rsidR="00BD6AEB">
        <w:rPr>
          <w:lang w:val="en-GB"/>
        </w:rPr>
        <w:instrText xml:space="preserve"> ADDIN ZOTERO_ITEM CSL_CITATION {"citationID":"fqYenjw2","properties":{"formattedCitation":"(Copelli et al., 2021)","plainCitation":"(Copelli et al., 2021)","noteIndex":0},"citationItems":[{"id":96,"uris":["http://zotero.org/users/local/mDzd7GNh/items/LSANEZ74"],"itemData":{"id":96,"type":"article-journal","abstract":"In the last decades, protection and prevention in the workplace has assumed great relevance. In this context, organic dust explosions represent one of the major risks. Within this frame, the minimum ignition energy (MIE) of a dust occupies a fundamental role for the assessment of the explosibility hazard. At present, the measurement of the MIE is performed using the standard Hartmann apparatus. This approach involves some practical limitations, mainly related to the testing times and costs. This work is focused on developing both a mathematical model capable of describing the main phenomena leading to the ignition of an organic dust inside a Hartmann tube and a simpler procedure for the estimation of the MIE. Such an approach relies on the use of accessible physicochemical properties and simple thermogravimetric analysis (TGA) experiments, coupled with a particle size analysis capable of providing a mean characteristic diameter of the dust. The proposed procedure has been validated by comparison with literature experimental data of minimum ignition energy of several organic dusts, showing a fair agreement among experimental results and model predictions.","container-title":"Industrial &amp; Engineering Chemistry Research","DOI":"10.1021/acs.iecr.1c00309","ISSN":"0888-5885","issue":"29","journalAbbreviation":"Ind. Eng. Chem. Res.","note":"publisher: American Chemical Society","page":"10807-10813","source":"ACS Publications","title":"A Practical Tool for Predicting the Minimum Ignition Energy of Organic Dusts","volume":"60","author":[{"family":"Copelli","given":"Sabrina"},{"family":"Scotton","given":"Martina S."},{"family":"Barozzi","given":"Marco"},{"family":"Derudi","given":"Marco"},{"family":"Rota","given":"Renato"}],"issued":{"date-parts":[["2021",7,28]]}}}],"schema":"https://github.com/citation-style-language/schema/raw/master/csl-citation.json"} </w:instrText>
      </w:r>
      <w:r w:rsidR="00BD6AEB">
        <w:rPr>
          <w:lang w:val="en-GB"/>
        </w:rPr>
        <w:fldChar w:fldCharType="separate"/>
      </w:r>
      <w:r w:rsidR="00BD6AEB" w:rsidRPr="00BD6AEB">
        <w:rPr>
          <w:rFonts w:cs="Arial"/>
        </w:rPr>
        <w:t>(Copelli et al., 2021)</w:t>
      </w:r>
      <w:r w:rsidR="00BD6AEB">
        <w:rPr>
          <w:lang w:val="en-GB"/>
        </w:rPr>
        <w:fldChar w:fldCharType="end"/>
      </w:r>
      <w:r w:rsidR="00157A8E">
        <w:rPr>
          <w:lang w:val="en-GB"/>
        </w:rPr>
        <w:t xml:space="preserve">. However, the test is focused on finding </w:t>
      </w:r>
      <w:r w:rsidR="00BD6AEB">
        <w:rPr>
          <w:lang w:val="en-GB"/>
        </w:rPr>
        <w:t>whether</w:t>
      </w:r>
      <w:r w:rsidR="00157A8E">
        <w:rPr>
          <w:lang w:val="en-GB"/>
        </w:rPr>
        <w:t xml:space="preserve"> the dust cloud ignites, without considering other aspects.</w:t>
      </w:r>
      <w:r w:rsidR="00A15FEB">
        <w:rPr>
          <w:lang w:val="en-GB"/>
        </w:rPr>
        <w:t xml:space="preserve"> </w:t>
      </w:r>
      <w:r w:rsidR="00DF3A53">
        <w:rPr>
          <w:lang w:val="en-GB"/>
        </w:rPr>
        <w:t xml:space="preserve">According to the literature, the whole spark developed in such a test is completely developed in 1 ms, with the arc lasting for about </w:t>
      </w:r>
      <w:r w:rsidR="00B21BD2" w:rsidRPr="00B21BD2">
        <w:rPr>
          <w:lang w:val="en-GB"/>
        </w:rPr>
        <w:t xml:space="preserve">100 </w:t>
      </w:r>
      <w:r w:rsidR="00B21BD2" w:rsidRPr="00B21BD2">
        <w:rPr>
          <w:rFonts w:cs="Arial"/>
          <w:lang w:val="en-GB"/>
        </w:rPr>
        <w:t>μ</w:t>
      </w:r>
      <w:r w:rsidR="00B21BD2" w:rsidRPr="00B21BD2">
        <w:rPr>
          <w:lang w:val="en-GB"/>
        </w:rPr>
        <w:t>s</w:t>
      </w:r>
      <w:r w:rsidR="00DF3A53">
        <w:rPr>
          <w:lang w:val="en-GB"/>
        </w:rPr>
        <w:t xml:space="preserve"> </w:t>
      </w:r>
      <w:r w:rsidR="00DF3A53">
        <w:rPr>
          <w:lang w:val="en-GB"/>
        </w:rPr>
        <w:fldChar w:fldCharType="begin"/>
      </w:r>
      <w:r w:rsidR="00DF3A53">
        <w:rPr>
          <w:lang w:val="en-GB"/>
        </w:rPr>
        <w:instrText xml:space="preserve"> ADDIN ZOTERO_ITEM CSL_CITATION {"citationID":"xs54fePK","properties":{"formattedCitation":"(Sankh\\uc0\\u233{} et al., 2019)","plainCitation":"(Sankhé et al., 2019)","noteIndex":0},"citationItems":[{"id":112,"uris":["http://zotero.org/users/local/mDzd7GNh/items/EFBP95EY"],"itemData":{"id":112,"type":"article-journal","abstract":"Spark discharges are widely used to ignite flammable gases, liquids, or dust. For a better understanding of the interaction between the spark discharge and the ignited media (gas, liquid, or dust), it is necessary to measure some key parameters of the spark, especially the space-time variation of its temperature. Determination of temperature gradients would allow a more precise and realistic simulation of the ignition process. In fact, electrons and particles in the discharge zone get their energy with increasing temperature before interacting with particles of the media to ignite the flame. In this study, optical emission spectroscopy of the spark discharge between two tungsten electrodes was performed. Assuming excitation balance between the WI lines, a Boltzmann plot after an Abel inversion gives the excitation temperature and its space-time variation. For a 100-μs time discharge, at 80-μs delay, we measured 7,000 K at the centre of the column zone, 4,100 K at the centre of the cathode zone, and 3,600 K at the centre of the anode zone. Assuming a singly ionized tungsten plasma and excitation equilibrium, we used also the Saha–Boltzmann equation to calculate the plasma composition. The electron density at the column zone was about 3 × 1017 cm−3, which is two orders of magnitude higher than in the rest of the spark.","container-title":"Contributions to Plasma Physics","DOI":"10.1002/ctpp.201800090","ISSN":"1521-3986","issue":"3","language":"en","license":"© 2018 WILEY-VCH Verlag GmbH &amp; Co. KGaA, Weinheim","note":"_eprint: https://onlinelibrary.wiley.com/doi/pdf/10.1002/ctpp.201800090","page":"326-339","source":"Wiley Online Library","title":"Characterization of a spark discharge for dust cloud ignition","volume":"59","author":[{"family":"Sankhé","given":"Mamadou"},{"family":"Bernard","given":"Stéphane"},{"family":"Wartel","given":"Maxime"},{"family":"Pellerin","given":"Stéphane"},{"family":"Gillard","given":"Philippe"}],"issued":{"date-parts":[["2019"]]}}}],"schema":"https://github.com/citation-style-language/schema/raw/master/csl-citation.json"} </w:instrText>
      </w:r>
      <w:r w:rsidR="00DF3A53">
        <w:rPr>
          <w:lang w:val="en-GB"/>
        </w:rPr>
        <w:fldChar w:fldCharType="separate"/>
      </w:r>
      <w:r w:rsidR="00DF3A53" w:rsidRPr="00DF3A53">
        <w:rPr>
          <w:rFonts w:cs="Arial"/>
          <w:szCs w:val="24"/>
        </w:rPr>
        <w:t>(Sankhé et al., 2019)</w:t>
      </w:r>
      <w:r w:rsidR="00DF3A53">
        <w:rPr>
          <w:lang w:val="en-GB"/>
        </w:rPr>
        <w:fldChar w:fldCharType="end"/>
      </w:r>
      <w:r w:rsidR="00B21BD2" w:rsidRPr="00B21BD2">
        <w:rPr>
          <w:lang w:val="en-GB"/>
        </w:rPr>
        <w:t>, and its</w:t>
      </w:r>
      <w:r w:rsidR="00DF3A53">
        <w:rPr>
          <w:lang w:val="en-GB"/>
        </w:rPr>
        <w:t xml:space="preserve"> </w:t>
      </w:r>
      <w:r w:rsidR="00B21BD2" w:rsidRPr="00B21BD2">
        <w:rPr>
          <w:lang w:val="en-GB"/>
        </w:rPr>
        <w:t>extinguishing phase is characterized by an almost spherical</w:t>
      </w:r>
      <w:r w:rsidR="00DF3A53">
        <w:rPr>
          <w:lang w:val="en-GB"/>
        </w:rPr>
        <w:t xml:space="preserve"> </w:t>
      </w:r>
      <w:r w:rsidR="00B21BD2" w:rsidRPr="00B21BD2">
        <w:rPr>
          <w:lang w:val="en-GB"/>
        </w:rPr>
        <w:t xml:space="preserve">distribution of the plasma around the electrodes. </w:t>
      </w:r>
      <w:r w:rsidR="00DF3A53">
        <w:rPr>
          <w:lang w:val="en-GB"/>
        </w:rPr>
        <w:t xml:space="preserve">These times are way larger than the typical, characteristic time of pyrolosis, which is about 5-10 ms </w:t>
      </w:r>
      <w:r w:rsidR="00DF3A53">
        <w:rPr>
          <w:lang w:val="en-GB"/>
        </w:rPr>
        <w:fldChar w:fldCharType="begin"/>
      </w:r>
      <w:r w:rsidR="00DF3A53">
        <w:rPr>
          <w:lang w:val="en-GB"/>
        </w:rPr>
        <w:instrText xml:space="preserve"> ADDIN ZOTERO_ITEM CSL_CITATION {"citationID":"hinpDXyD","properties":{"formattedCitation":"(Copelli et al., 2021)","plainCitation":"(Copelli et al., 2021)","noteIndex":0},"citationItems":[{"id":96,"uris":["http://zotero.org/users/local/mDzd7GNh/items/LSANEZ74"],"itemData":{"id":96,"type":"article-journal","abstract":"In the last decades, protection and prevention in the workplace has assumed great relevance. In this context, organic dust explosions represent one of the major risks. Within this frame, the minimum ignition energy (MIE) of a dust occupies a fundamental role for the assessment of the explosibility hazard. At present, the measurement of the MIE is performed using the standard Hartmann apparatus. This approach involves some practical limitations, mainly related to the testing times and costs. This work is focused on developing both a mathematical model capable of describing the main phenomena leading to the ignition of an organic dust inside a Hartmann tube and a simpler procedure for the estimation of the MIE. Such an approach relies on the use of accessible physicochemical properties and simple thermogravimetric analysis (TGA) experiments, coupled with a particle size analysis capable of providing a mean characteristic diameter of the dust. The proposed procedure has been validated by comparison with literature experimental data of minimum ignition energy of several organic dusts, showing a fair agreement among experimental results and model predictions.","container-title":"Industrial &amp; Engineering Chemistry Research","DOI":"10.1021/acs.iecr.1c00309","ISSN":"0888-5885","issue":"29","journalAbbreviation":"Ind. Eng. Chem. Res.","note":"publisher: American Chemical Society","page":"10807-10813","source":"ACS Publications","title":"A Practical Tool for Predicting the Minimum Ignition Energy of Organic Dusts","volume":"60","author":[{"family":"Copelli","given":"Sabrina"},{"family":"Scotton","given":"Martina S."},{"family":"Barozzi","given":"Marco"},{"family":"Derudi","given":"Marco"},{"family":"Rota","given":"Renato"}],"issued":{"date-parts":[["2021",7,28]]}}}],"schema":"https://github.com/citation-style-language/schema/raw/master/csl-citation.json"} </w:instrText>
      </w:r>
      <w:r w:rsidR="00DF3A53">
        <w:rPr>
          <w:lang w:val="en-GB"/>
        </w:rPr>
        <w:fldChar w:fldCharType="separate"/>
      </w:r>
      <w:r w:rsidR="00DF3A53" w:rsidRPr="00DF3A53">
        <w:rPr>
          <w:rFonts w:cs="Arial"/>
        </w:rPr>
        <w:t>(Copelli et al., 2021)</w:t>
      </w:r>
      <w:r w:rsidR="00DF3A53">
        <w:rPr>
          <w:lang w:val="en-GB"/>
        </w:rPr>
        <w:fldChar w:fldCharType="end"/>
      </w:r>
      <w:r w:rsidR="00DF3A53">
        <w:rPr>
          <w:lang w:val="en-GB"/>
        </w:rPr>
        <w:t>, and for this reason, the spark is usually intended as a local source of heat</w:t>
      </w:r>
      <w:r w:rsidR="00BD6AEB">
        <w:rPr>
          <w:lang w:val="en-GB"/>
        </w:rPr>
        <w:t>.</w:t>
      </w:r>
      <w:r w:rsidR="00DF3A53">
        <w:rPr>
          <w:lang w:val="en-GB"/>
        </w:rPr>
        <w:t xml:space="preserve"> However, the development of an arc discharge in e heterogenous environment such as an air-dust mixture is a very complex phenomenon, and it may impact how the spark is generated.</w:t>
      </w:r>
      <w:r w:rsidR="00BD6AEB">
        <w:rPr>
          <w:lang w:val="en-GB"/>
        </w:rPr>
        <w:t xml:space="preserve"> The scope of this work is to propose a set of experimental evidence that highlight the fact that it may be necessary to furtherly investigate</w:t>
      </w:r>
      <w:r w:rsidR="00DF3A53">
        <w:rPr>
          <w:lang w:val="en-GB"/>
        </w:rPr>
        <w:t xml:space="preserve"> the interactions between the spark developed in the MIE and the dust cloud</w:t>
      </w:r>
      <w:r w:rsidR="00BD6AEB">
        <w:rPr>
          <w:lang w:val="en-GB"/>
        </w:rPr>
        <w:t xml:space="preserve">. </w:t>
      </w:r>
      <w:r w:rsidR="00DF3A53">
        <w:rPr>
          <w:lang w:val="en-GB"/>
        </w:rPr>
        <w:t>A set of experiments with and without dust was carried out then</w:t>
      </w:r>
      <w:r w:rsidR="00A15FEB">
        <w:rPr>
          <w:lang w:val="en-GB"/>
        </w:rPr>
        <w:t xml:space="preserve"> to study the characteristics times </w:t>
      </w:r>
      <w:r w:rsidR="00DF3A53">
        <w:rPr>
          <w:lang w:val="en-GB"/>
        </w:rPr>
        <w:t>such as</w:t>
      </w:r>
      <w:r w:rsidR="00157A8E">
        <w:rPr>
          <w:lang w:val="en-GB"/>
        </w:rPr>
        <w:t>: dust lifting, air-dust mixture breakdown initiation,</w:t>
      </w:r>
      <w:r w:rsidR="00DF3A53">
        <w:rPr>
          <w:lang w:val="en-GB"/>
        </w:rPr>
        <w:t xml:space="preserve"> and</w:t>
      </w:r>
      <w:r w:rsidR="00157A8E">
        <w:rPr>
          <w:lang w:val="en-GB"/>
        </w:rPr>
        <w:t xml:space="preserve"> ignition.</w:t>
      </w:r>
    </w:p>
    <w:p w14:paraId="5741900F" w14:textId="0087E9AB" w:rsidR="00453E24" w:rsidRDefault="00EE2155" w:rsidP="00453E24">
      <w:pPr>
        <w:pStyle w:val="CETHeading1"/>
      </w:pPr>
      <w:r>
        <w:t>Case study and methods</w:t>
      </w:r>
    </w:p>
    <w:p w14:paraId="0636B784" w14:textId="5FDA5D42" w:rsidR="00453E24" w:rsidRDefault="0042372C" w:rsidP="00453E24">
      <w:pPr>
        <w:pStyle w:val="CETheadingx"/>
      </w:pPr>
      <w:r>
        <w:t>MIKE 3</w:t>
      </w:r>
    </w:p>
    <w:p w14:paraId="6A4A5F8A" w14:textId="7B93A6A4" w:rsidR="00DC092C" w:rsidRDefault="000E6998" w:rsidP="000E6998">
      <w:pPr>
        <w:pStyle w:val="CETBodytext"/>
      </w:pPr>
      <w:r>
        <w:t>The experiments have been carried out in a MIKE 3 apparatus, provided by Cesana AG</w:t>
      </w:r>
      <w:r w:rsidR="00581B0C">
        <w:t xml:space="preserve"> (visible in Figure 1)</w:t>
      </w:r>
      <w:r>
        <w:t>. This instrument is recommended for the determination of the Minimum Ignition Energy according to several international standards, including EN 13821 (Determination of minimum ignition energy of dust/air mixtures), ASTM E2019 (Standard Test Method for Minimum Ignition Energy of a Dust Cloud in Air), EC 61241-2-3 (replaced by ISO/IEC 80079-20-2:2016), ISO/IEC 80079-20-2:2016 (Explosive atmospheres. Material characteristics. Combustible dusts test methods).</w:t>
      </w:r>
    </w:p>
    <w:p w14:paraId="307E46C6" w14:textId="42B70F00" w:rsidR="00DC092C" w:rsidRDefault="00DC092C" w:rsidP="000E6998">
      <w:pPr>
        <w:pStyle w:val="CETBodytext"/>
      </w:pPr>
      <w:r>
        <w:t>Th</w:t>
      </w:r>
      <w:r w:rsidR="00581B0C">
        <w:t>e</w:t>
      </w:r>
      <w:r>
        <w:t xml:space="preserve"> device is structured in the following way: the ignition </w:t>
      </w:r>
      <w:r w:rsidR="00A23DA1">
        <w:t xml:space="preserve">is triggered by an air breakdown generated </w:t>
      </w:r>
      <w:r w:rsidR="008A2882">
        <w:t>between the tips of</w:t>
      </w:r>
      <w:r w:rsidR="00A23DA1">
        <w:t xml:space="preserve"> two</w:t>
      </w:r>
      <w:r w:rsidR="003D5A65">
        <w:t xml:space="preserve"> needle</w:t>
      </w:r>
      <w:r w:rsidR="00A23DA1">
        <w:t xml:space="preserve"> electrodes inside the tube. A capacitive circuit is loaded at the very beginning of the test, with a corresponding energy of the spark that is selected </w:t>
      </w:r>
      <w:r w:rsidR="008A2882">
        <w:t>by</w:t>
      </w:r>
      <w:r w:rsidR="00A23DA1">
        <w:t xml:space="preserve"> the operator (the range is usually </w:t>
      </w:r>
      <w:r w:rsidR="003D5A65">
        <w:t>3</w:t>
      </w:r>
      <w:r w:rsidR="00A23DA1">
        <w:t xml:space="preserve">-1000 mJ). The device is structured to </w:t>
      </w:r>
      <w:r w:rsidR="003D5A65">
        <w:t>develop</w:t>
      </w:r>
      <w:r w:rsidR="00A23DA1">
        <w:t xml:space="preserve"> up to 15 kV between the electrodes, which are distant about 6 mm. This ensures the generation of the arc, causing diele</w:t>
      </w:r>
      <w:r w:rsidR="00AF274E">
        <w:t>c</w:t>
      </w:r>
      <w:r w:rsidR="00A23DA1">
        <w:t>tric breakdown</w:t>
      </w:r>
      <w:r w:rsidR="003D5A65">
        <w:t xml:space="preserve"> (with an electric field intensity up to 2.5 MV/m)</w:t>
      </w:r>
      <w:r w:rsidR="00A23DA1">
        <w:t>. The</w:t>
      </w:r>
      <w:r w:rsidR="008A2882">
        <w:t xml:space="preserve"> dust cake</w:t>
      </w:r>
      <w:r w:rsidR="00581B0C">
        <w:t xml:space="preserve"> loaded at the beginning</w:t>
      </w:r>
      <w:r w:rsidR="00A23DA1">
        <w:t xml:space="preserve"> is lifted thanks to an air jet of 10 bar installed at the bottom of the tube. The operator can </w:t>
      </w:r>
      <w:r w:rsidR="008A2882">
        <w:t xml:space="preserve">also </w:t>
      </w:r>
      <w:r w:rsidR="00A23DA1">
        <w:t xml:space="preserve">choose the delay between the jet and the ignition, to </w:t>
      </w:r>
      <w:r w:rsidR="00581B0C">
        <w:t>ensure</w:t>
      </w:r>
      <w:r w:rsidR="00A23DA1">
        <w:t xml:space="preserve"> </w:t>
      </w:r>
      <w:r w:rsidR="00581B0C">
        <w:t>optimal dispersion</w:t>
      </w:r>
      <w:r w:rsidR="00A23DA1">
        <w:t xml:space="preserve">. Typical delay times are 60,120 and 180 ms. It is also possible to include an inductance up to 1 mH in the circuit: the presence of an inductor allows for a </w:t>
      </w:r>
      <w:r w:rsidR="00581B0C">
        <w:t>prolonged</w:t>
      </w:r>
      <w:r w:rsidR="00A23DA1">
        <w:t xml:space="preserve"> spark, maximizing the likelihood of occurrence of an eventual ignition.</w:t>
      </w:r>
    </w:p>
    <w:p w14:paraId="7E33ECDC" w14:textId="0529F0DA" w:rsidR="00DC092C" w:rsidRDefault="00813900" w:rsidP="000E6998">
      <w:pPr>
        <w:pStyle w:val="CETBodytext"/>
      </w:pPr>
      <w:r>
        <w:rPr>
          <w:noProof/>
        </w:rPr>
        <mc:AlternateContent>
          <mc:Choice Requires="wps">
            <w:drawing>
              <wp:anchor distT="45720" distB="45720" distL="114300" distR="114300" simplePos="0" relativeHeight="251665408" behindDoc="0" locked="0" layoutInCell="1" allowOverlap="1" wp14:anchorId="18BB2A23" wp14:editId="0FB36B11">
                <wp:simplePos x="0" y="0"/>
                <wp:positionH relativeFrom="column">
                  <wp:posOffset>1944273</wp:posOffset>
                </wp:positionH>
                <wp:positionV relativeFrom="paragraph">
                  <wp:posOffset>1453515</wp:posOffset>
                </wp:positionV>
                <wp:extent cx="867507" cy="1404620"/>
                <wp:effectExtent l="0" t="0" r="27940" b="21590"/>
                <wp:wrapNone/>
                <wp:docPr id="1925066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7507" cy="1404620"/>
                        </a:xfrm>
                        <a:prstGeom prst="rect">
                          <a:avLst/>
                        </a:prstGeom>
                        <a:solidFill>
                          <a:srgbClr val="FFFFFF"/>
                        </a:solidFill>
                        <a:ln w="9525">
                          <a:solidFill>
                            <a:srgbClr val="000000"/>
                          </a:solidFill>
                          <a:miter lim="800000"/>
                          <a:headEnd/>
                          <a:tailEnd/>
                        </a:ln>
                      </wps:spPr>
                      <wps:txbx>
                        <w:txbxContent>
                          <w:p w14:paraId="172CE902" w14:textId="48E462FA" w:rsidR="00DF0F9A" w:rsidRPr="00DF0F9A" w:rsidRDefault="00A23DA1" w:rsidP="00DF0F9A">
                            <w:pPr>
                              <w:rPr>
                                <w:b/>
                                <w:bCs/>
                              </w:rPr>
                            </w:pPr>
                            <w:r>
                              <w:rPr>
                                <w:b/>
                                <w:bCs/>
                              </w:rPr>
                              <w:t xml:space="preserve">10 bar </w:t>
                            </w:r>
                            <w:r w:rsidR="00813900">
                              <w:rPr>
                                <w:b/>
                                <w:bCs/>
                              </w:rPr>
                              <w:t>a</w:t>
                            </w:r>
                            <w:r w:rsidR="00DF0F9A" w:rsidRPr="00DF0F9A">
                              <w:rPr>
                                <w:b/>
                                <w:bCs/>
                              </w:rPr>
                              <w:t>ir jet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BB2A23" id="_x0000_t202" coordsize="21600,21600" o:spt="202" path="m,l,21600r21600,l21600,xe">
                <v:stroke joinstyle="miter"/>
                <v:path gradientshapeok="t" o:connecttype="rect"/>
              </v:shapetype>
              <v:shape id="Text Box 2" o:spid="_x0000_s1026" type="#_x0000_t202" style="position:absolute;left:0;text-align:left;margin-left:153.1pt;margin-top:114.45pt;width:68.3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">
                <v:textbox style="mso-fit-shape-to-text:t">
                  <w:txbxContent>
                    <w:p w14:paraId="172CE902" w14:textId="48E462FA" w:rsidR="00DF0F9A" w:rsidRPr="00DF0F9A" w:rsidRDefault="00A23DA1" w:rsidP="00DF0F9A">
                      <w:pPr>
                        <w:rPr>
                          <w:b/>
                          <w:bCs/>
                        </w:rPr>
                      </w:pPr>
                      <w:r>
                        <w:rPr>
                          <w:b/>
                          <w:bCs/>
                        </w:rPr>
                        <w:t xml:space="preserve">10 bar </w:t>
                      </w:r>
                      <w:r w:rsidR="00813900">
                        <w:rPr>
                          <w:b/>
                          <w:bCs/>
                        </w:rPr>
                        <w:t>a</w:t>
                      </w:r>
                      <w:r w:rsidR="00DF0F9A" w:rsidRPr="00DF0F9A">
                        <w:rPr>
                          <w:b/>
                          <w:bCs/>
                        </w:rPr>
                        <w:t>ir jet</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FFAA2FB" wp14:editId="28DD9F4B">
                <wp:simplePos x="0" y="0"/>
                <wp:positionH relativeFrom="column">
                  <wp:posOffset>1147201</wp:posOffset>
                </wp:positionH>
                <wp:positionV relativeFrom="paragraph">
                  <wp:posOffset>1743075</wp:posOffset>
                </wp:positionV>
                <wp:extent cx="709246" cy="175846"/>
                <wp:effectExtent l="0" t="133350" r="0" b="129540"/>
                <wp:wrapNone/>
                <wp:docPr id="2011827147" name="Freccia a sinistra 1"/>
                <wp:cNvGraphicFramePr/>
                <a:graphic xmlns:a="http://schemas.openxmlformats.org/drawingml/2006/main">
                  <a:graphicData uri="http://schemas.microsoft.com/office/word/2010/wordprocessingShape">
                    <wps:wsp>
                      <wps:cNvSpPr/>
                      <wps:spPr>
                        <a:xfrm rot="19936964">
                          <a:off x="0" y="0"/>
                          <a:ext cx="709246" cy="175846"/>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F3883A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reccia a sinistra 1" o:spid="_x0000_s1026" type="#_x0000_t66" style="position:absolute;margin-left:90.35pt;margin-top:137.25pt;width:55.85pt;height:13.85pt;rotation:-1816479fd;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" adj="2678" fillcolor="#4f81bd [3204]" strokecolor="#0a121c [484]" strokeweight="2pt"/>
            </w:pict>
          </mc:Fallback>
        </mc:AlternateContent>
      </w:r>
      <w:r>
        <w:rPr>
          <w:noProof/>
        </w:rPr>
        <mc:AlternateContent>
          <mc:Choice Requires="wps">
            <w:drawing>
              <wp:anchor distT="45720" distB="45720" distL="114300" distR="114300" simplePos="0" relativeHeight="251663360" behindDoc="0" locked="0" layoutInCell="1" allowOverlap="1" wp14:anchorId="09384835" wp14:editId="58DD6F64">
                <wp:simplePos x="0" y="0"/>
                <wp:positionH relativeFrom="column">
                  <wp:posOffset>1522193</wp:posOffset>
                </wp:positionH>
                <wp:positionV relativeFrom="paragraph">
                  <wp:posOffset>677545</wp:posOffset>
                </wp:positionV>
                <wp:extent cx="808893" cy="1404620"/>
                <wp:effectExtent l="0" t="0" r="10795" b="215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893" cy="1404620"/>
                        </a:xfrm>
                        <a:prstGeom prst="rect">
                          <a:avLst/>
                        </a:prstGeom>
                        <a:solidFill>
                          <a:srgbClr val="FFFFFF"/>
                        </a:solidFill>
                        <a:ln w="9525">
                          <a:solidFill>
                            <a:srgbClr val="000000"/>
                          </a:solidFill>
                          <a:miter lim="800000"/>
                          <a:headEnd/>
                          <a:tailEnd/>
                        </a:ln>
                      </wps:spPr>
                      <wps:txbx>
                        <w:txbxContent>
                          <w:p w14:paraId="4D5014F1" w14:textId="1449BBC7" w:rsidR="00DF0F9A" w:rsidRPr="00DF0F9A" w:rsidRDefault="00DF0F9A">
                            <w:pPr>
                              <w:rPr>
                                <w:b/>
                                <w:bCs/>
                              </w:rPr>
                            </w:pPr>
                            <w:r w:rsidRPr="00DF0F9A">
                              <w:rPr>
                                <w:b/>
                                <w:bCs/>
                              </w:rPr>
                              <w:t>Electrodes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384835" id="_x0000_s1027" type="#_x0000_t202" style="position:absolute;left:0;text-align:left;margin-left:119.85pt;margin-top:53.35pt;width:63.7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">
                <v:textbox style="mso-fit-shape-to-text:t">
                  <w:txbxContent>
                    <w:p w14:paraId="4D5014F1" w14:textId="1449BBC7" w:rsidR="00DF0F9A" w:rsidRPr="00DF0F9A" w:rsidRDefault="00DF0F9A">
                      <w:pPr>
                        <w:rPr>
                          <w:b/>
                          <w:bCs/>
                        </w:rPr>
                      </w:pPr>
                      <w:r w:rsidRPr="00DF0F9A">
                        <w:rPr>
                          <w:b/>
                          <w:bCs/>
                        </w:rPr>
                        <w:t>Electrodes</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10438686" wp14:editId="1FB56D4C">
                <wp:simplePos x="0" y="0"/>
                <wp:positionH relativeFrom="column">
                  <wp:posOffset>736748</wp:posOffset>
                </wp:positionH>
                <wp:positionV relativeFrom="paragraph">
                  <wp:posOffset>968081</wp:posOffset>
                </wp:positionV>
                <wp:extent cx="709246" cy="175846"/>
                <wp:effectExtent l="0" t="133350" r="0" b="129540"/>
                <wp:wrapNone/>
                <wp:docPr id="923377127" name="Freccia a sinistra 1"/>
                <wp:cNvGraphicFramePr/>
                <a:graphic xmlns:a="http://schemas.openxmlformats.org/drawingml/2006/main">
                  <a:graphicData uri="http://schemas.microsoft.com/office/word/2010/wordprocessingShape">
                    <wps:wsp>
                      <wps:cNvSpPr/>
                      <wps:spPr>
                        <a:xfrm rot="19936964">
                          <a:off x="0" y="0"/>
                          <a:ext cx="709246" cy="175846"/>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6B1203" id="Freccia a sinistra 1" o:spid="_x0000_s1026" type="#_x0000_t66" style="position:absolute;margin-left:58pt;margin-top:76.25pt;width:55.85pt;height:13.85pt;rotation:-1816479fd;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" adj="2678" fillcolor="#4f81bd [3204]" strokecolor="#0a121c [484]" strokeweight="2pt"/>
            </w:pict>
          </mc:Fallback>
        </mc:AlternateContent>
      </w:r>
      <w:r w:rsidR="00DC092C">
        <w:rPr>
          <w:noProof/>
        </w:rPr>
        <w:drawing>
          <wp:inline distT="0" distB="0" distL="0" distR="0" wp14:anchorId="4A8FC43C" wp14:editId="1C170C3E">
            <wp:extent cx="1388614" cy="2461847"/>
            <wp:effectExtent l="0" t="0" r="2540" b="0"/>
            <wp:docPr id="1241619116" name="Immagine 1241619116" descr="Immagine che contiene schermata, inte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19116" name="Immagine 1241619116" descr="Immagine che contiene schermata, interno&#10;&#10;Descrizione generata automaticamente"/>
                    <pic:cNvPicPr/>
                  </pic:nvPicPr>
                  <pic:blipFill rotWithShape="1">
                    <a:blip r:embed="rId11"/>
                    <a:srcRect l="35957" t="713" r="35677" b="9891"/>
                    <a:stretch/>
                  </pic:blipFill>
                  <pic:spPr bwMode="auto">
                    <a:xfrm>
                      <a:off x="0" y="0"/>
                      <a:ext cx="1399652" cy="2481416"/>
                    </a:xfrm>
                    <a:prstGeom prst="rect">
                      <a:avLst/>
                    </a:prstGeom>
                    <a:ln>
                      <a:noFill/>
                    </a:ln>
                    <a:extLst>
                      <a:ext uri="{53640926-AAD7-44D8-BBD7-CCE9431645EC}">
                        <a14:shadowObscured xmlns:a14="http://schemas.microsoft.com/office/drawing/2010/main"/>
                      </a:ext>
                    </a:extLst>
                  </pic:spPr>
                </pic:pic>
              </a:graphicData>
            </a:graphic>
          </wp:inline>
        </w:drawing>
      </w:r>
    </w:p>
    <w:p w14:paraId="6FA3084E" w14:textId="09AF0D2A" w:rsidR="00A23DA1" w:rsidRDefault="00A23DA1" w:rsidP="00A23DA1">
      <w:pPr>
        <w:pStyle w:val="CETBodytext"/>
        <w:rPr>
          <w:lang w:val="en-GB"/>
        </w:rPr>
      </w:pPr>
      <w:r w:rsidRPr="00BD077D">
        <w:rPr>
          <w:rStyle w:val="CETCaptionCarattere"/>
        </w:rPr>
        <w:t xml:space="preserve">Figure 1: </w:t>
      </w:r>
      <w:r>
        <w:rPr>
          <w:rStyle w:val="CETCaptionCarattere"/>
        </w:rPr>
        <w:t xml:space="preserve">MIKE 3.0 apparatus picture, electrodes and air jet pipe are </w:t>
      </w:r>
      <w:r w:rsidR="00894D55">
        <w:rPr>
          <w:rStyle w:val="CETCaptionCarattere"/>
        </w:rPr>
        <w:t>highlighted</w:t>
      </w:r>
    </w:p>
    <w:p w14:paraId="36BA3413" w14:textId="77777777" w:rsidR="00A96A5C" w:rsidRDefault="00A96A5C" w:rsidP="000E6998">
      <w:pPr>
        <w:pStyle w:val="CETBodytext"/>
      </w:pPr>
    </w:p>
    <w:p w14:paraId="7C2B0064" w14:textId="26160B3F" w:rsidR="00453E24" w:rsidRDefault="005F3C7F" w:rsidP="000E6998">
      <w:pPr>
        <w:pStyle w:val="CETBodytext"/>
      </w:pPr>
      <w:r>
        <w:t>Every test was performed according to the following scheme:</w:t>
      </w:r>
    </w:p>
    <w:p w14:paraId="67045D38" w14:textId="2EAF03A7" w:rsidR="005F3C7F" w:rsidRDefault="005F3C7F" w:rsidP="00581B0C">
      <w:pPr>
        <w:pStyle w:val="CETBodytext"/>
        <w:numPr>
          <w:ilvl w:val="0"/>
          <w:numId w:val="25"/>
        </w:numPr>
      </w:pPr>
      <w:r>
        <w:t>Preparation of the dust cake on a plate and loading inside the tube</w:t>
      </w:r>
    </w:p>
    <w:p w14:paraId="0AC0ED18" w14:textId="30F3E5B3" w:rsidR="005F3C7F" w:rsidRDefault="005F3C7F" w:rsidP="00581B0C">
      <w:pPr>
        <w:pStyle w:val="CETBodytext"/>
        <w:numPr>
          <w:ilvl w:val="0"/>
          <w:numId w:val="25"/>
        </w:numPr>
      </w:pPr>
      <w:r>
        <w:t>Set up of ignition energy and delay time</w:t>
      </w:r>
    </w:p>
    <w:p w14:paraId="19905948" w14:textId="379DF496" w:rsidR="005F3C7F" w:rsidRDefault="005F3C7F" w:rsidP="00581B0C">
      <w:pPr>
        <w:pStyle w:val="CETBodytext"/>
        <w:numPr>
          <w:ilvl w:val="0"/>
          <w:numId w:val="25"/>
        </w:numPr>
      </w:pPr>
      <w:r>
        <w:t>Blow-up of the air jet to</w:t>
      </w:r>
    </w:p>
    <w:p w14:paraId="29CCC601" w14:textId="09FA01C5" w:rsidR="005F3C7F" w:rsidRDefault="005F3C7F" w:rsidP="00581B0C">
      <w:pPr>
        <w:pStyle w:val="CETBodytext"/>
        <w:numPr>
          <w:ilvl w:val="0"/>
          <w:numId w:val="25"/>
        </w:numPr>
      </w:pPr>
      <w:r>
        <w:t>Electric circuit closure (to develop air breakdown between the two electrodes)</w:t>
      </w:r>
    </w:p>
    <w:p w14:paraId="44C7D5E4" w14:textId="64F714C3" w:rsidR="005F3C7F" w:rsidRDefault="005F3C7F" w:rsidP="00581B0C">
      <w:pPr>
        <w:pStyle w:val="CETBodytext"/>
        <w:numPr>
          <w:ilvl w:val="0"/>
          <w:numId w:val="25"/>
        </w:numPr>
      </w:pPr>
      <w:r>
        <w:t>Air breakdown</w:t>
      </w:r>
    </w:p>
    <w:p w14:paraId="7132474C" w14:textId="5539F33C" w:rsidR="005F3C7F" w:rsidRDefault="005F3C7F" w:rsidP="00581B0C">
      <w:pPr>
        <w:pStyle w:val="CETBodytext"/>
        <w:numPr>
          <w:ilvl w:val="0"/>
          <w:numId w:val="25"/>
        </w:numPr>
      </w:pPr>
      <w:r>
        <w:t xml:space="preserve">(eventual) </w:t>
      </w:r>
      <w:r w:rsidR="006E60EC">
        <w:t>I</w:t>
      </w:r>
      <w:r>
        <w:t>gnition</w:t>
      </w:r>
    </w:p>
    <w:p w14:paraId="381F4832" w14:textId="77777777" w:rsidR="005F3C7F" w:rsidRDefault="005F3C7F" w:rsidP="000E6998">
      <w:pPr>
        <w:pStyle w:val="CETBodytext"/>
      </w:pPr>
    </w:p>
    <w:p w14:paraId="58D3858A" w14:textId="3ED9F4A7" w:rsidR="005F3C7F" w:rsidRDefault="0012383B" w:rsidP="000E6998">
      <w:pPr>
        <w:pStyle w:val="CETBodytext"/>
      </w:pPr>
      <w:r>
        <w:t>A whole set of measurement was performed and analyzed i</w:t>
      </w:r>
      <w:r w:rsidR="005F3C7F">
        <w:t>n this work</w:t>
      </w:r>
      <w:r>
        <w:t xml:space="preserve">. At first, tests without dust have been conducted </w:t>
      </w:r>
      <w:r w:rsidR="003405D6">
        <w:t>with</w:t>
      </w:r>
      <w:r>
        <w:t xml:space="preserve"> all energies available (3-10-30-100-300-1000 mJ), with and without the 1 mH inductance, for a total of 12 tests.</w:t>
      </w:r>
      <w:r w:rsidR="005F3C7F">
        <w:t xml:space="preserve"> </w:t>
      </w:r>
      <w:r>
        <w:t>In addition, traditional ignition tests have been conducted using niacin.</w:t>
      </w:r>
      <w:r w:rsidR="005F3C7F">
        <w:t xml:space="preserve"> </w:t>
      </w:r>
      <w:r>
        <w:t>D</w:t>
      </w:r>
      <w:r w:rsidR="005F3C7F">
        <w:t xml:space="preserve">ust </w:t>
      </w:r>
      <w:r w:rsidR="008A2882">
        <w:t>mass loaded</w:t>
      </w:r>
      <w:r>
        <w:t xml:space="preserve"> range</w:t>
      </w:r>
      <w:r w:rsidR="008A2882">
        <w:t>s</w:t>
      </w:r>
      <w:r w:rsidR="005F3C7F">
        <w:t xml:space="preserve"> between 750 and 3000 mg, along with energies between </w:t>
      </w:r>
      <w:r w:rsidR="00397778">
        <w:t>3</w:t>
      </w:r>
      <w:r w:rsidR="005F3C7F">
        <w:t xml:space="preserve">-1000 mJ. Niacin was chosen as target dust since it is a common standard dust for explosivity testing. The niacin used in this test is the same used for the </w:t>
      </w:r>
      <w:r w:rsidR="005F3C7F" w:rsidRPr="005F3C7F">
        <w:t xml:space="preserve">Calibration-Round-Robin </w:t>
      </w:r>
      <w:r w:rsidR="005F3C7F">
        <w:t>(</w:t>
      </w:r>
      <w:r w:rsidR="005F3C7F" w:rsidRPr="005F3C7F">
        <w:t>CaRo20</w:t>
      </w:r>
      <w:r w:rsidR="005F3C7F">
        <w:t>)</w:t>
      </w:r>
      <w:r w:rsidR="00055D79">
        <w:t xml:space="preserve">. These niacin samples are milled and </w:t>
      </w:r>
      <w:r w:rsidR="00397778">
        <w:t>analyzed. The sample used, tested with a Malvern Mastersizer 3000™, have</w:t>
      </w:r>
      <w:r w:rsidR="00055D79">
        <w:t xml:space="preserve"> a d</w:t>
      </w:r>
      <w:r w:rsidR="00055D79" w:rsidRPr="00055D79">
        <w:rPr>
          <w:vertAlign w:val="subscript"/>
        </w:rPr>
        <w:t>10</w:t>
      </w:r>
      <w:r w:rsidR="00055D79">
        <w:t xml:space="preserve"> </w:t>
      </w:r>
      <w:r w:rsidR="00392E52">
        <w:t>of 4.0</w:t>
      </w:r>
      <w:r w:rsidR="00055D79">
        <w:t xml:space="preserve"> </w:t>
      </w:r>
      <w:r w:rsidR="00055D79">
        <w:rPr>
          <w:rFonts w:cs="Arial"/>
        </w:rPr>
        <w:t>µ</w:t>
      </w:r>
      <w:r w:rsidR="00055D79">
        <w:t>m, a d</w:t>
      </w:r>
      <w:r w:rsidR="00055D79" w:rsidRPr="00055D79">
        <w:rPr>
          <w:vertAlign w:val="subscript"/>
        </w:rPr>
        <w:t>50</w:t>
      </w:r>
      <w:r w:rsidR="00055D79">
        <w:t xml:space="preserve"> </w:t>
      </w:r>
      <w:r w:rsidR="00392E52">
        <w:t>of</w:t>
      </w:r>
      <w:r w:rsidR="008A0379">
        <w:t xml:space="preserve"> </w:t>
      </w:r>
      <w:r w:rsidR="00055D79">
        <w:t>19.</w:t>
      </w:r>
      <w:r w:rsidR="00392E52">
        <w:t>2</w:t>
      </w:r>
      <w:r w:rsidR="00055D79">
        <w:t xml:space="preserve"> </w:t>
      </w:r>
      <w:r w:rsidR="00055D79">
        <w:rPr>
          <w:rFonts w:cs="Arial"/>
        </w:rPr>
        <w:t>µm</w:t>
      </w:r>
      <w:r w:rsidR="00055D79">
        <w:t>, and a d</w:t>
      </w:r>
      <w:r w:rsidR="00055D79" w:rsidRPr="00055D79">
        <w:rPr>
          <w:vertAlign w:val="subscript"/>
        </w:rPr>
        <w:t>90</w:t>
      </w:r>
      <w:r w:rsidR="00055D79">
        <w:t xml:space="preserve"> </w:t>
      </w:r>
      <w:r w:rsidR="00397778">
        <w:t>of</w:t>
      </w:r>
      <w:r w:rsidR="00055D79">
        <w:t xml:space="preserve"> 75.0 </w:t>
      </w:r>
      <w:r w:rsidR="00055D79">
        <w:rPr>
          <w:rFonts w:cs="Arial"/>
        </w:rPr>
        <w:t>µ</w:t>
      </w:r>
      <w:r w:rsidR="00055D79">
        <w:t>m.</w:t>
      </w:r>
      <w:r w:rsidR="005F3C7F">
        <w:t xml:space="preserve"> Table </w:t>
      </w:r>
      <w:r w:rsidR="00397778">
        <w:t xml:space="preserve">1 </w:t>
      </w:r>
      <w:r w:rsidR="005F3C7F">
        <w:t xml:space="preserve">resumes all the </w:t>
      </w:r>
      <w:r>
        <w:t>ignition tests</w:t>
      </w:r>
      <w:r w:rsidR="005F3C7F">
        <w:t xml:space="preserve"> performed</w:t>
      </w:r>
      <w:r w:rsidR="00397778">
        <w:t>, with a total of 64 experiments</w:t>
      </w:r>
      <w:r w:rsidR="005F3C7F">
        <w:t xml:space="preserve">. Due to the amount of dust available, it was possible to perform only a single test for each condition. This at least ensures the homogeneity of the niacin used, at the cost of repeatability. </w:t>
      </w:r>
    </w:p>
    <w:p w14:paraId="20ED7C4D" w14:textId="415495B3" w:rsidR="00A23DA1" w:rsidRPr="00B57B36" w:rsidRDefault="00A23DA1" w:rsidP="00A23DA1">
      <w:pPr>
        <w:pStyle w:val="CETTabletitle"/>
      </w:pPr>
      <w:r w:rsidRPr="00B57B36">
        <w:t xml:space="preserve">Table 1: </w:t>
      </w:r>
      <w:r>
        <w:t>Scheme of Niacin test</w:t>
      </w:r>
      <w:r w:rsidR="00B83717">
        <w:t>s</w:t>
      </w:r>
      <w:r>
        <w:t xml:space="preserve"> carried out. Every test was conducted with an inductance of 1 mH</w:t>
      </w:r>
    </w:p>
    <w:tbl>
      <w:tblPr>
        <w:tblW w:w="5000" w:type="pct"/>
        <w:jc w:val="center"/>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620"/>
        <w:gridCol w:w="1710"/>
        <w:gridCol w:w="1800"/>
        <w:gridCol w:w="3657"/>
      </w:tblGrid>
      <w:tr w:rsidR="00397778" w:rsidRPr="00B57B36" w14:paraId="4D64455C" w14:textId="77777777" w:rsidTr="0040299F">
        <w:trPr>
          <w:jc w:val="center"/>
        </w:trPr>
        <w:tc>
          <w:tcPr>
            <w:tcW w:w="922" w:type="pct"/>
            <w:tcBorders>
              <w:top w:val="single" w:sz="12" w:space="0" w:color="008000"/>
              <w:bottom w:val="single" w:sz="6" w:space="0" w:color="008000"/>
            </w:tcBorders>
            <w:shd w:val="clear" w:color="auto" w:fill="FFFFFF"/>
          </w:tcPr>
          <w:p w14:paraId="405F9BC8" w14:textId="15767FDB" w:rsidR="00397778" w:rsidRDefault="00397778" w:rsidP="003528C3">
            <w:pPr>
              <w:pStyle w:val="CETBodytext"/>
              <w:rPr>
                <w:lang w:val="en-GB"/>
              </w:rPr>
            </w:pPr>
            <w:r>
              <w:rPr>
                <w:lang w:val="en-GB"/>
              </w:rPr>
              <w:t># of total tests</w:t>
            </w:r>
          </w:p>
        </w:tc>
        <w:tc>
          <w:tcPr>
            <w:tcW w:w="973" w:type="pct"/>
            <w:tcBorders>
              <w:top w:val="single" w:sz="12" w:space="0" w:color="008000"/>
              <w:bottom w:val="single" w:sz="6" w:space="0" w:color="008000"/>
            </w:tcBorders>
            <w:shd w:val="clear" w:color="auto" w:fill="FFFFFF"/>
          </w:tcPr>
          <w:p w14:paraId="51C64F24" w14:textId="7435E9C5" w:rsidR="00397778" w:rsidRPr="00B57B36" w:rsidRDefault="008A2882" w:rsidP="003528C3">
            <w:pPr>
              <w:pStyle w:val="CETBodytext"/>
              <w:rPr>
                <w:lang w:val="en-GB"/>
              </w:rPr>
            </w:pPr>
            <w:r>
              <w:rPr>
                <w:lang w:val="en-GB"/>
              </w:rPr>
              <w:t>Loaded mass</w:t>
            </w:r>
          </w:p>
        </w:tc>
        <w:tc>
          <w:tcPr>
            <w:tcW w:w="1024" w:type="pct"/>
            <w:tcBorders>
              <w:top w:val="single" w:sz="12" w:space="0" w:color="008000"/>
              <w:bottom w:val="single" w:sz="6" w:space="0" w:color="008000"/>
            </w:tcBorders>
            <w:shd w:val="clear" w:color="auto" w:fill="FFFFFF"/>
          </w:tcPr>
          <w:p w14:paraId="3FD7089F" w14:textId="123D8EAC" w:rsidR="00397778" w:rsidRPr="00B57B36" w:rsidRDefault="00397778" w:rsidP="003528C3">
            <w:pPr>
              <w:pStyle w:val="CETBodytext"/>
              <w:rPr>
                <w:lang w:val="en-GB"/>
              </w:rPr>
            </w:pPr>
            <w:r>
              <w:rPr>
                <w:lang w:val="en-GB"/>
              </w:rPr>
              <w:t>Delay time</w:t>
            </w:r>
          </w:p>
        </w:tc>
        <w:tc>
          <w:tcPr>
            <w:tcW w:w="2081" w:type="pct"/>
            <w:tcBorders>
              <w:top w:val="single" w:sz="12" w:space="0" w:color="008000"/>
              <w:bottom w:val="single" w:sz="6" w:space="0" w:color="008000"/>
            </w:tcBorders>
            <w:shd w:val="clear" w:color="auto" w:fill="FFFFFF"/>
          </w:tcPr>
          <w:p w14:paraId="37728EDC" w14:textId="085A8672" w:rsidR="00397778" w:rsidRPr="00B57B36" w:rsidRDefault="00397778" w:rsidP="003528C3">
            <w:pPr>
              <w:pStyle w:val="CETBodytext"/>
              <w:rPr>
                <w:lang w:val="en-GB"/>
              </w:rPr>
            </w:pPr>
            <w:r>
              <w:rPr>
                <w:lang w:val="en-GB"/>
              </w:rPr>
              <w:t>Energy</w:t>
            </w:r>
          </w:p>
        </w:tc>
      </w:tr>
      <w:tr w:rsidR="00397778" w:rsidRPr="00B57B36" w14:paraId="19BCEE16" w14:textId="77777777" w:rsidTr="0040299F">
        <w:trPr>
          <w:jc w:val="center"/>
        </w:trPr>
        <w:tc>
          <w:tcPr>
            <w:tcW w:w="922" w:type="pct"/>
            <w:shd w:val="clear" w:color="auto" w:fill="FFFFFF"/>
          </w:tcPr>
          <w:p w14:paraId="19E3FC1D" w14:textId="3AE4E330" w:rsidR="00397778" w:rsidRDefault="00397778" w:rsidP="003528C3">
            <w:pPr>
              <w:pStyle w:val="CETBodytext"/>
              <w:rPr>
                <w:lang w:val="en-GB"/>
              </w:rPr>
            </w:pPr>
            <w:r>
              <w:rPr>
                <w:lang w:val="en-GB"/>
              </w:rPr>
              <w:t>16</w:t>
            </w:r>
          </w:p>
        </w:tc>
        <w:tc>
          <w:tcPr>
            <w:tcW w:w="973" w:type="pct"/>
            <w:shd w:val="clear" w:color="auto" w:fill="FFFFFF"/>
          </w:tcPr>
          <w:p w14:paraId="1AC5B038" w14:textId="57726DCA" w:rsidR="00397778" w:rsidRPr="00B57B36" w:rsidRDefault="00397778" w:rsidP="003528C3">
            <w:pPr>
              <w:pStyle w:val="CETBodytext"/>
              <w:rPr>
                <w:lang w:val="en-GB"/>
              </w:rPr>
            </w:pPr>
            <w:r>
              <w:rPr>
                <w:lang w:val="en-GB"/>
              </w:rPr>
              <w:t>750 mg</w:t>
            </w:r>
          </w:p>
        </w:tc>
        <w:tc>
          <w:tcPr>
            <w:tcW w:w="1024" w:type="pct"/>
            <w:shd w:val="clear" w:color="auto" w:fill="FFFFFF"/>
          </w:tcPr>
          <w:p w14:paraId="2D0606FF" w14:textId="1ACD4ADA" w:rsidR="00397778" w:rsidRPr="00B57B36" w:rsidRDefault="00397778" w:rsidP="003528C3">
            <w:pPr>
              <w:pStyle w:val="CETBodytext"/>
              <w:rPr>
                <w:lang w:val="en-GB"/>
              </w:rPr>
            </w:pPr>
            <w:r>
              <w:rPr>
                <w:lang w:val="en-GB"/>
              </w:rPr>
              <w:t>60-120-180 ms</w:t>
            </w:r>
          </w:p>
        </w:tc>
        <w:tc>
          <w:tcPr>
            <w:tcW w:w="2081" w:type="pct"/>
            <w:shd w:val="clear" w:color="auto" w:fill="FFFFFF"/>
          </w:tcPr>
          <w:p w14:paraId="5B473662" w14:textId="19655E76" w:rsidR="00397778" w:rsidRPr="00B57B36" w:rsidRDefault="00397778" w:rsidP="003528C3">
            <w:pPr>
              <w:pStyle w:val="CETBodytext"/>
              <w:rPr>
                <w:lang w:val="en-GB"/>
              </w:rPr>
            </w:pPr>
            <w:r>
              <w:rPr>
                <w:lang w:val="en-GB"/>
              </w:rPr>
              <w:t>3(only with 120 ms)-10-30-100-300-1000 mJ</w:t>
            </w:r>
          </w:p>
        </w:tc>
      </w:tr>
      <w:tr w:rsidR="00397778" w:rsidRPr="00B57B36" w14:paraId="22A42D82" w14:textId="77777777" w:rsidTr="0040299F">
        <w:trPr>
          <w:jc w:val="center"/>
        </w:trPr>
        <w:tc>
          <w:tcPr>
            <w:tcW w:w="922" w:type="pct"/>
            <w:shd w:val="clear" w:color="auto" w:fill="FFFFFF"/>
          </w:tcPr>
          <w:p w14:paraId="235542C5" w14:textId="029F0056" w:rsidR="00397778" w:rsidRPr="00B57B36" w:rsidRDefault="00397778" w:rsidP="00397778">
            <w:pPr>
              <w:pStyle w:val="CETBodytext"/>
              <w:ind w:right="-1"/>
              <w:rPr>
                <w:rFonts w:cs="Arial"/>
                <w:szCs w:val="18"/>
                <w:lang w:val="en-GB"/>
              </w:rPr>
            </w:pPr>
            <w:r>
              <w:rPr>
                <w:rFonts w:cs="Arial"/>
                <w:szCs w:val="18"/>
                <w:lang w:val="en-GB"/>
              </w:rPr>
              <w:t>16</w:t>
            </w:r>
          </w:p>
        </w:tc>
        <w:tc>
          <w:tcPr>
            <w:tcW w:w="973" w:type="pct"/>
            <w:shd w:val="clear" w:color="auto" w:fill="FFFFFF"/>
          </w:tcPr>
          <w:p w14:paraId="00068A74" w14:textId="7F85E27B" w:rsidR="00397778" w:rsidRPr="00B57B36" w:rsidRDefault="00397778" w:rsidP="00397778">
            <w:pPr>
              <w:pStyle w:val="CETBodytext"/>
              <w:ind w:right="-1"/>
              <w:rPr>
                <w:rFonts w:cs="Arial"/>
                <w:szCs w:val="18"/>
                <w:lang w:val="en-GB"/>
              </w:rPr>
            </w:pPr>
            <w:r>
              <w:rPr>
                <w:rFonts w:cs="Arial"/>
                <w:szCs w:val="18"/>
                <w:lang w:val="en-GB"/>
              </w:rPr>
              <w:t xml:space="preserve">1200 </w:t>
            </w:r>
            <w:r>
              <w:rPr>
                <w:lang w:val="en-GB"/>
              </w:rPr>
              <w:t>mg</w:t>
            </w:r>
          </w:p>
        </w:tc>
        <w:tc>
          <w:tcPr>
            <w:tcW w:w="1024" w:type="pct"/>
            <w:shd w:val="clear" w:color="auto" w:fill="FFFFFF"/>
          </w:tcPr>
          <w:p w14:paraId="15FA2A0F" w14:textId="64E1A460" w:rsidR="00397778" w:rsidRPr="00B57B36" w:rsidRDefault="00397778" w:rsidP="00397778">
            <w:pPr>
              <w:pStyle w:val="CETBodytext"/>
              <w:ind w:right="-1"/>
              <w:rPr>
                <w:rFonts w:cs="Arial"/>
                <w:szCs w:val="18"/>
                <w:lang w:val="en-GB"/>
              </w:rPr>
            </w:pPr>
            <w:r>
              <w:rPr>
                <w:lang w:val="en-GB"/>
              </w:rPr>
              <w:t>60-120-180 ms</w:t>
            </w:r>
          </w:p>
        </w:tc>
        <w:tc>
          <w:tcPr>
            <w:tcW w:w="2081" w:type="pct"/>
            <w:shd w:val="clear" w:color="auto" w:fill="FFFFFF"/>
          </w:tcPr>
          <w:p w14:paraId="392C317B" w14:textId="7BCD98A1" w:rsidR="00397778" w:rsidRPr="00B57B36" w:rsidRDefault="00397778" w:rsidP="00397778">
            <w:pPr>
              <w:pStyle w:val="CETBodytext"/>
              <w:ind w:right="-1"/>
              <w:rPr>
                <w:rFonts w:cs="Arial"/>
                <w:szCs w:val="18"/>
                <w:lang w:val="en-GB"/>
              </w:rPr>
            </w:pPr>
            <w:r>
              <w:rPr>
                <w:lang w:val="en-GB"/>
              </w:rPr>
              <w:t>3(only with 120 ms)-10-30-100-300-1000 mJ</w:t>
            </w:r>
          </w:p>
        </w:tc>
      </w:tr>
      <w:tr w:rsidR="00397778" w:rsidRPr="00B57B36" w14:paraId="2F79872D" w14:textId="77777777" w:rsidTr="0040299F">
        <w:trPr>
          <w:jc w:val="center"/>
        </w:trPr>
        <w:tc>
          <w:tcPr>
            <w:tcW w:w="922" w:type="pct"/>
            <w:shd w:val="clear" w:color="auto" w:fill="FFFFFF"/>
          </w:tcPr>
          <w:p w14:paraId="47EFF4F6" w14:textId="33FBC696" w:rsidR="00397778" w:rsidRPr="00B57B36" w:rsidRDefault="00397778" w:rsidP="00397778">
            <w:pPr>
              <w:pStyle w:val="CETBodytext"/>
              <w:ind w:right="-1"/>
              <w:rPr>
                <w:rFonts w:cs="Arial"/>
                <w:szCs w:val="18"/>
                <w:lang w:val="en-GB"/>
              </w:rPr>
            </w:pPr>
            <w:r>
              <w:rPr>
                <w:rFonts w:cs="Arial"/>
                <w:szCs w:val="18"/>
                <w:lang w:val="en-GB"/>
              </w:rPr>
              <w:t>16</w:t>
            </w:r>
          </w:p>
        </w:tc>
        <w:tc>
          <w:tcPr>
            <w:tcW w:w="973" w:type="pct"/>
            <w:shd w:val="clear" w:color="auto" w:fill="FFFFFF"/>
          </w:tcPr>
          <w:p w14:paraId="5B95598E" w14:textId="2A26F403" w:rsidR="00397778" w:rsidRDefault="00397778" w:rsidP="00397778">
            <w:pPr>
              <w:pStyle w:val="CETBodytext"/>
              <w:ind w:right="-1"/>
              <w:rPr>
                <w:rFonts w:cs="Arial"/>
                <w:szCs w:val="18"/>
                <w:lang w:val="en-GB"/>
              </w:rPr>
            </w:pPr>
            <w:r>
              <w:rPr>
                <w:rFonts w:cs="Arial"/>
                <w:szCs w:val="18"/>
                <w:lang w:val="en-GB"/>
              </w:rPr>
              <w:t xml:space="preserve">2000 </w:t>
            </w:r>
            <w:r>
              <w:rPr>
                <w:lang w:val="en-GB"/>
              </w:rPr>
              <w:t>mg</w:t>
            </w:r>
          </w:p>
        </w:tc>
        <w:tc>
          <w:tcPr>
            <w:tcW w:w="1024" w:type="pct"/>
            <w:shd w:val="clear" w:color="auto" w:fill="FFFFFF"/>
          </w:tcPr>
          <w:p w14:paraId="0B9994C6" w14:textId="21709191" w:rsidR="00397778" w:rsidRPr="00B57B36" w:rsidRDefault="00397778" w:rsidP="00397778">
            <w:pPr>
              <w:pStyle w:val="CETBodytext"/>
              <w:ind w:right="-1"/>
              <w:rPr>
                <w:rFonts w:cs="Arial"/>
                <w:szCs w:val="18"/>
                <w:lang w:val="en-GB"/>
              </w:rPr>
            </w:pPr>
            <w:r>
              <w:rPr>
                <w:lang w:val="en-GB"/>
              </w:rPr>
              <w:t>60-120-180 ms</w:t>
            </w:r>
          </w:p>
        </w:tc>
        <w:tc>
          <w:tcPr>
            <w:tcW w:w="2081" w:type="pct"/>
            <w:shd w:val="clear" w:color="auto" w:fill="FFFFFF"/>
          </w:tcPr>
          <w:p w14:paraId="1DED30E5" w14:textId="60E5A603" w:rsidR="00397778" w:rsidRPr="00B57B36" w:rsidRDefault="00397778" w:rsidP="00397778">
            <w:pPr>
              <w:pStyle w:val="CETBodytext"/>
              <w:ind w:right="-1"/>
              <w:rPr>
                <w:rFonts w:cs="Arial"/>
                <w:szCs w:val="18"/>
                <w:lang w:val="en-GB"/>
              </w:rPr>
            </w:pPr>
            <w:r>
              <w:rPr>
                <w:lang w:val="en-GB"/>
              </w:rPr>
              <w:t>3(only with 120 ms)-10-30-100-300-1000 mJ</w:t>
            </w:r>
          </w:p>
        </w:tc>
      </w:tr>
      <w:tr w:rsidR="00397778" w:rsidRPr="00B57B36" w14:paraId="1DE14BDA" w14:textId="77777777" w:rsidTr="0040299F">
        <w:trPr>
          <w:jc w:val="center"/>
        </w:trPr>
        <w:tc>
          <w:tcPr>
            <w:tcW w:w="922" w:type="pct"/>
            <w:shd w:val="clear" w:color="auto" w:fill="FFFFFF"/>
          </w:tcPr>
          <w:p w14:paraId="145F1936" w14:textId="1DBA114A" w:rsidR="00397778" w:rsidRPr="00B57B36" w:rsidRDefault="00397778" w:rsidP="00397778">
            <w:pPr>
              <w:pStyle w:val="CETBodytext"/>
              <w:ind w:right="-1"/>
              <w:rPr>
                <w:rFonts w:cs="Arial"/>
                <w:szCs w:val="18"/>
                <w:lang w:val="en-GB"/>
              </w:rPr>
            </w:pPr>
            <w:r>
              <w:rPr>
                <w:rFonts w:cs="Arial"/>
                <w:szCs w:val="18"/>
                <w:lang w:val="en-GB"/>
              </w:rPr>
              <w:t>16</w:t>
            </w:r>
          </w:p>
        </w:tc>
        <w:tc>
          <w:tcPr>
            <w:tcW w:w="973" w:type="pct"/>
            <w:shd w:val="clear" w:color="auto" w:fill="FFFFFF"/>
          </w:tcPr>
          <w:p w14:paraId="1F56DA1A" w14:textId="42DB4F92" w:rsidR="00397778" w:rsidRDefault="00397778" w:rsidP="00397778">
            <w:pPr>
              <w:pStyle w:val="CETBodytext"/>
              <w:ind w:right="-1"/>
              <w:rPr>
                <w:rFonts w:cs="Arial"/>
                <w:szCs w:val="18"/>
                <w:lang w:val="en-GB"/>
              </w:rPr>
            </w:pPr>
            <w:r>
              <w:rPr>
                <w:rFonts w:cs="Arial"/>
                <w:szCs w:val="18"/>
                <w:lang w:val="en-GB"/>
              </w:rPr>
              <w:t xml:space="preserve">3000 </w:t>
            </w:r>
            <w:r>
              <w:rPr>
                <w:lang w:val="en-GB"/>
              </w:rPr>
              <w:t>mg</w:t>
            </w:r>
          </w:p>
        </w:tc>
        <w:tc>
          <w:tcPr>
            <w:tcW w:w="1024" w:type="pct"/>
            <w:shd w:val="clear" w:color="auto" w:fill="FFFFFF"/>
          </w:tcPr>
          <w:p w14:paraId="61F9D4BC" w14:textId="718155AF" w:rsidR="00397778" w:rsidRPr="00B57B36" w:rsidRDefault="00397778" w:rsidP="00397778">
            <w:pPr>
              <w:pStyle w:val="CETBodytext"/>
              <w:ind w:right="-1"/>
              <w:rPr>
                <w:rFonts w:cs="Arial"/>
                <w:szCs w:val="18"/>
                <w:lang w:val="en-GB"/>
              </w:rPr>
            </w:pPr>
            <w:r>
              <w:rPr>
                <w:lang w:val="en-GB"/>
              </w:rPr>
              <w:t>60-120-180 ms</w:t>
            </w:r>
          </w:p>
        </w:tc>
        <w:tc>
          <w:tcPr>
            <w:tcW w:w="2081" w:type="pct"/>
            <w:shd w:val="clear" w:color="auto" w:fill="FFFFFF"/>
          </w:tcPr>
          <w:p w14:paraId="48632077" w14:textId="651EB66D" w:rsidR="00397778" w:rsidRPr="00B57B36" w:rsidRDefault="00397778" w:rsidP="00397778">
            <w:pPr>
              <w:pStyle w:val="CETBodytext"/>
              <w:ind w:right="-1"/>
              <w:rPr>
                <w:rFonts w:cs="Arial"/>
                <w:szCs w:val="18"/>
                <w:lang w:val="en-GB"/>
              </w:rPr>
            </w:pPr>
            <w:r>
              <w:rPr>
                <w:lang w:val="en-GB"/>
              </w:rPr>
              <w:t>3(only with 120 ms)-10-30-100-300-1000 mJ</w:t>
            </w:r>
          </w:p>
        </w:tc>
      </w:tr>
    </w:tbl>
    <w:p w14:paraId="2D5E97AC" w14:textId="77777777" w:rsidR="00A23DA1" w:rsidRDefault="00A23DA1" w:rsidP="000E6998">
      <w:pPr>
        <w:pStyle w:val="CETBodytext"/>
      </w:pPr>
    </w:p>
    <w:p w14:paraId="18BAFA6F" w14:textId="48BD39E2" w:rsidR="00453E24" w:rsidRPr="00B57B36" w:rsidRDefault="003D5A65" w:rsidP="00453E24">
      <w:pPr>
        <w:pStyle w:val="CETheadingx"/>
      </w:pPr>
      <w:r>
        <w:t>Movies and frames elaboration</w:t>
      </w:r>
    </w:p>
    <w:p w14:paraId="5436D977" w14:textId="3DE785F3" w:rsidR="00453E24" w:rsidRPr="00B57B36" w:rsidRDefault="00397778" w:rsidP="00453E24">
      <w:pPr>
        <w:pStyle w:val="CETBodytext"/>
      </w:pPr>
      <w:r>
        <w:rPr>
          <w:lang w:val="en-GB"/>
        </w:rPr>
        <w:t xml:space="preserve">Movies of each event have been recorded with </w:t>
      </w:r>
      <w:r w:rsidR="007F08CA">
        <w:rPr>
          <w:lang w:val="en-GB"/>
        </w:rPr>
        <w:t>an</w:t>
      </w:r>
      <w:r>
        <w:rPr>
          <w:lang w:val="en-GB"/>
        </w:rPr>
        <w:t xml:space="preserve"> iPhone 13 Pro Max, using Slow-Mo </w:t>
      </w:r>
      <w:r w:rsidR="00EE1C5A">
        <w:rPr>
          <w:lang w:val="en-GB"/>
        </w:rPr>
        <w:t xml:space="preserve">option </w:t>
      </w:r>
      <w:r>
        <w:rPr>
          <w:lang w:val="en-GB"/>
        </w:rPr>
        <w:t xml:space="preserve">at 240 fps </w:t>
      </w:r>
      <w:r w:rsidR="00EE1C5A">
        <w:rPr>
          <w:lang w:val="en-GB"/>
        </w:rPr>
        <w:t>with</w:t>
      </w:r>
      <w:r>
        <w:rPr>
          <w:lang w:val="en-GB"/>
        </w:rPr>
        <w:t xml:space="preserve"> High Definition (1080p). Each </w:t>
      </w:r>
      <w:r w:rsidR="00FC76D0">
        <w:rPr>
          <w:lang w:val="en-GB"/>
        </w:rPr>
        <w:t>record</w:t>
      </w:r>
      <w:r>
        <w:rPr>
          <w:lang w:val="en-GB"/>
        </w:rPr>
        <w:t xml:space="preserve"> was th</w:t>
      </w:r>
      <w:r w:rsidR="00FC76D0">
        <w:rPr>
          <w:lang w:val="en-GB"/>
        </w:rPr>
        <w:t>e</w:t>
      </w:r>
      <w:r>
        <w:rPr>
          <w:lang w:val="en-GB"/>
        </w:rPr>
        <w:t xml:space="preserve">n </w:t>
      </w:r>
      <w:r w:rsidR="008A478C">
        <w:rPr>
          <w:lang w:val="en-GB"/>
        </w:rPr>
        <w:t>analysed</w:t>
      </w:r>
      <w:r>
        <w:rPr>
          <w:lang w:val="en-GB"/>
        </w:rPr>
        <w:t xml:space="preserve"> with a freeware app, Frame Wrapper</w:t>
      </w:r>
      <w:r w:rsidR="00FC76D0">
        <w:rPr>
          <w:lang w:val="en-GB"/>
        </w:rPr>
        <w:t xml:space="preserve"> (APPCANO LLC), to extract the frames</w:t>
      </w:r>
      <w:r w:rsidR="00E71370">
        <w:rPr>
          <w:lang w:val="en-GB"/>
        </w:rPr>
        <w:t xml:space="preserve"> and allows for the determination of specific time steps. The software, depending on the movie, can automatically decompose it into 240, 60, or 30 fps </w:t>
      </w:r>
      <w:r w:rsidR="007F08CA">
        <w:rPr>
          <w:lang w:val="en-GB"/>
        </w:rPr>
        <w:t>sequences</w:t>
      </w:r>
      <w:r w:rsidR="00E71370">
        <w:rPr>
          <w:lang w:val="en-GB"/>
        </w:rPr>
        <w:t xml:space="preserve">. The software elaborates </w:t>
      </w:r>
      <w:r w:rsidR="007F08CA">
        <w:rPr>
          <w:lang w:val="en-GB"/>
        </w:rPr>
        <w:t xml:space="preserve">the clip </w:t>
      </w:r>
      <w:r w:rsidR="00E71370">
        <w:rPr>
          <w:lang w:val="en-GB"/>
        </w:rPr>
        <w:t>automatically at the highest frame rate possible.</w:t>
      </w:r>
    </w:p>
    <w:p w14:paraId="677EBFF0" w14:textId="4DA32C26" w:rsidR="00600535" w:rsidRDefault="00EE2155" w:rsidP="00600535">
      <w:pPr>
        <w:pStyle w:val="CETHeading1"/>
        <w:tabs>
          <w:tab w:val="clear" w:pos="360"/>
          <w:tab w:val="right" w:pos="7100"/>
        </w:tabs>
        <w:jc w:val="both"/>
        <w:rPr>
          <w:lang w:val="en-GB"/>
        </w:rPr>
      </w:pPr>
      <w:r>
        <w:rPr>
          <w:lang w:val="en-GB"/>
        </w:rPr>
        <w:t>Results</w:t>
      </w:r>
    </w:p>
    <w:p w14:paraId="79E0A891" w14:textId="0E9E4BDA" w:rsidR="00E71370" w:rsidRDefault="00B83717" w:rsidP="00894D55">
      <w:pPr>
        <w:pStyle w:val="CETBodytext"/>
      </w:pPr>
      <w:r>
        <w:t xml:space="preserve">For what concerns empty tube results, spark was always generated and captured in the movies. Figure 2 represents the test carried out with the maximum energy (1000 mJ), with the inductance of 1mH.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5"/>
        <w:gridCol w:w="2926"/>
        <w:gridCol w:w="2926"/>
      </w:tblGrid>
      <w:tr w:rsidR="00E71370" w14:paraId="13EE71AF" w14:textId="77777777" w:rsidTr="00636847">
        <w:tc>
          <w:tcPr>
            <w:tcW w:w="2925" w:type="dxa"/>
          </w:tcPr>
          <w:p w14:paraId="6F7D1715" w14:textId="54B7A1E9" w:rsidR="00E71370" w:rsidRDefault="00E71370" w:rsidP="00894D55">
            <w:pPr>
              <w:pStyle w:val="CETBodytext"/>
            </w:pPr>
            <w:r>
              <w:rPr>
                <w:noProof/>
              </w:rPr>
              <w:drawing>
                <wp:inline distT="0" distB="0" distL="0" distR="0" wp14:anchorId="23CB3C04" wp14:editId="5AFAC23D">
                  <wp:extent cx="1412266" cy="2489200"/>
                  <wp:effectExtent l="0" t="0" r="0" b="6350"/>
                  <wp:docPr id="168095930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59306" name=""/>
                          <pic:cNvPicPr/>
                        </pic:nvPicPr>
                        <pic:blipFill rotWithShape="1">
                          <a:blip r:embed="rId12"/>
                          <a:srcRect l="34824" r="35268" b="6292"/>
                          <a:stretch/>
                        </pic:blipFill>
                        <pic:spPr bwMode="auto">
                          <a:xfrm>
                            <a:off x="0" y="0"/>
                            <a:ext cx="1414206" cy="2492619"/>
                          </a:xfrm>
                          <a:prstGeom prst="rect">
                            <a:avLst/>
                          </a:prstGeom>
                          <a:ln>
                            <a:noFill/>
                          </a:ln>
                          <a:extLst>
                            <a:ext uri="{53640926-AAD7-44D8-BBD7-CCE9431645EC}">
                              <a14:shadowObscured xmlns:a14="http://schemas.microsoft.com/office/drawing/2010/main"/>
                            </a:ext>
                          </a:extLst>
                        </pic:spPr>
                      </pic:pic>
                    </a:graphicData>
                  </a:graphic>
                </wp:inline>
              </w:drawing>
            </w:r>
          </w:p>
        </w:tc>
        <w:tc>
          <w:tcPr>
            <w:tcW w:w="2926" w:type="dxa"/>
          </w:tcPr>
          <w:p w14:paraId="2CEB6EA0" w14:textId="07CB1EB7" w:rsidR="00E71370" w:rsidRDefault="00E71370" w:rsidP="00894D55">
            <w:pPr>
              <w:pStyle w:val="CETBodytext"/>
            </w:pPr>
            <w:r>
              <w:rPr>
                <w:noProof/>
              </w:rPr>
              <w:drawing>
                <wp:inline distT="0" distB="0" distL="0" distR="0" wp14:anchorId="16660C7A" wp14:editId="7A9222BC">
                  <wp:extent cx="1435100" cy="2477639"/>
                  <wp:effectExtent l="0" t="0" r="0" b="0"/>
                  <wp:docPr id="42393591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35918" name=""/>
                          <pic:cNvPicPr/>
                        </pic:nvPicPr>
                        <pic:blipFill rotWithShape="1">
                          <a:blip r:embed="rId13"/>
                          <a:srcRect l="34551" r="34995" b="6535"/>
                          <a:stretch/>
                        </pic:blipFill>
                        <pic:spPr bwMode="auto">
                          <a:xfrm>
                            <a:off x="0" y="0"/>
                            <a:ext cx="1440453" cy="2486880"/>
                          </a:xfrm>
                          <a:prstGeom prst="rect">
                            <a:avLst/>
                          </a:prstGeom>
                          <a:ln>
                            <a:noFill/>
                          </a:ln>
                          <a:extLst>
                            <a:ext uri="{53640926-AAD7-44D8-BBD7-CCE9431645EC}">
                              <a14:shadowObscured xmlns:a14="http://schemas.microsoft.com/office/drawing/2010/main"/>
                            </a:ext>
                          </a:extLst>
                        </pic:spPr>
                      </pic:pic>
                    </a:graphicData>
                  </a:graphic>
                </wp:inline>
              </w:drawing>
            </w:r>
          </w:p>
        </w:tc>
        <w:tc>
          <w:tcPr>
            <w:tcW w:w="2926" w:type="dxa"/>
          </w:tcPr>
          <w:p w14:paraId="5EFFBC7A" w14:textId="26898DEC" w:rsidR="00E71370" w:rsidRDefault="00E71370" w:rsidP="00894D55">
            <w:pPr>
              <w:pStyle w:val="CETBodytext"/>
            </w:pPr>
            <w:r>
              <w:rPr>
                <w:noProof/>
              </w:rPr>
              <w:drawing>
                <wp:inline distT="0" distB="0" distL="0" distR="0" wp14:anchorId="06165E98" wp14:editId="79E4162D">
                  <wp:extent cx="1422400" cy="2466775"/>
                  <wp:effectExtent l="0" t="0" r="6350" b="0"/>
                  <wp:docPr id="6546005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00598" name=""/>
                          <pic:cNvPicPr/>
                        </pic:nvPicPr>
                        <pic:blipFill rotWithShape="1">
                          <a:blip r:embed="rId14"/>
                          <a:srcRect l="34824" r="34859" b="6535"/>
                          <a:stretch/>
                        </pic:blipFill>
                        <pic:spPr bwMode="auto">
                          <a:xfrm>
                            <a:off x="0" y="0"/>
                            <a:ext cx="1426446" cy="24737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F0B334" w14:textId="540951ED" w:rsidR="00636847" w:rsidRDefault="00636847" w:rsidP="00636847">
      <w:pPr>
        <w:pStyle w:val="CETBodytext"/>
        <w:rPr>
          <w:lang w:val="en-GB"/>
        </w:rPr>
      </w:pPr>
      <w:r w:rsidRPr="00BD077D">
        <w:rPr>
          <w:rStyle w:val="CETCaptionCarattere"/>
        </w:rPr>
        <w:t xml:space="preserve">Figure </w:t>
      </w:r>
      <w:r>
        <w:rPr>
          <w:rStyle w:val="CETCaptionCarattere"/>
        </w:rPr>
        <w:t>2</w:t>
      </w:r>
      <w:r w:rsidRPr="00BD077D">
        <w:rPr>
          <w:rStyle w:val="CETCaptionCarattere"/>
        </w:rPr>
        <w:t>:</w:t>
      </w:r>
      <w:r>
        <w:rPr>
          <w:rStyle w:val="CETCaptionCarattere"/>
        </w:rPr>
        <w:t xml:space="preserve"> Spark generation with an empty, 1mH inductance test, 1000 mJ. From left to right: moving electrode stopped, electrodes starts to close, with an early generation of the arc, full arc development.</w:t>
      </w:r>
    </w:p>
    <w:p w14:paraId="7B887538" w14:textId="69D096ED" w:rsidR="00E71370" w:rsidRPr="00636847" w:rsidRDefault="00DF3A53" w:rsidP="00894D55">
      <w:pPr>
        <w:pStyle w:val="CETBodytext"/>
        <w:rPr>
          <w:lang w:val="en-GB"/>
        </w:rPr>
      </w:pPr>
      <w:r>
        <w:lastRenderedPageBreak/>
        <w:t>This is the only test in the whole campaign where the spark was visible in two consecutive frames, within a time of step 17 ms. In all other tests, the spark (when captured) was visible in a single frame only. Without dust, the delay time is always respected: if 60, 120 or 180 ms are given, the arc occurs at this time. This means that the device is reliable and the electrical circuit is calibrated correctly.</w:t>
      </w:r>
    </w:p>
    <w:p w14:paraId="4E20A9B5" w14:textId="6D9D4CD3" w:rsidR="00894D55" w:rsidRPr="007800A6" w:rsidRDefault="00B83717" w:rsidP="00894D55">
      <w:pPr>
        <w:pStyle w:val="CETBodytext"/>
      </w:pPr>
      <w:r>
        <w:t>For what concerns niacin tests, it got ignited under all conditions.</w:t>
      </w:r>
      <w:r w:rsidR="007800A6">
        <w:t xml:space="preserve"> </w:t>
      </w:r>
      <w:r w:rsidR="00E71370">
        <w:t>T</w:t>
      </w:r>
      <w:r w:rsidR="00894D55">
        <w:t xml:space="preserve">his is typical of niacin, which is a highly explosive dust. Figures </w:t>
      </w:r>
      <w:r w:rsidR="007800A6">
        <w:t>3</w:t>
      </w:r>
      <w:r w:rsidR="00894D55">
        <w:t>,</w:t>
      </w:r>
      <w:r w:rsidR="00B42794">
        <w:t xml:space="preserve"> </w:t>
      </w:r>
      <w:r w:rsidR="007800A6">
        <w:t>4</w:t>
      </w:r>
      <w:r w:rsidR="00894D55">
        <w:t xml:space="preserve"> and </w:t>
      </w:r>
      <w:r w:rsidR="007800A6">
        <w:t>5</w:t>
      </w:r>
      <w:r w:rsidR="00894D55">
        <w:t xml:space="preserve"> reports </w:t>
      </w:r>
      <w:r w:rsidR="00335AE0">
        <w:t xml:space="preserve">frames of some test. Figure </w:t>
      </w:r>
      <w:r w:rsidR="007800A6">
        <w:t>3</w:t>
      </w:r>
      <w:r w:rsidR="00335AE0">
        <w:t xml:space="preserve"> reports </w:t>
      </w:r>
      <w:r w:rsidR="007800A6">
        <w:t xml:space="preserve">a </w:t>
      </w:r>
      <w:r w:rsidR="00335AE0">
        <w:t xml:space="preserve">low </w:t>
      </w:r>
      <w:r w:rsidR="007800A6">
        <w:t>mass</w:t>
      </w:r>
      <w:r w:rsidR="00335AE0">
        <w:t xml:space="preserve"> test, with minimum energy and average delay time</w:t>
      </w:r>
      <w:r w:rsidR="007800A6">
        <w:t xml:space="preserve">, Figure 4 reports a test with 2000 mg loaded, 30 mJ spark and low delay time, and Figure 5 reports a high dust loaded, delay time, and energy test. </w:t>
      </w:r>
      <w:r w:rsidR="00B12192">
        <w:tab/>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7"/>
        <w:gridCol w:w="1757"/>
        <w:gridCol w:w="1746"/>
        <w:gridCol w:w="1727"/>
        <w:gridCol w:w="1697"/>
      </w:tblGrid>
      <w:tr w:rsidR="002635CC" w14:paraId="0F1B5FD2" w14:textId="192DE222" w:rsidTr="00A767DD">
        <w:tc>
          <w:tcPr>
            <w:tcW w:w="0" w:type="auto"/>
          </w:tcPr>
          <w:p w14:paraId="4C6D74D7" w14:textId="22BE5ED7" w:rsidR="002635CC" w:rsidRDefault="000A467D" w:rsidP="002635CC">
            <w:pPr>
              <w:pStyle w:val="CETBodytext"/>
              <w:rPr>
                <w:lang w:val="en-GB"/>
              </w:rPr>
            </w:pPr>
            <w:r>
              <w:rPr>
                <w:noProof/>
              </w:rPr>
              <w:t>a</w:t>
            </w:r>
            <w:r w:rsidR="002635CC">
              <w:rPr>
                <w:noProof/>
              </w:rPr>
              <w:drawing>
                <wp:inline distT="0" distB="0" distL="0" distR="0" wp14:anchorId="1F57613A" wp14:editId="0C4F65FC">
                  <wp:extent cx="914400" cy="1464844"/>
                  <wp:effectExtent l="0" t="0" r="0" b="2540"/>
                  <wp:docPr id="67221439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14390" name=""/>
                          <pic:cNvPicPr/>
                        </pic:nvPicPr>
                        <pic:blipFill rotWithShape="1">
                          <a:blip r:embed="rId11"/>
                          <a:srcRect l="33458" t="371" r="33766" b="6292"/>
                          <a:stretch/>
                        </pic:blipFill>
                        <pic:spPr bwMode="auto">
                          <a:xfrm>
                            <a:off x="0" y="0"/>
                            <a:ext cx="914400" cy="146484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1E283858" w14:textId="7C49273B" w:rsidR="002635CC" w:rsidRDefault="000A467D" w:rsidP="002635CC">
            <w:pPr>
              <w:pStyle w:val="CETBodytext"/>
              <w:rPr>
                <w:lang w:val="en-GB"/>
              </w:rPr>
            </w:pPr>
            <w:r>
              <w:rPr>
                <w:lang w:val="en-GB"/>
              </w:rPr>
              <w:t>b</w:t>
            </w:r>
            <w:r>
              <w:rPr>
                <w:noProof/>
              </w:rPr>
              <w:drawing>
                <wp:inline distT="0" distB="0" distL="0" distR="0" wp14:anchorId="08423139" wp14:editId="6E670C74">
                  <wp:extent cx="914400" cy="1478280"/>
                  <wp:effectExtent l="0" t="0" r="0" b="7620"/>
                  <wp:docPr id="67529626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96262" name=""/>
                          <pic:cNvPicPr/>
                        </pic:nvPicPr>
                        <pic:blipFill rotWithShape="1">
                          <a:blip r:embed="rId15"/>
                          <a:srcRect l="33732" r="33493" b="5806"/>
                          <a:stretch/>
                        </pic:blipFill>
                        <pic:spPr bwMode="auto">
                          <a:xfrm>
                            <a:off x="0" y="0"/>
                            <a:ext cx="914400" cy="147828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08065274" w14:textId="496E8AD4" w:rsidR="002635CC" w:rsidRDefault="000A467D" w:rsidP="002635CC">
            <w:pPr>
              <w:pStyle w:val="CETBodytext"/>
              <w:rPr>
                <w:lang w:val="en-GB"/>
              </w:rPr>
            </w:pPr>
            <w:r>
              <w:rPr>
                <w:lang w:val="en-GB"/>
              </w:rPr>
              <w:t>c</w:t>
            </w:r>
            <w:r w:rsidR="002635CC">
              <w:rPr>
                <w:noProof/>
              </w:rPr>
              <w:drawing>
                <wp:inline distT="0" distB="0" distL="0" distR="0" wp14:anchorId="18257125" wp14:editId="625083E4">
                  <wp:extent cx="914400" cy="1489285"/>
                  <wp:effectExtent l="0" t="0" r="0" b="0"/>
                  <wp:docPr id="161344832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48322" name=""/>
                          <pic:cNvPicPr/>
                        </pic:nvPicPr>
                        <pic:blipFill rotWithShape="1">
                          <a:blip r:embed="rId16"/>
                          <a:srcRect l="33732" r="33735" b="5806"/>
                          <a:stretch/>
                        </pic:blipFill>
                        <pic:spPr bwMode="auto">
                          <a:xfrm>
                            <a:off x="0" y="0"/>
                            <a:ext cx="914400" cy="1489285"/>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7595CE61" w14:textId="30D0D144" w:rsidR="002635CC" w:rsidRDefault="000A467D" w:rsidP="002635CC">
            <w:pPr>
              <w:pStyle w:val="CETBodytext"/>
              <w:rPr>
                <w:lang w:val="en-GB"/>
              </w:rPr>
            </w:pPr>
            <w:r>
              <w:rPr>
                <w:lang w:val="en-GB"/>
              </w:rPr>
              <w:t>d</w:t>
            </w:r>
            <w:r w:rsidR="002635CC">
              <w:rPr>
                <w:noProof/>
              </w:rPr>
              <w:drawing>
                <wp:inline distT="0" distB="0" distL="0" distR="0" wp14:anchorId="55410946" wp14:editId="7DD9DA93">
                  <wp:extent cx="890057" cy="1474470"/>
                  <wp:effectExtent l="0" t="0" r="5715" b="0"/>
                  <wp:docPr id="11626011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601184" name=""/>
                          <pic:cNvPicPr/>
                        </pic:nvPicPr>
                        <pic:blipFill rotWithShape="1">
                          <a:blip r:embed="rId17"/>
                          <a:srcRect l="33916" r="34016" b="5564"/>
                          <a:stretch/>
                        </pic:blipFill>
                        <pic:spPr bwMode="auto">
                          <a:xfrm>
                            <a:off x="0" y="0"/>
                            <a:ext cx="890330" cy="1474922"/>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1048F916" w14:textId="55F8E6E8" w:rsidR="002635CC" w:rsidRDefault="000A467D" w:rsidP="002635CC">
            <w:pPr>
              <w:pStyle w:val="CETBodytext"/>
              <w:rPr>
                <w:noProof/>
              </w:rPr>
            </w:pPr>
            <w:r>
              <w:rPr>
                <w:noProof/>
              </w:rPr>
              <w:t>e</w:t>
            </w:r>
            <w:r w:rsidR="002635CC">
              <w:rPr>
                <w:noProof/>
              </w:rPr>
              <w:drawing>
                <wp:inline distT="0" distB="0" distL="0" distR="0" wp14:anchorId="6C48729B" wp14:editId="144B6E8B">
                  <wp:extent cx="869783" cy="1473637"/>
                  <wp:effectExtent l="0" t="0" r="6985" b="0"/>
                  <wp:docPr id="1054069049" name="Immagine 1" descr="Immagine che contiene schermata, Software multimediale,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069049" name="Immagine 1" descr="Immagine che contiene schermata, Software multimediale, computer&#10;&#10;Descrizione generata automaticamente"/>
                          <pic:cNvPicPr/>
                        </pic:nvPicPr>
                        <pic:blipFill rotWithShape="1">
                          <a:blip r:embed="rId18"/>
                          <a:srcRect l="34444" r="34361" b="6049"/>
                          <a:stretch/>
                        </pic:blipFill>
                        <pic:spPr bwMode="auto">
                          <a:xfrm>
                            <a:off x="0" y="0"/>
                            <a:ext cx="870275" cy="14744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1C41F08" w14:textId="7D40D240" w:rsidR="002635CC" w:rsidRDefault="002635CC" w:rsidP="002635CC">
      <w:pPr>
        <w:pStyle w:val="CETBodytext"/>
        <w:rPr>
          <w:lang w:val="en-GB"/>
        </w:rPr>
      </w:pPr>
      <w:r w:rsidRPr="00BD077D">
        <w:rPr>
          <w:rStyle w:val="CETCaptionCarattere"/>
        </w:rPr>
        <w:t xml:space="preserve">Figure </w:t>
      </w:r>
      <w:r w:rsidR="003375BC">
        <w:rPr>
          <w:rStyle w:val="CETCaptionCarattere"/>
        </w:rPr>
        <w:t>3</w:t>
      </w:r>
      <w:r w:rsidRPr="00BD077D">
        <w:rPr>
          <w:rStyle w:val="CETCaptionCarattere"/>
        </w:rPr>
        <w:t xml:space="preserve">: </w:t>
      </w:r>
      <w:r>
        <w:rPr>
          <w:rStyle w:val="CETCaptionCarattere"/>
        </w:rPr>
        <w:t>750 mg, 3 mJ, 120 ms</w:t>
      </w:r>
      <w:r w:rsidR="007C7F03">
        <w:rPr>
          <w:rStyle w:val="CETCaptionCarattere"/>
        </w:rPr>
        <w:t>.</w:t>
      </w:r>
      <w:r w:rsidR="000A467D">
        <w:rPr>
          <w:rStyle w:val="CETCaptionCarattere"/>
        </w:rPr>
        <w:t xml:space="preserve"> </w:t>
      </w:r>
      <w:r w:rsidR="007C7F03">
        <w:rPr>
          <w:rStyle w:val="CETCaptionCarattere"/>
        </w:rPr>
        <w:t>F</w:t>
      </w:r>
      <w:r w:rsidR="000A467D">
        <w:rPr>
          <w:rStyle w:val="CETCaptionCarattere"/>
        </w:rPr>
        <w:t>rom a to e: start of experiment, dust lifting, arc trigger, combustion trigger, flame propagation</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7"/>
        <w:gridCol w:w="1757"/>
        <w:gridCol w:w="1746"/>
        <w:gridCol w:w="1757"/>
        <w:gridCol w:w="1757"/>
      </w:tblGrid>
      <w:tr w:rsidR="00AD3F9E" w14:paraId="7EE1A2C3" w14:textId="77777777" w:rsidTr="00A767DD">
        <w:tc>
          <w:tcPr>
            <w:tcW w:w="0" w:type="auto"/>
          </w:tcPr>
          <w:p w14:paraId="447352C9" w14:textId="765BE660" w:rsidR="0040299F" w:rsidRDefault="0040299F" w:rsidP="0022325A">
            <w:pPr>
              <w:pStyle w:val="CETBodytext"/>
              <w:rPr>
                <w:lang w:val="en-GB"/>
              </w:rPr>
            </w:pPr>
            <w:r>
              <w:rPr>
                <w:noProof/>
              </w:rPr>
              <w:t>a</w:t>
            </w:r>
            <w:r w:rsidR="00AD3F9E">
              <w:rPr>
                <w:noProof/>
              </w:rPr>
              <w:drawing>
                <wp:inline distT="0" distB="0" distL="0" distR="0" wp14:anchorId="3EA1ED1B" wp14:editId="247B1E9E">
                  <wp:extent cx="914400" cy="1632732"/>
                  <wp:effectExtent l="0" t="0" r="0" b="5715"/>
                  <wp:docPr id="15074407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40712" name=""/>
                          <pic:cNvPicPr/>
                        </pic:nvPicPr>
                        <pic:blipFill rotWithShape="1">
                          <a:blip r:embed="rId19"/>
                          <a:srcRect l="35247" r="35095" b="5859"/>
                          <a:stretch/>
                        </pic:blipFill>
                        <pic:spPr bwMode="auto">
                          <a:xfrm>
                            <a:off x="0" y="0"/>
                            <a:ext cx="914400" cy="1632732"/>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173BBA05" w14:textId="5329010B" w:rsidR="0040299F" w:rsidRDefault="0040299F" w:rsidP="0022325A">
            <w:pPr>
              <w:pStyle w:val="CETBodytext"/>
              <w:rPr>
                <w:lang w:val="en-GB"/>
              </w:rPr>
            </w:pPr>
            <w:r>
              <w:rPr>
                <w:lang w:val="en-GB"/>
              </w:rPr>
              <w:t>b</w:t>
            </w:r>
            <w:r w:rsidR="00AD3F9E">
              <w:rPr>
                <w:noProof/>
              </w:rPr>
              <w:drawing>
                <wp:inline distT="0" distB="0" distL="0" distR="0" wp14:anchorId="6719EC6B" wp14:editId="160DD172">
                  <wp:extent cx="914400" cy="1626979"/>
                  <wp:effectExtent l="0" t="0" r="0" b="0"/>
                  <wp:docPr id="146109905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99054" name=""/>
                          <pic:cNvPicPr/>
                        </pic:nvPicPr>
                        <pic:blipFill rotWithShape="1">
                          <a:blip r:embed="rId20"/>
                          <a:srcRect l="35117" r="35162" b="5994"/>
                          <a:stretch/>
                        </pic:blipFill>
                        <pic:spPr bwMode="auto">
                          <a:xfrm>
                            <a:off x="0" y="0"/>
                            <a:ext cx="914400" cy="1626979"/>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695C12DA" w14:textId="246F5C90" w:rsidR="0040299F" w:rsidRDefault="0040299F" w:rsidP="0022325A">
            <w:pPr>
              <w:pStyle w:val="CETBodytext"/>
              <w:rPr>
                <w:lang w:val="en-GB"/>
              </w:rPr>
            </w:pPr>
            <w:r>
              <w:rPr>
                <w:lang w:val="en-GB"/>
              </w:rPr>
              <w:t>c</w:t>
            </w:r>
            <w:r w:rsidR="00AD3F9E">
              <w:rPr>
                <w:noProof/>
              </w:rPr>
              <w:drawing>
                <wp:inline distT="0" distB="0" distL="0" distR="0" wp14:anchorId="5F3ECEFC" wp14:editId="10D2D7F0">
                  <wp:extent cx="914400" cy="1620431"/>
                  <wp:effectExtent l="0" t="0" r="0" b="0"/>
                  <wp:docPr id="11260806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80663" name=""/>
                          <pic:cNvPicPr/>
                        </pic:nvPicPr>
                        <pic:blipFill rotWithShape="1">
                          <a:blip r:embed="rId21"/>
                          <a:srcRect l="34987" r="35095" b="5751"/>
                          <a:stretch/>
                        </pic:blipFill>
                        <pic:spPr bwMode="auto">
                          <a:xfrm>
                            <a:off x="0" y="0"/>
                            <a:ext cx="914400" cy="162043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0C4C2883" w14:textId="595DB643" w:rsidR="0040299F" w:rsidRDefault="0040299F" w:rsidP="0022325A">
            <w:pPr>
              <w:pStyle w:val="CETBodytext"/>
              <w:rPr>
                <w:lang w:val="en-GB"/>
              </w:rPr>
            </w:pPr>
            <w:r>
              <w:rPr>
                <w:lang w:val="en-GB"/>
              </w:rPr>
              <w:t>d</w:t>
            </w:r>
            <w:r w:rsidR="00AD3F9E">
              <w:rPr>
                <w:noProof/>
              </w:rPr>
              <w:drawing>
                <wp:inline distT="0" distB="0" distL="0" distR="0" wp14:anchorId="7B260134" wp14:editId="654DF23C">
                  <wp:extent cx="914400" cy="1627003"/>
                  <wp:effectExtent l="0" t="0" r="0" b="0"/>
                  <wp:docPr id="78526500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65002" name=""/>
                          <pic:cNvPicPr/>
                        </pic:nvPicPr>
                        <pic:blipFill rotWithShape="1">
                          <a:blip r:embed="rId22"/>
                          <a:srcRect l="35117" r="35157" b="5976"/>
                          <a:stretch/>
                        </pic:blipFill>
                        <pic:spPr bwMode="auto">
                          <a:xfrm>
                            <a:off x="0" y="0"/>
                            <a:ext cx="914400" cy="1627003"/>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60BAF1F8" w14:textId="29F06C89" w:rsidR="0040299F" w:rsidRDefault="0040299F" w:rsidP="0022325A">
            <w:pPr>
              <w:pStyle w:val="CETBodytext"/>
              <w:rPr>
                <w:noProof/>
              </w:rPr>
            </w:pPr>
            <w:r>
              <w:rPr>
                <w:noProof/>
              </w:rPr>
              <w:t>e</w:t>
            </w:r>
            <w:r w:rsidR="00AD3F9E">
              <w:rPr>
                <w:noProof/>
              </w:rPr>
              <w:drawing>
                <wp:inline distT="0" distB="0" distL="0" distR="0" wp14:anchorId="07808350" wp14:editId="2C55B50A">
                  <wp:extent cx="914364" cy="1581513"/>
                  <wp:effectExtent l="0" t="0" r="635" b="0"/>
                  <wp:docPr id="12258191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19115" name=""/>
                          <pic:cNvPicPr/>
                        </pic:nvPicPr>
                        <pic:blipFill rotWithShape="1">
                          <a:blip r:embed="rId23"/>
                          <a:srcRect l="34857" t="15" r="34504" b="5780"/>
                          <a:stretch/>
                        </pic:blipFill>
                        <pic:spPr bwMode="auto">
                          <a:xfrm>
                            <a:off x="0" y="0"/>
                            <a:ext cx="914400" cy="15815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2E13B8" w14:textId="2BFCC44A" w:rsidR="0040299F" w:rsidRDefault="0040299F" w:rsidP="0040299F">
      <w:pPr>
        <w:pStyle w:val="CETBodytext"/>
        <w:rPr>
          <w:rStyle w:val="CETCaptionCarattere"/>
        </w:rPr>
      </w:pPr>
      <w:r w:rsidRPr="00BD077D">
        <w:rPr>
          <w:rStyle w:val="CETCaptionCarattere"/>
        </w:rPr>
        <w:t xml:space="preserve">Figure </w:t>
      </w:r>
      <w:r w:rsidR="003375BC">
        <w:rPr>
          <w:rStyle w:val="CETCaptionCarattere"/>
        </w:rPr>
        <w:t>4</w:t>
      </w:r>
      <w:r w:rsidRPr="00BD077D">
        <w:rPr>
          <w:rStyle w:val="CETCaptionCarattere"/>
        </w:rPr>
        <w:t xml:space="preserve">: </w:t>
      </w:r>
      <w:r w:rsidR="00AD3F9E">
        <w:rPr>
          <w:rStyle w:val="CETCaptionCarattere"/>
        </w:rPr>
        <w:t>200</w:t>
      </w:r>
      <w:r>
        <w:rPr>
          <w:rStyle w:val="CETCaptionCarattere"/>
        </w:rPr>
        <w:t>0 mg, 3</w:t>
      </w:r>
      <w:r w:rsidR="00AD3F9E">
        <w:rPr>
          <w:rStyle w:val="CETCaptionCarattere"/>
        </w:rPr>
        <w:t>0</w:t>
      </w:r>
      <w:r>
        <w:rPr>
          <w:rStyle w:val="CETCaptionCarattere"/>
        </w:rPr>
        <w:t xml:space="preserve"> mJ, </w:t>
      </w:r>
      <w:r w:rsidR="00AD3F9E">
        <w:rPr>
          <w:rStyle w:val="CETCaptionCarattere"/>
        </w:rPr>
        <w:t>60</w:t>
      </w:r>
      <w:r>
        <w:rPr>
          <w:rStyle w:val="CETCaptionCarattere"/>
        </w:rPr>
        <w:t xml:space="preserve"> ms. From a to e: start of experiment, dust lifting, arc trigger, combustion trigger, flame propagation</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7"/>
        <w:gridCol w:w="1757"/>
        <w:gridCol w:w="1746"/>
        <w:gridCol w:w="1757"/>
        <w:gridCol w:w="1757"/>
      </w:tblGrid>
      <w:tr w:rsidR="00AD3F9E" w14:paraId="590A3B8D" w14:textId="77777777" w:rsidTr="00A767DD">
        <w:tc>
          <w:tcPr>
            <w:tcW w:w="0" w:type="auto"/>
          </w:tcPr>
          <w:p w14:paraId="59D51442" w14:textId="0B63F9D4" w:rsidR="0040299F" w:rsidRDefault="00364A76" w:rsidP="0022325A">
            <w:pPr>
              <w:pStyle w:val="CETBodytext"/>
              <w:rPr>
                <w:lang w:val="en-GB"/>
              </w:rPr>
            </w:pPr>
            <w:r>
              <w:rPr>
                <w:lang w:val="en-GB"/>
              </w:rPr>
              <w:t>a</w:t>
            </w:r>
            <w:r>
              <w:rPr>
                <w:noProof/>
              </w:rPr>
              <w:drawing>
                <wp:inline distT="0" distB="0" distL="0" distR="0" wp14:anchorId="055B2A78" wp14:editId="28175F17">
                  <wp:extent cx="914400" cy="1496959"/>
                  <wp:effectExtent l="0" t="0" r="0" b="8255"/>
                  <wp:docPr id="165395763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57632" name=""/>
                          <pic:cNvPicPr/>
                        </pic:nvPicPr>
                        <pic:blipFill rotWithShape="1">
                          <a:blip r:embed="rId24"/>
                          <a:srcRect l="33721" t="4481" r="33598" b="411"/>
                          <a:stretch/>
                        </pic:blipFill>
                        <pic:spPr bwMode="auto">
                          <a:xfrm>
                            <a:off x="0" y="0"/>
                            <a:ext cx="914400" cy="1496959"/>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5E7711B3" w14:textId="75A17D02" w:rsidR="0040299F" w:rsidRDefault="0040299F" w:rsidP="0022325A">
            <w:pPr>
              <w:pStyle w:val="CETBodytext"/>
              <w:rPr>
                <w:lang w:val="en-GB"/>
              </w:rPr>
            </w:pPr>
            <w:r>
              <w:rPr>
                <w:lang w:val="en-GB"/>
              </w:rPr>
              <w:t>b</w:t>
            </w:r>
            <w:r w:rsidR="00364A76">
              <w:rPr>
                <w:noProof/>
              </w:rPr>
              <w:drawing>
                <wp:inline distT="0" distB="0" distL="0" distR="0" wp14:anchorId="4F45A166" wp14:editId="70895FAC">
                  <wp:extent cx="914068" cy="1531257"/>
                  <wp:effectExtent l="0" t="0" r="635" b="0"/>
                  <wp:docPr id="1121971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7191" name=""/>
                          <pic:cNvPicPr/>
                        </pic:nvPicPr>
                        <pic:blipFill rotWithShape="1">
                          <a:blip r:embed="rId25"/>
                          <a:srcRect l="35087" t="4110" r="34864" b="6404"/>
                          <a:stretch/>
                        </pic:blipFill>
                        <pic:spPr bwMode="auto">
                          <a:xfrm>
                            <a:off x="0" y="0"/>
                            <a:ext cx="914400" cy="153181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18EEE52F" w14:textId="58046BB9" w:rsidR="0040299F" w:rsidRDefault="0040299F" w:rsidP="0022325A">
            <w:pPr>
              <w:pStyle w:val="CETBodytext"/>
              <w:rPr>
                <w:lang w:val="en-GB"/>
              </w:rPr>
            </w:pPr>
            <w:r>
              <w:rPr>
                <w:lang w:val="en-GB"/>
              </w:rPr>
              <w:t>c</w:t>
            </w:r>
            <w:r w:rsidR="00AD3F9E">
              <w:rPr>
                <w:noProof/>
              </w:rPr>
              <w:drawing>
                <wp:inline distT="0" distB="0" distL="0" distR="0" wp14:anchorId="3CA5859A" wp14:editId="4C5A47F7">
                  <wp:extent cx="914400" cy="1547039"/>
                  <wp:effectExtent l="0" t="0" r="0" b="0"/>
                  <wp:docPr id="20534063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06317" name=""/>
                          <pic:cNvPicPr/>
                        </pic:nvPicPr>
                        <pic:blipFill rotWithShape="1">
                          <a:blip r:embed="rId26"/>
                          <a:srcRect l="35117" t="4394" r="35093" b="6010"/>
                          <a:stretch/>
                        </pic:blipFill>
                        <pic:spPr bwMode="auto">
                          <a:xfrm>
                            <a:off x="0" y="0"/>
                            <a:ext cx="914400" cy="1547039"/>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1FDAF7CB" w14:textId="35CF8BE0" w:rsidR="0040299F" w:rsidRDefault="0040299F" w:rsidP="0022325A">
            <w:pPr>
              <w:pStyle w:val="CETBodytext"/>
              <w:rPr>
                <w:lang w:val="en-GB"/>
              </w:rPr>
            </w:pPr>
            <w:r>
              <w:rPr>
                <w:lang w:val="en-GB"/>
              </w:rPr>
              <w:t>d</w:t>
            </w:r>
            <w:r w:rsidR="00AD3F9E">
              <w:rPr>
                <w:noProof/>
              </w:rPr>
              <w:drawing>
                <wp:inline distT="0" distB="0" distL="0" distR="0" wp14:anchorId="7635D53B" wp14:editId="48AD1132">
                  <wp:extent cx="914400" cy="1554419"/>
                  <wp:effectExtent l="0" t="0" r="0" b="8255"/>
                  <wp:docPr id="162693505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35055" name=""/>
                          <pic:cNvPicPr/>
                        </pic:nvPicPr>
                        <pic:blipFill rotWithShape="1">
                          <a:blip r:embed="rId27"/>
                          <a:srcRect l="35182" t="4163" r="35091" b="6004"/>
                          <a:stretch/>
                        </pic:blipFill>
                        <pic:spPr bwMode="auto">
                          <a:xfrm>
                            <a:off x="0" y="0"/>
                            <a:ext cx="914400" cy="1554419"/>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2E60F7AC" w14:textId="1E6C9FA3" w:rsidR="0040299F" w:rsidRDefault="0040299F" w:rsidP="0022325A">
            <w:pPr>
              <w:pStyle w:val="CETBodytext"/>
              <w:rPr>
                <w:noProof/>
              </w:rPr>
            </w:pPr>
            <w:r>
              <w:rPr>
                <w:noProof/>
              </w:rPr>
              <w:t>e</w:t>
            </w:r>
            <w:r w:rsidR="00AD3F9E">
              <w:rPr>
                <w:noProof/>
              </w:rPr>
              <w:drawing>
                <wp:inline distT="0" distB="0" distL="0" distR="0" wp14:anchorId="4834F6DF" wp14:editId="20794078">
                  <wp:extent cx="914400" cy="1540881"/>
                  <wp:effectExtent l="0" t="0" r="0" b="2540"/>
                  <wp:docPr id="94086659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66594" name=""/>
                          <pic:cNvPicPr/>
                        </pic:nvPicPr>
                        <pic:blipFill rotWithShape="1">
                          <a:blip r:embed="rId28"/>
                          <a:srcRect l="35053" t="4394" r="35039" b="6015"/>
                          <a:stretch/>
                        </pic:blipFill>
                        <pic:spPr bwMode="auto">
                          <a:xfrm>
                            <a:off x="0" y="0"/>
                            <a:ext cx="914400" cy="15408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9B87A8" w14:textId="497E2941" w:rsidR="0040299F" w:rsidRDefault="0040299F" w:rsidP="0040299F">
      <w:pPr>
        <w:pStyle w:val="CETBodytext"/>
        <w:rPr>
          <w:rStyle w:val="CETCaptionCarattere"/>
        </w:rPr>
      </w:pPr>
      <w:r w:rsidRPr="00BD077D">
        <w:rPr>
          <w:rStyle w:val="CETCaptionCarattere"/>
        </w:rPr>
        <w:t xml:space="preserve">Figure </w:t>
      </w:r>
      <w:r w:rsidR="003375BC">
        <w:rPr>
          <w:rStyle w:val="CETCaptionCarattere"/>
        </w:rPr>
        <w:t>5</w:t>
      </w:r>
      <w:r w:rsidRPr="00BD077D">
        <w:rPr>
          <w:rStyle w:val="CETCaptionCarattere"/>
        </w:rPr>
        <w:t xml:space="preserve">: </w:t>
      </w:r>
      <w:r w:rsidR="00364A76">
        <w:rPr>
          <w:rStyle w:val="CETCaptionCarattere"/>
        </w:rPr>
        <w:t>3000</w:t>
      </w:r>
      <w:r>
        <w:rPr>
          <w:rStyle w:val="CETCaptionCarattere"/>
        </w:rPr>
        <w:t xml:space="preserve"> mg, </w:t>
      </w:r>
      <w:r w:rsidR="00364A76">
        <w:rPr>
          <w:rStyle w:val="CETCaptionCarattere"/>
        </w:rPr>
        <w:t>1000</w:t>
      </w:r>
      <w:r>
        <w:rPr>
          <w:rStyle w:val="CETCaptionCarattere"/>
        </w:rPr>
        <w:t xml:space="preserve"> mJ, 1</w:t>
      </w:r>
      <w:r w:rsidR="00364A76">
        <w:rPr>
          <w:rStyle w:val="CETCaptionCarattere"/>
        </w:rPr>
        <w:t>8</w:t>
      </w:r>
      <w:r>
        <w:rPr>
          <w:rStyle w:val="CETCaptionCarattere"/>
        </w:rPr>
        <w:t>0 ms. From a to e: start of experiment, dust lifting, arc trigger, combustion trigger, flame propagation</w:t>
      </w:r>
    </w:p>
    <w:p w14:paraId="48C473C6" w14:textId="423DAAB4" w:rsidR="008A478C" w:rsidRDefault="008A478C" w:rsidP="0040299F">
      <w:pPr>
        <w:pStyle w:val="CETBodytext"/>
        <w:rPr>
          <w:lang w:val="en-GB"/>
        </w:rPr>
      </w:pPr>
    </w:p>
    <w:p w14:paraId="5FD4FD62" w14:textId="67F035E0" w:rsidR="008A478C" w:rsidRDefault="008A478C" w:rsidP="00600535">
      <w:pPr>
        <w:pStyle w:val="CETBodytext"/>
        <w:rPr>
          <w:lang w:val="en-GB"/>
        </w:rPr>
      </w:pPr>
      <w:r>
        <w:rPr>
          <w:lang w:val="en-GB"/>
        </w:rPr>
        <w:t>Each test was analysed with the scope of finding the characteristic times of those specific events:</w:t>
      </w:r>
    </w:p>
    <w:p w14:paraId="7CD587C9" w14:textId="7065F5D6" w:rsidR="008A478C" w:rsidRDefault="008A478C" w:rsidP="008A478C">
      <w:pPr>
        <w:pStyle w:val="CETBodytext"/>
        <w:numPr>
          <w:ilvl w:val="0"/>
          <w:numId w:val="23"/>
        </w:numPr>
        <w:rPr>
          <w:lang w:val="en-GB"/>
        </w:rPr>
      </w:pPr>
      <w:r>
        <w:rPr>
          <w:lang w:val="en-GB"/>
        </w:rPr>
        <w:t>Visible lifted dust</w:t>
      </w:r>
      <w:r w:rsidR="00E10435">
        <w:rPr>
          <w:lang w:val="en-GB"/>
        </w:rPr>
        <w:t xml:space="preserve"> (t</w:t>
      </w:r>
      <w:r w:rsidR="00E10435" w:rsidRPr="00E10435">
        <w:rPr>
          <w:vertAlign w:val="subscript"/>
          <w:lang w:val="en-GB"/>
        </w:rPr>
        <w:t>0</w:t>
      </w:r>
      <w:r w:rsidR="00E10435">
        <w:rPr>
          <w:lang w:val="en-GB"/>
        </w:rPr>
        <w:t>)</w:t>
      </w:r>
    </w:p>
    <w:p w14:paraId="22E4BE13" w14:textId="7C23B26E" w:rsidR="008A478C" w:rsidRDefault="008A478C" w:rsidP="008A478C">
      <w:pPr>
        <w:pStyle w:val="CETBodytext"/>
        <w:numPr>
          <w:ilvl w:val="0"/>
          <w:numId w:val="23"/>
        </w:numPr>
        <w:rPr>
          <w:lang w:val="en-GB"/>
        </w:rPr>
      </w:pPr>
      <w:r>
        <w:rPr>
          <w:lang w:val="en-GB"/>
        </w:rPr>
        <w:t>Spark release</w:t>
      </w:r>
      <w:r w:rsidR="00E10435">
        <w:rPr>
          <w:lang w:val="en-GB"/>
        </w:rPr>
        <w:t xml:space="preserve"> (t</w:t>
      </w:r>
      <w:r w:rsidR="00E10435">
        <w:rPr>
          <w:vertAlign w:val="subscript"/>
          <w:lang w:val="en-GB"/>
        </w:rPr>
        <w:t>1</w:t>
      </w:r>
      <w:r w:rsidR="00E10435">
        <w:rPr>
          <w:lang w:val="en-GB"/>
        </w:rPr>
        <w:t>)</w:t>
      </w:r>
    </w:p>
    <w:p w14:paraId="72ECD01B" w14:textId="1523104D" w:rsidR="008A478C" w:rsidRDefault="008A478C" w:rsidP="008A478C">
      <w:pPr>
        <w:pStyle w:val="CETBodytext"/>
        <w:numPr>
          <w:ilvl w:val="0"/>
          <w:numId w:val="23"/>
        </w:numPr>
        <w:rPr>
          <w:lang w:val="en-GB"/>
        </w:rPr>
      </w:pPr>
      <w:r>
        <w:rPr>
          <w:lang w:val="en-GB"/>
        </w:rPr>
        <w:t>Spark end</w:t>
      </w:r>
      <w:r w:rsidR="00E10435">
        <w:rPr>
          <w:lang w:val="en-GB"/>
        </w:rPr>
        <w:t xml:space="preserve"> (t</w:t>
      </w:r>
      <w:r w:rsidR="00E10435">
        <w:rPr>
          <w:vertAlign w:val="subscript"/>
          <w:lang w:val="en-GB"/>
        </w:rPr>
        <w:t>2</w:t>
      </w:r>
      <w:r w:rsidR="00E10435">
        <w:rPr>
          <w:lang w:val="en-GB"/>
        </w:rPr>
        <w:t>)</w:t>
      </w:r>
    </w:p>
    <w:p w14:paraId="4B286375" w14:textId="7B7C3677" w:rsidR="008A478C" w:rsidRDefault="008A478C" w:rsidP="008A478C">
      <w:pPr>
        <w:pStyle w:val="CETBodytext"/>
        <w:numPr>
          <w:ilvl w:val="0"/>
          <w:numId w:val="23"/>
        </w:numPr>
        <w:rPr>
          <w:lang w:val="en-GB"/>
        </w:rPr>
      </w:pPr>
      <w:r>
        <w:rPr>
          <w:lang w:val="en-GB"/>
        </w:rPr>
        <w:t>Combustion trigger</w:t>
      </w:r>
      <w:r w:rsidR="00E10435">
        <w:rPr>
          <w:lang w:val="en-GB"/>
        </w:rPr>
        <w:t xml:space="preserve"> (t</w:t>
      </w:r>
      <w:r w:rsidR="00E10435">
        <w:rPr>
          <w:vertAlign w:val="subscript"/>
          <w:lang w:val="en-GB"/>
        </w:rPr>
        <w:t>3</w:t>
      </w:r>
      <w:r w:rsidR="00E10435">
        <w:rPr>
          <w:lang w:val="en-GB"/>
        </w:rPr>
        <w:t>)</w:t>
      </w:r>
    </w:p>
    <w:p w14:paraId="664B82F9" w14:textId="7C1C7204" w:rsidR="008A478C" w:rsidRDefault="008A478C" w:rsidP="008A478C">
      <w:pPr>
        <w:pStyle w:val="CETBodytext"/>
        <w:numPr>
          <w:ilvl w:val="0"/>
          <w:numId w:val="23"/>
        </w:numPr>
        <w:rPr>
          <w:lang w:val="en-GB"/>
        </w:rPr>
      </w:pPr>
      <w:r>
        <w:rPr>
          <w:lang w:val="en-GB"/>
        </w:rPr>
        <w:t xml:space="preserve">End of combustion (no visible flame) </w:t>
      </w:r>
      <w:r w:rsidR="00E10435">
        <w:rPr>
          <w:lang w:val="en-GB"/>
        </w:rPr>
        <w:t>(t</w:t>
      </w:r>
      <w:r w:rsidR="00E10435">
        <w:rPr>
          <w:vertAlign w:val="subscript"/>
          <w:lang w:val="en-GB"/>
        </w:rPr>
        <w:t>4</w:t>
      </w:r>
      <w:r w:rsidR="00E10435">
        <w:rPr>
          <w:lang w:val="en-GB"/>
        </w:rPr>
        <w:t>)</w:t>
      </w:r>
    </w:p>
    <w:p w14:paraId="01952978" w14:textId="662F819E" w:rsidR="003375BC" w:rsidRDefault="003375BC" w:rsidP="00600535">
      <w:pPr>
        <w:pStyle w:val="CETBodytext"/>
        <w:rPr>
          <w:lang w:val="en-GB"/>
        </w:rPr>
      </w:pPr>
      <w:r>
        <w:rPr>
          <w:lang w:val="en-GB"/>
        </w:rPr>
        <w:t xml:space="preserve">From those times, those significative time steps </w:t>
      </w:r>
      <w:r w:rsidR="007800A6">
        <w:rPr>
          <w:lang w:val="en-GB"/>
        </w:rPr>
        <w:t>were</w:t>
      </w:r>
      <w:r>
        <w:rPr>
          <w:lang w:val="en-GB"/>
        </w:rPr>
        <w:t xml:space="preserve"> identified and analysed:</w:t>
      </w:r>
    </w:p>
    <w:p w14:paraId="23022CD2" w14:textId="2B4B287A" w:rsidR="003375BC" w:rsidRDefault="003375BC" w:rsidP="003375BC">
      <w:pPr>
        <w:pStyle w:val="CETBodytext"/>
        <w:numPr>
          <w:ilvl w:val="0"/>
          <w:numId w:val="24"/>
        </w:numPr>
        <w:rPr>
          <w:lang w:val="en-GB"/>
        </w:rPr>
      </w:pPr>
      <w:r>
        <w:rPr>
          <w:lang w:val="en-GB"/>
        </w:rPr>
        <w:t>The effective delay time t</w:t>
      </w:r>
      <w:r w:rsidRPr="003375BC">
        <w:rPr>
          <w:vertAlign w:val="subscript"/>
          <w:lang w:val="en-GB"/>
        </w:rPr>
        <w:t>del</w:t>
      </w:r>
      <w:r>
        <w:rPr>
          <w:lang w:val="en-GB"/>
        </w:rPr>
        <w:t>, which is the difference between t</w:t>
      </w:r>
      <w:r w:rsidRPr="003375BC">
        <w:rPr>
          <w:vertAlign w:val="subscript"/>
          <w:lang w:val="en-GB"/>
        </w:rPr>
        <w:t>1</w:t>
      </w:r>
      <w:r>
        <w:rPr>
          <w:lang w:val="en-GB"/>
        </w:rPr>
        <w:t xml:space="preserve"> and t</w:t>
      </w:r>
      <w:r w:rsidRPr="003375BC">
        <w:rPr>
          <w:vertAlign w:val="subscript"/>
          <w:lang w:val="en-GB"/>
        </w:rPr>
        <w:t>0</w:t>
      </w:r>
      <w:r>
        <w:rPr>
          <w:lang w:val="en-GB"/>
        </w:rPr>
        <w:t>, this time should be equal to the delay time given to the</w:t>
      </w:r>
      <w:r w:rsidR="007800A6">
        <w:rPr>
          <w:lang w:val="en-GB"/>
        </w:rPr>
        <w:t xml:space="preserve"> MIKE 3</w:t>
      </w:r>
    </w:p>
    <w:p w14:paraId="5E27F317" w14:textId="7267DD62" w:rsidR="003375BC" w:rsidRDefault="003375BC" w:rsidP="003375BC">
      <w:pPr>
        <w:pStyle w:val="CETBodytext"/>
        <w:numPr>
          <w:ilvl w:val="0"/>
          <w:numId w:val="24"/>
        </w:numPr>
        <w:rPr>
          <w:lang w:val="en-GB"/>
        </w:rPr>
      </w:pPr>
      <w:r>
        <w:rPr>
          <w:lang w:val="en-GB"/>
        </w:rPr>
        <w:t>The combustion trigger time t</w:t>
      </w:r>
      <w:r w:rsidRPr="003375BC">
        <w:rPr>
          <w:vertAlign w:val="subscript"/>
          <w:lang w:val="en-GB"/>
        </w:rPr>
        <w:t>ign</w:t>
      </w:r>
      <w:r>
        <w:rPr>
          <w:lang w:val="en-GB"/>
        </w:rPr>
        <w:t>, that is the difference between t</w:t>
      </w:r>
      <w:r w:rsidRPr="003375BC">
        <w:rPr>
          <w:vertAlign w:val="subscript"/>
          <w:lang w:val="en-GB"/>
        </w:rPr>
        <w:t>3</w:t>
      </w:r>
      <w:r>
        <w:rPr>
          <w:lang w:val="en-GB"/>
        </w:rPr>
        <w:t xml:space="preserve"> and t</w:t>
      </w:r>
      <w:r w:rsidRPr="003375BC">
        <w:rPr>
          <w:vertAlign w:val="subscript"/>
          <w:lang w:val="en-GB"/>
        </w:rPr>
        <w:t>2</w:t>
      </w:r>
      <w:r>
        <w:rPr>
          <w:lang w:val="en-GB"/>
        </w:rPr>
        <w:t>.</w:t>
      </w:r>
    </w:p>
    <w:p w14:paraId="76F3911F" w14:textId="72D9A834" w:rsidR="008C03AE" w:rsidRDefault="006740CD" w:rsidP="00600535">
      <w:pPr>
        <w:pStyle w:val="CETBodytext"/>
        <w:rPr>
          <w:lang w:val="en-GB"/>
        </w:rPr>
      </w:pPr>
      <w:r>
        <w:rPr>
          <w:lang w:val="en-GB"/>
        </w:rPr>
        <w:lastRenderedPageBreak/>
        <w:t xml:space="preserve">For what concerns the identification of the spark, only in </w:t>
      </w:r>
      <w:r w:rsidR="003375BC">
        <w:rPr>
          <w:lang w:val="en-GB"/>
        </w:rPr>
        <w:t>5</w:t>
      </w:r>
      <w:r>
        <w:rPr>
          <w:lang w:val="en-GB"/>
        </w:rPr>
        <w:t xml:space="preserve"> over 64 movies it was not possible to detect a visible air breakdown, which occurred nonetheless, since the ignition was triggered. This means that in 9</w:t>
      </w:r>
      <w:r w:rsidR="003375BC">
        <w:rPr>
          <w:lang w:val="en-GB"/>
        </w:rPr>
        <w:t>2.1</w:t>
      </w:r>
      <w:r>
        <w:rPr>
          <w:lang w:val="en-GB"/>
        </w:rPr>
        <w:t>% of experiments, the camera can capture the spark within a framerate of 240 fps (that is, a frame every 4 ms).</w:t>
      </w:r>
      <w:r w:rsidR="00A06FA5">
        <w:rPr>
          <w:lang w:val="en-GB"/>
        </w:rPr>
        <w:t xml:space="preserve"> </w:t>
      </w:r>
      <w:r w:rsidR="007800A6">
        <w:rPr>
          <w:lang w:val="en-GB"/>
        </w:rPr>
        <w:t>Also considering</w:t>
      </w:r>
      <w:r w:rsidR="00A06FA5">
        <w:rPr>
          <w:lang w:val="en-GB"/>
        </w:rPr>
        <w:t xml:space="preserve"> the empty tube experiments, the percentage of positively captured sparks raises to 9</w:t>
      </w:r>
      <w:r w:rsidR="003375BC">
        <w:rPr>
          <w:lang w:val="en-GB"/>
        </w:rPr>
        <w:t>3</w:t>
      </w:r>
      <w:r w:rsidR="00A06FA5">
        <w:rPr>
          <w:lang w:val="en-GB"/>
        </w:rPr>
        <w:t>.</w:t>
      </w:r>
      <w:r w:rsidR="003375BC">
        <w:rPr>
          <w:lang w:val="en-GB"/>
        </w:rPr>
        <w:t>4</w:t>
      </w:r>
      <w:r w:rsidR="00A06FA5">
        <w:rPr>
          <w:lang w:val="en-GB"/>
        </w:rPr>
        <w:t>%.</w:t>
      </w:r>
      <w:r>
        <w:rPr>
          <w:lang w:val="en-GB"/>
        </w:rPr>
        <w:t xml:space="preserve"> </w:t>
      </w:r>
      <w:r w:rsidR="008C03AE">
        <w:rPr>
          <w:lang w:val="en-GB"/>
        </w:rPr>
        <w:t>This is very interesting, c</w:t>
      </w:r>
      <w:r>
        <w:rPr>
          <w:lang w:val="en-GB"/>
        </w:rPr>
        <w:t>onsidering that the length of a spark it is supposed to last for hundreds of microseconds.</w:t>
      </w:r>
      <w:r w:rsidR="008C03AE">
        <w:rPr>
          <w:lang w:val="en-GB"/>
        </w:rPr>
        <w:t xml:space="preserve"> This is due to the presence of inductance in the circuit, which develops a longer spark. However, in every frame analysed, the spark never lasted for more than one frame in every test performed. This means that the duration of the same </w:t>
      </w:r>
      <w:r w:rsidR="003375BC">
        <w:rPr>
          <w:lang w:val="en-GB"/>
        </w:rPr>
        <w:t xml:space="preserve">should </w:t>
      </w:r>
      <w:r w:rsidR="008C03AE">
        <w:rPr>
          <w:lang w:val="en-GB"/>
        </w:rPr>
        <w:t>be lesser than 4 ms</w:t>
      </w:r>
      <w:r w:rsidR="003375BC">
        <w:rPr>
          <w:lang w:val="en-GB"/>
        </w:rPr>
        <w:t xml:space="preserve">. Unfortunately, with the instruments used in this test, no more specific information can be inferred. </w:t>
      </w:r>
    </w:p>
    <w:p w14:paraId="00165F23" w14:textId="77777777" w:rsidR="008A478C" w:rsidRDefault="008A478C" w:rsidP="00600535">
      <w:pPr>
        <w:pStyle w:val="CETBodytext"/>
        <w:rPr>
          <w:lang w:val="en-GB"/>
        </w:rPr>
      </w:pPr>
    </w:p>
    <w:p w14:paraId="365FB483" w14:textId="75BABC30" w:rsidR="003375BC" w:rsidRPr="003375BC" w:rsidRDefault="003375BC" w:rsidP="00600535">
      <w:pPr>
        <w:pStyle w:val="CETheadingx"/>
      </w:pPr>
      <w:r>
        <w:t>Delay time analysis</w:t>
      </w:r>
    </w:p>
    <w:p w14:paraId="695A54A5" w14:textId="591DA003" w:rsidR="003375BC" w:rsidRDefault="003375BC" w:rsidP="003375BC">
      <w:pPr>
        <w:pStyle w:val="CETBodytext"/>
        <w:rPr>
          <w:lang w:val="en-GB"/>
        </w:rPr>
      </w:pPr>
      <w:r>
        <w:rPr>
          <w:lang w:val="en-GB"/>
        </w:rPr>
        <w:t xml:space="preserve">In this part, the distribution of the delay time is reported and commented. Figure 6 e reports the distributions found. It can be noticed that, in most of the cases, </w:t>
      </w:r>
      <w:r w:rsidR="0056481A">
        <w:rPr>
          <w:lang w:val="en-GB"/>
        </w:rPr>
        <w:t>the time between the formation of the dust cloud and the spark is usually greater than the theoretical delay time</w:t>
      </w:r>
      <w:r>
        <w:rPr>
          <w:lang w:val="en-GB"/>
        </w:rPr>
        <w:t>.</w:t>
      </w:r>
      <w:r w:rsidR="0056481A">
        <w:rPr>
          <w:lang w:val="en-GB"/>
        </w:rPr>
        <w:t xml:space="preserve"> This means that, despite the presence of a very intense electric field between the electrodes, the air and dust mixture require more time to become conductive, closing the circuit and developing the arc discharge.</w:t>
      </w:r>
      <w:r>
        <w:rPr>
          <w:lang w:val="en-GB"/>
        </w:rPr>
        <w:t xml:space="preserve"> Our claim is that the presence of dust between the electrodes</w:t>
      </w:r>
      <w:r w:rsidR="0056481A">
        <w:rPr>
          <w:lang w:val="en-GB"/>
        </w:rPr>
        <w:t xml:space="preserve"> changes the diele</w:t>
      </w:r>
      <w:r w:rsidR="00C540B4">
        <w:rPr>
          <w:lang w:val="en-GB"/>
        </w:rPr>
        <w:t>c</w:t>
      </w:r>
      <w:r w:rsidR="0056481A">
        <w:rPr>
          <w:lang w:val="en-GB"/>
        </w:rPr>
        <w:t>tric properties of the medium, that is not simple air, but air mixed with solid particles</w:t>
      </w:r>
      <w:r>
        <w:rPr>
          <w:lang w:val="en-GB"/>
        </w:rPr>
        <w:t>.</w:t>
      </w:r>
      <w:r w:rsidR="0056481A">
        <w:rPr>
          <w:lang w:val="en-GB"/>
        </w:rPr>
        <w:t xml:space="preserve"> Particles dielectric properties (which should be studied and analysed), may impact the occurrence of air breakdown.</w:t>
      </w:r>
      <w:r>
        <w:rPr>
          <w:lang w:val="en-GB"/>
        </w:rPr>
        <w:t xml:space="preserve"> </w:t>
      </w:r>
      <w:r w:rsidR="0056481A">
        <w:rPr>
          <w:lang w:val="en-GB"/>
        </w:rPr>
        <w:t xml:space="preserve">However, this aspect is extremely complex to be studied, because </w:t>
      </w:r>
      <w:r w:rsidR="00C540B4">
        <w:rPr>
          <w:lang w:val="en-GB"/>
        </w:rPr>
        <w:t>the dust is not fixed, but it is continuously rising and settling inside the tube.</w:t>
      </w:r>
      <w:r w:rsidR="0056481A">
        <w:rPr>
          <w:lang w:val="en-GB"/>
        </w:rPr>
        <w:t xml:space="preserve"> </w:t>
      </w:r>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9"/>
        <w:gridCol w:w="2929"/>
        <w:gridCol w:w="2929"/>
      </w:tblGrid>
      <w:tr w:rsidR="003375BC" w14:paraId="024A8E16" w14:textId="77777777" w:rsidTr="003375BC">
        <w:trPr>
          <w:jc w:val="center"/>
        </w:trPr>
        <w:tc>
          <w:tcPr>
            <w:tcW w:w="1667" w:type="pct"/>
            <w:vAlign w:val="center"/>
          </w:tcPr>
          <w:p w14:paraId="496E21F8" w14:textId="77777777" w:rsidR="003375BC" w:rsidRDefault="003375BC" w:rsidP="00EE2F5A">
            <w:pPr>
              <w:pStyle w:val="CETBodytext"/>
              <w:jc w:val="center"/>
              <w:rPr>
                <w:lang w:val="en-GB"/>
              </w:rPr>
            </w:pPr>
            <w:r>
              <w:rPr>
                <w:lang w:val="en-GB"/>
              </w:rPr>
              <w:t>a</w:t>
            </w:r>
            <w:r>
              <w:rPr>
                <w:noProof/>
                <w:lang w:val="en-GB"/>
              </w:rPr>
              <w:drawing>
                <wp:inline distT="0" distB="0" distL="0" distR="0" wp14:anchorId="21029E09" wp14:editId="7C75760A">
                  <wp:extent cx="1874520" cy="1126789"/>
                  <wp:effectExtent l="0" t="0" r="0" b="0"/>
                  <wp:docPr id="507662804" name="Immagine 8"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62804" name="Immagine 8" descr="Immagine che contiene testo, schermata, diagramma, linea&#10;&#10;Descrizione generata automa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c>
          <w:tcPr>
            <w:tcW w:w="1667" w:type="pct"/>
            <w:vAlign w:val="center"/>
          </w:tcPr>
          <w:p w14:paraId="211A13BE" w14:textId="77777777" w:rsidR="003375BC" w:rsidRDefault="003375BC" w:rsidP="00EE2F5A">
            <w:pPr>
              <w:pStyle w:val="CETBodytext"/>
              <w:jc w:val="center"/>
              <w:rPr>
                <w:lang w:val="en-GB"/>
              </w:rPr>
            </w:pPr>
            <w:r>
              <w:rPr>
                <w:lang w:val="en-GB"/>
              </w:rPr>
              <w:t>b</w:t>
            </w:r>
            <w:r>
              <w:rPr>
                <w:noProof/>
                <w:lang w:val="en-GB"/>
              </w:rPr>
              <w:drawing>
                <wp:inline distT="0" distB="0" distL="0" distR="0" wp14:anchorId="413E555E" wp14:editId="0F5DDB2E">
                  <wp:extent cx="1874520" cy="1126789"/>
                  <wp:effectExtent l="0" t="0" r="0" b="0"/>
                  <wp:docPr id="1216841204" name="Immagine 9" descr="Immagine che contiene testo, schermata, Carattere,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41204" name="Immagine 9" descr="Immagine che contiene testo, schermata, Carattere, linea&#10;&#10;Descrizione generata automa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c>
          <w:tcPr>
            <w:tcW w:w="1667" w:type="pct"/>
            <w:vAlign w:val="center"/>
          </w:tcPr>
          <w:p w14:paraId="0074220A" w14:textId="77777777" w:rsidR="003375BC" w:rsidRDefault="003375BC" w:rsidP="00EE2F5A">
            <w:pPr>
              <w:pStyle w:val="CETBodytext"/>
              <w:jc w:val="center"/>
              <w:rPr>
                <w:lang w:val="en-GB"/>
              </w:rPr>
            </w:pPr>
            <w:r>
              <w:rPr>
                <w:lang w:val="en-GB"/>
              </w:rPr>
              <w:t>c</w:t>
            </w:r>
            <w:r>
              <w:rPr>
                <w:noProof/>
                <w:lang w:val="en-GB"/>
              </w:rPr>
              <w:drawing>
                <wp:inline distT="0" distB="0" distL="0" distR="0" wp14:anchorId="1EAE39FF" wp14:editId="1CF3ADA7">
                  <wp:extent cx="1874520" cy="1126789"/>
                  <wp:effectExtent l="0" t="0" r="0" b="0"/>
                  <wp:docPr id="93757311" name="Immagine 10" descr="Immagine che contiene testo, schermata, Parallelo,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7311" name="Immagine 10" descr="Immagine che contiene testo, schermata, Parallelo, linea&#10;&#10;Descrizione generata automaticamen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r>
    </w:tbl>
    <w:p w14:paraId="080180CD" w14:textId="21315B71" w:rsidR="003375BC" w:rsidRDefault="003375BC" w:rsidP="003375BC">
      <w:pPr>
        <w:pStyle w:val="CETBodytext"/>
        <w:rPr>
          <w:rStyle w:val="CETCaptionCarattere"/>
        </w:rPr>
      </w:pPr>
      <w:r w:rsidRPr="00BD077D">
        <w:rPr>
          <w:rStyle w:val="CETCaptionCarattere"/>
        </w:rPr>
        <w:t xml:space="preserve">Figure </w:t>
      </w:r>
      <w:r>
        <w:rPr>
          <w:rStyle w:val="CETCaptionCarattere"/>
        </w:rPr>
        <w:t>6</w:t>
      </w:r>
      <w:r w:rsidRPr="00BD077D">
        <w:rPr>
          <w:rStyle w:val="CETCaptionCarattere"/>
        </w:rPr>
        <w:t xml:space="preserve">: </w:t>
      </w:r>
      <w:r>
        <w:rPr>
          <w:rStyle w:val="CETCaptionCarattere"/>
        </w:rPr>
        <w:t>Distribution of effective delay time</w:t>
      </w:r>
      <w:r w:rsidR="0056481A">
        <w:rPr>
          <w:rStyle w:val="CETCaptionCarattere"/>
        </w:rPr>
        <w:t xml:space="preserve"> t</w:t>
      </w:r>
      <w:r w:rsidR="0056481A" w:rsidRPr="0056481A">
        <w:rPr>
          <w:rStyle w:val="CETCaptionCarattere"/>
          <w:vertAlign w:val="subscript"/>
        </w:rPr>
        <w:t>del</w:t>
      </w:r>
      <w:r>
        <w:rPr>
          <w:rStyle w:val="CETCaptionCarattere"/>
        </w:rPr>
        <w:t xml:space="preserve"> under different conditions. a) Delay time 60 ms; b) Delay time 120 ms, c) Delay time 180 ms</w:t>
      </w:r>
    </w:p>
    <w:p w14:paraId="01399B2B" w14:textId="77777777" w:rsidR="003375BC" w:rsidRDefault="003375BC" w:rsidP="003375BC">
      <w:pPr>
        <w:pStyle w:val="CETBodytext"/>
        <w:rPr>
          <w:lang w:val="en-GB"/>
        </w:rPr>
      </w:pPr>
    </w:p>
    <w:p w14:paraId="1A026FF0" w14:textId="7BEC0AE2" w:rsidR="003375BC" w:rsidRDefault="0056481A" w:rsidP="003375BC">
      <w:pPr>
        <w:pStyle w:val="CETBodytext"/>
        <w:rPr>
          <w:lang w:val="en-GB"/>
        </w:rPr>
      </w:pPr>
      <w:r>
        <w:rPr>
          <w:lang w:val="en-GB"/>
        </w:rPr>
        <w:t>For what concerns the dependence of t</w:t>
      </w:r>
      <w:r w:rsidRPr="0056481A">
        <w:rPr>
          <w:vertAlign w:val="subscript"/>
          <w:lang w:val="en-GB"/>
        </w:rPr>
        <w:t>de</w:t>
      </w:r>
      <w:r>
        <w:rPr>
          <w:vertAlign w:val="subscript"/>
          <w:lang w:val="en-GB"/>
        </w:rPr>
        <w:t xml:space="preserve">l </w:t>
      </w:r>
      <w:r>
        <w:rPr>
          <w:lang w:val="en-GB"/>
        </w:rPr>
        <w:t>from energy, input delay time, and loaded mass, it appears that the delay time given by the operator is by far the most important factor. As it can see in Figures 6 a, b, and c, t</w:t>
      </w:r>
      <w:r w:rsidRPr="0056481A">
        <w:rPr>
          <w:vertAlign w:val="subscript"/>
          <w:lang w:val="en-GB"/>
        </w:rPr>
        <w:t>del</w:t>
      </w:r>
      <w:r>
        <w:rPr>
          <w:lang w:val="en-GB"/>
        </w:rPr>
        <w:t xml:space="preserve"> tends to increase significantly with the delay time itself. </w:t>
      </w:r>
      <w:r w:rsidR="00AE4A32">
        <w:rPr>
          <w:lang w:val="en-GB"/>
        </w:rPr>
        <w:t>W</w:t>
      </w:r>
      <w:r>
        <w:rPr>
          <w:lang w:val="en-GB"/>
        </w:rPr>
        <w:t>ith 180 ms, t</w:t>
      </w:r>
      <w:r w:rsidRPr="0056481A">
        <w:rPr>
          <w:vertAlign w:val="subscript"/>
          <w:lang w:val="en-GB"/>
        </w:rPr>
        <w:t>del</w:t>
      </w:r>
      <w:r>
        <w:rPr>
          <w:lang w:val="en-GB"/>
        </w:rPr>
        <w:t xml:space="preserve"> distribution is more stable, with times between</w:t>
      </w:r>
      <w:r w:rsidR="00AE4A32">
        <w:rPr>
          <w:lang w:val="en-GB"/>
        </w:rPr>
        <w:t xml:space="preserve"> 1100 and 1300 ms</w:t>
      </w:r>
      <w:r>
        <w:rPr>
          <w:lang w:val="en-GB"/>
        </w:rPr>
        <w:t>.</w:t>
      </w:r>
      <w:r w:rsidR="00AE4A32">
        <w:rPr>
          <w:lang w:val="en-GB"/>
        </w:rPr>
        <w:t xml:space="preserve"> The only exception was the 10 mJ case, with a very early spark.</w:t>
      </w:r>
      <w:r>
        <w:rPr>
          <w:lang w:val="en-GB"/>
        </w:rPr>
        <w:t xml:space="preserve"> It also interesting to observe very different behaviours with high loads of niacin: when 3000 mg of dust is loaded, t</w:t>
      </w:r>
      <w:r w:rsidRPr="0056481A">
        <w:rPr>
          <w:vertAlign w:val="subscript"/>
          <w:lang w:val="en-GB"/>
        </w:rPr>
        <w:t>del</w:t>
      </w:r>
      <w:r>
        <w:rPr>
          <w:lang w:val="en-GB"/>
        </w:rPr>
        <w:t xml:space="preserve"> is usually lower than the delay time for 60 ms, and greater with 120 and 180 ms.</w:t>
      </w:r>
      <w:r w:rsidR="002F1E72">
        <w:rPr>
          <w:lang w:val="en-GB"/>
        </w:rPr>
        <w:t xml:space="preserve"> When t</w:t>
      </w:r>
      <w:r w:rsidR="002F1E72" w:rsidRPr="002F1E72">
        <w:rPr>
          <w:vertAlign w:val="subscript"/>
          <w:lang w:val="en-GB"/>
        </w:rPr>
        <w:t>del</w:t>
      </w:r>
      <w:r w:rsidR="002F1E72">
        <w:rPr>
          <w:lang w:val="en-GB"/>
        </w:rPr>
        <w:t xml:space="preserve"> is lower than the delay time, </w:t>
      </w:r>
      <w:r w:rsidR="00AE4A32">
        <w:rPr>
          <w:lang w:val="en-GB"/>
        </w:rPr>
        <w:t>electrical breakdown occurs at a lower electric field</w:t>
      </w:r>
      <w:r w:rsidR="002F1E72">
        <w:rPr>
          <w:lang w:val="en-GB"/>
        </w:rPr>
        <w:t>. It could be that, with a high amount of dust and</w:t>
      </w:r>
      <w:r w:rsidR="001F6537">
        <w:rPr>
          <w:lang w:val="en-GB"/>
        </w:rPr>
        <w:t xml:space="preserve"> a low delay time, there is a significant amount of dust between the electrodes</w:t>
      </w:r>
      <w:r w:rsidR="00AE4A32">
        <w:rPr>
          <w:lang w:val="en-GB"/>
        </w:rPr>
        <w:t xml:space="preserve"> (the dust is still rising in the bottom part of the tube)</w:t>
      </w:r>
      <w:r w:rsidR="001F6537">
        <w:rPr>
          <w:lang w:val="en-GB"/>
        </w:rPr>
        <w:t>, developing a completely different environment</w:t>
      </w:r>
      <w:r w:rsidR="00AE4A32">
        <w:rPr>
          <w:lang w:val="en-GB"/>
        </w:rPr>
        <w:t>, closer to a solid layer of dust, which requires a lower electric field (that is developing in the meanwhile) for a dielectric breakdown.</w:t>
      </w:r>
      <w:r w:rsidR="00C540B4">
        <w:rPr>
          <w:lang w:val="en-GB"/>
        </w:rPr>
        <w:t xml:space="preserve"> The energy of the spark does not seem to affect in a particular way the</w:t>
      </w:r>
      <w:r w:rsidR="00BA46AE">
        <w:rPr>
          <w:lang w:val="en-GB"/>
        </w:rPr>
        <w:t xml:space="preserve"> effective</w:t>
      </w:r>
      <w:r w:rsidR="00C540B4">
        <w:rPr>
          <w:lang w:val="en-GB"/>
        </w:rPr>
        <w:t xml:space="preserve"> delay time.</w:t>
      </w:r>
    </w:p>
    <w:p w14:paraId="626B872B" w14:textId="4D1A2937" w:rsidR="002F1E72" w:rsidRDefault="002F1E72" w:rsidP="003375BC">
      <w:pPr>
        <w:pStyle w:val="CETBodytext"/>
        <w:rPr>
          <w:lang w:val="en-GB"/>
        </w:rPr>
      </w:pPr>
      <w:r>
        <w:rPr>
          <w:lang w:val="en-GB"/>
        </w:rPr>
        <w:t>Finally, the study a little bit more in detail the dependence from the delay time, the delay ratio was calculated, that is, according to Eq 1.</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5"/>
        <w:gridCol w:w="862"/>
      </w:tblGrid>
      <w:tr w:rsidR="001F6537" w14:paraId="2DBCA53D" w14:textId="77777777" w:rsidTr="00AE4A32">
        <w:tc>
          <w:tcPr>
            <w:tcW w:w="7915" w:type="dxa"/>
          </w:tcPr>
          <w:p w14:paraId="528D7E71" w14:textId="7656625C" w:rsidR="001F6537" w:rsidRDefault="00AE4A32" w:rsidP="003375BC">
            <w:pPr>
              <w:pStyle w:val="CETBodytext"/>
              <w:rPr>
                <w:lang w:val="en-GB"/>
              </w:rPr>
            </w:pPr>
            <m:oMathPara>
              <m:oMath>
                <m:r>
                  <w:rPr>
                    <w:rFonts w:ascii="Cambria Math" w:hAnsi="Cambria Math"/>
                    <w:lang w:val="en-GB"/>
                  </w:rPr>
                  <m:t>r=</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del</m:t>
                        </m:r>
                      </m:sub>
                    </m:sSub>
                  </m:num>
                  <m:den>
                    <m:r>
                      <w:rPr>
                        <w:rFonts w:ascii="Cambria Math" w:hAnsi="Cambria Math"/>
                        <w:lang w:val="en-GB"/>
                      </w:rPr>
                      <m:t>delay time</m:t>
                    </m:r>
                  </m:den>
                </m:f>
              </m:oMath>
            </m:oMathPara>
          </w:p>
        </w:tc>
        <w:tc>
          <w:tcPr>
            <w:tcW w:w="862" w:type="dxa"/>
          </w:tcPr>
          <w:p w14:paraId="1938A91E" w14:textId="61A5E67A" w:rsidR="001F6537" w:rsidRDefault="00AE4A32" w:rsidP="003375BC">
            <w:pPr>
              <w:pStyle w:val="CETBodytext"/>
              <w:rPr>
                <w:lang w:val="en-GB"/>
              </w:rPr>
            </w:pPr>
            <w:r>
              <w:rPr>
                <w:lang w:val="en-GB"/>
              </w:rPr>
              <w:t>(1)</w:t>
            </w:r>
          </w:p>
        </w:tc>
      </w:tr>
    </w:tbl>
    <w:p w14:paraId="6A8D14EF" w14:textId="77777777" w:rsidR="003375BC" w:rsidRDefault="003375BC" w:rsidP="003375BC">
      <w:pPr>
        <w:pStyle w:val="CETBodytext"/>
        <w:rPr>
          <w:lang w:val="en-GB"/>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9"/>
        <w:gridCol w:w="2929"/>
        <w:gridCol w:w="2929"/>
      </w:tblGrid>
      <w:tr w:rsidR="003375BC" w14:paraId="6E612CDA" w14:textId="77777777" w:rsidTr="003375BC">
        <w:tc>
          <w:tcPr>
            <w:tcW w:w="2929" w:type="dxa"/>
            <w:vAlign w:val="center"/>
          </w:tcPr>
          <w:p w14:paraId="41690CC4" w14:textId="77777777" w:rsidR="003375BC" w:rsidRDefault="003375BC" w:rsidP="00EE2F5A">
            <w:pPr>
              <w:pStyle w:val="CETBodytext"/>
              <w:jc w:val="center"/>
              <w:rPr>
                <w:lang w:val="en-GB"/>
              </w:rPr>
            </w:pPr>
            <w:r>
              <w:rPr>
                <w:lang w:val="en-GB"/>
              </w:rPr>
              <w:t>a</w:t>
            </w:r>
            <w:r>
              <w:rPr>
                <w:noProof/>
                <w:lang w:val="en-GB"/>
              </w:rPr>
              <w:drawing>
                <wp:inline distT="0" distB="0" distL="0" distR="0" wp14:anchorId="4B59941E" wp14:editId="4694226F">
                  <wp:extent cx="1874520" cy="1126789"/>
                  <wp:effectExtent l="0" t="0" r="0" b="0"/>
                  <wp:docPr id="583959746" name="Immagine 5" descr="Immagine che contiene testo, schermata, line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59746" name="Immagine 5" descr="Immagine che contiene testo, schermata, linea, Carattere&#10;&#10;Descrizione generata automa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c>
          <w:tcPr>
            <w:tcW w:w="2929" w:type="dxa"/>
            <w:vAlign w:val="center"/>
          </w:tcPr>
          <w:p w14:paraId="761B957D" w14:textId="77777777" w:rsidR="003375BC" w:rsidRDefault="003375BC" w:rsidP="00EE2F5A">
            <w:pPr>
              <w:pStyle w:val="CETBodytext"/>
              <w:jc w:val="center"/>
              <w:rPr>
                <w:lang w:val="en-GB"/>
              </w:rPr>
            </w:pPr>
            <w:r>
              <w:rPr>
                <w:lang w:val="en-GB"/>
              </w:rPr>
              <w:t>b</w:t>
            </w:r>
            <w:r>
              <w:rPr>
                <w:noProof/>
                <w:lang w:val="en-GB"/>
              </w:rPr>
              <w:drawing>
                <wp:inline distT="0" distB="0" distL="0" distR="0" wp14:anchorId="3BF9C681" wp14:editId="784115F5">
                  <wp:extent cx="1874520" cy="1126789"/>
                  <wp:effectExtent l="0" t="0" r="0" b="0"/>
                  <wp:docPr id="466727497" name="Immagine 6" descr="Immagine che contiene testo, schermata, diagramma,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27497" name="Immagine 6" descr="Immagine che contiene testo, schermata, diagramma, schermo&#10;&#10;Descrizione generata automa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c>
          <w:tcPr>
            <w:tcW w:w="2929" w:type="dxa"/>
            <w:vAlign w:val="center"/>
          </w:tcPr>
          <w:p w14:paraId="1B42D7E5" w14:textId="77777777" w:rsidR="003375BC" w:rsidRDefault="003375BC" w:rsidP="00EE2F5A">
            <w:pPr>
              <w:pStyle w:val="CETBodytext"/>
              <w:jc w:val="center"/>
              <w:rPr>
                <w:lang w:val="en-GB"/>
              </w:rPr>
            </w:pPr>
            <w:r>
              <w:rPr>
                <w:lang w:val="en-GB"/>
              </w:rPr>
              <w:t>c</w:t>
            </w:r>
            <w:r>
              <w:rPr>
                <w:noProof/>
                <w:lang w:val="en-GB"/>
              </w:rPr>
              <w:drawing>
                <wp:inline distT="0" distB="0" distL="0" distR="0" wp14:anchorId="73F442B3" wp14:editId="7CAFC00A">
                  <wp:extent cx="1874520" cy="1126789"/>
                  <wp:effectExtent l="0" t="0" r="0" b="0"/>
                  <wp:docPr id="1149598743" name="Immagine 7" descr="Immagine che contiene testo, schermata, Carattere,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98743" name="Immagine 7" descr="Immagine che contiene testo, schermata, Carattere, schermo&#10;&#10;Descrizione generat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r>
    </w:tbl>
    <w:p w14:paraId="06EFD508" w14:textId="10A2E221" w:rsidR="003375BC" w:rsidRDefault="003375BC" w:rsidP="003375BC">
      <w:pPr>
        <w:pStyle w:val="CETBodytext"/>
        <w:rPr>
          <w:rStyle w:val="CETCaptionCarattere"/>
        </w:rPr>
      </w:pPr>
      <w:r w:rsidRPr="00BD077D">
        <w:rPr>
          <w:rStyle w:val="CETCaptionCarattere"/>
        </w:rPr>
        <w:t xml:space="preserve">Figure </w:t>
      </w:r>
      <w:r>
        <w:rPr>
          <w:rStyle w:val="CETCaptionCarattere"/>
        </w:rPr>
        <w:t>7</w:t>
      </w:r>
      <w:r w:rsidRPr="00BD077D">
        <w:rPr>
          <w:rStyle w:val="CETCaptionCarattere"/>
        </w:rPr>
        <w:t xml:space="preserve">: </w:t>
      </w:r>
      <w:r>
        <w:rPr>
          <w:rStyle w:val="CETCaptionCarattere"/>
        </w:rPr>
        <w:t>Distribution of delay ratio under different conditions.</w:t>
      </w:r>
      <w:r w:rsidR="00312311">
        <w:rPr>
          <w:rStyle w:val="CETCaptionCarattere"/>
        </w:rPr>
        <w:t xml:space="preserve"> Delay time:</w:t>
      </w:r>
      <w:r>
        <w:rPr>
          <w:rStyle w:val="CETCaptionCarattere"/>
        </w:rPr>
        <w:t xml:space="preserve"> a) 60 ms; b) 120 ms, c) 180 ms</w:t>
      </w:r>
    </w:p>
    <w:p w14:paraId="09AC0523" w14:textId="77777777" w:rsidR="007D3018" w:rsidRDefault="007D3018" w:rsidP="007D3018">
      <w:pPr>
        <w:pStyle w:val="CETBodytext"/>
      </w:pPr>
    </w:p>
    <w:p w14:paraId="65E73FAD" w14:textId="778E4558" w:rsidR="00600535" w:rsidRPr="00BD077D" w:rsidRDefault="007D3018" w:rsidP="007D3018">
      <w:pPr>
        <w:pStyle w:val="CETBodytext"/>
      </w:pPr>
      <w:r>
        <w:t>From Figure 7, it can be noticed that, increasing the delay time, higher ratio</w:t>
      </w:r>
      <w:r w:rsidR="0065079D">
        <w:t>s</w:t>
      </w:r>
      <w:r>
        <w:t xml:space="preserve"> are developed: average r is equal to 1.85 for 60 ms, 4.4 for 120 ms and 6.1 for 180 ms</w:t>
      </w:r>
      <w:r w:rsidR="00FC643C">
        <w:t>, showing a mild proportional dependance of the ratio from the delay times, according to the observed data.</w:t>
      </w:r>
      <w:r w:rsidR="00546FE7">
        <w:t xml:space="preserve"> </w:t>
      </w:r>
    </w:p>
    <w:p w14:paraId="7382C781" w14:textId="076B9509" w:rsidR="00600535" w:rsidRDefault="003375BC" w:rsidP="00FA5F5F">
      <w:pPr>
        <w:pStyle w:val="CETheadingx"/>
      </w:pPr>
      <w:r>
        <w:t>Ignition trigger analysis</w:t>
      </w:r>
    </w:p>
    <w:p w14:paraId="33F9CAE4" w14:textId="3C4C31C6" w:rsidR="00C74D47" w:rsidRDefault="0065079D" w:rsidP="00C74D47">
      <w:pPr>
        <w:pStyle w:val="CETBodytext"/>
      </w:pPr>
      <w:r>
        <w:t>Figure 7 reports the distribution of t</w:t>
      </w:r>
      <w:r w:rsidRPr="0065079D">
        <w:rPr>
          <w:vertAlign w:val="subscript"/>
        </w:rPr>
        <w:t>ign</w:t>
      </w:r>
      <w:r>
        <w:t xml:space="preserve"> under different test conditions. The time is picked at frame that may coincide or be after the expiring of the spark. So, when this time is equal to 0, an ignition is detected at frame right after the </w:t>
      </w:r>
      <w:r w:rsidR="00312311">
        <w:t>spark is found</w:t>
      </w:r>
      <w:r>
        <w:t>. From results, it shown that, in most cases, the ignition is very close to the spark</w:t>
      </w:r>
      <w:r w:rsidR="00312311">
        <w:t>, which mean that there is an average distance of about 4 ms between spark and combustion</w:t>
      </w:r>
      <w:r>
        <w:t xml:space="preserve">. This is in accordance with the specific time of pyrolysis of 5-10 ms </w:t>
      </w:r>
      <w:r>
        <w:fldChar w:fldCharType="begin"/>
      </w:r>
      <w:r w:rsidR="00312311">
        <w:instrText xml:space="preserve"> ADDIN ZOTERO_ITEM CSL_CITATION {"citationID":"WHlPqkHZ","properties":{"formattedCitation":"(Copelli et al., 2021)","plainCitation":"(Copelli et al., 2021)","noteIndex":0},"citationItems":[{"id":96,"uris":["http://zotero.org/users/local/mDzd7GNh/items/LSANEZ74"],"itemData":{"id":96,"type":"article-journal","abstract":"In the last decades, protection and prevention in the workplace has assumed great relevance. In this context, organic dust explosions represent one of the major risks. Within this frame, the minimum ignition energy (MIE) of a dust occupies a fundamental role for the assessment of the explosibility hazard. At present, the measurement of the MIE is performed using the standard Hartmann apparatus. This approach involves some practical limitations, mainly related to the testing times and costs. This work is focused on developing both a mathematical model capable of describing the main phenomena leading to the ignition of an organic dust inside a Hartmann tube and a simpler procedure for the estimation of the MIE. Such an approach relies on the use of accessible physicochemical properties and simple thermogravimetric analysis (TGA) experiments, coupled with a particle size analysis capable of providing a mean characteristic diameter of the dust. The proposed procedure has been validated by comparison with literature experimental data of minimum ignition energy of several organic dusts, showing a fair agreement among experimental results and model predictions.","container-title":"Industrial &amp; Engineering Chemistry Research","DOI":"10.1021/acs.iecr.1c00309","ISSN":"0888-5885","issue":"29","journalAbbreviation":"Ind. Eng. Chem. Res.","note":"publisher: American Chemical Society","page":"10807-10813","source":"ACS Publications","title":"A Practical Tool for Predicting the Minimum Ignition Energy of Organic Dusts","volume":"60","author":[{"family":"Copelli","given":"Sabrina"},{"family":"Scotton","given":"Martina S."},{"family":"Barozzi","given":"Marco"},{"family":"Derudi","given":"Marco"},{"family":"Rota","given":"Renato"}],"issued":{"date-parts":[["2021",7,28]]}}}],"schema":"https://github.com/citation-style-language/schema/raw/master/csl-citation.json"} </w:instrText>
      </w:r>
      <w:r>
        <w:fldChar w:fldCharType="separate"/>
      </w:r>
      <w:r w:rsidR="00312311" w:rsidRPr="00312311">
        <w:rPr>
          <w:rFonts w:cs="Arial"/>
        </w:rPr>
        <w:t>(Copelli et al., 2021)</w:t>
      </w:r>
      <w:r>
        <w:fldChar w:fldCharType="end"/>
      </w:r>
      <w:r>
        <w:t>, which is the limiting factor when igniting a fine particle like the one proposed in this study.</w:t>
      </w:r>
      <w:r w:rsidR="00312311">
        <w:t xml:space="preserve"> However, in many cases this condition is not respected: sometimes it is necessary to wait hundreds of milliseconds before the ignition is triggered.</w:t>
      </w:r>
    </w:p>
    <w:tbl>
      <w:tblPr>
        <w:tblStyle w:val="Grigliatabel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9"/>
        <w:gridCol w:w="2929"/>
        <w:gridCol w:w="2929"/>
      </w:tblGrid>
      <w:tr w:rsidR="00EB6E3F" w14:paraId="6EF07991" w14:textId="77777777" w:rsidTr="00C97CC7">
        <w:tc>
          <w:tcPr>
            <w:tcW w:w="1667" w:type="pct"/>
            <w:vAlign w:val="center"/>
          </w:tcPr>
          <w:p w14:paraId="00D8E6A6" w14:textId="7F629F43" w:rsidR="008935E5" w:rsidRDefault="008935E5" w:rsidP="00EB6E3F">
            <w:pPr>
              <w:pStyle w:val="CETBodytext"/>
              <w:jc w:val="center"/>
            </w:pPr>
            <w:r>
              <w:t>a</w:t>
            </w:r>
            <w:r w:rsidR="00EB6E3F">
              <w:rPr>
                <w:noProof/>
              </w:rPr>
              <w:drawing>
                <wp:inline distT="0" distB="0" distL="0" distR="0" wp14:anchorId="3880BFFC" wp14:editId="317A93F4">
                  <wp:extent cx="1874520" cy="1126789"/>
                  <wp:effectExtent l="0" t="0" r="0" b="0"/>
                  <wp:docPr id="157609077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c>
          <w:tcPr>
            <w:tcW w:w="1667" w:type="pct"/>
            <w:vAlign w:val="center"/>
          </w:tcPr>
          <w:p w14:paraId="1C152D52" w14:textId="2B2975F0" w:rsidR="008935E5" w:rsidRDefault="008935E5" w:rsidP="00EB6E3F">
            <w:pPr>
              <w:pStyle w:val="CETBodytext"/>
              <w:jc w:val="center"/>
            </w:pPr>
            <w:r>
              <w:t>b</w:t>
            </w:r>
            <w:r w:rsidR="00EB6E3F">
              <w:rPr>
                <w:noProof/>
              </w:rPr>
              <w:drawing>
                <wp:inline distT="0" distB="0" distL="0" distR="0" wp14:anchorId="1383C8AA" wp14:editId="4A7A3E47">
                  <wp:extent cx="1874520" cy="1128352"/>
                  <wp:effectExtent l="0" t="0" r="0" b="0"/>
                  <wp:docPr id="48467270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74520" cy="1128352"/>
                          </a:xfrm>
                          <a:prstGeom prst="rect">
                            <a:avLst/>
                          </a:prstGeom>
                          <a:noFill/>
                        </pic:spPr>
                      </pic:pic>
                    </a:graphicData>
                  </a:graphic>
                </wp:inline>
              </w:drawing>
            </w:r>
          </w:p>
        </w:tc>
        <w:tc>
          <w:tcPr>
            <w:tcW w:w="1667" w:type="pct"/>
            <w:vAlign w:val="center"/>
          </w:tcPr>
          <w:p w14:paraId="25CCC4A5" w14:textId="77777777" w:rsidR="008935E5" w:rsidRDefault="00EB6E3F" w:rsidP="00EB6E3F">
            <w:pPr>
              <w:pStyle w:val="CETBodytext"/>
              <w:jc w:val="center"/>
            </w:pPr>
            <w:r>
              <w:t>c</w:t>
            </w:r>
          </w:p>
          <w:p w14:paraId="73787369" w14:textId="554F7102" w:rsidR="00EB6E3F" w:rsidRDefault="00EB6E3F" w:rsidP="00EB6E3F">
            <w:pPr>
              <w:pStyle w:val="CETBodytext"/>
              <w:jc w:val="center"/>
            </w:pPr>
            <w:r>
              <w:rPr>
                <w:noProof/>
              </w:rPr>
              <w:drawing>
                <wp:inline distT="0" distB="0" distL="0" distR="0" wp14:anchorId="09E9E765" wp14:editId="01CB55AD">
                  <wp:extent cx="1874520" cy="1126789"/>
                  <wp:effectExtent l="0" t="0" r="0" b="0"/>
                  <wp:docPr id="24517801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74520" cy="1126789"/>
                          </a:xfrm>
                          <a:prstGeom prst="rect">
                            <a:avLst/>
                          </a:prstGeom>
                          <a:noFill/>
                        </pic:spPr>
                      </pic:pic>
                    </a:graphicData>
                  </a:graphic>
                </wp:inline>
              </w:drawing>
            </w:r>
          </w:p>
        </w:tc>
      </w:tr>
    </w:tbl>
    <w:p w14:paraId="301599F8" w14:textId="5A0D3EC9" w:rsidR="00C97CC7" w:rsidRDefault="00C97CC7" w:rsidP="00C97CC7">
      <w:pPr>
        <w:pStyle w:val="CETBodytext"/>
        <w:rPr>
          <w:rStyle w:val="CETCaptionCarattere"/>
        </w:rPr>
      </w:pPr>
      <w:r w:rsidRPr="00BD077D">
        <w:rPr>
          <w:rStyle w:val="CETCaptionCarattere"/>
        </w:rPr>
        <w:t xml:space="preserve">Figure </w:t>
      </w:r>
      <w:r>
        <w:rPr>
          <w:rStyle w:val="CETCaptionCarattere"/>
        </w:rPr>
        <w:t>7</w:t>
      </w:r>
      <w:r w:rsidRPr="00BD077D">
        <w:rPr>
          <w:rStyle w:val="CETCaptionCarattere"/>
        </w:rPr>
        <w:t xml:space="preserve">: </w:t>
      </w:r>
      <w:r>
        <w:rPr>
          <w:rStyle w:val="CETCaptionCarattere"/>
        </w:rPr>
        <w:t>Distribution of t</w:t>
      </w:r>
      <w:r w:rsidRPr="00C97CC7">
        <w:rPr>
          <w:rStyle w:val="CETCaptionCarattere"/>
          <w:vertAlign w:val="subscript"/>
        </w:rPr>
        <w:t>ign</w:t>
      </w:r>
      <w:r>
        <w:rPr>
          <w:rStyle w:val="CETCaptionCarattere"/>
        </w:rPr>
        <w:t xml:space="preserve"> under different conditions. </w:t>
      </w:r>
      <w:r w:rsidR="00312311">
        <w:rPr>
          <w:rStyle w:val="CETCaptionCarattere"/>
        </w:rPr>
        <w:t>Delay time: a) 60 ms; b) 120 ms, c) 180 ms</w:t>
      </w:r>
    </w:p>
    <w:p w14:paraId="5EBB30F7" w14:textId="77777777" w:rsidR="008935E5" w:rsidRDefault="008935E5" w:rsidP="00C74D47">
      <w:pPr>
        <w:pStyle w:val="CETBodytext"/>
        <w:rPr>
          <w:lang w:val="en-GB"/>
        </w:rPr>
      </w:pPr>
    </w:p>
    <w:p w14:paraId="26722C74" w14:textId="052025B3" w:rsidR="0065079D" w:rsidRPr="00C97CC7" w:rsidRDefault="0065079D" w:rsidP="00C74D47">
      <w:pPr>
        <w:pStyle w:val="CETBodytext"/>
        <w:rPr>
          <w:lang w:val="en-GB"/>
        </w:rPr>
      </w:pPr>
      <w:r>
        <w:t>In some case, flame propagation does not occur instantly, but it requires some time. This can be due to an excessive local concentration of dust, which doesn’t allow combustion to self-sustaining locally in the surrounding gas phase.</w:t>
      </w:r>
    </w:p>
    <w:p w14:paraId="68D26B83" w14:textId="77777777" w:rsidR="00600535" w:rsidRPr="00B57B36" w:rsidRDefault="00600535" w:rsidP="00600535">
      <w:pPr>
        <w:pStyle w:val="CETHeading1"/>
        <w:rPr>
          <w:lang w:val="en-GB"/>
        </w:rPr>
      </w:pPr>
      <w:r w:rsidRPr="00B57B36">
        <w:rPr>
          <w:lang w:val="en-GB"/>
        </w:rPr>
        <w:t>Conclusions</w:t>
      </w:r>
    </w:p>
    <w:p w14:paraId="03507984" w14:textId="1B0FC9B4" w:rsidR="00600535" w:rsidRPr="00B57B36" w:rsidRDefault="00AE4A32" w:rsidP="00312311">
      <w:pPr>
        <w:pStyle w:val="CETBodytext"/>
        <w:rPr>
          <w:lang w:val="en-GB"/>
        </w:rPr>
      </w:pPr>
      <w:r>
        <w:rPr>
          <w:lang w:val="en-GB"/>
        </w:rPr>
        <w:t xml:space="preserve">Despite being a well-known and standardized process, the determination of the MIE by using electric sparks </w:t>
      </w:r>
      <w:r w:rsidR="00C540B4">
        <w:rPr>
          <w:lang w:val="en-GB"/>
        </w:rPr>
        <w:t xml:space="preserve">is based upon extremely complex physical and chemical phenomena: arc, air and heterogeneous mixtures breakdown, pyrolysis, combustion, turbulence and thermal radiation, involved in a highly time-dependant environment. </w:t>
      </w:r>
      <w:r>
        <w:rPr>
          <w:lang w:val="en-GB"/>
        </w:rPr>
        <w:t xml:space="preserve"> </w:t>
      </w:r>
      <w:r w:rsidR="00C540B4">
        <w:rPr>
          <w:lang w:val="en-GB"/>
        </w:rPr>
        <w:t>The scope of this work is to highlight the possible interactions among combustion and electrostatic effects that require more detailed and focused studies. From the results achieved in this work, it was shown that, the presence of dust in the tube deeply affects the development of the electric breakdown.</w:t>
      </w:r>
    </w:p>
    <w:p w14:paraId="428B022A" w14:textId="3EC8DFB4" w:rsidR="00E65B91" w:rsidRDefault="00AE4A32" w:rsidP="00AE4A32">
      <w:pPr>
        <w:pStyle w:val="CETAcknowledgementstitle"/>
      </w:pPr>
      <w:r>
        <w:t>Acknowledgements</w:t>
      </w:r>
    </w:p>
    <w:p w14:paraId="0FB46F4A" w14:textId="36BBFF54" w:rsidR="00AE4A32" w:rsidRDefault="00AE4A32" w:rsidP="00813900">
      <w:pPr>
        <w:pStyle w:val="CETReferencetext"/>
      </w:pPr>
      <w:r>
        <w:t xml:space="preserve">Thanks to </w:t>
      </w:r>
      <w:r w:rsidR="00C540B4" w:rsidRPr="00C540B4">
        <w:t xml:space="preserve">TÜV SÜD </w:t>
      </w:r>
      <w:r w:rsidR="00C540B4">
        <w:t xml:space="preserve">GmbH (Basel, </w:t>
      </w:r>
      <w:r w:rsidR="00C540B4" w:rsidRPr="00C540B4">
        <w:t>Switzerland</w:t>
      </w:r>
      <w:r w:rsidR="00C540B4">
        <w:t xml:space="preserve">) for the availability of dust and MIKE 3 </w:t>
      </w:r>
    </w:p>
    <w:p w14:paraId="1441D5E9" w14:textId="5A8DEAAA" w:rsidR="00813900" w:rsidRPr="0066025F" w:rsidRDefault="00813900" w:rsidP="00813900">
      <w:pPr>
        <w:pStyle w:val="CETReference"/>
        <w:rPr>
          <w:lang w:val="it-IT"/>
        </w:rPr>
      </w:pPr>
      <w:r w:rsidRPr="0066025F">
        <w:rPr>
          <w:lang w:val="it-IT"/>
        </w:rPr>
        <w:t>References</w:t>
      </w:r>
    </w:p>
    <w:p w14:paraId="03B6E1B3" w14:textId="77777777" w:rsidR="00312311" w:rsidRPr="00312311" w:rsidRDefault="00AF274E" w:rsidP="00312311">
      <w:pPr>
        <w:pStyle w:val="Bibliografia"/>
        <w:rPr>
          <w:rFonts w:cs="Arial"/>
        </w:rPr>
      </w:pPr>
      <w:r>
        <w:fldChar w:fldCharType="begin"/>
      </w:r>
      <w:r>
        <w:rPr>
          <w:lang w:val="it-IT"/>
        </w:rPr>
        <w:instrText xml:space="preserve"> ADDIN ZOTERO_BIBL {"uncited":[],"omitted":[],"custom":[]} CSL_BIBLIOGRAPHY </w:instrText>
      </w:r>
      <w:r>
        <w:fldChar w:fldCharType="separate"/>
      </w:r>
      <w:r w:rsidR="00312311" w:rsidRPr="00312311">
        <w:rPr>
          <w:rFonts w:cs="Arial"/>
          <w:lang w:val="it-IT"/>
        </w:rPr>
        <w:t xml:space="preserve">Abbasi, T., Abbasi, S.A., 2007. </w:t>
      </w:r>
      <w:r w:rsidR="00312311" w:rsidRPr="00312311">
        <w:rPr>
          <w:rFonts w:cs="Arial"/>
        </w:rPr>
        <w:t>Dust explosions–Cases, causes, consequences, and control. Journal of Hazardous Materials 140, 7–44. https://doi.org/10.1016/j.jhazmat.2006.11.007</w:t>
      </w:r>
    </w:p>
    <w:p w14:paraId="19FD3FAF" w14:textId="77777777" w:rsidR="00312311" w:rsidRPr="00312311" w:rsidRDefault="00312311" w:rsidP="00312311">
      <w:pPr>
        <w:pStyle w:val="Bibliografia"/>
        <w:rPr>
          <w:rFonts w:cs="Arial"/>
        </w:rPr>
      </w:pPr>
      <w:r w:rsidRPr="00312311">
        <w:rPr>
          <w:rFonts w:cs="Arial"/>
          <w:lang w:val="it-IT"/>
        </w:rPr>
        <w:t xml:space="preserve">Barozzi, M., Copelli, S., Scotton, M.S., Torretta, V., 2020. </w:t>
      </w:r>
      <w:r w:rsidRPr="00312311">
        <w:rPr>
          <w:rFonts w:cs="Arial"/>
        </w:rPr>
        <w:t>Application of an Enhanced Version of Recursive Operability Analysis for Combustible Dusts Risk Assessment. International Journal of Environmental Research and Public Health 17. https://doi.org/10.3390/ijerph17093078</w:t>
      </w:r>
    </w:p>
    <w:p w14:paraId="2380E422" w14:textId="77777777" w:rsidR="00312311" w:rsidRPr="00312311" w:rsidRDefault="00312311" w:rsidP="00312311">
      <w:pPr>
        <w:pStyle w:val="Bibliografia"/>
        <w:rPr>
          <w:rFonts w:cs="Arial"/>
        </w:rPr>
      </w:pPr>
      <w:r w:rsidRPr="00312311">
        <w:rPr>
          <w:rFonts w:cs="Arial"/>
        </w:rPr>
        <w:t>Cloney, C., 2021. “2021 Mid-Year Combustible Dust Incident Report - Version #1.</w:t>
      </w:r>
    </w:p>
    <w:p w14:paraId="22BCB1BD" w14:textId="77777777" w:rsidR="00312311" w:rsidRPr="00312311" w:rsidRDefault="00312311" w:rsidP="00312311">
      <w:pPr>
        <w:pStyle w:val="Bibliografia"/>
        <w:rPr>
          <w:rFonts w:cs="Arial"/>
        </w:rPr>
      </w:pPr>
      <w:r w:rsidRPr="00312311">
        <w:rPr>
          <w:rFonts w:cs="Arial"/>
          <w:lang w:val="it-IT"/>
        </w:rPr>
        <w:t xml:space="preserve">Copelli, S., Scotton, M.S., Barozzi, M., Derudi, M., Rota, R., 2021. </w:t>
      </w:r>
      <w:r w:rsidRPr="00312311">
        <w:rPr>
          <w:rFonts w:cs="Arial"/>
        </w:rPr>
        <w:t>A Practical Tool for Predicting the Minimum Ignition Energy of Organic Dusts. Ind. Eng. Chem. Res. 60, 10807–10813. https://doi.org/10.1021/acs.iecr.1c00309</w:t>
      </w:r>
    </w:p>
    <w:p w14:paraId="3BFB5AC7" w14:textId="77777777" w:rsidR="00312311" w:rsidRPr="00312311" w:rsidRDefault="00312311" w:rsidP="00312311">
      <w:pPr>
        <w:pStyle w:val="Bibliografia"/>
        <w:rPr>
          <w:rFonts w:cs="Arial"/>
        </w:rPr>
      </w:pPr>
      <w:r w:rsidRPr="00312311">
        <w:rPr>
          <w:rFonts w:cs="Arial"/>
        </w:rPr>
        <w:t>CSB, 2006. Combustible Dust Hazard Study.</w:t>
      </w:r>
    </w:p>
    <w:p w14:paraId="34D66A32" w14:textId="77777777" w:rsidR="00312311" w:rsidRPr="00312311" w:rsidRDefault="00312311" w:rsidP="00312311">
      <w:pPr>
        <w:pStyle w:val="Bibliografia"/>
        <w:rPr>
          <w:rFonts w:cs="Arial"/>
        </w:rPr>
      </w:pPr>
      <w:r w:rsidRPr="00312311">
        <w:rPr>
          <w:rFonts w:cs="Arial"/>
        </w:rPr>
        <w:t>Eckhoff, R.K., 2003. Dust Explosions in the Process Industries: Identification, Assessment and Control of Dust Hazards. Elsevier Science.</w:t>
      </w:r>
    </w:p>
    <w:p w14:paraId="20B4DB34" w14:textId="77777777" w:rsidR="00312311" w:rsidRPr="00312311" w:rsidRDefault="00312311" w:rsidP="00312311">
      <w:pPr>
        <w:pStyle w:val="Bibliografia"/>
        <w:rPr>
          <w:rFonts w:cs="Arial"/>
        </w:rPr>
      </w:pPr>
      <w:r w:rsidRPr="00312311">
        <w:rPr>
          <w:rFonts w:cs="Arial"/>
        </w:rPr>
        <w:t>Sankhé, M., Bernard, S., Wartel, M., Pellerin, S., Gillard, P., 2019. Characterization of a spark discharge for dust cloud ignition. Contributions to Plasma Physics 59, 326–339. https://doi.org/10.1002/ctpp.201800090</w:t>
      </w:r>
    </w:p>
    <w:p w14:paraId="19C4FC68" w14:textId="492E94D0" w:rsidR="004628D2" w:rsidRDefault="00AF274E" w:rsidP="00312311">
      <w:pPr>
        <w:pStyle w:val="CETReference"/>
      </w:pPr>
      <w:r>
        <w:fldChar w:fldCharType="end"/>
      </w:r>
    </w:p>
    <w:sectPr w:rsidR="004628D2"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006BFB" w14:textId="77777777" w:rsidR="00500F8B" w:rsidRDefault="00500F8B" w:rsidP="004F5E36">
      <w:r>
        <w:separator/>
      </w:r>
    </w:p>
  </w:endnote>
  <w:endnote w:type="continuationSeparator" w:id="0">
    <w:p w14:paraId="012061AE" w14:textId="77777777" w:rsidR="00500F8B" w:rsidRDefault="00500F8B"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CB75D1" w14:textId="77777777" w:rsidR="00500F8B" w:rsidRDefault="00500F8B" w:rsidP="004F5E36">
      <w:r>
        <w:separator/>
      </w:r>
    </w:p>
  </w:footnote>
  <w:footnote w:type="continuationSeparator" w:id="0">
    <w:p w14:paraId="7C8AB400" w14:textId="77777777" w:rsidR="00500F8B" w:rsidRDefault="00500F8B"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6B03161"/>
    <w:multiLevelType w:val="hybridMultilevel"/>
    <w:tmpl w:val="6E1EF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38217E"/>
    <w:multiLevelType w:val="multilevel"/>
    <w:tmpl w:val="B7F22CCA"/>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lang w:val="en-US"/>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284105D8"/>
    <w:multiLevelType w:val="hybridMultilevel"/>
    <w:tmpl w:val="CC3EF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E1C3BCE"/>
    <w:multiLevelType w:val="hybridMultilevel"/>
    <w:tmpl w:val="34EEF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16789308">
    <w:abstractNumId w:val="11"/>
  </w:num>
  <w:num w:numId="2" w16cid:durableId="87048609">
    <w:abstractNumId w:val="8"/>
  </w:num>
  <w:num w:numId="3" w16cid:durableId="1550647906">
    <w:abstractNumId w:val="3"/>
  </w:num>
  <w:num w:numId="4" w16cid:durableId="1492791575">
    <w:abstractNumId w:val="2"/>
  </w:num>
  <w:num w:numId="5" w16cid:durableId="816216856">
    <w:abstractNumId w:val="1"/>
  </w:num>
  <w:num w:numId="6" w16cid:durableId="1883202140">
    <w:abstractNumId w:val="0"/>
  </w:num>
  <w:num w:numId="7" w16cid:durableId="56980342">
    <w:abstractNumId w:val="9"/>
  </w:num>
  <w:num w:numId="8" w16cid:durableId="1905526278">
    <w:abstractNumId w:val="7"/>
  </w:num>
  <w:num w:numId="9" w16cid:durableId="70933709">
    <w:abstractNumId w:val="6"/>
  </w:num>
  <w:num w:numId="10" w16cid:durableId="996499233">
    <w:abstractNumId w:val="5"/>
  </w:num>
  <w:num w:numId="11" w16cid:durableId="957948186">
    <w:abstractNumId w:val="4"/>
  </w:num>
  <w:num w:numId="12" w16cid:durableId="1243835430">
    <w:abstractNumId w:val="19"/>
  </w:num>
  <w:num w:numId="13" w16cid:durableId="1795513188">
    <w:abstractNumId w:val="14"/>
  </w:num>
  <w:num w:numId="14" w16cid:durableId="466315188">
    <w:abstractNumId w:val="20"/>
  </w:num>
  <w:num w:numId="15" w16cid:durableId="1756054008">
    <w:abstractNumId w:val="22"/>
  </w:num>
  <w:num w:numId="16" w16cid:durableId="795215501">
    <w:abstractNumId w:val="21"/>
  </w:num>
  <w:num w:numId="17" w16cid:durableId="1083061778">
    <w:abstractNumId w:val="13"/>
  </w:num>
  <w:num w:numId="18" w16cid:durableId="599485888">
    <w:abstractNumId w:val="14"/>
    <w:lvlOverride w:ilvl="0">
      <w:startOverride w:val="1"/>
    </w:lvlOverride>
  </w:num>
  <w:num w:numId="19" w16cid:durableId="2060127661">
    <w:abstractNumId w:val="18"/>
  </w:num>
  <w:num w:numId="20" w16cid:durableId="2109814688">
    <w:abstractNumId w:val="17"/>
  </w:num>
  <w:num w:numId="21" w16cid:durableId="392124074">
    <w:abstractNumId w:val="16"/>
  </w:num>
  <w:num w:numId="22" w16cid:durableId="887767668">
    <w:abstractNumId w:val="15"/>
  </w:num>
  <w:num w:numId="23" w16cid:durableId="1875187057">
    <w:abstractNumId w:val="10"/>
  </w:num>
  <w:num w:numId="24" w16cid:durableId="304358279">
    <w:abstractNumId w:val="12"/>
  </w:num>
  <w:num w:numId="25" w16cid:durableId="10679983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117CB"/>
    <w:rsid w:val="0003148D"/>
    <w:rsid w:val="00031EEC"/>
    <w:rsid w:val="00051566"/>
    <w:rsid w:val="00055D79"/>
    <w:rsid w:val="000562A9"/>
    <w:rsid w:val="00062A9A"/>
    <w:rsid w:val="00065058"/>
    <w:rsid w:val="00072B00"/>
    <w:rsid w:val="00086C39"/>
    <w:rsid w:val="000A03B2"/>
    <w:rsid w:val="000A467D"/>
    <w:rsid w:val="000C4430"/>
    <w:rsid w:val="000D0268"/>
    <w:rsid w:val="000D34BE"/>
    <w:rsid w:val="000E102F"/>
    <w:rsid w:val="000E36F1"/>
    <w:rsid w:val="000E3A73"/>
    <w:rsid w:val="000E414A"/>
    <w:rsid w:val="000E6998"/>
    <w:rsid w:val="000F093C"/>
    <w:rsid w:val="000F787B"/>
    <w:rsid w:val="00101DF0"/>
    <w:rsid w:val="0010681E"/>
    <w:rsid w:val="0012091F"/>
    <w:rsid w:val="0012383B"/>
    <w:rsid w:val="00126BC2"/>
    <w:rsid w:val="001308B6"/>
    <w:rsid w:val="0013121F"/>
    <w:rsid w:val="00131FE6"/>
    <w:rsid w:val="0013263F"/>
    <w:rsid w:val="001331DF"/>
    <w:rsid w:val="00134DE4"/>
    <w:rsid w:val="0014034D"/>
    <w:rsid w:val="00144D16"/>
    <w:rsid w:val="001450A0"/>
    <w:rsid w:val="00150E59"/>
    <w:rsid w:val="00152DE3"/>
    <w:rsid w:val="00157A8E"/>
    <w:rsid w:val="00164CF9"/>
    <w:rsid w:val="001667A6"/>
    <w:rsid w:val="00184AD6"/>
    <w:rsid w:val="001A4AF7"/>
    <w:rsid w:val="001B0349"/>
    <w:rsid w:val="001B1E93"/>
    <w:rsid w:val="001B65C1"/>
    <w:rsid w:val="001C684B"/>
    <w:rsid w:val="001D0CFB"/>
    <w:rsid w:val="001D21AF"/>
    <w:rsid w:val="001D53FC"/>
    <w:rsid w:val="001E5145"/>
    <w:rsid w:val="001F42A5"/>
    <w:rsid w:val="001F6537"/>
    <w:rsid w:val="001F7B9D"/>
    <w:rsid w:val="00201C93"/>
    <w:rsid w:val="002224B4"/>
    <w:rsid w:val="002447EF"/>
    <w:rsid w:val="00251550"/>
    <w:rsid w:val="002635CC"/>
    <w:rsid w:val="00263B05"/>
    <w:rsid w:val="0027221A"/>
    <w:rsid w:val="00275B61"/>
    <w:rsid w:val="00280FAF"/>
    <w:rsid w:val="00282656"/>
    <w:rsid w:val="00296B83"/>
    <w:rsid w:val="002B4015"/>
    <w:rsid w:val="002B4C2A"/>
    <w:rsid w:val="002B78CE"/>
    <w:rsid w:val="002C2FB6"/>
    <w:rsid w:val="002E5FA7"/>
    <w:rsid w:val="002F1E72"/>
    <w:rsid w:val="002F3309"/>
    <w:rsid w:val="003008CE"/>
    <w:rsid w:val="003009B7"/>
    <w:rsid w:val="00300E56"/>
    <w:rsid w:val="0030152C"/>
    <w:rsid w:val="0030469C"/>
    <w:rsid w:val="00312311"/>
    <w:rsid w:val="0032183F"/>
    <w:rsid w:val="003218D4"/>
    <w:rsid w:val="00321CA6"/>
    <w:rsid w:val="00323763"/>
    <w:rsid w:val="00323C5F"/>
    <w:rsid w:val="00334C09"/>
    <w:rsid w:val="00335AE0"/>
    <w:rsid w:val="003375BC"/>
    <w:rsid w:val="003405D6"/>
    <w:rsid w:val="00364A76"/>
    <w:rsid w:val="003723D4"/>
    <w:rsid w:val="00381905"/>
    <w:rsid w:val="00384CC8"/>
    <w:rsid w:val="003871FD"/>
    <w:rsid w:val="00392E52"/>
    <w:rsid w:val="00397778"/>
    <w:rsid w:val="003A1E30"/>
    <w:rsid w:val="003A2829"/>
    <w:rsid w:val="003A7D1C"/>
    <w:rsid w:val="003B304B"/>
    <w:rsid w:val="003B3146"/>
    <w:rsid w:val="003D5A65"/>
    <w:rsid w:val="003F015E"/>
    <w:rsid w:val="00400414"/>
    <w:rsid w:val="0040299F"/>
    <w:rsid w:val="0041446B"/>
    <w:rsid w:val="0042372C"/>
    <w:rsid w:val="0044071E"/>
    <w:rsid w:val="0044329C"/>
    <w:rsid w:val="00453E24"/>
    <w:rsid w:val="00457456"/>
    <w:rsid w:val="004577FE"/>
    <w:rsid w:val="00457B9C"/>
    <w:rsid w:val="0046164A"/>
    <w:rsid w:val="004628D2"/>
    <w:rsid w:val="00462DCD"/>
    <w:rsid w:val="004648AD"/>
    <w:rsid w:val="004703A9"/>
    <w:rsid w:val="004760DE"/>
    <w:rsid w:val="004763D7"/>
    <w:rsid w:val="004A004E"/>
    <w:rsid w:val="004A24CF"/>
    <w:rsid w:val="004C3D1D"/>
    <w:rsid w:val="004C3D84"/>
    <w:rsid w:val="004C7913"/>
    <w:rsid w:val="004D415F"/>
    <w:rsid w:val="004E4DD6"/>
    <w:rsid w:val="004F5E36"/>
    <w:rsid w:val="00500F8B"/>
    <w:rsid w:val="00504E9A"/>
    <w:rsid w:val="00507B47"/>
    <w:rsid w:val="00507BEF"/>
    <w:rsid w:val="00507CC9"/>
    <w:rsid w:val="005119A5"/>
    <w:rsid w:val="005278B7"/>
    <w:rsid w:val="00532016"/>
    <w:rsid w:val="00532D7B"/>
    <w:rsid w:val="005346C8"/>
    <w:rsid w:val="00543E7D"/>
    <w:rsid w:val="00546FE7"/>
    <w:rsid w:val="00547A68"/>
    <w:rsid w:val="005531C9"/>
    <w:rsid w:val="0056481A"/>
    <w:rsid w:val="00570C43"/>
    <w:rsid w:val="00581B0C"/>
    <w:rsid w:val="005A28CD"/>
    <w:rsid w:val="005A6B7B"/>
    <w:rsid w:val="005B2110"/>
    <w:rsid w:val="005B61E6"/>
    <w:rsid w:val="005C40DC"/>
    <w:rsid w:val="005C77E1"/>
    <w:rsid w:val="005D668A"/>
    <w:rsid w:val="005D6A2F"/>
    <w:rsid w:val="005E1A82"/>
    <w:rsid w:val="005E794C"/>
    <w:rsid w:val="005F0A28"/>
    <w:rsid w:val="005F0E5E"/>
    <w:rsid w:val="005F3C7F"/>
    <w:rsid w:val="00600535"/>
    <w:rsid w:val="00610CD6"/>
    <w:rsid w:val="00620DEE"/>
    <w:rsid w:val="00621F92"/>
    <w:rsid w:val="0062280A"/>
    <w:rsid w:val="006230C2"/>
    <w:rsid w:val="00625639"/>
    <w:rsid w:val="00631B33"/>
    <w:rsid w:val="00636847"/>
    <w:rsid w:val="0064184D"/>
    <w:rsid w:val="006422CC"/>
    <w:rsid w:val="0065079D"/>
    <w:rsid w:val="0066025F"/>
    <w:rsid w:val="00660E3E"/>
    <w:rsid w:val="00662E74"/>
    <w:rsid w:val="006740CD"/>
    <w:rsid w:val="00680C23"/>
    <w:rsid w:val="00693766"/>
    <w:rsid w:val="006A3281"/>
    <w:rsid w:val="006B4888"/>
    <w:rsid w:val="006C2E45"/>
    <w:rsid w:val="006C359C"/>
    <w:rsid w:val="006C5579"/>
    <w:rsid w:val="006D6E8B"/>
    <w:rsid w:val="006E60EC"/>
    <w:rsid w:val="006E737D"/>
    <w:rsid w:val="00713973"/>
    <w:rsid w:val="00720A24"/>
    <w:rsid w:val="00732386"/>
    <w:rsid w:val="0073514D"/>
    <w:rsid w:val="007447F3"/>
    <w:rsid w:val="0075499F"/>
    <w:rsid w:val="007661C8"/>
    <w:rsid w:val="0077098D"/>
    <w:rsid w:val="007800A6"/>
    <w:rsid w:val="007931FA"/>
    <w:rsid w:val="007A4861"/>
    <w:rsid w:val="007A7BBA"/>
    <w:rsid w:val="007B0C50"/>
    <w:rsid w:val="007B48F9"/>
    <w:rsid w:val="007C1A43"/>
    <w:rsid w:val="007C7F03"/>
    <w:rsid w:val="007D0951"/>
    <w:rsid w:val="007D3018"/>
    <w:rsid w:val="007E0377"/>
    <w:rsid w:val="007F08CA"/>
    <w:rsid w:val="0080013E"/>
    <w:rsid w:val="00813288"/>
    <w:rsid w:val="00813900"/>
    <w:rsid w:val="00815748"/>
    <w:rsid w:val="008168FC"/>
    <w:rsid w:val="008223F9"/>
    <w:rsid w:val="00830996"/>
    <w:rsid w:val="008345F1"/>
    <w:rsid w:val="00865B07"/>
    <w:rsid w:val="008667EA"/>
    <w:rsid w:val="0087637F"/>
    <w:rsid w:val="00892AD5"/>
    <w:rsid w:val="008935E5"/>
    <w:rsid w:val="00894D55"/>
    <w:rsid w:val="008A0379"/>
    <w:rsid w:val="008A1512"/>
    <w:rsid w:val="008A2882"/>
    <w:rsid w:val="008A478C"/>
    <w:rsid w:val="008C03AE"/>
    <w:rsid w:val="008D32B9"/>
    <w:rsid w:val="008D433B"/>
    <w:rsid w:val="008D4A16"/>
    <w:rsid w:val="008E566E"/>
    <w:rsid w:val="0090161A"/>
    <w:rsid w:val="00901EB6"/>
    <w:rsid w:val="00904C62"/>
    <w:rsid w:val="00922BA8"/>
    <w:rsid w:val="00924DAC"/>
    <w:rsid w:val="00927058"/>
    <w:rsid w:val="00942750"/>
    <w:rsid w:val="009450CE"/>
    <w:rsid w:val="009459BB"/>
    <w:rsid w:val="00947179"/>
    <w:rsid w:val="0095164B"/>
    <w:rsid w:val="00954090"/>
    <w:rsid w:val="009573E7"/>
    <w:rsid w:val="00963E05"/>
    <w:rsid w:val="00964A45"/>
    <w:rsid w:val="00967843"/>
    <w:rsid w:val="00967D54"/>
    <w:rsid w:val="00971028"/>
    <w:rsid w:val="00993B84"/>
    <w:rsid w:val="00996483"/>
    <w:rsid w:val="00996F5A"/>
    <w:rsid w:val="009B041A"/>
    <w:rsid w:val="009C37C3"/>
    <w:rsid w:val="009C7C86"/>
    <w:rsid w:val="009D2FF7"/>
    <w:rsid w:val="009E7884"/>
    <w:rsid w:val="009E788A"/>
    <w:rsid w:val="009F0E08"/>
    <w:rsid w:val="009F1339"/>
    <w:rsid w:val="00A06FA5"/>
    <w:rsid w:val="00A15FEB"/>
    <w:rsid w:val="00A1763D"/>
    <w:rsid w:val="00A17CEC"/>
    <w:rsid w:val="00A23DA1"/>
    <w:rsid w:val="00A26127"/>
    <w:rsid w:val="00A27EF0"/>
    <w:rsid w:val="00A42361"/>
    <w:rsid w:val="00A50B20"/>
    <w:rsid w:val="00A51390"/>
    <w:rsid w:val="00A60D13"/>
    <w:rsid w:val="00A7223D"/>
    <w:rsid w:val="00A72745"/>
    <w:rsid w:val="00A767DD"/>
    <w:rsid w:val="00A76EFC"/>
    <w:rsid w:val="00A87D50"/>
    <w:rsid w:val="00A91010"/>
    <w:rsid w:val="00A96A5C"/>
    <w:rsid w:val="00A96DC5"/>
    <w:rsid w:val="00A97F29"/>
    <w:rsid w:val="00AA702E"/>
    <w:rsid w:val="00AA7D26"/>
    <w:rsid w:val="00AB0964"/>
    <w:rsid w:val="00AB5011"/>
    <w:rsid w:val="00AC7368"/>
    <w:rsid w:val="00AD16B9"/>
    <w:rsid w:val="00AD3F9E"/>
    <w:rsid w:val="00AE377D"/>
    <w:rsid w:val="00AE4A32"/>
    <w:rsid w:val="00AF0EBA"/>
    <w:rsid w:val="00AF274E"/>
    <w:rsid w:val="00AF3290"/>
    <w:rsid w:val="00B02C8A"/>
    <w:rsid w:val="00B12192"/>
    <w:rsid w:val="00B17FBD"/>
    <w:rsid w:val="00B21BD2"/>
    <w:rsid w:val="00B2702E"/>
    <w:rsid w:val="00B315A6"/>
    <w:rsid w:val="00B31813"/>
    <w:rsid w:val="00B33365"/>
    <w:rsid w:val="00B42794"/>
    <w:rsid w:val="00B57B36"/>
    <w:rsid w:val="00B57E6F"/>
    <w:rsid w:val="00B83717"/>
    <w:rsid w:val="00B8686D"/>
    <w:rsid w:val="00B93F69"/>
    <w:rsid w:val="00BA172B"/>
    <w:rsid w:val="00BA46AE"/>
    <w:rsid w:val="00BA6F4C"/>
    <w:rsid w:val="00BB1DDC"/>
    <w:rsid w:val="00BC30C9"/>
    <w:rsid w:val="00BD077D"/>
    <w:rsid w:val="00BD6AEB"/>
    <w:rsid w:val="00BE3E58"/>
    <w:rsid w:val="00C01616"/>
    <w:rsid w:val="00C0162B"/>
    <w:rsid w:val="00C068ED"/>
    <w:rsid w:val="00C22E0C"/>
    <w:rsid w:val="00C345B1"/>
    <w:rsid w:val="00C40142"/>
    <w:rsid w:val="00C42B73"/>
    <w:rsid w:val="00C52C3C"/>
    <w:rsid w:val="00C540B4"/>
    <w:rsid w:val="00C57182"/>
    <w:rsid w:val="00C57863"/>
    <w:rsid w:val="00C640AF"/>
    <w:rsid w:val="00C655FD"/>
    <w:rsid w:val="00C74D47"/>
    <w:rsid w:val="00C75407"/>
    <w:rsid w:val="00C870A8"/>
    <w:rsid w:val="00C94434"/>
    <w:rsid w:val="00C97CC7"/>
    <w:rsid w:val="00CA0D75"/>
    <w:rsid w:val="00CA1C95"/>
    <w:rsid w:val="00CA5A9C"/>
    <w:rsid w:val="00CA6803"/>
    <w:rsid w:val="00CC4C20"/>
    <w:rsid w:val="00CD3517"/>
    <w:rsid w:val="00CD5FE2"/>
    <w:rsid w:val="00CE7C68"/>
    <w:rsid w:val="00D02B4C"/>
    <w:rsid w:val="00D040C4"/>
    <w:rsid w:val="00D128B2"/>
    <w:rsid w:val="00D20AD1"/>
    <w:rsid w:val="00D46B7E"/>
    <w:rsid w:val="00D57C84"/>
    <w:rsid w:val="00D6057D"/>
    <w:rsid w:val="00D71640"/>
    <w:rsid w:val="00D836C5"/>
    <w:rsid w:val="00D84576"/>
    <w:rsid w:val="00DA1399"/>
    <w:rsid w:val="00DA24C6"/>
    <w:rsid w:val="00DA4D7B"/>
    <w:rsid w:val="00DB429D"/>
    <w:rsid w:val="00DC092C"/>
    <w:rsid w:val="00DD271C"/>
    <w:rsid w:val="00DE264A"/>
    <w:rsid w:val="00DF0F9A"/>
    <w:rsid w:val="00DF3A53"/>
    <w:rsid w:val="00DF5072"/>
    <w:rsid w:val="00E02D18"/>
    <w:rsid w:val="00E041E7"/>
    <w:rsid w:val="00E10435"/>
    <w:rsid w:val="00E23CA1"/>
    <w:rsid w:val="00E409A8"/>
    <w:rsid w:val="00E43236"/>
    <w:rsid w:val="00E50C12"/>
    <w:rsid w:val="00E65B91"/>
    <w:rsid w:val="00E71370"/>
    <w:rsid w:val="00E7209D"/>
    <w:rsid w:val="00E72EAD"/>
    <w:rsid w:val="00E77223"/>
    <w:rsid w:val="00E8528B"/>
    <w:rsid w:val="00E85B94"/>
    <w:rsid w:val="00E978D0"/>
    <w:rsid w:val="00EA4613"/>
    <w:rsid w:val="00EA7F91"/>
    <w:rsid w:val="00EB1523"/>
    <w:rsid w:val="00EB6E3F"/>
    <w:rsid w:val="00EC0E49"/>
    <w:rsid w:val="00EC101F"/>
    <w:rsid w:val="00EC1D9F"/>
    <w:rsid w:val="00EE0131"/>
    <w:rsid w:val="00EE17B0"/>
    <w:rsid w:val="00EE1C5A"/>
    <w:rsid w:val="00EE2155"/>
    <w:rsid w:val="00EF06D9"/>
    <w:rsid w:val="00F23793"/>
    <w:rsid w:val="00F3049E"/>
    <w:rsid w:val="00F30C64"/>
    <w:rsid w:val="00F32BA2"/>
    <w:rsid w:val="00F32CDB"/>
    <w:rsid w:val="00F565FE"/>
    <w:rsid w:val="00F63A70"/>
    <w:rsid w:val="00F63D8C"/>
    <w:rsid w:val="00F7534E"/>
    <w:rsid w:val="00F77996"/>
    <w:rsid w:val="00F93EDF"/>
    <w:rsid w:val="00FA0CDF"/>
    <w:rsid w:val="00FA1802"/>
    <w:rsid w:val="00FA21D0"/>
    <w:rsid w:val="00FA5F5F"/>
    <w:rsid w:val="00FB730C"/>
    <w:rsid w:val="00FC2695"/>
    <w:rsid w:val="00FC3489"/>
    <w:rsid w:val="00FC3E03"/>
    <w:rsid w:val="00FC3FC1"/>
    <w:rsid w:val="00FC643C"/>
    <w:rsid w:val="00FC76D0"/>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styleId="Menzionenonrisolta">
    <w:name w:val="Unresolved Mention"/>
    <w:basedOn w:val="Carpredefinitoparagrafo"/>
    <w:uiPriority w:val="99"/>
    <w:semiHidden/>
    <w:unhideWhenUsed/>
    <w:rsid w:val="000C4430"/>
    <w:rPr>
      <w:color w:val="605E5C"/>
      <w:shd w:val="clear" w:color="auto" w:fill="E1DFDD"/>
    </w:rPr>
  </w:style>
  <w:style w:type="character" w:styleId="Testosegnaposto">
    <w:name w:val="Placeholder Text"/>
    <w:basedOn w:val="Carpredefinitoparagrafo"/>
    <w:uiPriority w:val="99"/>
    <w:semiHidden/>
    <w:rsid w:val="00AE4A3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8635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hyperlink" Target="mailto:sabrina.copelli@uninsubria.it" TargetMode="External"/><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ADF8C-D810-4438-A9D5-60D829257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2376</TotalTime>
  <Pages>6</Pages>
  <Words>5711</Words>
  <Characters>32557</Characters>
  <Application>Microsoft Office Word</Application>
  <DocSecurity>0</DocSecurity>
  <Lines>271</Lines>
  <Paragraphs>76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38192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Copelli Sabrina</cp:lastModifiedBy>
  <cp:revision>67</cp:revision>
  <cp:lastPrinted>2015-05-12T18:31:00Z</cp:lastPrinted>
  <dcterms:created xsi:type="dcterms:W3CDTF">2022-09-21T08:52:00Z</dcterms:created>
  <dcterms:modified xsi:type="dcterms:W3CDTF">2023-06-22T10:04:00Z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id="lXauT3FZ"/&gt;&lt;style id="http://www.zotero.org/styles/journal-of-loss-prevention-in-the-process-industries" hasBibliography="1" bibliographyStyleHasBeenSet="1"/&gt;&lt;prefs&gt;&lt;pref name="fieldType" value="</vt:lpwstr>
  </property>
  <property fmtid="{D5CDD505-2E9C-101B-9397-08002B2CF9AE}" pid="3" name="ZOTERO_PREF_2">
    <vt:lpwstr>Field"/&gt;&lt;pref name="storeReferences" value="true"/&gt;&lt;/prefs&gt;&lt;/data&gt;</vt:lpwstr>
  </property>
</Properties>
</file>