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AD91" w14:textId="77777777" w:rsidR="00843864" w:rsidRDefault="00843864"/>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8543FE9" w14:textId="77777777" w:rsidTr="00DE264A">
        <w:trPr>
          <w:trHeight w:val="852"/>
          <w:jc w:val="center"/>
        </w:trPr>
        <w:tc>
          <w:tcPr>
            <w:tcW w:w="6946" w:type="dxa"/>
            <w:vMerge w:val="restart"/>
            <w:tcBorders>
              <w:right w:val="single" w:sz="4" w:space="0" w:color="auto"/>
            </w:tcBorders>
          </w:tcPr>
          <w:p w14:paraId="12F7553E"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A974292" wp14:editId="47E1BE1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358DDC87" w14:textId="77777777"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1E51F8F1"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49C7FD7B" w14:textId="77777777" w:rsidR="000A03B2" w:rsidRPr="00B57B36" w:rsidRDefault="000A03B2" w:rsidP="00CD5FE2">
            <w:pPr>
              <w:jc w:val="right"/>
            </w:pPr>
            <w:r w:rsidRPr="00B57B36">
              <w:rPr>
                <w:noProof/>
                <w:lang w:val="it-IT" w:eastAsia="it-IT"/>
              </w:rPr>
              <w:drawing>
                <wp:inline distT="0" distB="0" distL="0" distR="0" wp14:anchorId="3A467D81" wp14:editId="3D498F1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21B8CDFD" w14:textId="77777777" w:rsidTr="00DE264A">
        <w:trPr>
          <w:trHeight w:val="567"/>
          <w:jc w:val="center"/>
        </w:trPr>
        <w:tc>
          <w:tcPr>
            <w:tcW w:w="6946" w:type="dxa"/>
            <w:vMerge/>
            <w:tcBorders>
              <w:right w:val="single" w:sz="4" w:space="0" w:color="auto"/>
            </w:tcBorders>
          </w:tcPr>
          <w:p w14:paraId="73249A8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E48C817"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9310A3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9620DD0"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446F95CA" w14:textId="77777777" w:rsidTr="00DE264A">
        <w:trPr>
          <w:trHeight w:val="68"/>
          <w:jc w:val="center"/>
        </w:trPr>
        <w:tc>
          <w:tcPr>
            <w:tcW w:w="8789" w:type="dxa"/>
            <w:gridSpan w:val="2"/>
          </w:tcPr>
          <w:p w14:paraId="49C32C31" w14:textId="77777777"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225738" w:rsidRPr="00225738">
              <w:rPr>
                <w:rFonts w:ascii="Tahoma" w:hAnsi="Tahoma" w:cs="Tahoma"/>
                <w:iCs/>
                <w:color w:val="333333"/>
                <w:sz w:val="14"/>
                <w:szCs w:val="14"/>
                <w:lang w:val="en-US" w:eastAsia="it-IT"/>
              </w:rPr>
              <w:t>Sabrina Copelli, Richard Siw</w:t>
            </w:r>
            <w:r w:rsidR="00225738">
              <w:rPr>
                <w:rFonts w:ascii="Tahoma" w:hAnsi="Tahoma" w:cs="Tahoma"/>
                <w:iCs/>
                <w:color w:val="333333"/>
                <w:sz w:val="14"/>
                <w:szCs w:val="14"/>
                <w:lang w:val="en-US" w:eastAsia="it-IT"/>
              </w:rPr>
              <w:t>ek</w:t>
            </w:r>
          </w:p>
          <w:p w14:paraId="5F832000" w14:textId="77777777"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EF06D9">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7D22E8B"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5503AE7" w14:textId="77777777" w:rsidR="007C1600" w:rsidRPr="007C1600" w:rsidRDefault="007C1600" w:rsidP="007C1600">
      <w:pPr>
        <w:jc w:val="center"/>
        <w:rPr>
          <w:b/>
          <w:sz w:val="32"/>
        </w:rPr>
      </w:pPr>
      <w:r w:rsidRPr="007C1600">
        <w:rPr>
          <w:b/>
          <w:sz w:val="32"/>
        </w:rPr>
        <w:t xml:space="preserve">Experimental study on different extinguishing agents for fire of Lithium Ion Batteries for Electric Mobility </w:t>
      </w:r>
    </w:p>
    <w:p w14:paraId="11F0706F" w14:textId="77777777" w:rsidR="004D4DE9" w:rsidRPr="004D4DE9" w:rsidRDefault="004D4DE9" w:rsidP="00AB5011">
      <w:pPr>
        <w:pStyle w:val="CETAuthors"/>
        <w:rPr>
          <w:lang w:val="it-IT"/>
        </w:rPr>
      </w:pPr>
      <w:r w:rsidRPr="004D4DE9">
        <w:rPr>
          <w:lang w:val="it-IT"/>
        </w:rPr>
        <w:t>D. Palma</w:t>
      </w:r>
      <w:r w:rsidRPr="004D4DE9">
        <w:rPr>
          <w:vertAlign w:val="superscript"/>
          <w:lang w:val="it-IT"/>
        </w:rPr>
        <w:t>a</w:t>
      </w:r>
      <w:r w:rsidRPr="004D4DE9">
        <w:rPr>
          <w:lang w:val="it-IT"/>
        </w:rPr>
        <w:t>, P. Gentile</w:t>
      </w:r>
      <w:r w:rsidRPr="004D4DE9">
        <w:rPr>
          <w:vertAlign w:val="superscript"/>
          <w:lang w:val="it-IT"/>
        </w:rPr>
        <w:t>b</w:t>
      </w:r>
      <w:r w:rsidRPr="004D4DE9">
        <w:rPr>
          <w:lang w:val="it-IT"/>
        </w:rPr>
        <w:t xml:space="preserve">, M. </w:t>
      </w:r>
      <w:r>
        <w:rPr>
          <w:lang w:val="it-IT"/>
        </w:rPr>
        <w:t>Mazzaro</w:t>
      </w:r>
      <w:r w:rsidRPr="004D4DE9">
        <w:rPr>
          <w:vertAlign w:val="superscript"/>
          <w:lang w:val="it-IT"/>
        </w:rPr>
        <w:t>b</w:t>
      </w:r>
      <w:r>
        <w:rPr>
          <w:lang w:val="it-IT"/>
        </w:rPr>
        <w:t>, P. Russo</w:t>
      </w:r>
      <w:r w:rsidRPr="004D4DE9">
        <w:rPr>
          <w:vertAlign w:val="superscript"/>
          <w:lang w:val="it-IT"/>
        </w:rPr>
        <w:t>a</w:t>
      </w:r>
      <w:r w:rsidR="00D52A89">
        <w:rPr>
          <w:vertAlign w:val="superscript"/>
          <w:lang w:val="it-IT"/>
        </w:rPr>
        <w:t>,</w:t>
      </w:r>
      <w:r w:rsidR="00D52A89" w:rsidRPr="00D52A89">
        <w:rPr>
          <w:lang w:val="it-IT"/>
        </w:rPr>
        <w:t>*</w:t>
      </w:r>
    </w:p>
    <w:p w14:paraId="501614DC" w14:textId="77777777" w:rsidR="004D4DE9" w:rsidRPr="004D4DE9" w:rsidRDefault="00D52A89" w:rsidP="004D4DE9">
      <w:pPr>
        <w:autoSpaceDE w:val="0"/>
        <w:autoSpaceDN w:val="0"/>
        <w:adjustRightInd w:val="0"/>
        <w:jc w:val="left"/>
        <w:rPr>
          <w:noProof/>
          <w:sz w:val="16"/>
        </w:rPr>
      </w:pPr>
      <w:r>
        <w:rPr>
          <w:noProof/>
          <w:sz w:val="16"/>
          <w:vertAlign w:val="superscript"/>
        </w:rPr>
        <w:t>a</w:t>
      </w:r>
      <w:r w:rsidR="004D4DE9" w:rsidRPr="004D4DE9">
        <w:rPr>
          <w:noProof/>
          <w:sz w:val="16"/>
        </w:rPr>
        <w:t>Sapienza University of Rome, Department of Chemical Engineering Materials Environment,</w:t>
      </w:r>
      <w:r w:rsidR="00F61229">
        <w:rPr>
          <w:noProof/>
          <w:sz w:val="16"/>
        </w:rPr>
        <w:t xml:space="preserve"> </w:t>
      </w:r>
      <w:r w:rsidR="004D4DE9" w:rsidRPr="004D4DE9">
        <w:rPr>
          <w:noProof/>
          <w:sz w:val="16"/>
        </w:rPr>
        <w:t>Rome, Italy</w:t>
      </w:r>
    </w:p>
    <w:p w14:paraId="7A2B2126" w14:textId="7EAE0C61" w:rsidR="004D4DE9" w:rsidRDefault="00D52A89" w:rsidP="004D4DE9">
      <w:pPr>
        <w:pStyle w:val="CETAddress"/>
      </w:pPr>
      <w:r>
        <w:rPr>
          <w:vertAlign w:val="superscript"/>
        </w:rPr>
        <w:t>b</w:t>
      </w:r>
      <w:r w:rsidR="004D4DE9" w:rsidRPr="004D4DE9">
        <w:t xml:space="preserve">National Fire </w:t>
      </w:r>
      <w:r w:rsidR="00A41700">
        <w:t>Corps</w:t>
      </w:r>
      <w:r w:rsidR="004D4DE9" w:rsidRPr="004D4DE9">
        <w:t>,</w:t>
      </w:r>
      <w:r w:rsidR="00F61229">
        <w:t xml:space="preserve"> </w:t>
      </w:r>
      <w:r w:rsidR="004D4DE9" w:rsidRPr="004D4DE9">
        <w:t>Central Directorate for Prevention and Technical Safety, Rome, Italy;</w:t>
      </w:r>
    </w:p>
    <w:p w14:paraId="63A397DA" w14:textId="77777777" w:rsidR="00E018D1" w:rsidRPr="004D4DE9" w:rsidRDefault="00E018D1" w:rsidP="004D4DE9">
      <w:pPr>
        <w:pStyle w:val="CETAddress"/>
      </w:pPr>
      <w:r>
        <w:t>paola.russo@uniroma1.it</w:t>
      </w:r>
    </w:p>
    <w:p w14:paraId="16057983" w14:textId="77777777" w:rsidR="00E978D0" w:rsidRDefault="00E978D0" w:rsidP="004D4DE9">
      <w:pPr>
        <w:pStyle w:val="CETAddress"/>
      </w:pPr>
    </w:p>
    <w:p w14:paraId="6C14A8CA" w14:textId="27D78101" w:rsidR="007C1600" w:rsidRDefault="00414032" w:rsidP="00414032">
      <w:pPr>
        <w:pStyle w:val="CETAddress"/>
      </w:pPr>
      <w:r w:rsidRPr="00414032">
        <w:rPr>
          <w:noProof w:val="0"/>
          <w:sz w:val="18"/>
        </w:rPr>
        <w:t xml:space="preserve">This paper shows the research work based on experimental tests for identifying the most </w:t>
      </w:r>
      <w:r>
        <w:rPr>
          <w:noProof w:val="0"/>
          <w:sz w:val="18"/>
        </w:rPr>
        <w:t>efficient</w:t>
      </w:r>
      <w:r w:rsidRPr="00414032">
        <w:rPr>
          <w:noProof w:val="0"/>
          <w:sz w:val="18"/>
        </w:rPr>
        <w:t xml:space="preserve"> extinguishing agent against LIBs fire.</w:t>
      </w:r>
      <w:r>
        <w:rPr>
          <w:noProof w:val="0"/>
          <w:sz w:val="18"/>
        </w:rPr>
        <w:t xml:space="preserve"> </w:t>
      </w:r>
      <w:r w:rsidR="00917C59" w:rsidRPr="00C80AF4">
        <w:rPr>
          <w:noProof w:val="0"/>
          <w:sz w:val="18"/>
        </w:rPr>
        <w:t>Experimental</w:t>
      </w:r>
      <w:r w:rsidR="007C1600" w:rsidRPr="00C80AF4">
        <w:rPr>
          <w:noProof w:val="0"/>
          <w:sz w:val="18"/>
        </w:rPr>
        <w:t xml:space="preserve"> test</w:t>
      </w:r>
      <w:r w:rsidR="00DB6CC0" w:rsidRPr="00C80AF4">
        <w:rPr>
          <w:noProof w:val="0"/>
          <w:sz w:val="18"/>
        </w:rPr>
        <w:t>s</w:t>
      </w:r>
      <w:r w:rsidR="007C1600" w:rsidRPr="00C80AF4">
        <w:rPr>
          <w:noProof w:val="0"/>
          <w:sz w:val="18"/>
        </w:rPr>
        <w:t xml:space="preserve"> were conducted in cooperation with the National Fire </w:t>
      </w:r>
      <w:r w:rsidR="00A41700">
        <w:rPr>
          <w:noProof w:val="0"/>
          <w:sz w:val="18"/>
        </w:rPr>
        <w:t>Corps</w:t>
      </w:r>
      <w:r w:rsidR="007C1600" w:rsidRPr="00C80AF4">
        <w:rPr>
          <w:noProof w:val="0"/>
          <w:sz w:val="18"/>
        </w:rPr>
        <w:t xml:space="preserve"> of Rome. For these experimental test LIBs typically used in electric, Hybrid or plug-in Hybrid vehicle have been chosen. The tested cell was placed on a metal grate inserted between two electric plates. The heat generated from the two plates induced the cell to thermal runaway and then to fire. In Total 11 Kokam SPLB pouch cells of 40 Ah and 3.7 V each have been used. </w:t>
      </w:r>
      <w:r w:rsidR="00917C59" w:rsidRPr="00C80AF4">
        <w:rPr>
          <w:noProof w:val="0"/>
          <w:sz w:val="18"/>
        </w:rPr>
        <w:t>Four</w:t>
      </w:r>
      <w:r w:rsidR="007C1600" w:rsidRPr="00C80AF4">
        <w:rPr>
          <w:noProof w:val="0"/>
          <w:sz w:val="18"/>
        </w:rPr>
        <w:t xml:space="preserve"> different extinguishing agents have been tested: Water, F500, Foam and AVD.</w:t>
      </w:r>
      <w:r w:rsidR="009F3EE0" w:rsidRPr="00C80AF4">
        <w:rPr>
          <w:noProof w:val="0"/>
          <w:sz w:val="18"/>
        </w:rPr>
        <w:t xml:space="preserve"> </w:t>
      </w:r>
      <w:r w:rsidR="007C1600" w:rsidRPr="00C80AF4">
        <w:rPr>
          <w:noProof w:val="0"/>
          <w:sz w:val="18"/>
        </w:rPr>
        <w:t>The result</w:t>
      </w:r>
      <w:r w:rsidR="0003535C">
        <w:rPr>
          <w:noProof w:val="0"/>
          <w:sz w:val="18"/>
        </w:rPr>
        <w:t>s</w:t>
      </w:r>
      <w:r w:rsidR="007C1600" w:rsidRPr="00C80AF4">
        <w:rPr>
          <w:noProof w:val="0"/>
          <w:sz w:val="18"/>
        </w:rPr>
        <w:t xml:space="preserve"> of each experimental test</w:t>
      </w:r>
      <w:r w:rsidR="0003535C">
        <w:rPr>
          <w:noProof w:val="0"/>
          <w:sz w:val="18"/>
        </w:rPr>
        <w:t>s</w:t>
      </w:r>
      <w:r w:rsidR="007C1600" w:rsidRPr="00C80AF4">
        <w:rPr>
          <w:noProof w:val="0"/>
          <w:sz w:val="18"/>
        </w:rPr>
        <w:t xml:space="preserve"> </w:t>
      </w:r>
      <w:r w:rsidR="00A41700">
        <w:rPr>
          <w:noProof w:val="0"/>
          <w:sz w:val="18"/>
        </w:rPr>
        <w:t>w</w:t>
      </w:r>
      <w:r w:rsidR="0003535C">
        <w:rPr>
          <w:noProof w:val="0"/>
          <w:sz w:val="18"/>
        </w:rPr>
        <w:t>ere</w:t>
      </w:r>
      <w:r w:rsidR="00A41700">
        <w:rPr>
          <w:noProof w:val="0"/>
          <w:sz w:val="18"/>
        </w:rPr>
        <w:t xml:space="preserve"> </w:t>
      </w:r>
      <w:r w:rsidR="00876659" w:rsidRPr="00C80AF4">
        <w:rPr>
          <w:noProof w:val="0"/>
          <w:sz w:val="18"/>
        </w:rPr>
        <w:t>analysed</w:t>
      </w:r>
      <w:r w:rsidR="007C1600" w:rsidRPr="00C80AF4">
        <w:rPr>
          <w:noProof w:val="0"/>
          <w:sz w:val="18"/>
        </w:rPr>
        <w:t xml:space="preserve"> in terms of chemical and physical action.</w:t>
      </w:r>
      <w:r w:rsidRPr="00C80AF4">
        <w:rPr>
          <w:noProof w:val="0"/>
          <w:sz w:val="18"/>
        </w:rPr>
        <w:t xml:space="preserve"> </w:t>
      </w:r>
      <w:r w:rsidR="007C1600" w:rsidRPr="00C80AF4">
        <w:rPr>
          <w:noProof w:val="0"/>
          <w:sz w:val="18"/>
        </w:rPr>
        <w:t xml:space="preserve">An optimization model was developed for identifying the most </w:t>
      </w:r>
      <w:r w:rsidR="00B13122">
        <w:rPr>
          <w:noProof w:val="0"/>
          <w:sz w:val="18"/>
        </w:rPr>
        <w:t>efficient</w:t>
      </w:r>
      <w:r w:rsidR="007C1600" w:rsidRPr="00C80AF4">
        <w:rPr>
          <w:noProof w:val="0"/>
          <w:sz w:val="18"/>
        </w:rPr>
        <w:t xml:space="preserve"> agent between all th</w:t>
      </w:r>
      <w:r w:rsidR="0003535C">
        <w:rPr>
          <w:noProof w:val="0"/>
          <w:sz w:val="18"/>
        </w:rPr>
        <w:t>ose</w:t>
      </w:r>
      <w:r w:rsidR="007C1600" w:rsidRPr="00C80AF4">
        <w:rPr>
          <w:noProof w:val="0"/>
          <w:sz w:val="18"/>
        </w:rPr>
        <w:t xml:space="preserve"> test</w:t>
      </w:r>
      <w:r w:rsidR="0003535C">
        <w:rPr>
          <w:noProof w:val="0"/>
          <w:sz w:val="18"/>
        </w:rPr>
        <w:t>ed</w:t>
      </w:r>
      <w:r w:rsidR="007C1600" w:rsidRPr="00C80AF4">
        <w:rPr>
          <w:noProof w:val="0"/>
          <w:sz w:val="18"/>
        </w:rPr>
        <w:t>.</w:t>
      </w:r>
      <w:r w:rsidRPr="00C80AF4">
        <w:rPr>
          <w:noProof w:val="0"/>
          <w:sz w:val="18"/>
        </w:rPr>
        <w:t xml:space="preserve"> </w:t>
      </w:r>
      <w:r w:rsidR="007C1600" w:rsidRPr="00C80AF4">
        <w:rPr>
          <w:noProof w:val="0"/>
          <w:sz w:val="18"/>
        </w:rPr>
        <w:t xml:space="preserve">The results obtained </w:t>
      </w:r>
      <w:r w:rsidR="00FE0364" w:rsidRPr="00C80AF4">
        <w:rPr>
          <w:noProof w:val="0"/>
          <w:sz w:val="18"/>
        </w:rPr>
        <w:t>from</w:t>
      </w:r>
      <w:r w:rsidR="007C1600" w:rsidRPr="00C80AF4">
        <w:rPr>
          <w:noProof w:val="0"/>
          <w:sz w:val="18"/>
        </w:rPr>
        <w:t xml:space="preserve"> the experimental tests </w:t>
      </w:r>
      <w:r w:rsidR="00C63914" w:rsidRPr="00C80AF4">
        <w:rPr>
          <w:noProof w:val="0"/>
          <w:sz w:val="18"/>
        </w:rPr>
        <w:t xml:space="preserve">are preliminary results of </w:t>
      </w:r>
      <w:r w:rsidR="007C1600" w:rsidRPr="00C80AF4">
        <w:rPr>
          <w:noProof w:val="0"/>
          <w:sz w:val="18"/>
        </w:rPr>
        <w:t xml:space="preserve">the research </w:t>
      </w:r>
      <w:r w:rsidR="00C63914" w:rsidRPr="00C80AF4">
        <w:rPr>
          <w:noProof w:val="0"/>
          <w:sz w:val="18"/>
        </w:rPr>
        <w:t xml:space="preserve">concerning the </w:t>
      </w:r>
      <w:r w:rsidR="007C1600" w:rsidRPr="00C80AF4">
        <w:rPr>
          <w:noProof w:val="0"/>
          <w:sz w:val="18"/>
        </w:rPr>
        <w:t>extinguishing agents for fire of LIBs. The operating condition</w:t>
      </w:r>
      <w:r w:rsidR="00A41700">
        <w:rPr>
          <w:noProof w:val="0"/>
          <w:sz w:val="18"/>
        </w:rPr>
        <w:t>s</w:t>
      </w:r>
      <w:r w:rsidR="007C1600" w:rsidRPr="00C80AF4">
        <w:rPr>
          <w:noProof w:val="0"/>
          <w:sz w:val="18"/>
        </w:rPr>
        <w:t xml:space="preserve"> chosen for these tests </w:t>
      </w:r>
      <w:r w:rsidR="00A41700">
        <w:rPr>
          <w:noProof w:val="0"/>
          <w:sz w:val="18"/>
        </w:rPr>
        <w:t>can</w:t>
      </w:r>
      <w:r w:rsidR="007C1600" w:rsidRPr="00C80AF4">
        <w:rPr>
          <w:noProof w:val="0"/>
          <w:sz w:val="18"/>
        </w:rPr>
        <w:t xml:space="preserve"> be defined as ideal: the cell was not hidden by any obstacle (battery module or vehicle compartments).</w:t>
      </w:r>
      <w:r w:rsidR="007C1600" w:rsidRPr="00D63CA7">
        <w:t xml:space="preserve"> </w:t>
      </w:r>
    </w:p>
    <w:p w14:paraId="6F9C3E5F" w14:textId="77777777" w:rsidR="00600535" w:rsidRDefault="00600535" w:rsidP="00600535">
      <w:pPr>
        <w:pStyle w:val="CETHeading1"/>
        <w:rPr>
          <w:lang w:val="en-GB"/>
        </w:rPr>
      </w:pPr>
      <w:r w:rsidRPr="00B57B36">
        <w:rPr>
          <w:lang w:val="en-GB"/>
        </w:rPr>
        <w:t>Introduction</w:t>
      </w:r>
    </w:p>
    <w:p w14:paraId="3BE93DEB" w14:textId="17A38A33" w:rsidR="004F3415" w:rsidRDefault="009F3EE0" w:rsidP="00315AAB">
      <w:r w:rsidRPr="00D63CA7">
        <w:t xml:space="preserve">Electric Vehicles are finding more and more application within the Mobility Sector, especially in the road transport. </w:t>
      </w:r>
      <w:r w:rsidR="008E1327">
        <w:t>Lithium-Ion</w:t>
      </w:r>
      <w:r>
        <w:t xml:space="preserve"> Batteries (LIBs) are becoming an opportunity for a sustainable road mobility. Electric vehicles store their energy in battery modules, each composed by many </w:t>
      </w:r>
      <w:r w:rsidR="00C079D4">
        <w:t>Lithium Ion</w:t>
      </w:r>
      <w:r>
        <w:t xml:space="preserve"> cells and they are often placed in the lower part of the vehicle. </w:t>
      </w:r>
      <w:r w:rsidRPr="00D63CA7">
        <w:t>The more electric mobility will grow</w:t>
      </w:r>
      <w:r w:rsidR="00414032">
        <w:t>s</w:t>
      </w:r>
      <w:r w:rsidRPr="00D63CA7">
        <w:t xml:space="preserve"> the more Lithium Ions Batteries (LIBs) of high capacity will be used. This technology still </w:t>
      </w:r>
      <w:r w:rsidR="00C079D4">
        <w:t>must</w:t>
      </w:r>
      <w:r w:rsidRPr="00D63CA7">
        <w:t xml:space="preserve"> reach its maximum technological development in term of construction materials, material recycling and safety.</w:t>
      </w:r>
      <w:r w:rsidR="00315AAB">
        <w:t xml:space="preserve"> </w:t>
      </w:r>
      <w:r>
        <w:t>This</w:t>
      </w:r>
      <w:r w:rsidRPr="00D63CA7">
        <w:t xml:space="preserve"> </w:t>
      </w:r>
      <w:r>
        <w:t>paper</w:t>
      </w:r>
      <w:r w:rsidRPr="00D63CA7">
        <w:t xml:space="preserve"> will show the research work based on experimental tests for identifying the most effective extinguishing agent against LIBs fire. </w:t>
      </w:r>
      <w:r w:rsidR="008D51DF">
        <w:t xml:space="preserve">A fire from </w:t>
      </w:r>
      <w:r w:rsidR="00315AAB">
        <w:t>these modules</w:t>
      </w:r>
      <w:r w:rsidR="008D51DF">
        <w:t xml:space="preserve"> could result very difficult to suppress if the right extinguishing agent </w:t>
      </w:r>
      <w:r w:rsidR="00F61229">
        <w:t>is</w:t>
      </w:r>
      <w:r w:rsidR="008D51DF">
        <w:t xml:space="preserve"> not used. </w:t>
      </w:r>
      <w:r w:rsidR="00315AAB" w:rsidRPr="00D63CA7">
        <w:t>Fire from LIBs may be due to different source</w:t>
      </w:r>
      <w:r w:rsidR="00315AAB">
        <w:t>s</w:t>
      </w:r>
      <w:r w:rsidR="00315AAB" w:rsidRPr="00D63CA7">
        <w:t>: liquid electrolyte (organic fuel), generated vapo</w:t>
      </w:r>
      <w:r w:rsidR="00315AAB">
        <w:t>u</w:t>
      </w:r>
      <w:r w:rsidR="00315AAB" w:rsidRPr="00D63CA7">
        <w:t>rs and gas (organic and inorganic fuel) and the cathode chemical components (metal fuel). These diversified fuel sources inside the LIBs lead to different typologies of fire. An extinguisher which may cover a fire from a large part of these fuels is required to ensure an efficient extinction phase.</w:t>
      </w:r>
      <w:r w:rsidR="00111FF6">
        <w:t xml:space="preserve"> </w:t>
      </w:r>
      <w:r w:rsidR="004F3415" w:rsidRPr="00D63CA7">
        <w:t xml:space="preserve">First, all the categories of extinguishing </w:t>
      </w:r>
      <w:r w:rsidR="00A41700">
        <w:t xml:space="preserve">agent </w:t>
      </w:r>
      <w:r w:rsidR="004F3415" w:rsidRPr="00D63CA7">
        <w:t xml:space="preserve">were taken into consideration: gas, foam, liquid and </w:t>
      </w:r>
      <w:r w:rsidR="004C5C15" w:rsidRPr="00D63CA7">
        <w:t>powder-based</w:t>
      </w:r>
      <w:r w:rsidR="004F3415" w:rsidRPr="00D63CA7">
        <w:t>.</w:t>
      </w:r>
      <w:r w:rsidR="00A41700">
        <w:t xml:space="preserve"> In the literature </w:t>
      </w:r>
      <w:r w:rsidR="004C5C15">
        <w:t xml:space="preserve">Webster </w:t>
      </w:r>
      <w:r w:rsidR="00A41700">
        <w:t xml:space="preserve">(2006) </w:t>
      </w:r>
      <w:r w:rsidR="004C5C15">
        <w:t>studied the efficiency of Halon 1301 at different concentration</w:t>
      </w:r>
      <w:r w:rsidR="00A41700">
        <w:t>s</w:t>
      </w:r>
      <w:r w:rsidR="004C5C15">
        <w:t>, while Long et al.</w:t>
      </w:r>
      <w:r w:rsidR="00111FF6">
        <w:t xml:space="preserve"> (2013)</w:t>
      </w:r>
      <w:r w:rsidR="004C5C15">
        <w:t xml:space="preserve"> and Liu et al. </w:t>
      </w:r>
      <w:r w:rsidR="00A41700">
        <w:t xml:space="preserve">(2018) </w:t>
      </w:r>
      <w:r w:rsidR="004C5C15">
        <w:t>studied the efficiency of Novec 1230</w:t>
      </w:r>
      <w:r w:rsidR="00A41700">
        <w:t xml:space="preserve"> for LIBs fire</w:t>
      </w:r>
      <w:r w:rsidR="004C5C15">
        <w:t xml:space="preserve">. These extinguishing agents </w:t>
      </w:r>
      <w:r w:rsidR="004C5C15" w:rsidRPr="004C5C15">
        <w:t xml:space="preserve">act in the gaseous phase and exert </w:t>
      </w:r>
      <w:r w:rsidR="004C5C15">
        <w:t>their</w:t>
      </w:r>
      <w:r w:rsidR="004C5C15" w:rsidRPr="004C5C15">
        <w:t xml:space="preserve"> </w:t>
      </w:r>
      <w:r w:rsidR="00480CB5">
        <w:t>efficiency</w:t>
      </w:r>
      <w:r w:rsidR="004C5C15" w:rsidRPr="004C5C15">
        <w:t xml:space="preserve"> </w:t>
      </w:r>
      <w:r w:rsidR="004C5C15">
        <w:t xml:space="preserve">when supplied in </w:t>
      </w:r>
      <w:r w:rsidR="004679B4">
        <w:t xml:space="preserve">enclosures </w:t>
      </w:r>
      <w:r w:rsidR="004C5C15">
        <w:t>where</w:t>
      </w:r>
      <w:r w:rsidR="004C5C15" w:rsidRPr="004C5C15">
        <w:t xml:space="preserve"> it is possible to reach and maintain an optimal concentration of the extinguishing agent.</w:t>
      </w:r>
      <w:r w:rsidR="00CB314F">
        <w:t xml:space="preserve"> Long </w:t>
      </w:r>
      <w:r w:rsidR="00C07CFE">
        <w:t>et al.</w:t>
      </w:r>
      <w:r w:rsidR="00111FF6">
        <w:t xml:space="preserve"> (2013) and Ubaldi et al. (2022)</w:t>
      </w:r>
      <w:r w:rsidR="00C07CFE">
        <w:t xml:space="preserve"> show</w:t>
      </w:r>
      <w:r w:rsidR="00111FF6">
        <w:t>ed</w:t>
      </w:r>
      <w:r w:rsidR="00CB314F">
        <w:t xml:space="preserve"> </w:t>
      </w:r>
      <w:r w:rsidR="00111FF6">
        <w:t>that</w:t>
      </w:r>
      <w:r w:rsidR="00CB314F">
        <w:t xml:space="preserve"> </w:t>
      </w:r>
      <w:r w:rsidR="00CB314F" w:rsidRPr="00CB314F">
        <w:t>CO</w:t>
      </w:r>
      <w:r w:rsidR="00CB314F" w:rsidRPr="00C079D4">
        <w:rPr>
          <w:vertAlign w:val="subscript"/>
        </w:rPr>
        <w:t>2</w:t>
      </w:r>
      <w:r w:rsidR="00CB314F" w:rsidRPr="00CB314F">
        <w:t xml:space="preserve"> does not appear to be a suitable extinguishing agent for LIB fires. In fact, it acts only by physical mechanism (suffocation and dilution of the fuel)</w:t>
      </w:r>
      <w:r w:rsidR="00CB314F">
        <w:t xml:space="preserve"> and </w:t>
      </w:r>
      <w:r w:rsidR="00CB314F" w:rsidRPr="00CB314F">
        <w:t>its heat exchange capacity is much lower than water-based extinguishers</w:t>
      </w:r>
      <w:r w:rsidR="00CB314F">
        <w:t>.</w:t>
      </w:r>
      <w:r w:rsidR="00C07CFE">
        <w:t xml:space="preserve"> Rao et al. </w:t>
      </w:r>
      <w:r w:rsidR="00111FF6">
        <w:t xml:space="preserve">(2015) </w:t>
      </w:r>
      <w:r w:rsidR="00C07CFE">
        <w:t>and Li et al</w:t>
      </w:r>
      <w:r w:rsidR="00E03101">
        <w:t>.</w:t>
      </w:r>
      <w:r w:rsidR="00C07CFE">
        <w:t xml:space="preserve"> </w:t>
      </w:r>
      <w:r w:rsidR="00C079D4">
        <w:t xml:space="preserve">(2015) </w:t>
      </w:r>
      <w:r w:rsidR="00C07CFE">
        <w:t>show</w:t>
      </w:r>
      <w:r w:rsidR="00111FF6">
        <w:t>ed</w:t>
      </w:r>
      <w:r w:rsidR="00C07CFE">
        <w:t xml:space="preserve"> </w:t>
      </w:r>
      <w:r w:rsidR="00111FF6">
        <w:t>that</w:t>
      </w:r>
      <w:r w:rsidR="00C07CFE">
        <w:t xml:space="preserve"> ABC powder extinguishing agent</w:t>
      </w:r>
      <w:r w:rsidR="00C07CFE" w:rsidRPr="00C07CFE">
        <w:t xml:space="preserve"> is not effective for lithium battery fires</w:t>
      </w:r>
      <w:r w:rsidR="00C07CFE">
        <w:t xml:space="preserve">. </w:t>
      </w:r>
      <w:r w:rsidR="00C07CFE" w:rsidRPr="00C07CFE">
        <w:t>Its extinguishing action is based on the absorption of heat by the decomposition of its molecules for temperatures over 200 °C</w:t>
      </w:r>
      <w:r w:rsidR="00C07CFE">
        <w:t xml:space="preserve">, as </w:t>
      </w:r>
      <w:r w:rsidR="00111FF6">
        <w:t xml:space="preserve">also </w:t>
      </w:r>
      <w:r w:rsidR="00C07CFE">
        <w:t>studied by Su. et al.</w:t>
      </w:r>
      <w:r w:rsidR="00111FF6">
        <w:t xml:space="preserve"> (2014).</w:t>
      </w:r>
      <w:r w:rsidR="00396223">
        <w:t xml:space="preserve"> Egelhaalf et al. </w:t>
      </w:r>
      <w:r w:rsidR="00111FF6">
        <w:t xml:space="preserve">(2013) </w:t>
      </w:r>
      <w:r w:rsidR="00396223">
        <w:t>studied the efficiency of different water-based extinguishing agents: Pure Water, Water + F500 (1%), Water + Firesorb (1.8%)</w:t>
      </w:r>
      <w:r w:rsidR="00111FF6">
        <w:t>,</w:t>
      </w:r>
      <w:r w:rsidR="00396223">
        <w:t xml:space="preserve"> show</w:t>
      </w:r>
      <w:r w:rsidR="00111FF6">
        <w:t>ing</w:t>
      </w:r>
      <w:r w:rsidR="00396223">
        <w:t xml:space="preserve"> </w:t>
      </w:r>
      <w:r w:rsidR="00111FF6">
        <w:t>higher efficiency for</w:t>
      </w:r>
      <w:r w:rsidR="00396223">
        <w:t xml:space="preserve"> F500 and Firesorb blends in terms of extinction phase duration and agent </w:t>
      </w:r>
      <w:r w:rsidR="005A2E89">
        <w:t>quantity</w:t>
      </w:r>
      <w:r w:rsidR="00396223">
        <w:t xml:space="preserve"> required.</w:t>
      </w:r>
      <w:r w:rsidR="005A2E89">
        <w:t xml:space="preserve"> </w:t>
      </w:r>
      <w:r w:rsidR="00C079D4">
        <w:t>Based on</w:t>
      </w:r>
      <w:r w:rsidR="00111FF6">
        <w:t xml:space="preserve"> these results,</w:t>
      </w:r>
      <w:r w:rsidR="004F3415" w:rsidRPr="00D63CA7">
        <w:t xml:space="preserve"> the liquid and foam based </w:t>
      </w:r>
      <w:r w:rsidR="00111FF6">
        <w:t xml:space="preserve">extinguishing agents </w:t>
      </w:r>
      <w:r w:rsidR="004F3415" w:rsidRPr="00D63CA7">
        <w:t>have been tested</w:t>
      </w:r>
      <w:r w:rsidR="00111FF6">
        <w:t xml:space="preserve"> in this work</w:t>
      </w:r>
      <w:r w:rsidR="004F3415" w:rsidRPr="00D63CA7">
        <w:t>. These two classes were found to be the most suitable for extinguishing the fire from LIBs.</w:t>
      </w:r>
    </w:p>
    <w:p w14:paraId="7DF9363C" w14:textId="77777777" w:rsidR="00C73DA3" w:rsidRDefault="00C73DA3" w:rsidP="00C73DA3">
      <w:pPr>
        <w:pStyle w:val="CETHeading1"/>
        <w:rPr>
          <w:lang w:val="en-GB"/>
        </w:rPr>
      </w:pPr>
      <w:r>
        <w:rPr>
          <w:lang w:val="en-GB"/>
        </w:rPr>
        <w:lastRenderedPageBreak/>
        <w:t>Experimental</w:t>
      </w:r>
    </w:p>
    <w:p w14:paraId="5CA2A224" w14:textId="77777777" w:rsidR="00C73DA3" w:rsidRPr="00644392" w:rsidRDefault="00C73DA3" w:rsidP="00644392">
      <w:pPr>
        <w:pStyle w:val="CETheadingx"/>
      </w:pPr>
      <w:r w:rsidRPr="00644392">
        <w:t>Materials</w:t>
      </w:r>
    </w:p>
    <w:p w14:paraId="66333324" w14:textId="3FD00E6F" w:rsidR="00C73DA3" w:rsidRDefault="00FE780B" w:rsidP="00C73DA3">
      <w:pPr>
        <w:pStyle w:val="CETBodytext"/>
        <w:rPr>
          <w:lang w:val="en-GB"/>
        </w:rPr>
      </w:pPr>
      <w:r>
        <w:rPr>
          <w:lang w:val="en-GB"/>
        </w:rPr>
        <w:t>C</w:t>
      </w:r>
      <w:r w:rsidR="00C73DA3">
        <w:rPr>
          <w:lang w:val="en-GB"/>
        </w:rPr>
        <w:t>ell</w:t>
      </w:r>
      <w:r>
        <w:rPr>
          <w:lang w:val="en-GB"/>
        </w:rPr>
        <w:t>s</w:t>
      </w:r>
      <w:r w:rsidR="00C73DA3">
        <w:rPr>
          <w:lang w:val="en-GB"/>
        </w:rPr>
        <w:t xml:space="preserve"> used were pouch cell Kokam SPLB 40 Ah (K-SPLB-40), with a total nominal </w:t>
      </w:r>
      <w:r>
        <w:rPr>
          <w:lang w:val="en-GB"/>
        </w:rPr>
        <w:t>e</w:t>
      </w:r>
      <w:r w:rsidR="00C73DA3">
        <w:rPr>
          <w:lang w:val="en-GB"/>
        </w:rPr>
        <w:t xml:space="preserve">nergy </w:t>
      </w:r>
      <w:r>
        <w:rPr>
          <w:lang w:val="en-GB"/>
        </w:rPr>
        <w:t>of</w:t>
      </w:r>
      <w:r w:rsidR="00C73DA3">
        <w:rPr>
          <w:lang w:val="en-GB"/>
        </w:rPr>
        <w:t xml:space="preserve"> 148 Wh.</w:t>
      </w:r>
      <w:r w:rsidR="00714535">
        <w:rPr>
          <w:lang w:val="en-GB"/>
        </w:rPr>
        <w:t xml:space="preserve"> Cell size</w:t>
      </w:r>
      <w:r w:rsidR="002465CF">
        <w:rPr>
          <w:lang w:val="en-GB"/>
        </w:rPr>
        <w:t>s</w:t>
      </w:r>
      <w:r w:rsidR="00714535">
        <w:rPr>
          <w:lang w:val="en-GB"/>
        </w:rPr>
        <w:t xml:space="preserve"> are 22cmx22cm</w:t>
      </w:r>
      <w:r w:rsidR="002465CF">
        <w:rPr>
          <w:lang w:val="en-GB"/>
        </w:rPr>
        <w:t>x1cm</w:t>
      </w:r>
      <w:r w:rsidR="00714535">
        <w:rPr>
          <w:lang w:val="en-GB"/>
        </w:rPr>
        <w:t>.</w:t>
      </w:r>
      <w:r w:rsidR="00C73DA3">
        <w:rPr>
          <w:lang w:val="en-GB"/>
        </w:rPr>
        <w:t xml:space="preserve"> The cathode chemical composition is based on Lithium Cobalt Manganese Nickel (NMC) and the anode is based on </w:t>
      </w:r>
      <w:r>
        <w:rPr>
          <w:lang w:val="en-GB"/>
        </w:rPr>
        <w:t>Graphite</w:t>
      </w:r>
      <w:r w:rsidR="00C73DA3">
        <w:rPr>
          <w:lang w:val="en-GB"/>
        </w:rPr>
        <w:t>. The electrolyte is a solution of Lithium Hexafluorophosfate in a mixture of Ethylene Carbonate (EC) and Ethylmethyl Carbonate (EMC).</w:t>
      </w:r>
    </w:p>
    <w:p w14:paraId="553DD3C7" w14:textId="77777777" w:rsidR="00C73DA3" w:rsidRPr="0054585C" w:rsidRDefault="00C73DA3" w:rsidP="00644392">
      <w:pPr>
        <w:pStyle w:val="CETheadingx"/>
      </w:pPr>
      <w:r>
        <w:t>Test Apparatus Design</w:t>
      </w:r>
    </w:p>
    <w:p w14:paraId="3FF2621E" w14:textId="0E47CF6B" w:rsidR="00B1773D" w:rsidRDefault="001017E2" w:rsidP="00B1773D">
      <w:pPr>
        <w:pStyle w:val="CETBodytext"/>
        <w:rPr>
          <w:lang w:val="en-GB"/>
        </w:rPr>
      </w:pPr>
      <w:r>
        <w:rPr>
          <w:lang w:val="en-GB"/>
        </w:rPr>
        <w:t>For every test e</w:t>
      </w:r>
      <w:r w:rsidR="004924BC">
        <w:rPr>
          <w:lang w:val="en-GB"/>
        </w:rPr>
        <w:t xml:space="preserve">ach Kokam cell was placed on a </w:t>
      </w:r>
      <w:r w:rsidR="00A40294">
        <w:rPr>
          <w:lang w:val="en-GB"/>
        </w:rPr>
        <w:t xml:space="preserve">metal </w:t>
      </w:r>
      <w:r w:rsidR="004924BC">
        <w:rPr>
          <w:lang w:val="en-GB"/>
        </w:rPr>
        <w:t>grate between two heating plates</w:t>
      </w:r>
      <w:r w:rsidR="00DB7D9B">
        <w:rPr>
          <w:lang w:val="en-GB"/>
        </w:rPr>
        <w:t xml:space="preserve">, each of 1500 W </w:t>
      </w:r>
      <w:r>
        <w:rPr>
          <w:lang w:val="en-GB"/>
        </w:rPr>
        <w:t xml:space="preserve">of </w:t>
      </w:r>
      <w:r w:rsidR="00DB7D9B">
        <w:rPr>
          <w:lang w:val="en-GB"/>
        </w:rPr>
        <w:t>power</w:t>
      </w:r>
      <w:r w:rsidR="004924BC">
        <w:rPr>
          <w:lang w:val="en-GB"/>
        </w:rPr>
        <w:t xml:space="preserve">. This heating mode has been preferred to allow a slow and </w:t>
      </w:r>
      <w:r w:rsidR="009C1556">
        <w:rPr>
          <w:lang w:val="en-GB"/>
        </w:rPr>
        <w:t>controlled</w:t>
      </w:r>
      <w:r w:rsidR="004924BC">
        <w:rPr>
          <w:lang w:val="en-GB"/>
        </w:rPr>
        <w:t xml:space="preserve"> heating of the cell.</w:t>
      </w:r>
    </w:p>
    <w:p w14:paraId="50AAF728" w14:textId="77777777" w:rsidR="00FF1056" w:rsidRPr="00081A24" w:rsidRDefault="00F61229" w:rsidP="00B1773D">
      <w:pPr>
        <w:pStyle w:val="CETBodytext"/>
        <w:rPr>
          <w:i/>
          <w:noProof/>
          <w:lang w:eastAsia="it-IT"/>
        </w:rPr>
      </w:pPr>
      <w:r>
        <w:rPr>
          <w:noProof/>
          <w:lang w:val="it-IT" w:eastAsia="it-IT"/>
        </w:rPr>
        <w:drawing>
          <wp:inline distT="0" distB="0" distL="0" distR="0" wp14:anchorId="4A0314EF" wp14:editId="7346FBC6">
            <wp:extent cx="2317750" cy="1293232"/>
            <wp:effectExtent l="0" t="0" r="0" b="0"/>
            <wp:docPr id="17" name="Immagine 1" descr="C:\Users\bonicelli\Desktop\Dottorato\4-Pubblicazioni-Convegni\4.2-AIDIC 2023\4.2.2-Paper\4.2.2.2-Calcoli_set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icelli\Desktop\Dottorato\4-Pubblicazioni-Convegni\4.2-AIDIC 2023\4.2.2-Paper\4.2.2.2-Calcoli_set test.PNG"/>
                    <pic:cNvPicPr>
                      <a:picLocks noChangeAspect="1" noChangeArrowheads="1"/>
                    </pic:cNvPicPr>
                  </pic:nvPicPr>
                  <pic:blipFill>
                    <a:blip r:embed="rId10"/>
                    <a:srcRect/>
                    <a:stretch>
                      <a:fillRect/>
                    </a:stretch>
                  </pic:blipFill>
                  <pic:spPr bwMode="auto">
                    <a:xfrm>
                      <a:off x="0" y="0"/>
                      <a:ext cx="2332026" cy="1301197"/>
                    </a:xfrm>
                    <a:prstGeom prst="rect">
                      <a:avLst/>
                    </a:prstGeom>
                    <a:noFill/>
                    <a:ln w="9525">
                      <a:noFill/>
                      <a:miter lim="800000"/>
                      <a:headEnd/>
                      <a:tailEnd/>
                    </a:ln>
                  </pic:spPr>
                </pic:pic>
              </a:graphicData>
            </a:graphic>
          </wp:inline>
        </w:drawing>
      </w:r>
      <w:r w:rsidR="002B25E8">
        <w:rPr>
          <w:noProof/>
          <w:lang w:eastAsia="it-IT"/>
        </w:rPr>
        <w:t xml:space="preserve">          </w:t>
      </w:r>
      <w:r w:rsidR="00994CF6" w:rsidRPr="00994CF6">
        <w:rPr>
          <w:noProof/>
          <w:lang w:eastAsia="it-IT"/>
        </w:rPr>
        <w:tab/>
      </w:r>
      <w:r w:rsidR="00994CF6" w:rsidRPr="00994CF6">
        <w:rPr>
          <w:noProof/>
          <w:lang w:val="it-IT" w:eastAsia="it-IT"/>
        </w:rPr>
        <w:drawing>
          <wp:inline distT="0" distB="0" distL="0" distR="0" wp14:anchorId="0535CACD" wp14:editId="7BB1D54A">
            <wp:extent cx="1587500" cy="124460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1" cstate="print"/>
                    <a:srcRect b="44039"/>
                    <a:stretch>
                      <a:fillRect/>
                    </a:stretch>
                  </pic:blipFill>
                  <pic:spPr bwMode="auto">
                    <a:xfrm>
                      <a:off x="0" y="0"/>
                      <a:ext cx="1587973" cy="1244971"/>
                    </a:xfrm>
                    <a:prstGeom prst="rect">
                      <a:avLst/>
                    </a:prstGeom>
                    <a:noFill/>
                    <a:ln w="9525">
                      <a:noFill/>
                      <a:miter lim="800000"/>
                      <a:headEnd/>
                      <a:tailEnd/>
                    </a:ln>
                    <a:effectLst/>
                  </pic:spPr>
                </pic:pic>
              </a:graphicData>
            </a:graphic>
          </wp:inline>
        </w:drawing>
      </w:r>
    </w:p>
    <w:p w14:paraId="49D8A6B4" w14:textId="77777777" w:rsidR="00FF1056" w:rsidRPr="000B3342" w:rsidRDefault="00ED45CC" w:rsidP="008053D3">
      <w:pPr>
        <w:pStyle w:val="CETCaption"/>
      </w:pPr>
      <w:r>
        <w:rPr>
          <w:noProof/>
          <w:lang w:eastAsia="it-IT"/>
        </w:rPr>
        <w:t xml:space="preserve">Figure 1a:Design of the heating system </w:t>
      </w:r>
      <w:r w:rsidR="00081A24" w:rsidRPr="00081A24">
        <w:rPr>
          <w:noProof/>
          <w:lang w:eastAsia="it-IT"/>
        </w:rPr>
        <w:t xml:space="preserve">                        </w:t>
      </w:r>
      <w:r w:rsidR="004767F6">
        <w:rPr>
          <w:noProof/>
          <w:lang w:eastAsia="it-IT"/>
        </w:rPr>
        <w:t xml:space="preserve"> </w:t>
      </w:r>
      <w:r w:rsidR="00081A24" w:rsidRPr="00081A24">
        <w:rPr>
          <w:noProof/>
          <w:lang w:eastAsia="it-IT"/>
        </w:rPr>
        <w:t>Figure 1b:</w:t>
      </w:r>
      <w:r>
        <w:rPr>
          <w:noProof/>
          <w:lang w:eastAsia="it-IT"/>
        </w:rPr>
        <w:t xml:space="preserve"> Picture of the heating system</w:t>
      </w:r>
    </w:p>
    <w:p w14:paraId="38C028C5" w14:textId="61888178" w:rsidR="00CC2FB0" w:rsidRDefault="00151F47" w:rsidP="00B1773D">
      <w:pPr>
        <w:pStyle w:val="CETBodytext"/>
        <w:rPr>
          <w:lang w:val="en-GB"/>
        </w:rPr>
      </w:pPr>
      <w:r>
        <w:rPr>
          <w:lang w:val="en-GB"/>
        </w:rPr>
        <w:t>The distance between the t</w:t>
      </w:r>
      <w:r w:rsidR="00B77444">
        <w:rPr>
          <w:lang w:val="en-GB"/>
        </w:rPr>
        <w:t>wo plates was set to 6 cm. Each cell was</w:t>
      </w:r>
      <w:r>
        <w:rPr>
          <w:lang w:val="en-GB"/>
        </w:rPr>
        <w:t xml:space="preserve"> placed at 2 cm from the lower at 4 cm to the upper plate for ensuring the necessary space for the swelling</w:t>
      </w:r>
      <w:r w:rsidR="003D268D">
        <w:rPr>
          <w:lang w:val="en-GB"/>
        </w:rPr>
        <w:t xml:space="preserve"> of the cell</w:t>
      </w:r>
      <w:r>
        <w:rPr>
          <w:lang w:val="en-GB"/>
        </w:rPr>
        <w:t>.</w:t>
      </w:r>
      <w:r w:rsidR="002465CF">
        <w:rPr>
          <w:lang w:val="en-GB"/>
        </w:rPr>
        <w:t xml:space="preserve"> </w:t>
      </w:r>
      <w:r w:rsidR="006576C3">
        <w:rPr>
          <w:lang w:val="en-GB"/>
        </w:rPr>
        <w:t>Three</w:t>
      </w:r>
      <w:r w:rsidR="009F2AF2">
        <w:rPr>
          <w:lang w:val="en-GB"/>
        </w:rPr>
        <w:t xml:space="preserve"> </w:t>
      </w:r>
      <w:r w:rsidR="00FE780B">
        <w:rPr>
          <w:lang w:val="en-GB"/>
        </w:rPr>
        <w:t>t</w:t>
      </w:r>
      <w:r w:rsidR="009F2AF2">
        <w:rPr>
          <w:lang w:val="en-GB"/>
        </w:rPr>
        <w:t xml:space="preserve">hermocouples have been used for recording the surface </w:t>
      </w:r>
      <w:r w:rsidR="00367D8A">
        <w:rPr>
          <w:lang w:val="en-GB"/>
        </w:rPr>
        <w:t>t</w:t>
      </w:r>
      <w:r w:rsidR="009F2AF2">
        <w:rPr>
          <w:lang w:val="en-GB"/>
        </w:rPr>
        <w:t xml:space="preserve">emperature of the cells. One thermocouple </w:t>
      </w:r>
      <w:r w:rsidR="004C7624">
        <w:rPr>
          <w:lang w:val="en-GB"/>
        </w:rPr>
        <w:t>was plac</w:t>
      </w:r>
      <w:r w:rsidR="005C693D">
        <w:rPr>
          <w:lang w:val="en-GB"/>
        </w:rPr>
        <w:t>e</w:t>
      </w:r>
      <w:r w:rsidR="004C7624">
        <w:rPr>
          <w:lang w:val="en-GB"/>
        </w:rPr>
        <w:t>d</w:t>
      </w:r>
      <w:r w:rsidR="009F2AF2">
        <w:rPr>
          <w:lang w:val="en-GB"/>
        </w:rPr>
        <w:t xml:space="preserve"> on the lower surface (TC1)</w:t>
      </w:r>
      <w:r w:rsidR="006576C3">
        <w:rPr>
          <w:lang w:val="en-GB"/>
        </w:rPr>
        <w:t>,</w:t>
      </w:r>
      <w:r w:rsidR="006B6791">
        <w:rPr>
          <w:lang w:val="en-GB"/>
        </w:rPr>
        <w:t xml:space="preserve"> </w:t>
      </w:r>
      <w:r w:rsidR="006576C3">
        <w:rPr>
          <w:lang w:val="en-GB"/>
        </w:rPr>
        <w:t>two</w:t>
      </w:r>
      <w:r w:rsidR="00837AE0">
        <w:rPr>
          <w:lang w:val="en-GB"/>
        </w:rPr>
        <w:t xml:space="preserve"> </w:t>
      </w:r>
      <w:r w:rsidR="00714535">
        <w:rPr>
          <w:lang w:val="en-GB"/>
        </w:rPr>
        <w:t>t</w:t>
      </w:r>
      <w:r w:rsidR="00837AE0">
        <w:rPr>
          <w:lang w:val="en-GB"/>
        </w:rPr>
        <w:t>hermocouples</w:t>
      </w:r>
      <w:r w:rsidR="009F2AF2">
        <w:rPr>
          <w:lang w:val="en-GB"/>
        </w:rPr>
        <w:t xml:space="preserve"> on the upper surface</w:t>
      </w:r>
      <w:r w:rsidR="004C7624">
        <w:rPr>
          <w:lang w:val="en-GB"/>
        </w:rPr>
        <w:t xml:space="preserve"> (TC3</w:t>
      </w:r>
      <w:r w:rsidR="006576C3">
        <w:rPr>
          <w:lang w:val="en-GB"/>
        </w:rPr>
        <w:t>, TC</w:t>
      </w:r>
      <w:r w:rsidR="00DB0D46">
        <w:rPr>
          <w:lang w:val="en-GB"/>
        </w:rPr>
        <w:t>5</w:t>
      </w:r>
      <w:r w:rsidR="004C7624">
        <w:rPr>
          <w:lang w:val="en-GB"/>
        </w:rPr>
        <w:t>)</w:t>
      </w:r>
      <w:r w:rsidR="009F2AF2">
        <w:rPr>
          <w:lang w:val="en-GB"/>
        </w:rPr>
        <w:t>.</w:t>
      </w:r>
      <w:r w:rsidR="002465CF">
        <w:rPr>
          <w:lang w:val="en-GB"/>
        </w:rPr>
        <w:t xml:space="preserve"> </w:t>
      </w:r>
      <w:r w:rsidR="00CC2FB0">
        <w:rPr>
          <w:lang w:val="en-GB"/>
        </w:rPr>
        <w:t xml:space="preserve">The test apparatus </w:t>
      </w:r>
      <w:r w:rsidR="00367D8A">
        <w:rPr>
          <w:lang w:val="en-GB"/>
        </w:rPr>
        <w:t>is equipped with</w:t>
      </w:r>
      <w:r w:rsidR="00CC2FB0">
        <w:rPr>
          <w:lang w:val="en-GB"/>
        </w:rPr>
        <w:t xml:space="preserve"> </w:t>
      </w:r>
      <w:r w:rsidR="00367D8A">
        <w:rPr>
          <w:lang w:val="en-GB"/>
        </w:rPr>
        <w:t>a</w:t>
      </w:r>
      <w:r w:rsidR="00CC2FB0">
        <w:rPr>
          <w:lang w:val="en-GB"/>
        </w:rPr>
        <w:t xml:space="preserve"> hood </w:t>
      </w:r>
      <w:r w:rsidR="00367D8A">
        <w:rPr>
          <w:lang w:val="en-GB"/>
        </w:rPr>
        <w:t>for the extraction of the gases developed during the fire.</w:t>
      </w:r>
    </w:p>
    <w:p w14:paraId="3EE8E575" w14:textId="77777777" w:rsidR="000C4E38" w:rsidRPr="0054585C" w:rsidRDefault="000C4E38" w:rsidP="00644392">
      <w:pPr>
        <w:pStyle w:val="CETheadingx"/>
      </w:pPr>
      <w:r w:rsidRPr="0054585C">
        <w:t>Operat</w:t>
      </w:r>
      <w:r w:rsidR="00D814AB">
        <w:t>i</w:t>
      </w:r>
      <w:r w:rsidR="00374D23">
        <w:t>ng</w:t>
      </w:r>
      <w:r w:rsidRPr="0054585C">
        <w:t xml:space="preserve"> condition</w:t>
      </w:r>
      <w:r w:rsidR="00EC1F68" w:rsidRPr="0054585C">
        <w:t>s</w:t>
      </w:r>
    </w:p>
    <w:p w14:paraId="07B795D2" w14:textId="08CF1CD5" w:rsidR="009D4760" w:rsidRPr="009D4760" w:rsidRDefault="00374D23" w:rsidP="009D4760">
      <w:pPr>
        <w:pStyle w:val="CETBodytext"/>
      </w:pPr>
      <w:r>
        <w:t>To</w:t>
      </w:r>
      <w:r w:rsidR="009D4760">
        <w:t xml:space="preserve"> standardize the </w:t>
      </w:r>
      <w:r>
        <w:t>e</w:t>
      </w:r>
      <w:r w:rsidR="009D4760">
        <w:t xml:space="preserve">xtinction </w:t>
      </w:r>
      <w:r>
        <w:t>t</w:t>
      </w:r>
      <w:r w:rsidR="009D4760">
        <w:t xml:space="preserve">ests and guarantee </w:t>
      </w:r>
      <w:r w:rsidR="00D814AB">
        <w:t>a</w:t>
      </w:r>
      <w:r>
        <w:t xml:space="preserve"> uniform </w:t>
      </w:r>
      <w:r w:rsidR="00714535">
        <w:t xml:space="preserve">supply </w:t>
      </w:r>
      <w:r w:rsidR="009D4760">
        <w:t>condition of the extinguishing agent, the follow</w:t>
      </w:r>
      <w:r w:rsidR="00FE780B">
        <w:t>ing</w:t>
      </w:r>
      <w:r w:rsidR="009D4760">
        <w:t xml:space="preserve"> conditions have been adopted:</w:t>
      </w:r>
    </w:p>
    <w:p w14:paraId="28FB4460" w14:textId="4FC4095E" w:rsidR="000C4E38" w:rsidRDefault="009D4760" w:rsidP="009D4760">
      <w:pPr>
        <w:pStyle w:val="CETBodytext"/>
        <w:numPr>
          <w:ilvl w:val="0"/>
          <w:numId w:val="23"/>
        </w:numPr>
        <w:rPr>
          <w:lang w:val="en-GB"/>
        </w:rPr>
      </w:pPr>
      <w:r w:rsidRPr="009D4760">
        <w:rPr>
          <w:u w:val="single"/>
          <w:lang w:val="en-GB"/>
        </w:rPr>
        <w:t xml:space="preserve">Start </w:t>
      </w:r>
      <w:r w:rsidR="00204382">
        <w:rPr>
          <w:u w:val="single"/>
          <w:lang w:val="en-GB"/>
        </w:rPr>
        <w:t>of e</w:t>
      </w:r>
      <w:r w:rsidRPr="009D4760">
        <w:rPr>
          <w:u w:val="single"/>
          <w:lang w:val="en-GB"/>
        </w:rPr>
        <w:t xml:space="preserve">xtinguishing </w:t>
      </w:r>
      <w:r w:rsidR="00204382">
        <w:rPr>
          <w:u w:val="single"/>
          <w:lang w:val="en-GB"/>
        </w:rPr>
        <w:t xml:space="preserve">agent </w:t>
      </w:r>
      <w:r w:rsidR="00FE780B">
        <w:rPr>
          <w:u w:val="single"/>
          <w:lang w:val="en-GB"/>
        </w:rPr>
        <w:t>s</w:t>
      </w:r>
      <w:r w:rsidRPr="009D4760">
        <w:rPr>
          <w:u w:val="single"/>
          <w:lang w:val="en-GB"/>
        </w:rPr>
        <w:t>upply</w:t>
      </w:r>
      <w:r>
        <w:rPr>
          <w:lang w:val="en-GB"/>
        </w:rPr>
        <w:t xml:space="preserve">: for each </w:t>
      </w:r>
      <w:r w:rsidR="00D814AB">
        <w:rPr>
          <w:lang w:val="en-GB"/>
        </w:rPr>
        <w:t>t</w:t>
      </w:r>
      <w:r>
        <w:rPr>
          <w:lang w:val="en-GB"/>
        </w:rPr>
        <w:t xml:space="preserve">est the agent </w:t>
      </w:r>
      <w:r w:rsidR="00D814AB">
        <w:rPr>
          <w:lang w:val="en-GB"/>
        </w:rPr>
        <w:t>was</w:t>
      </w:r>
      <w:r>
        <w:rPr>
          <w:lang w:val="en-GB"/>
        </w:rPr>
        <w:t xml:space="preserve"> supplied in a </w:t>
      </w:r>
      <w:r w:rsidR="00D814AB">
        <w:rPr>
          <w:lang w:val="en-GB"/>
        </w:rPr>
        <w:t>t</w:t>
      </w:r>
      <w:r>
        <w:rPr>
          <w:lang w:val="en-GB"/>
        </w:rPr>
        <w:t xml:space="preserve">emperature </w:t>
      </w:r>
      <w:r w:rsidR="00D814AB">
        <w:rPr>
          <w:lang w:val="en-GB"/>
        </w:rPr>
        <w:t xml:space="preserve">range </w:t>
      </w:r>
      <w:r>
        <w:rPr>
          <w:lang w:val="en-GB"/>
        </w:rPr>
        <w:t xml:space="preserve">of 390 – 520 °C, depending on the fire conditions and timing of each burning cell. This </w:t>
      </w:r>
      <w:r w:rsidR="00D814AB">
        <w:rPr>
          <w:lang w:val="en-GB"/>
        </w:rPr>
        <w:t xml:space="preserve">allowed </w:t>
      </w:r>
      <w:r w:rsidR="00D4723A">
        <w:rPr>
          <w:lang w:val="en-GB"/>
        </w:rPr>
        <w:t>the agent</w:t>
      </w:r>
      <w:r w:rsidR="00D814AB">
        <w:rPr>
          <w:lang w:val="en-GB"/>
        </w:rPr>
        <w:t xml:space="preserve"> to be supplied</w:t>
      </w:r>
      <w:r w:rsidR="00D4723A">
        <w:rPr>
          <w:lang w:val="en-GB"/>
        </w:rPr>
        <w:t xml:space="preserve"> when the flame was vigorous and not in </w:t>
      </w:r>
      <w:r w:rsidR="00D814AB">
        <w:rPr>
          <w:lang w:val="en-GB"/>
        </w:rPr>
        <w:t>decay</w:t>
      </w:r>
      <w:r w:rsidR="00D4723A">
        <w:rPr>
          <w:lang w:val="en-GB"/>
        </w:rPr>
        <w:t xml:space="preserve"> phase, </w:t>
      </w:r>
      <w:r w:rsidR="00D814AB">
        <w:rPr>
          <w:lang w:val="en-GB"/>
        </w:rPr>
        <w:t xml:space="preserve">so as </w:t>
      </w:r>
      <w:r w:rsidR="00D4723A">
        <w:rPr>
          <w:lang w:val="en-GB"/>
        </w:rPr>
        <w:t xml:space="preserve">not to influence the </w:t>
      </w:r>
      <w:r w:rsidR="00D814AB">
        <w:rPr>
          <w:lang w:val="en-GB"/>
        </w:rPr>
        <w:t>extinguishing action</w:t>
      </w:r>
      <w:r w:rsidR="00D4723A">
        <w:rPr>
          <w:lang w:val="en-GB"/>
        </w:rPr>
        <w:t xml:space="preserve"> </w:t>
      </w:r>
      <w:r w:rsidR="00D814AB">
        <w:rPr>
          <w:lang w:val="en-GB"/>
        </w:rPr>
        <w:t>efficiency</w:t>
      </w:r>
      <w:r w:rsidR="00D4723A">
        <w:rPr>
          <w:lang w:val="en-GB"/>
        </w:rPr>
        <w:t xml:space="preserve"> with the fuel </w:t>
      </w:r>
      <w:r w:rsidR="00D814AB">
        <w:rPr>
          <w:lang w:val="en-GB"/>
        </w:rPr>
        <w:t>change</w:t>
      </w:r>
      <w:r w:rsidR="00D4723A">
        <w:rPr>
          <w:lang w:val="en-GB"/>
        </w:rPr>
        <w:t>.</w:t>
      </w:r>
    </w:p>
    <w:p w14:paraId="4A7ADB5C" w14:textId="08784365" w:rsidR="000C4E38" w:rsidRDefault="00D4723A" w:rsidP="009D4760">
      <w:pPr>
        <w:pStyle w:val="CETBodytext"/>
        <w:numPr>
          <w:ilvl w:val="0"/>
          <w:numId w:val="23"/>
        </w:numPr>
        <w:rPr>
          <w:lang w:val="en-GB"/>
        </w:rPr>
      </w:pPr>
      <w:r w:rsidRPr="00D4723A">
        <w:rPr>
          <w:u w:val="single"/>
          <w:lang w:val="en-GB"/>
        </w:rPr>
        <w:t xml:space="preserve">End </w:t>
      </w:r>
      <w:r w:rsidR="00DE33BC">
        <w:rPr>
          <w:u w:val="single"/>
          <w:lang w:val="en-GB"/>
        </w:rPr>
        <w:t>of e</w:t>
      </w:r>
      <w:r w:rsidRPr="00D4723A">
        <w:rPr>
          <w:u w:val="single"/>
          <w:lang w:val="en-GB"/>
        </w:rPr>
        <w:t xml:space="preserve">xtinguishing </w:t>
      </w:r>
      <w:r w:rsidR="00DE33BC">
        <w:rPr>
          <w:u w:val="single"/>
          <w:lang w:val="en-GB"/>
        </w:rPr>
        <w:t xml:space="preserve">agent </w:t>
      </w:r>
      <w:r w:rsidR="00FE780B">
        <w:rPr>
          <w:u w:val="single"/>
          <w:lang w:val="en-GB"/>
        </w:rPr>
        <w:t>s</w:t>
      </w:r>
      <w:r w:rsidRPr="00D4723A">
        <w:rPr>
          <w:u w:val="single"/>
          <w:lang w:val="en-GB"/>
        </w:rPr>
        <w:t>upply</w:t>
      </w:r>
      <w:r>
        <w:rPr>
          <w:lang w:val="en-GB"/>
        </w:rPr>
        <w:t xml:space="preserve">: for each </w:t>
      </w:r>
      <w:r w:rsidR="00DE33BC">
        <w:rPr>
          <w:lang w:val="en-GB"/>
        </w:rPr>
        <w:t>t</w:t>
      </w:r>
      <w:r>
        <w:rPr>
          <w:lang w:val="en-GB"/>
        </w:rPr>
        <w:t xml:space="preserve">est the supply was interrupted </w:t>
      </w:r>
      <w:r w:rsidR="00DE33BC">
        <w:rPr>
          <w:lang w:val="en-GB"/>
        </w:rPr>
        <w:t>as</w:t>
      </w:r>
      <w:r>
        <w:rPr>
          <w:lang w:val="en-GB"/>
        </w:rPr>
        <w:t xml:space="preserve"> the flame </w:t>
      </w:r>
      <w:r w:rsidR="00DE33BC">
        <w:rPr>
          <w:lang w:val="en-GB"/>
        </w:rPr>
        <w:t>went out</w:t>
      </w:r>
      <w:r>
        <w:rPr>
          <w:lang w:val="en-GB"/>
        </w:rPr>
        <w:t>.</w:t>
      </w:r>
    </w:p>
    <w:p w14:paraId="663E3302" w14:textId="1B3951D5" w:rsidR="000C4E38" w:rsidRDefault="00D4723A" w:rsidP="009D4760">
      <w:pPr>
        <w:pStyle w:val="CETBodytext"/>
        <w:numPr>
          <w:ilvl w:val="0"/>
          <w:numId w:val="23"/>
        </w:numPr>
        <w:rPr>
          <w:lang w:val="en-GB"/>
        </w:rPr>
      </w:pPr>
      <w:r w:rsidRPr="00D4723A">
        <w:rPr>
          <w:u w:val="single"/>
          <w:lang w:val="en-GB"/>
        </w:rPr>
        <w:t>Distance of supply</w:t>
      </w:r>
      <w:r>
        <w:rPr>
          <w:lang w:val="en-GB"/>
        </w:rPr>
        <w:t xml:space="preserve">: for each </w:t>
      </w:r>
      <w:r w:rsidR="00DE33BC">
        <w:rPr>
          <w:lang w:val="en-GB"/>
        </w:rPr>
        <w:t>t</w:t>
      </w:r>
      <w:r>
        <w:rPr>
          <w:lang w:val="en-GB"/>
        </w:rPr>
        <w:t xml:space="preserve">est the extinguishing agent </w:t>
      </w:r>
      <w:r w:rsidR="00DE33BC">
        <w:rPr>
          <w:lang w:val="en-GB"/>
        </w:rPr>
        <w:t>was</w:t>
      </w:r>
      <w:r>
        <w:rPr>
          <w:lang w:val="en-GB"/>
        </w:rPr>
        <w:t xml:space="preserve"> supplied </w:t>
      </w:r>
      <w:r w:rsidR="00E470AF">
        <w:rPr>
          <w:lang w:val="en-GB"/>
        </w:rPr>
        <w:t>at</w:t>
      </w:r>
      <w:r w:rsidR="00DE33BC">
        <w:rPr>
          <w:lang w:val="en-GB"/>
        </w:rPr>
        <w:t xml:space="preserve"> </w:t>
      </w:r>
      <w:r>
        <w:rPr>
          <w:lang w:val="en-GB"/>
        </w:rPr>
        <w:t>less than 1 m</w:t>
      </w:r>
      <w:r w:rsidR="00DE33BC">
        <w:rPr>
          <w:lang w:val="en-GB"/>
        </w:rPr>
        <w:t xml:space="preserve"> (</w:t>
      </w:r>
      <w:r>
        <w:rPr>
          <w:lang w:val="en-GB"/>
        </w:rPr>
        <w:t>a</w:t>
      </w:r>
      <w:r w:rsidR="00DE33BC">
        <w:rPr>
          <w:lang w:val="en-GB"/>
        </w:rPr>
        <w:t xml:space="preserve">bout </w:t>
      </w:r>
      <w:r>
        <w:rPr>
          <w:lang w:val="en-GB"/>
        </w:rPr>
        <w:t>50</w:t>
      </w:r>
      <w:r w:rsidR="00E470AF">
        <w:rPr>
          <w:lang w:val="en-GB"/>
        </w:rPr>
        <w:t>-</w:t>
      </w:r>
      <w:r>
        <w:rPr>
          <w:lang w:val="en-GB"/>
        </w:rPr>
        <w:t>70 cm</w:t>
      </w:r>
      <w:r w:rsidR="00DE33BC">
        <w:rPr>
          <w:lang w:val="en-GB"/>
        </w:rPr>
        <w:t>)</w:t>
      </w:r>
      <w:r>
        <w:rPr>
          <w:lang w:val="en-GB"/>
        </w:rPr>
        <w:t xml:space="preserve"> depending on the fire hazard. This </w:t>
      </w:r>
      <w:r w:rsidR="006B6791">
        <w:rPr>
          <w:lang w:val="en-GB"/>
        </w:rPr>
        <w:t>choice</w:t>
      </w:r>
      <w:r>
        <w:rPr>
          <w:lang w:val="en-GB"/>
        </w:rPr>
        <w:t xml:space="preserve"> has been made in orde</w:t>
      </w:r>
      <w:r w:rsidR="006B6791">
        <w:rPr>
          <w:lang w:val="en-GB"/>
        </w:rPr>
        <w:t>r not to disperse the agent, bu</w:t>
      </w:r>
      <w:r>
        <w:rPr>
          <w:lang w:val="en-GB"/>
        </w:rPr>
        <w:t>t to concentrate the supply.</w:t>
      </w:r>
    </w:p>
    <w:p w14:paraId="7B37C4B7" w14:textId="7E09C8D4" w:rsidR="000C4E38" w:rsidRDefault="00D4723A" w:rsidP="009D4760">
      <w:pPr>
        <w:pStyle w:val="CETBodytext"/>
        <w:numPr>
          <w:ilvl w:val="0"/>
          <w:numId w:val="23"/>
        </w:numPr>
        <w:rPr>
          <w:lang w:val="en-GB"/>
        </w:rPr>
      </w:pPr>
      <w:r w:rsidRPr="00B477F0">
        <w:rPr>
          <w:u w:val="single"/>
          <w:lang w:val="en-GB"/>
        </w:rPr>
        <w:t xml:space="preserve">Ambient </w:t>
      </w:r>
      <w:r w:rsidR="00FE780B">
        <w:rPr>
          <w:u w:val="single"/>
          <w:lang w:val="en-GB"/>
        </w:rPr>
        <w:t>c</w:t>
      </w:r>
      <w:r w:rsidRPr="00B477F0">
        <w:rPr>
          <w:u w:val="single"/>
          <w:lang w:val="en-GB"/>
        </w:rPr>
        <w:t>onditions</w:t>
      </w:r>
      <w:r>
        <w:rPr>
          <w:lang w:val="en-GB"/>
        </w:rPr>
        <w:t xml:space="preserve">: each </w:t>
      </w:r>
      <w:r w:rsidR="00DE33BC">
        <w:rPr>
          <w:lang w:val="en-GB"/>
        </w:rPr>
        <w:t>e</w:t>
      </w:r>
      <w:r w:rsidR="00AD76DC">
        <w:rPr>
          <w:lang w:val="en-GB"/>
        </w:rPr>
        <w:t>xperimental</w:t>
      </w:r>
      <w:r>
        <w:rPr>
          <w:lang w:val="en-GB"/>
        </w:rPr>
        <w:t xml:space="preserve"> </w:t>
      </w:r>
      <w:r w:rsidR="00DE33BC">
        <w:rPr>
          <w:lang w:val="en-GB"/>
        </w:rPr>
        <w:t>t</w:t>
      </w:r>
      <w:r>
        <w:rPr>
          <w:lang w:val="en-GB"/>
        </w:rPr>
        <w:t xml:space="preserve">est was made in </w:t>
      </w:r>
      <w:r w:rsidR="00AD76DC">
        <w:rPr>
          <w:lang w:val="en-GB"/>
        </w:rPr>
        <w:t>November</w:t>
      </w:r>
      <w:r>
        <w:rPr>
          <w:lang w:val="en-GB"/>
        </w:rPr>
        <w:t xml:space="preserve"> 2022. The </w:t>
      </w:r>
      <w:r w:rsidR="00DE33BC">
        <w:rPr>
          <w:lang w:val="en-GB"/>
        </w:rPr>
        <w:t>a</w:t>
      </w:r>
      <w:r w:rsidR="00CC3B86">
        <w:rPr>
          <w:lang w:val="en-GB"/>
        </w:rPr>
        <w:t xml:space="preserve">mbient </w:t>
      </w:r>
      <w:r w:rsidR="00DE33BC">
        <w:rPr>
          <w:lang w:val="en-GB"/>
        </w:rPr>
        <w:t>t</w:t>
      </w:r>
      <w:r w:rsidR="00CC3B86">
        <w:rPr>
          <w:lang w:val="en-GB"/>
        </w:rPr>
        <w:t>emperature was about 18</w:t>
      </w:r>
      <w:r>
        <w:rPr>
          <w:lang w:val="en-GB"/>
        </w:rPr>
        <w:t xml:space="preserve"> °C.</w:t>
      </w:r>
      <w:r w:rsidR="00B477F0">
        <w:rPr>
          <w:lang w:val="en-GB"/>
        </w:rPr>
        <w:t xml:space="preserve"> The </w:t>
      </w:r>
      <w:r w:rsidR="00DE33BC">
        <w:rPr>
          <w:lang w:val="en-GB"/>
        </w:rPr>
        <w:t>t</w:t>
      </w:r>
      <w:r w:rsidR="00B477F0">
        <w:rPr>
          <w:lang w:val="en-GB"/>
        </w:rPr>
        <w:t>est</w:t>
      </w:r>
      <w:r w:rsidR="00FE780B">
        <w:rPr>
          <w:lang w:val="en-GB"/>
        </w:rPr>
        <w:t>s</w:t>
      </w:r>
      <w:r w:rsidR="00B477F0">
        <w:rPr>
          <w:lang w:val="en-GB"/>
        </w:rPr>
        <w:t xml:space="preserve"> </w:t>
      </w:r>
      <w:r w:rsidR="00DE33BC">
        <w:rPr>
          <w:lang w:val="en-GB"/>
        </w:rPr>
        <w:t>a</w:t>
      </w:r>
      <w:r w:rsidR="00B477F0">
        <w:rPr>
          <w:lang w:val="en-GB"/>
        </w:rPr>
        <w:t xml:space="preserve">pparatus was located inside a </w:t>
      </w:r>
      <w:r w:rsidR="00DE33BC">
        <w:rPr>
          <w:lang w:val="en-GB"/>
        </w:rPr>
        <w:t>(20mx10mx6m)</w:t>
      </w:r>
      <w:r w:rsidR="00B477F0">
        <w:rPr>
          <w:lang w:val="en-GB"/>
        </w:rPr>
        <w:t xml:space="preserve"> building</w:t>
      </w:r>
      <w:r w:rsidR="004B7B1C">
        <w:rPr>
          <w:lang w:val="en-GB"/>
        </w:rPr>
        <w:t xml:space="preserve"> with no windows and </w:t>
      </w:r>
      <w:r w:rsidR="00B477F0">
        <w:rPr>
          <w:lang w:val="en-GB"/>
        </w:rPr>
        <w:t>no sun light</w:t>
      </w:r>
      <w:r w:rsidR="004B7B1C">
        <w:rPr>
          <w:lang w:val="en-GB"/>
        </w:rPr>
        <w:t>.</w:t>
      </w:r>
    </w:p>
    <w:p w14:paraId="25829D63" w14:textId="71FE04D1" w:rsidR="00FF1056" w:rsidRDefault="00D57F58" w:rsidP="00B1773D">
      <w:pPr>
        <w:pStyle w:val="CETBodytext"/>
        <w:rPr>
          <w:lang w:val="en-GB"/>
        </w:rPr>
      </w:pPr>
      <w:r>
        <w:rPr>
          <w:lang w:val="en-GB"/>
        </w:rPr>
        <w:t xml:space="preserve">In total 11 </w:t>
      </w:r>
      <w:r w:rsidR="00DE33BC">
        <w:rPr>
          <w:lang w:val="en-GB"/>
        </w:rPr>
        <w:t>e</w:t>
      </w:r>
      <w:r w:rsidR="00B77444">
        <w:rPr>
          <w:lang w:val="en-GB"/>
        </w:rPr>
        <w:t xml:space="preserve">xtinction </w:t>
      </w:r>
      <w:r w:rsidR="00DE33BC">
        <w:rPr>
          <w:lang w:val="en-GB"/>
        </w:rPr>
        <w:t>t</w:t>
      </w:r>
      <w:r>
        <w:rPr>
          <w:lang w:val="en-GB"/>
        </w:rPr>
        <w:t>est</w:t>
      </w:r>
      <w:r w:rsidR="00B77444">
        <w:rPr>
          <w:lang w:val="en-GB"/>
        </w:rPr>
        <w:t>s</w:t>
      </w:r>
      <w:r>
        <w:rPr>
          <w:lang w:val="en-GB"/>
        </w:rPr>
        <w:t xml:space="preserve"> </w:t>
      </w:r>
      <w:r w:rsidR="00DE33BC">
        <w:rPr>
          <w:lang w:val="en-GB"/>
        </w:rPr>
        <w:t>were</w:t>
      </w:r>
      <w:r w:rsidR="00837AE0">
        <w:rPr>
          <w:lang w:val="en-GB"/>
        </w:rPr>
        <w:t xml:space="preserve"> </w:t>
      </w:r>
      <w:r w:rsidR="00345233">
        <w:rPr>
          <w:lang w:val="en-GB"/>
        </w:rPr>
        <w:t>performed</w:t>
      </w:r>
      <w:r w:rsidR="00DE33BC">
        <w:rPr>
          <w:lang w:val="en-GB"/>
        </w:rPr>
        <w:t xml:space="preserve"> of which o</w:t>
      </w:r>
      <w:r>
        <w:rPr>
          <w:lang w:val="en-GB"/>
        </w:rPr>
        <w:t xml:space="preserve">nly the most significant </w:t>
      </w:r>
      <w:r w:rsidR="00DE33BC">
        <w:rPr>
          <w:lang w:val="en-GB"/>
        </w:rPr>
        <w:t>results are discussed in the following. The test</w:t>
      </w:r>
      <w:r w:rsidR="00FB30E3">
        <w:rPr>
          <w:lang w:val="en-GB"/>
        </w:rPr>
        <w:t>s</w:t>
      </w:r>
      <w:r w:rsidR="00DE33BC">
        <w:rPr>
          <w:lang w:val="en-GB"/>
        </w:rPr>
        <w:t xml:space="preserve"> considered are reported in Table 1</w:t>
      </w:r>
      <w:r>
        <w:rPr>
          <w:lang w:val="en-GB"/>
        </w:rPr>
        <w:t>.</w:t>
      </w:r>
    </w:p>
    <w:p w14:paraId="1EDCB104" w14:textId="77777777" w:rsidR="00B1773D" w:rsidRDefault="00B1773D" w:rsidP="008053D3">
      <w:pPr>
        <w:pStyle w:val="CETTabletitle"/>
      </w:pPr>
      <w:r w:rsidRPr="000B3342">
        <w:t>Table 1:</w:t>
      </w:r>
      <w:r w:rsidR="007037E8" w:rsidRPr="000B3342">
        <w:t xml:space="preserve"> List and technical specific</w:t>
      </w:r>
      <w:r w:rsidR="00303AF9">
        <w:t>ation</w:t>
      </w:r>
      <w:r w:rsidR="007037E8" w:rsidRPr="000B3342">
        <w:t xml:space="preserve">s of the </w:t>
      </w:r>
      <w:r w:rsidR="00303AF9">
        <w:t>e</w:t>
      </w:r>
      <w:r w:rsidR="007037E8" w:rsidRPr="000B3342">
        <w:t xml:space="preserve">xperimental </w:t>
      </w:r>
      <w:r w:rsidR="00303AF9">
        <w:t>t</w:t>
      </w:r>
      <w:r w:rsidR="007037E8" w:rsidRPr="000B3342">
        <w:t xml:space="preserve">ests </w:t>
      </w:r>
    </w:p>
    <w:tbl>
      <w:tblPr>
        <w:tblW w:w="808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851"/>
        <w:gridCol w:w="1134"/>
        <w:gridCol w:w="1134"/>
        <w:gridCol w:w="1275"/>
        <w:gridCol w:w="1134"/>
        <w:gridCol w:w="1843"/>
      </w:tblGrid>
      <w:tr w:rsidR="00303AF9" w:rsidRPr="00B57B36" w14:paraId="7156C6EE" w14:textId="77777777" w:rsidTr="00E470AF">
        <w:tc>
          <w:tcPr>
            <w:tcW w:w="709" w:type="dxa"/>
            <w:tcBorders>
              <w:top w:val="single" w:sz="12" w:space="0" w:color="008000"/>
              <w:bottom w:val="single" w:sz="6" w:space="0" w:color="008000"/>
            </w:tcBorders>
            <w:shd w:val="clear" w:color="auto" w:fill="FFFFFF"/>
          </w:tcPr>
          <w:p w14:paraId="137F95F6" w14:textId="77777777" w:rsidR="00303AF9" w:rsidRDefault="00303AF9" w:rsidP="00076B97">
            <w:pPr>
              <w:pStyle w:val="CETBodytext"/>
              <w:rPr>
                <w:lang w:val="en-GB"/>
              </w:rPr>
            </w:pPr>
            <w:r>
              <w:rPr>
                <w:lang w:val="en-GB"/>
              </w:rPr>
              <w:t xml:space="preserve">Test </w:t>
            </w:r>
          </w:p>
          <w:p w14:paraId="20A8B7FD" w14:textId="77777777" w:rsidR="00303AF9" w:rsidRPr="00B57B36" w:rsidRDefault="00303AF9" w:rsidP="00076B97">
            <w:pPr>
              <w:pStyle w:val="CETBodytext"/>
              <w:rPr>
                <w:lang w:val="en-GB"/>
              </w:rPr>
            </w:pPr>
            <w:r>
              <w:rPr>
                <w:lang w:val="en-GB"/>
              </w:rPr>
              <w:t>ID Num</w:t>
            </w:r>
          </w:p>
        </w:tc>
        <w:tc>
          <w:tcPr>
            <w:tcW w:w="851" w:type="dxa"/>
            <w:tcBorders>
              <w:top w:val="single" w:sz="12" w:space="0" w:color="008000"/>
              <w:bottom w:val="single" w:sz="6" w:space="0" w:color="008000"/>
            </w:tcBorders>
            <w:shd w:val="clear" w:color="auto" w:fill="FFFFFF"/>
          </w:tcPr>
          <w:p w14:paraId="03A7328A" w14:textId="77777777" w:rsidR="00303AF9" w:rsidRDefault="00303AF9" w:rsidP="00076B97">
            <w:pPr>
              <w:pStyle w:val="CETBodytext"/>
              <w:rPr>
                <w:lang w:val="en-GB"/>
              </w:rPr>
            </w:pPr>
            <w:r>
              <w:rPr>
                <w:lang w:val="en-GB"/>
              </w:rPr>
              <w:t>Test date</w:t>
            </w:r>
          </w:p>
        </w:tc>
        <w:tc>
          <w:tcPr>
            <w:tcW w:w="1134" w:type="dxa"/>
            <w:tcBorders>
              <w:top w:val="single" w:sz="12" w:space="0" w:color="008000"/>
              <w:bottom w:val="single" w:sz="6" w:space="0" w:color="008000"/>
            </w:tcBorders>
            <w:shd w:val="clear" w:color="auto" w:fill="FFFFFF"/>
          </w:tcPr>
          <w:p w14:paraId="404A9281" w14:textId="77777777" w:rsidR="00303AF9" w:rsidRPr="00B57B36" w:rsidRDefault="00303AF9" w:rsidP="00076B97">
            <w:pPr>
              <w:pStyle w:val="CETBodytext"/>
              <w:rPr>
                <w:lang w:val="en-GB"/>
              </w:rPr>
            </w:pPr>
            <w:r>
              <w:rPr>
                <w:lang w:val="en-GB"/>
              </w:rPr>
              <w:t>Cell type</w:t>
            </w:r>
          </w:p>
        </w:tc>
        <w:tc>
          <w:tcPr>
            <w:tcW w:w="1134" w:type="dxa"/>
            <w:tcBorders>
              <w:top w:val="single" w:sz="12" w:space="0" w:color="008000"/>
              <w:bottom w:val="single" w:sz="6" w:space="0" w:color="008000"/>
            </w:tcBorders>
            <w:shd w:val="clear" w:color="auto" w:fill="FFFFFF"/>
          </w:tcPr>
          <w:p w14:paraId="07E32573" w14:textId="77777777" w:rsidR="00303AF9" w:rsidRPr="00B57B36" w:rsidRDefault="00303AF9" w:rsidP="00076B97">
            <w:pPr>
              <w:pStyle w:val="CETBodytext"/>
              <w:rPr>
                <w:lang w:val="en-GB"/>
              </w:rPr>
            </w:pPr>
            <w:r>
              <w:rPr>
                <w:lang w:val="en-GB"/>
              </w:rPr>
              <w:t>Extinguishing agent</w:t>
            </w:r>
          </w:p>
        </w:tc>
        <w:tc>
          <w:tcPr>
            <w:tcW w:w="1275" w:type="dxa"/>
            <w:tcBorders>
              <w:top w:val="single" w:sz="12" w:space="0" w:color="008000"/>
              <w:bottom w:val="single" w:sz="6" w:space="0" w:color="008000"/>
            </w:tcBorders>
            <w:shd w:val="clear" w:color="auto" w:fill="FFFFFF"/>
          </w:tcPr>
          <w:p w14:paraId="3020644D" w14:textId="7A6EBD91" w:rsidR="00303AF9" w:rsidRDefault="00303AF9" w:rsidP="00076B97">
            <w:pPr>
              <w:pStyle w:val="CETBodytext"/>
              <w:ind w:right="-1"/>
              <w:rPr>
                <w:rFonts w:cs="Arial"/>
                <w:szCs w:val="18"/>
                <w:lang w:val="en-GB"/>
              </w:rPr>
            </w:pPr>
            <w:r>
              <w:rPr>
                <w:rFonts w:cs="Arial"/>
                <w:szCs w:val="18"/>
                <w:lang w:val="en-GB"/>
              </w:rPr>
              <w:t>Solute C</w:t>
            </w:r>
            <w:r w:rsidR="00E470AF">
              <w:rPr>
                <w:rFonts w:cs="Arial"/>
                <w:szCs w:val="18"/>
                <w:lang w:val="en-GB"/>
              </w:rPr>
              <w:t>oncentration</w:t>
            </w:r>
          </w:p>
          <w:p w14:paraId="65B4A84D" w14:textId="77777777" w:rsidR="00303AF9" w:rsidRPr="00B57B36" w:rsidRDefault="00303AF9" w:rsidP="00076B97">
            <w:pPr>
              <w:pStyle w:val="CETBodytext"/>
              <w:ind w:right="-1"/>
              <w:rPr>
                <w:rFonts w:cs="Arial"/>
                <w:szCs w:val="18"/>
                <w:lang w:val="en-GB"/>
              </w:rPr>
            </w:pPr>
            <w:r>
              <w:rPr>
                <w:rFonts w:cs="Arial"/>
                <w:szCs w:val="18"/>
                <w:lang w:val="en-GB"/>
              </w:rPr>
              <w:t>(%)</w:t>
            </w:r>
          </w:p>
        </w:tc>
        <w:tc>
          <w:tcPr>
            <w:tcW w:w="1134" w:type="dxa"/>
            <w:tcBorders>
              <w:top w:val="single" w:sz="12" w:space="0" w:color="008000"/>
              <w:bottom w:val="single" w:sz="6" w:space="0" w:color="008000"/>
            </w:tcBorders>
            <w:shd w:val="clear" w:color="auto" w:fill="FFFFFF"/>
          </w:tcPr>
          <w:p w14:paraId="5EA97301" w14:textId="77777777" w:rsidR="00303AF9" w:rsidRDefault="00303AF9" w:rsidP="00076B97">
            <w:pPr>
              <w:pStyle w:val="CETBodytext"/>
              <w:ind w:right="-1"/>
              <w:rPr>
                <w:rFonts w:cs="Arial"/>
                <w:szCs w:val="18"/>
                <w:lang w:val="en-GB"/>
              </w:rPr>
            </w:pPr>
            <w:r>
              <w:rPr>
                <w:rFonts w:cs="Arial"/>
                <w:szCs w:val="18"/>
                <w:lang w:val="en-GB"/>
              </w:rPr>
              <w:t>Extinguisher Flowrate/Jet</w:t>
            </w:r>
          </w:p>
          <w:p w14:paraId="25ADCFD2" w14:textId="77777777" w:rsidR="00303AF9" w:rsidRPr="00B57B36" w:rsidRDefault="00303AF9" w:rsidP="00076B97">
            <w:pPr>
              <w:pStyle w:val="CETBodytext"/>
              <w:ind w:right="-1"/>
              <w:rPr>
                <w:rFonts w:cs="Arial"/>
                <w:szCs w:val="18"/>
                <w:lang w:val="en-GB"/>
              </w:rPr>
            </w:pPr>
            <w:r>
              <w:rPr>
                <w:rFonts w:cs="Arial"/>
                <w:szCs w:val="18"/>
                <w:lang w:val="en-GB"/>
              </w:rPr>
              <w:t>(L/min)</w:t>
            </w:r>
          </w:p>
        </w:tc>
        <w:tc>
          <w:tcPr>
            <w:tcW w:w="1843" w:type="dxa"/>
            <w:tcBorders>
              <w:top w:val="single" w:sz="12" w:space="0" w:color="008000"/>
              <w:bottom w:val="single" w:sz="6" w:space="0" w:color="008000"/>
            </w:tcBorders>
            <w:shd w:val="clear" w:color="auto" w:fill="FFFFFF"/>
          </w:tcPr>
          <w:p w14:paraId="180A78B1" w14:textId="77777777" w:rsidR="00303AF9" w:rsidRDefault="00303AF9" w:rsidP="00076B97">
            <w:pPr>
              <w:pStyle w:val="CETBodytext"/>
              <w:ind w:right="-1"/>
              <w:rPr>
                <w:rFonts w:cs="Arial"/>
                <w:szCs w:val="18"/>
                <w:lang w:val="en-GB"/>
              </w:rPr>
            </w:pPr>
            <w:r>
              <w:rPr>
                <w:rFonts w:cs="Arial"/>
                <w:szCs w:val="18"/>
                <w:lang w:val="en-GB"/>
              </w:rPr>
              <w:t>Test Code</w:t>
            </w:r>
          </w:p>
          <w:p w14:paraId="64C4EA20" w14:textId="77777777" w:rsidR="00303AF9" w:rsidRDefault="00303AF9" w:rsidP="00076B97">
            <w:pPr>
              <w:pStyle w:val="CETBodytext"/>
              <w:ind w:right="-1"/>
              <w:rPr>
                <w:rFonts w:cs="Arial"/>
                <w:szCs w:val="18"/>
                <w:lang w:val="en-GB"/>
              </w:rPr>
            </w:pPr>
            <w:r>
              <w:rPr>
                <w:rFonts w:cs="Arial"/>
                <w:szCs w:val="18"/>
                <w:lang w:val="en-GB"/>
              </w:rPr>
              <w:t>(ID-Ext-Supp-%-Jet)</w:t>
            </w:r>
          </w:p>
        </w:tc>
      </w:tr>
      <w:tr w:rsidR="00303AF9" w:rsidRPr="00B57B36" w14:paraId="7009B065" w14:textId="77777777" w:rsidTr="00E470AF">
        <w:tc>
          <w:tcPr>
            <w:tcW w:w="709" w:type="dxa"/>
            <w:shd w:val="clear" w:color="auto" w:fill="FFFFFF"/>
          </w:tcPr>
          <w:p w14:paraId="291A9B96" w14:textId="77777777" w:rsidR="00303AF9" w:rsidRPr="00B57B36" w:rsidRDefault="00303AF9" w:rsidP="00076B97">
            <w:pPr>
              <w:pStyle w:val="CETBodytext"/>
              <w:rPr>
                <w:lang w:val="en-GB"/>
              </w:rPr>
            </w:pPr>
            <w:r>
              <w:rPr>
                <w:lang w:val="en-GB"/>
              </w:rPr>
              <w:t>4</w:t>
            </w:r>
          </w:p>
        </w:tc>
        <w:tc>
          <w:tcPr>
            <w:tcW w:w="851" w:type="dxa"/>
            <w:shd w:val="clear" w:color="auto" w:fill="FFFFFF"/>
          </w:tcPr>
          <w:p w14:paraId="7CCF9E88" w14:textId="77777777" w:rsidR="00303AF9" w:rsidRDefault="00303AF9" w:rsidP="00076B97">
            <w:pPr>
              <w:pStyle w:val="CETBodytext"/>
              <w:rPr>
                <w:lang w:val="en-GB"/>
              </w:rPr>
            </w:pPr>
            <w:r>
              <w:rPr>
                <w:lang w:val="en-GB"/>
              </w:rPr>
              <w:t>14/11/22</w:t>
            </w:r>
          </w:p>
        </w:tc>
        <w:tc>
          <w:tcPr>
            <w:tcW w:w="1134" w:type="dxa"/>
            <w:shd w:val="clear" w:color="auto" w:fill="FFFFFF"/>
          </w:tcPr>
          <w:p w14:paraId="4401CDD4" w14:textId="77777777" w:rsidR="00303AF9" w:rsidRPr="00B57B36" w:rsidRDefault="00303AF9" w:rsidP="00076B97">
            <w:pPr>
              <w:pStyle w:val="CETBodytext"/>
              <w:rPr>
                <w:lang w:val="en-GB"/>
              </w:rPr>
            </w:pPr>
            <w:r>
              <w:rPr>
                <w:lang w:val="en-GB"/>
              </w:rPr>
              <w:t>K-SPLB-40</w:t>
            </w:r>
          </w:p>
        </w:tc>
        <w:tc>
          <w:tcPr>
            <w:tcW w:w="1134" w:type="dxa"/>
            <w:shd w:val="clear" w:color="auto" w:fill="FFFFFF"/>
          </w:tcPr>
          <w:p w14:paraId="144212C3" w14:textId="77777777" w:rsidR="00303AF9" w:rsidRPr="00B57B36" w:rsidRDefault="00303AF9" w:rsidP="00076B97">
            <w:pPr>
              <w:pStyle w:val="CETBodytext"/>
              <w:rPr>
                <w:lang w:val="en-GB"/>
              </w:rPr>
            </w:pPr>
            <w:r>
              <w:rPr>
                <w:lang w:val="en-GB"/>
              </w:rPr>
              <w:t>F500</w:t>
            </w:r>
          </w:p>
        </w:tc>
        <w:tc>
          <w:tcPr>
            <w:tcW w:w="1275" w:type="dxa"/>
            <w:shd w:val="clear" w:color="auto" w:fill="FFFFFF"/>
          </w:tcPr>
          <w:p w14:paraId="45D68706" w14:textId="77777777" w:rsidR="00303AF9" w:rsidRPr="00B57B36" w:rsidRDefault="00303AF9" w:rsidP="00076B97">
            <w:pPr>
              <w:pStyle w:val="CETBodytext"/>
              <w:ind w:right="-1"/>
              <w:rPr>
                <w:rFonts w:cs="Arial"/>
                <w:szCs w:val="18"/>
                <w:lang w:val="en-GB"/>
              </w:rPr>
            </w:pPr>
            <w:r>
              <w:rPr>
                <w:rFonts w:cs="Arial"/>
                <w:szCs w:val="18"/>
                <w:lang w:val="en-GB"/>
              </w:rPr>
              <w:t>2</w:t>
            </w:r>
          </w:p>
        </w:tc>
        <w:tc>
          <w:tcPr>
            <w:tcW w:w="1134" w:type="dxa"/>
            <w:shd w:val="clear" w:color="auto" w:fill="FFFFFF"/>
          </w:tcPr>
          <w:p w14:paraId="5206D642" w14:textId="77777777" w:rsidR="00303AF9" w:rsidRPr="00B57B36" w:rsidRDefault="00303AF9" w:rsidP="00076B97">
            <w:pPr>
              <w:pStyle w:val="CETBodytext"/>
              <w:ind w:right="-1"/>
              <w:rPr>
                <w:rFonts w:cs="Arial"/>
                <w:szCs w:val="18"/>
                <w:lang w:val="en-GB"/>
              </w:rPr>
            </w:pPr>
            <w:r>
              <w:rPr>
                <w:rFonts w:cs="Arial"/>
                <w:szCs w:val="18"/>
                <w:lang w:val="en-GB"/>
              </w:rPr>
              <w:t>13.2 / Spray</w:t>
            </w:r>
          </w:p>
        </w:tc>
        <w:tc>
          <w:tcPr>
            <w:tcW w:w="1843" w:type="dxa"/>
            <w:shd w:val="clear" w:color="auto" w:fill="FFFFFF"/>
          </w:tcPr>
          <w:p w14:paraId="6B567D16" w14:textId="77777777" w:rsidR="00303AF9" w:rsidRDefault="00303AF9" w:rsidP="00076B97">
            <w:pPr>
              <w:pStyle w:val="CETBodytext"/>
              <w:ind w:right="-1"/>
              <w:rPr>
                <w:rFonts w:cs="Arial"/>
                <w:szCs w:val="18"/>
                <w:lang w:val="en-GB"/>
              </w:rPr>
            </w:pPr>
            <w:r>
              <w:rPr>
                <w:rFonts w:cs="Arial"/>
                <w:szCs w:val="18"/>
                <w:lang w:val="en-GB"/>
              </w:rPr>
              <w:t>4-F5-M-2-SP</w:t>
            </w:r>
          </w:p>
        </w:tc>
      </w:tr>
      <w:tr w:rsidR="00303AF9" w:rsidRPr="00B57B36" w14:paraId="0D4A95AE" w14:textId="77777777" w:rsidTr="00E470AF">
        <w:tc>
          <w:tcPr>
            <w:tcW w:w="709" w:type="dxa"/>
            <w:shd w:val="clear" w:color="auto" w:fill="FFFFFF"/>
          </w:tcPr>
          <w:p w14:paraId="3EC11930" w14:textId="77777777" w:rsidR="00303AF9" w:rsidRDefault="00303AF9" w:rsidP="00076B97">
            <w:pPr>
              <w:pStyle w:val="CETBodytext"/>
              <w:ind w:right="-1"/>
              <w:rPr>
                <w:rFonts w:cs="Arial"/>
                <w:szCs w:val="18"/>
                <w:lang w:val="en-GB"/>
              </w:rPr>
            </w:pPr>
            <w:r>
              <w:rPr>
                <w:rFonts w:cs="Arial"/>
                <w:szCs w:val="18"/>
                <w:lang w:val="en-GB"/>
              </w:rPr>
              <w:t>6</w:t>
            </w:r>
          </w:p>
          <w:p w14:paraId="10F02214" w14:textId="77777777" w:rsidR="00303AF9" w:rsidRDefault="00303AF9" w:rsidP="00076B97">
            <w:pPr>
              <w:pStyle w:val="CETBodytext"/>
              <w:ind w:right="-1"/>
              <w:rPr>
                <w:rFonts w:cs="Arial"/>
                <w:szCs w:val="18"/>
                <w:lang w:val="en-GB"/>
              </w:rPr>
            </w:pPr>
            <w:r>
              <w:rPr>
                <w:rFonts w:cs="Arial"/>
                <w:szCs w:val="18"/>
                <w:lang w:val="en-GB"/>
              </w:rPr>
              <w:t>9</w:t>
            </w:r>
          </w:p>
          <w:p w14:paraId="6758125C" w14:textId="77777777" w:rsidR="00303AF9" w:rsidRDefault="00303AF9" w:rsidP="00076B97">
            <w:pPr>
              <w:pStyle w:val="CETBodytext"/>
              <w:ind w:right="-1"/>
              <w:rPr>
                <w:rFonts w:cs="Arial"/>
                <w:szCs w:val="18"/>
                <w:lang w:val="en-GB"/>
              </w:rPr>
            </w:pPr>
            <w:r>
              <w:rPr>
                <w:rFonts w:cs="Arial"/>
                <w:szCs w:val="18"/>
                <w:lang w:val="en-GB"/>
              </w:rPr>
              <w:t>10</w:t>
            </w:r>
          </w:p>
          <w:p w14:paraId="38C53CFF" w14:textId="77777777" w:rsidR="00303AF9" w:rsidRDefault="00303AF9" w:rsidP="00076B97">
            <w:pPr>
              <w:pStyle w:val="CETBodytext"/>
              <w:ind w:right="-1"/>
              <w:rPr>
                <w:rFonts w:cs="Arial"/>
                <w:szCs w:val="18"/>
                <w:lang w:val="en-GB"/>
              </w:rPr>
            </w:pPr>
            <w:r>
              <w:rPr>
                <w:rFonts w:cs="Arial"/>
                <w:szCs w:val="18"/>
                <w:lang w:val="en-GB"/>
              </w:rPr>
              <w:t>11</w:t>
            </w:r>
          </w:p>
          <w:p w14:paraId="01C1D9DB" w14:textId="77777777" w:rsidR="00303AF9" w:rsidRDefault="00303AF9" w:rsidP="00076B97">
            <w:pPr>
              <w:pStyle w:val="CETBodytext"/>
              <w:ind w:right="-1"/>
              <w:rPr>
                <w:rFonts w:cs="Arial"/>
                <w:szCs w:val="18"/>
                <w:lang w:val="en-GB"/>
              </w:rPr>
            </w:pPr>
            <w:r>
              <w:rPr>
                <w:rFonts w:cs="Arial"/>
                <w:szCs w:val="18"/>
                <w:lang w:val="en-GB"/>
              </w:rPr>
              <w:t>12</w:t>
            </w:r>
          </w:p>
          <w:p w14:paraId="04CF6A86" w14:textId="77777777" w:rsidR="00303AF9" w:rsidRPr="00B57B36" w:rsidRDefault="00303AF9" w:rsidP="00076B97">
            <w:pPr>
              <w:pStyle w:val="CETBodytext"/>
              <w:ind w:right="-1"/>
              <w:rPr>
                <w:rFonts w:cs="Arial"/>
                <w:szCs w:val="18"/>
                <w:lang w:val="en-GB"/>
              </w:rPr>
            </w:pPr>
            <w:r>
              <w:rPr>
                <w:rFonts w:cs="Arial"/>
                <w:szCs w:val="18"/>
                <w:lang w:val="en-GB"/>
              </w:rPr>
              <w:t>13</w:t>
            </w:r>
          </w:p>
        </w:tc>
        <w:tc>
          <w:tcPr>
            <w:tcW w:w="851" w:type="dxa"/>
            <w:shd w:val="clear" w:color="auto" w:fill="FFFFFF"/>
          </w:tcPr>
          <w:p w14:paraId="2436407E" w14:textId="77777777" w:rsidR="00303AF9" w:rsidRDefault="00303AF9" w:rsidP="00076B97">
            <w:pPr>
              <w:pStyle w:val="CETBodytext"/>
              <w:ind w:right="-1"/>
              <w:rPr>
                <w:lang w:val="en-GB"/>
              </w:rPr>
            </w:pPr>
            <w:r>
              <w:rPr>
                <w:lang w:val="en-GB"/>
              </w:rPr>
              <w:t>14/11/22</w:t>
            </w:r>
          </w:p>
          <w:p w14:paraId="5054F9E1" w14:textId="77777777" w:rsidR="00303AF9" w:rsidRDefault="00303AF9" w:rsidP="00076B97">
            <w:pPr>
              <w:pStyle w:val="CETBodytext"/>
              <w:ind w:right="-1"/>
              <w:rPr>
                <w:lang w:val="en-GB"/>
              </w:rPr>
            </w:pPr>
            <w:r>
              <w:rPr>
                <w:lang w:val="en-GB"/>
              </w:rPr>
              <w:t>16/11/22</w:t>
            </w:r>
          </w:p>
          <w:p w14:paraId="67030EB4" w14:textId="77777777" w:rsidR="00303AF9" w:rsidRDefault="00303AF9" w:rsidP="00076B97">
            <w:pPr>
              <w:pStyle w:val="CETBodytext"/>
              <w:ind w:right="-1"/>
              <w:rPr>
                <w:lang w:val="en-GB"/>
              </w:rPr>
            </w:pPr>
            <w:r>
              <w:rPr>
                <w:lang w:val="en-GB"/>
              </w:rPr>
              <w:t>16/11/22</w:t>
            </w:r>
          </w:p>
          <w:p w14:paraId="7B580F5D" w14:textId="77777777" w:rsidR="00303AF9" w:rsidRDefault="00303AF9" w:rsidP="00076B97">
            <w:pPr>
              <w:pStyle w:val="CETBodytext"/>
              <w:ind w:right="-1"/>
              <w:rPr>
                <w:lang w:val="en-GB"/>
              </w:rPr>
            </w:pPr>
            <w:r>
              <w:rPr>
                <w:lang w:val="en-GB"/>
              </w:rPr>
              <w:t>16/11/22</w:t>
            </w:r>
          </w:p>
          <w:p w14:paraId="7C526C46" w14:textId="77777777" w:rsidR="00303AF9" w:rsidRDefault="00303AF9" w:rsidP="00076B97">
            <w:pPr>
              <w:pStyle w:val="CETBodytext"/>
              <w:ind w:right="-1"/>
              <w:rPr>
                <w:lang w:val="en-GB"/>
              </w:rPr>
            </w:pPr>
            <w:r>
              <w:rPr>
                <w:lang w:val="en-GB"/>
              </w:rPr>
              <w:t>16/11/22</w:t>
            </w:r>
          </w:p>
          <w:p w14:paraId="0110C5A0" w14:textId="77777777" w:rsidR="00303AF9" w:rsidRDefault="00303AF9" w:rsidP="00076B97">
            <w:pPr>
              <w:pStyle w:val="CETBodytext"/>
              <w:ind w:right="-1"/>
              <w:rPr>
                <w:lang w:val="en-GB"/>
              </w:rPr>
            </w:pPr>
            <w:r>
              <w:rPr>
                <w:lang w:val="en-GB"/>
              </w:rPr>
              <w:t>16/11/22</w:t>
            </w:r>
          </w:p>
        </w:tc>
        <w:tc>
          <w:tcPr>
            <w:tcW w:w="1134" w:type="dxa"/>
            <w:shd w:val="clear" w:color="auto" w:fill="FFFFFF"/>
          </w:tcPr>
          <w:p w14:paraId="7B7A38E7" w14:textId="77777777" w:rsidR="00303AF9" w:rsidRDefault="00303AF9" w:rsidP="00076B97">
            <w:pPr>
              <w:pStyle w:val="CETBodytext"/>
              <w:ind w:right="-1"/>
              <w:rPr>
                <w:lang w:val="en-GB"/>
              </w:rPr>
            </w:pPr>
            <w:r>
              <w:rPr>
                <w:lang w:val="en-GB"/>
              </w:rPr>
              <w:t>K-SPLB-40</w:t>
            </w:r>
          </w:p>
          <w:p w14:paraId="1AE5F573" w14:textId="77777777" w:rsidR="00303AF9" w:rsidRDefault="00303AF9" w:rsidP="00076B97">
            <w:pPr>
              <w:pStyle w:val="CETBodytext"/>
              <w:ind w:right="-1"/>
              <w:rPr>
                <w:lang w:val="en-GB"/>
              </w:rPr>
            </w:pPr>
            <w:r>
              <w:rPr>
                <w:lang w:val="en-GB"/>
              </w:rPr>
              <w:t>K-SPLB-40</w:t>
            </w:r>
          </w:p>
          <w:p w14:paraId="030601A4" w14:textId="77777777" w:rsidR="00303AF9" w:rsidRDefault="00303AF9" w:rsidP="00076B97">
            <w:pPr>
              <w:pStyle w:val="CETBodytext"/>
              <w:ind w:right="-1"/>
              <w:rPr>
                <w:lang w:val="en-GB"/>
              </w:rPr>
            </w:pPr>
            <w:r>
              <w:rPr>
                <w:lang w:val="en-GB"/>
              </w:rPr>
              <w:t>K-SPLB-40</w:t>
            </w:r>
          </w:p>
          <w:p w14:paraId="1879A149" w14:textId="77777777" w:rsidR="00303AF9" w:rsidRDefault="00303AF9" w:rsidP="00076B97">
            <w:pPr>
              <w:pStyle w:val="CETBodytext"/>
              <w:ind w:right="-1"/>
              <w:rPr>
                <w:lang w:val="en-GB"/>
              </w:rPr>
            </w:pPr>
            <w:r>
              <w:rPr>
                <w:lang w:val="en-GB"/>
              </w:rPr>
              <w:t>K-SPLB-40</w:t>
            </w:r>
          </w:p>
          <w:p w14:paraId="0D2D238C" w14:textId="77777777" w:rsidR="00303AF9" w:rsidRDefault="00303AF9" w:rsidP="00076B97">
            <w:pPr>
              <w:pStyle w:val="CETBodytext"/>
              <w:ind w:right="-1"/>
              <w:rPr>
                <w:lang w:val="en-GB"/>
              </w:rPr>
            </w:pPr>
            <w:r>
              <w:rPr>
                <w:lang w:val="en-GB"/>
              </w:rPr>
              <w:t>K-SPLB-40</w:t>
            </w:r>
          </w:p>
          <w:p w14:paraId="17B97AEB" w14:textId="77777777" w:rsidR="00303AF9" w:rsidRPr="00B57B36" w:rsidRDefault="00303AF9" w:rsidP="00076B97">
            <w:pPr>
              <w:pStyle w:val="CETBodytext"/>
              <w:ind w:right="-1"/>
              <w:rPr>
                <w:rFonts w:cs="Arial"/>
                <w:szCs w:val="18"/>
                <w:lang w:val="en-GB"/>
              </w:rPr>
            </w:pPr>
            <w:r>
              <w:rPr>
                <w:lang w:val="en-GB"/>
              </w:rPr>
              <w:t>K-SPLB-40</w:t>
            </w:r>
          </w:p>
        </w:tc>
        <w:tc>
          <w:tcPr>
            <w:tcW w:w="1134" w:type="dxa"/>
            <w:shd w:val="clear" w:color="auto" w:fill="FFFFFF"/>
          </w:tcPr>
          <w:p w14:paraId="41AD40AB" w14:textId="77777777" w:rsidR="00303AF9" w:rsidRDefault="00303AF9" w:rsidP="00076B97">
            <w:pPr>
              <w:pStyle w:val="CETBodytext"/>
              <w:ind w:right="-1"/>
              <w:rPr>
                <w:rFonts w:cs="Arial"/>
                <w:szCs w:val="18"/>
                <w:lang w:val="en-GB"/>
              </w:rPr>
            </w:pPr>
            <w:r>
              <w:rPr>
                <w:rFonts w:cs="Arial"/>
                <w:szCs w:val="18"/>
                <w:lang w:val="en-GB"/>
              </w:rPr>
              <w:t>Foam</w:t>
            </w:r>
          </w:p>
          <w:p w14:paraId="2E96BBE9" w14:textId="77777777" w:rsidR="00303AF9" w:rsidRDefault="00303AF9" w:rsidP="00076B97">
            <w:pPr>
              <w:pStyle w:val="CETBodytext"/>
              <w:ind w:right="-1"/>
              <w:rPr>
                <w:rFonts w:cs="Arial"/>
                <w:szCs w:val="18"/>
                <w:lang w:val="en-GB"/>
              </w:rPr>
            </w:pPr>
            <w:r>
              <w:rPr>
                <w:rFonts w:cs="Arial"/>
                <w:szCs w:val="18"/>
                <w:lang w:val="en-GB"/>
              </w:rPr>
              <w:t>Water</w:t>
            </w:r>
          </w:p>
          <w:p w14:paraId="67B3A0AD" w14:textId="77777777" w:rsidR="00303AF9" w:rsidRDefault="00303AF9" w:rsidP="00076B97">
            <w:pPr>
              <w:pStyle w:val="CETBodytext"/>
              <w:ind w:right="-1"/>
              <w:rPr>
                <w:rFonts w:cs="Arial"/>
                <w:szCs w:val="18"/>
                <w:lang w:val="en-GB"/>
              </w:rPr>
            </w:pPr>
            <w:r>
              <w:rPr>
                <w:rFonts w:cs="Arial"/>
                <w:szCs w:val="18"/>
                <w:lang w:val="en-GB"/>
              </w:rPr>
              <w:t>F500</w:t>
            </w:r>
          </w:p>
          <w:p w14:paraId="7127EE2D" w14:textId="77777777" w:rsidR="00303AF9" w:rsidRDefault="00303AF9" w:rsidP="00076B97">
            <w:pPr>
              <w:pStyle w:val="CETBodytext"/>
              <w:ind w:right="-1"/>
              <w:rPr>
                <w:rFonts w:cs="Arial"/>
                <w:szCs w:val="18"/>
                <w:lang w:val="en-GB"/>
              </w:rPr>
            </w:pPr>
            <w:r>
              <w:rPr>
                <w:rFonts w:cs="Arial"/>
                <w:szCs w:val="18"/>
                <w:lang w:val="en-GB"/>
              </w:rPr>
              <w:t>Water</w:t>
            </w:r>
          </w:p>
          <w:p w14:paraId="23E932AE" w14:textId="77777777" w:rsidR="00303AF9" w:rsidRDefault="00303AF9" w:rsidP="00076B97">
            <w:pPr>
              <w:pStyle w:val="CETBodytext"/>
              <w:ind w:right="-1"/>
              <w:rPr>
                <w:rFonts w:cs="Arial"/>
                <w:szCs w:val="18"/>
                <w:lang w:val="en-GB"/>
              </w:rPr>
            </w:pPr>
            <w:r>
              <w:rPr>
                <w:rFonts w:cs="Arial"/>
                <w:szCs w:val="18"/>
                <w:lang w:val="en-GB"/>
              </w:rPr>
              <w:t>F500</w:t>
            </w:r>
          </w:p>
          <w:p w14:paraId="4449FA47" w14:textId="77777777" w:rsidR="00303AF9" w:rsidRPr="00B57B36" w:rsidRDefault="00303AF9" w:rsidP="00076B97">
            <w:pPr>
              <w:pStyle w:val="CETBodytext"/>
              <w:ind w:right="-1"/>
              <w:rPr>
                <w:rFonts w:cs="Arial"/>
                <w:szCs w:val="18"/>
                <w:lang w:val="en-GB"/>
              </w:rPr>
            </w:pPr>
            <w:r>
              <w:rPr>
                <w:rFonts w:cs="Arial"/>
                <w:szCs w:val="18"/>
                <w:lang w:val="en-GB"/>
              </w:rPr>
              <w:t>AVD</w:t>
            </w:r>
          </w:p>
        </w:tc>
        <w:tc>
          <w:tcPr>
            <w:tcW w:w="1275" w:type="dxa"/>
            <w:shd w:val="clear" w:color="auto" w:fill="FFFFFF"/>
          </w:tcPr>
          <w:p w14:paraId="6513510E" w14:textId="77777777" w:rsidR="00303AF9" w:rsidRDefault="00303AF9" w:rsidP="00076B97">
            <w:pPr>
              <w:pStyle w:val="CETBodytext"/>
              <w:ind w:right="-1"/>
              <w:rPr>
                <w:rFonts w:cs="Arial"/>
                <w:szCs w:val="18"/>
                <w:lang w:val="en-GB"/>
              </w:rPr>
            </w:pPr>
            <w:r>
              <w:rPr>
                <w:rFonts w:cs="Arial"/>
                <w:szCs w:val="18"/>
                <w:lang w:val="en-GB"/>
              </w:rPr>
              <w:t>2</w:t>
            </w:r>
          </w:p>
          <w:p w14:paraId="31196911" w14:textId="77777777" w:rsidR="00303AF9" w:rsidRDefault="00303AF9" w:rsidP="00076B97">
            <w:pPr>
              <w:pStyle w:val="CETBodytext"/>
              <w:ind w:right="-1"/>
              <w:rPr>
                <w:rFonts w:cs="Arial"/>
                <w:szCs w:val="18"/>
                <w:lang w:val="en-GB"/>
              </w:rPr>
            </w:pPr>
            <w:r>
              <w:rPr>
                <w:rFonts w:cs="Arial"/>
                <w:szCs w:val="18"/>
                <w:lang w:val="en-GB"/>
              </w:rPr>
              <w:t>-</w:t>
            </w:r>
          </w:p>
          <w:p w14:paraId="36E088FE" w14:textId="77777777" w:rsidR="00303AF9" w:rsidRDefault="00303AF9" w:rsidP="00076B97">
            <w:pPr>
              <w:pStyle w:val="CETBodytext"/>
              <w:ind w:right="-1"/>
              <w:rPr>
                <w:rFonts w:cs="Arial"/>
                <w:szCs w:val="18"/>
                <w:lang w:val="en-GB"/>
              </w:rPr>
            </w:pPr>
            <w:r>
              <w:rPr>
                <w:rFonts w:cs="Arial"/>
                <w:szCs w:val="18"/>
                <w:lang w:val="en-GB"/>
              </w:rPr>
              <w:t>3</w:t>
            </w:r>
          </w:p>
          <w:p w14:paraId="5EF44D9D" w14:textId="77777777" w:rsidR="00303AF9" w:rsidRDefault="00303AF9" w:rsidP="00076B97">
            <w:pPr>
              <w:pStyle w:val="CETBodytext"/>
              <w:ind w:right="-1"/>
              <w:rPr>
                <w:rFonts w:cs="Arial"/>
                <w:szCs w:val="18"/>
                <w:lang w:val="en-GB"/>
              </w:rPr>
            </w:pPr>
            <w:r>
              <w:rPr>
                <w:rFonts w:cs="Arial"/>
                <w:szCs w:val="18"/>
                <w:lang w:val="en-GB"/>
              </w:rPr>
              <w:t>-</w:t>
            </w:r>
          </w:p>
          <w:p w14:paraId="5D527BF7" w14:textId="77777777" w:rsidR="00303AF9" w:rsidRDefault="00303AF9" w:rsidP="00076B97">
            <w:pPr>
              <w:pStyle w:val="CETBodytext"/>
              <w:ind w:right="-1"/>
              <w:rPr>
                <w:rFonts w:cs="Arial"/>
                <w:szCs w:val="18"/>
                <w:lang w:val="en-GB"/>
              </w:rPr>
            </w:pPr>
            <w:r>
              <w:rPr>
                <w:rFonts w:cs="Arial"/>
                <w:szCs w:val="18"/>
                <w:lang w:val="en-GB"/>
              </w:rPr>
              <w:t>2</w:t>
            </w:r>
          </w:p>
          <w:p w14:paraId="406A9D34" w14:textId="77777777" w:rsidR="00303AF9" w:rsidRPr="00B57B36" w:rsidRDefault="00303AF9" w:rsidP="00076B97">
            <w:pPr>
              <w:pStyle w:val="CETBodytext"/>
              <w:ind w:right="-1"/>
              <w:rPr>
                <w:rFonts w:cs="Arial"/>
                <w:szCs w:val="18"/>
                <w:lang w:val="en-GB"/>
              </w:rPr>
            </w:pPr>
            <w:r>
              <w:rPr>
                <w:rFonts w:cs="Arial"/>
                <w:szCs w:val="18"/>
                <w:lang w:val="en-GB"/>
              </w:rPr>
              <w:t>20</w:t>
            </w:r>
          </w:p>
        </w:tc>
        <w:tc>
          <w:tcPr>
            <w:tcW w:w="1134" w:type="dxa"/>
            <w:shd w:val="clear" w:color="auto" w:fill="FFFFFF"/>
          </w:tcPr>
          <w:p w14:paraId="551DB200" w14:textId="77777777" w:rsidR="00303AF9" w:rsidRDefault="00303AF9" w:rsidP="00076B97">
            <w:pPr>
              <w:pStyle w:val="CETBodytext"/>
              <w:ind w:right="-1"/>
              <w:rPr>
                <w:rFonts w:cs="Arial"/>
                <w:szCs w:val="18"/>
                <w:lang w:val="en-GB"/>
              </w:rPr>
            </w:pPr>
            <w:r>
              <w:rPr>
                <w:rFonts w:cs="Arial"/>
                <w:szCs w:val="18"/>
                <w:lang w:val="en-GB"/>
              </w:rPr>
              <w:t>8.3 / Spray</w:t>
            </w:r>
          </w:p>
          <w:p w14:paraId="6F42893B" w14:textId="77777777" w:rsidR="00303AF9" w:rsidRDefault="00303AF9" w:rsidP="00076B97">
            <w:pPr>
              <w:pStyle w:val="CETBodytext"/>
              <w:ind w:right="-1"/>
              <w:rPr>
                <w:rFonts w:cs="Arial"/>
                <w:szCs w:val="18"/>
                <w:lang w:val="en-GB"/>
              </w:rPr>
            </w:pPr>
            <w:r>
              <w:rPr>
                <w:rFonts w:cs="Arial"/>
                <w:szCs w:val="18"/>
                <w:lang w:val="en-GB"/>
              </w:rPr>
              <w:t>10.3 / Spray</w:t>
            </w:r>
          </w:p>
          <w:p w14:paraId="66979777" w14:textId="77777777" w:rsidR="00303AF9" w:rsidRDefault="00303AF9" w:rsidP="00076B97">
            <w:pPr>
              <w:pStyle w:val="CETBodytext"/>
              <w:ind w:right="-1"/>
              <w:rPr>
                <w:rFonts w:cs="Arial"/>
                <w:szCs w:val="18"/>
                <w:lang w:val="en-GB"/>
              </w:rPr>
            </w:pPr>
            <w:r>
              <w:rPr>
                <w:rFonts w:cs="Arial"/>
                <w:szCs w:val="18"/>
                <w:lang w:val="en-GB"/>
              </w:rPr>
              <w:t>7.2 / Mist</w:t>
            </w:r>
          </w:p>
          <w:p w14:paraId="609A93F5" w14:textId="77777777" w:rsidR="00303AF9" w:rsidRDefault="00303AF9" w:rsidP="00076B97">
            <w:pPr>
              <w:pStyle w:val="CETBodytext"/>
              <w:ind w:right="-1"/>
              <w:rPr>
                <w:rFonts w:cs="Arial"/>
                <w:szCs w:val="18"/>
                <w:lang w:val="en-GB"/>
              </w:rPr>
            </w:pPr>
            <w:r>
              <w:rPr>
                <w:rFonts w:cs="Arial"/>
                <w:szCs w:val="18"/>
                <w:lang w:val="en-GB"/>
              </w:rPr>
              <w:t>16.4 / Spray</w:t>
            </w:r>
          </w:p>
          <w:p w14:paraId="252B1524" w14:textId="77777777" w:rsidR="00303AF9" w:rsidRDefault="00303AF9" w:rsidP="00076B97">
            <w:pPr>
              <w:pStyle w:val="CETBodytext"/>
              <w:ind w:right="-1"/>
              <w:rPr>
                <w:rFonts w:cs="Arial"/>
                <w:szCs w:val="18"/>
                <w:lang w:val="en-GB"/>
              </w:rPr>
            </w:pPr>
            <w:r>
              <w:rPr>
                <w:rFonts w:cs="Arial"/>
                <w:szCs w:val="18"/>
                <w:lang w:val="en-GB"/>
              </w:rPr>
              <w:t>13.2/ Spray</w:t>
            </w:r>
          </w:p>
          <w:p w14:paraId="00D6D894" w14:textId="77777777" w:rsidR="00303AF9" w:rsidRPr="00B57B36" w:rsidRDefault="00303AF9" w:rsidP="00076B97">
            <w:pPr>
              <w:pStyle w:val="CETBodytext"/>
              <w:ind w:right="-1"/>
              <w:rPr>
                <w:rFonts w:cs="Arial"/>
                <w:szCs w:val="18"/>
                <w:lang w:val="en-GB"/>
              </w:rPr>
            </w:pPr>
            <w:r>
              <w:rPr>
                <w:rFonts w:cs="Arial"/>
                <w:szCs w:val="18"/>
                <w:lang w:val="en-GB"/>
              </w:rPr>
              <w:t>3.0 / Spray</w:t>
            </w:r>
          </w:p>
        </w:tc>
        <w:tc>
          <w:tcPr>
            <w:tcW w:w="1843" w:type="dxa"/>
            <w:shd w:val="clear" w:color="auto" w:fill="FFFFFF"/>
          </w:tcPr>
          <w:p w14:paraId="4D3F58B7" w14:textId="77777777" w:rsidR="00303AF9" w:rsidRPr="00CF62EF" w:rsidRDefault="00303AF9" w:rsidP="00076B97">
            <w:pPr>
              <w:pStyle w:val="CETBodytext"/>
              <w:ind w:right="-1"/>
              <w:rPr>
                <w:rFonts w:cs="Arial"/>
                <w:szCs w:val="18"/>
                <w:lang w:val="it-IT"/>
              </w:rPr>
            </w:pPr>
            <w:r w:rsidRPr="00CF62EF">
              <w:rPr>
                <w:rFonts w:cs="Arial"/>
                <w:szCs w:val="18"/>
                <w:lang w:val="it-IT"/>
              </w:rPr>
              <w:t>6-FO-E-2-SP</w:t>
            </w:r>
          </w:p>
          <w:p w14:paraId="123B521B" w14:textId="77777777" w:rsidR="00303AF9" w:rsidRPr="00CF62EF" w:rsidRDefault="00303AF9" w:rsidP="00076B97">
            <w:pPr>
              <w:pStyle w:val="CETBodytext"/>
              <w:ind w:right="-1"/>
              <w:rPr>
                <w:rFonts w:cs="Arial"/>
                <w:szCs w:val="18"/>
                <w:lang w:val="it-IT"/>
              </w:rPr>
            </w:pPr>
            <w:r w:rsidRPr="00CF62EF">
              <w:rPr>
                <w:rFonts w:cs="Arial"/>
                <w:szCs w:val="18"/>
                <w:lang w:val="it-IT"/>
              </w:rPr>
              <w:t>9-WA-M-0-SP</w:t>
            </w:r>
          </w:p>
          <w:p w14:paraId="08C98AC9" w14:textId="77777777" w:rsidR="00303AF9" w:rsidRPr="00CF62EF" w:rsidRDefault="00303AF9" w:rsidP="00076B97">
            <w:pPr>
              <w:pStyle w:val="CETBodytext"/>
              <w:ind w:right="-1"/>
              <w:rPr>
                <w:rFonts w:cs="Arial"/>
                <w:szCs w:val="18"/>
                <w:lang w:val="it-IT"/>
              </w:rPr>
            </w:pPr>
            <w:r w:rsidRPr="00CF62EF">
              <w:rPr>
                <w:rFonts w:cs="Arial"/>
                <w:szCs w:val="18"/>
                <w:lang w:val="it-IT"/>
              </w:rPr>
              <w:t>10-F5-H-3-MI</w:t>
            </w:r>
          </w:p>
          <w:p w14:paraId="36DE049B" w14:textId="77777777" w:rsidR="00303AF9" w:rsidRDefault="00303AF9" w:rsidP="00076B97">
            <w:pPr>
              <w:pStyle w:val="CETBodytext"/>
              <w:ind w:right="-1"/>
              <w:rPr>
                <w:rFonts w:cs="Arial"/>
                <w:szCs w:val="18"/>
                <w:lang w:val="en-GB"/>
              </w:rPr>
            </w:pPr>
            <w:r>
              <w:rPr>
                <w:rFonts w:cs="Arial"/>
                <w:szCs w:val="18"/>
                <w:lang w:val="en-GB"/>
              </w:rPr>
              <w:t>11-WA-E-0-SP</w:t>
            </w:r>
          </w:p>
          <w:p w14:paraId="7E638200" w14:textId="77777777" w:rsidR="00303AF9" w:rsidRDefault="00303AF9" w:rsidP="00076B97">
            <w:pPr>
              <w:pStyle w:val="CETBodytext"/>
              <w:ind w:right="-1"/>
              <w:rPr>
                <w:rFonts w:cs="Arial"/>
                <w:szCs w:val="18"/>
                <w:lang w:val="en-GB"/>
              </w:rPr>
            </w:pPr>
            <w:r>
              <w:rPr>
                <w:rFonts w:cs="Arial"/>
                <w:szCs w:val="18"/>
                <w:lang w:val="en-GB"/>
              </w:rPr>
              <w:t>12-F5-H-2-SP</w:t>
            </w:r>
          </w:p>
          <w:p w14:paraId="4A7F3615" w14:textId="77777777" w:rsidR="00303AF9" w:rsidRDefault="00303AF9" w:rsidP="00076B97">
            <w:pPr>
              <w:pStyle w:val="CETBodytext"/>
              <w:ind w:right="-1"/>
              <w:rPr>
                <w:rFonts w:cs="Arial"/>
                <w:szCs w:val="18"/>
                <w:lang w:val="en-GB"/>
              </w:rPr>
            </w:pPr>
            <w:r>
              <w:rPr>
                <w:rFonts w:cs="Arial"/>
                <w:szCs w:val="18"/>
                <w:lang w:val="en-GB"/>
              </w:rPr>
              <w:t>13-AV-L-20-SP</w:t>
            </w:r>
          </w:p>
        </w:tc>
      </w:tr>
    </w:tbl>
    <w:p w14:paraId="015CE3B8" w14:textId="77777777" w:rsidR="00CF62EF" w:rsidRDefault="005C1562" w:rsidP="005C1562">
      <w:pPr>
        <w:pStyle w:val="CETBodytext"/>
        <w:spacing w:before="240" w:line="240" w:lineRule="exact"/>
        <w:rPr>
          <w:lang w:val="en-GB"/>
        </w:rPr>
      </w:pPr>
      <w:r>
        <w:rPr>
          <w:lang w:val="en-GB"/>
        </w:rPr>
        <w:lastRenderedPageBreak/>
        <w:t>Test Code has been chosen with the following criterion:</w:t>
      </w:r>
    </w:p>
    <w:p w14:paraId="6398C376" w14:textId="7C402C65" w:rsidR="00CF62EF" w:rsidRDefault="005C1562" w:rsidP="005C1562">
      <w:pPr>
        <w:pStyle w:val="CETBodytext"/>
        <w:spacing w:line="240" w:lineRule="exact"/>
        <w:rPr>
          <w:lang w:val="en-GB"/>
        </w:rPr>
      </w:pPr>
      <w:r w:rsidRPr="005C1562">
        <w:rPr>
          <w:lang w:val="en-GB"/>
        </w:rPr>
        <w:t xml:space="preserve">Test ID Num - Extinguishing Agent - Extinguisher Supplier - Solute </w:t>
      </w:r>
      <w:r w:rsidR="00FB30E3">
        <w:rPr>
          <w:lang w:val="en-GB"/>
        </w:rPr>
        <w:t>Concentration</w:t>
      </w:r>
      <w:r w:rsidRPr="005C1562">
        <w:rPr>
          <w:lang w:val="en-GB"/>
        </w:rPr>
        <w:t xml:space="preserve"> (%) - Extinguisher Jet</w:t>
      </w:r>
    </w:p>
    <w:p w14:paraId="65CB1F93" w14:textId="2FEE099B" w:rsidR="00FB30E3" w:rsidRDefault="00FB30E3" w:rsidP="00FB30E3">
      <w:pPr>
        <w:pStyle w:val="CETBodytext"/>
        <w:spacing w:after="240" w:line="240" w:lineRule="exact"/>
      </w:pPr>
      <w:r>
        <w:t>A typical cell temperature profile for test where cooling is obtained by spray jet extinguishing agent is reported in Figure 2.</w:t>
      </w:r>
    </w:p>
    <w:p w14:paraId="66959FB6" w14:textId="77777777" w:rsidR="00FB30E3" w:rsidRDefault="00FB30E3" w:rsidP="00FB30E3">
      <w:pPr>
        <w:pStyle w:val="CETBodytext"/>
      </w:pPr>
      <w:r w:rsidRPr="00752137">
        <w:rPr>
          <w:noProof/>
        </w:rPr>
        <w:drawing>
          <wp:inline distT="0" distB="0" distL="0" distR="0" wp14:anchorId="11B9F17B" wp14:editId="2571A3B2">
            <wp:extent cx="3100472" cy="1915610"/>
            <wp:effectExtent l="0" t="0" r="0" b="0"/>
            <wp:docPr id="18920833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6454" cy="1919306"/>
                    </a:xfrm>
                    <a:prstGeom prst="rect">
                      <a:avLst/>
                    </a:prstGeom>
                    <a:noFill/>
                    <a:ln>
                      <a:noFill/>
                    </a:ln>
                  </pic:spPr>
                </pic:pic>
              </a:graphicData>
            </a:graphic>
          </wp:inline>
        </w:drawing>
      </w:r>
    </w:p>
    <w:p w14:paraId="151CECED" w14:textId="08B0D454" w:rsidR="00FB30E3" w:rsidRPr="00FB30E3" w:rsidRDefault="00FB30E3" w:rsidP="00FB30E3">
      <w:pPr>
        <w:pStyle w:val="CETCaption"/>
      </w:pPr>
      <w:r w:rsidRPr="00FB30E3">
        <w:t xml:space="preserve">Figure 2: Cell temperature profile for cooling by spray jet         </w:t>
      </w:r>
    </w:p>
    <w:p w14:paraId="768F79DB" w14:textId="77777777" w:rsidR="000B3342" w:rsidRDefault="000B3342" w:rsidP="000B3342">
      <w:pPr>
        <w:pStyle w:val="CETHeading1"/>
        <w:tabs>
          <w:tab w:val="clear" w:pos="360"/>
          <w:tab w:val="right" w:pos="7100"/>
        </w:tabs>
        <w:jc w:val="both"/>
        <w:rPr>
          <w:lang w:val="en-GB"/>
        </w:rPr>
      </w:pPr>
      <w:r>
        <w:rPr>
          <w:lang w:val="en-GB"/>
        </w:rPr>
        <w:t>Data Analysis</w:t>
      </w:r>
      <w:r w:rsidR="00663B15">
        <w:rPr>
          <w:lang w:val="en-GB"/>
        </w:rPr>
        <w:t>, Elaboration and Optimization M</w:t>
      </w:r>
      <w:r>
        <w:rPr>
          <w:lang w:val="en-GB"/>
        </w:rPr>
        <w:t xml:space="preserve">odel </w:t>
      </w:r>
    </w:p>
    <w:p w14:paraId="7942B2C0" w14:textId="77777777" w:rsidR="005B3D0A" w:rsidRPr="005B3D0A" w:rsidRDefault="0060026F" w:rsidP="00644392">
      <w:pPr>
        <w:pStyle w:val="CETheadingx"/>
      </w:pPr>
      <w:r>
        <w:t>Definition of the</w:t>
      </w:r>
      <w:r w:rsidR="005B3D0A" w:rsidRPr="005B3D0A">
        <w:t xml:space="preserve"> 3 parameters of the </w:t>
      </w:r>
      <w:r w:rsidR="00FB1B0F">
        <w:t>e</w:t>
      </w:r>
      <w:r w:rsidR="003E6C35">
        <w:t>fficiency</w:t>
      </w:r>
    </w:p>
    <w:p w14:paraId="0ED07B0C" w14:textId="77777777" w:rsidR="000B3342" w:rsidRDefault="000B3342" w:rsidP="000B3342">
      <w:pPr>
        <w:pStyle w:val="CETBodytext"/>
        <w:rPr>
          <w:lang w:val="en-GB"/>
        </w:rPr>
      </w:pPr>
      <w:r>
        <w:rPr>
          <w:lang w:val="en-GB"/>
        </w:rPr>
        <w:t xml:space="preserve">The data from </w:t>
      </w:r>
      <w:r w:rsidR="00FB1B0F">
        <w:rPr>
          <w:lang w:val="en-GB"/>
        </w:rPr>
        <w:t>t</w:t>
      </w:r>
      <w:r>
        <w:rPr>
          <w:lang w:val="en-GB"/>
        </w:rPr>
        <w:t xml:space="preserve">hermocouples </w:t>
      </w:r>
      <w:r w:rsidR="00E51D7F">
        <w:rPr>
          <w:lang w:val="en-GB"/>
        </w:rPr>
        <w:t xml:space="preserve">TC1 and TC3/TC5 </w:t>
      </w:r>
      <w:r>
        <w:rPr>
          <w:lang w:val="en-GB"/>
        </w:rPr>
        <w:t xml:space="preserve">have been elaborated to calculate 3 </w:t>
      </w:r>
      <w:r w:rsidR="00FB1B0F">
        <w:rPr>
          <w:lang w:val="en-GB"/>
        </w:rPr>
        <w:t>p</w:t>
      </w:r>
      <w:r>
        <w:rPr>
          <w:lang w:val="en-GB"/>
        </w:rPr>
        <w:t xml:space="preserve">arameters with which to describe and evaluate </w:t>
      </w:r>
      <w:r w:rsidR="00FB1B0F">
        <w:rPr>
          <w:lang w:val="en-GB"/>
        </w:rPr>
        <w:t>extinguishing e</w:t>
      </w:r>
      <w:r w:rsidR="003E6C35">
        <w:rPr>
          <w:lang w:val="en-GB"/>
        </w:rPr>
        <w:t>fficiency</w:t>
      </w:r>
      <w:r>
        <w:rPr>
          <w:lang w:val="en-GB"/>
        </w:rPr>
        <w:t xml:space="preserve"> </w:t>
      </w:r>
      <w:r w:rsidR="00FB1B0F">
        <w:rPr>
          <w:lang w:val="en-GB"/>
        </w:rPr>
        <w:t>for</w:t>
      </w:r>
      <w:r>
        <w:rPr>
          <w:lang w:val="en-GB"/>
        </w:rPr>
        <w:t xml:space="preserve"> each </w:t>
      </w:r>
      <w:r w:rsidR="00FB1B0F">
        <w:rPr>
          <w:lang w:val="en-GB"/>
        </w:rPr>
        <w:t>t</w:t>
      </w:r>
      <w:r>
        <w:rPr>
          <w:lang w:val="en-GB"/>
        </w:rPr>
        <w:t>est.</w:t>
      </w:r>
    </w:p>
    <w:p w14:paraId="6F0D223F" w14:textId="77777777" w:rsidR="000B3342" w:rsidRDefault="000B3342" w:rsidP="000B3342">
      <w:pPr>
        <w:pStyle w:val="CETBodytext"/>
        <w:rPr>
          <w:lang w:val="en-GB"/>
        </w:rPr>
      </w:pPr>
      <w:r>
        <w:rPr>
          <w:lang w:val="en-GB"/>
        </w:rPr>
        <w:t>These parameters are:</w:t>
      </w:r>
    </w:p>
    <w:p w14:paraId="65E7AF24" w14:textId="7D489D95" w:rsidR="000B3342" w:rsidRDefault="000B3342" w:rsidP="000B3342">
      <w:pPr>
        <w:pStyle w:val="CETBodytext"/>
        <w:numPr>
          <w:ilvl w:val="0"/>
          <w:numId w:val="24"/>
        </w:numPr>
        <w:rPr>
          <w:lang w:val="en-GB"/>
        </w:rPr>
      </w:pPr>
      <w:r w:rsidRPr="00E259A1">
        <w:rPr>
          <w:u w:val="single"/>
          <w:lang w:val="en-GB"/>
        </w:rPr>
        <w:t xml:space="preserve">Extinguishing </w:t>
      </w:r>
      <w:r w:rsidR="001A3146">
        <w:rPr>
          <w:u w:val="single"/>
          <w:lang w:val="en-GB"/>
        </w:rPr>
        <w:t>A</w:t>
      </w:r>
      <w:r w:rsidR="00FB1B0F">
        <w:rPr>
          <w:u w:val="single"/>
          <w:lang w:val="en-GB"/>
        </w:rPr>
        <w:t xml:space="preserve">gent </w:t>
      </w:r>
      <w:r w:rsidRPr="00E259A1">
        <w:rPr>
          <w:u w:val="single"/>
          <w:lang w:val="en-GB"/>
        </w:rPr>
        <w:t>Specific Quantity (</w:t>
      </w:r>
      <w:r>
        <w:rPr>
          <w:rFonts w:cs="Arial"/>
          <w:u w:val="single"/>
          <w:lang w:val="en-GB"/>
        </w:rPr>
        <w:t>Φ</w:t>
      </w:r>
      <w:r w:rsidRPr="00E259A1">
        <w:rPr>
          <w:u w:val="single"/>
          <w:lang w:val="en-GB"/>
        </w:rPr>
        <w:t>)</w:t>
      </w:r>
      <w:r>
        <w:rPr>
          <w:lang w:val="en-GB"/>
        </w:rPr>
        <w:t>: it describes the quantity</w:t>
      </w:r>
      <w:r w:rsidR="00636F6C">
        <w:rPr>
          <w:lang w:val="en-GB"/>
        </w:rPr>
        <w:t xml:space="preserve"> of </w:t>
      </w:r>
      <w:r w:rsidR="00FB1B0F">
        <w:rPr>
          <w:lang w:val="en-GB"/>
        </w:rPr>
        <w:t>e</w:t>
      </w:r>
      <w:r w:rsidR="00636F6C">
        <w:rPr>
          <w:lang w:val="en-GB"/>
        </w:rPr>
        <w:t xml:space="preserve">xtinguishing </w:t>
      </w:r>
      <w:r w:rsidR="00FB1B0F">
        <w:rPr>
          <w:lang w:val="en-GB"/>
        </w:rPr>
        <w:t>a</w:t>
      </w:r>
      <w:r>
        <w:rPr>
          <w:lang w:val="en-GB"/>
        </w:rPr>
        <w:t xml:space="preserve">gent used for </w:t>
      </w:r>
      <w:r w:rsidR="00FB1B0F">
        <w:rPr>
          <w:lang w:val="en-GB"/>
        </w:rPr>
        <w:t>extinguish</w:t>
      </w:r>
      <w:r w:rsidR="00673E44">
        <w:rPr>
          <w:lang w:val="en-GB"/>
        </w:rPr>
        <w:t>ing</w:t>
      </w:r>
      <w:r>
        <w:rPr>
          <w:lang w:val="en-GB"/>
        </w:rPr>
        <w:t xml:space="preserve"> the flame, normalized </w:t>
      </w:r>
      <w:r w:rsidR="00673E44">
        <w:rPr>
          <w:lang w:val="en-GB"/>
        </w:rPr>
        <w:t>by</w:t>
      </w:r>
      <w:r>
        <w:rPr>
          <w:lang w:val="en-GB"/>
        </w:rPr>
        <w:t xml:space="preserve"> the energy of the cell (L/kWh). It shows the </w:t>
      </w:r>
      <w:r w:rsidR="00FB1B0F">
        <w:rPr>
          <w:lang w:val="en-GB"/>
        </w:rPr>
        <w:t>e</w:t>
      </w:r>
      <w:r w:rsidR="00636F6C">
        <w:rPr>
          <w:lang w:val="en-GB"/>
        </w:rPr>
        <w:t xml:space="preserve">xtinction </w:t>
      </w:r>
      <w:r w:rsidR="00FB1B0F">
        <w:rPr>
          <w:lang w:val="en-GB"/>
        </w:rPr>
        <w:t>e</w:t>
      </w:r>
      <w:r w:rsidR="003E6C35">
        <w:rPr>
          <w:lang w:val="en-GB"/>
        </w:rPr>
        <w:t>fficiency</w:t>
      </w:r>
      <w:r>
        <w:rPr>
          <w:lang w:val="en-GB"/>
        </w:rPr>
        <w:t xml:space="preserve"> in terms </w:t>
      </w:r>
      <w:r w:rsidR="00636F6C">
        <w:rPr>
          <w:lang w:val="en-GB"/>
        </w:rPr>
        <w:t xml:space="preserve">of </w:t>
      </w:r>
      <w:r w:rsidR="00FB1B0F">
        <w:rPr>
          <w:lang w:val="en-GB"/>
        </w:rPr>
        <w:t xml:space="preserve">the </w:t>
      </w:r>
      <w:r w:rsidR="00636F6C">
        <w:rPr>
          <w:lang w:val="en-GB"/>
        </w:rPr>
        <w:t>quantity</w:t>
      </w:r>
      <w:r w:rsidR="00FB1B0F">
        <w:rPr>
          <w:lang w:val="en-GB"/>
        </w:rPr>
        <w:t xml:space="preserve"> of agent required</w:t>
      </w:r>
      <w:r w:rsidR="00636F6C">
        <w:rPr>
          <w:lang w:val="en-GB"/>
        </w:rPr>
        <w:t>.</w:t>
      </w:r>
    </w:p>
    <w:p w14:paraId="0436D36B" w14:textId="77777777" w:rsidR="000B3342" w:rsidRDefault="000B3342" w:rsidP="000B3342">
      <w:pPr>
        <w:pStyle w:val="CETBodytext"/>
        <w:numPr>
          <w:ilvl w:val="0"/>
          <w:numId w:val="24"/>
        </w:numPr>
        <w:rPr>
          <w:lang w:val="en-GB"/>
        </w:rPr>
      </w:pPr>
      <w:r w:rsidRPr="00E259A1">
        <w:rPr>
          <w:u w:val="single"/>
          <w:lang w:val="en-GB"/>
        </w:rPr>
        <w:t xml:space="preserve">Temperature </w:t>
      </w:r>
      <w:r w:rsidR="00280B40">
        <w:rPr>
          <w:u w:val="single"/>
          <w:lang w:val="en-GB"/>
        </w:rPr>
        <w:t>Derivative</w:t>
      </w:r>
      <w:r w:rsidR="00280B40" w:rsidRPr="00E259A1">
        <w:rPr>
          <w:u w:val="single"/>
          <w:lang w:val="en-GB"/>
        </w:rPr>
        <w:t xml:space="preserve"> </w:t>
      </w:r>
      <w:r w:rsidR="00636F6C">
        <w:rPr>
          <w:u w:val="single"/>
          <w:lang w:val="en-GB"/>
        </w:rPr>
        <w:t>of Extinction phase</w:t>
      </w:r>
      <w:r w:rsidRPr="00E259A1">
        <w:rPr>
          <w:u w:val="single"/>
          <w:lang w:val="en-GB"/>
        </w:rPr>
        <w:t xml:space="preserve"> (</w:t>
      </w:r>
      <w:r>
        <w:rPr>
          <w:rFonts w:cs="Arial"/>
          <w:u w:val="single"/>
          <w:lang w:val="en-GB"/>
        </w:rPr>
        <w:t>Δ</w:t>
      </w:r>
      <w:r w:rsidRPr="00E259A1">
        <w:rPr>
          <w:u w:val="single"/>
          <w:lang w:val="en-GB"/>
        </w:rPr>
        <w:t>)</w:t>
      </w:r>
      <w:r w:rsidR="00636F6C">
        <w:rPr>
          <w:lang w:val="en-GB"/>
        </w:rPr>
        <w:t xml:space="preserve">: it describes the </w:t>
      </w:r>
      <w:r w:rsidR="001A3146">
        <w:rPr>
          <w:lang w:val="en-GB"/>
        </w:rPr>
        <w:t>a</w:t>
      </w:r>
      <w:r>
        <w:rPr>
          <w:lang w:val="en-GB"/>
        </w:rPr>
        <w:t xml:space="preserve">verage </w:t>
      </w:r>
      <w:r w:rsidR="001A3146">
        <w:rPr>
          <w:lang w:val="en-GB"/>
        </w:rPr>
        <w:t>t</w:t>
      </w:r>
      <w:r>
        <w:rPr>
          <w:lang w:val="en-GB"/>
        </w:rPr>
        <w:t xml:space="preserve">emperature </w:t>
      </w:r>
      <w:r w:rsidR="001A3146">
        <w:rPr>
          <w:lang w:val="en-GB"/>
        </w:rPr>
        <w:t>d</w:t>
      </w:r>
      <w:r w:rsidR="00280B40">
        <w:rPr>
          <w:lang w:val="en-GB"/>
        </w:rPr>
        <w:t xml:space="preserve">erivative </w:t>
      </w:r>
      <w:r>
        <w:rPr>
          <w:lang w:val="en-GB"/>
        </w:rPr>
        <w:t xml:space="preserve">(°C/sec) of the cell calculated over the whole range of the </w:t>
      </w:r>
      <w:r w:rsidR="001A3146">
        <w:rPr>
          <w:lang w:val="en-GB"/>
        </w:rPr>
        <w:t>a</w:t>
      </w:r>
      <w:r w:rsidR="00636F6C">
        <w:rPr>
          <w:lang w:val="en-GB"/>
        </w:rPr>
        <w:t xml:space="preserve">gent </w:t>
      </w:r>
      <w:r w:rsidR="001A3146">
        <w:rPr>
          <w:lang w:val="en-GB"/>
        </w:rPr>
        <w:t>s</w:t>
      </w:r>
      <w:r w:rsidR="00636F6C">
        <w:rPr>
          <w:lang w:val="en-GB"/>
        </w:rPr>
        <w:t>upply</w:t>
      </w:r>
      <w:r w:rsidR="001A3146">
        <w:rPr>
          <w:lang w:val="en-GB"/>
        </w:rPr>
        <w:t xml:space="preserve"> phase</w:t>
      </w:r>
      <w:r w:rsidR="00636F6C">
        <w:rPr>
          <w:lang w:val="en-GB"/>
        </w:rPr>
        <w:t xml:space="preserve"> and the subsequent decay. It shows the </w:t>
      </w:r>
      <w:r w:rsidR="001A3146">
        <w:rPr>
          <w:lang w:val="en-GB"/>
        </w:rPr>
        <w:t>e</w:t>
      </w:r>
      <w:r w:rsidR="00636F6C">
        <w:rPr>
          <w:lang w:val="en-GB"/>
        </w:rPr>
        <w:t xml:space="preserve">xtinction </w:t>
      </w:r>
      <w:r w:rsidR="001A3146">
        <w:rPr>
          <w:lang w:val="en-GB"/>
        </w:rPr>
        <w:t>e</w:t>
      </w:r>
      <w:r w:rsidR="003E6C35">
        <w:rPr>
          <w:lang w:val="en-GB"/>
        </w:rPr>
        <w:t>fficiency</w:t>
      </w:r>
      <w:r>
        <w:rPr>
          <w:lang w:val="en-GB"/>
        </w:rPr>
        <w:t xml:space="preserve"> in terms of cooling.</w:t>
      </w:r>
    </w:p>
    <w:p w14:paraId="46597375" w14:textId="77777777" w:rsidR="000B3342" w:rsidRDefault="009E2B8B" w:rsidP="000B3342">
      <w:pPr>
        <w:pStyle w:val="CETBodytext"/>
        <w:numPr>
          <w:ilvl w:val="0"/>
          <w:numId w:val="24"/>
        </w:numPr>
        <w:rPr>
          <w:lang w:val="en-GB"/>
        </w:rPr>
      </w:pPr>
      <w:r>
        <w:rPr>
          <w:u w:val="single"/>
          <w:lang w:val="en-GB"/>
        </w:rPr>
        <w:t>Duration of the Extinction p</w:t>
      </w:r>
      <w:r w:rsidR="000B3342" w:rsidRPr="003D226C">
        <w:rPr>
          <w:u w:val="single"/>
          <w:lang w:val="en-GB"/>
        </w:rPr>
        <w:t>hase (</w:t>
      </w:r>
      <w:r w:rsidR="000B3342" w:rsidRPr="003D226C">
        <w:rPr>
          <w:rFonts w:cs="Arial"/>
          <w:u w:val="single"/>
          <w:lang w:val="en-GB"/>
        </w:rPr>
        <w:t>Ω</w:t>
      </w:r>
      <w:r w:rsidR="000B3342" w:rsidRPr="003D226C">
        <w:rPr>
          <w:u w:val="single"/>
          <w:lang w:val="en-GB"/>
        </w:rPr>
        <w:t>)</w:t>
      </w:r>
      <w:r w:rsidR="000B3342">
        <w:rPr>
          <w:lang w:val="en-GB"/>
        </w:rPr>
        <w:t xml:space="preserve">: it describes the Duration of </w:t>
      </w:r>
      <w:r>
        <w:rPr>
          <w:lang w:val="en-GB"/>
        </w:rPr>
        <w:t>the E</w:t>
      </w:r>
      <w:r w:rsidR="000B3342">
        <w:rPr>
          <w:lang w:val="en-GB"/>
        </w:rPr>
        <w:t xml:space="preserve">xtinction phase (sec). It shows the </w:t>
      </w:r>
      <w:r w:rsidR="003E6C35">
        <w:rPr>
          <w:lang w:val="en-GB"/>
        </w:rPr>
        <w:t>efficiency</w:t>
      </w:r>
      <w:r w:rsidR="000B3342">
        <w:rPr>
          <w:lang w:val="en-GB"/>
        </w:rPr>
        <w:t xml:space="preserve"> in terms of timing.</w:t>
      </w:r>
    </w:p>
    <w:p w14:paraId="70AF2332" w14:textId="2DE56930" w:rsidR="009234E1" w:rsidRDefault="00EF08DA" w:rsidP="003412A5">
      <w:pPr>
        <w:pStyle w:val="CETBodytext"/>
        <w:rPr>
          <w:lang w:val="en-GB"/>
        </w:rPr>
      </w:pPr>
      <w:r>
        <w:rPr>
          <w:rFonts w:cs="Arial"/>
          <w:lang w:val="en-GB"/>
        </w:rPr>
        <w:t xml:space="preserve">The parameter </w:t>
      </w:r>
      <w:r w:rsidR="009234E1">
        <w:rPr>
          <w:rFonts w:cs="Arial"/>
          <w:lang w:val="en-GB"/>
        </w:rPr>
        <w:t xml:space="preserve">Φ is calculated as </w:t>
      </w:r>
      <w:r w:rsidR="00D027DE">
        <w:rPr>
          <w:rFonts w:cs="Arial"/>
          <w:lang w:val="en-GB"/>
        </w:rPr>
        <w:t>shown in Eq</w:t>
      </w:r>
      <w:r w:rsidR="000D7EB7">
        <w:rPr>
          <w:rFonts w:cs="Arial"/>
          <w:lang w:val="en-GB"/>
        </w:rPr>
        <w:t>uation</w:t>
      </w:r>
      <w:r w:rsidR="00D027DE">
        <w:rPr>
          <w:rFonts w:cs="Arial"/>
          <w:lang w:val="en-GB"/>
        </w:rPr>
        <w:t xml:space="preserve"> 1</w:t>
      </w:r>
      <w:r w:rsidR="009234E1">
        <w:rPr>
          <w:rFonts w:cs="Arial"/>
          <w:lang w:val="en-GB"/>
        </w:rPr>
        <w:t>:</w:t>
      </w:r>
    </w:p>
    <w:p w14:paraId="09E63140" w14:textId="77777777" w:rsidR="009234E1" w:rsidRDefault="009234E1" w:rsidP="000D59AD">
      <w:pPr>
        <w:pStyle w:val="CETEquation"/>
      </w:pPr>
      <m:oMath>
        <m:r>
          <w:rPr>
            <w:rFonts w:ascii="Cambria Math" w:hAnsi="Cambria Math"/>
          </w:rPr>
          <m:t>Φ</m:t>
        </m:r>
        <m:r>
          <m:rPr>
            <m:sty m:val="p"/>
          </m:rPr>
          <w:rPr>
            <w:rFonts w:ascii="Cambria Math" w:hAnsi="Cambria Math"/>
          </w:rPr>
          <m:t>=(</m:t>
        </m:r>
        <m:sSubSup>
          <m:sSubSupPr>
            <m:ctrlPr>
              <w:rPr>
                <w:rFonts w:ascii="Cambria Math" w:hAnsi="Cambria Math"/>
              </w:rPr>
            </m:ctrlPr>
          </m:sSubSupPr>
          <m:e>
            <m:r>
              <w:rPr>
                <w:rFonts w:ascii="Cambria Math" w:hAnsi="Cambria Math"/>
              </w:rPr>
              <m:t>m</m:t>
            </m:r>
          </m:e>
          <m:sub>
            <m:r>
              <w:rPr>
                <w:rFonts w:ascii="Cambria Math" w:hAnsi="Cambria Math"/>
              </w:rPr>
              <m:t>EXT</m:t>
            </m:r>
          </m:sub>
          <m:sup>
            <m:r>
              <w:rPr>
                <w:rFonts w:ascii="Cambria Math" w:hAnsi="Cambria Math"/>
              </w:rPr>
              <m:t>START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m</m:t>
            </m:r>
          </m:e>
          <m:sub>
            <m:r>
              <w:rPr>
                <w:rFonts w:ascii="Cambria Math" w:hAnsi="Cambria Math"/>
              </w:rPr>
              <m:t>EXT</m:t>
            </m:r>
          </m:sub>
          <m:sup>
            <m:r>
              <w:rPr>
                <w:rFonts w:ascii="Cambria Math" w:hAnsi="Cambria Math"/>
              </w:rPr>
              <m:t>END</m:t>
            </m:r>
          </m:sup>
        </m:sSubSup>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EXT</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m:t>
                </m:r>
              </m:e>
              <m:sub>
                <m:r>
                  <w:rPr>
                    <w:rFonts w:ascii="Cambria Math" w:hAnsi="Cambria Math"/>
                  </w:rPr>
                  <m:t>CELL</m:t>
                </m:r>
              </m:sub>
            </m:sSub>
          </m:den>
        </m:f>
      </m:oMath>
      <w:r>
        <w:tab/>
      </w:r>
      <w:r>
        <w:tab/>
        <w:t>(1)</w:t>
      </w:r>
    </w:p>
    <w:p w14:paraId="5EFC0FEE" w14:textId="003B519F" w:rsidR="00DB0D46" w:rsidRDefault="009234E1" w:rsidP="003412A5">
      <w:pPr>
        <w:pStyle w:val="CETBodytext"/>
        <w:rPr>
          <w:lang w:val="en-GB"/>
        </w:rPr>
      </w:pPr>
      <w:r>
        <w:rPr>
          <w:lang w:val="en-GB"/>
        </w:rPr>
        <w:t>Where m</w:t>
      </w:r>
      <w:r w:rsidRPr="009234E1">
        <w:rPr>
          <w:vertAlign w:val="subscript"/>
          <w:lang w:val="en-GB"/>
        </w:rPr>
        <w:t>EXT</w:t>
      </w:r>
      <w:r w:rsidR="00DB3B1F" w:rsidRPr="00DB3B1F">
        <w:rPr>
          <w:vertAlign w:val="superscript"/>
          <w:lang w:val="en-GB"/>
        </w:rPr>
        <w:t>START</w:t>
      </w:r>
      <w:r>
        <w:rPr>
          <w:lang w:val="en-GB"/>
        </w:rPr>
        <w:t xml:space="preserve"> </w:t>
      </w:r>
      <w:r w:rsidR="00DB3B1F">
        <w:rPr>
          <w:lang w:val="en-GB"/>
        </w:rPr>
        <w:t>and m</w:t>
      </w:r>
      <w:r w:rsidR="00DB3B1F" w:rsidRPr="009234E1">
        <w:rPr>
          <w:vertAlign w:val="subscript"/>
          <w:lang w:val="en-GB"/>
        </w:rPr>
        <w:t>EXT</w:t>
      </w:r>
      <w:r w:rsidR="00DB3B1F">
        <w:rPr>
          <w:vertAlign w:val="superscript"/>
          <w:lang w:val="en-GB"/>
        </w:rPr>
        <w:t>END</w:t>
      </w:r>
      <w:r w:rsidR="00DB3B1F">
        <w:rPr>
          <w:lang w:val="en-GB"/>
        </w:rPr>
        <w:t xml:space="preserve"> is</w:t>
      </w:r>
      <w:r>
        <w:rPr>
          <w:lang w:val="en-GB"/>
        </w:rPr>
        <w:t xml:space="preserve"> the extinguisher wei</w:t>
      </w:r>
      <w:r w:rsidR="00965BD4">
        <w:rPr>
          <w:lang w:val="en-GB"/>
        </w:rPr>
        <w:t>ght before</w:t>
      </w:r>
      <w:r w:rsidR="00DB3B1F">
        <w:rPr>
          <w:lang w:val="en-GB"/>
        </w:rPr>
        <w:t xml:space="preserve"> and after the </w:t>
      </w:r>
      <w:r w:rsidR="00D027DE">
        <w:rPr>
          <w:lang w:val="en-GB"/>
        </w:rPr>
        <w:t>s</w:t>
      </w:r>
      <w:r w:rsidR="00DB3B1F">
        <w:rPr>
          <w:lang w:val="en-GB"/>
        </w:rPr>
        <w:t>upply</w:t>
      </w:r>
      <w:r w:rsidR="0080726D">
        <w:rPr>
          <w:lang w:val="en-GB"/>
        </w:rPr>
        <w:t xml:space="preserve">, </w:t>
      </w:r>
      <w:r w:rsidR="0080726D">
        <w:rPr>
          <w:rFonts w:cs="Arial"/>
          <w:lang w:val="en-GB"/>
        </w:rPr>
        <w:t>ρ</w:t>
      </w:r>
      <w:r w:rsidR="0080726D" w:rsidRPr="0080726D">
        <w:rPr>
          <w:vertAlign w:val="subscript"/>
          <w:lang w:val="en-GB"/>
        </w:rPr>
        <w:t>EXT</w:t>
      </w:r>
      <w:r w:rsidR="0080726D">
        <w:rPr>
          <w:lang w:val="en-GB"/>
        </w:rPr>
        <w:t xml:space="preserve"> is the density of the </w:t>
      </w:r>
      <w:r w:rsidR="000D7EB7">
        <w:rPr>
          <w:lang w:val="en-GB"/>
        </w:rPr>
        <w:t>e</w:t>
      </w:r>
      <w:r w:rsidR="0080726D">
        <w:rPr>
          <w:lang w:val="en-GB"/>
        </w:rPr>
        <w:t xml:space="preserve">xtinguishing </w:t>
      </w:r>
      <w:r w:rsidR="000D7EB7">
        <w:rPr>
          <w:lang w:val="en-GB"/>
        </w:rPr>
        <w:t>a</w:t>
      </w:r>
      <w:r w:rsidR="0080726D">
        <w:rPr>
          <w:lang w:val="en-GB"/>
        </w:rPr>
        <w:t>gent</w:t>
      </w:r>
      <w:r w:rsidR="00965BD4">
        <w:rPr>
          <w:lang w:val="en-GB"/>
        </w:rPr>
        <w:t xml:space="preserve"> and E</w:t>
      </w:r>
      <w:r w:rsidR="00965BD4" w:rsidRPr="00965BD4">
        <w:rPr>
          <w:vertAlign w:val="subscript"/>
          <w:lang w:val="en-GB"/>
        </w:rPr>
        <w:t>CELL</w:t>
      </w:r>
      <w:r w:rsidR="00DB3B1F">
        <w:rPr>
          <w:lang w:val="en-GB"/>
        </w:rPr>
        <w:t xml:space="preserve"> is the </w:t>
      </w:r>
      <w:r w:rsidR="000D7EB7">
        <w:rPr>
          <w:lang w:val="en-GB"/>
        </w:rPr>
        <w:t>e</w:t>
      </w:r>
      <w:r w:rsidR="00DB3B1F">
        <w:rPr>
          <w:lang w:val="en-GB"/>
        </w:rPr>
        <w:t xml:space="preserve">nergy of the </w:t>
      </w:r>
      <w:r w:rsidR="00673E44">
        <w:rPr>
          <w:lang w:val="en-GB"/>
        </w:rPr>
        <w:t>cell</w:t>
      </w:r>
      <w:r w:rsidR="00965BD4">
        <w:rPr>
          <w:lang w:val="en-GB"/>
        </w:rPr>
        <w:t>.</w:t>
      </w:r>
      <w:r w:rsidR="007C77BB">
        <w:rPr>
          <w:lang w:val="en-GB"/>
        </w:rPr>
        <w:t xml:space="preserve"> </w:t>
      </w:r>
      <w:r w:rsidR="003D226C">
        <w:rPr>
          <w:lang w:val="en-GB"/>
        </w:rPr>
        <w:t xml:space="preserve">The parameter </w:t>
      </w:r>
      <w:r w:rsidR="003D226C">
        <w:rPr>
          <w:rFonts w:cs="Arial"/>
          <w:lang w:val="en-GB"/>
        </w:rPr>
        <w:t>Δ</w:t>
      </w:r>
      <w:r w:rsidR="003D226C">
        <w:rPr>
          <w:lang w:val="en-GB"/>
        </w:rPr>
        <w:t xml:space="preserve"> is calculated </w:t>
      </w:r>
      <w:r w:rsidR="00DB0D46">
        <w:rPr>
          <w:lang w:val="en-GB"/>
        </w:rPr>
        <w:t xml:space="preserve">as the </w:t>
      </w:r>
      <w:r w:rsidR="000F62CF">
        <w:rPr>
          <w:lang w:val="en-GB"/>
        </w:rPr>
        <w:t xml:space="preserve">arithmetic </w:t>
      </w:r>
      <w:r w:rsidR="00DB0D46">
        <w:rPr>
          <w:lang w:val="en-GB"/>
        </w:rPr>
        <w:t xml:space="preserve">average </w:t>
      </w:r>
      <w:r w:rsidR="00D90534">
        <w:rPr>
          <w:lang w:val="en-GB"/>
        </w:rPr>
        <w:t xml:space="preserve">between </w:t>
      </w:r>
      <w:r w:rsidR="000F62CF">
        <w:rPr>
          <w:lang w:val="en-GB"/>
        </w:rPr>
        <w:t xml:space="preserve">the </w:t>
      </w:r>
      <w:r w:rsidR="00622527">
        <w:rPr>
          <w:lang w:val="en-GB"/>
        </w:rPr>
        <w:t>a</w:t>
      </w:r>
      <w:r w:rsidR="000F62CF">
        <w:rPr>
          <w:lang w:val="en-GB"/>
        </w:rPr>
        <w:t xml:space="preserve">verage </w:t>
      </w:r>
      <w:r w:rsidR="00622527">
        <w:rPr>
          <w:lang w:val="en-GB"/>
        </w:rPr>
        <w:t>t</w:t>
      </w:r>
      <w:r w:rsidR="000F62CF">
        <w:rPr>
          <w:lang w:val="en-GB"/>
        </w:rPr>
        <w:t>emperature</w:t>
      </w:r>
      <w:r w:rsidR="009E2B8B" w:rsidRPr="009E2B8B">
        <w:rPr>
          <w:lang w:val="en-GB"/>
        </w:rPr>
        <w:t xml:space="preserve"> </w:t>
      </w:r>
      <w:r w:rsidR="00622527">
        <w:rPr>
          <w:lang w:val="en-GB"/>
        </w:rPr>
        <w:t>d</w:t>
      </w:r>
      <w:r w:rsidR="009E2B8B">
        <w:rPr>
          <w:lang w:val="en-GB"/>
        </w:rPr>
        <w:t>erivative</w:t>
      </w:r>
      <w:r w:rsidR="000F62CF">
        <w:rPr>
          <w:lang w:val="en-GB"/>
        </w:rPr>
        <w:t xml:space="preserve"> of </w:t>
      </w:r>
      <w:r w:rsidR="00D90534">
        <w:rPr>
          <w:lang w:val="en-GB"/>
        </w:rPr>
        <w:t>TC1 and TC3 (or TC5)</w:t>
      </w:r>
      <w:r w:rsidR="001A04BD">
        <w:rPr>
          <w:lang w:val="en-GB"/>
        </w:rPr>
        <w:t xml:space="preserve"> over the whole </w:t>
      </w:r>
      <w:r w:rsidR="00673E44">
        <w:rPr>
          <w:lang w:val="en-GB"/>
        </w:rPr>
        <w:t xml:space="preserve">test </w:t>
      </w:r>
      <w:r w:rsidR="001A04BD">
        <w:rPr>
          <w:lang w:val="en-GB"/>
        </w:rPr>
        <w:t>range</w:t>
      </w:r>
      <w:r w:rsidR="00DB0D46">
        <w:rPr>
          <w:lang w:val="en-GB"/>
        </w:rPr>
        <w:t xml:space="preserve">, </w:t>
      </w:r>
      <w:r w:rsidR="000D7EB7">
        <w:rPr>
          <w:lang w:val="en-GB"/>
        </w:rPr>
        <w:t>according to</w:t>
      </w:r>
      <w:r w:rsidR="00DB0D46">
        <w:rPr>
          <w:lang w:val="en-GB"/>
        </w:rPr>
        <w:t xml:space="preserve"> the following equation</w:t>
      </w:r>
      <w:r w:rsidR="00D027DE">
        <w:rPr>
          <w:lang w:val="en-GB"/>
        </w:rPr>
        <w:t xml:space="preserve"> 2</w:t>
      </w:r>
      <w:r w:rsidR="00DB0D46">
        <w:rPr>
          <w:lang w:val="en-GB"/>
        </w:rPr>
        <w:t>:</w:t>
      </w:r>
    </w:p>
    <w:p w14:paraId="06FC19B2" w14:textId="77777777" w:rsidR="00DB0D46" w:rsidRPr="005F7E25" w:rsidRDefault="00DB0D46" w:rsidP="000D59AD">
      <w:pPr>
        <w:pStyle w:val="CETEquation"/>
        <w:rPr>
          <w:rFonts w:cs="Arial"/>
          <w:color w:val="202124"/>
          <w:szCs w:val="18"/>
          <w:lang w:val="en-US" w:eastAsia="it-IT"/>
        </w:rPr>
      </w:pPr>
      <m:oMath>
        <m:r>
          <w:rPr>
            <w:rFonts w:ascii="Cambria Math" w:hAnsi="Cambria Math"/>
          </w:rPr>
          <m:t>Δ</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k</m:t>
            </m:r>
            <m:r>
              <m:rPr>
                <m:sty m:val="p"/>
              </m:rPr>
              <w:rPr>
                <w:rFonts w:ascii="Cambria Math" w:hAnsi="Cambria Math"/>
              </w:rPr>
              <m:t>=</m:t>
            </m:r>
            <m:r>
              <w:rPr>
                <w:rFonts w:ascii="Cambria Math" w:hAnsi="Cambria Math"/>
              </w:rPr>
              <m:t>K</m:t>
            </m:r>
          </m:sup>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dT</m:t>
                        </m:r>
                      </m:e>
                      <m:sub>
                        <m:r>
                          <w:rPr>
                            <w:rFonts w:ascii="Cambria Math" w:hAnsi="Cambria Math"/>
                          </w:rPr>
                          <m:t>k</m:t>
                        </m:r>
                      </m:sub>
                      <m:sup>
                        <m:r>
                          <w:rPr>
                            <w:rFonts w:ascii="Cambria Math" w:hAnsi="Cambria Math"/>
                          </w:rPr>
                          <m:t>TC</m:t>
                        </m:r>
                        <m:r>
                          <m:rPr>
                            <m:sty m:val="p"/>
                          </m:rPr>
                          <w:rPr>
                            <w:rFonts w:ascii="Cambria Math" w:hAnsi="Cambria Math"/>
                          </w:rPr>
                          <m:t>1</m:t>
                        </m:r>
                      </m:sup>
                    </m:sSubSup>
                  </m:num>
                  <m:den>
                    <m:r>
                      <w:rPr>
                        <w:rFonts w:ascii="Cambria Math" w:hAnsi="Cambria Math"/>
                      </w:rPr>
                      <m:t>dt</m:t>
                    </m:r>
                  </m:den>
                </m:f>
              </m:e>
            </m:d>
          </m:e>
        </m:nary>
        <m:r>
          <m:rPr>
            <m:sty m:val="p"/>
          </m:rPr>
          <w:rPr>
            <w:rFonts w:ascii="Cambria Math" w:hAnsi="Cambria Math"/>
          </w:rPr>
          <m:t>/</m:t>
        </m:r>
        <m:r>
          <w:rPr>
            <w:rFonts w:ascii="Cambria Math" w:hAnsi="Cambria Math"/>
          </w:rPr>
          <m:t>K</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k</m:t>
            </m:r>
            <m:r>
              <m:rPr>
                <m:sty m:val="p"/>
              </m:rPr>
              <w:rPr>
                <w:rFonts w:ascii="Cambria Math" w:hAnsi="Cambria Math"/>
              </w:rPr>
              <m:t>=</m:t>
            </m:r>
            <m:r>
              <w:rPr>
                <w:rFonts w:ascii="Cambria Math" w:hAnsi="Cambria Math"/>
              </w:rPr>
              <m:t>K</m:t>
            </m:r>
          </m:sup>
          <m:e>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dT</m:t>
                    </m:r>
                  </m:e>
                  <m:sub>
                    <m:r>
                      <w:rPr>
                        <w:rFonts w:ascii="Cambria Math" w:hAnsi="Cambria Math"/>
                      </w:rPr>
                      <m:t>k</m:t>
                    </m:r>
                  </m:sub>
                  <m:sup>
                    <m:r>
                      <w:rPr>
                        <w:rFonts w:ascii="Cambria Math" w:hAnsi="Cambria Math"/>
                      </w:rPr>
                      <m:t>TC</m:t>
                    </m:r>
                    <m:r>
                      <m:rPr>
                        <m:sty m:val="p"/>
                      </m:rPr>
                      <w:rPr>
                        <w:rFonts w:ascii="Cambria Math" w:hAnsi="Cambria Math"/>
                      </w:rPr>
                      <m:t>3</m:t>
                    </m:r>
                  </m:sup>
                </m:sSubSup>
              </m:num>
              <m:den>
                <m:r>
                  <w:rPr>
                    <w:rFonts w:ascii="Cambria Math" w:hAnsi="Cambria Math"/>
                  </w:rPr>
                  <m:t>dt</m:t>
                </m:r>
              </m:den>
            </m:f>
            <m:r>
              <m:rPr>
                <m:sty m:val="p"/>
              </m:rPr>
              <w:rPr>
                <w:rFonts w:ascii="Cambria Math" w:hAnsi="Cambria Math"/>
              </w:rPr>
              <m:t>)/</m:t>
            </m:r>
            <m:r>
              <w:rPr>
                <w:rFonts w:ascii="Cambria Math" w:hAnsi="Cambria Math"/>
              </w:rPr>
              <m:t>K</m:t>
            </m:r>
          </m:e>
        </m:nary>
        <m:r>
          <m:rPr>
            <m:sty m:val="p"/>
          </m:rPr>
          <w:rPr>
            <w:rFonts w:ascii="Cambria Math" w:hAnsi="Cambria Math"/>
          </w:rPr>
          <m:t xml:space="preserve"> )/2</m:t>
        </m:r>
      </m:oMath>
      <w:r w:rsidR="00D90534">
        <w:t xml:space="preserve"> </w:t>
      </w:r>
      <w:r w:rsidR="00301338">
        <w:t xml:space="preserve">   </w:t>
      </w:r>
      <w:r w:rsidR="00D90534">
        <w:t xml:space="preserve">, </w:t>
      </w:r>
      <w:r w:rsidR="005F7E25">
        <w:t>for each</w:t>
      </w:r>
      <w:r w:rsidR="00301338">
        <w:t xml:space="preserve"> k=</w:t>
      </w:r>
      <w:r w:rsidR="00A01089">
        <w:t>sampling time</w:t>
      </w:r>
      <w:r w:rsidR="00D90534" w:rsidRPr="00D90534">
        <w:t xml:space="preserve"> </w:t>
      </w:r>
      <w:r w:rsidR="00D90534" w:rsidRPr="005F7E25">
        <w:rPr>
          <w:rFonts w:ascii="Cambria Math" w:hAnsi="Cambria Math" w:cs="Cambria Math"/>
          <w:bCs/>
          <w:color w:val="202124"/>
          <w:szCs w:val="18"/>
          <w:lang w:val="en-US" w:eastAsia="it-IT"/>
        </w:rPr>
        <w:t>∈</w:t>
      </w:r>
      <w:r w:rsidR="00D90534" w:rsidRPr="005F7E25">
        <w:rPr>
          <w:rFonts w:cs="Cambria Math"/>
          <w:bCs/>
          <w:color w:val="202124"/>
          <w:szCs w:val="18"/>
          <w:lang w:val="en-US" w:eastAsia="it-IT"/>
        </w:rPr>
        <w:t xml:space="preserve"> [t</w:t>
      </w:r>
      <w:r w:rsidR="00B95F84">
        <w:rPr>
          <w:vertAlign w:val="superscript"/>
        </w:rPr>
        <w:t>START EXT</w:t>
      </w:r>
      <w:r w:rsidR="005F7E25">
        <w:t xml:space="preserve"> ; t</w:t>
      </w:r>
      <w:r w:rsidR="005F7E25" w:rsidRPr="005F7E25">
        <w:rPr>
          <w:vertAlign w:val="superscript"/>
        </w:rPr>
        <w:t>END 1° DECAY</w:t>
      </w:r>
      <w:r w:rsidR="005F7E25">
        <w:t>]</w:t>
      </w:r>
      <w:r w:rsidR="009234E1">
        <w:tab/>
        <w:t>(2</w:t>
      </w:r>
      <w:r>
        <w:t>)</w:t>
      </w:r>
    </w:p>
    <w:p w14:paraId="10727B4A" w14:textId="72E3B336" w:rsidR="005F7E25" w:rsidRPr="005F7E25" w:rsidRDefault="005F7E25" w:rsidP="003412A5">
      <w:pPr>
        <w:pStyle w:val="CETBodytext"/>
        <w:rPr>
          <w:lang w:val="en-GB"/>
        </w:rPr>
      </w:pPr>
      <w:r>
        <w:rPr>
          <w:lang w:val="en-GB"/>
        </w:rPr>
        <w:t xml:space="preserve">Where </w:t>
      </w:r>
      <w:r w:rsidRPr="005F7E25">
        <w:rPr>
          <w:rFonts w:ascii="Cambria Math" w:hAnsi="Cambria Math" w:cs="Cambria Math"/>
          <w:bCs/>
          <w:color w:val="202124"/>
          <w:szCs w:val="18"/>
          <w:lang w:eastAsia="it-IT"/>
        </w:rPr>
        <w:t>t</w:t>
      </w:r>
      <w:r w:rsidRPr="005F7E25">
        <w:rPr>
          <w:vertAlign w:val="superscript"/>
        </w:rPr>
        <w:t>EXT</w:t>
      </w:r>
      <w:r>
        <w:t xml:space="preserve"> is the </w:t>
      </w:r>
      <w:r w:rsidR="00622527">
        <w:t>e</w:t>
      </w:r>
      <w:r>
        <w:t xml:space="preserve">xtinguishing </w:t>
      </w:r>
      <w:r w:rsidR="00622527">
        <w:t>s</w:t>
      </w:r>
      <w:r>
        <w:t xml:space="preserve">upply </w:t>
      </w:r>
      <w:r w:rsidR="00622527">
        <w:t>s</w:t>
      </w:r>
      <w:r w:rsidR="001A04BD">
        <w:t xml:space="preserve">tart </w:t>
      </w:r>
      <w:r w:rsidR="00622527">
        <w:t>t</w:t>
      </w:r>
      <w:r>
        <w:t>ime and t</w:t>
      </w:r>
      <w:r w:rsidRPr="005F7E25">
        <w:rPr>
          <w:vertAlign w:val="superscript"/>
        </w:rPr>
        <w:t>END 1° DECAY</w:t>
      </w:r>
      <w:r>
        <w:rPr>
          <w:vertAlign w:val="superscript"/>
        </w:rPr>
        <w:t xml:space="preserve"> </w:t>
      </w:r>
      <w:r>
        <w:t>is the 1</w:t>
      </w:r>
      <w:r w:rsidR="00D027DE">
        <w:t>st</w:t>
      </w:r>
      <w:r>
        <w:t xml:space="preserve">° </w:t>
      </w:r>
      <w:r w:rsidR="000D7EB7">
        <w:t>d</w:t>
      </w:r>
      <w:r>
        <w:t xml:space="preserve">ecay </w:t>
      </w:r>
      <w:r w:rsidR="000D7EB7">
        <w:t>en</w:t>
      </w:r>
      <w:r w:rsidR="001A04BD">
        <w:t xml:space="preserve">d </w:t>
      </w:r>
      <w:r w:rsidR="000D7EB7">
        <w:t>t</w:t>
      </w:r>
      <w:r>
        <w:t>ime.</w:t>
      </w:r>
    </w:p>
    <w:p w14:paraId="12F06D26" w14:textId="10ABCABC" w:rsidR="00A57AFB" w:rsidRPr="003750D5" w:rsidRDefault="009234E1" w:rsidP="003750D5">
      <w:pPr>
        <w:pStyle w:val="CETBodytext"/>
        <w:rPr>
          <w:lang w:val="en-GB"/>
        </w:rPr>
        <w:sectPr w:rsidR="00A57AFB" w:rsidRPr="003750D5" w:rsidSect="002A70BB">
          <w:type w:val="continuous"/>
          <w:pgSz w:w="11906" w:h="16838" w:code="9"/>
          <w:pgMar w:top="1701" w:right="1418" w:bottom="1701" w:left="1701" w:header="1701" w:footer="0" w:gutter="0"/>
          <w:cols w:space="708"/>
          <w:formProt w:val="0"/>
          <w:titlePg/>
          <w:docGrid w:linePitch="360"/>
        </w:sectPr>
      </w:pPr>
      <w:r>
        <w:rPr>
          <w:lang w:val="en-GB"/>
        </w:rPr>
        <w:t>The equation 2</w:t>
      </w:r>
      <w:r w:rsidR="00D90534">
        <w:rPr>
          <w:lang w:val="en-GB"/>
        </w:rPr>
        <w:t xml:space="preserve"> calculates the average between the </w:t>
      </w:r>
      <w:r w:rsidR="009E4E26">
        <w:rPr>
          <w:lang w:val="en-GB"/>
        </w:rPr>
        <w:t>a</w:t>
      </w:r>
      <w:r w:rsidR="009E2B8B">
        <w:rPr>
          <w:lang w:val="en-GB"/>
        </w:rPr>
        <w:t xml:space="preserve">verage </w:t>
      </w:r>
      <w:r w:rsidR="009E4E26">
        <w:rPr>
          <w:lang w:val="en-GB"/>
        </w:rPr>
        <w:t>t</w:t>
      </w:r>
      <w:r w:rsidR="00D90534">
        <w:rPr>
          <w:lang w:val="en-GB"/>
        </w:rPr>
        <w:t xml:space="preserve">emperature </w:t>
      </w:r>
      <w:r w:rsidR="009E4E26">
        <w:rPr>
          <w:lang w:val="en-GB"/>
        </w:rPr>
        <w:t>d</w:t>
      </w:r>
      <w:r w:rsidR="009E2B8B">
        <w:rPr>
          <w:lang w:val="en-GB"/>
        </w:rPr>
        <w:t xml:space="preserve">erivative between the </w:t>
      </w:r>
      <w:r w:rsidR="00D90534">
        <w:rPr>
          <w:lang w:val="en-GB"/>
        </w:rPr>
        <w:t>lower surface and higher surface of the cell.</w:t>
      </w:r>
      <w:r w:rsidR="00D90534">
        <w:t xml:space="preserve"> I</w:t>
      </w:r>
      <w:r w:rsidR="00D90534" w:rsidRPr="00D90534">
        <w:rPr>
          <w:lang w:val="en-GB"/>
        </w:rPr>
        <w:t>f, as a first approximation, the conduction of heat inside the cell is considered as</w:t>
      </w:r>
      <w:r>
        <w:rPr>
          <w:lang w:val="en-GB"/>
        </w:rPr>
        <w:t xml:space="preserve"> a linear trend, the equation (2</w:t>
      </w:r>
      <w:r w:rsidR="00D90534" w:rsidRPr="00D90534">
        <w:rPr>
          <w:lang w:val="en-GB"/>
        </w:rPr>
        <w:t>) expresses the</w:t>
      </w:r>
      <w:r w:rsidR="009E2B8B">
        <w:rPr>
          <w:lang w:val="en-GB"/>
        </w:rPr>
        <w:t xml:space="preserve"> </w:t>
      </w:r>
      <w:r w:rsidR="009E4E26">
        <w:rPr>
          <w:lang w:val="en-GB"/>
        </w:rPr>
        <w:t>a</w:t>
      </w:r>
      <w:r w:rsidR="009E2B8B">
        <w:rPr>
          <w:lang w:val="en-GB"/>
        </w:rPr>
        <w:t>verage</w:t>
      </w:r>
      <w:r w:rsidR="009E2B8B" w:rsidRPr="009E2B8B">
        <w:rPr>
          <w:lang w:val="en-GB"/>
        </w:rPr>
        <w:t xml:space="preserve"> </w:t>
      </w:r>
      <w:r w:rsidR="009E4E26">
        <w:rPr>
          <w:lang w:val="en-GB"/>
        </w:rPr>
        <w:t>t</w:t>
      </w:r>
      <w:r w:rsidR="00D90534">
        <w:rPr>
          <w:lang w:val="en-GB"/>
        </w:rPr>
        <w:t>emperature</w:t>
      </w:r>
      <w:r w:rsidR="009E2B8B" w:rsidRPr="009E2B8B">
        <w:rPr>
          <w:lang w:val="en-GB"/>
        </w:rPr>
        <w:t xml:space="preserve"> </w:t>
      </w:r>
      <w:r w:rsidR="009E4E26">
        <w:rPr>
          <w:lang w:val="en-GB"/>
        </w:rPr>
        <w:t>d</w:t>
      </w:r>
      <w:r w:rsidR="009E2B8B">
        <w:rPr>
          <w:lang w:val="en-GB"/>
        </w:rPr>
        <w:t>erivative</w:t>
      </w:r>
      <w:r w:rsidR="00D90534">
        <w:rPr>
          <w:lang w:val="en-GB"/>
        </w:rPr>
        <w:t xml:space="preserve"> </w:t>
      </w:r>
      <w:r w:rsidR="00D90534" w:rsidRPr="00D90534">
        <w:rPr>
          <w:lang w:val="en-GB"/>
        </w:rPr>
        <w:t>inside the cell</w:t>
      </w:r>
      <w:r w:rsidR="00D90534">
        <w:rPr>
          <w:lang w:val="en-GB"/>
        </w:rPr>
        <w:t>.</w:t>
      </w:r>
      <w:r w:rsidR="003750D5">
        <w:rPr>
          <w:lang w:val="en-GB"/>
        </w:rPr>
        <w:t xml:space="preserve"> </w:t>
      </w:r>
      <w:r w:rsidR="00A57AFB" w:rsidRPr="003750D5">
        <w:rPr>
          <w:lang w:val="en-GB"/>
        </w:rPr>
        <w:t xml:space="preserve">Figure </w:t>
      </w:r>
      <w:r w:rsidR="00525C1C">
        <w:rPr>
          <w:lang w:val="en-GB"/>
        </w:rPr>
        <w:t>3</w:t>
      </w:r>
      <w:r w:rsidR="00A57AFB" w:rsidRPr="003750D5">
        <w:rPr>
          <w:lang w:val="en-GB"/>
        </w:rPr>
        <w:t xml:space="preserve"> reports the real values (RV) of the 3 parameters </w:t>
      </w:r>
      <w:r w:rsidR="003750D5" w:rsidRPr="003750D5">
        <w:rPr>
          <w:lang w:val="en-GB"/>
        </w:rPr>
        <w:t>(</w:t>
      </w:r>
      <w:r w:rsidR="003750D5" w:rsidRPr="003750D5">
        <w:rPr>
          <w:rFonts w:cs="Arial"/>
          <w:lang w:val="en-GB"/>
        </w:rPr>
        <w:t>Φ, Δ, Ω)</w:t>
      </w:r>
      <w:r w:rsidR="003750D5">
        <w:rPr>
          <w:rFonts w:cs="Arial"/>
          <w:lang w:val="en-GB"/>
        </w:rPr>
        <w:t xml:space="preserve"> </w:t>
      </w:r>
      <w:r w:rsidR="003750D5" w:rsidRPr="003750D5">
        <w:rPr>
          <w:rFonts w:cs="Arial"/>
          <w:lang w:val="en-GB"/>
        </w:rPr>
        <w:t>for each extinction</w:t>
      </w:r>
      <w:r w:rsidR="003750D5">
        <w:rPr>
          <w:rFonts w:cs="Arial"/>
          <w:lang w:val="en-GB"/>
        </w:rPr>
        <w:t xml:space="preserve"> </w:t>
      </w:r>
      <w:r w:rsidR="003750D5" w:rsidRPr="003750D5">
        <w:rPr>
          <w:rFonts w:cs="Arial"/>
          <w:lang w:val="en-GB"/>
        </w:rPr>
        <w:t>test.</w:t>
      </w:r>
    </w:p>
    <w:p w14:paraId="2C98052D" w14:textId="77777777" w:rsidR="00A57AFB" w:rsidRDefault="00A57AFB" w:rsidP="00A57AFB">
      <w:pPr>
        <w:pStyle w:val="CETBodytext"/>
        <w:rPr>
          <w:lang w:val="en-GB"/>
        </w:rPr>
      </w:pPr>
    </w:p>
    <w:p w14:paraId="5F0B55EE" w14:textId="5553C8F7" w:rsidR="00A57AFB" w:rsidRPr="000A6661" w:rsidRDefault="00E96A32" w:rsidP="00A57AFB">
      <w:pPr>
        <w:pStyle w:val="CETBodytext"/>
        <w:rPr>
          <w:lang w:val="en-GB"/>
        </w:rPr>
      </w:pPr>
      <w:r w:rsidRPr="00E96A32">
        <w:rPr>
          <w:noProof/>
        </w:rPr>
        <w:lastRenderedPageBreak/>
        <w:drawing>
          <wp:inline distT="0" distB="0" distL="0" distR="0" wp14:anchorId="5A67FB1F" wp14:editId="60D9EF6C">
            <wp:extent cx="2689341" cy="2547635"/>
            <wp:effectExtent l="0" t="0" r="0" b="0"/>
            <wp:docPr id="640491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181" cy="2557904"/>
                    </a:xfrm>
                    <a:prstGeom prst="rect">
                      <a:avLst/>
                    </a:prstGeom>
                    <a:noFill/>
                    <a:ln>
                      <a:noFill/>
                    </a:ln>
                  </pic:spPr>
                </pic:pic>
              </a:graphicData>
            </a:graphic>
          </wp:inline>
        </w:drawing>
      </w:r>
    </w:p>
    <w:p w14:paraId="50EC6958" w14:textId="2EB3317A" w:rsidR="00A57AFB" w:rsidRDefault="00A57AFB" w:rsidP="008053D3">
      <w:pPr>
        <w:pStyle w:val="CETCaption"/>
      </w:pPr>
      <w:r>
        <w:t xml:space="preserve">Figure </w:t>
      </w:r>
      <w:r w:rsidR="00525C1C">
        <w:t>3</w:t>
      </w:r>
      <w:r>
        <w:t>: Real Values Distribution. RS = Reference System. AV(RV) = Average(Real Values)</w:t>
      </w:r>
    </w:p>
    <w:p w14:paraId="189245AA" w14:textId="77777777" w:rsidR="005B3D0A" w:rsidRPr="005B3D0A" w:rsidRDefault="005B3D0A" w:rsidP="00644392">
      <w:pPr>
        <w:pStyle w:val="CETheadingx"/>
      </w:pPr>
      <w:r w:rsidRPr="005B3D0A">
        <w:t>Optimization Model for the</w:t>
      </w:r>
      <w:r w:rsidR="003D2F6D">
        <w:t xml:space="preserve"> Extinguishing</w:t>
      </w:r>
      <w:r w:rsidRPr="005B3D0A">
        <w:t xml:space="preserve"> </w:t>
      </w:r>
      <w:r w:rsidR="003E6C35">
        <w:t>Efficiency</w:t>
      </w:r>
    </w:p>
    <w:p w14:paraId="3E87456D" w14:textId="4139FAE7" w:rsidR="006E6CF0" w:rsidRDefault="003D2F6D" w:rsidP="00EC5335">
      <w:pPr>
        <w:pStyle w:val="CETBodytext"/>
      </w:pPr>
      <w:r>
        <w:t>T</w:t>
      </w:r>
      <w:r w:rsidR="00280B40">
        <w:t>o valu</w:t>
      </w:r>
      <w:r>
        <w:t>at</w:t>
      </w:r>
      <w:r w:rsidR="00280B40">
        <w:t xml:space="preserve">e and compare the </w:t>
      </w:r>
      <w:r>
        <w:t>e</w:t>
      </w:r>
      <w:r w:rsidR="003E6C35">
        <w:t>fficiency</w:t>
      </w:r>
      <w:r w:rsidR="00223D90">
        <w:t xml:space="preserve"> of </w:t>
      </w:r>
      <w:r>
        <w:t>e</w:t>
      </w:r>
      <w:r w:rsidR="00223D90">
        <w:t>xtinguishing agent</w:t>
      </w:r>
      <w:r w:rsidR="00FD2770">
        <w:t>s</w:t>
      </w:r>
      <w:r w:rsidR="00223D90">
        <w:t xml:space="preserve"> an </w:t>
      </w:r>
      <w:r>
        <w:t>o</w:t>
      </w:r>
      <w:r w:rsidR="00BF41B7">
        <w:t xml:space="preserve">ptimization </w:t>
      </w:r>
      <w:r w:rsidR="00714535">
        <w:t>m</w:t>
      </w:r>
      <w:r w:rsidR="00223D90">
        <w:t xml:space="preserve">odel </w:t>
      </w:r>
      <w:r w:rsidR="00BF41B7">
        <w:t xml:space="preserve">of the 3 parameters has been </w:t>
      </w:r>
      <w:r w:rsidR="00FD2770">
        <w:t>proposed</w:t>
      </w:r>
      <w:r w:rsidR="00BF41B7">
        <w:t>.</w:t>
      </w:r>
      <w:r w:rsidR="00371B7F">
        <w:t xml:space="preserve"> The 3 parameters </w:t>
      </w:r>
      <w:r w:rsidR="00714535">
        <w:t xml:space="preserve">have </w:t>
      </w:r>
      <w:r>
        <w:t>different val</w:t>
      </w:r>
      <w:r w:rsidR="00371B7F">
        <w:t>ues and unit</w:t>
      </w:r>
      <w:r w:rsidR="00E8165E">
        <w:t>.</w:t>
      </w:r>
      <w:r w:rsidR="00371B7F">
        <w:t xml:space="preserve"> For comparing them</w:t>
      </w:r>
      <w:r w:rsidR="005A7284">
        <w:t>,</w:t>
      </w:r>
      <w:r w:rsidR="00371B7F">
        <w:t xml:space="preserve"> it</w:t>
      </w:r>
      <w:r w:rsidR="005A7284">
        <w:t xml:space="preserve"> is </w:t>
      </w:r>
      <w:r w:rsidR="00371B7F">
        <w:t>calculate</w:t>
      </w:r>
      <w:r w:rsidR="005A7284">
        <w:t>d</w:t>
      </w:r>
      <w:r w:rsidR="00371B7F">
        <w:t xml:space="preserve"> the </w:t>
      </w:r>
      <w:r w:rsidR="005A7284">
        <w:t>n</w:t>
      </w:r>
      <w:r w:rsidR="00371B7F">
        <w:t xml:space="preserve">ormalized </w:t>
      </w:r>
      <w:r w:rsidR="005A7284">
        <w:t>v</w:t>
      </w:r>
      <w:r w:rsidR="00371B7F">
        <w:t>alue</w:t>
      </w:r>
      <w:r w:rsidR="00C90EB5">
        <w:t xml:space="preserve"> (NV)</w:t>
      </w:r>
      <w:r w:rsidR="00371B7F">
        <w:t>.</w:t>
      </w:r>
    </w:p>
    <w:p w14:paraId="667F490D" w14:textId="77777777" w:rsidR="00371B7F" w:rsidRDefault="00371B7F" w:rsidP="00EC5335">
      <w:pPr>
        <w:pStyle w:val="CETBodytext"/>
      </w:pPr>
      <w:r>
        <w:t>This calculation has required:</w:t>
      </w:r>
    </w:p>
    <w:p w14:paraId="3C226B7D" w14:textId="77777777" w:rsidR="00371B7F" w:rsidRDefault="00371B7F" w:rsidP="00C26653">
      <w:pPr>
        <w:pStyle w:val="CETBodytext"/>
        <w:numPr>
          <w:ilvl w:val="0"/>
          <w:numId w:val="34"/>
        </w:numPr>
      </w:pPr>
      <w:r>
        <w:t xml:space="preserve">To </w:t>
      </w:r>
      <w:r w:rsidR="000765C0">
        <w:t>write</w:t>
      </w:r>
      <w:r>
        <w:t xml:space="preserve"> </w:t>
      </w:r>
      <w:r w:rsidR="000765C0">
        <w:t xml:space="preserve">a </w:t>
      </w:r>
      <w:r>
        <w:t>formula for the normalization</w:t>
      </w:r>
    </w:p>
    <w:p w14:paraId="0F82663E" w14:textId="06E20E80" w:rsidR="00F30E73" w:rsidRDefault="00371B7F" w:rsidP="00C26653">
      <w:pPr>
        <w:pStyle w:val="CETBodytext"/>
        <w:numPr>
          <w:ilvl w:val="0"/>
          <w:numId w:val="34"/>
        </w:numPr>
      </w:pPr>
      <w:r>
        <w:t xml:space="preserve">To choose a </w:t>
      </w:r>
      <w:r w:rsidR="00314F81">
        <w:t>r</w:t>
      </w:r>
      <w:r>
        <w:t xml:space="preserve">eference </w:t>
      </w:r>
      <w:r w:rsidR="00314F81">
        <w:t>s</w:t>
      </w:r>
      <w:r>
        <w:t>ystem for the normalization</w:t>
      </w:r>
    </w:p>
    <w:p w14:paraId="1899051C" w14:textId="77777777" w:rsidR="000765C0" w:rsidRDefault="009718E5" w:rsidP="000765C0">
      <w:pPr>
        <w:pStyle w:val="CETBodytext"/>
        <w:rPr>
          <w:rFonts w:cs="Arial"/>
        </w:rPr>
      </w:pPr>
      <w:r>
        <w:t>T</w:t>
      </w:r>
      <w:r w:rsidR="00A7140E">
        <w:t xml:space="preserve">he normalization of the parameter </w:t>
      </w:r>
      <w:r w:rsidR="00A7140E">
        <w:rPr>
          <w:rFonts w:cs="Arial"/>
        </w:rPr>
        <w:t>Φ</w:t>
      </w:r>
      <w:r w:rsidR="00A7140E">
        <w:t xml:space="preserve"> and </w:t>
      </w:r>
      <w:r w:rsidR="00A7140E">
        <w:rPr>
          <w:rFonts w:cs="Arial"/>
        </w:rPr>
        <w:t xml:space="preserve">Ω </w:t>
      </w:r>
      <w:r>
        <w:rPr>
          <w:rFonts w:cs="Arial"/>
        </w:rPr>
        <w:t xml:space="preserve">is based on </w:t>
      </w:r>
      <w:r w:rsidR="00A7140E">
        <w:rPr>
          <w:rFonts w:cs="Arial"/>
        </w:rPr>
        <w:t>the following formu</w:t>
      </w:r>
      <w:r>
        <w:rPr>
          <w:rFonts w:cs="Arial"/>
        </w:rPr>
        <w:t>la:</w:t>
      </w:r>
    </w:p>
    <w:p w14:paraId="4165B992" w14:textId="77777777" w:rsidR="009718E5" w:rsidRDefault="00A7140E" w:rsidP="00B70CE9">
      <w:pPr>
        <w:pStyle w:val="CETEquation"/>
        <w:rPr>
          <w:rFonts w:ascii="Symbol" w:hAnsi="Symbol" w:cs="Symbol"/>
          <w:color w:val="000000"/>
          <w:szCs w:val="26"/>
          <w:lang w:val="en-US"/>
        </w:rPr>
      </w:pPr>
      <w:r>
        <w:rPr>
          <w:rFonts w:ascii="Symbol" w:hAnsi="Symbol" w:cs="Symbol"/>
          <w:color w:val="000000"/>
          <w:szCs w:val="26"/>
          <w:lang w:val="en-US"/>
        </w:rPr>
        <w:t></w:t>
      </w:r>
      <w:r>
        <w:rPr>
          <w:rFonts w:ascii="Symbol" w:hAnsi="Symbol" w:cs="Symbol"/>
          <w:color w:val="000000"/>
          <w:szCs w:val="26"/>
          <w:lang w:val="en-US"/>
        </w:rPr>
        <w:t></w:t>
      </w:r>
      <m:oMath>
        <m:sSubSup>
          <m:sSubSupPr>
            <m:ctrlPr>
              <w:rPr>
                <w:rFonts w:ascii="Cambria Math" w:hAnsi="Cambria Math"/>
              </w:rPr>
            </m:ctrlPr>
          </m:sSubSupPr>
          <m:e>
            <m:r>
              <m:rPr>
                <m:sty m:val="p"/>
              </m:rPr>
              <w:rPr>
                <w:rFonts w:ascii="Cambria Math" w:hAnsi="Cambria Math"/>
              </w:rPr>
              <m:t>NV</m:t>
            </m:r>
          </m:e>
          <m:sub>
            <m:r>
              <m:rPr>
                <m:sty m:val="p"/>
              </m:rPr>
              <w:rPr>
                <w:rFonts w:ascii="Cambria Math" w:hAnsi="Cambria Math"/>
              </w:rPr>
              <m:t>i</m:t>
            </m:r>
          </m:sub>
          <m:sup>
            <m:r>
              <m:rPr>
                <m:sty m:val="p"/>
              </m:rPr>
              <w:rPr>
                <w:rFonts w:ascii="Cambria Math" w:hAnsi="Cambria Math"/>
                <w:lang w:val="en-US"/>
              </w:rPr>
              <m:t>(</m:t>
            </m:r>
            <m:r>
              <m:rPr>
                <m:sty m:val="p"/>
              </m:rPr>
              <w:rPr>
                <w:rFonts w:ascii="Cambria Math" w:hAnsi="Cambria Math"/>
              </w:rPr>
              <m:t>n</m:t>
            </m:r>
            <m:r>
              <m:rPr>
                <m:sty m:val="p"/>
              </m:rPr>
              <w:rPr>
                <w:rFonts w:ascii="Cambria Math" w:hAnsi="Cambria Math"/>
                <w:lang w:val="en-US"/>
              </w:rPr>
              <m:t>)</m:t>
            </m:r>
          </m:sup>
        </m:sSubSup>
        <m:r>
          <m:rPr>
            <m:sty m:val="p"/>
          </m:rPr>
          <w:rPr>
            <w:rFonts w:ascii="Cambria Math" w:hAnsi="Cambria Math"/>
            <w:lang w:val="en-US"/>
          </w:rPr>
          <m:t>=1-</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RV</m:t>
                </m:r>
              </m:e>
              <m:sub>
                <m:r>
                  <m:rPr>
                    <m:sty m:val="p"/>
                  </m:rPr>
                  <w:rPr>
                    <w:rFonts w:ascii="Cambria Math" w:hAnsi="Cambria Math"/>
                  </w:rPr>
                  <m:t>i</m:t>
                </m:r>
              </m:sub>
              <m:sup>
                <m:r>
                  <m:rPr>
                    <m:sty m:val="p"/>
                  </m:rPr>
                  <w:rPr>
                    <w:rFonts w:ascii="Cambria Math" w:hAnsi="Cambria Math"/>
                    <w:lang w:val="en-US"/>
                  </w:rPr>
                  <m:t>(</m:t>
                </m:r>
                <m:r>
                  <m:rPr>
                    <m:sty m:val="p"/>
                  </m:rPr>
                  <w:rPr>
                    <w:rFonts w:ascii="Cambria Math" w:hAnsi="Cambria Math"/>
                  </w:rPr>
                  <m:t>n</m:t>
                </m:r>
                <m:r>
                  <m:rPr>
                    <m:sty m:val="p"/>
                  </m:rPr>
                  <w:rPr>
                    <w:rFonts w:ascii="Cambria Math" w:hAnsi="Cambria Math"/>
                    <w:lang w:val="en-US"/>
                  </w:rPr>
                  <m:t>)</m:t>
                </m:r>
              </m:sup>
            </m:sSubSup>
          </m:num>
          <m:den>
            <m:sSup>
              <m:sSupPr>
                <m:ctrlPr>
                  <w:rPr>
                    <w:rFonts w:ascii="Cambria Math" w:hAnsi="Cambria Math"/>
                  </w:rPr>
                </m:ctrlPr>
              </m:sSupPr>
              <m:e>
                <m:r>
                  <m:rPr>
                    <m:sty m:val="p"/>
                  </m:rPr>
                  <w:rPr>
                    <w:rFonts w:ascii="Cambria Math" w:hAnsi="Cambria Math"/>
                  </w:rPr>
                  <m:t>RS</m:t>
                </m:r>
              </m:e>
              <m:sup>
                <m:r>
                  <m:rPr>
                    <m:sty m:val="p"/>
                  </m:rPr>
                  <w:rPr>
                    <w:rFonts w:ascii="Cambria Math" w:hAnsi="Cambria Math"/>
                    <w:lang w:val="en-US"/>
                  </w:rPr>
                  <m:t>(</m:t>
                </m:r>
                <m:r>
                  <m:rPr>
                    <m:sty m:val="p"/>
                  </m:rPr>
                  <w:rPr>
                    <w:rFonts w:ascii="Cambria Math" w:hAnsi="Cambria Math"/>
                  </w:rPr>
                  <m:t>n</m:t>
                </m:r>
                <m:r>
                  <m:rPr>
                    <m:sty m:val="p"/>
                  </m:rPr>
                  <w:rPr>
                    <w:rFonts w:ascii="Cambria Math" w:hAnsi="Cambria Math"/>
                    <w:lang w:val="en-US"/>
                  </w:rPr>
                  <m:t>)</m:t>
                </m:r>
              </m:sup>
            </m:sSup>
          </m:den>
        </m:f>
      </m:oMath>
      <w:r w:rsidR="00BE76C8">
        <w:rPr>
          <w:rFonts w:ascii="Symbol" w:hAnsi="Symbol" w:cs="Symbol"/>
          <w:color w:val="000000"/>
          <w:szCs w:val="26"/>
          <w:lang w:val="en-US"/>
        </w:rPr>
        <w:tab/>
      </w:r>
      <w:r w:rsidR="009234E1">
        <w:rPr>
          <w:rFonts w:ascii="Symbol" w:hAnsi="Symbol" w:cs="Symbol"/>
          <w:color w:val="000000"/>
          <w:szCs w:val="26"/>
          <w:lang w:val="en-US"/>
        </w:rPr>
        <w:t></w:t>
      </w:r>
      <w:r w:rsidR="009234E1">
        <w:rPr>
          <w:rFonts w:ascii="Symbol" w:hAnsi="Symbol" w:cs="Symbol"/>
          <w:color w:val="000000"/>
          <w:szCs w:val="26"/>
          <w:lang w:val="en-US"/>
        </w:rPr>
        <w:t></w:t>
      </w:r>
      <w:r w:rsidR="009718E5">
        <w:rPr>
          <w:rFonts w:ascii="Symbol" w:hAnsi="Symbol" w:cs="Symbol"/>
          <w:color w:val="000000"/>
          <w:szCs w:val="26"/>
          <w:lang w:val="en-US"/>
        </w:rPr>
        <w:t></w:t>
      </w:r>
    </w:p>
    <w:p w14:paraId="768CEAEE" w14:textId="184FD4F3" w:rsidR="009718E5" w:rsidRDefault="009718E5" w:rsidP="009718E5">
      <w:pPr>
        <w:pStyle w:val="CETBodytext"/>
        <w:rPr>
          <w:rFonts w:cs="Arial"/>
        </w:rPr>
      </w:pPr>
      <w:r>
        <w:t xml:space="preserve">Where </w:t>
      </w:r>
      <w:r w:rsidR="00CC3B86">
        <w:rPr>
          <w:rFonts w:ascii="Cambria Math" w:hAnsi="Cambria Math"/>
        </w:rPr>
        <w:t>NV</w:t>
      </w:r>
      <w:r w:rsidR="00F16536" w:rsidRPr="00D07109">
        <w:rPr>
          <w:vertAlign w:val="subscript"/>
        </w:rPr>
        <w:t>i</w:t>
      </w:r>
      <w:r w:rsidRPr="00D07109">
        <w:rPr>
          <w:vertAlign w:val="superscript"/>
        </w:rPr>
        <w:t>(n)</w:t>
      </w:r>
      <w:r>
        <w:t xml:space="preserve"> is the </w:t>
      </w:r>
      <w:r w:rsidR="000B370E">
        <w:t>n</w:t>
      </w:r>
      <w:r>
        <w:t xml:space="preserve">ormalized </w:t>
      </w:r>
      <w:r w:rsidR="000B370E">
        <w:t>v</w:t>
      </w:r>
      <w:r>
        <w:t xml:space="preserve">alue of one </w:t>
      </w:r>
      <w:r w:rsidR="000B370E">
        <w:t>e</w:t>
      </w:r>
      <w:r>
        <w:t xml:space="preserve">xperimental </w:t>
      </w:r>
      <w:r w:rsidR="000B370E">
        <w:t>t</w:t>
      </w:r>
      <w:r>
        <w:t>est (i) of one of</w:t>
      </w:r>
      <w:r w:rsidR="00FD2770">
        <w:t xml:space="preserve"> the</w:t>
      </w:r>
      <w:r>
        <w:t xml:space="preserve"> 2 </w:t>
      </w:r>
      <w:r w:rsidR="000B370E">
        <w:t>p</w:t>
      </w:r>
      <w:r>
        <w:t>arameters (n</w:t>
      </w:r>
      <w:r w:rsidR="00F16536">
        <w:t>=</w:t>
      </w:r>
      <w:r w:rsidR="00F16536">
        <w:rPr>
          <w:rFonts w:cs="Arial"/>
        </w:rPr>
        <w:t>Φ,</w:t>
      </w:r>
      <w:r w:rsidR="002B00B2">
        <w:rPr>
          <w:rFonts w:cs="Arial"/>
        </w:rPr>
        <w:t xml:space="preserve"> </w:t>
      </w:r>
      <w:r w:rsidR="00F16536">
        <w:rPr>
          <w:rFonts w:cs="Arial"/>
        </w:rPr>
        <w:t>Ω</w:t>
      </w:r>
      <w:r>
        <w:t>)</w:t>
      </w:r>
      <w:r w:rsidR="00C26653">
        <w:t xml:space="preserve"> </w:t>
      </w:r>
      <w:r w:rsidR="00280B40">
        <w:t>showed</w:t>
      </w:r>
      <w:r w:rsidR="00C26653">
        <w:t xml:space="preserve"> in </w:t>
      </w:r>
      <w:r w:rsidR="00280B40">
        <w:t xml:space="preserve">Figure </w:t>
      </w:r>
      <w:r w:rsidR="00525C1C">
        <w:t>3</w:t>
      </w:r>
      <w:r w:rsidR="00C26653">
        <w:t>. So that i=4,6,9,10,11,12,13</w:t>
      </w:r>
      <w:r>
        <w:t xml:space="preserve"> and n=</w:t>
      </w:r>
      <w:r>
        <w:rPr>
          <w:rFonts w:cs="Arial"/>
        </w:rPr>
        <w:t>Φ</w:t>
      </w:r>
      <w:r w:rsidR="00C26653">
        <w:rPr>
          <w:rFonts w:cs="Arial"/>
        </w:rPr>
        <w:t>,</w:t>
      </w:r>
      <w:r>
        <w:rPr>
          <w:rFonts w:cs="Arial"/>
        </w:rPr>
        <w:t>Ω. SR is the Reference System.</w:t>
      </w:r>
      <w:r w:rsidR="005C3C3F">
        <w:rPr>
          <w:rFonts w:cs="Arial"/>
        </w:rPr>
        <w:t xml:space="preserve"> </w:t>
      </w:r>
    </w:p>
    <w:p w14:paraId="171DA4F3" w14:textId="77777777" w:rsidR="009718E5" w:rsidRDefault="009718E5" w:rsidP="009718E5">
      <w:pPr>
        <w:pStyle w:val="CETBodytext"/>
        <w:rPr>
          <w:rFonts w:cs="Arial"/>
        </w:rPr>
      </w:pPr>
      <w:r>
        <w:t xml:space="preserve">The normalization of the parameter </w:t>
      </w:r>
      <w:r>
        <w:rPr>
          <w:rFonts w:cs="Arial"/>
        </w:rPr>
        <w:t>Δ</w:t>
      </w:r>
      <w:r>
        <w:t xml:space="preserve"> </w:t>
      </w:r>
      <w:r>
        <w:rPr>
          <w:rFonts w:cs="Arial"/>
        </w:rPr>
        <w:t>is based on the following formula:</w:t>
      </w:r>
    </w:p>
    <w:p w14:paraId="674DB4C0" w14:textId="77777777" w:rsidR="00D636E3" w:rsidRPr="00D636E3" w:rsidRDefault="00000000" w:rsidP="00B70CE9">
      <w:pPr>
        <w:pStyle w:val="CETEquation"/>
        <w:rPr>
          <w:rFonts w:ascii="Symbol" w:hAnsi="Symbol"/>
          <w:sz w:val="26"/>
          <w:lang w:val="en-US"/>
        </w:rPr>
      </w:pPr>
      <m:oMath>
        <m:sSubSup>
          <m:sSubSupPr>
            <m:ctrlPr>
              <w:rPr>
                <w:rFonts w:ascii="Cambria Math" w:hAnsi="Cambria Math"/>
                <w:lang w:val="en-US"/>
              </w:rPr>
            </m:ctrlPr>
          </m:sSubSupPr>
          <m:e>
            <m:r>
              <m:rPr>
                <m:sty m:val="p"/>
              </m:rPr>
              <w:rPr>
                <w:rFonts w:ascii="Cambria Math" w:hAnsi="Cambria Math"/>
                <w:lang w:val="en-US"/>
              </w:rPr>
              <m:t>NV</m:t>
            </m:r>
          </m:e>
          <m:sub>
            <m:r>
              <m:rPr>
                <m:sty m:val="p"/>
              </m:rPr>
              <w:rPr>
                <w:rFonts w:ascii="Cambria Math" w:hAnsi="Cambria Math"/>
                <w:lang w:val="en-US"/>
              </w:rPr>
              <m:t>i</m:t>
            </m:r>
          </m:sub>
          <m:sup>
            <m:r>
              <m:rPr>
                <m:sty m:val="p"/>
              </m:rPr>
              <w:rPr>
                <w:rFonts w:ascii="Cambria Math" w:hAnsi="Cambria Math"/>
                <w:lang w:val="en-US"/>
              </w:rPr>
              <m:t>(Δ)</m:t>
            </m:r>
          </m:sup>
        </m:sSubSup>
        <m:r>
          <m:rPr>
            <m:sty m:val="p"/>
          </m:rPr>
          <w:rPr>
            <w:rFonts w:ascii="Cambria Math" w:hAnsi="Cambria Math"/>
            <w:lang w:val="en-US"/>
          </w:rPr>
          <m:t>=</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RV</m:t>
                </m:r>
              </m:e>
              <m:sub>
                <m:r>
                  <m:rPr>
                    <m:sty m:val="p"/>
                  </m:rPr>
                  <w:rPr>
                    <w:rFonts w:ascii="Cambria Math" w:hAnsi="Cambria Math"/>
                    <w:lang w:val="en-US"/>
                  </w:rPr>
                  <m:t>i</m:t>
                </m:r>
              </m:sub>
              <m:sup>
                <m:r>
                  <m:rPr>
                    <m:sty m:val="p"/>
                  </m:rPr>
                  <w:rPr>
                    <w:rFonts w:ascii="Cambria Math" w:hAnsi="Cambria Math"/>
                    <w:lang w:val="en-US"/>
                  </w:rPr>
                  <m:t>(Δ)</m:t>
                </m:r>
              </m:sup>
            </m:sSubSup>
          </m:num>
          <m:den>
            <m:sSup>
              <m:sSupPr>
                <m:ctrlPr>
                  <w:rPr>
                    <w:rFonts w:ascii="Cambria Math" w:hAnsi="Cambria Math"/>
                    <w:lang w:val="en-US"/>
                  </w:rPr>
                </m:ctrlPr>
              </m:sSupPr>
              <m:e>
                <m:r>
                  <m:rPr>
                    <m:sty m:val="p"/>
                  </m:rPr>
                  <w:rPr>
                    <w:rFonts w:ascii="Cambria Math" w:hAnsi="Cambria Math"/>
                    <w:lang w:val="en-US"/>
                  </w:rPr>
                  <m:t>RS</m:t>
                </m:r>
              </m:e>
              <m:sup>
                <m:r>
                  <m:rPr>
                    <m:sty m:val="p"/>
                  </m:rPr>
                  <w:rPr>
                    <w:rFonts w:ascii="Cambria Math" w:hAnsi="Cambria Math"/>
                    <w:lang w:val="en-US"/>
                  </w:rPr>
                  <m:t>(Δ)</m:t>
                </m:r>
              </m:sup>
            </m:sSup>
          </m:den>
        </m:f>
      </m:oMath>
      <w:r w:rsidR="00D636E3">
        <w:rPr>
          <w:sz w:val="20"/>
        </w:rPr>
        <w:tab/>
      </w:r>
      <w:r w:rsidR="009234E1">
        <w:rPr>
          <w:rFonts w:ascii="Symbol" w:hAnsi="Symbol"/>
          <w:lang w:val="en-US"/>
        </w:rPr>
        <w:t></w:t>
      </w:r>
      <w:r w:rsidR="009234E1">
        <w:rPr>
          <w:rFonts w:ascii="Symbol" w:hAnsi="Symbol"/>
          <w:lang w:val="en-US"/>
        </w:rPr>
        <w:t></w:t>
      </w:r>
      <w:r w:rsidR="00D636E3">
        <w:rPr>
          <w:rFonts w:ascii="Symbol" w:hAnsi="Symbol"/>
          <w:lang w:val="en-US"/>
        </w:rPr>
        <w:t></w:t>
      </w:r>
    </w:p>
    <w:p w14:paraId="2B1C059D" w14:textId="7B0A5D8E" w:rsidR="009718E5" w:rsidRDefault="009718E5" w:rsidP="009718E5">
      <w:pPr>
        <w:pStyle w:val="CETBodytext"/>
        <w:rPr>
          <w:rFonts w:cs="Arial"/>
        </w:rPr>
      </w:pPr>
      <w:r>
        <w:t xml:space="preserve">Where </w:t>
      </w:r>
      <w:r w:rsidR="00CC3B86">
        <w:rPr>
          <w:rFonts w:ascii="Cambria Math" w:hAnsi="Cambria Math"/>
        </w:rPr>
        <w:t>NV</w:t>
      </w:r>
      <w:r w:rsidR="00F16536" w:rsidRPr="00D07109">
        <w:rPr>
          <w:vertAlign w:val="subscript"/>
        </w:rPr>
        <w:t>i</w:t>
      </w:r>
      <w:r w:rsidRPr="00D07109">
        <w:rPr>
          <w:vertAlign w:val="superscript"/>
        </w:rPr>
        <w:t>(</w:t>
      </w:r>
      <w:r w:rsidR="00C46388">
        <w:rPr>
          <w:rFonts w:cs="Arial"/>
          <w:vertAlign w:val="superscript"/>
        </w:rPr>
        <w:t>Δ</w:t>
      </w:r>
      <w:r w:rsidRPr="00D07109">
        <w:rPr>
          <w:vertAlign w:val="superscript"/>
        </w:rPr>
        <w:t>)</w:t>
      </w:r>
      <w:r>
        <w:t xml:space="preserve"> is the </w:t>
      </w:r>
      <w:r w:rsidR="000B370E">
        <w:t>n</w:t>
      </w:r>
      <w:r>
        <w:t xml:space="preserve">ormalized </w:t>
      </w:r>
      <w:r w:rsidR="000B370E">
        <w:t>v</w:t>
      </w:r>
      <w:r>
        <w:t xml:space="preserve">alue of one </w:t>
      </w:r>
      <w:r w:rsidR="000B370E">
        <w:t>e</w:t>
      </w:r>
      <w:r>
        <w:t xml:space="preserve">xperimental </w:t>
      </w:r>
      <w:r w:rsidR="000B370E">
        <w:t>t</w:t>
      </w:r>
      <w:r>
        <w:t xml:space="preserve">est (i) of the </w:t>
      </w:r>
      <w:r w:rsidR="000B370E">
        <w:t>p</w:t>
      </w:r>
      <w:r>
        <w:t xml:space="preserve">arameter </w:t>
      </w:r>
      <w:r w:rsidR="00F16536">
        <w:t>(n=</w:t>
      </w:r>
      <w:r w:rsidR="0067324B">
        <w:rPr>
          <w:rFonts w:cs="Arial"/>
        </w:rPr>
        <w:t>Δ</w:t>
      </w:r>
      <w:r w:rsidR="00F16536">
        <w:rPr>
          <w:rFonts w:cs="Arial"/>
        </w:rPr>
        <w:t>)</w:t>
      </w:r>
      <w:r>
        <w:t xml:space="preserve"> </w:t>
      </w:r>
      <w:r w:rsidR="00280B40">
        <w:t xml:space="preserve">showed in Figure </w:t>
      </w:r>
      <w:r w:rsidR="00525C1C">
        <w:t>3</w:t>
      </w:r>
      <w:r>
        <w:t>. So that i=4;6;9;10;11;12;13</w:t>
      </w:r>
      <w:r w:rsidR="0067324B">
        <w:t xml:space="preserve">. </w:t>
      </w:r>
      <w:r>
        <w:rPr>
          <w:rFonts w:cs="Arial"/>
        </w:rPr>
        <w:t xml:space="preserve">SR is the </w:t>
      </w:r>
      <w:r w:rsidR="00314F81">
        <w:rPr>
          <w:rFonts w:cs="Arial"/>
        </w:rPr>
        <w:t>r</w:t>
      </w:r>
      <w:r>
        <w:rPr>
          <w:rFonts w:cs="Arial"/>
        </w:rPr>
        <w:t xml:space="preserve">eference </w:t>
      </w:r>
      <w:r w:rsidR="00314F81">
        <w:rPr>
          <w:rFonts w:cs="Arial"/>
        </w:rPr>
        <w:t>s</w:t>
      </w:r>
      <w:r>
        <w:rPr>
          <w:rFonts w:cs="Arial"/>
        </w:rPr>
        <w:t>ystem.</w:t>
      </w:r>
    </w:p>
    <w:p w14:paraId="6D102608" w14:textId="77777777" w:rsidR="00CC3B86" w:rsidRDefault="00CC3B86" w:rsidP="009718E5">
      <w:pPr>
        <w:pStyle w:val="CETBodytext"/>
        <w:rPr>
          <w:rFonts w:cs="Arial"/>
        </w:rPr>
      </w:pPr>
      <w:r>
        <w:rPr>
          <w:rFonts w:cs="Arial"/>
        </w:rPr>
        <w:t>For simplicity, it said that NV</w:t>
      </w:r>
      <w:r w:rsidRPr="00CC3B86">
        <w:rPr>
          <w:rFonts w:cs="Arial"/>
          <w:vertAlign w:val="superscript"/>
        </w:rPr>
        <w:t>(Φ)</w:t>
      </w:r>
      <w:r>
        <w:rPr>
          <w:rFonts w:cs="Arial"/>
        </w:rPr>
        <w:t>=φ, NV</w:t>
      </w:r>
      <w:r w:rsidRPr="00CC3B86">
        <w:rPr>
          <w:rFonts w:cs="Arial"/>
          <w:vertAlign w:val="superscript"/>
        </w:rPr>
        <w:t>(Δ)</w:t>
      </w:r>
      <w:r>
        <w:rPr>
          <w:rFonts w:cs="Arial"/>
        </w:rPr>
        <w:t>=δ and NV</w:t>
      </w:r>
      <w:r w:rsidRPr="00CC3B86">
        <w:rPr>
          <w:rFonts w:cs="Arial"/>
          <w:vertAlign w:val="superscript"/>
        </w:rPr>
        <w:t>(Ω)</w:t>
      </w:r>
      <w:r>
        <w:rPr>
          <w:rFonts w:cs="Arial"/>
        </w:rPr>
        <w:t>=ω.</w:t>
      </w:r>
    </w:p>
    <w:p w14:paraId="1F90047C" w14:textId="45DE6A21" w:rsidR="009718E5" w:rsidRPr="009718E5" w:rsidRDefault="00BA6ED3" w:rsidP="009718E5">
      <w:pPr>
        <w:pStyle w:val="CETBodytext"/>
      </w:pPr>
      <w:r>
        <w:t>Equation (3</w:t>
      </w:r>
      <w:r w:rsidR="00D636E3">
        <w:t xml:space="preserve">) </w:t>
      </w:r>
      <w:r w:rsidR="007566CD">
        <w:t>was</w:t>
      </w:r>
      <w:r w:rsidR="00D636E3">
        <w:t xml:space="preserve"> written to </w:t>
      </w:r>
      <w:r w:rsidR="00FD2770">
        <w:t>consider</w:t>
      </w:r>
      <w:r w:rsidR="00D636E3">
        <w:t xml:space="preserve"> that the </w:t>
      </w:r>
      <w:r w:rsidR="007566CD">
        <w:t>higher is</w:t>
      </w:r>
      <w:r w:rsidR="00D636E3">
        <w:t xml:space="preserve"> </w:t>
      </w:r>
      <w:r w:rsidR="00D636E3">
        <w:rPr>
          <w:rFonts w:cs="Arial"/>
        </w:rPr>
        <w:t xml:space="preserve">Φ or Ω </w:t>
      </w:r>
      <w:r w:rsidR="007566CD">
        <w:rPr>
          <w:rFonts w:cs="Arial"/>
        </w:rPr>
        <w:t>the lower is</w:t>
      </w:r>
      <w:r w:rsidR="00D636E3">
        <w:rPr>
          <w:rFonts w:cs="Arial"/>
        </w:rPr>
        <w:t xml:space="preserve"> the </w:t>
      </w:r>
      <w:r w:rsidR="003E6C35">
        <w:rPr>
          <w:rFonts w:cs="Arial"/>
        </w:rPr>
        <w:t>efficiency</w:t>
      </w:r>
      <w:r w:rsidR="00D636E3">
        <w:rPr>
          <w:rFonts w:cs="Arial"/>
        </w:rPr>
        <w:t xml:space="preserve">, </w:t>
      </w:r>
      <w:r w:rsidR="007566CD">
        <w:rPr>
          <w:rFonts w:cs="Arial"/>
        </w:rPr>
        <w:t>thus</w:t>
      </w:r>
      <w:r w:rsidR="00D636E3">
        <w:rPr>
          <w:rFonts w:cs="Arial"/>
        </w:rPr>
        <w:t xml:space="preserve"> the l</w:t>
      </w:r>
      <w:r w:rsidR="007566CD">
        <w:rPr>
          <w:rFonts w:cs="Arial"/>
        </w:rPr>
        <w:t>ower</w:t>
      </w:r>
      <w:r w:rsidR="00D636E3">
        <w:rPr>
          <w:rFonts w:cs="Arial"/>
        </w:rPr>
        <w:t xml:space="preserve"> </w:t>
      </w:r>
      <w:r w:rsidR="007566CD">
        <w:rPr>
          <w:rFonts w:cs="Arial"/>
        </w:rPr>
        <w:t xml:space="preserve">is </w:t>
      </w:r>
      <w:r w:rsidR="00D636E3">
        <w:rPr>
          <w:rFonts w:cs="Arial"/>
        </w:rPr>
        <w:t xml:space="preserve">the </w:t>
      </w:r>
      <w:r w:rsidR="007566CD">
        <w:rPr>
          <w:rFonts w:cs="Arial"/>
        </w:rPr>
        <w:t>n</w:t>
      </w:r>
      <w:r w:rsidR="00D636E3">
        <w:rPr>
          <w:rFonts w:cs="Arial"/>
        </w:rPr>
        <w:t xml:space="preserve">ormalized </w:t>
      </w:r>
      <w:r w:rsidR="007566CD">
        <w:rPr>
          <w:rFonts w:cs="Arial"/>
        </w:rPr>
        <w:t>v</w:t>
      </w:r>
      <w:r w:rsidR="00D636E3">
        <w:rPr>
          <w:rFonts w:cs="Arial"/>
        </w:rPr>
        <w:t xml:space="preserve">alue. </w:t>
      </w:r>
    </w:p>
    <w:p w14:paraId="7308BB05" w14:textId="71AB1785" w:rsidR="00626871" w:rsidRDefault="00D636E3" w:rsidP="00D636E3">
      <w:pPr>
        <w:pStyle w:val="CETBodytext"/>
        <w:rPr>
          <w:rFonts w:cs="Arial"/>
        </w:rPr>
      </w:pPr>
      <w:r>
        <w:t>Equation (</w:t>
      </w:r>
      <w:r w:rsidR="00BA6ED3">
        <w:t>4</w:t>
      </w:r>
      <w:r>
        <w:t xml:space="preserve">) </w:t>
      </w:r>
      <w:r w:rsidR="007566CD">
        <w:t>was</w:t>
      </w:r>
      <w:r>
        <w:t xml:space="preserve"> written </w:t>
      </w:r>
      <w:r w:rsidR="00FD2770">
        <w:t>to consider</w:t>
      </w:r>
      <w:r>
        <w:t xml:space="preserve"> that the </w:t>
      </w:r>
      <w:r w:rsidR="007566CD">
        <w:t>lower is</w:t>
      </w:r>
      <w:r>
        <w:t xml:space="preserve"> </w:t>
      </w:r>
      <w:r>
        <w:rPr>
          <w:rFonts w:cs="Arial"/>
        </w:rPr>
        <w:t xml:space="preserve">Δ </w:t>
      </w:r>
      <w:r w:rsidR="00626871">
        <w:rPr>
          <w:rFonts w:cs="Arial"/>
        </w:rPr>
        <w:t>(it is a negative number)</w:t>
      </w:r>
      <w:r>
        <w:rPr>
          <w:rFonts w:cs="Arial"/>
        </w:rPr>
        <w:t xml:space="preserve"> the </w:t>
      </w:r>
      <w:r w:rsidR="007566CD">
        <w:rPr>
          <w:rFonts w:cs="Arial"/>
        </w:rPr>
        <w:t>higher is</w:t>
      </w:r>
      <w:r>
        <w:rPr>
          <w:rFonts w:cs="Arial"/>
        </w:rPr>
        <w:t xml:space="preserve"> the </w:t>
      </w:r>
      <w:r w:rsidR="003E6C35">
        <w:rPr>
          <w:rFonts w:cs="Arial"/>
        </w:rPr>
        <w:t>efficiency</w:t>
      </w:r>
      <w:r>
        <w:rPr>
          <w:rFonts w:cs="Arial"/>
        </w:rPr>
        <w:t xml:space="preserve">, </w:t>
      </w:r>
      <w:r w:rsidR="007566CD">
        <w:rPr>
          <w:rFonts w:cs="Arial"/>
        </w:rPr>
        <w:t>thus</w:t>
      </w:r>
      <w:r>
        <w:rPr>
          <w:rFonts w:cs="Arial"/>
        </w:rPr>
        <w:t xml:space="preserve"> the </w:t>
      </w:r>
      <w:r w:rsidR="007566CD">
        <w:rPr>
          <w:rFonts w:cs="Arial"/>
        </w:rPr>
        <w:t>higher</w:t>
      </w:r>
      <w:r>
        <w:rPr>
          <w:rFonts w:cs="Arial"/>
        </w:rPr>
        <w:t xml:space="preserve"> </w:t>
      </w:r>
      <w:r w:rsidR="007566CD">
        <w:rPr>
          <w:rFonts w:cs="Arial"/>
        </w:rPr>
        <w:t xml:space="preserve">is </w:t>
      </w:r>
      <w:r>
        <w:rPr>
          <w:rFonts w:cs="Arial"/>
        </w:rPr>
        <w:t xml:space="preserve">the </w:t>
      </w:r>
      <w:r w:rsidR="007566CD">
        <w:rPr>
          <w:rFonts w:cs="Arial"/>
        </w:rPr>
        <w:t>n</w:t>
      </w:r>
      <w:r>
        <w:rPr>
          <w:rFonts w:cs="Arial"/>
        </w:rPr>
        <w:t xml:space="preserve">ormalized Value </w:t>
      </w:r>
      <w:r w:rsidR="00223D90">
        <w:rPr>
          <w:rFonts w:cs="Arial"/>
        </w:rPr>
        <w:t>(RS</w:t>
      </w:r>
      <w:r w:rsidR="00223D90" w:rsidRPr="00223D90">
        <w:rPr>
          <w:rFonts w:cs="Arial"/>
          <w:vertAlign w:val="superscript"/>
        </w:rPr>
        <w:t>(Δ)</w:t>
      </w:r>
      <w:r w:rsidR="00223D90">
        <w:rPr>
          <w:rFonts w:cs="Arial"/>
        </w:rPr>
        <w:t xml:space="preserve"> &lt; 0)</w:t>
      </w:r>
      <w:r>
        <w:rPr>
          <w:rFonts w:cs="Arial"/>
        </w:rPr>
        <w:t xml:space="preserve">. </w:t>
      </w:r>
    </w:p>
    <w:p w14:paraId="30FBB4F0" w14:textId="77777777" w:rsidR="00F30E73" w:rsidRDefault="00F30E73" w:rsidP="00D636E3">
      <w:pPr>
        <w:pStyle w:val="CETBodytext"/>
        <w:rPr>
          <w:rFonts w:cs="Arial"/>
        </w:rPr>
      </w:pPr>
      <w:r>
        <w:rPr>
          <w:rFonts w:cs="Arial"/>
        </w:rPr>
        <w:t xml:space="preserve">The Reference System for the normalization </w:t>
      </w:r>
      <w:r w:rsidR="006D371C">
        <w:rPr>
          <w:rFonts w:cs="Arial"/>
        </w:rPr>
        <w:t>was</w:t>
      </w:r>
      <w:r>
        <w:rPr>
          <w:rFonts w:cs="Arial"/>
        </w:rPr>
        <w:t xml:space="preserve"> chosen a</w:t>
      </w:r>
      <w:r w:rsidR="006D371C">
        <w:rPr>
          <w:rFonts w:cs="Arial"/>
        </w:rPr>
        <w:t>ccording to</w:t>
      </w:r>
      <w:r>
        <w:rPr>
          <w:rFonts w:cs="Arial"/>
        </w:rPr>
        <w:t xml:space="preserve"> the following equation:</w:t>
      </w:r>
    </w:p>
    <w:p w14:paraId="43593A6C" w14:textId="77777777" w:rsidR="00F30E73" w:rsidRDefault="00000000" w:rsidP="00B70CE9">
      <w:pPr>
        <w:pStyle w:val="CETEquation"/>
        <w:rPr>
          <w:rFonts w:cs="Arial"/>
        </w:rPr>
      </w:pPr>
      <m:oMath>
        <m:sSup>
          <m:sSupPr>
            <m:ctrlPr>
              <w:rPr>
                <w:rFonts w:ascii="Cambria Math" w:eastAsiaTheme="minorEastAsia" w:hAnsi="Cambria Math"/>
              </w:rPr>
            </m:ctrlPr>
          </m:sSupPr>
          <m:e>
            <m:r>
              <w:rPr>
                <w:rFonts w:ascii="Cambria Math" w:eastAsiaTheme="minorEastAsia" w:hAnsi="Cambria Math"/>
              </w:rPr>
              <m:t>RS</m:t>
            </m:r>
          </m:e>
          <m:sup>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sup>
        </m:sSup>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AV</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RV</m:t>
                </m:r>
              </m:e>
              <m:sub>
                <m:r>
                  <w:rPr>
                    <w:rFonts w:ascii="Cambria Math" w:eastAsiaTheme="minorEastAsia" w:hAnsi="Cambria Math"/>
                  </w:rPr>
                  <m:t>i</m:t>
                </m:r>
              </m:sub>
            </m:sSub>
            <m:r>
              <m:rPr>
                <m:sty m:val="p"/>
              </m:rPr>
              <w:rPr>
                <w:rFonts w:ascii="Cambria Math" w:eastAsiaTheme="minorEastAsia" w:hAnsi="Cambria Math"/>
              </w:rPr>
              <m:t>)</m:t>
            </m:r>
          </m:e>
          <m:sup>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sup>
        </m:sSup>
        <m:r>
          <m:rPr>
            <m:sty m:val="p"/>
          </m:rP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RANGE</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RV</m:t>
                </m:r>
              </m:e>
              <m:sub>
                <m:r>
                  <w:rPr>
                    <w:rFonts w:ascii="Cambria Math" w:eastAsiaTheme="minorEastAsia" w:hAnsi="Cambria Math"/>
                  </w:rPr>
                  <m:t>i</m:t>
                </m:r>
              </m:sub>
            </m:sSub>
            <m:r>
              <m:rPr>
                <m:sty m:val="p"/>
              </m:rPr>
              <w:rPr>
                <w:rFonts w:ascii="Cambria Math" w:eastAsiaTheme="minorEastAsia" w:hAnsi="Cambria Math"/>
              </w:rPr>
              <m:t>)</m:t>
            </m:r>
          </m:e>
          <m:sup>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sup>
        </m:sSup>
      </m:oMath>
      <w:r w:rsidR="009234E1">
        <w:rPr>
          <w:rFonts w:cs="Arial"/>
        </w:rPr>
        <w:tab/>
        <w:t>(5</w:t>
      </w:r>
      <w:r w:rsidR="00BE76C8">
        <w:rPr>
          <w:rFonts w:cs="Arial"/>
        </w:rPr>
        <w:t>)</w:t>
      </w:r>
    </w:p>
    <w:p w14:paraId="512315E7" w14:textId="0E756B6E" w:rsidR="00F30E73" w:rsidRDefault="00F30E73" w:rsidP="00D636E3">
      <w:pPr>
        <w:pStyle w:val="CETBodytext"/>
        <w:rPr>
          <w:rFonts w:cs="Arial"/>
        </w:rPr>
      </w:pPr>
      <w:r>
        <w:rPr>
          <w:rFonts w:cs="Arial"/>
        </w:rPr>
        <w:t>Where AV(</w:t>
      </w:r>
      <w:r w:rsidR="00C90EB5">
        <w:rPr>
          <w:rFonts w:cs="Arial"/>
        </w:rPr>
        <w:t>RV</w:t>
      </w:r>
      <w:r w:rsidR="00BA6ED3" w:rsidRPr="00BA6ED3">
        <w:rPr>
          <w:rFonts w:cs="Arial"/>
          <w:vertAlign w:val="subscript"/>
        </w:rPr>
        <w:t>i</w:t>
      </w:r>
      <w:r>
        <w:rPr>
          <w:rFonts w:cs="Arial"/>
        </w:rPr>
        <w:t>)</w:t>
      </w:r>
      <w:r w:rsidR="00BA6ED3" w:rsidRPr="00BA6ED3">
        <w:rPr>
          <w:rFonts w:cs="Arial"/>
          <w:vertAlign w:val="superscript"/>
        </w:rPr>
        <w:t>(n)</w:t>
      </w:r>
      <w:r>
        <w:rPr>
          <w:rFonts w:cs="Arial"/>
        </w:rPr>
        <w:t xml:space="preserve"> is the </w:t>
      </w:r>
      <w:r w:rsidR="00314F81">
        <w:rPr>
          <w:rFonts w:cs="Arial"/>
        </w:rPr>
        <w:t>a</w:t>
      </w:r>
      <w:r>
        <w:rPr>
          <w:rFonts w:cs="Arial"/>
        </w:rPr>
        <w:t xml:space="preserve">verage of the </w:t>
      </w:r>
      <w:r w:rsidR="00314F81">
        <w:rPr>
          <w:rFonts w:cs="Arial"/>
        </w:rPr>
        <w:t>r</w:t>
      </w:r>
      <w:r w:rsidR="00C90EB5">
        <w:rPr>
          <w:rFonts w:cs="Arial"/>
        </w:rPr>
        <w:t xml:space="preserve">eal </w:t>
      </w:r>
      <w:r w:rsidR="00314F81">
        <w:rPr>
          <w:rFonts w:cs="Arial"/>
        </w:rPr>
        <w:t>v</w:t>
      </w:r>
      <w:r>
        <w:rPr>
          <w:rFonts w:cs="Arial"/>
        </w:rPr>
        <w:t xml:space="preserve">alues </w:t>
      </w:r>
      <w:r w:rsidR="00280B40">
        <w:t xml:space="preserve">showed in Figure </w:t>
      </w:r>
      <w:r w:rsidR="00525C1C">
        <w:t>3</w:t>
      </w:r>
      <w:r>
        <w:rPr>
          <w:rFonts w:cs="Arial"/>
        </w:rPr>
        <w:t xml:space="preserve"> for each </w:t>
      </w:r>
      <w:r w:rsidR="00314F81">
        <w:rPr>
          <w:rFonts w:cs="Arial"/>
        </w:rPr>
        <w:t>p</w:t>
      </w:r>
      <w:r>
        <w:rPr>
          <w:rFonts w:cs="Arial"/>
        </w:rPr>
        <w:t>arameter n=Φ,</w:t>
      </w:r>
      <w:r w:rsidR="00414A24">
        <w:rPr>
          <w:rFonts w:cs="Arial"/>
        </w:rPr>
        <w:t xml:space="preserve"> </w:t>
      </w:r>
      <w:r>
        <w:rPr>
          <w:rFonts w:cs="Arial"/>
        </w:rPr>
        <w:t>Δ,</w:t>
      </w:r>
      <w:r w:rsidR="00414A24">
        <w:rPr>
          <w:rFonts w:cs="Arial"/>
        </w:rPr>
        <w:t xml:space="preserve"> </w:t>
      </w:r>
      <w:r>
        <w:rPr>
          <w:rFonts w:cs="Arial"/>
        </w:rPr>
        <w:t>Ω, and RANGE(</w:t>
      </w:r>
      <w:r w:rsidR="00C90EB5">
        <w:rPr>
          <w:rFonts w:cs="Arial"/>
        </w:rPr>
        <w:t>RV</w:t>
      </w:r>
      <w:r w:rsidR="00BA6ED3" w:rsidRPr="00BA6ED3">
        <w:rPr>
          <w:rFonts w:cs="Arial"/>
          <w:vertAlign w:val="subscript"/>
        </w:rPr>
        <w:t>i</w:t>
      </w:r>
      <w:r>
        <w:rPr>
          <w:rFonts w:cs="Arial"/>
        </w:rPr>
        <w:t>)</w:t>
      </w:r>
      <w:r w:rsidR="00BA6ED3" w:rsidRPr="00BA6ED3">
        <w:rPr>
          <w:rFonts w:cs="Arial"/>
          <w:vertAlign w:val="superscript"/>
        </w:rPr>
        <w:t>(n)</w:t>
      </w:r>
      <w:r>
        <w:rPr>
          <w:rFonts w:cs="Arial"/>
        </w:rPr>
        <w:t xml:space="preserve"> is the </w:t>
      </w:r>
      <w:r w:rsidR="00314F81">
        <w:rPr>
          <w:rFonts w:cs="Arial"/>
        </w:rPr>
        <w:t>r</w:t>
      </w:r>
      <w:r>
        <w:rPr>
          <w:rFonts w:cs="Arial"/>
        </w:rPr>
        <w:t>ange of the</w:t>
      </w:r>
      <w:r w:rsidR="00C90EB5">
        <w:rPr>
          <w:rFonts w:cs="Arial"/>
        </w:rPr>
        <w:t xml:space="preserve"> </w:t>
      </w:r>
      <w:r w:rsidR="00314F81">
        <w:rPr>
          <w:rFonts w:cs="Arial"/>
        </w:rPr>
        <w:t>r</w:t>
      </w:r>
      <w:r w:rsidR="00C90EB5">
        <w:rPr>
          <w:rFonts w:cs="Arial"/>
        </w:rPr>
        <w:t>eal</w:t>
      </w:r>
      <w:r>
        <w:rPr>
          <w:rFonts w:cs="Arial"/>
        </w:rPr>
        <w:t xml:space="preserve"> </w:t>
      </w:r>
      <w:r w:rsidR="00314F81">
        <w:rPr>
          <w:rFonts w:cs="Arial"/>
        </w:rPr>
        <w:t>v</w:t>
      </w:r>
      <w:r>
        <w:rPr>
          <w:rFonts w:cs="Arial"/>
        </w:rPr>
        <w:t xml:space="preserve">alues </w:t>
      </w:r>
      <w:r w:rsidR="00280B40">
        <w:t xml:space="preserve">showed in </w:t>
      </w:r>
      <w:r w:rsidR="007D6B65">
        <w:t>F</w:t>
      </w:r>
      <w:r w:rsidR="00280B40">
        <w:t xml:space="preserve">igure </w:t>
      </w:r>
      <w:r w:rsidR="00525C1C">
        <w:t>3</w:t>
      </w:r>
      <w:r>
        <w:rPr>
          <w:rFonts w:cs="Arial"/>
        </w:rPr>
        <w:t xml:space="preserve"> for each </w:t>
      </w:r>
      <w:r w:rsidR="00314F81">
        <w:rPr>
          <w:rFonts w:cs="Arial"/>
        </w:rPr>
        <w:t>p</w:t>
      </w:r>
      <w:r>
        <w:rPr>
          <w:rFonts w:cs="Arial"/>
        </w:rPr>
        <w:t>arameter n=Φ,</w:t>
      </w:r>
      <w:r w:rsidR="00414A24">
        <w:rPr>
          <w:rFonts w:cs="Arial"/>
        </w:rPr>
        <w:t xml:space="preserve"> </w:t>
      </w:r>
      <w:r>
        <w:rPr>
          <w:rFonts w:cs="Arial"/>
        </w:rPr>
        <w:t>Δ,</w:t>
      </w:r>
      <w:r w:rsidR="00414A24">
        <w:rPr>
          <w:rFonts w:cs="Arial"/>
        </w:rPr>
        <w:t xml:space="preserve"> </w:t>
      </w:r>
      <w:r>
        <w:rPr>
          <w:rFonts w:cs="Arial"/>
        </w:rPr>
        <w:t>Ω.</w:t>
      </w:r>
    </w:p>
    <w:p w14:paraId="4A0C227F" w14:textId="09714052" w:rsidR="00F30E73" w:rsidRDefault="00BE76C8" w:rsidP="00D636E3">
      <w:pPr>
        <w:pStyle w:val="CETBodytext"/>
        <w:rPr>
          <w:rFonts w:cs="Arial"/>
        </w:rPr>
      </w:pPr>
      <w:r>
        <w:rPr>
          <w:rFonts w:cs="Arial"/>
        </w:rPr>
        <w:t xml:space="preserve">This formulation for the </w:t>
      </w:r>
      <w:r w:rsidR="004A2ECA">
        <w:rPr>
          <w:rFonts w:cs="Arial"/>
        </w:rPr>
        <w:t>r</w:t>
      </w:r>
      <w:r>
        <w:rPr>
          <w:rFonts w:cs="Arial"/>
        </w:rPr>
        <w:t xml:space="preserve">eference </w:t>
      </w:r>
      <w:r w:rsidR="004A2ECA">
        <w:rPr>
          <w:rFonts w:cs="Arial"/>
        </w:rPr>
        <w:t>s</w:t>
      </w:r>
      <w:r>
        <w:rPr>
          <w:rFonts w:cs="Arial"/>
        </w:rPr>
        <w:t>ystem ensure</w:t>
      </w:r>
      <w:r w:rsidR="00E8165E">
        <w:rPr>
          <w:rFonts w:cs="Arial"/>
        </w:rPr>
        <w:t>s</w:t>
      </w:r>
      <w:r>
        <w:rPr>
          <w:rFonts w:cs="Arial"/>
        </w:rPr>
        <w:t xml:space="preserve"> that:</w:t>
      </w:r>
    </w:p>
    <w:p w14:paraId="4E944B56" w14:textId="4BB23B35" w:rsidR="00BE76C8" w:rsidRDefault="00BE76C8" w:rsidP="00484B61">
      <w:pPr>
        <w:pStyle w:val="CETBodytext"/>
        <w:numPr>
          <w:ilvl w:val="0"/>
          <w:numId w:val="27"/>
        </w:numPr>
        <w:rPr>
          <w:rFonts w:cs="Arial"/>
        </w:rPr>
      </w:pPr>
      <w:r>
        <w:rPr>
          <w:rFonts w:cs="Arial"/>
        </w:rPr>
        <w:t xml:space="preserve">it is satisfied the condition </w:t>
      </w:r>
      <w:r w:rsidR="0043283A">
        <w:rPr>
          <w:rFonts w:cs="Arial"/>
        </w:rPr>
        <w:t>|</w:t>
      </w:r>
      <w:r>
        <w:rPr>
          <w:rFonts w:cs="Arial"/>
        </w:rPr>
        <w:t>RS</w:t>
      </w:r>
      <w:r w:rsidR="0043283A" w:rsidRPr="0043283A">
        <w:rPr>
          <w:rFonts w:cs="Arial"/>
          <w:vertAlign w:val="superscript"/>
        </w:rPr>
        <w:t>(n)</w:t>
      </w:r>
      <w:r w:rsidR="0043283A">
        <w:rPr>
          <w:rFonts w:cs="Arial"/>
        </w:rPr>
        <w:t>|</w:t>
      </w:r>
      <w:r>
        <w:rPr>
          <w:rFonts w:cs="Arial"/>
        </w:rPr>
        <w:t xml:space="preserve"> &gt; MAX</w:t>
      </w:r>
      <w:r w:rsidR="00BD6FB9">
        <w:rPr>
          <w:rFonts w:cs="Arial"/>
        </w:rPr>
        <w:t>(|RV</w:t>
      </w:r>
      <w:r w:rsidR="00BA6ED3" w:rsidRPr="00BA6ED3">
        <w:rPr>
          <w:rFonts w:cs="Arial"/>
          <w:vertAlign w:val="subscript"/>
        </w:rPr>
        <w:t>i</w:t>
      </w:r>
      <w:r w:rsidR="0043283A" w:rsidRPr="00BE76C8">
        <w:rPr>
          <w:rFonts w:cs="Arial"/>
          <w:vertAlign w:val="superscript"/>
        </w:rPr>
        <w:t>(n)</w:t>
      </w:r>
      <w:r w:rsidR="00BD6FB9">
        <w:rPr>
          <w:rFonts w:cs="Arial"/>
        </w:rPr>
        <w:t>|)</w:t>
      </w:r>
      <w:r w:rsidRPr="00BE76C8">
        <w:rPr>
          <w:rFonts w:cs="Arial"/>
        </w:rPr>
        <w:t>, i.e.</w:t>
      </w:r>
      <w:r>
        <w:rPr>
          <w:rFonts w:cs="Arial"/>
          <w:vertAlign w:val="superscript"/>
        </w:rPr>
        <w:t xml:space="preserve"> </w:t>
      </w:r>
      <w:r>
        <w:rPr>
          <w:rFonts w:cs="Arial"/>
        </w:rPr>
        <w:t xml:space="preserve">the </w:t>
      </w:r>
      <w:r w:rsidR="00F9792A">
        <w:rPr>
          <w:rFonts w:cs="Arial"/>
        </w:rPr>
        <w:t>r</w:t>
      </w:r>
      <w:r w:rsidR="00C12AA8">
        <w:rPr>
          <w:rFonts w:cs="Arial"/>
        </w:rPr>
        <w:t xml:space="preserve">eference </w:t>
      </w:r>
      <w:r w:rsidR="00F9792A">
        <w:rPr>
          <w:rFonts w:cs="Arial"/>
        </w:rPr>
        <w:t>s</w:t>
      </w:r>
      <w:r w:rsidR="00C12AA8">
        <w:rPr>
          <w:rFonts w:cs="Arial"/>
        </w:rPr>
        <w:t xml:space="preserve">ystem is outside the </w:t>
      </w:r>
      <w:r w:rsidR="00F9792A">
        <w:rPr>
          <w:rFonts w:cs="Arial"/>
        </w:rPr>
        <w:t>r</w:t>
      </w:r>
      <w:r w:rsidR="00C12AA8">
        <w:rPr>
          <w:rFonts w:cs="Arial"/>
        </w:rPr>
        <w:t>ange of the</w:t>
      </w:r>
      <w:r w:rsidR="00640E42">
        <w:rPr>
          <w:rFonts w:cs="Arial"/>
        </w:rPr>
        <w:t xml:space="preserve"> </w:t>
      </w:r>
      <w:r w:rsidR="00F9792A">
        <w:rPr>
          <w:rFonts w:cs="Arial"/>
        </w:rPr>
        <w:t>r</w:t>
      </w:r>
      <w:r w:rsidR="00640E42">
        <w:rPr>
          <w:rFonts w:cs="Arial"/>
        </w:rPr>
        <w:t xml:space="preserve">eal </w:t>
      </w:r>
      <w:r w:rsidR="00F9792A">
        <w:rPr>
          <w:rFonts w:cs="Arial"/>
        </w:rPr>
        <w:t>v</w:t>
      </w:r>
      <w:r w:rsidR="00640E42">
        <w:rPr>
          <w:rFonts w:cs="Arial"/>
        </w:rPr>
        <w:t>alues distribution for each</w:t>
      </w:r>
      <w:r w:rsidR="00C12AA8">
        <w:rPr>
          <w:rFonts w:cs="Arial"/>
        </w:rPr>
        <w:t xml:space="preserve"> </w:t>
      </w:r>
      <w:r w:rsidR="00F9792A">
        <w:rPr>
          <w:rFonts w:cs="Arial"/>
        </w:rPr>
        <w:t>p</w:t>
      </w:r>
      <w:r w:rsidR="00C12AA8">
        <w:rPr>
          <w:rFonts w:cs="Arial"/>
        </w:rPr>
        <w:t>arameter</w:t>
      </w:r>
      <w:r w:rsidR="00714535">
        <w:rPr>
          <w:rFonts w:cs="Arial"/>
        </w:rPr>
        <w:t>;</w:t>
      </w:r>
    </w:p>
    <w:p w14:paraId="2A1AFCFB" w14:textId="0F8275D4" w:rsidR="00BE76C8" w:rsidRDefault="00BE76C8" w:rsidP="00484B61">
      <w:pPr>
        <w:pStyle w:val="CETBodytext"/>
        <w:numPr>
          <w:ilvl w:val="0"/>
          <w:numId w:val="27"/>
        </w:numPr>
        <w:rPr>
          <w:rFonts w:cs="Arial"/>
        </w:rPr>
      </w:pPr>
      <w:r>
        <w:rPr>
          <w:rFonts w:cs="Arial"/>
        </w:rPr>
        <w:t xml:space="preserve">the </w:t>
      </w:r>
      <w:r w:rsidR="00F9792A">
        <w:rPr>
          <w:rFonts w:cs="Arial"/>
        </w:rPr>
        <w:t>r</w:t>
      </w:r>
      <w:r>
        <w:rPr>
          <w:rFonts w:cs="Arial"/>
        </w:rPr>
        <w:t xml:space="preserve">eference </w:t>
      </w:r>
      <w:r w:rsidR="00F9792A">
        <w:rPr>
          <w:rFonts w:cs="Arial"/>
        </w:rPr>
        <w:t>s</w:t>
      </w:r>
      <w:r>
        <w:rPr>
          <w:rFonts w:cs="Arial"/>
        </w:rPr>
        <w:t xml:space="preserve">ystem acts on the </w:t>
      </w:r>
      <w:r w:rsidR="00F9792A">
        <w:rPr>
          <w:rFonts w:cs="Arial"/>
        </w:rPr>
        <w:t>r</w:t>
      </w:r>
      <w:r>
        <w:rPr>
          <w:rFonts w:cs="Arial"/>
        </w:rPr>
        <w:t xml:space="preserve">eal </w:t>
      </w:r>
      <w:r w:rsidR="00F9792A">
        <w:rPr>
          <w:rFonts w:cs="Arial"/>
        </w:rPr>
        <w:t>v</w:t>
      </w:r>
      <w:r>
        <w:rPr>
          <w:rFonts w:cs="Arial"/>
        </w:rPr>
        <w:t xml:space="preserve">alues of each </w:t>
      </w:r>
      <w:r w:rsidR="00F9792A">
        <w:rPr>
          <w:rFonts w:cs="Arial"/>
        </w:rPr>
        <w:t>p</w:t>
      </w:r>
      <w:r>
        <w:rPr>
          <w:rFonts w:cs="Arial"/>
        </w:rPr>
        <w:t xml:space="preserve">arameter in the same way, </w:t>
      </w:r>
      <w:r w:rsidR="00414A24">
        <w:rPr>
          <w:rFonts w:cs="Arial"/>
        </w:rPr>
        <w:t>as</w:t>
      </w:r>
      <w:r w:rsidR="00BD6FB9">
        <w:rPr>
          <w:rFonts w:cs="Arial"/>
        </w:rPr>
        <w:t xml:space="preserve"> it is calculated starting from</w:t>
      </w:r>
      <w:r>
        <w:rPr>
          <w:rFonts w:cs="Arial"/>
        </w:rPr>
        <w:t xml:space="preserve"> the distribution of the </w:t>
      </w:r>
      <w:r w:rsidR="00F9792A">
        <w:rPr>
          <w:rFonts w:cs="Arial"/>
        </w:rPr>
        <w:t>r</w:t>
      </w:r>
      <w:r>
        <w:rPr>
          <w:rFonts w:cs="Arial"/>
        </w:rPr>
        <w:t xml:space="preserve">eal </w:t>
      </w:r>
      <w:r w:rsidR="00F9792A">
        <w:rPr>
          <w:rFonts w:cs="Arial"/>
        </w:rPr>
        <w:t>v</w:t>
      </w:r>
      <w:r>
        <w:rPr>
          <w:rFonts w:cs="Arial"/>
        </w:rPr>
        <w:t>alues</w:t>
      </w:r>
      <w:r w:rsidR="00714535">
        <w:rPr>
          <w:rFonts w:cs="Arial"/>
        </w:rPr>
        <w:t>;</w:t>
      </w:r>
    </w:p>
    <w:p w14:paraId="686801BF" w14:textId="77777777" w:rsidR="00D631B8" w:rsidRDefault="00E8165E" w:rsidP="00484B61">
      <w:pPr>
        <w:pStyle w:val="CETBodytext"/>
        <w:numPr>
          <w:ilvl w:val="0"/>
          <w:numId w:val="27"/>
        </w:numPr>
        <w:rPr>
          <w:rFonts w:cs="Arial"/>
        </w:rPr>
      </w:pPr>
      <w:r>
        <w:rPr>
          <w:rFonts w:cs="Arial"/>
        </w:rPr>
        <w:t xml:space="preserve">the </w:t>
      </w:r>
      <w:r w:rsidR="00F9792A">
        <w:rPr>
          <w:rFonts w:cs="Arial"/>
        </w:rPr>
        <w:t>n</w:t>
      </w:r>
      <w:r>
        <w:rPr>
          <w:rFonts w:cs="Arial"/>
        </w:rPr>
        <w:t xml:space="preserve">ormalized </w:t>
      </w:r>
      <w:r w:rsidR="00F9792A">
        <w:rPr>
          <w:rFonts w:cs="Arial"/>
        </w:rPr>
        <w:t>v</w:t>
      </w:r>
      <w:r w:rsidR="00D631B8">
        <w:rPr>
          <w:rFonts w:cs="Arial"/>
        </w:rPr>
        <w:t xml:space="preserve">alues </w:t>
      </w:r>
      <w:r w:rsidR="0043283A">
        <w:rPr>
          <w:rFonts w:cs="Arial"/>
        </w:rPr>
        <w:t>(NV) are dimensionless, positive and it is 0</w:t>
      </w:r>
      <w:r w:rsidR="00BA6ED3">
        <w:rPr>
          <w:rFonts w:cs="Arial"/>
        </w:rPr>
        <w:t xml:space="preserve"> </w:t>
      </w:r>
      <w:r w:rsidR="0043283A">
        <w:rPr>
          <w:rFonts w:cs="Arial"/>
        </w:rPr>
        <w:t>&lt;</w:t>
      </w:r>
      <w:r w:rsidR="00BA6ED3">
        <w:rPr>
          <w:rFonts w:cs="Arial"/>
        </w:rPr>
        <w:t xml:space="preserve"> </w:t>
      </w:r>
      <w:r w:rsidR="0043283A">
        <w:rPr>
          <w:rFonts w:cs="Arial"/>
        </w:rPr>
        <w:t>NV</w:t>
      </w:r>
      <w:r w:rsidR="00BA6ED3" w:rsidRPr="00BA6ED3">
        <w:rPr>
          <w:rFonts w:cs="Arial"/>
          <w:vertAlign w:val="subscript"/>
        </w:rPr>
        <w:t>i</w:t>
      </w:r>
      <w:r w:rsidR="00BA6ED3" w:rsidRPr="00BA6ED3">
        <w:rPr>
          <w:rFonts w:cs="Arial"/>
          <w:vertAlign w:val="superscript"/>
        </w:rPr>
        <w:t>(n)</w:t>
      </w:r>
      <w:r w:rsidR="00BA6ED3">
        <w:rPr>
          <w:rFonts w:cs="Arial"/>
        </w:rPr>
        <w:t xml:space="preserve"> </w:t>
      </w:r>
      <w:r w:rsidR="0043283A">
        <w:rPr>
          <w:rFonts w:cs="Arial"/>
        </w:rPr>
        <w:t>&lt;</w:t>
      </w:r>
      <w:r w:rsidR="00BA6ED3">
        <w:rPr>
          <w:rFonts w:cs="Arial"/>
        </w:rPr>
        <w:t xml:space="preserve"> </w:t>
      </w:r>
      <w:r w:rsidR="0043283A">
        <w:rPr>
          <w:rFonts w:cs="Arial"/>
        </w:rPr>
        <w:t>1.</w:t>
      </w:r>
    </w:p>
    <w:p w14:paraId="7917F10C" w14:textId="4372F38F" w:rsidR="001943CA" w:rsidRDefault="00525C1C" w:rsidP="001943CA">
      <w:pPr>
        <w:pStyle w:val="CETBodytext"/>
        <w:rPr>
          <w:rFonts w:cs="Arial"/>
        </w:rPr>
      </w:pPr>
      <w:r>
        <w:rPr>
          <w:rFonts w:cs="Arial"/>
        </w:rPr>
        <w:t xml:space="preserve">The </w:t>
      </w:r>
      <w:r w:rsidR="001943CA">
        <w:rPr>
          <w:rFonts w:cs="Arial"/>
        </w:rPr>
        <w:t xml:space="preserve">RS position </w:t>
      </w:r>
      <w:r>
        <w:rPr>
          <w:rFonts w:cs="Arial"/>
        </w:rPr>
        <w:t>is shown in</w:t>
      </w:r>
      <w:r w:rsidR="001943CA">
        <w:rPr>
          <w:rFonts w:cs="Arial"/>
        </w:rPr>
        <w:t xml:space="preserve"> Figure </w:t>
      </w:r>
      <w:r w:rsidR="00670665">
        <w:rPr>
          <w:rFonts w:cs="Arial"/>
        </w:rPr>
        <w:t>3</w:t>
      </w:r>
      <w:r w:rsidR="001943CA">
        <w:rPr>
          <w:rFonts w:cs="Arial"/>
        </w:rPr>
        <w:t>.</w:t>
      </w:r>
    </w:p>
    <w:p w14:paraId="26875272" w14:textId="40040A58" w:rsidR="00BE76C8" w:rsidRDefault="00414A24" w:rsidP="009742CE">
      <w:pPr>
        <w:pStyle w:val="CETBodytext"/>
        <w:spacing w:after="240"/>
        <w:rPr>
          <w:rFonts w:cs="Arial"/>
        </w:rPr>
      </w:pPr>
      <w:r>
        <w:rPr>
          <w:rFonts w:cs="Arial"/>
        </w:rPr>
        <w:t>From the Equations</w:t>
      </w:r>
      <w:r w:rsidR="009234E1">
        <w:rPr>
          <w:rFonts w:cs="Arial"/>
        </w:rPr>
        <w:t xml:space="preserve"> (3), (4) and (5</w:t>
      </w:r>
      <w:r w:rsidR="00F16536">
        <w:rPr>
          <w:rFonts w:cs="Arial"/>
        </w:rPr>
        <w:t xml:space="preserve">) the </w:t>
      </w:r>
      <w:r w:rsidR="00F9792A">
        <w:rPr>
          <w:rFonts w:cs="Arial"/>
        </w:rPr>
        <w:t>n</w:t>
      </w:r>
      <w:r w:rsidR="00F16536">
        <w:rPr>
          <w:rFonts w:cs="Arial"/>
        </w:rPr>
        <w:t xml:space="preserve">ormalized </w:t>
      </w:r>
      <w:r w:rsidR="00F9792A">
        <w:rPr>
          <w:rFonts w:cs="Arial"/>
        </w:rPr>
        <w:t>v</w:t>
      </w:r>
      <w:r w:rsidR="00F16536">
        <w:rPr>
          <w:rFonts w:cs="Arial"/>
        </w:rPr>
        <w:t>alues</w:t>
      </w:r>
      <w:r w:rsidR="00C50546">
        <w:rPr>
          <w:rFonts w:cs="Arial"/>
        </w:rPr>
        <w:t xml:space="preserve"> </w:t>
      </w:r>
      <w:r w:rsidR="00F16536">
        <w:rPr>
          <w:rFonts w:cs="Arial"/>
        </w:rPr>
        <w:t xml:space="preserve">of each </w:t>
      </w:r>
      <w:r w:rsidR="004A2ECA">
        <w:rPr>
          <w:rFonts w:cs="Arial"/>
        </w:rPr>
        <w:t>t</w:t>
      </w:r>
      <w:r w:rsidR="00F16536">
        <w:rPr>
          <w:rFonts w:cs="Arial"/>
        </w:rPr>
        <w:t xml:space="preserve">est (i) and for each </w:t>
      </w:r>
      <w:r w:rsidR="009F47EA">
        <w:rPr>
          <w:rFonts w:cs="Arial"/>
        </w:rPr>
        <w:t>p</w:t>
      </w:r>
      <w:r w:rsidR="00F16536">
        <w:rPr>
          <w:rFonts w:cs="Arial"/>
        </w:rPr>
        <w:t xml:space="preserve">arameter (n) </w:t>
      </w:r>
      <w:r>
        <w:rPr>
          <w:rFonts w:cs="Arial"/>
        </w:rPr>
        <w:t>were</w:t>
      </w:r>
      <w:r w:rsidR="00FE1CF5">
        <w:rPr>
          <w:rFonts w:cs="Arial"/>
        </w:rPr>
        <w:t xml:space="preserve"> calculated. </w:t>
      </w:r>
      <w:r w:rsidR="00F9792A">
        <w:rPr>
          <w:rFonts w:cs="Arial"/>
        </w:rPr>
        <w:t xml:space="preserve">Figure </w:t>
      </w:r>
      <w:r w:rsidR="00525C1C">
        <w:rPr>
          <w:rFonts w:cs="Arial"/>
        </w:rPr>
        <w:t>4</w:t>
      </w:r>
      <w:r w:rsidR="00F9792A">
        <w:rPr>
          <w:rFonts w:cs="Arial"/>
        </w:rPr>
        <w:t xml:space="preserve">a shows </w:t>
      </w:r>
      <w:r w:rsidR="00FE1CF5">
        <w:rPr>
          <w:rFonts w:cs="Arial"/>
        </w:rPr>
        <w:t xml:space="preserve">the </w:t>
      </w:r>
      <w:r w:rsidR="00C50546">
        <w:rPr>
          <w:rFonts w:cs="Arial"/>
        </w:rPr>
        <w:t>NV</w:t>
      </w:r>
      <w:r w:rsidR="00C50546" w:rsidRPr="00C50546">
        <w:rPr>
          <w:rFonts w:cs="Arial"/>
          <w:vertAlign w:val="subscript"/>
        </w:rPr>
        <w:t>i</w:t>
      </w:r>
      <w:r w:rsidR="00C50546" w:rsidRPr="00C50546">
        <w:rPr>
          <w:rFonts w:cs="Arial"/>
          <w:vertAlign w:val="superscript"/>
        </w:rPr>
        <w:t>(n)</w:t>
      </w:r>
      <w:r w:rsidR="00C50546">
        <w:rPr>
          <w:rFonts w:cs="Arial"/>
          <w:vertAlign w:val="superscript"/>
        </w:rPr>
        <w:t xml:space="preserve"> </w:t>
      </w:r>
      <w:r w:rsidR="00F9792A">
        <w:rPr>
          <w:rFonts w:cs="Arial"/>
        </w:rPr>
        <w:t>d</w:t>
      </w:r>
      <w:r w:rsidR="007C0511">
        <w:rPr>
          <w:rFonts w:cs="Arial"/>
        </w:rPr>
        <w:t>istribution</w:t>
      </w:r>
      <w:r w:rsidR="00F9792A">
        <w:rPr>
          <w:rFonts w:cs="Arial"/>
        </w:rPr>
        <w:t xml:space="preserve"> for each parameter while</w:t>
      </w:r>
      <w:r w:rsidR="007C0511">
        <w:rPr>
          <w:rFonts w:cs="Arial"/>
        </w:rPr>
        <w:t xml:space="preserve"> </w:t>
      </w:r>
      <w:r w:rsidR="00CA2385">
        <w:rPr>
          <w:rFonts w:cs="Arial"/>
        </w:rPr>
        <w:t xml:space="preserve">Figure </w:t>
      </w:r>
      <w:r w:rsidR="00525C1C">
        <w:rPr>
          <w:rFonts w:cs="Arial"/>
        </w:rPr>
        <w:t>4</w:t>
      </w:r>
      <w:r w:rsidR="00F9792A">
        <w:rPr>
          <w:rFonts w:cs="Arial"/>
        </w:rPr>
        <w:t xml:space="preserve">b shows for each </w:t>
      </w:r>
      <w:r w:rsidR="00F9792A">
        <w:rPr>
          <w:rFonts w:cs="Arial"/>
        </w:rPr>
        <w:lastRenderedPageBreak/>
        <w:t>experimental test</w:t>
      </w:r>
      <w:r w:rsidR="007C0511">
        <w:rPr>
          <w:rFonts w:cs="Arial"/>
        </w:rPr>
        <w:t xml:space="preserve"> the </w:t>
      </w:r>
      <w:r w:rsidR="00F9792A">
        <w:rPr>
          <w:rFonts w:cs="Arial"/>
        </w:rPr>
        <w:t>d</w:t>
      </w:r>
      <w:r w:rsidR="00FE1CF5" w:rsidRPr="00D22D51">
        <w:rPr>
          <w:rFonts w:cs="Arial"/>
        </w:rPr>
        <w:t>istance</w:t>
      </w:r>
      <w:r w:rsidR="00FF213A">
        <w:rPr>
          <w:rFonts w:cs="Arial"/>
        </w:rPr>
        <w:t xml:space="preserve"> </w:t>
      </w:r>
      <w:r w:rsidR="00D631B8">
        <w:rPr>
          <w:rFonts w:cs="Arial"/>
        </w:rPr>
        <w:t>between the NV</w:t>
      </w:r>
      <w:r w:rsidR="00C50546" w:rsidRPr="00C50546">
        <w:rPr>
          <w:rFonts w:cs="Arial"/>
          <w:vertAlign w:val="subscript"/>
        </w:rPr>
        <w:t>i</w:t>
      </w:r>
      <w:r w:rsidR="00C50546" w:rsidRPr="00C50546">
        <w:rPr>
          <w:rFonts w:cs="Arial"/>
          <w:vertAlign w:val="superscript"/>
        </w:rPr>
        <w:t>(n)</w:t>
      </w:r>
      <w:r w:rsidR="00D631B8">
        <w:rPr>
          <w:rFonts w:cs="Arial"/>
        </w:rPr>
        <w:t xml:space="preserve"> and the AV</w:t>
      </w:r>
      <w:r w:rsidR="00FE1CF5">
        <w:rPr>
          <w:rFonts w:cs="Arial"/>
        </w:rPr>
        <w:t>(NV</w:t>
      </w:r>
      <w:r w:rsidR="002C42DC" w:rsidRPr="002C42DC">
        <w:rPr>
          <w:rFonts w:cs="Arial"/>
          <w:vertAlign w:val="subscript"/>
        </w:rPr>
        <w:t>i</w:t>
      </w:r>
      <w:r w:rsidR="00FE1CF5">
        <w:rPr>
          <w:rFonts w:cs="Arial"/>
        </w:rPr>
        <w:t>)</w:t>
      </w:r>
      <w:r w:rsidR="00C71239" w:rsidRPr="00C50546">
        <w:rPr>
          <w:rFonts w:cs="Arial"/>
          <w:vertAlign w:val="superscript"/>
        </w:rPr>
        <w:t>(n)</w:t>
      </w:r>
      <w:r w:rsidR="00FE1CF5">
        <w:rPr>
          <w:rFonts w:cs="Arial"/>
        </w:rPr>
        <w:t xml:space="preserve"> </w:t>
      </w:r>
      <w:r w:rsidR="009F47EA">
        <w:rPr>
          <w:rFonts w:cs="Arial"/>
        </w:rPr>
        <w:t>of each parameter</w:t>
      </w:r>
      <w:r w:rsidR="00714535">
        <w:rPr>
          <w:rFonts w:cs="Arial"/>
        </w:rPr>
        <w:t xml:space="preserve"> and the average distance (AD)</w:t>
      </w:r>
      <w:r w:rsidR="009F47EA">
        <w:rPr>
          <w:rFonts w:cs="Arial"/>
        </w:rPr>
        <w:t xml:space="preserve"> as defined in equation</w:t>
      </w:r>
      <w:r w:rsidR="00FD2770">
        <w:rPr>
          <w:rFonts w:cs="Arial"/>
        </w:rPr>
        <w:t xml:space="preserve"> 6</w:t>
      </w:r>
      <w:r w:rsidR="009F47EA">
        <w:rPr>
          <w:rFonts w:cs="Arial"/>
        </w:rPr>
        <w:t>:</w:t>
      </w:r>
    </w:p>
    <w:p w14:paraId="3072A746" w14:textId="77777777" w:rsidR="009F47EA" w:rsidRDefault="00000000" w:rsidP="00B70CE9">
      <w:pPr>
        <w:pStyle w:val="CETEquation"/>
      </w:pPr>
      <m:oMath>
        <m:sSub>
          <m:sSubPr>
            <m:ctrlPr>
              <w:rPr>
                <w:rFonts w:ascii="Cambria Math" w:hAnsi="Cambria Math"/>
              </w:rPr>
            </m:ctrlPr>
          </m:sSubPr>
          <m:e>
            <m:r>
              <w:rPr>
                <w:rFonts w:ascii="Cambria Math" w:hAnsi="Cambria Math"/>
              </w:rPr>
              <m:t>AD</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sub>
          <m:sup/>
          <m:e>
            <m:r>
              <m:rPr>
                <m:sty m:val="p"/>
              </m:rPr>
              <w:rPr>
                <w:rFonts w:ascii="Cambria Math" w:hAnsi="Cambria Math"/>
              </w:rPr>
              <m:t>(</m:t>
            </m:r>
            <m:sSubSup>
              <m:sSubSupPr>
                <m:ctrlPr>
                  <w:rPr>
                    <w:rFonts w:ascii="Cambria Math" w:hAnsi="Cambria Math"/>
                  </w:rPr>
                </m:ctrlPr>
              </m:sSubSupPr>
              <m:e>
                <m:r>
                  <w:rPr>
                    <w:rFonts w:ascii="Cambria Math" w:hAnsi="Cambria Math"/>
                  </w:rPr>
                  <m:t>NV</m:t>
                </m:r>
              </m:e>
              <m:sub>
                <m:r>
                  <w:rPr>
                    <w:rFonts w:ascii="Cambria Math" w:hAnsi="Cambria Math"/>
                  </w:rPr>
                  <m:t>i</m:t>
                </m:r>
              </m:sub>
              <m:sup>
                <m:r>
                  <m:rPr>
                    <m:sty m:val="p"/>
                  </m:rPr>
                  <w:rPr>
                    <w:rFonts w:ascii="Cambria Math" w:hAnsi="Cambria Math"/>
                  </w:rPr>
                  <m:t>(</m:t>
                </m:r>
                <m:r>
                  <w:rPr>
                    <w:rFonts w:ascii="Cambria Math" w:hAnsi="Cambria Math"/>
                  </w:rPr>
                  <m:t>n</m:t>
                </m:r>
                <m:r>
                  <m:rPr>
                    <m:sty m:val="p"/>
                  </m:rPr>
                  <w:rPr>
                    <w:rFonts w:ascii="Cambria Math" w:hAnsi="Cambria Math"/>
                  </w:rPr>
                  <m:t>)</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AV</m:t>
            </m:r>
            <m:d>
              <m:dPr>
                <m:ctrlPr>
                  <w:rPr>
                    <w:rFonts w:ascii="Cambria Math" w:hAnsi="Cambria Math"/>
                  </w:rPr>
                </m:ctrlPr>
              </m:dPr>
              <m:e>
                <m:r>
                  <w:rPr>
                    <w:rFonts w:ascii="Cambria Math" w:hAnsi="Cambria Math"/>
                  </w:rPr>
                  <m:t>NV</m:t>
                </m:r>
              </m:e>
            </m:d>
          </m:e>
          <m:sub>
            <m:r>
              <w:rPr>
                <w:rFonts w:ascii="Cambria Math" w:hAnsi="Cambria Math"/>
              </w:rPr>
              <m:t>i</m:t>
            </m:r>
          </m:sub>
          <m:sup>
            <m:d>
              <m:dPr>
                <m:ctrlPr>
                  <w:rPr>
                    <w:rFonts w:ascii="Cambria Math" w:hAnsi="Cambria Math"/>
                  </w:rPr>
                </m:ctrlPr>
              </m:dPr>
              <m:e>
                <m:r>
                  <w:rPr>
                    <w:rFonts w:ascii="Cambria Math" w:hAnsi="Cambria Math"/>
                  </w:rPr>
                  <m:t>n</m:t>
                </m:r>
              </m:e>
            </m:d>
          </m:sup>
        </m:sSubSup>
        <m:r>
          <m:rPr>
            <m:sty m:val="p"/>
          </m:rPr>
          <w:rPr>
            <w:rFonts w:ascii="Cambria Math" w:hAnsi="Cambria Math"/>
          </w:rPr>
          <m:t xml:space="preserve">) / </m:t>
        </m:r>
        <m:r>
          <w:rPr>
            <w:rFonts w:ascii="Cambria Math" w:hAnsi="Cambria Math"/>
          </w:rPr>
          <m:t>N</m:t>
        </m:r>
      </m:oMath>
      <w:r w:rsidR="00411E42">
        <w:tab/>
        <w:t>(6)</w:t>
      </w:r>
    </w:p>
    <w:p w14:paraId="2D28B827" w14:textId="6876A6D3" w:rsidR="006E6CF0" w:rsidRPr="0057506F" w:rsidRDefault="000A6661" w:rsidP="00EC5335">
      <w:pPr>
        <w:pStyle w:val="CETBodytext"/>
      </w:pPr>
      <w:r>
        <w:rPr>
          <w:noProof/>
        </w:rPr>
        <w:drawing>
          <wp:inline distT="0" distB="0" distL="0" distR="0" wp14:anchorId="252B855D" wp14:editId="1FA94EC1">
            <wp:extent cx="2779913" cy="2474303"/>
            <wp:effectExtent l="0" t="0" r="0" b="0"/>
            <wp:docPr id="339948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7543" cy="2481095"/>
                    </a:xfrm>
                    <a:prstGeom prst="rect">
                      <a:avLst/>
                    </a:prstGeom>
                    <a:noFill/>
                    <a:ln>
                      <a:noFill/>
                    </a:ln>
                  </pic:spPr>
                </pic:pic>
              </a:graphicData>
            </a:graphic>
          </wp:inline>
        </w:drawing>
      </w:r>
      <w:r w:rsidR="0099660E">
        <w:rPr>
          <w:noProof/>
          <w:lang w:eastAsia="it-IT"/>
        </w:rPr>
        <w:t xml:space="preserve">   </w:t>
      </w:r>
      <w:r w:rsidR="00165A77">
        <w:rPr>
          <w:noProof/>
          <w:lang w:eastAsia="it-IT"/>
        </w:rPr>
        <w:t xml:space="preserve">  </w:t>
      </w:r>
      <w:r w:rsidR="0099660E">
        <w:rPr>
          <w:noProof/>
          <w:lang w:eastAsia="it-IT"/>
        </w:rPr>
        <w:t xml:space="preserve"> </w:t>
      </w:r>
      <w:r w:rsidR="00447A12" w:rsidRPr="00447A12">
        <w:rPr>
          <w:noProof/>
        </w:rPr>
        <w:drawing>
          <wp:inline distT="0" distB="0" distL="0" distR="0" wp14:anchorId="74A7C567" wp14:editId="508C1DD5">
            <wp:extent cx="2579716" cy="2481095"/>
            <wp:effectExtent l="0" t="0" r="0" b="0"/>
            <wp:docPr id="4691902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864" cy="2493740"/>
                    </a:xfrm>
                    <a:prstGeom prst="rect">
                      <a:avLst/>
                    </a:prstGeom>
                    <a:noFill/>
                    <a:ln>
                      <a:noFill/>
                    </a:ln>
                  </pic:spPr>
                </pic:pic>
              </a:graphicData>
            </a:graphic>
          </wp:inline>
        </w:drawing>
      </w:r>
      <w:r w:rsidR="0057506F" w:rsidRPr="0057506F">
        <w:rPr>
          <w:noProof/>
          <w:lang w:eastAsia="it-IT"/>
        </w:rPr>
        <w:t xml:space="preserve"> </w:t>
      </w:r>
    </w:p>
    <w:p w14:paraId="0E2D7136" w14:textId="1B96D527" w:rsidR="00BD134F" w:rsidRDefault="00F110F5" w:rsidP="008053D3">
      <w:pPr>
        <w:pStyle w:val="CETCaption"/>
      </w:pPr>
      <w:r>
        <w:t xml:space="preserve">Figure </w:t>
      </w:r>
      <w:r w:rsidR="00525C1C">
        <w:t>4</w:t>
      </w:r>
      <w:r w:rsidR="005A1281">
        <w:t>a</w:t>
      </w:r>
      <w:r w:rsidR="0057506F">
        <w:t>: NV Distribution</w:t>
      </w:r>
      <w:r w:rsidR="0099660E">
        <w:t xml:space="preserve">         </w:t>
      </w:r>
      <w:r w:rsidR="0066202A">
        <w:t xml:space="preserve">                     </w:t>
      </w:r>
      <w:r w:rsidR="00165A77">
        <w:t xml:space="preserve">                   </w:t>
      </w:r>
      <w:r>
        <w:t xml:space="preserve"> </w:t>
      </w:r>
      <w:r w:rsidR="00930C1D">
        <w:t xml:space="preserve">     </w:t>
      </w:r>
      <w:r>
        <w:t xml:space="preserve">Figure </w:t>
      </w:r>
      <w:r w:rsidR="00525C1C">
        <w:t>4</w:t>
      </w:r>
      <w:r w:rsidR="0066202A">
        <w:t>b</w:t>
      </w:r>
      <w:r w:rsidR="0099660E" w:rsidRPr="004B28DD">
        <w:t>:</w:t>
      </w:r>
      <w:r w:rsidR="0099660E">
        <w:t xml:space="preserve"> Distance between NV and AV(NV)                              </w:t>
      </w:r>
    </w:p>
    <w:p w14:paraId="02EC78A4" w14:textId="4ABE5D2C" w:rsidR="00C0562F" w:rsidRDefault="00447A12" w:rsidP="00C0562F">
      <w:pPr>
        <w:pStyle w:val="CETBodytext"/>
      </w:pPr>
      <w:r w:rsidRPr="00447A12">
        <w:rPr>
          <w:noProof/>
        </w:rPr>
        <w:drawing>
          <wp:inline distT="0" distB="0" distL="0" distR="0" wp14:anchorId="6AF8AA58" wp14:editId="2D9D2F0F">
            <wp:extent cx="2900967" cy="2314787"/>
            <wp:effectExtent l="0" t="0" r="0" b="0"/>
            <wp:docPr id="1456056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886" cy="2325894"/>
                    </a:xfrm>
                    <a:prstGeom prst="rect">
                      <a:avLst/>
                    </a:prstGeom>
                    <a:noFill/>
                    <a:ln>
                      <a:noFill/>
                    </a:ln>
                  </pic:spPr>
                </pic:pic>
              </a:graphicData>
            </a:graphic>
          </wp:inline>
        </w:drawing>
      </w:r>
      <w:r w:rsidR="00663393">
        <w:t xml:space="preserve">     </w:t>
      </w:r>
      <w:r w:rsidR="007C10CC" w:rsidRPr="007C10CC">
        <w:t xml:space="preserve"> </w:t>
      </w:r>
      <w:r w:rsidRPr="00447A12">
        <w:rPr>
          <w:noProof/>
        </w:rPr>
        <w:drawing>
          <wp:inline distT="0" distB="0" distL="0" distR="0" wp14:anchorId="7B6A43AE" wp14:editId="7C1AE7DA">
            <wp:extent cx="2466649" cy="2263775"/>
            <wp:effectExtent l="0" t="0" r="0" b="0"/>
            <wp:docPr id="6467090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169" cy="2267006"/>
                    </a:xfrm>
                    <a:prstGeom prst="rect">
                      <a:avLst/>
                    </a:prstGeom>
                    <a:noFill/>
                    <a:ln>
                      <a:noFill/>
                    </a:ln>
                  </pic:spPr>
                </pic:pic>
              </a:graphicData>
            </a:graphic>
          </wp:inline>
        </w:drawing>
      </w:r>
    </w:p>
    <w:p w14:paraId="242922FB" w14:textId="7A64318F" w:rsidR="00BD134F" w:rsidRDefault="00F110F5" w:rsidP="00B56172">
      <w:pPr>
        <w:pStyle w:val="CETCaption"/>
        <w:ind w:left="5387" w:hanging="5387"/>
      </w:pPr>
      <w:r>
        <w:t xml:space="preserve">Figure </w:t>
      </w:r>
      <w:r w:rsidR="00930C1D">
        <w:t>5</w:t>
      </w:r>
      <w:r w:rsidR="00C0562F" w:rsidRPr="0075094F">
        <w:t>:</w:t>
      </w:r>
      <w:r w:rsidR="00C0562F">
        <w:t xml:space="preserve"> </w:t>
      </w:r>
      <w:r w:rsidR="00840279">
        <w:t>Radar plot of the NV of the 3 parameters</w:t>
      </w:r>
      <w:r w:rsidR="00C0562F">
        <w:t xml:space="preserve"> </w:t>
      </w:r>
      <w:r w:rsidR="00C0562F" w:rsidRPr="0075094F">
        <w:t xml:space="preserve">  </w:t>
      </w:r>
      <w:r w:rsidR="00677CC6">
        <w:t xml:space="preserve">      </w:t>
      </w:r>
      <w:r w:rsidR="00200BEF" w:rsidRPr="0075094F">
        <w:t xml:space="preserve"> </w:t>
      </w:r>
      <w:r w:rsidR="002256C1" w:rsidRPr="0075094F">
        <w:t xml:space="preserve">Figure </w:t>
      </w:r>
      <w:r w:rsidR="00930C1D">
        <w:t>6</w:t>
      </w:r>
      <w:r w:rsidR="00BD134F" w:rsidRPr="0075094F">
        <w:t>:</w:t>
      </w:r>
      <w:r w:rsidR="00840279">
        <w:t xml:space="preserve"> Comparison between the t</w:t>
      </w:r>
      <w:r w:rsidR="0075094F" w:rsidRPr="0075094F">
        <w:t>riangles</w:t>
      </w:r>
      <w:r w:rsidR="0075094F">
        <w:t xml:space="preserve"> </w:t>
      </w:r>
      <w:r w:rsidR="00840279">
        <w:t>a</w:t>
      </w:r>
      <w:r w:rsidR="0075094F">
        <w:t>rea</w:t>
      </w:r>
      <w:r w:rsidR="00247045">
        <w:t xml:space="preserve"> </w:t>
      </w:r>
      <w:r w:rsidR="00840279">
        <w:t xml:space="preserve">of the </w:t>
      </w:r>
      <w:r w:rsidR="00A9509B">
        <w:t>o</w:t>
      </w:r>
      <w:r w:rsidR="00247045">
        <w:t>ptimiz</w:t>
      </w:r>
      <w:r w:rsidR="00840279">
        <w:t>ed</w:t>
      </w:r>
      <w:r w:rsidR="00A96781">
        <w:t xml:space="preserve"> </w:t>
      </w:r>
      <w:r w:rsidR="00840279">
        <w:t>m</w:t>
      </w:r>
      <w:r w:rsidR="00A96781">
        <w:t>odel</w:t>
      </w:r>
    </w:p>
    <w:p w14:paraId="5EB24B0D" w14:textId="6542424B" w:rsidR="00930C1D" w:rsidRDefault="00930C1D" w:rsidP="00930C1D">
      <w:pPr>
        <w:pStyle w:val="CETBodytext"/>
      </w:pPr>
      <w:r w:rsidRPr="00C72BCB">
        <w:t>Th</w:t>
      </w:r>
      <w:r>
        <w:t>e</w:t>
      </w:r>
      <w:r w:rsidRPr="00C72BCB">
        <w:t xml:space="preserve"> distribution </w:t>
      </w:r>
      <w:r>
        <w:t xml:space="preserve">in Figure 4a allows to recognize the efficiency for each extinguishing agent. Furthermore, Figure 3b </w:t>
      </w:r>
      <w:r w:rsidRPr="00C72BCB">
        <w:t xml:space="preserve">shows </w:t>
      </w:r>
      <w:r>
        <w:t>that for test 10, 11, 12 the value of Average Distance (AD) is higher than 0.2 (Eq.6, with i=10,11,12, N=3). The value of AD also provides an indication of the efficiency for each extinguishing agent. Figure 4 shows the NV in a radar plot. Each axis refers to each Parameter. The higher is the NV, the higher is the efficiency.</w:t>
      </w:r>
    </w:p>
    <w:p w14:paraId="78F628C8" w14:textId="348CF55B" w:rsidR="00930C1D" w:rsidRDefault="00930C1D" w:rsidP="00930C1D">
      <w:pPr>
        <w:pStyle w:val="CETBodytext"/>
        <w:spacing w:after="240"/>
      </w:pPr>
      <w:r>
        <w:t xml:space="preserve">A comparison of the efficiency of each extinguishing agent is obtained by calculating the areas of the triangles as reported in Figure 5. These areas are </w:t>
      </w:r>
      <w:r w:rsidRPr="00E65A8B">
        <w:t xml:space="preserve">the </w:t>
      </w:r>
      <w:r>
        <w:t>locus</w:t>
      </w:r>
      <w:r w:rsidRPr="00E65A8B">
        <w:t xml:space="preserve"> of </w:t>
      </w:r>
      <w:r>
        <w:t>triads of</w:t>
      </w:r>
      <w:r w:rsidRPr="00E65A8B">
        <w:t xml:space="preserve"> points</w:t>
      </w:r>
      <w:r>
        <w:t xml:space="preserve"> (</w:t>
      </w:r>
      <w:r>
        <w:rPr>
          <w:rFonts w:cs="Arial"/>
        </w:rPr>
        <w:t>φ</w:t>
      </w:r>
      <w:r w:rsidRPr="006B7F9D">
        <w:rPr>
          <w:rFonts w:cs="Arial"/>
          <w:vertAlign w:val="subscript"/>
        </w:rPr>
        <w:t>i</w:t>
      </w:r>
      <w:r>
        <w:rPr>
          <w:rFonts w:cs="Arial"/>
          <w:vertAlign w:val="subscript"/>
        </w:rPr>
        <w:t xml:space="preserve"> </w:t>
      </w:r>
      <w:r>
        <w:rPr>
          <w:rFonts w:cs="Arial"/>
        </w:rPr>
        <w:t>; δ</w:t>
      </w:r>
      <w:r w:rsidRPr="006B7F9D">
        <w:rPr>
          <w:rFonts w:cs="Arial"/>
          <w:vertAlign w:val="subscript"/>
        </w:rPr>
        <w:t>i</w:t>
      </w:r>
      <w:r>
        <w:rPr>
          <w:rFonts w:cs="Arial"/>
          <w:vertAlign w:val="subscript"/>
        </w:rPr>
        <w:t xml:space="preserve"> </w:t>
      </w:r>
      <w:r>
        <w:rPr>
          <w:rFonts w:cs="Arial"/>
        </w:rPr>
        <w:t>; ω</w:t>
      </w:r>
      <w:r w:rsidRPr="006B7F9D">
        <w:rPr>
          <w:rFonts w:cs="Arial"/>
          <w:vertAlign w:val="subscript"/>
        </w:rPr>
        <w:t>i</w:t>
      </w:r>
      <w:r>
        <w:rPr>
          <w:rFonts w:cs="Arial"/>
        </w:rPr>
        <w:t>)</w:t>
      </w:r>
      <w:r w:rsidRPr="00E65A8B">
        <w:t xml:space="preserve"> that each </w:t>
      </w:r>
      <w:r>
        <w:t>extinguishing agent</w:t>
      </w:r>
      <w:r w:rsidRPr="00E65A8B">
        <w:t xml:space="preserve"> is able to ensure for</w:t>
      </w:r>
      <w:r>
        <w:t xml:space="preserve"> suppressing</w:t>
      </w:r>
      <w:r w:rsidRPr="00E65A8B">
        <w:t xml:space="preserve"> </w:t>
      </w:r>
      <w:r>
        <w:t xml:space="preserve">the </w:t>
      </w:r>
      <w:r w:rsidRPr="00E65A8B">
        <w:t xml:space="preserve">fire from </w:t>
      </w:r>
      <w:r>
        <w:t>the tested cells. Hence the extinguishing agent with the largest triangle area corresponds to the most efficient agent (see Figure 6): the most efficient extinguisher was the pure Water (</w:t>
      </w:r>
      <w:r>
        <w:rPr>
          <w:rFonts w:cs="Arial"/>
          <w:szCs w:val="18"/>
          <w:lang w:val="en-GB"/>
        </w:rPr>
        <w:t>11-WA-E-0-SP)</w:t>
      </w:r>
      <w:r>
        <w:t>, followed by F500-water spray (</w:t>
      </w:r>
      <w:r>
        <w:rPr>
          <w:rFonts w:cs="Arial"/>
          <w:szCs w:val="18"/>
          <w:lang w:val="en-GB"/>
        </w:rPr>
        <w:t>12-F5-H-2-SP</w:t>
      </w:r>
      <w:r>
        <w:t>) and F500-water mist (</w:t>
      </w:r>
      <w:r w:rsidRPr="00903877">
        <w:rPr>
          <w:rFonts w:cs="Arial"/>
          <w:szCs w:val="18"/>
        </w:rPr>
        <w:t>10-F5-H-3-MI</w:t>
      </w:r>
      <w:r>
        <w:rPr>
          <w:rFonts w:cs="Arial"/>
          <w:szCs w:val="18"/>
        </w:rPr>
        <w:t>).</w:t>
      </w:r>
    </w:p>
    <w:p w14:paraId="592FC0D6" w14:textId="3A0AC1AE" w:rsidR="00600535" w:rsidRPr="00BD134F" w:rsidRDefault="009C5225" w:rsidP="00600535">
      <w:pPr>
        <w:pStyle w:val="CETHeading1"/>
        <w:rPr>
          <w:lang w:val="it-IT"/>
        </w:rPr>
      </w:pPr>
      <w:r>
        <w:rPr>
          <w:lang w:val="it-IT"/>
        </w:rPr>
        <w:lastRenderedPageBreak/>
        <w:t>Conclusion</w:t>
      </w:r>
      <w:r w:rsidR="00536256">
        <w:rPr>
          <w:lang w:val="it-IT"/>
        </w:rPr>
        <w:t>s</w:t>
      </w:r>
    </w:p>
    <w:p w14:paraId="1805C0CA" w14:textId="49B51451" w:rsidR="00E51D7F" w:rsidRDefault="00806604" w:rsidP="006F6385">
      <w:pPr>
        <w:pStyle w:val="CETBodytext"/>
      </w:pPr>
      <w:r>
        <w:t>Extinction tests were performed on Li-ions pouch cells of 40</w:t>
      </w:r>
      <w:r w:rsidR="00536256">
        <w:t xml:space="preserve"> </w:t>
      </w:r>
      <w:r>
        <w:t>Wh with different extinguishing agents.</w:t>
      </w:r>
    </w:p>
    <w:p w14:paraId="2FC1C034" w14:textId="305FFFDD" w:rsidR="00C97253" w:rsidRPr="000F7885" w:rsidRDefault="00E51D7F" w:rsidP="006F6385">
      <w:pPr>
        <w:pStyle w:val="CETBodytext"/>
      </w:pPr>
      <w:r w:rsidRPr="000F7885">
        <w:t xml:space="preserve">In each </w:t>
      </w:r>
      <w:r w:rsidR="00806604" w:rsidRPr="000F7885">
        <w:t>t</w:t>
      </w:r>
      <w:r w:rsidRPr="000F7885">
        <w:t>est the fire</w:t>
      </w:r>
      <w:r w:rsidR="00536256" w:rsidRPr="000F7885">
        <w:t xml:space="preserve"> was</w:t>
      </w:r>
      <w:r w:rsidRPr="000F7885">
        <w:t xml:space="preserve"> completely </w:t>
      </w:r>
      <w:r w:rsidR="00C97253" w:rsidRPr="000F7885">
        <w:t>extinguished</w:t>
      </w:r>
      <w:r w:rsidRPr="000F7885">
        <w:t xml:space="preserve"> with the first </w:t>
      </w:r>
      <w:r w:rsidR="00806604" w:rsidRPr="000F7885">
        <w:t>s</w:t>
      </w:r>
      <w:r w:rsidRPr="000F7885">
        <w:t>upply</w:t>
      </w:r>
      <w:r w:rsidR="00806604" w:rsidRPr="000F7885">
        <w:t xml:space="preserve"> of agent</w:t>
      </w:r>
      <w:r w:rsidR="00C97253" w:rsidRPr="000F7885">
        <w:t>.</w:t>
      </w:r>
    </w:p>
    <w:p w14:paraId="5A565A9A" w14:textId="4E6FD844" w:rsidR="001F5C4D" w:rsidRPr="000F7885" w:rsidRDefault="00B5408E" w:rsidP="003F5799">
      <w:pPr>
        <w:pStyle w:val="CETBodytext"/>
      </w:pPr>
      <w:r w:rsidRPr="000F7885">
        <w:t>The maximum flame heigh</w:t>
      </w:r>
      <w:r w:rsidR="00210E11" w:rsidRPr="000F7885">
        <w:t>t</w:t>
      </w:r>
      <w:r w:rsidRPr="000F7885">
        <w:t xml:space="preserve"> was about 1.5 m. </w:t>
      </w:r>
      <w:r w:rsidR="00E51D7F" w:rsidRPr="000F7885">
        <w:t>N</w:t>
      </w:r>
      <w:r w:rsidR="00744EF3" w:rsidRPr="000F7885">
        <w:t xml:space="preserve">o flame reignition occurred after the end of the </w:t>
      </w:r>
      <w:r w:rsidR="009616F6" w:rsidRPr="000F7885">
        <w:t>a</w:t>
      </w:r>
      <w:r w:rsidR="00744EF3" w:rsidRPr="000F7885">
        <w:t>gent supply.</w:t>
      </w:r>
    </w:p>
    <w:p w14:paraId="62CBFF71" w14:textId="77777777" w:rsidR="00E6590B" w:rsidRPr="000F7885" w:rsidRDefault="00E6590B" w:rsidP="00E6590B">
      <w:pPr>
        <w:pStyle w:val="CETBodytext"/>
      </w:pPr>
      <w:r w:rsidRPr="000F7885">
        <w:t>An optimization model was proposed to compare the efficiency of the extinguishing agents used in the tests.</w:t>
      </w:r>
    </w:p>
    <w:p w14:paraId="471383DE" w14:textId="7D703453" w:rsidR="00E6590B" w:rsidRPr="000F7885" w:rsidRDefault="00E6590B" w:rsidP="00E6590B">
      <w:pPr>
        <w:pStyle w:val="CETBodytext"/>
      </w:pPr>
      <w:r w:rsidRPr="000F7885">
        <w:t xml:space="preserve">The three parameters used for the optimization model were chosen for describing and measuring the extinction action during the agent supply and the subsequent cell </w:t>
      </w:r>
      <w:r w:rsidR="00930C1D" w:rsidRPr="000F7885">
        <w:t>t</w:t>
      </w:r>
      <w:r w:rsidRPr="000F7885">
        <w:t>emperature decay. They allow to understand how each agent acts on fire from Kokam SLPB 40 Ah</w:t>
      </w:r>
      <w:r w:rsidR="00930C1D" w:rsidRPr="000F7885">
        <w:t xml:space="preserve"> cell.</w:t>
      </w:r>
    </w:p>
    <w:p w14:paraId="0DEC6BC6" w14:textId="00D9CA76" w:rsidR="0084530D" w:rsidRPr="000F7885" w:rsidRDefault="0084530D" w:rsidP="00903877">
      <w:pPr>
        <w:pStyle w:val="CETBodytext"/>
        <w:ind w:right="-1"/>
        <w:rPr>
          <w:rFonts w:cs="Arial"/>
          <w:szCs w:val="18"/>
        </w:rPr>
      </w:pPr>
      <w:r w:rsidRPr="000F7885">
        <w:t xml:space="preserve">From the </w:t>
      </w:r>
      <w:r w:rsidR="009616F6" w:rsidRPr="000F7885">
        <w:t>o</w:t>
      </w:r>
      <w:r w:rsidRPr="000F7885">
        <w:t xml:space="preserve">ptimization </w:t>
      </w:r>
      <w:r w:rsidR="009616F6" w:rsidRPr="000F7885">
        <w:t>m</w:t>
      </w:r>
      <w:r w:rsidRPr="000F7885">
        <w:t xml:space="preserve">odel it emerges that the most </w:t>
      </w:r>
      <w:r w:rsidR="00536256" w:rsidRPr="000F7885">
        <w:t>efficient</w:t>
      </w:r>
      <w:r w:rsidRPr="000F7885">
        <w:t xml:space="preserve"> </w:t>
      </w:r>
      <w:r w:rsidR="009616F6" w:rsidRPr="000F7885">
        <w:t>e</w:t>
      </w:r>
      <w:r w:rsidRPr="000F7885">
        <w:t>xtinguisher</w:t>
      </w:r>
      <w:r w:rsidR="00E8094E" w:rsidRPr="000F7885">
        <w:t xml:space="preserve"> was the pure Water </w:t>
      </w:r>
      <w:r w:rsidR="00903877" w:rsidRPr="000F7885">
        <w:t>(</w:t>
      </w:r>
      <w:r w:rsidR="00903877" w:rsidRPr="000F7885">
        <w:rPr>
          <w:rFonts w:cs="Arial"/>
          <w:szCs w:val="18"/>
          <w:lang w:val="en-GB"/>
        </w:rPr>
        <w:t>11-WA-E-0-SP)</w:t>
      </w:r>
      <w:r w:rsidRPr="000F7885">
        <w:t>, followed by F500</w:t>
      </w:r>
      <w:r w:rsidR="009616F6" w:rsidRPr="000F7885">
        <w:t>-wate spray</w:t>
      </w:r>
      <w:r w:rsidRPr="000F7885">
        <w:t xml:space="preserve"> (</w:t>
      </w:r>
      <w:r w:rsidR="00903877" w:rsidRPr="000F7885">
        <w:rPr>
          <w:rFonts w:cs="Arial"/>
          <w:szCs w:val="18"/>
          <w:lang w:val="en-GB"/>
        </w:rPr>
        <w:t>12-F5-H-2-SP</w:t>
      </w:r>
      <w:r w:rsidRPr="000F7885">
        <w:t>) and F500</w:t>
      </w:r>
      <w:r w:rsidR="009616F6" w:rsidRPr="000F7885">
        <w:t>-water mist</w:t>
      </w:r>
      <w:r w:rsidRPr="000F7885">
        <w:t xml:space="preserve"> (</w:t>
      </w:r>
      <w:r w:rsidR="00903877" w:rsidRPr="000F7885">
        <w:rPr>
          <w:rFonts w:cs="Arial"/>
          <w:szCs w:val="18"/>
        </w:rPr>
        <w:t>10-F5-H-3-MI).</w:t>
      </w:r>
    </w:p>
    <w:p w14:paraId="41EF3078" w14:textId="3513B096" w:rsidR="00744EF3" w:rsidRPr="000F7885" w:rsidRDefault="009616F6" w:rsidP="006F6385">
      <w:pPr>
        <w:pStyle w:val="CETBodytext"/>
      </w:pPr>
      <w:r w:rsidRPr="000F7885">
        <w:t>For sake of clarity, t</w:t>
      </w:r>
      <w:r w:rsidR="009D5BBA" w:rsidRPr="000F7885">
        <w:t>h</w:t>
      </w:r>
      <w:r w:rsidR="00536256" w:rsidRPr="000F7885">
        <w:t>e</w:t>
      </w:r>
      <w:r w:rsidR="009D5BBA" w:rsidRPr="000F7885">
        <w:t>s</w:t>
      </w:r>
      <w:r w:rsidR="00536256" w:rsidRPr="000F7885">
        <w:t>e</w:t>
      </w:r>
      <w:r w:rsidR="009D5BBA" w:rsidRPr="000F7885">
        <w:t xml:space="preserve"> </w:t>
      </w:r>
      <w:r w:rsidRPr="000F7885">
        <w:t>results refer to experimental tests in which</w:t>
      </w:r>
      <w:r w:rsidR="009D5BBA" w:rsidRPr="000F7885">
        <w:t xml:space="preserve"> no obstacle cover</w:t>
      </w:r>
      <w:r w:rsidRPr="000F7885">
        <w:t>ed</w:t>
      </w:r>
      <w:r w:rsidR="009D5BBA" w:rsidRPr="000F7885">
        <w:t xml:space="preserve"> the cell</w:t>
      </w:r>
      <w:r w:rsidR="0062331C" w:rsidRPr="000F7885">
        <w:t xml:space="preserve"> (</w:t>
      </w:r>
      <w:r w:rsidRPr="000F7885">
        <w:t xml:space="preserve">i.e. </w:t>
      </w:r>
      <w:r w:rsidR="0062331C" w:rsidRPr="000F7885">
        <w:t>battery module or vehicle compartments)</w:t>
      </w:r>
      <w:r w:rsidR="009D5BBA" w:rsidRPr="000F7885">
        <w:t xml:space="preserve">. </w:t>
      </w:r>
      <w:r w:rsidRPr="000F7885">
        <w:t>In</w:t>
      </w:r>
      <w:r w:rsidR="009D5BBA" w:rsidRPr="000F7885">
        <w:t xml:space="preserve"> this condition the </w:t>
      </w:r>
      <w:r w:rsidRPr="000F7885">
        <w:t>e</w:t>
      </w:r>
      <w:r w:rsidR="009D5BBA" w:rsidRPr="000F7885">
        <w:t xml:space="preserve">xtinguishing jet </w:t>
      </w:r>
      <w:r w:rsidRPr="000F7885">
        <w:t>can</w:t>
      </w:r>
      <w:r w:rsidR="009D5BBA" w:rsidRPr="000F7885">
        <w:t xml:space="preserve"> reach and wet the surface without any </w:t>
      </w:r>
      <w:r w:rsidRPr="000F7885">
        <w:t>loss</w:t>
      </w:r>
      <w:r w:rsidR="0066202A" w:rsidRPr="000F7885">
        <w:t>,</w:t>
      </w:r>
      <w:r w:rsidR="009D5BBA" w:rsidRPr="000F7885">
        <w:t xml:space="preserve"> regardless of the fluid </w:t>
      </w:r>
      <w:r w:rsidR="0062331C" w:rsidRPr="000F7885">
        <w:t>dynamic of the jet (</w:t>
      </w:r>
      <w:r w:rsidRPr="000F7885">
        <w:t>m</w:t>
      </w:r>
      <w:r w:rsidR="0062331C" w:rsidRPr="000F7885">
        <w:t>ist</w:t>
      </w:r>
      <w:r w:rsidR="00536256" w:rsidRPr="000F7885">
        <w:t xml:space="preserve"> or</w:t>
      </w:r>
      <w:r w:rsidR="0062331C" w:rsidRPr="000F7885">
        <w:t xml:space="preserve"> </w:t>
      </w:r>
      <w:r w:rsidRPr="000F7885">
        <w:t>s</w:t>
      </w:r>
      <w:r w:rsidR="0062331C" w:rsidRPr="000F7885">
        <w:t>pray</w:t>
      </w:r>
      <w:r w:rsidR="009D5BBA" w:rsidRPr="000F7885">
        <w:t xml:space="preserve">). </w:t>
      </w:r>
    </w:p>
    <w:p w14:paraId="10234583" w14:textId="77777777" w:rsidR="00105379" w:rsidRPr="000F7885" w:rsidRDefault="00600535" w:rsidP="00F104DD">
      <w:pPr>
        <w:pStyle w:val="CETReference"/>
      </w:pPr>
      <w:r w:rsidRPr="000F7885">
        <w:t>Acknowledgments</w:t>
      </w:r>
      <w:r w:rsidR="005C3C3F" w:rsidRPr="000F7885">
        <w:t xml:space="preserve"> </w:t>
      </w:r>
    </w:p>
    <w:p w14:paraId="342E64DE" w14:textId="77777777" w:rsidR="0078750B" w:rsidRPr="000F7885" w:rsidRDefault="00465F58" w:rsidP="0078750B">
      <w:pPr>
        <w:pStyle w:val="CETBodytext"/>
        <w:rPr>
          <w:lang w:val="en-GB"/>
        </w:rPr>
      </w:pPr>
      <w:r w:rsidRPr="000F7885">
        <w:rPr>
          <w:lang w:val="en-GB"/>
        </w:rPr>
        <w:t>The</w:t>
      </w:r>
      <w:r w:rsidR="00D375A5" w:rsidRPr="000F7885">
        <w:rPr>
          <w:lang w:val="en-GB"/>
        </w:rPr>
        <w:t xml:space="preserve"> </w:t>
      </w:r>
      <w:r w:rsidRPr="000F7885">
        <w:rPr>
          <w:lang w:val="en-GB"/>
        </w:rPr>
        <w:t>e</w:t>
      </w:r>
      <w:r w:rsidR="00D375A5" w:rsidRPr="000F7885">
        <w:rPr>
          <w:lang w:val="en-GB"/>
        </w:rPr>
        <w:t xml:space="preserve">xtinction </w:t>
      </w:r>
      <w:r w:rsidRPr="000F7885">
        <w:rPr>
          <w:lang w:val="en-GB"/>
        </w:rPr>
        <w:t>tests</w:t>
      </w:r>
      <w:r w:rsidR="0078750B" w:rsidRPr="000F7885">
        <w:rPr>
          <w:lang w:val="en-GB"/>
        </w:rPr>
        <w:t xml:space="preserve"> </w:t>
      </w:r>
      <w:r w:rsidRPr="000F7885">
        <w:rPr>
          <w:lang w:val="en-GB"/>
        </w:rPr>
        <w:t>were</w:t>
      </w:r>
      <w:r w:rsidR="0078750B" w:rsidRPr="000F7885">
        <w:rPr>
          <w:lang w:val="en-GB"/>
        </w:rPr>
        <w:t xml:space="preserve"> conducted </w:t>
      </w:r>
      <w:r w:rsidRPr="000F7885">
        <w:rPr>
          <w:lang w:val="en-GB"/>
        </w:rPr>
        <w:t>with the support of</w:t>
      </w:r>
      <w:r w:rsidR="0078750B" w:rsidRPr="000F7885">
        <w:rPr>
          <w:lang w:val="en-GB"/>
        </w:rPr>
        <w:t xml:space="preserve"> the National Fire Brigade of Rome, which has provided</w:t>
      </w:r>
      <w:r w:rsidR="00EF03F6" w:rsidRPr="000F7885">
        <w:rPr>
          <w:lang w:val="en-GB"/>
        </w:rPr>
        <w:t xml:space="preserve"> high professional operators</w:t>
      </w:r>
      <w:r w:rsidRPr="000F7885">
        <w:rPr>
          <w:lang w:val="en-GB"/>
        </w:rPr>
        <w:t xml:space="preserve">: </w:t>
      </w:r>
      <w:r w:rsidR="006276C1" w:rsidRPr="000F7885">
        <w:rPr>
          <w:lang w:val="en-GB"/>
        </w:rPr>
        <w:t xml:space="preserve">Alessandro Ilari, Duilio </w:t>
      </w:r>
      <w:r w:rsidR="00EF03F6" w:rsidRPr="000F7885">
        <w:rPr>
          <w:lang w:val="en-GB"/>
        </w:rPr>
        <w:t>Loi</w:t>
      </w:r>
      <w:r w:rsidR="006276C1" w:rsidRPr="000F7885">
        <w:rPr>
          <w:lang w:val="en-GB"/>
        </w:rPr>
        <w:t xml:space="preserve">, Ferruccio </w:t>
      </w:r>
      <w:r w:rsidR="002C363D" w:rsidRPr="000F7885">
        <w:rPr>
          <w:lang w:val="en-GB"/>
        </w:rPr>
        <w:t>Esibini</w:t>
      </w:r>
      <w:r w:rsidR="00EF03F6" w:rsidRPr="000F7885">
        <w:rPr>
          <w:lang w:val="en-GB"/>
        </w:rPr>
        <w:t>, Salvatore Fumaselli</w:t>
      </w:r>
      <w:r w:rsidR="006276C1" w:rsidRPr="000F7885">
        <w:rPr>
          <w:lang w:val="en-GB"/>
        </w:rPr>
        <w:t>.</w:t>
      </w:r>
    </w:p>
    <w:p w14:paraId="72E06DEA" w14:textId="73006CD7" w:rsidR="00105379" w:rsidRPr="000F7885" w:rsidRDefault="00600535" w:rsidP="00F104DD">
      <w:pPr>
        <w:pStyle w:val="CETReference"/>
      </w:pPr>
      <w:r w:rsidRPr="000F7885">
        <w:t>References</w:t>
      </w:r>
    </w:p>
    <w:p w14:paraId="60884782" w14:textId="2CC22BE9" w:rsidR="002E44BD" w:rsidRPr="000F7885" w:rsidRDefault="002E44BD" w:rsidP="002E44BD">
      <w:pPr>
        <w:pStyle w:val="CETReferencetext"/>
      </w:pPr>
      <w:r w:rsidRPr="000F7885">
        <w:t xml:space="preserve">Cai Ting, Tran Vivian, Stefanopoulou Anna G., Siegel Jason B., 2021, </w:t>
      </w:r>
      <w:r w:rsidR="007662C1" w:rsidRPr="000F7885">
        <w:t>Modelling</w:t>
      </w:r>
      <w:r w:rsidRPr="000F7885">
        <w:t xml:space="preserve"> Li-ion Battery First Venting Events Before Thermal Runaway, </w:t>
      </w:r>
      <w:r w:rsidR="00990AC4" w:rsidRPr="008628E4">
        <w:t>IFAC PapersOnLine, 54-20, 528–533.</w:t>
      </w:r>
    </w:p>
    <w:p w14:paraId="39368DF4" w14:textId="5DB94454" w:rsidR="003E4EF6" w:rsidRPr="00D846E6" w:rsidRDefault="00DA16B6" w:rsidP="003E4EF6">
      <w:pPr>
        <w:pStyle w:val="CETReferencetext"/>
      </w:pPr>
      <w:r w:rsidRPr="00D846E6">
        <w:t xml:space="preserve">Ditch </w:t>
      </w:r>
      <w:r w:rsidR="003E4EF6" w:rsidRPr="00D846E6">
        <w:t xml:space="preserve">B., </w:t>
      </w:r>
      <w:r w:rsidRPr="00D846E6">
        <w:t xml:space="preserve">de Vries </w:t>
      </w:r>
      <w:r w:rsidR="003E4EF6" w:rsidRPr="00D846E6">
        <w:t>J., 2013, Flammability Characterization of Lithium-ion Batteries in Bulk Storage, FM Global</w:t>
      </w:r>
      <w:r w:rsidR="002010E7">
        <w:t xml:space="preserve">, </w:t>
      </w:r>
      <w:r w:rsidR="003E4EF6" w:rsidRPr="00D846E6">
        <w:t>Boston, MA.</w:t>
      </w:r>
    </w:p>
    <w:p w14:paraId="379F21DD" w14:textId="6085C07E" w:rsidR="002E44BD" w:rsidRPr="000F7885" w:rsidRDefault="002E44BD" w:rsidP="002E44BD">
      <w:pPr>
        <w:pStyle w:val="CETReferencetext"/>
      </w:pPr>
      <w:r w:rsidRPr="00D846E6">
        <w:t xml:space="preserve">Egelhaaf M., Kress D., Wolpert D., Lange T., Justen R., Wilstermann H., 2013, Fire Fighting of Li-Ion Traction     Batteries, </w:t>
      </w:r>
      <w:r w:rsidR="00077393" w:rsidRPr="00D846E6">
        <w:t>SAE International</w:t>
      </w:r>
      <w:r w:rsidR="00077393" w:rsidRPr="000F7885">
        <w:t xml:space="preserve"> Journal of Alternative Powertrains, Vol. 2, pp. 37-48.</w:t>
      </w:r>
    </w:p>
    <w:p w14:paraId="7C164B08" w14:textId="0316B304" w:rsidR="003E4EF6" w:rsidRPr="000F7885" w:rsidRDefault="00DA16B6" w:rsidP="003E4EF6">
      <w:pPr>
        <w:pStyle w:val="CETReferencetext"/>
      </w:pPr>
      <w:r w:rsidRPr="000F7885">
        <w:t xml:space="preserve">Hill </w:t>
      </w:r>
      <w:r w:rsidR="003E4EF6" w:rsidRPr="000F7885">
        <w:t xml:space="preserve">D., </w:t>
      </w:r>
      <w:r w:rsidRPr="000F7885">
        <w:t xml:space="preserve">Warner </w:t>
      </w:r>
      <w:r w:rsidR="003E4EF6" w:rsidRPr="000F7885">
        <w:t xml:space="preserve">N., </w:t>
      </w:r>
      <w:r w:rsidRPr="000F7885">
        <w:t xml:space="preserve">Kovacs </w:t>
      </w:r>
      <w:r w:rsidR="003E4EF6" w:rsidRPr="000F7885">
        <w:t>W., 2017, Considerations for ESS Fire Safety,</w:t>
      </w:r>
      <w:r w:rsidR="00C1144D" w:rsidRPr="000F7885">
        <w:t xml:space="preserve"> </w:t>
      </w:r>
      <w:r w:rsidR="00CF64A6" w:rsidRPr="000F7885">
        <w:t>OAPUS301WIKO(PP151894), Rev.</w:t>
      </w:r>
      <w:r w:rsidR="00461438">
        <w:t xml:space="preserve"> </w:t>
      </w:r>
      <w:r w:rsidR="00CF64A6" w:rsidRPr="000F7885">
        <w:t>3</w:t>
      </w:r>
      <w:r w:rsidR="00461438">
        <w:t xml:space="preserve">, </w:t>
      </w:r>
      <w:r w:rsidR="00461438" w:rsidRPr="000F7885">
        <w:t>Det Norske Veritas (U.S.A.) Inc</w:t>
      </w:r>
      <w:r w:rsidR="00143164" w:rsidRPr="000F7885">
        <w:t>.</w:t>
      </w:r>
    </w:p>
    <w:p w14:paraId="3782DA6D" w14:textId="3F9A5D14" w:rsidR="002E44BD" w:rsidRPr="000F7885" w:rsidRDefault="002E44BD" w:rsidP="002E44BD">
      <w:pPr>
        <w:pStyle w:val="CETReferencetext"/>
      </w:pPr>
      <w:r w:rsidRPr="000F7885">
        <w:t>Kokam,</w:t>
      </w:r>
      <w:r w:rsidR="007F32BA" w:rsidRPr="000F7885">
        <w:t xml:space="preserve"> 2006, </w:t>
      </w:r>
      <w:r w:rsidRPr="000F7885">
        <w:t>Material Safety Data Sheet, Kokam</w:t>
      </w:r>
      <w:r w:rsidR="00E55533">
        <w:t xml:space="preserve">, </w:t>
      </w:r>
      <w:r w:rsidR="00E55533" w:rsidRPr="00E55533">
        <w:t>https://it.scribd.com/document/336759788/Kokam-SLPB-MSDS-New-Ficha-Tecnica#</w:t>
      </w:r>
      <w:r w:rsidR="00E55533">
        <w:t>.</w:t>
      </w:r>
    </w:p>
    <w:p w14:paraId="344C2C4C" w14:textId="428BF9C6" w:rsidR="003E4EF6" w:rsidRPr="000F7885" w:rsidRDefault="00DA16B6" w:rsidP="003E4EF6">
      <w:pPr>
        <w:pStyle w:val="CETReferencetext"/>
      </w:pPr>
      <w:r w:rsidRPr="000F7885">
        <w:t xml:space="preserve">Larsson </w:t>
      </w:r>
      <w:r w:rsidR="003E4EF6" w:rsidRPr="000F7885">
        <w:t xml:space="preserve">F., 2017, </w:t>
      </w:r>
      <w:r w:rsidR="00E55533" w:rsidRPr="000F7885">
        <w:t>Assessment</w:t>
      </w:r>
      <w:r w:rsidR="003E4EF6" w:rsidRPr="000F7885">
        <w:t xml:space="preserve"> by Abuse Testing, Fluoride Gas Emission and Fire Propagation, </w:t>
      </w:r>
      <w:r w:rsidR="00CD1028" w:rsidRPr="00CD1028">
        <w:t xml:space="preserve">978-91-7597-612-9, </w:t>
      </w:r>
      <w:r w:rsidR="003E4EF6" w:rsidRPr="000F7885">
        <w:t>Department of Physics Chalmer University of Technology Goteborg, Sweden</w:t>
      </w:r>
      <w:r w:rsidR="002E44BD" w:rsidRPr="000F7885">
        <w:t>.</w:t>
      </w:r>
    </w:p>
    <w:p w14:paraId="64448690" w14:textId="74426FDB" w:rsidR="002E44BD" w:rsidRPr="000F7885" w:rsidRDefault="002E44BD" w:rsidP="002E44BD">
      <w:pPr>
        <w:pStyle w:val="CETReferencetext"/>
      </w:pPr>
      <w:r w:rsidRPr="000F7885">
        <w:t xml:space="preserve">Long Jr R.T., Blum A.F., Bress T.J., Cotts B.R.T, 2013, Best Practices for Emergency Response to Incidents Involving Electric Vehicle Battery Hazards: A Report on Full-Scale Test Result, </w:t>
      </w:r>
      <w:r w:rsidR="008628E4" w:rsidRPr="008628E4">
        <w:t>1205174.000 F0F0 0613 RTL3,</w:t>
      </w:r>
      <w:r w:rsidR="008628E4">
        <w:rPr>
          <w:sz w:val="20"/>
        </w:rPr>
        <w:t xml:space="preserve"> </w:t>
      </w:r>
      <w:r w:rsidRPr="000F7885">
        <w:t xml:space="preserve">Fire Protection </w:t>
      </w:r>
      <w:r w:rsidR="00C91A31" w:rsidRPr="000F7885">
        <w:t>research</w:t>
      </w:r>
      <w:r w:rsidRPr="000F7885">
        <w:t xml:space="preserve"> Foundation</w:t>
      </w:r>
      <w:r w:rsidR="00C91A31" w:rsidRPr="000F7885">
        <w:t>, Quincy, Massachusetts, U.S.A.</w:t>
      </w:r>
    </w:p>
    <w:p w14:paraId="7DD3CE34" w14:textId="12D6F9CF" w:rsidR="002E44BD" w:rsidRDefault="002E44BD" w:rsidP="002E44BD">
      <w:pPr>
        <w:pStyle w:val="CETReferencetext"/>
      </w:pPr>
      <w:r w:rsidRPr="000F7885">
        <w:t>Liu Yujun, Duan Qiangling, Xu Jiajia, Chen Haodong, Lu Wei, Wang Qingsong, 2018, Experimental study on the efficiency of dodecafluoro-2-methylpentan-3-one on suppressing lithium-ion battery fires, Royal Society of Chemistry</w:t>
      </w:r>
      <w:r w:rsidR="004B7243" w:rsidRPr="000F7885">
        <w:t>, 8, 42223–42232.</w:t>
      </w:r>
    </w:p>
    <w:p w14:paraId="7ED7F91C" w14:textId="655B070F" w:rsidR="005C76DB" w:rsidRDefault="005C76DB" w:rsidP="002E44BD">
      <w:pPr>
        <w:pStyle w:val="CETReferencetext"/>
      </w:pPr>
      <w:r>
        <w:t xml:space="preserve">Luo W., Zhu S., Gong J., Zhou Z., 2018, Research and Development of Fire Extinguishing Technology for Power Lithium Batteries, </w:t>
      </w:r>
      <w:r w:rsidRPr="005C76DB">
        <w:t>Procedia Engineering</w:t>
      </w:r>
      <w:r>
        <w:t>,</w:t>
      </w:r>
      <w:r w:rsidRPr="005C76DB">
        <w:t xml:space="preserve"> 21</w:t>
      </w:r>
      <w:r>
        <w:t xml:space="preserve">1, pp. </w:t>
      </w:r>
      <w:r w:rsidRPr="005C76DB">
        <w:t>531–53</w:t>
      </w:r>
      <w:r>
        <w:t>7.</w:t>
      </w:r>
    </w:p>
    <w:p w14:paraId="1277A848" w14:textId="06BCF3EF" w:rsidR="00836F69" w:rsidRPr="000F7885" w:rsidRDefault="00836F69" w:rsidP="002E44BD">
      <w:pPr>
        <w:pStyle w:val="CETReferencetext"/>
      </w:pPr>
      <w:r>
        <w:t>Maloney T., 2014, Extinguishment of Lithium-Ion and Lithium-Metal Battery Fires, DOT/FAA/TC-13/53, U.S. Department of Transportation, Federal Aviation Administration, Washington.</w:t>
      </w:r>
    </w:p>
    <w:p w14:paraId="38BE7C05" w14:textId="17BEC5BB" w:rsidR="00882D0E" w:rsidRPr="000F7885" w:rsidRDefault="00DA16B6" w:rsidP="00882D0E">
      <w:pPr>
        <w:pStyle w:val="CETReferencetext"/>
        <w:rPr>
          <w:rFonts w:eastAsiaTheme="minorHAnsi"/>
        </w:rPr>
      </w:pPr>
      <w:r w:rsidRPr="000F7885">
        <w:t xml:space="preserve">Rao </w:t>
      </w:r>
      <w:r w:rsidR="00882D0E" w:rsidRPr="000F7885">
        <w:t xml:space="preserve">H., </w:t>
      </w:r>
      <w:r w:rsidRPr="000F7885">
        <w:t xml:space="preserve">Huang </w:t>
      </w:r>
      <w:r w:rsidR="00882D0E" w:rsidRPr="000F7885">
        <w:t xml:space="preserve">Z., </w:t>
      </w:r>
      <w:r w:rsidRPr="000F7885">
        <w:t xml:space="preserve">Zhang </w:t>
      </w:r>
      <w:r w:rsidR="00882D0E" w:rsidRPr="000F7885">
        <w:t xml:space="preserve">H., </w:t>
      </w:r>
      <w:r w:rsidRPr="000F7885">
        <w:t xml:space="preserve">Xiao </w:t>
      </w:r>
      <w:r w:rsidR="00882D0E" w:rsidRPr="000F7885">
        <w:t xml:space="preserve">S., </w:t>
      </w:r>
      <w:r w:rsidR="00E605F2" w:rsidRPr="000F7885">
        <w:t xml:space="preserve">2015, </w:t>
      </w:r>
      <w:r w:rsidR="00882D0E" w:rsidRPr="000F7885">
        <w:t>Study of fire tests and fire safety measures on lithium-ion battery used in ships</w:t>
      </w:r>
      <w:r w:rsidR="00E605F2" w:rsidRPr="000F7885">
        <w:t xml:space="preserve">, </w:t>
      </w:r>
      <w:r w:rsidR="006B02A7" w:rsidRPr="000F7885">
        <w:t>The 3rd International Conference on Transportation Information and Safety</w:t>
      </w:r>
      <w:r w:rsidR="00143164" w:rsidRPr="000F7885">
        <w:t>, June 25 – 28.</w:t>
      </w:r>
    </w:p>
    <w:p w14:paraId="5D087054" w14:textId="77777777" w:rsidR="002E44BD" w:rsidRPr="000F7885" w:rsidRDefault="002E44BD" w:rsidP="002E44BD">
      <w:pPr>
        <w:pStyle w:val="CETReferencetext"/>
      </w:pPr>
      <w:r w:rsidRPr="000F7885">
        <w:t>Ubaldi, S., di Bari, C., De Rosa, A., Mazzaro, M., Russo, P. 2022, Investigation on Effective Fighting Technology for LIB Fire, Chemical Engineering Transactions, 91, pp. 505–510</w:t>
      </w:r>
    </w:p>
    <w:p w14:paraId="1E8EC8E5" w14:textId="5B133755" w:rsidR="002E44BD" w:rsidRPr="000F7885" w:rsidRDefault="002E44BD" w:rsidP="002E44BD">
      <w:pPr>
        <w:pStyle w:val="CETReferencetext"/>
      </w:pPr>
      <w:r w:rsidRPr="000F7885">
        <w:t xml:space="preserve">Yuan Shuai, Chang Chongye, Yan Shuaishuai, Zhou Pan, Qian Xinming, Yuan Mengqui, Liu Kai, 2021, A review of fire-extinguishing agent on suppressing lithium-ion batteries fire, </w:t>
      </w:r>
      <w:r w:rsidR="0086404E" w:rsidRPr="000F7885">
        <w:t>Journal of Energy Chemistry, 62, pp. 262–280.</w:t>
      </w:r>
    </w:p>
    <w:p w14:paraId="5A13BF93" w14:textId="484DEAFE" w:rsidR="00882D0E" w:rsidRPr="000F7885" w:rsidRDefault="00DA16B6" w:rsidP="00882D0E">
      <w:pPr>
        <w:pStyle w:val="CETReferencetext"/>
      </w:pPr>
      <w:r w:rsidRPr="000F7885">
        <w:t xml:space="preserve">Webster </w:t>
      </w:r>
      <w:r w:rsidR="00882D0E" w:rsidRPr="000F7885">
        <w:t>H.,</w:t>
      </w:r>
      <w:r w:rsidR="00414438" w:rsidRPr="000F7885">
        <w:t xml:space="preserve"> 2006,</w:t>
      </w:r>
      <w:r w:rsidR="00882D0E" w:rsidRPr="000F7885">
        <w:t xml:space="preserve"> Flammability Assessment of Bulk-Packed, Rechargeable Lithium-Ion Cell in Transport category</w:t>
      </w:r>
      <w:r w:rsidR="00873AD4" w:rsidRPr="000F7885">
        <w:t xml:space="preserve"> Aircraft</w:t>
      </w:r>
      <w:r w:rsidR="00D05F0D" w:rsidRPr="000F7885">
        <w:t xml:space="preserve">, </w:t>
      </w:r>
      <w:r w:rsidR="000F7885" w:rsidRPr="000F7885">
        <w:t xml:space="preserve">DOT/FAAAR-06/38, </w:t>
      </w:r>
      <w:r w:rsidR="00D05F0D" w:rsidRPr="000F7885">
        <w:t>Office of Aviation Research and Development Washington, DC 20591.</w:t>
      </w:r>
    </w:p>
    <w:p w14:paraId="7B77BC6D" w14:textId="39E8A4B7" w:rsidR="005C4BD4" w:rsidRPr="000F7885" w:rsidRDefault="00843864" w:rsidP="005C4BD4">
      <w:pPr>
        <w:pStyle w:val="CETReferencetext"/>
      </w:pPr>
      <w:r w:rsidRPr="000F7885">
        <w:t>Wuang</w:t>
      </w:r>
      <w:r w:rsidR="00DA16B6" w:rsidRPr="000F7885">
        <w:t xml:space="preserve"> Quingsong</w:t>
      </w:r>
      <w:r w:rsidRPr="000F7885">
        <w:t>, Mao</w:t>
      </w:r>
      <w:r w:rsidR="00DA16B6" w:rsidRPr="000F7885">
        <w:t xml:space="preserve"> Binbin</w:t>
      </w:r>
      <w:r w:rsidRPr="000F7885">
        <w:t>, Stoliarov</w:t>
      </w:r>
      <w:r w:rsidR="00DA16B6" w:rsidRPr="000F7885">
        <w:t xml:space="preserve"> Stanislav I.</w:t>
      </w:r>
      <w:r w:rsidRPr="000F7885">
        <w:t>, Sun</w:t>
      </w:r>
      <w:r w:rsidR="00DA16B6" w:rsidRPr="000F7885">
        <w:t xml:space="preserve"> Jinhua</w:t>
      </w:r>
      <w:r w:rsidRPr="000F7885">
        <w:t>, 2019, A review of lithium ion battery failure mechanisms and fire prevention strategie</w:t>
      </w:r>
      <w:r w:rsidR="00F2733F" w:rsidRPr="000F7885">
        <w:t xml:space="preserve">s, </w:t>
      </w:r>
      <w:r w:rsidR="005B3F4E" w:rsidRPr="000F7885">
        <w:t>Progress in Energy and Combustion Science, 73, pp.</w:t>
      </w:r>
      <w:r w:rsidR="00A32C37">
        <w:t xml:space="preserve"> </w:t>
      </w:r>
      <w:r w:rsidR="005B3F4E" w:rsidRPr="000F7885">
        <w:t>95 – 131.</w:t>
      </w:r>
    </w:p>
    <w:p w14:paraId="44D7FD4D" w14:textId="099513A5" w:rsidR="005C4BD4" w:rsidRPr="000F7885" w:rsidRDefault="005C4BD4" w:rsidP="005C4BD4">
      <w:pPr>
        <w:pStyle w:val="CETReferencetext"/>
      </w:pPr>
      <w:r w:rsidRPr="000F7885">
        <w:t xml:space="preserve">Wang Q, Shao G., Duan Q., Sun J., 2016, The Efficiency of Heptafluoropropane Fire Extinguishing Agent on Suppressing the Lithium Titanate Battery Fire, Fire Technology, 52, </w:t>
      </w:r>
      <w:r w:rsidR="00A32C37">
        <w:t xml:space="preserve">pp. </w:t>
      </w:r>
      <w:r w:rsidRPr="000F7885">
        <w:t>387</w:t>
      </w:r>
      <w:r w:rsidRPr="000F7885">
        <w:rPr>
          <w:rFonts w:hint="eastAsia"/>
        </w:rPr>
        <w:t>–</w:t>
      </w:r>
      <w:r w:rsidRPr="000F7885">
        <w:t>396</w:t>
      </w:r>
      <w:r w:rsidR="008D14F7">
        <w:t>.</w:t>
      </w:r>
    </w:p>
    <w:p w14:paraId="1831AD74" w14:textId="77777777" w:rsidR="005C4BD4" w:rsidRPr="00390473" w:rsidRDefault="005C4BD4" w:rsidP="003819D7">
      <w:pPr>
        <w:pStyle w:val="CETReferencetext"/>
      </w:pPr>
    </w:p>
    <w:sectPr w:rsidR="005C4BD4" w:rsidRPr="0039047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02F7" w14:textId="77777777" w:rsidR="00976A96" w:rsidRDefault="00976A96" w:rsidP="004F5E36">
      <w:r>
        <w:separator/>
      </w:r>
    </w:p>
  </w:endnote>
  <w:endnote w:type="continuationSeparator" w:id="0">
    <w:p w14:paraId="5535B92A" w14:textId="77777777" w:rsidR="00976A96" w:rsidRDefault="00976A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FD1C" w14:textId="77777777" w:rsidR="00976A96" w:rsidRDefault="00976A96" w:rsidP="004F5E36">
      <w:r>
        <w:separator/>
      </w:r>
    </w:p>
  </w:footnote>
  <w:footnote w:type="continuationSeparator" w:id="0">
    <w:p w14:paraId="5E2D0046" w14:textId="77777777" w:rsidR="00976A96" w:rsidRDefault="00976A9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F21E6F"/>
    <w:multiLevelType w:val="hybridMultilevel"/>
    <w:tmpl w:val="A85077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FD0C47"/>
    <w:multiLevelType w:val="hybridMultilevel"/>
    <w:tmpl w:val="82022F42"/>
    <w:lvl w:ilvl="0" w:tplc="3EEEC3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3D2125"/>
    <w:multiLevelType w:val="hybridMultilevel"/>
    <w:tmpl w:val="877880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AA07F1"/>
    <w:multiLevelType w:val="hybridMultilevel"/>
    <w:tmpl w:val="BC22E7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1FC4E1D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F06426D"/>
    <w:multiLevelType w:val="hybridMultilevel"/>
    <w:tmpl w:val="2A3A39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361D7C"/>
    <w:multiLevelType w:val="hybridMultilevel"/>
    <w:tmpl w:val="C0504F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1D3B86"/>
    <w:multiLevelType w:val="hybridMultilevel"/>
    <w:tmpl w:val="5C2C6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B50D34"/>
    <w:multiLevelType w:val="hybridMultilevel"/>
    <w:tmpl w:val="58BE0B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8BA12FC"/>
    <w:multiLevelType w:val="hybridMultilevel"/>
    <w:tmpl w:val="39FA808A"/>
    <w:lvl w:ilvl="0" w:tplc="0818E1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981F91"/>
    <w:multiLevelType w:val="hybridMultilevel"/>
    <w:tmpl w:val="84507D10"/>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F03FCB"/>
    <w:multiLevelType w:val="hybridMultilevel"/>
    <w:tmpl w:val="091CB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4937297">
    <w:abstractNumId w:val="14"/>
  </w:num>
  <w:num w:numId="2" w16cid:durableId="1368263551">
    <w:abstractNumId w:val="8"/>
  </w:num>
  <w:num w:numId="3" w16cid:durableId="1219975691">
    <w:abstractNumId w:val="3"/>
  </w:num>
  <w:num w:numId="4" w16cid:durableId="503671769">
    <w:abstractNumId w:val="2"/>
  </w:num>
  <w:num w:numId="5" w16cid:durableId="938682195">
    <w:abstractNumId w:val="1"/>
  </w:num>
  <w:num w:numId="6" w16cid:durableId="1172063659">
    <w:abstractNumId w:val="0"/>
  </w:num>
  <w:num w:numId="7" w16cid:durableId="441920340">
    <w:abstractNumId w:val="9"/>
  </w:num>
  <w:num w:numId="8" w16cid:durableId="1627002824">
    <w:abstractNumId w:val="7"/>
  </w:num>
  <w:num w:numId="9" w16cid:durableId="1887184283">
    <w:abstractNumId w:val="6"/>
  </w:num>
  <w:num w:numId="10" w16cid:durableId="341588987">
    <w:abstractNumId w:val="5"/>
  </w:num>
  <w:num w:numId="11" w16cid:durableId="1732193019">
    <w:abstractNumId w:val="4"/>
  </w:num>
  <w:num w:numId="12" w16cid:durableId="826361884">
    <w:abstractNumId w:val="24"/>
  </w:num>
  <w:num w:numId="13" w16cid:durableId="1215968025">
    <w:abstractNumId w:val="17"/>
  </w:num>
  <w:num w:numId="14" w16cid:durableId="1080951749">
    <w:abstractNumId w:val="26"/>
  </w:num>
  <w:num w:numId="15" w16cid:durableId="1523670422">
    <w:abstractNumId w:val="29"/>
  </w:num>
  <w:num w:numId="16" w16cid:durableId="148254891">
    <w:abstractNumId w:val="28"/>
  </w:num>
  <w:num w:numId="17" w16cid:durableId="2089157007">
    <w:abstractNumId w:val="16"/>
  </w:num>
  <w:num w:numId="18" w16cid:durableId="556279519">
    <w:abstractNumId w:val="17"/>
    <w:lvlOverride w:ilvl="0">
      <w:startOverride w:val="1"/>
    </w:lvlOverride>
  </w:num>
  <w:num w:numId="19" w16cid:durableId="1435399258">
    <w:abstractNumId w:val="23"/>
  </w:num>
  <w:num w:numId="20" w16cid:durableId="1567689791">
    <w:abstractNumId w:val="22"/>
  </w:num>
  <w:num w:numId="21" w16cid:durableId="1609965100">
    <w:abstractNumId w:val="19"/>
  </w:num>
  <w:num w:numId="22" w16cid:durableId="351803655">
    <w:abstractNumId w:val="25"/>
  </w:num>
  <w:num w:numId="23" w16cid:durableId="319623613">
    <w:abstractNumId w:val="21"/>
  </w:num>
  <w:num w:numId="24" w16cid:durableId="863440622">
    <w:abstractNumId w:val="20"/>
  </w:num>
  <w:num w:numId="25" w16cid:durableId="889073220">
    <w:abstractNumId w:val="11"/>
  </w:num>
  <w:num w:numId="26" w16cid:durableId="739713565">
    <w:abstractNumId w:val="13"/>
  </w:num>
  <w:num w:numId="27" w16cid:durableId="1137264971">
    <w:abstractNumId w:val="12"/>
  </w:num>
  <w:num w:numId="28" w16cid:durableId="131293650">
    <w:abstractNumId w:val="30"/>
  </w:num>
  <w:num w:numId="29" w16cid:durableId="489563643">
    <w:abstractNumId w:val="10"/>
  </w:num>
  <w:num w:numId="30" w16cid:durableId="1455446400">
    <w:abstractNumId w:val="27"/>
  </w:num>
  <w:num w:numId="31" w16cid:durableId="1486509459">
    <w:abstractNumId w:val="14"/>
  </w:num>
  <w:num w:numId="32" w16cid:durableId="745345409">
    <w:abstractNumId w:val="14"/>
  </w:num>
  <w:num w:numId="33" w16cid:durableId="352876039">
    <w:abstractNumId w:val="18"/>
  </w:num>
  <w:num w:numId="34" w16cid:durableId="955133638">
    <w:abstractNumId w:val="15"/>
  </w:num>
  <w:num w:numId="35" w16cid:durableId="1336418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899"/>
    <w:rsid w:val="000027C0"/>
    <w:rsid w:val="000052FB"/>
    <w:rsid w:val="00006DF7"/>
    <w:rsid w:val="0001106C"/>
    <w:rsid w:val="000117CB"/>
    <w:rsid w:val="00014B66"/>
    <w:rsid w:val="000160C7"/>
    <w:rsid w:val="00016507"/>
    <w:rsid w:val="00017536"/>
    <w:rsid w:val="00017C06"/>
    <w:rsid w:val="0003148D"/>
    <w:rsid w:val="00034947"/>
    <w:rsid w:val="0003535C"/>
    <w:rsid w:val="000425EC"/>
    <w:rsid w:val="00051566"/>
    <w:rsid w:val="000548A1"/>
    <w:rsid w:val="0006224B"/>
    <w:rsid w:val="00062A9A"/>
    <w:rsid w:val="00065058"/>
    <w:rsid w:val="000654CD"/>
    <w:rsid w:val="00065E7A"/>
    <w:rsid w:val="000765C0"/>
    <w:rsid w:val="00077393"/>
    <w:rsid w:val="00081A24"/>
    <w:rsid w:val="00083BE3"/>
    <w:rsid w:val="00083BED"/>
    <w:rsid w:val="00086C39"/>
    <w:rsid w:val="000A03B2"/>
    <w:rsid w:val="000A6661"/>
    <w:rsid w:val="000A7D6E"/>
    <w:rsid w:val="000B0FFB"/>
    <w:rsid w:val="000B3342"/>
    <w:rsid w:val="000B370E"/>
    <w:rsid w:val="000B3F46"/>
    <w:rsid w:val="000C4E38"/>
    <w:rsid w:val="000D0268"/>
    <w:rsid w:val="000D2BF0"/>
    <w:rsid w:val="000D34BE"/>
    <w:rsid w:val="000D59AD"/>
    <w:rsid w:val="000D7519"/>
    <w:rsid w:val="000D7EB7"/>
    <w:rsid w:val="000E102F"/>
    <w:rsid w:val="000E36F1"/>
    <w:rsid w:val="000E3A73"/>
    <w:rsid w:val="000E414A"/>
    <w:rsid w:val="000F093C"/>
    <w:rsid w:val="000F5584"/>
    <w:rsid w:val="000F62CF"/>
    <w:rsid w:val="000F787B"/>
    <w:rsid w:val="000F7885"/>
    <w:rsid w:val="001017E2"/>
    <w:rsid w:val="00105379"/>
    <w:rsid w:val="00111FF6"/>
    <w:rsid w:val="001159BB"/>
    <w:rsid w:val="0012091F"/>
    <w:rsid w:val="0012458D"/>
    <w:rsid w:val="00126700"/>
    <w:rsid w:val="00126BC2"/>
    <w:rsid w:val="001308B6"/>
    <w:rsid w:val="0013121F"/>
    <w:rsid w:val="001317AA"/>
    <w:rsid w:val="00131FE6"/>
    <w:rsid w:val="0013263F"/>
    <w:rsid w:val="00134DE4"/>
    <w:rsid w:val="0014034D"/>
    <w:rsid w:val="00143164"/>
    <w:rsid w:val="00150E59"/>
    <w:rsid w:val="00151F47"/>
    <w:rsid w:val="00152DE3"/>
    <w:rsid w:val="00160852"/>
    <w:rsid w:val="00164CF9"/>
    <w:rsid w:val="00165A77"/>
    <w:rsid w:val="001667A6"/>
    <w:rsid w:val="001675B4"/>
    <w:rsid w:val="00181299"/>
    <w:rsid w:val="00184AD6"/>
    <w:rsid w:val="001943CA"/>
    <w:rsid w:val="00197F6C"/>
    <w:rsid w:val="001A04BD"/>
    <w:rsid w:val="001A0883"/>
    <w:rsid w:val="001A0DE5"/>
    <w:rsid w:val="001A1E1B"/>
    <w:rsid w:val="001A3146"/>
    <w:rsid w:val="001A47D6"/>
    <w:rsid w:val="001A4AF7"/>
    <w:rsid w:val="001A55DD"/>
    <w:rsid w:val="001B0349"/>
    <w:rsid w:val="001B2544"/>
    <w:rsid w:val="001B65C1"/>
    <w:rsid w:val="001B766E"/>
    <w:rsid w:val="001C5446"/>
    <w:rsid w:val="001C684B"/>
    <w:rsid w:val="001C737C"/>
    <w:rsid w:val="001D53FC"/>
    <w:rsid w:val="001D5C08"/>
    <w:rsid w:val="001D6E54"/>
    <w:rsid w:val="001E2828"/>
    <w:rsid w:val="001F2250"/>
    <w:rsid w:val="001F42A5"/>
    <w:rsid w:val="001F4FC8"/>
    <w:rsid w:val="001F5C4D"/>
    <w:rsid w:val="001F7B9D"/>
    <w:rsid w:val="00200BEF"/>
    <w:rsid w:val="002010E7"/>
    <w:rsid w:val="00204382"/>
    <w:rsid w:val="00210E11"/>
    <w:rsid w:val="002110AB"/>
    <w:rsid w:val="00215036"/>
    <w:rsid w:val="00220538"/>
    <w:rsid w:val="002224B4"/>
    <w:rsid w:val="00223D90"/>
    <w:rsid w:val="002256C1"/>
    <w:rsid w:val="00225738"/>
    <w:rsid w:val="002362BD"/>
    <w:rsid w:val="0023783E"/>
    <w:rsid w:val="002447EF"/>
    <w:rsid w:val="002465CF"/>
    <w:rsid w:val="00247045"/>
    <w:rsid w:val="00251550"/>
    <w:rsid w:val="00263B05"/>
    <w:rsid w:val="0026438B"/>
    <w:rsid w:val="00271942"/>
    <w:rsid w:val="0027221A"/>
    <w:rsid w:val="00275B61"/>
    <w:rsid w:val="00275C13"/>
    <w:rsid w:val="00277810"/>
    <w:rsid w:val="002804A6"/>
    <w:rsid w:val="00280B40"/>
    <w:rsid w:val="00282656"/>
    <w:rsid w:val="002848F2"/>
    <w:rsid w:val="00285804"/>
    <w:rsid w:val="00290B6C"/>
    <w:rsid w:val="0029512B"/>
    <w:rsid w:val="00296B83"/>
    <w:rsid w:val="0029758A"/>
    <w:rsid w:val="002A4872"/>
    <w:rsid w:val="002A6654"/>
    <w:rsid w:val="002A70BB"/>
    <w:rsid w:val="002B00B2"/>
    <w:rsid w:val="002B25E8"/>
    <w:rsid w:val="002B31DF"/>
    <w:rsid w:val="002B6264"/>
    <w:rsid w:val="002B78CE"/>
    <w:rsid w:val="002C203E"/>
    <w:rsid w:val="002C2C92"/>
    <w:rsid w:val="002C2FB6"/>
    <w:rsid w:val="002C363D"/>
    <w:rsid w:val="002C42DC"/>
    <w:rsid w:val="002C446A"/>
    <w:rsid w:val="002D0D94"/>
    <w:rsid w:val="002D35D3"/>
    <w:rsid w:val="002D3A4B"/>
    <w:rsid w:val="002D4597"/>
    <w:rsid w:val="002D7C5F"/>
    <w:rsid w:val="002E44BD"/>
    <w:rsid w:val="002E73AB"/>
    <w:rsid w:val="002F0434"/>
    <w:rsid w:val="002F1084"/>
    <w:rsid w:val="002F16B7"/>
    <w:rsid w:val="002F2144"/>
    <w:rsid w:val="002F3309"/>
    <w:rsid w:val="002F5D81"/>
    <w:rsid w:val="002F7FEE"/>
    <w:rsid w:val="003009B7"/>
    <w:rsid w:val="00300E56"/>
    <w:rsid w:val="00301338"/>
    <w:rsid w:val="003016CC"/>
    <w:rsid w:val="00303AF9"/>
    <w:rsid w:val="0030469C"/>
    <w:rsid w:val="003052F2"/>
    <w:rsid w:val="00314F81"/>
    <w:rsid w:val="00315AAB"/>
    <w:rsid w:val="0032146A"/>
    <w:rsid w:val="00321CA6"/>
    <w:rsid w:val="00323763"/>
    <w:rsid w:val="00325803"/>
    <w:rsid w:val="0033036E"/>
    <w:rsid w:val="00332A95"/>
    <w:rsid w:val="00333938"/>
    <w:rsid w:val="00333B97"/>
    <w:rsid w:val="00334C09"/>
    <w:rsid w:val="00336C93"/>
    <w:rsid w:val="003412A5"/>
    <w:rsid w:val="00345233"/>
    <w:rsid w:val="00346915"/>
    <w:rsid w:val="0035455E"/>
    <w:rsid w:val="00363DBF"/>
    <w:rsid w:val="00367D8A"/>
    <w:rsid w:val="003719F5"/>
    <w:rsid w:val="00371B7F"/>
    <w:rsid w:val="003723D4"/>
    <w:rsid w:val="00374D23"/>
    <w:rsid w:val="003750D5"/>
    <w:rsid w:val="00376BB5"/>
    <w:rsid w:val="00381905"/>
    <w:rsid w:val="003819D7"/>
    <w:rsid w:val="00384CC8"/>
    <w:rsid w:val="00384E8F"/>
    <w:rsid w:val="00385F58"/>
    <w:rsid w:val="0038695B"/>
    <w:rsid w:val="003871FD"/>
    <w:rsid w:val="00387DFD"/>
    <w:rsid w:val="0039011D"/>
    <w:rsid w:val="00390172"/>
    <w:rsid w:val="00390473"/>
    <w:rsid w:val="00392853"/>
    <w:rsid w:val="00394290"/>
    <w:rsid w:val="00396223"/>
    <w:rsid w:val="00396E24"/>
    <w:rsid w:val="003A1E30"/>
    <w:rsid w:val="003A3509"/>
    <w:rsid w:val="003A4B80"/>
    <w:rsid w:val="003A7159"/>
    <w:rsid w:val="003A7921"/>
    <w:rsid w:val="003A7D1C"/>
    <w:rsid w:val="003B304B"/>
    <w:rsid w:val="003B3146"/>
    <w:rsid w:val="003D226C"/>
    <w:rsid w:val="003D268D"/>
    <w:rsid w:val="003D2F6D"/>
    <w:rsid w:val="003E185E"/>
    <w:rsid w:val="003E4EF6"/>
    <w:rsid w:val="003E67FC"/>
    <w:rsid w:val="003E6C35"/>
    <w:rsid w:val="003F015E"/>
    <w:rsid w:val="003F388A"/>
    <w:rsid w:val="003F3BB2"/>
    <w:rsid w:val="003F5799"/>
    <w:rsid w:val="003F68C5"/>
    <w:rsid w:val="003F7E92"/>
    <w:rsid w:val="00400414"/>
    <w:rsid w:val="004104F9"/>
    <w:rsid w:val="004117B9"/>
    <w:rsid w:val="00411E42"/>
    <w:rsid w:val="00412BCF"/>
    <w:rsid w:val="00414032"/>
    <w:rsid w:val="00414438"/>
    <w:rsid w:val="0041446B"/>
    <w:rsid w:val="00414A24"/>
    <w:rsid w:val="004173B5"/>
    <w:rsid w:val="00423C90"/>
    <w:rsid w:val="004268AC"/>
    <w:rsid w:val="0043283A"/>
    <w:rsid w:val="00440FB1"/>
    <w:rsid w:val="004431D9"/>
    <w:rsid w:val="0044329C"/>
    <w:rsid w:val="004447AC"/>
    <w:rsid w:val="00447A12"/>
    <w:rsid w:val="00453B70"/>
    <w:rsid w:val="00455C22"/>
    <w:rsid w:val="004577FE"/>
    <w:rsid w:val="00457B9C"/>
    <w:rsid w:val="00461438"/>
    <w:rsid w:val="0046164A"/>
    <w:rsid w:val="00462705"/>
    <w:rsid w:val="004628D2"/>
    <w:rsid w:val="00462DCD"/>
    <w:rsid w:val="004648AD"/>
    <w:rsid w:val="00465F58"/>
    <w:rsid w:val="004679B4"/>
    <w:rsid w:val="004703A9"/>
    <w:rsid w:val="004733DD"/>
    <w:rsid w:val="004760DE"/>
    <w:rsid w:val="004763D7"/>
    <w:rsid w:val="004767F6"/>
    <w:rsid w:val="004777CE"/>
    <w:rsid w:val="00480CB5"/>
    <w:rsid w:val="00481B12"/>
    <w:rsid w:val="00484B61"/>
    <w:rsid w:val="00490316"/>
    <w:rsid w:val="00491512"/>
    <w:rsid w:val="004924BC"/>
    <w:rsid w:val="004929D3"/>
    <w:rsid w:val="004A004E"/>
    <w:rsid w:val="004A028F"/>
    <w:rsid w:val="004A041B"/>
    <w:rsid w:val="004A24CF"/>
    <w:rsid w:val="004A2ECA"/>
    <w:rsid w:val="004A609D"/>
    <w:rsid w:val="004B2837"/>
    <w:rsid w:val="004B28DD"/>
    <w:rsid w:val="004B4DAB"/>
    <w:rsid w:val="004B7243"/>
    <w:rsid w:val="004B7B1C"/>
    <w:rsid w:val="004C03EA"/>
    <w:rsid w:val="004C3D1D"/>
    <w:rsid w:val="004C4AA7"/>
    <w:rsid w:val="004C4FE0"/>
    <w:rsid w:val="004C5C15"/>
    <w:rsid w:val="004C616E"/>
    <w:rsid w:val="004C7624"/>
    <w:rsid w:val="004C7913"/>
    <w:rsid w:val="004D4DE9"/>
    <w:rsid w:val="004E4CFB"/>
    <w:rsid w:val="004E4DD6"/>
    <w:rsid w:val="004F198D"/>
    <w:rsid w:val="004F3415"/>
    <w:rsid w:val="004F5E36"/>
    <w:rsid w:val="00503CE6"/>
    <w:rsid w:val="00507B47"/>
    <w:rsid w:val="00507BEF"/>
    <w:rsid w:val="00507CC9"/>
    <w:rsid w:val="005119A5"/>
    <w:rsid w:val="005231AF"/>
    <w:rsid w:val="00525C1C"/>
    <w:rsid w:val="005278B7"/>
    <w:rsid w:val="00532016"/>
    <w:rsid w:val="00532AB0"/>
    <w:rsid w:val="005346C8"/>
    <w:rsid w:val="00536256"/>
    <w:rsid w:val="00541346"/>
    <w:rsid w:val="00542B20"/>
    <w:rsid w:val="00543E7D"/>
    <w:rsid w:val="00543FE0"/>
    <w:rsid w:val="0054585C"/>
    <w:rsid w:val="00547A68"/>
    <w:rsid w:val="0055061F"/>
    <w:rsid w:val="00551BFE"/>
    <w:rsid w:val="0055307B"/>
    <w:rsid w:val="005531C9"/>
    <w:rsid w:val="005539CD"/>
    <w:rsid w:val="00553EA4"/>
    <w:rsid w:val="00555C6B"/>
    <w:rsid w:val="00563522"/>
    <w:rsid w:val="00564DBB"/>
    <w:rsid w:val="00570C43"/>
    <w:rsid w:val="0057506F"/>
    <w:rsid w:val="00587836"/>
    <w:rsid w:val="005909B4"/>
    <w:rsid w:val="0059212A"/>
    <w:rsid w:val="00595E23"/>
    <w:rsid w:val="005A1281"/>
    <w:rsid w:val="005A2E89"/>
    <w:rsid w:val="005A3911"/>
    <w:rsid w:val="005A525B"/>
    <w:rsid w:val="005A7284"/>
    <w:rsid w:val="005B1B51"/>
    <w:rsid w:val="005B2110"/>
    <w:rsid w:val="005B3D0A"/>
    <w:rsid w:val="005B3F4E"/>
    <w:rsid w:val="005B61E6"/>
    <w:rsid w:val="005B64CB"/>
    <w:rsid w:val="005C1562"/>
    <w:rsid w:val="005C3C3F"/>
    <w:rsid w:val="005C4BD4"/>
    <w:rsid w:val="005C5F9E"/>
    <w:rsid w:val="005C693D"/>
    <w:rsid w:val="005C76DB"/>
    <w:rsid w:val="005C77E1"/>
    <w:rsid w:val="005D0765"/>
    <w:rsid w:val="005D0C58"/>
    <w:rsid w:val="005D285C"/>
    <w:rsid w:val="005D5218"/>
    <w:rsid w:val="005D668A"/>
    <w:rsid w:val="005D6A2F"/>
    <w:rsid w:val="005E1A82"/>
    <w:rsid w:val="005E68BB"/>
    <w:rsid w:val="005E6AA8"/>
    <w:rsid w:val="005E794C"/>
    <w:rsid w:val="005F0A28"/>
    <w:rsid w:val="005F0E5E"/>
    <w:rsid w:val="005F4CAA"/>
    <w:rsid w:val="005F5BEE"/>
    <w:rsid w:val="005F7E25"/>
    <w:rsid w:val="0060026F"/>
    <w:rsid w:val="00600535"/>
    <w:rsid w:val="00605A11"/>
    <w:rsid w:val="00610CD6"/>
    <w:rsid w:val="00620DEE"/>
    <w:rsid w:val="00621F92"/>
    <w:rsid w:val="00622527"/>
    <w:rsid w:val="0062280A"/>
    <w:rsid w:val="0062331C"/>
    <w:rsid w:val="00625639"/>
    <w:rsid w:val="00626871"/>
    <w:rsid w:val="006276C1"/>
    <w:rsid w:val="00631B33"/>
    <w:rsid w:val="00636F6C"/>
    <w:rsid w:val="00640E42"/>
    <w:rsid w:val="0064184D"/>
    <w:rsid w:val="006419EC"/>
    <w:rsid w:val="006422CC"/>
    <w:rsid w:val="00644392"/>
    <w:rsid w:val="006443C2"/>
    <w:rsid w:val="0064555D"/>
    <w:rsid w:val="00654F97"/>
    <w:rsid w:val="00655F7E"/>
    <w:rsid w:val="00655FA8"/>
    <w:rsid w:val="006576C3"/>
    <w:rsid w:val="00660E3E"/>
    <w:rsid w:val="00660E9F"/>
    <w:rsid w:val="0066202A"/>
    <w:rsid w:val="00662E74"/>
    <w:rsid w:val="00663393"/>
    <w:rsid w:val="00663B15"/>
    <w:rsid w:val="006674F7"/>
    <w:rsid w:val="00670665"/>
    <w:rsid w:val="00671B24"/>
    <w:rsid w:val="0067324B"/>
    <w:rsid w:val="00673E44"/>
    <w:rsid w:val="0067780B"/>
    <w:rsid w:val="00677CC6"/>
    <w:rsid w:val="00680C23"/>
    <w:rsid w:val="00683E21"/>
    <w:rsid w:val="0068683B"/>
    <w:rsid w:val="00693766"/>
    <w:rsid w:val="006A3281"/>
    <w:rsid w:val="006B02A7"/>
    <w:rsid w:val="006B4888"/>
    <w:rsid w:val="006B5B6B"/>
    <w:rsid w:val="006B6791"/>
    <w:rsid w:val="006B7F9D"/>
    <w:rsid w:val="006C0AEA"/>
    <w:rsid w:val="006C2E45"/>
    <w:rsid w:val="006C359C"/>
    <w:rsid w:val="006C5579"/>
    <w:rsid w:val="006D0115"/>
    <w:rsid w:val="006D371C"/>
    <w:rsid w:val="006D6E8B"/>
    <w:rsid w:val="006E6CF0"/>
    <w:rsid w:val="006E737D"/>
    <w:rsid w:val="006F02E2"/>
    <w:rsid w:val="006F2B30"/>
    <w:rsid w:val="006F6385"/>
    <w:rsid w:val="00701F8D"/>
    <w:rsid w:val="007037E8"/>
    <w:rsid w:val="007049E6"/>
    <w:rsid w:val="0070644B"/>
    <w:rsid w:val="0071276B"/>
    <w:rsid w:val="00714535"/>
    <w:rsid w:val="00720A24"/>
    <w:rsid w:val="00722E4F"/>
    <w:rsid w:val="00732386"/>
    <w:rsid w:val="007346C8"/>
    <w:rsid w:val="0073514D"/>
    <w:rsid w:val="00743DD5"/>
    <w:rsid w:val="007447F3"/>
    <w:rsid w:val="00744EF3"/>
    <w:rsid w:val="0075094F"/>
    <w:rsid w:val="00752137"/>
    <w:rsid w:val="0075499F"/>
    <w:rsid w:val="007566CD"/>
    <w:rsid w:val="007569BF"/>
    <w:rsid w:val="00763510"/>
    <w:rsid w:val="0076521A"/>
    <w:rsid w:val="007661C8"/>
    <w:rsid w:val="007662C1"/>
    <w:rsid w:val="0077086D"/>
    <w:rsid w:val="0077098D"/>
    <w:rsid w:val="00771290"/>
    <w:rsid w:val="007714AC"/>
    <w:rsid w:val="00783AD1"/>
    <w:rsid w:val="00784DAD"/>
    <w:rsid w:val="0078750B"/>
    <w:rsid w:val="007931FA"/>
    <w:rsid w:val="007A1EDD"/>
    <w:rsid w:val="007A44F5"/>
    <w:rsid w:val="007A4861"/>
    <w:rsid w:val="007A556C"/>
    <w:rsid w:val="007A693B"/>
    <w:rsid w:val="007A7BBA"/>
    <w:rsid w:val="007B0C50"/>
    <w:rsid w:val="007B563C"/>
    <w:rsid w:val="007C0511"/>
    <w:rsid w:val="007C1049"/>
    <w:rsid w:val="007C10CC"/>
    <w:rsid w:val="007C14FE"/>
    <w:rsid w:val="007C1600"/>
    <w:rsid w:val="007C1A43"/>
    <w:rsid w:val="007C4BD6"/>
    <w:rsid w:val="007C643B"/>
    <w:rsid w:val="007C77BB"/>
    <w:rsid w:val="007D0910"/>
    <w:rsid w:val="007D27D4"/>
    <w:rsid w:val="007D2E1C"/>
    <w:rsid w:val="007D6B65"/>
    <w:rsid w:val="007D6ED5"/>
    <w:rsid w:val="007D792C"/>
    <w:rsid w:val="007E34FB"/>
    <w:rsid w:val="007E477B"/>
    <w:rsid w:val="007E618A"/>
    <w:rsid w:val="007E64B5"/>
    <w:rsid w:val="007F32BA"/>
    <w:rsid w:val="007F7815"/>
    <w:rsid w:val="0080013E"/>
    <w:rsid w:val="0080014C"/>
    <w:rsid w:val="00802159"/>
    <w:rsid w:val="008053D3"/>
    <w:rsid w:val="00806604"/>
    <w:rsid w:val="0080726D"/>
    <w:rsid w:val="00813288"/>
    <w:rsid w:val="00815150"/>
    <w:rsid w:val="008168FC"/>
    <w:rsid w:val="00821FF6"/>
    <w:rsid w:val="00830989"/>
    <w:rsid w:val="00830996"/>
    <w:rsid w:val="008319EB"/>
    <w:rsid w:val="008345F1"/>
    <w:rsid w:val="00836F69"/>
    <w:rsid w:val="00837AE0"/>
    <w:rsid w:val="00840279"/>
    <w:rsid w:val="00843864"/>
    <w:rsid w:val="0084530D"/>
    <w:rsid w:val="00846D51"/>
    <w:rsid w:val="0085066B"/>
    <w:rsid w:val="00852377"/>
    <w:rsid w:val="00852661"/>
    <w:rsid w:val="008538A4"/>
    <w:rsid w:val="0085488E"/>
    <w:rsid w:val="008628E4"/>
    <w:rsid w:val="00863403"/>
    <w:rsid w:val="0086404E"/>
    <w:rsid w:val="008650EC"/>
    <w:rsid w:val="00865B07"/>
    <w:rsid w:val="008667EA"/>
    <w:rsid w:val="00873AD4"/>
    <w:rsid w:val="008752B1"/>
    <w:rsid w:val="0087637F"/>
    <w:rsid w:val="00876659"/>
    <w:rsid w:val="00882D0E"/>
    <w:rsid w:val="00885B80"/>
    <w:rsid w:val="00885D50"/>
    <w:rsid w:val="00892AD5"/>
    <w:rsid w:val="00895AA1"/>
    <w:rsid w:val="008A115B"/>
    <w:rsid w:val="008A1512"/>
    <w:rsid w:val="008A4A49"/>
    <w:rsid w:val="008A5524"/>
    <w:rsid w:val="008A5824"/>
    <w:rsid w:val="008B2045"/>
    <w:rsid w:val="008B3D8E"/>
    <w:rsid w:val="008C4C05"/>
    <w:rsid w:val="008C5796"/>
    <w:rsid w:val="008C6831"/>
    <w:rsid w:val="008D01D5"/>
    <w:rsid w:val="008D14F7"/>
    <w:rsid w:val="008D2663"/>
    <w:rsid w:val="008D32B9"/>
    <w:rsid w:val="008D433B"/>
    <w:rsid w:val="008D51DF"/>
    <w:rsid w:val="008E1327"/>
    <w:rsid w:val="008E566E"/>
    <w:rsid w:val="008E65E1"/>
    <w:rsid w:val="008F100D"/>
    <w:rsid w:val="008F215C"/>
    <w:rsid w:val="008F750D"/>
    <w:rsid w:val="0090161A"/>
    <w:rsid w:val="00901EB6"/>
    <w:rsid w:val="00903877"/>
    <w:rsid w:val="00904AB2"/>
    <w:rsid w:val="00904C62"/>
    <w:rsid w:val="00906F6A"/>
    <w:rsid w:val="00917C59"/>
    <w:rsid w:val="00922BA8"/>
    <w:rsid w:val="009234E1"/>
    <w:rsid w:val="00924DAC"/>
    <w:rsid w:val="009251A5"/>
    <w:rsid w:val="00927058"/>
    <w:rsid w:val="00930C1D"/>
    <w:rsid w:val="00932EFF"/>
    <w:rsid w:val="00935F0D"/>
    <w:rsid w:val="0094147C"/>
    <w:rsid w:val="00941C9A"/>
    <w:rsid w:val="00941F11"/>
    <w:rsid w:val="00942750"/>
    <w:rsid w:val="009450CE"/>
    <w:rsid w:val="00946B0A"/>
    <w:rsid w:val="00947179"/>
    <w:rsid w:val="00947445"/>
    <w:rsid w:val="0095164B"/>
    <w:rsid w:val="00954090"/>
    <w:rsid w:val="0095557D"/>
    <w:rsid w:val="009573E7"/>
    <w:rsid w:val="009616F6"/>
    <w:rsid w:val="00963E05"/>
    <w:rsid w:val="0096548E"/>
    <w:rsid w:val="00965BD4"/>
    <w:rsid w:val="00967843"/>
    <w:rsid w:val="00967D54"/>
    <w:rsid w:val="00971028"/>
    <w:rsid w:val="009718E5"/>
    <w:rsid w:val="009742CE"/>
    <w:rsid w:val="00975EA8"/>
    <w:rsid w:val="009769A3"/>
    <w:rsid w:val="00976A96"/>
    <w:rsid w:val="00986E1F"/>
    <w:rsid w:val="00990AC4"/>
    <w:rsid w:val="00994CF6"/>
    <w:rsid w:val="00996483"/>
    <w:rsid w:val="0099660E"/>
    <w:rsid w:val="00996F5A"/>
    <w:rsid w:val="00997B43"/>
    <w:rsid w:val="009A12E6"/>
    <w:rsid w:val="009B041A"/>
    <w:rsid w:val="009B2AE0"/>
    <w:rsid w:val="009B615D"/>
    <w:rsid w:val="009C1556"/>
    <w:rsid w:val="009C37C3"/>
    <w:rsid w:val="009C51A5"/>
    <w:rsid w:val="009C5225"/>
    <w:rsid w:val="009C68CC"/>
    <w:rsid w:val="009C7C86"/>
    <w:rsid w:val="009D2FF7"/>
    <w:rsid w:val="009D4760"/>
    <w:rsid w:val="009D5BBA"/>
    <w:rsid w:val="009E21EE"/>
    <w:rsid w:val="009E2B8B"/>
    <w:rsid w:val="009E4E26"/>
    <w:rsid w:val="009E7884"/>
    <w:rsid w:val="009E788A"/>
    <w:rsid w:val="009F0E08"/>
    <w:rsid w:val="009F2AF2"/>
    <w:rsid w:val="009F3EE0"/>
    <w:rsid w:val="009F47EA"/>
    <w:rsid w:val="009F53B2"/>
    <w:rsid w:val="009F5AAC"/>
    <w:rsid w:val="009F68C3"/>
    <w:rsid w:val="00A01089"/>
    <w:rsid w:val="00A07A28"/>
    <w:rsid w:val="00A10418"/>
    <w:rsid w:val="00A11650"/>
    <w:rsid w:val="00A154B2"/>
    <w:rsid w:val="00A1763D"/>
    <w:rsid w:val="00A17CEC"/>
    <w:rsid w:val="00A21301"/>
    <w:rsid w:val="00A24507"/>
    <w:rsid w:val="00A2460C"/>
    <w:rsid w:val="00A252E7"/>
    <w:rsid w:val="00A27EF0"/>
    <w:rsid w:val="00A3260C"/>
    <w:rsid w:val="00A32C37"/>
    <w:rsid w:val="00A363F6"/>
    <w:rsid w:val="00A40294"/>
    <w:rsid w:val="00A40FB4"/>
    <w:rsid w:val="00A41700"/>
    <w:rsid w:val="00A42361"/>
    <w:rsid w:val="00A44028"/>
    <w:rsid w:val="00A45C7F"/>
    <w:rsid w:val="00A503AE"/>
    <w:rsid w:val="00A50B20"/>
    <w:rsid w:val="00A51390"/>
    <w:rsid w:val="00A57851"/>
    <w:rsid w:val="00A57AFB"/>
    <w:rsid w:val="00A60D13"/>
    <w:rsid w:val="00A7140E"/>
    <w:rsid w:val="00A72745"/>
    <w:rsid w:val="00A76152"/>
    <w:rsid w:val="00A76E23"/>
    <w:rsid w:val="00A76EFC"/>
    <w:rsid w:val="00A865AB"/>
    <w:rsid w:val="00A867B1"/>
    <w:rsid w:val="00A91010"/>
    <w:rsid w:val="00A91F20"/>
    <w:rsid w:val="00A942C9"/>
    <w:rsid w:val="00A9509B"/>
    <w:rsid w:val="00A96781"/>
    <w:rsid w:val="00A97F29"/>
    <w:rsid w:val="00AA4F27"/>
    <w:rsid w:val="00AA6724"/>
    <w:rsid w:val="00AA702E"/>
    <w:rsid w:val="00AB0964"/>
    <w:rsid w:val="00AB1472"/>
    <w:rsid w:val="00AB27AB"/>
    <w:rsid w:val="00AB4E9E"/>
    <w:rsid w:val="00AB5011"/>
    <w:rsid w:val="00AC0FF1"/>
    <w:rsid w:val="00AC3677"/>
    <w:rsid w:val="00AC591C"/>
    <w:rsid w:val="00AC7368"/>
    <w:rsid w:val="00AD16B9"/>
    <w:rsid w:val="00AD223E"/>
    <w:rsid w:val="00AD76DC"/>
    <w:rsid w:val="00AE34A9"/>
    <w:rsid w:val="00AE377D"/>
    <w:rsid w:val="00AF0EBA"/>
    <w:rsid w:val="00AF523C"/>
    <w:rsid w:val="00AF6C60"/>
    <w:rsid w:val="00B02C8A"/>
    <w:rsid w:val="00B13122"/>
    <w:rsid w:val="00B1773D"/>
    <w:rsid w:val="00B17FBD"/>
    <w:rsid w:val="00B315A6"/>
    <w:rsid w:val="00B31813"/>
    <w:rsid w:val="00B33365"/>
    <w:rsid w:val="00B338C7"/>
    <w:rsid w:val="00B3610F"/>
    <w:rsid w:val="00B365D8"/>
    <w:rsid w:val="00B377F6"/>
    <w:rsid w:val="00B40EF4"/>
    <w:rsid w:val="00B42E2B"/>
    <w:rsid w:val="00B477F0"/>
    <w:rsid w:val="00B5408E"/>
    <w:rsid w:val="00B56172"/>
    <w:rsid w:val="00B57B36"/>
    <w:rsid w:val="00B60643"/>
    <w:rsid w:val="00B62178"/>
    <w:rsid w:val="00B642A9"/>
    <w:rsid w:val="00B70946"/>
    <w:rsid w:val="00B70CE9"/>
    <w:rsid w:val="00B7147B"/>
    <w:rsid w:val="00B77444"/>
    <w:rsid w:val="00B77B11"/>
    <w:rsid w:val="00B85C9A"/>
    <w:rsid w:val="00B8686D"/>
    <w:rsid w:val="00B95F84"/>
    <w:rsid w:val="00BA0310"/>
    <w:rsid w:val="00BA6ED3"/>
    <w:rsid w:val="00BA7281"/>
    <w:rsid w:val="00BB1BAA"/>
    <w:rsid w:val="00BB1DDC"/>
    <w:rsid w:val="00BB479E"/>
    <w:rsid w:val="00BC30C9"/>
    <w:rsid w:val="00BC7DA9"/>
    <w:rsid w:val="00BD134F"/>
    <w:rsid w:val="00BD6A02"/>
    <w:rsid w:val="00BD6FB9"/>
    <w:rsid w:val="00BE3E58"/>
    <w:rsid w:val="00BE602E"/>
    <w:rsid w:val="00BE6B85"/>
    <w:rsid w:val="00BE76C8"/>
    <w:rsid w:val="00BF41B7"/>
    <w:rsid w:val="00BF5EDF"/>
    <w:rsid w:val="00C01616"/>
    <w:rsid w:val="00C0162B"/>
    <w:rsid w:val="00C01728"/>
    <w:rsid w:val="00C04048"/>
    <w:rsid w:val="00C0562F"/>
    <w:rsid w:val="00C068ED"/>
    <w:rsid w:val="00C079D4"/>
    <w:rsid w:val="00C07CFE"/>
    <w:rsid w:val="00C1144D"/>
    <w:rsid w:val="00C11CD3"/>
    <w:rsid w:val="00C12AA8"/>
    <w:rsid w:val="00C17B90"/>
    <w:rsid w:val="00C2274B"/>
    <w:rsid w:val="00C26653"/>
    <w:rsid w:val="00C30CD5"/>
    <w:rsid w:val="00C32AC6"/>
    <w:rsid w:val="00C3309A"/>
    <w:rsid w:val="00C345B1"/>
    <w:rsid w:val="00C364D5"/>
    <w:rsid w:val="00C40142"/>
    <w:rsid w:val="00C46388"/>
    <w:rsid w:val="00C50546"/>
    <w:rsid w:val="00C51894"/>
    <w:rsid w:val="00C57182"/>
    <w:rsid w:val="00C57863"/>
    <w:rsid w:val="00C63914"/>
    <w:rsid w:val="00C655FD"/>
    <w:rsid w:val="00C71239"/>
    <w:rsid w:val="00C72A6A"/>
    <w:rsid w:val="00C72BCB"/>
    <w:rsid w:val="00C72D02"/>
    <w:rsid w:val="00C73DA3"/>
    <w:rsid w:val="00C75407"/>
    <w:rsid w:val="00C75834"/>
    <w:rsid w:val="00C80AF4"/>
    <w:rsid w:val="00C80E94"/>
    <w:rsid w:val="00C82F5F"/>
    <w:rsid w:val="00C870A8"/>
    <w:rsid w:val="00C90EB5"/>
    <w:rsid w:val="00C91A31"/>
    <w:rsid w:val="00C91AFB"/>
    <w:rsid w:val="00C94434"/>
    <w:rsid w:val="00C97253"/>
    <w:rsid w:val="00C979FA"/>
    <w:rsid w:val="00CA0910"/>
    <w:rsid w:val="00CA0D75"/>
    <w:rsid w:val="00CA1C95"/>
    <w:rsid w:val="00CA2385"/>
    <w:rsid w:val="00CA5A9C"/>
    <w:rsid w:val="00CB314F"/>
    <w:rsid w:val="00CB60B2"/>
    <w:rsid w:val="00CC2FB0"/>
    <w:rsid w:val="00CC3B86"/>
    <w:rsid w:val="00CC4C20"/>
    <w:rsid w:val="00CC4F2B"/>
    <w:rsid w:val="00CD1028"/>
    <w:rsid w:val="00CD3517"/>
    <w:rsid w:val="00CD5FE2"/>
    <w:rsid w:val="00CE70A3"/>
    <w:rsid w:val="00CE7C68"/>
    <w:rsid w:val="00CF2115"/>
    <w:rsid w:val="00CF62EF"/>
    <w:rsid w:val="00CF64A6"/>
    <w:rsid w:val="00D027DE"/>
    <w:rsid w:val="00D02B4C"/>
    <w:rsid w:val="00D040C4"/>
    <w:rsid w:val="00D05077"/>
    <w:rsid w:val="00D05F0D"/>
    <w:rsid w:val="00D07109"/>
    <w:rsid w:val="00D1296F"/>
    <w:rsid w:val="00D13362"/>
    <w:rsid w:val="00D133B1"/>
    <w:rsid w:val="00D14C44"/>
    <w:rsid w:val="00D1576D"/>
    <w:rsid w:val="00D22D51"/>
    <w:rsid w:val="00D267D3"/>
    <w:rsid w:val="00D375A5"/>
    <w:rsid w:val="00D44576"/>
    <w:rsid w:val="00D4723A"/>
    <w:rsid w:val="00D50F7D"/>
    <w:rsid w:val="00D52A89"/>
    <w:rsid w:val="00D57C84"/>
    <w:rsid w:val="00D57F58"/>
    <w:rsid w:val="00D6057D"/>
    <w:rsid w:val="00D605DC"/>
    <w:rsid w:val="00D610C6"/>
    <w:rsid w:val="00D631B8"/>
    <w:rsid w:val="00D636E3"/>
    <w:rsid w:val="00D63CA7"/>
    <w:rsid w:val="00D71902"/>
    <w:rsid w:val="00D727F9"/>
    <w:rsid w:val="00D814AB"/>
    <w:rsid w:val="00D836C5"/>
    <w:rsid w:val="00D84576"/>
    <w:rsid w:val="00D846E6"/>
    <w:rsid w:val="00D86E85"/>
    <w:rsid w:val="00D90534"/>
    <w:rsid w:val="00D9082D"/>
    <w:rsid w:val="00D947A6"/>
    <w:rsid w:val="00DA1399"/>
    <w:rsid w:val="00DA16B6"/>
    <w:rsid w:val="00DA24C6"/>
    <w:rsid w:val="00DA4D7B"/>
    <w:rsid w:val="00DB0D46"/>
    <w:rsid w:val="00DB14BE"/>
    <w:rsid w:val="00DB19D7"/>
    <w:rsid w:val="00DB3B1F"/>
    <w:rsid w:val="00DB6CC0"/>
    <w:rsid w:val="00DB7D9B"/>
    <w:rsid w:val="00DD0BAA"/>
    <w:rsid w:val="00DE223A"/>
    <w:rsid w:val="00DE264A"/>
    <w:rsid w:val="00DE296C"/>
    <w:rsid w:val="00DE33BC"/>
    <w:rsid w:val="00DE4584"/>
    <w:rsid w:val="00DE69BE"/>
    <w:rsid w:val="00DF06E8"/>
    <w:rsid w:val="00DF5072"/>
    <w:rsid w:val="00DF6DB9"/>
    <w:rsid w:val="00DF6DC4"/>
    <w:rsid w:val="00E018D1"/>
    <w:rsid w:val="00E020DF"/>
    <w:rsid w:val="00E02D18"/>
    <w:rsid w:val="00E03101"/>
    <w:rsid w:val="00E041E7"/>
    <w:rsid w:val="00E11E6A"/>
    <w:rsid w:val="00E1462B"/>
    <w:rsid w:val="00E23205"/>
    <w:rsid w:val="00E23CA1"/>
    <w:rsid w:val="00E259A1"/>
    <w:rsid w:val="00E3128D"/>
    <w:rsid w:val="00E31E92"/>
    <w:rsid w:val="00E409A8"/>
    <w:rsid w:val="00E416F2"/>
    <w:rsid w:val="00E470AF"/>
    <w:rsid w:val="00E50C12"/>
    <w:rsid w:val="00E51D7F"/>
    <w:rsid w:val="00E55297"/>
    <w:rsid w:val="00E55533"/>
    <w:rsid w:val="00E556C8"/>
    <w:rsid w:val="00E605F2"/>
    <w:rsid w:val="00E6590B"/>
    <w:rsid w:val="00E65A8B"/>
    <w:rsid w:val="00E65B91"/>
    <w:rsid w:val="00E70E4E"/>
    <w:rsid w:val="00E7209D"/>
    <w:rsid w:val="00E763DD"/>
    <w:rsid w:val="00E77223"/>
    <w:rsid w:val="00E8094E"/>
    <w:rsid w:val="00E8165E"/>
    <w:rsid w:val="00E81B60"/>
    <w:rsid w:val="00E83D66"/>
    <w:rsid w:val="00E8528B"/>
    <w:rsid w:val="00E85B94"/>
    <w:rsid w:val="00E96A32"/>
    <w:rsid w:val="00E978D0"/>
    <w:rsid w:val="00EA0DE6"/>
    <w:rsid w:val="00EA1D31"/>
    <w:rsid w:val="00EA2F20"/>
    <w:rsid w:val="00EA4613"/>
    <w:rsid w:val="00EA7F91"/>
    <w:rsid w:val="00EB1523"/>
    <w:rsid w:val="00EC0E49"/>
    <w:rsid w:val="00EC101F"/>
    <w:rsid w:val="00EC1D9F"/>
    <w:rsid w:val="00EC1F68"/>
    <w:rsid w:val="00EC43CC"/>
    <w:rsid w:val="00EC5335"/>
    <w:rsid w:val="00ED45CC"/>
    <w:rsid w:val="00ED4BCA"/>
    <w:rsid w:val="00ED56A0"/>
    <w:rsid w:val="00ED5F77"/>
    <w:rsid w:val="00EE0131"/>
    <w:rsid w:val="00EE17B0"/>
    <w:rsid w:val="00EE3408"/>
    <w:rsid w:val="00EF03F6"/>
    <w:rsid w:val="00EF06D9"/>
    <w:rsid w:val="00EF08DA"/>
    <w:rsid w:val="00EF729B"/>
    <w:rsid w:val="00F009BF"/>
    <w:rsid w:val="00F104DD"/>
    <w:rsid w:val="00F110F5"/>
    <w:rsid w:val="00F118B0"/>
    <w:rsid w:val="00F131DE"/>
    <w:rsid w:val="00F14BA2"/>
    <w:rsid w:val="00F16536"/>
    <w:rsid w:val="00F21484"/>
    <w:rsid w:val="00F24DDC"/>
    <w:rsid w:val="00F2733F"/>
    <w:rsid w:val="00F30C64"/>
    <w:rsid w:val="00F30E73"/>
    <w:rsid w:val="00F32CDB"/>
    <w:rsid w:val="00F373A8"/>
    <w:rsid w:val="00F41B64"/>
    <w:rsid w:val="00F429AE"/>
    <w:rsid w:val="00F53D08"/>
    <w:rsid w:val="00F54CB5"/>
    <w:rsid w:val="00F565FE"/>
    <w:rsid w:val="00F610A7"/>
    <w:rsid w:val="00F61229"/>
    <w:rsid w:val="00F63A70"/>
    <w:rsid w:val="00F67201"/>
    <w:rsid w:val="00F6729A"/>
    <w:rsid w:val="00F70ADF"/>
    <w:rsid w:val="00F71A31"/>
    <w:rsid w:val="00F73D8D"/>
    <w:rsid w:val="00F755EE"/>
    <w:rsid w:val="00F82F3C"/>
    <w:rsid w:val="00F87856"/>
    <w:rsid w:val="00F9792A"/>
    <w:rsid w:val="00FA1656"/>
    <w:rsid w:val="00FA21D0"/>
    <w:rsid w:val="00FA36FD"/>
    <w:rsid w:val="00FA5409"/>
    <w:rsid w:val="00FA5F5F"/>
    <w:rsid w:val="00FB1B0F"/>
    <w:rsid w:val="00FB30E3"/>
    <w:rsid w:val="00FB3273"/>
    <w:rsid w:val="00FB730C"/>
    <w:rsid w:val="00FC2695"/>
    <w:rsid w:val="00FC3E03"/>
    <w:rsid w:val="00FC3FC1"/>
    <w:rsid w:val="00FD07D2"/>
    <w:rsid w:val="00FD1C18"/>
    <w:rsid w:val="00FD2770"/>
    <w:rsid w:val="00FE0364"/>
    <w:rsid w:val="00FE1CF5"/>
    <w:rsid w:val="00FE54D8"/>
    <w:rsid w:val="00FE6F55"/>
    <w:rsid w:val="00FE780B"/>
    <w:rsid w:val="00FE7911"/>
    <w:rsid w:val="00FF1056"/>
    <w:rsid w:val="00FF213A"/>
    <w:rsid w:val="00FF3D11"/>
    <w:rsid w:val="00FF3FC8"/>
    <w:rsid w:val="00FF74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C6AF1A"/>
  <w15:docId w15:val="{AA330848-01B9-430F-887A-F8FC191B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44392"/>
    <w:pPr>
      <w:keepNext/>
      <w:numPr>
        <w:ilvl w:val="2"/>
        <w:numId w:val="1"/>
      </w:numPr>
      <w:suppressAutoHyphens/>
      <w:spacing w:before="120" w:after="120" w:line="240" w:lineRule="auto"/>
    </w:pPr>
    <w:rPr>
      <w:rFonts w:ascii="Arial" w:eastAsia="Times New Roman" w:hAnsi="Arial" w:cs="Times New Roman"/>
      <w:b/>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44392"/>
    <w:rPr>
      <w:rFonts w:ascii="Arial" w:eastAsia="Times New Roman" w:hAnsi="Arial" w:cs="Times New Roman"/>
      <w:b/>
      <w:bCs/>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character" w:styleId="Testosegnaposto">
    <w:name w:val="Placeholder Text"/>
    <w:basedOn w:val="Carpredefinitoparagrafo"/>
    <w:uiPriority w:val="99"/>
    <w:semiHidden/>
    <w:rsid w:val="00A7140E"/>
    <w:rPr>
      <w:color w:val="808080"/>
    </w:rPr>
  </w:style>
  <w:style w:type="paragraph" w:customStyle="1" w:styleId="Default">
    <w:name w:val="Default"/>
    <w:rsid w:val="00B70C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48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945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12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0E96-8B53-43E8-843B-B9A0EAF2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2770</Words>
  <Characters>15794</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2023-04-30T14:07:00Z</cp:lastPrinted>
  <dcterms:created xsi:type="dcterms:W3CDTF">2023-09-05T07:34:00Z</dcterms:created>
  <dcterms:modified xsi:type="dcterms:W3CDTF">2023-09-05T07:34:00Z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