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6C55E9" w14:paraId="2A131A54" w14:textId="77777777" w:rsidTr="000958BF">
        <w:trPr>
          <w:trHeight w:val="852"/>
          <w:jc w:val="center"/>
        </w:trPr>
        <w:tc>
          <w:tcPr>
            <w:tcW w:w="6940" w:type="dxa"/>
            <w:vMerge w:val="restart"/>
            <w:tcBorders>
              <w:right w:val="single" w:sz="4" w:space="0" w:color="auto"/>
            </w:tcBorders>
          </w:tcPr>
          <w:p w14:paraId="38C3D2BA" w14:textId="77777777" w:rsidR="000A03B2" w:rsidRPr="006C55E9" w:rsidRDefault="000A03B2" w:rsidP="00DE264A">
            <w:pPr>
              <w:tabs>
                <w:tab w:val="left" w:pos="-108"/>
              </w:tabs>
              <w:ind w:left="-108"/>
              <w:jc w:val="left"/>
              <w:rPr>
                <w:rFonts w:cs="Arial"/>
                <w:b/>
                <w:bCs/>
                <w:i/>
                <w:iCs/>
                <w:color w:val="000066"/>
                <w:sz w:val="12"/>
                <w:szCs w:val="12"/>
                <w:lang w:eastAsia="it-IT"/>
              </w:rPr>
            </w:pPr>
            <w:r w:rsidRPr="006C55E9">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6C55E9">
              <w:rPr>
                <w:rFonts w:ascii="AdvP6960" w:hAnsi="AdvP6960" w:cs="AdvP6960"/>
                <w:color w:val="241F20"/>
                <w:szCs w:val="18"/>
                <w:lang w:eastAsia="it-IT"/>
              </w:rPr>
              <w:t xml:space="preserve"> </w:t>
            </w:r>
            <w:r w:rsidRPr="006C55E9">
              <w:rPr>
                <w:rFonts w:cs="Arial"/>
                <w:b/>
                <w:bCs/>
                <w:i/>
                <w:iCs/>
                <w:color w:val="000066"/>
                <w:sz w:val="24"/>
                <w:szCs w:val="24"/>
                <w:lang w:eastAsia="it-IT"/>
              </w:rPr>
              <w:t>CHEMICAL ENGINEERING</w:t>
            </w:r>
            <w:r w:rsidRPr="006C55E9">
              <w:rPr>
                <w:rFonts w:cs="Arial"/>
                <w:b/>
                <w:bCs/>
                <w:i/>
                <w:iCs/>
                <w:color w:val="0033FF"/>
                <w:sz w:val="24"/>
                <w:szCs w:val="24"/>
                <w:lang w:eastAsia="it-IT"/>
              </w:rPr>
              <w:t xml:space="preserve"> </w:t>
            </w:r>
            <w:r w:rsidRPr="006C55E9">
              <w:rPr>
                <w:rFonts w:cs="Arial"/>
                <w:b/>
                <w:bCs/>
                <w:i/>
                <w:iCs/>
                <w:color w:val="666666"/>
                <w:sz w:val="24"/>
                <w:szCs w:val="24"/>
                <w:lang w:eastAsia="it-IT"/>
              </w:rPr>
              <w:t>TRANSACTIONS</w:t>
            </w:r>
            <w:r w:rsidRPr="006C55E9">
              <w:rPr>
                <w:color w:val="333333"/>
                <w:sz w:val="24"/>
                <w:szCs w:val="24"/>
                <w:lang w:eastAsia="it-IT"/>
              </w:rPr>
              <w:t xml:space="preserve"> </w:t>
            </w:r>
            <w:r w:rsidRPr="006C55E9">
              <w:rPr>
                <w:rFonts w:cs="Arial"/>
                <w:b/>
                <w:bCs/>
                <w:i/>
                <w:iCs/>
                <w:color w:val="000066"/>
                <w:sz w:val="27"/>
                <w:szCs w:val="27"/>
                <w:lang w:eastAsia="it-IT"/>
              </w:rPr>
              <w:br/>
            </w:r>
          </w:p>
          <w:p w14:paraId="4B780582" w14:textId="530285EB" w:rsidR="000A03B2" w:rsidRPr="006C55E9" w:rsidRDefault="00A76EFC" w:rsidP="001D21AF">
            <w:pPr>
              <w:tabs>
                <w:tab w:val="left" w:pos="-108"/>
              </w:tabs>
              <w:ind w:left="-108"/>
              <w:rPr>
                <w:rFonts w:cs="Arial"/>
                <w:b/>
                <w:bCs/>
                <w:i/>
                <w:iCs/>
                <w:color w:val="000066"/>
                <w:sz w:val="22"/>
                <w:szCs w:val="22"/>
                <w:lang w:eastAsia="it-IT"/>
              </w:rPr>
            </w:pPr>
            <w:r w:rsidRPr="006C55E9">
              <w:rPr>
                <w:rFonts w:cs="Arial"/>
                <w:b/>
                <w:bCs/>
                <w:i/>
                <w:iCs/>
                <w:color w:val="000066"/>
                <w:sz w:val="22"/>
                <w:szCs w:val="22"/>
                <w:lang w:eastAsia="it-IT"/>
              </w:rPr>
              <w:t xml:space="preserve">VOL. </w:t>
            </w:r>
            <w:r w:rsidR="0030152C" w:rsidRPr="006C55E9">
              <w:rPr>
                <w:rFonts w:cs="Arial"/>
                <w:b/>
                <w:bCs/>
                <w:i/>
                <w:iCs/>
                <w:color w:val="000066"/>
                <w:sz w:val="22"/>
                <w:szCs w:val="22"/>
                <w:lang w:eastAsia="it-IT"/>
              </w:rPr>
              <w:t xml:space="preserve">   </w:t>
            </w:r>
            <w:r w:rsidR="007B48F9" w:rsidRPr="006C55E9">
              <w:rPr>
                <w:rFonts w:cs="Arial"/>
                <w:b/>
                <w:bCs/>
                <w:i/>
                <w:iCs/>
                <w:color w:val="000066"/>
                <w:sz w:val="22"/>
                <w:szCs w:val="22"/>
                <w:lang w:eastAsia="it-IT"/>
              </w:rPr>
              <w:t>,</w:t>
            </w:r>
            <w:r w:rsidR="00FA5F5F" w:rsidRPr="006C55E9">
              <w:rPr>
                <w:rFonts w:cs="Arial"/>
                <w:b/>
                <w:bCs/>
                <w:i/>
                <w:iCs/>
                <w:color w:val="000066"/>
                <w:sz w:val="22"/>
                <w:szCs w:val="22"/>
                <w:lang w:eastAsia="it-IT"/>
              </w:rPr>
              <w:t xml:space="preserve"> </w:t>
            </w:r>
            <w:r w:rsidR="0030152C" w:rsidRPr="006C55E9">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6C55E9" w:rsidRDefault="000A03B2" w:rsidP="00CD5FE2">
            <w:pPr>
              <w:spacing w:line="140" w:lineRule="atLeast"/>
              <w:jc w:val="right"/>
              <w:rPr>
                <w:rFonts w:cs="Arial"/>
                <w:sz w:val="14"/>
                <w:szCs w:val="14"/>
              </w:rPr>
            </w:pPr>
            <w:r w:rsidRPr="006C55E9">
              <w:rPr>
                <w:rFonts w:cs="Arial"/>
                <w:sz w:val="14"/>
                <w:szCs w:val="14"/>
              </w:rPr>
              <w:t>A publication of</w:t>
            </w:r>
          </w:p>
          <w:p w14:paraId="599E5441" w14:textId="77777777" w:rsidR="000A03B2" w:rsidRPr="006C55E9" w:rsidRDefault="000A03B2" w:rsidP="00CD5FE2">
            <w:pPr>
              <w:jc w:val="right"/>
            </w:pPr>
            <w:r w:rsidRPr="006C55E9">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6C55E9" w14:paraId="380FA3CD" w14:textId="77777777" w:rsidTr="000958BF">
        <w:trPr>
          <w:trHeight w:val="567"/>
          <w:jc w:val="center"/>
        </w:trPr>
        <w:tc>
          <w:tcPr>
            <w:tcW w:w="6940" w:type="dxa"/>
            <w:vMerge/>
            <w:tcBorders>
              <w:right w:val="single" w:sz="4" w:space="0" w:color="auto"/>
            </w:tcBorders>
          </w:tcPr>
          <w:p w14:paraId="39E5E4C1" w14:textId="77777777" w:rsidR="000A03B2" w:rsidRPr="006C55E9"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6C55E9" w:rsidRDefault="000A03B2" w:rsidP="00CD5FE2">
            <w:pPr>
              <w:spacing w:line="140" w:lineRule="atLeast"/>
              <w:jc w:val="right"/>
              <w:rPr>
                <w:rFonts w:cs="Arial"/>
                <w:sz w:val="14"/>
                <w:szCs w:val="14"/>
              </w:rPr>
            </w:pPr>
            <w:r w:rsidRPr="006C55E9">
              <w:rPr>
                <w:rFonts w:cs="Arial"/>
                <w:sz w:val="14"/>
                <w:szCs w:val="14"/>
              </w:rPr>
              <w:t>The Italian Association</w:t>
            </w:r>
          </w:p>
          <w:p w14:paraId="7522B1D2" w14:textId="77777777" w:rsidR="000A03B2" w:rsidRPr="006C55E9" w:rsidRDefault="000A03B2" w:rsidP="00CD5FE2">
            <w:pPr>
              <w:spacing w:line="140" w:lineRule="atLeast"/>
              <w:jc w:val="right"/>
              <w:rPr>
                <w:rFonts w:cs="Arial"/>
                <w:sz w:val="14"/>
                <w:szCs w:val="14"/>
              </w:rPr>
            </w:pPr>
            <w:r w:rsidRPr="006C55E9">
              <w:rPr>
                <w:rFonts w:cs="Arial"/>
                <w:sz w:val="14"/>
                <w:szCs w:val="14"/>
              </w:rPr>
              <w:t>of Chemical Engineering</w:t>
            </w:r>
          </w:p>
          <w:p w14:paraId="4F0CC5DE" w14:textId="47FDB2FC" w:rsidR="000A03B2" w:rsidRPr="006C55E9" w:rsidRDefault="000D0268" w:rsidP="00CD5FE2">
            <w:pPr>
              <w:spacing w:line="140" w:lineRule="atLeast"/>
              <w:jc w:val="right"/>
              <w:rPr>
                <w:rFonts w:cs="Arial"/>
                <w:sz w:val="13"/>
                <w:szCs w:val="13"/>
              </w:rPr>
            </w:pPr>
            <w:r w:rsidRPr="006C55E9">
              <w:rPr>
                <w:rFonts w:cs="Arial"/>
                <w:sz w:val="13"/>
                <w:szCs w:val="13"/>
              </w:rPr>
              <w:t>Online at www.cetjournal.it</w:t>
            </w:r>
          </w:p>
        </w:tc>
      </w:tr>
      <w:tr w:rsidR="000A03B2" w:rsidRPr="006C55E9" w14:paraId="2D1B7169" w14:textId="77777777" w:rsidTr="000958BF">
        <w:trPr>
          <w:trHeight w:val="68"/>
          <w:jc w:val="center"/>
        </w:trPr>
        <w:tc>
          <w:tcPr>
            <w:tcW w:w="8782" w:type="dxa"/>
            <w:gridSpan w:val="2"/>
          </w:tcPr>
          <w:p w14:paraId="1D8DD3C9" w14:textId="086598E2" w:rsidR="00AA7D26" w:rsidRPr="006C55E9" w:rsidRDefault="00AA7D26" w:rsidP="00AA7D26">
            <w:pPr>
              <w:ind w:left="-107"/>
              <w:outlineLvl w:val="2"/>
              <w:rPr>
                <w:rFonts w:ascii="Tahoma" w:hAnsi="Tahoma" w:cs="Tahoma"/>
                <w:bCs/>
                <w:color w:val="000000"/>
                <w:sz w:val="14"/>
                <w:szCs w:val="14"/>
                <w:lang w:eastAsia="it-IT"/>
              </w:rPr>
            </w:pPr>
            <w:r w:rsidRPr="006C55E9">
              <w:rPr>
                <w:rFonts w:ascii="Tahoma" w:hAnsi="Tahoma" w:cs="Tahoma"/>
                <w:iCs/>
                <w:color w:val="333333"/>
                <w:sz w:val="14"/>
                <w:szCs w:val="14"/>
                <w:lang w:eastAsia="it-IT"/>
              </w:rPr>
              <w:t>Guest Editors:</w:t>
            </w:r>
            <w:r w:rsidRPr="006C55E9">
              <w:rPr>
                <w:rFonts w:ascii="Tahoma" w:hAnsi="Tahoma" w:cs="Tahoma"/>
                <w:color w:val="000000"/>
                <w:sz w:val="14"/>
                <w:szCs w:val="14"/>
                <w:shd w:val="clear" w:color="auto" w:fill="FFFFFF"/>
              </w:rPr>
              <w:t xml:space="preserve"> </w:t>
            </w:r>
          </w:p>
          <w:p w14:paraId="1B0F1814" w14:textId="1CDEFB22" w:rsidR="000A03B2" w:rsidRPr="006C55E9" w:rsidRDefault="00AA7D26" w:rsidP="00AA7D26">
            <w:pPr>
              <w:tabs>
                <w:tab w:val="left" w:pos="-108"/>
              </w:tabs>
              <w:spacing w:line="140" w:lineRule="atLeast"/>
              <w:ind w:left="-107"/>
              <w:jc w:val="left"/>
            </w:pPr>
            <w:r w:rsidRPr="006C55E9">
              <w:rPr>
                <w:rFonts w:ascii="Tahoma" w:hAnsi="Tahoma" w:cs="Tahoma"/>
                <w:iCs/>
                <w:color w:val="333333"/>
                <w:sz w:val="14"/>
                <w:szCs w:val="14"/>
                <w:lang w:eastAsia="it-IT"/>
              </w:rPr>
              <w:t>Copyright © 2023, AIDIC Servizi S.r.l.</w:t>
            </w:r>
            <w:r w:rsidRPr="006C55E9">
              <w:rPr>
                <w:rFonts w:ascii="Tahoma" w:hAnsi="Tahoma" w:cs="Tahoma"/>
                <w:iCs/>
                <w:color w:val="333333"/>
                <w:sz w:val="14"/>
                <w:szCs w:val="14"/>
                <w:lang w:eastAsia="it-IT"/>
              </w:rPr>
              <w:br/>
            </w:r>
            <w:r w:rsidRPr="006C55E9">
              <w:rPr>
                <w:rFonts w:ascii="Tahoma" w:hAnsi="Tahoma" w:cs="Tahoma"/>
                <w:b/>
                <w:iCs/>
                <w:color w:val="000000"/>
                <w:sz w:val="14"/>
                <w:szCs w:val="14"/>
                <w:lang w:eastAsia="it-IT"/>
              </w:rPr>
              <w:t>ISBN</w:t>
            </w:r>
            <w:r w:rsidRPr="006C55E9">
              <w:rPr>
                <w:rFonts w:ascii="Tahoma" w:hAnsi="Tahoma" w:cs="Tahoma"/>
                <w:iCs/>
                <w:color w:val="000000"/>
                <w:sz w:val="14"/>
                <w:szCs w:val="14"/>
                <w:lang w:eastAsia="it-IT"/>
              </w:rPr>
              <w:t xml:space="preserve"> </w:t>
            </w:r>
            <w:r w:rsidR="00D2582C" w:rsidRPr="006C55E9">
              <w:rPr>
                <w:rFonts w:ascii="Tahoma" w:hAnsi="Tahoma" w:cs="Tahoma"/>
                <w:sz w:val="14"/>
                <w:szCs w:val="14"/>
              </w:rPr>
              <w:t>979-12-81206-</w:t>
            </w:r>
            <w:r w:rsidR="00557E00" w:rsidRPr="006C55E9">
              <w:rPr>
                <w:rFonts w:ascii="Tahoma" w:hAnsi="Tahoma" w:cs="Tahoma"/>
                <w:sz w:val="14"/>
                <w:szCs w:val="14"/>
              </w:rPr>
              <w:t>XX</w:t>
            </w:r>
            <w:r w:rsidR="00D2582C" w:rsidRPr="006C55E9">
              <w:rPr>
                <w:rFonts w:ascii="Tahoma" w:hAnsi="Tahoma" w:cs="Tahoma"/>
                <w:sz w:val="14"/>
                <w:szCs w:val="14"/>
              </w:rPr>
              <w:t>-</w:t>
            </w:r>
            <w:r w:rsidR="00557E00" w:rsidRPr="006C55E9">
              <w:rPr>
                <w:rFonts w:ascii="Tahoma" w:hAnsi="Tahoma" w:cs="Tahoma"/>
                <w:sz w:val="14"/>
                <w:szCs w:val="14"/>
              </w:rPr>
              <w:t>X</w:t>
            </w:r>
            <w:r w:rsidRPr="006C55E9">
              <w:rPr>
                <w:rFonts w:ascii="Tahoma" w:hAnsi="Tahoma" w:cs="Tahoma"/>
                <w:iCs/>
                <w:color w:val="333333"/>
                <w:sz w:val="14"/>
                <w:szCs w:val="14"/>
                <w:lang w:eastAsia="it-IT"/>
              </w:rPr>
              <w:t xml:space="preserve">; </w:t>
            </w:r>
            <w:r w:rsidRPr="006C55E9">
              <w:rPr>
                <w:rFonts w:ascii="Tahoma" w:hAnsi="Tahoma" w:cs="Tahoma"/>
                <w:b/>
                <w:iCs/>
                <w:color w:val="333333"/>
                <w:sz w:val="14"/>
                <w:szCs w:val="14"/>
                <w:lang w:eastAsia="it-IT"/>
              </w:rPr>
              <w:t>ISSN</w:t>
            </w:r>
            <w:r w:rsidRPr="006C55E9">
              <w:rPr>
                <w:rFonts w:ascii="Tahoma" w:hAnsi="Tahoma" w:cs="Tahoma"/>
                <w:iCs/>
                <w:color w:val="333333"/>
                <w:sz w:val="14"/>
                <w:szCs w:val="14"/>
                <w:lang w:eastAsia="it-IT"/>
              </w:rPr>
              <w:t xml:space="preserve"> 2283-9216</w:t>
            </w:r>
          </w:p>
        </w:tc>
      </w:tr>
    </w:tbl>
    <w:p w14:paraId="2E667253" w14:textId="425048B6" w:rsidR="00E978D0" w:rsidRPr="006C55E9" w:rsidRDefault="00BA21BB" w:rsidP="00E978D0">
      <w:pPr>
        <w:pStyle w:val="CETTitle"/>
      </w:pPr>
      <w:r w:rsidRPr="006C55E9">
        <w:t>Risk Assessment of LPG Release Scenarios</w:t>
      </w:r>
    </w:p>
    <w:p w14:paraId="0488FED2" w14:textId="57C1AE03" w:rsidR="00B57E6F" w:rsidRPr="006C55E9" w:rsidRDefault="00DB51F3" w:rsidP="00B57E6F">
      <w:pPr>
        <w:pStyle w:val="CETAuthors"/>
      </w:pPr>
      <w:r w:rsidRPr="006C55E9">
        <w:t>Giuseppe Giannelli</w:t>
      </w:r>
      <w:r w:rsidRPr="006C55E9">
        <w:rPr>
          <w:vertAlign w:val="superscript"/>
        </w:rPr>
        <w:t>a</w:t>
      </w:r>
      <w:r w:rsidR="00B57E6F" w:rsidRPr="006C55E9">
        <w:t xml:space="preserve">, </w:t>
      </w:r>
      <w:r w:rsidR="00BA21BB" w:rsidRPr="006C55E9">
        <w:t>Giovanni Grillone</w:t>
      </w:r>
      <w:r w:rsidR="00BA21BB" w:rsidRPr="006C55E9">
        <w:rPr>
          <w:vertAlign w:val="superscript"/>
        </w:rPr>
        <w:t>b</w:t>
      </w:r>
      <w:r w:rsidR="00BA21BB" w:rsidRPr="006C55E9">
        <w:t>, Antonino Muratore</w:t>
      </w:r>
      <w:r w:rsidR="00BA21BB" w:rsidRPr="006C55E9">
        <w:rPr>
          <w:vertAlign w:val="superscript"/>
        </w:rPr>
        <w:t>a,</w:t>
      </w:r>
      <w:r w:rsidR="00BA21BB" w:rsidRPr="006C55E9">
        <w:t xml:space="preserve">*, </w:t>
      </w:r>
      <w:r w:rsidRPr="006C55E9">
        <w:t>Vincenzo Nastasi</w:t>
      </w:r>
      <w:r w:rsidR="00BA21BB" w:rsidRPr="006C55E9">
        <w:rPr>
          <w:vertAlign w:val="superscript"/>
        </w:rPr>
        <w:t>b</w:t>
      </w:r>
    </w:p>
    <w:p w14:paraId="6B2D21B3" w14:textId="5AEF452C" w:rsidR="00B57E6F" w:rsidRPr="006C55E9" w:rsidRDefault="00B57E6F" w:rsidP="00B57E6F">
      <w:pPr>
        <w:pStyle w:val="CETAddress"/>
      </w:pPr>
      <w:r w:rsidRPr="006C55E9">
        <w:rPr>
          <w:vertAlign w:val="superscript"/>
        </w:rPr>
        <w:t>a</w:t>
      </w:r>
      <w:r w:rsidR="00F92A4C" w:rsidRPr="006C55E9">
        <w:t>Inail, UOT Como, Via Petrarca 4 - 22100 Como, Italy</w:t>
      </w:r>
    </w:p>
    <w:p w14:paraId="26126F9B" w14:textId="0307BD5F" w:rsidR="00F92A4C" w:rsidRPr="006C55E9" w:rsidRDefault="00BA21BB" w:rsidP="00F92A4C">
      <w:pPr>
        <w:pStyle w:val="CETAddress"/>
      </w:pPr>
      <w:r w:rsidRPr="006C55E9">
        <w:rPr>
          <w:vertAlign w:val="superscript"/>
        </w:rPr>
        <w:t>b</w:t>
      </w:r>
      <w:r w:rsidR="00F92A4C" w:rsidRPr="006C55E9">
        <w:t>Inail, UOT Palermo, Via dei cantieri 120 - 90142 Palermo, Italy</w:t>
      </w:r>
    </w:p>
    <w:p w14:paraId="73F1267A" w14:textId="693EC33A" w:rsidR="00B57E6F" w:rsidRPr="006C55E9" w:rsidRDefault="00F92A4C" w:rsidP="00B57E6F">
      <w:pPr>
        <w:pStyle w:val="CETemail"/>
      </w:pPr>
      <w:r w:rsidRPr="006C55E9">
        <w:rPr>
          <w:vertAlign w:val="superscript"/>
        </w:rPr>
        <w:t>*</w:t>
      </w:r>
      <w:r w:rsidR="00BA21BB" w:rsidRPr="006C55E9">
        <w:t>corresponding author: a</w:t>
      </w:r>
      <w:r w:rsidRPr="006C55E9">
        <w:t>.muratore</w:t>
      </w:r>
      <w:r w:rsidR="00B57E6F" w:rsidRPr="006C55E9">
        <w:t>@</w:t>
      </w:r>
      <w:r w:rsidRPr="006C55E9">
        <w:t>inail.it</w:t>
      </w:r>
    </w:p>
    <w:p w14:paraId="6A677B82" w14:textId="63401892" w:rsidR="00D040FE" w:rsidRPr="006C55E9" w:rsidRDefault="00D040FE" w:rsidP="00354DA5">
      <w:pPr>
        <w:pStyle w:val="CETBodytext"/>
        <w:rPr>
          <w:lang w:val="en-GB"/>
        </w:rPr>
      </w:pPr>
      <w:r w:rsidRPr="006C55E9">
        <w:rPr>
          <w:lang w:val="en-GB"/>
        </w:rPr>
        <w:t xml:space="preserve">Accidents involving accidental </w:t>
      </w:r>
      <w:r w:rsidR="00937440" w:rsidRPr="006C55E9">
        <w:rPr>
          <w:lang w:val="en-GB"/>
        </w:rPr>
        <w:t>release</w:t>
      </w:r>
      <w:r w:rsidRPr="006C55E9">
        <w:rPr>
          <w:lang w:val="en-GB"/>
        </w:rPr>
        <w:t xml:space="preserve"> of liquefied petroleum gas (LPG) can cause very serious damage to people and structures. Such as, for example, the derailment of a freight train carrying LPG, which occurred in Viareggio (Italy) on 29 June 2009 or the accident involving the fixed tank installed at the end user, which occurred in Gravedona (Italy) on 11 July 2019.</w:t>
      </w:r>
    </w:p>
    <w:p w14:paraId="76E8DB8A" w14:textId="2DEB25A7" w:rsidR="00456FD9" w:rsidRPr="006C55E9" w:rsidRDefault="00AA5DB2" w:rsidP="00354DA5">
      <w:pPr>
        <w:pStyle w:val="CETBodytext"/>
        <w:rPr>
          <w:lang w:val="en-GB"/>
        </w:rPr>
      </w:pPr>
      <w:r w:rsidRPr="006C55E9">
        <w:rPr>
          <w:lang w:val="en-GB"/>
        </w:rPr>
        <w:t xml:space="preserve">The danger of LPG derives from its flammability and its tendency to form a dense cloud of </w:t>
      </w:r>
      <w:r w:rsidR="006C55E9" w:rsidRPr="006C55E9">
        <w:rPr>
          <w:lang w:val="en-GB"/>
        </w:rPr>
        <w:t>vapour</w:t>
      </w:r>
      <w:r w:rsidRPr="006C55E9">
        <w:rPr>
          <w:lang w:val="en-GB"/>
        </w:rPr>
        <w:t xml:space="preserve"> which is dispersed in atmosphere, even at a significant distance from the release, which if ignited can explode.</w:t>
      </w:r>
    </w:p>
    <w:p w14:paraId="50BC3738" w14:textId="21E84AE3" w:rsidR="003A72CF" w:rsidRPr="006C55E9" w:rsidRDefault="008432E0" w:rsidP="005D0D55">
      <w:pPr>
        <w:pStyle w:val="CETBodytext"/>
        <w:rPr>
          <w:lang w:val="en-GB"/>
        </w:rPr>
      </w:pPr>
      <w:r w:rsidRPr="006C55E9">
        <w:rPr>
          <w:lang w:val="en-GB"/>
        </w:rPr>
        <w:t xml:space="preserve">In the present work, </w:t>
      </w:r>
      <w:r w:rsidR="00520028" w:rsidRPr="006C55E9">
        <w:rPr>
          <w:lang w:val="en-GB"/>
        </w:rPr>
        <w:t>a</w:t>
      </w:r>
      <w:r w:rsidRPr="006C55E9">
        <w:rPr>
          <w:lang w:val="en-GB"/>
        </w:rPr>
        <w:t xml:space="preserve">uthors give indications for </w:t>
      </w:r>
      <w:r w:rsidR="00520028" w:rsidRPr="006C55E9">
        <w:rPr>
          <w:lang w:val="en-GB"/>
        </w:rPr>
        <w:t>risk assessment of LPG release scenarios. The evaluation is obtained by combining the probability of the occurrence of the scenarios with the relative class of c</w:t>
      </w:r>
      <w:bookmarkStart w:id="0" w:name="_GoBack"/>
      <w:bookmarkEnd w:id="0"/>
      <w:r w:rsidR="00520028" w:rsidRPr="006C55E9">
        <w:rPr>
          <w:lang w:val="en-GB"/>
        </w:rPr>
        <w:t>onsequences of the dangerous phenomena (effects on the human target and effects on the environment target).</w:t>
      </w:r>
      <w:r w:rsidR="003A72CF" w:rsidRPr="006C55E9">
        <w:rPr>
          <w:lang w:val="en-GB"/>
        </w:rPr>
        <w:t xml:space="preserve"> The combination obtained through a risk matrix has the purpose of identifying the accident scenarios with the greatest impact.</w:t>
      </w:r>
      <w:r w:rsidR="00D30D62" w:rsidRPr="006C55E9">
        <w:rPr>
          <w:lang w:val="en-GB"/>
        </w:rPr>
        <w:t xml:space="preserve"> </w:t>
      </w:r>
      <w:r w:rsidR="00E65A2B" w:rsidRPr="006C55E9">
        <w:rPr>
          <w:lang w:val="en-GB"/>
        </w:rPr>
        <w:t xml:space="preserve">From </w:t>
      </w:r>
      <w:r w:rsidR="003A72CF" w:rsidRPr="006C55E9">
        <w:rPr>
          <w:lang w:val="en-GB"/>
        </w:rPr>
        <w:t>matrix</w:t>
      </w:r>
      <w:r w:rsidR="00E65A2B" w:rsidRPr="006C55E9">
        <w:rPr>
          <w:lang w:val="en-GB"/>
        </w:rPr>
        <w:t xml:space="preserve"> scenarios</w:t>
      </w:r>
      <w:r w:rsidR="003A72CF" w:rsidRPr="006C55E9">
        <w:rPr>
          <w:lang w:val="en-GB"/>
        </w:rPr>
        <w:t>, we can deduce:</w:t>
      </w:r>
      <w:r w:rsidR="005D0D55" w:rsidRPr="006C55E9">
        <w:rPr>
          <w:lang w:val="en-GB"/>
        </w:rPr>
        <w:t xml:space="preserve"> - </w:t>
      </w:r>
      <w:r w:rsidR="00E65A2B" w:rsidRPr="006C55E9">
        <w:rPr>
          <w:lang w:val="en-GB"/>
        </w:rPr>
        <w:t>P</w:t>
      </w:r>
      <w:r w:rsidR="003A72CF" w:rsidRPr="006C55E9">
        <w:rPr>
          <w:lang w:val="en-GB"/>
        </w:rPr>
        <w:t xml:space="preserve">henomena with a low frequency and/or consequence that probably have no concrete effect on the damage; </w:t>
      </w:r>
      <w:r w:rsidR="005D0D55" w:rsidRPr="006C55E9">
        <w:rPr>
          <w:lang w:val="en-GB"/>
        </w:rPr>
        <w:t>- Phenomena which will certainly lead to the development of real damage (these will have to be re-</w:t>
      </w:r>
      <w:r w:rsidR="006C55E9" w:rsidRPr="006C55E9">
        <w:rPr>
          <w:lang w:val="en-GB"/>
        </w:rPr>
        <w:t>analysed</w:t>
      </w:r>
      <w:r w:rsidR="005D0D55" w:rsidRPr="006C55E9">
        <w:rPr>
          <w:lang w:val="en-GB"/>
        </w:rPr>
        <w:t xml:space="preserve"> in order to insert additional safety systems); -Phenomena of medium effect, which will probably have real effects on the damage and will be selected for further study.</w:t>
      </w:r>
    </w:p>
    <w:p w14:paraId="384127DA" w14:textId="39574B0B" w:rsidR="00EC6AF6" w:rsidRPr="006C55E9" w:rsidRDefault="00EC6AF6" w:rsidP="00EC6AF6">
      <w:pPr>
        <w:pStyle w:val="CETListbullets"/>
        <w:ind w:left="0" w:firstLine="0"/>
      </w:pPr>
      <w:r w:rsidRPr="006C55E9">
        <w:t>These scenarios</w:t>
      </w:r>
      <w:r w:rsidR="00926773" w:rsidRPr="006C55E9">
        <w:t xml:space="preserve"> for LPG depots</w:t>
      </w:r>
      <w:r w:rsidR="008432E0" w:rsidRPr="006C55E9">
        <w:t>,</w:t>
      </w:r>
      <w:r w:rsidR="00926773" w:rsidRPr="006C55E9">
        <w:t xml:space="preserve"> which fall under the activities at risk of major accident</w:t>
      </w:r>
      <w:r w:rsidR="008432E0" w:rsidRPr="006C55E9">
        <w:t>,</w:t>
      </w:r>
      <w:r w:rsidRPr="006C55E9">
        <w:t xml:space="preserve"> are the basis of correct territorial planning and internal and external emergency </w:t>
      </w:r>
      <w:r w:rsidR="0036393D" w:rsidRPr="006C55E9">
        <w:t>planning;</w:t>
      </w:r>
      <w:r w:rsidRPr="006C55E9">
        <w:t xml:space="preserve"> also consider the </w:t>
      </w:r>
      <w:r w:rsidR="0081154C" w:rsidRPr="006C55E9">
        <w:t xml:space="preserve">Italian </w:t>
      </w:r>
      <w:r w:rsidRPr="006C55E9">
        <w:t xml:space="preserve">Directive of the Presidency of the Council of Ministers - Civil Protection Department of </w:t>
      </w:r>
      <w:r w:rsidR="00B50CD1" w:rsidRPr="006C55E9">
        <w:t xml:space="preserve">7 </w:t>
      </w:r>
      <w:r w:rsidRPr="006C55E9">
        <w:t>December</w:t>
      </w:r>
      <w:r w:rsidR="00B50CD1" w:rsidRPr="006C55E9">
        <w:t xml:space="preserve"> </w:t>
      </w:r>
      <w:r w:rsidRPr="006C55E9">
        <w:t>2022</w:t>
      </w:r>
      <w:r w:rsidR="0036393D" w:rsidRPr="006C55E9">
        <w:t>. (G</w:t>
      </w:r>
      <w:r w:rsidR="0081154C" w:rsidRPr="006C55E9">
        <w:t>uidelines for the preparation of the external emergency plan, guidelines for informing the population and guidelines for testing external emergency plans</w:t>
      </w:r>
      <w:r w:rsidR="00B50CD1" w:rsidRPr="006C55E9">
        <w:t xml:space="preserve"> </w:t>
      </w:r>
      <w:r w:rsidR="00E65A2B" w:rsidRPr="006C55E9">
        <w:t>(</w:t>
      </w:r>
      <w:r w:rsidR="00B50CD1" w:rsidRPr="006C55E9">
        <w:t>Italian Official Gazette no. 31 of 7 February 2023</w:t>
      </w:r>
      <w:r w:rsidR="00E65A2B" w:rsidRPr="006C55E9">
        <w:t>)</w:t>
      </w:r>
      <w:r w:rsidR="0036393D" w:rsidRPr="006C55E9">
        <w:t>)</w:t>
      </w:r>
      <w:r w:rsidR="00B50CD1" w:rsidRPr="006C55E9">
        <w:t>.</w:t>
      </w:r>
    </w:p>
    <w:p w14:paraId="4F20734A" w14:textId="7301EDDC" w:rsidR="002404C6" w:rsidRPr="006C55E9" w:rsidRDefault="002404C6" w:rsidP="002404C6">
      <w:pPr>
        <w:tabs>
          <w:tab w:val="clear" w:pos="7100"/>
        </w:tabs>
        <w:spacing w:before="200" w:after="120" w:line="240" w:lineRule="auto"/>
        <w:rPr>
          <w:b/>
        </w:rPr>
      </w:pPr>
      <w:r w:rsidRPr="006C55E9">
        <w:rPr>
          <w:b/>
          <w:sz w:val="20"/>
        </w:rPr>
        <w:t>1</w:t>
      </w:r>
      <w:r w:rsidR="00A27BE0" w:rsidRPr="006C55E9">
        <w:rPr>
          <w:b/>
          <w:sz w:val="20"/>
        </w:rPr>
        <w:t>.</w:t>
      </w:r>
      <w:r w:rsidRPr="006C55E9">
        <w:rPr>
          <w:b/>
          <w:sz w:val="20"/>
        </w:rPr>
        <w:t xml:space="preserve"> </w:t>
      </w:r>
      <w:r w:rsidR="00A27BE0" w:rsidRPr="006C55E9">
        <w:rPr>
          <w:b/>
          <w:sz w:val="20"/>
        </w:rPr>
        <w:t>Evolution</w:t>
      </w:r>
      <w:r w:rsidR="00A27BE0" w:rsidRPr="006C55E9">
        <w:rPr>
          <w:b/>
        </w:rPr>
        <w:t xml:space="preserve"> of LPG release </w:t>
      </w:r>
    </w:p>
    <w:p w14:paraId="2AF3B64D" w14:textId="6F14312B" w:rsidR="002404C6" w:rsidRPr="006C55E9" w:rsidRDefault="005114C3" w:rsidP="002404C6">
      <w:pPr>
        <w:tabs>
          <w:tab w:val="clear" w:pos="7100"/>
        </w:tabs>
        <w:spacing w:before="200" w:after="120" w:line="240" w:lineRule="auto"/>
      </w:pPr>
      <w:r w:rsidRPr="006C55E9">
        <w:t>In the chronological sequence represented in Figure 1, authors schematize t</w:t>
      </w:r>
      <w:r w:rsidR="00665837" w:rsidRPr="006C55E9">
        <w:t>he succession of possible phenomena resulting from the release of LPG due to any cause, such as a leak from a tank valve, an error during the transfer phase, the formation of a leak on the tank due to an impact or an overturning,</w:t>
      </w:r>
      <w:r w:rsidRPr="006C55E9">
        <w:t xml:space="preserve"> etc</w:t>
      </w:r>
      <w:r w:rsidR="00665837" w:rsidRPr="006C55E9">
        <w:t>.</w:t>
      </w:r>
    </w:p>
    <w:p w14:paraId="62A56856" w14:textId="42EA35A6" w:rsidR="002404C6" w:rsidRPr="006C55E9" w:rsidRDefault="00655219" w:rsidP="00665837">
      <w:pPr>
        <w:tabs>
          <w:tab w:val="clear" w:pos="7100"/>
        </w:tabs>
        <w:spacing w:before="200" w:after="120" w:line="240" w:lineRule="auto"/>
        <w:jc w:val="left"/>
      </w:pPr>
      <w:r w:rsidRPr="006C55E9">
        <w:rPr>
          <w:noProof/>
          <w:lang w:eastAsia="it-IT"/>
        </w:rPr>
        <w:drawing>
          <wp:inline distT="0" distB="0" distL="0" distR="0" wp14:anchorId="22F8FFB7" wp14:editId="0AF0ADED">
            <wp:extent cx="5219273" cy="11049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9598" cy="1113437"/>
                    </a:xfrm>
                    <a:prstGeom prst="rect">
                      <a:avLst/>
                    </a:prstGeom>
                    <a:noFill/>
                  </pic:spPr>
                </pic:pic>
              </a:graphicData>
            </a:graphic>
          </wp:inline>
        </w:drawing>
      </w:r>
    </w:p>
    <w:p w14:paraId="7EA08634" w14:textId="7AE7029A" w:rsidR="002404C6" w:rsidRPr="006C55E9" w:rsidRDefault="002404C6" w:rsidP="00665837">
      <w:pPr>
        <w:tabs>
          <w:tab w:val="clear" w:pos="7100"/>
        </w:tabs>
        <w:spacing w:before="200" w:after="120" w:line="240" w:lineRule="auto"/>
        <w:jc w:val="left"/>
        <w:rPr>
          <w:i/>
        </w:rPr>
      </w:pPr>
      <w:r w:rsidRPr="006C55E9">
        <w:rPr>
          <w:i/>
        </w:rPr>
        <w:t>Figur</w:t>
      </w:r>
      <w:r w:rsidR="00A27BE0" w:rsidRPr="006C55E9">
        <w:rPr>
          <w:i/>
        </w:rPr>
        <w:t>e</w:t>
      </w:r>
      <w:r w:rsidRPr="006C55E9">
        <w:rPr>
          <w:i/>
        </w:rPr>
        <w:t xml:space="preserve"> 1: </w:t>
      </w:r>
      <w:r w:rsidR="00BF629C" w:rsidRPr="006C55E9">
        <w:rPr>
          <w:i/>
        </w:rPr>
        <w:t>Tree of events following the release of L</w:t>
      </w:r>
      <w:r w:rsidR="00665837" w:rsidRPr="006C55E9">
        <w:rPr>
          <w:i/>
        </w:rPr>
        <w:t>PG</w:t>
      </w:r>
    </w:p>
    <w:p w14:paraId="033791FC" w14:textId="0060898B" w:rsidR="00F038E8" w:rsidRPr="006C55E9" w:rsidRDefault="00F038E8" w:rsidP="005B13A2">
      <w:pPr>
        <w:pStyle w:val="CETBodytext"/>
        <w:rPr>
          <w:lang w:val="en-GB"/>
        </w:rPr>
      </w:pPr>
      <w:r w:rsidRPr="006C55E9">
        <w:rPr>
          <w:lang w:val="en-GB"/>
        </w:rPr>
        <w:t>Following the loss of liquid LPG, part of it evaporates by isoenthalpic flash, while the subcooled LPG fraction forms a pool, from which further evaporation takes place</w:t>
      </w:r>
      <w:r w:rsidR="002404C6" w:rsidRPr="006C55E9">
        <w:rPr>
          <w:lang w:val="en-GB"/>
        </w:rPr>
        <w:t xml:space="preserve">. </w:t>
      </w:r>
      <w:r w:rsidR="005114C3" w:rsidRPr="006C55E9">
        <w:rPr>
          <w:lang w:val="en-GB"/>
        </w:rPr>
        <w:t>T</w:t>
      </w:r>
      <w:r w:rsidRPr="006C55E9">
        <w:rPr>
          <w:lang w:val="en-GB"/>
        </w:rPr>
        <w:t>wo factors determine the dilution of a cloud of LPG vapo</w:t>
      </w:r>
      <w:r w:rsidR="005B13A2" w:rsidRPr="006C55E9">
        <w:rPr>
          <w:lang w:val="en-GB"/>
        </w:rPr>
        <w:t>u</w:t>
      </w:r>
      <w:r w:rsidRPr="006C55E9">
        <w:rPr>
          <w:lang w:val="en-GB"/>
        </w:rPr>
        <w:t xml:space="preserve">r: </w:t>
      </w:r>
    </w:p>
    <w:p w14:paraId="36B200BC" w14:textId="07BA623D" w:rsidR="00F038E8" w:rsidRPr="006C55E9" w:rsidRDefault="005B13A2" w:rsidP="005B13A2">
      <w:pPr>
        <w:pStyle w:val="CETListbullets"/>
        <w:numPr>
          <w:ilvl w:val="0"/>
          <w:numId w:val="23"/>
        </w:numPr>
        <w:ind w:left="340" w:hanging="227"/>
      </w:pPr>
      <w:r w:rsidRPr="006C55E9">
        <w:t>W</w:t>
      </w:r>
      <w:r w:rsidR="00F038E8" w:rsidRPr="006C55E9">
        <w:t xml:space="preserve">ind (direction and speed): determines the distance of the cloud from the source of dispersion; </w:t>
      </w:r>
    </w:p>
    <w:p w14:paraId="64F4A223" w14:textId="77777777" w:rsidR="00BC7CB2" w:rsidRPr="006C55E9" w:rsidRDefault="005B13A2" w:rsidP="00BC7CB2">
      <w:pPr>
        <w:pStyle w:val="CETListbullets"/>
        <w:numPr>
          <w:ilvl w:val="0"/>
          <w:numId w:val="23"/>
        </w:numPr>
        <w:ind w:left="340" w:hanging="227"/>
      </w:pPr>
      <w:r w:rsidRPr="006C55E9">
        <w:lastRenderedPageBreak/>
        <w:t>T</w:t>
      </w:r>
      <w:r w:rsidR="00F038E8" w:rsidRPr="006C55E9">
        <w:t>urbulence: determines the dilution of the cloud and its mixing with the air</w:t>
      </w:r>
      <w:r w:rsidR="00BC7CB2" w:rsidRPr="006C55E9">
        <w:t>.</w:t>
      </w:r>
    </w:p>
    <w:p w14:paraId="38C2397A" w14:textId="49E25117" w:rsidR="005114C3" w:rsidRPr="006C55E9" w:rsidRDefault="00BC7CB2" w:rsidP="00252A9E">
      <w:pPr>
        <w:pStyle w:val="CETListbullets"/>
        <w:ind w:left="0" w:firstLine="0"/>
      </w:pPr>
      <w:r w:rsidRPr="006C55E9">
        <w:t>In general</w:t>
      </w:r>
      <w:r w:rsidR="00123072" w:rsidRPr="006C55E9">
        <w:t>,</w:t>
      </w:r>
      <w:r w:rsidRPr="006C55E9">
        <w:t xml:space="preserve"> conditions of instability occur when the sun warms the ground causing turbulent convective motions; conditions of atmospheric stability are instead at night.</w:t>
      </w:r>
      <w:r w:rsidR="00252A9E" w:rsidRPr="006C55E9">
        <w:t xml:space="preserve"> </w:t>
      </w:r>
    </w:p>
    <w:p w14:paraId="64DA4CE9" w14:textId="4BDB0BEF" w:rsidR="002C0985" w:rsidRPr="006C55E9" w:rsidRDefault="002C0985" w:rsidP="00252A9E">
      <w:pPr>
        <w:pStyle w:val="CETListbullets"/>
        <w:ind w:left="0" w:firstLine="0"/>
      </w:pPr>
      <w:r w:rsidRPr="006C55E9">
        <w:t>The most common Dangerous Phenomena for LPG are:</w:t>
      </w:r>
    </w:p>
    <w:p w14:paraId="064E4A14" w14:textId="77777777" w:rsidR="003C109D" w:rsidRPr="006C55E9" w:rsidRDefault="003C109D" w:rsidP="003C109D">
      <w:pPr>
        <w:pStyle w:val="CETListbullets"/>
        <w:ind w:left="0" w:firstLine="0"/>
      </w:pPr>
      <w:r w:rsidRPr="006C55E9">
        <w:rPr>
          <w:b/>
        </w:rPr>
        <w:t>Poolfire</w:t>
      </w:r>
      <w:r w:rsidRPr="006C55E9">
        <w:t>: The combustion of material evaporating from a layer of liquid (a pool). The occurrence of the layer of liquid results from the failure of equipment containing a flammable liquid.</w:t>
      </w:r>
    </w:p>
    <w:p w14:paraId="47D3C177" w14:textId="7C96C588" w:rsidR="005114C3" w:rsidRPr="006C55E9" w:rsidRDefault="005114C3" w:rsidP="00252A9E">
      <w:pPr>
        <w:pStyle w:val="CETListbullets"/>
        <w:ind w:left="0" w:firstLine="0"/>
      </w:pPr>
      <w:r w:rsidRPr="006C55E9">
        <w:rPr>
          <w:b/>
        </w:rPr>
        <w:t>Jet fire</w:t>
      </w:r>
      <w:r w:rsidR="002C0985" w:rsidRPr="006C55E9">
        <w:t>: The handling of pressurised flammable liquid or gas can lead to a jet fire in case of a leak on a pipe or on a vessel. The fluid ignition lead to form a jet flame characterised by a high radiant energy (largely higher than pool fire radiation) and by a noticeable kinetic energy.</w:t>
      </w:r>
    </w:p>
    <w:p w14:paraId="73D96AEA" w14:textId="4C66427D" w:rsidR="005114C3" w:rsidRPr="006C55E9" w:rsidRDefault="005114C3" w:rsidP="00252A9E">
      <w:pPr>
        <w:pStyle w:val="CETListbullets"/>
        <w:ind w:left="0" w:firstLine="0"/>
      </w:pPr>
      <w:r w:rsidRPr="006C55E9">
        <w:rPr>
          <w:b/>
        </w:rPr>
        <w:t>Flash fire</w:t>
      </w:r>
      <w:r w:rsidR="00FB0D93" w:rsidRPr="006C55E9">
        <w:rPr>
          <w:b/>
        </w:rPr>
        <w:t>,</w:t>
      </w:r>
      <w:r w:rsidRPr="006C55E9">
        <w:rPr>
          <w:b/>
        </w:rPr>
        <w:t xml:space="preserve"> VCE</w:t>
      </w:r>
      <w:r w:rsidR="00FB0D93" w:rsidRPr="006C55E9">
        <w:rPr>
          <w:b/>
        </w:rPr>
        <w:t>, UVCE</w:t>
      </w:r>
      <w:r w:rsidR="002C0985" w:rsidRPr="006C55E9">
        <w:t xml:space="preserve">: When a leakage occurs on an equipment item, a gaseous release can occur, either directly, or following the gradual vaporization of a pool on the ground close to the leakage. This event leads to the formation of a cloud that drifts and disperses with the wind. If the substance is flammable, there is an intermediate zone in which the vapour concentrations in the air are between the flammability limits of the substance. A sufficiently energetic ignition source, on the trajectory of the flammable zone of the cloud, may ignite this cloud. According to the front flame speed, the accident will </w:t>
      </w:r>
      <w:r w:rsidR="00FB0D93" w:rsidRPr="006C55E9">
        <w:t>lead to a flash fire or a VCE (V</w:t>
      </w:r>
      <w:r w:rsidR="002C0985" w:rsidRPr="006C55E9">
        <w:t xml:space="preserve">apour </w:t>
      </w:r>
      <w:r w:rsidR="00FB0D93" w:rsidRPr="006C55E9">
        <w:t>Cloud E</w:t>
      </w:r>
      <w:r w:rsidR="002C0985" w:rsidRPr="006C55E9">
        <w:t>xplosion). The latter event causes an overpressure – under</w:t>
      </w:r>
      <w:r w:rsidR="00C84002" w:rsidRPr="006C55E9">
        <w:t xml:space="preserve"> </w:t>
      </w:r>
      <w:r w:rsidR="002C0985" w:rsidRPr="006C55E9">
        <w:t>pressure wave. A devastating effect is associated with the peak overpressure as well as with the wave shape.</w:t>
      </w:r>
      <w:r w:rsidR="00FB0D93" w:rsidRPr="006C55E9">
        <w:t xml:space="preserve"> The probability that a cloud of LPG determines its explosion, known in the literature as UVCE (Unconfined Vapour Cloud Explosion) instead of a flash fire, essentially depends on the geometry of the place where the cloud extends.</w:t>
      </w:r>
    </w:p>
    <w:p w14:paraId="07992983" w14:textId="5FDC4E78" w:rsidR="005114C3" w:rsidRPr="006C55E9" w:rsidRDefault="005114C3" w:rsidP="00505284">
      <w:pPr>
        <w:pStyle w:val="CETListbullets"/>
        <w:ind w:left="0" w:firstLine="0"/>
      </w:pPr>
      <w:r w:rsidRPr="006C55E9">
        <w:rPr>
          <w:b/>
        </w:rPr>
        <w:t>BLEVE</w:t>
      </w:r>
      <w:r w:rsidR="00505284" w:rsidRPr="006C55E9">
        <w:rPr>
          <w:b/>
        </w:rPr>
        <w:t>, Fireball</w:t>
      </w:r>
      <w:r w:rsidR="002C0985" w:rsidRPr="006C55E9">
        <w:t xml:space="preserve">: </w:t>
      </w:r>
      <w:r w:rsidR="00505284" w:rsidRPr="006C55E9">
        <w:t xml:space="preserve">The term BLEVE is an acronym for Boiling Liquid Expanding Vapour Explosion. The BLEVE is one type of phenomena that may result from a catastrophic rupture. A BLEVE may occur when a vessel, containing a liquid highly superheated above its normal atmospheric boiling point, fails catastrophically. The risk of a BLEVE is typically associated with pressurized liquefied gas storage or pressurized liquids. The first consequence of a BLEVE is a blast effect due to vapour expansion when the vessel fails and to the explosive </w:t>
      </w:r>
      <w:r w:rsidR="00C84002" w:rsidRPr="006C55E9">
        <w:t>vaporisation</w:t>
      </w:r>
      <w:r w:rsidR="00505284" w:rsidRPr="006C55E9">
        <w:t xml:space="preserve"> of the vessel liquid content. This effect is generally followed by missiles ejection. If the substance is flammable, the air-substance aerosol can ignite immediately. The flame front rapidly moves away from the ignition point, generating a fireball. Its temperature is extremely high and it causes an important thermal radiation.</w:t>
      </w:r>
    </w:p>
    <w:p w14:paraId="57E9AB5B" w14:textId="607BE88F" w:rsidR="009246AE" w:rsidRPr="006C55E9" w:rsidRDefault="00505284" w:rsidP="00505284">
      <w:pPr>
        <w:pStyle w:val="CETListbullets"/>
        <w:ind w:left="0" w:firstLine="0"/>
      </w:pPr>
      <w:r w:rsidRPr="006C55E9">
        <w:rPr>
          <w:b/>
        </w:rPr>
        <w:t>Missiles ejection</w:t>
      </w:r>
      <w:r w:rsidRPr="006C55E9">
        <w:t>: Various equipment items can be concerned by an explosion or by a pressure increase causing their burst with missiles ejection: The BLEVE of a pressure vessel can generate missiles.</w:t>
      </w:r>
    </w:p>
    <w:p w14:paraId="5D836257" w14:textId="0C9C6FE3" w:rsidR="009246AE" w:rsidRPr="006C55E9" w:rsidRDefault="00505284" w:rsidP="00252A9E">
      <w:pPr>
        <w:pStyle w:val="CETListbullets"/>
        <w:ind w:left="0" w:firstLine="0"/>
      </w:pPr>
      <w:r w:rsidRPr="006C55E9">
        <w:rPr>
          <w:b/>
        </w:rPr>
        <w:t>Overpressure generation</w:t>
      </w:r>
      <w:r w:rsidRPr="006C55E9">
        <w:t>: A rapidly propagating pressure or shock-wave in atmosphere with high pressure, high density and high velocity.</w:t>
      </w:r>
    </w:p>
    <w:p w14:paraId="2FA700B1" w14:textId="4C5AB1E6" w:rsidR="002404C6" w:rsidRPr="006C55E9" w:rsidRDefault="00BA4BC6" w:rsidP="002404C6">
      <w:pPr>
        <w:tabs>
          <w:tab w:val="clear" w:pos="7100"/>
        </w:tabs>
        <w:spacing w:before="200" w:after="120" w:line="240" w:lineRule="auto"/>
        <w:jc w:val="left"/>
        <w:rPr>
          <w:b/>
        </w:rPr>
      </w:pPr>
      <w:r w:rsidRPr="006C55E9">
        <w:rPr>
          <w:b/>
        </w:rPr>
        <w:t>2.</w:t>
      </w:r>
      <w:r w:rsidR="00E04682" w:rsidRPr="006C55E9">
        <w:rPr>
          <w:b/>
        </w:rPr>
        <w:t xml:space="preserve"> B</w:t>
      </w:r>
      <w:r w:rsidR="002404C6" w:rsidRPr="006C55E9">
        <w:rPr>
          <w:b/>
        </w:rPr>
        <w:t>ow-tie</w:t>
      </w:r>
      <w:r w:rsidR="00E04682" w:rsidRPr="006C55E9">
        <w:rPr>
          <w:b/>
        </w:rPr>
        <w:t xml:space="preserve"> diagram</w:t>
      </w:r>
    </w:p>
    <w:p w14:paraId="48DCA314" w14:textId="02647BBE" w:rsidR="00E04682" w:rsidRPr="006C55E9" w:rsidRDefault="00E04682" w:rsidP="00E04682">
      <w:pPr>
        <w:tabs>
          <w:tab w:val="clear" w:pos="7100"/>
        </w:tabs>
        <w:spacing w:before="200" w:after="120" w:line="240" w:lineRule="auto"/>
      </w:pPr>
      <w:r w:rsidRPr="006C55E9">
        <w:t>A scenario describes the conditions that might lead to a major accident and the potential consequences, which in most cases is the loss of containment (LOC) also k</w:t>
      </w:r>
      <w:r w:rsidR="00EB5C56" w:rsidRPr="006C55E9">
        <w:t>nown as the critical event (CE)</w:t>
      </w:r>
      <w:r w:rsidRPr="006C55E9">
        <w:t xml:space="preserve"> of </w:t>
      </w:r>
      <w:r w:rsidR="00EB5C56" w:rsidRPr="006C55E9">
        <w:t>LPG</w:t>
      </w:r>
      <w:r w:rsidRPr="006C55E9">
        <w:t xml:space="preserve">, or the change of state of </w:t>
      </w:r>
      <w:r w:rsidR="00EB5C56" w:rsidRPr="006C55E9">
        <w:t>liquid LPG</w:t>
      </w:r>
      <w:r w:rsidRPr="006C55E9">
        <w:t>, combined with particular conditions that eventually lead to a fire, explosion, and/or release. In the EU Seveso Land-Use Planning Guidelines a “scenario” to be used for LUP risk analysis is defined as: Scenario = “Top Event” (usually/mostly Loss of Containment) &amp; Dangerou</w:t>
      </w:r>
      <w:r w:rsidR="004A28C6" w:rsidRPr="006C55E9">
        <w:t xml:space="preserve">s Phenomenon (fire, explosion, gas </w:t>
      </w:r>
      <w:r w:rsidRPr="006C55E9">
        <w:t xml:space="preserve">cloud). This definition means that two elements generally </w:t>
      </w:r>
      <w:r w:rsidR="008E24E0" w:rsidRPr="006C55E9">
        <w:t>analysed</w:t>
      </w:r>
      <w:r w:rsidRPr="006C55E9">
        <w:t xml:space="preserve"> separately are merged in order to simplify the assessment. It is represented below using the bow-tie diagram</w:t>
      </w:r>
      <w:r w:rsidR="002B1B2D" w:rsidRPr="006C55E9">
        <w:t xml:space="preserve"> (Gyenes Z. et al.)</w:t>
      </w:r>
      <w:r w:rsidRPr="006C55E9">
        <w:t>:</w:t>
      </w:r>
    </w:p>
    <w:p w14:paraId="3A6CFB7A" w14:textId="4C70E66F" w:rsidR="00E04682" w:rsidRPr="006C55E9" w:rsidRDefault="00E04682" w:rsidP="00E04682">
      <w:pPr>
        <w:tabs>
          <w:tab w:val="clear" w:pos="7100"/>
        </w:tabs>
        <w:spacing w:before="200" w:after="120" w:line="240" w:lineRule="auto"/>
      </w:pPr>
      <w:r w:rsidRPr="006C55E9">
        <w:rPr>
          <w:noProof/>
          <w:lang w:eastAsia="it-IT"/>
        </w:rPr>
        <w:drawing>
          <wp:inline distT="0" distB="0" distL="0" distR="0" wp14:anchorId="2245122F" wp14:editId="76D3F2C7">
            <wp:extent cx="4438650" cy="1612900"/>
            <wp:effectExtent l="0" t="0" r="0" b="635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356" t="34052" r="28064" b="13913"/>
                    <a:stretch/>
                  </pic:blipFill>
                  <pic:spPr bwMode="auto">
                    <a:xfrm>
                      <a:off x="0" y="0"/>
                      <a:ext cx="4484960" cy="1629728"/>
                    </a:xfrm>
                    <a:prstGeom prst="rect">
                      <a:avLst/>
                    </a:prstGeom>
                    <a:ln>
                      <a:noFill/>
                    </a:ln>
                    <a:extLst>
                      <a:ext uri="{53640926-AAD7-44D8-BBD7-CCE9431645EC}">
                        <a14:shadowObscured xmlns:a14="http://schemas.microsoft.com/office/drawing/2010/main"/>
                      </a:ext>
                    </a:extLst>
                  </pic:spPr>
                </pic:pic>
              </a:graphicData>
            </a:graphic>
          </wp:inline>
        </w:drawing>
      </w:r>
    </w:p>
    <w:p w14:paraId="637076EE" w14:textId="2CD88414" w:rsidR="00E04682" w:rsidRPr="006C55E9" w:rsidRDefault="00E04682" w:rsidP="00E04682">
      <w:pPr>
        <w:tabs>
          <w:tab w:val="clear" w:pos="7100"/>
        </w:tabs>
        <w:spacing w:before="200" w:after="120" w:line="240" w:lineRule="auto"/>
        <w:jc w:val="left"/>
        <w:rPr>
          <w:i/>
        </w:rPr>
      </w:pPr>
      <w:r w:rsidRPr="006C55E9">
        <w:rPr>
          <w:i/>
        </w:rPr>
        <w:t>Figure 2: A scenario as depicted in a bow-tie diagram</w:t>
      </w:r>
    </w:p>
    <w:p w14:paraId="2D2EF080" w14:textId="0AE91DD8" w:rsidR="00E04682" w:rsidRPr="006C55E9" w:rsidRDefault="00E04682" w:rsidP="00E04682">
      <w:pPr>
        <w:tabs>
          <w:tab w:val="clear" w:pos="7100"/>
        </w:tabs>
        <w:spacing w:before="200" w:after="120" w:line="240" w:lineRule="auto"/>
      </w:pPr>
      <w:r w:rsidRPr="006C55E9">
        <w:t>As indicated on the left side of the bow-tie, a reference scenario typically starts with an initiating event (IE) that leads to the critical event (CE), usually the loss of containment.</w:t>
      </w:r>
      <w:r w:rsidR="00B932E2" w:rsidRPr="006C55E9">
        <w:t xml:space="preserve"> The right side of the bow-</w:t>
      </w:r>
      <w:r w:rsidRPr="006C55E9">
        <w:t xml:space="preserve">tie depicts the development of scenario (SCE) after the “critical event” leading to the realization of a dangerous phenomenon (DP) or phenomena that produce undesirable consequences. </w:t>
      </w:r>
      <w:r w:rsidR="000E36C8" w:rsidRPr="006C55E9">
        <w:t>On the left is the fault tree, which identifies the possible causes of the critical event, while on the right, the event tree, which identifies the possible consequences of the critical event</w:t>
      </w:r>
      <w:r w:rsidR="009873D8" w:rsidRPr="006C55E9">
        <w:t xml:space="preserve"> (Giannelli G. et al.)</w:t>
      </w:r>
      <w:r w:rsidR="000E36C8" w:rsidRPr="006C55E9">
        <w:t xml:space="preserve">. </w:t>
      </w:r>
      <w:r w:rsidRPr="006C55E9">
        <w:t>Table 1 below shows typical examples of each of these categories.</w:t>
      </w:r>
    </w:p>
    <w:p w14:paraId="119DA01A" w14:textId="77777777" w:rsidR="0014209F" w:rsidRPr="006C55E9" w:rsidRDefault="0014209F" w:rsidP="0014209F">
      <w:pPr>
        <w:keepNext/>
        <w:tabs>
          <w:tab w:val="clear" w:pos="7100"/>
        </w:tabs>
        <w:spacing w:before="240" w:after="80" w:line="240" w:lineRule="exact"/>
        <w:jc w:val="left"/>
        <w:rPr>
          <w:i/>
        </w:rPr>
      </w:pPr>
      <w:r w:rsidRPr="006C55E9">
        <w:rPr>
          <w:i/>
        </w:rPr>
        <w:t>Table 1: Some examples of elements of a typical accident scenario</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1"/>
        <w:gridCol w:w="1060"/>
        <w:gridCol w:w="1126"/>
        <w:gridCol w:w="1060"/>
        <w:gridCol w:w="1123"/>
        <w:gridCol w:w="1060"/>
        <w:gridCol w:w="1151"/>
        <w:gridCol w:w="1076"/>
      </w:tblGrid>
      <w:tr w:rsidR="003F654E" w:rsidRPr="006C55E9" w14:paraId="1C7B2180" w14:textId="25B47C1E" w:rsidTr="003F654E">
        <w:tc>
          <w:tcPr>
            <w:tcW w:w="1131" w:type="dxa"/>
            <w:tcBorders>
              <w:top w:val="single" w:sz="12" w:space="0" w:color="008000"/>
              <w:bottom w:val="single" w:sz="6" w:space="0" w:color="008000"/>
            </w:tcBorders>
            <w:shd w:val="clear" w:color="auto" w:fill="FFFFFF"/>
          </w:tcPr>
          <w:p w14:paraId="6713C5BB" w14:textId="77777777" w:rsidR="003F654E" w:rsidRPr="006C55E9" w:rsidRDefault="003F654E" w:rsidP="00BF2730">
            <w:r w:rsidRPr="006C55E9">
              <w:t xml:space="preserve">Initiating Event </w:t>
            </w:r>
          </w:p>
          <w:p w14:paraId="7C95914A" w14:textId="77777777" w:rsidR="003F654E" w:rsidRPr="006C55E9" w:rsidRDefault="003F654E" w:rsidP="00BF2730">
            <w:r w:rsidRPr="006C55E9">
              <w:t xml:space="preserve">(IE) </w:t>
            </w:r>
          </w:p>
        </w:tc>
        <w:tc>
          <w:tcPr>
            <w:tcW w:w="1060" w:type="dxa"/>
            <w:tcBorders>
              <w:top w:val="single" w:sz="12" w:space="0" w:color="008000"/>
              <w:bottom w:val="single" w:sz="6" w:space="0" w:color="008000"/>
            </w:tcBorders>
            <w:shd w:val="clear" w:color="auto" w:fill="FFFFFF"/>
          </w:tcPr>
          <w:p w14:paraId="10F3B57A" w14:textId="77777777" w:rsidR="003F654E" w:rsidRPr="006C55E9" w:rsidRDefault="003F654E" w:rsidP="00BF2730"/>
        </w:tc>
        <w:tc>
          <w:tcPr>
            <w:tcW w:w="1126" w:type="dxa"/>
            <w:tcBorders>
              <w:top w:val="single" w:sz="12" w:space="0" w:color="008000"/>
              <w:bottom w:val="single" w:sz="6" w:space="0" w:color="008000"/>
            </w:tcBorders>
            <w:shd w:val="clear" w:color="auto" w:fill="FFFFFF"/>
          </w:tcPr>
          <w:p w14:paraId="7085CAE1" w14:textId="77777777" w:rsidR="003F654E" w:rsidRPr="006C55E9" w:rsidRDefault="003F654E" w:rsidP="00BF2730">
            <w:r w:rsidRPr="006C55E9">
              <w:t xml:space="preserve">Critical </w:t>
            </w:r>
          </w:p>
          <w:p w14:paraId="57C51778" w14:textId="77777777" w:rsidR="003F654E" w:rsidRPr="006C55E9" w:rsidRDefault="003F654E" w:rsidP="00BF2730">
            <w:r w:rsidRPr="006C55E9">
              <w:t xml:space="preserve">Event </w:t>
            </w:r>
          </w:p>
          <w:p w14:paraId="3F2228A4" w14:textId="77777777" w:rsidR="003F654E" w:rsidRPr="006C55E9" w:rsidRDefault="003F654E" w:rsidP="00BF2730">
            <w:r w:rsidRPr="006C55E9">
              <w:t>(CE)</w:t>
            </w:r>
          </w:p>
        </w:tc>
        <w:tc>
          <w:tcPr>
            <w:tcW w:w="1060" w:type="dxa"/>
            <w:tcBorders>
              <w:top w:val="single" w:sz="12" w:space="0" w:color="008000"/>
              <w:bottom w:val="single" w:sz="6" w:space="0" w:color="008000"/>
            </w:tcBorders>
            <w:shd w:val="clear" w:color="auto" w:fill="FFFFFF"/>
          </w:tcPr>
          <w:p w14:paraId="1C7DF173" w14:textId="77777777" w:rsidR="003F654E" w:rsidRPr="006C55E9" w:rsidRDefault="003F654E" w:rsidP="00BF2730">
            <w:pPr>
              <w:ind w:right="-1"/>
              <w:rPr>
                <w:rFonts w:cs="Arial"/>
                <w:szCs w:val="18"/>
              </w:rPr>
            </w:pPr>
          </w:p>
        </w:tc>
        <w:tc>
          <w:tcPr>
            <w:tcW w:w="1123" w:type="dxa"/>
            <w:tcBorders>
              <w:top w:val="single" w:sz="12" w:space="0" w:color="008000"/>
              <w:bottom w:val="single" w:sz="6" w:space="0" w:color="008000"/>
            </w:tcBorders>
            <w:shd w:val="clear" w:color="auto" w:fill="FFFFFF"/>
          </w:tcPr>
          <w:p w14:paraId="26A48266" w14:textId="77777777" w:rsidR="003F654E" w:rsidRPr="006C55E9" w:rsidRDefault="003F654E" w:rsidP="00BF2730">
            <w:pPr>
              <w:ind w:right="-1"/>
              <w:rPr>
                <w:rFonts w:cs="Arial"/>
                <w:szCs w:val="18"/>
              </w:rPr>
            </w:pPr>
            <w:r w:rsidRPr="006C55E9">
              <w:t>Dangerous Phenomena (DP)</w:t>
            </w:r>
          </w:p>
        </w:tc>
        <w:tc>
          <w:tcPr>
            <w:tcW w:w="1060" w:type="dxa"/>
            <w:tcBorders>
              <w:top w:val="single" w:sz="12" w:space="0" w:color="008000"/>
              <w:bottom w:val="single" w:sz="6" w:space="0" w:color="008000"/>
            </w:tcBorders>
            <w:shd w:val="clear" w:color="auto" w:fill="FFFFFF"/>
          </w:tcPr>
          <w:p w14:paraId="102B50AF" w14:textId="77777777" w:rsidR="003F654E" w:rsidRPr="006C55E9" w:rsidRDefault="003F654E" w:rsidP="00BF2730">
            <w:pPr>
              <w:ind w:right="-1"/>
              <w:rPr>
                <w:rFonts w:cs="Arial"/>
                <w:szCs w:val="18"/>
              </w:rPr>
            </w:pPr>
          </w:p>
        </w:tc>
        <w:tc>
          <w:tcPr>
            <w:tcW w:w="1151" w:type="dxa"/>
            <w:tcBorders>
              <w:top w:val="single" w:sz="12" w:space="0" w:color="008000"/>
              <w:bottom w:val="single" w:sz="6" w:space="0" w:color="008000"/>
            </w:tcBorders>
            <w:shd w:val="clear" w:color="auto" w:fill="FFFFFF"/>
          </w:tcPr>
          <w:p w14:paraId="68C303F1" w14:textId="77777777" w:rsidR="003F654E" w:rsidRPr="006C55E9" w:rsidRDefault="003F654E" w:rsidP="00BF2730">
            <w:pPr>
              <w:ind w:right="-1"/>
              <w:rPr>
                <w:rFonts w:cs="Arial"/>
                <w:szCs w:val="18"/>
              </w:rPr>
            </w:pPr>
            <w:r w:rsidRPr="006C55E9">
              <w:rPr>
                <w:rFonts w:cs="Arial"/>
                <w:szCs w:val="18"/>
              </w:rPr>
              <w:t>Undesirable Consequence</w:t>
            </w:r>
          </w:p>
        </w:tc>
        <w:tc>
          <w:tcPr>
            <w:tcW w:w="1076" w:type="dxa"/>
            <w:tcBorders>
              <w:top w:val="single" w:sz="12" w:space="0" w:color="008000"/>
              <w:bottom w:val="single" w:sz="6" w:space="0" w:color="008000"/>
            </w:tcBorders>
            <w:shd w:val="clear" w:color="auto" w:fill="FFFFFF"/>
          </w:tcPr>
          <w:p w14:paraId="180A51B5" w14:textId="77777777" w:rsidR="003F654E" w:rsidRPr="006C55E9" w:rsidRDefault="003F654E" w:rsidP="00BF2730">
            <w:pPr>
              <w:ind w:right="-1"/>
              <w:rPr>
                <w:rFonts w:cs="Arial"/>
                <w:szCs w:val="18"/>
              </w:rPr>
            </w:pPr>
          </w:p>
        </w:tc>
      </w:tr>
      <w:tr w:rsidR="003F654E" w:rsidRPr="006C55E9" w14:paraId="0CE017C4" w14:textId="5EED592E" w:rsidTr="004F689F">
        <w:tc>
          <w:tcPr>
            <w:tcW w:w="2191" w:type="dxa"/>
            <w:gridSpan w:val="2"/>
            <w:shd w:val="clear" w:color="auto" w:fill="FFFFFF"/>
          </w:tcPr>
          <w:p w14:paraId="14D22783" w14:textId="41CE6B94" w:rsidR="003F654E" w:rsidRPr="006C55E9" w:rsidRDefault="003F654E" w:rsidP="00BF2730">
            <w:r w:rsidRPr="006C55E9">
              <w:t>Overpressure</w:t>
            </w:r>
          </w:p>
        </w:tc>
        <w:tc>
          <w:tcPr>
            <w:tcW w:w="2186" w:type="dxa"/>
            <w:gridSpan w:val="2"/>
            <w:shd w:val="clear" w:color="auto" w:fill="FFFFFF"/>
          </w:tcPr>
          <w:p w14:paraId="5C4BD16E" w14:textId="5B86B2AD" w:rsidR="003F654E" w:rsidRPr="006C55E9" w:rsidRDefault="003F654E" w:rsidP="00BF2730">
            <w:pPr>
              <w:ind w:right="-1"/>
              <w:rPr>
                <w:rFonts w:cs="Arial"/>
                <w:szCs w:val="18"/>
              </w:rPr>
            </w:pPr>
            <w:r w:rsidRPr="006C55E9">
              <w:t>Catastrophic vessel failure</w:t>
            </w:r>
          </w:p>
        </w:tc>
        <w:tc>
          <w:tcPr>
            <w:tcW w:w="2183" w:type="dxa"/>
            <w:gridSpan w:val="2"/>
            <w:shd w:val="clear" w:color="auto" w:fill="FFFFFF"/>
          </w:tcPr>
          <w:p w14:paraId="33281766" w14:textId="04A468BF" w:rsidR="003F654E" w:rsidRPr="006C55E9" w:rsidRDefault="00F22F32" w:rsidP="00BF2730">
            <w:pPr>
              <w:ind w:right="-1"/>
              <w:rPr>
                <w:rFonts w:cs="Arial"/>
                <w:szCs w:val="18"/>
              </w:rPr>
            </w:pPr>
            <w:r w:rsidRPr="006C55E9">
              <w:t>BLEVE</w:t>
            </w:r>
          </w:p>
        </w:tc>
        <w:tc>
          <w:tcPr>
            <w:tcW w:w="2227" w:type="dxa"/>
            <w:gridSpan w:val="2"/>
            <w:vMerge w:val="restart"/>
            <w:shd w:val="clear" w:color="auto" w:fill="FFFFFF"/>
          </w:tcPr>
          <w:p w14:paraId="4E27A7AB" w14:textId="2C2A99AC" w:rsidR="00F22F32" w:rsidRPr="006C55E9" w:rsidRDefault="003C109D" w:rsidP="00BF2730">
            <w:pPr>
              <w:ind w:right="-1"/>
            </w:pPr>
            <w:r w:rsidRPr="006C55E9">
              <w:t xml:space="preserve">Employees killed or injured </w:t>
            </w:r>
          </w:p>
          <w:p w14:paraId="6D0446B7" w14:textId="77777777" w:rsidR="00F22F32" w:rsidRPr="006C55E9" w:rsidRDefault="00F22F32" w:rsidP="00BF2730">
            <w:pPr>
              <w:ind w:right="-1"/>
            </w:pPr>
          </w:p>
          <w:p w14:paraId="3E9131E0" w14:textId="795629C8" w:rsidR="003F654E" w:rsidRPr="006C55E9" w:rsidRDefault="003C109D" w:rsidP="00BF2730">
            <w:pPr>
              <w:ind w:right="-1"/>
            </w:pPr>
            <w:r w:rsidRPr="006C55E9">
              <w:t>P</w:t>
            </w:r>
            <w:r w:rsidR="003F654E" w:rsidRPr="006C55E9">
              <w:t>roperty damage</w:t>
            </w:r>
            <w:r w:rsidR="008E24E0" w:rsidRPr="006C55E9">
              <w:t>,</w:t>
            </w:r>
          </w:p>
          <w:p w14:paraId="52831E0A" w14:textId="220C460A" w:rsidR="003F654E" w:rsidRPr="006C55E9" w:rsidRDefault="003C109D" w:rsidP="003C109D">
            <w:pPr>
              <w:ind w:right="-1"/>
              <w:jc w:val="left"/>
            </w:pPr>
            <w:r w:rsidRPr="006C55E9">
              <w:t xml:space="preserve">Employees injured, </w:t>
            </w:r>
            <w:r w:rsidR="003F654E" w:rsidRPr="006C55E9">
              <w:t>Property damage</w:t>
            </w:r>
          </w:p>
        </w:tc>
      </w:tr>
      <w:tr w:rsidR="00F22F32" w:rsidRPr="006C55E9" w14:paraId="7FDF87BF" w14:textId="77777777" w:rsidTr="004F689F">
        <w:tc>
          <w:tcPr>
            <w:tcW w:w="2191" w:type="dxa"/>
            <w:gridSpan w:val="2"/>
            <w:shd w:val="clear" w:color="auto" w:fill="FFFFFF"/>
          </w:tcPr>
          <w:p w14:paraId="4186D3B8" w14:textId="77777777" w:rsidR="00F22F32" w:rsidRPr="006C55E9" w:rsidRDefault="00F22F32" w:rsidP="00BF2730"/>
        </w:tc>
        <w:tc>
          <w:tcPr>
            <w:tcW w:w="2186" w:type="dxa"/>
            <w:gridSpan w:val="2"/>
            <w:shd w:val="clear" w:color="auto" w:fill="FFFFFF"/>
          </w:tcPr>
          <w:p w14:paraId="6C752032" w14:textId="77777777" w:rsidR="00F22F32" w:rsidRPr="006C55E9" w:rsidRDefault="00F22F32" w:rsidP="00BF2730">
            <w:pPr>
              <w:ind w:right="-1"/>
            </w:pPr>
          </w:p>
        </w:tc>
        <w:tc>
          <w:tcPr>
            <w:tcW w:w="2183" w:type="dxa"/>
            <w:gridSpan w:val="2"/>
            <w:shd w:val="clear" w:color="auto" w:fill="FFFFFF"/>
          </w:tcPr>
          <w:p w14:paraId="6460FCA6" w14:textId="77777777" w:rsidR="00F22F32" w:rsidRPr="006C55E9" w:rsidRDefault="00F22F32" w:rsidP="00BF2730">
            <w:pPr>
              <w:ind w:right="-1"/>
            </w:pPr>
          </w:p>
        </w:tc>
        <w:tc>
          <w:tcPr>
            <w:tcW w:w="2227" w:type="dxa"/>
            <w:gridSpan w:val="2"/>
            <w:vMerge/>
            <w:shd w:val="clear" w:color="auto" w:fill="FFFFFF"/>
          </w:tcPr>
          <w:p w14:paraId="77C94817" w14:textId="77777777" w:rsidR="00F22F32" w:rsidRPr="006C55E9" w:rsidRDefault="00F22F32" w:rsidP="00BF2730">
            <w:pPr>
              <w:ind w:right="-1"/>
            </w:pPr>
          </w:p>
        </w:tc>
      </w:tr>
      <w:tr w:rsidR="003F654E" w:rsidRPr="006C55E9" w14:paraId="79A0F4E7" w14:textId="0B2447CB" w:rsidTr="00342916">
        <w:tc>
          <w:tcPr>
            <w:tcW w:w="1131" w:type="dxa"/>
            <w:shd w:val="clear" w:color="auto" w:fill="FFFFFF"/>
          </w:tcPr>
          <w:p w14:paraId="0BFC68BD" w14:textId="61402572" w:rsidR="003F654E" w:rsidRPr="006C55E9" w:rsidRDefault="003F654E" w:rsidP="00BF2730">
            <w:r w:rsidRPr="006C55E9">
              <w:t>Corrosion</w:t>
            </w:r>
          </w:p>
        </w:tc>
        <w:tc>
          <w:tcPr>
            <w:tcW w:w="1060" w:type="dxa"/>
            <w:shd w:val="clear" w:color="auto" w:fill="FFFFFF"/>
          </w:tcPr>
          <w:p w14:paraId="6D4AC66A" w14:textId="77777777" w:rsidR="003F654E" w:rsidRPr="006C55E9" w:rsidRDefault="003F654E" w:rsidP="00BF2730"/>
        </w:tc>
        <w:tc>
          <w:tcPr>
            <w:tcW w:w="2186" w:type="dxa"/>
            <w:gridSpan w:val="2"/>
            <w:shd w:val="clear" w:color="auto" w:fill="FFFFFF"/>
          </w:tcPr>
          <w:p w14:paraId="7C88A2B0" w14:textId="60F05C32" w:rsidR="003F654E" w:rsidRPr="006C55E9" w:rsidRDefault="003F654E" w:rsidP="00BF2730">
            <w:pPr>
              <w:ind w:right="-1"/>
              <w:rPr>
                <w:rFonts w:cs="Arial"/>
                <w:szCs w:val="18"/>
              </w:rPr>
            </w:pPr>
            <w:r w:rsidRPr="006C55E9">
              <w:t>Hole in vessel wall</w:t>
            </w:r>
          </w:p>
        </w:tc>
        <w:tc>
          <w:tcPr>
            <w:tcW w:w="1123" w:type="dxa"/>
            <w:shd w:val="clear" w:color="auto" w:fill="FFFFFF"/>
          </w:tcPr>
          <w:p w14:paraId="20D63546" w14:textId="5A9794B9" w:rsidR="003F654E" w:rsidRPr="006C55E9" w:rsidRDefault="003F654E" w:rsidP="00BF2730">
            <w:pPr>
              <w:ind w:right="-1"/>
              <w:rPr>
                <w:rFonts w:cs="Arial"/>
                <w:szCs w:val="18"/>
              </w:rPr>
            </w:pPr>
            <w:r w:rsidRPr="006C55E9">
              <w:t>Pool fire</w:t>
            </w:r>
          </w:p>
        </w:tc>
        <w:tc>
          <w:tcPr>
            <w:tcW w:w="1060" w:type="dxa"/>
            <w:shd w:val="clear" w:color="auto" w:fill="FFFFFF"/>
          </w:tcPr>
          <w:p w14:paraId="54C6714E" w14:textId="77777777" w:rsidR="003F654E" w:rsidRPr="006C55E9" w:rsidRDefault="003F654E" w:rsidP="00BF2730">
            <w:pPr>
              <w:ind w:right="-1"/>
              <w:rPr>
                <w:rFonts w:cs="Arial"/>
                <w:szCs w:val="18"/>
              </w:rPr>
            </w:pPr>
          </w:p>
        </w:tc>
        <w:tc>
          <w:tcPr>
            <w:tcW w:w="2227" w:type="dxa"/>
            <w:gridSpan w:val="2"/>
            <w:vMerge/>
            <w:shd w:val="clear" w:color="auto" w:fill="FFFFFF"/>
          </w:tcPr>
          <w:p w14:paraId="09E2E847" w14:textId="13C66EB1" w:rsidR="003F654E" w:rsidRPr="006C55E9" w:rsidRDefault="003F654E" w:rsidP="00BF2730">
            <w:pPr>
              <w:ind w:right="-1"/>
            </w:pPr>
          </w:p>
        </w:tc>
      </w:tr>
      <w:tr w:rsidR="00F22F32" w:rsidRPr="006C55E9" w14:paraId="17DB95B6" w14:textId="77777777" w:rsidTr="00342916">
        <w:tc>
          <w:tcPr>
            <w:tcW w:w="1131" w:type="dxa"/>
            <w:shd w:val="clear" w:color="auto" w:fill="FFFFFF"/>
          </w:tcPr>
          <w:p w14:paraId="2840C958" w14:textId="77777777" w:rsidR="00F22F32" w:rsidRPr="006C55E9" w:rsidRDefault="00F22F32" w:rsidP="00BF2730"/>
        </w:tc>
        <w:tc>
          <w:tcPr>
            <w:tcW w:w="1060" w:type="dxa"/>
            <w:shd w:val="clear" w:color="auto" w:fill="FFFFFF"/>
          </w:tcPr>
          <w:p w14:paraId="5878EB84" w14:textId="77777777" w:rsidR="00F22F32" w:rsidRPr="006C55E9" w:rsidRDefault="00F22F32" w:rsidP="00BF2730"/>
        </w:tc>
        <w:tc>
          <w:tcPr>
            <w:tcW w:w="2186" w:type="dxa"/>
            <w:gridSpan w:val="2"/>
            <w:shd w:val="clear" w:color="auto" w:fill="FFFFFF"/>
          </w:tcPr>
          <w:p w14:paraId="31F009C9" w14:textId="77777777" w:rsidR="00F22F32" w:rsidRPr="006C55E9" w:rsidRDefault="00F22F32" w:rsidP="00BF2730">
            <w:pPr>
              <w:ind w:right="-1"/>
            </w:pPr>
          </w:p>
        </w:tc>
        <w:tc>
          <w:tcPr>
            <w:tcW w:w="1123" w:type="dxa"/>
            <w:shd w:val="clear" w:color="auto" w:fill="FFFFFF"/>
          </w:tcPr>
          <w:p w14:paraId="60B42DE6" w14:textId="77777777" w:rsidR="00F22F32" w:rsidRPr="006C55E9" w:rsidRDefault="00F22F32" w:rsidP="00BF2730">
            <w:pPr>
              <w:ind w:right="-1"/>
            </w:pPr>
          </w:p>
        </w:tc>
        <w:tc>
          <w:tcPr>
            <w:tcW w:w="1060" w:type="dxa"/>
            <w:shd w:val="clear" w:color="auto" w:fill="FFFFFF"/>
          </w:tcPr>
          <w:p w14:paraId="7B51AE23" w14:textId="77777777" w:rsidR="00F22F32" w:rsidRPr="006C55E9" w:rsidRDefault="00F22F32" w:rsidP="00BF2730">
            <w:pPr>
              <w:ind w:right="-1"/>
              <w:rPr>
                <w:rFonts w:cs="Arial"/>
                <w:szCs w:val="18"/>
              </w:rPr>
            </w:pPr>
          </w:p>
        </w:tc>
        <w:tc>
          <w:tcPr>
            <w:tcW w:w="2227" w:type="dxa"/>
            <w:gridSpan w:val="2"/>
            <w:shd w:val="clear" w:color="auto" w:fill="FFFFFF"/>
          </w:tcPr>
          <w:p w14:paraId="07926FE7" w14:textId="77777777" w:rsidR="00F22F32" w:rsidRPr="006C55E9" w:rsidRDefault="00F22F32" w:rsidP="00BF2730">
            <w:pPr>
              <w:ind w:right="-1"/>
            </w:pPr>
          </w:p>
        </w:tc>
      </w:tr>
      <w:tr w:rsidR="003F654E" w:rsidRPr="006C55E9" w14:paraId="404C72F2" w14:textId="60F5A1BD" w:rsidTr="00CE4179">
        <w:tc>
          <w:tcPr>
            <w:tcW w:w="2191" w:type="dxa"/>
            <w:gridSpan w:val="2"/>
            <w:shd w:val="clear" w:color="auto" w:fill="FFFFFF"/>
          </w:tcPr>
          <w:p w14:paraId="6A24EA26" w14:textId="77DDEF30" w:rsidR="003F654E" w:rsidRPr="006C55E9" w:rsidRDefault="003F654E" w:rsidP="00BF2730">
            <w:r w:rsidRPr="006C55E9">
              <w:t>Loose flange</w:t>
            </w:r>
          </w:p>
        </w:tc>
        <w:tc>
          <w:tcPr>
            <w:tcW w:w="2186" w:type="dxa"/>
            <w:gridSpan w:val="2"/>
            <w:shd w:val="clear" w:color="auto" w:fill="FFFFFF"/>
          </w:tcPr>
          <w:p w14:paraId="64A2A6AA" w14:textId="6582A888" w:rsidR="003F654E" w:rsidRPr="006C55E9" w:rsidRDefault="003F654E" w:rsidP="00BF2730">
            <w:pPr>
              <w:ind w:right="-1"/>
              <w:rPr>
                <w:rFonts w:cs="Arial"/>
                <w:szCs w:val="18"/>
              </w:rPr>
            </w:pPr>
            <w:r w:rsidRPr="006C55E9">
              <w:t>Pipe leak</w:t>
            </w:r>
          </w:p>
        </w:tc>
        <w:tc>
          <w:tcPr>
            <w:tcW w:w="2183" w:type="dxa"/>
            <w:gridSpan w:val="2"/>
            <w:shd w:val="clear" w:color="auto" w:fill="FFFFFF"/>
          </w:tcPr>
          <w:p w14:paraId="418D5C42" w14:textId="77777777" w:rsidR="00F22F32" w:rsidRPr="006C55E9" w:rsidRDefault="003C109D" w:rsidP="00BF2730">
            <w:pPr>
              <w:ind w:right="-1"/>
              <w:rPr>
                <w:rFonts w:cs="Arial"/>
                <w:szCs w:val="18"/>
              </w:rPr>
            </w:pPr>
            <w:r w:rsidRPr="006C55E9">
              <w:rPr>
                <w:rFonts w:cs="Arial"/>
                <w:szCs w:val="18"/>
              </w:rPr>
              <w:t xml:space="preserve">Flash fire, Pool Fire, </w:t>
            </w:r>
          </w:p>
          <w:p w14:paraId="1DB4F8F3" w14:textId="63795A62" w:rsidR="003F654E" w:rsidRPr="006C55E9" w:rsidRDefault="003C109D" w:rsidP="00BF2730">
            <w:pPr>
              <w:ind w:right="-1"/>
              <w:rPr>
                <w:rFonts w:cs="Arial"/>
                <w:szCs w:val="18"/>
              </w:rPr>
            </w:pPr>
            <w:r w:rsidRPr="006C55E9">
              <w:rPr>
                <w:rFonts w:cs="Arial"/>
                <w:szCs w:val="18"/>
              </w:rPr>
              <w:t>Jet fire</w:t>
            </w:r>
          </w:p>
        </w:tc>
        <w:tc>
          <w:tcPr>
            <w:tcW w:w="2227" w:type="dxa"/>
            <w:gridSpan w:val="2"/>
            <w:shd w:val="clear" w:color="auto" w:fill="FFFFFF"/>
          </w:tcPr>
          <w:p w14:paraId="4A4AC778" w14:textId="605C7C7D" w:rsidR="003F654E" w:rsidRPr="006C55E9" w:rsidRDefault="003C109D" w:rsidP="003C109D">
            <w:pPr>
              <w:ind w:right="-1"/>
              <w:jc w:val="left"/>
            </w:pPr>
            <w:r w:rsidRPr="006C55E9">
              <w:t xml:space="preserve">Employees injured, </w:t>
            </w:r>
            <w:r w:rsidR="003F654E" w:rsidRPr="006C55E9">
              <w:t>Environmental damage</w:t>
            </w:r>
          </w:p>
        </w:tc>
      </w:tr>
      <w:tr w:rsidR="00F22F32" w:rsidRPr="006C55E9" w14:paraId="22C804E4" w14:textId="77777777" w:rsidTr="00CE4179">
        <w:tc>
          <w:tcPr>
            <w:tcW w:w="2191" w:type="dxa"/>
            <w:gridSpan w:val="2"/>
            <w:shd w:val="clear" w:color="auto" w:fill="FFFFFF"/>
          </w:tcPr>
          <w:p w14:paraId="33C818D9" w14:textId="77777777" w:rsidR="00F22F32" w:rsidRPr="006C55E9" w:rsidRDefault="00F22F32" w:rsidP="00BF2730"/>
        </w:tc>
        <w:tc>
          <w:tcPr>
            <w:tcW w:w="2186" w:type="dxa"/>
            <w:gridSpan w:val="2"/>
            <w:shd w:val="clear" w:color="auto" w:fill="FFFFFF"/>
          </w:tcPr>
          <w:p w14:paraId="1E6E07D6" w14:textId="77777777" w:rsidR="00F22F32" w:rsidRPr="006C55E9" w:rsidRDefault="00F22F32" w:rsidP="00BF2730">
            <w:pPr>
              <w:ind w:right="-1"/>
            </w:pPr>
          </w:p>
        </w:tc>
        <w:tc>
          <w:tcPr>
            <w:tcW w:w="2183" w:type="dxa"/>
            <w:gridSpan w:val="2"/>
            <w:shd w:val="clear" w:color="auto" w:fill="FFFFFF"/>
          </w:tcPr>
          <w:p w14:paraId="7E2F6FC2" w14:textId="77777777" w:rsidR="00F22F32" w:rsidRPr="006C55E9" w:rsidRDefault="00F22F32" w:rsidP="00BF2730">
            <w:pPr>
              <w:ind w:right="-1"/>
              <w:rPr>
                <w:rFonts w:cs="Arial"/>
                <w:szCs w:val="18"/>
              </w:rPr>
            </w:pPr>
          </w:p>
        </w:tc>
        <w:tc>
          <w:tcPr>
            <w:tcW w:w="2227" w:type="dxa"/>
            <w:gridSpan w:val="2"/>
            <w:shd w:val="clear" w:color="auto" w:fill="FFFFFF"/>
          </w:tcPr>
          <w:p w14:paraId="7CDF6F91" w14:textId="77777777" w:rsidR="00F22F32" w:rsidRPr="006C55E9" w:rsidRDefault="00F22F32" w:rsidP="003C109D">
            <w:pPr>
              <w:ind w:right="-1"/>
              <w:jc w:val="left"/>
            </w:pPr>
          </w:p>
        </w:tc>
      </w:tr>
      <w:tr w:rsidR="003F654E" w:rsidRPr="006C55E9" w14:paraId="6280F114" w14:textId="31D33171" w:rsidTr="00BA3E43">
        <w:tc>
          <w:tcPr>
            <w:tcW w:w="2191" w:type="dxa"/>
            <w:gridSpan w:val="2"/>
            <w:shd w:val="clear" w:color="auto" w:fill="FFFFFF"/>
          </w:tcPr>
          <w:p w14:paraId="3E09451C" w14:textId="70B57AEF" w:rsidR="003F654E" w:rsidRPr="006C55E9" w:rsidRDefault="003F654E" w:rsidP="00BF2730">
            <w:pPr>
              <w:ind w:right="-1"/>
              <w:rPr>
                <w:rFonts w:cs="Arial"/>
                <w:szCs w:val="18"/>
              </w:rPr>
            </w:pPr>
            <w:r w:rsidRPr="006C55E9">
              <w:t>Self-refrigeration</w:t>
            </w:r>
          </w:p>
        </w:tc>
        <w:tc>
          <w:tcPr>
            <w:tcW w:w="2186" w:type="dxa"/>
            <w:gridSpan w:val="2"/>
            <w:shd w:val="clear" w:color="auto" w:fill="FFFFFF"/>
          </w:tcPr>
          <w:p w14:paraId="7D730DF6" w14:textId="0DD8A98B" w:rsidR="003F654E" w:rsidRPr="006C55E9" w:rsidRDefault="003F654E" w:rsidP="00BF2730">
            <w:pPr>
              <w:ind w:right="-1"/>
              <w:rPr>
                <w:rFonts w:cs="Arial"/>
                <w:szCs w:val="18"/>
              </w:rPr>
            </w:pPr>
            <w:r w:rsidRPr="006C55E9">
              <w:t>Catastrophic vessel failure</w:t>
            </w:r>
          </w:p>
        </w:tc>
        <w:tc>
          <w:tcPr>
            <w:tcW w:w="2183" w:type="dxa"/>
            <w:gridSpan w:val="2"/>
            <w:shd w:val="clear" w:color="auto" w:fill="FFFFFF"/>
          </w:tcPr>
          <w:p w14:paraId="0478222D" w14:textId="2897D2A9" w:rsidR="003F654E" w:rsidRPr="006C55E9" w:rsidRDefault="00F22F32" w:rsidP="00BF2730">
            <w:pPr>
              <w:ind w:right="-1"/>
              <w:rPr>
                <w:rFonts w:cs="Arial"/>
                <w:szCs w:val="18"/>
              </w:rPr>
            </w:pPr>
            <w:r w:rsidRPr="006C55E9">
              <w:t>BLEVE</w:t>
            </w:r>
          </w:p>
        </w:tc>
        <w:tc>
          <w:tcPr>
            <w:tcW w:w="2227" w:type="dxa"/>
            <w:gridSpan w:val="2"/>
            <w:shd w:val="clear" w:color="auto" w:fill="FFFFFF"/>
          </w:tcPr>
          <w:p w14:paraId="0E1C96A4" w14:textId="5E9B5815" w:rsidR="003F654E" w:rsidRPr="006C55E9" w:rsidRDefault="003F654E" w:rsidP="00BF2730">
            <w:pPr>
              <w:ind w:right="-1"/>
            </w:pPr>
            <w:r w:rsidRPr="006C55E9">
              <w:t>Employees killed or injured, property damage</w:t>
            </w:r>
          </w:p>
        </w:tc>
      </w:tr>
      <w:tr w:rsidR="005A7AD6" w:rsidRPr="006C55E9" w14:paraId="08ECCABA" w14:textId="77777777" w:rsidTr="00BA3E43">
        <w:tc>
          <w:tcPr>
            <w:tcW w:w="2191" w:type="dxa"/>
            <w:gridSpan w:val="2"/>
            <w:shd w:val="clear" w:color="auto" w:fill="FFFFFF"/>
          </w:tcPr>
          <w:p w14:paraId="62F80A44" w14:textId="77777777" w:rsidR="005A7AD6" w:rsidRPr="006C55E9" w:rsidRDefault="005A7AD6" w:rsidP="00BF2730">
            <w:pPr>
              <w:ind w:right="-1"/>
            </w:pPr>
          </w:p>
        </w:tc>
        <w:tc>
          <w:tcPr>
            <w:tcW w:w="2186" w:type="dxa"/>
            <w:gridSpan w:val="2"/>
            <w:shd w:val="clear" w:color="auto" w:fill="FFFFFF"/>
          </w:tcPr>
          <w:p w14:paraId="60AECD36" w14:textId="77777777" w:rsidR="005A7AD6" w:rsidRPr="006C55E9" w:rsidRDefault="005A7AD6" w:rsidP="00BF2730">
            <w:pPr>
              <w:ind w:right="-1"/>
            </w:pPr>
          </w:p>
        </w:tc>
        <w:tc>
          <w:tcPr>
            <w:tcW w:w="2183" w:type="dxa"/>
            <w:gridSpan w:val="2"/>
            <w:shd w:val="clear" w:color="auto" w:fill="FFFFFF"/>
          </w:tcPr>
          <w:p w14:paraId="2D0369C9" w14:textId="77777777" w:rsidR="005A7AD6" w:rsidRPr="006C55E9" w:rsidRDefault="005A7AD6" w:rsidP="00BF2730">
            <w:pPr>
              <w:ind w:right="-1"/>
            </w:pPr>
          </w:p>
        </w:tc>
        <w:tc>
          <w:tcPr>
            <w:tcW w:w="2227" w:type="dxa"/>
            <w:gridSpan w:val="2"/>
            <w:shd w:val="clear" w:color="auto" w:fill="FFFFFF"/>
          </w:tcPr>
          <w:p w14:paraId="76FDFD56" w14:textId="77777777" w:rsidR="005A7AD6" w:rsidRPr="006C55E9" w:rsidRDefault="005A7AD6" w:rsidP="00BF2730">
            <w:pPr>
              <w:ind w:right="-1"/>
            </w:pPr>
          </w:p>
        </w:tc>
      </w:tr>
      <w:tr w:rsidR="005A7AD6" w:rsidRPr="006C55E9" w14:paraId="1872CC88" w14:textId="77777777" w:rsidTr="00BA3E43">
        <w:tc>
          <w:tcPr>
            <w:tcW w:w="2191" w:type="dxa"/>
            <w:gridSpan w:val="2"/>
            <w:shd w:val="clear" w:color="auto" w:fill="FFFFFF"/>
          </w:tcPr>
          <w:p w14:paraId="0954BA16" w14:textId="17C2EC14" w:rsidR="005A7AD6" w:rsidRPr="006C55E9" w:rsidRDefault="005A7AD6" w:rsidP="00BF2730">
            <w:pPr>
              <w:ind w:right="-1"/>
            </w:pPr>
            <w:r w:rsidRPr="006C55E9">
              <w:t>Earthquake, Flood</w:t>
            </w:r>
          </w:p>
        </w:tc>
        <w:tc>
          <w:tcPr>
            <w:tcW w:w="2186" w:type="dxa"/>
            <w:gridSpan w:val="2"/>
            <w:shd w:val="clear" w:color="auto" w:fill="FFFFFF"/>
          </w:tcPr>
          <w:p w14:paraId="1EEDF932" w14:textId="77777777" w:rsidR="005A7AD6" w:rsidRPr="006C55E9" w:rsidRDefault="005A7AD6" w:rsidP="00BF2730">
            <w:pPr>
              <w:ind w:right="-1"/>
            </w:pPr>
            <w:r w:rsidRPr="006C55E9">
              <w:t xml:space="preserve">Pipe leak, </w:t>
            </w:r>
          </w:p>
          <w:p w14:paraId="12738F13" w14:textId="1BF847FA" w:rsidR="005A7AD6" w:rsidRPr="006C55E9" w:rsidRDefault="005A7AD6" w:rsidP="00BF2730">
            <w:pPr>
              <w:ind w:right="-1"/>
            </w:pPr>
            <w:r w:rsidRPr="006C55E9">
              <w:t>Catastrophic vessel failure</w:t>
            </w:r>
          </w:p>
        </w:tc>
        <w:tc>
          <w:tcPr>
            <w:tcW w:w="2183" w:type="dxa"/>
            <w:gridSpan w:val="2"/>
            <w:shd w:val="clear" w:color="auto" w:fill="FFFFFF"/>
          </w:tcPr>
          <w:p w14:paraId="6676E4EE" w14:textId="77777777" w:rsidR="005A7AD6" w:rsidRPr="006C55E9" w:rsidRDefault="005A7AD6" w:rsidP="005A7AD6">
            <w:pPr>
              <w:ind w:right="-1"/>
              <w:rPr>
                <w:rFonts w:cs="Arial"/>
                <w:szCs w:val="18"/>
              </w:rPr>
            </w:pPr>
            <w:r w:rsidRPr="006C55E9">
              <w:rPr>
                <w:rFonts w:cs="Arial"/>
                <w:szCs w:val="18"/>
              </w:rPr>
              <w:t xml:space="preserve">Flash fire, Pool Fire, </w:t>
            </w:r>
          </w:p>
          <w:p w14:paraId="76447E67" w14:textId="5EEE6F87" w:rsidR="005A7AD6" w:rsidRPr="006C55E9" w:rsidRDefault="005A7AD6" w:rsidP="005A7AD6">
            <w:pPr>
              <w:ind w:right="-1"/>
            </w:pPr>
            <w:r w:rsidRPr="006C55E9">
              <w:rPr>
                <w:rFonts w:cs="Arial"/>
                <w:szCs w:val="18"/>
              </w:rPr>
              <w:t xml:space="preserve">Jet fire, </w:t>
            </w:r>
            <w:r w:rsidRPr="006C55E9">
              <w:t>BLEVE</w:t>
            </w:r>
          </w:p>
        </w:tc>
        <w:tc>
          <w:tcPr>
            <w:tcW w:w="2227" w:type="dxa"/>
            <w:gridSpan w:val="2"/>
            <w:shd w:val="clear" w:color="auto" w:fill="FFFFFF"/>
          </w:tcPr>
          <w:p w14:paraId="3CB21F98" w14:textId="686174C0" w:rsidR="005A7AD6" w:rsidRPr="006C55E9" w:rsidRDefault="005A7AD6" w:rsidP="005A7AD6">
            <w:pPr>
              <w:ind w:right="-1"/>
              <w:jc w:val="left"/>
            </w:pPr>
            <w:r w:rsidRPr="006C55E9">
              <w:t>Employees killed or injured, Property damage, Environmental damage</w:t>
            </w:r>
          </w:p>
        </w:tc>
      </w:tr>
    </w:tbl>
    <w:p w14:paraId="666A9C20" w14:textId="1928BCEA" w:rsidR="00E04682" w:rsidRPr="006C55E9" w:rsidRDefault="0014209F" w:rsidP="005D0D55">
      <w:pPr>
        <w:tabs>
          <w:tab w:val="clear" w:pos="7100"/>
        </w:tabs>
        <w:spacing w:before="200" w:after="120" w:line="240" w:lineRule="auto"/>
      </w:pPr>
      <w:r w:rsidRPr="006C55E9">
        <w:t xml:space="preserve">When selecting accident scenarios for land-use planning, in theory the user would initially derive a number of generic accident scenarios, based only on the substance </w:t>
      </w:r>
      <w:r w:rsidR="00ED08B8" w:rsidRPr="006C55E9">
        <w:t xml:space="preserve">(LPG) </w:t>
      </w:r>
      <w:r w:rsidRPr="006C55E9">
        <w:t>and the type of installation (e.g. pressurised, pipeline, loading/unloading, etc.). These scenarios could be evaluated in a probabilistic or deterministic way using the relevant data and compatibility with existing land uses. If incompatibility between the site and the land-use are found, the user could then review the events leading to the final undesirable outcome of the scenario, to identify opportunities for preventing the critical event or for reducing the impact of events following the critical event. As such, the consequence analysis process is useful tool for not only estimating risk but identifying additional technical measures that could eliminate or reduce the likelihood or consequences of a potential accident scenario</w:t>
      </w:r>
      <w:r w:rsidR="00E20406" w:rsidRPr="006C55E9">
        <w:t xml:space="preserve"> (Muratore A. et al.)</w:t>
      </w:r>
      <w:r w:rsidRPr="006C55E9">
        <w:t>.</w:t>
      </w:r>
      <w:r w:rsidR="004A28C6" w:rsidRPr="006C55E9">
        <w:t xml:space="preserve"> The most common scenario trees for Liquefied Petroleum Gas are:</w:t>
      </w:r>
      <w:r w:rsidR="005D0D55" w:rsidRPr="006C55E9">
        <w:t xml:space="preserve"> - </w:t>
      </w:r>
      <w:r w:rsidR="004A28C6" w:rsidRPr="006C55E9">
        <w:t>LPG above ground pressurised storage tank</w:t>
      </w:r>
      <w:r w:rsidR="005D0D55" w:rsidRPr="006C55E9">
        <w:t xml:space="preserve">; </w:t>
      </w:r>
      <w:r w:rsidR="004A28C6" w:rsidRPr="006C55E9">
        <w:t>LPG pump/compressor</w:t>
      </w:r>
      <w:r w:rsidR="005D0D55" w:rsidRPr="006C55E9">
        <w:t xml:space="preserve">; </w:t>
      </w:r>
      <w:r w:rsidR="004A28C6" w:rsidRPr="006C55E9">
        <w:t>LPG pipework</w:t>
      </w:r>
      <w:r w:rsidR="005D0D55" w:rsidRPr="006C55E9">
        <w:t xml:space="preserve">; </w:t>
      </w:r>
      <w:r w:rsidR="004A28C6" w:rsidRPr="006C55E9">
        <w:t>LPG loading/unloading arm/hose</w:t>
      </w:r>
      <w:r w:rsidR="005D0D55" w:rsidRPr="006C55E9">
        <w:t xml:space="preserve">; </w:t>
      </w:r>
      <w:r w:rsidR="004A28C6" w:rsidRPr="006C55E9">
        <w:t>LPG road tanker/rail tanker</w:t>
      </w:r>
      <w:r w:rsidR="005D0D55" w:rsidRPr="006C55E9">
        <w:t>.</w:t>
      </w:r>
    </w:p>
    <w:p w14:paraId="79330126" w14:textId="7AC3F6B0" w:rsidR="00BA4BC6" w:rsidRPr="006C55E9" w:rsidRDefault="00B7570B" w:rsidP="00BA4BC6">
      <w:pPr>
        <w:pStyle w:val="CETReference"/>
        <w:jc w:val="both"/>
      </w:pPr>
      <w:r w:rsidRPr="006C55E9">
        <w:t>3. Frequencies of dangerous phenomenon</w:t>
      </w:r>
      <w:r w:rsidR="00BA4BC6" w:rsidRPr="006C55E9">
        <w:t xml:space="preserve"> </w:t>
      </w:r>
    </w:p>
    <w:p w14:paraId="34C00F62" w14:textId="0C6722CC" w:rsidR="00BA4BC6" w:rsidRPr="006C55E9" w:rsidRDefault="009C37E0" w:rsidP="00B04E66">
      <w:pPr>
        <w:pStyle w:val="CETReference"/>
        <w:spacing w:before="0" w:after="0"/>
        <w:jc w:val="both"/>
        <w:rPr>
          <w:b w:val="0"/>
        </w:rPr>
      </w:pPr>
      <w:r w:rsidRPr="006C55E9">
        <w:rPr>
          <w:b w:val="0"/>
        </w:rPr>
        <w:t xml:space="preserve">In order to determine the frequency of occurrence of the dangerous event (DP, right side of the bow-tie diagram), it is necessary to start from the initial events (IE). Once the initial events have been identified, one proceeds with determining their frequency. </w:t>
      </w:r>
      <w:r w:rsidR="00857C94" w:rsidRPr="006C55E9">
        <w:rPr>
          <w:b w:val="0"/>
        </w:rPr>
        <w:t>IE are the first upstream cause of each branch leading to the critical event in the fault tree. There is little information on frequency in the scientific literature, so whenever possible use accurate plant data or try to estimate frequency with plant employees or with data extrapolated from the operational experience of other similar plants.</w:t>
      </w:r>
      <w:r w:rsidR="00BA4BC6" w:rsidRPr="006C55E9">
        <w:rPr>
          <w:b w:val="0"/>
        </w:rPr>
        <w:t xml:space="preserve"> </w:t>
      </w:r>
    </w:p>
    <w:p w14:paraId="471AF0C0" w14:textId="6AB0A435" w:rsidR="00BA4BC6" w:rsidRPr="006C55E9" w:rsidRDefault="009162FC" w:rsidP="00B04E66">
      <w:pPr>
        <w:pStyle w:val="CETReference"/>
        <w:spacing w:before="0" w:after="0"/>
        <w:jc w:val="both"/>
        <w:rPr>
          <w:b w:val="0"/>
          <w:szCs w:val="18"/>
        </w:rPr>
      </w:pPr>
      <w:r w:rsidRPr="006C55E9">
        <w:rPr>
          <w:b w:val="0"/>
          <w:szCs w:val="18"/>
        </w:rPr>
        <w:t>From this point of view, the frequency of occurrence p</w:t>
      </w:r>
      <w:r w:rsidR="00AB0CBF" w:rsidRPr="006C55E9">
        <w:rPr>
          <w:b w:val="0"/>
          <w:szCs w:val="18"/>
        </w:rPr>
        <w:t>er year can be identified: F&lt; 1</w:t>
      </w:r>
      <w:r w:rsidR="000262B6" w:rsidRPr="006C55E9">
        <w:rPr>
          <w:b w:val="0"/>
          <w:szCs w:val="18"/>
        </w:rPr>
        <w:t>.</w:t>
      </w:r>
      <w:r w:rsidR="00CA0E57" w:rsidRPr="006C55E9">
        <w:rPr>
          <w:b w:val="0"/>
          <w:szCs w:val="18"/>
        </w:rPr>
        <w:t xml:space="preserve">0 </w:t>
      </w:r>
      <w:r w:rsidR="00AB0CBF" w:rsidRPr="006C55E9">
        <w:rPr>
          <w:b w:val="0"/>
          <w:szCs w:val="18"/>
        </w:rPr>
        <w:t>E</w:t>
      </w:r>
      <w:r w:rsidRPr="006C55E9">
        <w:rPr>
          <w:b w:val="0"/>
          <w:szCs w:val="18"/>
        </w:rPr>
        <w:t>-</w:t>
      </w:r>
      <w:r w:rsidR="000262B6" w:rsidRPr="006C55E9">
        <w:rPr>
          <w:b w:val="0"/>
          <w:szCs w:val="18"/>
        </w:rPr>
        <w:t>04</w:t>
      </w:r>
      <w:r w:rsidRPr="006C55E9">
        <w:rPr>
          <w:b w:val="0"/>
          <w:szCs w:val="18"/>
        </w:rPr>
        <w:t>, very l</w:t>
      </w:r>
      <w:r w:rsidR="00AB0CBF" w:rsidRPr="006C55E9">
        <w:rPr>
          <w:b w:val="0"/>
          <w:szCs w:val="18"/>
        </w:rPr>
        <w:t>ow frequency, unlikely event; 1</w:t>
      </w:r>
      <w:r w:rsidR="000262B6" w:rsidRPr="006C55E9">
        <w:rPr>
          <w:b w:val="0"/>
          <w:szCs w:val="18"/>
        </w:rPr>
        <w:t>.</w:t>
      </w:r>
      <w:r w:rsidR="00CA0E57" w:rsidRPr="006C55E9">
        <w:rPr>
          <w:b w:val="0"/>
          <w:szCs w:val="18"/>
        </w:rPr>
        <w:t xml:space="preserve">0 </w:t>
      </w:r>
      <w:r w:rsidR="00AB0CBF" w:rsidRPr="006C55E9">
        <w:rPr>
          <w:b w:val="0"/>
          <w:szCs w:val="18"/>
        </w:rPr>
        <w:t>E</w:t>
      </w:r>
      <w:r w:rsidRPr="006C55E9">
        <w:rPr>
          <w:b w:val="0"/>
          <w:szCs w:val="18"/>
        </w:rPr>
        <w:t>-</w:t>
      </w:r>
      <w:r w:rsidR="000262B6" w:rsidRPr="006C55E9">
        <w:rPr>
          <w:b w:val="0"/>
          <w:szCs w:val="18"/>
        </w:rPr>
        <w:t>04</w:t>
      </w:r>
      <w:r w:rsidR="00AB0CBF" w:rsidRPr="006C55E9">
        <w:rPr>
          <w:b w:val="0"/>
          <w:szCs w:val="18"/>
        </w:rPr>
        <w:t xml:space="preserve"> &lt; F &lt; 1</w:t>
      </w:r>
      <w:r w:rsidR="000262B6" w:rsidRPr="006C55E9">
        <w:rPr>
          <w:b w:val="0"/>
          <w:szCs w:val="18"/>
        </w:rPr>
        <w:t>.</w:t>
      </w:r>
      <w:r w:rsidR="00CA0E57" w:rsidRPr="006C55E9">
        <w:rPr>
          <w:b w:val="0"/>
          <w:szCs w:val="18"/>
        </w:rPr>
        <w:t>0</w:t>
      </w:r>
      <w:r w:rsidRPr="006C55E9">
        <w:rPr>
          <w:b w:val="0"/>
          <w:szCs w:val="18"/>
        </w:rPr>
        <w:t xml:space="preserve"> </w:t>
      </w:r>
      <w:r w:rsidR="00AB0CBF" w:rsidRPr="006C55E9">
        <w:rPr>
          <w:b w:val="0"/>
          <w:szCs w:val="18"/>
        </w:rPr>
        <w:t>E</w:t>
      </w:r>
      <w:r w:rsidRPr="006C55E9">
        <w:rPr>
          <w:b w:val="0"/>
          <w:szCs w:val="18"/>
        </w:rPr>
        <w:t>-</w:t>
      </w:r>
      <w:r w:rsidR="000262B6" w:rsidRPr="006C55E9">
        <w:rPr>
          <w:b w:val="0"/>
          <w:szCs w:val="18"/>
        </w:rPr>
        <w:t>03</w:t>
      </w:r>
      <w:r w:rsidRPr="006C55E9">
        <w:rPr>
          <w:b w:val="0"/>
          <w:szCs w:val="18"/>
        </w:rPr>
        <w:t>, low frequency, event could occur or has occurred a</w:t>
      </w:r>
      <w:r w:rsidR="00AB0CBF" w:rsidRPr="006C55E9">
        <w:rPr>
          <w:b w:val="0"/>
          <w:szCs w:val="18"/>
        </w:rPr>
        <w:t>t least 1 time in 1000 years; 1</w:t>
      </w:r>
      <w:r w:rsidR="000262B6" w:rsidRPr="006C55E9">
        <w:rPr>
          <w:b w:val="0"/>
          <w:szCs w:val="18"/>
        </w:rPr>
        <w:t>.</w:t>
      </w:r>
      <w:r w:rsidR="00CA0E57" w:rsidRPr="006C55E9">
        <w:rPr>
          <w:b w:val="0"/>
          <w:szCs w:val="18"/>
        </w:rPr>
        <w:t>0</w:t>
      </w:r>
      <w:r w:rsidR="00AB0CBF" w:rsidRPr="006C55E9">
        <w:rPr>
          <w:b w:val="0"/>
          <w:szCs w:val="18"/>
        </w:rPr>
        <w:t xml:space="preserve"> E-</w:t>
      </w:r>
      <w:r w:rsidR="000262B6" w:rsidRPr="006C55E9">
        <w:rPr>
          <w:b w:val="0"/>
          <w:szCs w:val="18"/>
        </w:rPr>
        <w:t>03</w:t>
      </w:r>
      <w:r w:rsidR="00AB0CBF" w:rsidRPr="006C55E9">
        <w:rPr>
          <w:b w:val="0"/>
          <w:szCs w:val="18"/>
        </w:rPr>
        <w:t xml:space="preserve"> &lt; F &lt; 1</w:t>
      </w:r>
      <w:r w:rsidR="000262B6" w:rsidRPr="006C55E9">
        <w:rPr>
          <w:b w:val="0"/>
          <w:szCs w:val="18"/>
        </w:rPr>
        <w:t>.</w:t>
      </w:r>
      <w:r w:rsidR="00CA0E57" w:rsidRPr="006C55E9">
        <w:rPr>
          <w:b w:val="0"/>
          <w:szCs w:val="18"/>
        </w:rPr>
        <w:t>0</w:t>
      </w:r>
      <w:r w:rsidRPr="006C55E9">
        <w:rPr>
          <w:b w:val="0"/>
          <w:szCs w:val="18"/>
        </w:rPr>
        <w:t xml:space="preserve"> </w:t>
      </w:r>
      <w:r w:rsidR="00AB0CBF" w:rsidRPr="006C55E9">
        <w:rPr>
          <w:b w:val="0"/>
          <w:szCs w:val="18"/>
        </w:rPr>
        <w:t>E</w:t>
      </w:r>
      <w:r w:rsidRPr="006C55E9">
        <w:rPr>
          <w:b w:val="0"/>
          <w:szCs w:val="18"/>
        </w:rPr>
        <w:t>-</w:t>
      </w:r>
      <w:r w:rsidR="000262B6" w:rsidRPr="006C55E9">
        <w:rPr>
          <w:b w:val="0"/>
          <w:szCs w:val="18"/>
        </w:rPr>
        <w:t>02</w:t>
      </w:r>
      <w:r w:rsidRPr="006C55E9">
        <w:rPr>
          <w:b w:val="0"/>
          <w:szCs w:val="18"/>
        </w:rPr>
        <w:t>, low frequency, event could occur or has occurred at least 1 time in 100 years; 1</w:t>
      </w:r>
      <w:r w:rsidR="000262B6" w:rsidRPr="006C55E9">
        <w:rPr>
          <w:b w:val="0"/>
          <w:szCs w:val="18"/>
        </w:rPr>
        <w:t>.</w:t>
      </w:r>
      <w:r w:rsidR="00CA0E57" w:rsidRPr="006C55E9">
        <w:rPr>
          <w:b w:val="0"/>
          <w:szCs w:val="18"/>
        </w:rPr>
        <w:t>0</w:t>
      </w:r>
      <w:r w:rsidRPr="006C55E9">
        <w:rPr>
          <w:b w:val="0"/>
          <w:szCs w:val="18"/>
        </w:rPr>
        <w:t xml:space="preserve"> </w:t>
      </w:r>
      <w:r w:rsidR="00AB0CBF" w:rsidRPr="006C55E9">
        <w:rPr>
          <w:b w:val="0"/>
          <w:szCs w:val="18"/>
        </w:rPr>
        <w:t>E</w:t>
      </w:r>
      <w:r w:rsidRPr="006C55E9">
        <w:rPr>
          <w:b w:val="0"/>
          <w:szCs w:val="18"/>
        </w:rPr>
        <w:t>-</w:t>
      </w:r>
      <w:r w:rsidR="000262B6" w:rsidRPr="006C55E9">
        <w:rPr>
          <w:b w:val="0"/>
          <w:szCs w:val="18"/>
        </w:rPr>
        <w:t>02</w:t>
      </w:r>
      <w:r w:rsidRPr="006C55E9">
        <w:rPr>
          <w:b w:val="0"/>
          <w:szCs w:val="18"/>
        </w:rPr>
        <w:t xml:space="preserve"> &lt; F &lt; 1</w:t>
      </w:r>
      <w:r w:rsidR="000262B6" w:rsidRPr="006C55E9">
        <w:rPr>
          <w:b w:val="0"/>
          <w:szCs w:val="18"/>
        </w:rPr>
        <w:t>.</w:t>
      </w:r>
      <w:r w:rsidR="00CA0E57" w:rsidRPr="006C55E9">
        <w:rPr>
          <w:b w:val="0"/>
          <w:szCs w:val="18"/>
        </w:rPr>
        <w:t>0</w:t>
      </w:r>
      <w:r w:rsidR="00AB0CBF" w:rsidRPr="006C55E9">
        <w:rPr>
          <w:b w:val="0"/>
          <w:szCs w:val="18"/>
        </w:rPr>
        <w:t xml:space="preserve"> E</w:t>
      </w:r>
      <w:r w:rsidRPr="006C55E9">
        <w:rPr>
          <w:b w:val="0"/>
          <w:szCs w:val="18"/>
        </w:rPr>
        <w:t>-</w:t>
      </w:r>
      <w:r w:rsidR="000262B6" w:rsidRPr="006C55E9">
        <w:rPr>
          <w:b w:val="0"/>
          <w:szCs w:val="18"/>
        </w:rPr>
        <w:t>01</w:t>
      </w:r>
      <w:r w:rsidRPr="006C55E9">
        <w:rPr>
          <w:b w:val="0"/>
          <w:szCs w:val="18"/>
        </w:rPr>
        <w:t>, high frequency, possible event, has occurred at the site at least once in 10 years; F &gt; 1</w:t>
      </w:r>
      <w:r w:rsidR="000262B6" w:rsidRPr="006C55E9">
        <w:rPr>
          <w:b w:val="0"/>
          <w:szCs w:val="18"/>
        </w:rPr>
        <w:t>.</w:t>
      </w:r>
      <w:r w:rsidR="00CA0E57" w:rsidRPr="006C55E9">
        <w:rPr>
          <w:b w:val="0"/>
          <w:szCs w:val="18"/>
        </w:rPr>
        <w:t>0</w:t>
      </w:r>
      <w:r w:rsidR="00AB0CBF" w:rsidRPr="006C55E9">
        <w:rPr>
          <w:b w:val="0"/>
          <w:szCs w:val="18"/>
        </w:rPr>
        <w:t xml:space="preserve"> E</w:t>
      </w:r>
      <w:r w:rsidRPr="006C55E9">
        <w:rPr>
          <w:b w:val="0"/>
          <w:szCs w:val="18"/>
        </w:rPr>
        <w:t>-</w:t>
      </w:r>
      <w:r w:rsidR="000262B6" w:rsidRPr="006C55E9">
        <w:rPr>
          <w:b w:val="0"/>
          <w:szCs w:val="18"/>
        </w:rPr>
        <w:t>0</w:t>
      </w:r>
      <w:r w:rsidRPr="006C55E9">
        <w:rPr>
          <w:b w:val="0"/>
          <w:szCs w:val="18"/>
        </w:rPr>
        <w:t>1, very high frequency, probable event, occurred several times within the site</w:t>
      </w:r>
      <w:r w:rsidR="00BA4BC6" w:rsidRPr="006C55E9">
        <w:rPr>
          <w:b w:val="0"/>
          <w:szCs w:val="18"/>
        </w:rPr>
        <w:t>.</w:t>
      </w:r>
    </w:p>
    <w:p w14:paraId="6F92E0E5" w14:textId="465F04F6" w:rsidR="00BA4BC6" w:rsidRPr="006C55E9" w:rsidRDefault="007B6D9A" w:rsidP="00B04E66">
      <w:pPr>
        <w:pStyle w:val="CETReference"/>
        <w:spacing w:before="0" w:after="0"/>
        <w:jc w:val="both"/>
        <w:rPr>
          <w:b w:val="0"/>
        </w:rPr>
      </w:pPr>
      <w:r w:rsidRPr="006C55E9">
        <w:rPr>
          <w:b w:val="0"/>
        </w:rPr>
        <w:t>Once the EI frequency values have been found, it is necessary to indicate them on the bow-tie diagram. The next step is to identify the safety functions and systems on the fault tree, evaluating their performance and how these affect the frequency of CE</w:t>
      </w:r>
      <w:r w:rsidR="00BA4BC6" w:rsidRPr="006C55E9">
        <w:rPr>
          <w:b w:val="0"/>
        </w:rPr>
        <w:t>.</w:t>
      </w:r>
      <w:r w:rsidR="00D6058B" w:rsidRPr="006C55E9">
        <w:rPr>
          <w:b w:val="0"/>
        </w:rPr>
        <w:t xml:space="preserve"> </w:t>
      </w:r>
      <w:r w:rsidR="005F17FE" w:rsidRPr="006C55E9">
        <w:rPr>
          <w:b w:val="0"/>
        </w:rPr>
        <w:t xml:space="preserve">This methodology starts from the initial events (EI) of the fault tree and proceeds towards the critical events (CE), taking into consideration the </w:t>
      </w:r>
      <w:r w:rsidR="00F22F32" w:rsidRPr="006C55E9">
        <w:rPr>
          <w:b w:val="0"/>
        </w:rPr>
        <w:t xml:space="preserve">prevention </w:t>
      </w:r>
      <w:r w:rsidR="005F17FE" w:rsidRPr="006C55E9">
        <w:rPr>
          <w:b w:val="0"/>
        </w:rPr>
        <w:t xml:space="preserve">safety </w:t>
      </w:r>
      <w:r w:rsidR="00F22F32" w:rsidRPr="006C55E9">
        <w:rPr>
          <w:b w:val="0"/>
        </w:rPr>
        <w:t>barriers</w:t>
      </w:r>
      <w:r w:rsidR="00BA4BC6" w:rsidRPr="006C55E9">
        <w:rPr>
          <w:b w:val="0"/>
        </w:rPr>
        <w:t>.</w:t>
      </w:r>
      <w:r w:rsidR="00051D2F" w:rsidRPr="006C55E9">
        <w:rPr>
          <w:b w:val="0"/>
        </w:rPr>
        <w:t xml:space="preserve"> </w:t>
      </w:r>
      <w:r w:rsidR="000717AB" w:rsidRPr="006C55E9">
        <w:rPr>
          <w:b w:val="0"/>
        </w:rPr>
        <w:t xml:space="preserve">If it </w:t>
      </w:r>
      <w:r w:rsidR="00001151" w:rsidRPr="006C55E9">
        <w:rPr>
          <w:b w:val="0"/>
        </w:rPr>
        <w:t>is not possible to calculate</w:t>
      </w:r>
      <w:r w:rsidR="000717AB" w:rsidRPr="006C55E9">
        <w:rPr>
          <w:b w:val="0"/>
        </w:rPr>
        <w:t xml:space="preserve"> frequency of the critical event </w:t>
      </w:r>
      <w:r w:rsidR="00001151" w:rsidRPr="006C55E9">
        <w:rPr>
          <w:b w:val="0"/>
        </w:rPr>
        <w:t>based on</w:t>
      </w:r>
      <w:r w:rsidR="000717AB" w:rsidRPr="006C55E9">
        <w:rPr>
          <w:b w:val="0"/>
        </w:rPr>
        <w:t xml:space="preserve"> the fault tree analysis, there is the possibility to evaluate it through generic critical event frequencies.</w:t>
      </w:r>
      <w:r w:rsidR="00BA4BC6" w:rsidRPr="006C55E9">
        <w:rPr>
          <w:b w:val="0"/>
        </w:rPr>
        <w:t xml:space="preserve"> </w:t>
      </w:r>
      <w:r w:rsidR="00B04E66" w:rsidRPr="006C55E9">
        <w:rPr>
          <w:b w:val="0"/>
        </w:rPr>
        <w:t xml:space="preserve">In Appendix 10 of Deliverable D.1.C. (Delvosalle C. et al.) values or frequency ranges of the different critical events are provided, depending on the type of equipment considered. An extract is shown </w:t>
      </w:r>
      <w:r w:rsidR="002F6E21" w:rsidRPr="006C55E9">
        <w:rPr>
          <w:b w:val="0"/>
        </w:rPr>
        <w:t>in Figure 3</w:t>
      </w:r>
      <w:r w:rsidR="00B04E66" w:rsidRPr="006C55E9">
        <w:rPr>
          <w:b w:val="0"/>
        </w:rPr>
        <w:t>, where the acronym CE indicates the critical event, while EQ the equipment affected by the critical event:</w:t>
      </w:r>
    </w:p>
    <w:p w14:paraId="70CAA7A6" w14:textId="27213A94" w:rsidR="00BA4BC6" w:rsidRPr="006C55E9" w:rsidRDefault="002B1B2D" w:rsidP="003E0B27">
      <w:pPr>
        <w:pStyle w:val="CETReference"/>
        <w:rPr>
          <w:b w:val="0"/>
        </w:rPr>
      </w:pPr>
      <w:r w:rsidRPr="006C55E9">
        <w:rPr>
          <w:b w:val="0"/>
        </w:rPr>
        <w:object w:dxaOrig="7005" w:dyaOrig="3405" w14:anchorId="0944D3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95pt;height:166.45pt" o:ole="">
            <v:imagedata r:id="rId12" o:title=""/>
          </v:shape>
          <o:OLEObject Type="Embed" ProgID="PBrush" ShapeID="_x0000_i1025" DrawAspect="Content" ObjectID="_1750151640" r:id="rId13"/>
        </w:object>
      </w:r>
    </w:p>
    <w:p w14:paraId="298E9241" w14:textId="0A134FFD" w:rsidR="00BA4BC6" w:rsidRPr="006C55E9" w:rsidRDefault="003E0B27" w:rsidP="003E0B27">
      <w:pPr>
        <w:pStyle w:val="CETReference"/>
        <w:jc w:val="both"/>
        <w:rPr>
          <w:b w:val="0"/>
        </w:rPr>
      </w:pPr>
      <w:r w:rsidRPr="006C55E9">
        <w:rPr>
          <w:b w:val="0"/>
          <w:i/>
        </w:rPr>
        <w:t xml:space="preserve">Figure 3: </w:t>
      </w:r>
      <w:r w:rsidR="004D437A" w:rsidRPr="006C55E9">
        <w:rPr>
          <w:b w:val="0"/>
          <w:i/>
        </w:rPr>
        <w:t>Extract of g</w:t>
      </w:r>
      <w:r w:rsidR="002F6E21" w:rsidRPr="006C55E9">
        <w:rPr>
          <w:b w:val="0"/>
          <w:i/>
        </w:rPr>
        <w:t>eneric critical event frequencies</w:t>
      </w:r>
    </w:p>
    <w:p w14:paraId="52091BD9" w14:textId="4429B8C6" w:rsidR="001D2116" w:rsidRPr="006C55E9" w:rsidRDefault="00B04E66" w:rsidP="00CD3D25">
      <w:pPr>
        <w:pStyle w:val="CETReference"/>
        <w:spacing w:before="0" w:after="0"/>
        <w:jc w:val="both"/>
        <w:rPr>
          <w:b w:val="0"/>
        </w:rPr>
      </w:pPr>
      <w:r w:rsidRPr="006C55E9">
        <w:rPr>
          <w:b w:val="0"/>
        </w:rPr>
        <w:t>The frequencies indicated in Figure 3 are generic and p</w:t>
      </w:r>
      <w:r w:rsidR="002F6E21" w:rsidRPr="006C55E9">
        <w:rPr>
          <w:b w:val="0"/>
        </w:rPr>
        <w:t>rovided for "standard" prevention safety barriers</w:t>
      </w:r>
      <w:r w:rsidRPr="006C55E9">
        <w:rPr>
          <w:b w:val="0"/>
        </w:rPr>
        <w:t>, even if they are not specified in the literature; therefore, the data must be used carefully</w:t>
      </w:r>
      <w:r w:rsidR="00BA4BC6" w:rsidRPr="006C55E9">
        <w:rPr>
          <w:b w:val="0"/>
        </w:rPr>
        <w:t>.</w:t>
      </w:r>
      <w:r w:rsidRPr="006C55E9">
        <w:rPr>
          <w:b w:val="0"/>
        </w:rPr>
        <w:t xml:space="preserve"> </w:t>
      </w:r>
      <w:r w:rsidR="009054E2" w:rsidRPr="006C55E9">
        <w:rPr>
          <w:b w:val="0"/>
        </w:rPr>
        <w:t xml:space="preserve">If the prevention safety barriers level is high, the risk analyst should decrease the CE frequency value derived from Figure 3, if the prevention safety barriers level is low, the risk analyst should increase the CE frequency value derived from Figure 3. It is essential to highlight the importance of Safety Management Systems (SMS) for risk control purposes. By introducing actions related to technical, human and organizational factors, a good SMS has the objective of inserting and maintaining the prevention barriers at their maximum level of efficiency, reducing the probability that CE occurs. </w:t>
      </w:r>
      <w:r w:rsidR="00CA57EC" w:rsidRPr="006C55E9">
        <w:rPr>
          <w:b w:val="0"/>
        </w:rPr>
        <w:t xml:space="preserve">Once the interval in which the frequency can fall has been identified, a value must be chosen within it, possibly high if there are low levels of safety or, vice versa, if the level of safety is good. The information found in the literature does not allow to provide more precise information regarding the choice of a specific value. Once the frequency of the critical event (CE) has been defined, for the calculation of the frequency of the dangerous phenomenon (DP) it is necessary to proceed step by step in the tree of events, obtaining as output the frequency of each dangerous phenomenon. </w:t>
      </w:r>
      <w:r w:rsidR="007D0CBA" w:rsidRPr="006C55E9">
        <w:rPr>
          <w:b w:val="0"/>
        </w:rPr>
        <w:t>First,</w:t>
      </w:r>
      <w:r w:rsidR="00CA57EC" w:rsidRPr="006C55E9">
        <w:rPr>
          <w:b w:val="0"/>
        </w:rPr>
        <w:t xml:space="preserve"> it is necessary to evaluate how the probabilities propagate along the branches of the tree and to take into consideration the </w:t>
      </w:r>
      <w:r w:rsidR="00CD3D25" w:rsidRPr="006C55E9">
        <w:rPr>
          <w:b w:val="0"/>
        </w:rPr>
        <w:t>safety barriers</w:t>
      </w:r>
      <w:r w:rsidR="00CA57EC" w:rsidRPr="006C55E9">
        <w:rPr>
          <w:b w:val="0"/>
        </w:rPr>
        <w:t xml:space="preserve">. </w:t>
      </w:r>
      <w:r w:rsidR="007D0CBA" w:rsidRPr="006C55E9">
        <w:rPr>
          <w:b w:val="0"/>
        </w:rPr>
        <w:t>Therefore,</w:t>
      </w:r>
      <w:r w:rsidR="00CA57EC" w:rsidRPr="006C55E9">
        <w:rPr>
          <w:b w:val="0"/>
        </w:rPr>
        <w:t xml:space="preserve"> it is necessary to identify the protective devices to be inserted in the event tree (right side of the "bow-tie" diagram) and quantify their influence. The output of this phase is a list of dangerous phenomena (DP) associated with each critical event.</w:t>
      </w:r>
      <w:r w:rsidR="00A22D07" w:rsidRPr="006C55E9">
        <w:rPr>
          <w:b w:val="0"/>
        </w:rPr>
        <w:t xml:space="preserve"> </w:t>
      </w:r>
      <w:r w:rsidR="001D2116" w:rsidRPr="006C55E9">
        <w:rPr>
          <w:b w:val="0"/>
        </w:rPr>
        <w:t>Below are the data on the frequencies of occurrence of a Dangerous Phenomena (DP) associated with a specific "frequency class": F-1 for values of 1.0 E-03; F-2 for values of 1.0 E -04; F-3 for values 1.0 E-05; F-4 for values of 1.0 E-06; F-5 for values 1.0 E-07. These data derive from the authors' operational experience with regard to the institutional activity of inspection, verification and control, both in the context of establishments at risk of a major accident and in ordinary working conditions.</w:t>
      </w:r>
    </w:p>
    <w:p w14:paraId="20ED893F" w14:textId="0FA256A7" w:rsidR="00BA4BC6" w:rsidRPr="006C55E9" w:rsidRDefault="003F654E" w:rsidP="00BA4BC6">
      <w:pPr>
        <w:pStyle w:val="CETReference"/>
      </w:pPr>
      <w:r w:rsidRPr="006C55E9">
        <w:t>4.</w:t>
      </w:r>
      <w:r w:rsidR="00BA4BC6" w:rsidRPr="006C55E9">
        <w:t xml:space="preserve"> </w:t>
      </w:r>
      <w:r w:rsidR="003E0B27" w:rsidRPr="006C55E9">
        <w:t xml:space="preserve">Estimate damage class </w:t>
      </w:r>
    </w:p>
    <w:p w14:paraId="53B6F14E" w14:textId="7EE6867E" w:rsidR="00BA4BC6" w:rsidRPr="006C55E9" w:rsidRDefault="00537D49" w:rsidP="00BA4BC6">
      <w:pPr>
        <w:pStyle w:val="CETReference"/>
        <w:jc w:val="both"/>
        <w:rPr>
          <w:b w:val="0"/>
        </w:rPr>
      </w:pPr>
      <w:r w:rsidRPr="006C55E9">
        <w:rPr>
          <w:b w:val="0"/>
        </w:rPr>
        <w:t>From critical event (CE) are identified</w:t>
      </w:r>
      <w:r w:rsidR="003E0B27" w:rsidRPr="006C55E9">
        <w:rPr>
          <w:b w:val="0"/>
        </w:rPr>
        <w:t xml:space="preserve"> dangerous phenomena (</w:t>
      </w:r>
      <w:r w:rsidRPr="006C55E9">
        <w:rPr>
          <w:b w:val="0"/>
        </w:rPr>
        <w:t>DP) due to the release of LPG, T</w:t>
      </w:r>
      <w:r w:rsidR="007D0CBA" w:rsidRPr="006C55E9">
        <w:rPr>
          <w:b w:val="0"/>
        </w:rPr>
        <w:t xml:space="preserve">able 2 relates </w:t>
      </w:r>
      <w:r w:rsidR="003E0B27" w:rsidRPr="006C55E9">
        <w:rPr>
          <w:b w:val="0"/>
        </w:rPr>
        <w:t>possible major events (ME) of final scenarios.</w:t>
      </w:r>
    </w:p>
    <w:p w14:paraId="07C5CBD4" w14:textId="1B4A26F9" w:rsidR="00CD3D25" w:rsidRPr="006C55E9" w:rsidRDefault="00CD3D25" w:rsidP="00CD3D25">
      <w:pPr>
        <w:keepNext/>
        <w:tabs>
          <w:tab w:val="clear" w:pos="7100"/>
        </w:tabs>
        <w:spacing w:before="240" w:after="80" w:line="240" w:lineRule="exact"/>
        <w:jc w:val="left"/>
        <w:rPr>
          <w:i/>
        </w:rPr>
      </w:pPr>
      <w:r w:rsidRPr="006C55E9">
        <w:rPr>
          <w:i/>
        </w:rPr>
        <w:t xml:space="preserve">Table 2: </w:t>
      </w:r>
      <w:r w:rsidR="00A66B4D" w:rsidRPr="006C55E9">
        <w:rPr>
          <w:i/>
        </w:rPr>
        <w:t xml:space="preserve">Relates dangerous phenomena </w:t>
      </w:r>
      <w:r w:rsidR="00537D49" w:rsidRPr="006C55E9">
        <w:rPr>
          <w:i/>
        </w:rPr>
        <w:t xml:space="preserve">(DP) </w:t>
      </w:r>
      <w:r w:rsidR="00A66B4D" w:rsidRPr="006C55E9">
        <w:rPr>
          <w:i/>
        </w:rPr>
        <w:t xml:space="preserve">to major events </w:t>
      </w:r>
      <w:r w:rsidR="00537D49" w:rsidRPr="006C55E9">
        <w:rPr>
          <w:i/>
        </w:rPr>
        <w:t xml:space="preserve">(ME) </w:t>
      </w:r>
      <w:r w:rsidR="00A66B4D" w:rsidRPr="006C55E9">
        <w:rPr>
          <w:i/>
        </w:rPr>
        <w:t>of final scenarios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182"/>
        <w:gridCol w:w="1086"/>
        <w:gridCol w:w="33"/>
        <w:gridCol w:w="1058"/>
        <w:gridCol w:w="1088"/>
        <w:gridCol w:w="32"/>
        <w:gridCol w:w="1091"/>
        <w:gridCol w:w="1148"/>
        <w:gridCol w:w="1069"/>
      </w:tblGrid>
      <w:tr w:rsidR="00A3201E" w:rsidRPr="006C55E9" w14:paraId="3BA41E4C" w14:textId="77777777" w:rsidTr="00A3201E">
        <w:tc>
          <w:tcPr>
            <w:tcW w:w="3301" w:type="dxa"/>
            <w:gridSpan w:val="3"/>
            <w:tcBorders>
              <w:top w:val="single" w:sz="12" w:space="0" w:color="008000"/>
              <w:bottom w:val="single" w:sz="6" w:space="0" w:color="008000"/>
            </w:tcBorders>
            <w:shd w:val="clear" w:color="auto" w:fill="FFFFFF"/>
          </w:tcPr>
          <w:p w14:paraId="66A2C4D5" w14:textId="6D733FC0" w:rsidR="00A3201E" w:rsidRPr="006C55E9" w:rsidRDefault="00A3201E" w:rsidP="00A3201E">
            <w:r w:rsidRPr="006C55E9">
              <w:t xml:space="preserve">Dangerous Phenomena (DP) </w:t>
            </w:r>
          </w:p>
        </w:tc>
        <w:tc>
          <w:tcPr>
            <w:tcW w:w="1058" w:type="dxa"/>
            <w:tcBorders>
              <w:top w:val="single" w:sz="12" w:space="0" w:color="008000"/>
              <w:bottom w:val="single" w:sz="6" w:space="0" w:color="008000"/>
            </w:tcBorders>
            <w:shd w:val="clear" w:color="auto" w:fill="FFFFFF"/>
          </w:tcPr>
          <w:p w14:paraId="5D398BA0" w14:textId="77777777" w:rsidR="00A3201E" w:rsidRPr="006C55E9" w:rsidRDefault="00A3201E" w:rsidP="00A3201E">
            <w:r w:rsidRPr="006C55E9">
              <w:t>Thermal radiation</w:t>
            </w:r>
          </w:p>
          <w:p w14:paraId="0D6615B2" w14:textId="03AE68A0" w:rsidR="00A3201E" w:rsidRPr="006C55E9" w:rsidRDefault="00A3201E" w:rsidP="00A3201E">
            <w:pPr>
              <w:ind w:right="-1"/>
              <w:rPr>
                <w:rFonts w:cs="Arial"/>
                <w:szCs w:val="18"/>
              </w:rPr>
            </w:pPr>
            <w:r w:rsidRPr="006C55E9">
              <w:t>(ME1)</w:t>
            </w:r>
          </w:p>
        </w:tc>
        <w:tc>
          <w:tcPr>
            <w:tcW w:w="1120" w:type="dxa"/>
            <w:gridSpan w:val="2"/>
            <w:tcBorders>
              <w:top w:val="single" w:sz="12" w:space="0" w:color="008000"/>
              <w:bottom w:val="single" w:sz="6" w:space="0" w:color="008000"/>
            </w:tcBorders>
            <w:shd w:val="clear" w:color="auto" w:fill="FFFFFF"/>
          </w:tcPr>
          <w:p w14:paraId="272D0E82" w14:textId="77777777" w:rsidR="00A3201E" w:rsidRPr="006C55E9" w:rsidRDefault="00A3201E" w:rsidP="00A3201E">
            <w:pPr>
              <w:ind w:right="-1"/>
              <w:jc w:val="left"/>
            </w:pPr>
            <w:r w:rsidRPr="006C55E9">
              <w:t xml:space="preserve">Direct flame contact </w:t>
            </w:r>
          </w:p>
          <w:p w14:paraId="205AF9E0" w14:textId="06925976" w:rsidR="00A3201E" w:rsidRPr="006C55E9" w:rsidRDefault="00A3201E" w:rsidP="00A3201E">
            <w:pPr>
              <w:ind w:right="-1"/>
              <w:rPr>
                <w:rFonts w:cs="Arial"/>
                <w:szCs w:val="18"/>
              </w:rPr>
            </w:pPr>
            <w:r w:rsidRPr="006C55E9">
              <w:t>(ME2)</w:t>
            </w:r>
          </w:p>
        </w:tc>
        <w:tc>
          <w:tcPr>
            <w:tcW w:w="1091" w:type="dxa"/>
            <w:tcBorders>
              <w:top w:val="single" w:sz="12" w:space="0" w:color="008000"/>
              <w:bottom w:val="single" w:sz="6" w:space="0" w:color="008000"/>
            </w:tcBorders>
            <w:shd w:val="clear" w:color="auto" w:fill="FFFFFF"/>
          </w:tcPr>
          <w:p w14:paraId="13E1F5EB" w14:textId="77777777" w:rsidR="00A3201E" w:rsidRPr="006C55E9" w:rsidRDefault="00A3201E" w:rsidP="00A3201E">
            <w:pPr>
              <w:ind w:right="-1"/>
            </w:pPr>
            <w:r w:rsidRPr="006C55E9">
              <w:t>Overpressure</w:t>
            </w:r>
          </w:p>
          <w:p w14:paraId="5D30C04B" w14:textId="5EA3FB48" w:rsidR="00A3201E" w:rsidRPr="006C55E9" w:rsidRDefault="00A3201E" w:rsidP="00A3201E">
            <w:pPr>
              <w:ind w:right="-1"/>
              <w:rPr>
                <w:rFonts w:cs="Arial"/>
                <w:szCs w:val="18"/>
              </w:rPr>
            </w:pPr>
            <w:r w:rsidRPr="006C55E9">
              <w:t>(ME3)</w:t>
            </w:r>
          </w:p>
        </w:tc>
        <w:tc>
          <w:tcPr>
            <w:tcW w:w="1148" w:type="dxa"/>
            <w:tcBorders>
              <w:top w:val="single" w:sz="12" w:space="0" w:color="008000"/>
              <w:bottom w:val="single" w:sz="6" w:space="0" w:color="008000"/>
            </w:tcBorders>
            <w:shd w:val="clear" w:color="auto" w:fill="FFFFFF"/>
          </w:tcPr>
          <w:p w14:paraId="53EBDADD" w14:textId="2F6E56A0" w:rsidR="00A3201E" w:rsidRPr="006C55E9" w:rsidRDefault="00537D49" w:rsidP="00A3201E">
            <w:pPr>
              <w:ind w:right="-1"/>
              <w:rPr>
                <w:rFonts w:cs="Arial"/>
                <w:szCs w:val="18"/>
              </w:rPr>
            </w:pPr>
            <w:r w:rsidRPr="006C55E9">
              <w:rPr>
                <w:rFonts w:cs="Arial"/>
                <w:szCs w:val="18"/>
              </w:rPr>
              <w:t xml:space="preserve">  </w:t>
            </w:r>
            <w:r w:rsidR="00A3201E" w:rsidRPr="006C55E9">
              <w:rPr>
                <w:rFonts w:cs="Arial"/>
                <w:szCs w:val="18"/>
              </w:rPr>
              <w:t>Missiles</w:t>
            </w:r>
          </w:p>
          <w:p w14:paraId="324DE6BF" w14:textId="36FDFBF0" w:rsidR="00A3201E" w:rsidRPr="006C55E9" w:rsidRDefault="00537D49" w:rsidP="00A3201E">
            <w:pPr>
              <w:ind w:right="-1"/>
              <w:rPr>
                <w:rFonts w:cs="Arial"/>
                <w:szCs w:val="18"/>
              </w:rPr>
            </w:pPr>
            <w:r w:rsidRPr="006C55E9">
              <w:rPr>
                <w:rFonts w:cs="Arial"/>
                <w:szCs w:val="18"/>
              </w:rPr>
              <w:t xml:space="preserve">  </w:t>
            </w:r>
            <w:r w:rsidR="00A3201E" w:rsidRPr="006C55E9">
              <w:rPr>
                <w:rFonts w:cs="Arial"/>
                <w:szCs w:val="18"/>
              </w:rPr>
              <w:t>(ME4)</w:t>
            </w:r>
          </w:p>
        </w:tc>
        <w:tc>
          <w:tcPr>
            <w:tcW w:w="1069" w:type="dxa"/>
            <w:tcBorders>
              <w:top w:val="single" w:sz="12" w:space="0" w:color="008000"/>
              <w:bottom w:val="single" w:sz="6" w:space="0" w:color="008000"/>
            </w:tcBorders>
            <w:shd w:val="clear" w:color="auto" w:fill="FFFFFF"/>
          </w:tcPr>
          <w:p w14:paraId="7199FDA2" w14:textId="7E03DA06" w:rsidR="00A3201E" w:rsidRPr="006C55E9" w:rsidRDefault="00A3201E" w:rsidP="00A3201E">
            <w:pPr>
              <w:ind w:right="-1"/>
              <w:rPr>
                <w:rFonts w:cs="Arial"/>
                <w:szCs w:val="18"/>
              </w:rPr>
            </w:pPr>
          </w:p>
        </w:tc>
      </w:tr>
      <w:tr w:rsidR="00A3201E" w:rsidRPr="006C55E9" w14:paraId="18A834DD" w14:textId="77777777" w:rsidTr="00A3201E">
        <w:tc>
          <w:tcPr>
            <w:tcW w:w="2182" w:type="dxa"/>
            <w:shd w:val="clear" w:color="auto" w:fill="FFFFFF"/>
          </w:tcPr>
          <w:p w14:paraId="3D759DB3" w14:textId="4C16F41B" w:rsidR="00A3201E" w:rsidRPr="006C55E9" w:rsidRDefault="00A3201E" w:rsidP="00A3201E">
            <w:r w:rsidRPr="006C55E9">
              <w:t xml:space="preserve">Pool Fire, DP1 </w:t>
            </w:r>
            <w:r w:rsidRPr="006C55E9">
              <w:rPr>
                <w:vertAlign w:val="superscript"/>
              </w:rPr>
              <w:t>(1)</w:t>
            </w:r>
          </w:p>
        </w:tc>
        <w:tc>
          <w:tcPr>
            <w:tcW w:w="1086" w:type="dxa"/>
            <w:shd w:val="clear" w:color="auto" w:fill="FFFFFF"/>
          </w:tcPr>
          <w:p w14:paraId="033283E0" w14:textId="48EEBB61" w:rsidR="00A3201E" w:rsidRPr="006C55E9" w:rsidRDefault="00A3201E" w:rsidP="00A3201E">
            <w:pPr>
              <w:ind w:right="-1"/>
              <w:rPr>
                <w:rFonts w:cs="Arial"/>
                <w:szCs w:val="18"/>
              </w:rPr>
            </w:pPr>
          </w:p>
        </w:tc>
        <w:tc>
          <w:tcPr>
            <w:tcW w:w="1091" w:type="dxa"/>
            <w:gridSpan w:val="2"/>
            <w:shd w:val="clear" w:color="auto" w:fill="FFFFFF"/>
          </w:tcPr>
          <w:p w14:paraId="642FAE72" w14:textId="1B9763F7" w:rsidR="00A3201E" w:rsidRPr="006C55E9" w:rsidRDefault="00A3201E" w:rsidP="00A3201E">
            <w:pPr>
              <w:ind w:right="-1"/>
              <w:rPr>
                <w:rFonts w:cs="Arial"/>
                <w:szCs w:val="18"/>
              </w:rPr>
            </w:pPr>
            <w:r w:rsidRPr="006C55E9">
              <w:rPr>
                <w:rFonts w:cs="Arial"/>
                <w:szCs w:val="18"/>
              </w:rPr>
              <w:t>X</w:t>
            </w:r>
          </w:p>
        </w:tc>
        <w:tc>
          <w:tcPr>
            <w:tcW w:w="1088" w:type="dxa"/>
            <w:shd w:val="clear" w:color="auto" w:fill="FFFFFF"/>
          </w:tcPr>
          <w:p w14:paraId="367845A5" w14:textId="19E2AECF" w:rsidR="00A3201E" w:rsidRPr="006C55E9" w:rsidRDefault="00A3201E" w:rsidP="00A3201E">
            <w:pPr>
              <w:ind w:right="-1"/>
              <w:rPr>
                <w:rFonts w:cs="Arial"/>
                <w:szCs w:val="18"/>
              </w:rPr>
            </w:pPr>
            <w:r w:rsidRPr="006C55E9">
              <w:rPr>
                <w:rFonts w:cs="Arial"/>
                <w:szCs w:val="18"/>
              </w:rPr>
              <w:t>X</w:t>
            </w:r>
          </w:p>
        </w:tc>
        <w:tc>
          <w:tcPr>
            <w:tcW w:w="1123" w:type="dxa"/>
            <w:gridSpan w:val="2"/>
            <w:shd w:val="clear" w:color="auto" w:fill="FFFFFF"/>
          </w:tcPr>
          <w:p w14:paraId="14444420" w14:textId="4B848893" w:rsidR="00A3201E" w:rsidRPr="006C55E9" w:rsidRDefault="00A3201E" w:rsidP="00A3201E">
            <w:pPr>
              <w:ind w:right="-1"/>
              <w:rPr>
                <w:rFonts w:cs="Arial"/>
                <w:szCs w:val="18"/>
              </w:rPr>
            </w:pPr>
          </w:p>
        </w:tc>
        <w:tc>
          <w:tcPr>
            <w:tcW w:w="2217" w:type="dxa"/>
            <w:gridSpan w:val="2"/>
            <w:shd w:val="clear" w:color="auto" w:fill="FFFFFF"/>
          </w:tcPr>
          <w:p w14:paraId="19F64B01" w14:textId="5131FFB9" w:rsidR="00A3201E" w:rsidRPr="006C55E9" w:rsidRDefault="00A3201E" w:rsidP="00A3201E">
            <w:pPr>
              <w:ind w:right="-1"/>
              <w:jc w:val="left"/>
            </w:pPr>
          </w:p>
        </w:tc>
      </w:tr>
      <w:tr w:rsidR="00A3201E" w:rsidRPr="006C55E9" w14:paraId="61C0970E" w14:textId="77777777" w:rsidTr="00A3201E">
        <w:tc>
          <w:tcPr>
            <w:tcW w:w="2182" w:type="dxa"/>
            <w:shd w:val="clear" w:color="auto" w:fill="FFFFFF"/>
          </w:tcPr>
          <w:p w14:paraId="0800D16A" w14:textId="3DA0D0F1" w:rsidR="00A3201E" w:rsidRPr="006C55E9" w:rsidRDefault="00A3201E" w:rsidP="00A3201E">
            <w:pPr>
              <w:ind w:right="-1"/>
              <w:rPr>
                <w:rFonts w:cs="Arial"/>
                <w:szCs w:val="18"/>
              </w:rPr>
            </w:pPr>
            <w:r w:rsidRPr="006C55E9">
              <w:t>Flash Fire, DP2</w:t>
            </w:r>
          </w:p>
        </w:tc>
        <w:tc>
          <w:tcPr>
            <w:tcW w:w="1086" w:type="dxa"/>
            <w:shd w:val="clear" w:color="auto" w:fill="FFFFFF"/>
          </w:tcPr>
          <w:p w14:paraId="0316466A" w14:textId="09976736" w:rsidR="00A3201E" w:rsidRPr="006C55E9" w:rsidRDefault="00A3201E" w:rsidP="00A3201E">
            <w:pPr>
              <w:ind w:right="-1"/>
              <w:rPr>
                <w:rFonts w:cs="Arial"/>
                <w:szCs w:val="18"/>
              </w:rPr>
            </w:pPr>
          </w:p>
        </w:tc>
        <w:tc>
          <w:tcPr>
            <w:tcW w:w="1091" w:type="dxa"/>
            <w:gridSpan w:val="2"/>
            <w:shd w:val="clear" w:color="auto" w:fill="FFFFFF"/>
          </w:tcPr>
          <w:p w14:paraId="226E7BCB" w14:textId="782AC49C" w:rsidR="00A3201E" w:rsidRPr="006C55E9" w:rsidRDefault="00A3201E" w:rsidP="00A3201E">
            <w:pPr>
              <w:ind w:right="-1"/>
              <w:rPr>
                <w:rFonts w:cs="Arial"/>
                <w:szCs w:val="18"/>
              </w:rPr>
            </w:pPr>
            <w:r w:rsidRPr="006C55E9">
              <w:rPr>
                <w:rFonts w:cs="Arial"/>
                <w:szCs w:val="18"/>
              </w:rPr>
              <w:t>X</w:t>
            </w:r>
          </w:p>
        </w:tc>
        <w:tc>
          <w:tcPr>
            <w:tcW w:w="1088" w:type="dxa"/>
            <w:shd w:val="clear" w:color="auto" w:fill="FFFFFF"/>
          </w:tcPr>
          <w:p w14:paraId="6A77E52E" w14:textId="1BC58C43" w:rsidR="00A3201E" w:rsidRPr="006C55E9" w:rsidRDefault="00A3201E" w:rsidP="00A3201E">
            <w:pPr>
              <w:ind w:right="-1"/>
              <w:rPr>
                <w:rFonts w:cs="Arial"/>
                <w:szCs w:val="18"/>
              </w:rPr>
            </w:pPr>
            <w:r w:rsidRPr="006C55E9">
              <w:rPr>
                <w:rFonts w:cs="Arial"/>
                <w:szCs w:val="18"/>
              </w:rPr>
              <w:t>X</w:t>
            </w:r>
          </w:p>
        </w:tc>
        <w:tc>
          <w:tcPr>
            <w:tcW w:w="1123" w:type="dxa"/>
            <w:gridSpan w:val="2"/>
            <w:shd w:val="clear" w:color="auto" w:fill="FFFFFF"/>
          </w:tcPr>
          <w:p w14:paraId="038FDBA3" w14:textId="1A6687E4" w:rsidR="00A3201E" w:rsidRPr="006C55E9" w:rsidRDefault="00A3201E" w:rsidP="00A3201E">
            <w:pPr>
              <w:ind w:right="-1"/>
              <w:rPr>
                <w:rFonts w:cs="Arial"/>
                <w:szCs w:val="18"/>
              </w:rPr>
            </w:pPr>
          </w:p>
        </w:tc>
        <w:tc>
          <w:tcPr>
            <w:tcW w:w="2217" w:type="dxa"/>
            <w:gridSpan w:val="2"/>
            <w:shd w:val="clear" w:color="auto" w:fill="FFFFFF"/>
          </w:tcPr>
          <w:p w14:paraId="40E9BB3B" w14:textId="492EC8BC" w:rsidR="00A3201E" w:rsidRPr="006C55E9" w:rsidRDefault="00A3201E" w:rsidP="00A3201E">
            <w:pPr>
              <w:ind w:right="-1"/>
            </w:pPr>
          </w:p>
        </w:tc>
      </w:tr>
      <w:tr w:rsidR="00A3201E" w:rsidRPr="006C55E9" w14:paraId="292F6C4B" w14:textId="77777777" w:rsidTr="00A3201E">
        <w:tc>
          <w:tcPr>
            <w:tcW w:w="2182" w:type="dxa"/>
            <w:shd w:val="clear" w:color="auto" w:fill="FFFFFF"/>
          </w:tcPr>
          <w:p w14:paraId="546EC262" w14:textId="16DD83B1" w:rsidR="00A3201E" w:rsidRPr="006C55E9" w:rsidRDefault="00A3201E" w:rsidP="00A3201E">
            <w:pPr>
              <w:ind w:right="-1"/>
            </w:pPr>
            <w:r w:rsidRPr="006C55E9">
              <w:t xml:space="preserve">VCE, DP3 </w:t>
            </w:r>
            <w:r w:rsidRPr="006C55E9">
              <w:rPr>
                <w:vertAlign w:val="superscript"/>
              </w:rPr>
              <w:t>(2)</w:t>
            </w:r>
          </w:p>
        </w:tc>
        <w:tc>
          <w:tcPr>
            <w:tcW w:w="1086" w:type="dxa"/>
            <w:shd w:val="clear" w:color="auto" w:fill="FFFFFF"/>
          </w:tcPr>
          <w:p w14:paraId="6B28E871" w14:textId="77777777" w:rsidR="00A3201E" w:rsidRPr="006C55E9" w:rsidRDefault="00A3201E" w:rsidP="00A3201E">
            <w:pPr>
              <w:ind w:right="-1"/>
              <w:rPr>
                <w:rFonts w:cs="Arial"/>
                <w:szCs w:val="18"/>
              </w:rPr>
            </w:pPr>
          </w:p>
        </w:tc>
        <w:tc>
          <w:tcPr>
            <w:tcW w:w="1091" w:type="dxa"/>
            <w:gridSpan w:val="2"/>
            <w:shd w:val="clear" w:color="auto" w:fill="FFFFFF"/>
          </w:tcPr>
          <w:p w14:paraId="3824004B" w14:textId="50BFDA5C" w:rsidR="00A3201E" w:rsidRPr="006C55E9" w:rsidRDefault="00A3201E" w:rsidP="00A3201E">
            <w:pPr>
              <w:ind w:right="-1"/>
              <w:rPr>
                <w:rFonts w:cs="Arial"/>
                <w:szCs w:val="18"/>
              </w:rPr>
            </w:pPr>
          </w:p>
        </w:tc>
        <w:tc>
          <w:tcPr>
            <w:tcW w:w="1088" w:type="dxa"/>
            <w:shd w:val="clear" w:color="auto" w:fill="FFFFFF"/>
          </w:tcPr>
          <w:p w14:paraId="75118C3E" w14:textId="04A295EC" w:rsidR="00A3201E" w:rsidRPr="006C55E9" w:rsidRDefault="00A3201E" w:rsidP="00A3201E">
            <w:pPr>
              <w:ind w:right="-1"/>
              <w:rPr>
                <w:rFonts w:cs="Arial"/>
                <w:szCs w:val="18"/>
              </w:rPr>
            </w:pPr>
          </w:p>
        </w:tc>
        <w:tc>
          <w:tcPr>
            <w:tcW w:w="1123" w:type="dxa"/>
            <w:gridSpan w:val="2"/>
            <w:shd w:val="clear" w:color="auto" w:fill="FFFFFF"/>
          </w:tcPr>
          <w:p w14:paraId="582C1D27" w14:textId="76B01CA7" w:rsidR="00A3201E" w:rsidRPr="006C55E9" w:rsidRDefault="00A3201E" w:rsidP="00A3201E">
            <w:pPr>
              <w:ind w:right="-1"/>
              <w:rPr>
                <w:rFonts w:cs="Arial"/>
                <w:szCs w:val="18"/>
              </w:rPr>
            </w:pPr>
            <w:r w:rsidRPr="006C55E9">
              <w:rPr>
                <w:rFonts w:cs="Arial"/>
                <w:szCs w:val="18"/>
              </w:rPr>
              <w:t>X</w:t>
            </w:r>
          </w:p>
        </w:tc>
        <w:tc>
          <w:tcPr>
            <w:tcW w:w="2217" w:type="dxa"/>
            <w:gridSpan w:val="2"/>
            <w:shd w:val="clear" w:color="auto" w:fill="FFFFFF"/>
          </w:tcPr>
          <w:p w14:paraId="2F674E31" w14:textId="48B6E86D" w:rsidR="00A3201E" w:rsidRPr="006C55E9" w:rsidRDefault="00537D49" w:rsidP="00A3201E">
            <w:pPr>
              <w:ind w:right="-1"/>
            </w:pPr>
            <w:r w:rsidRPr="006C55E9">
              <w:rPr>
                <w:rFonts w:cs="Arial"/>
                <w:szCs w:val="18"/>
              </w:rPr>
              <w:t xml:space="preserve">  </w:t>
            </w:r>
            <w:r w:rsidR="00A3201E" w:rsidRPr="006C55E9">
              <w:rPr>
                <w:rFonts w:cs="Arial"/>
                <w:szCs w:val="18"/>
              </w:rPr>
              <w:t>X</w:t>
            </w:r>
          </w:p>
        </w:tc>
      </w:tr>
      <w:tr w:rsidR="00A3201E" w:rsidRPr="006C55E9" w14:paraId="42BCB8E6" w14:textId="77777777" w:rsidTr="00A3201E">
        <w:tc>
          <w:tcPr>
            <w:tcW w:w="2182" w:type="dxa"/>
            <w:shd w:val="clear" w:color="auto" w:fill="FFFFFF"/>
          </w:tcPr>
          <w:p w14:paraId="761C37BB" w14:textId="23B7E533" w:rsidR="00A3201E" w:rsidRPr="006C55E9" w:rsidRDefault="00A3201E" w:rsidP="00A3201E">
            <w:pPr>
              <w:ind w:right="-1"/>
            </w:pPr>
            <w:r w:rsidRPr="006C55E9">
              <w:t xml:space="preserve">Jet Fire, DP4 </w:t>
            </w:r>
            <w:r w:rsidRPr="006C55E9">
              <w:rPr>
                <w:vertAlign w:val="superscript"/>
              </w:rPr>
              <w:t>(3)</w:t>
            </w:r>
          </w:p>
        </w:tc>
        <w:tc>
          <w:tcPr>
            <w:tcW w:w="1086" w:type="dxa"/>
            <w:shd w:val="clear" w:color="auto" w:fill="FFFFFF"/>
          </w:tcPr>
          <w:p w14:paraId="7A3DFE74" w14:textId="105F3679" w:rsidR="00A3201E" w:rsidRPr="006C55E9" w:rsidRDefault="00A3201E" w:rsidP="00A3201E">
            <w:pPr>
              <w:ind w:right="-1"/>
              <w:rPr>
                <w:rFonts w:cs="Arial"/>
                <w:szCs w:val="18"/>
              </w:rPr>
            </w:pPr>
          </w:p>
        </w:tc>
        <w:tc>
          <w:tcPr>
            <w:tcW w:w="1091" w:type="dxa"/>
            <w:gridSpan w:val="2"/>
            <w:shd w:val="clear" w:color="auto" w:fill="FFFFFF"/>
          </w:tcPr>
          <w:p w14:paraId="339306E8" w14:textId="676B8A1E" w:rsidR="00A3201E" w:rsidRPr="006C55E9" w:rsidRDefault="00A3201E" w:rsidP="00A3201E">
            <w:pPr>
              <w:ind w:right="-1"/>
              <w:rPr>
                <w:rFonts w:cs="Arial"/>
                <w:szCs w:val="18"/>
              </w:rPr>
            </w:pPr>
            <w:r w:rsidRPr="006C55E9">
              <w:rPr>
                <w:rFonts w:cs="Arial"/>
                <w:szCs w:val="18"/>
              </w:rPr>
              <w:t>X</w:t>
            </w:r>
          </w:p>
        </w:tc>
        <w:tc>
          <w:tcPr>
            <w:tcW w:w="1088" w:type="dxa"/>
            <w:shd w:val="clear" w:color="auto" w:fill="FFFFFF"/>
          </w:tcPr>
          <w:p w14:paraId="08103951" w14:textId="239E8FB8" w:rsidR="00A3201E" w:rsidRPr="006C55E9" w:rsidRDefault="00A3201E" w:rsidP="00A3201E">
            <w:pPr>
              <w:ind w:right="-1"/>
              <w:rPr>
                <w:rFonts w:cs="Arial"/>
                <w:szCs w:val="18"/>
              </w:rPr>
            </w:pPr>
            <w:r w:rsidRPr="006C55E9">
              <w:rPr>
                <w:rFonts w:cs="Arial"/>
                <w:szCs w:val="18"/>
              </w:rPr>
              <w:t>X</w:t>
            </w:r>
          </w:p>
        </w:tc>
        <w:tc>
          <w:tcPr>
            <w:tcW w:w="1123" w:type="dxa"/>
            <w:gridSpan w:val="2"/>
            <w:shd w:val="clear" w:color="auto" w:fill="FFFFFF"/>
          </w:tcPr>
          <w:p w14:paraId="2A7CC36E" w14:textId="649D77F7" w:rsidR="00A3201E" w:rsidRPr="006C55E9" w:rsidRDefault="00A3201E" w:rsidP="00A3201E">
            <w:pPr>
              <w:ind w:right="-1"/>
              <w:rPr>
                <w:rFonts w:cs="Arial"/>
                <w:szCs w:val="18"/>
              </w:rPr>
            </w:pPr>
          </w:p>
        </w:tc>
        <w:tc>
          <w:tcPr>
            <w:tcW w:w="2217" w:type="dxa"/>
            <w:gridSpan w:val="2"/>
            <w:shd w:val="clear" w:color="auto" w:fill="FFFFFF"/>
          </w:tcPr>
          <w:p w14:paraId="0F6221F0" w14:textId="77777777" w:rsidR="00A3201E" w:rsidRPr="006C55E9" w:rsidRDefault="00A3201E" w:rsidP="00A3201E">
            <w:pPr>
              <w:ind w:right="-1"/>
            </w:pPr>
          </w:p>
        </w:tc>
      </w:tr>
      <w:tr w:rsidR="00A3201E" w:rsidRPr="006C55E9" w14:paraId="0C0FC5A2" w14:textId="77777777" w:rsidTr="00A3201E">
        <w:tc>
          <w:tcPr>
            <w:tcW w:w="2182" w:type="dxa"/>
            <w:shd w:val="clear" w:color="auto" w:fill="FFFFFF"/>
          </w:tcPr>
          <w:p w14:paraId="734014D0" w14:textId="60E0AD6B" w:rsidR="00A3201E" w:rsidRPr="006C55E9" w:rsidRDefault="00A3201E" w:rsidP="00A3201E">
            <w:pPr>
              <w:ind w:right="-1"/>
            </w:pPr>
            <w:r w:rsidRPr="006C55E9">
              <w:t xml:space="preserve">BLEVE e Fireball, DP5 </w:t>
            </w:r>
            <w:r w:rsidRPr="006C55E9">
              <w:rPr>
                <w:vertAlign w:val="superscript"/>
              </w:rPr>
              <w:t>(4)</w:t>
            </w:r>
          </w:p>
        </w:tc>
        <w:tc>
          <w:tcPr>
            <w:tcW w:w="1086" w:type="dxa"/>
            <w:shd w:val="clear" w:color="auto" w:fill="FFFFFF"/>
          </w:tcPr>
          <w:p w14:paraId="432DE38C" w14:textId="2FB967BF" w:rsidR="00A3201E" w:rsidRPr="006C55E9" w:rsidRDefault="00A3201E" w:rsidP="00A3201E">
            <w:pPr>
              <w:ind w:right="-1"/>
              <w:rPr>
                <w:rFonts w:cs="Arial"/>
                <w:szCs w:val="18"/>
              </w:rPr>
            </w:pPr>
          </w:p>
        </w:tc>
        <w:tc>
          <w:tcPr>
            <w:tcW w:w="1091" w:type="dxa"/>
            <w:gridSpan w:val="2"/>
            <w:shd w:val="clear" w:color="auto" w:fill="FFFFFF"/>
          </w:tcPr>
          <w:p w14:paraId="7C6B7635" w14:textId="14FC5220" w:rsidR="00A3201E" w:rsidRPr="006C55E9" w:rsidRDefault="00A3201E" w:rsidP="00A3201E">
            <w:pPr>
              <w:ind w:right="-1"/>
              <w:rPr>
                <w:rFonts w:cs="Arial"/>
                <w:szCs w:val="18"/>
              </w:rPr>
            </w:pPr>
            <w:r w:rsidRPr="006C55E9">
              <w:rPr>
                <w:rFonts w:cs="Arial"/>
                <w:szCs w:val="18"/>
              </w:rPr>
              <w:t>X</w:t>
            </w:r>
          </w:p>
        </w:tc>
        <w:tc>
          <w:tcPr>
            <w:tcW w:w="1088" w:type="dxa"/>
            <w:shd w:val="clear" w:color="auto" w:fill="FFFFFF"/>
          </w:tcPr>
          <w:p w14:paraId="6260D2CC" w14:textId="2EE745A8" w:rsidR="00A3201E" w:rsidRPr="006C55E9" w:rsidRDefault="00A3201E" w:rsidP="00A3201E">
            <w:pPr>
              <w:ind w:right="-1"/>
              <w:rPr>
                <w:rFonts w:cs="Arial"/>
                <w:szCs w:val="18"/>
              </w:rPr>
            </w:pPr>
          </w:p>
        </w:tc>
        <w:tc>
          <w:tcPr>
            <w:tcW w:w="1123" w:type="dxa"/>
            <w:gridSpan w:val="2"/>
            <w:shd w:val="clear" w:color="auto" w:fill="FFFFFF"/>
          </w:tcPr>
          <w:p w14:paraId="41A2B8D4" w14:textId="26241D52" w:rsidR="00A3201E" w:rsidRPr="006C55E9" w:rsidRDefault="00A3201E" w:rsidP="00A3201E">
            <w:pPr>
              <w:ind w:right="-1"/>
              <w:rPr>
                <w:rFonts w:cs="Arial"/>
                <w:szCs w:val="18"/>
              </w:rPr>
            </w:pPr>
            <w:r w:rsidRPr="006C55E9">
              <w:rPr>
                <w:rFonts w:cs="Arial"/>
                <w:szCs w:val="18"/>
              </w:rPr>
              <w:t>X</w:t>
            </w:r>
          </w:p>
        </w:tc>
        <w:tc>
          <w:tcPr>
            <w:tcW w:w="2217" w:type="dxa"/>
            <w:gridSpan w:val="2"/>
            <w:shd w:val="clear" w:color="auto" w:fill="FFFFFF"/>
          </w:tcPr>
          <w:p w14:paraId="1A99744F" w14:textId="2BFF66F4" w:rsidR="00A3201E" w:rsidRPr="006C55E9" w:rsidRDefault="00537D49" w:rsidP="00A3201E">
            <w:pPr>
              <w:ind w:right="-1"/>
            </w:pPr>
            <w:r w:rsidRPr="006C55E9">
              <w:rPr>
                <w:rFonts w:cs="Arial"/>
                <w:szCs w:val="18"/>
              </w:rPr>
              <w:t xml:space="preserve">  </w:t>
            </w:r>
            <w:r w:rsidR="00A3201E" w:rsidRPr="006C55E9">
              <w:rPr>
                <w:rFonts w:cs="Arial"/>
                <w:szCs w:val="18"/>
              </w:rPr>
              <w:t>X</w:t>
            </w:r>
          </w:p>
        </w:tc>
      </w:tr>
      <w:tr w:rsidR="00A3201E" w:rsidRPr="006C55E9" w14:paraId="7DA5301C" w14:textId="77777777" w:rsidTr="00A3201E">
        <w:tc>
          <w:tcPr>
            <w:tcW w:w="2182" w:type="dxa"/>
            <w:shd w:val="clear" w:color="auto" w:fill="FFFFFF"/>
          </w:tcPr>
          <w:p w14:paraId="5C902D5E" w14:textId="2669BE2F" w:rsidR="00A3201E" w:rsidRPr="006C55E9" w:rsidRDefault="00A3201E" w:rsidP="00A3201E">
            <w:pPr>
              <w:ind w:right="-1"/>
            </w:pPr>
            <w:r w:rsidRPr="006C55E9">
              <w:t>Missile ejection, DP6</w:t>
            </w:r>
          </w:p>
        </w:tc>
        <w:tc>
          <w:tcPr>
            <w:tcW w:w="1086" w:type="dxa"/>
            <w:shd w:val="clear" w:color="auto" w:fill="FFFFFF"/>
          </w:tcPr>
          <w:p w14:paraId="34811C4C" w14:textId="77777777" w:rsidR="00A3201E" w:rsidRPr="006C55E9" w:rsidRDefault="00A3201E" w:rsidP="00A3201E">
            <w:pPr>
              <w:ind w:right="-1"/>
              <w:rPr>
                <w:rFonts w:cs="Arial"/>
                <w:szCs w:val="18"/>
              </w:rPr>
            </w:pPr>
          </w:p>
        </w:tc>
        <w:tc>
          <w:tcPr>
            <w:tcW w:w="1091" w:type="dxa"/>
            <w:gridSpan w:val="2"/>
            <w:shd w:val="clear" w:color="auto" w:fill="FFFFFF"/>
          </w:tcPr>
          <w:p w14:paraId="22296786" w14:textId="5EA9D5EF" w:rsidR="00A3201E" w:rsidRPr="006C55E9" w:rsidRDefault="00A3201E" w:rsidP="00A3201E">
            <w:pPr>
              <w:ind w:right="-1"/>
              <w:rPr>
                <w:rFonts w:cs="Arial"/>
                <w:szCs w:val="18"/>
              </w:rPr>
            </w:pPr>
          </w:p>
        </w:tc>
        <w:tc>
          <w:tcPr>
            <w:tcW w:w="1088" w:type="dxa"/>
            <w:shd w:val="clear" w:color="auto" w:fill="FFFFFF"/>
          </w:tcPr>
          <w:p w14:paraId="51B86474" w14:textId="77777777" w:rsidR="00A3201E" w:rsidRPr="006C55E9" w:rsidRDefault="00A3201E" w:rsidP="00A3201E">
            <w:pPr>
              <w:ind w:right="-1"/>
              <w:rPr>
                <w:rFonts w:cs="Arial"/>
                <w:szCs w:val="18"/>
              </w:rPr>
            </w:pPr>
          </w:p>
        </w:tc>
        <w:tc>
          <w:tcPr>
            <w:tcW w:w="1123" w:type="dxa"/>
            <w:gridSpan w:val="2"/>
            <w:shd w:val="clear" w:color="auto" w:fill="FFFFFF"/>
          </w:tcPr>
          <w:p w14:paraId="29753EEC" w14:textId="68EC9FD2" w:rsidR="00A3201E" w:rsidRPr="006C55E9" w:rsidRDefault="00A3201E" w:rsidP="00A3201E">
            <w:pPr>
              <w:ind w:right="-1"/>
              <w:rPr>
                <w:rFonts w:cs="Arial"/>
                <w:szCs w:val="18"/>
              </w:rPr>
            </w:pPr>
          </w:p>
        </w:tc>
        <w:tc>
          <w:tcPr>
            <w:tcW w:w="2217" w:type="dxa"/>
            <w:gridSpan w:val="2"/>
            <w:shd w:val="clear" w:color="auto" w:fill="FFFFFF"/>
          </w:tcPr>
          <w:p w14:paraId="11FBA2E7" w14:textId="001D71D1" w:rsidR="00A3201E" w:rsidRPr="006C55E9" w:rsidRDefault="00537D49" w:rsidP="00A3201E">
            <w:pPr>
              <w:ind w:right="-1"/>
            </w:pPr>
            <w:r w:rsidRPr="006C55E9">
              <w:rPr>
                <w:rFonts w:cs="Arial"/>
                <w:szCs w:val="18"/>
              </w:rPr>
              <w:t xml:space="preserve">  </w:t>
            </w:r>
            <w:r w:rsidR="00A3201E" w:rsidRPr="006C55E9">
              <w:rPr>
                <w:rFonts w:cs="Arial"/>
                <w:szCs w:val="18"/>
              </w:rPr>
              <w:t>X</w:t>
            </w:r>
          </w:p>
        </w:tc>
      </w:tr>
      <w:tr w:rsidR="00A3201E" w:rsidRPr="006C55E9" w14:paraId="0EB26B92" w14:textId="77777777" w:rsidTr="00751C88">
        <w:tc>
          <w:tcPr>
            <w:tcW w:w="3268" w:type="dxa"/>
            <w:gridSpan w:val="2"/>
            <w:shd w:val="clear" w:color="auto" w:fill="FFFFFF"/>
          </w:tcPr>
          <w:p w14:paraId="45C4C1EB" w14:textId="3B885968" w:rsidR="00A3201E" w:rsidRPr="006C55E9" w:rsidRDefault="00A3201E" w:rsidP="00A3201E">
            <w:pPr>
              <w:ind w:right="-1"/>
              <w:rPr>
                <w:rFonts w:cs="Arial"/>
                <w:szCs w:val="18"/>
              </w:rPr>
            </w:pPr>
            <w:r w:rsidRPr="006C55E9">
              <w:t>Over pressure generation, DP7</w:t>
            </w:r>
          </w:p>
        </w:tc>
        <w:tc>
          <w:tcPr>
            <w:tcW w:w="1091" w:type="dxa"/>
            <w:gridSpan w:val="2"/>
            <w:shd w:val="clear" w:color="auto" w:fill="FFFFFF"/>
          </w:tcPr>
          <w:p w14:paraId="041FC7C2" w14:textId="1DA45E5C" w:rsidR="00A3201E" w:rsidRPr="006C55E9" w:rsidRDefault="00A3201E" w:rsidP="00A3201E">
            <w:pPr>
              <w:ind w:right="-1"/>
              <w:rPr>
                <w:rFonts w:cs="Arial"/>
                <w:szCs w:val="18"/>
              </w:rPr>
            </w:pPr>
          </w:p>
        </w:tc>
        <w:tc>
          <w:tcPr>
            <w:tcW w:w="1088" w:type="dxa"/>
            <w:shd w:val="clear" w:color="auto" w:fill="FFFFFF"/>
          </w:tcPr>
          <w:p w14:paraId="531C26A6" w14:textId="43E214E2" w:rsidR="00A3201E" w:rsidRPr="006C55E9" w:rsidRDefault="00A3201E" w:rsidP="00A3201E">
            <w:pPr>
              <w:ind w:right="-1"/>
              <w:rPr>
                <w:rFonts w:cs="Arial"/>
                <w:szCs w:val="18"/>
              </w:rPr>
            </w:pPr>
          </w:p>
        </w:tc>
        <w:tc>
          <w:tcPr>
            <w:tcW w:w="1123" w:type="dxa"/>
            <w:gridSpan w:val="2"/>
            <w:shd w:val="clear" w:color="auto" w:fill="FFFFFF"/>
          </w:tcPr>
          <w:p w14:paraId="523EFE5F" w14:textId="5347F772" w:rsidR="00A3201E" w:rsidRPr="006C55E9" w:rsidRDefault="00A3201E" w:rsidP="00A3201E">
            <w:pPr>
              <w:ind w:right="-1"/>
              <w:rPr>
                <w:rFonts w:cs="Arial"/>
                <w:szCs w:val="18"/>
              </w:rPr>
            </w:pPr>
            <w:r w:rsidRPr="006C55E9">
              <w:rPr>
                <w:rFonts w:cs="Arial"/>
                <w:szCs w:val="18"/>
              </w:rPr>
              <w:t>X</w:t>
            </w:r>
          </w:p>
        </w:tc>
        <w:tc>
          <w:tcPr>
            <w:tcW w:w="2217" w:type="dxa"/>
            <w:gridSpan w:val="2"/>
            <w:shd w:val="clear" w:color="auto" w:fill="FFFFFF"/>
          </w:tcPr>
          <w:p w14:paraId="55B15262" w14:textId="77777777" w:rsidR="00A3201E" w:rsidRPr="006C55E9" w:rsidRDefault="00A3201E" w:rsidP="00A3201E">
            <w:pPr>
              <w:ind w:right="-1"/>
            </w:pPr>
          </w:p>
        </w:tc>
      </w:tr>
    </w:tbl>
    <w:p w14:paraId="57255755" w14:textId="77777777" w:rsidR="00BA4BC6" w:rsidRPr="006C55E9" w:rsidRDefault="00BA4BC6" w:rsidP="003E0B27">
      <w:pPr>
        <w:pStyle w:val="CETReference"/>
        <w:numPr>
          <w:ilvl w:val="0"/>
          <w:numId w:val="28"/>
        </w:numPr>
        <w:spacing w:before="0" w:after="0"/>
        <w:jc w:val="both"/>
        <w:rPr>
          <w:b w:val="0"/>
          <w:sz w:val="14"/>
          <w:szCs w:val="14"/>
        </w:rPr>
      </w:pPr>
      <w:r w:rsidRPr="006C55E9">
        <w:rPr>
          <w:b w:val="0"/>
          <w:sz w:val="14"/>
          <w:szCs w:val="14"/>
        </w:rPr>
        <w:t>Note: Only thermal radiation needs to be considered if the area for direct flame contact is contained by the area for thermal radiation.</w:t>
      </w:r>
    </w:p>
    <w:p w14:paraId="4E942C2C" w14:textId="144390EF" w:rsidR="00BA4BC6" w:rsidRPr="006C55E9" w:rsidRDefault="00BA4BC6" w:rsidP="003E0B27">
      <w:pPr>
        <w:pStyle w:val="CETReference"/>
        <w:numPr>
          <w:ilvl w:val="0"/>
          <w:numId w:val="28"/>
        </w:numPr>
        <w:spacing w:before="0" w:after="0"/>
        <w:jc w:val="both"/>
        <w:rPr>
          <w:b w:val="0"/>
          <w:sz w:val="14"/>
          <w:szCs w:val="14"/>
        </w:rPr>
      </w:pPr>
      <w:r w:rsidRPr="006C55E9">
        <w:rPr>
          <w:b w:val="0"/>
          <w:sz w:val="14"/>
          <w:szCs w:val="14"/>
        </w:rPr>
        <w:t>Note: A vapour cloud explosion may occur in the presence of confined or congested areas. This phenomenon is always accompanied by the flash fire. For flash fire, it is common practice to consider direct flame contact. Thermal radiation contours may be slightly larger than the flame footprint, but are hard to calculate due to the dynamics of the combustion of the cloud.</w:t>
      </w:r>
    </w:p>
    <w:p w14:paraId="256F7B16" w14:textId="77777777" w:rsidR="00BA4BC6" w:rsidRPr="006C55E9" w:rsidRDefault="00BA4BC6" w:rsidP="003E0B27">
      <w:pPr>
        <w:pStyle w:val="CETReference"/>
        <w:numPr>
          <w:ilvl w:val="0"/>
          <w:numId w:val="28"/>
        </w:numPr>
        <w:spacing w:before="0" w:after="0"/>
        <w:jc w:val="both"/>
        <w:rPr>
          <w:b w:val="0"/>
          <w:sz w:val="14"/>
          <w:szCs w:val="14"/>
        </w:rPr>
      </w:pPr>
      <w:r w:rsidRPr="006C55E9">
        <w:rPr>
          <w:b w:val="0"/>
          <w:sz w:val="14"/>
          <w:szCs w:val="14"/>
        </w:rPr>
        <w:t>Note: Only thermal radiation needs to be considered if the area for direct flame contact is contained by the area for thermal radiation.</w:t>
      </w:r>
    </w:p>
    <w:p w14:paraId="40D1D26F" w14:textId="716AEA1C" w:rsidR="00BA4BC6" w:rsidRPr="006C55E9" w:rsidRDefault="00BA4BC6" w:rsidP="003E0B27">
      <w:pPr>
        <w:pStyle w:val="CETReference"/>
        <w:numPr>
          <w:ilvl w:val="0"/>
          <w:numId w:val="28"/>
        </w:numPr>
        <w:spacing w:before="0" w:after="0"/>
        <w:jc w:val="both"/>
        <w:rPr>
          <w:b w:val="0"/>
          <w:sz w:val="14"/>
          <w:szCs w:val="14"/>
        </w:rPr>
      </w:pPr>
      <w:r w:rsidRPr="006C55E9">
        <w:rPr>
          <w:b w:val="0"/>
          <w:sz w:val="14"/>
          <w:szCs w:val="14"/>
        </w:rPr>
        <w:t xml:space="preserve">Note: A BLEVE may occur for flammable and non-flammable substances. For flammable substances, a </w:t>
      </w:r>
      <w:r w:rsidR="007D0CBA" w:rsidRPr="006C55E9">
        <w:rPr>
          <w:b w:val="0"/>
          <w:sz w:val="14"/>
          <w:szCs w:val="14"/>
        </w:rPr>
        <w:t>fireball often accompanies a BLEVE</w:t>
      </w:r>
      <w:r w:rsidRPr="006C55E9">
        <w:rPr>
          <w:b w:val="0"/>
          <w:sz w:val="14"/>
          <w:szCs w:val="14"/>
        </w:rPr>
        <w:t>.</w:t>
      </w:r>
    </w:p>
    <w:p w14:paraId="1B452CF7" w14:textId="31A74D52" w:rsidR="008E15B7" w:rsidRPr="006C55E9" w:rsidRDefault="0056405A" w:rsidP="005D0D55">
      <w:pPr>
        <w:pStyle w:val="CETReference"/>
        <w:jc w:val="both"/>
        <w:rPr>
          <w:b w:val="0"/>
        </w:rPr>
      </w:pPr>
      <w:r w:rsidRPr="006C55E9">
        <w:rPr>
          <w:b w:val="0"/>
        </w:rPr>
        <w:t>The assessment of the consequences of the major events (ME) of the scenarios is mainly based on the application of models that represent the physical phenomena resulting from the loss of containment from a pipe or a LPG tank, which manifests itself as a release of matter and/or power.</w:t>
      </w:r>
      <w:r w:rsidR="005D0D55" w:rsidRPr="006C55E9">
        <w:rPr>
          <w:b w:val="0"/>
        </w:rPr>
        <w:t xml:space="preserve"> </w:t>
      </w:r>
      <w:r w:rsidR="002B6A70" w:rsidRPr="006C55E9">
        <w:rPr>
          <w:b w:val="0"/>
        </w:rPr>
        <w:t>In order to determine the consequences of major events (ME) of the final s</w:t>
      </w:r>
      <w:r w:rsidR="007D0CBA" w:rsidRPr="006C55E9">
        <w:rPr>
          <w:b w:val="0"/>
        </w:rPr>
        <w:t xml:space="preserve">cenarios, </w:t>
      </w:r>
      <w:r w:rsidR="002B6A70" w:rsidRPr="006C55E9">
        <w:rPr>
          <w:b w:val="0"/>
        </w:rPr>
        <w:t xml:space="preserve">authors propose to use the Shortcut Method. This method takes into account the qualitative and quantitative types of substances stored and the damage threshold values. This method refers to four corresponding threshold values: </w:t>
      </w:r>
      <w:r w:rsidR="00456FD9" w:rsidRPr="006C55E9">
        <w:rPr>
          <w:b w:val="0"/>
        </w:rPr>
        <w:t xml:space="preserve"> - </w:t>
      </w:r>
      <w:r w:rsidR="008E15B7" w:rsidRPr="006C55E9">
        <w:rPr>
          <w:b w:val="0"/>
        </w:rPr>
        <w:t>1,</w:t>
      </w:r>
      <w:r w:rsidR="002B6A70" w:rsidRPr="006C55E9">
        <w:rPr>
          <w:b w:val="0"/>
        </w:rPr>
        <w:t xml:space="preserve"> high lethality effects; </w:t>
      </w:r>
      <w:r w:rsidR="00456FD9" w:rsidRPr="006C55E9">
        <w:rPr>
          <w:b w:val="0"/>
        </w:rPr>
        <w:t xml:space="preserve">- </w:t>
      </w:r>
      <w:r w:rsidR="008E15B7" w:rsidRPr="006C55E9">
        <w:rPr>
          <w:b w:val="0"/>
        </w:rPr>
        <w:t>2,</w:t>
      </w:r>
      <w:r w:rsidR="002B6A70" w:rsidRPr="006C55E9">
        <w:rPr>
          <w:b w:val="0"/>
        </w:rPr>
        <w:t xml:space="preserve"> lethality initiation effects; </w:t>
      </w:r>
      <w:r w:rsidR="00456FD9" w:rsidRPr="006C55E9">
        <w:rPr>
          <w:b w:val="0"/>
        </w:rPr>
        <w:t xml:space="preserve">- </w:t>
      </w:r>
      <w:r w:rsidR="008E15B7" w:rsidRPr="006C55E9">
        <w:rPr>
          <w:b w:val="0"/>
        </w:rPr>
        <w:t>3,</w:t>
      </w:r>
      <w:r w:rsidR="002B6A70" w:rsidRPr="006C55E9">
        <w:rPr>
          <w:b w:val="0"/>
        </w:rPr>
        <w:t xml:space="preserve"> effects involving serious irreversible injuries; </w:t>
      </w:r>
      <w:r w:rsidR="008E15B7" w:rsidRPr="006C55E9">
        <w:rPr>
          <w:b w:val="0"/>
        </w:rPr>
        <w:t>4,</w:t>
      </w:r>
      <w:r w:rsidR="002B6A70" w:rsidRPr="006C55E9">
        <w:rPr>
          <w:b w:val="0"/>
        </w:rPr>
        <w:t xml:space="preserve"> effects involving reversible injuries.</w:t>
      </w:r>
      <w:r w:rsidR="002B6A70" w:rsidRPr="006C55E9">
        <w:t xml:space="preserve"> </w:t>
      </w:r>
    </w:p>
    <w:p w14:paraId="10F519B1" w14:textId="1B19216B" w:rsidR="00F516CB" w:rsidRPr="006C55E9" w:rsidRDefault="002B6A70" w:rsidP="008E15B7">
      <w:pPr>
        <w:tabs>
          <w:tab w:val="clear" w:pos="7100"/>
        </w:tabs>
        <w:spacing w:line="240" w:lineRule="auto"/>
      </w:pPr>
      <w:r w:rsidRPr="006C55E9">
        <w:t>With regard to the effects of high lethality, it is proposed to distinguish the same, depending on whether it occurs inside the establishment or outside the establishment</w:t>
      </w:r>
      <w:r w:rsidR="009873D8" w:rsidRPr="006C55E9">
        <w:t xml:space="preserve">. </w:t>
      </w:r>
      <w:r w:rsidR="004F3E73" w:rsidRPr="006C55E9">
        <w:t>The Shortcut method reports the distances (in meters) for the various damage thresholds listed above, with reference to the quantity of substances stored and for certain reference meteorological conditions (D5: neutrality with wind 5 m/s, F2: moderately stable with wind 2 m/s) distinguishing for FLASH FIRE or VCE scenarios. Figure 4 shows an ex</w:t>
      </w:r>
      <w:r w:rsidR="007D0CBA" w:rsidRPr="006C55E9">
        <w:t>tract</w:t>
      </w:r>
      <w:r w:rsidR="004F3E73" w:rsidRPr="006C55E9">
        <w:t xml:space="preserve"> for VCE scenario.</w:t>
      </w:r>
    </w:p>
    <w:p w14:paraId="68CF781C" w14:textId="676E12E1" w:rsidR="00CD75E2" w:rsidRPr="006C55E9" w:rsidRDefault="00297B18" w:rsidP="00F516CB">
      <w:pPr>
        <w:tabs>
          <w:tab w:val="clear" w:pos="7100"/>
        </w:tabs>
        <w:spacing w:line="240" w:lineRule="auto"/>
        <w:rPr>
          <w:noProof/>
          <w:lang w:eastAsia="it-IT"/>
        </w:rPr>
      </w:pPr>
      <w:r w:rsidRPr="006C55E9">
        <w:rPr>
          <w:noProof/>
          <w:lang w:eastAsia="it-IT"/>
        </w:rPr>
        <w:t xml:space="preserve"> </w:t>
      </w:r>
    </w:p>
    <w:tbl>
      <w:tblPr>
        <w:tblStyle w:val="Grigliatabella"/>
        <w:tblW w:w="0" w:type="auto"/>
        <w:tblLook w:val="04A0" w:firstRow="1" w:lastRow="0" w:firstColumn="1" w:lastColumn="0" w:noHBand="0" w:noVBand="1"/>
      </w:tblPr>
      <w:tblGrid>
        <w:gridCol w:w="317"/>
        <w:gridCol w:w="517"/>
        <w:gridCol w:w="517"/>
        <w:gridCol w:w="517"/>
        <w:gridCol w:w="517"/>
        <w:gridCol w:w="517"/>
        <w:gridCol w:w="517"/>
        <w:gridCol w:w="517"/>
        <w:gridCol w:w="517"/>
        <w:gridCol w:w="517"/>
        <w:gridCol w:w="617"/>
      </w:tblGrid>
      <w:tr w:rsidR="00F30112" w:rsidRPr="006C55E9" w14:paraId="56406016" w14:textId="77777777" w:rsidTr="00F30112">
        <w:trPr>
          <w:trHeight w:val="255"/>
        </w:trPr>
        <w:tc>
          <w:tcPr>
            <w:tcW w:w="220" w:type="dxa"/>
            <w:noWrap/>
            <w:hideMark/>
          </w:tcPr>
          <w:p w14:paraId="2C287377" w14:textId="77777777" w:rsidR="00F30112" w:rsidRPr="006C55E9" w:rsidRDefault="00F30112" w:rsidP="00F30112">
            <w:pPr>
              <w:tabs>
                <w:tab w:val="clear" w:pos="7100"/>
              </w:tabs>
              <w:spacing w:line="240" w:lineRule="auto"/>
            </w:pPr>
          </w:p>
        </w:tc>
        <w:tc>
          <w:tcPr>
            <w:tcW w:w="4320" w:type="dxa"/>
            <w:gridSpan w:val="10"/>
            <w:noWrap/>
            <w:hideMark/>
          </w:tcPr>
          <w:p w14:paraId="26E264C3" w14:textId="77777777" w:rsidR="00F30112" w:rsidRPr="006C55E9" w:rsidRDefault="00F30112" w:rsidP="00F30112">
            <w:pPr>
              <w:tabs>
                <w:tab w:val="clear" w:pos="7100"/>
              </w:tabs>
              <w:spacing w:line="240" w:lineRule="auto"/>
            </w:pPr>
            <w:r w:rsidRPr="006C55E9">
              <w:t>Quantity stored (tons)</w:t>
            </w:r>
          </w:p>
        </w:tc>
      </w:tr>
      <w:tr w:rsidR="00F30112" w:rsidRPr="006C55E9" w14:paraId="3B25B1D1" w14:textId="77777777" w:rsidTr="00F30112">
        <w:trPr>
          <w:trHeight w:val="255"/>
        </w:trPr>
        <w:tc>
          <w:tcPr>
            <w:tcW w:w="220" w:type="dxa"/>
            <w:noWrap/>
            <w:hideMark/>
          </w:tcPr>
          <w:p w14:paraId="7EB2FE43" w14:textId="77777777" w:rsidR="00F30112" w:rsidRPr="006C55E9" w:rsidRDefault="00F30112" w:rsidP="00F30112">
            <w:pPr>
              <w:tabs>
                <w:tab w:val="clear" w:pos="7100"/>
              </w:tabs>
              <w:spacing w:line="240" w:lineRule="auto"/>
            </w:pPr>
          </w:p>
        </w:tc>
        <w:tc>
          <w:tcPr>
            <w:tcW w:w="840" w:type="dxa"/>
            <w:gridSpan w:val="2"/>
            <w:noWrap/>
            <w:hideMark/>
          </w:tcPr>
          <w:p w14:paraId="33D13B1D" w14:textId="77777777" w:rsidR="00F30112" w:rsidRPr="006C55E9" w:rsidRDefault="00F30112" w:rsidP="00971245">
            <w:pPr>
              <w:tabs>
                <w:tab w:val="clear" w:pos="7100"/>
              </w:tabs>
              <w:spacing w:line="240" w:lineRule="auto"/>
              <w:jc w:val="center"/>
            </w:pPr>
            <w:r w:rsidRPr="006C55E9">
              <w:t>&lt; 40</w:t>
            </w:r>
          </w:p>
        </w:tc>
        <w:tc>
          <w:tcPr>
            <w:tcW w:w="839" w:type="dxa"/>
            <w:gridSpan w:val="2"/>
            <w:noWrap/>
            <w:hideMark/>
          </w:tcPr>
          <w:p w14:paraId="7CD59B3A" w14:textId="77777777" w:rsidR="00F30112" w:rsidRPr="006C55E9" w:rsidRDefault="00F30112" w:rsidP="00F30112">
            <w:pPr>
              <w:tabs>
                <w:tab w:val="clear" w:pos="7100"/>
              </w:tabs>
              <w:spacing w:line="240" w:lineRule="auto"/>
            </w:pPr>
            <w:r w:rsidRPr="006C55E9">
              <w:t>41 - 160</w:t>
            </w:r>
          </w:p>
        </w:tc>
        <w:tc>
          <w:tcPr>
            <w:tcW w:w="838" w:type="dxa"/>
            <w:gridSpan w:val="2"/>
            <w:noWrap/>
            <w:hideMark/>
          </w:tcPr>
          <w:p w14:paraId="29B0FC27" w14:textId="77777777" w:rsidR="00F30112" w:rsidRPr="006C55E9" w:rsidRDefault="00F30112" w:rsidP="00F30112">
            <w:pPr>
              <w:tabs>
                <w:tab w:val="clear" w:pos="7100"/>
              </w:tabs>
              <w:spacing w:line="240" w:lineRule="auto"/>
            </w:pPr>
            <w:r w:rsidRPr="006C55E9">
              <w:t>161 - 240</w:t>
            </w:r>
          </w:p>
        </w:tc>
        <w:tc>
          <w:tcPr>
            <w:tcW w:w="838" w:type="dxa"/>
            <w:gridSpan w:val="2"/>
            <w:noWrap/>
            <w:hideMark/>
          </w:tcPr>
          <w:p w14:paraId="05C63638" w14:textId="77777777" w:rsidR="00F30112" w:rsidRPr="006C55E9" w:rsidRDefault="00F30112" w:rsidP="00F30112">
            <w:pPr>
              <w:tabs>
                <w:tab w:val="clear" w:pos="7100"/>
              </w:tabs>
              <w:spacing w:line="240" w:lineRule="auto"/>
            </w:pPr>
            <w:r w:rsidRPr="006C55E9">
              <w:t>241 - 400</w:t>
            </w:r>
          </w:p>
        </w:tc>
        <w:tc>
          <w:tcPr>
            <w:tcW w:w="965" w:type="dxa"/>
            <w:gridSpan w:val="2"/>
            <w:noWrap/>
            <w:hideMark/>
          </w:tcPr>
          <w:p w14:paraId="201AB1DA" w14:textId="77777777" w:rsidR="00F30112" w:rsidRPr="006C55E9" w:rsidRDefault="00F30112" w:rsidP="00971245">
            <w:pPr>
              <w:tabs>
                <w:tab w:val="clear" w:pos="7100"/>
              </w:tabs>
              <w:spacing w:line="240" w:lineRule="auto"/>
              <w:jc w:val="center"/>
            </w:pPr>
            <w:r w:rsidRPr="006C55E9">
              <w:t>&gt; 400</w:t>
            </w:r>
          </w:p>
        </w:tc>
      </w:tr>
      <w:tr w:rsidR="00F30112" w:rsidRPr="006C55E9" w14:paraId="4E3A0CF7" w14:textId="77777777" w:rsidTr="00F30112">
        <w:trPr>
          <w:trHeight w:val="255"/>
        </w:trPr>
        <w:tc>
          <w:tcPr>
            <w:tcW w:w="220" w:type="dxa"/>
            <w:noWrap/>
            <w:hideMark/>
          </w:tcPr>
          <w:p w14:paraId="30236C8E" w14:textId="77777777" w:rsidR="00F30112" w:rsidRPr="006C55E9" w:rsidRDefault="00F30112" w:rsidP="00F30112">
            <w:pPr>
              <w:tabs>
                <w:tab w:val="clear" w:pos="7100"/>
              </w:tabs>
              <w:spacing w:line="240" w:lineRule="auto"/>
            </w:pPr>
          </w:p>
        </w:tc>
        <w:tc>
          <w:tcPr>
            <w:tcW w:w="420" w:type="dxa"/>
            <w:noWrap/>
            <w:hideMark/>
          </w:tcPr>
          <w:p w14:paraId="5A083DF4" w14:textId="77777777" w:rsidR="00F30112" w:rsidRPr="006C55E9" w:rsidRDefault="00F30112" w:rsidP="00F30112">
            <w:pPr>
              <w:tabs>
                <w:tab w:val="clear" w:pos="7100"/>
              </w:tabs>
              <w:spacing w:line="240" w:lineRule="auto"/>
            </w:pPr>
            <w:r w:rsidRPr="006C55E9">
              <w:t>D5</w:t>
            </w:r>
          </w:p>
        </w:tc>
        <w:tc>
          <w:tcPr>
            <w:tcW w:w="420" w:type="dxa"/>
            <w:noWrap/>
            <w:hideMark/>
          </w:tcPr>
          <w:p w14:paraId="093DA697" w14:textId="77777777" w:rsidR="00F30112" w:rsidRPr="006C55E9" w:rsidRDefault="00F30112" w:rsidP="00F30112">
            <w:pPr>
              <w:tabs>
                <w:tab w:val="clear" w:pos="7100"/>
              </w:tabs>
              <w:spacing w:line="240" w:lineRule="auto"/>
            </w:pPr>
            <w:r w:rsidRPr="006C55E9">
              <w:t>F2</w:t>
            </w:r>
          </w:p>
        </w:tc>
        <w:tc>
          <w:tcPr>
            <w:tcW w:w="420" w:type="dxa"/>
            <w:noWrap/>
            <w:hideMark/>
          </w:tcPr>
          <w:p w14:paraId="1D2CA661" w14:textId="77777777" w:rsidR="00F30112" w:rsidRPr="006C55E9" w:rsidRDefault="00F30112" w:rsidP="00F30112">
            <w:pPr>
              <w:tabs>
                <w:tab w:val="clear" w:pos="7100"/>
              </w:tabs>
              <w:spacing w:line="240" w:lineRule="auto"/>
            </w:pPr>
            <w:r w:rsidRPr="006C55E9">
              <w:t>D5</w:t>
            </w:r>
          </w:p>
        </w:tc>
        <w:tc>
          <w:tcPr>
            <w:tcW w:w="419" w:type="dxa"/>
            <w:noWrap/>
            <w:hideMark/>
          </w:tcPr>
          <w:p w14:paraId="54F7A191" w14:textId="77777777" w:rsidR="00F30112" w:rsidRPr="006C55E9" w:rsidRDefault="00F30112" w:rsidP="00F30112">
            <w:pPr>
              <w:tabs>
                <w:tab w:val="clear" w:pos="7100"/>
              </w:tabs>
              <w:spacing w:line="240" w:lineRule="auto"/>
            </w:pPr>
            <w:r w:rsidRPr="006C55E9">
              <w:t>F2</w:t>
            </w:r>
          </w:p>
        </w:tc>
        <w:tc>
          <w:tcPr>
            <w:tcW w:w="419" w:type="dxa"/>
            <w:noWrap/>
            <w:hideMark/>
          </w:tcPr>
          <w:p w14:paraId="3AFE18B5" w14:textId="77777777" w:rsidR="00F30112" w:rsidRPr="006C55E9" w:rsidRDefault="00F30112" w:rsidP="00F30112">
            <w:pPr>
              <w:tabs>
                <w:tab w:val="clear" w:pos="7100"/>
              </w:tabs>
              <w:spacing w:line="240" w:lineRule="auto"/>
            </w:pPr>
            <w:r w:rsidRPr="006C55E9">
              <w:t>D5</w:t>
            </w:r>
          </w:p>
        </w:tc>
        <w:tc>
          <w:tcPr>
            <w:tcW w:w="419" w:type="dxa"/>
            <w:noWrap/>
            <w:hideMark/>
          </w:tcPr>
          <w:p w14:paraId="4106BA36" w14:textId="77777777" w:rsidR="00F30112" w:rsidRPr="006C55E9" w:rsidRDefault="00F30112" w:rsidP="00F30112">
            <w:pPr>
              <w:tabs>
                <w:tab w:val="clear" w:pos="7100"/>
              </w:tabs>
              <w:spacing w:line="240" w:lineRule="auto"/>
            </w:pPr>
            <w:r w:rsidRPr="006C55E9">
              <w:t>F2</w:t>
            </w:r>
          </w:p>
        </w:tc>
        <w:tc>
          <w:tcPr>
            <w:tcW w:w="419" w:type="dxa"/>
            <w:noWrap/>
            <w:hideMark/>
          </w:tcPr>
          <w:p w14:paraId="3A227705" w14:textId="77777777" w:rsidR="00F30112" w:rsidRPr="006C55E9" w:rsidRDefault="00F30112" w:rsidP="00F30112">
            <w:pPr>
              <w:tabs>
                <w:tab w:val="clear" w:pos="7100"/>
              </w:tabs>
              <w:spacing w:line="240" w:lineRule="auto"/>
            </w:pPr>
            <w:r w:rsidRPr="006C55E9">
              <w:t>D5</w:t>
            </w:r>
          </w:p>
        </w:tc>
        <w:tc>
          <w:tcPr>
            <w:tcW w:w="419" w:type="dxa"/>
            <w:noWrap/>
            <w:hideMark/>
          </w:tcPr>
          <w:p w14:paraId="573CC6A5" w14:textId="77777777" w:rsidR="00F30112" w:rsidRPr="006C55E9" w:rsidRDefault="00F30112" w:rsidP="00F30112">
            <w:pPr>
              <w:tabs>
                <w:tab w:val="clear" w:pos="7100"/>
              </w:tabs>
              <w:spacing w:line="240" w:lineRule="auto"/>
            </w:pPr>
            <w:r w:rsidRPr="006C55E9">
              <w:t>F2</w:t>
            </w:r>
          </w:p>
        </w:tc>
        <w:tc>
          <w:tcPr>
            <w:tcW w:w="419" w:type="dxa"/>
            <w:noWrap/>
            <w:hideMark/>
          </w:tcPr>
          <w:p w14:paraId="519D7AE3" w14:textId="77777777" w:rsidR="00F30112" w:rsidRPr="006C55E9" w:rsidRDefault="00F30112" w:rsidP="00F30112">
            <w:pPr>
              <w:tabs>
                <w:tab w:val="clear" w:pos="7100"/>
              </w:tabs>
              <w:spacing w:line="240" w:lineRule="auto"/>
            </w:pPr>
            <w:r w:rsidRPr="006C55E9">
              <w:t>D5</w:t>
            </w:r>
          </w:p>
        </w:tc>
        <w:tc>
          <w:tcPr>
            <w:tcW w:w="546" w:type="dxa"/>
            <w:noWrap/>
            <w:hideMark/>
          </w:tcPr>
          <w:p w14:paraId="2180333A" w14:textId="77777777" w:rsidR="00F30112" w:rsidRPr="006C55E9" w:rsidRDefault="00F30112" w:rsidP="00F30112">
            <w:pPr>
              <w:tabs>
                <w:tab w:val="clear" w:pos="7100"/>
              </w:tabs>
              <w:spacing w:line="240" w:lineRule="auto"/>
            </w:pPr>
            <w:r w:rsidRPr="006C55E9">
              <w:t>F2</w:t>
            </w:r>
          </w:p>
        </w:tc>
      </w:tr>
      <w:tr w:rsidR="00F30112" w:rsidRPr="006C55E9" w14:paraId="3CDE63C6" w14:textId="77777777" w:rsidTr="00F30112">
        <w:trPr>
          <w:trHeight w:val="255"/>
        </w:trPr>
        <w:tc>
          <w:tcPr>
            <w:tcW w:w="220" w:type="dxa"/>
            <w:noWrap/>
            <w:hideMark/>
          </w:tcPr>
          <w:p w14:paraId="241031DB" w14:textId="77777777" w:rsidR="00F30112" w:rsidRPr="006C55E9" w:rsidRDefault="00F30112" w:rsidP="00F30112">
            <w:pPr>
              <w:tabs>
                <w:tab w:val="clear" w:pos="7100"/>
              </w:tabs>
              <w:spacing w:line="240" w:lineRule="auto"/>
            </w:pPr>
            <w:r w:rsidRPr="006C55E9">
              <w:t>1</w:t>
            </w:r>
          </w:p>
        </w:tc>
        <w:tc>
          <w:tcPr>
            <w:tcW w:w="420" w:type="dxa"/>
            <w:noWrap/>
            <w:hideMark/>
          </w:tcPr>
          <w:p w14:paraId="1C555509" w14:textId="77777777" w:rsidR="00F30112" w:rsidRPr="006C55E9" w:rsidRDefault="00F30112" w:rsidP="00F30112">
            <w:pPr>
              <w:tabs>
                <w:tab w:val="clear" w:pos="7100"/>
              </w:tabs>
              <w:spacing w:line="240" w:lineRule="auto"/>
            </w:pPr>
            <w:r w:rsidRPr="006C55E9">
              <w:t>140</w:t>
            </w:r>
          </w:p>
        </w:tc>
        <w:tc>
          <w:tcPr>
            <w:tcW w:w="420" w:type="dxa"/>
            <w:noWrap/>
            <w:hideMark/>
          </w:tcPr>
          <w:p w14:paraId="10ABEFC6" w14:textId="77777777" w:rsidR="00F30112" w:rsidRPr="006C55E9" w:rsidRDefault="00F30112" w:rsidP="00F30112">
            <w:pPr>
              <w:tabs>
                <w:tab w:val="clear" w:pos="7100"/>
              </w:tabs>
              <w:spacing w:line="240" w:lineRule="auto"/>
            </w:pPr>
            <w:r w:rsidRPr="006C55E9">
              <w:t>230</w:t>
            </w:r>
          </w:p>
        </w:tc>
        <w:tc>
          <w:tcPr>
            <w:tcW w:w="420" w:type="dxa"/>
            <w:noWrap/>
            <w:hideMark/>
          </w:tcPr>
          <w:p w14:paraId="2F1A2691" w14:textId="77777777" w:rsidR="00F30112" w:rsidRPr="006C55E9" w:rsidRDefault="00F30112" w:rsidP="00F30112">
            <w:pPr>
              <w:tabs>
                <w:tab w:val="clear" w:pos="7100"/>
              </w:tabs>
              <w:spacing w:line="240" w:lineRule="auto"/>
            </w:pPr>
            <w:r w:rsidRPr="006C55E9">
              <w:t>140</w:t>
            </w:r>
          </w:p>
        </w:tc>
        <w:tc>
          <w:tcPr>
            <w:tcW w:w="419" w:type="dxa"/>
            <w:noWrap/>
            <w:hideMark/>
          </w:tcPr>
          <w:p w14:paraId="194665E4" w14:textId="77777777" w:rsidR="00F30112" w:rsidRPr="006C55E9" w:rsidRDefault="00F30112" w:rsidP="00F30112">
            <w:pPr>
              <w:tabs>
                <w:tab w:val="clear" w:pos="7100"/>
              </w:tabs>
              <w:spacing w:line="240" w:lineRule="auto"/>
            </w:pPr>
            <w:r w:rsidRPr="006C55E9">
              <w:t>230</w:t>
            </w:r>
          </w:p>
        </w:tc>
        <w:tc>
          <w:tcPr>
            <w:tcW w:w="419" w:type="dxa"/>
            <w:noWrap/>
            <w:hideMark/>
          </w:tcPr>
          <w:p w14:paraId="3CBF8DCE" w14:textId="77777777" w:rsidR="00F30112" w:rsidRPr="006C55E9" w:rsidRDefault="00F30112" w:rsidP="00F30112">
            <w:pPr>
              <w:tabs>
                <w:tab w:val="clear" w:pos="7100"/>
              </w:tabs>
              <w:spacing w:line="240" w:lineRule="auto"/>
            </w:pPr>
            <w:r w:rsidRPr="006C55E9">
              <w:t>155</w:t>
            </w:r>
          </w:p>
        </w:tc>
        <w:tc>
          <w:tcPr>
            <w:tcW w:w="419" w:type="dxa"/>
            <w:noWrap/>
            <w:hideMark/>
          </w:tcPr>
          <w:p w14:paraId="1BAFF799" w14:textId="77777777" w:rsidR="00F30112" w:rsidRPr="006C55E9" w:rsidRDefault="00F30112" w:rsidP="00F30112">
            <w:pPr>
              <w:tabs>
                <w:tab w:val="clear" w:pos="7100"/>
              </w:tabs>
              <w:spacing w:line="240" w:lineRule="auto"/>
            </w:pPr>
            <w:r w:rsidRPr="006C55E9">
              <w:t>210</w:t>
            </w:r>
          </w:p>
        </w:tc>
        <w:tc>
          <w:tcPr>
            <w:tcW w:w="419" w:type="dxa"/>
            <w:noWrap/>
            <w:hideMark/>
          </w:tcPr>
          <w:p w14:paraId="48BA614D" w14:textId="77777777" w:rsidR="00F30112" w:rsidRPr="006C55E9" w:rsidRDefault="00F30112" w:rsidP="00F30112">
            <w:pPr>
              <w:tabs>
                <w:tab w:val="clear" w:pos="7100"/>
              </w:tabs>
              <w:spacing w:line="240" w:lineRule="auto"/>
            </w:pPr>
            <w:r w:rsidRPr="006C55E9">
              <w:t>230</w:t>
            </w:r>
          </w:p>
        </w:tc>
        <w:tc>
          <w:tcPr>
            <w:tcW w:w="419" w:type="dxa"/>
            <w:noWrap/>
            <w:hideMark/>
          </w:tcPr>
          <w:p w14:paraId="3133B412" w14:textId="77777777" w:rsidR="00F30112" w:rsidRPr="006C55E9" w:rsidRDefault="00F30112" w:rsidP="00F30112">
            <w:pPr>
              <w:tabs>
                <w:tab w:val="clear" w:pos="7100"/>
              </w:tabs>
              <w:spacing w:line="240" w:lineRule="auto"/>
            </w:pPr>
            <w:r w:rsidRPr="006C55E9">
              <w:t>330</w:t>
            </w:r>
          </w:p>
        </w:tc>
        <w:tc>
          <w:tcPr>
            <w:tcW w:w="419" w:type="dxa"/>
            <w:noWrap/>
            <w:hideMark/>
          </w:tcPr>
          <w:p w14:paraId="278FDC00" w14:textId="77777777" w:rsidR="00F30112" w:rsidRPr="006C55E9" w:rsidRDefault="00F30112" w:rsidP="00F30112">
            <w:pPr>
              <w:tabs>
                <w:tab w:val="clear" w:pos="7100"/>
              </w:tabs>
              <w:spacing w:line="240" w:lineRule="auto"/>
            </w:pPr>
            <w:r w:rsidRPr="006C55E9">
              <w:t>300</w:t>
            </w:r>
          </w:p>
        </w:tc>
        <w:tc>
          <w:tcPr>
            <w:tcW w:w="546" w:type="dxa"/>
            <w:noWrap/>
            <w:hideMark/>
          </w:tcPr>
          <w:p w14:paraId="54F7AE16" w14:textId="77777777" w:rsidR="00F30112" w:rsidRPr="006C55E9" w:rsidRDefault="00F30112" w:rsidP="00F30112">
            <w:pPr>
              <w:tabs>
                <w:tab w:val="clear" w:pos="7100"/>
              </w:tabs>
              <w:spacing w:line="240" w:lineRule="auto"/>
            </w:pPr>
            <w:r w:rsidRPr="006C55E9">
              <w:t>440</w:t>
            </w:r>
          </w:p>
        </w:tc>
      </w:tr>
      <w:tr w:rsidR="00F30112" w:rsidRPr="006C55E9" w14:paraId="128E5978" w14:textId="77777777" w:rsidTr="00F30112">
        <w:trPr>
          <w:trHeight w:val="255"/>
        </w:trPr>
        <w:tc>
          <w:tcPr>
            <w:tcW w:w="220" w:type="dxa"/>
            <w:noWrap/>
            <w:hideMark/>
          </w:tcPr>
          <w:p w14:paraId="3AA67E58" w14:textId="77777777" w:rsidR="00F30112" w:rsidRPr="006C55E9" w:rsidRDefault="00F30112" w:rsidP="00F30112">
            <w:pPr>
              <w:tabs>
                <w:tab w:val="clear" w:pos="7100"/>
              </w:tabs>
              <w:spacing w:line="240" w:lineRule="auto"/>
            </w:pPr>
            <w:r w:rsidRPr="006C55E9">
              <w:t>2</w:t>
            </w:r>
          </w:p>
        </w:tc>
        <w:tc>
          <w:tcPr>
            <w:tcW w:w="420" w:type="dxa"/>
            <w:noWrap/>
            <w:hideMark/>
          </w:tcPr>
          <w:p w14:paraId="2049C086" w14:textId="77777777" w:rsidR="00F30112" w:rsidRPr="006C55E9" w:rsidRDefault="00F30112" w:rsidP="00F30112">
            <w:pPr>
              <w:tabs>
                <w:tab w:val="clear" w:pos="7100"/>
              </w:tabs>
              <w:spacing w:line="240" w:lineRule="auto"/>
            </w:pPr>
            <w:r w:rsidRPr="006C55E9">
              <w:t>170</w:t>
            </w:r>
          </w:p>
        </w:tc>
        <w:tc>
          <w:tcPr>
            <w:tcW w:w="420" w:type="dxa"/>
            <w:noWrap/>
            <w:hideMark/>
          </w:tcPr>
          <w:p w14:paraId="486BA441" w14:textId="77777777" w:rsidR="00F30112" w:rsidRPr="006C55E9" w:rsidRDefault="00F30112" w:rsidP="00F30112">
            <w:pPr>
              <w:tabs>
                <w:tab w:val="clear" w:pos="7100"/>
              </w:tabs>
              <w:spacing w:line="240" w:lineRule="auto"/>
            </w:pPr>
            <w:r w:rsidRPr="006C55E9">
              <w:t>280</w:t>
            </w:r>
          </w:p>
        </w:tc>
        <w:tc>
          <w:tcPr>
            <w:tcW w:w="420" w:type="dxa"/>
            <w:noWrap/>
            <w:hideMark/>
          </w:tcPr>
          <w:p w14:paraId="648927B4" w14:textId="77777777" w:rsidR="00F30112" w:rsidRPr="006C55E9" w:rsidRDefault="00F30112" w:rsidP="00F30112">
            <w:pPr>
              <w:tabs>
                <w:tab w:val="clear" w:pos="7100"/>
              </w:tabs>
              <w:spacing w:line="240" w:lineRule="auto"/>
            </w:pPr>
            <w:r w:rsidRPr="006C55E9">
              <w:t>170</w:t>
            </w:r>
          </w:p>
        </w:tc>
        <w:tc>
          <w:tcPr>
            <w:tcW w:w="419" w:type="dxa"/>
            <w:noWrap/>
            <w:hideMark/>
          </w:tcPr>
          <w:p w14:paraId="7CC51946" w14:textId="77777777" w:rsidR="00F30112" w:rsidRPr="006C55E9" w:rsidRDefault="00F30112" w:rsidP="00F30112">
            <w:pPr>
              <w:tabs>
                <w:tab w:val="clear" w:pos="7100"/>
              </w:tabs>
              <w:spacing w:line="240" w:lineRule="auto"/>
            </w:pPr>
            <w:r w:rsidRPr="006C55E9">
              <w:t>280</w:t>
            </w:r>
          </w:p>
        </w:tc>
        <w:tc>
          <w:tcPr>
            <w:tcW w:w="419" w:type="dxa"/>
            <w:noWrap/>
            <w:hideMark/>
          </w:tcPr>
          <w:p w14:paraId="3067A06C" w14:textId="77777777" w:rsidR="00F30112" w:rsidRPr="006C55E9" w:rsidRDefault="00F30112" w:rsidP="00F30112">
            <w:pPr>
              <w:tabs>
                <w:tab w:val="clear" w:pos="7100"/>
              </w:tabs>
              <w:spacing w:line="240" w:lineRule="auto"/>
            </w:pPr>
            <w:r w:rsidRPr="006C55E9">
              <w:t>185</w:t>
            </w:r>
          </w:p>
        </w:tc>
        <w:tc>
          <w:tcPr>
            <w:tcW w:w="419" w:type="dxa"/>
            <w:noWrap/>
            <w:hideMark/>
          </w:tcPr>
          <w:p w14:paraId="12820ACE" w14:textId="77777777" w:rsidR="00F30112" w:rsidRPr="006C55E9" w:rsidRDefault="00F30112" w:rsidP="00F30112">
            <w:pPr>
              <w:tabs>
                <w:tab w:val="clear" w:pos="7100"/>
              </w:tabs>
              <w:spacing w:line="240" w:lineRule="auto"/>
            </w:pPr>
            <w:r w:rsidRPr="006C55E9">
              <w:t>280</w:t>
            </w:r>
          </w:p>
        </w:tc>
        <w:tc>
          <w:tcPr>
            <w:tcW w:w="419" w:type="dxa"/>
            <w:noWrap/>
            <w:hideMark/>
          </w:tcPr>
          <w:p w14:paraId="21E543D3" w14:textId="77777777" w:rsidR="00F30112" w:rsidRPr="006C55E9" w:rsidRDefault="00F30112" w:rsidP="00F30112">
            <w:pPr>
              <w:tabs>
                <w:tab w:val="clear" w:pos="7100"/>
              </w:tabs>
              <w:spacing w:line="240" w:lineRule="auto"/>
            </w:pPr>
            <w:r w:rsidRPr="006C55E9">
              <w:t>270</w:t>
            </w:r>
          </w:p>
        </w:tc>
        <w:tc>
          <w:tcPr>
            <w:tcW w:w="419" w:type="dxa"/>
            <w:noWrap/>
            <w:hideMark/>
          </w:tcPr>
          <w:p w14:paraId="7367B7F6" w14:textId="77777777" w:rsidR="00F30112" w:rsidRPr="006C55E9" w:rsidRDefault="00F30112" w:rsidP="00F30112">
            <w:pPr>
              <w:tabs>
                <w:tab w:val="clear" w:pos="7100"/>
              </w:tabs>
              <w:spacing w:line="240" w:lineRule="auto"/>
            </w:pPr>
            <w:r w:rsidRPr="006C55E9">
              <w:t>420</w:t>
            </w:r>
          </w:p>
        </w:tc>
        <w:tc>
          <w:tcPr>
            <w:tcW w:w="419" w:type="dxa"/>
            <w:noWrap/>
            <w:hideMark/>
          </w:tcPr>
          <w:p w14:paraId="6D094F0D" w14:textId="77777777" w:rsidR="00F30112" w:rsidRPr="006C55E9" w:rsidRDefault="00F30112" w:rsidP="00F30112">
            <w:pPr>
              <w:tabs>
                <w:tab w:val="clear" w:pos="7100"/>
              </w:tabs>
              <w:spacing w:line="240" w:lineRule="auto"/>
            </w:pPr>
            <w:r w:rsidRPr="006C55E9">
              <w:t>360</w:t>
            </w:r>
          </w:p>
        </w:tc>
        <w:tc>
          <w:tcPr>
            <w:tcW w:w="546" w:type="dxa"/>
            <w:noWrap/>
            <w:hideMark/>
          </w:tcPr>
          <w:p w14:paraId="192A9B23" w14:textId="77777777" w:rsidR="00F30112" w:rsidRPr="006C55E9" w:rsidRDefault="00F30112" w:rsidP="00F30112">
            <w:pPr>
              <w:tabs>
                <w:tab w:val="clear" w:pos="7100"/>
              </w:tabs>
              <w:spacing w:line="240" w:lineRule="auto"/>
            </w:pPr>
            <w:r w:rsidRPr="006C55E9">
              <w:t>560</w:t>
            </w:r>
          </w:p>
        </w:tc>
      </w:tr>
      <w:tr w:rsidR="00F30112" w:rsidRPr="006C55E9" w14:paraId="07830B2E" w14:textId="77777777" w:rsidTr="00F30112">
        <w:trPr>
          <w:trHeight w:val="255"/>
        </w:trPr>
        <w:tc>
          <w:tcPr>
            <w:tcW w:w="220" w:type="dxa"/>
            <w:noWrap/>
            <w:hideMark/>
          </w:tcPr>
          <w:p w14:paraId="7A0B1C91" w14:textId="77777777" w:rsidR="00F30112" w:rsidRPr="006C55E9" w:rsidRDefault="00F30112" w:rsidP="00F30112">
            <w:pPr>
              <w:tabs>
                <w:tab w:val="clear" w:pos="7100"/>
              </w:tabs>
              <w:spacing w:line="240" w:lineRule="auto"/>
            </w:pPr>
            <w:r w:rsidRPr="006C55E9">
              <w:t>3</w:t>
            </w:r>
          </w:p>
        </w:tc>
        <w:tc>
          <w:tcPr>
            <w:tcW w:w="420" w:type="dxa"/>
            <w:noWrap/>
            <w:hideMark/>
          </w:tcPr>
          <w:p w14:paraId="1753EDED" w14:textId="77777777" w:rsidR="00F30112" w:rsidRPr="006C55E9" w:rsidRDefault="00F30112" w:rsidP="00F30112">
            <w:pPr>
              <w:tabs>
                <w:tab w:val="clear" w:pos="7100"/>
              </w:tabs>
              <w:spacing w:line="240" w:lineRule="auto"/>
            </w:pPr>
            <w:r w:rsidRPr="006C55E9">
              <w:t>210</w:t>
            </w:r>
          </w:p>
        </w:tc>
        <w:tc>
          <w:tcPr>
            <w:tcW w:w="420" w:type="dxa"/>
            <w:noWrap/>
            <w:hideMark/>
          </w:tcPr>
          <w:p w14:paraId="09DB4B55" w14:textId="77777777" w:rsidR="00F30112" w:rsidRPr="006C55E9" w:rsidRDefault="00F30112" w:rsidP="00F30112">
            <w:pPr>
              <w:tabs>
                <w:tab w:val="clear" w:pos="7100"/>
              </w:tabs>
              <w:spacing w:line="240" w:lineRule="auto"/>
            </w:pPr>
            <w:r w:rsidRPr="006C55E9">
              <w:t>370</w:t>
            </w:r>
          </w:p>
        </w:tc>
        <w:tc>
          <w:tcPr>
            <w:tcW w:w="420" w:type="dxa"/>
            <w:noWrap/>
            <w:hideMark/>
          </w:tcPr>
          <w:p w14:paraId="3CE5B221" w14:textId="77777777" w:rsidR="00F30112" w:rsidRPr="006C55E9" w:rsidRDefault="00F30112" w:rsidP="00F30112">
            <w:pPr>
              <w:tabs>
                <w:tab w:val="clear" w:pos="7100"/>
              </w:tabs>
              <w:spacing w:line="240" w:lineRule="auto"/>
            </w:pPr>
            <w:r w:rsidRPr="006C55E9">
              <w:t>210</w:t>
            </w:r>
          </w:p>
        </w:tc>
        <w:tc>
          <w:tcPr>
            <w:tcW w:w="419" w:type="dxa"/>
            <w:noWrap/>
            <w:hideMark/>
          </w:tcPr>
          <w:p w14:paraId="52EF62F2" w14:textId="77777777" w:rsidR="00F30112" w:rsidRPr="006C55E9" w:rsidRDefault="00F30112" w:rsidP="00F30112">
            <w:pPr>
              <w:tabs>
                <w:tab w:val="clear" w:pos="7100"/>
              </w:tabs>
              <w:spacing w:line="240" w:lineRule="auto"/>
            </w:pPr>
            <w:r w:rsidRPr="006C55E9">
              <w:t>370</w:t>
            </w:r>
          </w:p>
        </w:tc>
        <w:tc>
          <w:tcPr>
            <w:tcW w:w="419" w:type="dxa"/>
            <w:noWrap/>
            <w:hideMark/>
          </w:tcPr>
          <w:p w14:paraId="44B3B847" w14:textId="77777777" w:rsidR="00F30112" w:rsidRPr="006C55E9" w:rsidRDefault="00F30112" w:rsidP="00F30112">
            <w:pPr>
              <w:tabs>
                <w:tab w:val="clear" w:pos="7100"/>
              </w:tabs>
              <w:spacing w:line="240" w:lineRule="auto"/>
            </w:pPr>
            <w:r w:rsidRPr="006C55E9">
              <w:t>230</w:t>
            </w:r>
          </w:p>
        </w:tc>
        <w:tc>
          <w:tcPr>
            <w:tcW w:w="419" w:type="dxa"/>
            <w:noWrap/>
            <w:hideMark/>
          </w:tcPr>
          <w:p w14:paraId="3DB157E1" w14:textId="77777777" w:rsidR="00F30112" w:rsidRPr="006C55E9" w:rsidRDefault="00F30112" w:rsidP="00F30112">
            <w:pPr>
              <w:tabs>
                <w:tab w:val="clear" w:pos="7100"/>
              </w:tabs>
              <w:spacing w:line="240" w:lineRule="auto"/>
            </w:pPr>
            <w:r w:rsidRPr="006C55E9">
              <w:t>370</w:t>
            </w:r>
          </w:p>
        </w:tc>
        <w:tc>
          <w:tcPr>
            <w:tcW w:w="419" w:type="dxa"/>
            <w:noWrap/>
            <w:hideMark/>
          </w:tcPr>
          <w:p w14:paraId="578535A4" w14:textId="77777777" w:rsidR="00F30112" w:rsidRPr="006C55E9" w:rsidRDefault="00F30112" w:rsidP="00F30112">
            <w:pPr>
              <w:tabs>
                <w:tab w:val="clear" w:pos="7100"/>
              </w:tabs>
              <w:spacing w:line="240" w:lineRule="auto"/>
            </w:pPr>
            <w:r w:rsidRPr="006C55E9">
              <w:t>340</w:t>
            </w:r>
          </w:p>
        </w:tc>
        <w:tc>
          <w:tcPr>
            <w:tcW w:w="419" w:type="dxa"/>
            <w:noWrap/>
            <w:hideMark/>
          </w:tcPr>
          <w:p w14:paraId="2C67CBCA" w14:textId="77777777" w:rsidR="00F30112" w:rsidRPr="006C55E9" w:rsidRDefault="00F30112" w:rsidP="00F30112">
            <w:pPr>
              <w:tabs>
                <w:tab w:val="clear" w:pos="7100"/>
              </w:tabs>
              <w:spacing w:line="240" w:lineRule="auto"/>
            </w:pPr>
            <w:r w:rsidRPr="006C55E9">
              <w:t>560</w:t>
            </w:r>
          </w:p>
        </w:tc>
        <w:tc>
          <w:tcPr>
            <w:tcW w:w="419" w:type="dxa"/>
            <w:noWrap/>
            <w:hideMark/>
          </w:tcPr>
          <w:p w14:paraId="2501DDD9" w14:textId="77777777" w:rsidR="00F30112" w:rsidRPr="006C55E9" w:rsidRDefault="00F30112" w:rsidP="00F30112">
            <w:pPr>
              <w:tabs>
                <w:tab w:val="clear" w:pos="7100"/>
              </w:tabs>
              <w:spacing w:line="240" w:lineRule="auto"/>
            </w:pPr>
            <w:r w:rsidRPr="006C55E9">
              <w:t>460</w:t>
            </w:r>
          </w:p>
        </w:tc>
        <w:tc>
          <w:tcPr>
            <w:tcW w:w="546" w:type="dxa"/>
            <w:noWrap/>
            <w:hideMark/>
          </w:tcPr>
          <w:p w14:paraId="53A8A306" w14:textId="77777777" w:rsidR="00F30112" w:rsidRPr="006C55E9" w:rsidRDefault="00F30112" w:rsidP="00F30112">
            <w:pPr>
              <w:tabs>
                <w:tab w:val="clear" w:pos="7100"/>
              </w:tabs>
              <w:spacing w:line="240" w:lineRule="auto"/>
            </w:pPr>
            <w:r w:rsidRPr="006C55E9">
              <w:t>740</w:t>
            </w:r>
          </w:p>
        </w:tc>
      </w:tr>
      <w:tr w:rsidR="00F30112" w:rsidRPr="006C55E9" w14:paraId="041CE78E" w14:textId="77777777" w:rsidTr="00F30112">
        <w:trPr>
          <w:trHeight w:val="255"/>
        </w:trPr>
        <w:tc>
          <w:tcPr>
            <w:tcW w:w="220" w:type="dxa"/>
            <w:noWrap/>
            <w:hideMark/>
          </w:tcPr>
          <w:p w14:paraId="495089B3" w14:textId="77777777" w:rsidR="00F30112" w:rsidRPr="006C55E9" w:rsidRDefault="00F30112" w:rsidP="00F30112">
            <w:pPr>
              <w:tabs>
                <w:tab w:val="clear" w:pos="7100"/>
              </w:tabs>
              <w:spacing w:line="240" w:lineRule="auto"/>
            </w:pPr>
            <w:r w:rsidRPr="006C55E9">
              <w:t>4</w:t>
            </w:r>
          </w:p>
        </w:tc>
        <w:tc>
          <w:tcPr>
            <w:tcW w:w="420" w:type="dxa"/>
            <w:noWrap/>
            <w:hideMark/>
          </w:tcPr>
          <w:p w14:paraId="31BF7564" w14:textId="77777777" w:rsidR="00F30112" w:rsidRPr="006C55E9" w:rsidRDefault="00F30112" w:rsidP="00F30112">
            <w:pPr>
              <w:tabs>
                <w:tab w:val="clear" w:pos="7100"/>
              </w:tabs>
              <w:spacing w:line="240" w:lineRule="auto"/>
            </w:pPr>
            <w:r w:rsidRPr="006C55E9">
              <w:t>330</w:t>
            </w:r>
          </w:p>
        </w:tc>
        <w:tc>
          <w:tcPr>
            <w:tcW w:w="420" w:type="dxa"/>
            <w:noWrap/>
            <w:hideMark/>
          </w:tcPr>
          <w:p w14:paraId="19073D3F" w14:textId="77777777" w:rsidR="00F30112" w:rsidRPr="006C55E9" w:rsidRDefault="00F30112" w:rsidP="00F30112">
            <w:pPr>
              <w:tabs>
                <w:tab w:val="clear" w:pos="7100"/>
              </w:tabs>
              <w:spacing w:line="240" w:lineRule="auto"/>
            </w:pPr>
            <w:r w:rsidRPr="006C55E9">
              <w:t>620</w:t>
            </w:r>
          </w:p>
        </w:tc>
        <w:tc>
          <w:tcPr>
            <w:tcW w:w="420" w:type="dxa"/>
            <w:noWrap/>
            <w:hideMark/>
          </w:tcPr>
          <w:p w14:paraId="45C54B0A" w14:textId="77777777" w:rsidR="00F30112" w:rsidRPr="006C55E9" w:rsidRDefault="00F30112" w:rsidP="00F30112">
            <w:pPr>
              <w:tabs>
                <w:tab w:val="clear" w:pos="7100"/>
              </w:tabs>
              <w:spacing w:line="240" w:lineRule="auto"/>
            </w:pPr>
            <w:r w:rsidRPr="006C55E9">
              <w:t>330</w:t>
            </w:r>
          </w:p>
        </w:tc>
        <w:tc>
          <w:tcPr>
            <w:tcW w:w="419" w:type="dxa"/>
            <w:noWrap/>
            <w:hideMark/>
          </w:tcPr>
          <w:p w14:paraId="3CDC9E77" w14:textId="77777777" w:rsidR="00F30112" w:rsidRPr="006C55E9" w:rsidRDefault="00F30112" w:rsidP="00F30112">
            <w:pPr>
              <w:tabs>
                <w:tab w:val="clear" w:pos="7100"/>
              </w:tabs>
              <w:spacing w:line="240" w:lineRule="auto"/>
            </w:pPr>
            <w:r w:rsidRPr="006C55E9">
              <w:t>620</w:t>
            </w:r>
          </w:p>
        </w:tc>
        <w:tc>
          <w:tcPr>
            <w:tcW w:w="419" w:type="dxa"/>
            <w:noWrap/>
            <w:hideMark/>
          </w:tcPr>
          <w:p w14:paraId="76B82148" w14:textId="77777777" w:rsidR="00F30112" w:rsidRPr="006C55E9" w:rsidRDefault="00F30112" w:rsidP="00F30112">
            <w:pPr>
              <w:tabs>
                <w:tab w:val="clear" w:pos="7100"/>
              </w:tabs>
              <w:spacing w:line="240" w:lineRule="auto"/>
            </w:pPr>
            <w:r w:rsidRPr="006C55E9">
              <w:t>360</w:t>
            </w:r>
          </w:p>
        </w:tc>
        <w:tc>
          <w:tcPr>
            <w:tcW w:w="419" w:type="dxa"/>
            <w:noWrap/>
            <w:hideMark/>
          </w:tcPr>
          <w:p w14:paraId="10E1B022" w14:textId="77777777" w:rsidR="00F30112" w:rsidRPr="006C55E9" w:rsidRDefault="00F30112" w:rsidP="00F30112">
            <w:pPr>
              <w:tabs>
                <w:tab w:val="clear" w:pos="7100"/>
              </w:tabs>
              <w:spacing w:line="240" w:lineRule="auto"/>
            </w:pPr>
            <w:r w:rsidRPr="006C55E9">
              <w:t>610</w:t>
            </w:r>
          </w:p>
        </w:tc>
        <w:tc>
          <w:tcPr>
            <w:tcW w:w="419" w:type="dxa"/>
            <w:noWrap/>
            <w:hideMark/>
          </w:tcPr>
          <w:p w14:paraId="3D2ECE43" w14:textId="77777777" w:rsidR="00F30112" w:rsidRPr="006C55E9" w:rsidRDefault="00F30112" w:rsidP="00F30112">
            <w:pPr>
              <w:tabs>
                <w:tab w:val="clear" w:pos="7100"/>
              </w:tabs>
              <w:spacing w:line="240" w:lineRule="auto"/>
            </w:pPr>
            <w:r w:rsidRPr="006C55E9">
              <w:t>530</w:t>
            </w:r>
          </w:p>
        </w:tc>
        <w:tc>
          <w:tcPr>
            <w:tcW w:w="419" w:type="dxa"/>
            <w:noWrap/>
            <w:hideMark/>
          </w:tcPr>
          <w:p w14:paraId="47ABA5E0" w14:textId="77777777" w:rsidR="00F30112" w:rsidRPr="006C55E9" w:rsidRDefault="00F30112" w:rsidP="00F30112">
            <w:pPr>
              <w:tabs>
                <w:tab w:val="clear" w:pos="7100"/>
              </w:tabs>
              <w:spacing w:line="240" w:lineRule="auto"/>
            </w:pPr>
            <w:r w:rsidRPr="006C55E9">
              <w:t>930</w:t>
            </w:r>
          </w:p>
        </w:tc>
        <w:tc>
          <w:tcPr>
            <w:tcW w:w="419" w:type="dxa"/>
            <w:noWrap/>
            <w:hideMark/>
          </w:tcPr>
          <w:p w14:paraId="1F074B6F" w14:textId="77777777" w:rsidR="00F30112" w:rsidRPr="006C55E9" w:rsidRDefault="00F30112" w:rsidP="00F30112">
            <w:pPr>
              <w:tabs>
                <w:tab w:val="clear" w:pos="7100"/>
              </w:tabs>
              <w:spacing w:line="240" w:lineRule="auto"/>
            </w:pPr>
            <w:r w:rsidRPr="006C55E9">
              <w:t>710</w:t>
            </w:r>
          </w:p>
        </w:tc>
        <w:tc>
          <w:tcPr>
            <w:tcW w:w="546" w:type="dxa"/>
            <w:noWrap/>
            <w:hideMark/>
          </w:tcPr>
          <w:p w14:paraId="75E5989E" w14:textId="77777777" w:rsidR="00F30112" w:rsidRPr="006C55E9" w:rsidRDefault="00F30112" w:rsidP="00F30112">
            <w:pPr>
              <w:tabs>
                <w:tab w:val="clear" w:pos="7100"/>
              </w:tabs>
              <w:spacing w:line="240" w:lineRule="auto"/>
            </w:pPr>
            <w:r w:rsidRPr="006C55E9">
              <w:t>1250</w:t>
            </w:r>
          </w:p>
        </w:tc>
      </w:tr>
    </w:tbl>
    <w:p w14:paraId="4F227CFC" w14:textId="0C4E1052" w:rsidR="00297B18" w:rsidRPr="006C55E9" w:rsidRDefault="00297B18" w:rsidP="00297B18">
      <w:pPr>
        <w:pStyle w:val="CETReference"/>
        <w:jc w:val="both"/>
        <w:rPr>
          <w:b w:val="0"/>
        </w:rPr>
      </w:pPr>
      <w:r w:rsidRPr="006C55E9">
        <w:rPr>
          <w:b w:val="0"/>
          <w:i/>
        </w:rPr>
        <w:t xml:space="preserve">Figure 4: </w:t>
      </w:r>
      <w:r w:rsidR="004F3E73" w:rsidRPr="006C55E9">
        <w:rPr>
          <w:b w:val="0"/>
          <w:i/>
        </w:rPr>
        <w:t>Extract of the distances in meters of the Shortcut method for VCE scenario</w:t>
      </w:r>
    </w:p>
    <w:p w14:paraId="2EC884B0" w14:textId="0BD25C52" w:rsidR="00674074" w:rsidRPr="006C55E9" w:rsidRDefault="00674074" w:rsidP="00674074">
      <w:pPr>
        <w:tabs>
          <w:tab w:val="clear" w:pos="7100"/>
        </w:tabs>
        <w:spacing w:line="240" w:lineRule="auto"/>
      </w:pPr>
      <w:r w:rsidRPr="006C55E9">
        <w:t>To make this approach clearer, authors propose the following classification of damage:</w:t>
      </w:r>
    </w:p>
    <w:p w14:paraId="4B751084" w14:textId="6892F173" w:rsidR="00674074" w:rsidRPr="006C55E9" w:rsidRDefault="00674074" w:rsidP="00674074">
      <w:pPr>
        <w:tabs>
          <w:tab w:val="clear" w:pos="7100"/>
        </w:tabs>
        <w:spacing w:line="240" w:lineRule="auto"/>
      </w:pPr>
      <w:r w:rsidRPr="006C55E9">
        <w:t>A, reversible injury effects inside the establishment; B, irreversible injury effects inside the establishment or reversible effects outside the establishment; C, early lethality inside the establishment or irreversible injuries outside the establishment; D, high lethality inside the establishment or early lethality outside the establishment; E, high lethality outside the establishment. These data derive from the authors' operational experience with regard to the institutional activity of inspection, verification and control, both in the context of establishments at risk of a major accident and in ordinary working conditions.</w:t>
      </w:r>
    </w:p>
    <w:p w14:paraId="28E80D31" w14:textId="7341B37C" w:rsidR="00BA4BC6" w:rsidRPr="006C55E9" w:rsidRDefault="003F654E" w:rsidP="00BA4BC6">
      <w:pPr>
        <w:pStyle w:val="CETReference"/>
      </w:pPr>
      <w:r w:rsidRPr="006C55E9">
        <w:t>5.</w:t>
      </w:r>
      <w:r w:rsidR="00BA4BC6" w:rsidRPr="006C55E9">
        <w:t xml:space="preserve"> </w:t>
      </w:r>
      <w:r w:rsidR="00FB349D" w:rsidRPr="006C55E9">
        <w:t>Scenarios r</w:t>
      </w:r>
      <w:r w:rsidR="00965D12" w:rsidRPr="006C55E9">
        <w:t>isk matrix</w:t>
      </w:r>
    </w:p>
    <w:p w14:paraId="694EDC1A" w14:textId="3F520D7C" w:rsidR="00BA4BC6" w:rsidRPr="006C55E9" w:rsidRDefault="00E7648E" w:rsidP="00BA4BC6">
      <w:pPr>
        <w:pStyle w:val="CETReference"/>
        <w:jc w:val="both"/>
      </w:pPr>
      <w:r w:rsidRPr="006C55E9">
        <w:rPr>
          <w:b w:val="0"/>
        </w:rPr>
        <w:t xml:space="preserve">The risk matrix (Figure </w:t>
      </w:r>
      <w:r w:rsidR="004955DE" w:rsidRPr="006C55E9">
        <w:rPr>
          <w:b w:val="0"/>
        </w:rPr>
        <w:t>5</w:t>
      </w:r>
      <w:r w:rsidRPr="006C55E9">
        <w:rPr>
          <w:b w:val="0"/>
        </w:rPr>
        <w:t xml:space="preserve">) provides a representation of the dangers deriving from the occurrence of accident scenarios without the need to resort to a quantitative assessment of the associated risk. The matrix is built based on the separate evaluation of the frequency (paragraph 3) and the damage class of each single event (paragraph 4). The matrix is obtained by plotting the expected frequency of occurrence and the severity of the consequences associated with each accident scenario in a Cartesian plane. Therefore, a point in the Cartesian plane represents a scenario. The position of an accident in the matrix constitutes a measure, albeit qualitative, of the risk associated with it and can be used </w:t>
      </w:r>
      <w:r w:rsidR="00A6028E" w:rsidRPr="006C55E9">
        <w:rPr>
          <w:b w:val="0"/>
        </w:rPr>
        <w:t>for the purpose of assessing</w:t>
      </w:r>
      <w:r w:rsidRPr="006C55E9">
        <w:rPr>
          <w:b w:val="0"/>
        </w:rPr>
        <w:t xml:space="preserve"> tolerability of the dangers associated with the event in question, making it possible to discriminate among all the most critical scenarios.</w:t>
      </w:r>
      <w:r w:rsidR="00BA4BC6" w:rsidRPr="006C55E9">
        <w:rPr>
          <w:b w:val="0"/>
        </w:rPr>
        <w:t xml:space="preserve"> </w:t>
      </w:r>
    </w:p>
    <w:p w14:paraId="115EC058" w14:textId="79D57AED" w:rsidR="00BA4BC6" w:rsidRPr="006C55E9" w:rsidRDefault="004032F7" w:rsidP="00965D12">
      <w:pPr>
        <w:pStyle w:val="CETReference"/>
        <w:rPr>
          <w:b w:val="0"/>
        </w:rPr>
      </w:pPr>
      <w:r w:rsidRPr="006C55E9">
        <w:rPr>
          <w:b w:val="0"/>
          <w:noProof/>
          <w:lang w:eastAsia="it-IT"/>
        </w:rPr>
        <w:drawing>
          <wp:inline distT="0" distB="0" distL="0" distR="0" wp14:anchorId="0A866C34" wp14:editId="0DD9DFE5">
            <wp:extent cx="2970000" cy="1245600"/>
            <wp:effectExtent l="0" t="0" r="190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0000" cy="1245600"/>
                    </a:xfrm>
                    <a:prstGeom prst="rect">
                      <a:avLst/>
                    </a:prstGeom>
                    <a:noFill/>
                  </pic:spPr>
                </pic:pic>
              </a:graphicData>
            </a:graphic>
          </wp:inline>
        </w:drawing>
      </w:r>
    </w:p>
    <w:p w14:paraId="0FAB0E8F" w14:textId="7640D4E9" w:rsidR="00965D12" w:rsidRPr="006C55E9" w:rsidRDefault="00965D12" w:rsidP="00965D12">
      <w:pPr>
        <w:pStyle w:val="CETReference"/>
        <w:jc w:val="both"/>
        <w:rPr>
          <w:b w:val="0"/>
        </w:rPr>
      </w:pPr>
      <w:r w:rsidRPr="006C55E9">
        <w:rPr>
          <w:b w:val="0"/>
          <w:i/>
        </w:rPr>
        <w:t xml:space="preserve">Figure </w:t>
      </w:r>
      <w:r w:rsidR="004955DE" w:rsidRPr="006C55E9">
        <w:rPr>
          <w:b w:val="0"/>
          <w:i/>
        </w:rPr>
        <w:t>5</w:t>
      </w:r>
      <w:r w:rsidRPr="006C55E9">
        <w:rPr>
          <w:b w:val="0"/>
          <w:i/>
        </w:rPr>
        <w:t xml:space="preserve">: </w:t>
      </w:r>
      <w:r w:rsidR="00FB349D" w:rsidRPr="006C55E9">
        <w:rPr>
          <w:b w:val="0"/>
          <w:i/>
        </w:rPr>
        <w:t>Scenarios r</w:t>
      </w:r>
      <w:r w:rsidRPr="006C55E9">
        <w:rPr>
          <w:b w:val="0"/>
          <w:i/>
        </w:rPr>
        <w:t>isk matrix</w:t>
      </w:r>
    </w:p>
    <w:p w14:paraId="215F2978" w14:textId="0A0E5DAF" w:rsidR="00BA4BC6" w:rsidRPr="006C55E9" w:rsidRDefault="00BA7D7E" w:rsidP="00BA4BC6">
      <w:pPr>
        <w:pStyle w:val="CETReference"/>
        <w:jc w:val="both"/>
        <w:rPr>
          <w:b w:val="0"/>
        </w:rPr>
      </w:pPr>
      <w:r w:rsidRPr="006C55E9">
        <w:rPr>
          <w:b w:val="0"/>
        </w:rPr>
        <w:t>We identify three levels of risk:</w:t>
      </w:r>
    </w:p>
    <w:p w14:paraId="76A8B758" w14:textId="76A36EA2" w:rsidR="00106DF3" w:rsidRPr="006C55E9" w:rsidRDefault="00C5350F" w:rsidP="00C5350F">
      <w:pPr>
        <w:pStyle w:val="CETListbullets"/>
        <w:numPr>
          <w:ilvl w:val="0"/>
          <w:numId w:val="23"/>
        </w:numPr>
        <w:ind w:left="426"/>
      </w:pPr>
      <w:r w:rsidRPr="006C55E9">
        <w:t>R1, area of risk tolerable (green area). If a scenario is positioned in this area, the risk associated with it is to be considered tolerable without further interventions (outside maintenance);</w:t>
      </w:r>
    </w:p>
    <w:p w14:paraId="4FCEAAC5" w14:textId="5A5404CE" w:rsidR="00BA7D7E" w:rsidRPr="006C55E9" w:rsidRDefault="00BA7D7E" w:rsidP="00BA7D7E">
      <w:pPr>
        <w:pStyle w:val="CETListbullets"/>
        <w:numPr>
          <w:ilvl w:val="0"/>
          <w:numId w:val="23"/>
        </w:numPr>
        <w:ind w:left="426"/>
      </w:pPr>
      <w:r w:rsidRPr="006C55E9">
        <w:t>R2, intervention area (yellow area). In the case of events located in this area, prevention or mitigation measures must be implemented;</w:t>
      </w:r>
    </w:p>
    <w:p w14:paraId="726ED658" w14:textId="77777777" w:rsidR="00A6028E" w:rsidRPr="006C55E9" w:rsidRDefault="008143A5" w:rsidP="00BA4BC6">
      <w:pPr>
        <w:pStyle w:val="CETListbullets"/>
        <w:numPr>
          <w:ilvl w:val="0"/>
          <w:numId w:val="23"/>
        </w:numPr>
        <w:ind w:left="426"/>
      </w:pPr>
      <w:r w:rsidRPr="006C55E9">
        <w:t xml:space="preserve">R3, intolerable risk area (red area). For the scenarios that fall into this area, adequate prevention and protection interventions must be foreseen for risk mitigation and the relative follow-up monitoring, as well as the verification of the effectiveness of the corrective actions also on similar installations. </w:t>
      </w:r>
    </w:p>
    <w:p w14:paraId="41346814" w14:textId="71073F92" w:rsidR="00BA4BC6" w:rsidRPr="006C55E9" w:rsidRDefault="008143A5" w:rsidP="00557965">
      <w:pPr>
        <w:pStyle w:val="CETListbullets"/>
        <w:ind w:left="0" w:firstLine="0"/>
      </w:pPr>
      <w:r w:rsidRPr="006C55E9">
        <w:t>All final events must be framed within the matrix and those that fall within the red and yellow bands must be used for further technical and managerial insights.</w:t>
      </w:r>
    </w:p>
    <w:p w14:paraId="323D2489" w14:textId="2F1DB9D0" w:rsidR="00C5350F" w:rsidRPr="006C55E9" w:rsidRDefault="00C5350F" w:rsidP="00C5350F">
      <w:pPr>
        <w:pStyle w:val="CETReference"/>
      </w:pPr>
      <w:r w:rsidRPr="006C55E9">
        <w:t>6. Case study</w:t>
      </w:r>
    </w:p>
    <w:p w14:paraId="4F795E93" w14:textId="7B682892" w:rsidR="00557965" w:rsidRPr="006C55E9" w:rsidRDefault="00557965" w:rsidP="00557965">
      <w:pPr>
        <w:tabs>
          <w:tab w:val="left" w:pos="709"/>
        </w:tabs>
        <w:spacing w:after="120"/>
        <w:ind w:right="-2"/>
        <w:rPr>
          <w:rFonts w:cs="Arial"/>
          <w:szCs w:val="28"/>
        </w:rPr>
      </w:pPr>
      <w:r w:rsidRPr="006C55E9">
        <w:rPr>
          <w:rFonts w:cs="Arial"/>
          <w:szCs w:val="28"/>
        </w:rPr>
        <w:t>Consider a LPG tank with stored quantity of 40 tons, located 150 m from the plant boundary, with D5 meteorological conditions during the accident event. Assumes a possible critical event (CE) such as a 10 mm hole in the tank. In the present case study, the frequency of the critical event coincides with the frequency of the dangerous event (DP); this means that we do not take into consideration the protection barriers placed on the right side of the "Bow-tie" diagram. From Figure 3 for the case in question we obtain an occurrence frequency 5 E-06 to which a frequency class F-4 is associated (see paragraph 3). From Figure 4 for the case in question we obtain the four threshold values for the hypothetical VCE scenario: • 1, high lethality effects = 140 m; • 2, lethality initiation effects = 170m; • 3, effects involving serious irreversible injuries = 210 m; • 4, effects involving reversible injuries = 330 m. This means that in our case study there are no high lethality effects outside the plant but only inside it; according to the authors' classification, the class of damage (see paragraph 4) falls under type "D". Having identified the two elements, frequency F-4 and damage class of scenario D, with the matrix in Figure 5 (yellow area) is obtained the R2 value, in this area further prevention and/or mitigation measures must be prepared.</w:t>
      </w:r>
    </w:p>
    <w:p w14:paraId="1BB642C3" w14:textId="005598A6" w:rsidR="002231D2" w:rsidRPr="006C55E9" w:rsidRDefault="002231D2" w:rsidP="00106DF3">
      <w:pPr>
        <w:pStyle w:val="CETReference"/>
      </w:pPr>
      <w:r w:rsidRPr="006C55E9">
        <w:t xml:space="preserve">7. </w:t>
      </w:r>
      <w:r w:rsidR="00BA4BC6" w:rsidRPr="006C55E9">
        <w:t>Conclusion</w:t>
      </w:r>
      <w:r w:rsidR="007541B5" w:rsidRPr="006C55E9">
        <w:t>s</w:t>
      </w:r>
    </w:p>
    <w:p w14:paraId="5A34152A" w14:textId="0A8B347E" w:rsidR="00C5350F" w:rsidRPr="006C55E9" w:rsidRDefault="00C5350F" w:rsidP="00557965">
      <w:pPr>
        <w:tabs>
          <w:tab w:val="left" w:pos="709"/>
          <w:tab w:val="left" w:pos="8222"/>
        </w:tabs>
        <w:spacing w:after="120"/>
        <w:ind w:right="-2"/>
        <w:rPr>
          <w:rFonts w:cs="Arial"/>
          <w:szCs w:val="28"/>
        </w:rPr>
      </w:pPr>
      <w:r w:rsidRPr="006C55E9">
        <w:rPr>
          <w:rFonts w:cs="Arial"/>
          <w:szCs w:val="28"/>
        </w:rPr>
        <w:t>The authors, based on official documents approved and issued by the Italian competent authorities in recent months, propose a method to identify and evaluate all possible damage scenarios for LPG deposits, measuring the risk (albeit qualitatively) associated with said scenarios , for an assessment of its tolerability. This method can be applied both to establishments at risk of a major accident and to installations excluded from the scope of application of Directive 2012/18/EU (Seveso). These scenarios are the basis of correct territorial planning and internal and external emergency planning. In the context of emergency planning processes, the proposed method can be useful in supporting the authorities in defining the areas of damage, where the minimum data necessary to develop an accident scenario is not available. In the context of urban planning, it can be useful for a first estimate of the consequences of accidents not assessed by the operators. Furthermore, the same method allows to estimate the distances of damage also in case of accidents during the transport of LPG.</w:t>
      </w:r>
    </w:p>
    <w:p w14:paraId="4F1327F8" w14:textId="05754CC8" w:rsidR="00600535" w:rsidRPr="006C55E9" w:rsidRDefault="00600535" w:rsidP="00600535">
      <w:pPr>
        <w:pStyle w:val="CETReference"/>
      </w:pPr>
      <w:r w:rsidRPr="006C55E9">
        <w:t>References</w:t>
      </w:r>
    </w:p>
    <w:p w14:paraId="38438639" w14:textId="346CDED4" w:rsidR="00B96EA5" w:rsidRPr="006C55E9" w:rsidRDefault="00B96EA5" w:rsidP="00B96EA5">
      <w:pPr>
        <w:pStyle w:val="CETReferencetext"/>
      </w:pPr>
      <w:r w:rsidRPr="006C55E9">
        <w:t xml:space="preserve">Andreis, F., Baldacci, S., Lombardi, A., Marotta, F., </w:t>
      </w:r>
      <w:r w:rsidR="004E5C33" w:rsidRPr="006C55E9">
        <w:t xml:space="preserve">2006, </w:t>
      </w:r>
      <w:r w:rsidR="0081154C" w:rsidRPr="006C55E9">
        <w:t>Shortcut method for evaluating accident consequences</w:t>
      </w:r>
      <w:r w:rsidRPr="006C55E9">
        <w:t xml:space="preserve">, </w:t>
      </w:r>
      <w:r w:rsidR="004E5C33" w:rsidRPr="006C55E9">
        <w:t xml:space="preserve">Publisher: APAT, ARPAT. </w:t>
      </w:r>
      <w:r w:rsidRPr="006C55E9">
        <w:t>ISBN: 88-448-0159-0.</w:t>
      </w:r>
    </w:p>
    <w:p w14:paraId="454D094F" w14:textId="465C8A0A" w:rsidR="00222BD9" w:rsidRPr="006C55E9" w:rsidRDefault="00222BD9" w:rsidP="00222BD9">
      <w:pPr>
        <w:widowControl w:val="0"/>
        <w:autoSpaceDE w:val="0"/>
        <w:autoSpaceDN w:val="0"/>
        <w:adjustRightInd w:val="0"/>
        <w:spacing w:line="240" w:lineRule="auto"/>
        <w:ind w:left="480" w:hanging="480"/>
        <w:rPr>
          <w:rFonts w:cs="Arial"/>
          <w:noProof/>
          <w:szCs w:val="24"/>
        </w:rPr>
      </w:pPr>
      <w:r w:rsidRPr="006C55E9">
        <w:rPr>
          <w:rFonts w:cs="Arial"/>
          <w:noProof/>
          <w:szCs w:val="24"/>
        </w:rPr>
        <w:t>Delvosalle, C</w:t>
      </w:r>
      <w:r w:rsidR="00F97C8B" w:rsidRPr="006C55E9">
        <w:rPr>
          <w:rFonts w:cs="Arial"/>
          <w:noProof/>
          <w:szCs w:val="24"/>
        </w:rPr>
        <w:t>., Fiévez, C., Pipart, A., 2006</w:t>
      </w:r>
      <w:r w:rsidRPr="006C55E9">
        <w:rPr>
          <w:rFonts w:cs="Arial"/>
          <w:noProof/>
          <w:szCs w:val="24"/>
        </w:rPr>
        <w:t>. ARAMIS project: Reference accident scenarios def</w:t>
      </w:r>
      <w:r w:rsidR="007305F0" w:rsidRPr="006C55E9">
        <w:rPr>
          <w:rFonts w:cs="Arial"/>
          <w:noProof/>
          <w:szCs w:val="24"/>
        </w:rPr>
        <w:t>inition in SEVESO establishment,</w:t>
      </w:r>
      <w:r w:rsidRPr="006C55E9">
        <w:rPr>
          <w:rFonts w:cs="Arial"/>
          <w:noProof/>
          <w:szCs w:val="24"/>
        </w:rPr>
        <w:t xml:space="preserve"> </w:t>
      </w:r>
      <w:r w:rsidR="007305F0" w:rsidRPr="006C55E9">
        <w:rPr>
          <w:rFonts w:cs="Arial"/>
          <w:noProof/>
          <w:szCs w:val="24"/>
        </w:rPr>
        <w:t>Journal of Risk Research, 9:5, 583-600, DOI: 10.1080/13669870500419529</w:t>
      </w:r>
    </w:p>
    <w:p w14:paraId="76E2804E" w14:textId="11B75757" w:rsidR="00497A6B" w:rsidRPr="006C55E9" w:rsidRDefault="00497A6B" w:rsidP="00A56BC8">
      <w:pPr>
        <w:pStyle w:val="CETReferencetext"/>
      </w:pPr>
      <w:r w:rsidRPr="006C55E9">
        <w:t>Directive 2012/18/EU of the European Parliament and of the Council, ‘Control of major-accident hazards involving dangerous substances, amending and subsequently repealing Council Directive 96/82/EC’.</w:t>
      </w:r>
    </w:p>
    <w:p w14:paraId="4AB6620C" w14:textId="5106C39B" w:rsidR="0081154C" w:rsidRPr="006C55E9" w:rsidRDefault="0081154C" w:rsidP="004A274B">
      <w:pPr>
        <w:pStyle w:val="CETReferencetext"/>
      </w:pPr>
      <w:r w:rsidRPr="006C55E9">
        <w:t xml:space="preserve">Directive December 7, 2022, Presidency of the Council of Ministers, Guidelines for the preparation of the external emergency plan, guidelines for informing the population and guidelines for testing external emergency plans, </w:t>
      </w:r>
      <w:r w:rsidR="00E16F66" w:rsidRPr="006C55E9">
        <w:t>Italian Official Gazette no. 31 of 7 February 2023</w:t>
      </w:r>
      <w:r w:rsidRPr="006C55E9">
        <w:t>.</w:t>
      </w:r>
    </w:p>
    <w:p w14:paraId="799A1E9B" w14:textId="3770B271" w:rsidR="009873D8" w:rsidRPr="006C55E9" w:rsidRDefault="009873D8" w:rsidP="009873D8">
      <w:pPr>
        <w:pStyle w:val="CETReferencetext"/>
      </w:pPr>
      <w:r w:rsidRPr="006C55E9">
        <w:t>Giannelli G., Grillone G., Muratore A., Nastasi V., Sferruzza G., 2020, Earthquake natech risk: Index method for critical plants covered by seveso III directive, Proceedings of the 30th European Safety and Reliability Conference</w:t>
      </w:r>
      <w:r w:rsidR="004D4D13" w:rsidRPr="006C55E9">
        <w:t xml:space="preserve">, </w:t>
      </w:r>
      <w:r w:rsidRPr="006C55E9">
        <w:t xml:space="preserve">ESREL2020-PSAM15 Organizers, Published: Research Publishing, Singapore, DOI: </w:t>
      </w:r>
      <w:r w:rsidR="00467A03" w:rsidRPr="006C55E9">
        <w:t>10.3850/978-981-14-8593-0</w:t>
      </w:r>
      <w:r w:rsidRPr="006C55E9">
        <w:t>, pp. 3126-3133.</w:t>
      </w:r>
    </w:p>
    <w:p w14:paraId="7080C88D" w14:textId="37E9E028" w:rsidR="00623998" w:rsidRPr="006C55E9" w:rsidRDefault="00623998" w:rsidP="004A274B">
      <w:pPr>
        <w:pStyle w:val="CETReferencetext"/>
      </w:pPr>
      <w:r w:rsidRPr="006C55E9">
        <w:t>Gyenes</w:t>
      </w:r>
      <w:r w:rsidR="002B1B2D" w:rsidRPr="006C55E9">
        <w:t xml:space="preserve"> Z</w:t>
      </w:r>
      <w:r w:rsidRPr="006C55E9">
        <w:t>., Wood M</w:t>
      </w:r>
      <w:r w:rsidR="002B1B2D" w:rsidRPr="006C55E9">
        <w:t xml:space="preserve">. </w:t>
      </w:r>
      <w:r w:rsidRPr="006C55E9">
        <w:t xml:space="preserve">H., Struckl M., </w:t>
      </w:r>
      <w:r w:rsidR="00F97C8B" w:rsidRPr="006C55E9">
        <w:t xml:space="preserve">2017, </w:t>
      </w:r>
      <w:r w:rsidRPr="006C55E9">
        <w:t xml:space="preserve">Handbook of Scenarios for Assessing Major Chemical Accident Risks, </w:t>
      </w:r>
      <w:r w:rsidR="004E5C33" w:rsidRPr="006C55E9">
        <w:t xml:space="preserve">Joint Research Centre (JRC) technical report, </w:t>
      </w:r>
      <w:r w:rsidR="00B96EA5" w:rsidRPr="006C55E9">
        <w:t>DOI</w:t>
      </w:r>
      <w:r w:rsidR="006C55E9" w:rsidRPr="006C55E9">
        <w:t>: 10.2760</w:t>
      </w:r>
      <w:r w:rsidRPr="006C55E9">
        <w:t>/884152</w:t>
      </w:r>
      <w:r w:rsidR="00E20406" w:rsidRPr="006C55E9">
        <w:t>.</w:t>
      </w:r>
    </w:p>
    <w:p w14:paraId="517A0444" w14:textId="4CF15D2F" w:rsidR="00E20406" w:rsidRPr="006C55E9" w:rsidRDefault="00B96EA5" w:rsidP="004321F3">
      <w:pPr>
        <w:pStyle w:val="CETReferencetext"/>
      </w:pPr>
      <w:r w:rsidRPr="006C55E9">
        <w:t>Muratore A., Giannelli G., Nastasi V., Sferruzza G., Grillone G., 2021, Risk assessment of pressure equipment during use phase, Proceedings of the 31th European Safety and Reliability Conference, ESREL2021 Organizers, Publisher: Research Publishing, Singapore, DOI</w:t>
      </w:r>
      <w:r w:rsidR="004F3EC2" w:rsidRPr="006C55E9">
        <w:t>:</w:t>
      </w:r>
      <w:r w:rsidR="00FD772D" w:rsidRPr="006C55E9">
        <w:t xml:space="preserve"> </w:t>
      </w:r>
      <w:r w:rsidR="004F3EC2" w:rsidRPr="006C55E9">
        <w:t>10.3850/978-981-18-2016-8_305-cd.</w:t>
      </w:r>
    </w:p>
    <w:sectPr w:rsidR="00E20406" w:rsidRPr="006C55E9"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20118F" w14:textId="77777777" w:rsidR="0029580B" w:rsidRDefault="0029580B" w:rsidP="004F5E36">
      <w:r>
        <w:separator/>
      </w:r>
    </w:p>
  </w:endnote>
  <w:endnote w:type="continuationSeparator" w:id="0">
    <w:p w14:paraId="2F2D1E25" w14:textId="77777777" w:rsidR="0029580B" w:rsidRDefault="0029580B"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882822" w14:textId="77777777" w:rsidR="0029580B" w:rsidRDefault="0029580B" w:rsidP="004F5E36">
      <w:r>
        <w:separator/>
      </w:r>
    </w:p>
  </w:footnote>
  <w:footnote w:type="continuationSeparator" w:id="0">
    <w:p w14:paraId="6A38F5D6" w14:textId="77777777" w:rsidR="0029580B" w:rsidRDefault="0029580B"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7DA5E6E"/>
    <w:multiLevelType w:val="hybridMultilevel"/>
    <w:tmpl w:val="EB06082E"/>
    <w:lvl w:ilvl="0" w:tplc="04100001">
      <w:start w:val="1"/>
      <w:numFmt w:val="bullet"/>
      <w:lvlText w:val=""/>
      <w:lvlJc w:val="left"/>
      <w:pPr>
        <w:ind w:left="833" w:hanging="360"/>
      </w:pPr>
      <w:rPr>
        <w:rFonts w:ascii="Symbol" w:hAnsi="Symbol" w:hint="default"/>
      </w:rPr>
    </w:lvl>
    <w:lvl w:ilvl="1" w:tplc="04100003" w:tentative="1">
      <w:start w:val="1"/>
      <w:numFmt w:val="bullet"/>
      <w:lvlText w:val="o"/>
      <w:lvlJc w:val="left"/>
      <w:pPr>
        <w:ind w:left="1553" w:hanging="360"/>
      </w:pPr>
      <w:rPr>
        <w:rFonts w:ascii="Courier New" w:hAnsi="Courier New" w:cs="Courier New"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Courier New"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Courier New" w:hint="default"/>
      </w:rPr>
    </w:lvl>
    <w:lvl w:ilvl="8" w:tplc="04100005" w:tentative="1">
      <w:start w:val="1"/>
      <w:numFmt w:val="bullet"/>
      <w:lvlText w:val=""/>
      <w:lvlJc w:val="left"/>
      <w:pPr>
        <w:ind w:left="6593"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2E8736B8"/>
    <w:multiLevelType w:val="hybridMultilevel"/>
    <w:tmpl w:val="E3E8BAAE"/>
    <w:lvl w:ilvl="0" w:tplc="446EB958">
      <w:start w:val="1"/>
      <w:numFmt w:val="decimal"/>
      <w:lvlText w:val="(%1)"/>
      <w:lvlJc w:val="left"/>
      <w:pPr>
        <w:ind w:left="720" w:hanging="360"/>
      </w:pPr>
      <w:rPr>
        <w:rFonts w:ascii="Arial" w:eastAsia="Times New Roman" w:hAnsi="Arial" w:cs="Times New Roman"/>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78C79DD"/>
    <w:multiLevelType w:val="hybridMultilevel"/>
    <w:tmpl w:val="DC1EEAFC"/>
    <w:lvl w:ilvl="0" w:tplc="E1AABAA4">
      <w:start w:val="1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17A4AED"/>
    <w:multiLevelType w:val="hybridMultilevel"/>
    <w:tmpl w:val="BB7617EE"/>
    <w:lvl w:ilvl="0" w:tplc="85E04D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7F20D0D"/>
    <w:multiLevelType w:val="hybridMultilevel"/>
    <w:tmpl w:val="495A8F34"/>
    <w:lvl w:ilvl="0" w:tplc="03C4F584">
      <w:start w:val="1"/>
      <w:numFmt w:val="lowerLetter"/>
      <w:lvlText w:val="%1)"/>
      <w:lvlJc w:val="left"/>
      <w:pPr>
        <w:ind w:left="473" w:hanging="360"/>
      </w:pPr>
      <w:rPr>
        <w:rFonts w:hint="default"/>
      </w:rPr>
    </w:lvl>
    <w:lvl w:ilvl="1" w:tplc="04100019" w:tentative="1">
      <w:start w:val="1"/>
      <w:numFmt w:val="lowerLetter"/>
      <w:lvlText w:val="%2."/>
      <w:lvlJc w:val="left"/>
      <w:pPr>
        <w:ind w:left="1193" w:hanging="360"/>
      </w:pPr>
    </w:lvl>
    <w:lvl w:ilvl="2" w:tplc="0410001B" w:tentative="1">
      <w:start w:val="1"/>
      <w:numFmt w:val="lowerRoman"/>
      <w:lvlText w:val="%3."/>
      <w:lvlJc w:val="right"/>
      <w:pPr>
        <w:ind w:left="1913" w:hanging="180"/>
      </w:pPr>
    </w:lvl>
    <w:lvl w:ilvl="3" w:tplc="0410000F" w:tentative="1">
      <w:start w:val="1"/>
      <w:numFmt w:val="decimal"/>
      <w:lvlText w:val="%4."/>
      <w:lvlJc w:val="left"/>
      <w:pPr>
        <w:ind w:left="2633" w:hanging="360"/>
      </w:pPr>
    </w:lvl>
    <w:lvl w:ilvl="4" w:tplc="04100019" w:tentative="1">
      <w:start w:val="1"/>
      <w:numFmt w:val="lowerLetter"/>
      <w:lvlText w:val="%5."/>
      <w:lvlJc w:val="left"/>
      <w:pPr>
        <w:ind w:left="3353" w:hanging="360"/>
      </w:pPr>
    </w:lvl>
    <w:lvl w:ilvl="5" w:tplc="0410001B" w:tentative="1">
      <w:start w:val="1"/>
      <w:numFmt w:val="lowerRoman"/>
      <w:lvlText w:val="%6."/>
      <w:lvlJc w:val="right"/>
      <w:pPr>
        <w:ind w:left="4073" w:hanging="180"/>
      </w:pPr>
    </w:lvl>
    <w:lvl w:ilvl="6" w:tplc="0410000F" w:tentative="1">
      <w:start w:val="1"/>
      <w:numFmt w:val="decimal"/>
      <w:lvlText w:val="%7."/>
      <w:lvlJc w:val="left"/>
      <w:pPr>
        <w:ind w:left="4793" w:hanging="360"/>
      </w:pPr>
    </w:lvl>
    <w:lvl w:ilvl="7" w:tplc="04100019" w:tentative="1">
      <w:start w:val="1"/>
      <w:numFmt w:val="lowerLetter"/>
      <w:lvlText w:val="%8."/>
      <w:lvlJc w:val="left"/>
      <w:pPr>
        <w:ind w:left="5513" w:hanging="360"/>
      </w:pPr>
    </w:lvl>
    <w:lvl w:ilvl="8" w:tplc="0410001B" w:tentative="1">
      <w:start w:val="1"/>
      <w:numFmt w:val="lowerRoman"/>
      <w:lvlText w:val="%9."/>
      <w:lvlJc w:val="right"/>
      <w:pPr>
        <w:ind w:left="6233" w:hanging="180"/>
      </w:pPr>
    </w:lvl>
  </w:abstractNum>
  <w:abstractNum w:abstractNumId="25"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F001A5D"/>
    <w:multiLevelType w:val="hybridMultilevel"/>
    <w:tmpl w:val="B016C9C0"/>
    <w:lvl w:ilvl="0" w:tplc="56206B38">
      <w:start w:val="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B2C0EBB"/>
    <w:multiLevelType w:val="hybridMultilevel"/>
    <w:tmpl w:val="9A089EA2"/>
    <w:lvl w:ilvl="0" w:tplc="DB025BD0">
      <w:start w:val="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0"/>
  </w:num>
  <w:num w:numId="13">
    <w:abstractNumId w:val="14"/>
  </w:num>
  <w:num w:numId="14">
    <w:abstractNumId w:val="21"/>
  </w:num>
  <w:num w:numId="15">
    <w:abstractNumId w:val="25"/>
  </w:num>
  <w:num w:numId="16">
    <w:abstractNumId w:val="23"/>
  </w:num>
  <w:num w:numId="17">
    <w:abstractNumId w:val="13"/>
  </w:num>
  <w:num w:numId="18">
    <w:abstractNumId w:val="14"/>
    <w:lvlOverride w:ilvl="0">
      <w:startOverride w:val="1"/>
    </w:lvlOverride>
  </w:num>
  <w:num w:numId="19">
    <w:abstractNumId w:val="19"/>
  </w:num>
  <w:num w:numId="20">
    <w:abstractNumId w:val="18"/>
  </w:num>
  <w:num w:numId="21">
    <w:abstractNumId w:val="16"/>
  </w:num>
  <w:num w:numId="22">
    <w:abstractNumId w:val="15"/>
  </w:num>
  <w:num w:numId="23">
    <w:abstractNumId w:val="10"/>
  </w:num>
  <w:num w:numId="24">
    <w:abstractNumId w:val="24"/>
  </w:num>
  <w:num w:numId="25">
    <w:abstractNumId w:val="22"/>
  </w:num>
  <w:num w:numId="26">
    <w:abstractNumId w:val="26"/>
  </w:num>
  <w:num w:numId="27">
    <w:abstractNumId w:val="2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151"/>
    <w:rsid w:val="000027C0"/>
    <w:rsid w:val="000052FB"/>
    <w:rsid w:val="00005A19"/>
    <w:rsid w:val="00005A43"/>
    <w:rsid w:val="000117CB"/>
    <w:rsid w:val="000262B6"/>
    <w:rsid w:val="0003148D"/>
    <w:rsid w:val="00031EEC"/>
    <w:rsid w:val="00042CB3"/>
    <w:rsid w:val="00051566"/>
    <w:rsid w:val="00051D2F"/>
    <w:rsid w:val="00054288"/>
    <w:rsid w:val="000547D3"/>
    <w:rsid w:val="000562A9"/>
    <w:rsid w:val="000574FD"/>
    <w:rsid w:val="00062A9A"/>
    <w:rsid w:val="00065058"/>
    <w:rsid w:val="000717AB"/>
    <w:rsid w:val="000767BA"/>
    <w:rsid w:val="00076F9B"/>
    <w:rsid w:val="000861CF"/>
    <w:rsid w:val="00086C39"/>
    <w:rsid w:val="00090C66"/>
    <w:rsid w:val="000958BF"/>
    <w:rsid w:val="00097143"/>
    <w:rsid w:val="000A03B2"/>
    <w:rsid w:val="000B11D6"/>
    <w:rsid w:val="000D0268"/>
    <w:rsid w:val="000D2832"/>
    <w:rsid w:val="000D34BE"/>
    <w:rsid w:val="000D7679"/>
    <w:rsid w:val="000E01BD"/>
    <w:rsid w:val="000E102F"/>
    <w:rsid w:val="000E36C8"/>
    <w:rsid w:val="000E36F1"/>
    <w:rsid w:val="000E3A73"/>
    <w:rsid w:val="000E414A"/>
    <w:rsid w:val="000F093C"/>
    <w:rsid w:val="000F787B"/>
    <w:rsid w:val="00106DF3"/>
    <w:rsid w:val="00111E9A"/>
    <w:rsid w:val="00114B0B"/>
    <w:rsid w:val="0012091F"/>
    <w:rsid w:val="00121181"/>
    <w:rsid w:val="00123072"/>
    <w:rsid w:val="00126BC2"/>
    <w:rsid w:val="001308B6"/>
    <w:rsid w:val="0013121F"/>
    <w:rsid w:val="00131FE6"/>
    <w:rsid w:val="0013263F"/>
    <w:rsid w:val="001331DF"/>
    <w:rsid w:val="00134A63"/>
    <w:rsid w:val="00134DE4"/>
    <w:rsid w:val="0014034D"/>
    <w:rsid w:val="0014209F"/>
    <w:rsid w:val="00144D16"/>
    <w:rsid w:val="00150E59"/>
    <w:rsid w:val="00152DE3"/>
    <w:rsid w:val="00153C9A"/>
    <w:rsid w:val="00156133"/>
    <w:rsid w:val="00164CF9"/>
    <w:rsid w:val="001667A6"/>
    <w:rsid w:val="00184AD6"/>
    <w:rsid w:val="00185D66"/>
    <w:rsid w:val="0019473E"/>
    <w:rsid w:val="00196D7F"/>
    <w:rsid w:val="001A300C"/>
    <w:rsid w:val="001A4AF7"/>
    <w:rsid w:val="001B0349"/>
    <w:rsid w:val="001B1E93"/>
    <w:rsid w:val="001B65C1"/>
    <w:rsid w:val="001B79BC"/>
    <w:rsid w:val="001C684B"/>
    <w:rsid w:val="001D0CFB"/>
    <w:rsid w:val="001D2116"/>
    <w:rsid w:val="001D21AF"/>
    <w:rsid w:val="001D53FC"/>
    <w:rsid w:val="001F2C6C"/>
    <w:rsid w:val="001F42A5"/>
    <w:rsid w:val="001F7B9D"/>
    <w:rsid w:val="00201C93"/>
    <w:rsid w:val="002224B4"/>
    <w:rsid w:val="00222BD9"/>
    <w:rsid w:val="002231D2"/>
    <w:rsid w:val="00234313"/>
    <w:rsid w:val="002404C6"/>
    <w:rsid w:val="002447EF"/>
    <w:rsid w:val="0025128B"/>
    <w:rsid w:val="00251550"/>
    <w:rsid w:val="00252404"/>
    <w:rsid w:val="00252A9E"/>
    <w:rsid w:val="00263B05"/>
    <w:rsid w:val="002679F3"/>
    <w:rsid w:val="0027221A"/>
    <w:rsid w:val="00275B61"/>
    <w:rsid w:val="00280FAF"/>
    <w:rsid w:val="00282656"/>
    <w:rsid w:val="0029580B"/>
    <w:rsid w:val="00296B83"/>
    <w:rsid w:val="00297B18"/>
    <w:rsid w:val="002A1ADC"/>
    <w:rsid w:val="002A7B1A"/>
    <w:rsid w:val="002B1B2D"/>
    <w:rsid w:val="002B4015"/>
    <w:rsid w:val="002B6A70"/>
    <w:rsid w:val="002B78CE"/>
    <w:rsid w:val="002C0985"/>
    <w:rsid w:val="002C2FB6"/>
    <w:rsid w:val="002D2BD2"/>
    <w:rsid w:val="002D48B9"/>
    <w:rsid w:val="002D7F74"/>
    <w:rsid w:val="002E056B"/>
    <w:rsid w:val="002E5FA7"/>
    <w:rsid w:val="002E6768"/>
    <w:rsid w:val="002F3309"/>
    <w:rsid w:val="002F6E21"/>
    <w:rsid w:val="003008CE"/>
    <w:rsid w:val="003009B7"/>
    <w:rsid w:val="00300E56"/>
    <w:rsid w:val="0030152C"/>
    <w:rsid w:val="0030469C"/>
    <w:rsid w:val="0030499A"/>
    <w:rsid w:val="00321CA6"/>
    <w:rsid w:val="00323763"/>
    <w:rsid w:val="00323C5F"/>
    <w:rsid w:val="00334C09"/>
    <w:rsid w:val="00341EC8"/>
    <w:rsid w:val="00354DA5"/>
    <w:rsid w:val="0036393D"/>
    <w:rsid w:val="003723D4"/>
    <w:rsid w:val="00381905"/>
    <w:rsid w:val="00384CC8"/>
    <w:rsid w:val="003871FD"/>
    <w:rsid w:val="00387EA2"/>
    <w:rsid w:val="003903F2"/>
    <w:rsid w:val="003A1E30"/>
    <w:rsid w:val="003A2829"/>
    <w:rsid w:val="003A3A56"/>
    <w:rsid w:val="003A72CF"/>
    <w:rsid w:val="003A7D1C"/>
    <w:rsid w:val="003B304B"/>
    <w:rsid w:val="003B3146"/>
    <w:rsid w:val="003B60BC"/>
    <w:rsid w:val="003C109D"/>
    <w:rsid w:val="003D1BFC"/>
    <w:rsid w:val="003D3257"/>
    <w:rsid w:val="003E0B27"/>
    <w:rsid w:val="003F015E"/>
    <w:rsid w:val="003F654E"/>
    <w:rsid w:val="00400414"/>
    <w:rsid w:val="004032F7"/>
    <w:rsid w:val="00406F33"/>
    <w:rsid w:val="0040715F"/>
    <w:rsid w:val="00413F74"/>
    <w:rsid w:val="0041446B"/>
    <w:rsid w:val="004314DA"/>
    <w:rsid w:val="004321F3"/>
    <w:rsid w:val="0044071E"/>
    <w:rsid w:val="0044329C"/>
    <w:rsid w:val="00453E24"/>
    <w:rsid w:val="00454698"/>
    <w:rsid w:val="00456FD9"/>
    <w:rsid w:val="00457456"/>
    <w:rsid w:val="004577FE"/>
    <w:rsid w:val="00457B9C"/>
    <w:rsid w:val="0046164A"/>
    <w:rsid w:val="00461E46"/>
    <w:rsid w:val="004628D2"/>
    <w:rsid w:val="00462DCD"/>
    <w:rsid w:val="004648AD"/>
    <w:rsid w:val="00467A03"/>
    <w:rsid w:val="004703A9"/>
    <w:rsid w:val="00473D0A"/>
    <w:rsid w:val="004760DE"/>
    <w:rsid w:val="004763D7"/>
    <w:rsid w:val="00481982"/>
    <w:rsid w:val="004955DE"/>
    <w:rsid w:val="00497A6B"/>
    <w:rsid w:val="004A004E"/>
    <w:rsid w:val="004A24CF"/>
    <w:rsid w:val="004A274B"/>
    <w:rsid w:val="004A28C6"/>
    <w:rsid w:val="004A5266"/>
    <w:rsid w:val="004C3D1D"/>
    <w:rsid w:val="004C3D84"/>
    <w:rsid w:val="004C4320"/>
    <w:rsid w:val="004C7913"/>
    <w:rsid w:val="004D437A"/>
    <w:rsid w:val="004D4D13"/>
    <w:rsid w:val="004E261B"/>
    <w:rsid w:val="004E4DD6"/>
    <w:rsid w:val="004E5C33"/>
    <w:rsid w:val="004F0A96"/>
    <w:rsid w:val="004F3607"/>
    <w:rsid w:val="004F3E73"/>
    <w:rsid w:val="004F3EC2"/>
    <w:rsid w:val="004F5E36"/>
    <w:rsid w:val="004F63C0"/>
    <w:rsid w:val="00504BCC"/>
    <w:rsid w:val="00505284"/>
    <w:rsid w:val="00506845"/>
    <w:rsid w:val="00507B47"/>
    <w:rsid w:val="00507BEF"/>
    <w:rsid w:val="00507CC9"/>
    <w:rsid w:val="005114C3"/>
    <w:rsid w:val="00511655"/>
    <w:rsid w:val="005119A5"/>
    <w:rsid w:val="00520028"/>
    <w:rsid w:val="005278B7"/>
    <w:rsid w:val="00530CF6"/>
    <w:rsid w:val="00530F93"/>
    <w:rsid w:val="00532016"/>
    <w:rsid w:val="005346C8"/>
    <w:rsid w:val="00537D49"/>
    <w:rsid w:val="00543E7D"/>
    <w:rsid w:val="00545579"/>
    <w:rsid w:val="00547A68"/>
    <w:rsid w:val="005531C9"/>
    <w:rsid w:val="005571E4"/>
    <w:rsid w:val="00557965"/>
    <w:rsid w:val="00557E00"/>
    <w:rsid w:val="0056405A"/>
    <w:rsid w:val="00570C43"/>
    <w:rsid w:val="005716EC"/>
    <w:rsid w:val="00582955"/>
    <w:rsid w:val="0059697E"/>
    <w:rsid w:val="005A7AD6"/>
    <w:rsid w:val="005B13A2"/>
    <w:rsid w:val="005B2110"/>
    <w:rsid w:val="005B61E6"/>
    <w:rsid w:val="005C6ACE"/>
    <w:rsid w:val="005C77E1"/>
    <w:rsid w:val="005D0D55"/>
    <w:rsid w:val="005D668A"/>
    <w:rsid w:val="005D6A2F"/>
    <w:rsid w:val="005E1A82"/>
    <w:rsid w:val="005E794C"/>
    <w:rsid w:val="005F0A28"/>
    <w:rsid w:val="005F0E5E"/>
    <w:rsid w:val="005F17FE"/>
    <w:rsid w:val="00600535"/>
    <w:rsid w:val="00610CD6"/>
    <w:rsid w:val="00612957"/>
    <w:rsid w:val="00620DEE"/>
    <w:rsid w:val="00621F92"/>
    <w:rsid w:val="0062280A"/>
    <w:rsid w:val="00623998"/>
    <w:rsid w:val="00625639"/>
    <w:rsid w:val="0062569A"/>
    <w:rsid w:val="00631B33"/>
    <w:rsid w:val="0064184D"/>
    <w:rsid w:val="006422CC"/>
    <w:rsid w:val="00655219"/>
    <w:rsid w:val="006563AE"/>
    <w:rsid w:val="00660E3E"/>
    <w:rsid w:val="00662E74"/>
    <w:rsid w:val="00665837"/>
    <w:rsid w:val="00665CE8"/>
    <w:rsid w:val="00674074"/>
    <w:rsid w:val="006804AF"/>
    <w:rsid w:val="00680C23"/>
    <w:rsid w:val="00693766"/>
    <w:rsid w:val="006A3281"/>
    <w:rsid w:val="006B4888"/>
    <w:rsid w:val="006B5594"/>
    <w:rsid w:val="006B5F7F"/>
    <w:rsid w:val="006B7BF5"/>
    <w:rsid w:val="006C2E45"/>
    <w:rsid w:val="006C359C"/>
    <w:rsid w:val="006C5579"/>
    <w:rsid w:val="006C55E9"/>
    <w:rsid w:val="006C65FB"/>
    <w:rsid w:val="006D6C5D"/>
    <w:rsid w:val="006D6E8B"/>
    <w:rsid w:val="006E1605"/>
    <w:rsid w:val="006E737D"/>
    <w:rsid w:val="006F0C39"/>
    <w:rsid w:val="006F67B0"/>
    <w:rsid w:val="00707DD1"/>
    <w:rsid w:val="00713973"/>
    <w:rsid w:val="00720A24"/>
    <w:rsid w:val="007305F0"/>
    <w:rsid w:val="00732386"/>
    <w:rsid w:val="0073514D"/>
    <w:rsid w:val="007365B3"/>
    <w:rsid w:val="007447F3"/>
    <w:rsid w:val="007541B5"/>
    <w:rsid w:val="0075499F"/>
    <w:rsid w:val="007661C8"/>
    <w:rsid w:val="0077098D"/>
    <w:rsid w:val="00782597"/>
    <w:rsid w:val="00791E14"/>
    <w:rsid w:val="007931FA"/>
    <w:rsid w:val="007A4861"/>
    <w:rsid w:val="007A7BBA"/>
    <w:rsid w:val="007B0C50"/>
    <w:rsid w:val="007B3B1C"/>
    <w:rsid w:val="007B4896"/>
    <w:rsid w:val="007B48F9"/>
    <w:rsid w:val="007B6D9A"/>
    <w:rsid w:val="007C1A43"/>
    <w:rsid w:val="007C23E1"/>
    <w:rsid w:val="007D0951"/>
    <w:rsid w:val="007D0CBA"/>
    <w:rsid w:val="0080013E"/>
    <w:rsid w:val="0081154C"/>
    <w:rsid w:val="008123E7"/>
    <w:rsid w:val="00812F7D"/>
    <w:rsid w:val="00813288"/>
    <w:rsid w:val="008143A5"/>
    <w:rsid w:val="00814C01"/>
    <w:rsid w:val="0081601B"/>
    <w:rsid w:val="008168FC"/>
    <w:rsid w:val="00830996"/>
    <w:rsid w:val="008345F1"/>
    <w:rsid w:val="008407E2"/>
    <w:rsid w:val="008432E0"/>
    <w:rsid w:val="00843FF9"/>
    <w:rsid w:val="00857C94"/>
    <w:rsid w:val="00865B07"/>
    <w:rsid w:val="008667EA"/>
    <w:rsid w:val="00870426"/>
    <w:rsid w:val="0087637F"/>
    <w:rsid w:val="0089045B"/>
    <w:rsid w:val="00892AD5"/>
    <w:rsid w:val="008940A1"/>
    <w:rsid w:val="00894273"/>
    <w:rsid w:val="008957C0"/>
    <w:rsid w:val="008A1512"/>
    <w:rsid w:val="008A3E7B"/>
    <w:rsid w:val="008B7611"/>
    <w:rsid w:val="008C6B1A"/>
    <w:rsid w:val="008D32B9"/>
    <w:rsid w:val="008D433B"/>
    <w:rsid w:val="008D4A16"/>
    <w:rsid w:val="008E15B7"/>
    <w:rsid w:val="008E24E0"/>
    <w:rsid w:val="008E566E"/>
    <w:rsid w:val="008F1856"/>
    <w:rsid w:val="0090161A"/>
    <w:rsid w:val="00901EB6"/>
    <w:rsid w:val="00904C62"/>
    <w:rsid w:val="009054E2"/>
    <w:rsid w:val="009162FC"/>
    <w:rsid w:val="00922921"/>
    <w:rsid w:val="00922BA8"/>
    <w:rsid w:val="009246AE"/>
    <w:rsid w:val="00924DAC"/>
    <w:rsid w:val="00926773"/>
    <w:rsid w:val="009267EF"/>
    <w:rsid w:val="00927058"/>
    <w:rsid w:val="0093296B"/>
    <w:rsid w:val="00937440"/>
    <w:rsid w:val="00942750"/>
    <w:rsid w:val="00944667"/>
    <w:rsid w:val="009450CE"/>
    <w:rsid w:val="009459BB"/>
    <w:rsid w:val="00945C6A"/>
    <w:rsid w:val="00947179"/>
    <w:rsid w:val="0095164B"/>
    <w:rsid w:val="00954090"/>
    <w:rsid w:val="009573E7"/>
    <w:rsid w:val="00963E05"/>
    <w:rsid w:val="00964A45"/>
    <w:rsid w:val="00965D12"/>
    <w:rsid w:val="00967843"/>
    <w:rsid w:val="00967D54"/>
    <w:rsid w:val="00971028"/>
    <w:rsid w:val="00971245"/>
    <w:rsid w:val="009873D8"/>
    <w:rsid w:val="00993B84"/>
    <w:rsid w:val="00996483"/>
    <w:rsid w:val="00996F5A"/>
    <w:rsid w:val="009A14BF"/>
    <w:rsid w:val="009A7FB8"/>
    <w:rsid w:val="009B041A"/>
    <w:rsid w:val="009C37C3"/>
    <w:rsid w:val="009C37E0"/>
    <w:rsid w:val="009C73C1"/>
    <w:rsid w:val="009C7C86"/>
    <w:rsid w:val="009D2FF7"/>
    <w:rsid w:val="009D5637"/>
    <w:rsid w:val="009E7884"/>
    <w:rsid w:val="009E788A"/>
    <w:rsid w:val="009F0E08"/>
    <w:rsid w:val="009F6189"/>
    <w:rsid w:val="009F6DC3"/>
    <w:rsid w:val="00A1763D"/>
    <w:rsid w:val="00A17CEC"/>
    <w:rsid w:val="00A22D07"/>
    <w:rsid w:val="00A27BE0"/>
    <w:rsid w:val="00A27EF0"/>
    <w:rsid w:val="00A30DC5"/>
    <w:rsid w:val="00A3201E"/>
    <w:rsid w:val="00A42361"/>
    <w:rsid w:val="00A50B20"/>
    <w:rsid w:val="00A51390"/>
    <w:rsid w:val="00A55AD7"/>
    <w:rsid w:val="00A56BC8"/>
    <w:rsid w:val="00A6028E"/>
    <w:rsid w:val="00A60D13"/>
    <w:rsid w:val="00A66B4D"/>
    <w:rsid w:val="00A7223D"/>
    <w:rsid w:val="00A72745"/>
    <w:rsid w:val="00A76EFC"/>
    <w:rsid w:val="00A87D50"/>
    <w:rsid w:val="00A91010"/>
    <w:rsid w:val="00A97F29"/>
    <w:rsid w:val="00AA02C8"/>
    <w:rsid w:val="00AA5DB2"/>
    <w:rsid w:val="00AA702E"/>
    <w:rsid w:val="00AA75BA"/>
    <w:rsid w:val="00AA7D26"/>
    <w:rsid w:val="00AB0964"/>
    <w:rsid w:val="00AB0CBF"/>
    <w:rsid w:val="00AB5011"/>
    <w:rsid w:val="00AC0E54"/>
    <w:rsid w:val="00AC7368"/>
    <w:rsid w:val="00AC744E"/>
    <w:rsid w:val="00AD16B9"/>
    <w:rsid w:val="00AD56AA"/>
    <w:rsid w:val="00AE0AB7"/>
    <w:rsid w:val="00AE377D"/>
    <w:rsid w:val="00AE4276"/>
    <w:rsid w:val="00AE4FE0"/>
    <w:rsid w:val="00AE5A10"/>
    <w:rsid w:val="00AF0EBA"/>
    <w:rsid w:val="00AF5683"/>
    <w:rsid w:val="00B022C3"/>
    <w:rsid w:val="00B02AA4"/>
    <w:rsid w:val="00B02C8A"/>
    <w:rsid w:val="00B03FFC"/>
    <w:rsid w:val="00B04E66"/>
    <w:rsid w:val="00B060AB"/>
    <w:rsid w:val="00B17FBD"/>
    <w:rsid w:val="00B25A3B"/>
    <w:rsid w:val="00B315A6"/>
    <w:rsid w:val="00B31813"/>
    <w:rsid w:val="00B33365"/>
    <w:rsid w:val="00B427E5"/>
    <w:rsid w:val="00B469E6"/>
    <w:rsid w:val="00B50CD1"/>
    <w:rsid w:val="00B53256"/>
    <w:rsid w:val="00B57B36"/>
    <w:rsid w:val="00B57E6F"/>
    <w:rsid w:val="00B63475"/>
    <w:rsid w:val="00B7570B"/>
    <w:rsid w:val="00B800BB"/>
    <w:rsid w:val="00B85238"/>
    <w:rsid w:val="00B85767"/>
    <w:rsid w:val="00B8686D"/>
    <w:rsid w:val="00B932E2"/>
    <w:rsid w:val="00B93F69"/>
    <w:rsid w:val="00B96EA5"/>
    <w:rsid w:val="00BA1CFA"/>
    <w:rsid w:val="00BA21BB"/>
    <w:rsid w:val="00BA4BC6"/>
    <w:rsid w:val="00BA7D7E"/>
    <w:rsid w:val="00BB1DDC"/>
    <w:rsid w:val="00BB39D1"/>
    <w:rsid w:val="00BB477F"/>
    <w:rsid w:val="00BC30C9"/>
    <w:rsid w:val="00BC7CB2"/>
    <w:rsid w:val="00BD077D"/>
    <w:rsid w:val="00BD1601"/>
    <w:rsid w:val="00BE2FDB"/>
    <w:rsid w:val="00BE3E58"/>
    <w:rsid w:val="00BE59AA"/>
    <w:rsid w:val="00BF41E6"/>
    <w:rsid w:val="00BF629C"/>
    <w:rsid w:val="00C01530"/>
    <w:rsid w:val="00C01616"/>
    <w:rsid w:val="00C0162B"/>
    <w:rsid w:val="00C068ED"/>
    <w:rsid w:val="00C11C3F"/>
    <w:rsid w:val="00C140E7"/>
    <w:rsid w:val="00C16E00"/>
    <w:rsid w:val="00C22E0C"/>
    <w:rsid w:val="00C345B1"/>
    <w:rsid w:val="00C40142"/>
    <w:rsid w:val="00C52C3C"/>
    <w:rsid w:val="00C5350F"/>
    <w:rsid w:val="00C5514B"/>
    <w:rsid w:val="00C57182"/>
    <w:rsid w:val="00C57863"/>
    <w:rsid w:val="00C640AF"/>
    <w:rsid w:val="00C655FD"/>
    <w:rsid w:val="00C75407"/>
    <w:rsid w:val="00C84002"/>
    <w:rsid w:val="00C841C6"/>
    <w:rsid w:val="00C849D7"/>
    <w:rsid w:val="00C870A8"/>
    <w:rsid w:val="00C94434"/>
    <w:rsid w:val="00C94E4E"/>
    <w:rsid w:val="00CA0D75"/>
    <w:rsid w:val="00CA0E57"/>
    <w:rsid w:val="00CA1C95"/>
    <w:rsid w:val="00CA57EC"/>
    <w:rsid w:val="00CA5A9C"/>
    <w:rsid w:val="00CA68AF"/>
    <w:rsid w:val="00CC4C20"/>
    <w:rsid w:val="00CD3517"/>
    <w:rsid w:val="00CD3D25"/>
    <w:rsid w:val="00CD5FE2"/>
    <w:rsid w:val="00CD75E2"/>
    <w:rsid w:val="00CE04DB"/>
    <w:rsid w:val="00CE485C"/>
    <w:rsid w:val="00CE7C68"/>
    <w:rsid w:val="00CF0B4A"/>
    <w:rsid w:val="00CF3110"/>
    <w:rsid w:val="00CF70CF"/>
    <w:rsid w:val="00D02B4C"/>
    <w:rsid w:val="00D040C4"/>
    <w:rsid w:val="00D040FE"/>
    <w:rsid w:val="00D20AD1"/>
    <w:rsid w:val="00D2582C"/>
    <w:rsid w:val="00D30D62"/>
    <w:rsid w:val="00D31818"/>
    <w:rsid w:val="00D46B7E"/>
    <w:rsid w:val="00D57C84"/>
    <w:rsid w:val="00D6057D"/>
    <w:rsid w:val="00D6058B"/>
    <w:rsid w:val="00D71640"/>
    <w:rsid w:val="00D836C5"/>
    <w:rsid w:val="00D84576"/>
    <w:rsid w:val="00DA1399"/>
    <w:rsid w:val="00DA24C6"/>
    <w:rsid w:val="00DA3CCE"/>
    <w:rsid w:val="00DA4D7B"/>
    <w:rsid w:val="00DB26F7"/>
    <w:rsid w:val="00DB46E1"/>
    <w:rsid w:val="00DB51F3"/>
    <w:rsid w:val="00DC7647"/>
    <w:rsid w:val="00DD271C"/>
    <w:rsid w:val="00DE264A"/>
    <w:rsid w:val="00DF5072"/>
    <w:rsid w:val="00E02D18"/>
    <w:rsid w:val="00E041E7"/>
    <w:rsid w:val="00E04682"/>
    <w:rsid w:val="00E07B3A"/>
    <w:rsid w:val="00E1026B"/>
    <w:rsid w:val="00E16F66"/>
    <w:rsid w:val="00E20406"/>
    <w:rsid w:val="00E228A9"/>
    <w:rsid w:val="00E23CA1"/>
    <w:rsid w:val="00E409A8"/>
    <w:rsid w:val="00E4625E"/>
    <w:rsid w:val="00E50C12"/>
    <w:rsid w:val="00E65A2B"/>
    <w:rsid w:val="00E65B91"/>
    <w:rsid w:val="00E7209D"/>
    <w:rsid w:val="00E72EAD"/>
    <w:rsid w:val="00E73995"/>
    <w:rsid w:val="00E7648E"/>
    <w:rsid w:val="00E77223"/>
    <w:rsid w:val="00E8528B"/>
    <w:rsid w:val="00E85B94"/>
    <w:rsid w:val="00E932CB"/>
    <w:rsid w:val="00E978D0"/>
    <w:rsid w:val="00EA4613"/>
    <w:rsid w:val="00EA7F91"/>
    <w:rsid w:val="00EB1337"/>
    <w:rsid w:val="00EB1523"/>
    <w:rsid w:val="00EB2E70"/>
    <w:rsid w:val="00EB5C56"/>
    <w:rsid w:val="00EC0E49"/>
    <w:rsid w:val="00EC101F"/>
    <w:rsid w:val="00EC1D9F"/>
    <w:rsid w:val="00EC6AF6"/>
    <w:rsid w:val="00EC7565"/>
    <w:rsid w:val="00ED08B8"/>
    <w:rsid w:val="00ED5740"/>
    <w:rsid w:val="00EE0131"/>
    <w:rsid w:val="00EE17B0"/>
    <w:rsid w:val="00EF06D9"/>
    <w:rsid w:val="00EF17E8"/>
    <w:rsid w:val="00EF2B6E"/>
    <w:rsid w:val="00F038E8"/>
    <w:rsid w:val="00F07E2A"/>
    <w:rsid w:val="00F22F32"/>
    <w:rsid w:val="00F30112"/>
    <w:rsid w:val="00F3049E"/>
    <w:rsid w:val="00F30C64"/>
    <w:rsid w:val="00F31820"/>
    <w:rsid w:val="00F32BA2"/>
    <w:rsid w:val="00F32CDB"/>
    <w:rsid w:val="00F47235"/>
    <w:rsid w:val="00F516CB"/>
    <w:rsid w:val="00F53555"/>
    <w:rsid w:val="00F565FE"/>
    <w:rsid w:val="00F635BA"/>
    <w:rsid w:val="00F63A70"/>
    <w:rsid w:val="00F63D8C"/>
    <w:rsid w:val="00F7534E"/>
    <w:rsid w:val="00F83A93"/>
    <w:rsid w:val="00F92A4C"/>
    <w:rsid w:val="00F93EDF"/>
    <w:rsid w:val="00F97C8B"/>
    <w:rsid w:val="00FA1802"/>
    <w:rsid w:val="00FA21D0"/>
    <w:rsid w:val="00FA5F5F"/>
    <w:rsid w:val="00FB0D93"/>
    <w:rsid w:val="00FB349D"/>
    <w:rsid w:val="00FB730C"/>
    <w:rsid w:val="00FC2695"/>
    <w:rsid w:val="00FC3E03"/>
    <w:rsid w:val="00FC3FC1"/>
    <w:rsid w:val="00FC6CB2"/>
    <w:rsid w:val="00FD5848"/>
    <w:rsid w:val="00FD772D"/>
    <w:rsid w:val="00FF2DB9"/>
    <w:rsid w:val="00FF5812"/>
    <w:rsid w:val="00FF714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ET Top_page"/>
    <w:rsid w:val="00CD3D25"/>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table" w:customStyle="1" w:styleId="Tabellasemplice11">
    <w:name w:val="Tabella semplice 11"/>
    <w:basedOn w:val="Tabellanormale"/>
    <w:next w:val="Tabellasemplice1"/>
    <w:semiHidden/>
    <w:rsid w:val="00504BCC"/>
    <w:p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Grigliatabella1">
    <w:name w:val="Griglia tabella1"/>
    <w:basedOn w:val="Tabellanormale"/>
    <w:next w:val="Grigliatabella"/>
    <w:uiPriority w:val="59"/>
    <w:rsid w:val="002404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7790">
      <w:bodyDiv w:val="1"/>
      <w:marLeft w:val="0"/>
      <w:marRight w:val="0"/>
      <w:marTop w:val="0"/>
      <w:marBottom w:val="0"/>
      <w:divBdr>
        <w:top w:val="none" w:sz="0" w:space="0" w:color="auto"/>
        <w:left w:val="none" w:sz="0" w:space="0" w:color="auto"/>
        <w:bottom w:val="none" w:sz="0" w:space="0" w:color="auto"/>
        <w:right w:val="none" w:sz="0" w:space="0" w:color="auto"/>
      </w:divBdr>
    </w:div>
    <w:div w:id="202597799">
      <w:bodyDiv w:val="1"/>
      <w:marLeft w:val="0"/>
      <w:marRight w:val="0"/>
      <w:marTop w:val="0"/>
      <w:marBottom w:val="0"/>
      <w:divBdr>
        <w:top w:val="none" w:sz="0" w:space="0" w:color="auto"/>
        <w:left w:val="none" w:sz="0" w:space="0" w:color="auto"/>
        <w:bottom w:val="none" w:sz="0" w:space="0" w:color="auto"/>
        <w:right w:val="none" w:sz="0" w:space="0" w:color="auto"/>
      </w:divBdr>
    </w:div>
    <w:div w:id="245194235">
      <w:bodyDiv w:val="1"/>
      <w:marLeft w:val="0"/>
      <w:marRight w:val="0"/>
      <w:marTop w:val="0"/>
      <w:marBottom w:val="0"/>
      <w:divBdr>
        <w:top w:val="none" w:sz="0" w:space="0" w:color="auto"/>
        <w:left w:val="none" w:sz="0" w:space="0" w:color="auto"/>
        <w:bottom w:val="none" w:sz="0" w:space="0" w:color="auto"/>
        <w:right w:val="none" w:sz="0" w:space="0" w:color="auto"/>
      </w:divBdr>
    </w:div>
    <w:div w:id="362096487">
      <w:bodyDiv w:val="1"/>
      <w:marLeft w:val="0"/>
      <w:marRight w:val="0"/>
      <w:marTop w:val="0"/>
      <w:marBottom w:val="0"/>
      <w:divBdr>
        <w:top w:val="none" w:sz="0" w:space="0" w:color="auto"/>
        <w:left w:val="none" w:sz="0" w:space="0" w:color="auto"/>
        <w:bottom w:val="none" w:sz="0" w:space="0" w:color="auto"/>
        <w:right w:val="none" w:sz="0" w:space="0" w:color="auto"/>
      </w:divBdr>
      <w:divsChild>
        <w:div w:id="1303121027">
          <w:marLeft w:val="0"/>
          <w:marRight w:val="0"/>
          <w:marTop w:val="0"/>
          <w:marBottom w:val="0"/>
          <w:divBdr>
            <w:top w:val="none" w:sz="0" w:space="0" w:color="auto"/>
            <w:left w:val="none" w:sz="0" w:space="0" w:color="auto"/>
            <w:bottom w:val="none" w:sz="0" w:space="0" w:color="auto"/>
            <w:right w:val="none" w:sz="0" w:space="0" w:color="auto"/>
          </w:divBdr>
        </w:div>
        <w:div w:id="2059281011">
          <w:marLeft w:val="0"/>
          <w:marRight w:val="0"/>
          <w:marTop w:val="0"/>
          <w:marBottom w:val="0"/>
          <w:divBdr>
            <w:top w:val="none" w:sz="0" w:space="0" w:color="auto"/>
            <w:left w:val="none" w:sz="0" w:space="0" w:color="auto"/>
            <w:bottom w:val="none" w:sz="0" w:space="0" w:color="auto"/>
            <w:right w:val="none" w:sz="0" w:space="0" w:color="auto"/>
          </w:divBdr>
        </w:div>
      </w:divsChild>
    </w:div>
    <w:div w:id="398331374">
      <w:bodyDiv w:val="1"/>
      <w:marLeft w:val="0"/>
      <w:marRight w:val="0"/>
      <w:marTop w:val="0"/>
      <w:marBottom w:val="0"/>
      <w:divBdr>
        <w:top w:val="none" w:sz="0" w:space="0" w:color="auto"/>
        <w:left w:val="none" w:sz="0" w:space="0" w:color="auto"/>
        <w:bottom w:val="none" w:sz="0" w:space="0" w:color="auto"/>
        <w:right w:val="none" w:sz="0" w:space="0" w:color="auto"/>
      </w:divBdr>
    </w:div>
    <w:div w:id="568616807">
      <w:bodyDiv w:val="1"/>
      <w:marLeft w:val="0"/>
      <w:marRight w:val="0"/>
      <w:marTop w:val="0"/>
      <w:marBottom w:val="0"/>
      <w:divBdr>
        <w:top w:val="none" w:sz="0" w:space="0" w:color="auto"/>
        <w:left w:val="none" w:sz="0" w:space="0" w:color="auto"/>
        <w:bottom w:val="none" w:sz="0" w:space="0" w:color="auto"/>
        <w:right w:val="none" w:sz="0" w:space="0" w:color="auto"/>
      </w:divBdr>
    </w:div>
    <w:div w:id="723217460">
      <w:bodyDiv w:val="1"/>
      <w:marLeft w:val="0"/>
      <w:marRight w:val="0"/>
      <w:marTop w:val="0"/>
      <w:marBottom w:val="0"/>
      <w:divBdr>
        <w:top w:val="none" w:sz="0" w:space="0" w:color="auto"/>
        <w:left w:val="none" w:sz="0" w:space="0" w:color="auto"/>
        <w:bottom w:val="none" w:sz="0" w:space="0" w:color="auto"/>
        <w:right w:val="none" w:sz="0" w:space="0" w:color="auto"/>
      </w:divBdr>
    </w:div>
    <w:div w:id="765613759">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157210">
      <w:bodyDiv w:val="1"/>
      <w:marLeft w:val="0"/>
      <w:marRight w:val="0"/>
      <w:marTop w:val="0"/>
      <w:marBottom w:val="0"/>
      <w:divBdr>
        <w:top w:val="none" w:sz="0" w:space="0" w:color="auto"/>
        <w:left w:val="none" w:sz="0" w:space="0" w:color="auto"/>
        <w:bottom w:val="none" w:sz="0" w:space="0" w:color="auto"/>
        <w:right w:val="none" w:sz="0" w:space="0" w:color="auto"/>
      </w:divBdr>
    </w:div>
    <w:div w:id="1068769230">
      <w:bodyDiv w:val="1"/>
      <w:marLeft w:val="0"/>
      <w:marRight w:val="0"/>
      <w:marTop w:val="0"/>
      <w:marBottom w:val="0"/>
      <w:divBdr>
        <w:top w:val="none" w:sz="0" w:space="0" w:color="auto"/>
        <w:left w:val="none" w:sz="0" w:space="0" w:color="auto"/>
        <w:bottom w:val="none" w:sz="0" w:space="0" w:color="auto"/>
        <w:right w:val="none" w:sz="0" w:space="0" w:color="auto"/>
      </w:divBdr>
    </w:div>
    <w:div w:id="1094084660">
      <w:bodyDiv w:val="1"/>
      <w:marLeft w:val="0"/>
      <w:marRight w:val="0"/>
      <w:marTop w:val="0"/>
      <w:marBottom w:val="0"/>
      <w:divBdr>
        <w:top w:val="none" w:sz="0" w:space="0" w:color="auto"/>
        <w:left w:val="none" w:sz="0" w:space="0" w:color="auto"/>
        <w:bottom w:val="none" w:sz="0" w:space="0" w:color="auto"/>
        <w:right w:val="none" w:sz="0" w:space="0" w:color="auto"/>
      </w:divBdr>
    </w:div>
    <w:div w:id="1149591587">
      <w:bodyDiv w:val="1"/>
      <w:marLeft w:val="0"/>
      <w:marRight w:val="0"/>
      <w:marTop w:val="0"/>
      <w:marBottom w:val="0"/>
      <w:divBdr>
        <w:top w:val="none" w:sz="0" w:space="0" w:color="auto"/>
        <w:left w:val="none" w:sz="0" w:space="0" w:color="auto"/>
        <w:bottom w:val="none" w:sz="0" w:space="0" w:color="auto"/>
        <w:right w:val="none" w:sz="0" w:space="0" w:color="auto"/>
      </w:divBdr>
    </w:div>
    <w:div w:id="1175656194">
      <w:bodyDiv w:val="1"/>
      <w:marLeft w:val="0"/>
      <w:marRight w:val="0"/>
      <w:marTop w:val="0"/>
      <w:marBottom w:val="0"/>
      <w:divBdr>
        <w:top w:val="none" w:sz="0" w:space="0" w:color="auto"/>
        <w:left w:val="none" w:sz="0" w:space="0" w:color="auto"/>
        <w:bottom w:val="none" w:sz="0" w:space="0" w:color="auto"/>
        <w:right w:val="none" w:sz="0" w:space="0" w:color="auto"/>
      </w:divBdr>
    </w:div>
    <w:div w:id="1249537105">
      <w:bodyDiv w:val="1"/>
      <w:marLeft w:val="0"/>
      <w:marRight w:val="0"/>
      <w:marTop w:val="0"/>
      <w:marBottom w:val="0"/>
      <w:divBdr>
        <w:top w:val="none" w:sz="0" w:space="0" w:color="auto"/>
        <w:left w:val="none" w:sz="0" w:space="0" w:color="auto"/>
        <w:bottom w:val="none" w:sz="0" w:space="0" w:color="auto"/>
        <w:right w:val="none" w:sz="0" w:space="0" w:color="auto"/>
      </w:divBdr>
    </w:div>
    <w:div w:id="1342003182">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4004090">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410585">
      <w:bodyDiv w:val="1"/>
      <w:marLeft w:val="0"/>
      <w:marRight w:val="0"/>
      <w:marTop w:val="0"/>
      <w:marBottom w:val="0"/>
      <w:divBdr>
        <w:top w:val="none" w:sz="0" w:space="0" w:color="auto"/>
        <w:left w:val="none" w:sz="0" w:space="0" w:color="auto"/>
        <w:bottom w:val="none" w:sz="0" w:space="0" w:color="auto"/>
        <w:right w:val="none" w:sz="0" w:space="0" w:color="auto"/>
      </w:divBdr>
    </w:div>
    <w:div w:id="1799105999">
      <w:bodyDiv w:val="1"/>
      <w:marLeft w:val="0"/>
      <w:marRight w:val="0"/>
      <w:marTop w:val="0"/>
      <w:marBottom w:val="0"/>
      <w:divBdr>
        <w:top w:val="none" w:sz="0" w:space="0" w:color="auto"/>
        <w:left w:val="none" w:sz="0" w:space="0" w:color="auto"/>
        <w:bottom w:val="none" w:sz="0" w:space="0" w:color="auto"/>
        <w:right w:val="none" w:sz="0" w:space="0" w:color="auto"/>
      </w:divBdr>
    </w:div>
    <w:div w:id="1857113324">
      <w:bodyDiv w:val="1"/>
      <w:marLeft w:val="0"/>
      <w:marRight w:val="0"/>
      <w:marTop w:val="0"/>
      <w:marBottom w:val="0"/>
      <w:divBdr>
        <w:top w:val="none" w:sz="0" w:space="0" w:color="auto"/>
        <w:left w:val="none" w:sz="0" w:space="0" w:color="auto"/>
        <w:bottom w:val="none" w:sz="0" w:space="0" w:color="auto"/>
        <w:right w:val="none" w:sz="0" w:space="0" w:color="auto"/>
      </w:divBdr>
    </w:div>
    <w:div w:id="1934895573">
      <w:bodyDiv w:val="1"/>
      <w:marLeft w:val="0"/>
      <w:marRight w:val="0"/>
      <w:marTop w:val="0"/>
      <w:marBottom w:val="0"/>
      <w:divBdr>
        <w:top w:val="none" w:sz="0" w:space="0" w:color="auto"/>
        <w:left w:val="none" w:sz="0" w:space="0" w:color="auto"/>
        <w:bottom w:val="none" w:sz="0" w:space="0" w:color="auto"/>
        <w:right w:val="none" w:sz="0" w:space="0" w:color="auto"/>
      </w:divBdr>
    </w:div>
    <w:div w:id="2116826726">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677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73E7E-E8DC-4FBA-A1A0-8F2267897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6</Pages>
  <Words>3554</Words>
  <Characters>20261</Characters>
  <Application>Microsoft Office Word</Application>
  <DocSecurity>0</DocSecurity>
  <Lines>168</Lines>
  <Paragraphs>47</Paragraphs>
  <ScaleCrop>false</ScaleCrop>
  <HeadingPairs>
    <vt:vector size="6" baseType="variant">
      <vt:variant>
        <vt:lpstr>Titolo</vt:lpstr>
      </vt:variant>
      <vt:variant>
        <vt:i4>1</vt:i4>
      </vt:variant>
      <vt:variant>
        <vt:lpstr>Intestazioni</vt:lpstr>
      </vt:variant>
      <vt:variant>
        <vt:i4>1</vt:i4>
      </vt:variant>
      <vt:variant>
        <vt:lpstr>Title</vt:lpstr>
      </vt:variant>
      <vt:variant>
        <vt:i4>1</vt:i4>
      </vt:variant>
    </vt:vector>
  </HeadingPairs>
  <TitlesOfParts>
    <vt:vector size="3" baseType="lpstr">
      <vt:lpstr/>
      <vt:lpstr>Risk Assessment of LPG Release Scenarios</vt:lpstr>
      <vt:lpstr/>
    </vt:vector>
  </TitlesOfParts>
  <LinksUpToDate>false</LinksUpToDate>
  <CharactersWithSpaces>23768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Muratore Antonino</cp:lastModifiedBy>
  <cp:revision>28</cp:revision>
  <cp:lastPrinted>2023-04-24T20:02:00Z</cp:lastPrinted>
  <dcterms:created xsi:type="dcterms:W3CDTF">2023-06-26T10:06:00Z</dcterms:created>
  <dcterms:modified xsi:type="dcterms:W3CDTF">2023-07-06T10:28:00Z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