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6D3C05"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6D3C05" w:rsidRDefault="000A03B2" w:rsidP="00DE264A">
            <w:pPr>
              <w:tabs>
                <w:tab w:val="left" w:pos="-108"/>
              </w:tabs>
              <w:ind w:left="-108"/>
              <w:jc w:val="left"/>
              <w:rPr>
                <w:rFonts w:cs="Arial"/>
                <w:b/>
                <w:bCs/>
                <w:i/>
                <w:iCs/>
                <w:color w:val="000066"/>
                <w:sz w:val="12"/>
                <w:szCs w:val="12"/>
                <w:lang w:eastAsia="it-IT"/>
              </w:rPr>
            </w:pPr>
            <w:r w:rsidRPr="006D3C05">
              <w:rPr>
                <w:rFonts w:ascii="AdvP6960" w:hAnsi="AdvP6960" w:cs="AdvP6960"/>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6D3C05">
              <w:rPr>
                <w:rFonts w:ascii="AdvP6960" w:hAnsi="AdvP6960" w:cs="AdvP6960"/>
                <w:color w:val="241F20"/>
                <w:szCs w:val="18"/>
                <w:lang w:eastAsia="it-IT"/>
              </w:rPr>
              <w:t xml:space="preserve"> </w:t>
            </w:r>
            <w:r w:rsidRPr="006D3C05">
              <w:rPr>
                <w:rFonts w:cs="Arial"/>
                <w:b/>
                <w:bCs/>
                <w:i/>
                <w:iCs/>
                <w:color w:val="000066"/>
                <w:sz w:val="24"/>
                <w:szCs w:val="24"/>
                <w:lang w:eastAsia="it-IT"/>
              </w:rPr>
              <w:t>CHEMICAL ENGINEERING</w:t>
            </w:r>
            <w:r w:rsidRPr="006D3C05">
              <w:rPr>
                <w:rFonts w:cs="Arial"/>
                <w:b/>
                <w:bCs/>
                <w:i/>
                <w:iCs/>
                <w:color w:val="0033FF"/>
                <w:sz w:val="24"/>
                <w:szCs w:val="24"/>
                <w:lang w:eastAsia="it-IT"/>
              </w:rPr>
              <w:t xml:space="preserve"> </w:t>
            </w:r>
            <w:r w:rsidRPr="006D3C05">
              <w:rPr>
                <w:rFonts w:cs="Arial"/>
                <w:b/>
                <w:bCs/>
                <w:i/>
                <w:iCs/>
                <w:color w:val="666666"/>
                <w:sz w:val="24"/>
                <w:szCs w:val="24"/>
                <w:lang w:eastAsia="it-IT"/>
              </w:rPr>
              <w:t>TRANSACTIONS</w:t>
            </w:r>
            <w:r w:rsidRPr="006D3C05">
              <w:rPr>
                <w:color w:val="333333"/>
                <w:sz w:val="24"/>
                <w:szCs w:val="24"/>
                <w:lang w:eastAsia="it-IT"/>
              </w:rPr>
              <w:t xml:space="preserve"> </w:t>
            </w:r>
            <w:r w:rsidRPr="006D3C05">
              <w:rPr>
                <w:rFonts w:cs="Arial"/>
                <w:b/>
                <w:bCs/>
                <w:i/>
                <w:iCs/>
                <w:color w:val="000066"/>
                <w:sz w:val="27"/>
                <w:szCs w:val="27"/>
                <w:lang w:eastAsia="it-IT"/>
              </w:rPr>
              <w:br/>
            </w:r>
          </w:p>
          <w:p w14:paraId="4B780582" w14:textId="6A1BA5B6" w:rsidR="000A03B2" w:rsidRPr="006D3C05" w:rsidRDefault="00A76EFC" w:rsidP="005D668A">
            <w:pPr>
              <w:tabs>
                <w:tab w:val="left" w:pos="-108"/>
              </w:tabs>
              <w:ind w:left="-108"/>
              <w:rPr>
                <w:rFonts w:cs="Arial"/>
                <w:b/>
                <w:bCs/>
                <w:i/>
                <w:iCs/>
                <w:color w:val="000066"/>
                <w:sz w:val="22"/>
                <w:szCs w:val="22"/>
                <w:lang w:eastAsia="it-IT"/>
              </w:rPr>
            </w:pPr>
            <w:r w:rsidRPr="006D3C05">
              <w:rPr>
                <w:rFonts w:cs="Arial"/>
                <w:b/>
                <w:bCs/>
                <w:i/>
                <w:iCs/>
                <w:color w:val="000066"/>
                <w:sz w:val="22"/>
                <w:szCs w:val="22"/>
                <w:lang w:eastAsia="it-IT"/>
              </w:rPr>
              <w:t>VOL.</w:t>
            </w:r>
            <w:r w:rsidR="00FA5F5F" w:rsidRPr="006D3C05">
              <w:rPr>
                <w:rFonts w:cs="Arial"/>
                <w:b/>
                <w:bCs/>
                <w:i/>
                <w:iCs/>
                <w:color w:val="000066"/>
                <w:sz w:val="22"/>
                <w:szCs w:val="22"/>
                <w:lang w:eastAsia="it-IT"/>
              </w:rPr>
              <w:t>, 20</w:t>
            </w:r>
            <w:r w:rsidR="00DF5072" w:rsidRPr="006D3C05">
              <w:rPr>
                <w:rFonts w:cs="Arial"/>
                <w:b/>
                <w:bCs/>
                <w:i/>
                <w:iCs/>
                <w:color w:val="000066"/>
                <w:sz w:val="22"/>
                <w:szCs w:val="22"/>
                <w:lang w:eastAsia="it-IT"/>
              </w:rPr>
              <w:t>2</w:t>
            </w:r>
            <w:r w:rsidR="00543FE0" w:rsidRPr="006D3C05">
              <w:rPr>
                <w:rFonts w:cs="Arial"/>
                <w:b/>
                <w:bCs/>
                <w:i/>
                <w:iCs/>
                <w:color w:val="000066"/>
                <w:sz w:val="22"/>
                <w:szCs w:val="22"/>
                <w:lang w:eastAsia="it-IT"/>
              </w:rPr>
              <w:t>3</w:t>
            </w:r>
          </w:p>
        </w:tc>
        <w:tc>
          <w:tcPr>
            <w:tcW w:w="1843" w:type="dxa"/>
            <w:tcBorders>
              <w:left w:val="single" w:sz="4" w:space="0" w:color="auto"/>
              <w:bottom w:val="nil"/>
              <w:right w:val="single" w:sz="4" w:space="0" w:color="auto"/>
            </w:tcBorders>
          </w:tcPr>
          <w:p w14:paraId="56782132" w14:textId="77777777" w:rsidR="000A03B2" w:rsidRPr="006D3C05" w:rsidRDefault="000A03B2" w:rsidP="00CD5FE2">
            <w:pPr>
              <w:spacing w:line="140" w:lineRule="atLeast"/>
              <w:jc w:val="right"/>
              <w:rPr>
                <w:rFonts w:cs="Arial"/>
                <w:sz w:val="14"/>
                <w:szCs w:val="14"/>
              </w:rPr>
            </w:pPr>
            <w:r w:rsidRPr="006D3C05">
              <w:rPr>
                <w:rFonts w:cs="Arial"/>
                <w:sz w:val="14"/>
                <w:szCs w:val="14"/>
              </w:rPr>
              <w:t>A publication of</w:t>
            </w:r>
          </w:p>
          <w:p w14:paraId="599E5441" w14:textId="77777777" w:rsidR="000A03B2" w:rsidRPr="006D3C05" w:rsidRDefault="000A03B2" w:rsidP="00CD5FE2">
            <w:pPr>
              <w:jc w:val="right"/>
            </w:pPr>
            <w:r w:rsidRPr="006D3C05">
              <w:rPr>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6D3C05" w14:paraId="380FA3CD" w14:textId="77777777" w:rsidTr="00DE264A">
        <w:trPr>
          <w:trHeight w:val="567"/>
          <w:jc w:val="center"/>
        </w:trPr>
        <w:tc>
          <w:tcPr>
            <w:tcW w:w="6946" w:type="dxa"/>
            <w:vMerge/>
            <w:tcBorders>
              <w:right w:val="single" w:sz="4" w:space="0" w:color="auto"/>
            </w:tcBorders>
          </w:tcPr>
          <w:p w14:paraId="39E5E4C1" w14:textId="77777777" w:rsidR="000A03B2" w:rsidRPr="006D3C05"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6D3C05" w:rsidRDefault="000A03B2" w:rsidP="00CD5FE2">
            <w:pPr>
              <w:spacing w:line="140" w:lineRule="atLeast"/>
              <w:jc w:val="right"/>
              <w:rPr>
                <w:rFonts w:cs="Arial"/>
                <w:sz w:val="14"/>
                <w:szCs w:val="14"/>
              </w:rPr>
            </w:pPr>
            <w:r w:rsidRPr="006D3C05">
              <w:rPr>
                <w:rFonts w:cs="Arial"/>
                <w:sz w:val="14"/>
                <w:szCs w:val="14"/>
              </w:rPr>
              <w:t>The Italian Association</w:t>
            </w:r>
          </w:p>
          <w:p w14:paraId="7522B1D2" w14:textId="77777777" w:rsidR="000A03B2" w:rsidRPr="006D3C05" w:rsidRDefault="000A03B2" w:rsidP="00CD5FE2">
            <w:pPr>
              <w:spacing w:line="140" w:lineRule="atLeast"/>
              <w:jc w:val="right"/>
              <w:rPr>
                <w:rFonts w:cs="Arial"/>
                <w:sz w:val="14"/>
                <w:szCs w:val="14"/>
              </w:rPr>
            </w:pPr>
            <w:r w:rsidRPr="006D3C05">
              <w:rPr>
                <w:rFonts w:cs="Arial"/>
                <w:sz w:val="14"/>
                <w:szCs w:val="14"/>
              </w:rPr>
              <w:t>of Chemical Engineering</w:t>
            </w:r>
          </w:p>
          <w:p w14:paraId="4F0CC5DE" w14:textId="47FDB2FC" w:rsidR="000A03B2" w:rsidRPr="006D3C05" w:rsidRDefault="000D0268" w:rsidP="00CD5FE2">
            <w:pPr>
              <w:spacing w:line="140" w:lineRule="atLeast"/>
              <w:jc w:val="right"/>
              <w:rPr>
                <w:rFonts w:cs="Arial"/>
                <w:sz w:val="13"/>
                <w:szCs w:val="13"/>
              </w:rPr>
            </w:pPr>
            <w:r w:rsidRPr="006D3C05">
              <w:rPr>
                <w:rFonts w:cs="Arial"/>
                <w:sz w:val="13"/>
                <w:szCs w:val="13"/>
              </w:rPr>
              <w:t>Online at www.cetjournal.it</w:t>
            </w:r>
          </w:p>
        </w:tc>
      </w:tr>
      <w:tr w:rsidR="000A03B2" w:rsidRPr="006D3C05" w14:paraId="2D1B7169" w14:textId="77777777" w:rsidTr="00DE264A">
        <w:trPr>
          <w:trHeight w:val="68"/>
          <w:jc w:val="center"/>
        </w:trPr>
        <w:tc>
          <w:tcPr>
            <w:tcW w:w="8789" w:type="dxa"/>
            <w:gridSpan w:val="2"/>
          </w:tcPr>
          <w:p w14:paraId="4B0BB442" w14:textId="0CD871F8" w:rsidR="00300E56" w:rsidRPr="006D3C05" w:rsidRDefault="00300E56" w:rsidP="007931FA">
            <w:pPr>
              <w:ind w:left="-107"/>
              <w:rPr>
                <w:rFonts w:ascii="Times New Roman" w:hAnsi="Times New Roman"/>
                <w:sz w:val="24"/>
                <w:szCs w:val="24"/>
                <w:lang w:eastAsia="it-IT"/>
              </w:rPr>
            </w:pPr>
            <w:r w:rsidRPr="006D3C05">
              <w:rPr>
                <w:rFonts w:ascii="Tahoma" w:hAnsi="Tahoma" w:cs="Tahoma"/>
                <w:iCs/>
                <w:color w:val="333333"/>
                <w:sz w:val="14"/>
                <w:szCs w:val="14"/>
                <w:lang w:eastAsia="it-IT"/>
              </w:rPr>
              <w:t>Guest Editors:</w:t>
            </w:r>
            <w:r w:rsidR="00904C62" w:rsidRPr="006D3C05">
              <w:rPr>
                <w:rFonts w:ascii="Tahoma" w:hAnsi="Tahoma" w:cs="Tahoma"/>
                <w:iCs/>
                <w:color w:val="333333"/>
                <w:sz w:val="14"/>
                <w:szCs w:val="14"/>
                <w:lang w:eastAsia="it-IT"/>
              </w:rPr>
              <w:t xml:space="preserve"> </w:t>
            </w:r>
            <w:r w:rsidR="00225738" w:rsidRPr="006D3C05">
              <w:rPr>
                <w:rFonts w:ascii="Tahoma" w:hAnsi="Tahoma" w:cs="Tahoma"/>
                <w:iCs/>
                <w:color w:val="333333"/>
                <w:sz w:val="14"/>
                <w:szCs w:val="14"/>
                <w:lang w:eastAsia="it-IT"/>
              </w:rPr>
              <w:t>Sabrina Copelli, Richard Siwek</w:t>
            </w:r>
          </w:p>
          <w:p w14:paraId="1B0F1814" w14:textId="3BBD1B69" w:rsidR="000A03B2" w:rsidRPr="006D3C05" w:rsidRDefault="00FA5F5F" w:rsidP="005D668A">
            <w:pPr>
              <w:tabs>
                <w:tab w:val="left" w:pos="-108"/>
              </w:tabs>
              <w:spacing w:line="140" w:lineRule="atLeast"/>
              <w:ind w:left="-107"/>
              <w:jc w:val="left"/>
            </w:pPr>
            <w:r w:rsidRPr="006D3C05">
              <w:rPr>
                <w:rFonts w:ascii="Tahoma" w:hAnsi="Tahoma" w:cs="Tahoma"/>
                <w:iCs/>
                <w:color w:val="333333"/>
                <w:sz w:val="14"/>
                <w:szCs w:val="14"/>
                <w:lang w:eastAsia="it-IT"/>
              </w:rPr>
              <w:t>Copyright © 20</w:t>
            </w:r>
            <w:r w:rsidR="00DF5072" w:rsidRPr="006D3C05">
              <w:rPr>
                <w:rFonts w:ascii="Tahoma" w:hAnsi="Tahoma" w:cs="Tahoma"/>
                <w:iCs/>
                <w:color w:val="333333"/>
                <w:sz w:val="14"/>
                <w:szCs w:val="14"/>
                <w:lang w:eastAsia="it-IT"/>
              </w:rPr>
              <w:t>2</w:t>
            </w:r>
            <w:r w:rsidR="00543FE0" w:rsidRPr="006D3C05">
              <w:rPr>
                <w:rFonts w:ascii="Tahoma" w:hAnsi="Tahoma" w:cs="Tahoma"/>
                <w:iCs/>
                <w:color w:val="333333"/>
                <w:sz w:val="14"/>
                <w:szCs w:val="14"/>
                <w:lang w:eastAsia="it-IT"/>
              </w:rPr>
              <w:t>3</w:t>
            </w:r>
            <w:r w:rsidR="00904C62" w:rsidRPr="006D3C05">
              <w:rPr>
                <w:rFonts w:ascii="Tahoma" w:hAnsi="Tahoma" w:cs="Tahoma"/>
                <w:iCs/>
                <w:color w:val="333333"/>
                <w:sz w:val="14"/>
                <w:szCs w:val="14"/>
                <w:lang w:eastAsia="it-IT"/>
              </w:rPr>
              <w:t>, AIDIC Servizi S.r.l.</w:t>
            </w:r>
            <w:r w:rsidR="00300E56" w:rsidRPr="006D3C05">
              <w:rPr>
                <w:rFonts w:ascii="Tahoma" w:hAnsi="Tahoma" w:cs="Tahoma"/>
                <w:iCs/>
                <w:color w:val="333333"/>
                <w:sz w:val="14"/>
                <w:szCs w:val="14"/>
                <w:lang w:eastAsia="it-IT"/>
              </w:rPr>
              <w:br/>
            </w:r>
            <w:r w:rsidR="00300E56" w:rsidRPr="006D3C05">
              <w:rPr>
                <w:rFonts w:ascii="Tahoma" w:hAnsi="Tahoma" w:cs="Tahoma"/>
                <w:b/>
                <w:iCs/>
                <w:color w:val="000000"/>
                <w:sz w:val="14"/>
                <w:szCs w:val="14"/>
                <w:lang w:eastAsia="it-IT"/>
              </w:rPr>
              <w:t>ISBN</w:t>
            </w:r>
            <w:r w:rsidR="00300E56" w:rsidRPr="006D3C05">
              <w:rPr>
                <w:rFonts w:ascii="Tahoma" w:hAnsi="Tahoma" w:cs="Tahoma"/>
                <w:iCs/>
                <w:color w:val="000000"/>
                <w:sz w:val="14"/>
                <w:szCs w:val="14"/>
                <w:lang w:eastAsia="it-IT"/>
              </w:rPr>
              <w:t xml:space="preserve"> </w:t>
            </w:r>
            <w:r w:rsidR="00300E56" w:rsidRPr="006D3C05">
              <w:rPr>
                <w:rFonts w:ascii="Tahoma" w:hAnsi="Tahoma" w:cs="Tahoma"/>
                <w:iCs/>
                <w:color w:val="333333"/>
                <w:sz w:val="14"/>
                <w:szCs w:val="14"/>
                <w:lang w:eastAsia="it-IT"/>
              </w:rPr>
              <w:t xml:space="preserve">; </w:t>
            </w:r>
            <w:r w:rsidR="00300E56" w:rsidRPr="006D3C05">
              <w:rPr>
                <w:rFonts w:ascii="Tahoma" w:hAnsi="Tahoma" w:cs="Tahoma"/>
                <w:b/>
                <w:iCs/>
                <w:color w:val="333333"/>
                <w:sz w:val="14"/>
                <w:szCs w:val="14"/>
                <w:lang w:eastAsia="it-IT"/>
              </w:rPr>
              <w:t>ISSN</w:t>
            </w:r>
            <w:r w:rsidR="00300E56" w:rsidRPr="006D3C05">
              <w:rPr>
                <w:rFonts w:ascii="Tahoma" w:hAnsi="Tahoma" w:cs="Tahoma"/>
                <w:iCs/>
                <w:color w:val="333333"/>
                <w:sz w:val="14"/>
                <w:szCs w:val="14"/>
                <w:lang w:eastAsia="it-IT"/>
              </w:rPr>
              <w:t xml:space="preserve"> 2283-9216</w:t>
            </w:r>
          </w:p>
        </w:tc>
      </w:tr>
    </w:tbl>
    <w:p w14:paraId="10DAA130" w14:textId="77777777" w:rsidR="000A03B2" w:rsidRPr="006D3C05" w:rsidRDefault="000A03B2" w:rsidP="000A03B2">
      <w:pPr>
        <w:pStyle w:val="CETAuthors"/>
        <w:rPr>
          <w:noProof w:val="0"/>
        </w:rPr>
        <w:sectPr w:rsidR="000A03B2" w:rsidRPr="006D3C05" w:rsidSect="00CD5FE2">
          <w:type w:val="continuous"/>
          <w:pgSz w:w="11906" w:h="16838" w:code="9"/>
          <w:pgMar w:top="1701" w:right="1418" w:bottom="1701" w:left="1701" w:header="1701" w:footer="0" w:gutter="0"/>
          <w:cols w:space="708"/>
          <w:titlePg/>
          <w:docGrid w:linePitch="360"/>
        </w:sectPr>
      </w:pPr>
    </w:p>
    <w:p w14:paraId="2E667253" w14:textId="3FF275C2" w:rsidR="00E978D0" w:rsidRPr="006D3C05" w:rsidRDefault="00445550" w:rsidP="00E978D0">
      <w:pPr>
        <w:pStyle w:val="CETTitle"/>
      </w:pPr>
      <w:r w:rsidRPr="006D3C05">
        <w:t xml:space="preserve">Turbulent Ignition Regimes in 20 L </w:t>
      </w:r>
      <w:r w:rsidR="004F522A" w:rsidRPr="006D3C05">
        <w:t>Explosion Vessel</w:t>
      </w:r>
      <w:r w:rsidRPr="006D3C05">
        <w:t xml:space="preserve">: CFD </w:t>
      </w:r>
      <w:r w:rsidR="004F522A" w:rsidRPr="006D3C05">
        <w:t>Simulations</w:t>
      </w:r>
    </w:p>
    <w:p w14:paraId="2B3CA35C" w14:textId="3E036E9D" w:rsidR="00E978D0" w:rsidRPr="006D3C05" w:rsidRDefault="00367006" w:rsidP="00AB5011">
      <w:pPr>
        <w:pStyle w:val="CETAuthors"/>
        <w:rPr>
          <w:noProof w:val="0"/>
        </w:rPr>
      </w:pPr>
      <w:r w:rsidRPr="006D3C05">
        <w:rPr>
          <w:noProof w:val="0"/>
        </w:rPr>
        <w:t>Maria Portarapillo, Almerinda Di Benedetto</w:t>
      </w:r>
    </w:p>
    <w:p w14:paraId="5053C5A8" w14:textId="652504A5" w:rsidR="00E978D0" w:rsidRPr="006D3C05" w:rsidRDefault="006748F6" w:rsidP="00E978D0">
      <w:pPr>
        <w:pStyle w:val="CETAddress"/>
        <w:rPr>
          <w:noProof w:val="0"/>
        </w:rPr>
      </w:pPr>
      <w:r w:rsidRPr="006D3C05">
        <w:rPr>
          <w:noProof w:val="0"/>
        </w:rPr>
        <w:t>Department of Chemical, Materials and Production Engineering, University of Naples Federico II, P.le Tecchio 80, 80125, Naples, Italy</w:t>
      </w:r>
      <w:r w:rsidR="00E978D0" w:rsidRPr="006D3C05">
        <w:rPr>
          <w:noProof w:val="0"/>
        </w:rPr>
        <w:t xml:space="preserve"> </w:t>
      </w:r>
    </w:p>
    <w:p w14:paraId="0127A28D" w14:textId="398AD769" w:rsidR="00E978D0" w:rsidRPr="006D3C05" w:rsidRDefault="006748F6" w:rsidP="00E978D0">
      <w:pPr>
        <w:pStyle w:val="CETemail"/>
        <w:rPr>
          <w:noProof w:val="0"/>
        </w:rPr>
      </w:pPr>
      <w:r w:rsidRPr="006D3C05">
        <w:rPr>
          <w:noProof w:val="0"/>
        </w:rPr>
        <w:t>Maria.portarapillo@unina.it</w:t>
      </w:r>
    </w:p>
    <w:p w14:paraId="37A61FCE" w14:textId="51D5DCE3" w:rsidR="00DA24C6" w:rsidRPr="006D3C05" w:rsidRDefault="005505BA" w:rsidP="005505BA">
      <w:pPr>
        <w:pStyle w:val="CETBodytext"/>
        <w:rPr>
          <w:lang w:val="en-GB"/>
        </w:rPr>
      </w:pPr>
      <w:r w:rsidRPr="006D3C05">
        <w:rPr>
          <w:lang w:val="en-GB"/>
        </w:rPr>
        <w:t xml:space="preserve">The understanding of the ignition process is important for many practical and fundamental applications including </w:t>
      </w:r>
      <w:r w:rsidR="00DB4835" w:rsidRPr="006D3C05">
        <w:rPr>
          <w:lang w:val="en-GB"/>
        </w:rPr>
        <w:t>safety</w:t>
      </w:r>
      <w:r w:rsidRPr="006D3C05">
        <w:rPr>
          <w:lang w:val="en-GB"/>
        </w:rPr>
        <w:t xml:space="preserve">, chemical conversion, flame stabilization, </w:t>
      </w:r>
      <w:r w:rsidR="006F570F" w:rsidRPr="006D3C05">
        <w:rPr>
          <w:lang w:val="en-GB"/>
        </w:rPr>
        <w:t xml:space="preserve">and internal combustion engines </w:t>
      </w:r>
      <w:r w:rsidR="00831880" w:rsidRPr="006D3C05">
        <w:rPr>
          <w:lang w:val="en-GB"/>
        </w:rPr>
        <w:t>operation.</w:t>
      </w:r>
      <w:r w:rsidR="00163041" w:rsidRPr="006D3C05">
        <w:rPr>
          <w:lang w:val="en-GB"/>
        </w:rPr>
        <w:t xml:space="preserve"> The ignition process can be influenced by many factors, including the </w:t>
      </w:r>
      <w:r w:rsidR="008B750A" w:rsidRPr="006D3C05">
        <w:rPr>
          <w:lang w:val="en-GB"/>
        </w:rPr>
        <w:t>pre-ignition turbulence level</w:t>
      </w:r>
      <w:r w:rsidR="00163041" w:rsidRPr="006D3C05">
        <w:rPr>
          <w:lang w:val="en-GB"/>
        </w:rPr>
        <w:t>. Turbulence can generally be generated intentionally by the introduction of gases into the combustion chamber, but it can also occur unintentionally, for example by a sudden release of gases into the atmosphere as a result of an accident.</w:t>
      </w:r>
      <w:r w:rsidR="001734D1" w:rsidRPr="006D3C05">
        <w:rPr>
          <w:lang w:val="en-GB"/>
        </w:rPr>
        <w:t xml:space="preserve"> Through the small scale 20 L CFD simulations of the ignition process of a stoichiometric methane-air mixture at different ignition energies and levels of turbulence, the present work aims to create a simple operational map that correlates the ignition energy with the degree of turbulence to understand in which areas flame propagation is successful and in which it is not.</w:t>
      </w:r>
      <w:r w:rsidR="0017682E" w:rsidRPr="006D3C05">
        <w:rPr>
          <w:lang w:val="en-GB"/>
        </w:rPr>
        <w:t xml:space="preserve"> Such a tool may be useful both for evaluating the operation of internal combustion engines, where ignition and flame propagation are desired phenomena, and for a preliminary assessment of the risk and probability of ignition. This approach may also be applied in the future to other gaseous (as in the case of hydrogen), liquid, or solid systems.</w:t>
      </w:r>
    </w:p>
    <w:p w14:paraId="476B2F2E" w14:textId="77777777" w:rsidR="00600535" w:rsidRPr="006D3C05" w:rsidRDefault="00600535" w:rsidP="00600535">
      <w:pPr>
        <w:pStyle w:val="CETHeading1"/>
        <w:rPr>
          <w:lang w:val="en-GB"/>
        </w:rPr>
      </w:pPr>
      <w:r w:rsidRPr="006D3C05">
        <w:rPr>
          <w:lang w:val="en-GB"/>
        </w:rPr>
        <w:t>Introduction</w:t>
      </w:r>
    </w:p>
    <w:p w14:paraId="6B161F80" w14:textId="41FDAC29" w:rsidR="00BE6870" w:rsidRPr="006D3C05" w:rsidRDefault="00BE6870" w:rsidP="00BE6870">
      <w:pPr>
        <w:pStyle w:val="CETBodytext"/>
        <w:rPr>
          <w:lang w:val="en-GB"/>
        </w:rPr>
      </w:pPr>
      <w:r w:rsidRPr="006D3C05">
        <w:rPr>
          <w:lang w:val="en-GB"/>
        </w:rPr>
        <w:t xml:space="preserve">In chemical industrial processes, many accidents are due to the explosions of flammable mixtures causing serious damage to people and the environment. Measures for prevention and damage limitation are based on knowledge of the parameters that fully </w:t>
      </w:r>
      <w:r w:rsidR="00BB4597" w:rsidRPr="006D3C05">
        <w:rPr>
          <w:lang w:val="en-GB"/>
        </w:rPr>
        <w:t>characterize</w:t>
      </w:r>
      <w:r w:rsidRPr="006D3C05">
        <w:rPr>
          <w:lang w:val="en-GB"/>
        </w:rPr>
        <w:t xml:space="preserve"> the flammability and explosive properties of flammable mixtures. The minimum ignition energy is one of the key factors in both the design of ignition means and the prevention of explosion hazards. There are several experimental data on minimum ignition energies relative to the main combustible gases (such as hydrogen, hydrocarbons etc.), liquids and dust, often determined by experiments with electric sparks </w:t>
      </w:r>
      <w:r w:rsidRPr="006D3C05">
        <w:rPr>
          <w:lang w:val="en-GB"/>
        </w:rPr>
        <w:fldChar w:fldCharType="begin" w:fldLock="1"/>
      </w:r>
      <w:r w:rsidR="00286BA7" w:rsidRPr="006D3C05">
        <w:rPr>
          <w:lang w:val="en-GB"/>
        </w:rPr>
        <w:instrText>ADDIN CSL_CITATION {"citationItems":[{"id":"ITEM-1","itemData":{"author":[{"dropping-particle":"","family":"Lewis","given":"B.","non-dropping-particle":"","parse-names":false,"suffix":""},{"dropping-particle":"","family":"Elbe","given":"G.","non-dropping-particle":"von","parse-names":false,"suffix":""}],"id":"ITEM-1","issued":{"date-parts":[["1987"]]},"publisher":"Academic Press","publisher-place":"London","title":"Combustion, Flame and Explosions of Gases","type":"book"},"uris":["http://www.mendeley.com/documents/?uuid=baebf277-3f05-4c63-a3b1-5a080cbaf6c7"]}],"mendeley":{"formattedCitation":"(Lewis and von Elbe, 1987)","plainTextFormattedCitation":"(Lewis and von Elbe, 1987)","previouslyFormattedCitation":"(Lewis and von Elbe, 1987)"},"properties":{"noteIndex":0},"schema":"https://github.com/citation-style-language/schema/raw/master/csl-citation.json"}</w:instrText>
      </w:r>
      <w:r w:rsidRPr="006D3C05">
        <w:rPr>
          <w:lang w:val="en-GB"/>
        </w:rPr>
        <w:fldChar w:fldCharType="separate"/>
      </w:r>
      <w:r w:rsidRPr="006D3C05">
        <w:rPr>
          <w:noProof/>
          <w:lang w:val="en-GB"/>
        </w:rPr>
        <w:t>(Lewis and von Elbe, 1987)</w:t>
      </w:r>
      <w:r w:rsidRPr="006D3C05">
        <w:rPr>
          <w:lang w:val="en-GB"/>
        </w:rPr>
        <w:fldChar w:fldCharType="end"/>
      </w:r>
      <w:r w:rsidRPr="006D3C05">
        <w:rPr>
          <w:lang w:val="en-GB"/>
        </w:rPr>
        <w:t xml:space="preserve">. </w:t>
      </w:r>
    </w:p>
    <w:p w14:paraId="10647B8A" w14:textId="77BA79B2" w:rsidR="009619D1" w:rsidRPr="006D3C05" w:rsidRDefault="00BE6870" w:rsidP="00BE6870">
      <w:pPr>
        <w:pStyle w:val="CETBodytext"/>
        <w:rPr>
          <w:lang w:val="en-GB"/>
        </w:rPr>
      </w:pPr>
      <w:r w:rsidRPr="006D3C05">
        <w:rPr>
          <w:lang w:val="en-GB"/>
        </w:rPr>
        <w:t>However, measurement is a difficult task since the data of the minimum ignition energy strongly scatter depending on the material shape of the electrodes, the properties of the electric discharge, the spark duration</w:t>
      </w:r>
      <w:r w:rsidR="008E13A7" w:rsidRPr="006D3C05">
        <w:rPr>
          <w:lang w:val="en-GB"/>
        </w:rPr>
        <w:t xml:space="preserve"> </w:t>
      </w:r>
      <w:r w:rsidR="008E13A7" w:rsidRPr="006D3C05">
        <w:rPr>
          <w:lang w:val="en-GB"/>
        </w:rPr>
        <w:fldChar w:fldCharType="begin" w:fldLock="1"/>
      </w:r>
      <w:r w:rsidR="002C13F2" w:rsidRPr="006D3C05">
        <w:rPr>
          <w:lang w:val="en-GB"/>
        </w:rPr>
        <w:instrText>ADDIN CSL_CITATION {"citationItems":[{"id":"ITEM-1","itemData":{"DOI":"10.1016/j.ssci.2012.04.004","ISSN":"09257535","abstract":"The paper outlines an experimental study on influence of the spark duration and the vessel volume on explosion parameters of premixed methane-air mixtures in the closed explosion vessels. The main findings from these experiments are: For the weaker ignition the spark durations in the range from 6.5. μs to 40.6. μs had little impact on explosion parameters for premixed methane-air mixtures in the 5. L vessel or 20. L vessel; For the same ignitions and volume fractions of methane in air the explosion pressures and the flame temperatures in both vessels of 5. L and 20. L were approximately the same, but the rates of pressure rises in both vessels of 5. L and 20. L were different; The explosion indexes obtained from the measured pressure time histories for both vessels of 5. L and 20. L were approximately equal; For the weaker ignition with the fixed spark duration 45. μs the ignition energies in the range from 54. mJ to 430. mJ had little impact on the explosion parameters; For the same ignition and the volume fractions of methane in air, the vessel volumes had a significant impact on the flame temperatures near the vessel wall; The flame temperatures near the vessel wall decreased as the vessel volumes increased. © 2012 Elsevier Ltd.","author":[{"dropping-particle":"","family":"Zhang","given":"Qi","non-dropping-particle":"","parse-names":false,"suffix":""},{"dropping-particle":"","family":"Li","given":"Wei","non-dropping-particle":"","parse-names":false,"suffix":""},{"dropping-particle":"","family":"Liang","given":"Hui Min","non-dropping-particle":"","parse-names":false,"suffix":""}],"container-title":"Safety Science","id":"ITEM-1","issue":"9","issued":{"date-parts":[["2012"]]},"page":"1715-1721","publisher":"Elsevier Ltd","title":"Effect of spark duration on explosion parameters of methane/air mixtures in closed vessels","type":"article-journal","volume":"50"},"uris":["http://www.mendeley.com/documents/?uuid=33d7c9ee-673b-488e-8c23-bb46f6daa724"]}],"mendeley":{"formattedCitation":"(Zhang et al., 2012)","plainTextFormattedCitation":"(Zhang et al., 2012)","previouslyFormattedCitation":"(Zhang et al., 2012)"},"properties":{"noteIndex":0},"schema":"https://github.com/citation-style-language/schema/raw/master/csl-citation.json"}</w:instrText>
      </w:r>
      <w:r w:rsidR="008E13A7" w:rsidRPr="006D3C05">
        <w:rPr>
          <w:lang w:val="en-GB"/>
        </w:rPr>
        <w:fldChar w:fldCharType="separate"/>
      </w:r>
      <w:r w:rsidR="008E13A7" w:rsidRPr="006D3C05">
        <w:rPr>
          <w:noProof/>
          <w:lang w:val="en-GB"/>
        </w:rPr>
        <w:t>(Zhang et al., 2012)</w:t>
      </w:r>
      <w:r w:rsidR="008E13A7" w:rsidRPr="006D3C05">
        <w:rPr>
          <w:lang w:val="en-GB"/>
        </w:rPr>
        <w:fldChar w:fldCharType="end"/>
      </w:r>
      <w:r w:rsidRPr="006D3C05">
        <w:rPr>
          <w:lang w:val="en-GB"/>
        </w:rPr>
        <w:t>, the initial pressure and temperature and the pre-ignition turbulence level</w:t>
      </w:r>
      <w:r w:rsidR="002C13F2" w:rsidRPr="006D3C05">
        <w:rPr>
          <w:lang w:val="en-GB"/>
        </w:rPr>
        <w:t xml:space="preserve"> </w:t>
      </w:r>
      <w:r w:rsidR="002C13F2" w:rsidRPr="006D3C05">
        <w:rPr>
          <w:lang w:val="en-GB"/>
        </w:rPr>
        <w:fldChar w:fldCharType="begin" w:fldLock="1"/>
      </w:r>
      <w:r w:rsidR="005D71F7" w:rsidRPr="006D3C05">
        <w:rPr>
          <w:lang w:val="en-GB"/>
        </w:rPr>
        <w:instrText>ADDIN CSL_CITATION {"citationItems":[{"id":"ITEM-1","itemData":{"DOI":"10.1016/j.proci.2020.06.240","ISSN":"15407489","abstract":"Pre-ignition is an undesirable ignition event that affects chemical kinetic measurements in chemical reactors. Meanwhile, it appears randomly in engineering systems and is highly relevant to the soft knock or much stronger and detrimental super-knock in modern downsized engines. Currently its origins are still not fully understood. In this study, the role of turbulence in pre-ignition phenomena was experimentally investigated using a novel rapid compression machine. Different turbulent flow fields were achieved through calibrated orifice plates. Stoichiometric isooctane/air mixtures were tested under engine-relevant conditions in a target pressure range of 15-50 bar and a temperature range of 720-860 K. Useful insights into pre-ignition mechanism were obtained by combining instantaneous pressure acquisition with simultaneously recorded high-speed imaging. The experimental results demonstrate that owning to turbulent mixing with colder boundary layers, ignition timing is delayed when compared to ideal homogeneous compression ignition scenarios. However, pre-ignition phenomena can still be observed and become pronounced at lower target pressures with longer ignition delays. Moreover, pre-ignition formation can be characterized by single or multiple spherical flame kernels, distributed discretely inside core mixture or at near-wall regions. Different from the auto-ignition scenarios dominated by the chemical reactivity of test mixture, these pre-ignition flame kernels feature standard deflagration propagation. Finally, a dimensionless scaling analysis shows that pre-ignition formation is closely associated with turbulent length scale and laminar flame thickness.","author":[{"dropping-particle":"","family":"Pan","given":"Jiaying","non-dropping-particle":"","parse-names":false,"suffix":""},{"dropping-particle":"","family":"Zheng","given":"Zeyuan","non-dropping-particle":"","parse-names":false,"suffix":""},{"dropping-particle":"","family":"Wei","given":"Haiqiao","non-dropping-particle":"","parse-names":false,"suffix":""},{"dropping-particle":"","family":"Pan","given":"Mingzhang","non-dropping-particle":"","parse-names":false,"suffix":""},{"dropping-particle":"","family":"Shu","given":"Gequn","non-dropping-particle":"","parse-names":false,"suffix":""},{"dropping-particle":"","family":"Liang","given":"Xingyu","non-dropping-particle":"","parse-names":false,"suffix":""}],"container-title":"Proceedings of the Combustion Institute","id":"ITEM-1","issue":"4","issued":{"date-parts":[["2021"]]},"page":"5801-5810","publisher":"Elsevier Inc.","title":"An experimental investigation on pre-ignition phenomena: Emphasis on the role of turbulence","type":"article-journal","volume":"38"},"uris":["http://www.mendeley.com/documents/?uuid=a1c462e7-27e4-4f4e-b082-895229bf47a3"]},{"id":"ITEM-2","itemData":{"DOI":"10.1016/j.combustflame.2022.112273","ISSN":"15562921","abstract":"Hydrogen engines with zero-carbon emissions have recently drawn attention while they often suffer from pre-ignition and knocking issues. It is generally understood that knocking intensity is closely associated with auto-ignition development modes, which are affected by multiple variables and their interactions. In this work, the role of thermal stratification and turbulent intensity in auto-ignition development modes were numerically investigated, addressing combustion mode transition. Representative end-gas auto-ignition conditions were employed for hydrogen/air mixtures. Meanwhile, the support vector machine (SVM) algorithm was first applied in the predictions of detonation development. The results show that thermal stratification plays a decisive role in auto-ignition development modes, and supersonic auto-ignition deflagration, direct detonation, and subsonic auto-ignition deflagration can be sequentially observed with the increase of temperature gradient. However, affected by multiple hotspot interactions and pressure wave disturbance, deflagration to detonation transition arising from secondary hotspot auto-ignition becomes prevalent. It is noted that, unlike direct detonation that evolves at the entire circumferential directions, deflagration to detonation transition develops only along certain directions with intermediate temperature gradient, and such gradient steepness is much higher than previous results based on simplified models. When turbulence fluctuation is introduced, the distribution of thermal stratification is modified significantly and the local temperature field is broken into multiple smaller regions filled with mixed temperature gradients. Consequently, deflagration to detonation transition is promoted both temporally and spatially, especially at high turbulence intensity. Besides, the SVM classifier is trained using the above results of numerical simulations for detonation predictions. A diagram consisting of the most energetic length scale and temperature fluctuation is proposed, which shows good performance in predicting detonation occurrence. The present study demonstrates that thermal stratification and turbulent intensity can significantly affect the transition behavior of auto-ignition development mode, and machine learning approaches have the potential to achieve good predictions for detonation occurrence in multiple physical fields.","author":[{"dropping-particle":"","family":"Pan","given":"Jiaying","non-dropping-particle":"","parse-names":false,"suffix":""},{"dropping-particle":"","family":"He","given":"Yu","non-dropping-particle":"","parse-names":false,"suffix":""},{"dropping-particle":"","family":"Wang","given":"Lei","non-dropping-particle":"","parse-names":false,"suffix":""},{"dropping-particle":"","family":"Li","given":"Tao","non-dropping-particle":"","parse-names":false,"suffix":""},{"dropping-particle":"","family":"Wei","given":"Haiqiao","non-dropping-particle":"","parse-names":false,"suffix":""},{"dropping-particle":"","family":"Shu","given":"Gequn","non-dropping-particle":"","parse-names":false,"suffix":""}],"container-title":"Combustion and Flame","id":"ITEM-2","issued":{"date-parts":[["2022"]]},"title":"Effects of thermal stratification and turbulent intensity on auto-ignition and combustion mode transition","type":"article-journal","volume":"244"},"uris":["http://www.mendeley.com/documents/?uuid=0b2a72d5-b36f-4e98-b365-acca38612468"]}],"mendeley":{"formattedCitation":"(Pan et al., 2022, 2021)","plainTextFormattedCitation":"(Pan et al., 2022, 2021)","previouslyFormattedCitation":"(Pan et al., 2022, 2021)"},"properties":{"noteIndex":0},"schema":"https://github.com/citation-style-language/schema/raw/master/csl-citation.json"}</w:instrText>
      </w:r>
      <w:r w:rsidR="002C13F2" w:rsidRPr="006D3C05">
        <w:rPr>
          <w:lang w:val="en-GB"/>
        </w:rPr>
        <w:fldChar w:fldCharType="separate"/>
      </w:r>
      <w:r w:rsidR="00A136B2" w:rsidRPr="006D3C05">
        <w:rPr>
          <w:noProof/>
          <w:lang w:val="en-GB"/>
        </w:rPr>
        <w:t>(Pan et al., 2022, 2021)</w:t>
      </w:r>
      <w:r w:rsidR="002C13F2" w:rsidRPr="006D3C05">
        <w:rPr>
          <w:lang w:val="en-GB"/>
        </w:rPr>
        <w:fldChar w:fldCharType="end"/>
      </w:r>
      <w:r w:rsidRPr="006D3C05">
        <w:rPr>
          <w:lang w:val="en-GB"/>
        </w:rPr>
        <w:t xml:space="preserve">. </w:t>
      </w:r>
    </w:p>
    <w:p w14:paraId="4AC36963" w14:textId="19CAB3E8" w:rsidR="00BE6870" w:rsidRPr="006D3C05" w:rsidRDefault="00BE6870" w:rsidP="00BE6870">
      <w:pPr>
        <w:pStyle w:val="CETBodytext"/>
        <w:rPr>
          <w:lang w:val="en-GB"/>
        </w:rPr>
      </w:pPr>
      <w:r w:rsidRPr="006D3C05">
        <w:rPr>
          <w:lang w:val="en-GB"/>
        </w:rPr>
        <w:t xml:space="preserve">In the chemical industry, a certain level of pre-ignition turbulence can occur either unintentionally (as in the case of dust cloud formation caused by a blast of air investing a dust deposit in a process unit) or intentionally. Indeed, turbulent combustion is of fundamental and practical importance. For example, turbulent premixed combustion combined with high compression ratios has a great potential to increase fuel consumption and reduce NOx emissions in petrol engines </w:t>
      </w:r>
      <w:r w:rsidRPr="006D3C05">
        <w:rPr>
          <w:lang w:val="en-GB"/>
        </w:rPr>
        <w:fldChar w:fldCharType="begin" w:fldLock="1"/>
      </w:r>
      <w:r w:rsidR="00286BA7" w:rsidRPr="006D3C05">
        <w:rPr>
          <w:lang w:val="en-GB"/>
        </w:rPr>
        <w:instrText>ADDIN CSL_CITATION {"citationItems":[{"id":"ITEM-1","itemData":{"author":[{"dropping-particle":"","family":"Heywood","given":"J.B.","non-dropping-particle":"","parse-names":false,"suffix":""}],"id":"ITEM-1","issued":{"date-parts":[["1988"]]},"publisher":"McGraw-Hill","publisher-place":"New York","title":"Internal Combustion Engine Fundamentals","type":"book"},"uris":["http://www.mendeley.com/documents/?uuid=f909246f-41bd-4b34-a67a-d484b100e767"]}],"mendeley":{"formattedCitation":"(Heywood, 1988)","plainTextFormattedCitation":"(Heywood, 1988)","previouslyFormattedCitation":"(Heywood, 1988)"},"properties":{"noteIndex":0},"schema":"https://github.com/citation-style-language/schema/raw/master/csl-citation.json"}</w:instrText>
      </w:r>
      <w:r w:rsidRPr="006D3C05">
        <w:rPr>
          <w:lang w:val="en-GB"/>
        </w:rPr>
        <w:fldChar w:fldCharType="separate"/>
      </w:r>
      <w:r w:rsidRPr="006D3C05">
        <w:rPr>
          <w:noProof/>
          <w:lang w:val="en-GB"/>
        </w:rPr>
        <w:t>(Heywood, 1988)</w:t>
      </w:r>
      <w:r w:rsidRPr="006D3C05">
        <w:rPr>
          <w:lang w:val="en-GB"/>
        </w:rPr>
        <w:fldChar w:fldCharType="end"/>
      </w:r>
      <w:r w:rsidRPr="006D3C05">
        <w:rPr>
          <w:lang w:val="en-GB"/>
        </w:rPr>
        <w:t>.</w:t>
      </w:r>
    </w:p>
    <w:p w14:paraId="0723F4B6" w14:textId="70FA0647" w:rsidR="00805931" w:rsidRPr="006D3C05" w:rsidRDefault="00805931" w:rsidP="00BE6870">
      <w:pPr>
        <w:pStyle w:val="CETBodytext"/>
        <w:rPr>
          <w:lang w:val="en-GB"/>
        </w:rPr>
      </w:pPr>
      <w:r w:rsidRPr="006D3C05">
        <w:rPr>
          <w:lang w:val="en-GB"/>
        </w:rPr>
        <w:t xml:space="preserve">Methane is one of the most studied fuels, since it occurs as a major component of natural gas or mine gas. Measurements of its flammability limits in air or other oxidants, critical energy for explosion initiation (in deflagration or detonation mode), and its dispersion characteristics under confined conditions are published regularly as experimental methods are updated and methane is increasingly used as a clean transportation fuel. Methane combustion in internal combustion engines produces fewer pollutants than gasoline, diesel fuel, or propane/LPG fuels. CNG (compressed natural gas) is used in conventional gasoline/combustion engine vehicles that have been converted or manufactured to run on CNG, either alone, with a separate gasoline </w:t>
      </w:r>
      <w:r w:rsidRPr="006D3C05">
        <w:rPr>
          <w:lang w:val="en-GB"/>
        </w:rPr>
        <w:lastRenderedPageBreak/>
        <w:t>system to increase range (dual-fuel engines), or in conjunction with another fuel such as diesel (bi-fuel engines)</w:t>
      </w:r>
      <w:r w:rsidR="00CF5B63" w:rsidRPr="006D3C05">
        <w:rPr>
          <w:lang w:val="en-GB"/>
        </w:rPr>
        <w:t xml:space="preserve"> </w:t>
      </w:r>
      <w:r w:rsidR="005D71F7" w:rsidRPr="006D3C05">
        <w:rPr>
          <w:lang w:val="en-GB"/>
        </w:rPr>
        <w:fldChar w:fldCharType="begin" w:fldLock="1"/>
      </w:r>
      <w:r w:rsidR="00F46AD7" w:rsidRPr="006D3C05">
        <w:rPr>
          <w:lang w:val="en-GB"/>
        </w:rPr>
        <w:instrText>ADDIN CSL_CITATION {"citationItems":[{"id":"ITEM-1","itemData":{"DOI":"10.1016/j.jlp.2017.03.001","ISSN":"09504230","abstract":"The peak explosion pressure, the maximum rate of pressure rise and the time necessary to reach the peak explosion pressure are important flammability indices of fuel–air combustion in closed vessels, characteristic for the laminar propagation stage of the process. In the present paper, these indices were examined using methane of various concentrations within the flammability limits, at variable initial pressure between 50 and 200 kPa and ambient initial temperature. For each composition, the experimental explosion pressures were compared with the adiabatic explosion pressures, computed under the assumption that chemical equilibrium is reached in the flame. The experimental explosion pressures and the rates of pressure rise are examined in comparison with literature data, the fluctuations being attributed to differences of heat lost by the flammable gas to the explosion vessel, during flame propagation. Using the differences between the adiabatic and experimental explosion pressures, the amount of heat lost to the walls during the explosion propagation in a closed vessel and the fraction of the transferred heat from the total released heat have been determined.","author":[{"dropping-particle":"","family":"Mitu","given":"Maria","non-dropping-particle":"","parse-names":false,"suffix":""},{"dropping-particle":"","family":"Giurcan","given":"Venera","non-dropping-particle":"","parse-names":false,"suffix":""},{"dropping-particle":"","family":"Razus","given":"Domnina","non-dropping-particle":"","parse-names":false,"suffix":""},{"dropping-particle":"","family":"Prodan","given":"Maria","non-dropping-particle":"","parse-names":false,"suffix":""},{"dropping-particle":"","family":"Oancea","given":"Dumitru","non-dropping-particle":"","parse-names":false,"suffix":""}],"container-title":"Journal of Loss Prevention in the Process Industries","id":"ITEM-1","issued":{"date-parts":[["2017"]]},"page":"110-119","publisher":"Elsevier Ltd","title":"Propagation indices of methane-air explosions in closed vessels","type":"article-journal","volume":"47"},"uris":["http://www.mendeley.com/documents/?uuid=9ac9d3d7-0e55-4fd6-b6ce-9734c0dbcab6"]}],"mendeley":{"formattedCitation":"(Mitu et al., 2017)","plainTextFormattedCitation":"(Mitu et al., 2017)","previouslyFormattedCitation":"(Mitu et al., 2017)"},"properties":{"noteIndex":0},"schema":"https://github.com/citation-style-language/schema/raw/master/csl-citation.json"}</w:instrText>
      </w:r>
      <w:r w:rsidR="005D71F7" w:rsidRPr="006D3C05">
        <w:rPr>
          <w:lang w:val="en-GB"/>
        </w:rPr>
        <w:fldChar w:fldCharType="separate"/>
      </w:r>
      <w:r w:rsidR="005D71F7" w:rsidRPr="006D3C05">
        <w:rPr>
          <w:noProof/>
          <w:lang w:val="en-GB"/>
        </w:rPr>
        <w:t>(Mitu et al., 2017)</w:t>
      </w:r>
      <w:r w:rsidR="005D71F7" w:rsidRPr="006D3C05">
        <w:rPr>
          <w:lang w:val="en-GB"/>
        </w:rPr>
        <w:fldChar w:fldCharType="end"/>
      </w:r>
      <w:r w:rsidRPr="006D3C05">
        <w:rPr>
          <w:lang w:val="en-GB"/>
        </w:rPr>
        <w:t>.</w:t>
      </w:r>
    </w:p>
    <w:p w14:paraId="45AEC66B" w14:textId="2A27DB00" w:rsidR="00BE6870" w:rsidRPr="006D3C05" w:rsidRDefault="00974FA4" w:rsidP="00BE6870">
      <w:pPr>
        <w:pStyle w:val="CETBodytext"/>
        <w:rPr>
          <w:lang w:val="en-GB"/>
        </w:rPr>
      </w:pPr>
      <w:r w:rsidRPr="006D3C05">
        <w:rPr>
          <w:lang w:val="en-GB"/>
        </w:rPr>
        <w:t>The present work fits into this scenario, where understanding the interaction between the ignition source and the degree of pre-ignition turbulence is of paramount importance for both accident prevention and internal combustion engine operation.</w:t>
      </w:r>
      <w:r w:rsidR="003960FC" w:rsidRPr="006D3C05">
        <w:rPr>
          <w:lang w:val="en-GB"/>
        </w:rPr>
        <w:t xml:space="preserve"> </w:t>
      </w:r>
      <w:r w:rsidR="00BE6870" w:rsidRPr="006D3C05">
        <w:rPr>
          <w:lang w:val="en-GB"/>
        </w:rPr>
        <w:t>For this purpose, we performed CFD simulations of unsteady premixed flame propagation during explosion of stoichiometric homogeneous CH</w:t>
      </w:r>
      <w:r w:rsidR="00BE6870" w:rsidRPr="006D3C05">
        <w:rPr>
          <w:vertAlign w:val="subscript"/>
          <w:lang w:val="en-GB"/>
        </w:rPr>
        <w:t>4</w:t>
      </w:r>
      <w:r w:rsidR="00BE6870" w:rsidRPr="006D3C05">
        <w:rPr>
          <w:lang w:val="en-GB"/>
        </w:rPr>
        <w:t xml:space="preserve">/air in a closed spherical vessel. Simulations were run by setting different preignition turbulence levels and ignition energies. The energy source is generated by means of spark ignition models or by using hot cores of different size where the progress variable is equal to the unity (burned products). The Peters model was chosen as combustion sub-model. </w:t>
      </w:r>
    </w:p>
    <w:p w14:paraId="5CFECD56" w14:textId="5E539D2A" w:rsidR="00D73849" w:rsidRPr="006D3C05" w:rsidRDefault="00BE6870" w:rsidP="00BE6870">
      <w:pPr>
        <w:pStyle w:val="CETBodytext"/>
        <w:rPr>
          <w:lang w:val="en-GB"/>
        </w:rPr>
      </w:pPr>
      <w:r w:rsidRPr="006D3C05">
        <w:rPr>
          <w:lang w:val="en-GB"/>
        </w:rPr>
        <w:t xml:space="preserve">The main </w:t>
      </w:r>
      <w:r w:rsidR="00F31E35" w:rsidRPr="006D3C05">
        <w:rPr>
          <w:lang w:val="en-GB"/>
        </w:rPr>
        <w:t>objective</w:t>
      </w:r>
      <w:r w:rsidRPr="006D3C05">
        <w:rPr>
          <w:lang w:val="en-GB"/>
        </w:rPr>
        <w:t xml:space="preserve"> of the work is to provide a general operating map, identifying the ignition regimes as a function of the pre-ignition turbulence level present in the vessel, highlighting the non-ignition and no-propagation energy values for each turbulence level.</w:t>
      </w:r>
    </w:p>
    <w:p w14:paraId="677EBFF0" w14:textId="7A1A14F4" w:rsidR="00600535" w:rsidRPr="006D3C05" w:rsidRDefault="00CA36A3" w:rsidP="00600535">
      <w:pPr>
        <w:pStyle w:val="CETHeading1"/>
        <w:tabs>
          <w:tab w:val="clear" w:pos="360"/>
          <w:tab w:val="right" w:pos="7100"/>
        </w:tabs>
        <w:jc w:val="both"/>
        <w:rPr>
          <w:lang w:val="en-GB"/>
        </w:rPr>
      </w:pPr>
      <w:r w:rsidRPr="006D3C05">
        <w:rPr>
          <w:lang w:val="en-GB"/>
        </w:rPr>
        <w:t xml:space="preserve">Methodology </w:t>
      </w:r>
    </w:p>
    <w:p w14:paraId="38FE2877" w14:textId="5143E6DA" w:rsidR="00E1373F" w:rsidRPr="006D3C05" w:rsidRDefault="00AD7523" w:rsidP="00283B88">
      <w:pPr>
        <w:pStyle w:val="CETBodytext"/>
        <w:rPr>
          <w:lang w:val="en-GB"/>
        </w:rPr>
      </w:pPr>
      <w:r w:rsidRPr="006D3C05">
        <w:rPr>
          <w:lang w:val="en-GB"/>
        </w:rPr>
        <w:t xml:space="preserve">The computational domain and mesh of </w:t>
      </w:r>
      <w:r w:rsidR="007346A3" w:rsidRPr="006D3C05">
        <w:rPr>
          <w:lang w:val="en-GB"/>
        </w:rPr>
        <w:t xml:space="preserve">a 20 L sphere </w:t>
      </w:r>
      <w:r w:rsidRPr="006D3C05">
        <w:rPr>
          <w:lang w:val="en-GB"/>
        </w:rPr>
        <w:t xml:space="preserve">were built and refined by means of the Design Modeler and Meshing packages of Ansys (Release </w:t>
      </w:r>
      <w:r w:rsidR="007346A3" w:rsidRPr="006D3C05">
        <w:rPr>
          <w:lang w:val="en-GB"/>
        </w:rPr>
        <w:t>22</w:t>
      </w:r>
      <w:r w:rsidRPr="006D3C05">
        <w:rPr>
          <w:lang w:val="en-GB"/>
        </w:rPr>
        <w:t xml:space="preserve">). </w:t>
      </w:r>
      <w:r w:rsidR="00107288" w:rsidRPr="006D3C05">
        <w:rPr>
          <w:lang w:val="en-GB"/>
        </w:rPr>
        <w:t xml:space="preserve">The sphere was modeled as three-dimensional. </w:t>
      </w:r>
      <w:r w:rsidR="00283B88" w:rsidRPr="006D3C05">
        <w:rPr>
          <w:lang w:val="en-GB"/>
        </w:rPr>
        <w:t>The model solves the unsteady time-averaged Navier-Stokes (URANS) equations expressing the conservation of mass, momentum, energy, and chemical species. The U</w:t>
      </w:r>
      <w:r w:rsidR="006A365A" w:rsidRPr="006D3C05">
        <w:rPr>
          <w:lang w:val="en-GB"/>
        </w:rPr>
        <w:t>RANS equations</w:t>
      </w:r>
      <w:r w:rsidR="00F269FA" w:rsidRPr="006D3C05">
        <w:rPr>
          <w:lang w:val="en-GB"/>
        </w:rPr>
        <w:t xml:space="preserve"> were solved using the k-ε standard model as a turbulent sub-model with standard wall function and considering compressibility effects </w:t>
      </w:r>
      <w:r w:rsidR="00604614" w:rsidRPr="006D3C05">
        <w:rPr>
          <w:lang w:val="en-GB"/>
        </w:rPr>
        <w:fldChar w:fldCharType="begin" w:fldLock="1"/>
      </w:r>
      <w:r w:rsidR="00604614" w:rsidRPr="006D3C05">
        <w:rPr>
          <w:lang w:val="en-GB"/>
        </w:rPr>
        <w:instrText>ADDIN CSL_CITATION {"citationItems":[{"id":"ITEM-1","itemData":{"ISBN":"0124380506 9780124380509","author":[{"dropping-particle":"","family":"Launder","given":"B E","non-dropping-particle":"","parse-names":false,"suffix":""},{"dropping-particle":"","family":"Spalding","given":"D B","non-dropping-particle":"","parse-names":false,"suffix":""}],"id":"ITEM-1","issued":{"date-parts":[["1972"]]},"language":"English","publisher":"Academic Press","publisher-place":"London; New York","title":"Lectures in mathematical models of turbulence","type":"book"},"uris":["http://www.mendeley.com/documents/?uuid=daa2df45-766a-47a1-acf4-e53690e7447d"]}],"mendeley":{"formattedCitation":"(Launder and Spalding, 1972)","plainTextFormattedCitation":"(Launder and Spalding, 1972)","previouslyFormattedCitation":"(Launder and Spalding, 1972)"},"properties":{"noteIndex":0},"schema":"https://github.com/citation-style-language/schema/raw/master/csl-citation.json"}</w:instrText>
      </w:r>
      <w:r w:rsidR="00604614" w:rsidRPr="006D3C05">
        <w:rPr>
          <w:lang w:val="en-GB"/>
        </w:rPr>
        <w:fldChar w:fldCharType="separate"/>
      </w:r>
      <w:r w:rsidR="00604614" w:rsidRPr="006D3C05">
        <w:rPr>
          <w:noProof/>
          <w:lang w:val="en-GB"/>
        </w:rPr>
        <w:t>(Launder and Spalding, 1972)</w:t>
      </w:r>
      <w:r w:rsidR="00604614" w:rsidRPr="006D3C05">
        <w:rPr>
          <w:lang w:val="en-GB"/>
        </w:rPr>
        <w:fldChar w:fldCharType="end"/>
      </w:r>
      <w:r w:rsidR="00604614" w:rsidRPr="006D3C05">
        <w:rPr>
          <w:lang w:val="en-GB"/>
        </w:rPr>
        <w:t xml:space="preserve">. </w:t>
      </w:r>
      <w:r w:rsidR="00F269FA" w:rsidRPr="006D3C05">
        <w:rPr>
          <w:lang w:val="en-GB"/>
        </w:rPr>
        <w:t>The flow equations were discretized using a finite volume formulation on the three-dimensional non-uniform unstructured grid (</w:t>
      </w:r>
      <w:r w:rsidR="0049596C" w:rsidRPr="006D3C05">
        <w:rPr>
          <w:lang w:val="en-GB"/>
        </w:rPr>
        <w:t xml:space="preserve">176072 </w:t>
      </w:r>
      <w:r w:rsidR="00F269FA" w:rsidRPr="006D3C05">
        <w:rPr>
          <w:lang w:val="en-GB"/>
        </w:rPr>
        <w:t>elements</w:t>
      </w:r>
      <w:r w:rsidR="00BC346C" w:rsidRPr="006D3C05">
        <w:rPr>
          <w:lang w:val="en-GB"/>
        </w:rPr>
        <w:t xml:space="preserve">, elements maximum size </w:t>
      </w:r>
      <w:r w:rsidR="00231B1C" w:rsidRPr="006D3C05">
        <w:rPr>
          <w:lang w:val="en-GB"/>
        </w:rPr>
        <w:t>0.0126 m, elements minimum size 0.00136 m</w:t>
      </w:r>
      <w:r w:rsidR="00F269FA" w:rsidRPr="006D3C05">
        <w:rPr>
          <w:lang w:val="en-GB"/>
        </w:rPr>
        <w:t>)</w:t>
      </w:r>
      <w:r w:rsidR="00132179" w:rsidRPr="006D3C05">
        <w:rPr>
          <w:lang w:val="en-GB"/>
        </w:rPr>
        <w:t>, whose convergence was opportunely verified</w:t>
      </w:r>
      <w:r w:rsidR="00C607E2" w:rsidRPr="006D3C05">
        <w:rPr>
          <w:lang w:val="en-GB"/>
        </w:rPr>
        <w:t xml:space="preserve"> (Figure 1a)</w:t>
      </w:r>
      <w:r w:rsidR="00F269FA" w:rsidRPr="006D3C05">
        <w:rPr>
          <w:lang w:val="en-GB"/>
        </w:rPr>
        <w:t>. The semi-implicit method for pressure-coupled equations (SIMPLE) was used to solve the equations with pressure-velocity coupling. First-order schemes for convective terms and second-order schemes for diffusion terms were used in the spatial discretization of the model equations. First-order temporal integration was used to discretize the time derivatives with a time step of 4-10</w:t>
      </w:r>
      <w:r w:rsidR="00F269FA" w:rsidRPr="006D3C05">
        <w:rPr>
          <w:vertAlign w:val="superscript"/>
          <w:lang w:val="en-GB"/>
        </w:rPr>
        <w:t>-5</w:t>
      </w:r>
      <w:r w:rsidR="00F269FA" w:rsidRPr="006D3C05">
        <w:rPr>
          <w:lang w:val="en-GB"/>
        </w:rPr>
        <w:t xml:space="preserve"> s.</w:t>
      </w:r>
      <w:r w:rsidR="002A6557" w:rsidRPr="006D3C05">
        <w:rPr>
          <w:lang w:val="en-GB"/>
        </w:rPr>
        <w:t xml:space="preserve"> To model the premixed combustion of the stoichiometric CH</w:t>
      </w:r>
      <w:r w:rsidR="002A6557" w:rsidRPr="006D3C05">
        <w:rPr>
          <w:vertAlign w:val="subscript"/>
          <w:lang w:val="en-GB"/>
        </w:rPr>
        <w:t>4</w:t>
      </w:r>
      <w:r w:rsidR="002A6557" w:rsidRPr="006D3C05">
        <w:rPr>
          <w:lang w:val="en-GB"/>
        </w:rPr>
        <w:t xml:space="preserve">/air mixture, </w:t>
      </w:r>
      <w:r w:rsidR="00733A58" w:rsidRPr="006D3C05">
        <w:rPr>
          <w:lang w:val="en-GB"/>
        </w:rPr>
        <w:t>the equation for species transport was reformulated in terms of a transport equation for the reaction progress variable c</w:t>
      </w:r>
      <w:r w:rsidR="004239AB" w:rsidRPr="006D3C05">
        <w:rPr>
          <w:lang w:val="en-GB"/>
        </w:rPr>
        <w:t>:</w:t>
      </w:r>
    </w:p>
    <w:p w14:paraId="2BF8A6D9" w14:textId="77777777" w:rsidR="00A40FC1" w:rsidRPr="006D3C05" w:rsidRDefault="00A40FC1" w:rsidP="00283B88">
      <w:pPr>
        <w:pStyle w:val="CETBodytext"/>
        <w:rPr>
          <w:lang w:val="en-GB"/>
        </w:rPr>
      </w:pPr>
    </w:p>
    <w:p w14:paraId="3ADAA687" w14:textId="08158EF8" w:rsidR="00E1373F" w:rsidRPr="006D3C05" w:rsidRDefault="00000000" w:rsidP="00286BA7">
      <w:pPr>
        <w:pStyle w:val="CETBodytext"/>
        <w:rPr>
          <w:iCs/>
          <w:lang w:val="en-GB"/>
        </w:rPr>
      </w:pPr>
      <m:oMath>
        <m:f>
          <m:fPr>
            <m:ctrlPr>
              <w:rPr>
                <w:rFonts w:ascii="Cambria Math" w:hAnsi="Cambria Math"/>
                <w:i/>
                <w:lang w:val="en-GB"/>
              </w:rPr>
            </m:ctrlPr>
          </m:fPr>
          <m:num>
            <m:r>
              <w:rPr>
                <w:rFonts w:ascii="Cambria Math" w:hAnsi="Cambria Math"/>
                <w:lang w:val="en-GB"/>
              </w:rPr>
              <m:t>∂(ρc)</m:t>
            </m:r>
          </m:num>
          <m:den>
            <m:r>
              <w:rPr>
                <w:rFonts w:ascii="Cambria Math" w:hAnsi="Cambria Math"/>
                <w:lang w:val="en-GB"/>
              </w:rPr>
              <m:t>∂t</m:t>
            </m:r>
          </m:den>
        </m:f>
        <m:r>
          <w:rPr>
            <w:rFonts w:ascii="Cambria Math" w:hAnsi="Cambria Math"/>
            <w:lang w:val="en-GB"/>
          </w:rPr>
          <m:t>+</m:t>
        </m:r>
        <m:r>
          <m:rPr>
            <m:sty m:val="bi"/>
          </m:rPr>
          <w:rPr>
            <w:rFonts w:ascii="Cambria Math" w:hAnsi="Cambria Math"/>
            <w:lang w:val="en-GB"/>
          </w:rPr>
          <m:t>∇</m:t>
        </m:r>
        <m:r>
          <w:rPr>
            <w:rFonts w:ascii="Cambria Math" w:hAnsi="Cambria Math"/>
            <w:lang w:val="en-GB"/>
          </w:rPr>
          <m:t>∙</m:t>
        </m:r>
        <m:d>
          <m:dPr>
            <m:ctrlPr>
              <w:rPr>
                <w:rFonts w:ascii="Cambria Math" w:hAnsi="Cambria Math"/>
                <w:i/>
                <w:lang w:val="en-GB"/>
              </w:rPr>
            </m:ctrlPr>
          </m:dPr>
          <m:e>
            <m:r>
              <w:rPr>
                <w:rFonts w:ascii="Cambria Math" w:hAnsi="Cambria Math"/>
                <w:lang w:val="en-GB"/>
              </w:rPr>
              <m:t>ρ</m:t>
            </m:r>
            <m:r>
              <m:rPr>
                <m:sty m:val="bi"/>
              </m:rPr>
              <w:rPr>
                <w:rFonts w:ascii="Cambria Math" w:hAnsi="Cambria Math"/>
                <w:lang w:val="en-GB"/>
              </w:rPr>
              <m:t>u</m:t>
            </m:r>
            <m:r>
              <w:rPr>
                <w:rFonts w:ascii="Cambria Math" w:hAnsi="Cambria Math"/>
                <w:lang w:val="en-GB"/>
              </w:rPr>
              <m:t>c</m:t>
            </m:r>
          </m:e>
        </m:d>
        <m:r>
          <w:rPr>
            <w:rFonts w:ascii="Cambria Math" w:hAnsi="Cambria Math"/>
            <w:lang w:val="en-GB"/>
          </w:rPr>
          <m:t>=</m:t>
        </m:r>
        <m:r>
          <m:rPr>
            <m:sty m:val="bi"/>
          </m:rPr>
          <w:rPr>
            <w:rFonts w:ascii="Cambria Math" w:hAnsi="Cambria Math"/>
            <w:lang w:val="en-GB"/>
          </w:rPr>
          <m:t>∇</m:t>
        </m:r>
        <m:r>
          <w:rPr>
            <w:rFonts w:ascii="Cambria Math" w:hAnsi="Cambria Math"/>
            <w:lang w:val="en-GB"/>
          </w:rPr>
          <m:t>∙</m:t>
        </m:r>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t</m:t>
                    </m:r>
                  </m:sub>
                </m:sSub>
              </m:num>
              <m:den>
                <m:r>
                  <w:rPr>
                    <w:rFonts w:ascii="Cambria Math" w:hAnsi="Cambria Math"/>
                    <w:lang w:val="en-GB"/>
                  </w:rPr>
                  <m:t>S</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t</m:t>
                    </m:r>
                  </m:sub>
                </m:sSub>
              </m:den>
            </m:f>
            <m:r>
              <m:rPr>
                <m:sty m:val="bi"/>
              </m:rPr>
              <w:rPr>
                <w:rFonts w:ascii="Cambria Math" w:hAnsi="Cambria Math"/>
                <w:lang w:val="en-GB"/>
              </w:rPr>
              <m:t>∇</m:t>
            </m:r>
            <m:r>
              <w:rPr>
                <w:rFonts w:ascii="Cambria Math" w:hAnsi="Cambria Math"/>
                <w:lang w:val="en-GB"/>
              </w:rPr>
              <m:t>c</m:t>
            </m:r>
          </m:e>
        </m:d>
        <m:r>
          <w:rPr>
            <w:rFonts w:ascii="Cambria Math" w:hAnsi="Cambria Math"/>
            <w:lang w:val="en-GB"/>
          </w:rPr>
          <m:t>+ρ</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c</m:t>
            </m:r>
          </m:sub>
        </m:sSub>
      </m:oMath>
      <w:r w:rsidR="00615154" w:rsidRPr="006D3C05">
        <w:rPr>
          <w:lang w:val="en-GB"/>
        </w:rPr>
        <w:tab/>
      </w:r>
      <w:r w:rsidR="00615154" w:rsidRPr="006D3C05">
        <w:rPr>
          <w:lang w:val="en-GB"/>
        </w:rPr>
        <w:tab/>
      </w:r>
      <w:r w:rsidR="00615154" w:rsidRPr="006D3C05">
        <w:rPr>
          <w:lang w:val="en-GB"/>
        </w:rPr>
        <w:tab/>
      </w:r>
      <w:r w:rsidR="00615154" w:rsidRPr="006D3C05">
        <w:rPr>
          <w:iCs/>
          <w:lang w:val="en-GB"/>
        </w:rPr>
        <w:t>(1)</w:t>
      </w:r>
    </w:p>
    <w:p w14:paraId="2980929B" w14:textId="77777777" w:rsidR="00A40FC1" w:rsidRPr="006D3C05" w:rsidRDefault="00A40FC1" w:rsidP="00286BA7">
      <w:pPr>
        <w:pStyle w:val="CETBodytext"/>
        <w:rPr>
          <w:i/>
          <w:lang w:val="en-GB"/>
        </w:rPr>
      </w:pPr>
    </w:p>
    <w:p w14:paraId="14540F9B" w14:textId="09152D3B" w:rsidR="00334018" w:rsidRPr="006D3C05" w:rsidRDefault="00626DE1" w:rsidP="00286BA7">
      <w:pPr>
        <w:pStyle w:val="CETBodytext"/>
        <w:rPr>
          <w:lang w:val="en-GB"/>
        </w:rPr>
      </w:pPr>
      <w:r w:rsidRPr="006D3C05">
        <w:rPr>
          <w:lang w:val="en-GB"/>
        </w:rPr>
        <w:t xml:space="preserve">Where </w:t>
      </w:r>
      <w:r w:rsidRPr="006D3C05">
        <w:rPr>
          <w:rFonts w:cs="Arial"/>
          <w:i/>
          <w:iCs/>
          <w:lang w:val="en-GB"/>
        </w:rPr>
        <w:t>ρ</w:t>
      </w:r>
      <w:r w:rsidRPr="006D3C05">
        <w:rPr>
          <w:lang w:val="en-GB"/>
        </w:rPr>
        <w:t xml:space="preserve"> (kg/m</w:t>
      </w:r>
      <w:r w:rsidRPr="006D3C05">
        <w:rPr>
          <w:vertAlign w:val="superscript"/>
          <w:lang w:val="en-GB"/>
        </w:rPr>
        <w:t>3</w:t>
      </w:r>
      <w:r w:rsidRPr="006D3C05">
        <w:rPr>
          <w:lang w:val="en-GB"/>
        </w:rPr>
        <w:t xml:space="preserve">) is the gas density, </w:t>
      </w:r>
      <w:r w:rsidRPr="006D3C05">
        <w:rPr>
          <w:i/>
          <w:iCs/>
          <w:lang w:val="en-GB"/>
        </w:rPr>
        <w:t>c</w:t>
      </w:r>
      <w:r w:rsidRPr="006D3C05">
        <w:rPr>
          <w:lang w:val="en-GB"/>
        </w:rPr>
        <w:t xml:space="preserve"> (-) is the </w:t>
      </w:r>
      <w:r w:rsidR="003F4B10" w:rsidRPr="006D3C05">
        <w:rPr>
          <w:lang w:val="en-GB"/>
        </w:rPr>
        <w:t xml:space="preserve">mean reaction </w:t>
      </w:r>
      <w:r w:rsidRPr="006D3C05">
        <w:rPr>
          <w:lang w:val="en-GB"/>
        </w:rPr>
        <w:t xml:space="preserve">progress variable (c=0 </w:t>
      </w:r>
      <w:r w:rsidR="00CB6EA1" w:rsidRPr="006D3C05">
        <w:rPr>
          <w:lang w:val="en-GB"/>
        </w:rPr>
        <w:t>unburnt</w:t>
      </w:r>
      <w:r w:rsidRPr="006D3C05">
        <w:rPr>
          <w:lang w:val="en-GB"/>
        </w:rPr>
        <w:t xml:space="preserve"> </w:t>
      </w:r>
      <w:r w:rsidR="00CB6EA1" w:rsidRPr="006D3C05">
        <w:rPr>
          <w:lang w:val="en-GB"/>
        </w:rPr>
        <w:t>mixture</w:t>
      </w:r>
      <w:r w:rsidRPr="006D3C05">
        <w:rPr>
          <w:lang w:val="en-GB"/>
        </w:rPr>
        <w:t>,</w:t>
      </w:r>
      <w:r w:rsidR="00CB6EA1" w:rsidRPr="006D3C05">
        <w:rPr>
          <w:lang w:val="en-GB"/>
        </w:rPr>
        <w:t xml:space="preserve"> c=1 burnt mixture), </w:t>
      </w:r>
      <w:r w:rsidR="00CB6EA1" w:rsidRPr="006D3C05">
        <w:rPr>
          <w:b/>
          <w:bCs/>
          <w:i/>
          <w:iCs/>
          <w:lang w:val="en-GB"/>
        </w:rPr>
        <w:t>u</w:t>
      </w:r>
      <w:r w:rsidR="00CB6EA1" w:rsidRPr="006D3C05">
        <w:rPr>
          <w:lang w:val="en-GB"/>
        </w:rPr>
        <w:t xml:space="preserve"> (m/s) is the </w:t>
      </w:r>
      <w:r w:rsidR="00FE7B96" w:rsidRPr="006D3C05">
        <w:rPr>
          <w:lang w:val="en-GB"/>
        </w:rPr>
        <w:t xml:space="preserve">vectorial velocity of the mixture, </w:t>
      </w:r>
      <w:r w:rsidRPr="006D3C05">
        <w:rPr>
          <w:lang w:val="en-GB"/>
        </w:rPr>
        <w:t xml:space="preserve"> </w:t>
      </w:r>
      <w:r w:rsidR="00FE7B96" w:rsidRPr="006D3C05">
        <w:rPr>
          <w:rFonts w:cs="Arial"/>
          <w:i/>
          <w:iCs/>
          <w:lang w:val="en-GB"/>
        </w:rPr>
        <w:t>μ</w:t>
      </w:r>
      <w:r w:rsidR="00FE7B96" w:rsidRPr="006D3C05">
        <w:rPr>
          <w:i/>
          <w:iCs/>
          <w:vertAlign w:val="subscript"/>
          <w:lang w:val="en-GB"/>
        </w:rPr>
        <w:t>t</w:t>
      </w:r>
      <w:r w:rsidR="00FE7B96" w:rsidRPr="006D3C05">
        <w:rPr>
          <w:lang w:val="en-GB"/>
        </w:rPr>
        <w:t xml:space="preserve"> (</w:t>
      </w:r>
      <w:r w:rsidR="00A16600" w:rsidRPr="006D3C05">
        <w:rPr>
          <w:lang w:val="en-GB"/>
        </w:rPr>
        <w:t>kg</w:t>
      </w:r>
      <w:r w:rsidR="005D1273" w:rsidRPr="006D3C05">
        <w:rPr>
          <w:lang w:val="en-GB"/>
        </w:rPr>
        <w:t>/(ms)</w:t>
      </w:r>
      <w:r w:rsidR="00FE7B96" w:rsidRPr="006D3C05">
        <w:rPr>
          <w:lang w:val="en-GB"/>
        </w:rPr>
        <w:t xml:space="preserve">) </w:t>
      </w:r>
      <w:r w:rsidR="00AB77B7" w:rsidRPr="006D3C05">
        <w:rPr>
          <w:lang w:val="en-GB"/>
        </w:rPr>
        <w:t xml:space="preserve">is the turbulent viscosity of the mixture, </w:t>
      </w:r>
      <w:r w:rsidR="00D3570D" w:rsidRPr="006D3C05">
        <w:rPr>
          <w:i/>
          <w:iCs/>
          <w:lang w:val="en-GB"/>
        </w:rPr>
        <w:t>Sc</w:t>
      </w:r>
      <w:r w:rsidR="00D3570D" w:rsidRPr="006D3C05">
        <w:rPr>
          <w:i/>
          <w:iCs/>
          <w:vertAlign w:val="subscript"/>
          <w:lang w:val="en-GB"/>
        </w:rPr>
        <w:t>t</w:t>
      </w:r>
      <w:r w:rsidR="00D3570D" w:rsidRPr="006D3C05">
        <w:rPr>
          <w:vertAlign w:val="subscript"/>
          <w:lang w:val="en-GB"/>
        </w:rPr>
        <w:t xml:space="preserve"> </w:t>
      </w:r>
      <w:r w:rsidR="00D3570D" w:rsidRPr="006D3C05">
        <w:rPr>
          <w:lang w:val="en-GB"/>
        </w:rPr>
        <w:t xml:space="preserve">(-) is the turbulent Schmidt number and </w:t>
      </w:r>
      <w:r w:rsidR="00D3570D" w:rsidRPr="006D3C05">
        <w:rPr>
          <w:i/>
          <w:iCs/>
          <w:lang w:val="en-GB"/>
        </w:rPr>
        <w:t>S</w:t>
      </w:r>
      <w:r w:rsidR="00D3570D" w:rsidRPr="006D3C05">
        <w:rPr>
          <w:i/>
          <w:iCs/>
          <w:vertAlign w:val="subscript"/>
          <w:lang w:val="en-GB"/>
        </w:rPr>
        <w:t>c</w:t>
      </w:r>
      <w:r w:rsidR="00D3570D" w:rsidRPr="006D3C05">
        <w:rPr>
          <w:lang w:val="en-GB"/>
        </w:rPr>
        <w:t xml:space="preserve"> (1/s) is</w:t>
      </w:r>
      <w:r w:rsidR="00302746" w:rsidRPr="006D3C05">
        <w:rPr>
          <w:lang w:val="en-GB"/>
        </w:rPr>
        <w:t xml:space="preserve"> the</w:t>
      </w:r>
      <w:r w:rsidR="00D3570D" w:rsidRPr="006D3C05">
        <w:rPr>
          <w:lang w:val="en-GB"/>
        </w:rPr>
        <w:t xml:space="preserve"> </w:t>
      </w:r>
      <w:r w:rsidR="00302746" w:rsidRPr="006D3C05">
        <w:rPr>
          <w:lang w:val="en-GB"/>
        </w:rPr>
        <w:t xml:space="preserve">reaction progress source term. </w:t>
      </w:r>
      <w:r w:rsidR="00E1373F" w:rsidRPr="006D3C05">
        <w:rPr>
          <w:lang w:val="en-GB"/>
        </w:rPr>
        <w:t>T</w:t>
      </w:r>
      <w:r w:rsidR="00686079" w:rsidRPr="006D3C05">
        <w:rPr>
          <w:lang w:val="en-GB"/>
        </w:rPr>
        <w:t xml:space="preserve">he Peters model was chosen as combustion sub-model to close </w:t>
      </w:r>
      <w:r w:rsidR="00E1373F" w:rsidRPr="006D3C05">
        <w:rPr>
          <w:i/>
          <w:iCs/>
          <w:lang w:val="en-GB"/>
        </w:rPr>
        <w:t>S</w:t>
      </w:r>
      <w:r w:rsidR="00686079" w:rsidRPr="006D3C05">
        <w:rPr>
          <w:i/>
          <w:iCs/>
          <w:vertAlign w:val="subscript"/>
          <w:lang w:val="en-GB"/>
        </w:rPr>
        <w:t>c</w:t>
      </w:r>
      <w:r w:rsidR="005C7E06" w:rsidRPr="006D3C05">
        <w:rPr>
          <w:i/>
          <w:iCs/>
          <w:vertAlign w:val="subscript"/>
          <w:lang w:val="en-GB"/>
        </w:rPr>
        <w:t xml:space="preserve"> </w:t>
      </w:r>
      <w:r w:rsidR="005C7E06" w:rsidRPr="006D3C05">
        <w:rPr>
          <w:i/>
          <w:iCs/>
          <w:vertAlign w:val="subscript"/>
          <w:lang w:val="en-GB"/>
        </w:rPr>
        <w:fldChar w:fldCharType="begin" w:fldLock="1"/>
      </w:r>
      <w:r w:rsidR="00913721" w:rsidRPr="006D3C05">
        <w:rPr>
          <w:i/>
          <w:iCs/>
          <w:vertAlign w:val="subscript"/>
          <w:lang w:val="en-GB"/>
        </w:rPr>
        <w:instrText>ADDIN CSL_CITATION {"citationItems":[{"id":"ITEM-1","itemData":{"DOI":"10.1088/0957-0233/12/11/708","ISSN":"0957-0233","abstract":"The book Turbulent Combustion by Norbert Peters is a concise monograph on single-phase gaseous low Mach number turbulent combustion. It is compiled from the author's review papers on this topic plus some additional material. Norbert Peters characterizes turbulent combustion both by the way fuel and air are mixed and by the ratio of turbulent and chemical time scales. This approach leads naturally to detailed models, which are based on results of turbulence modelling and asymptotic flame theory. In both areas Norbert Peters has contributed significantly over the last two decades. The book has four sections. In chapter 1 he discusses briefly the state of the art of combustion models as they are used by different authors. Important turbulent and chemical scales are introduced, which are then used to introduce and explain the different combustion models. He distinguishes between premixed and non-premixed combustion and also between infinitely fast and finite rate chemistry. The current turbulent combustion models are described in order of their complexity and physical accuracy. He explains Eddy BreakUp and Eddy Dissipation Models, the fundamentals of the PDF transport equation, and the laminar flamelet concept applied to non-premixed and premixed turbulent combustion. Then, the Conditional Moment Closure, the Linear Eddy Model, and combustion models used in Large Eddy Simulations are described very briefly. Chapter 2 is devoted to premixed turbulent combustion. After introducing some characteristic dimensionless numbers Peters uses the level set approach and the flamelet concept to formulate a combustion model valid in the thin zone and corrugated reaction zone regimes. He shows parallels between this more fundamental model and standard models like the Bray-Moss-Libby model. He also presents models for the turbulent burning velocity, the Flame Surface Area Ratio, and discusses the effects of gas expansion. Very helpful for the reader's understanding is the presentation of three worked examples of a slot burner, a propagating spherical flame and an oscillating counter flow. Peters' model for premixed turbulent combustion is based on the equations for the mean and the variance of the $G$-equation, some closure relations as well as the flamelet equation for premixed combustion. A numerical example is used to discuss its accuracy. Non-premixed turbulent combustion is the subject matter of chapter 3. Peters uses the mixture fraction variable and asymptotic flame…","author":[{"dropping-particle":"","family":"Peters","given":"N.","non-dropping-particle":"","parse-names":false,"suffix":""}],"container-title":"Measurement Science and Technology","id":"ITEM-1","issue":"11","issued":{"date-parts":[["2001"]]},"page":"2022","title":"Turbulent Combustion","type":"article-journal","volume":"12"},"uris":["http://www.mendeley.com/documents/?uuid=f63734e0-7972-4982-ac1f-623c9b8bda2b"]}],"mendeley":{"formattedCitation":"(Peters, 2001)","plainTextFormattedCitation":"(Peters, 2001)","previouslyFormattedCitation":"(Peters, 2001)"},"properties":{"noteIndex":0},"schema":"https://github.com/citation-style-language/schema/raw/master/csl-citation.json"}</w:instrText>
      </w:r>
      <w:r w:rsidR="005C7E06" w:rsidRPr="006D3C05">
        <w:rPr>
          <w:i/>
          <w:iCs/>
          <w:vertAlign w:val="subscript"/>
          <w:lang w:val="en-GB"/>
        </w:rPr>
        <w:fldChar w:fldCharType="separate"/>
      </w:r>
      <w:r w:rsidR="00615154" w:rsidRPr="006D3C05">
        <w:rPr>
          <w:iCs/>
          <w:noProof/>
          <w:lang w:val="en-GB"/>
        </w:rPr>
        <w:t>(Peters, 2001)</w:t>
      </w:r>
      <w:r w:rsidR="005C7E06" w:rsidRPr="006D3C05">
        <w:rPr>
          <w:i/>
          <w:iCs/>
          <w:vertAlign w:val="subscript"/>
          <w:lang w:val="en-GB"/>
        </w:rPr>
        <w:fldChar w:fldCharType="end"/>
      </w:r>
      <w:r w:rsidR="00302746" w:rsidRPr="006D3C05">
        <w:rPr>
          <w:lang w:val="en-GB"/>
        </w:rPr>
        <w:t>.</w:t>
      </w:r>
      <w:r w:rsidR="00C607E2" w:rsidRPr="006D3C05">
        <w:rPr>
          <w:lang w:val="en-GB"/>
        </w:rPr>
        <w:t xml:space="preserve"> </w:t>
      </w:r>
      <w:r w:rsidR="00B83B8B" w:rsidRPr="006D3C05">
        <w:rPr>
          <w:lang w:val="en-GB"/>
        </w:rPr>
        <w:t>For the simulated stoichiometric CH</w:t>
      </w:r>
      <w:r w:rsidR="00B83B8B" w:rsidRPr="006D3C05">
        <w:rPr>
          <w:vertAlign w:val="subscript"/>
          <w:lang w:val="en-GB"/>
        </w:rPr>
        <w:t>4</w:t>
      </w:r>
      <w:r w:rsidR="00B83B8B" w:rsidRPr="006D3C05">
        <w:rPr>
          <w:lang w:val="en-GB"/>
        </w:rPr>
        <w:t>/air flame, the laminar combustion velocity was assumed to be constant with pressure and temperature and equal to 0.35 m/s. The specific heat values of the unburned and burned mixtures were calculated</w:t>
      </w:r>
      <w:r w:rsidR="00536AFC" w:rsidRPr="006D3C05">
        <w:rPr>
          <w:lang w:val="en-GB"/>
        </w:rPr>
        <w:t xml:space="preserve"> </w:t>
      </w:r>
      <w:r w:rsidR="00B83B8B" w:rsidRPr="006D3C05">
        <w:rPr>
          <w:lang w:val="en-GB"/>
        </w:rPr>
        <w:t>as piecewise polynomial functions of the fifth power of temperature. The molecular viscosities were calculated according to Sutherland's law for air viscosity.</w:t>
      </w:r>
      <w:r w:rsidR="00536AFC" w:rsidRPr="006D3C05">
        <w:rPr>
          <w:lang w:val="en-GB"/>
        </w:rPr>
        <w:t xml:space="preserve"> </w:t>
      </w:r>
      <w:r w:rsidR="005128C2" w:rsidRPr="006D3C05">
        <w:rPr>
          <w:lang w:val="en-GB"/>
        </w:rPr>
        <w:t>In the simulations, different ignition energies were simulated by placing hot hearts at 2000 K and progress variable equal to 1 (burnt gases) in the center of the sphere, characterized by different radius values as a function of energy</w:t>
      </w:r>
      <w:r w:rsidR="00C607E2" w:rsidRPr="006D3C05">
        <w:rPr>
          <w:lang w:val="en-GB"/>
        </w:rPr>
        <w:t xml:space="preserve"> (Figure 1b)</w:t>
      </w:r>
      <w:r w:rsidR="005128C2" w:rsidRPr="006D3C05">
        <w:rPr>
          <w:lang w:val="en-GB"/>
        </w:rPr>
        <w:t>.</w:t>
      </w:r>
      <w:r w:rsidR="00D825D5" w:rsidRPr="006D3C05">
        <w:rPr>
          <w:lang w:val="en-GB"/>
        </w:rPr>
        <w:t xml:space="preserve"> </w:t>
      </w:r>
    </w:p>
    <w:p w14:paraId="7D87ED2B" w14:textId="77777777" w:rsidR="007A65A6" w:rsidRPr="006D3C05" w:rsidRDefault="007A65A6" w:rsidP="00286BA7">
      <w:pPr>
        <w:pStyle w:val="CETBodytext"/>
        <w:rPr>
          <w:lang w:val="en-GB"/>
        </w:rPr>
      </w:pPr>
    </w:p>
    <w:p w14:paraId="152B8EAF" w14:textId="3F7CBB4D" w:rsidR="00334018" w:rsidRPr="006D3C05" w:rsidRDefault="00334018" w:rsidP="00286BA7">
      <w:pPr>
        <w:pStyle w:val="CETBodytext"/>
        <w:rPr>
          <w:lang w:val="en-GB"/>
        </w:rPr>
      </w:pPr>
      <w:r w:rsidRPr="006D3C05">
        <w:rPr>
          <w:lang w:val="en-GB"/>
        </w:rPr>
        <w:drawing>
          <wp:inline distT="0" distB="0" distL="0" distR="0" wp14:anchorId="2F2A5AD5" wp14:editId="49EB4558">
            <wp:extent cx="4444169" cy="1955800"/>
            <wp:effectExtent l="0" t="0" r="0" b="6350"/>
            <wp:docPr id="2" name="Immagine 1" descr="Immagine che contiene schermata, cerchio, Policromia, astronomia&#10;&#10;Descrizione generata automaticamente">
              <a:extLst xmlns:a="http://schemas.openxmlformats.org/drawingml/2006/main">
                <a:ext uri="{FF2B5EF4-FFF2-40B4-BE49-F238E27FC236}">
                  <a16:creationId xmlns:a16="http://schemas.microsoft.com/office/drawing/2014/main" id="{E6CF8D99-7B35-68DC-5E61-3DA5C56E04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Immagine che contiene schermata, cerchio, Policromia, astronomia&#10;&#10;Descrizione generata automaticamente">
                      <a:extLst>
                        <a:ext uri="{FF2B5EF4-FFF2-40B4-BE49-F238E27FC236}">
                          <a16:creationId xmlns:a16="http://schemas.microsoft.com/office/drawing/2014/main" id="{E6CF8D99-7B35-68DC-5E61-3DA5C56E0418}"/>
                        </a:ext>
                      </a:extLst>
                    </pic:cNvPr>
                    <pic:cNvPicPr>
                      <a:picLocks noChangeAspect="1"/>
                    </pic:cNvPicPr>
                  </pic:nvPicPr>
                  <pic:blipFill>
                    <a:blip r:embed="rId10"/>
                    <a:stretch>
                      <a:fillRect/>
                    </a:stretch>
                  </pic:blipFill>
                  <pic:spPr>
                    <a:xfrm>
                      <a:off x="0" y="0"/>
                      <a:ext cx="4501766" cy="1981147"/>
                    </a:xfrm>
                    <a:prstGeom prst="rect">
                      <a:avLst/>
                    </a:prstGeom>
                  </pic:spPr>
                </pic:pic>
              </a:graphicData>
            </a:graphic>
          </wp:inline>
        </w:drawing>
      </w:r>
    </w:p>
    <w:p w14:paraId="3C2764C8" w14:textId="317CF43D" w:rsidR="00334018" w:rsidRPr="006D3C05" w:rsidRDefault="00334018" w:rsidP="00334018">
      <w:pPr>
        <w:pStyle w:val="CETCaption"/>
      </w:pPr>
      <w:r w:rsidRPr="006D3C05">
        <w:t xml:space="preserve">Figure 1: Mesh (a) and </w:t>
      </w:r>
      <w:r w:rsidR="00A4038E" w:rsidRPr="006D3C05">
        <w:t>initial condition in terms of progress variable in the case of 500 J ignition energy.</w:t>
      </w:r>
    </w:p>
    <w:p w14:paraId="07A08B77" w14:textId="42F5E442" w:rsidR="00D9133D" w:rsidRPr="006D3C05" w:rsidRDefault="00D825D5" w:rsidP="00286BA7">
      <w:pPr>
        <w:pStyle w:val="CETBodytext"/>
        <w:rPr>
          <w:lang w:val="en-GB"/>
        </w:rPr>
      </w:pPr>
      <w:r w:rsidRPr="006D3C05">
        <w:rPr>
          <w:lang w:val="en-GB"/>
        </w:rPr>
        <w:lastRenderedPageBreak/>
        <w:t>The radius was determined in previous work using Dahoe's thin flame model applied to experimental tests in a 20 L sphere with varying ignition source</w:t>
      </w:r>
      <w:r w:rsidR="00913721" w:rsidRPr="006D3C05">
        <w:rPr>
          <w:lang w:val="en-GB"/>
        </w:rPr>
        <w:t xml:space="preserve"> </w:t>
      </w:r>
      <w:r w:rsidR="00913721" w:rsidRPr="006D3C05">
        <w:rPr>
          <w:lang w:val="en-GB"/>
        </w:rPr>
        <w:fldChar w:fldCharType="begin" w:fldLock="1"/>
      </w:r>
      <w:r w:rsidR="00D30D2D" w:rsidRPr="006D3C05">
        <w:rPr>
          <w:lang w:val="en-GB"/>
        </w:rPr>
        <w:instrText>ADDIN CSL_CITATION {"citationItems":[{"id":"ITEM-1","itemData":{"DOI":"10.1016/0950-4230(95)00054-2","ISSN":"09504230","abstract":"A well known limitation of the 'cube-root law' is that it becomes invalid when the flame thickness is significant with respect to the vessel radius. In the literature, flame thicknesses in dust-air mixtures ranging from 15 to 80 cm have been reported, which exceed the radii of the 20 litre sphere and the 1 m3 vessel. Therefore, we have developed a model (the three-zone model) for the pressure evolution of confined dust explosions in spherical vessels which takes the flame thickness into account. The pressure-time curves that are generated with this model show a good resemblance with those measured in practice. It is shown by numerical simulations that the maximum rate of pressure rise can be normalized with respect to the vessel volume as well as to the flame thickness and that the 'cube-root law' becomes inaccurate for relative flame thicknesses exceeding 1%. Furthermore, the actual burning velocity and the flame thickness during real dust explosions can be obtained by fitting the model to the experimental pressure-time curve.","author":[{"dropping-particle":"","family":"Dahoe","given":"A. E.","non-dropping-particle":"","parse-names":false,"suffix":""},{"dropping-particle":"","family":"Zevenbergen","given":"J. F.","non-dropping-particle":"","parse-names":false,"suffix":""},{"dropping-particle":"","family":"Lemkowitz","given":"S. M.","non-dropping-particle":"","parse-names":false,"suffix":""},{"dropping-particle":"","family":"Scarlett","given":"B.","non-dropping-particle":"","parse-names":false,"suffix":""}],"container-title":"Journal of Loss Prevention in the Process Industries","id":"ITEM-1","issue":"1 SPEC. ISS.","issued":{"date-parts":[["1996"]]},"page":"33-44","title":"Dust explosions in spherical vessels: The role of flame thickness in the validity of the 'cube-root law'","type":"article-journal","volume":"9"},"uris":["http://www.mendeley.com/documents/?uuid=497657a5-eb6f-4d50-a694-3ef20287ca7f"]},{"id":"ITEM-2","itemData":{"DOI":"10.1002/prs.12249","author":[{"dropping-particle":"","family":"Portarapillo","given":"M.","non-dropping-particle":"","parse-names":false,"suffix":""},{"dropping-particle":"","family":"Sanchirico","given":"R.","non-dropping-particle":"","parse-names":false,"suffix":""},{"dropping-particle":"","family":"Benedetto","given":"A.","non-dropping-particle":"Di","parse-names":false,"suffix":""}],"container-title":"Process Safety Progress","id":"ITEM-2","issue":"February","issued":{"date-parts":[["2021"]]},"page":"1-7","title":"On the pyrotechnic ignitors role in dust explosion testing : Comparison between 20 L and 1 m 3 explosion vessels","type":"article-journal"},"uris":["http://www.mendeley.com/documents/?uuid=9737e2b4-9825-44f8-a62b-6ad4d3209c63"]},{"id":"ITEM-3","itemData":{"DOI":"10.1016/j.jlp.2021.104484","ISSN":"09504230","abstract":"In this work, the effect of spatial distribution and values of the turbulent kinetic energy on the pressure-time history and then on the explosion parameters (deflagration index and maximum pressure) was quantified in both the standard vessels (20 L and 1 m3). The turbulent kinetic energy maps were computed in both 20 L and 1 m3 vessels by means of CFD simulations with validated models. Starting from these maps, the turbulent flame propagation of cornstarch was calculated, by means of the software CHEMKIN. Then, the pressure-time history was evaluated and from this, the explosion parameters. Calculations were performed for three cases: not uniform turbulence level as computed from CFD simulations, uniform turbulence level and equal to the maximum value, uniform profile and equal to the minimum value. It was found that the cornstarch in the 20 L vessel get variable classes (St-1, St-2, St-3) with respect to the 1 m3 (St-1). However, simulations performed on increasing the ignition delay time, shown that the same results can be attained only using 260 ms as ignition delay time in the 20 L vessel.","author":[{"dropping-particle":"","family":"Portarapillo","given":"M.","non-dropping-particle":"","parse-names":false,"suffix":""},{"dropping-particle":"","family":"Sanchirico","given":"R.","non-dropping-particle":"","parse-names":false,"suffix":""},{"dropping-particle":"","family":"Benedetto","given":"A.","non-dropping-particle":"Di","parse-names":false,"suffix":""}],"container-title":"Journal of Loss Prevention in the Process Industries","id":"ITEM-3","issue":"December 2020","issued":{"date-parts":[["2021"]]},"publisher":"Elsevier Ltd","title":"Effect of turbulence spatial distribution on the deflagration index: Comparison between 20 L and 1 m3 vessels","type":"article-journal","volume":"71"},"uris":["http://www.mendeley.com/documents/?uuid=16a956ef-73d4-4250-b2b9-bcb365e2fb14"]}],"mendeley":{"formattedCitation":"(Dahoe et al., 1996; Portarapillo et al., 2021a, 2021b)","plainTextFormattedCitation":"(Dahoe et al., 1996; Portarapillo et al., 2021a, 2021b)","previouslyFormattedCitation":"(Dahoe et al., 1996; Portarapillo et al., 2021a, 2021b)"},"properties":{"noteIndex":0},"schema":"https://github.com/citation-style-language/schema/raw/master/csl-citation.json"}</w:instrText>
      </w:r>
      <w:r w:rsidR="00913721" w:rsidRPr="006D3C05">
        <w:rPr>
          <w:lang w:val="en-GB"/>
        </w:rPr>
        <w:fldChar w:fldCharType="separate"/>
      </w:r>
      <w:r w:rsidR="00F46AD7" w:rsidRPr="006D3C05">
        <w:rPr>
          <w:noProof/>
          <w:lang w:val="en-GB"/>
        </w:rPr>
        <w:t>(Dahoe et al., 1996; Portarapillo et al., 2021a, 2021b)</w:t>
      </w:r>
      <w:r w:rsidR="00913721" w:rsidRPr="006D3C05">
        <w:rPr>
          <w:lang w:val="en-GB"/>
        </w:rPr>
        <w:fldChar w:fldCharType="end"/>
      </w:r>
      <w:r w:rsidR="00297F78">
        <w:rPr>
          <w:lang w:val="en-GB"/>
        </w:rPr>
        <w:t xml:space="preserve"> and also </w:t>
      </w:r>
      <w:r w:rsidR="008E46BC">
        <w:rPr>
          <w:lang w:val="en-GB"/>
        </w:rPr>
        <w:t>used in the case of 1 m</w:t>
      </w:r>
      <w:r w:rsidR="008E46BC" w:rsidRPr="008E46BC">
        <w:rPr>
          <w:vertAlign w:val="superscript"/>
          <w:lang w:val="en-GB"/>
        </w:rPr>
        <w:t>3</w:t>
      </w:r>
      <w:r w:rsidR="008E46BC">
        <w:rPr>
          <w:lang w:val="en-GB"/>
        </w:rPr>
        <w:t xml:space="preserve"> vessel </w:t>
      </w:r>
      <w:r w:rsidR="00570B52">
        <w:rPr>
          <w:lang w:val="en-GB"/>
        </w:rPr>
        <w:fldChar w:fldCharType="begin" w:fldLock="1"/>
      </w:r>
      <w:r w:rsidR="00570B52">
        <w:rPr>
          <w:lang w:val="en-GB"/>
        </w:rPr>
        <w:instrText>ADDIN CSL_CITATION {"citationItems":[{"id":"ITEM-1","itemData":{"DOI":"10.1016/j.jlp.2022.104755","ISSN":"0950-4230","author":[{"dropping-particle":"","family":"Portarapillo","given":"M.","non-dropping-particle":"","parse-names":false,"suffix":""},{"dropping-particle":"","family":"Trofa","given":"M.","non-dropping-particle":"","parse-names":false,"suffix":""},{"dropping-particle":"","family":"Sanchirico","given":"R.","non-dropping-particle":"","parse-names":false,"suffix":""},{"dropping-particle":"","family":"Benedetto","given":"A.","non-dropping-particle":"Di","parse-names":false,"suffix":""}],"container-title":"Journal of Loss Prevention in the Process Industries","id":"ITEM-1","issue":"May","issued":{"date-parts":[["2022"]]},"page":"104755","publisher":"Elsevier Ltd","title":"CFD simulation of turbulent fluid flow and dust dispersion in the 1 m3 explosion Vessel equipped with the rebound nozzle","type":"article-journal","volume":"76"},"uris":["http://www.mendeley.com/documents/?uuid=71403537-fb50-45d5-ae02-6ebb27b793f1"]},{"id":"ITEM-2","itemData":{"author":[{"dropping-particle":"","family":"Portarapillo","given":"M.","non-dropping-particle":"","parse-names":false,"suffix":""},{"dropping-particle":"","family":"Trofa","given":"M.","non-dropping-particle":"","parse-names":false,"suffix":""},{"dropping-particle":"","family":"Sanchirico","given":"R.","non-dropping-particle":"","parse-names":false,"suffix":""},{"dropping-particle":"","family":"Benedetto","given":"A.","non-dropping-particle":"Di","parse-names":false,"suffix":""}],"container-title":"Chemical Engineering Transactions","id":"ITEM-2","issued":{"date-parts":[["2021"]]},"title":"CFD simulations of the effect of dust diameter on the dispersion in the 1 m3 explosion vessel","type":"article-journal","volume":"86"},"uris":["http://www.mendeley.com/documents/?uuid=c78b146b-a48b-4328-a71c-720d1ef616c8"]}],"mendeley":{"formattedCitation":"(Portarapillo et al., 2022, 2021c)","plainTextFormattedCitation":"(Portarapillo et al., 2022, 2021c)","previouslyFormattedCitation":"(Portarapillo et al., 2022, 2021c)"},"properties":{"noteIndex":0},"schema":"https://github.com/citation-style-language/schema/raw/master/csl-citation.json"}</w:instrText>
      </w:r>
      <w:r w:rsidR="00570B52">
        <w:rPr>
          <w:lang w:val="en-GB"/>
        </w:rPr>
        <w:fldChar w:fldCharType="separate"/>
      </w:r>
      <w:r w:rsidR="00570B52" w:rsidRPr="00570B52">
        <w:rPr>
          <w:noProof/>
          <w:lang w:val="en-GB"/>
        </w:rPr>
        <w:t>(Portarapillo et al., 2022, 2021c)</w:t>
      </w:r>
      <w:r w:rsidR="00570B52">
        <w:rPr>
          <w:lang w:val="en-GB"/>
        </w:rPr>
        <w:fldChar w:fldCharType="end"/>
      </w:r>
      <w:r w:rsidRPr="006D3C05">
        <w:rPr>
          <w:lang w:val="en-GB"/>
        </w:rPr>
        <w:t>.</w:t>
      </w:r>
      <w:r w:rsidR="00913721" w:rsidRPr="006D3C05">
        <w:rPr>
          <w:lang w:val="en-GB"/>
        </w:rPr>
        <w:t xml:space="preserve"> </w:t>
      </w:r>
      <w:r w:rsidR="00E97DF0" w:rsidRPr="006D3C05">
        <w:rPr>
          <w:lang w:val="en-GB"/>
        </w:rPr>
        <w:t>The ignition energies considered are well above the minimum ignition energy of the stoichiometric methane-air mixture</w:t>
      </w:r>
      <w:r w:rsidR="00D30D2D" w:rsidRPr="006D3C05">
        <w:rPr>
          <w:lang w:val="en-GB"/>
        </w:rPr>
        <w:t xml:space="preserve"> </w:t>
      </w:r>
      <w:r w:rsidR="00D30D2D" w:rsidRPr="006D3C05">
        <w:rPr>
          <w:lang w:val="en-GB"/>
        </w:rPr>
        <w:fldChar w:fldCharType="begin" w:fldLock="1"/>
      </w:r>
      <w:r w:rsidR="00297F78">
        <w:rPr>
          <w:lang w:val="en-GB"/>
        </w:rPr>
        <w:instrText>ADDIN CSL_CITATION {"citationItems":[{"id":"ITEM-1","itemData":{"DOI":"10.1016/j.ijhydene.2005.12.001","ISSN":"03603199","abstract":"A review is given of contemporary research on the hydrogen-fueled internal combustion engine. The emphasis is on light- to medium-duty engine research. We first describe hydrogen-engine fundamentals by examining the engine-specific properties of hydrogen and surveying the existing literature. Here it will be shown that, due to low volumetric efficiencies and frequent preignition combustion events, the power densities of premixed or port-fuel-injected hydrogen engines are diminished relative to gasoline-fueled engines. Significant progress has been made in the development of advanced hydrogen engines with improved power densities. We discuss several examples and their salient features. Finally, we consider the overall progress made and provide suggestions for future work. © 2006 International Association for Hydrogen Energy.","author":[{"dropping-particle":"","family":"White","given":"C. M.","non-dropping-particle":"","parse-names":false,"suffix":""},{"dropping-particle":"","family":"Steeper","given":"R. R.","non-dropping-particle":"","parse-names":false,"suffix":""},{"dropping-particle":"","family":"Lutz","given":"A. E.","non-dropping-particle":"","parse-names":false,"suffix":""}],"container-title":"International Journal of Hydrogen Energy","id":"ITEM-1","issue":"10","issued":{"date-parts":[["2006"]]},"page":"1292-1305","title":"The hydrogen-fueled internal combustion engine: a technical review","type":"article-journal","volume":"31"},"uris":["http://www.mendeley.com/documents/?uuid=1b919d9a-f71e-42b9-8320-f5f68782efa6"]}],"mendeley":{"formattedCitation":"(White et al., 2006)","plainTextFormattedCitation":"(White et al., 2006)","previouslyFormattedCitation":"(White et al., 2006)"},"properties":{"noteIndex":0},"schema":"https://github.com/citation-style-language/schema/raw/master/csl-citation.json"}</w:instrText>
      </w:r>
      <w:r w:rsidR="00D30D2D" w:rsidRPr="006D3C05">
        <w:rPr>
          <w:lang w:val="en-GB"/>
        </w:rPr>
        <w:fldChar w:fldCharType="separate"/>
      </w:r>
      <w:r w:rsidR="00D30D2D" w:rsidRPr="006D3C05">
        <w:rPr>
          <w:noProof/>
          <w:lang w:val="en-GB"/>
        </w:rPr>
        <w:t>(White et al., 2006)</w:t>
      </w:r>
      <w:r w:rsidR="00D30D2D" w:rsidRPr="006D3C05">
        <w:rPr>
          <w:lang w:val="en-GB"/>
        </w:rPr>
        <w:fldChar w:fldCharType="end"/>
      </w:r>
      <w:r w:rsidR="00E97DF0" w:rsidRPr="006D3C05">
        <w:rPr>
          <w:lang w:val="en-GB"/>
        </w:rPr>
        <w:t xml:space="preserve"> and are the typical ones used in the 20 </w:t>
      </w:r>
      <w:r w:rsidR="00D30D2D" w:rsidRPr="006D3C05">
        <w:rPr>
          <w:lang w:val="en-GB"/>
        </w:rPr>
        <w:t>L</w:t>
      </w:r>
      <w:r w:rsidR="00E97DF0" w:rsidRPr="006D3C05">
        <w:rPr>
          <w:lang w:val="en-GB"/>
        </w:rPr>
        <w:t xml:space="preserve"> sphere for the combustible dust characterization test. This choice was made to demonstrate the effective interaction of the ignition source with the turbulence even in the presence of extreme overdrive of the gas mixture.</w:t>
      </w:r>
      <w:r w:rsidR="00C74A2D" w:rsidRPr="006D3C05">
        <w:rPr>
          <w:lang w:val="en-GB"/>
        </w:rPr>
        <w:t xml:space="preserve"> </w:t>
      </w:r>
      <w:r w:rsidR="00772EB3" w:rsidRPr="006D3C05">
        <w:rPr>
          <w:lang w:val="en-GB"/>
        </w:rPr>
        <w:t xml:space="preserve">The evolution of the trigger radius as a function of energy level is shown in Figure </w:t>
      </w:r>
      <w:r w:rsidR="00C607E2" w:rsidRPr="006D3C05">
        <w:rPr>
          <w:lang w:val="en-GB"/>
        </w:rPr>
        <w:t>2</w:t>
      </w:r>
      <w:r w:rsidR="00772EB3" w:rsidRPr="006D3C05">
        <w:rPr>
          <w:lang w:val="en-GB"/>
        </w:rPr>
        <w:t>.</w:t>
      </w:r>
    </w:p>
    <w:p w14:paraId="6C1C5E8D" w14:textId="77777777" w:rsidR="007A65A6" w:rsidRPr="006D3C05" w:rsidRDefault="007A65A6" w:rsidP="00286BA7">
      <w:pPr>
        <w:pStyle w:val="CETBodytext"/>
        <w:rPr>
          <w:lang w:val="en-GB"/>
        </w:rPr>
      </w:pPr>
    </w:p>
    <w:p w14:paraId="68540FE2" w14:textId="590EBB4E" w:rsidR="00113FA5" w:rsidRPr="006D3C05" w:rsidRDefault="00151A4B" w:rsidP="00286BA7">
      <w:pPr>
        <w:pStyle w:val="CETBodytext"/>
        <w:rPr>
          <w:lang w:val="en-GB"/>
        </w:rPr>
      </w:pPr>
      <w:r w:rsidRPr="006D3C05">
        <w:rPr>
          <w:lang w:val="en-GB"/>
        </w:rPr>
        <w:drawing>
          <wp:inline distT="0" distB="0" distL="0" distR="0" wp14:anchorId="2EF0771B" wp14:editId="5D8658A6">
            <wp:extent cx="3225800" cy="2089957"/>
            <wp:effectExtent l="0" t="0" r="0" b="5715"/>
            <wp:docPr id="1130217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8341" cy="2130476"/>
                    </a:xfrm>
                    <a:prstGeom prst="rect">
                      <a:avLst/>
                    </a:prstGeom>
                    <a:noFill/>
                  </pic:spPr>
                </pic:pic>
              </a:graphicData>
            </a:graphic>
          </wp:inline>
        </w:drawing>
      </w:r>
    </w:p>
    <w:p w14:paraId="4D4CE8FE" w14:textId="7A8C7DC7" w:rsidR="00BF2473" w:rsidRPr="006D3C05" w:rsidRDefault="00BF2473" w:rsidP="00BF2473">
      <w:pPr>
        <w:pStyle w:val="CETCaption"/>
      </w:pPr>
      <w:r w:rsidRPr="006D3C05">
        <w:t xml:space="preserve">Figure </w:t>
      </w:r>
      <w:r w:rsidR="00C607E2" w:rsidRPr="006D3C05">
        <w:t>2</w:t>
      </w:r>
      <w:r w:rsidRPr="006D3C05">
        <w:t xml:space="preserve">: </w:t>
      </w:r>
      <w:r w:rsidR="00772EB3" w:rsidRPr="006D3C05">
        <w:t xml:space="preserve">Trend of the hot core radius as a function if the ignition energy level as assessed in a previous work </w:t>
      </w:r>
      <w:r w:rsidR="00772EB3" w:rsidRPr="006D3C05">
        <w:fldChar w:fldCharType="begin" w:fldLock="1"/>
      </w:r>
      <w:r w:rsidR="00D30D2D" w:rsidRPr="006D3C05">
        <w:instrText>ADDIN CSL_CITATION {"citationItems":[{"id":"ITEM-1","itemData":{"DOI":"10.1002/prs.12249","author":[{"dropping-particle":"","family":"Portarapillo","given":"M.","non-dropping-particle":"","parse-names":false,"suffix":""},{"dropping-particle":"","family":"Sanchirico","given":"R.","non-dropping-particle":"","parse-names":false,"suffix":""},{"dropping-particle":"","family":"Benedetto","given":"A.","non-dropping-particle":"Di","parse-names":false,"suffix":""}],"container-title":"Process Safety Progress","id":"ITEM-1","issue":"February","issued":{"date-parts":[["2021"]]},"page":"1-7","title":"On the pyrotechnic ignitors role in dust explosion testing : Comparison between 20 L and 1 m 3 explosion vessels","type":"article-journal"},"uris":["http://www.mendeley.com/documents/?uuid=9737e2b4-9825-44f8-a62b-6ad4d3209c63"]}],"mendeley":{"formattedCitation":"(Portarapillo et al., 2021a)","plainTextFormattedCitation":"(Portarapillo et al., 2021a)","previouslyFormattedCitation":"(Portarapillo et al., 2021a)"},"properties":{"noteIndex":0},"schema":"https://github.com/citation-style-language/schema/raw/master/csl-citation.json"}</w:instrText>
      </w:r>
      <w:r w:rsidR="00772EB3" w:rsidRPr="006D3C05">
        <w:fldChar w:fldCharType="separate"/>
      </w:r>
      <w:r w:rsidR="00F46AD7" w:rsidRPr="006D3C05">
        <w:rPr>
          <w:i w:val="0"/>
          <w:noProof/>
        </w:rPr>
        <w:t>(Portarapillo et al., 2021a)</w:t>
      </w:r>
      <w:r w:rsidR="00772EB3" w:rsidRPr="006D3C05">
        <w:fldChar w:fldCharType="end"/>
      </w:r>
      <w:r w:rsidR="00772EB3" w:rsidRPr="006D3C05">
        <w:t>.</w:t>
      </w:r>
    </w:p>
    <w:p w14:paraId="16BD078D" w14:textId="3CACBA47" w:rsidR="00C07A11" w:rsidRPr="006D3C05" w:rsidRDefault="00527821" w:rsidP="00527821">
      <w:pPr>
        <w:pStyle w:val="CETBodytext"/>
        <w:rPr>
          <w:lang w:val="en-GB"/>
        </w:rPr>
      </w:pPr>
      <w:r w:rsidRPr="006D3C05">
        <w:rPr>
          <w:lang w:val="en-GB"/>
        </w:rPr>
        <w:t xml:space="preserve">In addition to the initial condition related to the triggering source, the level of pre-ignition turbulence was changed for each energy level. In particular, a certain value of turbulent kinetic energy </w:t>
      </w:r>
      <w:r w:rsidRPr="006D3C05">
        <w:rPr>
          <w:i/>
          <w:iCs/>
          <w:lang w:val="en-GB"/>
        </w:rPr>
        <w:t>k</w:t>
      </w:r>
      <w:r w:rsidRPr="006D3C05">
        <w:rPr>
          <w:lang w:val="en-GB"/>
        </w:rPr>
        <w:t xml:space="preserve"> that was set within the whole domain, and the corresponding turbulent kinetic energy dissipation rate </w:t>
      </w:r>
      <w:r w:rsidR="00A40FC1" w:rsidRPr="006D3C05">
        <w:rPr>
          <w:rFonts w:cs="Arial"/>
          <w:i/>
          <w:iCs/>
          <w:lang w:val="en-GB"/>
        </w:rPr>
        <w:t>ε</w:t>
      </w:r>
      <w:r w:rsidR="00A40FC1" w:rsidRPr="006D3C05">
        <w:rPr>
          <w:lang w:val="en-GB"/>
        </w:rPr>
        <w:t xml:space="preserve"> </w:t>
      </w:r>
      <w:r w:rsidRPr="006D3C05">
        <w:rPr>
          <w:lang w:val="en-GB"/>
        </w:rPr>
        <w:t>value was evaluated with the following equation</w:t>
      </w:r>
      <w:r w:rsidR="00F25DC2" w:rsidRPr="006D3C05">
        <w:rPr>
          <w:lang w:val="en-GB"/>
        </w:rPr>
        <w:t xml:space="preserve"> </w:t>
      </w:r>
      <w:r w:rsidR="00F25DC2" w:rsidRPr="006D3C05">
        <w:rPr>
          <w:lang w:val="en-GB"/>
        </w:rPr>
        <w:fldChar w:fldCharType="begin" w:fldLock="1"/>
      </w:r>
      <w:r w:rsidR="001B6D15" w:rsidRPr="006D3C05">
        <w:rPr>
          <w:lang w:val="en-GB"/>
        </w:rPr>
        <w:instrText>ADDIN CSL_CITATION {"citationItems":[{"id":"ITEM-1","itemData":{"DOI":"10.1088/0957-0233/12/11/708","ISSN":"0957-0233","abstract":"The book Turbulent Combustion by Norbert Peters is a concise monograph on single-phase gaseous low Mach number turbulent combustion. It is compiled from the author's review papers on this topic plus some additional material. Norbert Peters characterizes turbulent combustion both by the way fuel and air are mixed and by the ratio of turbulent and chemical time scales. This approach leads naturally to detailed models, which are based on results of turbulence modelling and asymptotic flame theory. In both areas Norbert Peters has contributed significantly over the last two decades. The book has four sections. In chapter 1 he discusses briefly the state of the art of combustion models as they are used by different authors. Important turbulent and chemical scales are introduced, which are then used to introduce and explain the different combustion models. He distinguishes between premixed and non-premixed combustion and also between infinitely fast and finite rate chemistry. The current turbulent combustion models are described in order of their complexity and physical accuracy. He explains Eddy BreakUp and Eddy Dissipation Models, the fundamentals of the PDF transport equation, and the laminar flamelet concept applied to non-premixed and premixed turbulent combustion. Then, the Conditional Moment Closure, the Linear Eddy Model, and combustion models used in Large Eddy Simulations are described very briefly. Chapter 2 is devoted to premixed turbulent combustion. After introducing some characteristic dimensionless numbers Peters uses the level set approach and the flamelet concept to formulate a combustion model valid in the thin zone and corrugated reaction zone regimes. He shows parallels between this more fundamental model and standard models like the Bray-Moss-Libby model. He also presents models for the turbulent burning velocity, the Flame Surface Area Ratio, and discusses the effects of gas expansion. Very helpful for the reader's understanding is the presentation of three worked examples of a slot burner, a propagating spherical flame and an oscillating counter flow. Peters' model for premixed turbulent combustion is based on the equations for the mean and the variance of the $G$-equation, some closure relations as well as the flamelet equation for premixed combustion. A numerical example is used to discuss its accuracy. Non-premixed turbulent combustion is the subject matter of chapter 3. Peters uses the mixture fraction variable and asymptotic flame…","author":[{"dropping-particle":"","family":"Peters","given":"N.","non-dropping-particle":"","parse-names":false,"suffix":""}],"container-title":"Measurement Science and Technology","id":"ITEM-1","issue":"11","issued":{"date-parts":[["2001"]]},"page":"2022","title":"Turbulent Combustion","type":"article-journal","volume":"12"},"uris":["http://www.mendeley.com/documents/?uuid=f63734e0-7972-4982-ac1f-623c9b8bda2b"]}],"mendeley":{"formattedCitation":"(Peters, 2001)","plainTextFormattedCitation":"(Peters, 2001)","previouslyFormattedCitation":"(Peters, 2001)"},"properties":{"noteIndex":0},"schema":"https://github.com/citation-style-language/schema/raw/master/csl-citation.json"}</w:instrText>
      </w:r>
      <w:r w:rsidR="00F25DC2" w:rsidRPr="006D3C05">
        <w:rPr>
          <w:lang w:val="en-GB"/>
        </w:rPr>
        <w:fldChar w:fldCharType="separate"/>
      </w:r>
      <w:r w:rsidR="00917BE9" w:rsidRPr="006D3C05">
        <w:rPr>
          <w:noProof/>
          <w:lang w:val="en-GB"/>
        </w:rPr>
        <w:t>(Peters, 2001)</w:t>
      </w:r>
      <w:r w:rsidR="00F25DC2" w:rsidRPr="006D3C05">
        <w:rPr>
          <w:lang w:val="en-GB"/>
        </w:rPr>
        <w:fldChar w:fldCharType="end"/>
      </w:r>
      <w:r w:rsidR="00A40FC1" w:rsidRPr="006D3C05">
        <w:rPr>
          <w:lang w:val="en-GB"/>
        </w:rPr>
        <w:t>:</w:t>
      </w:r>
    </w:p>
    <w:p w14:paraId="157D399A" w14:textId="77777777" w:rsidR="00071268" w:rsidRPr="006D3C05" w:rsidRDefault="00071268" w:rsidP="00527821">
      <w:pPr>
        <w:pStyle w:val="CETBodytext"/>
        <w:rPr>
          <w:lang w:val="en-GB"/>
        </w:rPr>
      </w:pPr>
    </w:p>
    <w:p w14:paraId="22474298" w14:textId="073B3417" w:rsidR="00A40FC1" w:rsidRPr="006D3C05" w:rsidRDefault="009B2697" w:rsidP="00527821">
      <w:pPr>
        <w:pStyle w:val="CETBodytext"/>
        <w:rPr>
          <w:lang w:val="en-GB"/>
        </w:rPr>
      </w:pPr>
      <m:oMath>
        <m:r>
          <w:rPr>
            <w:rFonts w:ascii="Cambria Math" w:hAnsi="Cambria Math"/>
            <w:lang w:val="en-GB"/>
          </w:rPr>
          <m:t>ε=</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k</m:t>
                </m:r>
              </m:e>
              <m:sup>
                <m:r>
                  <w:rPr>
                    <w:rFonts w:ascii="Cambria Math" w:hAnsi="Cambria Math"/>
                    <w:lang w:val="en-GB"/>
                  </w:rPr>
                  <m:t>3/2</m:t>
                </m:r>
              </m:sup>
            </m:sSup>
          </m:num>
          <m:den>
            <m:r>
              <w:rPr>
                <w:rFonts w:ascii="Cambria Math" w:hAnsi="Cambria Math"/>
                <w:lang w:val="en-GB"/>
              </w:rPr>
              <m:t>R</m:t>
            </m:r>
          </m:den>
        </m:f>
      </m:oMath>
      <w:r w:rsidR="00071268" w:rsidRPr="006D3C05">
        <w:rPr>
          <w:lang w:val="en-GB"/>
        </w:rPr>
        <w:tab/>
      </w:r>
      <w:r w:rsidR="00071268" w:rsidRPr="006D3C05">
        <w:rPr>
          <w:lang w:val="en-GB"/>
        </w:rPr>
        <w:tab/>
      </w:r>
      <w:r w:rsidR="00071268" w:rsidRPr="006D3C05">
        <w:rPr>
          <w:lang w:val="en-GB"/>
        </w:rPr>
        <w:tab/>
        <w:t>(2)</w:t>
      </w:r>
    </w:p>
    <w:p w14:paraId="2277111A" w14:textId="77777777" w:rsidR="00071268" w:rsidRPr="006D3C05" w:rsidRDefault="00071268" w:rsidP="00527821">
      <w:pPr>
        <w:pStyle w:val="CETBodytext"/>
        <w:rPr>
          <w:lang w:val="en-GB"/>
        </w:rPr>
      </w:pPr>
    </w:p>
    <w:p w14:paraId="11F272F2" w14:textId="654E8CF0" w:rsidR="00071268" w:rsidRPr="006D3C05" w:rsidRDefault="00071268" w:rsidP="00527821">
      <w:pPr>
        <w:pStyle w:val="CETBodytext"/>
        <w:rPr>
          <w:lang w:val="en-GB"/>
        </w:rPr>
      </w:pPr>
      <w:r w:rsidRPr="006D3C05">
        <w:rPr>
          <w:lang w:val="en-GB"/>
        </w:rPr>
        <w:t xml:space="preserve">Where R (m) is the vessel radius </w:t>
      </w:r>
      <w:r w:rsidR="00ED7B8F" w:rsidRPr="006D3C05">
        <w:rPr>
          <w:lang w:val="en-GB"/>
        </w:rPr>
        <w:t>i.e., the maximum size of the turbulent vortices.</w:t>
      </w:r>
    </w:p>
    <w:p w14:paraId="42F9896E" w14:textId="48F6A6D8" w:rsidR="00560DAB" w:rsidRPr="006D3C05" w:rsidRDefault="009B0145" w:rsidP="00527821">
      <w:pPr>
        <w:pStyle w:val="CETBodytext"/>
        <w:rPr>
          <w:lang w:val="en-GB"/>
        </w:rPr>
      </w:pPr>
      <w:r w:rsidRPr="006D3C05">
        <w:rPr>
          <w:lang w:val="en-GB"/>
        </w:rPr>
        <w:t>All initial conditions of the simulation in terms of ignition energy (and associated hot core radius), turbulent kinetic energy, and turbulent kinetic energy dissipation rate are listed in Table 1.</w:t>
      </w:r>
    </w:p>
    <w:p w14:paraId="01F61739" w14:textId="31667F68" w:rsidR="00BF2473" w:rsidRPr="006D3C05" w:rsidRDefault="00BF2473" w:rsidP="00BF2473">
      <w:pPr>
        <w:pStyle w:val="CETTabletitle"/>
      </w:pPr>
      <w:r w:rsidRPr="006D3C05">
        <w:t xml:space="preserve">Table 1: </w:t>
      </w:r>
      <w:r w:rsidR="00AC54FB" w:rsidRPr="006D3C05">
        <w:t>Summary of the investigated initial conditions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92"/>
        <w:gridCol w:w="2313"/>
        <w:gridCol w:w="2100"/>
        <w:gridCol w:w="3082"/>
      </w:tblGrid>
      <w:tr w:rsidR="002E4C7A" w:rsidRPr="006D3C05" w14:paraId="750C0DC6" w14:textId="77777777" w:rsidTr="00B94461">
        <w:tc>
          <w:tcPr>
            <w:tcW w:w="735" w:type="pct"/>
            <w:tcBorders>
              <w:top w:val="single" w:sz="12" w:space="0" w:color="008000"/>
              <w:bottom w:val="single" w:sz="6" w:space="0" w:color="008000"/>
            </w:tcBorders>
            <w:shd w:val="clear" w:color="auto" w:fill="FFFFFF"/>
          </w:tcPr>
          <w:p w14:paraId="58E58B78" w14:textId="73A86E6E" w:rsidR="002E4C7A" w:rsidRPr="006D3C05" w:rsidRDefault="002E4C7A" w:rsidP="0024561B">
            <w:pPr>
              <w:pStyle w:val="CETBodytext"/>
              <w:jc w:val="center"/>
              <w:rPr>
                <w:lang w:val="en-GB"/>
              </w:rPr>
            </w:pPr>
            <w:r w:rsidRPr="006D3C05">
              <w:rPr>
                <w:lang w:val="en-GB"/>
              </w:rPr>
              <w:t>Hot core radius (m)</w:t>
            </w:r>
          </w:p>
        </w:tc>
        <w:tc>
          <w:tcPr>
            <w:tcW w:w="1316" w:type="pct"/>
            <w:tcBorders>
              <w:top w:val="single" w:sz="12" w:space="0" w:color="008000"/>
              <w:bottom w:val="single" w:sz="6" w:space="0" w:color="008000"/>
            </w:tcBorders>
            <w:shd w:val="clear" w:color="auto" w:fill="FFFFFF"/>
          </w:tcPr>
          <w:p w14:paraId="79246969" w14:textId="5F83738E" w:rsidR="002E4C7A" w:rsidRPr="006D3C05" w:rsidRDefault="002E4C7A" w:rsidP="0024561B">
            <w:pPr>
              <w:pStyle w:val="CETBodytext"/>
              <w:jc w:val="center"/>
              <w:rPr>
                <w:lang w:val="en-GB"/>
              </w:rPr>
            </w:pPr>
            <w:r w:rsidRPr="006D3C05">
              <w:rPr>
                <w:lang w:val="en-GB"/>
              </w:rPr>
              <w:t>Corresponding ignition energy (J)</w:t>
            </w:r>
          </w:p>
        </w:tc>
        <w:tc>
          <w:tcPr>
            <w:tcW w:w="1195" w:type="pct"/>
            <w:tcBorders>
              <w:top w:val="single" w:sz="12" w:space="0" w:color="008000"/>
              <w:bottom w:val="single" w:sz="6" w:space="0" w:color="008000"/>
            </w:tcBorders>
            <w:shd w:val="clear" w:color="auto" w:fill="FFFFFF"/>
          </w:tcPr>
          <w:p w14:paraId="04ECEACB" w14:textId="17B59B25" w:rsidR="002E4C7A" w:rsidRPr="006D3C05" w:rsidRDefault="002E4C7A" w:rsidP="0024561B">
            <w:pPr>
              <w:pStyle w:val="CETBodytext"/>
              <w:jc w:val="center"/>
              <w:rPr>
                <w:lang w:val="en-GB"/>
              </w:rPr>
            </w:pPr>
            <w:r w:rsidRPr="006D3C05">
              <w:rPr>
                <w:lang w:val="en-GB"/>
              </w:rPr>
              <w:t>Turbulent kinetic energy (m</w:t>
            </w:r>
            <w:r w:rsidRPr="006D3C05">
              <w:rPr>
                <w:vertAlign w:val="superscript"/>
                <w:lang w:val="en-GB"/>
              </w:rPr>
              <w:t>2</w:t>
            </w:r>
            <w:r w:rsidRPr="006D3C05">
              <w:rPr>
                <w:lang w:val="en-GB"/>
              </w:rPr>
              <w:t>/s</w:t>
            </w:r>
            <w:r w:rsidRPr="006D3C05">
              <w:rPr>
                <w:vertAlign w:val="superscript"/>
                <w:lang w:val="en-GB"/>
              </w:rPr>
              <w:t>2</w:t>
            </w:r>
            <w:r w:rsidRPr="006D3C05">
              <w:rPr>
                <w:lang w:val="en-GB"/>
              </w:rPr>
              <w:t>)</w:t>
            </w:r>
          </w:p>
        </w:tc>
        <w:tc>
          <w:tcPr>
            <w:tcW w:w="1754" w:type="pct"/>
            <w:tcBorders>
              <w:top w:val="single" w:sz="12" w:space="0" w:color="008000"/>
              <w:bottom w:val="single" w:sz="6" w:space="0" w:color="008000"/>
            </w:tcBorders>
            <w:shd w:val="clear" w:color="auto" w:fill="FFFFFF"/>
          </w:tcPr>
          <w:p w14:paraId="3B422ED9" w14:textId="5249C8C7" w:rsidR="002E4C7A" w:rsidRPr="006D3C05" w:rsidRDefault="002E4C7A" w:rsidP="0024561B">
            <w:pPr>
              <w:pStyle w:val="CETBodytext"/>
              <w:ind w:right="-1"/>
              <w:jc w:val="center"/>
              <w:rPr>
                <w:rFonts w:cs="Arial"/>
                <w:szCs w:val="18"/>
                <w:lang w:val="en-GB"/>
              </w:rPr>
            </w:pPr>
            <w:r w:rsidRPr="006D3C05">
              <w:rPr>
                <w:rFonts w:cs="Arial"/>
                <w:szCs w:val="18"/>
                <w:lang w:val="en-GB"/>
              </w:rPr>
              <w:t>Turbulent kinetic energy dissipation rate</w:t>
            </w:r>
            <w:r w:rsidR="0024561B" w:rsidRPr="006D3C05">
              <w:rPr>
                <w:rFonts w:cs="Arial"/>
                <w:szCs w:val="18"/>
                <w:lang w:val="en-GB"/>
              </w:rPr>
              <w:t xml:space="preserve"> </w:t>
            </w:r>
            <w:r w:rsidR="0024561B" w:rsidRPr="006D3C05">
              <w:rPr>
                <w:lang w:val="en-GB"/>
              </w:rPr>
              <w:t>(m</w:t>
            </w:r>
            <w:r w:rsidR="0024561B" w:rsidRPr="006D3C05">
              <w:rPr>
                <w:vertAlign w:val="superscript"/>
                <w:lang w:val="en-GB"/>
              </w:rPr>
              <w:t>2</w:t>
            </w:r>
            <w:r w:rsidR="0024561B" w:rsidRPr="006D3C05">
              <w:rPr>
                <w:lang w:val="en-GB"/>
              </w:rPr>
              <w:t>/s</w:t>
            </w:r>
            <w:r w:rsidR="0024561B" w:rsidRPr="006D3C05">
              <w:rPr>
                <w:vertAlign w:val="superscript"/>
                <w:lang w:val="en-GB"/>
              </w:rPr>
              <w:t>3</w:t>
            </w:r>
            <w:r w:rsidR="0024561B" w:rsidRPr="006D3C05">
              <w:rPr>
                <w:lang w:val="en-GB"/>
              </w:rPr>
              <w:t>)</w:t>
            </w:r>
          </w:p>
        </w:tc>
      </w:tr>
      <w:tr w:rsidR="00B94461" w:rsidRPr="006D3C05" w14:paraId="09F84D72" w14:textId="77777777" w:rsidTr="00B94461">
        <w:tc>
          <w:tcPr>
            <w:tcW w:w="735" w:type="pct"/>
            <w:vMerge w:val="restart"/>
            <w:tcBorders>
              <w:top w:val="single" w:sz="6" w:space="0" w:color="008000"/>
              <w:bottom w:val="nil"/>
            </w:tcBorders>
            <w:shd w:val="clear" w:color="auto" w:fill="FFFFFF"/>
            <w:vAlign w:val="center"/>
          </w:tcPr>
          <w:p w14:paraId="6A79680D" w14:textId="515D2D26" w:rsidR="00B94461" w:rsidRPr="006D3C05" w:rsidRDefault="00B94461" w:rsidP="00B94461">
            <w:pPr>
              <w:pStyle w:val="CETBodytext"/>
              <w:jc w:val="center"/>
              <w:rPr>
                <w:lang w:val="en-GB"/>
              </w:rPr>
            </w:pPr>
            <w:r w:rsidRPr="006D3C05">
              <w:rPr>
                <w:lang w:val="en-GB"/>
              </w:rPr>
              <w:t>0.006</w:t>
            </w:r>
          </w:p>
        </w:tc>
        <w:tc>
          <w:tcPr>
            <w:tcW w:w="1316" w:type="pct"/>
            <w:vMerge w:val="restart"/>
            <w:tcBorders>
              <w:top w:val="single" w:sz="6" w:space="0" w:color="008000"/>
              <w:bottom w:val="nil"/>
            </w:tcBorders>
            <w:shd w:val="clear" w:color="auto" w:fill="FFFFFF"/>
            <w:vAlign w:val="center"/>
          </w:tcPr>
          <w:p w14:paraId="4E99B621" w14:textId="370E1F2F" w:rsidR="00B94461" w:rsidRPr="006D3C05" w:rsidRDefault="00B94461" w:rsidP="00B94461">
            <w:pPr>
              <w:pStyle w:val="CETBodytext"/>
              <w:jc w:val="center"/>
              <w:rPr>
                <w:lang w:val="en-GB"/>
              </w:rPr>
            </w:pPr>
            <w:r w:rsidRPr="006D3C05">
              <w:rPr>
                <w:lang w:val="en-GB"/>
              </w:rPr>
              <w:t xml:space="preserve">10 </w:t>
            </w:r>
            <w:r w:rsidR="001109A5" w:rsidRPr="006D3C05">
              <w:rPr>
                <w:lang w:val="en-GB"/>
              </w:rPr>
              <w:t>(Spark ignition)</w:t>
            </w:r>
          </w:p>
        </w:tc>
        <w:tc>
          <w:tcPr>
            <w:tcW w:w="1195" w:type="pct"/>
            <w:tcBorders>
              <w:top w:val="single" w:sz="6" w:space="0" w:color="008000"/>
              <w:bottom w:val="nil"/>
            </w:tcBorders>
            <w:shd w:val="clear" w:color="auto" w:fill="FFFFFF"/>
          </w:tcPr>
          <w:p w14:paraId="79ECF00B" w14:textId="6186D7F3" w:rsidR="00B94461" w:rsidRPr="006D3C05" w:rsidRDefault="00B94461" w:rsidP="0024561B">
            <w:pPr>
              <w:pStyle w:val="CETBodytext"/>
              <w:jc w:val="center"/>
              <w:rPr>
                <w:lang w:val="en-GB"/>
              </w:rPr>
            </w:pPr>
            <w:r w:rsidRPr="006D3C05">
              <w:rPr>
                <w:lang w:val="en-GB"/>
              </w:rPr>
              <w:t>15</w:t>
            </w:r>
          </w:p>
        </w:tc>
        <w:tc>
          <w:tcPr>
            <w:tcW w:w="1754" w:type="pct"/>
            <w:tcBorders>
              <w:top w:val="single" w:sz="6" w:space="0" w:color="008000"/>
              <w:bottom w:val="nil"/>
            </w:tcBorders>
            <w:shd w:val="clear" w:color="auto" w:fill="FFFFFF"/>
          </w:tcPr>
          <w:p w14:paraId="5379FD53" w14:textId="4FD2A85C" w:rsidR="00B94461" w:rsidRPr="006D3C05" w:rsidRDefault="00B94461" w:rsidP="0024561B">
            <w:pPr>
              <w:pStyle w:val="CETBodytext"/>
              <w:ind w:right="-1"/>
              <w:jc w:val="center"/>
              <w:rPr>
                <w:rFonts w:cs="Arial"/>
                <w:szCs w:val="18"/>
                <w:lang w:val="en-GB"/>
              </w:rPr>
            </w:pPr>
            <w:r w:rsidRPr="006D3C05">
              <w:rPr>
                <w:rFonts w:cs="Arial"/>
                <w:szCs w:val="18"/>
                <w:lang w:val="en-GB"/>
              </w:rPr>
              <w:t>342</w:t>
            </w:r>
          </w:p>
        </w:tc>
      </w:tr>
      <w:tr w:rsidR="00B94461" w:rsidRPr="006D3C05" w14:paraId="30FF4E8F" w14:textId="77777777" w:rsidTr="00B94461">
        <w:tc>
          <w:tcPr>
            <w:tcW w:w="735" w:type="pct"/>
            <w:vMerge/>
            <w:tcBorders>
              <w:top w:val="nil"/>
              <w:bottom w:val="nil"/>
            </w:tcBorders>
            <w:shd w:val="clear" w:color="auto" w:fill="FFFFFF"/>
          </w:tcPr>
          <w:p w14:paraId="0F207F5B" w14:textId="77777777" w:rsidR="00B94461" w:rsidRPr="006D3C05" w:rsidRDefault="00B94461" w:rsidP="0024561B">
            <w:pPr>
              <w:pStyle w:val="CETBodytext"/>
              <w:jc w:val="center"/>
              <w:rPr>
                <w:lang w:val="en-GB"/>
              </w:rPr>
            </w:pPr>
          </w:p>
        </w:tc>
        <w:tc>
          <w:tcPr>
            <w:tcW w:w="1316" w:type="pct"/>
            <w:vMerge/>
            <w:tcBorders>
              <w:top w:val="nil"/>
              <w:bottom w:val="nil"/>
            </w:tcBorders>
            <w:shd w:val="clear" w:color="auto" w:fill="FFFFFF"/>
            <w:vAlign w:val="center"/>
          </w:tcPr>
          <w:p w14:paraId="6CC277CF" w14:textId="77777777" w:rsidR="00B94461" w:rsidRPr="006D3C05" w:rsidRDefault="00B94461" w:rsidP="00B94461">
            <w:pPr>
              <w:pStyle w:val="CETBodytext"/>
              <w:jc w:val="center"/>
              <w:rPr>
                <w:lang w:val="en-GB"/>
              </w:rPr>
            </w:pPr>
          </w:p>
        </w:tc>
        <w:tc>
          <w:tcPr>
            <w:tcW w:w="1195" w:type="pct"/>
            <w:tcBorders>
              <w:top w:val="nil"/>
              <w:bottom w:val="nil"/>
            </w:tcBorders>
            <w:shd w:val="clear" w:color="auto" w:fill="FFFFFF"/>
          </w:tcPr>
          <w:p w14:paraId="7B7B316A" w14:textId="3327CC15" w:rsidR="00B94461" w:rsidRPr="006D3C05" w:rsidRDefault="00B94461" w:rsidP="0024561B">
            <w:pPr>
              <w:pStyle w:val="CETBodytext"/>
              <w:jc w:val="center"/>
              <w:rPr>
                <w:lang w:val="en-GB"/>
              </w:rPr>
            </w:pPr>
            <w:r w:rsidRPr="006D3C05">
              <w:rPr>
                <w:lang w:val="en-GB"/>
              </w:rPr>
              <w:t>50</w:t>
            </w:r>
          </w:p>
        </w:tc>
        <w:tc>
          <w:tcPr>
            <w:tcW w:w="1754" w:type="pct"/>
            <w:tcBorders>
              <w:top w:val="nil"/>
              <w:bottom w:val="nil"/>
            </w:tcBorders>
            <w:shd w:val="clear" w:color="auto" w:fill="FFFFFF"/>
          </w:tcPr>
          <w:p w14:paraId="40239B08" w14:textId="2F4512B7" w:rsidR="00B94461" w:rsidRPr="006D3C05" w:rsidRDefault="00B94461" w:rsidP="0024561B">
            <w:pPr>
              <w:pStyle w:val="CETBodytext"/>
              <w:ind w:right="-1"/>
              <w:jc w:val="center"/>
              <w:rPr>
                <w:rFonts w:cs="Arial"/>
                <w:szCs w:val="18"/>
                <w:lang w:val="en-GB"/>
              </w:rPr>
            </w:pPr>
            <w:r w:rsidRPr="006D3C05">
              <w:rPr>
                <w:rFonts w:cs="Arial"/>
                <w:szCs w:val="18"/>
                <w:lang w:val="en-GB"/>
              </w:rPr>
              <w:t>2080</w:t>
            </w:r>
          </w:p>
        </w:tc>
      </w:tr>
      <w:tr w:rsidR="00B94461" w:rsidRPr="006D3C05" w14:paraId="2E6524E8" w14:textId="77777777" w:rsidTr="001109A5">
        <w:tc>
          <w:tcPr>
            <w:tcW w:w="735" w:type="pct"/>
            <w:vMerge/>
            <w:tcBorders>
              <w:top w:val="nil"/>
              <w:bottom w:val="single" w:sz="4" w:space="0" w:color="009900"/>
            </w:tcBorders>
            <w:shd w:val="clear" w:color="auto" w:fill="FFFFFF"/>
          </w:tcPr>
          <w:p w14:paraId="665723C1" w14:textId="77777777" w:rsidR="00B94461" w:rsidRPr="006D3C05" w:rsidRDefault="00B94461" w:rsidP="0024561B">
            <w:pPr>
              <w:pStyle w:val="CETBodytext"/>
              <w:jc w:val="center"/>
              <w:rPr>
                <w:lang w:val="en-GB"/>
              </w:rPr>
            </w:pPr>
          </w:p>
        </w:tc>
        <w:tc>
          <w:tcPr>
            <w:tcW w:w="1316" w:type="pct"/>
            <w:vMerge/>
            <w:tcBorders>
              <w:top w:val="nil"/>
              <w:bottom w:val="single" w:sz="4" w:space="0" w:color="009900"/>
            </w:tcBorders>
            <w:shd w:val="clear" w:color="auto" w:fill="FFFFFF"/>
            <w:vAlign w:val="center"/>
          </w:tcPr>
          <w:p w14:paraId="380397B4" w14:textId="77777777" w:rsidR="00B94461" w:rsidRPr="006D3C05" w:rsidRDefault="00B94461" w:rsidP="00B94461">
            <w:pPr>
              <w:pStyle w:val="CETBodytext"/>
              <w:jc w:val="center"/>
              <w:rPr>
                <w:lang w:val="en-GB"/>
              </w:rPr>
            </w:pPr>
          </w:p>
        </w:tc>
        <w:tc>
          <w:tcPr>
            <w:tcW w:w="1195" w:type="pct"/>
            <w:tcBorders>
              <w:top w:val="nil"/>
              <w:bottom w:val="single" w:sz="4" w:space="0" w:color="009900"/>
            </w:tcBorders>
            <w:shd w:val="clear" w:color="auto" w:fill="FFFFFF"/>
          </w:tcPr>
          <w:p w14:paraId="7CDFA024" w14:textId="599FF544" w:rsidR="00B94461" w:rsidRPr="006D3C05" w:rsidRDefault="00B94461" w:rsidP="0024561B">
            <w:pPr>
              <w:pStyle w:val="CETBodytext"/>
              <w:jc w:val="center"/>
              <w:rPr>
                <w:lang w:val="en-GB"/>
              </w:rPr>
            </w:pPr>
            <w:r w:rsidRPr="006D3C05">
              <w:rPr>
                <w:lang w:val="en-GB"/>
              </w:rPr>
              <w:t>100</w:t>
            </w:r>
          </w:p>
        </w:tc>
        <w:tc>
          <w:tcPr>
            <w:tcW w:w="1754" w:type="pct"/>
            <w:tcBorders>
              <w:top w:val="nil"/>
              <w:bottom w:val="single" w:sz="4" w:space="0" w:color="009900"/>
            </w:tcBorders>
            <w:shd w:val="clear" w:color="auto" w:fill="FFFFFF"/>
          </w:tcPr>
          <w:p w14:paraId="2A0F776C" w14:textId="287A4465" w:rsidR="00B94461" w:rsidRPr="006D3C05" w:rsidRDefault="00B94461" w:rsidP="0024561B">
            <w:pPr>
              <w:pStyle w:val="CETBodytext"/>
              <w:ind w:right="-1"/>
              <w:jc w:val="center"/>
              <w:rPr>
                <w:rFonts w:cs="Arial"/>
                <w:szCs w:val="18"/>
                <w:lang w:val="en-GB"/>
              </w:rPr>
            </w:pPr>
            <w:r w:rsidRPr="006D3C05">
              <w:rPr>
                <w:rFonts w:cs="Arial"/>
                <w:szCs w:val="18"/>
                <w:lang w:val="en-GB"/>
              </w:rPr>
              <w:t>5882</w:t>
            </w:r>
          </w:p>
        </w:tc>
      </w:tr>
      <w:tr w:rsidR="001109A5" w:rsidRPr="006D3C05" w14:paraId="083FC233" w14:textId="77777777" w:rsidTr="001109A5">
        <w:tc>
          <w:tcPr>
            <w:tcW w:w="735" w:type="pct"/>
            <w:vMerge w:val="restart"/>
            <w:tcBorders>
              <w:top w:val="single" w:sz="4" w:space="0" w:color="009900"/>
              <w:bottom w:val="nil"/>
            </w:tcBorders>
            <w:shd w:val="clear" w:color="auto" w:fill="FFFFFF"/>
            <w:vAlign w:val="center"/>
          </w:tcPr>
          <w:p w14:paraId="6C440715" w14:textId="1C1A4C2E" w:rsidR="001109A5" w:rsidRPr="006D3C05" w:rsidRDefault="001109A5" w:rsidP="001109A5">
            <w:pPr>
              <w:pStyle w:val="CETBodytext"/>
              <w:jc w:val="center"/>
              <w:rPr>
                <w:lang w:val="en-GB"/>
              </w:rPr>
            </w:pPr>
            <w:r w:rsidRPr="006D3C05">
              <w:rPr>
                <w:lang w:val="en-GB"/>
              </w:rPr>
              <w:t>0.01</w:t>
            </w:r>
          </w:p>
        </w:tc>
        <w:tc>
          <w:tcPr>
            <w:tcW w:w="1316" w:type="pct"/>
            <w:vMerge w:val="restart"/>
            <w:tcBorders>
              <w:top w:val="single" w:sz="4" w:space="0" w:color="009900"/>
              <w:bottom w:val="nil"/>
            </w:tcBorders>
            <w:shd w:val="clear" w:color="auto" w:fill="FFFFFF"/>
            <w:vAlign w:val="center"/>
          </w:tcPr>
          <w:p w14:paraId="08D0A778" w14:textId="7E1FAB8D" w:rsidR="001109A5" w:rsidRPr="006D3C05" w:rsidRDefault="001109A5" w:rsidP="001109A5">
            <w:pPr>
              <w:pStyle w:val="CETBodytext"/>
              <w:jc w:val="center"/>
              <w:rPr>
                <w:lang w:val="en-GB"/>
              </w:rPr>
            </w:pPr>
            <w:r w:rsidRPr="006D3C05">
              <w:rPr>
                <w:lang w:val="en-GB"/>
              </w:rPr>
              <w:t xml:space="preserve">50 </w:t>
            </w:r>
          </w:p>
        </w:tc>
        <w:tc>
          <w:tcPr>
            <w:tcW w:w="1195" w:type="pct"/>
            <w:tcBorders>
              <w:top w:val="single" w:sz="4" w:space="0" w:color="009900"/>
              <w:bottom w:val="nil"/>
            </w:tcBorders>
            <w:shd w:val="clear" w:color="auto" w:fill="FFFFFF"/>
          </w:tcPr>
          <w:p w14:paraId="47B55D5E" w14:textId="173EE80F" w:rsidR="001109A5" w:rsidRPr="006D3C05" w:rsidRDefault="001109A5" w:rsidP="001109A5">
            <w:pPr>
              <w:pStyle w:val="CETBodytext"/>
              <w:jc w:val="center"/>
              <w:rPr>
                <w:lang w:val="en-GB"/>
              </w:rPr>
            </w:pPr>
            <w:r w:rsidRPr="006D3C05">
              <w:rPr>
                <w:lang w:val="en-GB"/>
              </w:rPr>
              <w:t>15</w:t>
            </w:r>
          </w:p>
        </w:tc>
        <w:tc>
          <w:tcPr>
            <w:tcW w:w="1754" w:type="pct"/>
            <w:tcBorders>
              <w:top w:val="single" w:sz="4" w:space="0" w:color="009900"/>
              <w:bottom w:val="nil"/>
            </w:tcBorders>
            <w:shd w:val="clear" w:color="auto" w:fill="FFFFFF"/>
          </w:tcPr>
          <w:p w14:paraId="13CBB086" w14:textId="0B3634E9" w:rsidR="001109A5" w:rsidRPr="006D3C05" w:rsidRDefault="001109A5" w:rsidP="001109A5">
            <w:pPr>
              <w:pStyle w:val="CETBodytext"/>
              <w:ind w:right="-1"/>
              <w:jc w:val="center"/>
              <w:rPr>
                <w:rFonts w:cs="Arial"/>
                <w:szCs w:val="18"/>
                <w:lang w:val="en-GB"/>
              </w:rPr>
            </w:pPr>
            <w:r w:rsidRPr="006D3C05">
              <w:rPr>
                <w:rFonts w:cs="Arial"/>
                <w:szCs w:val="18"/>
                <w:lang w:val="en-GB"/>
              </w:rPr>
              <w:t>342</w:t>
            </w:r>
          </w:p>
        </w:tc>
      </w:tr>
      <w:tr w:rsidR="001109A5" w:rsidRPr="006D3C05" w14:paraId="0FDE4F3F" w14:textId="77777777" w:rsidTr="001109A5">
        <w:tc>
          <w:tcPr>
            <w:tcW w:w="735" w:type="pct"/>
            <w:vMerge/>
            <w:tcBorders>
              <w:top w:val="nil"/>
              <w:bottom w:val="nil"/>
            </w:tcBorders>
            <w:shd w:val="clear" w:color="auto" w:fill="FFFFFF"/>
          </w:tcPr>
          <w:p w14:paraId="77A92383" w14:textId="77777777" w:rsidR="001109A5" w:rsidRPr="006D3C05" w:rsidRDefault="001109A5" w:rsidP="001109A5">
            <w:pPr>
              <w:pStyle w:val="CETBodytext"/>
              <w:jc w:val="center"/>
              <w:rPr>
                <w:lang w:val="en-GB"/>
              </w:rPr>
            </w:pPr>
          </w:p>
        </w:tc>
        <w:tc>
          <w:tcPr>
            <w:tcW w:w="1316" w:type="pct"/>
            <w:vMerge/>
            <w:tcBorders>
              <w:top w:val="nil"/>
              <w:bottom w:val="nil"/>
            </w:tcBorders>
            <w:shd w:val="clear" w:color="auto" w:fill="FFFFFF"/>
            <w:vAlign w:val="center"/>
          </w:tcPr>
          <w:p w14:paraId="2EC43D5F" w14:textId="77777777" w:rsidR="001109A5" w:rsidRPr="006D3C05" w:rsidRDefault="001109A5" w:rsidP="001109A5">
            <w:pPr>
              <w:pStyle w:val="CETBodytext"/>
              <w:jc w:val="center"/>
              <w:rPr>
                <w:lang w:val="en-GB"/>
              </w:rPr>
            </w:pPr>
          </w:p>
        </w:tc>
        <w:tc>
          <w:tcPr>
            <w:tcW w:w="1195" w:type="pct"/>
            <w:tcBorders>
              <w:top w:val="nil"/>
              <w:bottom w:val="nil"/>
            </w:tcBorders>
            <w:shd w:val="clear" w:color="auto" w:fill="FFFFFF"/>
          </w:tcPr>
          <w:p w14:paraId="397324D4" w14:textId="63594916" w:rsidR="001109A5" w:rsidRPr="006D3C05" w:rsidRDefault="001109A5" w:rsidP="001109A5">
            <w:pPr>
              <w:pStyle w:val="CETBodytext"/>
              <w:jc w:val="center"/>
              <w:rPr>
                <w:lang w:val="en-GB"/>
              </w:rPr>
            </w:pPr>
            <w:r w:rsidRPr="006D3C05">
              <w:rPr>
                <w:lang w:val="en-GB"/>
              </w:rPr>
              <w:t>50</w:t>
            </w:r>
          </w:p>
        </w:tc>
        <w:tc>
          <w:tcPr>
            <w:tcW w:w="1754" w:type="pct"/>
            <w:tcBorders>
              <w:top w:val="nil"/>
              <w:bottom w:val="nil"/>
            </w:tcBorders>
            <w:shd w:val="clear" w:color="auto" w:fill="FFFFFF"/>
          </w:tcPr>
          <w:p w14:paraId="11589F27" w14:textId="39987409" w:rsidR="001109A5" w:rsidRPr="006D3C05" w:rsidRDefault="001109A5" w:rsidP="001109A5">
            <w:pPr>
              <w:pStyle w:val="CETBodytext"/>
              <w:ind w:right="-1"/>
              <w:jc w:val="center"/>
              <w:rPr>
                <w:rFonts w:cs="Arial"/>
                <w:szCs w:val="18"/>
                <w:lang w:val="en-GB"/>
              </w:rPr>
            </w:pPr>
            <w:r w:rsidRPr="006D3C05">
              <w:rPr>
                <w:rFonts w:cs="Arial"/>
                <w:szCs w:val="18"/>
                <w:lang w:val="en-GB"/>
              </w:rPr>
              <w:t>2080</w:t>
            </w:r>
          </w:p>
        </w:tc>
      </w:tr>
      <w:tr w:rsidR="001109A5" w:rsidRPr="006D3C05" w14:paraId="1C453C62" w14:textId="77777777" w:rsidTr="001109A5">
        <w:tc>
          <w:tcPr>
            <w:tcW w:w="735" w:type="pct"/>
            <w:vMerge/>
            <w:tcBorders>
              <w:top w:val="nil"/>
              <w:bottom w:val="nil"/>
            </w:tcBorders>
            <w:shd w:val="clear" w:color="auto" w:fill="FFFFFF"/>
          </w:tcPr>
          <w:p w14:paraId="17E8A386" w14:textId="77777777" w:rsidR="001109A5" w:rsidRPr="006D3C05" w:rsidRDefault="001109A5" w:rsidP="001109A5">
            <w:pPr>
              <w:pStyle w:val="CETBodytext"/>
              <w:jc w:val="center"/>
              <w:rPr>
                <w:lang w:val="en-GB"/>
              </w:rPr>
            </w:pPr>
          </w:p>
        </w:tc>
        <w:tc>
          <w:tcPr>
            <w:tcW w:w="1316" w:type="pct"/>
            <w:vMerge/>
            <w:tcBorders>
              <w:top w:val="nil"/>
              <w:bottom w:val="nil"/>
            </w:tcBorders>
            <w:shd w:val="clear" w:color="auto" w:fill="FFFFFF"/>
            <w:vAlign w:val="center"/>
          </w:tcPr>
          <w:p w14:paraId="52D5FB09" w14:textId="77777777" w:rsidR="001109A5" w:rsidRPr="006D3C05" w:rsidRDefault="001109A5" w:rsidP="001109A5">
            <w:pPr>
              <w:pStyle w:val="CETBodytext"/>
              <w:jc w:val="center"/>
              <w:rPr>
                <w:lang w:val="en-GB"/>
              </w:rPr>
            </w:pPr>
          </w:p>
        </w:tc>
        <w:tc>
          <w:tcPr>
            <w:tcW w:w="1195" w:type="pct"/>
            <w:tcBorders>
              <w:top w:val="nil"/>
              <w:bottom w:val="nil"/>
            </w:tcBorders>
            <w:shd w:val="clear" w:color="auto" w:fill="FFFFFF"/>
          </w:tcPr>
          <w:p w14:paraId="760C5A50" w14:textId="7355AF53" w:rsidR="001109A5" w:rsidRPr="006D3C05" w:rsidRDefault="001109A5" w:rsidP="001109A5">
            <w:pPr>
              <w:pStyle w:val="CETBodytext"/>
              <w:jc w:val="center"/>
              <w:rPr>
                <w:lang w:val="en-GB"/>
              </w:rPr>
            </w:pPr>
            <w:r w:rsidRPr="006D3C05">
              <w:rPr>
                <w:lang w:val="en-GB"/>
              </w:rPr>
              <w:t>100</w:t>
            </w:r>
          </w:p>
        </w:tc>
        <w:tc>
          <w:tcPr>
            <w:tcW w:w="1754" w:type="pct"/>
            <w:tcBorders>
              <w:top w:val="nil"/>
              <w:bottom w:val="nil"/>
            </w:tcBorders>
            <w:shd w:val="clear" w:color="auto" w:fill="FFFFFF"/>
          </w:tcPr>
          <w:p w14:paraId="52F1AB4B" w14:textId="28A84940" w:rsidR="001109A5" w:rsidRPr="006D3C05" w:rsidRDefault="001109A5" w:rsidP="001109A5">
            <w:pPr>
              <w:pStyle w:val="CETBodytext"/>
              <w:ind w:right="-1"/>
              <w:jc w:val="center"/>
              <w:rPr>
                <w:rFonts w:cs="Arial"/>
                <w:szCs w:val="18"/>
                <w:lang w:val="en-GB"/>
              </w:rPr>
            </w:pPr>
            <w:r w:rsidRPr="006D3C05">
              <w:rPr>
                <w:rFonts w:cs="Arial"/>
                <w:szCs w:val="18"/>
                <w:lang w:val="en-GB"/>
              </w:rPr>
              <w:t>5882</w:t>
            </w:r>
          </w:p>
        </w:tc>
      </w:tr>
      <w:tr w:rsidR="001109A5" w:rsidRPr="006D3C05" w14:paraId="7DC035C1" w14:textId="77777777" w:rsidTr="00BE41CD">
        <w:tc>
          <w:tcPr>
            <w:tcW w:w="735" w:type="pct"/>
            <w:vMerge/>
            <w:tcBorders>
              <w:top w:val="nil"/>
              <w:bottom w:val="single" w:sz="4" w:space="0" w:color="009900"/>
            </w:tcBorders>
            <w:shd w:val="clear" w:color="auto" w:fill="FFFFFF"/>
          </w:tcPr>
          <w:p w14:paraId="4CF83707" w14:textId="77777777" w:rsidR="001109A5" w:rsidRPr="006D3C05" w:rsidRDefault="001109A5" w:rsidP="0024561B">
            <w:pPr>
              <w:pStyle w:val="CETBodytext"/>
              <w:jc w:val="center"/>
              <w:rPr>
                <w:lang w:val="en-GB"/>
              </w:rPr>
            </w:pPr>
          </w:p>
        </w:tc>
        <w:tc>
          <w:tcPr>
            <w:tcW w:w="1316" w:type="pct"/>
            <w:vMerge/>
            <w:tcBorders>
              <w:top w:val="nil"/>
              <w:bottom w:val="single" w:sz="4" w:space="0" w:color="009900"/>
            </w:tcBorders>
            <w:shd w:val="clear" w:color="auto" w:fill="FFFFFF"/>
            <w:vAlign w:val="center"/>
          </w:tcPr>
          <w:p w14:paraId="6963E294" w14:textId="77777777" w:rsidR="001109A5" w:rsidRPr="006D3C05" w:rsidRDefault="001109A5" w:rsidP="001109A5">
            <w:pPr>
              <w:pStyle w:val="CETBodytext"/>
              <w:jc w:val="center"/>
              <w:rPr>
                <w:lang w:val="en-GB"/>
              </w:rPr>
            </w:pPr>
          </w:p>
        </w:tc>
        <w:tc>
          <w:tcPr>
            <w:tcW w:w="1195" w:type="pct"/>
            <w:tcBorders>
              <w:top w:val="nil"/>
              <w:bottom w:val="single" w:sz="4" w:space="0" w:color="009900"/>
            </w:tcBorders>
            <w:shd w:val="clear" w:color="auto" w:fill="FFFFFF"/>
          </w:tcPr>
          <w:p w14:paraId="37F83C34" w14:textId="05868E32" w:rsidR="001109A5" w:rsidRPr="006D3C05" w:rsidRDefault="001109A5" w:rsidP="0024561B">
            <w:pPr>
              <w:pStyle w:val="CETBodytext"/>
              <w:jc w:val="center"/>
              <w:rPr>
                <w:lang w:val="en-GB"/>
              </w:rPr>
            </w:pPr>
            <w:r w:rsidRPr="006D3C05">
              <w:rPr>
                <w:lang w:val="en-GB"/>
              </w:rPr>
              <w:t>200</w:t>
            </w:r>
          </w:p>
        </w:tc>
        <w:tc>
          <w:tcPr>
            <w:tcW w:w="1754" w:type="pct"/>
            <w:tcBorders>
              <w:top w:val="nil"/>
              <w:bottom w:val="single" w:sz="4" w:space="0" w:color="009900"/>
            </w:tcBorders>
            <w:shd w:val="clear" w:color="auto" w:fill="FFFFFF"/>
          </w:tcPr>
          <w:p w14:paraId="492A7B12" w14:textId="6CAC6254" w:rsidR="001109A5" w:rsidRPr="006D3C05" w:rsidRDefault="001109A5" w:rsidP="0024561B">
            <w:pPr>
              <w:pStyle w:val="CETBodytext"/>
              <w:ind w:right="-1"/>
              <w:jc w:val="center"/>
              <w:rPr>
                <w:rFonts w:cs="Arial"/>
                <w:szCs w:val="18"/>
                <w:lang w:val="en-GB"/>
              </w:rPr>
            </w:pPr>
            <w:r w:rsidRPr="006D3C05">
              <w:rPr>
                <w:rFonts w:cs="Arial"/>
                <w:szCs w:val="18"/>
                <w:lang w:val="en-GB"/>
              </w:rPr>
              <w:t>16237</w:t>
            </w:r>
          </w:p>
        </w:tc>
      </w:tr>
      <w:tr w:rsidR="00BE41CD" w:rsidRPr="006D3C05" w14:paraId="2821F1BB" w14:textId="77777777" w:rsidTr="00BE41CD">
        <w:tc>
          <w:tcPr>
            <w:tcW w:w="735" w:type="pct"/>
            <w:vMerge w:val="restart"/>
            <w:tcBorders>
              <w:top w:val="single" w:sz="4" w:space="0" w:color="009900"/>
              <w:bottom w:val="nil"/>
            </w:tcBorders>
            <w:shd w:val="clear" w:color="auto" w:fill="FFFFFF"/>
            <w:vAlign w:val="center"/>
          </w:tcPr>
          <w:p w14:paraId="3C599EF7" w14:textId="68731FAE" w:rsidR="00BE41CD" w:rsidRPr="006D3C05" w:rsidRDefault="00BE41CD" w:rsidP="00BE41CD">
            <w:pPr>
              <w:pStyle w:val="CETBodytext"/>
              <w:jc w:val="center"/>
              <w:rPr>
                <w:lang w:val="en-GB"/>
              </w:rPr>
            </w:pPr>
            <w:r w:rsidRPr="006D3C05">
              <w:rPr>
                <w:lang w:val="en-GB"/>
              </w:rPr>
              <w:t>0.08</w:t>
            </w:r>
          </w:p>
        </w:tc>
        <w:tc>
          <w:tcPr>
            <w:tcW w:w="1316" w:type="pct"/>
            <w:vMerge w:val="restart"/>
            <w:tcBorders>
              <w:top w:val="single" w:sz="4" w:space="0" w:color="009900"/>
              <w:bottom w:val="nil"/>
            </w:tcBorders>
            <w:shd w:val="clear" w:color="auto" w:fill="FFFFFF"/>
            <w:vAlign w:val="center"/>
          </w:tcPr>
          <w:p w14:paraId="55344B10" w14:textId="64ED9B2A" w:rsidR="00BE41CD" w:rsidRPr="006D3C05" w:rsidRDefault="00BE41CD" w:rsidP="00BE41CD">
            <w:pPr>
              <w:pStyle w:val="CETBodytext"/>
              <w:jc w:val="center"/>
              <w:rPr>
                <w:lang w:val="en-GB"/>
              </w:rPr>
            </w:pPr>
            <w:r w:rsidRPr="006D3C05">
              <w:rPr>
                <w:lang w:val="en-GB"/>
              </w:rPr>
              <w:t>500</w:t>
            </w:r>
          </w:p>
        </w:tc>
        <w:tc>
          <w:tcPr>
            <w:tcW w:w="1195" w:type="pct"/>
            <w:tcBorders>
              <w:top w:val="single" w:sz="4" w:space="0" w:color="009900"/>
              <w:bottom w:val="nil"/>
            </w:tcBorders>
            <w:shd w:val="clear" w:color="auto" w:fill="FFFFFF"/>
          </w:tcPr>
          <w:p w14:paraId="52307CC7" w14:textId="3BF8B769" w:rsidR="00BE41CD" w:rsidRPr="006D3C05" w:rsidRDefault="00BE41CD" w:rsidP="00BE41CD">
            <w:pPr>
              <w:pStyle w:val="CETBodytext"/>
              <w:jc w:val="center"/>
              <w:rPr>
                <w:lang w:val="en-GB"/>
              </w:rPr>
            </w:pPr>
            <w:r w:rsidRPr="006D3C05">
              <w:rPr>
                <w:lang w:val="en-GB"/>
              </w:rPr>
              <w:t>15</w:t>
            </w:r>
          </w:p>
        </w:tc>
        <w:tc>
          <w:tcPr>
            <w:tcW w:w="1754" w:type="pct"/>
            <w:tcBorders>
              <w:top w:val="single" w:sz="4" w:space="0" w:color="009900"/>
              <w:bottom w:val="nil"/>
            </w:tcBorders>
            <w:shd w:val="clear" w:color="auto" w:fill="FFFFFF"/>
          </w:tcPr>
          <w:p w14:paraId="292FC193" w14:textId="4FA1091E" w:rsidR="00BE41CD" w:rsidRPr="006D3C05" w:rsidRDefault="00BE41CD" w:rsidP="00BE41CD">
            <w:pPr>
              <w:pStyle w:val="CETBodytext"/>
              <w:ind w:right="-1"/>
              <w:jc w:val="center"/>
              <w:rPr>
                <w:rFonts w:cs="Arial"/>
                <w:szCs w:val="18"/>
                <w:lang w:val="en-GB"/>
              </w:rPr>
            </w:pPr>
            <w:r w:rsidRPr="006D3C05">
              <w:rPr>
                <w:rFonts w:cs="Arial"/>
                <w:szCs w:val="18"/>
                <w:lang w:val="en-GB"/>
              </w:rPr>
              <w:t>342</w:t>
            </w:r>
          </w:p>
        </w:tc>
      </w:tr>
      <w:tr w:rsidR="00BE41CD" w:rsidRPr="006D3C05" w14:paraId="6510770B" w14:textId="77777777" w:rsidTr="00BE41CD">
        <w:tc>
          <w:tcPr>
            <w:tcW w:w="735" w:type="pct"/>
            <w:vMerge/>
            <w:tcBorders>
              <w:top w:val="nil"/>
              <w:bottom w:val="nil"/>
            </w:tcBorders>
            <w:shd w:val="clear" w:color="auto" w:fill="FFFFFF"/>
          </w:tcPr>
          <w:p w14:paraId="36651F31" w14:textId="77777777" w:rsidR="00BE41CD" w:rsidRPr="006D3C05" w:rsidRDefault="00BE41CD" w:rsidP="00BE41CD">
            <w:pPr>
              <w:pStyle w:val="CETBodytext"/>
              <w:jc w:val="center"/>
              <w:rPr>
                <w:lang w:val="en-GB"/>
              </w:rPr>
            </w:pPr>
          </w:p>
        </w:tc>
        <w:tc>
          <w:tcPr>
            <w:tcW w:w="1316" w:type="pct"/>
            <w:vMerge/>
            <w:tcBorders>
              <w:top w:val="nil"/>
              <w:bottom w:val="nil"/>
            </w:tcBorders>
            <w:shd w:val="clear" w:color="auto" w:fill="FFFFFF"/>
          </w:tcPr>
          <w:p w14:paraId="606A589D" w14:textId="77777777" w:rsidR="00BE41CD" w:rsidRPr="006D3C05" w:rsidRDefault="00BE41CD" w:rsidP="00BE41CD">
            <w:pPr>
              <w:pStyle w:val="CETBodytext"/>
              <w:jc w:val="center"/>
              <w:rPr>
                <w:lang w:val="en-GB"/>
              </w:rPr>
            </w:pPr>
          </w:p>
        </w:tc>
        <w:tc>
          <w:tcPr>
            <w:tcW w:w="1195" w:type="pct"/>
            <w:tcBorders>
              <w:top w:val="nil"/>
              <w:bottom w:val="nil"/>
            </w:tcBorders>
            <w:shd w:val="clear" w:color="auto" w:fill="FFFFFF"/>
          </w:tcPr>
          <w:p w14:paraId="6AD6799E" w14:textId="6FE792CC" w:rsidR="00BE41CD" w:rsidRPr="006D3C05" w:rsidRDefault="00BE41CD" w:rsidP="00BE41CD">
            <w:pPr>
              <w:pStyle w:val="CETBodytext"/>
              <w:jc w:val="center"/>
              <w:rPr>
                <w:lang w:val="en-GB"/>
              </w:rPr>
            </w:pPr>
            <w:r w:rsidRPr="006D3C05">
              <w:rPr>
                <w:lang w:val="en-GB"/>
              </w:rPr>
              <w:t>50</w:t>
            </w:r>
          </w:p>
        </w:tc>
        <w:tc>
          <w:tcPr>
            <w:tcW w:w="1754" w:type="pct"/>
            <w:tcBorders>
              <w:top w:val="nil"/>
              <w:bottom w:val="nil"/>
            </w:tcBorders>
            <w:shd w:val="clear" w:color="auto" w:fill="FFFFFF"/>
          </w:tcPr>
          <w:p w14:paraId="41048288" w14:textId="21F78037" w:rsidR="00BE41CD" w:rsidRPr="006D3C05" w:rsidRDefault="00BE41CD" w:rsidP="00BE41CD">
            <w:pPr>
              <w:pStyle w:val="CETBodytext"/>
              <w:ind w:right="-1"/>
              <w:jc w:val="center"/>
              <w:rPr>
                <w:rFonts w:cs="Arial"/>
                <w:szCs w:val="18"/>
                <w:lang w:val="en-GB"/>
              </w:rPr>
            </w:pPr>
            <w:r w:rsidRPr="006D3C05">
              <w:rPr>
                <w:rFonts w:cs="Arial"/>
                <w:szCs w:val="18"/>
                <w:lang w:val="en-GB"/>
              </w:rPr>
              <w:t>2080</w:t>
            </w:r>
          </w:p>
        </w:tc>
      </w:tr>
      <w:tr w:rsidR="00BE41CD" w:rsidRPr="006D3C05" w14:paraId="17370CD1" w14:textId="77777777" w:rsidTr="00BE41CD">
        <w:tc>
          <w:tcPr>
            <w:tcW w:w="735" w:type="pct"/>
            <w:vMerge/>
            <w:tcBorders>
              <w:top w:val="nil"/>
              <w:bottom w:val="nil"/>
            </w:tcBorders>
            <w:shd w:val="clear" w:color="auto" w:fill="FFFFFF"/>
          </w:tcPr>
          <w:p w14:paraId="47560412" w14:textId="77777777" w:rsidR="00BE41CD" w:rsidRPr="006D3C05" w:rsidRDefault="00BE41CD" w:rsidP="00BE41CD">
            <w:pPr>
              <w:pStyle w:val="CETBodytext"/>
              <w:jc w:val="center"/>
              <w:rPr>
                <w:lang w:val="en-GB"/>
              </w:rPr>
            </w:pPr>
          </w:p>
        </w:tc>
        <w:tc>
          <w:tcPr>
            <w:tcW w:w="1316" w:type="pct"/>
            <w:vMerge/>
            <w:tcBorders>
              <w:top w:val="nil"/>
              <w:bottom w:val="nil"/>
            </w:tcBorders>
            <w:shd w:val="clear" w:color="auto" w:fill="FFFFFF"/>
          </w:tcPr>
          <w:p w14:paraId="49E708FF" w14:textId="77777777" w:rsidR="00BE41CD" w:rsidRPr="006D3C05" w:rsidRDefault="00BE41CD" w:rsidP="00BE41CD">
            <w:pPr>
              <w:pStyle w:val="CETBodytext"/>
              <w:jc w:val="center"/>
              <w:rPr>
                <w:lang w:val="en-GB"/>
              </w:rPr>
            </w:pPr>
          </w:p>
        </w:tc>
        <w:tc>
          <w:tcPr>
            <w:tcW w:w="1195" w:type="pct"/>
            <w:tcBorders>
              <w:top w:val="nil"/>
              <w:bottom w:val="nil"/>
            </w:tcBorders>
            <w:shd w:val="clear" w:color="auto" w:fill="FFFFFF"/>
          </w:tcPr>
          <w:p w14:paraId="3F50EC0A" w14:textId="2EFE8B3C" w:rsidR="00BE41CD" w:rsidRPr="006D3C05" w:rsidRDefault="00BE41CD" w:rsidP="00BE41CD">
            <w:pPr>
              <w:pStyle w:val="CETBodytext"/>
              <w:jc w:val="center"/>
              <w:rPr>
                <w:lang w:val="en-GB"/>
              </w:rPr>
            </w:pPr>
            <w:r w:rsidRPr="006D3C05">
              <w:rPr>
                <w:lang w:val="en-GB"/>
              </w:rPr>
              <w:t>100</w:t>
            </w:r>
          </w:p>
        </w:tc>
        <w:tc>
          <w:tcPr>
            <w:tcW w:w="1754" w:type="pct"/>
            <w:tcBorders>
              <w:top w:val="nil"/>
              <w:bottom w:val="nil"/>
            </w:tcBorders>
            <w:shd w:val="clear" w:color="auto" w:fill="FFFFFF"/>
          </w:tcPr>
          <w:p w14:paraId="1E7C0776" w14:textId="76303AAF" w:rsidR="00BE41CD" w:rsidRPr="006D3C05" w:rsidRDefault="00BE41CD" w:rsidP="00BE41CD">
            <w:pPr>
              <w:pStyle w:val="CETBodytext"/>
              <w:ind w:right="-1"/>
              <w:jc w:val="center"/>
              <w:rPr>
                <w:rFonts w:cs="Arial"/>
                <w:szCs w:val="18"/>
                <w:lang w:val="en-GB"/>
              </w:rPr>
            </w:pPr>
            <w:r w:rsidRPr="006D3C05">
              <w:rPr>
                <w:rFonts w:cs="Arial"/>
                <w:szCs w:val="18"/>
                <w:lang w:val="en-GB"/>
              </w:rPr>
              <w:t>5882</w:t>
            </w:r>
          </w:p>
        </w:tc>
      </w:tr>
      <w:tr w:rsidR="00BE41CD" w:rsidRPr="006D3C05" w14:paraId="24A9F6BF" w14:textId="77777777" w:rsidTr="00BE41CD">
        <w:tc>
          <w:tcPr>
            <w:tcW w:w="735" w:type="pct"/>
            <w:vMerge/>
            <w:tcBorders>
              <w:top w:val="nil"/>
              <w:bottom w:val="single" w:sz="4" w:space="0" w:color="009900"/>
            </w:tcBorders>
            <w:shd w:val="clear" w:color="auto" w:fill="FFFFFF"/>
          </w:tcPr>
          <w:p w14:paraId="58BDF087" w14:textId="77777777" w:rsidR="00BE41CD" w:rsidRPr="006D3C05" w:rsidRDefault="00BE41CD" w:rsidP="00BE41CD">
            <w:pPr>
              <w:pStyle w:val="CETBodytext"/>
              <w:jc w:val="center"/>
              <w:rPr>
                <w:lang w:val="en-GB"/>
              </w:rPr>
            </w:pPr>
          </w:p>
        </w:tc>
        <w:tc>
          <w:tcPr>
            <w:tcW w:w="1316" w:type="pct"/>
            <w:vMerge/>
            <w:tcBorders>
              <w:top w:val="nil"/>
              <w:bottom w:val="single" w:sz="4" w:space="0" w:color="009900"/>
            </w:tcBorders>
            <w:shd w:val="clear" w:color="auto" w:fill="FFFFFF"/>
          </w:tcPr>
          <w:p w14:paraId="09C16375" w14:textId="77777777" w:rsidR="00BE41CD" w:rsidRPr="006D3C05" w:rsidRDefault="00BE41CD" w:rsidP="00BE41CD">
            <w:pPr>
              <w:pStyle w:val="CETBodytext"/>
              <w:jc w:val="center"/>
              <w:rPr>
                <w:lang w:val="en-GB"/>
              </w:rPr>
            </w:pPr>
          </w:p>
        </w:tc>
        <w:tc>
          <w:tcPr>
            <w:tcW w:w="1195" w:type="pct"/>
            <w:tcBorders>
              <w:top w:val="nil"/>
              <w:bottom w:val="single" w:sz="4" w:space="0" w:color="009900"/>
            </w:tcBorders>
            <w:shd w:val="clear" w:color="auto" w:fill="FFFFFF"/>
          </w:tcPr>
          <w:p w14:paraId="5B112F02" w14:textId="33484D20" w:rsidR="00BE41CD" w:rsidRPr="006D3C05" w:rsidRDefault="00BE41CD" w:rsidP="00BE41CD">
            <w:pPr>
              <w:pStyle w:val="CETBodytext"/>
              <w:jc w:val="center"/>
              <w:rPr>
                <w:lang w:val="en-GB"/>
              </w:rPr>
            </w:pPr>
            <w:r w:rsidRPr="006D3C05">
              <w:rPr>
                <w:lang w:val="en-GB"/>
              </w:rPr>
              <w:t>200</w:t>
            </w:r>
          </w:p>
        </w:tc>
        <w:tc>
          <w:tcPr>
            <w:tcW w:w="1754" w:type="pct"/>
            <w:tcBorders>
              <w:top w:val="nil"/>
              <w:bottom w:val="single" w:sz="4" w:space="0" w:color="009900"/>
            </w:tcBorders>
            <w:shd w:val="clear" w:color="auto" w:fill="FFFFFF"/>
          </w:tcPr>
          <w:p w14:paraId="3D453FB6" w14:textId="77C3A0B5" w:rsidR="00BE41CD" w:rsidRPr="006D3C05" w:rsidRDefault="00BE41CD" w:rsidP="00BE41CD">
            <w:pPr>
              <w:pStyle w:val="CETBodytext"/>
              <w:ind w:right="-1"/>
              <w:jc w:val="center"/>
              <w:rPr>
                <w:rFonts w:cs="Arial"/>
                <w:szCs w:val="18"/>
                <w:lang w:val="en-GB"/>
              </w:rPr>
            </w:pPr>
            <w:r w:rsidRPr="006D3C05">
              <w:rPr>
                <w:rFonts w:cs="Arial"/>
                <w:szCs w:val="18"/>
                <w:lang w:val="en-GB"/>
              </w:rPr>
              <w:t>16237</w:t>
            </w:r>
          </w:p>
        </w:tc>
      </w:tr>
      <w:tr w:rsidR="00D651F2" w:rsidRPr="006D3C05" w14:paraId="33C87A6B" w14:textId="77777777" w:rsidTr="00BE41CD">
        <w:tc>
          <w:tcPr>
            <w:tcW w:w="735" w:type="pct"/>
            <w:vMerge w:val="restart"/>
            <w:tcBorders>
              <w:top w:val="single" w:sz="4" w:space="0" w:color="009900"/>
            </w:tcBorders>
            <w:shd w:val="clear" w:color="auto" w:fill="FFFFFF"/>
            <w:vAlign w:val="center"/>
          </w:tcPr>
          <w:p w14:paraId="3DCD56E7" w14:textId="09BFA3D9" w:rsidR="00D651F2" w:rsidRPr="006D3C05" w:rsidRDefault="00D651F2" w:rsidP="00D651F2">
            <w:pPr>
              <w:pStyle w:val="CETBodytext"/>
              <w:ind w:right="-1"/>
              <w:jc w:val="center"/>
              <w:rPr>
                <w:rFonts w:cs="Arial"/>
                <w:szCs w:val="18"/>
                <w:lang w:val="en-GB"/>
              </w:rPr>
            </w:pPr>
            <w:r w:rsidRPr="006D3C05">
              <w:rPr>
                <w:rFonts w:cs="Arial"/>
                <w:szCs w:val="18"/>
                <w:lang w:val="en-GB"/>
              </w:rPr>
              <w:t>0.087</w:t>
            </w:r>
          </w:p>
        </w:tc>
        <w:tc>
          <w:tcPr>
            <w:tcW w:w="1316" w:type="pct"/>
            <w:vMerge w:val="restart"/>
            <w:tcBorders>
              <w:top w:val="single" w:sz="4" w:space="0" w:color="009900"/>
            </w:tcBorders>
            <w:shd w:val="clear" w:color="auto" w:fill="FFFFFF"/>
            <w:vAlign w:val="center"/>
          </w:tcPr>
          <w:p w14:paraId="098BB683" w14:textId="582983D6" w:rsidR="00D651F2" w:rsidRPr="006D3C05" w:rsidRDefault="00254C18" w:rsidP="00D651F2">
            <w:pPr>
              <w:pStyle w:val="CETBodytext"/>
              <w:ind w:right="-1"/>
              <w:jc w:val="center"/>
              <w:rPr>
                <w:rFonts w:cs="Arial"/>
                <w:szCs w:val="18"/>
                <w:lang w:val="en-GB"/>
              </w:rPr>
            </w:pPr>
            <w:r w:rsidRPr="006D3C05">
              <w:rPr>
                <w:rFonts w:cs="Arial"/>
                <w:szCs w:val="18"/>
                <w:lang w:val="en-GB"/>
              </w:rPr>
              <w:t>1000</w:t>
            </w:r>
          </w:p>
        </w:tc>
        <w:tc>
          <w:tcPr>
            <w:tcW w:w="1195" w:type="pct"/>
            <w:tcBorders>
              <w:top w:val="single" w:sz="4" w:space="0" w:color="009900"/>
              <w:bottom w:val="nil"/>
              <w:right w:val="nil"/>
            </w:tcBorders>
            <w:shd w:val="clear" w:color="auto" w:fill="FFFFFF"/>
          </w:tcPr>
          <w:p w14:paraId="4FE563DB" w14:textId="32F8B5AD" w:rsidR="00D651F2" w:rsidRPr="006D3C05" w:rsidRDefault="00D651F2" w:rsidP="00D651F2">
            <w:pPr>
              <w:pStyle w:val="CETBodytext"/>
              <w:ind w:right="-1"/>
              <w:jc w:val="center"/>
              <w:rPr>
                <w:rFonts w:cs="Arial"/>
                <w:szCs w:val="18"/>
                <w:lang w:val="en-GB"/>
              </w:rPr>
            </w:pPr>
            <w:r w:rsidRPr="006D3C05">
              <w:rPr>
                <w:lang w:val="en-GB"/>
              </w:rPr>
              <w:t>15</w:t>
            </w:r>
          </w:p>
        </w:tc>
        <w:tc>
          <w:tcPr>
            <w:tcW w:w="1754" w:type="pct"/>
            <w:tcBorders>
              <w:top w:val="single" w:sz="4" w:space="0" w:color="009900"/>
              <w:left w:val="nil"/>
              <w:bottom w:val="nil"/>
            </w:tcBorders>
            <w:shd w:val="clear" w:color="auto" w:fill="FFFFFF"/>
          </w:tcPr>
          <w:p w14:paraId="2E349F1A" w14:textId="0A5E6A3E" w:rsidR="00D651F2" w:rsidRPr="006D3C05" w:rsidRDefault="00D651F2" w:rsidP="00D651F2">
            <w:pPr>
              <w:pStyle w:val="CETBodytext"/>
              <w:ind w:right="-1"/>
              <w:jc w:val="center"/>
              <w:rPr>
                <w:rFonts w:cs="Arial"/>
                <w:szCs w:val="18"/>
                <w:lang w:val="en-GB"/>
              </w:rPr>
            </w:pPr>
            <w:r w:rsidRPr="006D3C05">
              <w:rPr>
                <w:rFonts w:cs="Arial"/>
                <w:szCs w:val="18"/>
                <w:lang w:val="en-GB"/>
              </w:rPr>
              <w:t>342</w:t>
            </w:r>
          </w:p>
        </w:tc>
      </w:tr>
      <w:tr w:rsidR="00D651F2" w:rsidRPr="006D3C05" w14:paraId="33867FB6" w14:textId="77777777" w:rsidTr="00BE41CD">
        <w:tc>
          <w:tcPr>
            <w:tcW w:w="735" w:type="pct"/>
            <w:vMerge/>
            <w:shd w:val="clear" w:color="auto" w:fill="FFFFFF"/>
          </w:tcPr>
          <w:p w14:paraId="050D5096" w14:textId="77777777" w:rsidR="00D651F2" w:rsidRPr="006D3C05" w:rsidRDefault="00D651F2" w:rsidP="00D651F2">
            <w:pPr>
              <w:pStyle w:val="CETBodytext"/>
              <w:ind w:right="-1"/>
              <w:jc w:val="center"/>
              <w:rPr>
                <w:rFonts w:cs="Arial"/>
                <w:szCs w:val="18"/>
                <w:lang w:val="en-GB"/>
              </w:rPr>
            </w:pPr>
          </w:p>
        </w:tc>
        <w:tc>
          <w:tcPr>
            <w:tcW w:w="1316" w:type="pct"/>
            <w:vMerge/>
            <w:shd w:val="clear" w:color="auto" w:fill="FFFFFF"/>
          </w:tcPr>
          <w:p w14:paraId="6AD92BAF" w14:textId="77777777" w:rsidR="00D651F2" w:rsidRPr="006D3C05" w:rsidRDefault="00D651F2" w:rsidP="00D651F2">
            <w:pPr>
              <w:pStyle w:val="CETBodytext"/>
              <w:ind w:right="-1"/>
              <w:jc w:val="center"/>
              <w:rPr>
                <w:rFonts w:cs="Arial"/>
                <w:szCs w:val="18"/>
                <w:lang w:val="en-GB"/>
              </w:rPr>
            </w:pPr>
          </w:p>
        </w:tc>
        <w:tc>
          <w:tcPr>
            <w:tcW w:w="1195" w:type="pct"/>
            <w:tcBorders>
              <w:top w:val="nil"/>
              <w:bottom w:val="nil"/>
              <w:right w:val="nil"/>
            </w:tcBorders>
            <w:shd w:val="clear" w:color="auto" w:fill="FFFFFF"/>
          </w:tcPr>
          <w:p w14:paraId="286DC453" w14:textId="631E8F6F" w:rsidR="00D651F2" w:rsidRPr="006D3C05" w:rsidRDefault="00D651F2" w:rsidP="00D651F2">
            <w:pPr>
              <w:pStyle w:val="CETBodytext"/>
              <w:ind w:right="-1"/>
              <w:jc w:val="center"/>
              <w:rPr>
                <w:rFonts w:cs="Arial"/>
                <w:szCs w:val="18"/>
                <w:lang w:val="en-GB"/>
              </w:rPr>
            </w:pPr>
            <w:r w:rsidRPr="006D3C05">
              <w:rPr>
                <w:lang w:val="en-GB"/>
              </w:rPr>
              <w:t>50</w:t>
            </w:r>
          </w:p>
        </w:tc>
        <w:tc>
          <w:tcPr>
            <w:tcW w:w="1754" w:type="pct"/>
            <w:tcBorders>
              <w:top w:val="nil"/>
              <w:left w:val="nil"/>
              <w:bottom w:val="nil"/>
            </w:tcBorders>
            <w:shd w:val="clear" w:color="auto" w:fill="FFFFFF"/>
          </w:tcPr>
          <w:p w14:paraId="16115F6C" w14:textId="26717708" w:rsidR="00D651F2" w:rsidRPr="006D3C05" w:rsidRDefault="00D651F2" w:rsidP="00D651F2">
            <w:pPr>
              <w:pStyle w:val="CETBodytext"/>
              <w:ind w:right="-1"/>
              <w:jc w:val="center"/>
              <w:rPr>
                <w:rFonts w:cs="Arial"/>
                <w:szCs w:val="18"/>
                <w:lang w:val="en-GB"/>
              </w:rPr>
            </w:pPr>
            <w:r w:rsidRPr="006D3C05">
              <w:rPr>
                <w:rFonts w:cs="Arial"/>
                <w:szCs w:val="18"/>
                <w:lang w:val="en-GB"/>
              </w:rPr>
              <w:t>2080</w:t>
            </w:r>
          </w:p>
        </w:tc>
      </w:tr>
      <w:tr w:rsidR="00D651F2" w:rsidRPr="006D3C05" w14:paraId="7034DCDD" w14:textId="77777777" w:rsidTr="00BE41CD">
        <w:tc>
          <w:tcPr>
            <w:tcW w:w="735" w:type="pct"/>
            <w:vMerge/>
            <w:shd w:val="clear" w:color="auto" w:fill="FFFFFF"/>
          </w:tcPr>
          <w:p w14:paraId="62E54D6D" w14:textId="77777777" w:rsidR="00D651F2" w:rsidRPr="006D3C05" w:rsidRDefault="00D651F2" w:rsidP="00D651F2">
            <w:pPr>
              <w:pStyle w:val="CETBodytext"/>
              <w:ind w:right="-1"/>
              <w:jc w:val="center"/>
              <w:rPr>
                <w:rFonts w:cs="Arial"/>
                <w:szCs w:val="18"/>
                <w:lang w:val="en-GB"/>
              </w:rPr>
            </w:pPr>
          </w:p>
        </w:tc>
        <w:tc>
          <w:tcPr>
            <w:tcW w:w="1316" w:type="pct"/>
            <w:vMerge/>
            <w:shd w:val="clear" w:color="auto" w:fill="FFFFFF"/>
          </w:tcPr>
          <w:p w14:paraId="11D83375" w14:textId="77777777" w:rsidR="00D651F2" w:rsidRPr="006D3C05" w:rsidRDefault="00D651F2" w:rsidP="00D651F2">
            <w:pPr>
              <w:pStyle w:val="CETBodytext"/>
              <w:ind w:right="-1"/>
              <w:jc w:val="center"/>
              <w:rPr>
                <w:rFonts w:cs="Arial"/>
                <w:szCs w:val="18"/>
                <w:lang w:val="en-GB"/>
              </w:rPr>
            </w:pPr>
          </w:p>
        </w:tc>
        <w:tc>
          <w:tcPr>
            <w:tcW w:w="1195" w:type="pct"/>
            <w:tcBorders>
              <w:top w:val="nil"/>
              <w:bottom w:val="nil"/>
              <w:right w:val="nil"/>
            </w:tcBorders>
            <w:shd w:val="clear" w:color="auto" w:fill="FFFFFF"/>
          </w:tcPr>
          <w:p w14:paraId="2E3ABAD0" w14:textId="69F04259" w:rsidR="00D651F2" w:rsidRPr="006D3C05" w:rsidRDefault="00D651F2" w:rsidP="00D651F2">
            <w:pPr>
              <w:pStyle w:val="CETBodytext"/>
              <w:ind w:right="-1"/>
              <w:jc w:val="center"/>
              <w:rPr>
                <w:rFonts w:cs="Arial"/>
                <w:szCs w:val="18"/>
                <w:lang w:val="en-GB"/>
              </w:rPr>
            </w:pPr>
            <w:r w:rsidRPr="006D3C05">
              <w:rPr>
                <w:lang w:val="en-GB"/>
              </w:rPr>
              <w:t>100</w:t>
            </w:r>
          </w:p>
        </w:tc>
        <w:tc>
          <w:tcPr>
            <w:tcW w:w="1754" w:type="pct"/>
            <w:tcBorders>
              <w:top w:val="nil"/>
              <w:left w:val="nil"/>
              <w:bottom w:val="nil"/>
            </w:tcBorders>
            <w:shd w:val="clear" w:color="auto" w:fill="FFFFFF"/>
          </w:tcPr>
          <w:p w14:paraId="1E1D96F4" w14:textId="412E455F" w:rsidR="00D651F2" w:rsidRPr="006D3C05" w:rsidRDefault="00D651F2" w:rsidP="00D651F2">
            <w:pPr>
              <w:pStyle w:val="CETBodytext"/>
              <w:ind w:right="-1"/>
              <w:jc w:val="center"/>
              <w:rPr>
                <w:rFonts w:cs="Arial"/>
                <w:szCs w:val="18"/>
                <w:lang w:val="en-GB"/>
              </w:rPr>
            </w:pPr>
            <w:r w:rsidRPr="006D3C05">
              <w:rPr>
                <w:rFonts w:cs="Arial"/>
                <w:szCs w:val="18"/>
                <w:lang w:val="en-GB"/>
              </w:rPr>
              <w:t>5882</w:t>
            </w:r>
          </w:p>
        </w:tc>
      </w:tr>
      <w:tr w:rsidR="00D651F2" w:rsidRPr="006D3C05" w14:paraId="5A5AA369" w14:textId="77777777" w:rsidTr="00BE41CD">
        <w:tc>
          <w:tcPr>
            <w:tcW w:w="735" w:type="pct"/>
            <w:vMerge/>
            <w:shd w:val="clear" w:color="auto" w:fill="FFFFFF"/>
          </w:tcPr>
          <w:p w14:paraId="15BFBE4C" w14:textId="77777777" w:rsidR="00D651F2" w:rsidRPr="006D3C05" w:rsidRDefault="00D651F2" w:rsidP="00D651F2">
            <w:pPr>
              <w:pStyle w:val="CETBodytext"/>
              <w:ind w:right="-1"/>
              <w:jc w:val="center"/>
              <w:rPr>
                <w:rFonts w:cs="Arial"/>
                <w:szCs w:val="18"/>
                <w:lang w:val="en-GB"/>
              </w:rPr>
            </w:pPr>
          </w:p>
        </w:tc>
        <w:tc>
          <w:tcPr>
            <w:tcW w:w="1316" w:type="pct"/>
            <w:vMerge/>
            <w:shd w:val="clear" w:color="auto" w:fill="FFFFFF"/>
          </w:tcPr>
          <w:p w14:paraId="77F41FB4" w14:textId="77777777" w:rsidR="00D651F2" w:rsidRPr="006D3C05" w:rsidRDefault="00D651F2" w:rsidP="00D651F2">
            <w:pPr>
              <w:pStyle w:val="CETBodytext"/>
              <w:ind w:right="-1"/>
              <w:jc w:val="center"/>
              <w:rPr>
                <w:rFonts w:cs="Arial"/>
                <w:szCs w:val="18"/>
                <w:lang w:val="en-GB"/>
              </w:rPr>
            </w:pPr>
          </w:p>
        </w:tc>
        <w:tc>
          <w:tcPr>
            <w:tcW w:w="1195" w:type="pct"/>
            <w:tcBorders>
              <w:top w:val="nil"/>
              <w:bottom w:val="single" w:sz="12" w:space="0" w:color="008000"/>
              <w:right w:val="nil"/>
            </w:tcBorders>
            <w:shd w:val="clear" w:color="auto" w:fill="FFFFFF"/>
          </w:tcPr>
          <w:p w14:paraId="6B714223" w14:textId="27281CB6" w:rsidR="00D651F2" w:rsidRPr="006D3C05" w:rsidRDefault="00D651F2" w:rsidP="00D651F2">
            <w:pPr>
              <w:pStyle w:val="CETBodytext"/>
              <w:ind w:right="-1"/>
              <w:jc w:val="center"/>
              <w:rPr>
                <w:rFonts w:cs="Arial"/>
                <w:szCs w:val="18"/>
                <w:lang w:val="en-GB"/>
              </w:rPr>
            </w:pPr>
            <w:r w:rsidRPr="006D3C05">
              <w:rPr>
                <w:lang w:val="en-GB"/>
              </w:rPr>
              <w:t>200</w:t>
            </w:r>
          </w:p>
        </w:tc>
        <w:tc>
          <w:tcPr>
            <w:tcW w:w="1754" w:type="pct"/>
            <w:tcBorders>
              <w:top w:val="nil"/>
              <w:left w:val="nil"/>
              <w:bottom w:val="single" w:sz="12" w:space="0" w:color="008000"/>
            </w:tcBorders>
            <w:shd w:val="clear" w:color="auto" w:fill="FFFFFF"/>
          </w:tcPr>
          <w:p w14:paraId="593ED412" w14:textId="48E24BBB" w:rsidR="00D651F2" w:rsidRPr="006D3C05" w:rsidRDefault="00D651F2" w:rsidP="00D651F2">
            <w:pPr>
              <w:pStyle w:val="CETBodytext"/>
              <w:ind w:right="-1"/>
              <w:jc w:val="center"/>
              <w:rPr>
                <w:rFonts w:cs="Arial"/>
                <w:szCs w:val="18"/>
                <w:lang w:val="en-GB"/>
              </w:rPr>
            </w:pPr>
            <w:r w:rsidRPr="006D3C05">
              <w:rPr>
                <w:rFonts w:cs="Arial"/>
                <w:szCs w:val="18"/>
                <w:lang w:val="en-GB"/>
              </w:rPr>
              <w:t>16237</w:t>
            </w:r>
          </w:p>
        </w:tc>
      </w:tr>
    </w:tbl>
    <w:p w14:paraId="1119F169" w14:textId="4B135105" w:rsidR="00D85BFC" w:rsidRPr="006D3C05" w:rsidRDefault="00D85BFC" w:rsidP="00D85BFC">
      <w:pPr>
        <w:pStyle w:val="CETHeading1"/>
        <w:tabs>
          <w:tab w:val="clear" w:pos="360"/>
          <w:tab w:val="right" w:pos="7100"/>
        </w:tabs>
        <w:jc w:val="both"/>
        <w:rPr>
          <w:lang w:val="en-GB"/>
        </w:rPr>
      </w:pPr>
      <w:r w:rsidRPr="006D3C05">
        <w:rPr>
          <w:lang w:val="en-GB"/>
        </w:rPr>
        <w:lastRenderedPageBreak/>
        <w:t>Results</w:t>
      </w:r>
    </w:p>
    <w:p w14:paraId="01792D65" w14:textId="6B4581A3" w:rsidR="00C63069" w:rsidRPr="006D3C05" w:rsidRDefault="00CE566E" w:rsidP="00600535">
      <w:pPr>
        <w:pStyle w:val="CETBodytext"/>
        <w:rPr>
          <w:lang w:val="en-GB"/>
        </w:rPr>
      </w:pPr>
      <w:r w:rsidRPr="006D3C05">
        <w:rPr>
          <w:lang w:val="en-GB"/>
        </w:rPr>
        <w:t xml:space="preserve">Figure </w:t>
      </w:r>
      <w:r w:rsidR="00494150" w:rsidRPr="006D3C05">
        <w:rPr>
          <w:lang w:val="en-GB"/>
        </w:rPr>
        <w:t>3</w:t>
      </w:r>
      <w:r w:rsidRPr="006D3C05">
        <w:rPr>
          <w:lang w:val="en-GB"/>
        </w:rPr>
        <w:t xml:space="preserve"> shows the results of the simulations performed in terms of the pressure profile as a function of time, varying the level of pre-ignition turbulence and the ignition energy. </w:t>
      </w:r>
      <w:r w:rsidR="00C63069" w:rsidRPr="006D3C05">
        <w:rPr>
          <w:lang w:val="en-GB"/>
        </w:rPr>
        <w:t>In general, when ignition occurs, the trend</w:t>
      </w:r>
      <w:r w:rsidR="00A413CF" w:rsidRPr="006D3C05">
        <w:rPr>
          <w:lang w:val="en-GB"/>
        </w:rPr>
        <w:t>s</w:t>
      </w:r>
      <w:r w:rsidR="00C63069" w:rsidRPr="006D3C05">
        <w:rPr>
          <w:lang w:val="en-GB"/>
        </w:rPr>
        <w:t xml:space="preserve"> are in agreement with that obtained by Di </w:t>
      </w:r>
      <w:r w:rsidR="001B6D15" w:rsidRPr="006D3C05">
        <w:rPr>
          <w:lang w:val="en-GB"/>
        </w:rPr>
        <w:t xml:space="preserve">Benedetto et al. (2016) </w:t>
      </w:r>
      <w:r w:rsidR="001B6D15" w:rsidRPr="006D3C05">
        <w:rPr>
          <w:lang w:val="en-GB"/>
        </w:rPr>
        <w:fldChar w:fldCharType="begin" w:fldLock="1"/>
      </w:r>
      <w:r w:rsidR="008E13A7" w:rsidRPr="006D3C05">
        <w:rPr>
          <w:lang w:val="en-GB"/>
        </w:rPr>
        <w:instrText>ADDIN CSL_CITATION {"citationItems":[{"id":"ITEM-1","itemData":{"DOI":"10.1016/j.jlp.2016.07.032","ISSN":"09504230","abstract":"The effect of turbulence on unsteady premixed flame propagation and associated pressure rise during explosion of stoichiometric CH4/air in closed spherical vessels of different size was investigated by means of CFD simulation. Computations were run by varying the vessel volume from 20 l to 200 l and to 1 m3. Numerical results have shown that, at fixed initial conditions, the turbulence kinetic energy induced by the propagating flame increases with increasing vessel volume. It has been demonstrated that the cubic relationship does not apply. Under the conditions investigated, a correction to the cubic relationship has been proposed to take into account the effect of the vessel volume on turbulence.","author":[{"dropping-particle":"","family":"Benedetto","given":"A.","non-dropping-particle":"Di","parse-names":false,"suffix":""},{"dropping-particle":"","family":"Sarli","given":"V.","non-dropping-particle":"Di","parse-names":false,"suffix":""}],"container-title":"Journal of Loss Prevention in the Process Industries","id":"ITEM-1","issued":{"date-parts":[["2016"]]},"page":"593-599","publisher":"Elsevier Ltd","title":"The role of turbulence in the validity of the cubic relationship","type":"article-journal","volume":"43"},"uris":["http://www.mendeley.com/documents/?uuid=17456128-4a45-40bf-8551-7119c000fd61"]}],"mendeley":{"formattedCitation":"(Di Benedetto and Di Sarli, 2016)","plainTextFormattedCitation":"(Di Benedetto and Di Sarli, 2016)","previouslyFormattedCitation":"(Di Benedetto and Di Sarli, 2016)"},"properties":{"noteIndex":0},"schema":"https://github.com/citation-style-language/schema/raw/master/csl-citation.json"}</w:instrText>
      </w:r>
      <w:r w:rsidR="001B6D15" w:rsidRPr="006D3C05">
        <w:rPr>
          <w:lang w:val="en-GB"/>
        </w:rPr>
        <w:fldChar w:fldCharType="separate"/>
      </w:r>
      <w:r w:rsidR="001B6D15" w:rsidRPr="006D3C05">
        <w:rPr>
          <w:noProof/>
          <w:lang w:val="en-GB"/>
        </w:rPr>
        <w:t>(Di Benedetto and Di Sarli, 2016)</w:t>
      </w:r>
      <w:r w:rsidR="001B6D15" w:rsidRPr="006D3C05">
        <w:rPr>
          <w:lang w:val="en-GB"/>
        </w:rPr>
        <w:fldChar w:fldCharType="end"/>
      </w:r>
      <w:r w:rsidR="001B6D15" w:rsidRPr="006D3C05">
        <w:rPr>
          <w:lang w:val="en-GB"/>
        </w:rPr>
        <w:t>.</w:t>
      </w:r>
    </w:p>
    <w:p w14:paraId="25556A7E" w14:textId="52A18AF8" w:rsidR="00A965B3" w:rsidRPr="006D3C05" w:rsidRDefault="00CE566E" w:rsidP="00600535">
      <w:pPr>
        <w:pStyle w:val="CETBodytext"/>
        <w:rPr>
          <w:lang w:val="en-GB"/>
        </w:rPr>
      </w:pPr>
      <w:r w:rsidRPr="006D3C05">
        <w:rPr>
          <w:lang w:val="en-GB"/>
        </w:rPr>
        <w:t xml:space="preserve">As can be seen from Figures </w:t>
      </w:r>
      <w:r w:rsidR="00494150" w:rsidRPr="006D3C05">
        <w:rPr>
          <w:lang w:val="en-GB"/>
        </w:rPr>
        <w:t>3</w:t>
      </w:r>
      <w:r w:rsidRPr="006D3C05">
        <w:rPr>
          <w:lang w:val="en-GB"/>
        </w:rPr>
        <w:t xml:space="preserve">c and </w:t>
      </w:r>
      <w:r w:rsidR="00494150" w:rsidRPr="006D3C05">
        <w:rPr>
          <w:lang w:val="en-GB"/>
        </w:rPr>
        <w:t>3</w:t>
      </w:r>
      <w:r w:rsidRPr="006D3C05">
        <w:rPr>
          <w:lang w:val="en-GB"/>
        </w:rPr>
        <w:t xml:space="preserve">d, </w:t>
      </w:r>
      <w:r w:rsidR="005E656C" w:rsidRPr="006D3C05">
        <w:rPr>
          <w:lang w:val="en-GB"/>
        </w:rPr>
        <w:t xml:space="preserve">in the case of 500 and 1000 J (maximum overdrive of the mixture), </w:t>
      </w:r>
      <w:r w:rsidRPr="006D3C05">
        <w:rPr>
          <w:lang w:val="en-GB"/>
        </w:rPr>
        <w:t>the pressure profile always reaches a plateau corresponding to the complete combustion of the stoichiometric mixture and the attainment of the maximum pressure under adiabatic conditions.</w:t>
      </w:r>
      <w:r w:rsidR="002E4530" w:rsidRPr="006D3C05">
        <w:rPr>
          <w:lang w:val="en-GB"/>
        </w:rPr>
        <w:t xml:space="preserve"> This means that when very intense ignition sources are used, very strong turbulence cannot dissipate the hot core, so that complete consumption of the mixture is achieved.</w:t>
      </w:r>
      <w:r w:rsidR="00F91F5F" w:rsidRPr="006D3C05">
        <w:rPr>
          <w:lang w:val="en-GB"/>
        </w:rPr>
        <w:t xml:space="preserve"> </w:t>
      </w:r>
      <w:r w:rsidR="00A965B3" w:rsidRPr="006D3C05">
        <w:rPr>
          <w:lang w:val="en-GB"/>
        </w:rPr>
        <w:t xml:space="preserve">On the contrary, it can be seen in Figure </w:t>
      </w:r>
      <w:r w:rsidR="00494150" w:rsidRPr="006D3C05">
        <w:rPr>
          <w:lang w:val="en-GB"/>
        </w:rPr>
        <w:t>3</w:t>
      </w:r>
      <w:r w:rsidR="00A965B3" w:rsidRPr="006D3C05">
        <w:rPr>
          <w:lang w:val="en-GB"/>
        </w:rPr>
        <w:t>a that at the weakest triggering energy, the effect of pre-ignition turbulence is important. In particular, above a turbulent kinetic energy of 15 m</w:t>
      </w:r>
      <w:r w:rsidR="00A965B3" w:rsidRPr="006D3C05">
        <w:rPr>
          <w:vertAlign w:val="superscript"/>
          <w:lang w:val="en-GB"/>
        </w:rPr>
        <w:t>2</w:t>
      </w:r>
      <w:r w:rsidR="00A965B3" w:rsidRPr="006D3C05">
        <w:rPr>
          <w:lang w:val="en-GB"/>
        </w:rPr>
        <w:t>/s</w:t>
      </w:r>
      <w:r w:rsidR="00A965B3" w:rsidRPr="006D3C05">
        <w:rPr>
          <w:vertAlign w:val="superscript"/>
          <w:lang w:val="en-GB"/>
        </w:rPr>
        <w:t>2</w:t>
      </w:r>
      <w:r w:rsidR="00A965B3" w:rsidRPr="006D3C05">
        <w:rPr>
          <w:lang w:val="en-GB"/>
        </w:rPr>
        <w:t>, the triggering source of 10 J is dissipated precisely because of the turbulence. The same behavior is observed at an energy of 50 J (Figure 1b</w:t>
      </w:r>
      <w:r w:rsidR="007F2629" w:rsidRPr="006D3C05">
        <w:rPr>
          <w:lang w:val="en-GB"/>
        </w:rPr>
        <w:t>)</w:t>
      </w:r>
      <w:r w:rsidR="00A965B3" w:rsidRPr="006D3C05">
        <w:rPr>
          <w:lang w:val="en-GB"/>
        </w:rPr>
        <w:t>, but at a higher turbulence level.</w:t>
      </w:r>
    </w:p>
    <w:p w14:paraId="4195E80D" w14:textId="697341A4" w:rsidR="00BD378F" w:rsidRPr="006D3C05" w:rsidRDefault="00494150" w:rsidP="00600535">
      <w:pPr>
        <w:pStyle w:val="CETBodytext"/>
        <w:rPr>
          <w:lang w:val="en-GB"/>
        </w:rPr>
      </w:pPr>
      <w:r w:rsidRPr="006D3C05">
        <w:rPr>
          <w:lang w:val="en-GB"/>
        </w:rPr>
        <w:t xml:space="preserve">The failure of flame propagation can be explained using Figure 4. </w:t>
      </w:r>
      <w:r w:rsidR="00905989" w:rsidRPr="006D3C05">
        <w:rPr>
          <w:lang w:val="en-GB"/>
        </w:rPr>
        <w:t>Particularly, Figure 4</w:t>
      </w:r>
      <w:r w:rsidRPr="006D3C05">
        <w:rPr>
          <w:lang w:val="en-GB"/>
        </w:rPr>
        <w:t xml:space="preserve"> shows the maps of the progress variables, </w:t>
      </w:r>
      <w:r w:rsidR="00905989" w:rsidRPr="006D3C05">
        <w:rPr>
          <w:lang w:val="en-GB"/>
        </w:rPr>
        <w:t>turbulent</w:t>
      </w:r>
      <w:r w:rsidRPr="006D3C05">
        <w:rPr>
          <w:lang w:val="en-GB"/>
        </w:rPr>
        <w:t xml:space="preserve"> kinetic energy, and pressure after reaching the pressure plateau in the case of a 50</w:t>
      </w:r>
      <w:r w:rsidR="002F2D85" w:rsidRPr="006D3C05">
        <w:rPr>
          <w:lang w:val="en-GB"/>
        </w:rPr>
        <w:t xml:space="preserve"> </w:t>
      </w:r>
      <w:r w:rsidRPr="006D3C05">
        <w:rPr>
          <w:lang w:val="en-GB"/>
        </w:rPr>
        <w:t>J ignition with k=15</w:t>
      </w:r>
      <w:r w:rsidR="002F2D85" w:rsidRPr="006D3C05">
        <w:rPr>
          <w:lang w:val="en-GB"/>
        </w:rPr>
        <w:t xml:space="preserve"> m</w:t>
      </w:r>
      <w:r w:rsidR="002F2D85" w:rsidRPr="006D3C05">
        <w:rPr>
          <w:vertAlign w:val="superscript"/>
          <w:lang w:val="en-GB"/>
        </w:rPr>
        <w:t>2</w:t>
      </w:r>
      <w:r w:rsidR="002F2D85" w:rsidRPr="006D3C05">
        <w:rPr>
          <w:lang w:val="en-GB"/>
        </w:rPr>
        <w:t>/s</w:t>
      </w:r>
      <w:r w:rsidR="002F2D85" w:rsidRPr="006D3C05">
        <w:rPr>
          <w:vertAlign w:val="superscript"/>
          <w:lang w:val="en-GB"/>
        </w:rPr>
        <w:t>2</w:t>
      </w:r>
      <w:r w:rsidRPr="006D3C05">
        <w:rPr>
          <w:lang w:val="en-GB"/>
        </w:rPr>
        <w:t xml:space="preserve"> and k=200</w:t>
      </w:r>
      <w:r w:rsidR="002F2D85" w:rsidRPr="006D3C05">
        <w:rPr>
          <w:lang w:val="en-GB"/>
        </w:rPr>
        <w:t xml:space="preserve"> m</w:t>
      </w:r>
      <w:r w:rsidR="002F2D85" w:rsidRPr="006D3C05">
        <w:rPr>
          <w:vertAlign w:val="superscript"/>
          <w:lang w:val="en-GB"/>
        </w:rPr>
        <w:t>2</w:t>
      </w:r>
      <w:r w:rsidR="002F2D85" w:rsidRPr="006D3C05">
        <w:rPr>
          <w:lang w:val="en-GB"/>
        </w:rPr>
        <w:t>/s</w:t>
      </w:r>
      <w:r w:rsidR="002F2D85" w:rsidRPr="006D3C05">
        <w:rPr>
          <w:vertAlign w:val="superscript"/>
          <w:lang w:val="en-GB"/>
        </w:rPr>
        <w:t>2</w:t>
      </w:r>
      <w:r w:rsidRPr="006D3C05">
        <w:rPr>
          <w:lang w:val="en-GB"/>
        </w:rPr>
        <w:t>. In the case of a lower turbulence level</w:t>
      </w:r>
      <w:r w:rsidR="00107E67" w:rsidRPr="006D3C05">
        <w:rPr>
          <w:lang w:val="en-GB"/>
        </w:rPr>
        <w:t xml:space="preserve"> (Figure 4a)</w:t>
      </w:r>
      <w:r w:rsidRPr="006D3C05">
        <w:rPr>
          <w:lang w:val="en-GB"/>
        </w:rPr>
        <w:t xml:space="preserve">, ignition is not affected in the first moments and flame propagation continues successfully, leading to a complete consumption of the gas mixture (c=1), the achievement of a high post-combustion turbulence and </w:t>
      </w:r>
      <w:r w:rsidR="00587651" w:rsidRPr="006D3C05">
        <w:rPr>
          <w:lang w:val="en-GB"/>
        </w:rPr>
        <w:t>the</w:t>
      </w:r>
      <w:r w:rsidRPr="006D3C05">
        <w:rPr>
          <w:lang w:val="en-GB"/>
        </w:rPr>
        <w:t xml:space="preserve"> adiabatic </w:t>
      </w:r>
      <w:r w:rsidR="00C80DD7" w:rsidRPr="006D3C05">
        <w:rPr>
          <w:lang w:val="en-GB"/>
        </w:rPr>
        <w:t>p</w:t>
      </w:r>
      <w:r w:rsidRPr="006D3C05">
        <w:rPr>
          <w:lang w:val="en-GB"/>
        </w:rPr>
        <w:t>ressure.</w:t>
      </w:r>
      <w:r w:rsidR="00587651" w:rsidRPr="006D3C05">
        <w:rPr>
          <w:lang w:val="en-GB"/>
        </w:rPr>
        <w:t xml:space="preserve"> </w:t>
      </w:r>
      <w:r w:rsidR="00107E67" w:rsidRPr="006D3C05">
        <w:rPr>
          <w:lang w:val="en-GB"/>
        </w:rPr>
        <w:t>At the strongest turbulence (Figure 4b), ignition occurs</w:t>
      </w:r>
      <w:r w:rsidR="00CF6EE3" w:rsidRPr="006D3C05">
        <w:rPr>
          <w:lang w:val="en-GB"/>
        </w:rPr>
        <w:t xml:space="preserve"> </w:t>
      </w:r>
      <w:r w:rsidR="003E7F1B" w:rsidRPr="006D3C05">
        <w:rPr>
          <w:lang w:val="en-GB"/>
        </w:rPr>
        <w:t>and the ignition kernel is generated</w:t>
      </w:r>
      <w:r w:rsidR="00107E67" w:rsidRPr="006D3C05">
        <w:rPr>
          <w:lang w:val="en-GB"/>
        </w:rPr>
        <w:t>, but it affects the gas mixture only in the regions immediately adjacent to the hot core.</w:t>
      </w:r>
      <w:r w:rsidR="00095158" w:rsidRPr="006D3C05">
        <w:rPr>
          <w:lang w:val="en-GB"/>
        </w:rPr>
        <w:t xml:space="preserve"> After that, the propagation can no longer be sustained, and the high turbulence level promotes the homogenization of all variables involved.</w:t>
      </w:r>
      <w:r w:rsidR="00BD378F" w:rsidRPr="006D3C05">
        <w:rPr>
          <w:lang w:val="en-GB"/>
        </w:rPr>
        <w:t xml:space="preserve"> </w:t>
      </w:r>
    </w:p>
    <w:p w14:paraId="221CD1E5" w14:textId="5F5925ED" w:rsidR="00107E67" w:rsidRPr="006D3C05" w:rsidRDefault="00BD378F" w:rsidP="00600535">
      <w:pPr>
        <w:pStyle w:val="CETBodytext"/>
        <w:rPr>
          <w:lang w:val="en-GB"/>
        </w:rPr>
      </w:pPr>
      <w:r w:rsidRPr="006D3C05">
        <w:rPr>
          <w:lang w:val="en-GB"/>
        </w:rPr>
        <w:t xml:space="preserve">As can be seen in </w:t>
      </w:r>
      <w:r w:rsidR="006401A0" w:rsidRPr="006D3C05">
        <w:rPr>
          <w:lang w:val="en-GB"/>
        </w:rPr>
        <w:t>Figure 3c and 3d</w:t>
      </w:r>
      <w:r w:rsidRPr="006D3C05">
        <w:rPr>
          <w:lang w:val="en-GB"/>
        </w:rPr>
        <w:t xml:space="preserve">, before reaching the plateau, the pressure exhibits strong oscillations which gradually become more intense as the pre-ignition turbulence increases. </w:t>
      </w:r>
      <w:r w:rsidR="006401A0" w:rsidRPr="006D3C05">
        <w:rPr>
          <w:lang w:val="en-GB"/>
        </w:rPr>
        <w:t xml:space="preserve">Notably, at these ignition energy, </w:t>
      </w:r>
      <w:r w:rsidRPr="006D3C05">
        <w:rPr>
          <w:lang w:val="en-GB"/>
        </w:rPr>
        <w:t xml:space="preserve">the gaseous mixture at the initial </w:t>
      </w:r>
      <w:r w:rsidR="006401A0" w:rsidRPr="006D3C05">
        <w:rPr>
          <w:lang w:val="en-GB"/>
        </w:rPr>
        <w:t>condition</w:t>
      </w:r>
      <w:r w:rsidRPr="006D3C05">
        <w:rPr>
          <w:lang w:val="en-GB"/>
        </w:rPr>
        <w:t xml:space="preserve"> is completely burnt as the hot core occupies most of the sphere. </w:t>
      </w:r>
      <w:r w:rsidR="006401A0" w:rsidRPr="006D3C05">
        <w:rPr>
          <w:lang w:val="en-GB"/>
        </w:rPr>
        <w:t>A</w:t>
      </w:r>
      <w:r w:rsidRPr="006D3C05">
        <w:rPr>
          <w:lang w:val="en-GB"/>
        </w:rPr>
        <w:t>fter a few moments (already at 5E-4 s)</w:t>
      </w:r>
      <w:r w:rsidR="006401A0" w:rsidRPr="006D3C05">
        <w:rPr>
          <w:lang w:val="en-GB"/>
        </w:rPr>
        <w:t>,</w:t>
      </w:r>
      <w:r w:rsidRPr="006D3C05">
        <w:rPr>
          <w:lang w:val="en-GB"/>
        </w:rPr>
        <w:t xml:space="preserve"> the </w:t>
      </w:r>
      <w:r w:rsidR="006401A0" w:rsidRPr="006D3C05">
        <w:rPr>
          <w:lang w:val="en-GB"/>
        </w:rPr>
        <w:t>mixture</w:t>
      </w:r>
      <w:r w:rsidRPr="006D3C05">
        <w:rPr>
          <w:lang w:val="en-GB"/>
        </w:rPr>
        <w:t xml:space="preserve"> is totally burned, generating an intense pressure wave accompanied by a high turbulence which hits the walls and goes back, compressing the mixture also in the center of the vessel. </w:t>
      </w:r>
      <w:r w:rsidR="006401A0" w:rsidRPr="006D3C05">
        <w:rPr>
          <w:lang w:val="en-GB"/>
        </w:rPr>
        <w:t>T</w:t>
      </w:r>
      <w:r w:rsidRPr="006D3C05">
        <w:rPr>
          <w:lang w:val="en-GB"/>
        </w:rPr>
        <w:t>his behavior is also verified by the analysis of the velocity vectors</w:t>
      </w:r>
      <w:r w:rsidR="006401A0" w:rsidRPr="006D3C05">
        <w:rPr>
          <w:lang w:val="en-GB"/>
        </w:rPr>
        <w:t xml:space="preserve"> (not shown).</w:t>
      </w:r>
    </w:p>
    <w:p w14:paraId="0BD1C20C" w14:textId="77777777" w:rsidR="00CC7C3E" w:rsidRPr="006D3C05" w:rsidRDefault="00CC7C3E" w:rsidP="00600535">
      <w:pPr>
        <w:pStyle w:val="CETBodytext"/>
        <w:rPr>
          <w:lang w:val="en-GB"/>
        </w:rPr>
      </w:pPr>
    </w:p>
    <w:p w14:paraId="78645657" w14:textId="1EAC53FB" w:rsidR="00CC7C3E" w:rsidRPr="006D3C05" w:rsidRDefault="001016F2" w:rsidP="00600535">
      <w:pPr>
        <w:pStyle w:val="CETBodytext"/>
        <w:rPr>
          <w:lang w:val="en-GB"/>
        </w:rPr>
      </w:pPr>
      <w:r w:rsidRPr="006D3C05">
        <w:rPr>
          <w:lang w:val="en-GB"/>
        </w:rPr>
        <w:drawing>
          <wp:inline distT="0" distB="0" distL="0" distR="0" wp14:anchorId="541E88D1" wp14:editId="644B9C39">
            <wp:extent cx="5168900" cy="3964176"/>
            <wp:effectExtent l="0" t="0" r="0" b="0"/>
            <wp:docPr id="4" name="Immagine 3" descr="Immagine che contiene testo, diagramma, schermata, linea&#10;&#10;Descrizione generata automaticamente">
              <a:extLst xmlns:a="http://schemas.openxmlformats.org/drawingml/2006/main">
                <a:ext uri="{FF2B5EF4-FFF2-40B4-BE49-F238E27FC236}">
                  <a16:creationId xmlns:a16="http://schemas.microsoft.com/office/drawing/2014/main" id="{F9F731DC-5375-EBCD-8DB7-E6A375A9BD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Immagine che contiene testo, diagramma, schermata, linea&#10;&#10;Descrizione generata automaticamente">
                      <a:extLst>
                        <a:ext uri="{FF2B5EF4-FFF2-40B4-BE49-F238E27FC236}">
                          <a16:creationId xmlns:a16="http://schemas.microsoft.com/office/drawing/2014/main" id="{F9F731DC-5375-EBCD-8DB7-E6A375A9BD03}"/>
                        </a:ext>
                      </a:extLst>
                    </pic:cNvPr>
                    <pic:cNvPicPr>
                      <a:picLocks noChangeAspect="1"/>
                    </pic:cNvPicPr>
                  </pic:nvPicPr>
                  <pic:blipFill>
                    <a:blip r:embed="rId12"/>
                    <a:stretch>
                      <a:fillRect/>
                    </a:stretch>
                  </pic:blipFill>
                  <pic:spPr>
                    <a:xfrm>
                      <a:off x="0" y="0"/>
                      <a:ext cx="5189624" cy="3980070"/>
                    </a:xfrm>
                    <a:prstGeom prst="rect">
                      <a:avLst/>
                    </a:prstGeom>
                  </pic:spPr>
                </pic:pic>
              </a:graphicData>
            </a:graphic>
          </wp:inline>
        </w:drawing>
      </w:r>
    </w:p>
    <w:p w14:paraId="4624FF70" w14:textId="02191C7E" w:rsidR="00123A3D" w:rsidRPr="006D3C05" w:rsidRDefault="00123A3D" w:rsidP="00123A3D">
      <w:pPr>
        <w:pStyle w:val="CETCaption"/>
      </w:pPr>
      <w:r w:rsidRPr="006D3C05">
        <w:t xml:space="preserve">Figure </w:t>
      </w:r>
      <w:r w:rsidR="00494150" w:rsidRPr="006D3C05">
        <w:t>3</w:t>
      </w:r>
      <w:r w:rsidRPr="006D3C05">
        <w:t xml:space="preserve">: </w:t>
      </w:r>
      <w:r w:rsidR="007F2629" w:rsidRPr="006D3C05">
        <w:t>Pressure profiles as functions of time, varying the level of pre-ignition turbulence and the ignition energy</w:t>
      </w:r>
      <w:r w:rsidR="00EA490B" w:rsidRPr="006D3C05">
        <w:t>.</w:t>
      </w:r>
    </w:p>
    <w:p w14:paraId="19C0396E" w14:textId="74C935ED" w:rsidR="00F949C7" w:rsidRPr="006D3C05" w:rsidRDefault="002F4499" w:rsidP="00B81C55">
      <w:pPr>
        <w:pStyle w:val="CETCaption"/>
      </w:pPr>
      <w:r w:rsidRPr="006D3C05">
        <w:lastRenderedPageBreak/>
        <w:drawing>
          <wp:inline distT="0" distB="0" distL="0" distR="0" wp14:anchorId="6626B111" wp14:editId="718BAEA2">
            <wp:extent cx="4617111" cy="2990850"/>
            <wp:effectExtent l="0" t="0" r="0" b="0"/>
            <wp:docPr id="1885377773" name="Immagine 1885377773" descr="Immagine che contiene testo, schermata, Policromia, cerchio&#10;&#10;Descrizione generata automaticamente">
              <a:extLst xmlns:a="http://schemas.openxmlformats.org/drawingml/2006/main">
                <a:ext uri="{FF2B5EF4-FFF2-40B4-BE49-F238E27FC236}">
                  <a16:creationId xmlns:a16="http://schemas.microsoft.com/office/drawing/2014/main" id="{D69E1C31-7AD1-5294-C823-DE9F01EDA5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77773" name="Immagine 1885377773" descr="Immagine che contiene testo, schermata, Policromia, cerchio&#10;&#10;Descrizione generata automaticamente">
                      <a:extLst>
                        <a:ext uri="{FF2B5EF4-FFF2-40B4-BE49-F238E27FC236}">
                          <a16:creationId xmlns:a16="http://schemas.microsoft.com/office/drawing/2014/main" id="{D69E1C31-7AD1-5294-C823-DE9F01EDA5A1}"/>
                        </a:ext>
                      </a:extLst>
                    </pic:cNvPr>
                    <pic:cNvPicPr>
                      <a:picLocks noChangeAspect="1"/>
                    </pic:cNvPicPr>
                  </pic:nvPicPr>
                  <pic:blipFill>
                    <a:blip r:embed="rId13"/>
                    <a:stretch>
                      <a:fillRect/>
                    </a:stretch>
                  </pic:blipFill>
                  <pic:spPr>
                    <a:xfrm>
                      <a:off x="0" y="0"/>
                      <a:ext cx="4628098" cy="2997967"/>
                    </a:xfrm>
                    <a:prstGeom prst="rect">
                      <a:avLst/>
                    </a:prstGeom>
                  </pic:spPr>
                </pic:pic>
              </a:graphicData>
            </a:graphic>
          </wp:inline>
        </w:drawing>
      </w:r>
    </w:p>
    <w:p w14:paraId="6C2DD721" w14:textId="05AA2AB7" w:rsidR="00095158" w:rsidRPr="006D3C05" w:rsidRDefault="00095158" w:rsidP="00095158">
      <w:pPr>
        <w:pStyle w:val="CETCaption"/>
      </w:pPr>
      <w:r w:rsidRPr="006D3C05">
        <w:t xml:space="preserve">Figure </w:t>
      </w:r>
      <w:r w:rsidR="00D73849" w:rsidRPr="006D3C05">
        <w:t>4</w:t>
      </w:r>
      <w:r w:rsidRPr="006D3C05">
        <w:t xml:space="preserve">: </w:t>
      </w:r>
      <w:r w:rsidR="00D73849" w:rsidRPr="006D3C05">
        <w:t>Maps of the progress variables, turbulent kinetic energy, and pressure after reaching the pressure plateau in the case of a 50 J ignition with k=15 m</w:t>
      </w:r>
      <w:r w:rsidR="00D73849" w:rsidRPr="006D3C05">
        <w:rPr>
          <w:vertAlign w:val="superscript"/>
        </w:rPr>
        <w:t>2</w:t>
      </w:r>
      <w:r w:rsidR="00D73849" w:rsidRPr="006D3C05">
        <w:t>/s</w:t>
      </w:r>
      <w:r w:rsidR="00D73849" w:rsidRPr="006D3C05">
        <w:rPr>
          <w:vertAlign w:val="superscript"/>
        </w:rPr>
        <w:t>2</w:t>
      </w:r>
      <w:r w:rsidR="00D73849" w:rsidRPr="006D3C05">
        <w:t xml:space="preserve"> (a) and k=200 m</w:t>
      </w:r>
      <w:r w:rsidR="00D73849" w:rsidRPr="006D3C05">
        <w:rPr>
          <w:vertAlign w:val="superscript"/>
        </w:rPr>
        <w:t>2</w:t>
      </w:r>
      <w:r w:rsidR="00D73849" w:rsidRPr="006D3C05">
        <w:t>/s</w:t>
      </w:r>
      <w:r w:rsidR="00D73849" w:rsidRPr="006D3C05">
        <w:rPr>
          <w:vertAlign w:val="superscript"/>
        </w:rPr>
        <w:t xml:space="preserve">2 </w:t>
      </w:r>
      <w:r w:rsidR="00D73849" w:rsidRPr="006D3C05">
        <w:t>(b).</w:t>
      </w:r>
    </w:p>
    <w:p w14:paraId="79502DB1" w14:textId="1AD31F4F" w:rsidR="00682FA7" w:rsidRPr="006D3C05" w:rsidRDefault="002310A4" w:rsidP="002310A4">
      <w:pPr>
        <w:pStyle w:val="CETBodytext"/>
        <w:rPr>
          <w:lang w:val="en-GB"/>
        </w:rPr>
      </w:pPr>
      <w:r w:rsidRPr="006D3C05">
        <w:rPr>
          <w:lang w:val="en-GB"/>
        </w:rPr>
        <w:t>To summarize the results obtained, an operational map of ignition energy as a function of turbulent kinetic energy was constructed. Figure 5 shows such a map. In particular, for turbulent kinetic energies greater than 500 m</w:t>
      </w:r>
      <w:r w:rsidRPr="006D3C05">
        <w:rPr>
          <w:vertAlign w:val="superscript"/>
          <w:lang w:val="en-GB"/>
        </w:rPr>
        <w:t>2</w:t>
      </w:r>
      <w:r w:rsidRPr="006D3C05">
        <w:rPr>
          <w:lang w:val="en-GB"/>
        </w:rPr>
        <w:t>/s</w:t>
      </w:r>
      <w:r w:rsidRPr="006D3C05">
        <w:rPr>
          <w:vertAlign w:val="superscript"/>
          <w:lang w:val="en-GB"/>
        </w:rPr>
        <w:t>2</w:t>
      </w:r>
      <w:r w:rsidRPr="006D3C05">
        <w:rPr>
          <w:lang w:val="en-GB"/>
        </w:rPr>
        <w:t xml:space="preserve"> (simulation not shown), no ignition energy, no matter how strong, succeeds in ensuring subsequent flame propagation. For lower turbulence values, the curve in the figure describes the division of the zone into a flame propagation zone</w:t>
      </w:r>
      <w:r w:rsidR="00A12C83" w:rsidRPr="006D3C05">
        <w:rPr>
          <w:lang w:val="en-GB"/>
        </w:rPr>
        <w:t xml:space="preserve"> (white zone)</w:t>
      </w:r>
      <w:r w:rsidRPr="006D3C05">
        <w:rPr>
          <w:lang w:val="en-GB"/>
        </w:rPr>
        <w:t xml:space="preserve"> and a non-propagation zone</w:t>
      </w:r>
      <w:r w:rsidR="00A12C83" w:rsidRPr="006D3C05">
        <w:rPr>
          <w:lang w:val="en-GB"/>
        </w:rPr>
        <w:t xml:space="preserve"> (blue one).</w:t>
      </w:r>
    </w:p>
    <w:p w14:paraId="51D1439C" w14:textId="0FC94AB7" w:rsidR="008E608C" w:rsidRPr="006D3C05" w:rsidRDefault="008E608C" w:rsidP="002310A4">
      <w:pPr>
        <w:pStyle w:val="CETBodytext"/>
        <w:rPr>
          <w:lang w:val="en-GB"/>
        </w:rPr>
      </w:pPr>
      <w:r w:rsidRPr="006D3C05">
        <w:rPr>
          <w:lang w:val="en-GB"/>
        </w:rPr>
        <w:t>Limit conditions reported on the curve can be evaluated by regression:</w:t>
      </w:r>
    </w:p>
    <w:p w14:paraId="263093FF" w14:textId="77777777" w:rsidR="008E608C" w:rsidRPr="006D3C05" w:rsidRDefault="008E608C" w:rsidP="002310A4">
      <w:pPr>
        <w:pStyle w:val="CETBodytext"/>
        <w:rPr>
          <w:lang w:val="en-GB"/>
        </w:rPr>
      </w:pPr>
    </w:p>
    <w:p w14:paraId="6AAD819F" w14:textId="0C2A810D" w:rsidR="008E608C" w:rsidRPr="006D3C05" w:rsidRDefault="004A444C" w:rsidP="002310A4">
      <w:pPr>
        <w:pStyle w:val="CETBodytext"/>
        <w:rPr>
          <w:lang w:val="en-GB"/>
        </w:rPr>
      </w:pPr>
      <m:oMath>
        <m:r>
          <w:rPr>
            <w:rFonts w:ascii="Cambria Math" w:hAnsi="Cambria Math"/>
            <w:lang w:val="en-GB"/>
          </w:rPr>
          <m:t>I</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prop</m:t>
            </m:r>
          </m:sub>
        </m:sSub>
        <m:r>
          <w:rPr>
            <w:rFonts w:ascii="Cambria Math" w:hAnsi="Cambria Math"/>
            <w:lang w:val="en-GB"/>
          </w:rPr>
          <m:t>=0.0038</m:t>
        </m:r>
        <m:sSup>
          <m:sSupPr>
            <m:ctrlPr>
              <w:rPr>
                <w:rFonts w:ascii="Cambria Math" w:hAnsi="Cambria Math"/>
                <w:i/>
                <w:lang w:val="en-GB"/>
              </w:rPr>
            </m:ctrlPr>
          </m:sSupPr>
          <m:e>
            <m:r>
              <w:rPr>
                <w:rFonts w:ascii="Cambria Math" w:hAnsi="Cambria Math"/>
                <w:lang w:val="en-GB"/>
              </w:rPr>
              <m:t>k</m:t>
            </m:r>
          </m:e>
          <m:sup>
            <m:r>
              <w:rPr>
                <w:rFonts w:ascii="Cambria Math" w:hAnsi="Cambria Math"/>
                <w:lang w:val="en-GB"/>
              </w:rPr>
              <m:t>2</m:t>
            </m:r>
          </m:sup>
        </m:sSup>
        <m:r>
          <w:rPr>
            <w:rFonts w:ascii="Cambria Math" w:hAnsi="Cambria Math"/>
            <w:lang w:val="en-GB"/>
          </w:rPr>
          <m:t>+0.0949</m:t>
        </m:r>
      </m:oMath>
      <w:r w:rsidR="008E608C" w:rsidRPr="006D3C05">
        <w:rPr>
          <w:lang w:val="en-GB"/>
        </w:rPr>
        <w:tab/>
      </w:r>
      <w:r w:rsidR="008E608C" w:rsidRPr="006D3C05">
        <w:rPr>
          <w:lang w:val="en-GB"/>
        </w:rPr>
        <w:tab/>
      </w:r>
      <w:r w:rsidR="008E608C" w:rsidRPr="006D3C05">
        <w:rPr>
          <w:lang w:val="en-GB"/>
        </w:rPr>
        <w:tab/>
        <w:t>(3)</w:t>
      </w:r>
    </w:p>
    <w:p w14:paraId="72C2B4A4" w14:textId="77777777" w:rsidR="006401A0" w:rsidRPr="006D3C05" w:rsidRDefault="006401A0" w:rsidP="002310A4">
      <w:pPr>
        <w:pStyle w:val="CETBodytext"/>
        <w:rPr>
          <w:lang w:val="en-GB"/>
        </w:rPr>
      </w:pPr>
    </w:p>
    <w:p w14:paraId="4BA9960D" w14:textId="7D7C4BA4" w:rsidR="009B0CF3" w:rsidRPr="006D3C05" w:rsidRDefault="009B0CF3" w:rsidP="002310A4">
      <w:pPr>
        <w:pStyle w:val="CETBodytext"/>
        <w:rPr>
          <w:lang w:val="en-GB"/>
        </w:rPr>
      </w:pPr>
      <w:r w:rsidRPr="006D3C05">
        <w:rPr>
          <w:lang w:val="en-GB"/>
        </w:rPr>
        <w:t xml:space="preserve">Where </w:t>
      </w:r>
      <w:r w:rsidRPr="006D3C05">
        <w:rPr>
          <w:i/>
          <w:iCs/>
          <w:lang w:val="en-GB"/>
        </w:rPr>
        <w:t>IE</w:t>
      </w:r>
      <w:r w:rsidRPr="006D3C05">
        <w:rPr>
          <w:i/>
          <w:iCs/>
          <w:vertAlign w:val="subscript"/>
          <w:lang w:val="en-GB"/>
        </w:rPr>
        <w:t>prop</w:t>
      </w:r>
      <w:r w:rsidRPr="006D3C05">
        <w:rPr>
          <w:lang w:val="en-GB"/>
        </w:rPr>
        <w:t xml:space="preserve"> (J) </w:t>
      </w:r>
      <w:r w:rsidR="00C466AF" w:rsidRPr="006D3C05">
        <w:rPr>
          <w:lang w:val="en-GB"/>
        </w:rPr>
        <w:t>is the ignition energy limit at a given turbulence level below which no flame propagation occurs, but above which ignition and propagation occurs.</w:t>
      </w:r>
    </w:p>
    <w:p w14:paraId="0F2727C8" w14:textId="04C121B1" w:rsidR="00095158" w:rsidRPr="006D3C05" w:rsidRDefault="00682FA7" w:rsidP="00B81C55">
      <w:pPr>
        <w:pStyle w:val="CETCaption"/>
      </w:pPr>
      <w:r w:rsidRPr="006D3C05">
        <w:drawing>
          <wp:inline distT="0" distB="0" distL="0" distR="0" wp14:anchorId="16EB1A93" wp14:editId="0868B1FA">
            <wp:extent cx="4877234" cy="2698750"/>
            <wp:effectExtent l="0" t="0" r="0" b="0"/>
            <wp:docPr id="8208611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036" r="1494"/>
                    <a:stretch/>
                  </pic:blipFill>
                  <pic:spPr bwMode="auto">
                    <a:xfrm>
                      <a:off x="0" y="0"/>
                      <a:ext cx="4925655" cy="2725543"/>
                    </a:xfrm>
                    <a:prstGeom prst="rect">
                      <a:avLst/>
                    </a:prstGeom>
                    <a:noFill/>
                    <a:ln>
                      <a:noFill/>
                    </a:ln>
                    <a:extLst>
                      <a:ext uri="{53640926-AAD7-44D8-BBD7-CCE9431645EC}">
                        <a14:shadowObscured xmlns:a14="http://schemas.microsoft.com/office/drawing/2010/main"/>
                      </a:ext>
                    </a:extLst>
                  </pic:spPr>
                </pic:pic>
              </a:graphicData>
            </a:graphic>
          </wp:inline>
        </w:drawing>
      </w:r>
    </w:p>
    <w:p w14:paraId="4491ADCE" w14:textId="1C234E8D" w:rsidR="00C466AF" w:rsidRPr="006D3C05" w:rsidRDefault="00C466AF" w:rsidP="00C466AF">
      <w:pPr>
        <w:pStyle w:val="CETCaption"/>
      </w:pPr>
      <w:r w:rsidRPr="006D3C05">
        <w:t xml:space="preserve">Figure 5: Operational map </w:t>
      </w:r>
      <w:r w:rsidR="00C74A2D" w:rsidRPr="006D3C05">
        <w:t>in terms of ignition energy and turbulent kinetic energy for the stoichiometric methane-air mixture.</w:t>
      </w:r>
    </w:p>
    <w:p w14:paraId="68D26B83" w14:textId="77777777" w:rsidR="00600535" w:rsidRPr="006D3C05" w:rsidRDefault="00600535" w:rsidP="00600535">
      <w:pPr>
        <w:pStyle w:val="CETHeading1"/>
        <w:rPr>
          <w:lang w:val="en-GB"/>
        </w:rPr>
      </w:pPr>
      <w:r w:rsidRPr="006D3C05">
        <w:rPr>
          <w:lang w:val="en-GB"/>
        </w:rPr>
        <w:lastRenderedPageBreak/>
        <w:t>Conclusions</w:t>
      </w:r>
    </w:p>
    <w:p w14:paraId="7A024CDD" w14:textId="060C0E15" w:rsidR="00F3531F" w:rsidRPr="006D3C05" w:rsidRDefault="00A813C8" w:rsidP="00C74A2D">
      <w:pPr>
        <w:pStyle w:val="CETBodytext"/>
        <w:rPr>
          <w:lang w:val="en-GB"/>
        </w:rPr>
      </w:pPr>
      <w:r w:rsidRPr="006D3C05">
        <w:rPr>
          <w:lang w:val="en-GB"/>
        </w:rPr>
        <w:t xml:space="preserve">In this work, CFD simulations of ignition and flame propagation have been performed in a perfectly premixed methane-air stoichiometric mixture. </w:t>
      </w:r>
      <w:r w:rsidR="00F3531F" w:rsidRPr="006D3C05">
        <w:rPr>
          <w:lang w:val="en-GB"/>
        </w:rPr>
        <w:t xml:space="preserve">Many simulations have been carried out by varying the ignition energy and the pre-ignition turbulence level. In particular, to simulate different ignition energies, hot cores at 2000 K of different radius were created and for the variation of the turbulence, the turbulent kinetic energy and its dissipation rate were modified. </w:t>
      </w:r>
    </w:p>
    <w:p w14:paraId="63D0B769" w14:textId="44E0A004" w:rsidR="006A070F" w:rsidRPr="006D3C05" w:rsidRDefault="00A813C8" w:rsidP="00C74A2D">
      <w:pPr>
        <w:pStyle w:val="CETBodytext"/>
        <w:rPr>
          <w:lang w:val="en-GB"/>
        </w:rPr>
      </w:pPr>
      <w:r w:rsidRPr="006D3C05">
        <w:rPr>
          <w:lang w:val="en-GB"/>
        </w:rPr>
        <w:t>Through the evaluation of the pressure trends and of the progress variable</w:t>
      </w:r>
      <w:r w:rsidR="00EB437F" w:rsidRPr="006D3C05">
        <w:rPr>
          <w:lang w:val="en-GB"/>
        </w:rPr>
        <w:t xml:space="preserve"> </w:t>
      </w:r>
      <w:r w:rsidRPr="006D3C05">
        <w:rPr>
          <w:lang w:val="en-GB"/>
        </w:rPr>
        <w:t>and pressure map, it was possible to discriminate the cases in which the flame propagation occurred from those in which</w:t>
      </w:r>
      <w:r w:rsidR="0089506D" w:rsidRPr="006D3C05">
        <w:rPr>
          <w:lang w:val="en-GB"/>
        </w:rPr>
        <w:t xml:space="preserve"> the turbulence is so intense as to cause the fragmentation of the ignition kernel and the homogenization of all the variables involved.</w:t>
      </w:r>
      <w:r w:rsidR="000A2B3B" w:rsidRPr="006D3C05">
        <w:rPr>
          <w:lang w:val="en-GB"/>
        </w:rPr>
        <w:t xml:space="preserve"> In the event of flame propagation failure, the mixture present inside the vessel does not react completely, showing a progress variable other than 1 at the pressure plateau which in this case is not equivalent to the adiabatic one.</w:t>
      </w:r>
      <w:r w:rsidR="006A070F" w:rsidRPr="006D3C05">
        <w:rPr>
          <w:lang w:val="en-GB"/>
        </w:rPr>
        <w:t xml:space="preserve"> </w:t>
      </w:r>
    </w:p>
    <w:p w14:paraId="59263BF2" w14:textId="4AB52F17" w:rsidR="00C74A2D" w:rsidRPr="006D3C05" w:rsidRDefault="006A070F" w:rsidP="00C74A2D">
      <w:pPr>
        <w:pStyle w:val="CETBodytext"/>
        <w:rPr>
          <w:lang w:val="en-GB"/>
        </w:rPr>
      </w:pPr>
      <w:r w:rsidRPr="006D3C05">
        <w:rPr>
          <w:lang w:val="en-GB"/>
        </w:rPr>
        <w:t>In order to provide a simple predictive tool to evaluate the presence of flame propagation, given the turbulence conditions, an operational map has been constructed in which the flame propagation and non-propagation zones are visible. From this, the boundary conditions are highlighted and can be calculated by means of a simple regression. this tool is valid for the methane-air stoichiometric mixture (identified in the model with its laminar flame velocity) and can be useful both for technological purposes in the field of combustion but also for safety purposes</w:t>
      </w:r>
      <w:r w:rsidR="00574174" w:rsidRPr="006D3C05">
        <w:rPr>
          <w:lang w:val="en-GB"/>
        </w:rPr>
        <w:t>. In particular, this approach can be coupled with CFD-based risk analysis of gaseous substance releases to have an assessment of the local ignition probability once the turbulent flow field is known, especially in confined conditions.</w:t>
      </w:r>
    </w:p>
    <w:p w14:paraId="3CB57DB8" w14:textId="77777777" w:rsidR="00660567" w:rsidRDefault="00660567" w:rsidP="00600535">
      <w:pPr>
        <w:pStyle w:val="CETReference"/>
      </w:pPr>
    </w:p>
    <w:p w14:paraId="4F1327F8" w14:textId="0C97F598" w:rsidR="00600535" w:rsidRPr="006D3C05" w:rsidRDefault="00600535" w:rsidP="00600535">
      <w:pPr>
        <w:pStyle w:val="CETReference"/>
      </w:pPr>
      <w:r w:rsidRPr="006D3C05">
        <w:t>References</w:t>
      </w:r>
    </w:p>
    <w:p w14:paraId="39E5FFB6" w14:textId="224D1F97" w:rsidR="00707560" w:rsidRPr="00245869" w:rsidRDefault="00707560" w:rsidP="00245869">
      <w:pPr>
        <w:pStyle w:val="CETReferencetext"/>
      </w:pPr>
      <w:r w:rsidRPr="00245869">
        <w:t>Dahoe A.E., Zevenbergen J.F., Lemkowitz S.M., Scarlett B., 1996</w:t>
      </w:r>
      <w:r w:rsidR="00547B61">
        <w:t>,</w:t>
      </w:r>
      <w:r w:rsidRPr="00245869">
        <w:t xml:space="preserve"> Dust explosions in spherical vessels: The role of flame thickness in the validity of the “cube-root law.” J. Loss Prev. Process Ind.</w:t>
      </w:r>
      <w:r w:rsidR="00AE157C">
        <w:t>,</w:t>
      </w:r>
      <w:r w:rsidRPr="00245869">
        <w:t xml:space="preserve"> 9, 33–44. </w:t>
      </w:r>
    </w:p>
    <w:p w14:paraId="478FC534" w14:textId="03C1AC51" w:rsidR="00707560" w:rsidRPr="00245869" w:rsidRDefault="00707560" w:rsidP="00245869">
      <w:pPr>
        <w:pStyle w:val="CETReferencetext"/>
      </w:pPr>
      <w:r w:rsidRPr="00245869">
        <w:t>Di Benedetto A., Di Sarli V., 2016</w:t>
      </w:r>
      <w:r w:rsidR="0052314D">
        <w:t>,</w:t>
      </w:r>
      <w:r w:rsidRPr="00245869">
        <w:t xml:space="preserve"> The role of turbulence in the validity of the cubic relationship. J. Loss Prev. Process Ind.</w:t>
      </w:r>
      <w:r w:rsidR="00AE157C">
        <w:t>,</w:t>
      </w:r>
      <w:r w:rsidRPr="00245869">
        <w:t xml:space="preserve"> 43, 593–599.</w:t>
      </w:r>
    </w:p>
    <w:p w14:paraId="718D3ECB" w14:textId="4F3AAD33" w:rsidR="00707560" w:rsidRPr="00245869" w:rsidRDefault="00707560" w:rsidP="00245869">
      <w:pPr>
        <w:pStyle w:val="CETReferencetext"/>
      </w:pPr>
      <w:r w:rsidRPr="00245869">
        <w:t>Heywood J.B., 1988</w:t>
      </w:r>
      <w:r w:rsidR="0052314D">
        <w:t>,</w:t>
      </w:r>
      <w:r w:rsidRPr="00245869">
        <w:t xml:space="preserve"> Internal Combustion Engine Fundamentals. McGraw-Hill, New York.</w:t>
      </w:r>
    </w:p>
    <w:p w14:paraId="52AEE8F5" w14:textId="17FCCC73" w:rsidR="00707560" w:rsidRPr="00245869" w:rsidRDefault="00707560" w:rsidP="00245869">
      <w:pPr>
        <w:pStyle w:val="CETReferencetext"/>
      </w:pPr>
      <w:r w:rsidRPr="00245869">
        <w:t>Launder B.E., Spalding D.B., 1972</w:t>
      </w:r>
      <w:r w:rsidR="0052314D">
        <w:t>,</w:t>
      </w:r>
      <w:r w:rsidRPr="00245869">
        <w:t xml:space="preserve"> Lectures in mathematical models of turbulence. Academic Press, London; New York.</w:t>
      </w:r>
    </w:p>
    <w:p w14:paraId="1B2BD88C" w14:textId="14DB9385" w:rsidR="00707560" w:rsidRPr="00245869" w:rsidRDefault="00707560" w:rsidP="00245869">
      <w:pPr>
        <w:pStyle w:val="CETReferencetext"/>
      </w:pPr>
      <w:r w:rsidRPr="00245869">
        <w:t>Lewis B., von Elbe G., 1987</w:t>
      </w:r>
      <w:r w:rsidR="0052314D">
        <w:t>,</w:t>
      </w:r>
      <w:r w:rsidRPr="00245869">
        <w:t xml:space="preserve"> Combustion, Flame and Explosions of Gases. Academic Press, London.</w:t>
      </w:r>
    </w:p>
    <w:p w14:paraId="7C1F28A8" w14:textId="37FC4557" w:rsidR="00707560" w:rsidRPr="00245869" w:rsidRDefault="00707560" w:rsidP="00245869">
      <w:pPr>
        <w:pStyle w:val="CETReferencetext"/>
      </w:pPr>
      <w:r w:rsidRPr="00245869">
        <w:t>Mitu M., Giurcan V., Razus D., Prodan M., Oancea D., 2017. Propagation indices of methane-air explosions in closed vessels. J. Loss Prev. Process Ind.</w:t>
      </w:r>
      <w:r w:rsidR="00AE157C">
        <w:t>,</w:t>
      </w:r>
      <w:r w:rsidRPr="00245869">
        <w:t xml:space="preserve"> 47, 110–119. </w:t>
      </w:r>
    </w:p>
    <w:p w14:paraId="4550BDC7" w14:textId="63FCF0FF" w:rsidR="00F726EA" w:rsidRPr="00BC52DB" w:rsidRDefault="00F726EA" w:rsidP="00245869">
      <w:pPr>
        <w:pStyle w:val="CETReferencetext"/>
      </w:pPr>
      <w:r w:rsidRPr="00BC52DB">
        <w:t>Pan J., He Y., Wang L., Li T., Wei H., Shu G., 2022</w:t>
      </w:r>
      <w:r w:rsidR="0052314D">
        <w:t>,</w:t>
      </w:r>
      <w:r w:rsidRPr="00BC52DB">
        <w:t xml:space="preserve"> Effects of thermal stratification and turbulent intensity on auto-ignition and combustion mode transition. Combust. Flame</w:t>
      </w:r>
      <w:r w:rsidR="00AE157C">
        <w:t>,</w:t>
      </w:r>
      <w:r w:rsidRPr="00BC52DB">
        <w:t xml:space="preserve"> 244. </w:t>
      </w:r>
    </w:p>
    <w:p w14:paraId="458D4F70" w14:textId="092C413C" w:rsidR="00F726EA" w:rsidRPr="00BC52DB" w:rsidRDefault="00F726EA" w:rsidP="00245869">
      <w:pPr>
        <w:pStyle w:val="CETReferencetext"/>
      </w:pPr>
      <w:r w:rsidRPr="00BC52DB">
        <w:t>Pan J., Zheng Z., Wei H., Pan M., Shu G., Liang X., 2021</w:t>
      </w:r>
      <w:r w:rsidR="00AE157C">
        <w:t>,</w:t>
      </w:r>
      <w:r w:rsidRPr="00BC52DB">
        <w:t xml:space="preserve"> An experimental investigation on pre-ignition phenomena: Emphasis on the role of turbulence. Proc. Combust. Inst.</w:t>
      </w:r>
      <w:r w:rsidR="00AE157C">
        <w:t>,</w:t>
      </w:r>
      <w:r w:rsidRPr="00BC52DB">
        <w:t xml:space="preserve"> 38, 5801–5810. </w:t>
      </w:r>
    </w:p>
    <w:p w14:paraId="592D54DA" w14:textId="6FB7A853" w:rsidR="00F726EA" w:rsidRPr="00BC52DB" w:rsidRDefault="00F726EA" w:rsidP="00245869">
      <w:pPr>
        <w:pStyle w:val="CETReferencetext"/>
      </w:pPr>
      <w:r w:rsidRPr="00BC52DB">
        <w:t>Peters N., 2001</w:t>
      </w:r>
      <w:r w:rsidR="00AE157C">
        <w:t>,</w:t>
      </w:r>
      <w:r w:rsidRPr="00BC52DB">
        <w:t xml:space="preserve"> Turbulent Combustion. Meas. Sci. Technol.</w:t>
      </w:r>
      <w:r w:rsidR="00AE157C">
        <w:t>,</w:t>
      </w:r>
      <w:r w:rsidRPr="00BC52DB">
        <w:t xml:space="preserve"> 12, 2022. </w:t>
      </w:r>
    </w:p>
    <w:p w14:paraId="3B1D0EE1" w14:textId="259CFEBB" w:rsidR="00F726EA" w:rsidRPr="00BC52DB" w:rsidRDefault="00F726EA" w:rsidP="00245869">
      <w:pPr>
        <w:pStyle w:val="CETReferencetext"/>
      </w:pPr>
      <w:r w:rsidRPr="00BC52DB">
        <w:t>Portarapillo M., Sanchirico R., Di Benedetto A., 2021a</w:t>
      </w:r>
      <w:r w:rsidR="00AE157C">
        <w:t>,</w:t>
      </w:r>
      <w:r w:rsidRPr="00BC52DB">
        <w:t xml:space="preserve"> On the pyrotechnic ignitors role in dust explosion testing : Comparison between 20 L and 1 m 3 explosion vessels</w:t>
      </w:r>
      <w:r w:rsidR="00660567">
        <w:t>,</w:t>
      </w:r>
      <w:r w:rsidRPr="00BC52DB">
        <w:t xml:space="preserve"> Process Saf. Prog.</w:t>
      </w:r>
      <w:r w:rsidR="00660567">
        <w:t>,</w:t>
      </w:r>
      <w:r w:rsidR="00CD1CF2" w:rsidRPr="00CD1CF2">
        <w:t xml:space="preserve"> </w:t>
      </w:r>
      <w:r w:rsidR="00CD1CF2" w:rsidRPr="00CD1CF2">
        <w:t>40</w:t>
      </w:r>
      <w:r w:rsidR="00CD1CF2">
        <w:t xml:space="preserve">, </w:t>
      </w:r>
      <w:r w:rsidR="00CD1CF2" w:rsidRPr="00CD1CF2">
        <w:t>289–295</w:t>
      </w:r>
      <w:r w:rsidRPr="00BC52DB">
        <w:t xml:space="preserve">. </w:t>
      </w:r>
    </w:p>
    <w:p w14:paraId="64D0A5DA" w14:textId="48119C0C" w:rsidR="00F726EA" w:rsidRPr="00BC52DB" w:rsidRDefault="00F726EA" w:rsidP="00245869">
      <w:pPr>
        <w:pStyle w:val="CETReferencetext"/>
      </w:pPr>
      <w:r w:rsidRPr="00BC52DB">
        <w:t>Portarapillo M., Sanchirico R., Di Benedetto A., 2021b</w:t>
      </w:r>
      <w:r w:rsidR="00660567">
        <w:t>,</w:t>
      </w:r>
      <w:r w:rsidRPr="00BC52DB">
        <w:t xml:space="preserve"> Effect of turbulence spatial distribution on the deflagration index: Comparison between 20 L and 1 m3 vessels</w:t>
      </w:r>
      <w:r w:rsidR="00660567">
        <w:t>,</w:t>
      </w:r>
      <w:r w:rsidRPr="00BC52DB">
        <w:t xml:space="preserve"> J. Loss Prev. Process Ind.</w:t>
      </w:r>
      <w:r w:rsidR="00660567">
        <w:t>,</w:t>
      </w:r>
      <w:r w:rsidRPr="00BC52DB">
        <w:t xml:space="preserve"> 71</w:t>
      </w:r>
      <w:r w:rsidR="008B025D">
        <w:t xml:space="preserve">, </w:t>
      </w:r>
      <w:r w:rsidR="008B025D" w:rsidRPr="008B025D">
        <w:t>104484</w:t>
      </w:r>
      <w:r w:rsidRPr="00BC52DB">
        <w:t xml:space="preserve">. </w:t>
      </w:r>
    </w:p>
    <w:p w14:paraId="33778D6A" w14:textId="052366F0" w:rsidR="00F726EA" w:rsidRPr="00BC52DB" w:rsidRDefault="00F726EA" w:rsidP="00245869">
      <w:pPr>
        <w:pStyle w:val="CETReferencetext"/>
      </w:pPr>
      <w:r w:rsidRPr="00BC52DB">
        <w:t>Portarapillo M., Trofa M., Sanchirico R., Di Benedetto A., 2022</w:t>
      </w:r>
      <w:r w:rsidR="00660567">
        <w:t>,</w:t>
      </w:r>
      <w:r w:rsidRPr="00BC52DB">
        <w:t xml:space="preserve"> CFD simulation of turbulent fluid flow and dust dispersion in the 1 m3 explosion Vessel equipped with the rebound nozzle</w:t>
      </w:r>
      <w:r w:rsidR="00660567">
        <w:t>,</w:t>
      </w:r>
      <w:r w:rsidRPr="00BC52DB">
        <w:t xml:space="preserve"> J. Loss Prev. Process Ind.</w:t>
      </w:r>
      <w:r w:rsidR="00660567">
        <w:t>,</w:t>
      </w:r>
      <w:r w:rsidRPr="00BC52DB">
        <w:t xml:space="preserve"> 76, 104755. </w:t>
      </w:r>
    </w:p>
    <w:p w14:paraId="0C78E098" w14:textId="4B328DFF" w:rsidR="00F726EA" w:rsidRPr="00BC52DB" w:rsidRDefault="00F726EA" w:rsidP="00245869">
      <w:pPr>
        <w:pStyle w:val="CETReferencetext"/>
      </w:pPr>
      <w:r w:rsidRPr="00BC52DB">
        <w:t>Portarapillo M., Trofa M., Sanchirico R., Di Benedetto A., 2021c</w:t>
      </w:r>
      <w:r w:rsidR="00660567">
        <w:t>,</w:t>
      </w:r>
      <w:r w:rsidRPr="00BC52DB">
        <w:t xml:space="preserve"> CFD simulations of the effect of dust diameter on the dispersion in the 1 m3 explosion vessel</w:t>
      </w:r>
      <w:r w:rsidR="00660567">
        <w:t>,</w:t>
      </w:r>
      <w:r w:rsidRPr="00BC52DB">
        <w:t xml:space="preserve"> Chem. Eng. Trans.</w:t>
      </w:r>
      <w:r w:rsidR="00660567">
        <w:t>,</w:t>
      </w:r>
      <w:r w:rsidRPr="00BC52DB">
        <w:t xml:space="preserve"> 86</w:t>
      </w:r>
      <w:r w:rsidR="00B3693E">
        <w:t xml:space="preserve">, </w:t>
      </w:r>
      <w:r w:rsidR="00B3693E" w:rsidRPr="00B3693E">
        <w:t>343-348</w:t>
      </w:r>
      <w:r w:rsidRPr="00BC52DB">
        <w:t>.</w:t>
      </w:r>
    </w:p>
    <w:p w14:paraId="144CECD5" w14:textId="321741BD" w:rsidR="00F726EA" w:rsidRPr="00BC52DB" w:rsidRDefault="00F726EA" w:rsidP="00245869">
      <w:pPr>
        <w:pStyle w:val="CETReferencetext"/>
      </w:pPr>
      <w:r w:rsidRPr="00BC52DB">
        <w:t>White C.M., Steeper R.R., Lutz A.E., 2006</w:t>
      </w:r>
      <w:r w:rsidR="00660567">
        <w:t>,</w:t>
      </w:r>
      <w:r w:rsidRPr="00BC52DB">
        <w:t xml:space="preserve"> The hydrogen-fueled internal combustion engine: a technical review</w:t>
      </w:r>
      <w:r w:rsidR="00660567">
        <w:t>,</w:t>
      </w:r>
      <w:r w:rsidRPr="00BC52DB">
        <w:t xml:space="preserve"> Int. J. Hydrogen Energy</w:t>
      </w:r>
      <w:r w:rsidR="00660567">
        <w:t>,</w:t>
      </w:r>
      <w:r w:rsidRPr="00BC52DB">
        <w:t xml:space="preserve"> 31, 1292–1305. </w:t>
      </w:r>
    </w:p>
    <w:p w14:paraId="1409C533" w14:textId="63D29C51" w:rsidR="00707560" w:rsidRPr="00245869" w:rsidRDefault="00F726EA" w:rsidP="00245869">
      <w:pPr>
        <w:pStyle w:val="CETReferencetext"/>
      </w:pPr>
      <w:r w:rsidRPr="00BC52DB">
        <w:t>Zhang Q., Li W., Liang H.M., 2012</w:t>
      </w:r>
      <w:r w:rsidR="00660567">
        <w:t>,</w:t>
      </w:r>
      <w:r w:rsidRPr="00BC52DB">
        <w:t xml:space="preserve"> Effect of spark duration on explosion parameters of methane/air mixtures in closed vessels</w:t>
      </w:r>
      <w:r w:rsidR="00660567">
        <w:t>,</w:t>
      </w:r>
      <w:r w:rsidRPr="00BC52DB">
        <w:t xml:space="preserve"> Saf. Sci.</w:t>
      </w:r>
      <w:r w:rsidR="00660567">
        <w:t>,</w:t>
      </w:r>
      <w:r w:rsidRPr="00BC52DB">
        <w:t xml:space="preserve"> 50, 1715–1721</w:t>
      </w:r>
      <w:r w:rsidR="00660567">
        <w:t>.</w:t>
      </w:r>
    </w:p>
    <w:p w14:paraId="5A4B5F48" w14:textId="1F197CE2" w:rsidR="00570B52" w:rsidRPr="006D3C05" w:rsidRDefault="00570B52" w:rsidP="00707560">
      <w:pPr>
        <w:pStyle w:val="CETReferencetext"/>
      </w:pPr>
    </w:p>
    <w:sectPr w:rsidR="00570B52" w:rsidRPr="006D3C05"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9E8EA" w14:textId="77777777" w:rsidR="00D22575" w:rsidRDefault="00D22575" w:rsidP="004F5E36">
      <w:r>
        <w:separator/>
      </w:r>
    </w:p>
  </w:endnote>
  <w:endnote w:type="continuationSeparator" w:id="0">
    <w:p w14:paraId="7AF816CD" w14:textId="77777777" w:rsidR="00D22575" w:rsidRDefault="00D2257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A58FD" w14:textId="77777777" w:rsidR="00D22575" w:rsidRDefault="00D22575" w:rsidP="004F5E36">
      <w:r>
        <w:separator/>
      </w:r>
    </w:p>
  </w:footnote>
  <w:footnote w:type="continuationSeparator" w:id="0">
    <w:p w14:paraId="6BF2EF16" w14:textId="77777777" w:rsidR="00D22575" w:rsidRDefault="00D2257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81423352">
    <w:abstractNumId w:val="10"/>
  </w:num>
  <w:num w:numId="2" w16cid:durableId="322437159">
    <w:abstractNumId w:val="8"/>
  </w:num>
  <w:num w:numId="3" w16cid:durableId="834492678">
    <w:abstractNumId w:val="3"/>
  </w:num>
  <w:num w:numId="4" w16cid:durableId="694386076">
    <w:abstractNumId w:val="2"/>
  </w:num>
  <w:num w:numId="5" w16cid:durableId="973676887">
    <w:abstractNumId w:val="1"/>
  </w:num>
  <w:num w:numId="6" w16cid:durableId="1618176024">
    <w:abstractNumId w:val="0"/>
  </w:num>
  <w:num w:numId="7" w16cid:durableId="970134955">
    <w:abstractNumId w:val="9"/>
  </w:num>
  <w:num w:numId="8" w16cid:durableId="1404445691">
    <w:abstractNumId w:val="7"/>
  </w:num>
  <w:num w:numId="9" w16cid:durableId="977610226">
    <w:abstractNumId w:val="6"/>
  </w:num>
  <w:num w:numId="10" w16cid:durableId="1509439027">
    <w:abstractNumId w:val="5"/>
  </w:num>
  <w:num w:numId="11" w16cid:durableId="766465540">
    <w:abstractNumId w:val="4"/>
  </w:num>
  <w:num w:numId="12" w16cid:durableId="1315724144">
    <w:abstractNumId w:val="16"/>
  </w:num>
  <w:num w:numId="13" w16cid:durableId="1350059530">
    <w:abstractNumId w:val="12"/>
  </w:num>
  <w:num w:numId="14" w16cid:durableId="1919091623">
    <w:abstractNumId w:val="17"/>
  </w:num>
  <w:num w:numId="15" w16cid:durableId="189300202">
    <w:abstractNumId w:val="19"/>
  </w:num>
  <w:num w:numId="16" w16cid:durableId="723021461">
    <w:abstractNumId w:val="18"/>
  </w:num>
  <w:num w:numId="17" w16cid:durableId="732965888">
    <w:abstractNumId w:val="11"/>
  </w:num>
  <w:num w:numId="18" w16cid:durableId="1792744392">
    <w:abstractNumId w:val="12"/>
    <w:lvlOverride w:ilvl="0">
      <w:startOverride w:val="1"/>
    </w:lvlOverride>
  </w:num>
  <w:num w:numId="19" w16cid:durableId="400713613">
    <w:abstractNumId w:val="15"/>
  </w:num>
  <w:num w:numId="20" w16cid:durableId="1478034465">
    <w:abstractNumId w:val="14"/>
  </w:num>
  <w:num w:numId="21" w16cid:durableId="144156038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26DA6"/>
    <w:rsid w:val="0003148D"/>
    <w:rsid w:val="00051566"/>
    <w:rsid w:val="0005733F"/>
    <w:rsid w:val="00062A9A"/>
    <w:rsid w:val="00065058"/>
    <w:rsid w:val="00071268"/>
    <w:rsid w:val="00086C39"/>
    <w:rsid w:val="00090678"/>
    <w:rsid w:val="00095158"/>
    <w:rsid w:val="000A03B2"/>
    <w:rsid w:val="000A2B3B"/>
    <w:rsid w:val="000D0268"/>
    <w:rsid w:val="000D18AC"/>
    <w:rsid w:val="000D34BE"/>
    <w:rsid w:val="000E102F"/>
    <w:rsid w:val="000E36F1"/>
    <w:rsid w:val="000E3A73"/>
    <w:rsid w:val="000E414A"/>
    <w:rsid w:val="000F093C"/>
    <w:rsid w:val="000F639E"/>
    <w:rsid w:val="000F787B"/>
    <w:rsid w:val="001016F2"/>
    <w:rsid w:val="00107288"/>
    <w:rsid w:val="00107E67"/>
    <w:rsid w:val="001109A5"/>
    <w:rsid w:val="00113FA5"/>
    <w:rsid w:val="00116485"/>
    <w:rsid w:val="00120144"/>
    <w:rsid w:val="0012091F"/>
    <w:rsid w:val="00123A3D"/>
    <w:rsid w:val="00126BC2"/>
    <w:rsid w:val="001308B6"/>
    <w:rsid w:val="0013121F"/>
    <w:rsid w:val="00131FE6"/>
    <w:rsid w:val="00132179"/>
    <w:rsid w:val="0013263F"/>
    <w:rsid w:val="00134DE4"/>
    <w:rsid w:val="0013566C"/>
    <w:rsid w:val="0014034D"/>
    <w:rsid w:val="00150E59"/>
    <w:rsid w:val="00151A4B"/>
    <w:rsid w:val="00152DE3"/>
    <w:rsid w:val="00163041"/>
    <w:rsid w:val="00164CF9"/>
    <w:rsid w:val="001667A6"/>
    <w:rsid w:val="00173149"/>
    <w:rsid w:val="001734D1"/>
    <w:rsid w:val="0017682E"/>
    <w:rsid w:val="00184AD6"/>
    <w:rsid w:val="00197F6C"/>
    <w:rsid w:val="001A4AF7"/>
    <w:rsid w:val="001B0349"/>
    <w:rsid w:val="001B65C1"/>
    <w:rsid w:val="001B6D15"/>
    <w:rsid w:val="001C684B"/>
    <w:rsid w:val="001D53FC"/>
    <w:rsid w:val="001F2E36"/>
    <w:rsid w:val="001F42A5"/>
    <w:rsid w:val="001F7B9D"/>
    <w:rsid w:val="002224B4"/>
    <w:rsid w:val="00225738"/>
    <w:rsid w:val="002310A4"/>
    <w:rsid w:val="00231B1C"/>
    <w:rsid w:val="002437C9"/>
    <w:rsid w:val="002447EF"/>
    <w:rsid w:val="0024561B"/>
    <w:rsid w:val="00245869"/>
    <w:rsid w:val="00251550"/>
    <w:rsid w:val="00254C18"/>
    <w:rsid w:val="00263B05"/>
    <w:rsid w:val="0027221A"/>
    <w:rsid w:val="00275B61"/>
    <w:rsid w:val="00282656"/>
    <w:rsid w:val="00283B88"/>
    <w:rsid w:val="00286BA7"/>
    <w:rsid w:val="00296B83"/>
    <w:rsid w:val="00297F78"/>
    <w:rsid w:val="002A6557"/>
    <w:rsid w:val="002B78CE"/>
    <w:rsid w:val="002C13F2"/>
    <w:rsid w:val="002C2FB6"/>
    <w:rsid w:val="002D7C5F"/>
    <w:rsid w:val="002E4530"/>
    <w:rsid w:val="002E4C7A"/>
    <w:rsid w:val="002F2D85"/>
    <w:rsid w:val="002F3309"/>
    <w:rsid w:val="002F4499"/>
    <w:rsid w:val="002F6C7F"/>
    <w:rsid w:val="003009B7"/>
    <w:rsid w:val="00300E56"/>
    <w:rsid w:val="00302746"/>
    <w:rsid w:val="0030469C"/>
    <w:rsid w:val="00321CA6"/>
    <w:rsid w:val="00323763"/>
    <w:rsid w:val="00331A45"/>
    <w:rsid w:val="00334018"/>
    <w:rsid w:val="00334C09"/>
    <w:rsid w:val="00367006"/>
    <w:rsid w:val="003723D4"/>
    <w:rsid w:val="00381905"/>
    <w:rsid w:val="00384CC8"/>
    <w:rsid w:val="003871FD"/>
    <w:rsid w:val="003960FC"/>
    <w:rsid w:val="003A136D"/>
    <w:rsid w:val="003A1E30"/>
    <w:rsid w:val="003A7D1C"/>
    <w:rsid w:val="003B304B"/>
    <w:rsid w:val="003B3146"/>
    <w:rsid w:val="003C52BC"/>
    <w:rsid w:val="003E7F1B"/>
    <w:rsid w:val="003F015E"/>
    <w:rsid w:val="003F4B10"/>
    <w:rsid w:val="00400414"/>
    <w:rsid w:val="0040162A"/>
    <w:rsid w:val="00404BA0"/>
    <w:rsid w:val="0041446B"/>
    <w:rsid w:val="004239AB"/>
    <w:rsid w:val="00440EA8"/>
    <w:rsid w:val="0044329C"/>
    <w:rsid w:val="00445550"/>
    <w:rsid w:val="004577FE"/>
    <w:rsid w:val="00457B9C"/>
    <w:rsid w:val="0046164A"/>
    <w:rsid w:val="004628D2"/>
    <w:rsid w:val="00462DCD"/>
    <w:rsid w:val="004648AD"/>
    <w:rsid w:val="004703A9"/>
    <w:rsid w:val="004760DE"/>
    <w:rsid w:val="004763D7"/>
    <w:rsid w:val="00494150"/>
    <w:rsid w:val="0049596C"/>
    <w:rsid w:val="004A004E"/>
    <w:rsid w:val="004A24CF"/>
    <w:rsid w:val="004A444C"/>
    <w:rsid w:val="004C3D1D"/>
    <w:rsid w:val="004C7913"/>
    <w:rsid w:val="004E4DD6"/>
    <w:rsid w:val="004F522A"/>
    <w:rsid w:val="004F5E36"/>
    <w:rsid w:val="00506500"/>
    <w:rsid w:val="00507B47"/>
    <w:rsid w:val="00507BEF"/>
    <w:rsid w:val="00507CC9"/>
    <w:rsid w:val="005119A5"/>
    <w:rsid w:val="005128C2"/>
    <w:rsid w:val="0052314D"/>
    <w:rsid w:val="00527821"/>
    <w:rsid w:val="005278B7"/>
    <w:rsid w:val="00532016"/>
    <w:rsid w:val="005346C8"/>
    <w:rsid w:val="00536AFC"/>
    <w:rsid w:val="00543E7D"/>
    <w:rsid w:val="00543FE0"/>
    <w:rsid w:val="00547A68"/>
    <w:rsid w:val="00547B61"/>
    <w:rsid w:val="005505BA"/>
    <w:rsid w:val="005531C9"/>
    <w:rsid w:val="00555A9A"/>
    <w:rsid w:val="00560DAB"/>
    <w:rsid w:val="00570B52"/>
    <w:rsid w:val="00570C43"/>
    <w:rsid w:val="00574174"/>
    <w:rsid w:val="00587651"/>
    <w:rsid w:val="005B2110"/>
    <w:rsid w:val="005B61E6"/>
    <w:rsid w:val="005C77E1"/>
    <w:rsid w:val="005C7E06"/>
    <w:rsid w:val="005D1273"/>
    <w:rsid w:val="005D668A"/>
    <w:rsid w:val="005D6A2F"/>
    <w:rsid w:val="005D71F7"/>
    <w:rsid w:val="005E1A82"/>
    <w:rsid w:val="005E656C"/>
    <w:rsid w:val="005E794C"/>
    <w:rsid w:val="005F0A28"/>
    <w:rsid w:val="005F0E5E"/>
    <w:rsid w:val="005F5BEE"/>
    <w:rsid w:val="005F7985"/>
    <w:rsid w:val="00600535"/>
    <w:rsid w:val="00602A31"/>
    <w:rsid w:val="00604614"/>
    <w:rsid w:val="00610CD6"/>
    <w:rsid w:val="00615154"/>
    <w:rsid w:val="00620DEE"/>
    <w:rsid w:val="00621F92"/>
    <w:rsid w:val="0062280A"/>
    <w:rsid w:val="00625639"/>
    <w:rsid w:val="00626DE1"/>
    <w:rsid w:val="00631B33"/>
    <w:rsid w:val="006401A0"/>
    <w:rsid w:val="0064184D"/>
    <w:rsid w:val="006422CC"/>
    <w:rsid w:val="00660567"/>
    <w:rsid w:val="00660E3E"/>
    <w:rsid w:val="00662E74"/>
    <w:rsid w:val="006748F6"/>
    <w:rsid w:val="00680C23"/>
    <w:rsid w:val="00682FA7"/>
    <w:rsid w:val="00686079"/>
    <w:rsid w:val="00693766"/>
    <w:rsid w:val="006A070F"/>
    <w:rsid w:val="006A3281"/>
    <w:rsid w:val="006A365A"/>
    <w:rsid w:val="006B4888"/>
    <w:rsid w:val="006C2E45"/>
    <w:rsid w:val="006C359C"/>
    <w:rsid w:val="006C5579"/>
    <w:rsid w:val="006D3C05"/>
    <w:rsid w:val="006D6E8B"/>
    <w:rsid w:val="006E39E8"/>
    <w:rsid w:val="006E737D"/>
    <w:rsid w:val="006F570F"/>
    <w:rsid w:val="00707560"/>
    <w:rsid w:val="00720A24"/>
    <w:rsid w:val="00732386"/>
    <w:rsid w:val="00733A58"/>
    <w:rsid w:val="007346A3"/>
    <w:rsid w:val="0073514D"/>
    <w:rsid w:val="007447F3"/>
    <w:rsid w:val="00751E8D"/>
    <w:rsid w:val="0075499F"/>
    <w:rsid w:val="007661C8"/>
    <w:rsid w:val="0077098D"/>
    <w:rsid w:val="00772797"/>
    <w:rsid w:val="00772EB3"/>
    <w:rsid w:val="007931FA"/>
    <w:rsid w:val="007A4861"/>
    <w:rsid w:val="007A65A6"/>
    <w:rsid w:val="007A7BBA"/>
    <w:rsid w:val="007B0C50"/>
    <w:rsid w:val="007B2C67"/>
    <w:rsid w:val="007B6CEB"/>
    <w:rsid w:val="007C1A43"/>
    <w:rsid w:val="007C3106"/>
    <w:rsid w:val="007F2629"/>
    <w:rsid w:val="0080013E"/>
    <w:rsid w:val="00805931"/>
    <w:rsid w:val="00813288"/>
    <w:rsid w:val="0081502D"/>
    <w:rsid w:val="008168FC"/>
    <w:rsid w:val="00830996"/>
    <w:rsid w:val="00831880"/>
    <w:rsid w:val="008345F1"/>
    <w:rsid w:val="00865B07"/>
    <w:rsid w:val="008667EA"/>
    <w:rsid w:val="0087637F"/>
    <w:rsid w:val="00892AD5"/>
    <w:rsid w:val="0089506D"/>
    <w:rsid w:val="008A1512"/>
    <w:rsid w:val="008B025D"/>
    <w:rsid w:val="008B750A"/>
    <w:rsid w:val="008D32B9"/>
    <w:rsid w:val="008D433B"/>
    <w:rsid w:val="008E13A7"/>
    <w:rsid w:val="008E46BC"/>
    <w:rsid w:val="008E566E"/>
    <w:rsid w:val="008E608C"/>
    <w:rsid w:val="0090161A"/>
    <w:rsid w:val="00901EB6"/>
    <w:rsid w:val="00904C62"/>
    <w:rsid w:val="0090536D"/>
    <w:rsid w:val="00905989"/>
    <w:rsid w:val="00913721"/>
    <w:rsid w:val="00917BE9"/>
    <w:rsid w:val="00922BA8"/>
    <w:rsid w:val="00924DAC"/>
    <w:rsid w:val="00927058"/>
    <w:rsid w:val="00942750"/>
    <w:rsid w:val="009450CE"/>
    <w:rsid w:val="00947179"/>
    <w:rsid w:val="0095164B"/>
    <w:rsid w:val="00954090"/>
    <w:rsid w:val="009573E7"/>
    <w:rsid w:val="009619D1"/>
    <w:rsid w:val="00963326"/>
    <w:rsid w:val="00963E05"/>
    <w:rsid w:val="00967843"/>
    <w:rsid w:val="00967D54"/>
    <w:rsid w:val="00971028"/>
    <w:rsid w:val="00974FA4"/>
    <w:rsid w:val="00975546"/>
    <w:rsid w:val="00995F05"/>
    <w:rsid w:val="00996483"/>
    <w:rsid w:val="00996F5A"/>
    <w:rsid w:val="009B0145"/>
    <w:rsid w:val="009B041A"/>
    <w:rsid w:val="009B0CF3"/>
    <w:rsid w:val="009B2697"/>
    <w:rsid w:val="009B5FCD"/>
    <w:rsid w:val="009C37C3"/>
    <w:rsid w:val="009C7C86"/>
    <w:rsid w:val="009D2FF7"/>
    <w:rsid w:val="009E7884"/>
    <w:rsid w:val="009E788A"/>
    <w:rsid w:val="009F0E08"/>
    <w:rsid w:val="00A12C83"/>
    <w:rsid w:val="00A136B2"/>
    <w:rsid w:val="00A16600"/>
    <w:rsid w:val="00A1763D"/>
    <w:rsid w:val="00A17CEC"/>
    <w:rsid w:val="00A27EF0"/>
    <w:rsid w:val="00A4038E"/>
    <w:rsid w:val="00A40FC1"/>
    <w:rsid w:val="00A413CF"/>
    <w:rsid w:val="00A42361"/>
    <w:rsid w:val="00A50B20"/>
    <w:rsid w:val="00A51390"/>
    <w:rsid w:val="00A54E2A"/>
    <w:rsid w:val="00A60D13"/>
    <w:rsid w:val="00A72745"/>
    <w:rsid w:val="00A76EFC"/>
    <w:rsid w:val="00A775F7"/>
    <w:rsid w:val="00A813C8"/>
    <w:rsid w:val="00A91010"/>
    <w:rsid w:val="00A965B3"/>
    <w:rsid w:val="00A97F29"/>
    <w:rsid w:val="00AA25E7"/>
    <w:rsid w:val="00AA702E"/>
    <w:rsid w:val="00AB0964"/>
    <w:rsid w:val="00AB5011"/>
    <w:rsid w:val="00AB77B7"/>
    <w:rsid w:val="00AC54FB"/>
    <w:rsid w:val="00AC7368"/>
    <w:rsid w:val="00AD16B9"/>
    <w:rsid w:val="00AD7523"/>
    <w:rsid w:val="00AE157C"/>
    <w:rsid w:val="00AE377D"/>
    <w:rsid w:val="00AF0EBA"/>
    <w:rsid w:val="00B02C8A"/>
    <w:rsid w:val="00B17FBD"/>
    <w:rsid w:val="00B315A6"/>
    <w:rsid w:val="00B31813"/>
    <w:rsid w:val="00B33365"/>
    <w:rsid w:val="00B3693E"/>
    <w:rsid w:val="00B57B36"/>
    <w:rsid w:val="00B7670B"/>
    <w:rsid w:val="00B81C55"/>
    <w:rsid w:val="00B83B8B"/>
    <w:rsid w:val="00B8686D"/>
    <w:rsid w:val="00B874D7"/>
    <w:rsid w:val="00B94461"/>
    <w:rsid w:val="00BB1DDC"/>
    <w:rsid w:val="00BB4597"/>
    <w:rsid w:val="00BC30C9"/>
    <w:rsid w:val="00BC346C"/>
    <w:rsid w:val="00BC4E3B"/>
    <w:rsid w:val="00BC52DB"/>
    <w:rsid w:val="00BC7579"/>
    <w:rsid w:val="00BD378F"/>
    <w:rsid w:val="00BE3E58"/>
    <w:rsid w:val="00BE41CD"/>
    <w:rsid w:val="00BE6870"/>
    <w:rsid w:val="00BF2473"/>
    <w:rsid w:val="00C01616"/>
    <w:rsid w:val="00C0162B"/>
    <w:rsid w:val="00C068ED"/>
    <w:rsid w:val="00C07A11"/>
    <w:rsid w:val="00C23E92"/>
    <w:rsid w:val="00C345B1"/>
    <w:rsid w:val="00C36958"/>
    <w:rsid w:val="00C40142"/>
    <w:rsid w:val="00C420B5"/>
    <w:rsid w:val="00C466AF"/>
    <w:rsid w:val="00C50A8C"/>
    <w:rsid w:val="00C57182"/>
    <w:rsid w:val="00C57863"/>
    <w:rsid w:val="00C607E2"/>
    <w:rsid w:val="00C63069"/>
    <w:rsid w:val="00C655FD"/>
    <w:rsid w:val="00C7242C"/>
    <w:rsid w:val="00C74A2D"/>
    <w:rsid w:val="00C753FA"/>
    <w:rsid w:val="00C75407"/>
    <w:rsid w:val="00C80DD7"/>
    <w:rsid w:val="00C870A8"/>
    <w:rsid w:val="00C9271C"/>
    <w:rsid w:val="00C92BA9"/>
    <w:rsid w:val="00C94434"/>
    <w:rsid w:val="00CA0D75"/>
    <w:rsid w:val="00CA182E"/>
    <w:rsid w:val="00CA1C95"/>
    <w:rsid w:val="00CA36A3"/>
    <w:rsid w:val="00CA5A9C"/>
    <w:rsid w:val="00CB6EA1"/>
    <w:rsid w:val="00CC4C20"/>
    <w:rsid w:val="00CC7C3E"/>
    <w:rsid w:val="00CD1CF2"/>
    <w:rsid w:val="00CD3517"/>
    <w:rsid w:val="00CD5FE2"/>
    <w:rsid w:val="00CE2CA6"/>
    <w:rsid w:val="00CE566E"/>
    <w:rsid w:val="00CE7C68"/>
    <w:rsid w:val="00CF5B63"/>
    <w:rsid w:val="00CF6EE3"/>
    <w:rsid w:val="00D02B4C"/>
    <w:rsid w:val="00D040C4"/>
    <w:rsid w:val="00D22575"/>
    <w:rsid w:val="00D30D2D"/>
    <w:rsid w:val="00D3570D"/>
    <w:rsid w:val="00D567DA"/>
    <w:rsid w:val="00D57C84"/>
    <w:rsid w:val="00D6057D"/>
    <w:rsid w:val="00D651F2"/>
    <w:rsid w:val="00D73849"/>
    <w:rsid w:val="00D825D5"/>
    <w:rsid w:val="00D836C5"/>
    <w:rsid w:val="00D84576"/>
    <w:rsid w:val="00D85BFC"/>
    <w:rsid w:val="00D9133D"/>
    <w:rsid w:val="00D92B4F"/>
    <w:rsid w:val="00DA1399"/>
    <w:rsid w:val="00DA24C6"/>
    <w:rsid w:val="00DA4D7B"/>
    <w:rsid w:val="00DB4835"/>
    <w:rsid w:val="00DE264A"/>
    <w:rsid w:val="00DF5072"/>
    <w:rsid w:val="00E00E3F"/>
    <w:rsid w:val="00E02D18"/>
    <w:rsid w:val="00E041E7"/>
    <w:rsid w:val="00E1373F"/>
    <w:rsid w:val="00E23CA1"/>
    <w:rsid w:val="00E409A8"/>
    <w:rsid w:val="00E50C12"/>
    <w:rsid w:val="00E65B91"/>
    <w:rsid w:val="00E7209D"/>
    <w:rsid w:val="00E77223"/>
    <w:rsid w:val="00E8528B"/>
    <w:rsid w:val="00E85B94"/>
    <w:rsid w:val="00E978D0"/>
    <w:rsid w:val="00E97DF0"/>
    <w:rsid w:val="00EA4613"/>
    <w:rsid w:val="00EA490B"/>
    <w:rsid w:val="00EA7F91"/>
    <w:rsid w:val="00EB1523"/>
    <w:rsid w:val="00EB437F"/>
    <w:rsid w:val="00EC0E49"/>
    <w:rsid w:val="00EC101F"/>
    <w:rsid w:val="00EC1D9F"/>
    <w:rsid w:val="00ED7B8F"/>
    <w:rsid w:val="00EE0131"/>
    <w:rsid w:val="00EE17B0"/>
    <w:rsid w:val="00EF06D9"/>
    <w:rsid w:val="00F100F8"/>
    <w:rsid w:val="00F25DC2"/>
    <w:rsid w:val="00F269FA"/>
    <w:rsid w:val="00F30C64"/>
    <w:rsid w:val="00F31E35"/>
    <w:rsid w:val="00F32CDB"/>
    <w:rsid w:val="00F3531F"/>
    <w:rsid w:val="00F46AD7"/>
    <w:rsid w:val="00F52ECE"/>
    <w:rsid w:val="00F565FE"/>
    <w:rsid w:val="00F63A70"/>
    <w:rsid w:val="00F66CC8"/>
    <w:rsid w:val="00F726EA"/>
    <w:rsid w:val="00F81364"/>
    <w:rsid w:val="00F91F5F"/>
    <w:rsid w:val="00F949C7"/>
    <w:rsid w:val="00FA21D0"/>
    <w:rsid w:val="00FA5F5F"/>
    <w:rsid w:val="00FB33F6"/>
    <w:rsid w:val="00FB730C"/>
    <w:rsid w:val="00FC2695"/>
    <w:rsid w:val="00FC3E03"/>
    <w:rsid w:val="00FC3FC1"/>
    <w:rsid w:val="00FE7B9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F1C78656-E49D-4D60-ADB2-2C346A51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BE6870"/>
    <w:pPr>
      <w:ind w:left="720"/>
      <w:contextualSpacing/>
    </w:pPr>
  </w:style>
  <w:style w:type="character" w:styleId="Testosegnaposto">
    <w:name w:val="Placeholder Text"/>
    <w:basedOn w:val="Carpredefinitoparagrafo"/>
    <w:uiPriority w:val="99"/>
    <w:semiHidden/>
    <w:rsid w:val="00A40FC1"/>
    <w:rPr>
      <w:color w:val="808080"/>
    </w:rPr>
  </w:style>
  <w:style w:type="character" w:styleId="Menzionenonrisolta">
    <w:name w:val="Unresolved Mention"/>
    <w:basedOn w:val="Carpredefinitoparagrafo"/>
    <w:uiPriority w:val="99"/>
    <w:semiHidden/>
    <w:unhideWhenUsed/>
    <w:rsid w:val="00F726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A11AA-7E38-4948-8F02-68CA4B563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7656</Words>
  <Characters>43642</Characters>
  <Application>Microsoft Office Word</Application>
  <DocSecurity>0</DocSecurity>
  <Lines>363</Lines>
  <Paragraphs>102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51196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MARIA PORTARAPILLO</cp:lastModifiedBy>
  <cp:revision>20</cp:revision>
  <cp:lastPrinted>2015-05-12T18:31:00Z</cp:lastPrinted>
  <dcterms:created xsi:type="dcterms:W3CDTF">2023-07-12T09:54:00Z</dcterms:created>
  <dcterms:modified xsi:type="dcterms:W3CDTF">2023-07-12T11:43:00Z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SIP_Label_2ad0b24d-6422-44b0-b3de-abb3a9e8c81a_Enabled">
    <vt:lpwstr>true</vt:lpwstr>
  </property>
  <property fmtid="{D5CDD505-2E9C-101B-9397-08002B2CF9AE}" pid="5" name="MSIP_Label_2ad0b24d-6422-44b0-b3de-abb3a9e8c81a_SetDate">
    <vt:lpwstr>2023-06-08T12:40:14Z</vt:lpwstr>
  </property>
  <property fmtid="{D5CDD505-2E9C-101B-9397-08002B2CF9AE}" pid="6" name="MSIP_Label_2ad0b24d-6422-44b0-b3de-abb3a9e8c81a_Method">
    <vt:lpwstr>Standard</vt:lpwstr>
  </property>
  <property fmtid="{D5CDD505-2E9C-101B-9397-08002B2CF9AE}" pid="7" name="MSIP_Label_2ad0b24d-6422-44b0-b3de-abb3a9e8c81a_Name">
    <vt:lpwstr>defa4170-0d19-0005-0004-bc88714345d2</vt:lpwstr>
  </property>
  <property fmtid="{D5CDD505-2E9C-101B-9397-08002B2CF9AE}" pid="8" name="MSIP_Label_2ad0b24d-6422-44b0-b3de-abb3a9e8c81a_SiteId">
    <vt:lpwstr>2fcfe26a-bb62-46b0-b1e3-28f9da0c45fd</vt:lpwstr>
  </property>
  <property fmtid="{D5CDD505-2E9C-101B-9397-08002B2CF9AE}" pid="9" name="MSIP_Label_2ad0b24d-6422-44b0-b3de-abb3a9e8c81a_ActionId">
    <vt:lpwstr>01dfbd56-b0d6-4c2d-a4c3-5db343fb2e38</vt:lpwstr>
  </property>
  <property fmtid="{D5CDD505-2E9C-101B-9397-08002B2CF9AE}" pid="10" name="MSIP_Label_2ad0b24d-6422-44b0-b3de-abb3a9e8c81a_ContentBits">
    <vt:lpwstr>0</vt:lpwstr>
  </property>
  <property fmtid="{D5CDD505-2E9C-101B-9397-08002B2CF9AE}" pid="11" name="Mendeley Recent Style Id 0_1">
    <vt:lpwstr>http://www.zotero.org/styles/acs-sustainable-chemistry-and-engineering</vt:lpwstr>
  </property>
  <property fmtid="{D5CDD505-2E9C-101B-9397-08002B2CF9AE}" pid="12" name="Mendeley Recent Style Name 0_1">
    <vt:lpwstr>ACS Sustainable Chemistry &amp; Engineering</vt:lpwstr>
  </property>
  <property fmtid="{D5CDD505-2E9C-101B-9397-08002B2CF9AE}" pid="13" name="Mendeley Recent Style Id 1_1">
    <vt:lpwstr>http://www.zotero.org/styles/american-political-science-association</vt:lpwstr>
  </property>
  <property fmtid="{D5CDD505-2E9C-101B-9397-08002B2CF9AE}" pid="14" name="Mendeley Recent Style Name 1_1">
    <vt:lpwstr>American Political Science Association</vt:lpwstr>
  </property>
  <property fmtid="{D5CDD505-2E9C-101B-9397-08002B2CF9AE}" pid="15" name="Mendeley Recent Style Id 2_1">
    <vt:lpwstr>http://www.zotero.org/styles/chemical-engineering-journal</vt:lpwstr>
  </property>
  <property fmtid="{D5CDD505-2E9C-101B-9397-08002B2CF9AE}" pid="16" name="Mendeley Recent Style Name 2_1">
    <vt:lpwstr>Chemical Engineering Journal</vt:lpwstr>
  </property>
  <property fmtid="{D5CDD505-2E9C-101B-9397-08002B2CF9AE}" pid="17" name="Mendeley Recent Style Id 3_1">
    <vt:lpwstr>http://www.zotero.org/styles/chemosphere</vt:lpwstr>
  </property>
  <property fmtid="{D5CDD505-2E9C-101B-9397-08002B2CF9AE}" pid="18" name="Mendeley Recent Style Name 3_1">
    <vt:lpwstr>Chemosphere</vt:lpwstr>
  </property>
  <property fmtid="{D5CDD505-2E9C-101B-9397-08002B2CF9AE}" pid="19" name="Mendeley Recent Style Id 4_1">
    <vt:lpwstr>http://www.zotero.org/styles/fuel</vt:lpwstr>
  </property>
  <property fmtid="{D5CDD505-2E9C-101B-9397-08002B2CF9AE}" pid="20" name="Mendeley Recent Style Name 4_1">
    <vt:lpwstr>Fuel</vt:lpwstr>
  </property>
  <property fmtid="{D5CDD505-2E9C-101B-9397-08002B2CF9AE}" pid="21" name="Mendeley Recent Style Id 5_1">
    <vt:lpwstr>http://www.zotero.org/styles/harvard1</vt:lpwstr>
  </property>
  <property fmtid="{D5CDD505-2E9C-101B-9397-08002B2CF9AE}" pid="22" name="Mendeley Recent Style Name 5_1">
    <vt:lpwstr>Harvard reference format 1 (deprecated)</vt:lpwstr>
  </property>
  <property fmtid="{D5CDD505-2E9C-101B-9397-08002B2CF9AE}" pid="23" name="Mendeley Recent Style Id 6_1">
    <vt:lpwstr>http://www.zotero.org/styles/journal-of-hazardous-materials</vt:lpwstr>
  </property>
  <property fmtid="{D5CDD505-2E9C-101B-9397-08002B2CF9AE}" pid="24" name="Mendeley Recent Style Name 6_1">
    <vt:lpwstr>Journal of Hazardous Materials</vt:lpwstr>
  </property>
  <property fmtid="{D5CDD505-2E9C-101B-9397-08002B2CF9AE}" pid="25" name="Mendeley Recent Style Id 7_1">
    <vt:lpwstr>http://www.zotero.org/styles/journal-of-loss-prevention-in-the-process-industries</vt:lpwstr>
  </property>
  <property fmtid="{D5CDD505-2E9C-101B-9397-08002B2CF9AE}" pid="26" name="Mendeley Recent Style Name 7_1">
    <vt:lpwstr>Journal of Loss Prevention in the Process Industries</vt:lpwstr>
  </property>
  <property fmtid="{D5CDD505-2E9C-101B-9397-08002B2CF9AE}" pid="27" name="Mendeley Recent Style Id 8_1">
    <vt:lpwstr>http://www.zotero.org/styles/nature-communications</vt:lpwstr>
  </property>
  <property fmtid="{D5CDD505-2E9C-101B-9397-08002B2CF9AE}" pid="28" name="Mendeley Recent Style Name 8_1">
    <vt:lpwstr>Nature Communications</vt:lpwstr>
  </property>
  <property fmtid="{D5CDD505-2E9C-101B-9397-08002B2CF9AE}" pid="29" name="Mendeley Recent Style Id 9_1">
    <vt:lpwstr>http://www.zotero.org/styles/process-safety-and-environmental-protection</vt:lpwstr>
  </property>
  <property fmtid="{D5CDD505-2E9C-101B-9397-08002B2CF9AE}" pid="30" name="Mendeley Recent Style Name 9_1">
    <vt:lpwstr>Process Safety and Environmental Protection</vt:lpwstr>
  </property>
  <property fmtid="{D5CDD505-2E9C-101B-9397-08002B2CF9AE}" pid="31" name="Mendeley Document_1">
    <vt:lpwstr>True</vt:lpwstr>
  </property>
  <property fmtid="{D5CDD505-2E9C-101B-9397-08002B2CF9AE}" pid="32" name="Mendeley Unique User Id_1">
    <vt:lpwstr>84c5ea2a-39bd-3cdc-921e-401e2b251f0b</vt:lpwstr>
  </property>
  <property fmtid="{D5CDD505-2E9C-101B-9397-08002B2CF9AE}" pid="33" name="Mendeley Citation Style_1">
    <vt:lpwstr>http://www.zotero.org/styles/chemosphere</vt:lpwstr>
  </property>
</Properties>
</file>