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916362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Copelli, Richard </w:t>
            </w:r>
            <w:proofErr w:type="spellStart"/>
            <w:r w:rsidR="00225738" w:rsidRPr="00225738">
              <w:rPr>
                <w:rFonts w:ascii="Tahoma" w:hAnsi="Tahoma" w:cs="Tahoma"/>
                <w:iCs/>
                <w:color w:val="333333"/>
                <w:sz w:val="14"/>
                <w:szCs w:val="14"/>
                <w:lang w:val="en-US" w:eastAsia="it-IT"/>
              </w:rPr>
              <w:t>Siw</w:t>
            </w:r>
            <w:r w:rsidR="00225738">
              <w:rPr>
                <w:rFonts w:ascii="Tahoma" w:hAnsi="Tahoma" w:cs="Tahoma"/>
                <w:iCs/>
                <w:color w:val="333333"/>
                <w:sz w:val="14"/>
                <w:szCs w:val="14"/>
                <w:lang w:val="en-US" w:eastAsia="it-IT"/>
              </w:rPr>
              <w:t>ek</w:t>
            </w:r>
            <w:proofErr w:type="spellEnd"/>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22BEA00" w14:textId="77777777" w:rsidR="00B03BCB" w:rsidRDefault="00B03BCB" w:rsidP="00B03BCB">
      <w:pPr>
        <w:pStyle w:val="CETAuthors"/>
        <w:rPr>
          <w:noProof w:val="0"/>
          <w:sz w:val="32"/>
        </w:rPr>
      </w:pPr>
    </w:p>
    <w:p w14:paraId="5098EDE0" w14:textId="253C378D" w:rsidR="00B03BCB" w:rsidRPr="00B03BCB" w:rsidRDefault="00B03BCB" w:rsidP="00B03BCB">
      <w:pPr>
        <w:pStyle w:val="CETAuthors"/>
        <w:rPr>
          <w:noProof w:val="0"/>
          <w:sz w:val="32"/>
        </w:rPr>
      </w:pPr>
      <w:r w:rsidRPr="00B03BCB">
        <w:rPr>
          <w:noProof w:val="0"/>
          <w:sz w:val="32"/>
        </w:rPr>
        <w:t xml:space="preserve">Study of the interaction between a high-pressure jet and </w:t>
      </w:r>
    </w:p>
    <w:p w14:paraId="1AA9F70B" w14:textId="77777777" w:rsidR="00B03BCB" w:rsidRPr="00117DDB" w:rsidRDefault="00B03BCB" w:rsidP="00B03BCB">
      <w:pPr>
        <w:pStyle w:val="CETAuthors"/>
        <w:rPr>
          <w:noProof w:val="0"/>
          <w:sz w:val="32"/>
          <w:lang w:val="it-IT"/>
        </w:rPr>
      </w:pPr>
      <w:proofErr w:type="spellStart"/>
      <w:r w:rsidRPr="00117DDB">
        <w:rPr>
          <w:noProof w:val="0"/>
          <w:sz w:val="32"/>
          <w:lang w:val="it-IT"/>
        </w:rPr>
        <w:t>horizontal</w:t>
      </w:r>
      <w:proofErr w:type="spellEnd"/>
      <w:r w:rsidRPr="00117DDB">
        <w:rPr>
          <w:noProof w:val="0"/>
          <w:sz w:val="32"/>
          <w:lang w:val="it-IT"/>
        </w:rPr>
        <w:t xml:space="preserve"> tanks </w:t>
      </w:r>
      <w:proofErr w:type="spellStart"/>
      <w:r w:rsidRPr="00117DDB">
        <w:rPr>
          <w:noProof w:val="0"/>
          <w:sz w:val="32"/>
          <w:lang w:val="it-IT"/>
        </w:rPr>
        <w:t>using</w:t>
      </w:r>
      <w:proofErr w:type="spellEnd"/>
      <w:r w:rsidRPr="00117DDB">
        <w:rPr>
          <w:noProof w:val="0"/>
          <w:sz w:val="32"/>
          <w:lang w:val="it-IT"/>
        </w:rPr>
        <w:t xml:space="preserve"> CFD</w:t>
      </w:r>
    </w:p>
    <w:p w14:paraId="2B3CA35C" w14:textId="63AAEE27" w:rsidR="00E978D0" w:rsidRPr="00117DDB" w:rsidRDefault="00117DDB" w:rsidP="00B03BCB">
      <w:pPr>
        <w:pStyle w:val="CETAuthors"/>
        <w:rPr>
          <w:lang w:val="it-IT"/>
        </w:rPr>
      </w:pPr>
      <w:r w:rsidRPr="00117DDB">
        <w:rPr>
          <w:lang w:val="it-IT"/>
        </w:rPr>
        <w:t>Giovanni Romano</w:t>
      </w:r>
      <w:r>
        <w:rPr>
          <w:vertAlign w:val="superscript"/>
          <w:lang w:val="it-IT"/>
        </w:rPr>
        <w:t>a</w:t>
      </w:r>
      <w:r w:rsidRPr="00117DDB">
        <w:rPr>
          <w:lang w:val="it-IT"/>
        </w:rPr>
        <w:t xml:space="preserve">, </w:t>
      </w:r>
      <w:r w:rsidR="00B03BCB" w:rsidRPr="00117DDB">
        <w:rPr>
          <w:lang w:val="it-IT"/>
        </w:rPr>
        <w:t>Carlo Maria Marzorati</w:t>
      </w:r>
      <w:r>
        <w:rPr>
          <w:vertAlign w:val="superscript"/>
          <w:lang w:val="it-IT"/>
        </w:rPr>
        <w:t>b</w:t>
      </w:r>
      <w:r w:rsidR="00600535" w:rsidRPr="00117DDB">
        <w:rPr>
          <w:lang w:val="it-IT"/>
        </w:rPr>
        <w:t xml:space="preserve">, </w:t>
      </w:r>
      <w:r w:rsidR="00B03BCB" w:rsidRPr="00117DDB">
        <w:rPr>
          <w:lang w:val="it-IT"/>
        </w:rPr>
        <w:t>Paolo Tombini</w:t>
      </w:r>
      <w:r>
        <w:rPr>
          <w:vertAlign w:val="superscript"/>
          <w:lang w:val="it-IT"/>
        </w:rPr>
        <w:t>a</w:t>
      </w:r>
      <w:r>
        <w:rPr>
          <w:lang w:val="it-IT"/>
        </w:rPr>
        <w:t>, Marco Barozzi</w:t>
      </w:r>
      <w:r>
        <w:rPr>
          <w:vertAlign w:val="superscript"/>
          <w:lang w:val="it-IT"/>
        </w:rPr>
        <w:t>c</w:t>
      </w:r>
      <w:r>
        <w:rPr>
          <w:lang w:val="it-IT"/>
        </w:rPr>
        <w:t>, Sabrina Copelli</w:t>
      </w:r>
      <w:r>
        <w:rPr>
          <w:vertAlign w:val="superscript"/>
          <w:lang w:val="it-IT"/>
        </w:rPr>
        <w:t>c</w:t>
      </w:r>
      <w:r>
        <w:rPr>
          <w:lang w:val="it-IT"/>
        </w:rPr>
        <w:t xml:space="preserve">, </w:t>
      </w:r>
      <w:r w:rsidRPr="00117DDB">
        <w:rPr>
          <w:lang w:val="it-IT"/>
        </w:rPr>
        <w:t>Valentina Busini</w:t>
      </w:r>
      <w:r>
        <w:rPr>
          <w:vertAlign w:val="superscript"/>
          <w:lang w:val="it-IT"/>
        </w:rPr>
        <w:t>d</w:t>
      </w:r>
    </w:p>
    <w:p w14:paraId="5053C5A8" w14:textId="2FD796BF" w:rsidR="00E978D0" w:rsidRPr="00117DDB" w:rsidRDefault="00E978D0" w:rsidP="00E978D0">
      <w:pPr>
        <w:pStyle w:val="CETAddress"/>
        <w:rPr>
          <w:lang w:val="it-IT"/>
        </w:rPr>
      </w:pPr>
      <w:r w:rsidRPr="00117DDB">
        <w:rPr>
          <w:vertAlign w:val="superscript"/>
          <w:lang w:val="it-IT"/>
        </w:rPr>
        <w:t>a</w:t>
      </w:r>
      <w:r w:rsidR="00117DDB" w:rsidRPr="00117DDB">
        <w:rPr>
          <w:lang w:val="it-IT"/>
        </w:rPr>
        <w:t>Romano Safety Management S.t.P., Via Saore 25, 24046, Osio Sotto, Bergamo, Italy</w:t>
      </w:r>
      <w:r w:rsidRPr="00117DDB">
        <w:rPr>
          <w:lang w:val="it-IT"/>
        </w:rPr>
        <w:t xml:space="preserve"> </w:t>
      </w:r>
    </w:p>
    <w:p w14:paraId="14AA6CED" w14:textId="2385C4EE" w:rsidR="00B03BCB" w:rsidRPr="00117DDB" w:rsidRDefault="00E978D0" w:rsidP="00B03BCB">
      <w:pPr>
        <w:pStyle w:val="CETAddress"/>
        <w:rPr>
          <w:lang w:val="it-IT"/>
        </w:rPr>
      </w:pPr>
      <w:r w:rsidRPr="00117DDB">
        <w:rPr>
          <w:vertAlign w:val="superscript"/>
          <w:lang w:val="it-IT"/>
        </w:rPr>
        <w:t>b</w:t>
      </w:r>
      <w:r w:rsidR="00117DDB" w:rsidRPr="00117DDB">
        <w:rPr>
          <w:lang w:val="it-IT"/>
        </w:rPr>
        <w:t>Tecnologia Ricerca Rischi S.r.l, Via Saore 25, 24046, Osio Sotto, Bergamo, Italy</w:t>
      </w:r>
    </w:p>
    <w:p w14:paraId="302D45E0" w14:textId="0D6ABD6C" w:rsidR="00117DDB" w:rsidRPr="00117DDB" w:rsidRDefault="00B03BCB" w:rsidP="00B03BCB">
      <w:pPr>
        <w:pStyle w:val="CETAddress"/>
        <w:rPr>
          <w:lang w:val="en-US"/>
        </w:rPr>
      </w:pPr>
      <w:r w:rsidRPr="00117DDB">
        <w:rPr>
          <w:vertAlign w:val="superscript"/>
          <w:lang w:val="en-US"/>
        </w:rPr>
        <w:t>c</w:t>
      </w:r>
      <w:r w:rsidR="00117DDB" w:rsidRPr="00117DDB">
        <w:rPr>
          <w:lang w:val="en-US"/>
        </w:rPr>
        <w:t>Università degli Studi dell’Insubria, Department of Science and High Technology, Como, Italy</w:t>
      </w:r>
    </w:p>
    <w:p w14:paraId="002E25C5" w14:textId="4FAFC2D9" w:rsidR="00B03BCB" w:rsidRPr="00117DDB" w:rsidRDefault="00117DDB" w:rsidP="00B03BCB">
      <w:pPr>
        <w:pStyle w:val="CETAddress"/>
        <w:rPr>
          <w:lang w:val="en-US"/>
        </w:rPr>
      </w:pPr>
      <w:r w:rsidRPr="00AB01E1">
        <w:rPr>
          <w:vertAlign w:val="superscript"/>
          <w:lang w:val="en-US"/>
        </w:rPr>
        <w:t>d</w:t>
      </w:r>
      <w:r w:rsidRPr="00AB01E1">
        <w:rPr>
          <w:lang w:val="en-US"/>
        </w:rPr>
        <w:t>Politecnico di Milano - Department of Chemistry, Materials and Chemical Engineering “Giulio Natta”, Via Mancinelli 7, 20131, Milano, Italy</w:t>
      </w:r>
    </w:p>
    <w:p w14:paraId="7DEC2C5B" w14:textId="386656C6" w:rsidR="00B03BCB" w:rsidRDefault="00BD30C4" w:rsidP="00B03BCB">
      <w:pPr>
        <w:pStyle w:val="CETAddress"/>
      </w:pPr>
      <w:hyperlink r:id="rId10" w:history="1">
        <w:r w:rsidR="00B03BCB" w:rsidRPr="00B5787A">
          <w:rPr>
            <w:rStyle w:val="Collegamentoipertestuale"/>
          </w:rPr>
          <w:t>valentina.busini@polimi.it</w:t>
        </w:r>
      </w:hyperlink>
    </w:p>
    <w:p w14:paraId="0A2B00DA" w14:textId="25033770" w:rsidR="00B03BCB" w:rsidRDefault="00B03BCB" w:rsidP="00B03BCB">
      <w:pPr>
        <w:pStyle w:val="CETAddress"/>
      </w:pPr>
    </w:p>
    <w:p w14:paraId="07728B19" w14:textId="2496238F" w:rsidR="00B03BCB" w:rsidRPr="00635AAB" w:rsidRDefault="00323984" w:rsidP="00635AAB">
      <w:pPr>
        <w:pStyle w:val="CETheadingx"/>
      </w:pPr>
      <w:r w:rsidRPr="00635AAB">
        <w:t xml:space="preserve">Accidental high-pressure flammable gas releases are among the most relevant hazards in the process safety, </w:t>
      </w:r>
      <w:r w:rsidR="00117DDB">
        <w:t>and</w:t>
      </w:r>
      <w:r w:rsidRPr="00635AAB">
        <w:t xml:space="preserve"> consequences could be severe. In the recent decades, there have been numerous efforts to study high-pressure jets in open field (i.e., free jets). </w:t>
      </w:r>
      <w:r w:rsidR="00AB01E1">
        <w:t>E</w:t>
      </w:r>
      <w:r w:rsidRPr="00635AAB">
        <w:t xml:space="preserve">asy-to-use mathematical models have been developed, to </w:t>
      </w:r>
      <w:r w:rsidR="002E600E" w:rsidRPr="00635AAB">
        <w:t xml:space="preserve">rapidly </w:t>
      </w:r>
      <w:r w:rsidRPr="00635AAB">
        <w:t xml:space="preserve">assess </w:t>
      </w:r>
      <w:r w:rsidR="002E600E" w:rsidRPr="00635AAB">
        <w:t>the main</w:t>
      </w:r>
      <w:r w:rsidRPr="00635AAB">
        <w:t xml:space="preserve"> physical variables </w:t>
      </w:r>
      <w:r w:rsidR="002E600E" w:rsidRPr="00635AAB">
        <w:t xml:space="preserve">involved </w:t>
      </w:r>
      <w:r w:rsidRPr="00635AAB">
        <w:t>in safety evaluations. However, in a realistic scenario, the</w:t>
      </w:r>
      <w:r w:rsidR="002E600E" w:rsidRPr="00635AAB">
        <w:t xml:space="preserve"> accidental</w:t>
      </w:r>
      <w:r w:rsidRPr="00635AAB">
        <w:t xml:space="preserve"> leak may involve either the ground or a</w:t>
      </w:r>
      <w:r w:rsidR="002E600E" w:rsidRPr="00635AAB">
        <w:t xml:space="preserve"> piece of</w:t>
      </w:r>
      <w:r w:rsidRPr="00635AAB">
        <w:t xml:space="preserve"> equipment. As demonstrated by recent works, when a jet interacts with an obstacle, its behavior can significantly change.</w:t>
      </w:r>
      <w:r w:rsidR="002E600E" w:rsidRPr="00635AAB">
        <w:t xml:space="preserve"> Therefore</w:t>
      </w:r>
      <w:r w:rsidRPr="00635AAB">
        <w:t xml:space="preserve">, the mathematical models </w:t>
      </w:r>
      <w:r w:rsidR="002E600E" w:rsidRPr="00635AAB">
        <w:t>extrapolated</w:t>
      </w:r>
      <w:r w:rsidRPr="00635AAB">
        <w:t xml:space="preserve"> for the free jet scenario c</w:t>
      </w:r>
      <w:r w:rsidR="002E600E" w:rsidRPr="00635AAB">
        <w:t>ould be a source of</w:t>
      </w:r>
      <w:r w:rsidRPr="00635AAB">
        <w:t xml:space="preserve"> incorrect predictions. Focusing on the scenario of an accidental high-pressure unignited flammable jet, this work shows how </w:t>
      </w:r>
      <w:r w:rsidR="002E600E" w:rsidRPr="00635AAB">
        <w:t>the presence of one or two obstacles</w:t>
      </w:r>
      <w:r w:rsidR="00117DDB">
        <w:t>,</w:t>
      </w:r>
      <w:r w:rsidR="002E600E" w:rsidRPr="00635AAB">
        <w:t xml:space="preserve"> placed at a different distance from the source of the leak</w:t>
      </w:r>
      <w:r w:rsidR="00117DDB">
        <w:t>,</w:t>
      </w:r>
      <w:r w:rsidR="002E600E" w:rsidRPr="00635AAB">
        <w:t xml:space="preserve"> </w:t>
      </w:r>
      <w:r w:rsidRPr="00635AAB">
        <w:t xml:space="preserve">can influence the lower flammability limit cloud extent of </w:t>
      </w:r>
      <w:r w:rsidR="002E600E" w:rsidRPr="00635AAB">
        <w:t>methane</w:t>
      </w:r>
      <w:r w:rsidRPr="00635AAB">
        <w:t xml:space="preserve">. Varying the height of the source term, the effect of the </w:t>
      </w:r>
      <w:r w:rsidR="002E600E" w:rsidRPr="00635AAB">
        <w:t xml:space="preserve">interaction </w:t>
      </w:r>
      <w:r w:rsidR="00117DDB">
        <w:t>among</w:t>
      </w:r>
      <w:r w:rsidR="002E600E" w:rsidRPr="00635AAB">
        <w:t xml:space="preserve"> the jet</w:t>
      </w:r>
      <w:r w:rsidR="00117DDB">
        <w:t>,</w:t>
      </w:r>
      <w:r w:rsidR="002E600E" w:rsidRPr="00635AAB">
        <w:t xml:space="preserve"> both the obstacles</w:t>
      </w:r>
      <w:r w:rsidR="00117DDB">
        <w:t>,</w:t>
      </w:r>
      <w:r w:rsidR="002E600E" w:rsidRPr="00635AAB">
        <w:t xml:space="preserve"> and the ground</w:t>
      </w:r>
      <w:r w:rsidRPr="00635AAB">
        <w:t xml:space="preserve"> was systematically studied through a Computational Fluid Dynamics analysis. </w:t>
      </w:r>
    </w:p>
    <w:p w14:paraId="476B2F2E" w14:textId="77777777" w:rsidR="00600535" w:rsidRPr="00B57B36" w:rsidRDefault="00600535" w:rsidP="00600535">
      <w:pPr>
        <w:pStyle w:val="CETHeading1"/>
        <w:rPr>
          <w:lang w:val="en-GB"/>
        </w:rPr>
      </w:pPr>
      <w:r w:rsidRPr="00B57B36">
        <w:rPr>
          <w:lang w:val="en-GB"/>
        </w:rPr>
        <w:t>Introduction</w:t>
      </w:r>
    </w:p>
    <w:p w14:paraId="23D4A163" w14:textId="269017C7" w:rsidR="00412DFC" w:rsidRPr="002949AD" w:rsidRDefault="00412DFC" w:rsidP="00635AAB">
      <w:pPr>
        <w:pStyle w:val="Text"/>
        <w:spacing w:before="0" w:after="0" w:line="240" w:lineRule="auto"/>
        <w:ind w:right="0"/>
        <w:rPr>
          <w:rFonts w:ascii="Arial" w:hAnsi="Arial" w:cs="Arial"/>
          <w:sz w:val="18"/>
          <w:szCs w:val="18"/>
        </w:rPr>
      </w:pPr>
      <w:r w:rsidRPr="002949AD">
        <w:rPr>
          <w:rFonts w:ascii="Arial" w:hAnsi="Arial" w:cs="Arial"/>
          <w:sz w:val="18"/>
          <w:szCs w:val="18"/>
          <w:lang w:val="en-GB"/>
        </w:rPr>
        <w:t>In industrial plants, jets are one of the most common incident scenarios, as up to 50% of industrial accidents are related to mechanical failure of tanks o</w:t>
      </w:r>
      <w:r w:rsidR="00181D52" w:rsidRPr="002949AD">
        <w:rPr>
          <w:rFonts w:ascii="Arial" w:hAnsi="Arial" w:cs="Arial"/>
          <w:sz w:val="18"/>
          <w:szCs w:val="18"/>
          <w:lang w:val="en-GB"/>
        </w:rPr>
        <w:t>r flanges</w:t>
      </w:r>
      <w:r w:rsidRPr="002949AD">
        <w:rPr>
          <w:rFonts w:ascii="Arial" w:hAnsi="Arial" w:cs="Arial"/>
          <w:sz w:val="18"/>
          <w:szCs w:val="18"/>
          <w:lang w:val="en-GB"/>
        </w:rPr>
        <w:t xml:space="preserve"> </w:t>
      </w:r>
      <w:r w:rsidR="00E542CB">
        <w:rPr>
          <w:rFonts w:ascii="Arial" w:hAnsi="Arial" w:cs="Arial"/>
          <w:sz w:val="18"/>
          <w:szCs w:val="18"/>
        </w:rPr>
        <w:t>(</w:t>
      </w:r>
      <w:proofErr w:type="spellStart"/>
      <w:r w:rsidRPr="00F94E05">
        <w:rPr>
          <w:rFonts w:ascii="Arial" w:hAnsi="Arial" w:cs="Arial"/>
          <w:sz w:val="18"/>
          <w:szCs w:val="18"/>
        </w:rPr>
        <w:t>Crowl</w:t>
      </w:r>
      <w:proofErr w:type="spellEnd"/>
      <w:r w:rsidRPr="00F94E05">
        <w:rPr>
          <w:rFonts w:ascii="Arial" w:hAnsi="Arial" w:cs="Arial"/>
          <w:sz w:val="18"/>
          <w:szCs w:val="18"/>
        </w:rPr>
        <w:t xml:space="preserve"> and </w:t>
      </w:r>
      <w:proofErr w:type="spellStart"/>
      <w:r w:rsidRPr="00F94E05">
        <w:rPr>
          <w:rFonts w:ascii="Arial" w:hAnsi="Arial" w:cs="Arial"/>
          <w:sz w:val="18"/>
          <w:szCs w:val="18"/>
        </w:rPr>
        <w:t>Louvar</w:t>
      </w:r>
      <w:proofErr w:type="spellEnd"/>
      <w:r w:rsidRPr="00F94E05">
        <w:rPr>
          <w:rFonts w:ascii="Arial" w:hAnsi="Arial" w:cs="Arial"/>
          <w:sz w:val="18"/>
          <w:szCs w:val="18"/>
        </w:rPr>
        <w:t>, 2012</w:t>
      </w:r>
      <w:r w:rsidR="00E542CB">
        <w:rPr>
          <w:rFonts w:ascii="Arial" w:hAnsi="Arial" w:cs="Arial"/>
          <w:sz w:val="18"/>
          <w:szCs w:val="18"/>
        </w:rPr>
        <w:t>)</w:t>
      </w:r>
      <w:r w:rsidRPr="002949AD">
        <w:rPr>
          <w:rFonts w:ascii="Arial" w:hAnsi="Arial" w:cs="Arial"/>
          <w:sz w:val="18"/>
          <w:szCs w:val="18"/>
          <w:lang w:val="en-GB"/>
        </w:rPr>
        <w:t xml:space="preserve">: if a small break appears in the wall of </w:t>
      </w:r>
      <w:r w:rsidR="00D71A4F" w:rsidRPr="002949AD">
        <w:rPr>
          <w:rFonts w:ascii="Arial" w:hAnsi="Arial" w:cs="Arial"/>
          <w:sz w:val="18"/>
          <w:szCs w:val="18"/>
          <w:lang w:val="en-GB"/>
        </w:rPr>
        <w:t>equipment</w:t>
      </w:r>
      <w:r w:rsidRPr="002949AD">
        <w:rPr>
          <w:rFonts w:ascii="Arial" w:hAnsi="Arial" w:cs="Arial"/>
          <w:sz w:val="18"/>
          <w:szCs w:val="18"/>
          <w:lang w:val="en-GB"/>
        </w:rPr>
        <w:t xml:space="preserve">, where a high-pressure flammable gas is stored, then it exits in the form of jet. The extent of this jet depends entirely on the chemical and physical characteristics of the material released in the atmosphere, the storage pressure and temperature, the atmospheric </w:t>
      </w:r>
      <w:r w:rsidR="00D71A4F" w:rsidRPr="002949AD">
        <w:rPr>
          <w:rFonts w:ascii="Arial" w:hAnsi="Arial" w:cs="Arial"/>
          <w:sz w:val="18"/>
          <w:szCs w:val="18"/>
          <w:lang w:val="en-GB"/>
        </w:rPr>
        <w:t>turbulence,</w:t>
      </w:r>
      <w:r w:rsidRPr="002949AD">
        <w:rPr>
          <w:rFonts w:ascii="Arial" w:hAnsi="Arial" w:cs="Arial"/>
          <w:sz w:val="18"/>
          <w:szCs w:val="18"/>
          <w:lang w:val="en-GB"/>
        </w:rPr>
        <w:t xml:space="preserve"> and the eventual presence of obstacles </w:t>
      </w:r>
      <w:r w:rsidR="00AB01E1">
        <w:rPr>
          <w:rFonts w:ascii="Arial" w:hAnsi="Arial" w:cs="Arial"/>
          <w:sz w:val="18"/>
          <w:szCs w:val="18"/>
          <w:lang w:val="en-GB"/>
        </w:rPr>
        <w:t>nearby</w:t>
      </w:r>
      <w:r w:rsidRPr="002949AD">
        <w:rPr>
          <w:rFonts w:ascii="Arial" w:hAnsi="Arial" w:cs="Arial"/>
          <w:sz w:val="18"/>
          <w:szCs w:val="18"/>
          <w:lang w:val="en-GB"/>
        </w:rPr>
        <w:t>.</w:t>
      </w:r>
      <w:r w:rsidRPr="002949AD">
        <w:rPr>
          <w:rFonts w:ascii="Arial" w:hAnsi="Arial" w:cs="Arial"/>
          <w:sz w:val="18"/>
          <w:szCs w:val="18"/>
        </w:rPr>
        <w:t xml:space="preserve"> One of the most important characteristics associated to the release of a high-pressure jet is the considerable distance that it could reach, making this incidental scenario capable of triggering domino effects, </w:t>
      </w:r>
      <w:r w:rsidR="00D71A4F">
        <w:rPr>
          <w:rFonts w:ascii="Arial" w:hAnsi="Arial" w:cs="Arial"/>
          <w:sz w:val="18"/>
          <w:szCs w:val="18"/>
        </w:rPr>
        <w:t>which</w:t>
      </w:r>
      <w:r w:rsidRPr="002949AD">
        <w:rPr>
          <w:rFonts w:ascii="Arial" w:hAnsi="Arial" w:cs="Arial"/>
          <w:sz w:val="18"/>
          <w:szCs w:val="18"/>
        </w:rPr>
        <w:t xml:space="preserve"> could involve other equipment that w</w:t>
      </w:r>
      <w:r w:rsidR="00AB01E1">
        <w:rPr>
          <w:rFonts w:ascii="Arial" w:hAnsi="Arial" w:cs="Arial"/>
          <w:sz w:val="18"/>
          <w:szCs w:val="18"/>
        </w:rPr>
        <w:t>ere</w:t>
      </w:r>
      <w:r w:rsidRPr="002949AD">
        <w:rPr>
          <w:rFonts w:ascii="Arial" w:hAnsi="Arial" w:cs="Arial"/>
          <w:sz w:val="18"/>
          <w:szCs w:val="18"/>
        </w:rPr>
        <w:t xml:space="preserve"> not directly involved in the primary event (Casal, 2017).  </w:t>
      </w:r>
    </w:p>
    <w:p w14:paraId="2F400A1D" w14:textId="00ECE977" w:rsidR="00412DFC" w:rsidRPr="002949AD" w:rsidRDefault="00412DFC" w:rsidP="00635AAB">
      <w:pPr>
        <w:pStyle w:val="Text"/>
        <w:spacing w:before="0" w:after="0" w:line="240" w:lineRule="auto"/>
        <w:ind w:right="0"/>
        <w:rPr>
          <w:rFonts w:ascii="Arial" w:hAnsi="Arial" w:cs="Arial"/>
          <w:sz w:val="18"/>
          <w:szCs w:val="18"/>
        </w:rPr>
      </w:pPr>
      <w:r w:rsidRPr="002949AD">
        <w:rPr>
          <w:rFonts w:ascii="Arial" w:hAnsi="Arial" w:cs="Arial"/>
          <w:sz w:val="18"/>
          <w:szCs w:val="18"/>
        </w:rPr>
        <w:t xml:space="preserve">When an obstacle is impacted by a flammable gas release, the behavior of the jet and the extent of the potentially damaged areas are modified by its presence, as it is known from both literature and recent works </w:t>
      </w:r>
      <w:r w:rsidRPr="00AB01E1">
        <w:rPr>
          <w:rFonts w:ascii="Arial" w:hAnsi="Arial" w:cs="Arial"/>
          <w:sz w:val="18"/>
          <w:szCs w:val="18"/>
        </w:rPr>
        <w:t>(</w:t>
      </w:r>
      <w:proofErr w:type="spellStart"/>
      <w:r w:rsidRPr="00AB01E1">
        <w:rPr>
          <w:rFonts w:ascii="Arial" w:hAnsi="Arial" w:cs="Arial"/>
          <w:sz w:val="18"/>
          <w:szCs w:val="18"/>
        </w:rPr>
        <w:t>Bénard</w:t>
      </w:r>
      <w:proofErr w:type="spellEnd"/>
      <w:r w:rsidRPr="00AB01E1">
        <w:rPr>
          <w:rFonts w:ascii="Arial" w:hAnsi="Arial" w:cs="Arial"/>
          <w:sz w:val="18"/>
          <w:szCs w:val="18"/>
        </w:rPr>
        <w:t xml:space="preserve"> et al., 2016, Colombini and Busini, 2019</w:t>
      </w:r>
      <w:r w:rsidR="000912A3" w:rsidRPr="00AB01E1">
        <w:rPr>
          <w:rFonts w:ascii="Arial" w:hAnsi="Arial" w:cs="Arial"/>
          <w:sz w:val="18"/>
          <w:szCs w:val="18"/>
        </w:rPr>
        <w:t xml:space="preserve">, Colombini et al., 2020a, Colombini et al., 2020b, </w:t>
      </w:r>
      <w:r w:rsidR="00B33AF9" w:rsidRPr="00AB01E1">
        <w:rPr>
          <w:rFonts w:ascii="Arial" w:hAnsi="Arial" w:cs="Arial"/>
          <w:sz w:val="18"/>
          <w:szCs w:val="18"/>
        </w:rPr>
        <w:t xml:space="preserve">Colombini et al., 2021, </w:t>
      </w:r>
      <w:r w:rsidR="000912A3" w:rsidRPr="00AB01E1">
        <w:rPr>
          <w:rFonts w:ascii="Arial" w:hAnsi="Arial" w:cs="Arial"/>
          <w:sz w:val="18"/>
          <w:szCs w:val="18"/>
        </w:rPr>
        <w:t>Colombini et al., 2022a, Colombini et al., 2022b</w:t>
      </w:r>
      <w:r w:rsidRPr="00AB01E1">
        <w:rPr>
          <w:rFonts w:ascii="Arial" w:hAnsi="Arial" w:cs="Arial"/>
          <w:sz w:val="18"/>
          <w:szCs w:val="18"/>
        </w:rPr>
        <w:t xml:space="preserve">). </w:t>
      </w:r>
      <w:r w:rsidRPr="002949AD">
        <w:rPr>
          <w:rFonts w:ascii="Arial" w:hAnsi="Arial" w:cs="Arial"/>
          <w:sz w:val="18"/>
          <w:szCs w:val="18"/>
        </w:rPr>
        <w:t>This assumes particular importance in industrial and process safety, since consequences are proportional to the extent of the flammable mixture.</w:t>
      </w:r>
    </w:p>
    <w:p w14:paraId="46D0C863" w14:textId="27B74A0B" w:rsidR="00412DFC" w:rsidRPr="002949AD" w:rsidRDefault="00412DFC" w:rsidP="00B33AF9">
      <w:pPr>
        <w:pStyle w:val="Text"/>
        <w:spacing w:before="0" w:after="0" w:line="240" w:lineRule="auto"/>
        <w:ind w:right="0"/>
        <w:rPr>
          <w:rFonts w:ascii="Arial" w:hAnsi="Arial" w:cs="Arial"/>
          <w:sz w:val="18"/>
          <w:szCs w:val="18"/>
        </w:rPr>
      </w:pPr>
      <w:r w:rsidRPr="002949AD">
        <w:rPr>
          <w:rFonts w:ascii="Arial" w:hAnsi="Arial" w:cs="Arial"/>
          <w:sz w:val="18"/>
          <w:szCs w:val="18"/>
        </w:rPr>
        <w:t xml:space="preserve">These aspects are not particularly investigated in literature, because the modeling of such scenarios is not easy: simpler models, like gaussian or integral models, </w:t>
      </w:r>
      <w:r w:rsidR="00AB01E1">
        <w:rPr>
          <w:rFonts w:ascii="Arial" w:hAnsi="Arial" w:cs="Arial"/>
          <w:sz w:val="18"/>
          <w:szCs w:val="18"/>
        </w:rPr>
        <w:t>do not</w:t>
      </w:r>
      <w:r w:rsidRPr="002949AD">
        <w:rPr>
          <w:rFonts w:ascii="Arial" w:hAnsi="Arial" w:cs="Arial"/>
          <w:sz w:val="18"/>
          <w:szCs w:val="18"/>
        </w:rPr>
        <w:t xml:space="preserve"> consider adequately the presence of obstacles, resulting in outcomes far from </w:t>
      </w:r>
      <w:r w:rsidR="00AB01E1">
        <w:rPr>
          <w:rFonts w:ascii="Arial" w:hAnsi="Arial" w:cs="Arial"/>
          <w:sz w:val="18"/>
          <w:szCs w:val="18"/>
        </w:rPr>
        <w:t>the</w:t>
      </w:r>
      <w:r w:rsidRPr="002949AD">
        <w:rPr>
          <w:rFonts w:ascii="Arial" w:hAnsi="Arial" w:cs="Arial"/>
          <w:sz w:val="18"/>
          <w:szCs w:val="18"/>
        </w:rPr>
        <w:t xml:space="preserve"> reality. Therefore, Computational Fluid Dynamic models (CFD) are needed to properly assess the </w:t>
      </w:r>
      <w:r w:rsidR="00B33AF9">
        <w:rPr>
          <w:rFonts w:ascii="Arial" w:hAnsi="Arial" w:cs="Arial"/>
          <w:sz w:val="18"/>
          <w:szCs w:val="18"/>
        </w:rPr>
        <w:t>ac</w:t>
      </w:r>
      <w:r w:rsidRPr="002949AD">
        <w:rPr>
          <w:rFonts w:ascii="Arial" w:hAnsi="Arial" w:cs="Arial"/>
          <w:sz w:val="18"/>
          <w:szCs w:val="18"/>
        </w:rPr>
        <w:t xml:space="preserve">cidental scenarios, although their use comes with a noticeable cost in terms of time and </w:t>
      </w:r>
      <w:r w:rsidR="00B33AF9">
        <w:rPr>
          <w:rFonts w:ascii="Arial" w:hAnsi="Arial" w:cs="Arial"/>
          <w:sz w:val="18"/>
          <w:szCs w:val="18"/>
        </w:rPr>
        <w:t>skills</w:t>
      </w:r>
      <w:r w:rsidRPr="002949AD">
        <w:rPr>
          <w:rFonts w:ascii="Arial" w:hAnsi="Arial" w:cs="Arial"/>
          <w:sz w:val="18"/>
          <w:szCs w:val="18"/>
        </w:rPr>
        <w:t>. Hence, it is necessary to find the ideal balance between finding rigorous and precise results for industrial applications and the amount of time needed to solve the CFD simulation of an incidental scenario.</w:t>
      </w:r>
    </w:p>
    <w:p w14:paraId="0433FDBF" w14:textId="574A340C" w:rsidR="00412DFC" w:rsidRPr="002949AD" w:rsidRDefault="00412DFC" w:rsidP="00635AAB">
      <w:pPr>
        <w:pStyle w:val="Text"/>
        <w:spacing w:before="0" w:after="0" w:line="240" w:lineRule="auto"/>
        <w:ind w:right="0"/>
        <w:rPr>
          <w:rFonts w:ascii="Arial" w:hAnsi="Arial" w:cs="Arial"/>
          <w:sz w:val="18"/>
          <w:szCs w:val="18"/>
        </w:rPr>
      </w:pPr>
      <w:r w:rsidRPr="002949AD">
        <w:rPr>
          <w:rFonts w:ascii="Arial" w:hAnsi="Arial" w:cs="Arial"/>
          <w:sz w:val="18"/>
          <w:szCs w:val="18"/>
        </w:rPr>
        <w:lastRenderedPageBreak/>
        <w:t xml:space="preserve">This work focuses on the interaction between a high-pressure flammable gaseous jet and cylindrical horizontal tanks. </w:t>
      </w:r>
      <w:r w:rsidR="008D055C">
        <w:rPr>
          <w:rFonts w:ascii="Arial" w:hAnsi="Arial" w:cs="Arial"/>
          <w:sz w:val="18"/>
          <w:szCs w:val="18"/>
        </w:rPr>
        <w:t>When</w:t>
      </w:r>
      <w:r w:rsidRPr="002949AD">
        <w:rPr>
          <w:rFonts w:ascii="Arial" w:hAnsi="Arial" w:cs="Arial"/>
          <w:sz w:val="18"/>
          <w:szCs w:val="18"/>
        </w:rPr>
        <w:t xml:space="preserve"> there is more than one tank, a series arrangement is used, with a fixed distance between the center of the tanks. </w:t>
      </w:r>
      <w:r w:rsidR="008D055C">
        <w:rPr>
          <w:rFonts w:ascii="Arial" w:hAnsi="Arial" w:cs="Arial"/>
          <w:sz w:val="18"/>
          <w:szCs w:val="18"/>
        </w:rPr>
        <w:t>T</w:t>
      </w:r>
      <w:r w:rsidRPr="002949AD">
        <w:rPr>
          <w:rFonts w:ascii="Arial" w:hAnsi="Arial" w:cs="Arial"/>
          <w:sz w:val="18"/>
          <w:szCs w:val="18"/>
        </w:rPr>
        <w:t xml:space="preserve">he effects of a jet impacting against obstacles </w:t>
      </w:r>
      <w:r w:rsidR="00B33AF9">
        <w:rPr>
          <w:rFonts w:ascii="Arial" w:hAnsi="Arial" w:cs="Arial"/>
          <w:sz w:val="18"/>
          <w:szCs w:val="18"/>
        </w:rPr>
        <w:t>were</w:t>
      </w:r>
      <w:r w:rsidRPr="002949AD">
        <w:rPr>
          <w:rFonts w:ascii="Arial" w:hAnsi="Arial" w:cs="Arial"/>
          <w:sz w:val="18"/>
          <w:szCs w:val="18"/>
        </w:rPr>
        <w:t xml:space="preserve"> studied through CFD, and the following parameters </w:t>
      </w:r>
      <w:r w:rsidR="00B33AF9">
        <w:rPr>
          <w:rFonts w:ascii="Arial" w:hAnsi="Arial" w:cs="Arial"/>
          <w:sz w:val="18"/>
          <w:szCs w:val="18"/>
        </w:rPr>
        <w:t>were</w:t>
      </w:r>
      <w:r w:rsidRPr="002949AD">
        <w:rPr>
          <w:rFonts w:ascii="Arial" w:hAnsi="Arial" w:cs="Arial"/>
          <w:sz w:val="18"/>
          <w:szCs w:val="18"/>
        </w:rPr>
        <w:t xml:space="preserve"> modified in the simulations carried out: </w:t>
      </w:r>
      <w:r w:rsidR="00B33AF9">
        <w:rPr>
          <w:rFonts w:ascii="Arial" w:hAnsi="Arial" w:cs="Arial"/>
          <w:sz w:val="18"/>
          <w:szCs w:val="18"/>
        </w:rPr>
        <w:t xml:space="preserve">the </w:t>
      </w:r>
      <w:r w:rsidRPr="002949AD">
        <w:rPr>
          <w:rFonts w:ascii="Arial" w:hAnsi="Arial" w:cs="Arial"/>
          <w:sz w:val="18"/>
          <w:szCs w:val="18"/>
        </w:rPr>
        <w:t>height of the release point of the jet</w:t>
      </w:r>
      <w:r w:rsidR="00B33AF9">
        <w:rPr>
          <w:rFonts w:ascii="Arial" w:hAnsi="Arial" w:cs="Arial"/>
          <w:sz w:val="18"/>
          <w:szCs w:val="18"/>
        </w:rPr>
        <w:t xml:space="preserve"> and the</w:t>
      </w:r>
      <w:r w:rsidRPr="002949AD">
        <w:rPr>
          <w:rFonts w:ascii="Arial" w:hAnsi="Arial" w:cs="Arial"/>
          <w:sz w:val="18"/>
          <w:szCs w:val="18"/>
        </w:rPr>
        <w:t xml:space="preserve"> distance between the first obstacle and the release point of the jet.</w:t>
      </w:r>
    </w:p>
    <w:p w14:paraId="599A4108" w14:textId="40405B60" w:rsidR="00412DFC" w:rsidRPr="002949AD" w:rsidRDefault="00412DFC" w:rsidP="00635AAB">
      <w:pPr>
        <w:pStyle w:val="Text"/>
        <w:spacing w:before="0" w:after="0" w:line="240" w:lineRule="auto"/>
        <w:ind w:right="0"/>
        <w:rPr>
          <w:rFonts w:ascii="Arial" w:hAnsi="Arial" w:cs="Arial"/>
          <w:sz w:val="18"/>
          <w:szCs w:val="18"/>
        </w:rPr>
      </w:pPr>
      <w:r w:rsidRPr="002949AD">
        <w:rPr>
          <w:rFonts w:ascii="Arial" w:hAnsi="Arial" w:cs="Arial"/>
          <w:sz w:val="18"/>
          <w:szCs w:val="18"/>
        </w:rPr>
        <w:t xml:space="preserve">Moreover, </w:t>
      </w:r>
      <w:r w:rsidR="008D055C">
        <w:rPr>
          <w:rFonts w:ascii="Arial" w:hAnsi="Arial" w:cs="Arial"/>
          <w:sz w:val="18"/>
          <w:szCs w:val="18"/>
        </w:rPr>
        <w:t>the</w:t>
      </w:r>
      <w:r w:rsidRPr="002949AD">
        <w:rPr>
          <w:rFonts w:ascii="Arial" w:hAnsi="Arial" w:cs="Arial"/>
          <w:sz w:val="18"/>
          <w:szCs w:val="18"/>
        </w:rPr>
        <w:t xml:space="preserve"> storage pressure and</w:t>
      </w:r>
      <w:r w:rsidR="008D055C">
        <w:rPr>
          <w:rFonts w:ascii="Arial" w:hAnsi="Arial" w:cs="Arial"/>
          <w:sz w:val="18"/>
          <w:szCs w:val="18"/>
        </w:rPr>
        <w:t xml:space="preserve"> the</w:t>
      </w:r>
      <w:r w:rsidRPr="002949AD">
        <w:rPr>
          <w:rFonts w:ascii="Arial" w:hAnsi="Arial" w:cs="Arial"/>
          <w:sz w:val="18"/>
          <w:szCs w:val="18"/>
        </w:rPr>
        <w:t xml:space="preserve"> rupture hole size</w:t>
      </w:r>
      <w:r w:rsidR="008D055C" w:rsidRPr="008D055C">
        <w:rPr>
          <w:rFonts w:ascii="Arial" w:hAnsi="Arial" w:cs="Arial"/>
          <w:sz w:val="18"/>
          <w:szCs w:val="18"/>
        </w:rPr>
        <w:t xml:space="preserve"> </w:t>
      </w:r>
      <w:r w:rsidR="008D055C" w:rsidRPr="002949AD">
        <w:rPr>
          <w:rFonts w:ascii="Arial" w:hAnsi="Arial" w:cs="Arial"/>
          <w:sz w:val="18"/>
          <w:szCs w:val="18"/>
        </w:rPr>
        <w:t>were varied</w:t>
      </w:r>
      <w:r w:rsidRPr="002949AD">
        <w:rPr>
          <w:rFonts w:ascii="Arial" w:hAnsi="Arial" w:cs="Arial"/>
          <w:sz w:val="18"/>
          <w:szCs w:val="18"/>
        </w:rPr>
        <w:t xml:space="preserve">, </w:t>
      </w:r>
      <w:r w:rsidR="00B33AF9" w:rsidRPr="002949AD">
        <w:rPr>
          <w:rFonts w:ascii="Arial" w:hAnsi="Arial" w:cs="Arial"/>
          <w:sz w:val="18"/>
          <w:szCs w:val="18"/>
        </w:rPr>
        <w:t>to</w:t>
      </w:r>
      <w:r w:rsidRPr="002949AD">
        <w:rPr>
          <w:rFonts w:ascii="Arial" w:hAnsi="Arial" w:cs="Arial"/>
          <w:sz w:val="18"/>
          <w:szCs w:val="18"/>
        </w:rPr>
        <w:t xml:space="preserve"> obtain an engineering correlation that could allow predict</w:t>
      </w:r>
      <w:r w:rsidR="00B33AF9">
        <w:rPr>
          <w:rFonts w:ascii="Arial" w:hAnsi="Arial" w:cs="Arial"/>
          <w:sz w:val="18"/>
          <w:szCs w:val="18"/>
        </w:rPr>
        <w:t>ing</w:t>
      </w:r>
      <w:r w:rsidRPr="002949AD">
        <w:rPr>
          <w:rFonts w:ascii="Arial" w:hAnsi="Arial" w:cs="Arial"/>
          <w:sz w:val="18"/>
          <w:szCs w:val="18"/>
        </w:rPr>
        <w:t xml:space="preserve"> the area threatened by the jet that impacts against multiple obstacles.</w:t>
      </w:r>
    </w:p>
    <w:p w14:paraId="4939F21D" w14:textId="0CFF2BB5" w:rsidR="00323984" w:rsidRPr="00C73B05" w:rsidRDefault="00B33AF9" w:rsidP="00C73B05">
      <w:pPr>
        <w:pStyle w:val="Text"/>
        <w:spacing w:before="0" w:after="0" w:line="240" w:lineRule="auto"/>
        <w:ind w:right="0"/>
        <w:rPr>
          <w:szCs w:val="20"/>
        </w:rPr>
      </w:pPr>
      <w:r>
        <w:rPr>
          <w:rFonts w:ascii="Arial" w:hAnsi="Arial" w:cs="Arial"/>
          <w:sz w:val="18"/>
          <w:szCs w:val="18"/>
        </w:rPr>
        <w:t>Finally, t</w:t>
      </w:r>
      <w:r w:rsidR="00412DFC" w:rsidRPr="002949AD">
        <w:rPr>
          <w:rFonts w:ascii="Arial" w:hAnsi="Arial" w:cs="Arial"/>
          <w:sz w:val="18"/>
          <w:szCs w:val="18"/>
        </w:rPr>
        <w:t xml:space="preserve">he results </w:t>
      </w:r>
      <w:r>
        <w:rPr>
          <w:rFonts w:ascii="Arial" w:hAnsi="Arial" w:cs="Arial"/>
          <w:sz w:val="18"/>
          <w:szCs w:val="18"/>
        </w:rPr>
        <w:t>were</w:t>
      </w:r>
      <w:r w:rsidR="00412DFC" w:rsidRPr="002949AD">
        <w:rPr>
          <w:rFonts w:ascii="Arial" w:hAnsi="Arial" w:cs="Arial"/>
          <w:sz w:val="18"/>
          <w:szCs w:val="18"/>
        </w:rPr>
        <w:t xml:space="preserve"> </w:t>
      </w:r>
      <w:r>
        <w:rPr>
          <w:rFonts w:ascii="Arial" w:hAnsi="Arial" w:cs="Arial"/>
          <w:sz w:val="18"/>
          <w:szCs w:val="18"/>
        </w:rPr>
        <w:t>i</w:t>
      </w:r>
      <w:r w:rsidR="00412DFC" w:rsidRPr="002949AD">
        <w:rPr>
          <w:rFonts w:ascii="Arial" w:hAnsi="Arial" w:cs="Arial"/>
          <w:sz w:val="18"/>
          <w:szCs w:val="18"/>
        </w:rPr>
        <w:t>nvestigated to verify if a simplification of the industrial scenario is possible, without losing the significance of the results.</w:t>
      </w:r>
    </w:p>
    <w:p w14:paraId="677EBFF0" w14:textId="13C1F1EE" w:rsidR="00600535" w:rsidRDefault="00412DFC" w:rsidP="00600535">
      <w:pPr>
        <w:pStyle w:val="CETHeading1"/>
        <w:tabs>
          <w:tab w:val="clear" w:pos="360"/>
          <w:tab w:val="right" w:pos="7100"/>
        </w:tabs>
        <w:jc w:val="both"/>
        <w:rPr>
          <w:lang w:val="en-GB"/>
        </w:rPr>
      </w:pPr>
      <w:r>
        <w:rPr>
          <w:lang w:val="en-GB"/>
        </w:rPr>
        <w:t>Materials and methods</w:t>
      </w:r>
    </w:p>
    <w:p w14:paraId="547FE306" w14:textId="3DD9B5B8" w:rsidR="000F1F3B" w:rsidRDefault="000F1F3B" w:rsidP="002949AD">
      <w:pPr>
        <w:pStyle w:val="CETBodytext"/>
      </w:pPr>
      <w:r>
        <w:t xml:space="preserve">For all the simulations, an upstream pressure greater than the critical threshold to achieve chocked conditions is used. </w:t>
      </w:r>
      <w:r w:rsidR="008D055C">
        <w:t>T</w:t>
      </w:r>
      <w:r>
        <w:t xml:space="preserve">his is a computationally expensive problem to face, due to the modeling of complex phenomena, such as shock waves formation and Mach disk establishment downstream to the jet orifice </w:t>
      </w:r>
      <w:r w:rsidRPr="0059547B">
        <w:t>(</w:t>
      </w:r>
      <w:proofErr w:type="spellStart"/>
      <w:r w:rsidRPr="00F94E05">
        <w:t>Franquet</w:t>
      </w:r>
      <w:proofErr w:type="spellEnd"/>
      <w:r w:rsidRPr="00F94E05">
        <w:t xml:space="preserve"> et al., 2015</w:t>
      </w:r>
      <w:r>
        <w:t xml:space="preserve">). Since the main aim of the present work is the </w:t>
      </w:r>
      <w:r w:rsidR="00C64F30">
        <w:t>far-field</w:t>
      </w:r>
      <w:r>
        <w:t xml:space="preserve"> zone of the jet, a way to overcome these problems is to model them through analytical correlations, such as the widely adopted model of Birch et al. (1984). This model introduces a </w:t>
      </w:r>
      <w:r w:rsidRPr="000F1F3B">
        <w:t xml:space="preserve">pseudo-source, whose size depends on the size of the hole and the </w:t>
      </w:r>
      <w:r w:rsidR="008D055C">
        <w:t xml:space="preserve">storage </w:t>
      </w:r>
      <w:r w:rsidRPr="000F1F3B">
        <w:t xml:space="preserve">conditions, defined in such a way </w:t>
      </w:r>
      <w:r w:rsidR="00150A33">
        <w:t>that it is</w:t>
      </w:r>
      <w:r w:rsidRPr="000F1F3B">
        <w:t xml:space="preserve"> crossed by the same mass flow </w:t>
      </w:r>
      <w:r w:rsidR="00150A33">
        <w:t>coming</w:t>
      </w:r>
      <w:r w:rsidRPr="000F1F3B">
        <w:t xml:space="preserve"> out of the hole, but under conditions of pressure and ambient temperature</w:t>
      </w:r>
      <w:r>
        <w:t>.</w:t>
      </w:r>
    </w:p>
    <w:p w14:paraId="126AF7FA" w14:textId="343C796D" w:rsidR="002949AD" w:rsidRPr="000F1F3B" w:rsidRDefault="000F1F3B" w:rsidP="00C73B05">
      <w:r>
        <w:t>Given the outdoor location of the accidental scenario</w:t>
      </w:r>
      <w:r w:rsidR="00150A33">
        <w:t>,</w:t>
      </w:r>
      <w:r>
        <w:t xml:space="preserve"> atmospheric conditions</w:t>
      </w:r>
      <w:r w:rsidR="001F57FE">
        <w:t xml:space="preserve"> and </w:t>
      </w:r>
      <w:r w:rsidR="008D055C">
        <w:t>a</w:t>
      </w:r>
      <w:r>
        <w:t xml:space="preserve"> velocity profile</w:t>
      </w:r>
      <w:r w:rsidR="001F57FE">
        <w:t>,</w:t>
      </w:r>
      <w:r>
        <w:t xml:space="preserve"> in accordance with the atmospheric class 5D of the </w:t>
      </w:r>
      <w:proofErr w:type="spellStart"/>
      <w:r>
        <w:t>Pasquill’s</w:t>
      </w:r>
      <w:proofErr w:type="spellEnd"/>
      <w:r>
        <w:t xml:space="preserve"> categories</w:t>
      </w:r>
      <w:r w:rsidR="001F57FE">
        <w:t>,</w:t>
      </w:r>
      <w:r>
        <w:t xml:space="preserve"> w</w:t>
      </w:r>
      <w:r w:rsidR="001F57FE">
        <w:t>ere</w:t>
      </w:r>
      <w:r>
        <w:t xml:space="preserve"> used. To perform the CFD analysis, Ansys Workbench 19.1 was used and </w:t>
      </w:r>
      <w:r w:rsidR="0063655B">
        <w:t>CFX</w:t>
      </w:r>
      <w:r>
        <w:t xml:space="preserve"> was deployed to numerically solve the flow governing equations</w:t>
      </w:r>
      <w:r w:rsidR="001F57FE">
        <w:t xml:space="preserve"> with t</w:t>
      </w:r>
      <w:r>
        <w:t>he Reynolds’s Average of the governing equations (i.e</w:t>
      </w:r>
      <w:r w:rsidR="00C64F30">
        <w:t>.</w:t>
      </w:r>
      <w:r>
        <w:t>, the RANS approach</w:t>
      </w:r>
      <w:r w:rsidR="008D055C">
        <w:t>)</w:t>
      </w:r>
      <w:r>
        <w:t xml:space="preserve">. </w:t>
      </w:r>
      <w:r w:rsidR="00C64F30">
        <w:t>T</w:t>
      </w:r>
      <w:r>
        <w:t xml:space="preserve">he k-ω SST </w:t>
      </w:r>
      <w:r w:rsidR="0063655B">
        <w:t xml:space="preserve">turbulence model </w:t>
      </w:r>
      <w:r>
        <w:t>was chosen</w:t>
      </w:r>
      <w:r w:rsidR="001F57FE">
        <w:t xml:space="preserve"> because </w:t>
      </w:r>
      <w:r w:rsidR="008D055C">
        <w:t>it</w:t>
      </w:r>
      <w:r w:rsidR="0063655B" w:rsidRPr="00546A9B">
        <w:t xml:space="preserve"> is the best solution for managing the calculations needed for high pressure jets.</w:t>
      </w:r>
    </w:p>
    <w:p w14:paraId="68D26B83" w14:textId="49F37549" w:rsidR="00600535" w:rsidRDefault="000D1FAB" w:rsidP="00600535">
      <w:pPr>
        <w:pStyle w:val="CETHeading1"/>
        <w:rPr>
          <w:lang w:val="en-GB"/>
        </w:rPr>
      </w:pPr>
      <w:r>
        <w:rPr>
          <w:lang w:val="en-GB"/>
        </w:rPr>
        <w:t>Results and discussion</w:t>
      </w:r>
    </w:p>
    <w:p w14:paraId="3D41DC4B" w14:textId="22ACF706" w:rsidR="00BC69A0" w:rsidRDefault="00BC69A0" w:rsidP="00BC69A0">
      <w:pPr>
        <w:pStyle w:val="CETBodytext"/>
        <w:rPr>
          <w:lang w:val="en-GB"/>
        </w:rPr>
      </w:pPr>
    </w:p>
    <w:p w14:paraId="62DF9BF9" w14:textId="77777777" w:rsidR="00C73B05" w:rsidRDefault="00BC69A0" w:rsidP="00C73B05">
      <w:pPr>
        <w:pStyle w:val="CETBodytext"/>
      </w:pPr>
      <w:r>
        <w:t xml:space="preserve">As it was pointed out in the introduction, a generic scenario of a leak from a storage tank (or a pipeline) </w:t>
      </w:r>
      <w:r w:rsidR="00C64F30">
        <w:t>was</w:t>
      </w:r>
      <w:r>
        <w:t xml:space="preserve"> simulated in this work; the leakage was considered to be constant in time (i.e., steady state condition). The details of the source term (</w:t>
      </w:r>
      <w:r w:rsidR="008D055C">
        <w:t>i.e.</w:t>
      </w:r>
      <w:r>
        <w:t>, s</w:t>
      </w:r>
      <w:r w:rsidR="0050761B">
        <w:t>torage</w:t>
      </w:r>
      <w:r>
        <w:t xml:space="preserve"> pressure,</w:t>
      </w:r>
      <w:r w:rsidR="0050761B">
        <w:t xml:space="preserve"> mass flowrate</w:t>
      </w:r>
      <w:r w:rsidR="00C64F30">
        <w:t>,</w:t>
      </w:r>
      <w:r>
        <w:t xml:space="preserve"> and </w:t>
      </w:r>
      <w:r w:rsidR="0050761B">
        <w:t>real hole</w:t>
      </w:r>
      <w:r>
        <w:t xml:space="preserve"> diameter) together with the correspondent equivalent </w:t>
      </w:r>
      <w:r w:rsidR="0050761B">
        <w:t>source diameter</w:t>
      </w:r>
      <w:r>
        <w:t xml:space="preserve"> computed with the Birch et al. (1984) method are reported in </w:t>
      </w:r>
      <w:r w:rsidRPr="00CB022B">
        <w:t>Table 1.</w:t>
      </w:r>
      <w:r>
        <w:t xml:space="preserve"> The ground was modeled as an adiabatic wall surface, with a roughness height equal to 0.01 m, simulating a concrete forecourt. </w:t>
      </w:r>
      <w:r w:rsidR="00F71B78">
        <w:t>For t</w:t>
      </w:r>
      <w:r>
        <w:t xml:space="preserve">he environmental air inlet, the lateral and top boundaries </w:t>
      </w:r>
      <w:r w:rsidR="00F71B78">
        <w:t>a “inlet” boundary type was chosen t</w:t>
      </w:r>
      <w:r>
        <w:t xml:space="preserve">o provide realistic wind conditions. An environmental temperature equal to 300 K was considered. Computational domain dimensions were properly sized </w:t>
      </w:r>
      <w:r w:rsidR="000E3F5D">
        <w:t>to</w:t>
      </w:r>
      <w:r>
        <w:t xml:space="preserve"> avoid any interference by the boundaries but, at the same time, avoiding a waste of computational resources</w:t>
      </w:r>
      <w:r w:rsidR="000E3F5D">
        <w:t xml:space="preserve"> (Franke, 2007)</w:t>
      </w:r>
      <w:r>
        <w:t xml:space="preserve">. </w:t>
      </w:r>
    </w:p>
    <w:p w14:paraId="4AE08688" w14:textId="77777777" w:rsidR="00C73B05" w:rsidRDefault="00C73B05" w:rsidP="00C73B05">
      <w:pPr>
        <w:pStyle w:val="CETBodytext"/>
      </w:pPr>
    </w:p>
    <w:p w14:paraId="565DC7AD" w14:textId="376F7B78" w:rsidR="00742825" w:rsidRPr="00C73B05" w:rsidRDefault="00742825" w:rsidP="00C73B05">
      <w:pPr>
        <w:pStyle w:val="CETBodytext"/>
        <w:rPr>
          <w:i/>
          <w:iCs/>
        </w:rPr>
      </w:pPr>
      <w:r w:rsidRPr="00C73B05">
        <w:rPr>
          <w:i/>
          <w:iCs/>
        </w:rPr>
        <w:t>Table 1: Methane release specifications.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16"/>
        <w:gridCol w:w="1086"/>
        <w:gridCol w:w="1134"/>
        <w:gridCol w:w="1134"/>
      </w:tblGrid>
      <w:tr w:rsidR="0085307B" w:rsidRPr="00CE5EE9" w14:paraId="10775F32" w14:textId="77777777" w:rsidTr="00F66CD2">
        <w:tc>
          <w:tcPr>
            <w:tcW w:w="2316" w:type="dxa"/>
            <w:tcBorders>
              <w:top w:val="single" w:sz="12" w:space="0" w:color="008000"/>
              <w:bottom w:val="single" w:sz="6" w:space="0" w:color="008000"/>
            </w:tcBorders>
            <w:shd w:val="clear" w:color="auto" w:fill="FFFFFF"/>
          </w:tcPr>
          <w:p w14:paraId="7B4FE7F5" w14:textId="77777777" w:rsidR="0085307B" w:rsidRPr="00B57B36" w:rsidRDefault="0085307B" w:rsidP="00F66CD2">
            <w:pPr>
              <w:pStyle w:val="CETBodytext"/>
              <w:jc w:val="center"/>
              <w:rPr>
                <w:lang w:val="en-GB"/>
              </w:rPr>
            </w:pPr>
          </w:p>
        </w:tc>
        <w:tc>
          <w:tcPr>
            <w:tcW w:w="1086" w:type="dxa"/>
            <w:tcBorders>
              <w:top w:val="single" w:sz="12" w:space="0" w:color="008000"/>
              <w:bottom w:val="single" w:sz="6" w:space="0" w:color="008000"/>
            </w:tcBorders>
            <w:shd w:val="clear" w:color="auto" w:fill="FFFFFF"/>
          </w:tcPr>
          <w:p w14:paraId="4382A6ED" w14:textId="77777777" w:rsidR="0085307B" w:rsidRPr="0085307B" w:rsidRDefault="0085307B" w:rsidP="00F66CD2">
            <w:pPr>
              <w:pStyle w:val="CETBodytext"/>
              <w:jc w:val="center"/>
              <w:rPr>
                <w:lang w:val="en-GB"/>
              </w:rPr>
            </w:pPr>
            <w:r w:rsidRPr="0085307B">
              <w:rPr>
                <w:lang w:val="en-GB"/>
              </w:rPr>
              <w:t>Set 1</w:t>
            </w:r>
          </w:p>
        </w:tc>
        <w:tc>
          <w:tcPr>
            <w:tcW w:w="1134" w:type="dxa"/>
            <w:tcBorders>
              <w:top w:val="single" w:sz="12" w:space="0" w:color="008000"/>
              <w:bottom w:val="single" w:sz="6" w:space="0" w:color="008000"/>
            </w:tcBorders>
            <w:shd w:val="clear" w:color="auto" w:fill="FFFFFF"/>
          </w:tcPr>
          <w:p w14:paraId="064AB4EF" w14:textId="77777777" w:rsidR="0085307B" w:rsidRPr="0085307B" w:rsidRDefault="0085307B" w:rsidP="00F66CD2">
            <w:pPr>
              <w:pStyle w:val="CETBodytext"/>
              <w:jc w:val="center"/>
              <w:rPr>
                <w:lang w:val="en-GB"/>
              </w:rPr>
            </w:pPr>
            <w:r w:rsidRPr="0085307B">
              <w:rPr>
                <w:lang w:val="en-GB"/>
              </w:rPr>
              <w:t>Set 2</w:t>
            </w:r>
          </w:p>
        </w:tc>
        <w:tc>
          <w:tcPr>
            <w:tcW w:w="1134" w:type="dxa"/>
            <w:tcBorders>
              <w:top w:val="single" w:sz="12" w:space="0" w:color="008000"/>
              <w:bottom w:val="single" w:sz="6" w:space="0" w:color="008000"/>
            </w:tcBorders>
            <w:shd w:val="clear" w:color="auto" w:fill="FFFFFF"/>
          </w:tcPr>
          <w:p w14:paraId="7B0BD856" w14:textId="77777777" w:rsidR="0085307B" w:rsidRPr="00CE5EE9" w:rsidRDefault="0085307B" w:rsidP="00F66CD2">
            <w:pPr>
              <w:pStyle w:val="CETBodytext"/>
              <w:jc w:val="center"/>
              <w:rPr>
                <w:lang w:val="en-GB"/>
              </w:rPr>
            </w:pPr>
            <w:r w:rsidRPr="0085307B">
              <w:rPr>
                <w:lang w:val="en-GB"/>
              </w:rPr>
              <w:t>Set 3</w:t>
            </w:r>
          </w:p>
        </w:tc>
      </w:tr>
      <w:tr w:rsidR="0085307B" w14:paraId="07193E3D" w14:textId="77777777" w:rsidTr="00F66CD2">
        <w:tc>
          <w:tcPr>
            <w:tcW w:w="2316" w:type="dxa"/>
            <w:tcBorders>
              <w:top w:val="single" w:sz="12" w:space="0" w:color="008000"/>
              <w:bottom w:val="single" w:sz="6" w:space="0" w:color="008000"/>
            </w:tcBorders>
            <w:shd w:val="clear" w:color="auto" w:fill="FFFFFF"/>
          </w:tcPr>
          <w:p w14:paraId="4E8BAFB2" w14:textId="77777777" w:rsidR="0085307B" w:rsidRDefault="0085307B" w:rsidP="00F66CD2">
            <w:pPr>
              <w:pStyle w:val="CETBodytext"/>
              <w:jc w:val="center"/>
              <w:rPr>
                <w:lang w:val="en-GB"/>
              </w:rPr>
            </w:pPr>
            <w:r>
              <w:rPr>
                <w:lang w:val="en-GB"/>
              </w:rPr>
              <w:t>Real Hole Diameter [mm]</w:t>
            </w:r>
          </w:p>
        </w:tc>
        <w:tc>
          <w:tcPr>
            <w:tcW w:w="1086" w:type="dxa"/>
            <w:tcBorders>
              <w:top w:val="single" w:sz="12" w:space="0" w:color="008000"/>
              <w:bottom w:val="single" w:sz="6" w:space="0" w:color="008000"/>
            </w:tcBorders>
            <w:shd w:val="clear" w:color="auto" w:fill="FFFFFF"/>
          </w:tcPr>
          <w:p w14:paraId="5FE011C9" w14:textId="77777777" w:rsidR="0085307B" w:rsidRDefault="0085307B" w:rsidP="00F66CD2">
            <w:pPr>
              <w:pStyle w:val="CETBodytext"/>
              <w:jc w:val="center"/>
              <w:rPr>
                <w:lang w:val="en-GB"/>
              </w:rPr>
            </w:pPr>
            <w:r>
              <w:rPr>
                <w:lang w:val="en-GB"/>
              </w:rPr>
              <w:t>25,4</w:t>
            </w:r>
          </w:p>
        </w:tc>
        <w:tc>
          <w:tcPr>
            <w:tcW w:w="1134" w:type="dxa"/>
            <w:tcBorders>
              <w:top w:val="single" w:sz="12" w:space="0" w:color="008000"/>
              <w:bottom w:val="single" w:sz="6" w:space="0" w:color="008000"/>
            </w:tcBorders>
            <w:shd w:val="clear" w:color="auto" w:fill="FFFFFF"/>
          </w:tcPr>
          <w:p w14:paraId="321728DB" w14:textId="77777777" w:rsidR="0085307B" w:rsidRDefault="0085307B" w:rsidP="00F66CD2">
            <w:pPr>
              <w:pStyle w:val="CETBodytext"/>
              <w:jc w:val="center"/>
              <w:rPr>
                <w:lang w:val="en-GB"/>
              </w:rPr>
            </w:pPr>
            <w:r>
              <w:rPr>
                <w:lang w:val="en-GB"/>
              </w:rPr>
              <w:t>25,4</w:t>
            </w:r>
          </w:p>
        </w:tc>
        <w:tc>
          <w:tcPr>
            <w:tcW w:w="1134" w:type="dxa"/>
            <w:tcBorders>
              <w:top w:val="single" w:sz="12" w:space="0" w:color="008000"/>
              <w:bottom w:val="single" w:sz="6" w:space="0" w:color="008000"/>
            </w:tcBorders>
            <w:shd w:val="clear" w:color="auto" w:fill="FFFFFF"/>
          </w:tcPr>
          <w:p w14:paraId="3D87356C" w14:textId="77777777" w:rsidR="0085307B" w:rsidRDefault="0085307B" w:rsidP="00F66CD2">
            <w:pPr>
              <w:pStyle w:val="CETBodytext"/>
              <w:jc w:val="center"/>
              <w:rPr>
                <w:lang w:val="en-GB"/>
              </w:rPr>
            </w:pPr>
            <w:r>
              <w:rPr>
                <w:lang w:val="en-GB"/>
              </w:rPr>
              <w:t>50,8</w:t>
            </w:r>
          </w:p>
        </w:tc>
      </w:tr>
      <w:tr w:rsidR="0085307B" w14:paraId="6D3E9B44" w14:textId="77777777" w:rsidTr="00F66CD2">
        <w:tc>
          <w:tcPr>
            <w:tcW w:w="2316" w:type="dxa"/>
            <w:tcBorders>
              <w:top w:val="single" w:sz="12" w:space="0" w:color="008000"/>
              <w:bottom w:val="single" w:sz="6" w:space="0" w:color="008000"/>
            </w:tcBorders>
            <w:shd w:val="clear" w:color="auto" w:fill="FFFFFF"/>
          </w:tcPr>
          <w:p w14:paraId="6E756101" w14:textId="77777777" w:rsidR="0085307B" w:rsidRDefault="0085307B" w:rsidP="00F66CD2">
            <w:pPr>
              <w:pStyle w:val="CETBodytext"/>
              <w:jc w:val="center"/>
              <w:rPr>
                <w:lang w:val="en-GB"/>
              </w:rPr>
            </w:pPr>
            <w:r>
              <w:rPr>
                <w:lang w:val="en-GB"/>
              </w:rPr>
              <w:t>Storage pressure [bar]</w:t>
            </w:r>
          </w:p>
        </w:tc>
        <w:tc>
          <w:tcPr>
            <w:tcW w:w="1086" w:type="dxa"/>
            <w:tcBorders>
              <w:top w:val="single" w:sz="12" w:space="0" w:color="008000"/>
              <w:bottom w:val="single" w:sz="6" w:space="0" w:color="008000"/>
            </w:tcBorders>
            <w:shd w:val="clear" w:color="auto" w:fill="FFFFFF"/>
          </w:tcPr>
          <w:p w14:paraId="28176212" w14:textId="77777777" w:rsidR="0085307B" w:rsidRDefault="0085307B" w:rsidP="00F66CD2">
            <w:pPr>
              <w:pStyle w:val="CETBodytext"/>
              <w:jc w:val="center"/>
              <w:rPr>
                <w:lang w:val="en-GB"/>
              </w:rPr>
            </w:pPr>
            <w:r>
              <w:rPr>
                <w:lang w:val="en-GB"/>
              </w:rPr>
              <w:t>65</w:t>
            </w:r>
          </w:p>
        </w:tc>
        <w:tc>
          <w:tcPr>
            <w:tcW w:w="1134" w:type="dxa"/>
            <w:tcBorders>
              <w:top w:val="single" w:sz="12" w:space="0" w:color="008000"/>
              <w:bottom w:val="single" w:sz="6" w:space="0" w:color="008000"/>
            </w:tcBorders>
            <w:shd w:val="clear" w:color="auto" w:fill="FFFFFF"/>
          </w:tcPr>
          <w:p w14:paraId="241A0603" w14:textId="77777777" w:rsidR="0085307B" w:rsidRDefault="0085307B" w:rsidP="00F66CD2">
            <w:pPr>
              <w:pStyle w:val="CETBodytext"/>
              <w:jc w:val="center"/>
              <w:rPr>
                <w:lang w:val="en-GB"/>
              </w:rPr>
            </w:pPr>
            <w:r>
              <w:rPr>
                <w:lang w:val="en-GB"/>
              </w:rPr>
              <w:t>130</w:t>
            </w:r>
          </w:p>
        </w:tc>
        <w:tc>
          <w:tcPr>
            <w:tcW w:w="1134" w:type="dxa"/>
            <w:tcBorders>
              <w:top w:val="single" w:sz="12" w:space="0" w:color="008000"/>
              <w:bottom w:val="single" w:sz="6" w:space="0" w:color="008000"/>
            </w:tcBorders>
            <w:shd w:val="clear" w:color="auto" w:fill="FFFFFF"/>
          </w:tcPr>
          <w:p w14:paraId="156560C8" w14:textId="77777777" w:rsidR="0085307B" w:rsidRDefault="0085307B" w:rsidP="00F66CD2">
            <w:pPr>
              <w:pStyle w:val="CETBodytext"/>
              <w:jc w:val="center"/>
              <w:rPr>
                <w:lang w:val="en-GB"/>
              </w:rPr>
            </w:pPr>
            <w:r>
              <w:rPr>
                <w:lang w:val="en-GB"/>
              </w:rPr>
              <w:t>65</w:t>
            </w:r>
          </w:p>
        </w:tc>
      </w:tr>
      <w:tr w:rsidR="0085307B" w14:paraId="70F97394" w14:textId="77777777" w:rsidTr="00F66CD2">
        <w:tc>
          <w:tcPr>
            <w:tcW w:w="2316" w:type="dxa"/>
            <w:tcBorders>
              <w:top w:val="single" w:sz="12" w:space="0" w:color="008000"/>
              <w:bottom w:val="single" w:sz="6" w:space="0" w:color="008000"/>
            </w:tcBorders>
            <w:shd w:val="clear" w:color="auto" w:fill="FFFFFF"/>
          </w:tcPr>
          <w:p w14:paraId="15D76BE7" w14:textId="77777777" w:rsidR="0085307B" w:rsidRDefault="0085307B" w:rsidP="00F66CD2">
            <w:pPr>
              <w:pStyle w:val="CETBodytext"/>
              <w:jc w:val="center"/>
              <w:rPr>
                <w:lang w:val="en-GB"/>
              </w:rPr>
            </w:pPr>
            <w:r>
              <w:rPr>
                <w:lang w:val="en-GB"/>
              </w:rPr>
              <w:t>Equivalent Diameter [mm]</w:t>
            </w:r>
          </w:p>
        </w:tc>
        <w:tc>
          <w:tcPr>
            <w:tcW w:w="1086" w:type="dxa"/>
            <w:tcBorders>
              <w:top w:val="single" w:sz="12" w:space="0" w:color="008000"/>
              <w:bottom w:val="single" w:sz="6" w:space="0" w:color="008000"/>
            </w:tcBorders>
            <w:shd w:val="clear" w:color="auto" w:fill="FFFFFF"/>
          </w:tcPr>
          <w:p w14:paraId="04533B7D" w14:textId="77777777" w:rsidR="0085307B" w:rsidRDefault="0085307B" w:rsidP="00F66CD2">
            <w:pPr>
              <w:pStyle w:val="CETBodytext"/>
              <w:jc w:val="center"/>
              <w:rPr>
                <w:lang w:val="en-GB"/>
              </w:rPr>
            </w:pPr>
            <w:r>
              <w:rPr>
                <w:lang w:val="en-GB"/>
              </w:rPr>
              <w:t>146</w:t>
            </w:r>
          </w:p>
        </w:tc>
        <w:tc>
          <w:tcPr>
            <w:tcW w:w="1134" w:type="dxa"/>
            <w:tcBorders>
              <w:top w:val="single" w:sz="12" w:space="0" w:color="008000"/>
              <w:bottom w:val="single" w:sz="6" w:space="0" w:color="008000"/>
            </w:tcBorders>
            <w:shd w:val="clear" w:color="auto" w:fill="FFFFFF"/>
          </w:tcPr>
          <w:p w14:paraId="081DD13A" w14:textId="77777777" w:rsidR="0085307B" w:rsidRDefault="0085307B" w:rsidP="00F66CD2">
            <w:pPr>
              <w:pStyle w:val="CETBodytext"/>
              <w:jc w:val="center"/>
              <w:rPr>
                <w:lang w:val="en-GB"/>
              </w:rPr>
            </w:pPr>
            <w:r>
              <w:rPr>
                <w:lang w:val="en-GB"/>
              </w:rPr>
              <w:t>206</w:t>
            </w:r>
          </w:p>
        </w:tc>
        <w:tc>
          <w:tcPr>
            <w:tcW w:w="1134" w:type="dxa"/>
            <w:tcBorders>
              <w:top w:val="single" w:sz="12" w:space="0" w:color="008000"/>
              <w:bottom w:val="single" w:sz="6" w:space="0" w:color="008000"/>
            </w:tcBorders>
            <w:shd w:val="clear" w:color="auto" w:fill="FFFFFF"/>
          </w:tcPr>
          <w:p w14:paraId="7AF054FD" w14:textId="77777777" w:rsidR="0085307B" w:rsidRDefault="0085307B" w:rsidP="00F66CD2">
            <w:pPr>
              <w:pStyle w:val="CETBodytext"/>
              <w:jc w:val="center"/>
              <w:rPr>
                <w:lang w:val="en-GB"/>
              </w:rPr>
            </w:pPr>
            <w:r>
              <w:rPr>
                <w:lang w:val="en-GB"/>
              </w:rPr>
              <w:t>292</w:t>
            </w:r>
          </w:p>
        </w:tc>
      </w:tr>
      <w:tr w:rsidR="0085307B" w14:paraId="7E4F964C" w14:textId="77777777" w:rsidTr="00F66CD2">
        <w:tc>
          <w:tcPr>
            <w:tcW w:w="2316" w:type="dxa"/>
            <w:tcBorders>
              <w:top w:val="single" w:sz="12" w:space="0" w:color="008000"/>
              <w:bottom w:val="single" w:sz="6" w:space="0" w:color="008000"/>
            </w:tcBorders>
            <w:shd w:val="clear" w:color="auto" w:fill="FFFFFF"/>
          </w:tcPr>
          <w:p w14:paraId="2CD3F6C5" w14:textId="77777777" w:rsidR="0085307B" w:rsidRDefault="0085307B" w:rsidP="00F66CD2">
            <w:pPr>
              <w:pStyle w:val="CETBodytext"/>
              <w:jc w:val="center"/>
              <w:rPr>
                <w:lang w:val="en-GB"/>
              </w:rPr>
            </w:pPr>
            <w:r>
              <w:rPr>
                <w:lang w:val="en-GB"/>
              </w:rPr>
              <w:t>Mass flowrate [kg/s]</w:t>
            </w:r>
          </w:p>
        </w:tc>
        <w:tc>
          <w:tcPr>
            <w:tcW w:w="1086" w:type="dxa"/>
            <w:tcBorders>
              <w:top w:val="single" w:sz="12" w:space="0" w:color="008000"/>
              <w:bottom w:val="single" w:sz="6" w:space="0" w:color="008000"/>
            </w:tcBorders>
            <w:shd w:val="clear" w:color="auto" w:fill="FFFFFF"/>
          </w:tcPr>
          <w:p w14:paraId="5AAE9CBC" w14:textId="77777777" w:rsidR="0085307B" w:rsidRDefault="0085307B" w:rsidP="00F66CD2">
            <w:pPr>
              <w:pStyle w:val="CETBodytext"/>
              <w:jc w:val="center"/>
              <w:rPr>
                <w:lang w:val="en-GB"/>
              </w:rPr>
            </w:pPr>
            <w:r>
              <w:rPr>
                <w:lang w:val="en-GB"/>
              </w:rPr>
              <w:t>5,18</w:t>
            </w:r>
          </w:p>
        </w:tc>
        <w:tc>
          <w:tcPr>
            <w:tcW w:w="1134" w:type="dxa"/>
            <w:tcBorders>
              <w:top w:val="single" w:sz="12" w:space="0" w:color="008000"/>
              <w:bottom w:val="single" w:sz="6" w:space="0" w:color="008000"/>
            </w:tcBorders>
            <w:shd w:val="clear" w:color="auto" w:fill="FFFFFF"/>
          </w:tcPr>
          <w:p w14:paraId="77BFC8D6" w14:textId="77777777" w:rsidR="0085307B" w:rsidRDefault="0085307B" w:rsidP="00F66CD2">
            <w:pPr>
              <w:pStyle w:val="CETBodytext"/>
              <w:jc w:val="center"/>
              <w:rPr>
                <w:lang w:val="en-GB"/>
              </w:rPr>
            </w:pPr>
            <w:r>
              <w:rPr>
                <w:lang w:val="en-GB"/>
              </w:rPr>
              <w:t>10,36</w:t>
            </w:r>
          </w:p>
        </w:tc>
        <w:tc>
          <w:tcPr>
            <w:tcW w:w="1134" w:type="dxa"/>
            <w:tcBorders>
              <w:top w:val="single" w:sz="12" w:space="0" w:color="008000"/>
              <w:bottom w:val="single" w:sz="6" w:space="0" w:color="008000"/>
            </w:tcBorders>
            <w:shd w:val="clear" w:color="auto" w:fill="FFFFFF"/>
          </w:tcPr>
          <w:p w14:paraId="1388B334" w14:textId="77777777" w:rsidR="0085307B" w:rsidRDefault="0085307B" w:rsidP="00F66CD2">
            <w:pPr>
              <w:pStyle w:val="CETBodytext"/>
              <w:jc w:val="center"/>
              <w:rPr>
                <w:lang w:val="en-GB"/>
              </w:rPr>
            </w:pPr>
            <w:r>
              <w:rPr>
                <w:lang w:val="en-GB"/>
              </w:rPr>
              <w:t>20,72</w:t>
            </w:r>
          </w:p>
        </w:tc>
      </w:tr>
    </w:tbl>
    <w:p w14:paraId="1C3F95C4" w14:textId="77777777" w:rsidR="0050761B" w:rsidRDefault="0050761B" w:rsidP="00BC69A0">
      <w:pPr>
        <w:pStyle w:val="CETBodytext"/>
      </w:pPr>
    </w:p>
    <w:p w14:paraId="2EDCDFD9" w14:textId="6B98E113" w:rsidR="00CE5EE9" w:rsidRDefault="00BC69A0" w:rsidP="00BC69A0">
      <w:pPr>
        <w:pStyle w:val="CETBodytext"/>
      </w:pPr>
      <w:r>
        <w:t xml:space="preserve">To this aim, the work of </w:t>
      </w:r>
      <w:proofErr w:type="spellStart"/>
      <w:r w:rsidRPr="00F94E05">
        <w:t>Hourri</w:t>
      </w:r>
      <w:proofErr w:type="spellEnd"/>
      <w:r w:rsidRPr="00F94E05">
        <w:t xml:space="preserve"> et al. (2009)</w:t>
      </w:r>
      <w:r>
        <w:t xml:space="preserve"> was taken as reference. A rectangular box of </w:t>
      </w:r>
      <w:r w:rsidR="00365ADC">
        <w:t>105</w:t>
      </w:r>
      <w:r>
        <w:t>x</w:t>
      </w:r>
      <w:r w:rsidR="00365ADC">
        <w:t>32</w:t>
      </w:r>
      <w:r w:rsidR="000104BA">
        <w:t>.</w:t>
      </w:r>
      <w:r w:rsidR="00365ADC">
        <w:t>2</w:t>
      </w:r>
      <w:r>
        <w:t>x</w:t>
      </w:r>
      <w:r w:rsidR="00365ADC">
        <w:t>35</w:t>
      </w:r>
      <w:r>
        <w:t xml:space="preserve"> m was built for each of the simulations performed. </w:t>
      </w:r>
      <w:r w:rsidR="00365ADC">
        <w:t>A</w:t>
      </w:r>
      <w:r>
        <w:t xml:space="preserve"> vertical planar symmetry in correspondence of the jet axis was </w:t>
      </w:r>
      <w:r w:rsidR="00365ADC">
        <w:t>introduced, further reducing the pointless calculation time associated to the simulation</w:t>
      </w:r>
      <w:r>
        <w:t xml:space="preserve">. </w:t>
      </w:r>
      <w:r w:rsidR="00365ADC">
        <w:rPr>
          <w:lang w:val="en-GB"/>
        </w:rPr>
        <w:t xml:space="preserve">The </w:t>
      </w:r>
      <w:r w:rsidR="00365ADC" w:rsidRPr="00F62E6D">
        <w:rPr>
          <w:lang w:val="en-GB"/>
        </w:rPr>
        <w:t xml:space="preserve">calculation grid </w:t>
      </w:r>
      <w:r w:rsidR="00365ADC">
        <w:rPr>
          <w:lang w:val="en-GB"/>
        </w:rPr>
        <w:t xml:space="preserve">was made </w:t>
      </w:r>
      <w:r w:rsidR="00365ADC" w:rsidRPr="00F62E6D">
        <w:rPr>
          <w:lang w:val="en-GB"/>
        </w:rPr>
        <w:t xml:space="preserve">thicker near the point of release and </w:t>
      </w:r>
      <w:r w:rsidR="000E3F5D">
        <w:rPr>
          <w:lang w:val="en-GB"/>
        </w:rPr>
        <w:t>coars</w:t>
      </w:r>
      <w:r w:rsidR="00365ADC" w:rsidRPr="00F62E6D">
        <w:rPr>
          <w:lang w:val="en-GB"/>
        </w:rPr>
        <w:t>er away from it, both for the diameter of the cell and for the growth rate of the cell itself</w:t>
      </w:r>
      <w:r>
        <w:t>. Moreover, the grid independence was positively achieved.</w:t>
      </w:r>
    </w:p>
    <w:p w14:paraId="690624F7" w14:textId="6543FAE6" w:rsidR="0085307B" w:rsidRDefault="00CE5EE9" w:rsidP="00BC69A0">
      <w:pPr>
        <w:pStyle w:val="CETBodytext"/>
        <w:rPr>
          <w:lang w:val="en-GB"/>
        </w:rPr>
      </w:pPr>
      <w:r>
        <w:rPr>
          <w:lang w:val="en-GB"/>
        </w:rPr>
        <w:t>Tank sizes used in the simulations can be displayed in the following Table</w:t>
      </w:r>
      <w:r w:rsidR="000D1FAB">
        <w:rPr>
          <w:lang w:val="en-GB"/>
        </w:rPr>
        <w:t xml:space="preserve"> </w:t>
      </w:r>
      <w:r w:rsidR="000104BA">
        <w:rPr>
          <w:lang w:val="en-GB"/>
        </w:rPr>
        <w:t>2</w:t>
      </w:r>
      <w:r>
        <w:rPr>
          <w:lang w:val="en-GB"/>
        </w:rPr>
        <w:t xml:space="preserve"> and Figure</w:t>
      </w:r>
      <w:r w:rsidR="000D1FAB">
        <w:rPr>
          <w:lang w:val="en-GB"/>
        </w:rPr>
        <w:t xml:space="preserve"> 1</w:t>
      </w:r>
      <w:r w:rsidR="00BD30C4">
        <w:rPr>
          <w:lang w:val="en-GB"/>
        </w:rPr>
        <w:t>.</w:t>
      </w:r>
    </w:p>
    <w:p w14:paraId="3AE198BE" w14:textId="7BAD7894" w:rsidR="00BD30C4" w:rsidRDefault="00BD30C4" w:rsidP="00BC69A0">
      <w:pPr>
        <w:pStyle w:val="CETBodytext"/>
      </w:pPr>
      <w:r>
        <w:t xml:space="preserve">The height of the release point of the jet (H) was varied within the same operating conditions and set; in particular, it was assumed initially a height of the release point of 1,5m, equal to the height of the </w:t>
      </w:r>
      <w:proofErr w:type="spellStart"/>
      <w:r>
        <w:t>centre</w:t>
      </w:r>
      <w:proofErr w:type="spellEnd"/>
      <w:r>
        <w:t xml:space="preserve"> line of the cylindrical tank. Then, a ± 25% variation was applied.</w:t>
      </w:r>
    </w:p>
    <w:p w14:paraId="2BD7E9D5" w14:textId="5F7CE01D" w:rsidR="0085307B" w:rsidRDefault="00BD30C4" w:rsidP="00BD30C4">
      <w:pPr>
        <w:pStyle w:val="CETBodytext"/>
      </w:pPr>
      <w:r>
        <w:t xml:space="preserve">In this work, the position (d) of the first obstacle was varied along the axis of release, in such a way as to check whether there is a change in the </w:t>
      </w:r>
      <w:proofErr w:type="spellStart"/>
      <w:r>
        <w:t>behaviour</w:t>
      </w:r>
      <w:proofErr w:type="spellEnd"/>
      <w:r>
        <w:t xml:space="preserve"> of the jet when the impact with the obstacle occurs at a distance less than or greater than half of ME_NO, where ME_NO is the maximum distance reached by a jet that interacts with the ground in the absence of obstacles.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578"/>
      </w:tblGrid>
      <w:tr w:rsidR="00BD30C4" w14:paraId="4B8C1D85" w14:textId="77777777" w:rsidTr="00BD30C4">
        <w:tc>
          <w:tcPr>
            <w:tcW w:w="4199" w:type="dxa"/>
          </w:tcPr>
          <w:p w14:paraId="55880390" w14:textId="77777777" w:rsidR="00BD30C4" w:rsidRDefault="00BD30C4" w:rsidP="00BD30C4">
            <w:pPr>
              <w:pStyle w:val="CETTabletitle"/>
            </w:pPr>
            <w:r w:rsidRPr="00B57B36">
              <w:lastRenderedPageBreak/>
              <w:t xml:space="preserve">Table </w:t>
            </w:r>
            <w:r>
              <w:t>2</w:t>
            </w:r>
            <w:r w:rsidRPr="00B57B36">
              <w:t xml:space="preserve">: </w:t>
            </w:r>
            <w:r>
              <w:t>Tank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31"/>
              <w:gridCol w:w="745"/>
              <w:gridCol w:w="481"/>
              <w:gridCol w:w="520"/>
              <w:gridCol w:w="520"/>
            </w:tblGrid>
            <w:tr w:rsidR="00BD30C4" w:rsidRPr="00B57B36" w14:paraId="658E584C" w14:textId="77777777" w:rsidTr="00796E56">
              <w:tc>
                <w:tcPr>
                  <w:tcW w:w="531" w:type="dxa"/>
                  <w:tcBorders>
                    <w:top w:val="single" w:sz="12" w:space="0" w:color="008000"/>
                    <w:bottom w:val="single" w:sz="6" w:space="0" w:color="008000"/>
                  </w:tcBorders>
                  <w:shd w:val="clear" w:color="auto" w:fill="FFFFFF"/>
                </w:tcPr>
                <w:p w14:paraId="5DFD8500" w14:textId="77777777" w:rsidR="00BD30C4" w:rsidRPr="00B57B36" w:rsidRDefault="00BD30C4" w:rsidP="00BD30C4">
                  <w:pPr>
                    <w:pStyle w:val="CETBodytext"/>
                    <w:jc w:val="center"/>
                    <w:rPr>
                      <w:lang w:val="en-GB"/>
                    </w:rPr>
                  </w:pPr>
                  <w:r>
                    <w:rPr>
                      <w:lang w:val="en-GB"/>
                    </w:rPr>
                    <w:t>D [m]</w:t>
                  </w:r>
                </w:p>
              </w:tc>
              <w:tc>
                <w:tcPr>
                  <w:tcW w:w="745" w:type="dxa"/>
                  <w:tcBorders>
                    <w:top w:val="single" w:sz="12" w:space="0" w:color="008000"/>
                    <w:bottom w:val="single" w:sz="6" w:space="0" w:color="008000"/>
                  </w:tcBorders>
                  <w:shd w:val="clear" w:color="auto" w:fill="FFFFFF"/>
                </w:tcPr>
                <w:p w14:paraId="61E43B19" w14:textId="77777777" w:rsidR="00BD30C4" w:rsidRPr="00CE5EE9" w:rsidRDefault="00BD30C4" w:rsidP="00BD30C4">
                  <w:pPr>
                    <w:pStyle w:val="CETBodytext"/>
                    <w:jc w:val="center"/>
                    <w:rPr>
                      <w:lang w:val="en-GB"/>
                    </w:rPr>
                  </w:pPr>
                  <w:r>
                    <w:rPr>
                      <w:lang w:val="en-GB"/>
                    </w:rPr>
                    <w:t>D</w:t>
                  </w:r>
                  <w:r w:rsidRPr="00CE5EE9">
                    <w:rPr>
                      <w:vertAlign w:val="subscript"/>
                      <w:lang w:val="en-GB"/>
                    </w:rPr>
                    <w:t>g</w:t>
                  </w:r>
                  <w:r>
                    <w:rPr>
                      <w:lang w:val="en-GB"/>
                    </w:rPr>
                    <w:t xml:space="preserve"> [m]</w:t>
                  </w:r>
                </w:p>
              </w:tc>
              <w:tc>
                <w:tcPr>
                  <w:tcW w:w="481" w:type="dxa"/>
                  <w:tcBorders>
                    <w:top w:val="single" w:sz="12" w:space="0" w:color="008000"/>
                    <w:bottom w:val="single" w:sz="6" w:space="0" w:color="008000"/>
                  </w:tcBorders>
                  <w:shd w:val="clear" w:color="auto" w:fill="FFFFFF"/>
                </w:tcPr>
                <w:p w14:paraId="0BBC0FB8" w14:textId="77777777" w:rsidR="00BD30C4" w:rsidRPr="00B57B36" w:rsidRDefault="00BD30C4" w:rsidP="00BD30C4">
                  <w:pPr>
                    <w:pStyle w:val="CETBodytext"/>
                    <w:jc w:val="center"/>
                    <w:rPr>
                      <w:lang w:val="en-GB"/>
                    </w:rPr>
                  </w:pPr>
                  <w:r>
                    <w:rPr>
                      <w:lang w:val="en-GB"/>
                    </w:rPr>
                    <w:t>R[m]</w:t>
                  </w:r>
                </w:p>
              </w:tc>
              <w:tc>
                <w:tcPr>
                  <w:tcW w:w="520" w:type="dxa"/>
                  <w:tcBorders>
                    <w:top w:val="single" w:sz="12" w:space="0" w:color="008000"/>
                    <w:bottom w:val="single" w:sz="6" w:space="0" w:color="008000"/>
                  </w:tcBorders>
                  <w:shd w:val="clear" w:color="auto" w:fill="FFFFFF"/>
                </w:tcPr>
                <w:p w14:paraId="48B3ACF5" w14:textId="77777777" w:rsidR="00BD30C4" w:rsidRPr="00B57B36" w:rsidRDefault="00BD30C4" w:rsidP="00BD30C4">
                  <w:pPr>
                    <w:pStyle w:val="CETBodytext"/>
                    <w:ind w:right="-1"/>
                    <w:jc w:val="center"/>
                    <w:rPr>
                      <w:rFonts w:cs="Arial"/>
                      <w:szCs w:val="18"/>
                      <w:lang w:val="en-GB"/>
                    </w:rPr>
                  </w:pPr>
                  <w:r>
                    <w:rPr>
                      <w:rFonts w:cs="Arial"/>
                      <w:szCs w:val="18"/>
                      <w:lang w:val="en-GB"/>
                    </w:rPr>
                    <w:t>P [m]</w:t>
                  </w:r>
                </w:p>
              </w:tc>
              <w:tc>
                <w:tcPr>
                  <w:tcW w:w="520" w:type="dxa"/>
                  <w:tcBorders>
                    <w:top w:val="single" w:sz="12" w:space="0" w:color="008000"/>
                    <w:bottom w:val="single" w:sz="6" w:space="0" w:color="008000"/>
                  </w:tcBorders>
                  <w:shd w:val="clear" w:color="auto" w:fill="FFFFFF"/>
                </w:tcPr>
                <w:p w14:paraId="2FFF05CD" w14:textId="77777777" w:rsidR="00BD30C4" w:rsidRPr="00B57B36" w:rsidRDefault="00BD30C4" w:rsidP="00BD30C4">
                  <w:pPr>
                    <w:pStyle w:val="CETBodytext"/>
                    <w:ind w:right="-1"/>
                    <w:jc w:val="center"/>
                    <w:rPr>
                      <w:rFonts w:cs="Arial"/>
                      <w:szCs w:val="18"/>
                      <w:lang w:val="en-GB"/>
                    </w:rPr>
                  </w:pPr>
                  <w:r>
                    <w:rPr>
                      <w:rFonts w:cs="Arial"/>
                      <w:szCs w:val="18"/>
                      <w:lang w:val="en-GB"/>
                    </w:rPr>
                    <w:t>V [m]</w:t>
                  </w:r>
                </w:p>
              </w:tc>
            </w:tr>
            <w:tr w:rsidR="00BD30C4" w:rsidRPr="00B57B36" w14:paraId="7311645A" w14:textId="77777777" w:rsidTr="00796E56">
              <w:tc>
                <w:tcPr>
                  <w:tcW w:w="531" w:type="dxa"/>
                  <w:shd w:val="clear" w:color="auto" w:fill="FFFFFF"/>
                </w:tcPr>
                <w:p w14:paraId="20DE38BF" w14:textId="77777777" w:rsidR="00BD30C4" w:rsidRPr="00B57B36" w:rsidRDefault="00BD30C4" w:rsidP="00BD30C4">
                  <w:pPr>
                    <w:pStyle w:val="CETBodytext"/>
                    <w:jc w:val="center"/>
                    <w:rPr>
                      <w:lang w:val="en-GB"/>
                    </w:rPr>
                  </w:pPr>
                  <w:r>
                    <w:rPr>
                      <w:lang w:val="en-GB"/>
                    </w:rPr>
                    <w:t>2</w:t>
                  </w:r>
                </w:p>
              </w:tc>
              <w:tc>
                <w:tcPr>
                  <w:tcW w:w="745" w:type="dxa"/>
                  <w:shd w:val="clear" w:color="auto" w:fill="FFFFFF"/>
                </w:tcPr>
                <w:p w14:paraId="0833C8C3" w14:textId="77777777" w:rsidR="00BD30C4" w:rsidRPr="00B57B36" w:rsidRDefault="00BD30C4" w:rsidP="00BD30C4">
                  <w:pPr>
                    <w:pStyle w:val="CETBodytext"/>
                    <w:jc w:val="center"/>
                    <w:rPr>
                      <w:lang w:val="en-GB"/>
                    </w:rPr>
                  </w:pPr>
                  <w:r>
                    <w:rPr>
                      <w:lang w:val="en-GB"/>
                    </w:rPr>
                    <w:t>0,25</w:t>
                  </w:r>
                </w:p>
              </w:tc>
              <w:tc>
                <w:tcPr>
                  <w:tcW w:w="481" w:type="dxa"/>
                  <w:shd w:val="clear" w:color="auto" w:fill="FFFFFF"/>
                </w:tcPr>
                <w:p w14:paraId="45A99E5B" w14:textId="77777777" w:rsidR="00BD30C4" w:rsidRPr="00B57B36" w:rsidRDefault="00BD30C4" w:rsidP="00BD30C4">
                  <w:pPr>
                    <w:pStyle w:val="CETBodytext"/>
                    <w:jc w:val="center"/>
                    <w:rPr>
                      <w:lang w:val="en-GB"/>
                    </w:rPr>
                  </w:pPr>
                  <w:r>
                    <w:rPr>
                      <w:lang w:val="en-GB"/>
                    </w:rPr>
                    <w:t>1</w:t>
                  </w:r>
                </w:p>
              </w:tc>
              <w:tc>
                <w:tcPr>
                  <w:tcW w:w="520" w:type="dxa"/>
                  <w:shd w:val="clear" w:color="auto" w:fill="FFFFFF"/>
                </w:tcPr>
                <w:p w14:paraId="172CE7C5" w14:textId="77777777" w:rsidR="00BD30C4" w:rsidRPr="00B57B36" w:rsidRDefault="00BD30C4" w:rsidP="00BD30C4">
                  <w:pPr>
                    <w:pStyle w:val="CETBodytext"/>
                    <w:ind w:right="-1"/>
                    <w:jc w:val="center"/>
                    <w:rPr>
                      <w:rFonts w:cs="Arial"/>
                      <w:szCs w:val="18"/>
                      <w:lang w:val="en-GB"/>
                    </w:rPr>
                  </w:pPr>
                  <w:r>
                    <w:rPr>
                      <w:rFonts w:cs="Arial"/>
                      <w:szCs w:val="18"/>
                      <w:lang w:val="en-GB"/>
                    </w:rPr>
                    <w:t>2</w:t>
                  </w:r>
                </w:p>
              </w:tc>
              <w:tc>
                <w:tcPr>
                  <w:tcW w:w="520" w:type="dxa"/>
                  <w:shd w:val="clear" w:color="auto" w:fill="FFFFFF"/>
                </w:tcPr>
                <w:p w14:paraId="30C43AD2" w14:textId="77777777" w:rsidR="00BD30C4" w:rsidRPr="00B57B36" w:rsidRDefault="00BD30C4" w:rsidP="00BD30C4">
                  <w:pPr>
                    <w:pStyle w:val="CETBodytext"/>
                    <w:ind w:right="-1"/>
                    <w:jc w:val="center"/>
                    <w:rPr>
                      <w:rFonts w:cs="Arial"/>
                      <w:szCs w:val="18"/>
                      <w:lang w:val="en-GB"/>
                    </w:rPr>
                  </w:pPr>
                  <w:r>
                    <w:rPr>
                      <w:rFonts w:cs="Arial"/>
                      <w:szCs w:val="18"/>
                      <w:lang w:val="en-GB"/>
                    </w:rPr>
                    <w:t>3</w:t>
                  </w:r>
                </w:p>
              </w:tc>
            </w:tr>
          </w:tbl>
          <w:p w14:paraId="3F87C969" w14:textId="77777777" w:rsidR="00BD30C4" w:rsidRDefault="00BD30C4" w:rsidP="00CE5EE9"/>
        </w:tc>
        <w:tc>
          <w:tcPr>
            <w:tcW w:w="4578" w:type="dxa"/>
          </w:tcPr>
          <w:p w14:paraId="5746A09A" w14:textId="16599A1E" w:rsidR="00BD30C4" w:rsidRDefault="00BD30C4" w:rsidP="00CE5EE9">
            <w:r>
              <w:rPr>
                <w:noProof/>
              </w:rPr>
              <w:drawing>
                <wp:inline distT="0" distB="0" distL="0" distR="0" wp14:anchorId="4B47E7E0" wp14:editId="209761D5">
                  <wp:extent cx="2769870" cy="1454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870" cy="1454150"/>
                          </a:xfrm>
                          <a:prstGeom prst="rect">
                            <a:avLst/>
                          </a:prstGeom>
                          <a:noFill/>
                        </pic:spPr>
                      </pic:pic>
                    </a:graphicData>
                  </a:graphic>
                </wp:inline>
              </w:drawing>
            </w:r>
            <w:r w:rsidRPr="00B57B36">
              <w:t xml:space="preserve"> </w:t>
            </w:r>
            <w:r w:rsidRPr="00BD30C4">
              <w:rPr>
                <w:i/>
                <w:iCs/>
              </w:rPr>
              <w:t>Figure 1: Tank geometry: height from ground = 0,5 m, M = 7m</w:t>
            </w:r>
          </w:p>
        </w:tc>
      </w:tr>
    </w:tbl>
    <w:p w14:paraId="63352752" w14:textId="77777777" w:rsidR="00BD30C4" w:rsidRDefault="00BD30C4" w:rsidP="00CE5EE9"/>
    <w:p w14:paraId="214CA03B" w14:textId="46D6D681" w:rsidR="00291D09" w:rsidRPr="00291D09" w:rsidRDefault="00CE5EE9" w:rsidP="00A97A33">
      <w:pPr>
        <w:rPr>
          <w:rFonts w:cs="Arial"/>
          <w:szCs w:val="18"/>
        </w:rPr>
      </w:pPr>
      <w:r w:rsidRPr="000D1FAB">
        <w:rPr>
          <w:rFonts w:cs="Arial"/>
          <w:szCs w:val="18"/>
        </w:rPr>
        <w:t>Specifically, the following cases were analysed for each release set:</w:t>
      </w:r>
    </w:p>
    <w:p w14:paraId="3D8FCE09" w14:textId="7B3959DF" w:rsidR="00CE5EE9" w:rsidRPr="000D1FAB" w:rsidRDefault="00CE5EE9" w:rsidP="00A97A33">
      <w:pPr>
        <w:pStyle w:val="Paragrafoelenco"/>
        <w:numPr>
          <w:ilvl w:val="0"/>
          <w:numId w:val="22"/>
        </w:numPr>
        <w:spacing w:after="120"/>
        <w:rPr>
          <w:rFonts w:ascii="Arial" w:hAnsi="Arial" w:cs="Arial"/>
          <w:sz w:val="18"/>
          <w:szCs w:val="18"/>
        </w:rPr>
      </w:pPr>
      <w:r w:rsidRPr="000D1FAB">
        <w:rPr>
          <w:rFonts w:ascii="Arial" w:hAnsi="Arial" w:cs="Arial"/>
          <w:sz w:val="18"/>
          <w:szCs w:val="18"/>
        </w:rPr>
        <w:t>d/ME_NO = 0,75</w:t>
      </w:r>
      <w:r w:rsidR="00291D09">
        <w:rPr>
          <w:rFonts w:ascii="Arial" w:hAnsi="Arial" w:cs="Arial"/>
          <w:sz w:val="18"/>
          <w:szCs w:val="18"/>
        </w:rPr>
        <w:t>;</w:t>
      </w:r>
    </w:p>
    <w:p w14:paraId="50E00968" w14:textId="6239C60F" w:rsidR="00CE5EE9" w:rsidRPr="000D1FAB" w:rsidRDefault="00CE5EE9" w:rsidP="00CE5EE9">
      <w:pPr>
        <w:pStyle w:val="Paragrafoelenco"/>
        <w:numPr>
          <w:ilvl w:val="0"/>
          <w:numId w:val="22"/>
        </w:numPr>
        <w:spacing w:before="120" w:after="120"/>
        <w:rPr>
          <w:rFonts w:ascii="Arial" w:hAnsi="Arial" w:cs="Arial"/>
          <w:sz w:val="18"/>
          <w:szCs w:val="18"/>
        </w:rPr>
      </w:pPr>
      <w:r w:rsidRPr="000D1FAB">
        <w:rPr>
          <w:rFonts w:ascii="Arial" w:hAnsi="Arial" w:cs="Arial"/>
          <w:sz w:val="18"/>
          <w:szCs w:val="18"/>
        </w:rPr>
        <w:t>d/ME_NO = 0,5</w:t>
      </w:r>
      <w:r w:rsidR="00291D09">
        <w:rPr>
          <w:rFonts w:ascii="Arial" w:hAnsi="Arial" w:cs="Arial"/>
          <w:sz w:val="18"/>
          <w:szCs w:val="18"/>
        </w:rPr>
        <w:t>;</w:t>
      </w:r>
    </w:p>
    <w:p w14:paraId="3DD5C854" w14:textId="5D7005A3" w:rsidR="00CE5EE9" w:rsidRPr="000D1FAB" w:rsidRDefault="00CE5EE9" w:rsidP="00CE5EE9">
      <w:pPr>
        <w:pStyle w:val="Paragrafoelenco"/>
        <w:numPr>
          <w:ilvl w:val="0"/>
          <w:numId w:val="22"/>
        </w:numPr>
        <w:spacing w:before="120" w:after="120"/>
        <w:rPr>
          <w:rFonts w:ascii="Arial" w:hAnsi="Arial" w:cs="Arial"/>
          <w:sz w:val="18"/>
          <w:szCs w:val="18"/>
        </w:rPr>
      </w:pPr>
      <w:r w:rsidRPr="000D1FAB">
        <w:rPr>
          <w:rFonts w:ascii="Arial" w:hAnsi="Arial" w:cs="Arial"/>
          <w:sz w:val="18"/>
          <w:szCs w:val="18"/>
        </w:rPr>
        <w:t>d/ME_NO = 0,25</w:t>
      </w:r>
      <w:r w:rsidR="00291D09">
        <w:rPr>
          <w:rFonts w:ascii="Arial" w:hAnsi="Arial" w:cs="Arial"/>
          <w:sz w:val="18"/>
          <w:szCs w:val="18"/>
        </w:rPr>
        <w:t>;</w:t>
      </w:r>
    </w:p>
    <w:p w14:paraId="4D73076C" w14:textId="2D953667" w:rsidR="00CE5EE9" w:rsidRPr="00BD30C4" w:rsidRDefault="00CE5EE9" w:rsidP="00CE5EE9">
      <w:pPr>
        <w:pStyle w:val="Paragrafoelenco"/>
        <w:numPr>
          <w:ilvl w:val="0"/>
          <w:numId w:val="22"/>
        </w:numPr>
        <w:spacing w:before="120" w:after="120"/>
        <w:rPr>
          <w:rFonts w:ascii="Arial" w:hAnsi="Arial" w:cs="Arial"/>
          <w:sz w:val="18"/>
          <w:szCs w:val="18"/>
        </w:rPr>
      </w:pPr>
      <w:r w:rsidRPr="00BD30C4">
        <w:rPr>
          <w:rFonts w:ascii="Arial" w:hAnsi="Arial" w:cs="Arial"/>
          <w:sz w:val="18"/>
          <w:szCs w:val="18"/>
        </w:rPr>
        <w:t>d/ME_NO = 0,125</w:t>
      </w:r>
      <w:r w:rsidR="00291D09" w:rsidRPr="00BD30C4">
        <w:rPr>
          <w:rFonts w:ascii="Arial" w:hAnsi="Arial" w:cs="Arial"/>
          <w:sz w:val="18"/>
          <w:szCs w:val="18"/>
        </w:rPr>
        <w:t>.</w:t>
      </w:r>
    </w:p>
    <w:p w14:paraId="29C142A1" w14:textId="0DF22269" w:rsidR="001D6BEE" w:rsidRPr="001D6BEE" w:rsidRDefault="001D6BEE" w:rsidP="001D6BEE">
      <w:pPr>
        <w:shd w:val="clear" w:color="auto" w:fill="FFFFFF"/>
        <w:rPr>
          <w:rFonts w:cs="Arial"/>
        </w:rPr>
      </w:pPr>
      <w:r w:rsidRPr="00BD30C4">
        <w:rPr>
          <w:rFonts w:cs="Arial"/>
        </w:rPr>
        <w:t>The analysis of the results focused mainly on two parameters: influence on distance to LFL (Lower Flammability Limit) and generation of vortices. The former is used to evaluate the maximum extent (ME) reached by the flammable cloud following its interaction with ground/obstacles.</w:t>
      </w:r>
    </w:p>
    <w:p w14:paraId="27921C08" w14:textId="2D2246D8" w:rsidR="00BD073F" w:rsidRPr="000D1FAB" w:rsidRDefault="000D1FAB" w:rsidP="000D1FAB">
      <w:pPr>
        <w:rPr>
          <w:rFonts w:cs="Arial"/>
        </w:rPr>
      </w:pPr>
      <w:r w:rsidRPr="000D1FAB">
        <w:rPr>
          <w:rFonts w:cs="Arial"/>
        </w:rPr>
        <w:t xml:space="preserve">The </w:t>
      </w:r>
      <w:r w:rsidR="00A90C81">
        <w:rPr>
          <w:rFonts w:cs="Arial"/>
        </w:rPr>
        <w:t>latter</w:t>
      </w:r>
      <w:r w:rsidRPr="000D1FAB">
        <w:rPr>
          <w:rFonts w:cs="Arial"/>
        </w:rPr>
        <w:t xml:space="preserve"> serves to further assess the role played by obstacles in influencing the behaviour of the jet, in particular the turbulence associated with the post-impact phases leading to a dilution of the methane concentration, reducing the extent of the jet</w:t>
      </w:r>
      <w:r w:rsidR="00291D09">
        <w:rPr>
          <w:rFonts w:cs="Arial"/>
        </w:rPr>
        <w:t>.</w:t>
      </w:r>
    </w:p>
    <w:p w14:paraId="38F26766" w14:textId="4DDB6E1E" w:rsidR="00BD073F" w:rsidRDefault="00BD073F" w:rsidP="000D1FAB">
      <w:r>
        <w:t xml:space="preserve">Within this work, therefore, 72 simulations were carried out, of which 36 with a single tank and 36 with a pair of tanks; the overall geometry used for the simulations is shown in Table </w:t>
      </w:r>
      <w:r w:rsidR="000104BA">
        <w:t>3</w:t>
      </w:r>
      <w:r>
        <w:t>.</w:t>
      </w:r>
    </w:p>
    <w:p w14:paraId="20307AF2" w14:textId="7DF770BF" w:rsidR="00BD073F" w:rsidRDefault="00742825" w:rsidP="00742825">
      <w:pPr>
        <w:pStyle w:val="CETTabletitle"/>
      </w:pPr>
      <w:r w:rsidRPr="00B57B36">
        <w:t xml:space="preserve">Table </w:t>
      </w:r>
      <w:r w:rsidR="000104BA">
        <w:t>3</w:t>
      </w:r>
      <w:r w:rsidRPr="00B57B36">
        <w:t xml:space="preserve">: </w:t>
      </w:r>
      <w:r>
        <w:t xml:space="preserve">Carried out simulations, </w:t>
      </w:r>
      <w:r w:rsidR="00C3126D">
        <w:t>c</w:t>
      </w:r>
      <w:r>
        <w:t xml:space="preserve">ases differ for </w:t>
      </w:r>
      <w:r w:rsidR="00C3126D">
        <w:t xml:space="preserve">the </w:t>
      </w:r>
      <w:r>
        <w:t>height of</w:t>
      </w:r>
      <w:r w:rsidR="00C3126D">
        <w:t xml:space="preserve"> the</w:t>
      </w:r>
      <w:r>
        <w:t xml:space="preserve"> release point and release set.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31"/>
        <w:gridCol w:w="932"/>
        <w:gridCol w:w="1172"/>
        <w:gridCol w:w="1276"/>
        <w:gridCol w:w="567"/>
        <w:gridCol w:w="851"/>
        <w:gridCol w:w="850"/>
        <w:gridCol w:w="1276"/>
        <w:gridCol w:w="1132"/>
      </w:tblGrid>
      <w:tr w:rsidR="00F71B78" w:rsidRPr="00B57B36" w14:paraId="2BD469FA" w14:textId="2CA5B92A" w:rsidTr="00F71B78">
        <w:tc>
          <w:tcPr>
            <w:tcW w:w="731" w:type="dxa"/>
            <w:tcBorders>
              <w:top w:val="single" w:sz="12" w:space="0" w:color="008000"/>
              <w:bottom w:val="single" w:sz="6" w:space="0" w:color="008000"/>
            </w:tcBorders>
            <w:shd w:val="clear" w:color="auto" w:fill="FFFFFF"/>
          </w:tcPr>
          <w:p w14:paraId="4AADD3CA" w14:textId="77777777" w:rsidR="00F71B78" w:rsidRPr="00B57B36" w:rsidRDefault="00F71B78" w:rsidP="00E80E59">
            <w:pPr>
              <w:pStyle w:val="CETBodytext"/>
              <w:jc w:val="center"/>
              <w:rPr>
                <w:lang w:val="en-GB"/>
              </w:rPr>
            </w:pPr>
            <w:r>
              <w:t>Case</w:t>
            </w:r>
          </w:p>
        </w:tc>
        <w:tc>
          <w:tcPr>
            <w:tcW w:w="932" w:type="dxa"/>
            <w:tcBorders>
              <w:top w:val="single" w:sz="12" w:space="0" w:color="008000"/>
              <w:bottom w:val="single" w:sz="6" w:space="0" w:color="008000"/>
            </w:tcBorders>
            <w:shd w:val="clear" w:color="auto" w:fill="FFFFFF"/>
          </w:tcPr>
          <w:p w14:paraId="09A2BD16" w14:textId="77777777" w:rsidR="00F71B78" w:rsidRDefault="00F71B78" w:rsidP="00E80E59">
            <w:pPr>
              <w:pStyle w:val="CETBodytext"/>
              <w:jc w:val="center"/>
            </w:pPr>
            <w:r>
              <w:t>H [m]</w:t>
            </w:r>
          </w:p>
        </w:tc>
        <w:tc>
          <w:tcPr>
            <w:tcW w:w="1172" w:type="dxa"/>
            <w:tcBorders>
              <w:top w:val="single" w:sz="12" w:space="0" w:color="008000"/>
              <w:bottom w:val="single" w:sz="6" w:space="0" w:color="008000"/>
            </w:tcBorders>
            <w:shd w:val="clear" w:color="auto" w:fill="FFFFFF"/>
          </w:tcPr>
          <w:p w14:paraId="433C9A28" w14:textId="77777777" w:rsidR="00F71B78" w:rsidRPr="00F92748" w:rsidRDefault="00F71B78" w:rsidP="00E80E59">
            <w:pPr>
              <w:pStyle w:val="CETBodytext"/>
              <w:jc w:val="center"/>
            </w:pPr>
            <w:r>
              <w:t>d/ME_NO [-]</w:t>
            </w:r>
          </w:p>
        </w:tc>
        <w:tc>
          <w:tcPr>
            <w:tcW w:w="1276" w:type="dxa"/>
            <w:tcBorders>
              <w:top w:val="single" w:sz="12" w:space="0" w:color="008000"/>
              <w:bottom w:val="single" w:sz="6" w:space="0" w:color="008000"/>
            </w:tcBorders>
            <w:shd w:val="clear" w:color="auto" w:fill="FFFFFF"/>
          </w:tcPr>
          <w:p w14:paraId="06F2CDF8" w14:textId="77777777" w:rsidR="00F71B78" w:rsidRPr="00F92748" w:rsidRDefault="00F71B78" w:rsidP="00E80E59">
            <w:pPr>
              <w:pStyle w:val="CETBodytext"/>
              <w:jc w:val="center"/>
            </w:pPr>
            <w:r>
              <w:t>Release set</w:t>
            </w:r>
          </w:p>
        </w:tc>
        <w:tc>
          <w:tcPr>
            <w:tcW w:w="567" w:type="dxa"/>
            <w:tcBorders>
              <w:top w:val="single" w:sz="12" w:space="0" w:color="008000"/>
              <w:bottom w:val="single" w:sz="6" w:space="0" w:color="008000"/>
            </w:tcBorders>
            <w:shd w:val="clear" w:color="auto" w:fill="FFFFFF"/>
          </w:tcPr>
          <w:p w14:paraId="62076FDF" w14:textId="77777777" w:rsidR="00F71B78" w:rsidRDefault="00F71B78" w:rsidP="00E80E59">
            <w:pPr>
              <w:pStyle w:val="CETBodytext"/>
              <w:jc w:val="center"/>
            </w:pPr>
          </w:p>
        </w:tc>
        <w:tc>
          <w:tcPr>
            <w:tcW w:w="851" w:type="dxa"/>
            <w:tcBorders>
              <w:top w:val="single" w:sz="12" w:space="0" w:color="008000"/>
              <w:bottom w:val="single" w:sz="6" w:space="0" w:color="008000"/>
            </w:tcBorders>
            <w:shd w:val="clear" w:color="auto" w:fill="FFFFFF"/>
          </w:tcPr>
          <w:p w14:paraId="196FA0DC" w14:textId="7C99EA8C" w:rsidR="00F71B78" w:rsidRDefault="00F71B78" w:rsidP="00E80E59">
            <w:pPr>
              <w:pStyle w:val="CETBodytext"/>
              <w:jc w:val="center"/>
            </w:pPr>
            <w:r>
              <w:t>Case</w:t>
            </w:r>
          </w:p>
        </w:tc>
        <w:tc>
          <w:tcPr>
            <w:tcW w:w="850" w:type="dxa"/>
            <w:tcBorders>
              <w:top w:val="single" w:sz="12" w:space="0" w:color="008000"/>
              <w:bottom w:val="single" w:sz="6" w:space="0" w:color="008000"/>
            </w:tcBorders>
            <w:shd w:val="clear" w:color="auto" w:fill="FFFFFF"/>
          </w:tcPr>
          <w:p w14:paraId="2BBB3DEF" w14:textId="13DD41C5" w:rsidR="00F71B78" w:rsidRDefault="00F71B78" w:rsidP="00E80E59">
            <w:pPr>
              <w:pStyle w:val="CETBodytext"/>
              <w:jc w:val="center"/>
            </w:pPr>
            <w:r>
              <w:t>H [m]</w:t>
            </w:r>
          </w:p>
        </w:tc>
        <w:tc>
          <w:tcPr>
            <w:tcW w:w="1276" w:type="dxa"/>
            <w:tcBorders>
              <w:top w:val="single" w:sz="12" w:space="0" w:color="008000"/>
              <w:bottom w:val="single" w:sz="6" w:space="0" w:color="008000"/>
            </w:tcBorders>
            <w:shd w:val="clear" w:color="auto" w:fill="FFFFFF"/>
          </w:tcPr>
          <w:p w14:paraId="20D68FDD" w14:textId="2233E2A2" w:rsidR="00F71B78" w:rsidRDefault="00F71B78" w:rsidP="00E80E59">
            <w:pPr>
              <w:pStyle w:val="CETBodytext"/>
              <w:jc w:val="center"/>
            </w:pPr>
            <w:r>
              <w:t>d/ME_NO [-]</w:t>
            </w:r>
          </w:p>
        </w:tc>
        <w:tc>
          <w:tcPr>
            <w:tcW w:w="1132" w:type="dxa"/>
            <w:tcBorders>
              <w:top w:val="single" w:sz="12" w:space="0" w:color="008000"/>
              <w:bottom w:val="single" w:sz="6" w:space="0" w:color="008000"/>
            </w:tcBorders>
            <w:shd w:val="clear" w:color="auto" w:fill="FFFFFF"/>
          </w:tcPr>
          <w:p w14:paraId="6CBD4809" w14:textId="077A3986" w:rsidR="00F71B78" w:rsidRDefault="00F71B78" w:rsidP="00E80E59">
            <w:pPr>
              <w:pStyle w:val="CETBodytext"/>
              <w:jc w:val="center"/>
            </w:pPr>
            <w:r>
              <w:t>Release set</w:t>
            </w:r>
          </w:p>
        </w:tc>
      </w:tr>
      <w:tr w:rsidR="00C6344F" w:rsidRPr="00B57B36" w14:paraId="7B39CAE5" w14:textId="77777777" w:rsidTr="00427E25">
        <w:tc>
          <w:tcPr>
            <w:tcW w:w="731" w:type="dxa"/>
            <w:vMerge w:val="restart"/>
            <w:tcBorders>
              <w:top w:val="single" w:sz="12" w:space="0" w:color="008000"/>
            </w:tcBorders>
            <w:shd w:val="clear" w:color="auto" w:fill="FFFFFF"/>
            <w:vAlign w:val="center"/>
          </w:tcPr>
          <w:p w14:paraId="796E2AAC" w14:textId="55C2B78B" w:rsidR="00C6344F" w:rsidRDefault="00C6344F" w:rsidP="00C6344F">
            <w:pPr>
              <w:pStyle w:val="CETBodytext"/>
              <w:jc w:val="center"/>
            </w:pPr>
            <w:r>
              <w:rPr>
                <w:lang w:val="en-GB"/>
              </w:rPr>
              <w:t>a</w:t>
            </w:r>
          </w:p>
        </w:tc>
        <w:tc>
          <w:tcPr>
            <w:tcW w:w="932" w:type="dxa"/>
            <w:tcBorders>
              <w:top w:val="single" w:sz="12" w:space="0" w:color="008000"/>
              <w:bottom w:val="single" w:sz="6" w:space="0" w:color="008000"/>
            </w:tcBorders>
            <w:shd w:val="clear" w:color="auto" w:fill="FFFFFF"/>
          </w:tcPr>
          <w:p w14:paraId="12680924" w14:textId="2A08230B"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3C3358E9" w14:textId="153524C8" w:rsidR="00C6344F" w:rsidRDefault="00C6344F" w:rsidP="00C6344F">
            <w:pPr>
              <w:pStyle w:val="CETBodytext"/>
              <w:jc w:val="center"/>
            </w:pPr>
            <w:r>
              <w:rPr>
                <w:lang w:val="en-GB"/>
              </w:rPr>
              <w:t>0,75</w:t>
            </w:r>
          </w:p>
        </w:tc>
        <w:tc>
          <w:tcPr>
            <w:tcW w:w="1276" w:type="dxa"/>
            <w:tcBorders>
              <w:top w:val="single" w:sz="12" w:space="0" w:color="008000"/>
              <w:bottom w:val="single" w:sz="6" w:space="0" w:color="008000"/>
            </w:tcBorders>
            <w:shd w:val="clear" w:color="auto" w:fill="FFFFFF"/>
          </w:tcPr>
          <w:p w14:paraId="18E6AA47" w14:textId="32D0C095"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641F3225" w14:textId="77777777" w:rsidR="00C6344F" w:rsidRDefault="00C6344F" w:rsidP="00C6344F">
            <w:pPr>
              <w:pStyle w:val="CETBodytext"/>
              <w:jc w:val="center"/>
            </w:pPr>
          </w:p>
        </w:tc>
        <w:tc>
          <w:tcPr>
            <w:tcW w:w="851" w:type="dxa"/>
            <w:vMerge w:val="restart"/>
            <w:tcBorders>
              <w:top w:val="single" w:sz="12" w:space="0" w:color="008000"/>
            </w:tcBorders>
            <w:shd w:val="clear" w:color="auto" w:fill="FFFFFF"/>
            <w:vAlign w:val="center"/>
          </w:tcPr>
          <w:p w14:paraId="1BD392CE" w14:textId="1B5F4AB3" w:rsidR="00C6344F" w:rsidRDefault="00C6344F" w:rsidP="00C6344F">
            <w:pPr>
              <w:pStyle w:val="CETBodytext"/>
              <w:jc w:val="center"/>
            </w:pPr>
            <w:r>
              <w:t>f</w:t>
            </w:r>
          </w:p>
        </w:tc>
        <w:tc>
          <w:tcPr>
            <w:tcW w:w="850" w:type="dxa"/>
            <w:tcBorders>
              <w:top w:val="single" w:sz="12" w:space="0" w:color="008000"/>
              <w:bottom w:val="single" w:sz="6" w:space="0" w:color="008000"/>
            </w:tcBorders>
            <w:shd w:val="clear" w:color="auto" w:fill="FFFFFF"/>
          </w:tcPr>
          <w:p w14:paraId="1EB3A8C1" w14:textId="134A8112" w:rsidR="00C6344F" w:rsidRDefault="00C6344F" w:rsidP="00C6344F">
            <w:pPr>
              <w:pStyle w:val="CETBodytext"/>
              <w:jc w:val="center"/>
            </w:pPr>
            <w:r>
              <w:rPr>
                <w:lang w:val="en-GB"/>
              </w:rPr>
              <w:t>1,2</w:t>
            </w:r>
          </w:p>
        </w:tc>
        <w:tc>
          <w:tcPr>
            <w:tcW w:w="1276" w:type="dxa"/>
            <w:tcBorders>
              <w:top w:val="single" w:sz="12" w:space="0" w:color="008000"/>
              <w:bottom w:val="single" w:sz="6" w:space="0" w:color="008000"/>
            </w:tcBorders>
            <w:shd w:val="clear" w:color="auto" w:fill="FFFFFF"/>
          </w:tcPr>
          <w:p w14:paraId="6D5DA544" w14:textId="2AE3EB0E" w:rsidR="00C6344F" w:rsidRDefault="00C6344F" w:rsidP="00C6344F">
            <w:pPr>
              <w:pStyle w:val="CETBodytext"/>
              <w:jc w:val="center"/>
            </w:pPr>
            <w:r>
              <w:rPr>
                <w:lang w:val="en-GB"/>
              </w:rPr>
              <w:t>0,75</w:t>
            </w:r>
          </w:p>
        </w:tc>
        <w:tc>
          <w:tcPr>
            <w:tcW w:w="1132" w:type="dxa"/>
            <w:tcBorders>
              <w:top w:val="single" w:sz="12" w:space="0" w:color="008000"/>
              <w:bottom w:val="single" w:sz="6" w:space="0" w:color="008000"/>
            </w:tcBorders>
            <w:shd w:val="clear" w:color="auto" w:fill="FFFFFF"/>
          </w:tcPr>
          <w:p w14:paraId="3C9A0189" w14:textId="39C7AFF6" w:rsidR="00C6344F" w:rsidRDefault="00C6344F" w:rsidP="00C6344F">
            <w:pPr>
              <w:pStyle w:val="CETBodytext"/>
              <w:jc w:val="center"/>
            </w:pPr>
            <w:r>
              <w:rPr>
                <w:lang w:val="en-GB"/>
              </w:rPr>
              <w:t>Set 2</w:t>
            </w:r>
          </w:p>
        </w:tc>
      </w:tr>
      <w:tr w:rsidR="00C6344F" w:rsidRPr="00B57B36" w14:paraId="3CD2B334" w14:textId="77777777" w:rsidTr="00791838">
        <w:tc>
          <w:tcPr>
            <w:tcW w:w="731" w:type="dxa"/>
            <w:vMerge/>
            <w:shd w:val="clear" w:color="auto" w:fill="FFFFFF"/>
          </w:tcPr>
          <w:p w14:paraId="17ECCD9F"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72991C1C" w14:textId="0D78E940"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76D845B8" w14:textId="7298FCE9" w:rsidR="00C6344F" w:rsidRDefault="00C6344F" w:rsidP="00C6344F">
            <w:pPr>
              <w:pStyle w:val="CETBodytext"/>
              <w:jc w:val="center"/>
            </w:pPr>
            <w:r>
              <w:rPr>
                <w:lang w:val="en-GB"/>
              </w:rPr>
              <w:t>0,5</w:t>
            </w:r>
          </w:p>
        </w:tc>
        <w:tc>
          <w:tcPr>
            <w:tcW w:w="1276" w:type="dxa"/>
            <w:tcBorders>
              <w:top w:val="single" w:sz="12" w:space="0" w:color="008000"/>
              <w:bottom w:val="single" w:sz="6" w:space="0" w:color="008000"/>
            </w:tcBorders>
            <w:shd w:val="clear" w:color="auto" w:fill="FFFFFF"/>
          </w:tcPr>
          <w:p w14:paraId="61F7A53E" w14:textId="722B6D7A"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748B3009" w14:textId="77777777" w:rsidR="00C6344F" w:rsidRDefault="00C6344F" w:rsidP="00C6344F">
            <w:pPr>
              <w:pStyle w:val="CETBodytext"/>
              <w:jc w:val="center"/>
            </w:pPr>
          </w:p>
        </w:tc>
        <w:tc>
          <w:tcPr>
            <w:tcW w:w="851" w:type="dxa"/>
            <w:vMerge/>
            <w:shd w:val="clear" w:color="auto" w:fill="FFFFFF"/>
          </w:tcPr>
          <w:p w14:paraId="1ABEB46B"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211C3D1F" w14:textId="1EE49DDC"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53619658" w14:textId="19514FBA" w:rsidR="00C6344F" w:rsidRDefault="00C6344F" w:rsidP="00C6344F">
            <w:pPr>
              <w:pStyle w:val="CETBodytext"/>
              <w:jc w:val="center"/>
            </w:pPr>
            <w:r>
              <w:rPr>
                <w:lang w:val="en-GB"/>
              </w:rPr>
              <w:t>0,5</w:t>
            </w:r>
          </w:p>
        </w:tc>
        <w:tc>
          <w:tcPr>
            <w:tcW w:w="1132" w:type="dxa"/>
            <w:tcBorders>
              <w:top w:val="single" w:sz="12" w:space="0" w:color="008000"/>
              <w:bottom w:val="single" w:sz="6" w:space="0" w:color="008000"/>
            </w:tcBorders>
            <w:shd w:val="clear" w:color="auto" w:fill="FFFFFF"/>
          </w:tcPr>
          <w:p w14:paraId="61D17DC4" w14:textId="3760CF67" w:rsidR="00C6344F" w:rsidRDefault="00C6344F" w:rsidP="00C6344F">
            <w:pPr>
              <w:pStyle w:val="CETBodytext"/>
              <w:jc w:val="center"/>
            </w:pPr>
            <w:r>
              <w:rPr>
                <w:lang w:val="en-GB"/>
              </w:rPr>
              <w:t>Set 2</w:t>
            </w:r>
          </w:p>
        </w:tc>
      </w:tr>
      <w:tr w:rsidR="00C6344F" w:rsidRPr="00B57B36" w14:paraId="4772108F" w14:textId="77777777" w:rsidTr="00791838">
        <w:tc>
          <w:tcPr>
            <w:tcW w:w="731" w:type="dxa"/>
            <w:vMerge/>
            <w:shd w:val="clear" w:color="auto" w:fill="FFFFFF"/>
          </w:tcPr>
          <w:p w14:paraId="13E71400"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22F708B6" w14:textId="0713E4D3"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7A15F73E" w14:textId="213E1DBD" w:rsidR="00C6344F" w:rsidRDefault="00C6344F" w:rsidP="00C6344F">
            <w:pPr>
              <w:pStyle w:val="CETBodytext"/>
              <w:jc w:val="center"/>
            </w:pPr>
            <w:r>
              <w:rPr>
                <w:lang w:val="en-GB"/>
              </w:rPr>
              <w:t>0,25</w:t>
            </w:r>
          </w:p>
        </w:tc>
        <w:tc>
          <w:tcPr>
            <w:tcW w:w="1276" w:type="dxa"/>
            <w:tcBorders>
              <w:top w:val="single" w:sz="12" w:space="0" w:color="008000"/>
              <w:bottom w:val="single" w:sz="6" w:space="0" w:color="008000"/>
            </w:tcBorders>
            <w:shd w:val="clear" w:color="auto" w:fill="FFFFFF"/>
          </w:tcPr>
          <w:p w14:paraId="37BB1084" w14:textId="6707A024"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1E756FB2" w14:textId="77777777" w:rsidR="00C6344F" w:rsidRDefault="00C6344F" w:rsidP="00C6344F">
            <w:pPr>
              <w:pStyle w:val="CETBodytext"/>
              <w:jc w:val="center"/>
            </w:pPr>
          </w:p>
        </w:tc>
        <w:tc>
          <w:tcPr>
            <w:tcW w:w="851" w:type="dxa"/>
            <w:vMerge/>
            <w:shd w:val="clear" w:color="auto" w:fill="FFFFFF"/>
          </w:tcPr>
          <w:p w14:paraId="1A4ACE0B"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42CF2F52" w14:textId="710A015E"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215746E4" w14:textId="35D9BD2B" w:rsidR="00C6344F" w:rsidRDefault="00C6344F" w:rsidP="00C6344F">
            <w:pPr>
              <w:pStyle w:val="CETBodytext"/>
              <w:jc w:val="center"/>
            </w:pPr>
            <w:r>
              <w:rPr>
                <w:lang w:val="en-GB"/>
              </w:rPr>
              <w:t>0,25</w:t>
            </w:r>
          </w:p>
        </w:tc>
        <w:tc>
          <w:tcPr>
            <w:tcW w:w="1132" w:type="dxa"/>
            <w:tcBorders>
              <w:top w:val="single" w:sz="12" w:space="0" w:color="008000"/>
              <w:bottom w:val="single" w:sz="6" w:space="0" w:color="008000"/>
            </w:tcBorders>
            <w:shd w:val="clear" w:color="auto" w:fill="FFFFFF"/>
          </w:tcPr>
          <w:p w14:paraId="2C475419" w14:textId="0A3FB637" w:rsidR="00C6344F" w:rsidRDefault="00C6344F" w:rsidP="00C6344F">
            <w:pPr>
              <w:pStyle w:val="CETBodytext"/>
              <w:jc w:val="center"/>
            </w:pPr>
            <w:r>
              <w:rPr>
                <w:lang w:val="en-GB"/>
              </w:rPr>
              <w:t>Set 2</w:t>
            </w:r>
          </w:p>
        </w:tc>
      </w:tr>
      <w:tr w:rsidR="00C6344F" w:rsidRPr="00B57B36" w14:paraId="28E32FE8" w14:textId="77777777" w:rsidTr="00791838">
        <w:tc>
          <w:tcPr>
            <w:tcW w:w="731" w:type="dxa"/>
            <w:vMerge/>
            <w:tcBorders>
              <w:bottom w:val="single" w:sz="6" w:space="0" w:color="008000"/>
            </w:tcBorders>
            <w:shd w:val="clear" w:color="auto" w:fill="FFFFFF"/>
          </w:tcPr>
          <w:p w14:paraId="3C0EC613"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1DD19A73" w14:textId="2A978608"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0D1EF590" w14:textId="11FDAB8A" w:rsidR="00C6344F" w:rsidRDefault="00C6344F" w:rsidP="00C6344F">
            <w:pPr>
              <w:pStyle w:val="CETBodytext"/>
              <w:jc w:val="center"/>
            </w:pPr>
            <w:r>
              <w:rPr>
                <w:lang w:val="en-GB"/>
              </w:rPr>
              <w:t>0,125</w:t>
            </w:r>
          </w:p>
        </w:tc>
        <w:tc>
          <w:tcPr>
            <w:tcW w:w="1276" w:type="dxa"/>
            <w:tcBorders>
              <w:top w:val="single" w:sz="12" w:space="0" w:color="008000"/>
              <w:bottom w:val="single" w:sz="6" w:space="0" w:color="008000"/>
            </w:tcBorders>
            <w:shd w:val="clear" w:color="auto" w:fill="FFFFFF"/>
          </w:tcPr>
          <w:p w14:paraId="77BF493C" w14:textId="66963808"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00697E48" w14:textId="77777777" w:rsidR="00C6344F" w:rsidRDefault="00C6344F" w:rsidP="00C6344F">
            <w:pPr>
              <w:pStyle w:val="CETBodytext"/>
              <w:jc w:val="center"/>
            </w:pPr>
          </w:p>
        </w:tc>
        <w:tc>
          <w:tcPr>
            <w:tcW w:w="851" w:type="dxa"/>
            <w:vMerge/>
            <w:tcBorders>
              <w:bottom w:val="single" w:sz="6" w:space="0" w:color="008000"/>
            </w:tcBorders>
            <w:shd w:val="clear" w:color="auto" w:fill="FFFFFF"/>
          </w:tcPr>
          <w:p w14:paraId="6A1E50D1"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280F58C4" w14:textId="59858F9E"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6FCD1C36" w14:textId="113ACEEB" w:rsidR="00C6344F" w:rsidRDefault="00C6344F" w:rsidP="00C6344F">
            <w:pPr>
              <w:pStyle w:val="CETBodytext"/>
              <w:jc w:val="center"/>
            </w:pPr>
            <w:r>
              <w:rPr>
                <w:lang w:val="en-GB"/>
              </w:rPr>
              <w:t>0,125</w:t>
            </w:r>
          </w:p>
        </w:tc>
        <w:tc>
          <w:tcPr>
            <w:tcW w:w="1132" w:type="dxa"/>
            <w:tcBorders>
              <w:top w:val="single" w:sz="12" w:space="0" w:color="008000"/>
              <w:bottom w:val="single" w:sz="6" w:space="0" w:color="008000"/>
            </w:tcBorders>
            <w:shd w:val="clear" w:color="auto" w:fill="FFFFFF"/>
          </w:tcPr>
          <w:p w14:paraId="2AC0289F" w14:textId="6D4868A6" w:rsidR="00C6344F" w:rsidRDefault="00C6344F" w:rsidP="00C6344F">
            <w:pPr>
              <w:pStyle w:val="CETBodytext"/>
              <w:jc w:val="center"/>
            </w:pPr>
            <w:r>
              <w:rPr>
                <w:lang w:val="en-GB"/>
              </w:rPr>
              <w:t>Set 2</w:t>
            </w:r>
          </w:p>
        </w:tc>
      </w:tr>
      <w:tr w:rsidR="00C6344F" w:rsidRPr="00B57B36" w14:paraId="5EBFEC3A" w14:textId="77777777" w:rsidTr="00427E25">
        <w:tc>
          <w:tcPr>
            <w:tcW w:w="731" w:type="dxa"/>
            <w:vMerge w:val="restart"/>
            <w:tcBorders>
              <w:top w:val="single" w:sz="12" w:space="0" w:color="008000"/>
            </w:tcBorders>
            <w:shd w:val="clear" w:color="auto" w:fill="FFFFFF"/>
            <w:vAlign w:val="center"/>
          </w:tcPr>
          <w:p w14:paraId="65C7F42C" w14:textId="3861CB97" w:rsidR="00C6344F" w:rsidRDefault="00C6344F" w:rsidP="00C6344F">
            <w:pPr>
              <w:pStyle w:val="CETBodytext"/>
              <w:jc w:val="center"/>
            </w:pPr>
            <w:r>
              <w:t>b</w:t>
            </w:r>
          </w:p>
        </w:tc>
        <w:tc>
          <w:tcPr>
            <w:tcW w:w="932" w:type="dxa"/>
            <w:tcBorders>
              <w:top w:val="single" w:sz="12" w:space="0" w:color="008000"/>
              <w:bottom w:val="single" w:sz="6" w:space="0" w:color="008000"/>
            </w:tcBorders>
            <w:shd w:val="clear" w:color="auto" w:fill="FFFFFF"/>
          </w:tcPr>
          <w:p w14:paraId="42EF2915" w14:textId="56FF4AA6" w:rsidR="00C6344F" w:rsidRDefault="00C6344F" w:rsidP="00C6344F">
            <w:pPr>
              <w:pStyle w:val="CETBodytext"/>
              <w:jc w:val="center"/>
            </w:pPr>
            <w:r>
              <w:rPr>
                <w:lang w:val="en-GB"/>
              </w:rPr>
              <w:t>1,5</w:t>
            </w:r>
          </w:p>
        </w:tc>
        <w:tc>
          <w:tcPr>
            <w:tcW w:w="1172" w:type="dxa"/>
            <w:tcBorders>
              <w:top w:val="single" w:sz="12" w:space="0" w:color="008000"/>
              <w:bottom w:val="single" w:sz="6" w:space="0" w:color="008000"/>
            </w:tcBorders>
            <w:shd w:val="clear" w:color="auto" w:fill="FFFFFF"/>
          </w:tcPr>
          <w:p w14:paraId="6C07D016" w14:textId="15FB6214" w:rsidR="00C6344F" w:rsidRDefault="00C6344F" w:rsidP="00C6344F">
            <w:pPr>
              <w:pStyle w:val="CETBodytext"/>
              <w:jc w:val="center"/>
            </w:pPr>
            <w:r>
              <w:rPr>
                <w:lang w:val="en-GB"/>
              </w:rPr>
              <w:t>0,75</w:t>
            </w:r>
          </w:p>
        </w:tc>
        <w:tc>
          <w:tcPr>
            <w:tcW w:w="1276" w:type="dxa"/>
            <w:tcBorders>
              <w:top w:val="single" w:sz="12" w:space="0" w:color="008000"/>
              <w:bottom w:val="single" w:sz="6" w:space="0" w:color="008000"/>
            </w:tcBorders>
            <w:shd w:val="clear" w:color="auto" w:fill="FFFFFF"/>
          </w:tcPr>
          <w:p w14:paraId="02C6C472" w14:textId="67EE6205"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1E6B04FC" w14:textId="77777777" w:rsidR="00C6344F" w:rsidRDefault="00C6344F" w:rsidP="00C6344F">
            <w:pPr>
              <w:pStyle w:val="CETBodytext"/>
              <w:jc w:val="center"/>
            </w:pPr>
          </w:p>
        </w:tc>
        <w:tc>
          <w:tcPr>
            <w:tcW w:w="851" w:type="dxa"/>
            <w:vMerge w:val="restart"/>
            <w:tcBorders>
              <w:top w:val="single" w:sz="12" w:space="0" w:color="008000"/>
            </w:tcBorders>
            <w:shd w:val="clear" w:color="auto" w:fill="FFFFFF"/>
            <w:vAlign w:val="center"/>
          </w:tcPr>
          <w:p w14:paraId="0AAAFA8A" w14:textId="6662510C" w:rsidR="00C6344F" w:rsidRDefault="00C6344F" w:rsidP="00C6344F">
            <w:pPr>
              <w:pStyle w:val="CETBodytext"/>
              <w:jc w:val="center"/>
            </w:pPr>
            <w:r>
              <w:t>g</w:t>
            </w:r>
          </w:p>
        </w:tc>
        <w:tc>
          <w:tcPr>
            <w:tcW w:w="850" w:type="dxa"/>
            <w:tcBorders>
              <w:top w:val="single" w:sz="12" w:space="0" w:color="008000"/>
              <w:bottom w:val="single" w:sz="6" w:space="0" w:color="008000"/>
            </w:tcBorders>
            <w:shd w:val="clear" w:color="auto" w:fill="FFFFFF"/>
          </w:tcPr>
          <w:p w14:paraId="5C5A3315" w14:textId="699C14A9" w:rsidR="00C6344F" w:rsidRDefault="00C6344F" w:rsidP="00C6344F">
            <w:pPr>
              <w:pStyle w:val="CETBodytext"/>
              <w:jc w:val="center"/>
            </w:pPr>
            <w:r>
              <w:rPr>
                <w:lang w:val="en-GB"/>
              </w:rPr>
              <w:t>2</w:t>
            </w:r>
          </w:p>
        </w:tc>
        <w:tc>
          <w:tcPr>
            <w:tcW w:w="1276" w:type="dxa"/>
            <w:tcBorders>
              <w:top w:val="single" w:sz="12" w:space="0" w:color="008000"/>
              <w:bottom w:val="single" w:sz="6" w:space="0" w:color="008000"/>
            </w:tcBorders>
            <w:shd w:val="clear" w:color="auto" w:fill="FFFFFF"/>
          </w:tcPr>
          <w:p w14:paraId="0B669A41" w14:textId="393ECAF0" w:rsidR="00C6344F" w:rsidRDefault="00C6344F" w:rsidP="00C6344F">
            <w:pPr>
              <w:pStyle w:val="CETBodytext"/>
              <w:jc w:val="center"/>
            </w:pPr>
            <w:r>
              <w:rPr>
                <w:lang w:val="en-GB"/>
              </w:rPr>
              <w:t>0,75</w:t>
            </w:r>
          </w:p>
        </w:tc>
        <w:tc>
          <w:tcPr>
            <w:tcW w:w="1132" w:type="dxa"/>
            <w:tcBorders>
              <w:top w:val="single" w:sz="12" w:space="0" w:color="008000"/>
              <w:bottom w:val="single" w:sz="6" w:space="0" w:color="008000"/>
            </w:tcBorders>
            <w:shd w:val="clear" w:color="auto" w:fill="FFFFFF"/>
          </w:tcPr>
          <w:p w14:paraId="7A38591F" w14:textId="6D54E7FB" w:rsidR="00C6344F" w:rsidRDefault="00C6344F" w:rsidP="00C6344F">
            <w:pPr>
              <w:pStyle w:val="CETBodytext"/>
              <w:jc w:val="center"/>
            </w:pPr>
            <w:r>
              <w:rPr>
                <w:lang w:val="en-GB"/>
              </w:rPr>
              <w:t>Set 3</w:t>
            </w:r>
          </w:p>
        </w:tc>
      </w:tr>
      <w:tr w:rsidR="00C6344F" w:rsidRPr="00B57B36" w14:paraId="36D6ADEA" w14:textId="77777777" w:rsidTr="00C04E6E">
        <w:tc>
          <w:tcPr>
            <w:tcW w:w="731" w:type="dxa"/>
            <w:vMerge/>
            <w:shd w:val="clear" w:color="auto" w:fill="FFFFFF"/>
          </w:tcPr>
          <w:p w14:paraId="0AD49ED6"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19DE3244" w14:textId="6D1B9E69" w:rsidR="00C6344F" w:rsidRDefault="00C6344F" w:rsidP="00C6344F">
            <w:pPr>
              <w:pStyle w:val="CETBodytext"/>
              <w:jc w:val="center"/>
            </w:pPr>
            <w:r w:rsidRPr="002D1368">
              <w:rPr>
                <w:lang w:val="en-GB"/>
              </w:rPr>
              <w:t>1,5</w:t>
            </w:r>
          </w:p>
        </w:tc>
        <w:tc>
          <w:tcPr>
            <w:tcW w:w="1172" w:type="dxa"/>
            <w:tcBorders>
              <w:top w:val="single" w:sz="12" w:space="0" w:color="008000"/>
              <w:bottom w:val="single" w:sz="6" w:space="0" w:color="008000"/>
            </w:tcBorders>
            <w:shd w:val="clear" w:color="auto" w:fill="FFFFFF"/>
          </w:tcPr>
          <w:p w14:paraId="7C3B08DB" w14:textId="2C768D01" w:rsidR="00C6344F" w:rsidRDefault="00C6344F" w:rsidP="00C6344F">
            <w:pPr>
              <w:pStyle w:val="CETBodytext"/>
              <w:jc w:val="center"/>
            </w:pPr>
            <w:r>
              <w:rPr>
                <w:lang w:val="en-GB"/>
              </w:rPr>
              <w:t>0,5</w:t>
            </w:r>
          </w:p>
        </w:tc>
        <w:tc>
          <w:tcPr>
            <w:tcW w:w="1276" w:type="dxa"/>
            <w:tcBorders>
              <w:top w:val="single" w:sz="12" w:space="0" w:color="008000"/>
              <w:bottom w:val="single" w:sz="6" w:space="0" w:color="008000"/>
            </w:tcBorders>
            <w:shd w:val="clear" w:color="auto" w:fill="FFFFFF"/>
          </w:tcPr>
          <w:p w14:paraId="7FCFB590" w14:textId="5B0C24E5"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5E7546D4" w14:textId="77777777" w:rsidR="00C6344F" w:rsidRDefault="00C6344F" w:rsidP="00C6344F">
            <w:pPr>
              <w:pStyle w:val="CETBodytext"/>
              <w:jc w:val="center"/>
            </w:pPr>
          </w:p>
        </w:tc>
        <w:tc>
          <w:tcPr>
            <w:tcW w:w="851" w:type="dxa"/>
            <w:vMerge/>
            <w:shd w:val="clear" w:color="auto" w:fill="FFFFFF"/>
          </w:tcPr>
          <w:p w14:paraId="542B140C"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13ACF2D1" w14:textId="73031B01" w:rsidR="00C6344F" w:rsidRDefault="00C6344F" w:rsidP="00C6344F">
            <w:pPr>
              <w:pStyle w:val="CETBodytext"/>
              <w:jc w:val="center"/>
            </w:pPr>
            <w:r>
              <w:rPr>
                <w:lang w:val="en-GB"/>
              </w:rPr>
              <w:t>2</w:t>
            </w:r>
          </w:p>
        </w:tc>
        <w:tc>
          <w:tcPr>
            <w:tcW w:w="1276" w:type="dxa"/>
            <w:tcBorders>
              <w:top w:val="single" w:sz="12" w:space="0" w:color="008000"/>
              <w:bottom w:val="single" w:sz="6" w:space="0" w:color="008000"/>
            </w:tcBorders>
            <w:shd w:val="clear" w:color="auto" w:fill="FFFFFF"/>
          </w:tcPr>
          <w:p w14:paraId="6CEC0953" w14:textId="592FF2B8" w:rsidR="00C6344F" w:rsidRDefault="00C6344F" w:rsidP="00C6344F">
            <w:pPr>
              <w:pStyle w:val="CETBodytext"/>
              <w:jc w:val="center"/>
            </w:pPr>
            <w:r>
              <w:rPr>
                <w:lang w:val="en-GB"/>
              </w:rPr>
              <w:t>0,5</w:t>
            </w:r>
          </w:p>
        </w:tc>
        <w:tc>
          <w:tcPr>
            <w:tcW w:w="1132" w:type="dxa"/>
            <w:tcBorders>
              <w:top w:val="single" w:sz="12" w:space="0" w:color="008000"/>
              <w:bottom w:val="single" w:sz="6" w:space="0" w:color="008000"/>
            </w:tcBorders>
            <w:shd w:val="clear" w:color="auto" w:fill="FFFFFF"/>
          </w:tcPr>
          <w:p w14:paraId="362EA758" w14:textId="382092BB" w:rsidR="00C6344F" w:rsidRDefault="00C6344F" w:rsidP="00C6344F">
            <w:pPr>
              <w:pStyle w:val="CETBodytext"/>
              <w:jc w:val="center"/>
            </w:pPr>
            <w:r>
              <w:rPr>
                <w:lang w:val="en-GB"/>
              </w:rPr>
              <w:t>Set 3</w:t>
            </w:r>
          </w:p>
        </w:tc>
      </w:tr>
      <w:tr w:rsidR="00C6344F" w:rsidRPr="00B57B36" w14:paraId="4BF9A172" w14:textId="77777777" w:rsidTr="00C04E6E">
        <w:tc>
          <w:tcPr>
            <w:tcW w:w="731" w:type="dxa"/>
            <w:vMerge/>
            <w:shd w:val="clear" w:color="auto" w:fill="FFFFFF"/>
          </w:tcPr>
          <w:p w14:paraId="18808341"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153802B2" w14:textId="2765F1EA" w:rsidR="00C6344F" w:rsidRDefault="00C6344F" w:rsidP="00C6344F">
            <w:pPr>
              <w:pStyle w:val="CETBodytext"/>
              <w:jc w:val="center"/>
            </w:pPr>
            <w:r w:rsidRPr="002D1368">
              <w:rPr>
                <w:lang w:val="en-GB"/>
              </w:rPr>
              <w:t>1,5</w:t>
            </w:r>
          </w:p>
        </w:tc>
        <w:tc>
          <w:tcPr>
            <w:tcW w:w="1172" w:type="dxa"/>
            <w:tcBorders>
              <w:top w:val="single" w:sz="12" w:space="0" w:color="008000"/>
              <w:bottom w:val="single" w:sz="6" w:space="0" w:color="008000"/>
            </w:tcBorders>
            <w:shd w:val="clear" w:color="auto" w:fill="FFFFFF"/>
          </w:tcPr>
          <w:p w14:paraId="20CC3557" w14:textId="4DEAC255" w:rsidR="00C6344F" w:rsidRDefault="00C6344F" w:rsidP="00C6344F">
            <w:pPr>
              <w:pStyle w:val="CETBodytext"/>
              <w:jc w:val="center"/>
            </w:pPr>
            <w:r>
              <w:rPr>
                <w:lang w:val="en-GB"/>
              </w:rPr>
              <w:t>0,25</w:t>
            </w:r>
          </w:p>
        </w:tc>
        <w:tc>
          <w:tcPr>
            <w:tcW w:w="1276" w:type="dxa"/>
            <w:tcBorders>
              <w:top w:val="single" w:sz="12" w:space="0" w:color="008000"/>
              <w:bottom w:val="single" w:sz="6" w:space="0" w:color="008000"/>
            </w:tcBorders>
            <w:shd w:val="clear" w:color="auto" w:fill="FFFFFF"/>
          </w:tcPr>
          <w:p w14:paraId="552719CE" w14:textId="422E12D1"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5815CD73" w14:textId="77777777" w:rsidR="00C6344F" w:rsidRDefault="00C6344F" w:rsidP="00C6344F">
            <w:pPr>
              <w:pStyle w:val="CETBodytext"/>
              <w:jc w:val="center"/>
            </w:pPr>
          </w:p>
        </w:tc>
        <w:tc>
          <w:tcPr>
            <w:tcW w:w="851" w:type="dxa"/>
            <w:vMerge/>
            <w:shd w:val="clear" w:color="auto" w:fill="FFFFFF"/>
          </w:tcPr>
          <w:p w14:paraId="577797E8"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220B8509" w14:textId="728690BF" w:rsidR="00C6344F" w:rsidRDefault="00C6344F" w:rsidP="00C6344F">
            <w:pPr>
              <w:pStyle w:val="CETBodytext"/>
              <w:jc w:val="center"/>
            </w:pPr>
            <w:r>
              <w:rPr>
                <w:lang w:val="en-GB"/>
              </w:rPr>
              <w:t>2</w:t>
            </w:r>
          </w:p>
        </w:tc>
        <w:tc>
          <w:tcPr>
            <w:tcW w:w="1276" w:type="dxa"/>
            <w:tcBorders>
              <w:top w:val="single" w:sz="12" w:space="0" w:color="008000"/>
              <w:bottom w:val="single" w:sz="6" w:space="0" w:color="008000"/>
            </w:tcBorders>
            <w:shd w:val="clear" w:color="auto" w:fill="FFFFFF"/>
          </w:tcPr>
          <w:p w14:paraId="2EFB775F" w14:textId="2F6BD19E" w:rsidR="00C6344F" w:rsidRDefault="00C6344F" w:rsidP="00C6344F">
            <w:pPr>
              <w:pStyle w:val="CETBodytext"/>
              <w:jc w:val="center"/>
            </w:pPr>
            <w:r>
              <w:rPr>
                <w:lang w:val="en-GB"/>
              </w:rPr>
              <w:t>0,25</w:t>
            </w:r>
          </w:p>
        </w:tc>
        <w:tc>
          <w:tcPr>
            <w:tcW w:w="1132" w:type="dxa"/>
            <w:tcBorders>
              <w:top w:val="single" w:sz="12" w:space="0" w:color="008000"/>
              <w:bottom w:val="single" w:sz="6" w:space="0" w:color="008000"/>
            </w:tcBorders>
            <w:shd w:val="clear" w:color="auto" w:fill="FFFFFF"/>
          </w:tcPr>
          <w:p w14:paraId="001F4DD5" w14:textId="170F705F" w:rsidR="00C6344F" w:rsidRDefault="00C6344F" w:rsidP="00C6344F">
            <w:pPr>
              <w:pStyle w:val="CETBodytext"/>
              <w:jc w:val="center"/>
            </w:pPr>
            <w:r>
              <w:rPr>
                <w:lang w:val="en-GB"/>
              </w:rPr>
              <w:t>Set 3</w:t>
            </w:r>
          </w:p>
        </w:tc>
      </w:tr>
      <w:tr w:rsidR="00C6344F" w:rsidRPr="00B57B36" w14:paraId="1977D13D" w14:textId="77777777" w:rsidTr="00C04E6E">
        <w:tc>
          <w:tcPr>
            <w:tcW w:w="731" w:type="dxa"/>
            <w:vMerge/>
            <w:tcBorders>
              <w:bottom w:val="single" w:sz="6" w:space="0" w:color="008000"/>
            </w:tcBorders>
            <w:shd w:val="clear" w:color="auto" w:fill="FFFFFF"/>
          </w:tcPr>
          <w:p w14:paraId="7CD06FD2"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635EBC0E" w14:textId="14B0E667" w:rsidR="00C6344F" w:rsidRDefault="00C6344F" w:rsidP="00C6344F">
            <w:pPr>
              <w:pStyle w:val="CETBodytext"/>
              <w:jc w:val="center"/>
            </w:pPr>
            <w:r w:rsidRPr="002D1368">
              <w:rPr>
                <w:lang w:val="en-GB"/>
              </w:rPr>
              <w:t>1,5</w:t>
            </w:r>
          </w:p>
        </w:tc>
        <w:tc>
          <w:tcPr>
            <w:tcW w:w="1172" w:type="dxa"/>
            <w:tcBorders>
              <w:top w:val="single" w:sz="12" w:space="0" w:color="008000"/>
              <w:bottom w:val="single" w:sz="6" w:space="0" w:color="008000"/>
            </w:tcBorders>
            <w:shd w:val="clear" w:color="auto" w:fill="FFFFFF"/>
          </w:tcPr>
          <w:p w14:paraId="44614D29" w14:textId="6F531A47" w:rsidR="00C6344F" w:rsidRDefault="00C6344F" w:rsidP="00C6344F">
            <w:pPr>
              <w:pStyle w:val="CETBodytext"/>
              <w:jc w:val="center"/>
            </w:pPr>
            <w:r>
              <w:rPr>
                <w:lang w:val="en-GB"/>
              </w:rPr>
              <w:t>0,125</w:t>
            </w:r>
          </w:p>
        </w:tc>
        <w:tc>
          <w:tcPr>
            <w:tcW w:w="1276" w:type="dxa"/>
            <w:tcBorders>
              <w:top w:val="single" w:sz="12" w:space="0" w:color="008000"/>
              <w:bottom w:val="single" w:sz="6" w:space="0" w:color="008000"/>
            </w:tcBorders>
            <w:shd w:val="clear" w:color="auto" w:fill="FFFFFF"/>
          </w:tcPr>
          <w:p w14:paraId="63DA0332" w14:textId="1D446B32"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3DB9852F" w14:textId="77777777" w:rsidR="00C6344F" w:rsidRDefault="00C6344F" w:rsidP="00C6344F">
            <w:pPr>
              <w:pStyle w:val="CETBodytext"/>
              <w:jc w:val="center"/>
            </w:pPr>
          </w:p>
        </w:tc>
        <w:tc>
          <w:tcPr>
            <w:tcW w:w="851" w:type="dxa"/>
            <w:vMerge/>
            <w:tcBorders>
              <w:bottom w:val="single" w:sz="6" w:space="0" w:color="008000"/>
            </w:tcBorders>
            <w:shd w:val="clear" w:color="auto" w:fill="FFFFFF"/>
          </w:tcPr>
          <w:p w14:paraId="113724C2"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0B89E14C" w14:textId="281C910A" w:rsidR="00C6344F" w:rsidRDefault="00C6344F" w:rsidP="00C6344F">
            <w:pPr>
              <w:pStyle w:val="CETBodytext"/>
              <w:jc w:val="center"/>
            </w:pPr>
            <w:r>
              <w:rPr>
                <w:lang w:val="en-GB"/>
              </w:rPr>
              <w:t>2</w:t>
            </w:r>
          </w:p>
        </w:tc>
        <w:tc>
          <w:tcPr>
            <w:tcW w:w="1276" w:type="dxa"/>
            <w:tcBorders>
              <w:top w:val="single" w:sz="12" w:space="0" w:color="008000"/>
              <w:bottom w:val="single" w:sz="6" w:space="0" w:color="008000"/>
            </w:tcBorders>
            <w:shd w:val="clear" w:color="auto" w:fill="FFFFFF"/>
          </w:tcPr>
          <w:p w14:paraId="4394EAA3" w14:textId="6AF4FA55" w:rsidR="00C6344F" w:rsidRDefault="00C6344F" w:rsidP="00C6344F">
            <w:pPr>
              <w:pStyle w:val="CETBodytext"/>
              <w:jc w:val="center"/>
            </w:pPr>
            <w:r>
              <w:rPr>
                <w:lang w:val="en-GB"/>
              </w:rPr>
              <w:t>0,125</w:t>
            </w:r>
          </w:p>
        </w:tc>
        <w:tc>
          <w:tcPr>
            <w:tcW w:w="1132" w:type="dxa"/>
            <w:tcBorders>
              <w:top w:val="single" w:sz="12" w:space="0" w:color="008000"/>
              <w:bottom w:val="single" w:sz="6" w:space="0" w:color="008000"/>
            </w:tcBorders>
            <w:shd w:val="clear" w:color="auto" w:fill="FFFFFF"/>
          </w:tcPr>
          <w:p w14:paraId="42FA5ABD" w14:textId="035BA910" w:rsidR="00C6344F" w:rsidRDefault="00C6344F" w:rsidP="00C6344F">
            <w:pPr>
              <w:pStyle w:val="CETBodytext"/>
              <w:jc w:val="center"/>
            </w:pPr>
            <w:r>
              <w:rPr>
                <w:lang w:val="en-GB"/>
              </w:rPr>
              <w:t>Set 3</w:t>
            </w:r>
          </w:p>
        </w:tc>
      </w:tr>
      <w:tr w:rsidR="00C6344F" w:rsidRPr="00B57B36" w14:paraId="29E4EA84" w14:textId="77777777" w:rsidTr="00BE5A9C">
        <w:tc>
          <w:tcPr>
            <w:tcW w:w="731" w:type="dxa"/>
            <w:vMerge w:val="restart"/>
            <w:tcBorders>
              <w:top w:val="single" w:sz="12" w:space="0" w:color="008000"/>
            </w:tcBorders>
            <w:shd w:val="clear" w:color="auto" w:fill="FFFFFF"/>
            <w:vAlign w:val="center"/>
          </w:tcPr>
          <w:p w14:paraId="289C2DE2" w14:textId="26AEC045" w:rsidR="00C6344F" w:rsidRDefault="00C6344F" w:rsidP="00C6344F">
            <w:pPr>
              <w:pStyle w:val="CETBodytext"/>
              <w:jc w:val="center"/>
            </w:pPr>
            <w:r>
              <w:t>c</w:t>
            </w:r>
          </w:p>
        </w:tc>
        <w:tc>
          <w:tcPr>
            <w:tcW w:w="932" w:type="dxa"/>
            <w:tcBorders>
              <w:top w:val="single" w:sz="12" w:space="0" w:color="008000"/>
              <w:bottom w:val="single" w:sz="6" w:space="0" w:color="008000"/>
            </w:tcBorders>
            <w:shd w:val="clear" w:color="auto" w:fill="FFFFFF"/>
          </w:tcPr>
          <w:p w14:paraId="0A98EEED" w14:textId="2811602B" w:rsidR="00C6344F" w:rsidRDefault="00C6344F" w:rsidP="00C6344F">
            <w:pPr>
              <w:pStyle w:val="CETBodytext"/>
              <w:jc w:val="center"/>
            </w:pPr>
            <w:r>
              <w:rPr>
                <w:lang w:val="en-GB"/>
              </w:rPr>
              <w:t>1,2</w:t>
            </w:r>
          </w:p>
        </w:tc>
        <w:tc>
          <w:tcPr>
            <w:tcW w:w="1172" w:type="dxa"/>
            <w:tcBorders>
              <w:top w:val="single" w:sz="12" w:space="0" w:color="008000"/>
              <w:bottom w:val="single" w:sz="6" w:space="0" w:color="008000"/>
            </w:tcBorders>
            <w:shd w:val="clear" w:color="auto" w:fill="FFFFFF"/>
          </w:tcPr>
          <w:p w14:paraId="2812B9F0" w14:textId="1584FD84" w:rsidR="00C6344F" w:rsidRDefault="00C6344F" w:rsidP="00C6344F">
            <w:pPr>
              <w:pStyle w:val="CETBodytext"/>
              <w:jc w:val="center"/>
            </w:pPr>
            <w:r>
              <w:rPr>
                <w:lang w:val="en-GB"/>
              </w:rPr>
              <w:t>0,75</w:t>
            </w:r>
          </w:p>
        </w:tc>
        <w:tc>
          <w:tcPr>
            <w:tcW w:w="1276" w:type="dxa"/>
            <w:tcBorders>
              <w:top w:val="single" w:sz="12" w:space="0" w:color="008000"/>
              <w:bottom w:val="single" w:sz="6" w:space="0" w:color="008000"/>
            </w:tcBorders>
            <w:shd w:val="clear" w:color="auto" w:fill="FFFFFF"/>
          </w:tcPr>
          <w:p w14:paraId="7173FCBC" w14:textId="29FE6135"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09B39C41" w14:textId="77777777" w:rsidR="00C6344F" w:rsidRDefault="00C6344F" w:rsidP="00C6344F">
            <w:pPr>
              <w:pStyle w:val="CETBodytext"/>
              <w:jc w:val="center"/>
            </w:pPr>
          </w:p>
        </w:tc>
        <w:tc>
          <w:tcPr>
            <w:tcW w:w="851" w:type="dxa"/>
            <w:vMerge w:val="restart"/>
            <w:tcBorders>
              <w:top w:val="single" w:sz="12" w:space="0" w:color="008000"/>
            </w:tcBorders>
            <w:shd w:val="clear" w:color="auto" w:fill="FFFFFF"/>
            <w:vAlign w:val="center"/>
          </w:tcPr>
          <w:p w14:paraId="4A7E2914" w14:textId="06E37C5B" w:rsidR="00C6344F" w:rsidRDefault="00C6344F" w:rsidP="00C6344F">
            <w:pPr>
              <w:pStyle w:val="CETBodytext"/>
              <w:jc w:val="center"/>
            </w:pPr>
            <w:r>
              <w:t>h</w:t>
            </w:r>
          </w:p>
        </w:tc>
        <w:tc>
          <w:tcPr>
            <w:tcW w:w="850" w:type="dxa"/>
            <w:tcBorders>
              <w:top w:val="single" w:sz="12" w:space="0" w:color="008000"/>
              <w:bottom w:val="single" w:sz="6" w:space="0" w:color="008000"/>
            </w:tcBorders>
            <w:shd w:val="clear" w:color="auto" w:fill="FFFFFF"/>
          </w:tcPr>
          <w:p w14:paraId="64FAB855" w14:textId="53A0E1E7" w:rsidR="00C6344F" w:rsidRPr="00C6344F" w:rsidRDefault="00C6344F" w:rsidP="00C6344F">
            <w:pPr>
              <w:pStyle w:val="CETBodytext"/>
              <w:jc w:val="center"/>
              <w:rPr>
                <w:b/>
                <w:bCs/>
              </w:rPr>
            </w:pPr>
            <w:r>
              <w:rPr>
                <w:lang w:val="en-GB"/>
              </w:rPr>
              <w:t>1,5</w:t>
            </w:r>
          </w:p>
        </w:tc>
        <w:tc>
          <w:tcPr>
            <w:tcW w:w="1276" w:type="dxa"/>
            <w:tcBorders>
              <w:top w:val="single" w:sz="12" w:space="0" w:color="008000"/>
              <w:bottom w:val="single" w:sz="6" w:space="0" w:color="008000"/>
            </w:tcBorders>
            <w:shd w:val="clear" w:color="auto" w:fill="FFFFFF"/>
          </w:tcPr>
          <w:p w14:paraId="017E8D71" w14:textId="58A17A78" w:rsidR="00C6344F" w:rsidRDefault="00C6344F" w:rsidP="00C6344F">
            <w:pPr>
              <w:pStyle w:val="CETBodytext"/>
              <w:jc w:val="center"/>
            </w:pPr>
            <w:r>
              <w:rPr>
                <w:lang w:val="en-GB"/>
              </w:rPr>
              <w:t>0,75</w:t>
            </w:r>
          </w:p>
        </w:tc>
        <w:tc>
          <w:tcPr>
            <w:tcW w:w="1132" w:type="dxa"/>
            <w:tcBorders>
              <w:top w:val="single" w:sz="12" w:space="0" w:color="008000"/>
              <w:bottom w:val="single" w:sz="6" w:space="0" w:color="008000"/>
            </w:tcBorders>
            <w:shd w:val="clear" w:color="auto" w:fill="FFFFFF"/>
          </w:tcPr>
          <w:p w14:paraId="6F04E57D" w14:textId="113DA31F" w:rsidR="00C6344F" w:rsidRDefault="00C6344F" w:rsidP="00C6344F">
            <w:pPr>
              <w:pStyle w:val="CETBodytext"/>
              <w:jc w:val="center"/>
            </w:pPr>
            <w:r>
              <w:rPr>
                <w:lang w:val="en-GB"/>
              </w:rPr>
              <w:t>Set 3</w:t>
            </w:r>
          </w:p>
        </w:tc>
      </w:tr>
      <w:tr w:rsidR="00C6344F" w:rsidRPr="00B57B36" w14:paraId="07091639" w14:textId="77777777" w:rsidTr="00356226">
        <w:tc>
          <w:tcPr>
            <w:tcW w:w="731" w:type="dxa"/>
            <w:vMerge/>
            <w:shd w:val="clear" w:color="auto" w:fill="FFFFFF"/>
          </w:tcPr>
          <w:p w14:paraId="02B34C13"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337A1F50" w14:textId="6F114E9C" w:rsidR="00C6344F" w:rsidRDefault="00C6344F" w:rsidP="00C6344F">
            <w:pPr>
              <w:pStyle w:val="CETBodytext"/>
              <w:jc w:val="center"/>
            </w:pPr>
            <w:r w:rsidRPr="0093488D">
              <w:rPr>
                <w:lang w:val="en-GB"/>
              </w:rPr>
              <w:t>1,2</w:t>
            </w:r>
          </w:p>
        </w:tc>
        <w:tc>
          <w:tcPr>
            <w:tcW w:w="1172" w:type="dxa"/>
            <w:tcBorders>
              <w:top w:val="single" w:sz="12" w:space="0" w:color="008000"/>
              <w:bottom w:val="single" w:sz="6" w:space="0" w:color="008000"/>
            </w:tcBorders>
            <w:shd w:val="clear" w:color="auto" w:fill="FFFFFF"/>
          </w:tcPr>
          <w:p w14:paraId="6F10128F" w14:textId="2CF4D3F2" w:rsidR="00C6344F" w:rsidRDefault="00C6344F" w:rsidP="00C6344F">
            <w:pPr>
              <w:pStyle w:val="CETBodytext"/>
              <w:jc w:val="center"/>
            </w:pPr>
            <w:r>
              <w:rPr>
                <w:lang w:val="en-GB"/>
              </w:rPr>
              <w:t>0,5</w:t>
            </w:r>
          </w:p>
        </w:tc>
        <w:tc>
          <w:tcPr>
            <w:tcW w:w="1276" w:type="dxa"/>
            <w:tcBorders>
              <w:top w:val="single" w:sz="12" w:space="0" w:color="008000"/>
              <w:bottom w:val="single" w:sz="6" w:space="0" w:color="008000"/>
            </w:tcBorders>
            <w:shd w:val="clear" w:color="auto" w:fill="FFFFFF"/>
          </w:tcPr>
          <w:p w14:paraId="56A4E844" w14:textId="4773A908"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0F6F5D56" w14:textId="77777777" w:rsidR="00C6344F" w:rsidRDefault="00C6344F" w:rsidP="00C6344F">
            <w:pPr>
              <w:pStyle w:val="CETBodytext"/>
              <w:jc w:val="center"/>
            </w:pPr>
          </w:p>
        </w:tc>
        <w:tc>
          <w:tcPr>
            <w:tcW w:w="851" w:type="dxa"/>
            <w:vMerge/>
            <w:shd w:val="clear" w:color="auto" w:fill="FFFFFF"/>
          </w:tcPr>
          <w:p w14:paraId="3E5C5D8C"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787D8B43" w14:textId="5426D7AB" w:rsidR="00C6344F" w:rsidRPr="00C6344F" w:rsidRDefault="00C6344F" w:rsidP="00C6344F">
            <w:pPr>
              <w:pStyle w:val="CETBodytext"/>
              <w:jc w:val="center"/>
              <w:rPr>
                <w:b/>
                <w:bCs/>
              </w:rPr>
            </w:pPr>
            <w:r w:rsidRPr="002D1368">
              <w:rPr>
                <w:lang w:val="en-GB"/>
              </w:rPr>
              <w:t>1,5</w:t>
            </w:r>
          </w:p>
        </w:tc>
        <w:tc>
          <w:tcPr>
            <w:tcW w:w="1276" w:type="dxa"/>
            <w:tcBorders>
              <w:top w:val="single" w:sz="12" w:space="0" w:color="008000"/>
              <w:bottom w:val="single" w:sz="6" w:space="0" w:color="008000"/>
            </w:tcBorders>
            <w:shd w:val="clear" w:color="auto" w:fill="FFFFFF"/>
          </w:tcPr>
          <w:p w14:paraId="03548D84" w14:textId="06555B36" w:rsidR="00C6344F" w:rsidRDefault="00C6344F" w:rsidP="00C6344F">
            <w:pPr>
              <w:pStyle w:val="CETBodytext"/>
              <w:jc w:val="center"/>
            </w:pPr>
            <w:r>
              <w:rPr>
                <w:lang w:val="en-GB"/>
              </w:rPr>
              <w:t>0,5</w:t>
            </w:r>
          </w:p>
        </w:tc>
        <w:tc>
          <w:tcPr>
            <w:tcW w:w="1132" w:type="dxa"/>
            <w:tcBorders>
              <w:top w:val="single" w:sz="12" w:space="0" w:color="008000"/>
              <w:bottom w:val="single" w:sz="6" w:space="0" w:color="008000"/>
            </w:tcBorders>
            <w:shd w:val="clear" w:color="auto" w:fill="FFFFFF"/>
          </w:tcPr>
          <w:p w14:paraId="5DC5C450" w14:textId="2BA992AE" w:rsidR="00C6344F" w:rsidRDefault="00C6344F" w:rsidP="00C6344F">
            <w:pPr>
              <w:pStyle w:val="CETBodytext"/>
              <w:jc w:val="center"/>
            </w:pPr>
            <w:r>
              <w:rPr>
                <w:lang w:val="en-GB"/>
              </w:rPr>
              <w:t>Set 3</w:t>
            </w:r>
          </w:p>
        </w:tc>
      </w:tr>
      <w:tr w:rsidR="00C6344F" w:rsidRPr="00B57B36" w14:paraId="45D22E49" w14:textId="77777777" w:rsidTr="00356226">
        <w:tc>
          <w:tcPr>
            <w:tcW w:w="731" w:type="dxa"/>
            <w:vMerge/>
            <w:shd w:val="clear" w:color="auto" w:fill="FFFFFF"/>
          </w:tcPr>
          <w:p w14:paraId="5C8BC832"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798C1761" w14:textId="0AAF02AD" w:rsidR="00C6344F" w:rsidRDefault="00C6344F" w:rsidP="00C6344F">
            <w:pPr>
              <w:pStyle w:val="CETBodytext"/>
              <w:jc w:val="center"/>
            </w:pPr>
            <w:r w:rsidRPr="0093488D">
              <w:rPr>
                <w:lang w:val="en-GB"/>
              </w:rPr>
              <w:t>1,2</w:t>
            </w:r>
          </w:p>
        </w:tc>
        <w:tc>
          <w:tcPr>
            <w:tcW w:w="1172" w:type="dxa"/>
            <w:tcBorders>
              <w:top w:val="single" w:sz="12" w:space="0" w:color="008000"/>
              <w:bottom w:val="single" w:sz="6" w:space="0" w:color="008000"/>
            </w:tcBorders>
            <w:shd w:val="clear" w:color="auto" w:fill="FFFFFF"/>
          </w:tcPr>
          <w:p w14:paraId="0E69CFB0" w14:textId="173679DE" w:rsidR="00C6344F" w:rsidRDefault="00C6344F" w:rsidP="00C6344F">
            <w:pPr>
              <w:pStyle w:val="CETBodytext"/>
              <w:jc w:val="center"/>
            </w:pPr>
            <w:r>
              <w:rPr>
                <w:lang w:val="en-GB"/>
              </w:rPr>
              <w:t>0,25</w:t>
            </w:r>
          </w:p>
        </w:tc>
        <w:tc>
          <w:tcPr>
            <w:tcW w:w="1276" w:type="dxa"/>
            <w:tcBorders>
              <w:top w:val="single" w:sz="12" w:space="0" w:color="008000"/>
              <w:bottom w:val="single" w:sz="6" w:space="0" w:color="008000"/>
            </w:tcBorders>
            <w:shd w:val="clear" w:color="auto" w:fill="FFFFFF"/>
          </w:tcPr>
          <w:p w14:paraId="0C5158B3" w14:textId="1FEDF059"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27C482A0" w14:textId="77777777" w:rsidR="00C6344F" w:rsidRDefault="00C6344F" w:rsidP="00C6344F">
            <w:pPr>
              <w:pStyle w:val="CETBodytext"/>
              <w:jc w:val="center"/>
            </w:pPr>
          </w:p>
        </w:tc>
        <w:tc>
          <w:tcPr>
            <w:tcW w:w="851" w:type="dxa"/>
            <w:vMerge/>
            <w:shd w:val="clear" w:color="auto" w:fill="FFFFFF"/>
          </w:tcPr>
          <w:p w14:paraId="38D4056C"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38E0DD25" w14:textId="55A93B0E" w:rsidR="00C6344F" w:rsidRPr="00C6344F" w:rsidRDefault="00C6344F" w:rsidP="00C6344F">
            <w:pPr>
              <w:pStyle w:val="CETBodytext"/>
              <w:jc w:val="center"/>
              <w:rPr>
                <w:b/>
                <w:bCs/>
              </w:rPr>
            </w:pPr>
            <w:r w:rsidRPr="002D1368">
              <w:rPr>
                <w:lang w:val="en-GB"/>
              </w:rPr>
              <w:t>1,5</w:t>
            </w:r>
          </w:p>
        </w:tc>
        <w:tc>
          <w:tcPr>
            <w:tcW w:w="1276" w:type="dxa"/>
            <w:tcBorders>
              <w:top w:val="single" w:sz="12" w:space="0" w:color="008000"/>
              <w:bottom w:val="single" w:sz="6" w:space="0" w:color="008000"/>
            </w:tcBorders>
            <w:shd w:val="clear" w:color="auto" w:fill="FFFFFF"/>
          </w:tcPr>
          <w:p w14:paraId="2590B746" w14:textId="4DA94E87" w:rsidR="00C6344F" w:rsidRDefault="00C6344F" w:rsidP="00C6344F">
            <w:pPr>
              <w:pStyle w:val="CETBodytext"/>
              <w:jc w:val="center"/>
            </w:pPr>
            <w:r>
              <w:rPr>
                <w:lang w:val="en-GB"/>
              </w:rPr>
              <w:t>0,25</w:t>
            </w:r>
          </w:p>
        </w:tc>
        <w:tc>
          <w:tcPr>
            <w:tcW w:w="1132" w:type="dxa"/>
            <w:tcBorders>
              <w:top w:val="single" w:sz="12" w:space="0" w:color="008000"/>
              <w:bottom w:val="single" w:sz="6" w:space="0" w:color="008000"/>
            </w:tcBorders>
            <w:shd w:val="clear" w:color="auto" w:fill="FFFFFF"/>
          </w:tcPr>
          <w:p w14:paraId="3BD3C24F" w14:textId="2140F998" w:rsidR="00C6344F" w:rsidRDefault="00C6344F" w:rsidP="00C6344F">
            <w:pPr>
              <w:pStyle w:val="CETBodytext"/>
              <w:jc w:val="center"/>
            </w:pPr>
            <w:r>
              <w:rPr>
                <w:lang w:val="en-GB"/>
              </w:rPr>
              <w:t>Set 3</w:t>
            </w:r>
          </w:p>
        </w:tc>
      </w:tr>
      <w:tr w:rsidR="00C6344F" w:rsidRPr="00B57B36" w14:paraId="20042CBB" w14:textId="77777777" w:rsidTr="00356226">
        <w:tc>
          <w:tcPr>
            <w:tcW w:w="731" w:type="dxa"/>
            <w:vMerge/>
            <w:tcBorders>
              <w:bottom w:val="single" w:sz="6" w:space="0" w:color="008000"/>
            </w:tcBorders>
            <w:shd w:val="clear" w:color="auto" w:fill="FFFFFF"/>
          </w:tcPr>
          <w:p w14:paraId="5F29A0CF"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5B0B045B" w14:textId="4C67756F" w:rsidR="00C6344F" w:rsidRDefault="00C6344F" w:rsidP="00C6344F">
            <w:pPr>
              <w:pStyle w:val="CETBodytext"/>
              <w:jc w:val="center"/>
            </w:pPr>
            <w:r w:rsidRPr="0093488D">
              <w:rPr>
                <w:lang w:val="en-GB"/>
              </w:rPr>
              <w:t>1,2</w:t>
            </w:r>
          </w:p>
        </w:tc>
        <w:tc>
          <w:tcPr>
            <w:tcW w:w="1172" w:type="dxa"/>
            <w:tcBorders>
              <w:top w:val="single" w:sz="12" w:space="0" w:color="008000"/>
              <w:bottom w:val="single" w:sz="6" w:space="0" w:color="008000"/>
            </w:tcBorders>
            <w:shd w:val="clear" w:color="auto" w:fill="FFFFFF"/>
          </w:tcPr>
          <w:p w14:paraId="50B30B1F" w14:textId="2068244D" w:rsidR="00C6344F" w:rsidRDefault="00C6344F" w:rsidP="00C6344F">
            <w:pPr>
              <w:pStyle w:val="CETBodytext"/>
              <w:jc w:val="center"/>
            </w:pPr>
            <w:r>
              <w:rPr>
                <w:lang w:val="en-GB"/>
              </w:rPr>
              <w:t>0,125</w:t>
            </w:r>
          </w:p>
        </w:tc>
        <w:tc>
          <w:tcPr>
            <w:tcW w:w="1276" w:type="dxa"/>
            <w:tcBorders>
              <w:top w:val="single" w:sz="12" w:space="0" w:color="008000"/>
              <w:bottom w:val="single" w:sz="6" w:space="0" w:color="008000"/>
            </w:tcBorders>
            <w:shd w:val="clear" w:color="auto" w:fill="FFFFFF"/>
          </w:tcPr>
          <w:p w14:paraId="7FBE8BF5" w14:textId="3CFEF2B1" w:rsidR="00C6344F" w:rsidRDefault="00C6344F" w:rsidP="00C6344F">
            <w:pPr>
              <w:pStyle w:val="CETBodytext"/>
              <w:jc w:val="center"/>
            </w:pPr>
            <w:r>
              <w:rPr>
                <w:lang w:val="en-GB"/>
              </w:rPr>
              <w:t>Set 1</w:t>
            </w:r>
          </w:p>
        </w:tc>
        <w:tc>
          <w:tcPr>
            <w:tcW w:w="567" w:type="dxa"/>
            <w:tcBorders>
              <w:top w:val="single" w:sz="12" w:space="0" w:color="008000"/>
              <w:bottom w:val="single" w:sz="6" w:space="0" w:color="008000"/>
            </w:tcBorders>
            <w:shd w:val="clear" w:color="auto" w:fill="FFFFFF"/>
          </w:tcPr>
          <w:p w14:paraId="4C0C4531" w14:textId="77777777" w:rsidR="00C6344F" w:rsidRDefault="00C6344F" w:rsidP="00C6344F">
            <w:pPr>
              <w:pStyle w:val="CETBodytext"/>
              <w:jc w:val="center"/>
            </w:pPr>
          </w:p>
        </w:tc>
        <w:tc>
          <w:tcPr>
            <w:tcW w:w="851" w:type="dxa"/>
            <w:vMerge/>
            <w:tcBorders>
              <w:bottom w:val="single" w:sz="6" w:space="0" w:color="008000"/>
            </w:tcBorders>
            <w:shd w:val="clear" w:color="auto" w:fill="FFFFFF"/>
          </w:tcPr>
          <w:p w14:paraId="0DC74724"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3100D77E" w14:textId="62B2E7D5" w:rsidR="00C6344F" w:rsidRPr="00C6344F" w:rsidRDefault="00C6344F" w:rsidP="00C6344F">
            <w:pPr>
              <w:pStyle w:val="CETBodytext"/>
              <w:jc w:val="center"/>
              <w:rPr>
                <w:b/>
                <w:bCs/>
              </w:rPr>
            </w:pPr>
            <w:r w:rsidRPr="002D1368">
              <w:rPr>
                <w:lang w:val="en-GB"/>
              </w:rPr>
              <w:t>1,5</w:t>
            </w:r>
          </w:p>
        </w:tc>
        <w:tc>
          <w:tcPr>
            <w:tcW w:w="1276" w:type="dxa"/>
            <w:tcBorders>
              <w:top w:val="single" w:sz="12" w:space="0" w:color="008000"/>
              <w:bottom w:val="single" w:sz="6" w:space="0" w:color="008000"/>
            </w:tcBorders>
            <w:shd w:val="clear" w:color="auto" w:fill="FFFFFF"/>
          </w:tcPr>
          <w:p w14:paraId="0857C515" w14:textId="24C3FD6B" w:rsidR="00C6344F" w:rsidRDefault="00C6344F" w:rsidP="00C6344F">
            <w:pPr>
              <w:pStyle w:val="CETBodytext"/>
              <w:jc w:val="center"/>
            </w:pPr>
            <w:r>
              <w:rPr>
                <w:lang w:val="en-GB"/>
              </w:rPr>
              <w:t>0,125</w:t>
            </w:r>
          </w:p>
        </w:tc>
        <w:tc>
          <w:tcPr>
            <w:tcW w:w="1132" w:type="dxa"/>
            <w:tcBorders>
              <w:top w:val="single" w:sz="12" w:space="0" w:color="008000"/>
              <w:bottom w:val="single" w:sz="6" w:space="0" w:color="008000"/>
            </w:tcBorders>
            <w:shd w:val="clear" w:color="auto" w:fill="FFFFFF"/>
          </w:tcPr>
          <w:p w14:paraId="2A3074F9" w14:textId="17E23B9D" w:rsidR="00C6344F" w:rsidRDefault="00C6344F" w:rsidP="00C6344F">
            <w:pPr>
              <w:pStyle w:val="CETBodytext"/>
              <w:jc w:val="center"/>
            </w:pPr>
            <w:r>
              <w:rPr>
                <w:lang w:val="en-GB"/>
              </w:rPr>
              <w:t>Set 3</w:t>
            </w:r>
          </w:p>
        </w:tc>
      </w:tr>
      <w:tr w:rsidR="00C6344F" w:rsidRPr="00B57B36" w14:paraId="00B85A30" w14:textId="77777777" w:rsidTr="000C5C70">
        <w:tc>
          <w:tcPr>
            <w:tcW w:w="731" w:type="dxa"/>
            <w:vMerge w:val="restart"/>
            <w:tcBorders>
              <w:top w:val="single" w:sz="12" w:space="0" w:color="008000"/>
            </w:tcBorders>
            <w:shd w:val="clear" w:color="auto" w:fill="FFFFFF"/>
            <w:vAlign w:val="center"/>
          </w:tcPr>
          <w:p w14:paraId="2F6795A4" w14:textId="052417CE" w:rsidR="00C6344F" w:rsidRDefault="00C6344F" w:rsidP="00C6344F">
            <w:pPr>
              <w:pStyle w:val="CETBodytext"/>
              <w:jc w:val="center"/>
            </w:pPr>
            <w:r>
              <w:t>d</w:t>
            </w:r>
          </w:p>
        </w:tc>
        <w:tc>
          <w:tcPr>
            <w:tcW w:w="932" w:type="dxa"/>
            <w:tcBorders>
              <w:top w:val="single" w:sz="12" w:space="0" w:color="008000"/>
              <w:bottom w:val="single" w:sz="6" w:space="0" w:color="008000"/>
            </w:tcBorders>
            <w:shd w:val="clear" w:color="auto" w:fill="FFFFFF"/>
          </w:tcPr>
          <w:p w14:paraId="33E47099" w14:textId="43E1F3C8"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5DC06403" w14:textId="4E52282E" w:rsidR="00C6344F" w:rsidRDefault="00C6344F" w:rsidP="00C6344F">
            <w:pPr>
              <w:pStyle w:val="CETBodytext"/>
              <w:jc w:val="center"/>
            </w:pPr>
            <w:r>
              <w:rPr>
                <w:lang w:val="en-GB"/>
              </w:rPr>
              <w:t>0,75</w:t>
            </w:r>
          </w:p>
        </w:tc>
        <w:tc>
          <w:tcPr>
            <w:tcW w:w="1276" w:type="dxa"/>
            <w:tcBorders>
              <w:top w:val="single" w:sz="12" w:space="0" w:color="008000"/>
              <w:bottom w:val="single" w:sz="6" w:space="0" w:color="008000"/>
            </w:tcBorders>
            <w:shd w:val="clear" w:color="auto" w:fill="FFFFFF"/>
          </w:tcPr>
          <w:p w14:paraId="38C9BD67" w14:textId="61839174" w:rsidR="00C6344F" w:rsidRDefault="00C6344F" w:rsidP="00C6344F">
            <w:pPr>
              <w:pStyle w:val="CETBodytext"/>
              <w:jc w:val="center"/>
            </w:pPr>
            <w:r>
              <w:rPr>
                <w:lang w:val="en-GB"/>
              </w:rPr>
              <w:t>Set 2</w:t>
            </w:r>
          </w:p>
        </w:tc>
        <w:tc>
          <w:tcPr>
            <w:tcW w:w="567" w:type="dxa"/>
            <w:tcBorders>
              <w:top w:val="single" w:sz="12" w:space="0" w:color="008000"/>
              <w:bottom w:val="single" w:sz="6" w:space="0" w:color="008000"/>
            </w:tcBorders>
            <w:shd w:val="clear" w:color="auto" w:fill="FFFFFF"/>
          </w:tcPr>
          <w:p w14:paraId="2E73EAFE" w14:textId="77777777" w:rsidR="00C6344F" w:rsidRDefault="00C6344F" w:rsidP="00C6344F">
            <w:pPr>
              <w:pStyle w:val="CETBodytext"/>
              <w:jc w:val="center"/>
            </w:pPr>
          </w:p>
        </w:tc>
        <w:tc>
          <w:tcPr>
            <w:tcW w:w="851" w:type="dxa"/>
            <w:vMerge w:val="restart"/>
            <w:tcBorders>
              <w:top w:val="single" w:sz="12" w:space="0" w:color="008000"/>
            </w:tcBorders>
            <w:shd w:val="clear" w:color="auto" w:fill="FFFFFF"/>
            <w:vAlign w:val="center"/>
          </w:tcPr>
          <w:p w14:paraId="300ACC32" w14:textId="39EA0719" w:rsidR="00C6344F" w:rsidRDefault="00C6344F" w:rsidP="00C6344F">
            <w:pPr>
              <w:pStyle w:val="CETBodytext"/>
              <w:jc w:val="center"/>
            </w:pPr>
            <w:r>
              <w:t>i</w:t>
            </w:r>
          </w:p>
        </w:tc>
        <w:tc>
          <w:tcPr>
            <w:tcW w:w="850" w:type="dxa"/>
            <w:tcBorders>
              <w:top w:val="single" w:sz="12" w:space="0" w:color="008000"/>
              <w:bottom w:val="single" w:sz="6" w:space="0" w:color="008000"/>
            </w:tcBorders>
            <w:shd w:val="clear" w:color="auto" w:fill="FFFFFF"/>
          </w:tcPr>
          <w:p w14:paraId="29485D4D" w14:textId="2FD5B4F8" w:rsidR="00C6344F" w:rsidRDefault="00C6344F" w:rsidP="00C6344F">
            <w:pPr>
              <w:pStyle w:val="CETBodytext"/>
              <w:jc w:val="center"/>
            </w:pPr>
            <w:r>
              <w:rPr>
                <w:lang w:val="en-GB"/>
              </w:rPr>
              <w:t>1,2</w:t>
            </w:r>
          </w:p>
        </w:tc>
        <w:tc>
          <w:tcPr>
            <w:tcW w:w="1276" w:type="dxa"/>
            <w:tcBorders>
              <w:top w:val="single" w:sz="12" w:space="0" w:color="008000"/>
              <w:bottom w:val="single" w:sz="6" w:space="0" w:color="008000"/>
            </w:tcBorders>
            <w:shd w:val="clear" w:color="auto" w:fill="FFFFFF"/>
          </w:tcPr>
          <w:p w14:paraId="58302338" w14:textId="3B9B2F19" w:rsidR="00C6344F" w:rsidRDefault="00C6344F" w:rsidP="00C6344F">
            <w:pPr>
              <w:pStyle w:val="CETBodytext"/>
              <w:jc w:val="center"/>
            </w:pPr>
            <w:r>
              <w:rPr>
                <w:lang w:val="en-GB"/>
              </w:rPr>
              <w:t>0,75</w:t>
            </w:r>
          </w:p>
        </w:tc>
        <w:tc>
          <w:tcPr>
            <w:tcW w:w="1132" w:type="dxa"/>
            <w:tcBorders>
              <w:top w:val="single" w:sz="12" w:space="0" w:color="008000"/>
              <w:bottom w:val="single" w:sz="6" w:space="0" w:color="008000"/>
            </w:tcBorders>
            <w:shd w:val="clear" w:color="auto" w:fill="FFFFFF"/>
          </w:tcPr>
          <w:p w14:paraId="49C409CA" w14:textId="22BE9C25" w:rsidR="00C6344F" w:rsidRDefault="00C6344F" w:rsidP="00C6344F">
            <w:pPr>
              <w:pStyle w:val="CETBodytext"/>
              <w:jc w:val="center"/>
            </w:pPr>
            <w:r>
              <w:rPr>
                <w:lang w:val="en-GB"/>
              </w:rPr>
              <w:t>Set 3</w:t>
            </w:r>
          </w:p>
        </w:tc>
      </w:tr>
      <w:tr w:rsidR="00C6344F" w:rsidRPr="00B57B36" w14:paraId="4A966BBE" w14:textId="77777777" w:rsidTr="000B56D6">
        <w:tc>
          <w:tcPr>
            <w:tcW w:w="731" w:type="dxa"/>
            <w:vMerge/>
            <w:shd w:val="clear" w:color="auto" w:fill="FFFFFF"/>
          </w:tcPr>
          <w:p w14:paraId="0E171454"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26739C9B" w14:textId="5FC76728"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3C4BA1BA" w14:textId="7FCD5AD2" w:rsidR="00C6344F" w:rsidRDefault="00C6344F" w:rsidP="00C6344F">
            <w:pPr>
              <w:pStyle w:val="CETBodytext"/>
              <w:jc w:val="center"/>
            </w:pPr>
            <w:r>
              <w:rPr>
                <w:lang w:val="en-GB"/>
              </w:rPr>
              <w:t>0,5</w:t>
            </w:r>
          </w:p>
        </w:tc>
        <w:tc>
          <w:tcPr>
            <w:tcW w:w="1276" w:type="dxa"/>
            <w:tcBorders>
              <w:top w:val="single" w:sz="12" w:space="0" w:color="008000"/>
              <w:bottom w:val="single" w:sz="6" w:space="0" w:color="008000"/>
            </w:tcBorders>
            <w:shd w:val="clear" w:color="auto" w:fill="FFFFFF"/>
          </w:tcPr>
          <w:p w14:paraId="3C8837FC" w14:textId="01205DA2" w:rsidR="00C6344F" w:rsidRDefault="00C6344F" w:rsidP="00C6344F">
            <w:pPr>
              <w:pStyle w:val="CETBodytext"/>
              <w:jc w:val="center"/>
            </w:pPr>
            <w:r>
              <w:rPr>
                <w:lang w:val="en-GB"/>
              </w:rPr>
              <w:t>Set 2</w:t>
            </w:r>
          </w:p>
        </w:tc>
        <w:tc>
          <w:tcPr>
            <w:tcW w:w="567" w:type="dxa"/>
            <w:tcBorders>
              <w:top w:val="single" w:sz="12" w:space="0" w:color="008000"/>
              <w:bottom w:val="single" w:sz="6" w:space="0" w:color="008000"/>
            </w:tcBorders>
            <w:shd w:val="clear" w:color="auto" w:fill="FFFFFF"/>
          </w:tcPr>
          <w:p w14:paraId="50D8891A" w14:textId="77777777" w:rsidR="00C6344F" w:rsidRDefault="00C6344F" w:rsidP="00C6344F">
            <w:pPr>
              <w:pStyle w:val="CETBodytext"/>
              <w:jc w:val="center"/>
            </w:pPr>
          </w:p>
        </w:tc>
        <w:tc>
          <w:tcPr>
            <w:tcW w:w="851" w:type="dxa"/>
            <w:vMerge/>
            <w:shd w:val="clear" w:color="auto" w:fill="FFFFFF"/>
          </w:tcPr>
          <w:p w14:paraId="1E107A06"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7925E7E8" w14:textId="0981CD3E"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3E3EA42B" w14:textId="5FF5BF5F" w:rsidR="00C6344F" w:rsidRDefault="00C6344F" w:rsidP="00C6344F">
            <w:pPr>
              <w:pStyle w:val="CETBodytext"/>
              <w:jc w:val="center"/>
            </w:pPr>
            <w:r>
              <w:rPr>
                <w:lang w:val="en-GB"/>
              </w:rPr>
              <w:t>0,5</w:t>
            </w:r>
          </w:p>
        </w:tc>
        <w:tc>
          <w:tcPr>
            <w:tcW w:w="1132" w:type="dxa"/>
            <w:tcBorders>
              <w:top w:val="single" w:sz="12" w:space="0" w:color="008000"/>
              <w:bottom w:val="single" w:sz="6" w:space="0" w:color="008000"/>
            </w:tcBorders>
            <w:shd w:val="clear" w:color="auto" w:fill="FFFFFF"/>
          </w:tcPr>
          <w:p w14:paraId="042CED40" w14:textId="0C0F7D14" w:rsidR="00C6344F" w:rsidRDefault="00C6344F" w:rsidP="00C6344F">
            <w:pPr>
              <w:pStyle w:val="CETBodytext"/>
              <w:jc w:val="center"/>
            </w:pPr>
            <w:r>
              <w:rPr>
                <w:lang w:val="en-GB"/>
              </w:rPr>
              <w:t>Set 3</w:t>
            </w:r>
          </w:p>
        </w:tc>
      </w:tr>
      <w:tr w:rsidR="00C6344F" w:rsidRPr="00B57B36" w14:paraId="3C8F672A" w14:textId="77777777" w:rsidTr="000B56D6">
        <w:tc>
          <w:tcPr>
            <w:tcW w:w="731" w:type="dxa"/>
            <w:vMerge/>
            <w:shd w:val="clear" w:color="auto" w:fill="FFFFFF"/>
          </w:tcPr>
          <w:p w14:paraId="6382426D"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173B4217" w14:textId="2BB40D51"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576334CF" w14:textId="356FB3CB" w:rsidR="00C6344F" w:rsidRDefault="00C6344F" w:rsidP="00C6344F">
            <w:pPr>
              <w:pStyle w:val="CETBodytext"/>
              <w:jc w:val="center"/>
            </w:pPr>
            <w:r>
              <w:rPr>
                <w:lang w:val="en-GB"/>
              </w:rPr>
              <w:t>0,25</w:t>
            </w:r>
          </w:p>
        </w:tc>
        <w:tc>
          <w:tcPr>
            <w:tcW w:w="1276" w:type="dxa"/>
            <w:tcBorders>
              <w:top w:val="single" w:sz="12" w:space="0" w:color="008000"/>
              <w:bottom w:val="single" w:sz="6" w:space="0" w:color="008000"/>
            </w:tcBorders>
            <w:shd w:val="clear" w:color="auto" w:fill="FFFFFF"/>
          </w:tcPr>
          <w:p w14:paraId="13EDDBD8" w14:textId="1DE468A2" w:rsidR="00C6344F" w:rsidRDefault="00C6344F" w:rsidP="00C6344F">
            <w:pPr>
              <w:pStyle w:val="CETBodytext"/>
              <w:jc w:val="center"/>
            </w:pPr>
            <w:r>
              <w:rPr>
                <w:lang w:val="en-GB"/>
              </w:rPr>
              <w:t>Set 2</w:t>
            </w:r>
          </w:p>
        </w:tc>
        <w:tc>
          <w:tcPr>
            <w:tcW w:w="567" w:type="dxa"/>
            <w:tcBorders>
              <w:top w:val="single" w:sz="12" w:space="0" w:color="008000"/>
              <w:bottom w:val="single" w:sz="6" w:space="0" w:color="008000"/>
            </w:tcBorders>
            <w:shd w:val="clear" w:color="auto" w:fill="FFFFFF"/>
          </w:tcPr>
          <w:p w14:paraId="27179D80" w14:textId="77777777" w:rsidR="00C6344F" w:rsidRDefault="00C6344F" w:rsidP="00C6344F">
            <w:pPr>
              <w:pStyle w:val="CETBodytext"/>
              <w:jc w:val="center"/>
            </w:pPr>
          </w:p>
        </w:tc>
        <w:tc>
          <w:tcPr>
            <w:tcW w:w="851" w:type="dxa"/>
            <w:vMerge/>
            <w:shd w:val="clear" w:color="auto" w:fill="FFFFFF"/>
          </w:tcPr>
          <w:p w14:paraId="5001FB89"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771B8DE8" w14:textId="72B39BAC"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772006FF" w14:textId="15D0D482" w:rsidR="00C6344F" w:rsidRDefault="00C6344F" w:rsidP="00C6344F">
            <w:pPr>
              <w:pStyle w:val="CETBodytext"/>
              <w:jc w:val="center"/>
            </w:pPr>
            <w:r>
              <w:rPr>
                <w:lang w:val="en-GB"/>
              </w:rPr>
              <w:t>0,25</w:t>
            </w:r>
          </w:p>
        </w:tc>
        <w:tc>
          <w:tcPr>
            <w:tcW w:w="1132" w:type="dxa"/>
            <w:tcBorders>
              <w:top w:val="single" w:sz="12" w:space="0" w:color="008000"/>
              <w:bottom w:val="single" w:sz="6" w:space="0" w:color="008000"/>
            </w:tcBorders>
            <w:shd w:val="clear" w:color="auto" w:fill="FFFFFF"/>
          </w:tcPr>
          <w:p w14:paraId="22B95F72" w14:textId="70F44016" w:rsidR="00C6344F" w:rsidRDefault="00C6344F" w:rsidP="00C6344F">
            <w:pPr>
              <w:pStyle w:val="CETBodytext"/>
              <w:jc w:val="center"/>
            </w:pPr>
            <w:r>
              <w:rPr>
                <w:lang w:val="en-GB"/>
              </w:rPr>
              <w:t>Set 3</w:t>
            </w:r>
          </w:p>
        </w:tc>
      </w:tr>
      <w:tr w:rsidR="00C6344F" w:rsidRPr="00B57B36" w14:paraId="78F9F288" w14:textId="77777777" w:rsidTr="000B56D6">
        <w:tc>
          <w:tcPr>
            <w:tcW w:w="731" w:type="dxa"/>
            <w:vMerge/>
            <w:tcBorders>
              <w:bottom w:val="single" w:sz="6" w:space="0" w:color="008000"/>
            </w:tcBorders>
            <w:shd w:val="clear" w:color="auto" w:fill="FFFFFF"/>
          </w:tcPr>
          <w:p w14:paraId="51258398" w14:textId="77777777" w:rsidR="00C6344F" w:rsidRDefault="00C6344F" w:rsidP="00C6344F">
            <w:pPr>
              <w:pStyle w:val="CETBodytext"/>
              <w:jc w:val="center"/>
            </w:pPr>
          </w:p>
        </w:tc>
        <w:tc>
          <w:tcPr>
            <w:tcW w:w="932" w:type="dxa"/>
            <w:tcBorders>
              <w:top w:val="single" w:sz="12" w:space="0" w:color="008000"/>
              <w:bottom w:val="single" w:sz="6" w:space="0" w:color="008000"/>
            </w:tcBorders>
            <w:shd w:val="clear" w:color="auto" w:fill="FFFFFF"/>
          </w:tcPr>
          <w:p w14:paraId="27363C41" w14:textId="5DC335DF" w:rsidR="00C6344F" w:rsidRDefault="00C6344F" w:rsidP="00C6344F">
            <w:pPr>
              <w:pStyle w:val="CETBodytext"/>
              <w:jc w:val="center"/>
            </w:pPr>
            <w:r>
              <w:rPr>
                <w:lang w:val="en-GB"/>
              </w:rPr>
              <w:t>2</w:t>
            </w:r>
          </w:p>
        </w:tc>
        <w:tc>
          <w:tcPr>
            <w:tcW w:w="1172" w:type="dxa"/>
            <w:tcBorders>
              <w:top w:val="single" w:sz="12" w:space="0" w:color="008000"/>
              <w:bottom w:val="single" w:sz="6" w:space="0" w:color="008000"/>
            </w:tcBorders>
            <w:shd w:val="clear" w:color="auto" w:fill="FFFFFF"/>
          </w:tcPr>
          <w:p w14:paraId="66B261E0" w14:textId="24F6943D" w:rsidR="00C6344F" w:rsidRDefault="00C6344F" w:rsidP="00C6344F">
            <w:pPr>
              <w:pStyle w:val="CETBodytext"/>
              <w:jc w:val="center"/>
            </w:pPr>
            <w:r>
              <w:rPr>
                <w:lang w:val="en-GB"/>
              </w:rPr>
              <w:t>0,125</w:t>
            </w:r>
          </w:p>
        </w:tc>
        <w:tc>
          <w:tcPr>
            <w:tcW w:w="1276" w:type="dxa"/>
            <w:tcBorders>
              <w:top w:val="single" w:sz="12" w:space="0" w:color="008000"/>
              <w:bottom w:val="single" w:sz="6" w:space="0" w:color="008000"/>
            </w:tcBorders>
            <w:shd w:val="clear" w:color="auto" w:fill="FFFFFF"/>
          </w:tcPr>
          <w:p w14:paraId="6461CD87" w14:textId="267F99A7" w:rsidR="00C6344F" w:rsidRDefault="00C6344F" w:rsidP="00C6344F">
            <w:pPr>
              <w:pStyle w:val="CETBodytext"/>
              <w:jc w:val="center"/>
            </w:pPr>
            <w:r>
              <w:rPr>
                <w:lang w:val="en-GB"/>
              </w:rPr>
              <w:t>Set 2</w:t>
            </w:r>
          </w:p>
        </w:tc>
        <w:tc>
          <w:tcPr>
            <w:tcW w:w="567" w:type="dxa"/>
            <w:tcBorders>
              <w:top w:val="single" w:sz="12" w:space="0" w:color="008000"/>
              <w:bottom w:val="single" w:sz="6" w:space="0" w:color="008000"/>
            </w:tcBorders>
            <w:shd w:val="clear" w:color="auto" w:fill="FFFFFF"/>
          </w:tcPr>
          <w:p w14:paraId="17169740" w14:textId="77777777" w:rsidR="00C6344F" w:rsidRDefault="00C6344F" w:rsidP="00C6344F">
            <w:pPr>
              <w:pStyle w:val="CETBodytext"/>
              <w:jc w:val="center"/>
            </w:pPr>
          </w:p>
        </w:tc>
        <w:tc>
          <w:tcPr>
            <w:tcW w:w="851" w:type="dxa"/>
            <w:vMerge/>
            <w:tcBorders>
              <w:bottom w:val="single" w:sz="6" w:space="0" w:color="008000"/>
            </w:tcBorders>
            <w:shd w:val="clear" w:color="auto" w:fill="FFFFFF"/>
          </w:tcPr>
          <w:p w14:paraId="58B5389B" w14:textId="77777777" w:rsidR="00C6344F" w:rsidRDefault="00C6344F" w:rsidP="00C6344F">
            <w:pPr>
              <w:pStyle w:val="CETBodytext"/>
              <w:jc w:val="center"/>
            </w:pPr>
          </w:p>
        </w:tc>
        <w:tc>
          <w:tcPr>
            <w:tcW w:w="850" w:type="dxa"/>
            <w:tcBorders>
              <w:top w:val="single" w:sz="12" w:space="0" w:color="008000"/>
              <w:bottom w:val="single" w:sz="6" w:space="0" w:color="008000"/>
            </w:tcBorders>
            <w:shd w:val="clear" w:color="auto" w:fill="FFFFFF"/>
          </w:tcPr>
          <w:p w14:paraId="3B4981A7" w14:textId="03EA3728" w:rsidR="00C6344F" w:rsidRDefault="00C6344F" w:rsidP="00C6344F">
            <w:pPr>
              <w:pStyle w:val="CETBodytext"/>
              <w:jc w:val="center"/>
            </w:pPr>
            <w:r w:rsidRPr="0093488D">
              <w:rPr>
                <w:lang w:val="en-GB"/>
              </w:rPr>
              <w:t>1,2</w:t>
            </w:r>
          </w:p>
        </w:tc>
        <w:tc>
          <w:tcPr>
            <w:tcW w:w="1276" w:type="dxa"/>
            <w:tcBorders>
              <w:top w:val="single" w:sz="12" w:space="0" w:color="008000"/>
              <w:bottom w:val="single" w:sz="6" w:space="0" w:color="008000"/>
            </w:tcBorders>
            <w:shd w:val="clear" w:color="auto" w:fill="FFFFFF"/>
          </w:tcPr>
          <w:p w14:paraId="0DFFBA5D" w14:textId="1304B103" w:rsidR="00C6344F" w:rsidRDefault="00C6344F" w:rsidP="00C6344F">
            <w:pPr>
              <w:pStyle w:val="CETBodytext"/>
              <w:jc w:val="center"/>
            </w:pPr>
            <w:r>
              <w:rPr>
                <w:lang w:val="en-GB"/>
              </w:rPr>
              <w:t>0,125</w:t>
            </w:r>
          </w:p>
        </w:tc>
        <w:tc>
          <w:tcPr>
            <w:tcW w:w="1132" w:type="dxa"/>
            <w:tcBorders>
              <w:top w:val="single" w:sz="12" w:space="0" w:color="008000"/>
              <w:bottom w:val="single" w:sz="6" w:space="0" w:color="008000"/>
            </w:tcBorders>
            <w:shd w:val="clear" w:color="auto" w:fill="FFFFFF"/>
          </w:tcPr>
          <w:p w14:paraId="269D3B55" w14:textId="1CB03E89" w:rsidR="00C6344F" w:rsidRDefault="00C6344F" w:rsidP="00C6344F">
            <w:pPr>
              <w:pStyle w:val="CETBodytext"/>
              <w:jc w:val="center"/>
            </w:pPr>
            <w:r>
              <w:rPr>
                <w:lang w:val="en-GB"/>
              </w:rPr>
              <w:t>Set 3</w:t>
            </w:r>
          </w:p>
        </w:tc>
      </w:tr>
      <w:tr w:rsidR="00C6344F" w:rsidRPr="00B57B36" w14:paraId="093502F1" w14:textId="348181EC" w:rsidTr="007C6857">
        <w:tc>
          <w:tcPr>
            <w:tcW w:w="731" w:type="dxa"/>
            <w:vMerge w:val="restart"/>
            <w:tcBorders>
              <w:top w:val="single" w:sz="12" w:space="0" w:color="008000"/>
            </w:tcBorders>
            <w:shd w:val="clear" w:color="auto" w:fill="FFFFFF"/>
            <w:vAlign w:val="center"/>
          </w:tcPr>
          <w:p w14:paraId="0EF26F38" w14:textId="47D5F426" w:rsidR="00C6344F" w:rsidRDefault="00C6344F" w:rsidP="00C6344F">
            <w:pPr>
              <w:pStyle w:val="CETBodytext"/>
              <w:jc w:val="center"/>
              <w:rPr>
                <w:lang w:val="en-GB"/>
              </w:rPr>
            </w:pPr>
            <w:r>
              <w:rPr>
                <w:lang w:val="en-GB"/>
              </w:rPr>
              <w:t>e</w:t>
            </w:r>
          </w:p>
        </w:tc>
        <w:tc>
          <w:tcPr>
            <w:tcW w:w="932" w:type="dxa"/>
            <w:tcBorders>
              <w:top w:val="single" w:sz="12" w:space="0" w:color="008000"/>
              <w:bottom w:val="single" w:sz="6" w:space="0" w:color="008000"/>
            </w:tcBorders>
            <w:shd w:val="clear" w:color="auto" w:fill="FFFFFF"/>
          </w:tcPr>
          <w:p w14:paraId="05A17131" w14:textId="50968A27" w:rsidR="00C6344F" w:rsidRDefault="00C6344F" w:rsidP="00C6344F">
            <w:pPr>
              <w:pStyle w:val="CETBodytext"/>
              <w:jc w:val="center"/>
              <w:rPr>
                <w:lang w:val="en-GB"/>
              </w:rPr>
            </w:pPr>
            <w:r>
              <w:rPr>
                <w:lang w:val="en-GB"/>
              </w:rPr>
              <w:t>1,5</w:t>
            </w:r>
          </w:p>
        </w:tc>
        <w:tc>
          <w:tcPr>
            <w:tcW w:w="1172" w:type="dxa"/>
            <w:tcBorders>
              <w:top w:val="single" w:sz="12" w:space="0" w:color="008000"/>
              <w:bottom w:val="single" w:sz="6" w:space="0" w:color="008000"/>
            </w:tcBorders>
            <w:shd w:val="clear" w:color="auto" w:fill="FFFFFF"/>
          </w:tcPr>
          <w:p w14:paraId="1D8020F8" w14:textId="77777777" w:rsidR="00C6344F" w:rsidRDefault="00C6344F" w:rsidP="00C6344F">
            <w:pPr>
              <w:pStyle w:val="CETBodytext"/>
              <w:jc w:val="center"/>
              <w:rPr>
                <w:lang w:val="en-GB"/>
              </w:rPr>
            </w:pPr>
            <w:r>
              <w:rPr>
                <w:lang w:val="en-GB"/>
              </w:rPr>
              <w:t>0,75</w:t>
            </w:r>
          </w:p>
        </w:tc>
        <w:tc>
          <w:tcPr>
            <w:tcW w:w="1276" w:type="dxa"/>
            <w:tcBorders>
              <w:top w:val="single" w:sz="12" w:space="0" w:color="008000"/>
              <w:bottom w:val="single" w:sz="6" w:space="0" w:color="008000"/>
            </w:tcBorders>
            <w:shd w:val="clear" w:color="auto" w:fill="FFFFFF"/>
          </w:tcPr>
          <w:p w14:paraId="577D9E76" w14:textId="2BB154A0" w:rsidR="00C6344F" w:rsidRDefault="00C6344F" w:rsidP="00C6344F">
            <w:pPr>
              <w:pStyle w:val="CETBodytext"/>
              <w:jc w:val="center"/>
              <w:rPr>
                <w:lang w:val="en-GB"/>
              </w:rPr>
            </w:pPr>
            <w:r>
              <w:rPr>
                <w:lang w:val="en-GB"/>
              </w:rPr>
              <w:t>Set 2</w:t>
            </w:r>
          </w:p>
        </w:tc>
        <w:tc>
          <w:tcPr>
            <w:tcW w:w="567" w:type="dxa"/>
            <w:tcBorders>
              <w:top w:val="single" w:sz="12" w:space="0" w:color="008000"/>
              <w:bottom w:val="single" w:sz="6" w:space="0" w:color="008000"/>
            </w:tcBorders>
            <w:shd w:val="clear" w:color="auto" w:fill="FFFFFF"/>
          </w:tcPr>
          <w:p w14:paraId="235B2424" w14:textId="77777777" w:rsidR="00C6344F" w:rsidRDefault="00C6344F" w:rsidP="00C6344F">
            <w:pPr>
              <w:pStyle w:val="CETBodytext"/>
              <w:jc w:val="center"/>
              <w:rPr>
                <w:lang w:val="en-GB"/>
              </w:rPr>
            </w:pPr>
          </w:p>
        </w:tc>
        <w:tc>
          <w:tcPr>
            <w:tcW w:w="4109" w:type="dxa"/>
            <w:gridSpan w:val="4"/>
            <w:vMerge w:val="restart"/>
            <w:tcBorders>
              <w:top w:val="single" w:sz="12" w:space="0" w:color="008000"/>
            </w:tcBorders>
            <w:shd w:val="clear" w:color="auto" w:fill="FFFFFF"/>
          </w:tcPr>
          <w:p w14:paraId="67620FED" w14:textId="6259D64B" w:rsidR="00C6344F" w:rsidRDefault="00C6344F" w:rsidP="00C6344F">
            <w:pPr>
              <w:pStyle w:val="CETBodytext"/>
              <w:jc w:val="center"/>
              <w:rPr>
                <w:lang w:val="en-GB"/>
              </w:rPr>
            </w:pPr>
          </w:p>
        </w:tc>
      </w:tr>
      <w:tr w:rsidR="00C6344F" w:rsidRPr="00B57B36" w14:paraId="528A6F4F" w14:textId="3809E518" w:rsidTr="007C6857">
        <w:tc>
          <w:tcPr>
            <w:tcW w:w="731" w:type="dxa"/>
            <w:vMerge/>
            <w:shd w:val="clear" w:color="auto" w:fill="FFFFFF"/>
          </w:tcPr>
          <w:p w14:paraId="51BE8482" w14:textId="77777777" w:rsidR="00C6344F" w:rsidRDefault="00C6344F" w:rsidP="00C6344F">
            <w:pPr>
              <w:pStyle w:val="CETBodytext"/>
              <w:jc w:val="center"/>
              <w:rPr>
                <w:lang w:val="en-GB"/>
              </w:rPr>
            </w:pPr>
          </w:p>
        </w:tc>
        <w:tc>
          <w:tcPr>
            <w:tcW w:w="932" w:type="dxa"/>
            <w:tcBorders>
              <w:top w:val="single" w:sz="12" w:space="0" w:color="008000"/>
              <w:bottom w:val="single" w:sz="6" w:space="0" w:color="008000"/>
            </w:tcBorders>
            <w:shd w:val="clear" w:color="auto" w:fill="FFFFFF"/>
          </w:tcPr>
          <w:p w14:paraId="14EE4878" w14:textId="1A0163C0" w:rsidR="00C6344F" w:rsidRDefault="00C6344F" w:rsidP="00C6344F">
            <w:pPr>
              <w:pStyle w:val="CETBodytext"/>
              <w:jc w:val="center"/>
              <w:rPr>
                <w:lang w:val="en-GB"/>
              </w:rPr>
            </w:pPr>
            <w:r w:rsidRPr="002D1368">
              <w:rPr>
                <w:lang w:val="en-GB"/>
              </w:rPr>
              <w:t>1,5</w:t>
            </w:r>
          </w:p>
        </w:tc>
        <w:tc>
          <w:tcPr>
            <w:tcW w:w="1172" w:type="dxa"/>
            <w:tcBorders>
              <w:top w:val="single" w:sz="12" w:space="0" w:color="008000"/>
              <w:bottom w:val="single" w:sz="6" w:space="0" w:color="008000"/>
            </w:tcBorders>
            <w:shd w:val="clear" w:color="auto" w:fill="FFFFFF"/>
          </w:tcPr>
          <w:p w14:paraId="145EE3E3" w14:textId="77777777" w:rsidR="00C6344F" w:rsidRDefault="00C6344F" w:rsidP="00C6344F">
            <w:pPr>
              <w:pStyle w:val="CETBodytext"/>
              <w:jc w:val="center"/>
              <w:rPr>
                <w:lang w:val="en-GB"/>
              </w:rPr>
            </w:pPr>
            <w:r>
              <w:rPr>
                <w:lang w:val="en-GB"/>
              </w:rPr>
              <w:t>0,5</w:t>
            </w:r>
          </w:p>
        </w:tc>
        <w:tc>
          <w:tcPr>
            <w:tcW w:w="1276" w:type="dxa"/>
            <w:tcBorders>
              <w:top w:val="single" w:sz="12" w:space="0" w:color="008000"/>
              <w:bottom w:val="single" w:sz="6" w:space="0" w:color="008000"/>
            </w:tcBorders>
            <w:shd w:val="clear" w:color="auto" w:fill="FFFFFF"/>
          </w:tcPr>
          <w:p w14:paraId="17592919" w14:textId="51B0CC98" w:rsidR="00C6344F" w:rsidRDefault="00C6344F" w:rsidP="00C6344F">
            <w:pPr>
              <w:pStyle w:val="CETBodytext"/>
              <w:jc w:val="center"/>
              <w:rPr>
                <w:lang w:val="en-GB"/>
              </w:rPr>
            </w:pPr>
            <w:r>
              <w:rPr>
                <w:lang w:val="en-GB"/>
              </w:rPr>
              <w:t>Set 2</w:t>
            </w:r>
          </w:p>
        </w:tc>
        <w:tc>
          <w:tcPr>
            <w:tcW w:w="567" w:type="dxa"/>
            <w:tcBorders>
              <w:top w:val="single" w:sz="12" w:space="0" w:color="008000"/>
              <w:bottom w:val="single" w:sz="6" w:space="0" w:color="008000"/>
            </w:tcBorders>
            <w:shd w:val="clear" w:color="auto" w:fill="FFFFFF"/>
          </w:tcPr>
          <w:p w14:paraId="0884D3F8" w14:textId="77777777" w:rsidR="00C6344F" w:rsidRDefault="00C6344F" w:rsidP="00C6344F">
            <w:pPr>
              <w:pStyle w:val="CETBodytext"/>
              <w:jc w:val="center"/>
              <w:rPr>
                <w:lang w:val="en-GB"/>
              </w:rPr>
            </w:pPr>
          </w:p>
        </w:tc>
        <w:tc>
          <w:tcPr>
            <w:tcW w:w="4109" w:type="dxa"/>
            <w:gridSpan w:val="4"/>
            <w:vMerge/>
            <w:shd w:val="clear" w:color="auto" w:fill="FFFFFF"/>
          </w:tcPr>
          <w:p w14:paraId="6EA69611" w14:textId="3D6DCB65" w:rsidR="00C6344F" w:rsidRDefault="00C6344F" w:rsidP="00C6344F">
            <w:pPr>
              <w:pStyle w:val="CETBodytext"/>
              <w:jc w:val="center"/>
              <w:rPr>
                <w:lang w:val="en-GB"/>
              </w:rPr>
            </w:pPr>
          </w:p>
        </w:tc>
      </w:tr>
      <w:tr w:rsidR="00C6344F" w:rsidRPr="00B57B36" w14:paraId="5891C1AD" w14:textId="07D80DE7" w:rsidTr="007C6857">
        <w:tc>
          <w:tcPr>
            <w:tcW w:w="731" w:type="dxa"/>
            <w:vMerge/>
            <w:shd w:val="clear" w:color="auto" w:fill="FFFFFF"/>
          </w:tcPr>
          <w:p w14:paraId="23DD11A0" w14:textId="77777777" w:rsidR="00C6344F" w:rsidRDefault="00C6344F" w:rsidP="00C6344F">
            <w:pPr>
              <w:pStyle w:val="CETBodytext"/>
              <w:jc w:val="center"/>
              <w:rPr>
                <w:lang w:val="en-GB"/>
              </w:rPr>
            </w:pPr>
          </w:p>
        </w:tc>
        <w:tc>
          <w:tcPr>
            <w:tcW w:w="932" w:type="dxa"/>
            <w:tcBorders>
              <w:top w:val="single" w:sz="12" w:space="0" w:color="008000"/>
              <w:bottom w:val="single" w:sz="6" w:space="0" w:color="008000"/>
            </w:tcBorders>
            <w:shd w:val="clear" w:color="auto" w:fill="FFFFFF"/>
          </w:tcPr>
          <w:p w14:paraId="72F9FE7D" w14:textId="72552FB1" w:rsidR="00C6344F" w:rsidRDefault="00C6344F" w:rsidP="00C6344F">
            <w:pPr>
              <w:pStyle w:val="CETBodytext"/>
              <w:jc w:val="center"/>
              <w:rPr>
                <w:lang w:val="en-GB"/>
              </w:rPr>
            </w:pPr>
            <w:r w:rsidRPr="002D1368">
              <w:rPr>
                <w:lang w:val="en-GB"/>
              </w:rPr>
              <w:t>1,5</w:t>
            </w:r>
          </w:p>
        </w:tc>
        <w:tc>
          <w:tcPr>
            <w:tcW w:w="1172" w:type="dxa"/>
            <w:tcBorders>
              <w:top w:val="single" w:sz="12" w:space="0" w:color="008000"/>
              <w:bottom w:val="single" w:sz="6" w:space="0" w:color="008000"/>
            </w:tcBorders>
            <w:shd w:val="clear" w:color="auto" w:fill="FFFFFF"/>
          </w:tcPr>
          <w:p w14:paraId="7BA4F9AB" w14:textId="77777777" w:rsidR="00C6344F" w:rsidRDefault="00C6344F" w:rsidP="00C6344F">
            <w:pPr>
              <w:pStyle w:val="CETBodytext"/>
              <w:jc w:val="center"/>
              <w:rPr>
                <w:lang w:val="en-GB"/>
              </w:rPr>
            </w:pPr>
            <w:r>
              <w:rPr>
                <w:lang w:val="en-GB"/>
              </w:rPr>
              <w:t>0,25</w:t>
            </w:r>
          </w:p>
        </w:tc>
        <w:tc>
          <w:tcPr>
            <w:tcW w:w="1276" w:type="dxa"/>
            <w:tcBorders>
              <w:top w:val="single" w:sz="12" w:space="0" w:color="008000"/>
              <w:bottom w:val="single" w:sz="6" w:space="0" w:color="008000"/>
            </w:tcBorders>
            <w:shd w:val="clear" w:color="auto" w:fill="FFFFFF"/>
          </w:tcPr>
          <w:p w14:paraId="030B037F" w14:textId="21A89F39" w:rsidR="00C6344F" w:rsidRDefault="00C6344F" w:rsidP="00C6344F">
            <w:pPr>
              <w:pStyle w:val="CETBodytext"/>
              <w:jc w:val="center"/>
              <w:rPr>
                <w:lang w:val="en-GB"/>
              </w:rPr>
            </w:pPr>
            <w:r>
              <w:rPr>
                <w:lang w:val="en-GB"/>
              </w:rPr>
              <w:t>Set 2</w:t>
            </w:r>
          </w:p>
        </w:tc>
        <w:tc>
          <w:tcPr>
            <w:tcW w:w="567" w:type="dxa"/>
            <w:tcBorders>
              <w:top w:val="single" w:sz="12" w:space="0" w:color="008000"/>
              <w:bottom w:val="single" w:sz="6" w:space="0" w:color="008000"/>
            </w:tcBorders>
            <w:shd w:val="clear" w:color="auto" w:fill="FFFFFF"/>
          </w:tcPr>
          <w:p w14:paraId="0FA02C68" w14:textId="77777777" w:rsidR="00C6344F" w:rsidRDefault="00C6344F" w:rsidP="00C6344F">
            <w:pPr>
              <w:pStyle w:val="CETBodytext"/>
              <w:jc w:val="center"/>
              <w:rPr>
                <w:lang w:val="en-GB"/>
              </w:rPr>
            </w:pPr>
          </w:p>
        </w:tc>
        <w:tc>
          <w:tcPr>
            <w:tcW w:w="4109" w:type="dxa"/>
            <w:gridSpan w:val="4"/>
            <w:vMerge/>
            <w:shd w:val="clear" w:color="auto" w:fill="FFFFFF"/>
          </w:tcPr>
          <w:p w14:paraId="069A16FC" w14:textId="5AAD433E" w:rsidR="00C6344F" w:rsidRDefault="00C6344F" w:rsidP="00C6344F">
            <w:pPr>
              <w:pStyle w:val="CETBodytext"/>
              <w:jc w:val="center"/>
              <w:rPr>
                <w:lang w:val="en-GB"/>
              </w:rPr>
            </w:pPr>
          </w:p>
        </w:tc>
      </w:tr>
      <w:tr w:rsidR="00C6344F" w:rsidRPr="00B57B36" w14:paraId="00FA59C0" w14:textId="607080A3" w:rsidTr="007C6857">
        <w:tc>
          <w:tcPr>
            <w:tcW w:w="731" w:type="dxa"/>
            <w:vMerge/>
            <w:tcBorders>
              <w:bottom w:val="single" w:sz="6" w:space="0" w:color="008000"/>
            </w:tcBorders>
            <w:shd w:val="clear" w:color="auto" w:fill="FFFFFF"/>
          </w:tcPr>
          <w:p w14:paraId="6ABFFFEF" w14:textId="77777777" w:rsidR="00C6344F" w:rsidRDefault="00C6344F" w:rsidP="00C6344F">
            <w:pPr>
              <w:pStyle w:val="CETBodytext"/>
              <w:jc w:val="center"/>
              <w:rPr>
                <w:lang w:val="en-GB"/>
              </w:rPr>
            </w:pPr>
          </w:p>
        </w:tc>
        <w:tc>
          <w:tcPr>
            <w:tcW w:w="932" w:type="dxa"/>
            <w:tcBorders>
              <w:top w:val="single" w:sz="12" w:space="0" w:color="008000"/>
              <w:bottom w:val="single" w:sz="6" w:space="0" w:color="008000"/>
            </w:tcBorders>
            <w:shd w:val="clear" w:color="auto" w:fill="FFFFFF"/>
          </w:tcPr>
          <w:p w14:paraId="62CA6EDB" w14:textId="0F3FA3B0" w:rsidR="00C6344F" w:rsidRDefault="00C6344F" w:rsidP="00C6344F">
            <w:pPr>
              <w:pStyle w:val="CETBodytext"/>
              <w:jc w:val="center"/>
              <w:rPr>
                <w:lang w:val="en-GB"/>
              </w:rPr>
            </w:pPr>
            <w:r w:rsidRPr="002D1368">
              <w:rPr>
                <w:lang w:val="en-GB"/>
              </w:rPr>
              <w:t>1,5</w:t>
            </w:r>
          </w:p>
        </w:tc>
        <w:tc>
          <w:tcPr>
            <w:tcW w:w="1172" w:type="dxa"/>
            <w:tcBorders>
              <w:top w:val="single" w:sz="12" w:space="0" w:color="008000"/>
              <w:bottom w:val="single" w:sz="6" w:space="0" w:color="008000"/>
            </w:tcBorders>
            <w:shd w:val="clear" w:color="auto" w:fill="FFFFFF"/>
          </w:tcPr>
          <w:p w14:paraId="0B0BAB24" w14:textId="77777777" w:rsidR="00C6344F" w:rsidRDefault="00C6344F" w:rsidP="00C6344F">
            <w:pPr>
              <w:pStyle w:val="CETBodytext"/>
              <w:jc w:val="center"/>
              <w:rPr>
                <w:lang w:val="en-GB"/>
              </w:rPr>
            </w:pPr>
            <w:r>
              <w:rPr>
                <w:lang w:val="en-GB"/>
              </w:rPr>
              <w:t>0,125</w:t>
            </w:r>
          </w:p>
        </w:tc>
        <w:tc>
          <w:tcPr>
            <w:tcW w:w="1276" w:type="dxa"/>
            <w:tcBorders>
              <w:top w:val="single" w:sz="12" w:space="0" w:color="008000"/>
              <w:bottom w:val="single" w:sz="6" w:space="0" w:color="008000"/>
            </w:tcBorders>
            <w:shd w:val="clear" w:color="auto" w:fill="FFFFFF"/>
          </w:tcPr>
          <w:p w14:paraId="59B146EA" w14:textId="287BCF12" w:rsidR="00C6344F" w:rsidRDefault="00C6344F" w:rsidP="00C6344F">
            <w:pPr>
              <w:pStyle w:val="CETBodytext"/>
              <w:jc w:val="center"/>
              <w:rPr>
                <w:lang w:val="en-GB"/>
              </w:rPr>
            </w:pPr>
            <w:r>
              <w:rPr>
                <w:lang w:val="en-GB"/>
              </w:rPr>
              <w:t>Set 2</w:t>
            </w:r>
          </w:p>
        </w:tc>
        <w:tc>
          <w:tcPr>
            <w:tcW w:w="567" w:type="dxa"/>
            <w:tcBorders>
              <w:top w:val="single" w:sz="12" w:space="0" w:color="008000"/>
              <w:bottom w:val="single" w:sz="6" w:space="0" w:color="008000"/>
            </w:tcBorders>
            <w:shd w:val="clear" w:color="auto" w:fill="FFFFFF"/>
          </w:tcPr>
          <w:p w14:paraId="7ECE1987" w14:textId="77777777" w:rsidR="00C6344F" w:rsidRDefault="00C6344F" w:rsidP="00C6344F">
            <w:pPr>
              <w:pStyle w:val="CETBodytext"/>
              <w:jc w:val="center"/>
              <w:rPr>
                <w:lang w:val="en-GB"/>
              </w:rPr>
            </w:pPr>
          </w:p>
        </w:tc>
        <w:tc>
          <w:tcPr>
            <w:tcW w:w="4109" w:type="dxa"/>
            <w:gridSpan w:val="4"/>
            <w:vMerge/>
            <w:tcBorders>
              <w:bottom w:val="single" w:sz="6" w:space="0" w:color="008000"/>
            </w:tcBorders>
            <w:shd w:val="clear" w:color="auto" w:fill="FFFFFF"/>
          </w:tcPr>
          <w:p w14:paraId="5703C4CE" w14:textId="54BC536E" w:rsidR="00C6344F" w:rsidRDefault="00C6344F" w:rsidP="00C6344F">
            <w:pPr>
              <w:pStyle w:val="CETBodytext"/>
              <w:jc w:val="center"/>
              <w:rPr>
                <w:lang w:val="en-GB"/>
              </w:rPr>
            </w:pPr>
          </w:p>
        </w:tc>
      </w:tr>
    </w:tbl>
    <w:p w14:paraId="53ADAAA9" w14:textId="0FCB888E" w:rsidR="000D1FAB" w:rsidRDefault="00A90C81" w:rsidP="000D1FAB">
      <w:r>
        <w:t>To</w:t>
      </w:r>
      <w:r w:rsidR="000D1FAB">
        <w:t xml:space="preserve"> analyse whether the influence of the ground is predominant, it was decided to </w:t>
      </w:r>
      <w:r>
        <w:t>normalize</w:t>
      </w:r>
      <w:r w:rsidR="000D1FAB">
        <w:t xml:space="preserve"> the results </w:t>
      </w:r>
      <w:r>
        <w:t>with</w:t>
      </w:r>
      <w:r w:rsidR="000D1FAB">
        <w:t xml:space="preserve"> the ME_NO.</w:t>
      </w:r>
      <w:r>
        <w:t xml:space="preserve"> </w:t>
      </w:r>
      <w:r w:rsidR="000D1FAB">
        <w:t xml:space="preserve">It can be observed that, in the presence of an obstacle, the ME is generally lower or, in some cases, comparable to the ME_NO. The notable exception is </w:t>
      </w:r>
      <w:proofErr w:type="spellStart"/>
      <w:r w:rsidR="000D1FAB">
        <w:rPr>
          <w:i/>
          <w:iCs/>
        </w:rPr>
        <w:t>Case_a</w:t>
      </w:r>
      <w:proofErr w:type="spellEnd"/>
      <w:r w:rsidR="000D1FAB">
        <w:t>, where there is an increase of up to 40% in the ME. In this case, however, the reference jet has no interaction with the ground. In addition, it can be noted that, as the distance of the obstacle from the point of release increases, the dimensionless ME tends asymptotically to 1.</w:t>
      </w:r>
    </w:p>
    <w:p w14:paraId="4878E5F1" w14:textId="72CBABD9" w:rsidR="000D1FAB" w:rsidRDefault="000D1FAB" w:rsidP="000D1FAB">
      <w:r>
        <w:lastRenderedPageBreak/>
        <w:t xml:space="preserve">When the obstacle is in the closest position to the point of release, the maximum extension of the jet is lower, with ME reductions ranging from 15% to 50%. This behaviour occurs due to the effects of impact with the obstacle when the release speed is still high. Among these effects are the formation of vortices downstream of the obstacle, which cause the dilution of the jet itself through the recall of ambient air and the separation of the jet from the ground, such as to limit the contribution of drag of the ground. </w:t>
      </w:r>
    </w:p>
    <w:p w14:paraId="7CF96313" w14:textId="2ACB9968" w:rsidR="00742825" w:rsidRDefault="000D1FAB" w:rsidP="000D1FAB">
      <w:r>
        <w:t xml:space="preserve">The release height greatly affects the behaviour </w:t>
      </w:r>
      <w:r w:rsidR="0025318C">
        <w:t xml:space="preserve">of the jet </w:t>
      </w:r>
      <w:r>
        <w:t xml:space="preserve">when the release from the incidental event is lower, that is, in </w:t>
      </w:r>
      <w:r>
        <w:rPr>
          <w:i/>
          <w:iCs/>
        </w:rPr>
        <w:t>Set 1</w:t>
      </w:r>
      <w:r>
        <w:t xml:space="preserve">. There are in fact important variations of the ME, essentially linked to two distinct behaviours: the jet is diverted over the obstacle as a result of the impact, or the jet is channelled under the obstacle. </w:t>
      </w:r>
    </w:p>
    <w:p w14:paraId="57AFCFB8" w14:textId="77777777" w:rsidR="0025318C" w:rsidRDefault="0025318C" w:rsidP="0025318C">
      <w:r>
        <w:t xml:space="preserve">On the contrary, in the simulations belonging to </w:t>
      </w:r>
      <w:r>
        <w:rPr>
          <w:i/>
          <w:iCs/>
        </w:rPr>
        <w:t>Set 2</w:t>
      </w:r>
      <w:r>
        <w:t xml:space="preserve"> and </w:t>
      </w:r>
      <w:r>
        <w:rPr>
          <w:i/>
          <w:iCs/>
        </w:rPr>
        <w:t>Set 3</w:t>
      </w:r>
      <w:r>
        <w:t>, we can observe how the release height gradually loses importance in influencing the maximum extension of the jet.</w:t>
      </w:r>
    </w:p>
    <w:p w14:paraId="0EC0B8F0" w14:textId="4A11E5AF" w:rsidR="0025318C" w:rsidRDefault="0025318C" w:rsidP="0025318C">
      <w:pPr>
        <w:rPr>
          <w:rFonts w:ascii="Palatino Linotype" w:hAnsi="Palatino Linotype"/>
          <w:sz w:val="20"/>
        </w:rPr>
      </w:pPr>
      <w:r>
        <w:t xml:space="preserve">The general trend of the graphs in Figure </w:t>
      </w:r>
      <w:r w:rsidR="0085307B">
        <w:t>2</w:t>
      </w:r>
      <w:r>
        <w:t xml:space="preserve"> reflects what has already been analysed for single obstacles. The ME is lower than the ME_NO, except in special cases such as </w:t>
      </w:r>
      <w:proofErr w:type="spellStart"/>
      <w:r>
        <w:rPr>
          <w:i/>
          <w:iCs/>
        </w:rPr>
        <w:t>Case_a</w:t>
      </w:r>
      <w:proofErr w:type="spellEnd"/>
      <w:r>
        <w:t>, with reductions up to 50% depending on the distance of the pair of obstacles to the point of release.</w:t>
      </w:r>
    </w:p>
    <w:p w14:paraId="070B4DAE" w14:textId="1C26AC9D" w:rsidR="0025318C" w:rsidRDefault="0025318C" w:rsidP="0025318C">
      <w:r>
        <w:t xml:space="preserve">The maximum extension of the jet increases with the distance of the pair of obstacles from the point of release, as the dilution of the jet linked to the turbulence, generated by the impact, occurs when the ground has already affected the jet behaviour significantly; conversely, turbulence is critical in reducing the ME when the pair of obstacles is near the jet release point. The height of the release point greatly affects the behaviour of the jet in </w:t>
      </w:r>
      <w:r>
        <w:rPr>
          <w:i/>
          <w:iCs/>
        </w:rPr>
        <w:t>Set 1</w:t>
      </w:r>
      <w:r>
        <w:t xml:space="preserve">, while in </w:t>
      </w:r>
      <w:r>
        <w:rPr>
          <w:i/>
          <w:iCs/>
        </w:rPr>
        <w:t>Set 2</w:t>
      </w:r>
      <w:r>
        <w:t xml:space="preserve"> and </w:t>
      </w:r>
      <w:r>
        <w:rPr>
          <w:i/>
          <w:iCs/>
        </w:rPr>
        <w:t>Set 3</w:t>
      </w:r>
      <w:r>
        <w:t xml:space="preserve"> its contribution is progressively smaller.</w:t>
      </w:r>
    </w:p>
    <w:p w14:paraId="0DB2F041" w14:textId="77777777" w:rsidR="00C73B05" w:rsidRDefault="00C73B05" w:rsidP="0025318C"/>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85"/>
        <w:gridCol w:w="4282"/>
      </w:tblGrid>
      <w:tr w:rsidR="001F3936" w14:paraId="5AB6E2DA" w14:textId="77777777" w:rsidTr="00CB1995">
        <w:trPr>
          <w:trHeight w:val="5772"/>
        </w:trPr>
        <w:tc>
          <w:tcPr>
            <w:tcW w:w="4285" w:type="dxa"/>
          </w:tcPr>
          <w:p w14:paraId="5523539F" w14:textId="77777777" w:rsidR="001F3936" w:rsidRDefault="001F3936" w:rsidP="00CB1995">
            <w:pPr>
              <w:rPr>
                <w:i/>
                <w:iCs/>
              </w:rPr>
            </w:pPr>
          </w:p>
          <w:p w14:paraId="474BD1C1" w14:textId="77777777" w:rsidR="001F3936" w:rsidRDefault="001F3936" w:rsidP="00CB1995">
            <w:pPr>
              <w:rPr>
                <w:i/>
                <w:iCs/>
              </w:rPr>
            </w:pPr>
            <w:r>
              <w:rPr>
                <w:i/>
                <w:iCs/>
                <w:noProof/>
              </w:rPr>
              <w:drawing>
                <wp:inline distT="0" distB="0" distL="0" distR="0" wp14:anchorId="35299D2A" wp14:editId="187F112D">
                  <wp:extent cx="2429709" cy="1440000"/>
                  <wp:effectExtent l="0" t="0" r="8890" b="8255"/>
                  <wp:docPr id="147736159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9709" cy="1440000"/>
                          </a:xfrm>
                          <a:prstGeom prst="rect">
                            <a:avLst/>
                          </a:prstGeom>
                          <a:noFill/>
                        </pic:spPr>
                      </pic:pic>
                    </a:graphicData>
                  </a:graphic>
                </wp:inline>
              </w:drawing>
            </w:r>
          </w:p>
          <w:p w14:paraId="42BAAE88" w14:textId="77777777" w:rsidR="001F3936" w:rsidRDefault="001F3936" w:rsidP="00CB1995">
            <w:pPr>
              <w:rPr>
                <w:i/>
                <w:iCs/>
              </w:rPr>
            </w:pPr>
            <w:r>
              <w:rPr>
                <w:i/>
                <w:iCs/>
                <w:noProof/>
              </w:rPr>
              <w:drawing>
                <wp:inline distT="0" distB="0" distL="0" distR="0" wp14:anchorId="5DC2B8AC" wp14:editId="123389B6">
                  <wp:extent cx="2430000" cy="1450777"/>
                  <wp:effectExtent l="0" t="0" r="8890" b="0"/>
                  <wp:docPr id="149209702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000" cy="1450777"/>
                          </a:xfrm>
                          <a:prstGeom prst="rect">
                            <a:avLst/>
                          </a:prstGeom>
                          <a:noFill/>
                        </pic:spPr>
                      </pic:pic>
                    </a:graphicData>
                  </a:graphic>
                </wp:inline>
              </w:drawing>
            </w:r>
          </w:p>
          <w:p w14:paraId="0EC673F2" w14:textId="77777777" w:rsidR="001F3936" w:rsidRDefault="001F3936" w:rsidP="00CB1995">
            <w:pPr>
              <w:rPr>
                <w:i/>
                <w:iCs/>
              </w:rPr>
            </w:pPr>
            <w:r>
              <w:rPr>
                <w:i/>
                <w:iCs/>
                <w:noProof/>
              </w:rPr>
              <w:drawing>
                <wp:inline distT="0" distB="0" distL="0" distR="0" wp14:anchorId="5E36BBD2" wp14:editId="74D043AC">
                  <wp:extent cx="2430000" cy="1454059"/>
                  <wp:effectExtent l="0" t="0" r="8890" b="0"/>
                  <wp:docPr id="131435271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0000" cy="1454059"/>
                          </a:xfrm>
                          <a:prstGeom prst="rect">
                            <a:avLst/>
                          </a:prstGeom>
                          <a:noFill/>
                        </pic:spPr>
                      </pic:pic>
                    </a:graphicData>
                  </a:graphic>
                </wp:inline>
              </w:drawing>
            </w:r>
          </w:p>
        </w:tc>
        <w:tc>
          <w:tcPr>
            <w:tcW w:w="4282" w:type="dxa"/>
          </w:tcPr>
          <w:p w14:paraId="6E5ACAE6" w14:textId="77777777" w:rsidR="001F3936" w:rsidRDefault="001F3936" w:rsidP="00CB1995">
            <w:pPr>
              <w:rPr>
                <w:i/>
                <w:iCs/>
              </w:rPr>
            </w:pPr>
          </w:p>
          <w:p w14:paraId="2C26DE67" w14:textId="77777777" w:rsidR="001F3936" w:rsidRDefault="001F3936" w:rsidP="00CB1995">
            <w:pPr>
              <w:jc w:val="center"/>
              <w:rPr>
                <w:i/>
                <w:iCs/>
              </w:rPr>
            </w:pPr>
            <w:r>
              <w:rPr>
                <w:i/>
                <w:iCs/>
                <w:noProof/>
              </w:rPr>
              <w:drawing>
                <wp:inline distT="0" distB="0" distL="0" distR="0" wp14:anchorId="74C11C43" wp14:editId="2F661D11">
                  <wp:extent cx="2447925" cy="1439545"/>
                  <wp:effectExtent l="0" t="0" r="9525" b="8255"/>
                  <wp:docPr id="157390959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9510" cy="1440477"/>
                          </a:xfrm>
                          <a:prstGeom prst="rect">
                            <a:avLst/>
                          </a:prstGeom>
                          <a:noFill/>
                        </pic:spPr>
                      </pic:pic>
                    </a:graphicData>
                  </a:graphic>
                </wp:inline>
              </w:drawing>
            </w:r>
          </w:p>
          <w:p w14:paraId="6A2EF134" w14:textId="77777777" w:rsidR="001F3936" w:rsidRDefault="001F3936" w:rsidP="00CB1995">
            <w:pPr>
              <w:jc w:val="center"/>
              <w:rPr>
                <w:i/>
                <w:iCs/>
              </w:rPr>
            </w:pPr>
            <w:r>
              <w:rPr>
                <w:i/>
                <w:iCs/>
                <w:noProof/>
              </w:rPr>
              <w:drawing>
                <wp:inline distT="0" distB="0" distL="0" distR="0" wp14:anchorId="7B75F036" wp14:editId="768D3C0E">
                  <wp:extent cx="2448000" cy="1448446"/>
                  <wp:effectExtent l="0" t="0" r="9525" b="0"/>
                  <wp:docPr id="117133913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8000" cy="1448446"/>
                          </a:xfrm>
                          <a:prstGeom prst="rect">
                            <a:avLst/>
                          </a:prstGeom>
                          <a:noFill/>
                        </pic:spPr>
                      </pic:pic>
                    </a:graphicData>
                  </a:graphic>
                </wp:inline>
              </w:drawing>
            </w:r>
          </w:p>
          <w:p w14:paraId="25E8454A" w14:textId="77777777" w:rsidR="001F3936" w:rsidRDefault="001F3936" w:rsidP="00CB1995">
            <w:pPr>
              <w:jc w:val="center"/>
              <w:rPr>
                <w:i/>
                <w:iCs/>
              </w:rPr>
            </w:pPr>
            <w:r>
              <w:rPr>
                <w:i/>
                <w:iCs/>
                <w:noProof/>
              </w:rPr>
              <w:drawing>
                <wp:inline distT="0" distB="0" distL="0" distR="0" wp14:anchorId="2345C96B" wp14:editId="474CC9BD">
                  <wp:extent cx="2448000" cy="1448446"/>
                  <wp:effectExtent l="0" t="0" r="9525" b="0"/>
                  <wp:docPr id="137568007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8000" cy="1448446"/>
                          </a:xfrm>
                          <a:prstGeom prst="rect">
                            <a:avLst/>
                          </a:prstGeom>
                          <a:noFill/>
                        </pic:spPr>
                      </pic:pic>
                    </a:graphicData>
                  </a:graphic>
                </wp:inline>
              </w:drawing>
            </w:r>
          </w:p>
        </w:tc>
      </w:tr>
    </w:tbl>
    <w:p w14:paraId="006710E1" w14:textId="77777777" w:rsidR="00C73B05" w:rsidRDefault="001F3936" w:rsidP="0025318C">
      <w:pPr>
        <w:rPr>
          <w:i/>
          <w:iCs/>
        </w:rPr>
      </w:pPr>
      <w:r w:rsidRPr="00742825">
        <w:rPr>
          <w:i/>
          <w:iCs/>
        </w:rPr>
        <w:t xml:space="preserve">Figure </w:t>
      </w:r>
      <w:r>
        <w:rPr>
          <w:i/>
          <w:iCs/>
        </w:rPr>
        <w:t>2</w:t>
      </w:r>
      <w:r w:rsidRPr="00742825">
        <w:rPr>
          <w:i/>
          <w:iCs/>
        </w:rPr>
        <w:t xml:space="preserve">: Dimensionless ME for each set for a single </w:t>
      </w:r>
      <w:r>
        <w:rPr>
          <w:i/>
          <w:iCs/>
        </w:rPr>
        <w:t>tank (left)</w:t>
      </w:r>
      <w:r w:rsidRPr="00742825">
        <w:rPr>
          <w:i/>
          <w:iCs/>
        </w:rPr>
        <w:t xml:space="preserve"> and pair of</w:t>
      </w:r>
      <w:r>
        <w:rPr>
          <w:i/>
          <w:iCs/>
        </w:rPr>
        <w:t xml:space="preserve"> tanks (right).</w:t>
      </w:r>
    </w:p>
    <w:p w14:paraId="2CD660BC" w14:textId="34B43521" w:rsidR="0025318C" w:rsidRPr="00C73B05" w:rsidRDefault="0025318C" w:rsidP="0025318C">
      <w:pPr>
        <w:rPr>
          <w:rFonts w:ascii="Palatino Linotype" w:hAnsi="Palatino Linotype"/>
          <w:sz w:val="20"/>
        </w:rPr>
      </w:pPr>
      <w:r>
        <w:t>To observe more immediately the effect of the second obstacle on the behaviour of the jet, it was decided to divide the maximum extensions of the pair of obstacles jets (</w:t>
      </w:r>
      <w:proofErr w:type="spellStart"/>
      <w:r>
        <w:t>ME_pair</w:t>
      </w:r>
      <w:proofErr w:type="spellEnd"/>
      <w:r>
        <w:t>) by those relating to the respective single cases (</w:t>
      </w:r>
      <w:proofErr w:type="spellStart"/>
      <w:r>
        <w:t>ME_single</w:t>
      </w:r>
      <w:proofErr w:type="spellEnd"/>
      <w:r>
        <w:t xml:space="preserve">) depending on the distance of the first obstacle from the point of release. It is also recalled that the distance between the two obstacles is fixed and equal to s/D = 2. There is great variance in the results when the pair of obstacles is in a very close position at the point of release. When, on the other hand, the pair of obstacles is in the position equivalent to d/ME_NO = 0,5, a general decrease of between 5% and 25% of the </w:t>
      </w:r>
      <w:r>
        <w:lastRenderedPageBreak/>
        <w:t>dimensionless ME can be observed, confirming what had already been achieved in a previous work (Romano et al., 2022) for an s/D = 2 ratio.</w:t>
      </w:r>
    </w:p>
    <w:p w14:paraId="357E5F43" w14:textId="1C0F8290" w:rsidR="00742825" w:rsidRDefault="0025318C" w:rsidP="00635AAB">
      <w:r>
        <w:t>Thus, it can be noted how the influence of turbulence and the dilution of the jet contribute to create the greatest differences between single obstacle and pair of obstacles in this area. Finally, the dimensionless ME tends to converge towards a unit value if the obstacles are at the maximum distance, between the simulated ones, from the point of release; this indicates a progressive loss of influence of the second obstacle on the extension of the jet.</w:t>
      </w:r>
    </w:p>
    <w:p w14:paraId="6321BCB0" w14:textId="77777777" w:rsidR="00C73B05" w:rsidRDefault="00C73B05" w:rsidP="00C73B05">
      <w:pPr>
        <w:jc w:val="left"/>
      </w:pPr>
      <w:r w:rsidRPr="009B51D4">
        <w:rPr>
          <w:noProof/>
        </w:rPr>
        <w:drawing>
          <wp:inline distT="0" distB="0" distL="0" distR="0" wp14:anchorId="4E53BC01" wp14:editId="7D605604">
            <wp:extent cx="3174741" cy="1692000"/>
            <wp:effectExtent l="0" t="0" r="6985" b="3810"/>
            <wp:docPr id="21006652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5250" name=""/>
                    <pic:cNvPicPr/>
                  </pic:nvPicPr>
                  <pic:blipFill>
                    <a:blip r:embed="rId18"/>
                    <a:stretch>
                      <a:fillRect/>
                    </a:stretch>
                  </pic:blipFill>
                  <pic:spPr>
                    <a:xfrm>
                      <a:off x="0" y="0"/>
                      <a:ext cx="3174741" cy="1692000"/>
                    </a:xfrm>
                    <a:prstGeom prst="rect">
                      <a:avLst/>
                    </a:prstGeom>
                  </pic:spPr>
                </pic:pic>
              </a:graphicData>
            </a:graphic>
          </wp:inline>
        </w:drawing>
      </w:r>
    </w:p>
    <w:p w14:paraId="2050943D" w14:textId="77777777" w:rsidR="00C73B05" w:rsidRPr="001F3936" w:rsidRDefault="00C73B05" w:rsidP="00C73B05">
      <w:pPr>
        <w:pStyle w:val="CETBodytext"/>
        <w:jc w:val="left"/>
        <w:rPr>
          <w:i/>
          <w:iCs/>
        </w:rPr>
      </w:pPr>
      <w:r w:rsidRPr="00A7637D">
        <w:rPr>
          <w:i/>
          <w:iCs/>
        </w:rPr>
        <w:t xml:space="preserve">Figure </w:t>
      </w:r>
      <w:r>
        <w:rPr>
          <w:i/>
          <w:iCs/>
        </w:rPr>
        <w:t>3</w:t>
      </w:r>
      <w:r w:rsidRPr="00A7637D">
        <w:rPr>
          <w:i/>
          <w:iCs/>
        </w:rPr>
        <w:t>: Comparison between dimensionless ME for each release set</w:t>
      </w:r>
      <w:r>
        <w:rPr>
          <w:i/>
          <w:iCs/>
        </w:rPr>
        <w:t>.</w:t>
      </w:r>
    </w:p>
    <w:p w14:paraId="2F35231A" w14:textId="77777777" w:rsidR="001F3936" w:rsidRPr="00C73B05" w:rsidRDefault="001F3936" w:rsidP="00635AAB">
      <w:pPr>
        <w:rPr>
          <w:lang w:val="en-US"/>
        </w:rPr>
      </w:pPr>
    </w:p>
    <w:p w14:paraId="1A108563" w14:textId="7DDC2D7B" w:rsidR="000104BA" w:rsidRDefault="000104BA" w:rsidP="00635AAB">
      <w:pPr>
        <w:rPr>
          <w:rFonts w:cs="Univers"/>
          <w:szCs w:val="24"/>
        </w:rPr>
      </w:pPr>
      <w:r>
        <w:rPr>
          <w:bCs/>
        </w:rPr>
        <w:t xml:space="preserve">The analysis of the interaction between the jet and the obstacle was based on the study of the </w:t>
      </w:r>
      <w:r>
        <w:rPr>
          <w:bCs/>
          <w:i/>
          <w:iCs/>
        </w:rPr>
        <w:t>streamlines</w:t>
      </w:r>
      <w:r>
        <w:rPr>
          <w:bCs/>
        </w:rPr>
        <w:t xml:space="preserve">, which allow observing the speed gradients and the path followed by the jet during the release. At close range, the kinetic energy associated with the release of the jet is still very high; for this reason, the impact with the obstacle generates a very high level of turbulence. </w:t>
      </w:r>
      <w:r>
        <w:rPr>
          <w:rFonts w:cs="Univers"/>
          <w:szCs w:val="24"/>
        </w:rPr>
        <w:t>Since turbulence is associated with the formation of vortices that cause the entrainment of ambient air, the result is the dilution of the concentration of gas, which limits the maximum extension of the jet as the value of the LFL is reached at shorter distances. For this reason, up to 50% reductions in ME were obtained at the closest distance compared to ME_NO.</w:t>
      </w:r>
    </w:p>
    <w:p w14:paraId="153F344A" w14:textId="45966DF4" w:rsidR="0085307B" w:rsidRDefault="000104BA" w:rsidP="00635AAB">
      <w:pPr>
        <w:rPr>
          <w:rFonts w:cs="Univers"/>
          <w:szCs w:val="24"/>
        </w:rPr>
      </w:pPr>
      <w:r>
        <w:rPr>
          <w:rFonts w:cs="Univers"/>
          <w:szCs w:val="24"/>
        </w:rPr>
        <w:t>At a great distance, the speed gradients are reduced</w:t>
      </w:r>
      <w:r w:rsidR="00291D09">
        <w:rPr>
          <w:rFonts w:cs="Univers"/>
          <w:szCs w:val="24"/>
        </w:rPr>
        <w:t xml:space="preserve"> and, </w:t>
      </w:r>
      <w:r>
        <w:rPr>
          <w:rFonts w:cs="Univers"/>
          <w:szCs w:val="24"/>
        </w:rPr>
        <w:t>for this reason, the turbulence generated by the impact modestly modify the ME, which is instead influenced mainly by the ground, in a similar way to what happens for NO jets.</w:t>
      </w:r>
    </w:p>
    <w:p w14:paraId="578E49E8" w14:textId="07B98B9D" w:rsidR="00291D09" w:rsidRDefault="00291D09" w:rsidP="00635AAB">
      <w:pPr>
        <w:rPr>
          <w:rFonts w:cs="Univers"/>
          <w:szCs w:val="24"/>
        </w:rPr>
      </w:pPr>
      <w:r w:rsidRPr="00BD30C4">
        <w:rPr>
          <w:rFonts w:cs="Univers"/>
          <w:szCs w:val="24"/>
        </w:rPr>
        <w:t xml:space="preserve">An example of </w:t>
      </w:r>
      <w:r w:rsidRPr="00BD30C4">
        <w:rPr>
          <w:rFonts w:cs="Univers"/>
          <w:i/>
          <w:iCs/>
          <w:szCs w:val="24"/>
        </w:rPr>
        <w:t>streamlines</w:t>
      </w:r>
      <w:r w:rsidRPr="00BD30C4">
        <w:rPr>
          <w:rFonts w:cs="Univers"/>
          <w:szCs w:val="24"/>
        </w:rPr>
        <w:t xml:space="preserve"> trend is shown in Figure </w:t>
      </w:r>
      <w:r w:rsidR="001F3936" w:rsidRPr="00BD30C4">
        <w:rPr>
          <w:rFonts w:cs="Univers"/>
          <w:szCs w:val="24"/>
        </w:rPr>
        <w:t>4</w:t>
      </w:r>
      <w:r w:rsidRPr="00BD30C4">
        <w:rPr>
          <w:rFonts w:cs="Univers"/>
          <w:szCs w:val="24"/>
        </w:rPr>
        <w:t>, both for close range impact and impact at a great distance.</w:t>
      </w:r>
    </w:p>
    <w:p w14:paraId="0D86ED47" w14:textId="7E754FD1" w:rsidR="001F3936" w:rsidRDefault="000104BA" w:rsidP="00635AAB">
      <w:pPr>
        <w:rPr>
          <w:rFonts w:cs="Univers"/>
          <w:szCs w:val="24"/>
        </w:rPr>
      </w:pPr>
      <w:r>
        <w:rPr>
          <w:rFonts w:cs="Univers"/>
          <w:szCs w:val="24"/>
        </w:rPr>
        <w:t>As already pointed out above, when there are two obstacles in series</w:t>
      </w:r>
      <w:r w:rsidR="00C73B05">
        <w:rPr>
          <w:rFonts w:cs="Univers"/>
          <w:szCs w:val="24"/>
        </w:rPr>
        <w:t>,</w:t>
      </w:r>
      <w:r>
        <w:rPr>
          <w:rFonts w:cs="Univers"/>
          <w:szCs w:val="24"/>
        </w:rPr>
        <w:t xml:space="preserve"> the ME is reduced both compared to the NO jet and to the case in presence of a single obstacle. The presence of the second obstacle represents, in fact, an additional source of turbulence along the path of the jet, favouring the recall of atmospheric air and decreasing the kinetic energy of the jet following a second impact, as well as its circulation within the gap between the two obstacles. In addition, the turbulence generated downstream of the second obstacle helps to limit even more the dragging effect of the ground, for example by causing the jet to detach from the ground.</w:t>
      </w:r>
    </w:p>
    <w:p w14:paraId="2B86F575" w14:textId="77777777" w:rsidR="00C73B05" w:rsidRPr="001F3936" w:rsidRDefault="00C73B05" w:rsidP="00635AAB"/>
    <w:p w14:paraId="65BB25FB" w14:textId="12E68CB8" w:rsidR="001F3936" w:rsidRPr="001F3936" w:rsidRDefault="001F3936" w:rsidP="001F3936">
      <w:pPr>
        <w:jc w:val="left"/>
        <w:rPr>
          <w:lang w:val="it-IT"/>
        </w:rPr>
      </w:pPr>
      <w:r>
        <w:rPr>
          <w:noProof/>
        </w:rPr>
        <w:drawing>
          <wp:inline distT="0" distB="0" distL="0" distR="0" wp14:anchorId="56F7CB6E" wp14:editId="7773AAD4">
            <wp:extent cx="1609691" cy="1404000"/>
            <wp:effectExtent l="0" t="0" r="0" b="571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9691" cy="1404000"/>
                    </a:xfrm>
                    <a:prstGeom prst="rect">
                      <a:avLst/>
                    </a:prstGeom>
                    <a:noFill/>
                    <a:ln>
                      <a:noFill/>
                    </a:ln>
                  </pic:spPr>
                </pic:pic>
              </a:graphicData>
            </a:graphic>
          </wp:inline>
        </w:drawing>
      </w:r>
      <w:r w:rsidRPr="00FC55DA">
        <w:rPr>
          <w:rFonts w:cs="Univers"/>
          <w:noProof/>
          <w:szCs w:val="24"/>
        </w:rPr>
        <w:drawing>
          <wp:inline distT="0" distB="0" distL="0" distR="0" wp14:anchorId="37BDF730" wp14:editId="6366A1CA">
            <wp:extent cx="1938838" cy="1404000"/>
            <wp:effectExtent l="0" t="0" r="4445" b="571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38838" cy="1404000"/>
                    </a:xfrm>
                    <a:prstGeom prst="rect">
                      <a:avLst/>
                    </a:prstGeom>
                  </pic:spPr>
                </pic:pic>
              </a:graphicData>
            </a:graphic>
          </wp:inline>
        </w:drawing>
      </w:r>
      <w:r w:rsidRPr="00291D09">
        <w:rPr>
          <w:noProof/>
        </w:rPr>
        <w:drawing>
          <wp:inline distT="0" distB="0" distL="0" distR="0" wp14:anchorId="31B1361A" wp14:editId="1F328263">
            <wp:extent cx="1951355" cy="1403904"/>
            <wp:effectExtent l="0" t="0" r="0" b="6350"/>
            <wp:docPr id="1473068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68071" name=""/>
                    <pic:cNvPicPr/>
                  </pic:nvPicPr>
                  <pic:blipFill>
                    <a:blip r:embed="rId21"/>
                    <a:stretch>
                      <a:fillRect/>
                    </a:stretch>
                  </pic:blipFill>
                  <pic:spPr>
                    <a:xfrm>
                      <a:off x="0" y="0"/>
                      <a:ext cx="1953029" cy="1405108"/>
                    </a:xfrm>
                    <a:prstGeom prst="rect">
                      <a:avLst/>
                    </a:prstGeom>
                  </pic:spPr>
                </pic:pic>
              </a:graphicData>
            </a:graphic>
          </wp:inline>
        </w:drawing>
      </w:r>
    </w:p>
    <w:p w14:paraId="2036D561" w14:textId="1CE32E5B" w:rsidR="001F3936" w:rsidRPr="001F3936" w:rsidRDefault="001F3936" w:rsidP="001F3936">
      <w:pPr>
        <w:pStyle w:val="CETBodytext"/>
        <w:jc w:val="left"/>
        <w:rPr>
          <w:i/>
          <w:iCs/>
        </w:rPr>
      </w:pPr>
      <w:r w:rsidRPr="00BD30C4">
        <w:rPr>
          <w:i/>
          <w:iCs/>
        </w:rPr>
        <w:t>Figure 4: Streamlines trend for close range impact and impact at a great distance.</w:t>
      </w:r>
    </w:p>
    <w:p w14:paraId="79964C11" w14:textId="666D84C0" w:rsidR="000D1FAB" w:rsidRDefault="000D1FAB" w:rsidP="000D1FAB">
      <w:pPr>
        <w:pStyle w:val="CETHeading1"/>
        <w:rPr>
          <w:lang w:val="en-GB"/>
        </w:rPr>
      </w:pPr>
      <w:r>
        <w:rPr>
          <w:lang w:val="en-GB"/>
        </w:rPr>
        <w:t>Conclusions</w:t>
      </w:r>
    </w:p>
    <w:p w14:paraId="128AB742" w14:textId="6A29716C" w:rsidR="00496077" w:rsidRDefault="005D36D0" w:rsidP="00496077">
      <w:pPr>
        <w:pStyle w:val="CETBodytext"/>
        <w:rPr>
          <w:lang w:val="en-GB"/>
        </w:rPr>
      </w:pPr>
      <w:r>
        <w:t>I</w:t>
      </w:r>
      <w:r w:rsidR="00CB022B">
        <w:t>n this work, the scenario of a methane high-pressure jet parallel to the ground, interacting both with it and a single tank or a couple of tanks, was investigated. Varying the height of the source above the ground, the influence that such kind of obstacles has on the jet was analyzed.</w:t>
      </w:r>
    </w:p>
    <w:p w14:paraId="0290F409" w14:textId="0784E53A" w:rsidR="00635AAB" w:rsidRDefault="00CB022B" w:rsidP="00496077">
      <w:pPr>
        <w:pStyle w:val="CETBodytext"/>
      </w:pPr>
      <w:r>
        <w:t>With regards to the preliminary results shown, it is possible to conclude</w:t>
      </w:r>
      <w:r w:rsidR="00150A33">
        <w:t xml:space="preserve"> (see Figure </w:t>
      </w:r>
      <w:r w:rsidR="001F3936">
        <w:t>5</w:t>
      </w:r>
      <w:r w:rsidR="00150A33">
        <w:t>)</w:t>
      </w:r>
      <w:r>
        <w:t xml:space="preserve"> that:</w:t>
      </w:r>
    </w:p>
    <w:p w14:paraId="6A0FB43B" w14:textId="39BBACCF" w:rsidR="00635AAB" w:rsidRDefault="00635AAB" w:rsidP="00635AAB">
      <w:pPr>
        <w:pStyle w:val="CETBodytext"/>
        <w:numPr>
          <w:ilvl w:val="0"/>
          <w:numId w:val="26"/>
        </w:numPr>
      </w:pPr>
      <w:r>
        <w:lastRenderedPageBreak/>
        <w:t>For cases with a single obstacle</w:t>
      </w:r>
      <w:r w:rsidR="00E9749F">
        <w:t>, a simplification of the simulation geometry is possible only if d/ME_NO &gt; 0,5; in this case, it is possible to assume that the influence of the obstacle is negligible compared to the influence of the ground, therefore the results obtained by Colombini</w:t>
      </w:r>
      <w:r w:rsidR="00150A33">
        <w:t xml:space="preserve"> (2022b)</w:t>
      </w:r>
      <w:r w:rsidR="00E9749F">
        <w:t xml:space="preserve"> can be used</w:t>
      </w:r>
      <w:r w:rsidR="001F3936">
        <w:t>;</w:t>
      </w:r>
    </w:p>
    <w:p w14:paraId="69F9E00F" w14:textId="2E0D731E" w:rsidR="000104BA" w:rsidRPr="001F3936" w:rsidRDefault="004E71FB" w:rsidP="001F3936">
      <w:pPr>
        <w:pStyle w:val="CETBodytext"/>
        <w:numPr>
          <w:ilvl w:val="0"/>
          <w:numId w:val="26"/>
        </w:numPr>
      </w:pPr>
      <w:r>
        <w:t>For cases with a pair of obstacles, a simplification of the geometry of the simulation is possible only if d/ME_NO &gt; 0,75; in this case, the influence of the second obstacle is negligible and it is possible to simulate the scenario which presents only one obstacle.</w:t>
      </w:r>
    </w:p>
    <w:p w14:paraId="290755E8" w14:textId="2B7B4E86" w:rsidR="00B33AF9" w:rsidRDefault="00B71C8F" w:rsidP="00600535">
      <w:pPr>
        <w:pStyle w:val="CETBodytext"/>
        <w:rPr>
          <w:lang w:val="en-GB"/>
        </w:rPr>
      </w:pPr>
      <w:r w:rsidRPr="00B71C8F">
        <w:rPr>
          <w:noProof/>
          <w:lang w:val="en-GB"/>
        </w:rPr>
        <w:drawing>
          <wp:inline distT="0" distB="0" distL="0" distR="0" wp14:anchorId="481DEE93" wp14:editId="401C2639">
            <wp:extent cx="2803865" cy="1800000"/>
            <wp:effectExtent l="0" t="0" r="0" b="0"/>
            <wp:docPr id="10915315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31586" name=""/>
                    <pic:cNvPicPr/>
                  </pic:nvPicPr>
                  <pic:blipFill>
                    <a:blip r:embed="rId22"/>
                    <a:stretch>
                      <a:fillRect/>
                    </a:stretch>
                  </pic:blipFill>
                  <pic:spPr>
                    <a:xfrm>
                      <a:off x="0" y="0"/>
                      <a:ext cx="2803865" cy="1800000"/>
                    </a:xfrm>
                    <a:prstGeom prst="rect">
                      <a:avLst/>
                    </a:prstGeom>
                  </pic:spPr>
                </pic:pic>
              </a:graphicData>
            </a:graphic>
          </wp:inline>
        </w:drawing>
      </w:r>
      <w:r w:rsidRPr="00B71C8F">
        <w:rPr>
          <w:noProof/>
          <w:lang w:val="en-GB"/>
        </w:rPr>
        <w:drawing>
          <wp:inline distT="0" distB="0" distL="0" distR="0" wp14:anchorId="3480427F" wp14:editId="62739A64">
            <wp:extent cx="2758870" cy="1800000"/>
            <wp:effectExtent l="0" t="0" r="3810" b="0"/>
            <wp:docPr id="5835100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10095" name=""/>
                    <pic:cNvPicPr/>
                  </pic:nvPicPr>
                  <pic:blipFill>
                    <a:blip r:embed="rId23"/>
                    <a:stretch>
                      <a:fillRect/>
                    </a:stretch>
                  </pic:blipFill>
                  <pic:spPr>
                    <a:xfrm>
                      <a:off x="0" y="0"/>
                      <a:ext cx="2758870" cy="1800000"/>
                    </a:xfrm>
                    <a:prstGeom prst="rect">
                      <a:avLst/>
                    </a:prstGeom>
                  </pic:spPr>
                </pic:pic>
              </a:graphicData>
            </a:graphic>
          </wp:inline>
        </w:drawing>
      </w:r>
    </w:p>
    <w:p w14:paraId="2624D0BF" w14:textId="6BED0212" w:rsidR="0085307B" w:rsidRDefault="0085307B" w:rsidP="0085307B">
      <w:pPr>
        <w:jc w:val="left"/>
      </w:pPr>
      <w:r w:rsidRPr="00A7637D">
        <w:rPr>
          <w:i/>
          <w:iCs/>
        </w:rPr>
        <w:t xml:space="preserve">Figure </w:t>
      </w:r>
      <w:r w:rsidR="001F3936">
        <w:rPr>
          <w:i/>
          <w:iCs/>
        </w:rPr>
        <w:t>5</w:t>
      </w:r>
      <w:r w:rsidRPr="00A7637D">
        <w:rPr>
          <w:i/>
          <w:iCs/>
        </w:rPr>
        <w:t xml:space="preserve">: Outline of the conclusions for single </w:t>
      </w:r>
      <w:r>
        <w:rPr>
          <w:i/>
          <w:iCs/>
        </w:rPr>
        <w:t>tank</w:t>
      </w:r>
      <w:r w:rsidRPr="00A7637D">
        <w:rPr>
          <w:i/>
          <w:iCs/>
        </w:rPr>
        <w:t xml:space="preserve"> cases (left) and pair of </w:t>
      </w:r>
      <w:r>
        <w:rPr>
          <w:i/>
          <w:iCs/>
        </w:rPr>
        <w:t>tanks</w:t>
      </w:r>
      <w:r w:rsidRPr="00A7637D">
        <w:rPr>
          <w:i/>
          <w:iCs/>
        </w:rPr>
        <w:t xml:space="preserve"> cases (right).</w:t>
      </w:r>
      <w:r w:rsidR="005757B0">
        <w:rPr>
          <w:i/>
          <w:iCs/>
        </w:rPr>
        <w:t xml:space="preserve"> </w:t>
      </w:r>
      <w:r w:rsidR="005757B0" w:rsidRPr="00BD30C4">
        <w:rPr>
          <w:i/>
          <w:iCs/>
        </w:rPr>
        <w:t>ME_FJ is the maximum extent of the LFL of a jet which has no interaction with the ground</w:t>
      </w:r>
      <w:r w:rsidR="00C73B05" w:rsidRPr="00BD30C4">
        <w:rPr>
          <w:i/>
          <w:iCs/>
        </w:rPr>
        <w:t xml:space="preserve"> and the obstacles.</w:t>
      </w:r>
    </w:p>
    <w:p w14:paraId="6F7C3372" w14:textId="77777777" w:rsidR="00A97B51" w:rsidRPr="0085307B" w:rsidRDefault="00A97B51" w:rsidP="00600535">
      <w:pPr>
        <w:pStyle w:val="CETBodytext"/>
        <w:rPr>
          <w:b/>
          <w:bCs/>
          <w:lang w:val="en-GB"/>
        </w:rPr>
      </w:pPr>
    </w:p>
    <w:p w14:paraId="0B3946F1" w14:textId="1C1512BA" w:rsidR="000D1FAB" w:rsidRDefault="00496077" w:rsidP="00600535">
      <w:pPr>
        <w:pStyle w:val="CETBodytext"/>
        <w:rPr>
          <w:b/>
          <w:bCs/>
        </w:rPr>
      </w:pPr>
      <w:r w:rsidRPr="00496077">
        <w:rPr>
          <w:b/>
          <w:bCs/>
        </w:rPr>
        <w:t>References</w:t>
      </w:r>
    </w:p>
    <w:p w14:paraId="0C398F72" w14:textId="7F5C8B20" w:rsidR="000D1FAB" w:rsidRDefault="000D1FAB" w:rsidP="00600535">
      <w:pPr>
        <w:pStyle w:val="CETBodytext"/>
        <w:rPr>
          <w:lang w:val="en-GB"/>
        </w:rPr>
      </w:pPr>
    </w:p>
    <w:p w14:paraId="18CEBE37" w14:textId="18FDABCA" w:rsidR="00A37F03" w:rsidRDefault="00A37F03" w:rsidP="00A37F03">
      <w:pPr>
        <w:pStyle w:val="CETReferencetext"/>
      </w:pPr>
      <w:proofErr w:type="spellStart"/>
      <w:r>
        <w:t>Bénard</w:t>
      </w:r>
      <w:proofErr w:type="spellEnd"/>
      <w:r>
        <w:t xml:space="preserve"> P., </w:t>
      </w:r>
      <w:proofErr w:type="spellStart"/>
      <w:r>
        <w:t>Hourri</w:t>
      </w:r>
      <w:proofErr w:type="spellEnd"/>
      <w:r>
        <w:t xml:space="preserve"> A., Angers B., </w:t>
      </w:r>
      <w:proofErr w:type="spellStart"/>
      <w:r>
        <w:t>Tchouvelev</w:t>
      </w:r>
      <w:proofErr w:type="spellEnd"/>
      <w:r>
        <w:t xml:space="preserve"> A., 2016, Adjacent Surface Effect on the Flammable Cloud of</w:t>
      </w:r>
    </w:p>
    <w:p w14:paraId="4E6406AB" w14:textId="77777777" w:rsidR="00A37F03" w:rsidRDefault="00A37F03" w:rsidP="00A37F03">
      <w:pPr>
        <w:pStyle w:val="CETReferencetext"/>
      </w:pPr>
      <w:r>
        <w:t xml:space="preserve">      Hydrogen and Methane Jets: Numerical Investigation and Engineering Correlations, International Journal</w:t>
      </w:r>
    </w:p>
    <w:p w14:paraId="1C52352D" w14:textId="56B41A68" w:rsidR="00A37F03" w:rsidRDefault="00A37F03" w:rsidP="00A37F03">
      <w:pPr>
        <w:pStyle w:val="CETReferencetext"/>
      </w:pPr>
      <w:r>
        <w:t xml:space="preserve">      of Hydrogen Energy, 41, 18654-662.</w:t>
      </w:r>
    </w:p>
    <w:p w14:paraId="494A7939" w14:textId="7CC641DC" w:rsidR="00A7637D" w:rsidRDefault="00A7637D" w:rsidP="0025318C">
      <w:pPr>
        <w:pStyle w:val="CETReferencetext"/>
      </w:pPr>
      <w:r>
        <w:t>Birch,</w:t>
      </w:r>
      <w:r w:rsidR="00A37F03">
        <w:t xml:space="preserve"> A.,</w:t>
      </w:r>
      <w:r>
        <w:t xml:space="preserve"> Brown,</w:t>
      </w:r>
      <w:r w:rsidR="00A37F03">
        <w:t xml:space="preserve"> D. R.,</w:t>
      </w:r>
      <w:r>
        <w:t xml:space="preserve"> Dodson</w:t>
      </w:r>
      <w:r w:rsidR="00A37F03">
        <w:t>, M. G.,</w:t>
      </w:r>
      <w:r>
        <w:t xml:space="preserve"> and </w:t>
      </w:r>
      <w:proofErr w:type="spellStart"/>
      <w:r>
        <w:t>Swaeld</w:t>
      </w:r>
      <w:proofErr w:type="spellEnd"/>
      <w:r>
        <w:t>,</w:t>
      </w:r>
      <w:r w:rsidR="00A37F03">
        <w:t xml:space="preserve"> F.,</w:t>
      </w:r>
      <w:r>
        <w:t xml:space="preserve"> </w:t>
      </w:r>
      <w:r w:rsidR="00A37F03">
        <w:t>“</w:t>
      </w:r>
      <w:r>
        <w:t>The structure and concentration decay of high-pressure jets of natural gas</w:t>
      </w:r>
      <w:r w:rsidR="00A37F03">
        <w:t>”</w:t>
      </w:r>
      <w:r>
        <w:t>, 1984, Combustion Science and Technology.</w:t>
      </w:r>
    </w:p>
    <w:p w14:paraId="0D1B9DCB" w14:textId="70B8C43A" w:rsidR="00A37F03" w:rsidRPr="00A7637D" w:rsidRDefault="00A37F03" w:rsidP="00A37F03">
      <w:pPr>
        <w:pStyle w:val="CETReferencetext"/>
      </w:pPr>
      <w:r>
        <w:t xml:space="preserve">Casal, J., </w:t>
      </w:r>
      <w:r w:rsidRPr="00E542CB">
        <w:t>Gómez-Mares,</w:t>
      </w:r>
      <w:r>
        <w:t xml:space="preserve"> M.,</w:t>
      </w:r>
      <w:r w:rsidRPr="00E542CB">
        <w:t xml:space="preserve"> Muñoz,</w:t>
      </w:r>
      <w:r>
        <w:t xml:space="preserve"> M.,</w:t>
      </w:r>
      <w:r w:rsidRPr="00E542CB">
        <w:t xml:space="preserve"> Palacios,</w:t>
      </w:r>
      <w:r>
        <w:t xml:space="preserve"> A.,</w:t>
      </w:r>
      <w:r w:rsidRPr="00E542CB">
        <w:t xml:space="preserve"> </w:t>
      </w:r>
      <w:r>
        <w:t>Jet fires: A ‘minor’ fire hazard? Chem. Eng. Trans. 26, 13–20. DOI: 10.3303/CET1226003, 2012.</w:t>
      </w:r>
    </w:p>
    <w:p w14:paraId="2855786F" w14:textId="395C6C86" w:rsidR="000D1FAB" w:rsidRDefault="004E71FB" w:rsidP="0025318C">
      <w:pPr>
        <w:pStyle w:val="CETReferencetext"/>
      </w:pPr>
      <w:r>
        <w:t>Colombini</w:t>
      </w:r>
      <w:r w:rsidR="00A37F03">
        <w:t>, C.,</w:t>
      </w:r>
      <w:r>
        <w:t xml:space="preserve"> Busini,</w:t>
      </w:r>
      <w:r w:rsidR="00A37F03">
        <w:t xml:space="preserve"> V.,</w:t>
      </w:r>
      <w:r>
        <w:t xml:space="preserve"> "Obstacle influence on high pressure jets based on computational fluid dynamics simulations," Chemical Engineering Transactions, 77, 2019.</w:t>
      </w:r>
    </w:p>
    <w:p w14:paraId="7E61186E" w14:textId="0FBE2ABC" w:rsidR="004E71FB" w:rsidRDefault="004E71FB" w:rsidP="0025318C">
      <w:pPr>
        <w:pStyle w:val="CETReferencetext"/>
      </w:pPr>
      <w:r>
        <w:t>Colombini,</w:t>
      </w:r>
      <w:r w:rsidR="00A37F03">
        <w:t xml:space="preserve"> C.,</w:t>
      </w:r>
      <w:r>
        <w:t xml:space="preserve"> </w:t>
      </w:r>
      <w:proofErr w:type="spellStart"/>
      <w:r>
        <w:t>Carlini</w:t>
      </w:r>
      <w:proofErr w:type="spellEnd"/>
      <w:r>
        <w:t>,</w:t>
      </w:r>
      <w:r w:rsidR="00A37F03">
        <w:t xml:space="preserve"> L.,</w:t>
      </w:r>
      <w:r>
        <w:t xml:space="preserve"> Rota</w:t>
      </w:r>
      <w:r w:rsidR="00A37F03">
        <w:t>, R.,</w:t>
      </w:r>
      <w:r>
        <w:t xml:space="preserve"> and Busini,</w:t>
      </w:r>
      <w:r w:rsidR="00A37F03">
        <w:t xml:space="preserve"> V.,</w:t>
      </w:r>
      <w:r>
        <w:t xml:space="preserve"> "Ground Influence on High-Pressure Methane Jets: Effect on Different Substances," Chemical Engineering Transactions, 82, 2020</w:t>
      </w:r>
      <w:r w:rsidR="000912A3">
        <w:t>a</w:t>
      </w:r>
      <w:r>
        <w:t>.</w:t>
      </w:r>
    </w:p>
    <w:p w14:paraId="2057B2C7" w14:textId="70E073E4" w:rsidR="000D1FAB" w:rsidRDefault="004E71FB" w:rsidP="0025318C">
      <w:pPr>
        <w:pStyle w:val="CETReferencetext"/>
      </w:pPr>
      <w:r>
        <w:t>Colombini,</w:t>
      </w:r>
      <w:r w:rsidR="00A37F03">
        <w:t xml:space="preserve"> C., </w:t>
      </w:r>
      <w:proofErr w:type="spellStart"/>
      <w:r>
        <w:t>Martani</w:t>
      </w:r>
      <w:proofErr w:type="spellEnd"/>
      <w:r>
        <w:t>,</w:t>
      </w:r>
      <w:r w:rsidR="00A37F03">
        <w:t xml:space="preserve"> A.,</w:t>
      </w:r>
      <w:r>
        <w:t xml:space="preserve"> Rota</w:t>
      </w:r>
      <w:r w:rsidR="00A37F03">
        <w:t>, R.,</w:t>
      </w:r>
      <w:r>
        <w:t xml:space="preserve"> and Busini,</w:t>
      </w:r>
      <w:r w:rsidR="00A37F03">
        <w:t xml:space="preserve"> V.,</w:t>
      </w:r>
      <w:r>
        <w:t xml:space="preserve"> "Ground influence on high-pressure methane jets: practical tools for risk assessment"</w:t>
      </w:r>
      <w:r w:rsidR="000912A3">
        <w:t>,</w:t>
      </w:r>
      <w:r>
        <w:t xml:space="preserve"> Journal of Loss Prevention in the Process Industries,</w:t>
      </w:r>
      <w:r w:rsidR="000912A3">
        <w:t xml:space="preserve"> </w:t>
      </w:r>
      <w:r>
        <w:t>67, 2020</w:t>
      </w:r>
      <w:r w:rsidR="000912A3">
        <w:t>b</w:t>
      </w:r>
      <w:r>
        <w:t>.</w:t>
      </w:r>
    </w:p>
    <w:p w14:paraId="39D4BF03" w14:textId="39FDB85E" w:rsidR="00B33AF9" w:rsidRDefault="00B33AF9" w:rsidP="0025318C">
      <w:pPr>
        <w:pStyle w:val="CETReferencetext"/>
      </w:pPr>
      <w:r>
        <w:t xml:space="preserve">Colombini, C., Maugeri, G., </w:t>
      </w:r>
      <w:proofErr w:type="spellStart"/>
      <w:r>
        <w:t>Zanon</w:t>
      </w:r>
      <w:proofErr w:type="spellEnd"/>
      <w:r>
        <w:t>, G., Rota, R., Busini, V., “Unignited High-Pressure Methane Jet Impinging a Pipe Rack: Practical Tools for Risk Assessment”,</w:t>
      </w:r>
      <w:r w:rsidRPr="00B33AF9">
        <w:t xml:space="preserve"> </w:t>
      </w:r>
      <w:r>
        <w:t>Journal of Loss Prevention in the Process Industries 69, 2021</w:t>
      </w:r>
    </w:p>
    <w:p w14:paraId="51DEDFE4" w14:textId="4B8E0724" w:rsidR="000912A3" w:rsidRDefault="000912A3" w:rsidP="0025318C">
      <w:pPr>
        <w:pStyle w:val="CETReferencetext"/>
      </w:pPr>
      <w:r>
        <w:t>Colombini, C., Carminati, E., Parisi, A., Rota, R., Busini, V., “Safety evaluations on unignited high-pressure methane jets impacting a spherical obstacle”,</w:t>
      </w:r>
      <w:r w:rsidRPr="000912A3">
        <w:t xml:space="preserve"> </w:t>
      </w:r>
      <w:r>
        <w:t>Journal of Loss Prevention in the Process Industries, 74, 2022a</w:t>
      </w:r>
    </w:p>
    <w:p w14:paraId="66B97532" w14:textId="7CE220F6" w:rsidR="000912A3" w:rsidRDefault="000912A3" w:rsidP="0025318C">
      <w:pPr>
        <w:pStyle w:val="CETReferencetext"/>
      </w:pPr>
      <w:r>
        <w:t xml:space="preserve">Colombini, C., </w:t>
      </w:r>
      <w:proofErr w:type="spellStart"/>
      <w:r>
        <w:t>Iannantuoni</w:t>
      </w:r>
      <w:proofErr w:type="spellEnd"/>
      <w:r>
        <w:t>, C., Rota, R., Busini, V., “Unignited high-pressure methane jet impacting a cylindrical obstacle: An assessment tool for consequences analysis”,</w:t>
      </w:r>
      <w:r>
        <w:tab/>
        <w:t>Journal of Loss Prevention in the Process Industries, 76, 2022b.</w:t>
      </w:r>
    </w:p>
    <w:p w14:paraId="0A17769B" w14:textId="3A9118D3" w:rsidR="00A37F03" w:rsidRDefault="00A37F03" w:rsidP="00A37F03">
      <w:pPr>
        <w:pStyle w:val="CETReferencetext"/>
      </w:pPr>
      <w:proofErr w:type="spellStart"/>
      <w:r>
        <w:t>Crowl</w:t>
      </w:r>
      <w:proofErr w:type="spellEnd"/>
      <w:r>
        <w:t xml:space="preserve">, D. A., </w:t>
      </w:r>
      <w:proofErr w:type="spellStart"/>
      <w:r>
        <w:t>Louvar</w:t>
      </w:r>
      <w:proofErr w:type="spellEnd"/>
      <w:r>
        <w:t>, J. F., Chemical Process Safety: Fundamentals with Applications, Pearson, 2012.</w:t>
      </w:r>
    </w:p>
    <w:p w14:paraId="7AD7F7B1" w14:textId="0FC7D522" w:rsidR="00A7637D" w:rsidRPr="00BD30C4" w:rsidRDefault="00A7637D" w:rsidP="0025318C">
      <w:pPr>
        <w:pStyle w:val="CETReferencetext"/>
      </w:pPr>
      <w:r w:rsidRPr="00BD30C4">
        <w:t>Franke,</w:t>
      </w:r>
      <w:r w:rsidR="00F94E05" w:rsidRPr="00BD30C4">
        <w:t xml:space="preserve"> J.,</w:t>
      </w:r>
      <w:r w:rsidRPr="00BD30C4">
        <w:t xml:space="preserve"> "Best practice guideline for the CFD simulation of </w:t>
      </w:r>
      <w:proofErr w:type="spellStart"/>
      <w:r w:rsidRPr="00BD30C4">
        <w:t>ows</w:t>
      </w:r>
      <w:proofErr w:type="spellEnd"/>
      <w:r w:rsidRPr="00BD30C4">
        <w:t xml:space="preserve"> in the urban environment," Meteorological Institute, 2007.</w:t>
      </w:r>
    </w:p>
    <w:p w14:paraId="6A26671E" w14:textId="7FFE3C47" w:rsidR="00A37F03" w:rsidRPr="00BD30C4" w:rsidRDefault="00A37F03" w:rsidP="008D055C">
      <w:pPr>
        <w:pStyle w:val="CETReferencetext"/>
        <w:jc w:val="left"/>
      </w:pPr>
      <w:proofErr w:type="spellStart"/>
      <w:r w:rsidRPr="00BD30C4">
        <w:t>Franquet</w:t>
      </w:r>
      <w:proofErr w:type="spellEnd"/>
      <w:r w:rsidRPr="00BD30C4">
        <w:t xml:space="preserve">, E., Perrier, V., </w:t>
      </w:r>
      <w:proofErr w:type="spellStart"/>
      <w:r w:rsidRPr="00BD30C4">
        <w:t>Gibout</w:t>
      </w:r>
      <w:proofErr w:type="spellEnd"/>
      <w:r w:rsidRPr="00BD30C4">
        <w:t xml:space="preserve">, S., </w:t>
      </w:r>
      <w:proofErr w:type="spellStart"/>
      <w:r w:rsidRPr="00BD30C4">
        <w:t>Bruel</w:t>
      </w:r>
      <w:proofErr w:type="spellEnd"/>
      <w:r w:rsidRPr="00BD30C4">
        <w:t xml:space="preserve">, P., 2015, Free </w:t>
      </w:r>
      <w:proofErr w:type="spellStart"/>
      <w:r w:rsidRPr="00BD30C4">
        <w:t>underexpanded</w:t>
      </w:r>
      <w:proofErr w:type="spellEnd"/>
      <w:r w:rsidRPr="00BD30C4">
        <w:t xml:space="preserve"> jets in a quiescent medium: A</w:t>
      </w:r>
      <w:r w:rsidR="008D055C" w:rsidRPr="00BD30C4">
        <w:t xml:space="preserve"> </w:t>
      </w:r>
    </w:p>
    <w:p w14:paraId="004820FE" w14:textId="04CB9142" w:rsidR="00A37F03" w:rsidRDefault="00A37F03" w:rsidP="00A37F03">
      <w:pPr>
        <w:pStyle w:val="CETReferencetext"/>
      </w:pPr>
      <w:r w:rsidRPr="00BD30C4">
        <w:t xml:space="preserve">      review. Prog. </w:t>
      </w:r>
      <w:proofErr w:type="spellStart"/>
      <w:r w:rsidRPr="00BD30C4">
        <w:t>Aerosp</w:t>
      </w:r>
      <w:proofErr w:type="spellEnd"/>
      <w:r w:rsidRPr="00BD30C4">
        <w:t>. Sci. 77, 25–53. DOI: 10.1016/j.paerosci.2015.06.006.</w:t>
      </w:r>
    </w:p>
    <w:p w14:paraId="0B149701" w14:textId="77777777" w:rsidR="00A37F03" w:rsidRDefault="00A37F03" w:rsidP="00A37F03">
      <w:pPr>
        <w:pStyle w:val="CETReferencetext"/>
      </w:pPr>
      <w:proofErr w:type="spellStart"/>
      <w:r>
        <w:t>Hourri</w:t>
      </w:r>
      <w:proofErr w:type="spellEnd"/>
      <w:r>
        <w:t xml:space="preserve"> A., Angers B., </w:t>
      </w:r>
      <w:proofErr w:type="spellStart"/>
      <w:r>
        <w:t>Bénard</w:t>
      </w:r>
      <w:proofErr w:type="spellEnd"/>
      <w:r>
        <w:t xml:space="preserve"> P., 2009, Surface Effects on Flammable Extent of Hydrogen and Methane Jets,</w:t>
      </w:r>
    </w:p>
    <w:p w14:paraId="10904E32" w14:textId="60DA68F1" w:rsidR="00A37F03" w:rsidRDefault="00A37F03" w:rsidP="00A37F03">
      <w:pPr>
        <w:pStyle w:val="CETReferencetext"/>
      </w:pPr>
      <w:r>
        <w:t xml:space="preserve">      International Journal of Hydrogen Energy, 34, 1569-1577.</w:t>
      </w:r>
    </w:p>
    <w:p w14:paraId="55E66D81" w14:textId="77777777" w:rsidR="006D112C" w:rsidRDefault="006D112C" w:rsidP="006D112C">
      <w:pPr>
        <w:pStyle w:val="CETReferencetext"/>
      </w:pPr>
      <w:proofErr w:type="spellStart"/>
      <w:r>
        <w:t>Pontiggia</w:t>
      </w:r>
      <w:proofErr w:type="spellEnd"/>
      <w:r>
        <w:t xml:space="preserve">, M., Busini, V., </w:t>
      </w:r>
      <w:proofErr w:type="spellStart"/>
      <w:r>
        <w:t>Ronzoni</w:t>
      </w:r>
      <w:proofErr w:type="spellEnd"/>
      <w:r>
        <w:t xml:space="preserve">, M., </w:t>
      </w:r>
      <w:proofErr w:type="spellStart"/>
      <w:r>
        <w:t>Uguccioni</w:t>
      </w:r>
      <w:proofErr w:type="spellEnd"/>
      <w:r>
        <w:t>, G. and Rota, R., "Effect of large obstacles on high momentum     jet dispersion," Chemical Engineering Transactions, 2014.</w:t>
      </w:r>
    </w:p>
    <w:p w14:paraId="0403D2CC" w14:textId="77777777" w:rsidR="006D112C" w:rsidRDefault="006D112C" w:rsidP="006D112C">
      <w:pPr>
        <w:pStyle w:val="CETReferencetext"/>
      </w:pPr>
      <w:r w:rsidRPr="0059547B">
        <w:t>Romano, G., Tombini, P., Ferrario, F., Mormile, A., "High-pressure jet and cylindrical obstacles in series: a CFD study," European Safety and Reliability Conference, 2022.</w:t>
      </w:r>
    </w:p>
    <w:p w14:paraId="5A38F39B" w14:textId="77777777" w:rsidR="006D112C" w:rsidRDefault="006D112C" w:rsidP="00A37F03">
      <w:pPr>
        <w:pStyle w:val="CETReferencetext"/>
      </w:pPr>
    </w:p>
    <w:sectPr w:rsidR="006D112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AE21" w14:textId="77777777" w:rsidR="005E4F14" w:rsidRDefault="005E4F14" w:rsidP="004F5E36">
      <w:r>
        <w:separator/>
      </w:r>
    </w:p>
  </w:endnote>
  <w:endnote w:type="continuationSeparator" w:id="0">
    <w:p w14:paraId="2958D075" w14:textId="77777777" w:rsidR="005E4F14" w:rsidRDefault="005E4F1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6E5A" w14:textId="77777777" w:rsidR="005E4F14" w:rsidRDefault="005E4F14" w:rsidP="004F5E36">
      <w:r>
        <w:separator/>
      </w:r>
    </w:p>
  </w:footnote>
  <w:footnote w:type="continuationSeparator" w:id="0">
    <w:p w14:paraId="07DA1ADC" w14:textId="77777777" w:rsidR="005E4F14" w:rsidRDefault="005E4F1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8B87DF4"/>
    <w:multiLevelType w:val="hybridMultilevel"/>
    <w:tmpl w:val="960CCE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945C8E"/>
    <w:multiLevelType w:val="hybridMultilevel"/>
    <w:tmpl w:val="EA3EE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79483C"/>
    <w:multiLevelType w:val="hybridMultilevel"/>
    <w:tmpl w:val="EDEAE7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F001675"/>
    <w:multiLevelType w:val="hybridMultilevel"/>
    <w:tmpl w:val="5BD8D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920CF4"/>
    <w:multiLevelType w:val="hybridMultilevel"/>
    <w:tmpl w:val="23C00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1"/>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21"/>
  </w:num>
  <w:num w:numId="13" w16cid:durableId="1350059530">
    <w:abstractNumId w:val="14"/>
  </w:num>
  <w:num w:numId="14" w16cid:durableId="1919091623">
    <w:abstractNumId w:val="22"/>
  </w:num>
  <w:num w:numId="15" w16cid:durableId="189300202">
    <w:abstractNumId w:val="24"/>
  </w:num>
  <w:num w:numId="16" w16cid:durableId="723021461">
    <w:abstractNumId w:val="23"/>
  </w:num>
  <w:num w:numId="17" w16cid:durableId="732965888">
    <w:abstractNumId w:val="12"/>
  </w:num>
  <w:num w:numId="18" w16cid:durableId="1792744392">
    <w:abstractNumId w:val="14"/>
    <w:lvlOverride w:ilvl="0">
      <w:startOverride w:val="1"/>
    </w:lvlOverride>
  </w:num>
  <w:num w:numId="19" w16cid:durableId="400713613">
    <w:abstractNumId w:val="20"/>
  </w:num>
  <w:num w:numId="20" w16cid:durableId="1478034465">
    <w:abstractNumId w:val="19"/>
  </w:num>
  <w:num w:numId="21" w16cid:durableId="1441560384">
    <w:abstractNumId w:val="16"/>
  </w:num>
  <w:num w:numId="22" w16cid:durableId="1288000483">
    <w:abstractNumId w:val="10"/>
  </w:num>
  <w:num w:numId="23" w16cid:durableId="445201442">
    <w:abstractNumId w:val="15"/>
  </w:num>
  <w:num w:numId="24" w16cid:durableId="1335649481">
    <w:abstractNumId w:val="17"/>
  </w:num>
  <w:num w:numId="25" w16cid:durableId="797719153">
    <w:abstractNumId w:val="13"/>
  </w:num>
  <w:num w:numId="26" w16cid:durableId="1903372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4BA"/>
    <w:rsid w:val="000117CB"/>
    <w:rsid w:val="0003148D"/>
    <w:rsid w:val="00044640"/>
    <w:rsid w:val="00051566"/>
    <w:rsid w:val="00062A9A"/>
    <w:rsid w:val="00065058"/>
    <w:rsid w:val="00086C39"/>
    <w:rsid w:val="000912A3"/>
    <w:rsid w:val="000A03B2"/>
    <w:rsid w:val="000D0268"/>
    <w:rsid w:val="000D1FAB"/>
    <w:rsid w:val="000D34BE"/>
    <w:rsid w:val="000D773A"/>
    <w:rsid w:val="000E102F"/>
    <w:rsid w:val="000E36F1"/>
    <w:rsid w:val="000E3A73"/>
    <w:rsid w:val="000E3F5D"/>
    <w:rsid w:val="000E414A"/>
    <w:rsid w:val="000F093C"/>
    <w:rsid w:val="000F1F3B"/>
    <w:rsid w:val="000F26C8"/>
    <w:rsid w:val="000F787B"/>
    <w:rsid w:val="00117DDB"/>
    <w:rsid w:val="0012091F"/>
    <w:rsid w:val="00126BC2"/>
    <w:rsid w:val="001308B6"/>
    <w:rsid w:val="0013121F"/>
    <w:rsid w:val="00131FE6"/>
    <w:rsid w:val="0013263F"/>
    <w:rsid w:val="00134DE4"/>
    <w:rsid w:val="0014034D"/>
    <w:rsid w:val="00150A33"/>
    <w:rsid w:val="00150E59"/>
    <w:rsid w:val="00152DE3"/>
    <w:rsid w:val="00164CF9"/>
    <w:rsid w:val="001667A6"/>
    <w:rsid w:val="00181D52"/>
    <w:rsid w:val="00184AD6"/>
    <w:rsid w:val="00197F6C"/>
    <w:rsid w:val="001A4AF7"/>
    <w:rsid w:val="001B0349"/>
    <w:rsid w:val="001B65C1"/>
    <w:rsid w:val="001C684B"/>
    <w:rsid w:val="001D53FC"/>
    <w:rsid w:val="001D6BEE"/>
    <w:rsid w:val="001F3936"/>
    <w:rsid w:val="001F42A5"/>
    <w:rsid w:val="001F57FE"/>
    <w:rsid w:val="001F7B9D"/>
    <w:rsid w:val="002224B4"/>
    <w:rsid w:val="00225738"/>
    <w:rsid w:val="00230AF6"/>
    <w:rsid w:val="002447EF"/>
    <w:rsid w:val="00251550"/>
    <w:rsid w:val="0025318C"/>
    <w:rsid w:val="00263B05"/>
    <w:rsid w:val="002711AE"/>
    <w:rsid w:val="0027221A"/>
    <w:rsid w:val="00275B61"/>
    <w:rsid w:val="00282656"/>
    <w:rsid w:val="00291D09"/>
    <w:rsid w:val="002928BD"/>
    <w:rsid w:val="002949AD"/>
    <w:rsid w:val="00296B83"/>
    <w:rsid w:val="002B78CE"/>
    <w:rsid w:val="002C2FB6"/>
    <w:rsid w:val="002D7C5F"/>
    <w:rsid w:val="002E600E"/>
    <w:rsid w:val="002F1877"/>
    <w:rsid w:val="002F3309"/>
    <w:rsid w:val="003009B7"/>
    <w:rsid w:val="00300E56"/>
    <w:rsid w:val="0030469C"/>
    <w:rsid w:val="00321CA6"/>
    <w:rsid w:val="00323763"/>
    <w:rsid w:val="00323984"/>
    <w:rsid w:val="00334C09"/>
    <w:rsid w:val="00365ADC"/>
    <w:rsid w:val="003723D4"/>
    <w:rsid w:val="00381905"/>
    <w:rsid w:val="00384CC8"/>
    <w:rsid w:val="003871FD"/>
    <w:rsid w:val="003A1E30"/>
    <w:rsid w:val="003A7D1C"/>
    <w:rsid w:val="003B304B"/>
    <w:rsid w:val="003B3146"/>
    <w:rsid w:val="003F015E"/>
    <w:rsid w:val="00400414"/>
    <w:rsid w:val="00412DFC"/>
    <w:rsid w:val="0041446B"/>
    <w:rsid w:val="0044329C"/>
    <w:rsid w:val="004577FE"/>
    <w:rsid w:val="00457B9C"/>
    <w:rsid w:val="0046164A"/>
    <w:rsid w:val="004628D2"/>
    <w:rsid w:val="00462DCD"/>
    <w:rsid w:val="004648AD"/>
    <w:rsid w:val="00465F60"/>
    <w:rsid w:val="004700EF"/>
    <w:rsid w:val="004703A9"/>
    <w:rsid w:val="004760DE"/>
    <w:rsid w:val="004763D7"/>
    <w:rsid w:val="00481DFA"/>
    <w:rsid w:val="004912DF"/>
    <w:rsid w:val="00496077"/>
    <w:rsid w:val="004A004E"/>
    <w:rsid w:val="004A24CF"/>
    <w:rsid w:val="004C3D1D"/>
    <w:rsid w:val="004C7913"/>
    <w:rsid w:val="004E4DD6"/>
    <w:rsid w:val="004E71FB"/>
    <w:rsid w:val="004F5E36"/>
    <w:rsid w:val="0050761B"/>
    <w:rsid w:val="00507B47"/>
    <w:rsid w:val="00507BEF"/>
    <w:rsid w:val="00507CC9"/>
    <w:rsid w:val="005119A5"/>
    <w:rsid w:val="005278B7"/>
    <w:rsid w:val="00527B70"/>
    <w:rsid w:val="00532016"/>
    <w:rsid w:val="005346C8"/>
    <w:rsid w:val="00543E7D"/>
    <w:rsid w:val="00543FE0"/>
    <w:rsid w:val="00547A68"/>
    <w:rsid w:val="005530DA"/>
    <w:rsid w:val="005531C9"/>
    <w:rsid w:val="00564BE2"/>
    <w:rsid w:val="00570C43"/>
    <w:rsid w:val="005757B0"/>
    <w:rsid w:val="0059547B"/>
    <w:rsid w:val="005B2110"/>
    <w:rsid w:val="005B61E6"/>
    <w:rsid w:val="005C77E1"/>
    <w:rsid w:val="005D36D0"/>
    <w:rsid w:val="005D668A"/>
    <w:rsid w:val="005D6A2F"/>
    <w:rsid w:val="005E1A82"/>
    <w:rsid w:val="005E4F14"/>
    <w:rsid w:val="005E794C"/>
    <w:rsid w:val="005F0A28"/>
    <w:rsid w:val="005F0E5E"/>
    <w:rsid w:val="005F5BEE"/>
    <w:rsid w:val="00600535"/>
    <w:rsid w:val="00610CD6"/>
    <w:rsid w:val="00620DEE"/>
    <w:rsid w:val="00621F92"/>
    <w:rsid w:val="0062280A"/>
    <w:rsid w:val="00625639"/>
    <w:rsid w:val="00631B33"/>
    <w:rsid w:val="00635AAB"/>
    <w:rsid w:val="0063655B"/>
    <w:rsid w:val="0064184D"/>
    <w:rsid w:val="006422CC"/>
    <w:rsid w:val="00660E3E"/>
    <w:rsid w:val="00662E74"/>
    <w:rsid w:val="006638A3"/>
    <w:rsid w:val="00680C23"/>
    <w:rsid w:val="00693766"/>
    <w:rsid w:val="006A3281"/>
    <w:rsid w:val="006B4888"/>
    <w:rsid w:val="006C2E45"/>
    <w:rsid w:val="006C359C"/>
    <w:rsid w:val="006C5579"/>
    <w:rsid w:val="006D112C"/>
    <w:rsid w:val="006D6E8B"/>
    <w:rsid w:val="006E737D"/>
    <w:rsid w:val="00720A24"/>
    <w:rsid w:val="00732386"/>
    <w:rsid w:val="0073514D"/>
    <w:rsid w:val="00742825"/>
    <w:rsid w:val="007447F3"/>
    <w:rsid w:val="0075499F"/>
    <w:rsid w:val="007661C8"/>
    <w:rsid w:val="0077098D"/>
    <w:rsid w:val="007931FA"/>
    <w:rsid w:val="007A4861"/>
    <w:rsid w:val="007A7BBA"/>
    <w:rsid w:val="007B0C50"/>
    <w:rsid w:val="007B0F34"/>
    <w:rsid w:val="007C1A43"/>
    <w:rsid w:val="0080013E"/>
    <w:rsid w:val="00813288"/>
    <w:rsid w:val="008168FC"/>
    <w:rsid w:val="00830996"/>
    <w:rsid w:val="008345F1"/>
    <w:rsid w:val="0085307B"/>
    <w:rsid w:val="00865B07"/>
    <w:rsid w:val="008667EA"/>
    <w:rsid w:val="0087637F"/>
    <w:rsid w:val="00892AD5"/>
    <w:rsid w:val="008A1512"/>
    <w:rsid w:val="008D055C"/>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6483"/>
    <w:rsid w:val="00996F5A"/>
    <w:rsid w:val="009B041A"/>
    <w:rsid w:val="009B51D4"/>
    <w:rsid w:val="009C37C3"/>
    <w:rsid w:val="009C7C86"/>
    <w:rsid w:val="009D2FF7"/>
    <w:rsid w:val="009D66ED"/>
    <w:rsid w:val="009E7884"/>
    <w:rsid w:val="009E788A"/>
    <w:rsid w:val="009F0E08"/>
    <w:rsid w:val="009F2AF5"/>
    <w:rsid w:val="00A1763D"/>
    <w:rsid w:val="00A17CEC"/>
    <w:rsid w:val="00A27EF0"/>
    <w:rsid w:val="00A37F03"/>
    <w:rsid w:val="00A42361"/>
    <w:rsid w:val="00A50B20"/>
    <w:rsid w:val="00A51390"/>
    <w:rsid w:val="00A60D13"/>
    <w:rsid w:val="00A72745"/>
    <w:rsid w:val="00A7637D"/>
    <w:rsid w:val="00A76EFC"/>
    <w:rsid w:val="00A90C81"/>
    <w:rsid w:val="00A91010"/>
    <w:rsid w:val="00A97A33"/>
    <w:rsid w:val="00A97B51"/>
    <w:rsid w:val="00A97F29"/>
    <w:rsid w:val="00AA51A2"/>
    <w:rsid w:val="00AA702E"/>
    <w:rsid w:val="00AB01E1"/>
    <w:rsid w:val="00AB0964"/>
    <w:rsid w:val="00AB3606"/>
    <w:rsid w:val="00AB5011"/>
    <w:rsid w:val="00AC7368"/>
    <w:rsid w:val="00AD16B9"/>
    <w:rsid w:val="00AE377D"/>
    <w:rsid w:val="00AF0EBA"/>
    <w:rsid w:val="00B02C8A"/>
    <w:rsid w:val="00B03BCB"/>
    <w:rsid w:val="00B17FBD"/>
    <w:rsid w:val="00B315A6"/>
    <w:rsid w:val="00B31813"/>
    <w:rsid w:val="00B33365"/>
    <w:rsid w:val="00B33AF9"/>
    <w:rsid w:val="00B57B36"/>
    <w:rsid w:val="00B71C8F"/>
    <w:rsid w:val="00B8686D"/>
    <w:rsid w:val="00BB1DDC"/>
    <w:rsid w:val="00BC30C9"/>
    <w:rsid w:val="00BC69A0"/>
    <w:rsid w:val="00BD073F"/>
    <w:rsid w:val="00BD30C4"/>
    <w:rsid w:val="00BE3E58"/>
    <w:rsid w:val="00C01616"/>
    <w:rsid w:val="00C0162B"/>
    <w:rsid w:val="00C068ED"/>
    <w:rsid w:val="00C1418F"/>
    <w:rsid w:val="00C3126D"/>
    <w:rsid w:val="00C345B1"/>
    <w:rsid w:val="00C40142"/>
    <w:rsid w:val="00C5211C"/>
    <w:rsid w:val="00C57182"/>
    <w:rsid w:val="00C57863"/>
    <w:rsid w:val="00C6344F"/>
    <w:rsid w:val="00C64F30"/>
    <w:rsid w:val="00C655FD"/>
    <w:rsid w:val="00C73B05"/>
    <w:rsid w:val="00C75407"/>
    <w:rsid w:val="00C870A8"/>
    <w:rsid w:val="00C94434"/>
    <w:rsid w:val="00CA0D75"/>
    <w:rsid w:val="00CA1C95"/>
    <w:rsid w:val="00CA5A9C"/>
    <w:rsid w:val="00CB022B"/>
    <w:rsid w:val="00CC4C20"/>
    <w:rsid w:val="00CD3517"/>
    <w:rsid w:val="00CD5FE2"/>
    <w:rsid w:val="00CE5EE9"/>
    <w:rsid w:val="00CE7C68"/>
    <w:rsid w:val="00D02B4C"/>
    <w:rsid w:val="00D040C4"/>
    <w:rsid w:val="00D57C84"/>
    <w:rsid w:val="00D6057D"/>
    <w:rsid w:val="00D71A4F"/>
    <w:rsid w:val="00D836C5"/>
    <w:rsid w:val="00D84576"/>
    <w:rsid w:val="00DA1399"/>
    <w:rsid w:val="00DA24C6"/>
    <w:rsid w:val="00DA4D7B"/>
    <w:rsid w:val="00DE264A"/>
    <w:rsid w:val="00DF5072"/>
    <w:rsid w:val="00E02D18"/>
    <w:rsid w:val="00E041E7"/>
    <w:rsid w:val="00E23CA1"/>
    <w:rsid w:val="00E409A8"/>
    <w:rsid w:val="00E50C12"/>
    <w:rsid w:val="00E542CB"/>
    <w:rsid w:val="00E65B91"/>
    <w:rsid w:val="00E7209D"/>
    <w:rsid w:val="00E77223"/>
    <w:rsid w:val="00E8528B"/>
    <w:rsid w:val="00E85B94"/>
    <w:rsid w:val="00E9749F"/>
    <w:rsid w:val="00E978D0"/>
    <w:rsid w:val="00EA4613"/>
    <w:rsid w:val="00EA7F91"/>
    <w:rsid w:val="00EB1523"/>
    <w:rsid w:val="00EC0E49"/>
    <w:rsid w:val="00EC101F"/>
    <w:rsid w:val="00EC1D9F"/>
    <w:rsid w:val="00EE0131"/>
    <w:rsid w:val="00EE17B0"/>
    <w:rsid w:val="00EF06D9"/>
    <w:rsid w:val="00F30C64"/>
    <w:rsid w:val="00F32CDB"/>
    <w:rsid w:val="00F565FE"/>
    <w:rsid w:val="00F63A70"/>
    <w:rsid w:val="00F70175"/>
    <w:rsid w:val="00F71B78"/>
    <w:rsid w:val="00F94E05"/>
    <w:rsid w:val="00FA21D0"/>
    <w:rsid w:val="00FA5F5F"/>
    <w:rsid w:val="00FB730C"/>
    <w:rsid w:val="00FC2695"/>
    <w:rsid w:val="00FC3E03"/>
    <w:rsid w:val="00FC3FC1"/>
    <w:rsid w:val="00FD531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E5EE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35AAB"/>
    <w:pPr>
      <w:keepNext/>
      <w:suppressAutoHyphens/>
      <w:spacing w:before="120" w:after="120" w:line="240" w:lineRule="auto"/>
      <w:jc w:val="both"/>
    </w:pPr>
    <w:rPr>
      <w:rFonts w:ascii="Arial" w:eastAsia="Times New Roman" w:hAnsi="Arial" w:cs="Arial"/>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35AAB"/>
    <w:rPr>
      <w:rFonts w:ascii="Arial" w:eastAsia="Times New Roman" w:hAnsi="Arial" w:cs="Arial"/>
      <w:bCs/>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character" w:styleId="Menzionenonrisolta">
    <w:name w:val="Unresolved Mention"/>
    <w:basedOn w:val="Carpredefinitoparagrafo"/>
    <w:uiPriority w:val="99"/>
    <w:semiHidden/>
    <w:unhideWhenUsed/>
    <w:rsid w:val="00B03BCB"/>
    <w:rPr>
      <w:color w:val="605E5C"/>
      <w:shd w:val="clear" w:color="auto" w:fill="E1DFDD"/>
    </w:rPr>
  </w:style>
  <w:style w:type="paragraph" w:customStyle="1" w:styleId="Text">
    <w:name w:val="Text"/>
    <w:basedOn w:val="Normale"/>
    <w:link w:val="TextChar"/>
    <w:rsid w:val="00412DFC"/>
    <w:pPr>
      <w:tabs>
        <w:tab w:val="clear" w:pos="7100"/>
        <w:tab w:val="right" w:pos="7200"/>
      </w:tabs>
      <w:spacing w:before="240" w:after="120" w:line="260" w:lineRule="exact"/>
      <w:ind w:right="288"/>
    </w:pPr>
    <w:rPr>
      <w:rFonts w:ascii="Times New Roman" w:hAnsi="Times New Roman"/>
      <w:sz w:val="20"/>
      <w:szCs w:val="24"/>
      <w:lang w:val="en-US"/>
    </w:rPr>
  </w:style>
  <w:style w:type="character" w:customStyle="1" w:styleId="TextChar">
    <w:name w:val="Text Char"/>
    <w:basedOn w:val="Carpredefinitoparagrafo"/>
    <w:link w:val="Text"/>
    <w:rsid w:val="00412DFC"/>
    <w:rPr>
      <w:rFonts w:ascii="Times New Roman" w:eastAsia="Times New Roman" w:hAnsi="Times New Roman" w:cs="Times New Roman"/>
      <w:sz w:val="20"/>
      <w:szCs w:val="24"/>
      <w:lang w:val="en-US"/>
    </w:rPr>
  </w:style>
  <w:style w:type="paragraph" w:styleId="Paragrafoelenco">
    <w:name w:val="List Paragraph"/>
    <w:basedOn w:val="Normale"/>
    <w:uiPriority w:val="34"/>
    <w:qFormat/>
    <w:rsid w:val="00CE5EE9"/>
    <w:pPr>
      <w:tabs>
        <w:tab w:val="clear" w:pos="7100"/>
      </w:tabs>
      <w:spacing w:line="240" w:lineRule="auto"/>
      <w:ind w:left="720"/>
      <w:contextualSpacing/>
    </w:pPr>
    <w:rPr>
      <w:rFonts w:ascii="Palatino Linotype" w:eastAsiaTheme="minorHAnsi" w:hAnsi="Palatino Linotype" w:cstheme="minorBidi"/>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94">
      <w:bodyDiv w:val="1"/>
      <w:marLeft w:val="0"/>
      <w:marRight w:val="0"/>
      <w:marTop w:val="0"/>
      <w:marBottom w:val="0"/>
      <w:divBdr>
        <w:top w:val="none" w:sz="0" w:space="0" w:color="auto"/>
        <w:left w:val="none" w:sz="0" w:space="0" w:color="auto"/>
        <w:bottom w:val="none" w:sz="0" w:space="0" w:color="auto"/>
        <w:right w:val="none" w:sz="0" w:space="0" w:color="auto"/>
      </w:divBdr>
    </w:div>
    <w:div w:id="404887211">
      <w:bodyDiv w:val="1"/>
      <w:marLeft w:val="0"/>
      <w:marRight w:val="0"/>
      <w:marTop w:val="0"/>
      <w:marBottom w:val="0"/>
      <w:divBdr>
        <w:top w:val="none" w:sz="0" w:space="0" w:color="auto"/>
        <w:left w:val="none" w:sz="0" w:space="0" w:color="auto"/>
        <w:bottom w:val="none" w:sz="0" w:space="0" w:color="auto"/>
        <w:right w:val="none" w:sz="0" w:space="0" w:color="auto"/>
      </w:divBdr>
    </w:div>
    <w:div w:id="507788684">
      <w:bodyDiv w:val="1"/>
      <w:marLeft w:val="0"/>
      <w:marRight w:val="0"/>
      <w:marTop w:val="0"/>
      <w:marBottom w:val="0"/>
      <w:divBdr>
        <w:top w:val="none" w:sz="0" w:space="0" w:color="auto"/>
        <w:left w:val="none" w:sz="0" w:space="0" w:color="auto"/>
        <w:bottom w:val="none" w:sz="0" w:space="0" w:color="auto"/>
        <w:right w:val="none" w:sz="0" w:space="0" w:color="auto"/>
      </w:divBdr>
    </w:div>
    <w:div w:id="5931299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23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6196">
      <w:bodyDiv w:val="1"/>
      <w:marLeft w:val="0"/>
      <w:marRight w:val="0"/>
      <w:marTop w:val="0"/>
      <w:marBottom w:val="0"/>
      <w:divBdr>
        <w:top w:val="none" w:sz="0" w:space="0" w:color="auto"/>
        <w:left w:val="none" w:sz="0" w:space="0" w:color="auto"/>
        <w:bottom w:val="none" w:sz="0" w:space="0" w:color="auto"/>
        <w:right w:val="none" w:sz="0" w:space="0" w:color="auto"/>
      </w:divBdr>
      <w:divsChild>
        <w:div w:id="802625255">
          <w:marLeft w:val="0"/>
          <w:marRight w:val="0"/>
          <w:marTop w:val="0"/>
          <w:marBottom w:val="0"/>
          <w:divBdr>
            <w:top w:val="none" w:sz="0" w:space="0" w:color="auto"/>
            <w:left w:val="none" w:sz="0" w:space="0" w:color="auto"/>
            <w:bottom w:val="none" w:sz="0" w:space="0" w:color="auto"/>
            <w:right w:val="none" w:sz="0" w:space="0" w:color="auto"/>
          </w:divBdr>
        </w:div>
      </w:divsChild>
    </w:div>
    <w:div w:id="1844470591">
      <w:bodyDiv w:val="1"/>
      <w:marLeft w:val="0"/>
      <w:marRight w:val="0"/>
      <w:marTop w:val="0"/>
      <w:marBottom w:val="0"/>
      <w:divBdr>
        <w:top w:val="none" w:sz="0" w:space="0" w:color="auto"/>
        <w:left w:val="none" w:sz="0" w:space="0" w:color="auto"/>
        <w:bottom w:val="none" w:sz="0" w:space="0" w:color="auto"/>
        <w:right w:val="none" w:sz="0" w:space="0" w:color="auto"/>
      </w:divBdr>
    </w:div>
    <w:div w:id="1918900743">
      <w:bodyDiv w:val="1"/>
      <w:marLeft w:val="0"/>
      <w:marRight w:val="0"/>
      <w:marTop w:val="0"/>
      <w:marBottom w:val="0"/>
      <w:divBdr>
        <w:top w:val="none" w:sz="0" w:space="0" w:color="auto"/>
        <w:left w:val="none" w:sz="0" w:space="0" w:color="auto"/>
        <w:bottom w:val="none" w:sz="0" w:space="0" w:color="auto"/>
        <w:right w:val="none" w:sz="0" w:space="0" w:color="auto"/>
      </w:divBdr>
    </w:div>
    <w:div w:id="2067757976">
      <w:bodyDiv w:val="1"/>
      <w:marLeft w:val="0"/>
      <w:marRight w:val="0"/>
      <w:marTop w:val="0"/>
      <w:marBottom w:val="0"/>
      <w:divBdr>
        <w:top w:val="none" w:sz="0" w:space="0" w:color="auto"/>
        <w:left w:val="none" w:sz="0" w:space="0" w:color="auto"/>
        <w:bottom w:val="none" w:sz="0" w:space="0" w:color="auto"/>
        <w:right w:val="none" w:sz="0" w:space="0" w:color="auto"/>
      </w:divBdr>
      <w:divsChild>
        <w:div w:id="1011571777">
          <w:marLeft w:val="0"/>
          <w:marRight w:val="0"/>
          <w:marTop w:val="0"/>
          <w:marBottom w:val="0"/>
          <w:divBdr>
            <w:top w:val="none" w:sz="0" w:space="0" w:color="auto"/>
            <w:left w:val="none" w:sz="0" w:space="0" w:color="auto"/>
            <w:bottom w:val="none" w:sz="0" w:space="0" w:color="auto"/>
            <w:right w:val="none" w:sz="0" w:space="0" w:color="auto"/>
          </w:divBdr>
        </w:div>
        <w:div w:id="1412392160">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yperlink" Target="mailto:valentina.busini@polimi.it"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FRM94</b:Tag>
    <b:SourceType>JournalArticle</b:SourceType>
    <b:Guid>{0358CF68-564F-4E9C-A621-6A56680CCA2E}</b:Guid>
    <b:Author>
      <b:Author>
        <b:NameList>
          <b:Person>
            <b:Last>Menter</b:Last>
            <b:First>F.R.</b:First>
          </b:Person>
        </b:NameList>
      </b:Author>
    </b:Author>
    <b:Title>Two-Equation Eddy-Viscosity Turbulence Models for Engineering Applications</b:Title>
    <b:JournalName>NASA Amesh Research Center</b:JournalName>
    <b:Year>1994</b:Year>
    <b:RefOrder>6</b:RefOrder>
  </b:Source>
</b:Sources>
</file>

<file path=customXml/itemProps1.xml><?xml version="1.0" encoding="utf-8"?>
<ds:datastoreItem xmlns:ds="http://schemas.openxmlformats.org/officeDocument/2006/customXml" ds:itemID="{FCB3E232-E8B9-453E-8B14-5CD7C536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3030</Words>
  <Characters>17271</Characters>
  <Application>Microsoft Office Word</Application>
  <DocSecurity>4</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Valentina Busini</cp:lastModifiedBy>
  <cp:revision>2</cp:revision>
  <cp:lastPrinted>2015-05-12T18:31:00Z</cp:lastPrinted>
  <dcterms:created xsi:type="dcterms:W3CDTF">2023-07-13T08:53:00Z</dcterms:created>
  <dcterms:modified xsi:type="dcterms:W3CDTF">2023-07-13T08:53:00Z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