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4026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4026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40266">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458A65D" w:rsidR="00E978D0" w:rsidRPr="00B57B36" w:rsidRDefault="00740266" w:rsidP="00E978D0">
      <w:pPr>
        <w:pStyle w:val="CETTitle"/>
      </w:pPr>
      <w:r w:rsidRPr="00740266">
        <w:t>Influence of ground on jet</w:t>
      </w:r>
      <w:r w:rsidR="00E61704">
        <w:t xml:space="preserve"> </w:t>
      </w:r>
      <w:r w:rsidRPr="00740266">
        <w:t>fire extension</w:t>
      </w:r>
    </w:p>
    <w:p w14:paraId="0488FED2" w14:textId="627A59CE" w:rsidR="00B57E6F" w:rsidRPr="00CF1C1F" w:rsidRDefault="00236D83" w:rsidP="00B57E6F">
      <w:pPr>
        <w:pStyle w:val="CETAuthors"/>
        <w:rPr>
          <w:lang w:val="it-IT"/>
        </w:rPr>
      </w:pPr>
      <w:r w:rsidRPr="00CF1C1F">
        <w:rPr>
          <w:lang w:val="it-IT"/>
        </w:rPr>
        <w:t>Federico Florit</w:t>
      </w:r>
      <w:r w:rsidR="00B57E6F" w:rsidRPr="00CF1C1F">
        <w:rPr>
          <w:vertAlign w:val="superscript"/>
          <w:lang w:val="it-IT"/>
        </w:rPr>
        <w:t>a</w:t>
      </w:r>
      <w:r w:rsidR="00B57E6F" w:rsidRPr="00CF1C1F">
        <w:rPr>
          <w:lang w:val="it-IT"/>
        </w:rPr>
        <w:t xml:space="preserve">, </w:t>
      </w:r>
      <w:r w:rsidR="00682697">
        <w:rPr>
          <w:lang w:val="it-IT"/>
        </w:rPr>
        <w:t>Marco Barozzi</w:t>
      </w:r>
      <w:r w:rsidR="00682697" w:rsidRPr="00682697">
        <w:rPr>
          <w:vertAlign w:val="superscript"/>
          <w:lang w:val="it-IT"/>
        </w:rPr>
        <w:t>b</w:t>
      </w:r>
      <w:r w:rsidR="00682697">
        <w:rPr>
          <w:lang w:val="it-IT"/>
        </w:rPr>
        <w:t xml:space="preserve">, </w:t>
      </w:r>
      <w:r w:rsidRPr="00CF1C1F">
        <w:rPr>
          <w:lang w:val="it-IT"/>
        </w:rPr>
        <w:t>Sabrina Copelli</w:t>
      </w:r>
      <w:r w:rsidR="00B57E6F" w:rsidRPr="00CF1C1F">
        <w:rPr>
          <w:vertAlign w:val="superscript"/>
          <w:lang w:val="it-IT"/>
        </w:rPr>
        <w:t>b</w:t>
      </w:r>
      <w:r w:rsidR="00B57E6F" w:rsidRPr="00CF1C1F">
        <w:rPr>
          <w:lang w:val="it-IT"/>
        </w:rPr>
        <w:t xml:space="preserve">, </w:t>
      </w:r>
      <w:r w:rsidRPr="00CF1C1F">
        <w:rPr>
          <w:lang w:val="it-IT"/>
        </w:rPr>
        <w:t>Valentina Busini</w:t>
      </w:r>
      <w:r w:rsidRPr="00CF1C1F">
        <w:rPr>
          <w:vertAlign w:val="superscript"/>
          <w:lang w:val="it-IT"/>
        </w:rPr>
        <w:t>c,</w:t>
      </w:r>
      <w:r w:rsidRPr="00CF1C1F">
        <w:rPr>
          <w:lang w:val="it-IT"/>
        </w:rPr>
        <w:t>*</w:t>
      </w:r>
    </w:p>
    <w:p w14:paraId="6B2D21B3" w14:textId="53D901B7" w:rsidR="00B57E6F" w:rsidRPr="00B57B36" w:rsidRDefault="00B57E6F" w:rsidP="00B57E6F">
      <w:pPr>
        <w:pStyle w:val="CETAddress"/>
      </w:pPr>
      <w:r w:rsidRPr="00B57B36">
        <w:rPr>
          <w:vertAlign w:val="superscript"/>
        </w:rPr>
        <w:t>a</w:t>
      </w:r>
      <w:r w:rsidRPr="00B57B36">
        <w:t xml:space="preserve"> </w:t>
      </w:r>
      <w:r w:rsidR="00236D83" w:rsidRPr="00236D83">
        <w:t>Massachusetts Institute of Technology, Department of Chemical Engineering, Cambridge, MA 02139, USA</w:t>
      </w:r>
    </w:p>
    <w:p w14:paraId="3D72B0B0" w14:textId="4B2C5959" w:rsidR="00B57E6F" w:rsidRPr="00BE005E" w:rsidRDefault="00B57E6F" w:rsidP="00B57E6F">
      <w:pPr>
        <w:pStyle w:val="CETAddress"/>
      </w:pPr>
      <w:r w:rsidRPr="00BE005E">
        <w:rPr>
          <w:vertAlign w:val="superscript"/>
        </w:rPr>
        <w:t>b</w:t>
      </w:r>
      <w:r w:rsidR="00236D83" w:rsidRPr="00BE005E">
        <w:t xml:space="preserve"> </w:t>
      </w:r>
      <w:r w:rsidR="00771688" w:rsidRPr="00BE005E">
        <w:t xml:space="preserve">Università degli Studi dell’Insubria, </w:t>
      </w:r>
      <w:r w:rsidR="00BE005E" w:rsidRPr="00BE005E">
        <w:t>Science and High Techn</w:t>
      </w:r>
      <w:r w:rsidR="00BE005E">
        <w:t>ology Department, Via Valleggio 9</w:t>
      </w:r>
      <w:r w:rsidR="00AD05B3">
        <w:t>, 22100, Como, Italy</w:t>
      </w:r>
    </w:p>
    <w:p w14:paraId="281AE855" w14:textId="70F3CF56" w:rsidR="00236D83" w:rsidRPr="00B57B36" w:rsidRDefault="00236D83" w:rsidP="00B57E6F">
      <w:pPr>
        <w:pStyle w:val="CETAddress"/>
      </w:pPr>
      <w:r>
        <w:rPr>
          <w:vertAlign w:val="superscript"/>
        </w:rPr>
        <w:t>c</w:t>
      </w:r>
      <w:r>
        <w:t xml:space="preserve"> </w:t>
      </w:r>
      <w:r w:rsidR="007F00FD" w:rsidRPr="00AB01E1">
        <w:rPr>
          <w:lang w:val="en-US"/>
        </w:rPr>
        <w:t>Politecnico di Milano - Department of Chemistry, Materials and Chemical Engineering “Giulio Natta”, Via Mancinelli 7, 20131, Milano, Italy</w:t>
      </w:r>
      <w:r w:rsidRPr="00B57B36">
        <w:t xml:space="preserve"> </w:t>
      </w:r>
    </w:p>
    <w:p w14:paraId="73F1267A" w14:textId="76330ECE" w:rsidR="00B57E6F" w:rsidRPr="00B57B36" w:rsidRDefault="00BF3F9E" w:rsidP="00B57E6F">
      <w:pPr>
        <w:pStyle w:val="CETemail"/>
      </w:pPr>
      <w:r w:rsidRPr="00B57B36">
        <w:t>*</w:t>
      </w:r>
      <w:r w:rsidR="00B57E6F">
        <w:t xml:space="preserve"> </w:t>
      </w:r>
      <w:r w:rsidR="007F00FD">
        <w:t>valentina.busini@polimi.it</w:t>
      </w:r>
    </w:p>
    <w:p w14:paraId="2A0D6F51" w14:textId="76F8217D" w:rsidR="00740266" w:rsidRDefault="006347EA" w:rsidP="006347EA">
      <w:pPr>
        <w:pStyle w:val="CETBodytext"/>
      </w:pPr>
      <w:r>
        <w:t>A common accident in the industrial process industry is the puncturing of storage tanks or rupture of process pipelines containing gases. In these scenarios, the gas will escape the piece of equipment producing a single-phase gas jet. If the fluid is flammable, an ignition source is most probably encountered during the accidental scenario and a jet-fire can follow the leak.</w:t>
      </w:r>
      <w:r w:rsidR="0049502B">
        <w:t xml:space="preserve"> </w:t>
      </w:r>
      <w:r>
        <w:t xml:space="preserve">Free jets of hazardous gases and free jet-fires have been extensively analyzed in the past </w:t>
      </w:r>
      <w:r w:rsidR="0049502B">
        <w:t xml:space="preserve">literature </w:t>
      </w:r>
      <w:r>
        <w:t xml:space="preserve">to assess their shape and extension for safety purposes. Similar analyses have been conducted to observe the effect on shape/extension of neutral jets if obstacles were present. Also, the effect of the ground proximity to the jet source has been studied. In general, the presence of obstacles and the proximity to the ground lead to enlarged hazardous areas, mainly because of the </w:t>
      </w:r>
      <w:proofErr w:type="spellStart"/>
      <w:r>
        <w:t>Coand</w:t>
      </w:r>
      <w:r w:rsidR="004C53E3">
        <w:t>ă</w:t>
      </w:r>
      <w:proofErr w:type="spellEnd"/>
      <w:r>
        <w:t xml:space="preserve"> effect.</w:t>
      </w:r>
      <w:r w:rsidR="0049502B">
        <w:t xml:space="preserve"> </w:t>
      </w:r>
      <w:r>
        <w:t>In this work, flammable jets igniting and forming a jet-fire</w:t>
      </w:r>
      <w:r w:rsidR="00682697">
        <w:t xml:space="preserve"> were considered</w:t>
      </w:r>
      <w:r>
        <w:t xml:space="preserve">. The effect of the ground proximity </w:t>
      </w:r>
      <w:r w:rsidR="00115832">
        <w:t>was</w:t>
      </w:r>
      <w:r>
        <w:t xml:space="preserve"> analyzed, to observe the extension of the flame. Two opposed phenomena </w:t>
      </w:r>
      <w:r w:rsidR="00F06FE3">
        <w:t xml:space="preserve">were supposed to </w:t>
      </w:r>
      <w:r>
        <w:t xml:space="preserve">act on the fire, differently from non-ignited jets: the </w:t>
      </w:r>
      <w:proofErr w:type="spellStart"/>
      <w:r>
        <w:t>Coand</w:t>
      </w:r>
      <w:r w:rsidR="004C53E3">
        <w:t>ă</w:t>
      </w:r>
      <w:proofErr w:type="spellEnd"/>
      <w:r>
        <w:t xml:space="preserve"> effect having an attractive nature towards the ground and the buoyancy effect on the opposite direction. </w:t>
      </w:r>
      <w:r w:rsidR="00924CBC">
        <w:t xml:space="preserve">The relevant </w:t>
      </w:r>
      <w:r>
        <w:t>methane jet-fires</w:t>
      </w:r>
      <w:r w:rsidR="00924CBC">
        <w:t xml:space="preserve"> case study</w:t>
      </w:r>
      <w:r w:rsidR="0033220B">
        <w:t xml:space="preserve"> was considered carrying out </w:t>
      </w:r>
      <w:r>
        <w:t xml:space="preserve">computational fluid dynamics (CFD) </w:t>
      </w:r>
      <w:r w:rsidR="0033220B">
        <w:t xml:space="preserve">simulations </w:t>
      </w:r>
      <w:r>
        <w:t xml:space="preserve">using the Fire Dynamics Simulator </w:t>
      </w:r>
      <w:r w:rsidR="00210ED1">
        <w:t>software</w:t>
      </w:r>
      <w:r>
        <w:t>. The study consider</w:t>
      </w:r>
      <w:r w:rsidR="00210ED1">
        <w:t>ed</w:t>
      </w:r>
      <w:r>
        <w:t xml:space="preserve"> both </w:t>
      </w:r>
      <w:r w:rsidR="00210ED1">
        <w:t xml:space="preserve">the </w:t>
      </w:r>
      <w:r>
        <w:t>jet source height from the ground and the gas relief</w:t>
      </w:r>
      <w:r w:rsidR="00210ED1">
        <w:t xml:space="preserve"> </w:t>
      </w:r>
      <w:r w:rsidR="001D2EC1">
        <w:t xml:space="preserve">flowrate </w:t>
      </w:r>
      <w:r w:rsidR="00210ED1">
        <w:t>effects</w:t>
      </w:r>
      <w:r>
        <w:t xml:space="preserve">. CFD results </w:t>
      </w:r>
      <w:r w:rsidR="001B447D">
        <w:t>were</w:t>
      </w:r>
      <w:r>
        <w:t xml:space="preserve"> summarized bas</w:t>
      </w:r>
      <w:r w:rsidR="001B447D">
        <w:t>ing</w:t>
      </w:r>
      <w:r>
        <w:t xml:space="preserve"> on simple dimensionless parameters to determine the </w:t>
      </w:r>
      <w:r w:rsidR="001B447D">
        <w:t xml:space="preserve">eventual </w:t>
      </w:r>
      <w:r>
        <w:t>variation of jet-fire extension for preliminary safety analyses.</w:t>
      </w:r>
    </w:p>
    <w:p w14:paraId="6E04FED7" w14:textId="0B4A1B0C" w:rsidR="00740266" w:rsidRDefault="00740266" w:rsidP="00740266">
      <w:pPr>
        <w:pStyle w:val="CETHeading1"/>
      </w:pPr>
      <w:r>
        <w:t>Introduction</w:t>
      </w:r>
    </w:p>
    <w:p w14:paraId="27B6C60D" w14:textId="5C4EDE0A" w:rsidR="00CF1C1F" w:rsidRDefault="00CF1C1F" w:rsidP="00CF1C1F">
      <w:pPr>
        <w:pStyle w:val="CETBodytext"/>
        <w:rPr>
          <w:lang w:val="en-GB"/>
        </w:rPr>
      </w:pPr>
      <w:r>
        <w:t xml:space="preserve">The tendency of </w:t>
      </w:r>
      <w:r w:rsidRPr="00ED3CD9">
        <w:rPr>
          <w:lang w:val="en-GB"/>
        </w:rPr>
        <w:t>fire</w:t>
      </w:r>
      <w:r>
        <w:rPr>
          <w:lang w:val="en-GB"/>
        </w:rPr>
        <w:t xml:space="preserve"> to adhere to</w:t>
      </w:r>
      <w:r w:rsidRPr="00ED3CD9">
        <w:rPr>
          <w:lang w:val="en-GB"/>
        </w:rPr>
        <w:t xml:space="preserve"> near slopes and hills</w:t>
      </w:r>
      <w:r>
        <w:rPr>
          <w:lang w:val="en-GB"/>
        </w:rPr>
        <w:t xml:space="preserve"> has been largely studied</w:t>
      </w:r>
      <w:r w:rsidRPr="00ED3CD9">
        <w:rPr>
          <w:lang w:val="en-GB"/>
        </w:rPr>
        <w:t xml:space="preserve">. This is due </w:t>
      </w:r>
      <w:r>
        <w:rPr>
          <w:lang w:val="en-GB"/>
        </w:rPr>
        <w:t>mainly</w:t>
      </w:r>
      <w:r w:rsidRPr="00ED3CD9">
        <w:rPr>
          <w:lang w:val="en-GB"/>
        </w:rPr>
        <w:t xml:space="preserve"> to the </w:t>
      </w:r>
      <w:proofErr w:type="spellStart"/>
      <w:r w:rsidRPr="00ED3CD9">
        <w:rPr>
          <w:lang w:val="en-GB"/>
        </w:rPr>
        <w:t>Coand</w:t>
      </w:r>
      <w:proofErr w:type="spellEnd"/>
      <w:r w:rsidR="004C53E3">
        <w:t>ă</w:t>
      </w:r>
      <w:r w:rsidRPr="00ED3CD9">
        <w:rPr>
          <w:lang w:val="en-GB"/>
        </w:rPr>
        <w:t xml:space="preserve"> effect</w:t>
      </w:r>
      <w:r>
        <w:rPr>
          <w:lang w:val="en-GB"/>
        </w:rPr>
        <w:t>, which is</w:t>
      </w:r>
      <w:r w:rsidRPr="00ED3CD9">
        <w:rPr>
          <w:lang w:val="en-GB"/>
        </w:rPr>
        <w:t xml:space="preserve"> caused by inhibited entrainment of ambient fluid near the solid</w:t>
      </w:r>
      <w:r>
        <w:rPr>
          <w:lang w:val="en-GB"/>
        </w:rPr>
        <w:t>;</w:t>
      </w:r>
      <w:r w:rsidRPr="00ED3CD9">
        <w:rPr>
          <w:lang w:val="en-GB"/>
        </w:rPr>
        <w:t xml:space="preserve"> </w:t>
      </w:r>
      <w:r>
        <w:rPr>
          <w:lang w:val="en-GB"/>
        </w:rPr>
        <w:t>the</w:t>
      </w:r>
      <w:r w:rsidRPr="00ED3CD9">
        <w:rPr>
          <w:lang w:val="en-GB"/>
        </w:rPr>
        <w:t xml:space="preserve"> lack of entrainment on one side of the jet causes a pressure gradient to develop normal to the flow direction that causes the jet to attach to the surface </w:t>
      </w:r>
      <w:r>
        <w:rPr>
          <w:lang w:val="en-GB"/>
        </w:rPr>
        <w:t>(</w:t>
      </w:r>
      <w:r w:rsidRPr="00ED3CD9">
        <w:rPr>
          <w:lang w:val="en-GB"/>
        </w:rPr>
        <w:t>McLean</w:t>
      </w:r>
      <w:r>
        <w:rPr>
          <w:lang w:val="en-GB"/>
        </w:rPr>
        <w:t xml:space="preserve">, </w:t>
      </w:r>
      <w:r w:rsidRPr="00ED3CD9">
        <w:rPr>
          <w:lang w:val="en-GB"/>
        </w:rPr>
        <w:t>2012).</w:t>
      </w:r>
      <w:r>
        <w:rPr>
          <w:lang w:val="en-GB"/>
        </w:rPr>
        <w:t xml:space="preserve"> </w:t>
      </w:r>
      <w:r w:rsidRPr="00ED3CD9">
        <w:rPr>
          <w:lang w:val="en-GB"/>
        </w:rPr>
        <w:t xml:space="preserve">Extensive work has been done studying the </w:t>
      </w:r>
      <w:proofErr w:type="spellStart"/>
      <w:r w:rsidRPr="00ED3CD9">
        <w:rPr>
          <w:lang w:val="en-GB"/>
        </w:rPr>
        <w:t>Coand</w:t>
      </w:r>
      <w:proofErr w:type="spellEnd"/>
      <w:r w:rsidR="004C53E3">
        <w:t>ă</w:t>
      </w:r>
      <w:r w:rsidRPr="00ED3CD9">
        <w:rPr>
          <w:lang w:val="en-GB"/>
        </w:rPr>
        <w:t xml:space="preserve"> effect in various applications,</w:t>
      </w:r>
      <w:r>
        <w:rPr>
          <w:lang w:val="en-GB"/>
        </w:rPr>
        <w:t xml:space="preserve"> both in absence and presence of flame</w:t>
      </w:r>
      <w:r w:rsidR="00B919CB">
        <w:rPr>
          <w:lang w:val="en-GB"/>
        </w:rPr>
        <w:t>, for example</w:t>
      </w:r>
      <w:r>
        <w:rPr>
          <w:lang w:val="en-GB"/>
        </w:rPr>
        <w:t xml:space="preserve"> </w:t>
      </w:r>
      <w:r w:rsidRPr="00ED3CD9">
        <w:rPr>
          <w:lang w:val="en-GB"/>
        </w:rPr>
        <w:t xml:space="preserve">nozzle flows </w:t>
      </w:r>
      <w:r w:rsidR="007F00FD">
        <w:rPr>
          <w:lang w:val="en-GB"/>
        </w:rPr>
        <w:t>(</w:t>
      </w:r>
      <w:proofErr w:type="spellStart"/>
      <w:r w:rsidR="007F00FD" w:rsidRPr="002F3FAA">
        <w:rPr>
          <w:lang w:val="en-GB"/>
        </w:rPr>
        <w:t>Shaari</w:t>
      </w:r>
      <w:proofErr w:type="spellEnd"/>
      <w:r w:rsidR="007F00FD">
        <w:rPr>
          <w:lang w:val="en-GB"/>
        </w:rPr>
        <w:t xml:space="preserve"> et al., 2015)</w:t>
      </w:r>
      <w:r w:rsidRPr="00ED3CD9">
        <w:rPr>
          <w:lang w:val="en-GB"/>
        </w:rPr>
        <w:t xml:space="preserve">, </w:t>
      </w:r>
      <w:r w:rsidR="00B919CB">
        <w:rPr>
          <w:lang w:val="en-GB"/>
        </w:rPr>
        <w:t xml:space="preserve">high pressure </w:t>
      </w:r>
      <w:r>
        <w:rPr>
          <w:lang w:val="en-GB"/>
        </w:rPr>
        <w:t>jet</w:t>
      </w:r>
      <w:r w:rsidR="00B919CB">
        <w:rPr>
          <w:lang w:val="en-GB"/>
        </w:rPr>
        <w:t>s</w:t>
      </w:r>
      <w:r w:rsidR="0016735E">
        <w:rPr>
          <w:lang w:val="en-GB"/>
        </w:rPr>
        <w:t xml:space="preserve"> of different materials</w:t>
      </w:r>
      <w:r>
        <w:rPr>
          <w:lang w:val="en-GB"/>
        </w:rPr>
        <w:t xml:space="preserve"> interacting with the ground</w:t>
      </w:r>
      <w:r w:rsidRPr="002F3FAA">
        <w:rPr>
          <w:rFonts w:cs="Arial"/>
          <w:szCs w:val="18"/>
        </w:rPr>
        <w:t xml:space="preserve"> </w:t>
      </w:r>
      <w:r>
        <w:rPr>
          <w:rFonts w:cs="Arial"/>
          <w:szCs w:val="18"/>
        </w:rPr>
        <w:t>(</w:t>
      </w:r>
      <w:proofErr w:type="spellStart"/>
      <w:r w:rsidRPr="002F3FAA">
        <w:rPr>
          <w:rFonts w:cs="Arial"/>
          <w:szCs w:val="18"/>
        </w:rPr>
        <w:t>Colombini</w:t>
      </w:r>
      <w:proofErr w:type="spellEnd"/>
      <w:r w:rsidRPr="002F3FAA">
        <w:rPr>
          <w:rFonts w:cs="Arial"/>
          <w:szCs w:val="18"/>
        </w:rPr>
        <w:t xml:space="preserve"> et al., 2020</w:t>
      </w:r>
      <w:r>
        <w:rPr>
          <w:rFonts w:cs="Arial"/>
          <w:szCs w:val="18"/>
        </w:rPr>
        <w:t>)</w:t>
      </w:r>
      <w:r>
        <w:rPr>
          <w:lang w:val="en-GB"/>
        </w:rPr>
        <w:t>, or with obstacles (</w:t>
      </w:r>
      <w:proofErr w:type="spellStart"/>
      <w:r w:rsidRPr="002F3FAA">
        <w:rPr>
          <w:rFonts w:cs="Arial"/>
          <w:szCs w:val="18"/>
        </w:rPr>
        <w:t>Colombini</w:t>
      </w:r>
      <w:proofErr w:type="spellEnd"/>
      <w:r w:rsidRPr="002F3FAA">
        <w:rPr>
          <w:rFonts w:cs="Arial"/>
          <w:szCs w:val="18"/>
        </w:rPr>
        <w:t xml:space="preserve"> and Busini, 2019, </w:t>
      </w:r>
      <w:proofErr w:type="spellStart"/>
      <w:r w:rsidRPr="002F3FAA">
        <w:rPr>
          <w:rFonts w:cs="Arial"/>
          <w:szCs w:val="18"/>
        </w:rPr>
        <w:t>Colombini</w:t>
      </w:r>
      <w:proofErr w:type="spellEnd"/>
      <w:r w:rsidRPr="002F3FAA">
        <w:rPr>
          <w:rFonts w:cs="Arial"/>
          <w:szCs w:val="18"/>
        </w:rPr>
        <w:t xml:space="preserve"> et al., 2021</w:t>
      </w:r>
      <w:r>
        <w:rPr>
          <w:lang w:val="en-GB"/>
        </w:rPr>
        <w:t xml:space="preserve">) for the former case and </w:t>
      </w:r>
      <w:r w:rsidRPr="00ED3CD9">
        <w:rPr>
          <w:lang w:val="en-GB"/>
        </w:rPr>
        <w:t xml:space="preserve">swirled flame </w:t>
      </w:r>
      <w:r w:rsidR="007F00FD">
        <w:rPr>
          <w:lang w:val="en-GB"/>
        </w:rPr>
        <w:t>(</w:t>
      </w:r>
      <w:r w:rsidR="007F00FD" w:rsidRPr="002F3FAA">
        <w:rPr>
          <w:lang w:val="en-GB"/>
        </w:rPr>
        <w:t>Singh</w:t>
      </w:r>
      <w:r w:rsidR="007F00FD">
        <w:rPr>
          <w:lang w:val="en-GB"/>
        </w:rPr>
        <w:t xml:space="preserve"> and </w:t>
      </w:r>
      <w:proofErr w:type="spellStart"/>
      <w:r w:rsidR="007F00FD" w:rsidRPr="002F3FAA">
        <w:rPr>
          <w:lang w:val="en-GB"/>
        </w:rPr>
        <w:t>Ramamurthi</w:t>
      </w:r>
      <w:proofErr w:type="spellEnd"/>
      <w:r w:rsidRPr="00ED3CD9">
        <w:rPr>
          <w:lang w:val="en-GB"/>
        </w:rPr>
        <w:t>,</w:t>
      </w:r>
      <w:r w:rsidR="007F00FD">
        <w:rPr>
          <w:lang w:val="en-GB"/>
        </w:rPr>
        <w:t xml:space="preserve"> 2009)</w:t>
      </w:r>
      <w:r w:rsidRPr="00ED3CD9">
        <w:rPr>
          <w:lang w:val="en-GB"/>
        </w:rPr>
        <w:t xml:space="preserve"> fire-wall interaction </w:t>
      </w:r>
      <w:r w:rsidR="007F00FD" w:rsidRPr="00ED3CD9">
        <w:rPr>
          <w:lang w:val="en-GB"/>
        </w:rPr>
        <w:t>behaviour</w:t>
      </w:r>
      <w:r w:rsidRPr="00ED3CD9">
        <w:rPr>
          <w:lang w:val="en-GB"/>
        </w:rPr>
        <w:t xml:space="preserve"> </w:t>
      </w:r>
      <w:r w:rsidR="007F00FD">
        <w:rPr>
          <w:lang w:val="en-GB"/>
        </w:rPr>
        <w:t>(</w:t>
      </w:r>
      <w:proofErr w:type="spellStart"/>
      <w:r w:rsidR="007F00FD" w:rsidRPr="002F3FAA">
        <w:t>Himoto</w:t>
      </w:r>
      <w:proofErr w:type="spellEnd"/>
      <w:r w:rsidR="007F00FD">
        <w:t xml:space="preserve"> et al.</w:t>
      </w:r>
      <w:r w:rsidRPr="00ED3CD9">
        <w:rPr>
          <w:lang w:val="en-GB"/>
        </w:rPr>
        <w:t>,</w:t>
      </w:r>
      <w:r w:rsidR="007F00FD">
        <w:rPr>
          <w:lang w:val="en-GB"/>
        </w:rPr>
        <w:t xml:space="preserve"> 2009, Gao et al., 2015, Ji et al., 2015)</w:t>
      </w:r>
      <w:r>
        <w:rPr>
          <w:lang w:val="en-GB"/>
        </w:rPr>
        <w:t xml:space="preserve">, for the latter. These works are able to confirm that the </w:t>
      </w:r>
      <w:proofErr w:type="spellStart"/>
      <w:r>
        <w:rPr>
          <w:lang w:val="en-GB"/>
        </w:rPr>
        <w:t>Coand</w:t>
      </w:r>
      <w:proofErr w:type="spellEnd"/>
      <w:r w:rsidR="004C53E3">
        <w:t>ă</w:t>
      </w:r>
      <w:r>
        <w:rPr>
          <w:lang w:val="en-GB"/>
        </w:rPr>
        <w:t xml:space="preserve"> effect is predominant in the case of vertical or horizontal no ignited jet and in case of vertical flame, that is in the case in which the buoyance and the flow has the same direction, but, for the Author’s knowledge, there is not an extensive work made to see which is the behaviour of the flame when the buoyance and the </w:t>
      </w:r>
      <w:proofErr w:type="spellStart"/>
      <w:r>
        <w:rPr>
          <w:lang w:val="en-GB"/>
        </w:rPr>
        <w:t>Coand</w:t>
      </w:r>
      <w:proofErr w:type="spellEnd"/>
      <w:r w:rsidR="004C53E3">
        <w:t>ă</w:t>
      </w:r>
      <w:r>
        <w:rPr>
          <w:lang w:val="en-GB"/>
        </w:rPr>
        <w:t xml:space="preserve"> effect are in contrast directions, that is for </w:t>
      </w:r>
      <w:r w:rsidR="0016735E">
        <w:rPr>
          <w:lang w:val="en-GB"/>
        </w:rPr>
        <w:t xml:space="preserve">horizontal jet fire close to the terrain. </w:t>
      </w:r>
      <w:r w:rsidR="0016735E">
        <w:t xml:space="preserve">In this work, the effect of the ground proximity is analyzed, to observe the extension of the flame in the presence of the two opposed phenomena. A parametric analysis was performed for </w:t>
      </w:r>
      <w:r w:rsidR="00B919CB">
        <w:t xml:space="preserve">sub-sonic </w:t>
      </w:r>
      <w:r w:rsidR="0016735E">
        <w:t xml:space="preserve">methane jet-fires, by means of computational fluid dynamics using the software Fire Dynamics Simulator from NIST. The study considers both the jet source height from the ground and the flowrate of gas relief. </w:t>
      </w:r>
    </w:p>
    <w:p w14:paraId="5ADC337E" w14:textId="0916E4DB" w:rsidR="00740266" w:rsidRDefault="00740266" w:rsidP="00740266">
      <w:pPr>
        <w:pStyle w:val="CETHeading1"/>
      </w:pPr>
      <w:r>
        <w:lastRenderedPageBreak/>
        <w:t>Materials and methods</w:t>
      </w:r>
    </w:p>
    <w:p w14:paraId="07D0EED5" w14:textId="403B5B08" w:rsidR="00740266" w:rsidRDefault="00740266" w:rsidP="00740266">
      <w:pPr>
        <w:pStyle w:val="CETBodytext"/>
      </w:pPr>
      <w:r>
        <w:t xml:space="preserve">Methane </w:t>
      </w:r>
      <w:r w:rsidR="00B34599">
        <w:t>jet fire</w:t>
      </w:r>
      <w:r>
        <w:t>s were simulated using the</w:t>
      </w:r>
      <w:r w:rsidR="00AC7BC0">
        <w:t xml:space="preserve"> freeware software</w:t>
      </w:r>
      <w:r>
        <w:t xml:space="preserve"> Fire Dynamics Simulator (FDS) version 6.7.1 from NIST </w:t>
      </w:r>
      <w:r w:rsidR="00A302DF">
        <w:t>(</w:t>
      </w:r>
      <w:r w:rsidR="00851438" w:rsidRPr="00851438">
        <w:t>McGrattan</w:t>
      </w:r>
      <w:r w:rsidR="00851438">
        <w:t xml:space="preserve"> et al., 2017</w:t>
      </w:r>
      <w:r w:rsidR="00A302DF">
        <w:t>)</w:t>
      </w:r>
      <w:r>
        <w:t xml:space="preserve"> which has been adopted in literature for the description of </w:t>
      </w:r>
      <w:r w:rsidR="00B34599">
        <w:t>fire</w:t>
      </w:r>
      <w:r>
        <w:t xml:space="preserve"> accidental scenarios </w:t>
      </w:r>
      <w:r w:rsidR="00A302DF">
        <w:t>(</w:t>
      </w:r>
      <w:r w:rsidR="00AE6051">
        <w:t>Florit et al., 2019</w:t>
      </w:r>
      <w:r w:rsidR="001335E8">
        <w:t>, Florit et al., 2022</w:t>
      </w:r>
      <w:r w:rsidR="00A302DF">
        <w:t>)</w:t>
      </w:r>
      <w:r w:rsidR="00AE6051">
        <w:t>.</w:t>
      </w:r>
      <w:r>
        <w:t xml:space="preserve"> The software solves transport equations for mass, composition, energy, and momentum on a cartesian grid, which is appropriate for the simple geometry of the considered cases. Equations are solved in the framework of Large Eddy Simulations (LES</w:t>
      </w:r>
      <w:r w:rsidR="00682697">
        <w:t>);</w:t>
      </w:r>
      <w:r>
        <w:t xml:space="preserve"> </w:t>
      </w:r>
      <w:proofErr w:type="gramStart"/>
      <w:r>
        <w:t>therefore</w:t>
      </w:r>
      <w:proofErr w:type="gramEnd"/>
      <w:r>
        <w:t xml:space="preserve"> these simulations can only be performed in the time domain. The simulation is thus run over an extended time, to reach </w:t>
      </w:r>
      <w:r w:rsidR="00DA071D">
        <w:t>the jet fire</w:t>
      </w:r>
      <w:r>
        <w:t xml:space="preserve"> steady </w:t>
      </w:r>
      <w:r w:rsidR="00DA071D">
        <w:t xml:space="preserve">state </w:t>
      </w:r>
      <w:r>
        <w:t>condition (in terms of average length). The fire is simulated as an ideal combustion of methane, thus considering only complete oxidation to carbon dioxide, solely contributing to the radiative part of the energy equation (no effect of soot and by-products radiation is considered).</w:t>
      </w:r>
      <w:r w:rsidR="00972EBE">
        <w:t xml:space="preserve"> </w:t>
      </w:r>
      <w:r>
        <w:t>The accidental scenario considered is the release of methane</w:t>
      </w:r>
      <w:r w:rsidR="008B0ED2">
        <w:t xml:space="preserve"> </w:t>
      </w:r>
      <w:r>
        <w:t>in the atmosphere due to a full rupture of a pipe. The released flowrate is equal to 2.1 kg/s of methane</w:t>
      </w:r>
      <w:r w:rsidR="007949B6">
        <w:t xml:space="preserve"> (considered to be not pre-mixed)</w:t>
      </w:r>
      <w:r>
        <w:t xml:space="preserve"> at ambient temperature (</w:t>
      </w:r>
      <w:r w:rsidR="00DC52B8">
        <w:t>18</w:t>
      </w:r>
      <w:r>
        <w:t xml:space="preserve"> °C). </w:t>
      </w:r>
      <w:r w:rsidR="008B0ED2">
        <w:t>A</w:t>
      </w:r>
      <w:r>
        <w:t>n atmospheric class D</w:t>
      </w:r>
      <w:r w:rsidR="008B0ED2">
        <w:t xml:space="preserve"> was considered</w:t>
      </w:r>
      <w:r w:rsidR="006B4D5D">
        <w:t xml:space="preserve"> </w:t>
      </w:r>
      <w:r>
        <w:t>with wind speed of 5 m/s at 10 m height. The wind speed profile is</w:t>
      </w:r>
      <w:r w:rsidR="00682697">
        <w:t xml:space="preserve"> </w:t>
      </w:r>
      <w:r>
        <w:t>available in the FDS software, provided the computational domain extends in the positive z direction from the value of 0.</w:t>
      </w:r>
      <w:r w:rsidR="008B0ED2">
        <w:t xml:space="preserve"> The physical-chemical properties of all chemical species are available in the FDS default databank.</w:t>
      </w:r>
    </w:p>
    <w:p w14:paraId="4E5662A0" w14:textId="2FF125C7" w:rsidR="00740266" w:rsidRDefault="00740266" w:rsidP="00740266">
      <w:pPr>
        <w:pStyle w:val="CETBodytext"/>
      </w:pPr>
      <w:r>
        <w:t xml:space="preserve">The computational domain is sketched in Figure </w:t>
      </w:r>
      <w:r w:rsidR="00B473AF">
        <w:t>1</w:t>
      </w:r>
      <w:r>
        <w:t xml:space="preserve">, where the value of the orifice </w:t>
      </w:r>
      <w:r w:rsidR="003C6B3A">
        <w:t>dimension</w:t>
      </w:r>
      <w:r>
        <w:t xml:space="preserve">, d, is equal to </w:t>
      </w:r>
      <w:r w:rsidR="004B561A">
        <w:t>0.</w:t>
      </w:r>
      <w:r>
        <w:t>145 m and the height of the release, h, is varied between 0.29 and 2.</w:t>
      </w:r>
      <w:r w:rsidR="00843E9B">
        <w:t>61</w:t>
      </w:r>
      <w:r>
        <w:t xml:space="preserve"> m.</w:t>
      </w:r>
      <w:r w:rsidR="003C6B3A">
        <w:t xml:space="preserve"> </w:t>
      </w:r>
      <w:r>
        <w:t xml:space="preserve">The domain is subdivided into four parts with different grid sizes to capture the jet shape at best, </w:t>
      </w:r>
      <w:r w:rsidR="00B919CB">
        <w:t>adopting the mesh strategy used</w:t>
      </w:r>
      <w:r>
        <w:t xml:space="preserve"> in </w:t>
      </w:r>
      <w:r w:rsidR="00A302DF">
        <w:t>(</w:t>
      </w:r>
      <w:proofErr w:type="spellStart"/>
      <w:r>
        <w:t>Colombini</w:t>
      </w:r>
      <w:proofErr w:type="spellEnd"/>
      <w:r w:rsidR="00A302DF">
        <w:t xml:space="preserve"> et al., 2020)</w:t>
      </w:r>
      <w:r>
        <w:t xml:space="preserve">. The core region of the domain is close to the methane jet source with grid size of dimension equal to d/4, then the first far filed (Far 1) has cell size of d/2, the second (Far 2) equal to </w:t>
      </w:r>
      <w:proofErr w:type="spellStart"/>
      <w:r>
        <w:t>d</w:t>
      </w:r>
      <w:proofErr w:type="spellEnd"/>
      <w:r>
        <w:t>, and the last (Far 3) equal to 2d. These domains extend in the transversal direction equally as in height. The part of the domain that is below the level of the ground is not meshed.</w:t>
      </w:r>
      <w:r w:rsidR="00F733E5">
        <w:t xml:space="preserve"> </w:t>
      </w:r>
      <w:r w:rsidR="00B47CBF">
        <w:t>This way of constructing the computational grid guarantees that all cases have an equal domain height above the level of the orifice, while allowing the vertical position of the orifice to change.</w:t>
      </w:r>
      <w:r>
        <w:t xml:space="preserve"> According to the height of the methane pipeline, the total number of cells of the domain ranged between roughly 1.45 and </w:t>
      </w:r>
      <w:r w:rsidR="00843E9B">
        <w:t>1.98</w:t>
      </w:r>
      <w:r>
        <w:t xml:space="preserve"> million cells.</w:t>
      </w:r>
      <w:r w:rsidR="00CC2E71">
        <w:t xml:space="preserve"> It should be noted that, effectively, the orifice</w:t>
      </w:r>
      <w:r w:rsidR="008B2FA8">
        <w:t xml:space="preserve"> is</w:t>
      </w:r>
      <w:r w:rsidR="00CC2E71">
        <w:t xml:space="preserve"> square-shaped; this was done to reduce the computational complexity of the cases without any apparent advantage given by using a circular orifice (which requires more detailed meshing in FDS, which uses cartesian grids).</w:t>
      </w:r>
      <w:r w:rsidR="001515BA">
        <w:t xml:space="preserve"> A grid-independence analysis was conducted on one of the cases and halving the cell size (multiplying by 8 the number of cells) does not change the predicted results.</w:t>
      </w:r>
      <w:r>
        <w:t xml:space="preserve"> </w:t>
      </w:r>
      <w:r w:rsidR="00E3502D">
        <w:t>E</w:t>
      </w:r>
      <w:r>
        <w:t xml:space="preserve">ach simulation required roughly </w:t>
      </w:r>
      <w:r w:rsidR="00932D6D">
        <w:t>three days</w:t>
      </w:r>
      <w:r w:rsidR="008E6CC2">
        <w:t xml:space="preserve"> (on an Intel Xeon E5-2640 CPU with 20 cores and 126 GB RAM)</w:t>
      </w:r>
      <w:r w:rsidR="00932D6D">
        <w:t xml:space="preserve"> to obtain</w:t>
      </w:r>
      <w:r w:rsidR="00E3502D">
        <w:t xml:space="preserve"> at least</w:t>
      </w:r>
      <w:r w:rsidR="00932D6D">
        <w:t xml:space="preserve"> </w:t>
      </w:r>
      <w:r w:rsidR="00E3502D">
        <w:t>5</w:t>
      </w:r>
      <w:r w:rsidR="008F3B4D">
        <w:t>.5</w:t>
      </w:r>
      <w:r w:rsidR="00932D6D">
        <w:t xml:space="preserve"> s of simulated time</w:t>
      </w:r>
      <w:r w:rsidR="008E6CC2">
        <w:t xml:space="preserve">, </w:t>
      </w:r>
      <w:r w:rsidR="00932D6D">
        <w:t xml:space="preserve">long enough for all </w:t>
      </w:r>
      <w:r w:rsidR="00B34599">
        <w:t>jet fire</w:t>
      </w:r>
      <w:r w:rsidR="00932D6D">
        <w:t>s to reach a steady condition</w:t>
      </w:r>
      <w:r>
        <w:t>.</w:t>
      </w:r>
    </w:p>
    <w:p w14:paraId="35820DDB" w14:textId="7F17411C" w:rsidR="00740266" w:rsidRDefault="00740266" w:rsidP="00740266">
      <w:pPr>
        <w:pStyle w:val="CETCaption"/>
      </w:pPr>
      <w:r w:rsidRPr="00740266">
        <w:rPr>
          <w:noProof/>
        </w:rPr>
        <w:drawing>
          <wp:inline distT="0" distB="0" distL="0" distR="0" wp14:anchorId="184636B1" wp14:editId="05E5B98B">
            <wp:extent cx="3214687" cy="17221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590" t="2270" r="14147" b="4662"/>
                    <a:stretch/>
                  </pic:blipFill>
                  <pic:spPr bwMode="auto">
                    <a:xfrm>
                      <a:off x="0" y="0"/>
                      <a:ext cx="3221536" cy="1725849"/>
                    </a:xfrm>
                    <a:prstGeom prst="rect">
                      <a:avLst/>
                    </a:prstGeom>
                    <a:noFill/>
                    <a:ln>
                      <a:noFill/>
                    </a:ln>
                    <a:extLst>
                      <a:ext uri="{53640926-AAD7-44D8-BBD7-CCE9431645EC}">
                        <a14:shadowObscured xmlns:a14="http://schemas.microsoft.com/office/drawing/2010/main"/>
                      </a:ext>
                    </a:extLst>
                  </pic:spPr>
                </pic:pic>
              </a:graphicData>
            </a:graphic>
          </wp:inline>
        </w:drawing>
      </w:r>
    </w:p>
    <w:p w14:paraId="02172B71" w14:textId="0BC1EFE0" w:rsidR="00740266" w:rsidRDefault="00740266" w:rsidP="001E73B0">
      <w:pPr>
        <w:pStyle w:val="CETCaption"/>
      </w:pPr>
      <w:r>
        <w:t xml:space="preserve">Figure </w:t>
      </w:r>
      <w:r w:rsidR="00B473AF">
        <w:t>1</w:t>
      </w:r>
      <w:r>
        <w:t xml:space="preserve">: </w:t>
      </w:r>
      <w:r w:rsidR="00B473AF">
        <w:t xml:space="preserve">Computational domain for the jet fire simulations. d is equal to 0.145 </w:t>
      </w:r>
      <w:proofErr w:type="gramStart"/>
      <w:r w:rsidR="00B473AF">
        <w:t>m,</w:t>
      </w:r>
      <w:proofErr w:type="gramEnd"/>
      <w:r w:rsidR="00B473AF">
        <w:t xml:space="preserve"> h was varied between 0.29 and 2.61 m.</w:t>
      </w:r>
    </w:p>
    <w:p w14:paraId="238BE50D" w14:textId="7A7BCE4C" w:rsidR="00AA0F2B" w:rsidRPr="00740266" w:rsidRDefault="00E33B55" w:rsidP="00AA0F2B">
      <w:pPr>
        <w:pStyle w:val="CETBodytext"/>
      </w:pPr>
      <w:r>
        <w:t>The results of the simulations were analyzed with the</w:t>
      </w:r>
      <w:r w:rsidR="00AC7BC0">
        <w:t xml:space="preserve"> freeware</w:t>
      </w:r>
      <w:r>
        <w:t xml:space="preserve"> software </w:t>
      </w:r>
      <w:proofErr w:type="spellStart"/>
      <w:r>
        <w:t>SmokeView</w:t>
      </w:r>
      <w:proofErr w:type="spellEnd"/>
      <w:r>
        <w:t xml:space="preserve"> and post-processed using the software </w:t>
      </w:r>
      <w:proofErr w:type="spellStart"/>
      <w:r>
        <w:t>Matlab</w:t>
      </w:r>
      <w:proofErr w:type="spellEnd"/>
      <w:r w:rsidR="00AC7BC0">
        <w:t>®</w:t>
      </w:r>
      <w:r>
        <w:t xml:space="preserve"> by observing t</w:t>
      </w:r>
      <w:r w:rsidR="00AA0F2B">
        <w:t xml:space="preserve">he distribution of the methane volume fraction </w:t>
      </w:r>
      <w:r>
        <w:t>in the computational doma</w:t>
      </w:r>
      <w:r w:rsidR="00D60002">
        <w:t>i</w:t>
      </w:r>
      <w:r>
        <w:t>n, especially on the x-z plane</w:t>
      </w:r>
      <w:r w:rsidR="00AA0F2B">
        <w:t>. The flame extension is computed as the maximum distance from the orifice at which the methane volume fraction (averaged over the last 2 s of simulation) falls below the lower flammability limit of methane (LFL, 4</w:t>
      </w:r>
      <w:r w:rsidR="005D51D3">
        <w:t>.</w:t>
      </w:r>
      <w:r w:rsidR="00AA0F2B">
        <w:t>4 vol.%).</w:t>
      </w:r>
      <w:r w:rsidR="00AB657D">
        <w:t xml:space="preserve"> The same results </w:t>
      </w:r>
      <w:r w:rsidR="00B874D5">
        <w:t>can be</w:t>
      </w:r>
      <w:r w:rsidR="00AB657D">
        <w:t xml:space="preserve"> obtained </w:t>
      </w:r>
      <w:r w:rsidR="00B874D5">
        <w:t>using</w:t>
      </w:r>
      <w:r w:rsidR="00AB657D">
        <w:t xml:space="preserve"> the heat release rate per unit volume (HRRPUV) </w:t>
      </w:r>
      <w:r w:rsidR="00B874D5">
        <w:t>with a threshold</w:t>
      </w:r>
      <w:r w:rsidR="00AB657D">
        <w:t xml:space="preserve"> value of 200 kW/m</w:t>
      </w:r>
      <w:r w:rsidR="00AB657D" w:rsidRPr="00AB657D">
        <w:rPr>
          <w:vertAlign w:val="superscript"/>
        </w:rPr>
        <w:t>3</w:t>
      </w:r>
      <w:r w:rsidR="00AB657D">
        <w:t xml:space="preserve">, the default flame visualization </w:t>
      </w:r>
      <w:r w:rsidR="00B874D5">
        <w:t>threshold</w:t>
      </w:r>
      <w:r w:rsidR="00AB657D">
        <w:t xml:space="preserve"> of </w:t>
      </w:r>
      <w:proofErr w:type="spellStart"/>
      <w:r w:rsidR="00AB657D">
        <w:t>SmokeView</w:t>
      </w:r>
      <w:proofErr w:type="spellEnd"/>
      <w:r w:rsidR="00AB657D">
        <w:t>.</w:t>
      </w:r>
      <w:r w:rsidR="00547D80" w:rsidRPr="00547D80">
        <w:t xml:space="preserve"> </w:t>
      </w:r>
      <w:r w:rsidR="0013085D">
        <w:t>Heat flux and temperature were</w:t>
      </w:r>
      <w:r w:rsidR="0009151F">
        <w:t xml:space="preserve"> pointwise</w:t>
      </w:r>
      <w:r w:rsidR="0013085D">
        <w:t xml:space="preserve"> monitored during the simulation</w:t>
      </w:r>
      <w:r w:rsidR="0009151F">
        <w:t>s</w:t>
      </w:r>
      <w:r w:rsidR="0013085D">
        <w:t xml:space="preserve"> </w:t>
      </w:r>
      <w:r w:rsidR="00547D80">
        <w:t>on the ground</w:t>
      </w:r>
      <w:r w:rsidR="0009151F">
        <w:t xml:space="preserve"> on a line</w:t>
      </w:r>
      <w:r w:rsidR="00547D80">
        <w:t xml:space="preserve"> corresponding to the x axis, to consider possible radiative-exposure scenarios where </w:t>
      </w:r>
      <w:r w:rsidR="00D041E1">
        <w:t>targets</w:t>
      </w:r>
      <w:r w:rsidR="00547D80">
        <w:t xml:space="preserve"> on the ground are </w:t>
      </w:r>
      <w:r w:rsidR="0013085D">
        <w:t>of interest</w:t>
      </w:r>
      <w:r w:rsidR="00547D80">
        <w:t xml:space="preserve">. </w:t>
      </w:r>
    </w:p>
    <w:p w14:paraId="4DCFDE17" w14:textId="7534E053" w:rsidR="00740266" w:rsidRDefault="00740266" w:rsidP="00740266">
      <w:pPr>
        <w:pStyle w:val="CETHeading1"/>
      </w:pPr>
      <w:r>
        <w:lastRenderedPageBreak/>
        <w:t>Results and discussion</w:t>
      </w:r>
    </w:p>
    <w:p w14:paraId="195A6042" w14:textId="44D7A7CF" w:rsidR="002C2568" w:rsidRDefault="00740266" w:rsidP="002C2568">
      <w:pPr>
        <w:pStyle w:val="CETBodytext"/>
      </w:pPr>
      <w:r>
        <w:t>The result</w:t>
      </w:r>
      <w:r w:rsidR="00B47CBF">
        <w:t>s of the simulations</w:t>
      </w:r>
      <w:r>
        <w:t xml:space="preserve"> for the different values of h are </w:t>
      </w:r>
      <w:r w:rsidR="00D23516">
        <w:t>reported</w:t>
      </w:r>
      <w:r>
        <w:t xml:space="preserve"> in Figure </w:t>
      </w:r>
      <w:r w:rsidR="00B473AF">
        <w:t>2</w:t>
      </w:r>
      <w:r w:rsidR="00747DE5">
        <w:t xml:space="preserve"> as contour plots, reporting the methane volumetric fraction from the LFL to </w:t>
      </w:r>
      <w:r w:rsidR="00570DE7">
        <w:t>pure methane</w:t>
      </w:r>
      <w:r>
        <w:t xml:space="preserve">. </w:t>
      </w:r>
      <w:r w:rsidR="00077308">
        <w:t>T</w:t>
      </w:r>
      <w:r>
        <w:t xml:space="preserve">he contour plots of the time-averaged </w:t>
      </w:r>
      <w:r w:rsidR="00DD6CDF">
        <w:t>methane volume fraction</w:t>
      </w:r>
      <w:r>
        <w:t xml:space="preserve"> show the well-known shape of a free </w:t>
      </w:r>
      <w:r w:rsidR="00B34599">
        <w:t>jet fire</w:t>
      </w:r>
      <w:r>
        <w:t>, initially dominated by momentum (horizontal part</w:t>
      </w:r>
      <w:proofErr w:type="gramStart"/>
      <w:r>
        <w:t>)</w:t>
      </w:r>
      <w:proofErr w:type="gramEnd"/>
      <w:r>
        <w:t xml:space="preserve"> and eventually controlled by buoyancy (upward part) when the jet has no influence from the ground. </w:t>
      </w:r>
      <w:r w:rsidR="00077308">
        <w:t>The case for which h/d = 2 shows a jet fire impinging the ground and an increase in the width of the jet can be noted</w:t>
      </w:r>
      <w:r>
        <w:t>.</w:t>
      </w:r>
    </w:p>
    <w:p w14:paraId="1CC2618E" w14:textId="5B325381" w:rsidR="00A06BEC" w:rsidRDefault="002E714B" w:rsidP="00740266">
      <w:pPr>
        <w:pStyle w:val="CETCaption"/>
      </w:pPr>
      <w:r w:rsidRPr="002E714B">
        <w:rPr>
          <w:noProof/>
        </w:rPr>
        <w:drawing>
          <wp:inline distT="0" distB="0" distL="0" distR="0" wp14:anchorId="578DAA02" wp14:editId="193DDD4D">
            <wp:extent cx="4662570" cy="2362200"/>
            <wp:effectExtent l="0" t="0" r="5080" b="0"/>
            <wp:docPr id="259292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080" r="8967" b="2018"/>
                    <a:stretch/>
                  </pic:blipFill>
                  <pic:spPr bwMode="auto">
                    <a:xfrm>
                      <a:off x="0" y="0"/>
                      <a:ext cx="4665411" cy="2363639"/>
                    </a:xfrm>
                    <a:prstGeom prst="rect">
                      <a:avLst/>
                    </a:prstGeom>
                    <a:noFill/>
                    <a:ln>
                      <a:noFill/>
                    </a:ln>
                    <a:extLst>
                      <a:ext uri="{53640926-AAD7-44D8-BBD7-CCE9431645EC}">
                        <a14:shadowObscured xmlns:a14="http://schemas.microsoft.com/office/drawing/2010/main"/>
                      </a:ext>
                    </a:extLst>
                  </pic:spPr>
                </pic:pic>
              </a:graphicData>
            </a:graphic>
          </wp:inline>
        </w:drawing>
      </w:r>
    </w:p>
    <w:p w14:paraId="7DC3A41E" w14:textId="2A3A6A9D" w:rsidR="00740266" w:rsidRDefault="00740266" w:rsidP="00740266">
      <w:pPr>
        <w:pStyle w:val="CETCaption"/>
      </w:pPr>
      <w:r>
        <w:t xml:space="preserve">Figure </w:t>
      </w:r>
      <w:r w:rsidR="00B473AF">
        <w:t>2</w:t>
      </w:r>
      <w:r>
        <w:t>:</w:t>
      </w:r>
      <w:r w:rsidR="00840EF4">
        <w:t xml:space="preserve"> Visualization of the </w:t>
      </w:r>
      <w:r w:rsidR="00B34599">
        <w:t>jet fire</w:t>
      </w:r>
      <w:r w:rsidR="00F4134F">
        <w:t xml:space="preserve"> on the x-z plane as contour plot ranging from the LFL to pure methane</w:t>
      </w:r>
      <w:r w:rsidR="00523A30">
        <w:t xml:space="preserve"> for the various emission positions studied</w:t>
      </w:r>
      <w:r w:rsidR="000102F0">
        <w:t xml:space="preserve"> for a release of 2.1 kg/s of methane</w:t>
      </w:r>
      <w:r w:rsidR="00BF4D93">
        <w:t>.</w:t>
      </w:r>
    </w:p>
    <w:p w14:paraId="242D03FD" w14:textId="77777777" w:rsidR="001041F4" w:rsidRDefault="001041F4" w:rsidP="001041F4">
      <w:pPr>
        <w:pStyle w:val="CETBodytext"/>
      </w:pPr>
      <w:r>
        <w:t xml:space="preserve">Notably, the </w:t>
      </w:r>
      <w:proofErr w:type="spellStart"/>
      <w:r>
        <w:t>Coandă</w:t>
      </w:r>
      <w:proofErr w:type="spellEnd"/>
      <w:r>
        <w:t xml:space="preserve"> effect does not seem to play a relevant role in extending the length of the jet fire, as observed instead for non-ignited high-pressure jets. This can be ascribed to the more important effect of buoyancy in ignited sub-sonic jets, driving the jet upwards and overcoming the </w:t>
      </w:r>
      <w:proofErr w:type="spellStart"/>
      <w:r>
        <w:t>downdriving</w:t>
      </w:r>
      <w:proofErr w:type="spellEnd"/>
      <w:r>
        <w:t xml:space="preserve"> </w:t>
      </w:r>
      <w:proofErr w:type="spellStart"/>
      <w:r>
        <w:t>Coandă</w:t>
      </w:r>
      <w:proofErr w:type="spellEnd"/>
      <w:r>
        <w:t xml:space="preserve"> effect.</w:t>
      </w:r>
    </w:p>
    <w:p w14:paraId="4E36FC50" w14:textId="268B3FBF" w:rsidR="001041F4" w:rsidRDefault="00AA3B3F" w:rsidP="005823EC">
      <w:pPr>
        <w:pStyle w:val="CETBodytext"/>
      </w:pPr>
      <w:r>
        <w:t>The results of the simulations were validated by comparison with</w:t>
      </w:r>
      <w:r w:rsidR="001335E8">
        <w:t xml:space="preserve"> the correlation proposed by (</w:t>
      </w:r>
      <w:proofErr w:type="spellStart"/>
      <w:r w:rsidR="001335E8" w:rsidRPr="00094D04">
        <w:t>Lowesmith</w:t>
      </w:r>
      <w:proofErr w:type="spellEnd"/>
      <w:r w:rsidR="001335E8">
        <w:t xml:space="preserve"> et al., 2007) and (Palacios et al., 2020) in terms of free jet fire length</w:t>
      </w:r>
      <w:r>
        <w:t xml:space="preserve"> </w:t>
      </w:r>
      <w:r w:rsidR="001335E8">
        <w:t>and radiative heat flux.</w:t>
      </w:r>
      <w:r w:rsidR="001041F4" w:rsidRPr="001041F4">
        <w:t xml:space="preserve"> </w:t>
      </w:r>
    </w:p>
    <w:p w14:paraId="58DAA2D7" w14:textId="6A07D6FA" w:rsidR="00740266" w:rsidRDefault="001041F4" w:rsidP="005823EC">
      <w:pPr>
        <w:pStyle w:val="CETBodytext"/>
      </w:pPr>
      <w:r>
        <w:t>Table 1 reports the numerical values of all jet fire dimensions, the heat release rate (HRR), and radiative power (QR) of the fire. The HRR value is needed to use the correlations evaluating the jet fire extension</w:t>
      </w:r>
      <w:r w:rsidR="001335E8">
        <w:t xml:space="preserve"> and radiative intensity</w:t>
      </w:r>
      <w:r>
        <w:t xml:space="preserve"> for which the average of the values obtained, 96.4 MW, was used. </w:t>
      </w:r>
      <w:r w:rsidR="001335E8">
        <w:t xml:space="preserve">The obtained average flame length, </w:t>
      </w:r>
      <w:r w:rsidR="001335E8" w:rsidRPr="00E04E4C">
        <w:t xml:space="preserve">12.1 </w:t>
      </w:r>
      <w:r w:rsidR="001335E8">
        <w:t>m, is lower than the value calculated with the correlation proposed by (</w:t>
      </w:r>
      <w:proofErr w:type="spellStart"/>
      <w:r w:rsidR="001335E8" w:rsidRPr="00094D04">
        <w:t>Lowesmith</w:t>
      </w:r>
      <w:proofErr w:type="spellEnd"/>
      <w:r w:rsidR="001335E8">
        <w:t xml:space="preserve"> et al., 2007), </w:t>
      </w:r>
      <w:r w:rsidR="001335E8" w:rsidRPr="001B643B">
        <w:t>15.</w:t>
      </w:r>
      <w:r w:rsidR="001335E8">
        <w:t xml:space="preserve">9 m, which is based on experimental data on natural gas (mainly containing methane). The correlation proposed by (Palacios et al., 2020) for jet length (based on experimental data collected under very different conditions) leads to a value of 12.9 m, thus in a better agreement with the results of this work. </w:t>
      </w:r>
      <w:r>
        <w:t xml:space="preserve">Correctly, the various jets produce similar values of power, as the same amount of material is released in the environment and methane is totally oxidized within the computational domain. The average </w:t>
      </w:r>
      <w:r w:rsidR="00D6487D">
        <w:t>radiative power</w:t>
      </w:r>
      <w:r>
        <w:t xml:space="preserve"> </w:t>
      </w:r>
      <w:r w:rsidR="00D6487D">
        <w:t>obtained in</w:t>
      </w:r>
      <w:r>
        <w:t xml:space="preserve"> the simulations is 12.1 MW in agreement with the result of 12.7 MW obtained with the correlation of </w:t>
      </w:r>
      <w:r w:rsidR="00D6487D">
        <w:t>(</w:t>
      </w:r>
      <w:proofErr w:type="spellStart"/>
      <w:r>
        <w:t>Lowesmith</w:t>
      </w:r>
      <w:proofErr w:type="spellEnd"/>
      <w:r>
        <w:t xml:space="preserve"> et al.</w:t>
      </w:r>
      <w:r w:rsidR="00D6487D">
        <w:t>,</w:t>
      </w:r>
      <w:r>
        <w:t xml:space="preserve"> 2007). </w:t>
      </w:r>
    </w:p>
    <w:p w14:paraId="1B504526" w14:textId="55B40680" w:rsidR="00D23516" w:rsidRPr="00B57B36" w:rsidRDefault="00D23516" w:rsidP="00D23516">
      <w:pPr>
        <w:pStyle w:val="CETTabletitle"/>
      </w:pPr>
      <w:r w:rsidRPr="00B57B36">
        <w:t xml:space="preserve">Table </w:t>
      </w:r>
      <w:r w:rsidR="00B473AF">
        <w:t>1</w:t>
      </w:r>
      <w:r w:rsidRPr="00B57B36">
        <w:t xml:space="preserve">: </w:t>
      </w:r>
      <w:r w:rsidR="00794994">
        <w:t>Numerical results of the simulations</w:t>
      </w:r>
      <w:r w:rsidR="00D7038F">
        <w:t xml:space="preserve"> for a release of 2.1 kg/s of methane at different heights</w:t>
      </w:r>
      <w:r w:rsidR="00794994">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gridCol w:w="1134"/>
      </w:tblGrid>
      <w:tr w:rsidR="00DE63FB" w:rsidRPr="00B57B36" w14:paraId="22A62F93" w14:textId="77777777" w:rsidTr="00FF3BB3">
        <w:tc>
          <w:tcPr>
            <w:tcW w:w="1134" w:type="dxa"/>
            <w:tcBorders>
              <w:top w:val="single" w:sz="12" w:space="0" w:color="008000"/>
              <w:bottom w:val="single" w:sz="6" w:space="0" w:color="008000"/>
            </w:tcBorders>
            <w:shd w:val="clear" w:color="auto" w:fill="FFFFFF"/>
          </w:tcPr>
          <w:p w14:paraId="71798B8F" w14:textId="0FA1C268" w:rsidR="00DE63FB" w:rsidRPr="00B57B36" w:rsidRDefault="00AA3B3F" w:rsidP="00B02CE1">
            <w:pPr>
              <w:pStyle w:val="CETBodytext"/>
              <w:rPr>
                <w:lang w:val="en-GB"/>
              </w:rPr>
            </w:pPr>
            <w:r>
              <w:rPr>
                <w:lang w:val="en-GB"/>
              </w:rPr>
              <w:t>H</w:t>
            </w:r>
            <w:r w:rsidR="00DE63FB">
              <w:rPr>
                <w:lang w:val="en-GB"/>
              </w:rPr>
              <w:t xml:space="preserve"> [m]</w:t>
            </w:r>
          </w:p>
        </w:tc>
        <w:tc>
          <w:tcPr>
            <w:tcW w:w="1134" w:type="dxa"/>
            <w:tcBorders>
              <w:top w:val="single" w:sz="12" w:space="0" w:color="008000"/>
              <w:bottom w:val="single" w:sz="6" w:space="0" w:color="008000"/>
            </w:tcBorders>
            <w:shd w:val="clear" w:color="auto" w:fill="FFFFFF"/>
          </w:tcPr>
          <w:p w14:paraId="3FDA3786" w14:textId="202FAF16" w:rsidR="00DE63FB" w:rsidRDefault="00DE63FB" w:rsidP="00B02CE1">
            <w:pPr>
              <w:pStyle w:val="CETBodytext"/>
              <w:rPr>
                <w:lang w:val="en-GB"/>
              </w:rPr>
            </w:pPr>
            <w:r>
              <w:rPr>
                <w:lang w:val="en-GB"/>
              </w:rPr>
              <w:t>h/d [-]</w:t>
            </w:r>
          </w:p>
        </w:tc>
        <w:tc>
          <w:tcPr>
            <w:tcW w:w="1134" w:type="dxa"/>
            <w:tcBorders>
              <w:top w:val="single" w:sz="12" w:space="0" w:color="008000"/>
              <w:bottom w:val="single" w:sz="6" w:space="0" w:color="008000"/>
            </w:tcBorders>
            <w:shd w:val="clear" w:color="auto" w:fill="FFFFFF"/>
          </w:tcPr>
          <w:p w14:paraId="5EEBD519" w14:textId="50C4AB09" w:rsidR="00DE63FB" w:rsidRPr="00B57B36" w:rsidRDefault="00DE63FB" w:rsidP="00B02CE1">
            <w:pPr>
              <w:pStyle w:val="CETBodytext"/>
              <w:rPr>
                <w:lang w:val="en-GB"/>
              </w:rPr>
            </w:pPr>
            <w:r>
              <w:rPr>
                <w:lang w:val="en-GB"/>
              </w:rPr>
              <w:t>HRR [MW]</w:t>
            </w:r>
          </w:p>
        </w:tc>
        <w:tc>
          <w:tcPr>
            <w:tcW w:w="1134" w:type="dxa"/>
            <w:tcBorders>
              <w:top w:val="single" w:sz="12" w:space="0" w:color="008000"/>
              <w:bottom w:val="single" w:sz="6" w:space="0" w:color="008000"/>
            </w:tcBorders>
            <w:shd w:val="clear" w:color="auto" w:fill="FFFFFF"/>
          </w:tcPr>
          <w:p w14:paraId="45938428" w14:textId="5309D521" w:rsidR="00DE63FB" w:rsidRDefault="00DE63FB" w:rsidP="00B02CE1">
            <w:pPr>
              <w:pStyle w:val="CETBodytext"/>
              <w:rPr>
                <w:lang w:val="en-GB"/>
              </w:rPr>
            </w:pPr>
            <w:r>
              <w:rPr>
                <w:lang w:val="en-GB"/>
              </w:rPr>
              <w:t>QR [MW]</w:t>
            </w:r>
          </w:p>
        </w:tc>
        <w:tc>
          <w:tcPr>
            <w:tcW w:w="1134" w:type="dxa"/>
            <w:tcBorders>
              <w:top w:val="single" w:sz="12" w:space="0" w:color="008000"/>
              <w:bottom w:val="single" w:sz="6" w:space="0" w:color="008000"/>
            </w:tcBorders>
            <w:shd w:val="clear" w:color="auto" w:fill="FFFFFF"/>
          </w:tcPr>
          <w:p w14:paraId="185B0C82" w14:textId="000E7462" w:rsidR="00DE63FB" w:rsidRPr="00B57B36" w:rsidRDefault="00DE63FB" w:rsidP="00B02CE1">
            <w:pPr>
              <w:pStyle w:val="CETBodytext"/>
              <w:rPr>
                <w:lang w:val="en-GB"/>
              </w:rPr>
            </w:pPr>
            <w:r>
              <w:rPr>
                <w:lang w:val="en-GB"/>
              </w:rPr>
              <w:t>HE [m]</w:t>
            </w:r>
          </w:p>
        </w:tc>
        <w:tc>
          <w:tcPr>
            <w:tcW w:w="1134" w:type="dxa"/>
            <w:tcBorders>
              <w:top w:val="single" w:sz="12" w:space="0" w:color="008000"/>
              <w:bottom w:val="single" w:sz="6" w:space="0" w:color="008000"/>
            </w:tcBorders>
            <w:shd w:val="clear" w:color="auto" w:fill="FFFFFF"/>
          </w:tcPr>
          <w:p w14:paraId="77FB8455" w14:textId="0D4AC480" w:rsidR="00DE63FB" w:rsidRPr="00B57B36" w:rsidRDefault="00DE63FB" w:rsidP="00B02CE1">
            <w:pPr>
              <w:pStyle w:val="CETBodytext"/>
              <w:ind w:right="-1"/>
              <w:rPr>
                <w:rFonts w:cs="Arial"/>
                <w:szCs w:val="18"/>
                <w:lang w:val="en-GB"/>
              </w:rPr>
            </w:pPr>
            <w:r>
              <w:rPr>
                <w:rFonts w:cs="Arial"/>
                <w:szCs w:val="18"/>
                <w:lang w:val="en-GB"/>
              </w:rPr>
              <w:t>VE+ [m]</w:t>
            </w:r>
          </w:p>
        </w:tc>
        <w:tc>
          <w:tcPr>
            <w:tcW w:w="1134" w:type="dxa"/>
            <w:tcBorders>
              <w:top w:val="single" w:sz="12" w:space="0" w:color="008000"/>
              <w:bottom w:val="single" w:sz="6" w:space="0" w:color="008000"/>
            </w:tcBorders>
            <w:shd w:val="clear" w:color="auto" w:fill="FFFFFF"/>
          </w:tcPr>
          <w:p w14:paraId="0710980F" w14:textId="0956198D" w:rsidR="00DE63FB" w:rsidRPr="00B57B36" w:rsidRDefault="00DE63FB" w:rsidP="00B02CE1">
            <w:pPr>
              <w:pStyle w:val="CETBodytext"/>
              <w:ind w:right="-1"/>
              <w:rPr>
                <w:rFonts w:cs="Arial"/>
                <w:szCs w:val="18"/>
                <w:lang w:val="en-GB"/>
              </w:rPr>
            </w:pPr>
            <w:r>
              <w:rPr>
                <w:rFonts w:cs="Arial"/>
                <w:szCs w:val="18"/>
                <w:lang w:val="en-GB"/>
              </w:rPr>
              <w:t>VE- [m]</w:t>
            </w:r>
          </w:p>
        </w:tc>
      </w:tr>
      <w:tr w:rsidR="00DE63FB" w:rsidRPr="00B57B36" w14:paraId="091552F8" w14:textId="77777777" w:rsidTr="00FF3BB3">
        <w:tc>
          <w:tcPr>
            <w:tcW w:w="1134" w:type="dxa"/>
            <w:shd w:val="clear" w:color="auto" w:fill="FFFFFF"/>
          </w:tcPr>
          <w:p w14:paraId="5C7BCFC0" w14:textId="1685836E" w:rsidR="00DE63FB" w:rsidRPr="00B57B36" w:rsidRDefault="00DE63FB" w:rsidP="00B02CE1">
            <w:pPr>
              <w:pStyle w:val="CETBodytext"/>
              <w:rPr>
                <w:lang w:val="en-GB"/>
              </w:rPr>
            </w:pPr>
            <w:r>
              <w:rPr>
                <w:lang w:val="en-GB"/>
              </w:rPr>
              <w:t>0.29</w:t>
            </w:r>
          </w:p>
        </w:tc>
        <w:tc>
          <w:tcPr>
            <w:tcW w:w="1134" w:type="dxa"/>
            <w:shd w:val="clear" w:color="auto" w:fill="FFFFFF"/>
          </w:tcPr>
          <w:p w14:paraId="20249BF0" w14:textId="18D1E469" w:rsidR="00DE63FB" w:rsidRPr="00B57B36" w:rsidRDefault="00DE63FB" w:rsidP="00B02CE1">
            <w:pPr>
              <w:pStyle w:val="CETBodytext"/>
              <w:rPr>
                <w:lang w:val="en-GB"/>
              </w:rPr>
            </w:pPr>
            <w:r>
              <w:rPr>
                <w:lang w:val="en-GB"/>
              </w:rPr>
              <w:t>2</w:t>
            </w:r>
          </w:p>
        </w:tc>
        <w:tc>
          <w:tcPr>
            <w:tcW w:w="1134" w:type="dxa"/>
            <w:shd w:val="clear" w:color="auto" w:fill="FFFFFF"/>
          </w:tcPr>
          <w:p w14:paraId="14DDDF2E" w14:textId="27D88C03" w:rsidR="00DE63FB" w:rsidRPr="00B57B36" w:rsidRDefault="00DE63FB" w:rsidP="00B02CE1">
            <w:pPr>
              <w:pStyle w:val="CETBodytext"/>
              <w:rPr>
                <w:lang w:val="en-GB"/>
              </w:rPr>
            </w:pPr>
            <w:r>
              <w:rPr>
                <w:lang w:val="en-GB"/>
              </w:rPr>
              <w:t>98.0</w:t>
            </w:r>
          </w:p>
        </w:tc>
        <w:tc>
          <w:tcPr>
            <w:tcW w:w="1134" w:type="dxa"/>
            <w:shd w:val="clear" w:color="auto" w:fill="FFFFFF"/>
          </w:tcPr>
          <w:p w14:paraId="40954B7A" w14:textId="618BB6BB" w:rsidR="00DE63FB" w:rsidRDefault="00DE63FB" w:rsidP="00B02CE1">
            <w:pPr>
              <w:pStyle w:val="CETBodytext"/>
              <w:rPr>
                <w:lang w:val="en-GB"/>
              </w:rPr>
            </w:pPr>
            <w:r>
              <w:rPr>
                <w:lang w:val="en-GB"/>
              </w:rPr>
              <w:t>13.2</w:t>
            </w:r>
          </w:p>
        </w:tc>
        <w:tc>
          <w:tcPr>
            <w:tcW w:w="1134" w:type="dxa"/>
            <w:shd w:val="clear" w:color="auto" w:fill="FFFFFF"/>
          </w:tcPr>
          <w:p w14:paraId="1EC7A6CE" w14:textId="4741C0FC" w:rsidR="00DE63FB" w:rsidRPr="00B57B36" w:rsidRDefault="00DE63FB" w:rsidP="00B02CE1">
            <w:pPr>
              <w:pStyle w:val="CETBodytext"/>
              <w:rPr>
                <w:lang w:val="en-GB"/>
              </w:rPr>
            </w:pPr>
            <w:r>
              <w:rPr>
                <w:lang w:val="en-GB"/>
              </w:rPr>
              <w:t>11.7</w:t>
            </w:r>
          </w:p>
        </w:tc>
        <w:tc>
          <w:tcPr>
            <w:tcW w:w="1134" w:type="dxa"/>
            <w:shd w:val="clear" w:color="auto" w:fill="FFFFFF"/>
          </w:tcPr>
          <w:p w14:paraId="6C56DE10" w14:textId="79EC7896" w:rsidR="00DE63FB" w:rsidRPr="00B57B36" w:rsidRDefault="00DE63FB" w:rsidP="00B02CE1">
            <w:pPr>
              <w:pStyle w:val="CETBodytext"/>
              <w:ind w:right="-1"/>
              <w:rPr>
                <w:rFonts w:cs="Arial"/>
                <w:szCs w:val="18"/>
                <w:lang w:val="en-GB"/>
              </w:rPr>
            </w:pPr>
            <w:r>
              <w:rPr>
                <w:rFonts w:cs="Arial"/>
                <w:szCs w:val="18"/>
                <w:lang w:val="en-GB"/>
              </w:rPr>
              <w:t>4.</w:t>
            </w:r>
            <w:r w:rsidR="00BF4D93">
              <w:rPr>
                <w:rFonts w:cs="Arial"/>
                <w:szCs w:val="18"/>
                <w:lang w:val="en-GB"/>
              </w:rPr>
              <w:t>21</w:t>
            </w:r>
          </w:p>
        </w:tc>
        <w:tc>
          <w:tcPr>
            <w:tcW w:w="1134" w:type="dxa"/>
            <w:shd w:val="clear" w:color="auto" w:fill="FFFFFF"/>
          </w:tcPr>
          <w:p w14:paraId="5B91F29D" w14:textId="29FA313C" w:rsidR="00DE63FB" w:rsidRPr="00B57B36" w:rsidRDefault="00DE63FB" w:rsidP="00B02CE1">
            <w:pPr>
              <w:pStyle w:val="CETBodytext"/>
              <w:ind w:right="-1"/>
              <w:rPr>
                <w:rFonts w:cs="Arial"/>
                <w:szCs w:val="18"/>
                <w:lang w:val="en-GB"/>
              </w:rPr>
            </w:pPr>
            <w:r>
              <w:rPr>
                <w:rFonts w:cs="Arial"/>
                <w:szCs w:val="18"/>
                <w:lang w:val="en-GB"/>
              </w:rPr>
              <w:t>0.29</w:t>
            </w:r>
          </w:p>
        </w:tc>
      </w:tr>
      <w:tr w:rsidR="00DE63FB" w:rsidRPr="00B57B36" w14:paraId="7AD36A61" w14:textId="77777777" w:rsidTr="00FF3BB3">
        <w:tc>
          <w:tcPr>
            <w:tcW w:w="1134" w:type="dxa"/>
            <w:shd w:val="clear" w:color="auto" w:fill="FFFFFF"/>
          </w:tcPr>
          <w:p w14:paraId="505CCA6E" w14:textId="27AA88FF" w:rsidR="00DE63FB" w:rsidRDefault="00DE63FB" w:rsidP="00B02CE1">
            <w:pPr>
              <w:pStyle w:val="CETBodytext"/>
              <w:rPr>
                <w:lang w:val="en-GB"/>
              </w:rPr>
            </w:pPr>
            <w:r>
              <w:rPr>
                <w:lang w:val="en-GB"/>
              </w:rPr>
              <w:t>0.87</w:t>
            </w:r>
          </w:p>
        </w:tc>
        <w:tc>
          <w:tcPr>
            <w:tcW w:w="1134" w:type="dxa"/>
            <w:shd w:val="clear" w:color="auto" w:fill="FFFFFF"/>
          </w:tcPr>
          <w:p w14:paraId="755E1C95" w14:textId="7A8D67FC" w:rsidR="00DE63FB" w:rsidRPr="00B57B36" w:rsidRDefault="00DE63FB" w:rsidP="00B02CE1">
            <w:pPr>
              <w:pStyle w:val="CETBodytext"/>
              <w:rPr>
                <w:lang w:val="en-GB"/>
              </w:rPr>
            </w:pPr>
            <w:r>
              <w:rPr>
                <w:lang w:val="en-GB"/>
              </w:rPr>
              <w:t>6</w:t>
            </w:r>
          </w:p>
        </w:tc>
        <w:tc>
          <w:tcPr>
            <w:tcW w:w="1134" w:type="dxa"/>
            <w:shd w:val="clear" w:color="auto" w:fill="FFFFFF"/>
          </w:tcPr>
          <w:p w14:paraId="12CEB87A" w14:textId="494371D3" w:rsidR="00DE63FB" w:rsidRPr="00B57B36" w:rsidRDefault="00DE63FB" w:rsidP="005823EC">
            <w:pPr>
              <w:pStyle w:val="CETBodytext"/>
              <w:rPr>
                <w:lang w:val="en-GB"/>
              </w:rPr>
            </w:pPr>
            <w:r>
              <w:rPr>
                <w:lang w:val="en-GB"/>
              </w:rPr>
              <w:t>96.8</w:t>
            </w:r>
          </w:p>
        </w:tc>
        <w:tc>
          <w:tcPr>
            <w:tcW w:w="1134" w:type="dxa"/>
            <w:shd w:val="clear" w:color="auto" w:fill="FFFFFF"/>
          </w:tcPr>
          <w:p w14:paraId="688F5068" w14:textId="12A6C218" w:rsidR="00DE63FB" w:rsidRPr="00B57B36" w:rsidRDefault="00DE63FB" w:rsidP="00B02CE1">
            <w:pPr>
              <w:pStyle w:val="CETBodytext"/>
              <w:rPr>
                <w:lang w:val="en-GB"/>
              </w:rPr>
            </w:pPr>
            <w:r>
              <w:rPr>
                <w:lang w:val="en-GB"/>
              </w:rPr>
              <w:t>11.9</w:t>
            </w:r>
          </w:p>
        </w:tc>
        <w:tc>
          <w:tcPr>
            <w:tcW w:w="1134" w:type="dxa"/>
            <w:shd w:val="clear" w:color="auto" w:fill="FFFFFF"/>
          </w:tcPr>
          <w:p w14:paraId="1F87E3FC" w14:textId="7752A99E" w:rsidR="00DE63FB" w:rsidRPr="00B57B36" w:rsidRDefault="00DE63FB" w:rsidP="00B02CE1">
            <w:pPr>
              <w:pStyle w:val="CETBodytext"/>
              <w:rPr>
                <w:lang w:val="en-GB"/>
              </w:rPr>
            </w:pPr>
            <w:r>
              <w:rPr>
                <w:lang w:val="en-GB"/>
              </w:rPr>
              <w:t>11.5</w:t>
            </w:r>
          </w:p>
        </w:tc>
        <w:tc>
          <w:tcPr>
            <w:tcW w:w="1134" w:type="dxa"/>
            <w:shd w:val="clear" w:color="auto" w:fill="FFFFFF"/>
          </w:tcPr>
          <w:p w14:paraId="3B41EED9" w14:textId="13603D4B" w:rsidR="00DE63FB" w:rsidRPr="00B57B36" w:rsidRDefault="00DE63FB" w:rsidP="00B02CE1">
            <w:pPr>
              <w:pStyle w:val="CETBodytext"/>
              <w:ind w:right="-1"/>
              <w:rPr>
                <w:rFonts w:cs="Arial"/>
                <w:szCs w:val="18"/>
                <w:lang w:val="en-GB"/>
              </w:rPr>
            </w:pPr>
            <w:r>
              <w:rPr>
                <w:rFonts w:cs="Arial"/>
                <w:szCs w:val="18"/>
                <w:lang w:val="en-GB"/>
              </w:rPr>
              <w:t>5.8</w:t>
            </w:r>
            <w:r w:rsidR="00BF4D93">
              <w:rPr>
                <w:rFonts w:cs="Arial"/>
                <w:szCs w:val="18"/>
                <w:lang w:val="en-GB"/>
              </w:rPr>
              <w:t>7</w:t>
            </w:r>
          </w:p>
        </w:tc>
        <w:tc>
          <w:tcPr>
            <w:tcW w:w="1134" w:type="dxa"/>
            <w:shd w:val="clear" w:color="auto" w:fill="FFFFFF"/>
          </w:tcPr>
          <w:p w14:paraId="6B74CC6D" w14:textId="7E3FA528" w:rsidR="00DE63FB" w:rsidRPr="00B57B36" w:rsidRDefault="00DE63FB" w:rsidP="00B02CE1">
            <w:pPr>
              <w:pStyle w:val="CETBodytext"/>
              <w:ind w:right="-1"/>
              <w:rPr>
                <w:rFonts w:cs="Arial"/>
                <w:szCs w:val="18"/>
                <w:lang w:val="en-GB"/>
              </w:rPr>
            </w:pPr>
            <w:r>
              <w:rPr>
                <w:rFonts w:cs="Arial"/>
                <w:szCs w:val="18"/>
                <w:lang w:val="en-GB"/>
              </w:rPr>
              <w:t>0.</w:t>
            </w:r>
            <w:r w:rsidR="00BF4D93">
              <w:rPr>
                <w:rFonts w:cs="Arial"/>
                <w:szCs w:val="18"/>
                <w:lang w:val="en-GB"/>
              </w:rPr>
              <w:t>29</w:t>
            </w:r>
          </w:p>
        </w:tc>
      </w:tr>
      <w:tr w:rsidR="00DE63FB" w:rsidRPr="00B57B36" w14:paraId="4E97ECFC" w14:textId="77777777" w:rsidTr="00FF3BB3">
        <w:tc>
          <w:tcPr>
            <w:tcW w:w="1134" w:type="dxa"/>
            <w:shd w:val="clear" w:color="auto" w:fill="FFFFFF"/>
          </w:tcPr>
          <w:p w14:paraId="12FF01C5" w14:textId="3264E3C6" w:rsidR="00DE63FB" w:rsidRDefault="00DE63FB" w:rsidP="00B02CE1">
            <w:pPr>
              <w:pStyle w:val="CETBodytext"/>
              <w:ind w:right="-1"/>
              <w:rPr>
                <w:rFonts w:cs="Arial"/>
                <w:szCs w:val="18"/>
                <w:lang w:val="en-GB"/>
              </w:rPr>
            </w:pPr>
            <w:r>
              <w:rPr>
                <w:rFonts w:cs="Arial"/>
                <w:szCs w:val="18"/>
                <w:lang w:val="en-GB"/>
              </w:rPr>
              <w:t>1.45</w:t>
            </w:r>
          </w:p>
        </w:tc>
        <w:tc>
          <w:tcPr>
            <w:tcW w:w="1134" w:type="dxa"/>
            <w:shd w:val="clear" w:color="auto" w:fill="FFFFFF"/>
          </w:tcPr>
          <w:p w14:paraId="725EA5C9" w14:textId="6318F41E" w:rsidR="00DE63FB" w:rsidRPr="00B57B36" w:rsidRDefault="00DE63FB" w:rsidP="00B02CE1">
            <w:pPr>
              <w:pStyle w:val="CETBodytext"/>
              <w:ind w:right="-1"/>
              <w:rPr>
                <w:rFonts w:cs="Arial"/>
                <w:szCs w:val="18"/>
                <w:lang w:val="en-GB"/>
              </w:rPr>
            </w:pPr>
            <w:r>
              <w:rPr>
                <w:rFonts w:cs="Arial"/>
                <w:szCs w:val="18"/>
                <w:lang w:val="en-GB"/>
              </w:rPr>
              <w:t>10</w:t>
            </w:r>
          </w:p>
        </w:tc>
        <w:tc>
          <w:tcPr>
            <w:tcW w:w="1134" w:type="dxa"/>
            <w:shd w:val="clear" w:color="auto" w:fill="FFFFFF"/>
          </w:tcPr>
          <w:p w14:paraId="5BF38B53" w14:textId="5B938ECB" w:rsidR="00DE63FB" w:rsidRPr="00B57B36" w:rsidRDefault="00DE63FB" w:rsidP="00B02CE1">
            <w:pPr>
              <w:pStyle w:val="CETBodytext"/>
              <w:ind w:right="-1"/>
              <w:rPr>
                <w:rFonts w:cs="Arial"/>
                <w:szCs w:val="18"/>
                <w:lang w:val="en-GB"/>
              </w:rPr>
            </w:pPr>
            <w:r>
              <w:rPr>
                <w:rFonts w:cs="Arial"/>
                <w:szCs w:val="18"/>
                <w:lang w:val="en-GB"/>
              </w:rPr>
              <w:t>93.9</w:t>
            </w:r>
          </w:p>
        </w:tc>
        <w:tc>
          <w:tcPr>
            <w:tcW w:w="1134" w:type="dxa"/>
            <w:shd w:val="clear" w:color="auto" w:fill="FFFFFF"/>
          </w:tcPr>
          <w:p w14:paraId="4F175560" w14:textId="715DF223" w:rsidR="00DE63FB" w:rsidRDefault="00DE63FB" w:rsidP="00B02CE1">
            <w:pPr>
              <w:pStyle w:val="CETBodytext"/>
              <w:ind w:right="-1"/>
              <w:rPr>
                <w:rFonts w:cs="Arial"/>
                <w:szCs w:val="18"/>
                <w:lang w:val="en-GB"/>
              </w:rPr>
            </w:pPr>
            <w:r>
              <w:rPr>
                <w:rFonts w:cs="Arial"/>
                <w:szCs w:val="18"/>
                <w:lang w:val="en-GB"/>
              </w:rPr>
              <w:t>11.6</w:t>
            </w:r>
          </w:p>
        </w:tc>
        <w:tc>
          <w:tcPr>
            <w:tcW w:w="1134" w:type="dxa"/>
            <w:shd w:val="clear" w:color="auto" w:fill="FFFFFF"/>
          </w:tcPr>
          <w:p w14:paraId="2934E82A" w14:textId="3A2C431C" w:rsidR="00DE63FB" w:rsidRPr="00B57B36" w:rsidRDefault="00DE63FB" w:rsidP="00B02CE1">
            <w:pPr>
              <w:pStyle w:val="CETBodytext"/>
              <w:ind w:right="-1"/>
              <w:rPr>
                <w:rFonts w:cs="Arial"/>
                <w:szCs w:val="18"/>
                <w:lang w:val="en-GB"/>
              </w:rPr>
            </w:pPr>
            <w:r>
              <w:rPr>
                <w:rFonts w:cs="Arial"/>
                <w:szCs w:val="18"/>
                <w:lang w:val="en-GB"/>
              </w:rPr>
              <w:t>12.6</w:t>
            </w:r>
          </w:p>
        </w:tc>
        <w:tc>
          <w:tcPr>
            <w:tcW w:w="1134" w:type="dxa"/>
            <w:shd w:val="clear" w:color="auto" w:fill="FFFFFF"/>
          </w:tcPr>
          <w:p w14:paraId="6DBB5425" w14:textId="476CBE74" w:rsidR="00DE63FB" w:rsidRPr="00B57B36" w:rsidRDefault="00DE63FB" w:rsidP="00B02CE1">
            <w:pPr>
              <w:pStyle w:val="CETBodytext"/>
              <w:ind w:right="-1"/>
              <w:rPr>
                <w:rFonts w:cs="Arial"/>
                <w:szCs w:val="18"/>
                <w:lang w:val="en-GB"/>
              </w:rPr>
            </w:pPr>
            <w:r>
              <w:rPr>
                <w:rFonts w:cs="Arial"/>
                <w:szCs w:val="18"/>
                <w:lang w:val="en-GB"/>
              </w:rPr>
              <w:t>5.8</w:t>
            </w:r>
            <w:r w:rsidR="00BF4D93">
              <w:rPr>
                <w:rFonts w:cs="Arial"/>
                <w:szCs w:val="18"/>
                <w:lang w:val="en-GB"/>
              </w:rPr>
              <w:t>7</w:t>
            </w:r>
          </w:p>
        </w:tc>
        <w:tc>
          <w:tcPr>
            <w:tcW w:w="1134" w:type="dxa"/>
            <w:shd w:val="clear" w:color="auto" w:fill="FFFFFF"/>
          </w:tcPr>
          <w:p w14:paraId="4697F4D2" w14:textId="6AAFF1FB" w:rsidR="00DE63FB" w:rsidRPr="00B57B36" w:rsidRDefault="00DE63FB" w:rsidP="00B02CE1">
            <w:pPr>
              <w:pStyle w:val="CETBodytext"/>
              <w:ind w:right="-1"/>
              <w:rPr>
                <w:rFonts w:cs="Arial"/>
                <w:szCs w:val="18"/>
                <w:lang w:val="en-GB"/>
              </w:rPr>
            </w:pPr>
            <w:r>
              <w:rPr>
                <w:rFonts w:cs="Arial"/>
                <w:szCs w:val="18"/>
                <w:lang w:val="en-GB"/>
              </w:rPr>
              <w:t>0.36</w:t>
            </w:r>
          </w:p>
        </w:tc>
      </w:tr>
      <w:tr w:rsidR="00DE63FB" w:rsidRPr="00B57B36" w14:paraId="003A30CA" w14:textId="77777777" w:rsidTr="00FF3BB3">
        <w:tc>
          <w:tcPr>
            <w:tcW w:w="1134" w:type="dxa"/>
            <w:shd w:val="clear" w:color="auto" w:fill="FFFFFF"/>
          </w:tcPr>
          <w:p w14:paraId="05CB5B01" w14:textId="2B1590A9" w:rsidR="00DE63FB" w:rsidRDefault="00DE63FB" w:rsidP="00B02CE1">
            <w:pPr>
              <w:pStyle w:val="CETBodytext"/>
              <w:ind w:right="-1"/>
              <w:rPr>
                <w:rFonts w:cs="Arial"/>
                <w:szCs w:val="18"/>
                <w:lang w:val="en-GB"/>
              </w:rPr>
            </w:pPr>
            <w:r>
              <w:rPr>
                <w:rFonts w:cs="Arial"/>
                <w:szCs w:val="18"/>
                <w:lang w:val="en-GB"/>
              </w:rPr>
              <w:t>2.03</w:t>
            </w:r>
          </w:p>
        </w:tc>
        <w:tc>
          <w:tcPr>
            <w:tcW w:w="1134" w:type="dxa"/>
            <w:shd w:val="clear" w:color="auto" w:fill="FFFFFF"/>
          </w:tcPr>
          <w:p w14:paraId="60C2E338" w14:textId="3B03789A" w:rsidR="00DE63FB" w:rsidRPr="00B57B36" w:rsidRDefault="00DE63FB" w:rsidP="00B02CE1">
            <w:pPr>
              <w:pStyle w:val="CETBodytext"/>
              <w:ind w:right="-1"/>
              <w:rPr>
                <w:rFonts w:cs="Arial"/>
                <w:szCs w:val="18"/>
                <w:lang w:val="en-GB"/>
              </w:rPr>
            </w:pPr>
            <w:r>
              <w:rPr>
                <w:rFonts w:cs="Arial"/>
                <w:szCs w:val="18"/>
                <w:lang w:val="en-GB"/>
              </w:rPr>
              <w:t>14</w:t>
            </w:r>
          </w:p>
        </w:tc>
        <w:tc>
          <w:tcPr>
            <w:tcW w:w="1134" w:type="dxa"/>
            <w:shd w:val="clear" w:color="auto" w:fill="FFFFFF"/>
          </w:tcPr>
          <w:p w14:paraId="656EE996" w14:textId="7C908A4C" w:rsidR="00DE63FB" w:rsidRPr="00B57B36" w:rsidRDefault="00F410A9" w:rsidP="00B02CE1">
            <w:pPr>
              <w:pStyle w:val="CETBodytext"/>
              <w:ind w:right="-1"/>
              <w:rPr>
                <w:rFonts w:cs="Arial"/>
                <w:szCs w:val="18"/>
                <w:lang w:val="en-GB"/>
              </w:rPr>
            </w:pPr>
            <w:r>
              <w:rPr>
                <w:rFonts w:cs="Arial"/>
                <w:szCs w:val="18"/>
                <w:lang w:val="en-GB"/>
              </w:rPr>
              <w:t>95.1</w:t>
            </w:r>
          </w:p>
        </w:tc>
        <w:tc>
          <w:tcPr>
            <w:tcW w:w="1134" w:type="dxa"/>
            <w:shd w:val="clear" w:color="auto" w:fill="FFFFFF"/>
          </w:tcPr>
          <w:p w14:paraId="0EC93BFE" w14:textId="3AA83390" w:rsidR="00DE63FB" w:rsidRPr="00B57B36" w:rsidRDefault="00F410A9" w:rsidP="00B02CE1">
            <w:pPr>
              <w:pStyle w:val="CETBodytext"/>
              <w:ind w:right="-1"/>
              <w:rPr>
                <w:rFonts w:cs="Arial"/>
                <w:szCs w:val="18"/>
                <w:lang w:val="en-GB"/>
              </w:rPr>
            </w:pPr>
            <w:r>
              <w:rPr>
                <w:rFonts w:cs="Arial"/>
                <w:szCs w:val="18"/>
                <w:lang w:val="en-GB"/>
              </w:rPr>
              <w:t>11.5</w:t>
            </w:r>
          </w:p>
        </w:tc>
        <w:tc>
          <w:tcPr>
            <w:tcW w:w="1134" w:type="dxa"/>
            <w:shd w:val="clear" w:color="auto" w:fill="FFFFFF"/>
          </w:tcPr>
          <w:p w14:paraId="6B04107B" w14:textId="62D25459" w:rsidR="00DE63FB" w:rsidRPr="00B57B36" w:rsidRDefault="00F410A9" w:rsidP="00B02CE1">
            <w:pPr>
              <w:pStyle w:val="CETBodytext"/>
              <w:ind w:right="-1"/>
              <w:rPr>
                <w:rFonts w:cs="Arial"/>
                <w:szCs w:val="18"/>
                <w:lang w:val="en-GB"/>
              </w:rPr>
            </w:pPr>
            <w:r>
              <w:rPr>
                <w:rFonts w:cs="Arial"/>
                <w:szCs w:val="18"/>
                <w:lang w:val="en-GB"/>
              </w:rPr>
              <w:t>12.8</w:t>
            </w:r>
          </w:p>
        </w:tc>
        <w:tc>
          <w:tcPr>
            <w:tcW w:w="1134" w:type="dxa"/>
            <w:shd w:val="clear" w:color="auto" w:fill="FFFFFF"/>
          </w:tcPr>
          <w:p w14:paraId="15F93B98" w14:textId="30541D37" w:rsidR="00DE63FB" w:rsidRPr="00B57B36" w:rsidRDefault="00F410A9" w:rsidP="00B02CE1">
            <w:pPr>
              <w:pStyle w:val="CETBodytext"/>
              <w:ind w:right="-1"/>
              <w:rPr>
                <w:rFonts w:cs="Arial"/>
                <w:szCs w:val="18"/>
                <w:lang w:val="en-GB"/>
              </w:rPr>
            </w:pPr>
            <w:r>
              <w:rPr>
                <w:rFonts w:cs="Arial"/>
                <w:szCs w:val="18"/>
                <w:lang w:val="en-GB"/>
              </w:rPr>
              <w:t>6.45</w:t>
            </w:r>
          </w:p>
        </w:tc>
        <w:tc>
          <w:tcPr>
            <w:tcW w:w="1134" w:type="dxa"/>
            <w:shd w:val="clear" w:color="auto" w:fill="FFFFFF"/>
          </w:tcPr>
          <w:p w14:paraId="156FE1E8" w14:textId="45A9B205" w:rsidR="00DE63FB" w:rsidRPr="00B57B36" w:rsidRDefault="00F410A9" w:rsidP="00B02CE1">
            <w:pPr>
              <w:pStyle w:val="CETBodytext"/>
              <w:ind w:right="-1"/>
              <w:rPr>
                <w:rFonts w:cs="Arial"/>
                <w:szCs w:val="18"/>
                <w:lang w:val="en-GB"/>
              </w:rPr>
            </w:pPr>
            <w:r>
              <w:rPr>
                <w:rFonts w:cs="Arial"/>
                <w:szCs w:val="18"/>
                <w:lang w:val="en-GB"/>
              </w:rPr>
              <w:t>0.36</w:t>
            </w:r>
          </w:p>
        </w:tc>
      </w:tr>
      <w:tr w:rsidR="00DE63FB" w:rsidRPr="00B57B36" w14:paraId="2B2090B4" w14:textId="77777777" w:rsidTr="00FF3BB3">
        <w:tc>
          <w:tcPr>
            <w:tcW w:w="1134" w:type="dxa"/>
            <w:shd w:val="clear" w:color="auto" w:fill="FFFFFF"/>
          </w:tcPr>
          <w:p w14:paraId="2247E9D7" w14:textId="1E7CEE9E" w:rsidR="00DE63FB" w:rsidRDefault="00DE63FB" w:rsidP="00B02CE1">
            <w:pPr>
              <w:pStyle w:val="CETBodytext"/>
              <w:ind w:right="-1"/>
              <w:rPr>
                <w:rFonts w:cs="Arial"/>
                <w:szCs w:val="18"/>
                <w:lang w:val="en-GB"/>
              </w:rPr>
            </w:pPr>
            <w:r>
              <w:rPr>
                <w:rFonts w:cs="Arial"/>
                <w:szCs w:val="18"/>
                <w:lang w:val="en-GB"/>
              </w:rPr>
              <w:t>2.61</w:t>
            </w:r>
          </w:p>
        </w:tc>
        <w:tc>
          <w:tcPr>
            <w:tcW w:w="1134" w:type="dxa"/>
            <w:shd w:val="clear" w:color="auto" w:fill="FFFFFF"/>
          </w:tcPr>
          <w:p w14:paraId="14DF3B20" w14:textId="381485C3" w:rsidR="00DE63FB" w:rsidRPr="00B57B36" w:rsidRDefault="00DE63FB" w:rsidP="00B02CE1">
            <w:pPr>
              <w:pStyle w:val="CETBodytext"/>
              <w:ind w:right="-1"/>
              <w:rPr>
                <w:rFonts w:cs="Arial"/>
                <w:szCs w:val="18"/>
                <w:lang w:val="en-GB"/>
              </w:rPr>
            </w:pPr>
            <w:r>
              <w:rPr>
                <w:rFonts w:cs="Arial"/>
                <w:szCs w:val="18"/>
                <w:lang w:val="en-GB"/>
              </w:rPr>
              <w:t>18</w:t>
            </w:r>
          </w:p>
        </w:tc>
        <w:tc>
          <w:tcPr>
            <w:tcW w:w="1134" w:type="dxa"/>
            <w:shd w:val="clear" w:color="auto" w:fill="FFFFFF"/>
          </w:tcPr>
          <w:p w14:paraId="3BE2A26A" w14:textId="57FBA5A9" w:rsidR="00DE63FB" w:rsidRPr="00B57B36" w:rsidRDefault="00DE63FB" w:rsidP="00B02CE1">
            <w:pPr>
              <w:pStyle w:val="CETBodytext"/>
              <w:ind w:right="-1"/>
              <w:rPr>
                <w:rFonts w:cs="Arial"/>
                <w:szCs w:val="18"/>
                <w:lang w:val="en-GB"/>
              </w:rPr>
            </w:pPr>
            <w:r>
              <w:rPr>
                <w:rFonts w:cs="Arial"/>
                <w:szCs w:val="18"/>
                <w:lang w:val="en-GB"/>
              </w:rPr>
              <w:t>98.1</w:t>
            </w:r>
          </w:p>
        </w:tc>
        <w:tc>
          <w:tcPr>
            <w:tcW w:w="1134" w:type="dxa"/>
            <w:shd w:val="clear" w:color="auto" w:fill="FFFFFF"/>
          </w:tcPr>
          <w:p w14:paraId="5E4A321B" w14:textId="32BDE8F4" w:rsidR="00DE63FB" w:rsidRDefault="00DE63FB" w:rsidP="00B02CE1">
            <w:pPr>
              <w:pStyle w:val="CETBodytext"/>
              <w:ind w:right="-1"/>
              <w:rPr>
                <w:rFonts w:cs="Arial"/>
                <w:szCs w:val="18"/>
                <w:lang w:val="en-GB"/>
              </w:rPr>
            </w:pPr>
            <w:r>
              <w:rPr>
                <w:rFonts w:cs="Arial"/>
                <w:szCs w:val="18"/>
                <w:lang w:val="en-GB"/>
              </w:rPr>
              <w:t>12.4</w:t>
            </w:r>
          </w:p>
        </w:tc>
        <w:tc>
          <w:tcPr>
            <w:tcW w:w="1134" w:type="dxa"/>
            <w:shd w:val="clear" w:color="auto" w:fill="FFFFFF"/>
          </w:tcPr>
          <w:p w14:paraId="007D9707" w14:textId="2DC449A6" w:rsidR="00DE63FB" w:rsidRPr="00B57B36" w:rsidRDefault="00DE63FB" w:rsidP="00B02CE1">
            <w:pPr>
              <w:pStyle w:val="CETBodytext"/>
              <w:ind w:right="-1"/>
              <w:rPr>
                <w:rFonts w:cs="Arial"/>
                <w:szCs w:val="18"/>
                <w:lang w:val="en-GB"/>
              </w:rPr>
            </w:pPr>
            <w:r>
              <w:rPr>
                <w:rFonts w:cs="Arial"/>
                <w:szCs w:val="18"/>
                <w:lang w:val="en-GB"/>
              </w:rPr>
              <w:t>12.0</w:t>
            </w:r>
          </w:p>
        </w:tc>
        <w:tc>
          <w:tcPr>
            <w:tcW w:w="1134" w:type="dxa"/>
            <w:shd w:val="clear" w:color="auto" w:fill="FFFFFF"/>
          </w:tcPr>
          <w:p w14:paraId="6D1784D6" w14:textId="13996933" w:rsidR="00DE63FB" w:rsidRPr="00B57B36" w:rsidRDefault="00DE63FB" w:rsidP="00B02CE1">
            <w:pPr>
              <w:pStyle w:val="CETBodytext"/>
              <w:ind w:right="-1"/>
              <w:rPr>
                <w:rFonts w:cs="Arial"/>
                <w:szCs w:val="18"/>
                <w:lang w:val="en-GB"/>
              </w:rPr>
            </w:pPr>
            <w:r>
              <w:rPr>
                <w:rFonts w:cs="Arial"/>
                <w:szCs w:val="18"/>
                <w:lang w:val="en-GB"/>
              </w:rPr>
              <w:t>5.6</w:t>
            </w:r>
            <w:r w:rsidR="00BF4D93">
              <w:rPr>
                <w:rFonts w:cs="Arial"/>
                <w:szCs w:val="18"/>
                <w:lang w:val="en-GB"/>
              </w:rPr>
              <w:t>5</w:t>
            </w:r>
          </w:p>
        </w:tc>
        <w:tc>
          <w:tcPr>
            <w:tcW w:w="1134" w:type="dxa"/>
            <w:shd w:val="clear" w:color="auto" w:fill="FFFFFF"/>
          </w:tcPr>
          <w:p w14:paraId="3A5006C5" w14:textId="7AE30D29" w:rsidR="00DE63FB" w:rsidRPr="001C1636" w:rsidRDefault="00DE63FB" w:rsidP="00B02CE1">
            <w:pPr>
              <w:pStyle w:val="CETBodytext"/>
              <w:ind w:right="-1"/>
              <w:rPr>
                <w:rFonts w:cs="Arial"/>
                <w:szCs w:val="18"/>
              </w:rPr>
            </w:pPr>
            <w:r>
              <w:rPr>
                <w:rFonts w:cs="Arial"/>
                <w:szCs w:val="18"/>
                <w:lang w:val="en-GB"/>
              </w:rPr>
              <w:t>0.36</w:t>
            </w:r>
          </w:p>
        </w:tc>
      </w:tr>
    </w:tbl>
    <w:p w14:paraId="6311E70A" w14:textId="77777777" w:rsidR="00D23516" w:rsidRDefault="00D23516" w:rsidP="00740266">
      <w:pPr>
        <w:pStyle w:val="CETBodytext"/>
      </w:pPr>
    </w:p>
    <w:p w14:paraId="78FD439D" w14:textId="35E1066B" w:rsidR="00DE63FB" w:rsidRDefault="00DE63FB" w:rsidP="00DE63FB">
      <w:pPr>
        <w:pStyle w:val="CETBodytext"/>
      </w:pPr>
    </w:p>
    <w:p w14:paraId="07257A29" w14:textId="331BA1EF" w:rsidR="001E73B0" w:rsidRDefault="00711BB8" w:rsidP="00740266">
      <w:pPr>
        <w:pStyle w:val="CETBodytext"/>
      </w:pPr>
      <w:r w:rsidRPr="003E3E4C">
        <w:t>The simulation</w:t>
      </w:r>
      <w:r w:rsidR="00F0571C" w:rsidRPr="003E3E4C">
        <w:t xml:space="preserve"> for h/d = 2</w:t>
      </w:r>
      <w:r w:rsidRPr="003E3E4C">
        <w:t xml:space="preserve"> </w:t>
      </w:r>
      <w:r w:rsidR="00F0571C" w:rsidRPr="003E3E4C">
        <w:t>leads to</w:t>
      </w:r>
      <w:r w:rsidR="001E73B0" w:rsidRPr="003E3E4C">
        <w:t xml:space="preserve"> </w:t>
      </w:r>
      <w:r w:rsidRPr="003E3E4C">
        <w:t>a</w:t>
      </w:r>
      <w:r w:rsidR="001E73B0" w:rsidRPr="003E3E4C">
        <w:t xml:space="preserve"> value of</w:t>
      </w:r>
      <w:r w:rsidR="00D6487D">
        <w:t xml:space="preserve"> the vertical extension towards the ground,</w:t>
      </w:r>
      <w:r w:rsidR="001E73B0" w:rsidRPr="003E3E4C">
        <w:t xml:space="preserve"> </w:t>
      </w:r>
      <w:r w:rsidRPr="003E3E4C">
        <w:t>V</w:t>
      </w:r>
      <w:r w:rsidR="001E73B0" w:rsidRPr="003E3E4C">
        <w:t>E-</w:t>
      </w:r>
      <w:r w:rsidR="00D6487D">
        <w:t>,</w:t>
      </w:r>
      <w:r w:rsidR="001E73B0" w:rsidRPr="003E3E4C">
        <w:t xml:space="preserve"> equal to h</w:t>
      </w:r>
      <w:r w:rsidR="00F0571C" w:rsidRPr="003E3E4C">
        <w:t>,</w:t>
      </w:r>
      <w:r w:rsidRPr="003E3E4C">
        <w:t xml:space="preserve"> </w:t>
      </w:r>
      <w:r w:rsidR="0092559D" w:rsidRPr="003E3E4C">
        <w:t>as</w:t>
      </w:r>
      <w:r w:rsidR="001E73B0" w:rsidRPr="003E3E4C">
        <w:t xml:space="preserve"> the </w:t>
      </w:r>
      <w:r w:rsidR="00B34599" w:rsidRPr="003E3E4C">
        <w:t>jet fire</w:t>
      </w:r>
      <w:r w:rsidR="001E73B0" w:rsidRPr="003E3E4C">
        <w:t xml:space="preserve"> impinges the ground</w:t>
      </w:r>
      <w:r w:rsidR="00F0571C" w:rsidRPr="003E3E4C">
        <w:t xml:space="preserve">. </w:t>
      </w:r>
      <w:r w:rsidR="00BC3AC8" w:rsidRPr="003E3E4C">
        <w:t>T</w:t>
      </w:r>
      <w:r w:rsidR="00105731" w:rsidRPr="003E3E4C">
        <w:t xml:space="preserve">he </w:t>
      </w:r>
      <w:r w:rsidR="0008192B" w:rsidRPr="003E3E4C">
        <w:t xml:space="preserve">minor influence of the </w:t>
      </w:r>
      <w:proofErr w:type="spellStart"/>
      <w:r w:rsidR="0008192B" w:rsidRPr="003E3E4C">
        <w:t>Coandă</w:t>
      </w:r>
      <w:proofErr w:type="spellEnd"/>
      <w:r w:rsidR="0008192B" w:rsidRPr="003E3E4C">
        <w:t xml:space="preserve"> effect can be observed in the value of</w:t>
      </w:r>
      <w:r w:rsidR="00D6487D">
        <w:t xml:space="preserve"> the vertical extension in the positive z direction,</w:t>
      </w:r>
      <w:r w:rsidR="0008192B" w:rsidRPr="003E3E4C">
        <w:t xml:space="preserve"> VE+</w:t>
      </w:r>
      <w:r w:rsidR="00D6487D">
        <w:t>,</w:t>
      </w:r>
      <w:r w:rsidR="0008192B" w:rsidRPr="003E3E4C">
        <w:t xml:space="preserve"> which is almost a constant for all cases except the one of h/d = 2, where the proximity of the ground tends to drive the jet downwards</w:t>
      </w:r>
      <w:r w:rsidR="00105731" w:rsidRPr="003E3E4C">
        <w:t>.</w:t>
      </w:r>
      <w:r w:rsidR="0008192B" w:rsidRPr="003E3E4C">
        <w:t xml:space="preserve"> This can also be </w:t>
      </w:r>
      <w:r w:rsidR="00F645B1" w:rsidRPr="003E3E4C">
        <w:t>noted</w:t>
      </w:r>
      <w:r w:rsidR="0008192B" w:rsidRPr="003E3E4C">
        <w:t xml:space="preserve"> from Figure 2, where </w:t>
      </w:r>
      <w:r w:rsidR="0008192B" w:rsidRPr="003E3E4C">
        <w:lastRenderedPageBreak/>
        <w:t>the</w:t>
      </w:r>
      <w:r w:rsidR="0092559D" w:rsidRPr="003E3E4C">
        <w:t xml:space="preserve"> plume</w:t>
      </w:r>
      <w:r w:rsidR="0008192B" w:rsidRPr="003E3E4C">
        <w:t xml:space="preserve"> width</w:t>
      </w:r>
      <w:r w:rsidR="0092559D" w:rsidRPr="003E3E4C">
        <w:t>s are</w:t>
      </w:r>
      <w:r w:rsidR="0008192B" w:rsidRPr="003E3E4C">
        <w:t xml:space="preserve"> </w:t>
      </w:r>
      <w:r w:rsidR="00F645B1" w:rsidRPr="003E3E4C">
        <w:t>similar for all cases except the one with the lowest release height, for which the width of the flame is larger</w:t>
      </w:r>
      <w:r w:rsidR="00F645B1">
        <w:t>.</w:t>
      </w:r>
    </w:p>
    <w:p w14:paraId="122CED5C" w14:textId="27B3F955" w:rsidR="00317948" w:rsidRDefault="00971EC7" w:rsidP="00740266">
      <w:pPr>
        <w:pStyle w:val="CETBodytext"/>
      </w:pPr>
      <w:r>
        <w:t xml:space="preserve">Figure </w:t>
      </w:r>
      <w:r w:rsidR="00397429">
        <w:t>4</w:t>
      </w:r>
      <w:r>
        <w:t xml:space="preserve"> report</w:t>
      </w:r>
      <w:r w:rsidR="005823EC">
        <w:t>s</w:t>
      </w:r>
      <w:r>
        <w:t xml:space="preserve"> the </w:t>
      </w:r>
      <w:r w:rsidR="0013085D">
        <w:t xml:space="preserve">simulated </w:t>
      </w:r>
      <w:r>
        <w:t>heat flux</w:t>
      </w:r>
      <w:r w:rsidR="005823EC">
        <w:t xml:space="preserve"> </w:t>
      </w:r>
      <w:r>
        <w:t>along the x axis as a function of a dimensionless coordinate</w:t>
      </w:r>
      <w:r w:rsidR="00D041E1">
        <w:t xml:space="preserve">, </w:t>
      </w:r>
      <w:proofErr w:type="spellStart"/>
      <w:r w:rsidR="00D041E1">
        <w:t>x</w:t>
      </w:r>
      <w:r w:rsidR="00D041E1" w:rsidRPr="00D041E1">
        <w:rPr>
          <w:vertAlign w:val="subscript"/>
        </w:rPr>
        <w:t>dl</w:t>
      </w:r>
      <w:proofErr w:type="spellEnd"/>
      <w:r>
        <w:t xml:space="preserve"> (position divided by flame length).</w:t>
      </w:r>
      <w:r w:rsidR="00D041E1">
        <w:t xml:space="preserve"> </w:t>
      </w:r>
      <w:r w:rsidR="005823EC">
        <w:t>I</w:t>
      </w:r>
      <w:r w:rsidR="00D041E1">
        <w:t>t can be noted that</w:t>
      </w:r>
      <w:r w:rsidR="005823EC" w:rsidRPr="005823EC">
        <w:t xml:space="preserve"> </w:t>
      </w:r>
      <w:r w:rsidR="005823EC">
        <w:t>all investigated flames cause unsafe conditions for some targets on the ground (both buildings or people), but</w:t>
      </w:r>
      <w:r w:rsidR="00D041E1">
        <w:t xml:space="preserve"> the </w:t>
      </w:r>
      <w:r w:rsidR="005823EC">
        <w:t>heat flux</w:t>
      </w:r>
      <w:r w:rsidR="00D041E1">
        <w:t xml:space="preserve"> deca</w:t>
      </w:r>
      <w:r w:rsidR="005823EC">
        <w:t>ys</w:t>
      </w:r>
      <w:r w:rsidR="00D041E1">
        <w:t xml:space="preserve"> quickly away from the flame (</w:t>
      </w:r>
      <w:proofErr w:type="spellStart"/>
      <w:r w:rsidR="00D041E1">
        <w:t>x</w:t>
      </w:r>
      <w:r w:rsidR="00D041E1" w:rsidRPr="00D041E1">
        <w:rPr>
          <w:vertAlign w:val="subscript"/>
        </w:rPr>
        <w:t>dl</w:t>
      </w:r>
      <w:proofErr w:type="spellEnd"/>
      <w:r w:rsidR="00D041E1">
        <w:t xml:space="preserve"> greater than 1)</w:t>
      </w:r>
      <w:r w:rsidR="005823EC">
        <w:t xml:space="preserve">, leading to safe conditions for </w:t>
      </w:r>
      <w:r w:rsidR="00C757F9">
        <w:t>buildings</w:t>
      </w:r>
      <w:r w:rsidR="005823EC">
        <w:t xml:space="preserve"> at </w:t>
      </w:r>
      <w:proofErr w:type="spellStart"/>
      <w:r w:rsidR="00C757F9">
        <w:t>x</w:t>
      </w:r>
      <w:r w:rsidR="00C757F9" w:rsidRPr="00D041E1">
        <w:rPr>
          <w:vertAlign w:val="subscript"/>
        </w:rPr>
        <w:t>dl</w:t>
      </w:r>
      <w:proofErr w:type="spellEnd"/>
      <w:r w:rsidR="00C757F9">
        <w:t xml:space="preserve"> &gt; </w:t>
      </w:r>
      <w:r w:rsidR="005823EC">
        <w:t>1.2</w:t>
      </w:r>
      <w:r w:rsidR="00DF2967">
        <w:t>7</w:t>
      </w:r>
      <w:r w:rsidR="005823EC">
        <w:t xml:space="preserve"> </w:t>
      </w:r>
      <w:r w:rsidR="00C757F9">
        <w:t xml:space="preserve">and for people at </w:t>
      </w:r>
      <w:proofErr w:type="spellStart"/>
      <w:r w:rsidR="00C757F9">
        <w:t>x</w:t>
      </w:r>
      <w:r w:rsidR="00C757F9" w:rsidRPr="00D041E1">
        <w:rPr>
          <w:vertAlign w:val="subscript"/>
        </w:rPr>
        <w:t>dl</w:t>
      </w:r>
      <w:proofErr w:type="spellEnd"/>
      <w:r w:rsidR="00C757F9">
        <w:t xml:space="preserve"> &gt; </w:t>
      </w:r>
      <w:r w:rsidR="00DF2967">
        <w:t>1.75.</w:t>
      </w:r>
      <w:r w:rsidR="00D41FC5">
        <w:t xml:space="preserve"> </w:t>
      </w:r>
      <w:proofErr w:type="gramStart"/>
      <w:r w:rsidR="00D41FC5">
        <w:t>With the exception of</w:t>
      </w:r>
      <w:proofErr w:type="gramEnd"/>
      <w:r w:rsidR="00D41FC5">
        <w:t xml:space="preserve"> the fire impinging the ground, the heat flux on the ground </w:t>
      </w:r>
      <w:r w:rsidR="0013085D">
        <w:t xml:space="preserve">has a maximum </w:t>
      </w:r>
      <w:r w:rsidR="00D41FC5">
        <w:t>roughly at half flame length, as it would be expected from simplified radiation models</w:t>
      </w:r>
      <w:r w:rsidR="00973A5D">
        <w:t>,</w:t>
      </w:r>
      <w:r w:rsidR="00D41FC5">
        <w:t xml:space="preserve"> such as the point-source model.</w:t>
      </w:r>
      <w:r w:rsidR="00F808C8">
        <w:t xml:space="preserve"> With such models the prediction of the flame impinging the ground would be </w:t>
      </w:r>
      <w:r w:rsidR="001F256D">
        <w:t>impossible</w:t>
      </w:r>
      <w:r w:rsidR="0020600B">
        <w:t xml:space="preserve"> and would disregard convective effects</w:t>
      </w:r>
      <w:r w:rsidR="00F808C8">
        <w:t>, showing the superiority of a detailed analysis.</w:t>
      </w:r>
    </w:p>
    <w:p w14:paraId="35DE16BF" w14:textId="0E9D1D28" w:rsidR="00E04E4C" w:rsidRDefault="00A50CF6" w:rsidP="00622C87">
      <w:pPr>
        <w:pStyle w:val="CETCaption"/>
      </w:pPr>
      <w:r w:rsidRPr="00A50CF6">
        <w:rPr>
          <w:noProof/>
        </w:rPr>
        <w:drawing>
          <wp:inline distT="0" distB="0" distL="0" distR="0" wp14:anchorId="6079C04F" wp14:editId="39694745">
            <wp:extent cx="3052762" cy="228975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1550" cy="2296346"/>
                    </a:xfrm>
                    <a:prstGeom prst="rect">
                      <a:avLst/>
                    </a:prstGeom>
                    <a:noFill/>
                    <a:ln>
                      <a:noFill/>
                    </a:ln>
                  </pic:spPr>
                </pic:pic>
              </a:graphicData>
            </a:graphic>
          </wp:inline>
        </w:drawing>
      </w:r>
    </w:p>
    <w:p w14:paraId="17BD57DF" w14:textId="4DF6C7B3" w:rsidR="00622C87" w:rsidRPr="00A50CF6" w:rsidRDefault="00622C87" w:rsidP="00622C87">
      <w:pPr>
        <w:pStyle w:val="CETCaption"/>
      </w:pPr>
      <w:r>
        <w:t xml:space="preserve">Figure </w:t>
      </w:r>
      <w:r w:rsidR="001B49A0">
        <w:t>3</w:t>
      </w:r>
      <w:r>
        <w:t>:</w:t>
      </w:r>
      <w:r w:rsidR="00397429">
        <w:t xml:space="preserve"> </w:t>
      </w:r>
      <w:r w:rsidR="0009151F">
        <w:t>Calculated h</w:t>
      </w:r>
      <w:r w:rsidR="00397429">
        <w:t xml:space="preserve">eat flux </w:t>
      </w:r>
      <w:r w:rsidR="0009151F">
        <w:t>for</w:t>
      </w:r>
      <w:r w:rsidR="00397429">
        <w:t xml:space="preserve"> targets at different positions on the ground, on the x axis of the computational domain</w:t>
      </w:r>
      <w:r w:rsidR="00C011E2">
        <w:t xml:space="preserve"> for different release heights</w:t>
      </w:r>
      <w:r w:rsidR="00397429">
        <w:t>.</w:t>
      </w:r>
      <w:r w:rsidR="005823EC">
        <w:t xml:space="preserve"> Building safety limit is 12.5 kW/m</w:t>
      </w:r>
      <w:r w:rsidR="005823EC" w:rsidRPr="00A50CF6">
        <w:rPr>
          <w:vertAlign w:val="superscript"/>
        </w:rPr>
        <w:t>2</w:t>
      </w:r>
      <w:r w:rsidR="00A50CF6">
        <w:t>, while people safety limit is 2.5 kW/m</w:t>
      </w:r>
      <w:r w:rsidR="00A50CF6" w:rsidRPr="00A50CF6">
        <w:rPr>
          <w:vertAlign w:val="superscript"/>
        </w:rPr>
        <w:t>2</w:t>
      </w:r>
      <w:r w:rsidR="00A50CF6">
        <w:t>.</w:t>
      </w:r>
    </w:p>
    <w:p w14:paraId="48821940" w14:textId="173D8690" w:rsidR="00F62B24" w:rsidRDefault="00FB09DB" w:rsidP="00FB09DB">
      <w:pPr>
        <w:pStyle w:val="CETBodytext"/>
      </w:pPr>
      <w:r>
        <w:t xml:space="preserve">The effect of the release flowrate was also studied for the </w:t>
      </w:r>
      <w:r w:rsidRPr="003E3E4C">
        <w:t>case h/d = 6</w:t>
      </w:r>
      <w:r w:rsidR="004C53E3">
        <w:t>, d = 0.145 m</w:t>
      </w:r>
      <w:r w:rsidRPr="003E3E4C">
        <w:t>.</w:t>
      </w:r>
      <w:r w:rsidR="003E3E4C">
        <w:t xml:space="preserve"> Remaining in the framework of sub-sonic jets, t</w:t>
      </w:r>
      <w:r>
        <w:t>he methane flowrate</w:t>
      </w:r>
      <w:r w:rsidR="00D7038F">
        <w:t>, F,</w:t>
      </w:r>
      <w:r>
        <w:t xml:space="preserve"> was changed between </w:t>
      </w:r>
      <w:r w:rsidR="00C34930">
        <w:t xml:space="preserve">2.1 and </w:t>
      </w:r>
      <w:r w:rsidR="00E20B9F">
        <w:t>8.4</w:t>
      </w:r>
      <w:r w:rsidR="00C34930">
        <w:t xml:space="preserve"> kg/s</w:t>
      </w:r>
      <w:r>
        <w:t xml:space="preserve"> and the results are </w:t>
      </w:r>
      <w:r w:rsidR="00C34930">
        <w:t>summarized</w:t>
      </w:r>
      <w:r>
        <w:t xml:space="preserve"> in Table </w:t>
      </w:r>
      <w:r w:rsidR="008A173C">
        <w:t>2</w:t>
      </w:r>
      <w:r w:rsidR="00C34930">
        <w:t>, reporting also the</w:t>
      </w:r>
      <w:r>
        <w:t xml:space="preserve"> dimensionless horizontal extension</w:t>
      </w:r>
      <w:r w:rsidR="00F06CDA">
        <w:t xml:space="preserve">, </w:t>
      </w:r>
      <w:proofErr w:type="spellStart"/>
      <w:r w:rsidR="00F06CDA">
        <w:t>HE</w:t>
      </w:r>
      <w:r w:rsidR="00F06CDA" w:rsidRPr="00F06CDA">
        <w:rPr>
          <w:vertAlign w:val="subscript"/>
        </w:rPr>
        <w:t>dl</w:t>
      </w:r>
      <w:proofErr w:type="spellEnd"/>
      <w:r>
        <w:t xml:space="preserve"> (HE divided by the extension of a free jet)</w:t>
      </w:r>
      <w:r w:rsidR="00E20B9F">
        <w:t>.</w:t>
      </w:r>
      <w:r w:rsidR="0008192B">
        <w:t xml:space="preserve"> Figure </w:t>
      </w:r>
      <w:r w:rsidR="008A173C">
        <w:t>4</w:t>
      </w:r>
      <w:r w:rsidR="0008192B">
        <w:t xml:space="preserve"> reports the flame shapes for the </w:t>
      </w:r>
      <w:r w:rsidR="0013085D">
        <w:t xml:space="preserve">simulated </w:t>
      </w:r>
      <w:r w:rsidR="0008192B">
        <w:t>cases.</w:t>
      </w:r>
    </w:p>
    <w:p w14:paraId="21F328B2" w14:textId="0E515569" w:rsidR="00D7038F" w:rsidRPr="00B57B36" w:rsidRDefault="00D7038F" w:rsidP="003309FB">
      <w:pPr>
        <w:pStyle w:val="CETTabletitle"/>
        <w:jc w:val="both"/>
      </w:pPr>
      <w:r w:rsidRPr="00B57B36">
        <w:t xml:space="preserve">Table </w:t>
      </w:r>
      <w:r w:rsidR="001B49A0">
        <w:t>2</w:t>
      </w:r>
      <w:r w:rsidRPr="00B57B36">
        <w:t xml:space="preserve">: </w:t>
      </w:r>
      <w:r>
        <w:t xml:space="preserve">Numerical results of the simulations </w:t>
      </w:r>
      <w:r w:rsidR="003C6B3A">
        <w:t>of</w:t>
      </w:r>
      <w:r>
        <w:t xml:space="preserve"> different flowrates</w:t>
      </w:r>
      <w:r w:rsidR="003C6B3A">
        <w:t xml:space="preserve"> of methane</w:t>
      </w:r>
      <w:r>
        <w:t xml:space="preserve"> at h/d = 6.</w:t>
      </w:r>
      <w:r w:rsidR="006518A5">
        <w:t xml:space="preserve"> Ignited free-jet length computed according to (Palacios et al., 2020),</w:t>
      </w:r>
      <w:r w:rsidR="003309FB" w:rsidRPr="003309FB">
        <w:t xml:space="preserve"> </w:t>
      </w:r>
      <w:r w:rsidR="003309FB">
        <w:t xml:space="preserve">non-ignited free-jet length according to (Chen and </w:t>
      </w:r>
      <w:proofErr w:type="spellStart"/>
      <w:r w:rsidR="003309FB">
        <w:t>Rodi</w:t>
      </w:r>
      <w:proofErr w:type="spellEnd"/>
      <w:r w:rsidR="003309FB">
        <w:t>, 1980)</w:t>
      </w:r>
      <w:r w:rsidR="0013085D">
        <w:t>, radiative heat flux QR* from (</w:t>
      </w:r>
      <w:proofErr w:type="spellStart"/>
      <w:r w:rsidR="0013085D" w:rsidRPr="00094D04">
        <w:t>Lowesmith</w:t>
      </w:r>
      <w:proofErr w:type="spellEnd"/>
      <w:r w:rsidR="0013085D">
        <w:t xml:space="preserve"> et al., 2007)</w:t>
      </w:r>
      <w:r w:rsidR="006518A5">
        <w:t>.</w:t>
      </w:r>
      <w:r w:rsidR="004C53E3">
        <w:t xml:space="preserve"> </w:t>
      </w:r>
      <w:r w:rsidR="0013085D">
        <w:t>For all cases</w:t>
      </w:r>
      <w:r w:rsidR="004C53E3">
        <w:t xml:space="preserve"> d = 0.145 m.</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2"/>
        <w:gridCol w:w="1113"/>
        <w:gridCol w:w="1103"/>
        <w:gridCol w:w="1100"/>
        <w:gridCol w:w="1085"/>
        <w:gridCol w:w="1085"/>
        <w:gridCol w:w="1099"/>
        <w:gridCol w:w="1099"/>
      </w:tblGrid>
      <w:tr w:rsidR="0013085D" w:rsidRPr="00B57B36" w14:paraId="3541C176" w14:textId="3F26A353" w:rsidTr="008113FF">
        <w:tc>
          <w:tcPr>
            <w:tcW w:w="1102" w:type="dxa"/>
            <w:tcBorders>
              <w:top w:val="single" w:sz="12" w:space="0" w:color="008000"/>
              <w:bottom w:val="single" w:sz="6" w:space="0" w:color="008000"/>
            </w:tcBorders>
            <w:shd w:val="clear" w:color="auto" w:fill="FFFFFF"/>
          </w:tcPr>
          <w:p w14:paraId="086D097D" w14:textId="0F2C0F66" w:rsidR="0013085D" w:rsidRPr="00B57B36" w:rsidRDefault="0013085D" w:rsidP="0016595B">
            <w:pPr>
              <w:pStyle w:val="CETBodytext"/>
              <w:rPr>
                <w:lang w:val="en-GB"/>
              </w:rPr>
            </w:pPr>
            <w:r>
              <w:rPr>
                <w:lang w:val="en-GB"/>
              </w:rPr>
              <w:t>F [kg/s]</w:t>
            </w:r>
          </w:p>
        </w:tc>
        <w:tc>
          <w:tcPr>
            <w:tcW w:w="1113" w:type="dxa"/>
            <w:tcBorders>
              <w:top w:val="single" w:sz="12" w:space="0" w:color="008000"/>
              <w:bottom w:val="single" w:sz="6" w:space="0" w:color="008000"/>
            </w:tcBorders>
            <w:shd w:val="clear" w:color="auto" w:fill="FFFFFF"/>
          </w:tcPr>
          <w:p w14:paraId="73B4B2A1" w14:textId="68B37B53" w:rsidR="0013085D" w:rsidRPr="00B57B36" w:rsidRDefault="0013085D" w:rsidP="0016595B">
            <w:pPr>
              <w:pStyle w:val="CETBodytext"/>
              <w:rPr>
                <w:lang w:val="en-GB"/>
              </w:rPr>
            </w:pPr>
            <w:r>
              <w:rPr>
                <w:lang w:val="en-GB"/>
              </w:rPr>
              <w:t>HRR [MW]</w:t>
            </w:r>
          </w:p>
        </w:tc>
        <w:tc>
          <w:tcPr>
            <w:tcW w:w="1103" w:type="dxa"/>
            <w:tcBorders>
              <w:top w:val="single" w:sz="12" w:space="0" w:color="008000"/>
              <w:bottom w:val="single" w:sz="6" w:space="0" w:color="008000"/>
            </w:tcBorders>
            <w:shd w:val="clear" w:color="auto" w:fill="FFFFFF"/>
          </w:tcPr>
          <w:p w14:paraId="7635CCB6" w14:textId="77777777" w:rsidR="0013085D" w:rsidRDefault="0013085D" w:rsidP="0016595B">
            <w:pPr>
              <w:pStyle w:val="CETBodytext"/>
              <w:rPr>
                <w:lang w:val="en-GB"/>
              </w:rPr>
            </w:pPr>
            <w:r>
              <w:rPr>
                <w:lang w:val="en-GB"/>
              </w:rPr>
              <w:t>QR [MW]</w:t>
            </w:r>
          </w:p>
        </w:tc>
        <w:tc>
          <w:tcPr>
            <w:tcW w:w="1100" w:type="dxa"/>
            <w:tcBorders>
              <w:top w:val="single" w:sz="12" w:space="0" w:color="008000"/>
              <w:bottom w:val="single" w:sz="6" w:space="0" w:color="008000"/>
            </w:tcBorders>
            <w:shd w:val="clear" w:color="auto" w:fill="FFFFFF"/>
          </w:tcPr>
          <w:p w14:paraId="08FB56A2" w14:textId="77777777" w:rsidR="0013085D" w:rsidRPr="00B57B36" w:rsidRDefault="0013085D" w:rsidP="0016595B">
            <w:pPr>
              <w:pStyle w:val="CETBodytext"/>
              <w:rPr>
                <w:lang w:val="en-GB"/>
              </w:rPr>
            </w:pPr>
            <w:r>
              <w:rPr>
                <w:lang w:val="en-GB"/>
              </w:rPr>
              <w:t>HE [m]</w:t>
            </w:r>
          </w:p>
        </w:tc>
        <w:tc>
          <w:tcPr>
            <w:tcW w:w="1085" w:type="dxa"/>
            <w:tcBorders>
              <w:top w:val="single" w:sz="12" w:space="0" w:color="008000"/>
              <w:bottom w:val="single" w:sz="6" w:space="0" w:color="008000"/>
            </w:tcBorders>
            <w:shd w:val="clear" w:color="auto" w:fill="FFFFFF"/>
          </w:tcPr>
          <w:p w14:paraId="17E0C683" w14:textId="6ED81B7D" w:rsidR="0013085D" w:rsidRDefault="0013085D" w:rsidP="0016595B">
            <w:pPr>
              <w:pStyle w:val="CETBodytext"/>
              <w:ind w:right="-1"/>
            </w:pPr>
            <w:r>
              <w:rPr>
                <w:rFonts w:cs="Arial"/>
                <w:szCs w:val="18"/>
                <w:lang w:val="en-GB"/>
              </w:rPr>
              <w:t>VE+ [m]</w:t>
            </w:r>
          </w:p>
        </w:tc>
        <w:tc>
          <w:tcPr>
            <w:tcW w:w="1085" w:type="dxa"/>
            <w:tcBorders>
              <w:top w:val="single" w:sz="12" w:space="0" w:color="008000"/>
              <w:bottom w:val="single" w:sz="6" w:space="0" w:color="008000"/>
            </w:tcBorders>
            <w:shd w:val="clear" w:color="auto" w:fill="FFFFFF"/>
          </w:tcPr>
          <w:p w14:paraId="7EEDDF90" w14:textId="73A383F1" w:rsidR="0013085D" w:rsidRDefault="0013085D" w:rsidP="0016595B">
            <w:pPr>
              <w:pStyle w:val="CETBodytext"/>
              <w:ind w:right="-1"/>
            </w:pPr>
            <w:r>
              <w:rPr>
                <w:rFonts w:cs="Arial"/>
                <w:szCs w:val="18"/>
                <w:lang w:val="en-GB"/>
              </w:rPr>
              <w:t>VE- [m]</w:t>
            </w:r>
          </w:p>
        </w:tc>
        <w:tc>
          <w:tcPr>
            <w:tcW w:w="1099" w:type="dxa"/>
            <w:tcBorders>
              <w:top w:val="single" w:sz="12" w:space="0" w:color="008000"/>
              <w:bottom w:val="single" w:sz="6" w:space="0" w:color="008000"/>
            </w:tcBorders>
            <w:shd w:val="clear" w:color="auto" w:fill="FFFFFF"/>
          </w:tcPr>
          <w:p w14:paraId="3D13A22F" w14:textId="38891B6C" w:rsidR="0013085D" w:rsidRPr="00B57B36" w:rsidRDefault="0013085D" w:rsidP="0016595B">
            <w:pPr>
              <w:pStyle w:val="CETBodytext"/>
              <w:ind w:right="-1"/>
              <w:rPr>
                <w:rFonts w:cs="Arial"/>
                <w:szCs w:val="18"/>
                <w:lang w:val="en-GB"/>
              </w:rPr>
            </w:pPr>
            <w:proofErr w:type="spellStart"/>
            <w:r>
              <w:t>HE</w:t>
            </w:r>
            <w:r w:rsidRPr="00F06CDA">
              <w:rPr>
                <w:vertAlign w:val="subscript"/>
              </w:rPr>
              <w:t>dl</w:t>
            </w:r>
            <w:proofErr w:type="spellEnd"/>
          </w:p>
        </w:tc>
        <w:tc>
          <w:tcPr>
            <w:tcW w:w="1099" w:type="dxa"/>
            <w:tcBorders>
              <w:top w:val="single" w:sz="12" w:space="0" w:color="008000"/>
              <w:bottom w:val="single" w:sz="6" w:space="0" w:color="008000"/>
            </w:tcBorders>
            <w:shd w:val="clear" w:color="auto" w:fill="FFFFFF"/>
          </w:tcPr>
          <w:p w14:paraId="4854772D" w14:textId="0D77FAEA" w:rsidR="0013085D" w:rsidRDefault="0013085D" w:rsidP="0016595B">
            <w:pPr>
              <w:pStyle w:val="CETBodytext"/>
              <w:ind w:right="-1"/>
            </w:pPr>
            <w:r>
              <w:t>QR* [MW]</w:t>
            </w:r>
          </w:p>
        </w:tc>
      </w:tr>
      <w:tr w:rsidR="0013085D" w:rsidRPr="00B57B36" w14:paraId="7663B8DD" w14:textId="6B6CD2E2" w:rsidTr="008113FF">
        <w:tc>
          <w:tcPr>
            <w:tcW w:w="1102" w:type="dxa"/>
            <w:shd w:val="clear" w:color="auto" w:fill="FFFFFF"/>
          </w:tcPr>
          <w:p w14:paraId="36A7A449" w14:textId="5A1DC775" w:rsidR="0013085D" w:rsidRPr="00B57B36" w:rsidRDefault="0013085D" w:rsidP="0016595B">
            <w:pPr>
              <w:pStyle w:val="CETBodytext"/>
              <w:rPr>
                <w:lang w:val="en-GB"/>
              </w:rPr>
            </w:pPr>
            <w:r>
              <w:rPr>
                <w:lang w:val="en-GB"/>
              </w:rPr>
              <w:t>2.1</w:t>
            </w:r>
          </w:p>
        </w:tc>
        <w:tc>
          <w:tcPr>
            <w:tcW w:w="1113" w:type="dxa"/>
            <w:shd w:val="clear" w:color="auto" w:fill="FFFFFF"/>
          </w:tcPr>
          <w:p w14:paraId="009D6D12" w14:textId="32A1FB0A" w:rsidR="0013085D" w:rsidRPr="00B57B36" w:rsidRDefault="0013085D" w:rsidP="0016595B">
            <w:pPr>
              <w:pStyle w:val="CETBodytext"/>
              <w:rPr>
                <w:lang w:val="en-GB"/>
              </w:rPr>
            </w:pPr>
            <w:r>
              <w:rPr>
                <w:lang w:val="en-GB"/>
              </w:rPr>
              <w:t>96.8</w:t>
            </w:r>
          </w:p>
        </w:tc>
        <w:tc>
          <w:tcPr>
            <w:tcW w:w="1103" w:type="dxa"/>
            <w:shd w:val="clear" w:color="auto" w:fill="FFFFFF"/>
          </w:tcPr>
          <w:p w14:paraId="326DEC49" w14:textId="4CCF765E" w:rsidR="0013085D" w:rsidRDefault="0013085D" w:rsidP="0016595B">
            <w:pPr>
              <w:pStyle w:val="CETBodytext"/>
              <w:rPr>
                <w:lang w:val="en-GB"/>
              </w:rPr>
            </w:pPr>
            <w:r>
              <w:rPr>
                <w:lang w:val="en-GB"/>
              </w:rPr>
              <w:t>11.9</w:t>
            </w:r>
          </w:p>
        </w:tc>
        <w:tc>
          <w:tcPr>
            <w:tcW w:w="1100" w:type="dxa"/>
            <w:shd w:val="clear" w:color="auto" w:fill="FFFFFF"/>
          </w:tcPr>
          <w:p w14:paraId="3E0E6E75" w14:textId="79FDCBF8" w:rsidR="0013085D" w:rsidRPr="00B57B36" w:rsidRDefault="0013085D" w:rsidP="0016595B">
            <w:pPr>
              <w:pStyle w:val="CETBodytext"/>
              <w:rPr>
                <w:lang w:val="en-GB"/>
              </w:rPr>
            </w:pPr>
            <w:r>
              <w:rPr>
                <w:lang w:val="en-GB"/>
              </w:rPr>
              <w:t>11.5</w:t>
            </w:r>
          </w:p>
        </w:tc>
        <w:tc>
          <w:tcPr>
            <w:tcW w:w="1085" w:type="dxa"/>
            <w:shd w:val="clear" w:color="auto" w:fill="FFFFFF"/>
          </w:tcPr>
          <w:p w14:paraId="3065DA35" w14:textId="116B0770" w:rsidR="0013085D" w:rsidRPr="00B57B36" w:rsidRDefault="0013085D" w:rsidP="0016595B">
            <w:pPr>
              <w:pStyle w:val="CETBodytext"/>
              <w:ind w:right="-1"/>
              <w:rPr>
                <w:rFonts w:cs="Arial"/>
                <w:szCs w:val="18"/>
                <w:lang w:val="en-GB"/>
              </w:rPr>
            </w:pPr>
            <w:r>
              <w:rPr>
                <w:rFonts w:cs="Arial"/>
                <w:szCs w:val="18"/>
                <w:lang w:val="en-GB"/>
              </w:rPr>
              <w:t>5.87</w:t>
            </w:r>
          </w:p>
        </w:tc>
        <w:tc>
          <w:tcPr>
            <w:tcW w:w="1085" w:type="dxa"/>
            <w:shd w:val="clear" w:color="auto" w:fill="FFFFFF"/>
          </w:tcPr>
          <w:p w14:paraId="3FC79802" w14:textId="520909B6" w:rsidR="0013085D" w:rsidRPr="00B57B36" w:rsidRDefault="0013085D" w:rsidP="0016595B">
            <w:pPr>
              <w:pStyle w:val="CETBodytext"/>
              <w:ind w:right="-1"/>
              <w:rPr>
                <w:rFonts w:cs="Arial"/>
                <w:szCs w:val="18"/>
                <w:lang w:val="en-GB"/>
              </w:rPr>
            </w:pPr>
            <w:r>
              <w:rPr>
                <w:rFonts w:cs="Arial"/>
                <w:szCs w:val="18"/>
                <w:lang w:val="en-GB"/>
              </w:rPr>
              <w:t>0.29</w:t>
            </w:r>
          </w:p>
        </w:tc>
        <w:tc>
          <w:tcPr>
            <w:tcW w:w="1099" w:type="dxa"/>
            <w:shd w:val="clear" w:color="auto" w:fill="FFFFFF"/>
          </w:tcPr>
          <w:p w14:paraId="6B0D402C" w14:textId="6194893A" w:rsidR="0013085D" w:rsidRPr="00B57B36" w:rsidRDefault="0013085D" w:rsidP="0016595B">
            <w:pPr>
              <w:pStyle w:val="CETBodytext"/>
              <w:ind w:right="-1"/>
              <w:rPr>
                <w:rFonts w:cs="Arial"/>
                <w:szCs w:val="18"/>
                <w:lang w:val="en-GB"/>
              </w:rPr>
            </w:pPr>
            <w:r>
              <w:rPr>
                <w:rFonts w:cs="Arial"/>
                <w:szCs w:val="18"/>
                <w:lang w:val="en-GB"/>
              </w:rPr>
              <w:t>0.89</w:t>
            </w:r>
          </w:p>
        </w:tc>
        <w:tc>
          <w:tcPr>
            <w:tcW w:w="1099" w:type="dxa"/>
            <w:shd w:val="clear" w:color="auto" w:fill="FFFFFF"/>
          </w:tcPr>
          <w:p w14:paraId="48E32AA0" w14:textId="199B8696" w:rsidR="0013085D" w:rsidRDefault="0013085D" w:rsidP="0016595B">
            <w:pPr>
              <w:pStyle w:val="CETBodytext"/>
              <w:ind w:right="-1"/>
              <w:rPr>
                <w:rFonts w:cs="Arial"/>
                <w:szCs w:val="18"/>
                <w:lang w:val="en-GB"/>
              </w:rPr>
            </w:pPr>
            <w:r>
              <w:rPr>
                <w:rFonts w:cs="Arial"/>
                <w:szCs w:val="18"/>
                <w:lang w:val="en-GB"/>
              </w:rPr>
              <w:t>12.8</w:t>
            </w:r>
          </w:p>
        </w:tc>
      </w:tr>
      <w:tr w:rsidR="0013085D" w:rsidRPr="00B57B36" w14:paraId="18637033" w14:textId="4DE72626" w:rsidTr="008113FF">
        <w:tc>
          <w:tcPr>
            <w:tcW w:w="1102" w:type="dxa"/>
            <w:shd w:val="clear" w:color="auto" w:fill="FFFFFF"/>
          </w:tcPr>
          <w:p w14:paraId="6AB7F13D" w14:textId="72B47EE8" w:rsidR="0013085D" w:rsidRDefault="0013085D" w:rsidP="0016595B">
            <w:pPr>
              <w:pStyle w:val="CETBodytext"/>
              <w:rPr>
                <w:lang w:val="en-GB"/>
              </w:rPr>
            </w:pPr>
            <w:r>
              <w:rPr>
                <w:lang w:val="en-GB"/>
              </w:rPr>
              <w:t>4.2</w:t>
            </w:r>
          </w:p>
        </w:tc>
        <w:tc>
          <w:tcPr>
            <w:tcW w:w="1113" w:type="dxa"/>
            <w:shd w:val="clear" w:color="auto" w:fill="FFFFFF"/>
          </w:tcPr>
          <w:p w14:paraId="2244498B" w14:textId="6D097261" w:rsidR="0013085D" w:rsidRPr="00B57B36" w:rsidRDefault="0013085D" w:rsidP="0016595B">
            <w:pPr>
              <w:pStyle w:val="CETBodytext"/>
              <w:rPr>
                <w:lang w:val="en-GB"/>
              </w:rPr>
            </w:pPr>
            <w:r>
              <w:rPr>
                <w:lang w:val="en-GB"/>
              </w:rPr>
              <w:t>187.9</w:t>
            </w:r>
          </w:p>
        </w:tc>
        <w:tc>
          <w:tcPr>
            <w:tcW w:w="1103" w:type="dxa"/>
            <w:shd w:val="clear" w:color="auto" w:fill="FFFFFF"/>
          </w:tcPr>
          <w:p w14:paraId="30C62FBD" w14:textId="51C8506C" w:rsidR="0013085D" w:rsidRPr="00B57B36" w:rsidRDefault="0013085D" w:rsidP="0016595B">
            <w:pPr>
              <w:pStyle w:val="CETBodytext"/>
              <w:rPr>
                <w:lang w:val="en-GB"/>
              </w:rPr>
            </w:pPr>
            <w:r>
              <w:rPr>
                <w:lang w:val="en-GB"/>
              </w:rPr>
              <w:t>24.2</w:t>
            </w:r>
          </w:p>
        </w:tc>
        <w:tc>
          <w:tcPr>
            <w:tcW w:w="1100" w:type="dxa"/>
            <w:shd w:val="clear" w:color="auto" w:fill="FFFFFF"/>
          </w:tcPr>
          <w:p w14:paraId="3E22421F" w14:textId="659BCACF" w:rsidR="0013085D" w:rsidRPr="00B57B36" w:rsidRDefault="0013085D" w:rsidP="0016595B">
            <w:pPr>
              <w:pStyle w:val="CETBodytext"/>
              <w:rPr>
                <w:lang w:val="en-GB"/>
              </w:rPr>
            </w:pPr>
            <w:r>
              <w:rPr>
                <w:lang w:val="en-GB"/>
              </w:rPr>
              <w:t>15.9</w:t>
            </w:r>
          </w:p>
        </w:tc>
        <w:tc>
          <w:tcPr>
            <w:tcW w:w="1085" w:type="dxa"/>
            <w:shd w:val="clear" w:color="auto" w:fill="FFFFFF"/>
          </w:tcPr>
          <w:p w14:paraId="5EDB5CB3" w14:textId="33555D1E" w:rsidR="0013085D" w:rsidRPr="00B57B36" w:rsidRDefault="0013085D" w:rsidP="0016595B">
            <w:pPr>
              <w:pStyle w:val="CETBodytext"/>
              <w:ind w:right="-1"/>
              <w:rPr>
                <w:rFonts w:cs="Arial"/>
                <w:szCs w:val="18"/>
                <w:lang w:val="en-GB"/>
              </w:rPr>
            </w:pPr>
            <w:r>
              <w:rPr>
                <w:rFonts w:cs="Arial"/>
                <w:szCs w:val="18"/>
                <w:lang w:val="en-GB"/>
              </w:rPr>
              <w:t>5.94</w:t>
            </w:r>
          </w:p>
        </w:tc>
        <w:tc>
          <w:tcPr>
            <w:tcW w:w="1085" w:type="dxa"/>
            <w:shd w:val="clear" w:color="auto" w:fill="FFFFFF"/>
          </w:tcPr>
          <w:p w14:paraId="39B24FE4" w14:textId="286F830A" w:rsidR="0013085D" w:rsidRPr="00B57B36" w:rsidRDefault="0013085D" w:rsidP="0016595B">
            <w:pPr>
              <w:pStyle w:val="CETBodytext"/>
              <w:ind w:right="-1"/>
              <w:rPr>
                <w:rFonts w:cs="Arial"/>
                <w:szCs w:val="18"/>
                <w:lang w:val="en-GB"/>
              </w:rPr>
            </w:pPr>
            <w:r>
              <w:rPr>
                <w:rFonts w:cs="Arial"/>
                <w:szCs w:val="18"/>
                <w:lang w:val="en-GB"/>
              </w:rPr>
              <w:t>0.44</w:t>
            </w:r>
          </w:p>
        </w:tc>
        <w:tc>
          <w:tcPr>
            <w:tcW w:w="1099" w:type="dxa"/>
            <w:shd w:val="clear" w:color="auto" w:fill="FFFFFF"/>
          </w:tcPr>
          <w:p w14:paraId="5BBA628C" w14:textId="505B7E83" w:rsidR="0013085D" w:rsidRPr="00B57B36" w:rsidRDefault="0013085D" w:rsidP="0016595B">
            <w:pPr>
              <w:pStyle w:val="CETBodytext"/>
              <w:ind w:right="-1"/>
              <w:rPr>
                <w:rFonts w:cs="Arial"/>
                <w:szCs w:val="18"/>
                <w:lang w:val="en-GB"/>
              </w:rPr>
            </w:pPr>
            <w:r>
              <w:rPr>
                <w:rFonts w:cs="Arial"/>
                <w:szCs w:val="18"/>
                <w:lang w:val="en-GB"/>
              </w:rPr>
              <w:t>0.97</w:t>
            </w:r>
          </w:p>
        </w:tc>
        <w:tc>
          <w:tcPr>
            <w:tcW w:w="1099" w:type="dxa"/>
            <w:shd w:val="clear" w:color="auto" w:fill="FFFFFF"/>
          </w:tcPr>
          <w:p w14:paraId="37AF5A78" w14:textId="3342B047" w:rsidR="0013085D" w:rsidRDefault="0009151F" w:rsidP="0016595B">
            <w:pPr>
              <w:pStyle w:val="CETBodytext"/>
              <w:ind w:right="-1"/>
              <w:rPr>
                <w:rFonts w:cs="Arial"/>
                <w:szCs w:val="18"/>
                <w:lang w:val="en-GB"/>
              </w:rPr>
            </w:pPr>
            <w:r>
              <w:rPr>
                <w:rFonts w:cs="Arial"/>
                <w:szCs w:val="18"/>
                <w:lang w:val="en-GB"/>
              </w:rPr>
              <w:t>24.7</w:t>
            </w:r>
          </w:p>
        </w:tc>
      </w:tr>
      <w:tr w:rsidR="0013085D" w:rsidRPr="00B57B36" w14:paraId="2A763AD3" w14:textId="5D2E7F30" w:rsidTr="008113FF">
        <w:tc>
          <w:tcPr>
            <w:tcW w:w="1102" w:type="dxa"/>
            <w:shd w:val="clear" w:color="auto" w:fill="FFFFFF"/>
          </w:tcPr>
          <w:p w14:paraId="39AF782F" w14:textId="35337891" w:rsidR="0013085D" w:rsidRDefault="0013085D" w:rsidP="00410ACC">
            <w:pPr>
              <w:pStyle w:val="CETBodytext"/>
              <w:rPr>
                <w:lang w:val="en-GB"/>
              </w:rPr>
            </w:pPr>
            <w:r>
              <w:rPr>
                <w:lang w:val="en-GB"/>
              </w:rPr>
              <w:t>6.3</w:t>
            </w:r>
          </w:p>
        </w:tc>
        <w:tc>
          <w:tcPr>
            <w:tcW w:w="1113" w:type="dxa"/>
            <w:shd w:val="clear" w:color="auto" w:fill="FFFFFF"/>
          </w:tcPr>
          <w:p w14:paraId="1BA26FF4" w14:textId="4DFE72D9" w:rsidR="0013085D" w:rsidRPr="00B57B36" w:rsidRDefault="0013085D" w:rsidP="00410ACC">
            <w:pPr>
              <w:pStyle w:val="CETBodytext"/>
              <w:rPr>
                <w:lang w:val="en-GB"/>
              </w:rPr>
            </w:pPr>
            <w:r>
              <w:rPr>
                <w:lang w:val="en-GB"/>
              </w:rPr>
              <w:t>272.5</w:t>
            </w:r>
          </w:p>
        </w:tc>
        <w:tc>
          <w:tcPr>
            <w:tcW w:w="1103" w:type="dxa"/>
            <w:shd w:val="clear" w:color="auto" w:fill="FFFFFF"/>
          </w:tcPr>
          <w:p w14:paraId="41ADA50E" w14:textId="5E36413F" w:rsidR="0013085D" w:rsidRPr="00B57B36" w:rsidRDefault="0013085D" w:rsidP="00410ACC">
            <w:pPr>
              <w:pStyle w:val="CETBodytext"/>
              <w:rPr>
                <w:lang w:val="en-GB"/>
              </w:rPr>
            </w:pPr>
            <w:r>
              <w:rPr>
                <w:lang w:val="en-GB"/>
              </w:rPr>
              <w:t>37.0</w:t>
            </w:r>
          </w:p>
        </w:tc>
        <w:tc>
          <w:tcPr>
            <w:tcW w:w="1100" w:type="dxa"/>
            <w:shd w:val="clear" w:color="auto" w:fill="FFFFFF"/>
          </w:tcPr>
          <w:p w14:paraId="3DA1D384" w14:textId="1FBB90A8" w:rsidR="0013085D" w:rsidRPr="00B57B36" w:rsidRDefault="0013085D" w:rsidP="00410ACC">
            <w:pPr>
              <w:pStyle w:val="CETBodytext"/>
              <w:rPr>
                <w:lang w:val="en-GB"/>
              </w:rPr>
            </w:pPr>
            <w:r>
              <w:rPr>
                <w:lang w:val="en-GB"/>
              </w:rPr>
              <w:t>20.7</w:t>
            </w:r>
          </w:p>
        </w:tc>
        <w:tc>
          <w:tcPr>
            <w:tcW w:w="1085" w:type="dxa"/>
            <w:shd w:val="clear" w:color="auto" w:fill="FFFFFF"/>
          </w:tcPr>
          <w:p w14:paraId="716E5E78" w14:textId="54202714" w:rsidR="0013085D" w:rsidRPr="00B57B36" w:rsidRDefault="0013085D" w:rsidP="00410ACC">
            <w:pPr>
              <w:pStyle w:val="CETBodytext"/>
              <w:ind w:right="-1"/>
              <w:rPr>
                <w:rFonts w:cs="Arial"/>
                <w:szCs w:val="18"/>
                <w:lang w:val="en-GB"/>
              </w:rPr>
            </w:pPr>
            <w:r>
              <w:rPr>
                <w:rFonts w:cs="Arial"/>
                <w:szCs w:val="18"/>
                <w:lang w:val="en-GB"/>
              </w:rPr>
              <w:t>6.09</w:t>
            </w:r>
          </w:p>
        </w:tc>
        <w:tc>
          <w:tcPr>
            <w:tcW w:w="1085" w:type="dxa"/>
            <w:shd w:val="clear" w:color="auto" w:fill="FFFFFF"/>
          </w:tcPr>
          <w:p w14:paraId="57D85049" w14:textId="305F6B76" w:rsidR="0013085D" w:rsidRPr="00B57B36" w:rsidRDefault="0013085D" w:rsidP="00410ACC">
            <w:pPr>
              <w:pStyle w:val="CETBodytext"/>
              <w:ind w:right="-1"/>
              <w:rPr>
                <w:rFonts w:cs="Arial"/>
                <w:szCs w:val="18"/>
                <w:lang w:val="en-GB"/>
              </w:rPr>
            </w:pPr>
            <w:r>
              <w:rPr>
                <w:rFonts w:cs="Arial"/>
                <w:szCs w:val="18"/>
                <w:lang w:val="en-GB"/>
              </w:rPr>
              <w:t>0.87</w:t>
            </w:r>
          </w:p>
        </w:tc>
        <w:tc>
          <w:tcPr>
            <w:tcW w:w="1099" w:type="dxa"/>
            <w:shd w:val="clear" w:color="auto" w:fill="FFFFFF"/>
          </w:tcPr>
          <w:p w14:paraId="17CCE4E7" w14:textId="33B0922B" w:rsidR="0013085D" w:rsidRPr="00B57B36" w:rsidRDefault="0013085D" w:rsidP="00410ACC">
            <w:pPr>
              <w:pStyle w:val="CETBodytext"/>
              <w:ind w:right="-1"/>
              <w:rPr>
                <w:rFonts w:cs="Arial"/>
                <w:szCs w:val="18"/>
                <w:lang w:val="en-GB"/>
              </w:rPr>
            </w:pPr>
            <w:r>
              <w:rPr>
                <w:rFonts w:cs="Arial"/>
                <w:szCs w:val="18"/>
                <w:lang w:val="en-GB"/>
              </w:rPr>
              <w:t>1.11</w:t>
            </w:r>
          </w:p>
        </w:tc>
        <w:tc>
          <w:tcPr>
            <w:tcW w:w="1099" w:type="dxa"/>
            <w:shd w:val="clear" w:color="auto" w:fill="FFFFFF"/>
          </w:tcPr>
          <w:p w14:paraId="5BD24D38" w14:textId="04FDBA46" w:rsidR="0013085D" w:rsidRDefault="0009151F" w:rsidP="00410ACC">
            <w:pPr>
              <w:pStyle w:val="CETBodytext"/>
              <w:ind w:right="-1"/>
              <w:rPr>
                <w:rFonts w:cs="Arial"/>
                <w:szCs w:val="18"/>
                <w:lang w:val="en-GB"/>
              </w:rPr>
            </w:pPr>
            <w:r>
              <w:rPr>
                <w:rFonts w:cs="Arial"/>
                <w:szCs w:val="18"/>
                <w:lang w:val="en-GB"/>
              </w:rPr>
              <w:t>35.8</w:t>
            </w:r>
          </w:p>
        </w:tc>
      </w:tr>
      <w:tr w:rsidR="0013085D" w:rsidRPr="000C5D1D" w14:paraId="12F46E7A" w14:textId="2DE9560E" w:rsidTr="008113FF">
        <w:tc>
          <w:tcPr>
            <w:tcW w:w="1102" w:type="dxa"/>
            <w:shd w:val="clear" w:color="auto" w:fill="FFFFFF"/>
          </w:tcPr>
          <w:p w14:paraId="3F894B42" w14:textId="1B0EA81C" w:rsidR="0013085D" w:rsidRPr="000C5D1D" w:rsidRDefault="0013085D" w:rsidP="00410ACC">
            <w:pPr>
              <w:pStyle w:val="CETBodytext"/>
              <w:rPr>
                <w:lang w:val="en-GB"/>
              </w:rPr>
            </w:pPr>
            <w:r w:rsidRPr="000C5D1D">
              <w:rPr>
                <w:lang w:val="en-GB"/>
              </w:rPr>
              <w:t>8.4</w:t>
            </w:r>
          </w:p>
        </w:tc>
        <w:tc>
          <w:tcPr>
            <w:tcW w:w="1113" w:type="dxa"/>
            <w:shd w:val="clear" w:color="auto" w:fill="FFFFFF"/>
          </w:tcPr>
          <w:p w14:paraId="071AAA6E" w14:textId="4131D5E8" w:rsidR="0013085D" w:rsidRPr="000C5D1D" w:rsidRDefault="0013085D" w:rsidP="00410ACC">
            <w:pPr>
              <w:pStyle w:val="CETBodytext"/>
              <w:rPr>
                <w:lang w:val="en-GB"/>
              </w:rPr>
            </w:pPr>
            <w:r w:rsidRPr="000C5D1D">
              <w:rPr>
                <w:lang w:val="en-GB"/>
              </w:rPr>
              <w:t>387.3</w:t>
            </w:r>
          </w:p>
        </w:tc>
        <w:tc>
          <w:tcPr>
            <w:tcW w:w="1103" w:type="dxa"/>
            <w:shd w:val="clear" w:color="auto" w:fill="FFFFFF"/>
          </w:tcPr>
          <w:p w14:paraId="2508E59A" w14:textId="2637F374" w:rsidR="0013085D" w:rsidRPr="000C5D1D" w:rsidRDefault="0013085D" w:rsidP="00410ACC">
            <w:pPr>
              <w:pStyle w:val="CETBodytext"/>
              <w:rPr>
                <w:lang w:val="en-GB"/>
              </w:rPr>
            </w:pPr>
            <w:r w:rsidRPr="000C5D1D">
              <w:rPr>
                <w:lang w:val="en-GB"/>
              </w:rPr>
              <w:t>56.8</w:t>
            </w:r>
          </w:p>
        </w:tc>
        <w:tc>
          <w:tcPr>
            <w:tcW w:w="1100" w:type="dxa"/>
            <w:shd w:val="clear" w:color="auto" w:fill="FFFFFF"/>
          </w:tcPr>
          <w:p w14:paraId="615CFBCB" w14:textId="7D29DEEE" w:rsidR="0013085D" w:rsidRPr="000C5D1D" w:rsidRDefault="0013085D" w:rsidP="00410ACC">
            <w:pPr>
              <w:pStyle w:val="CETBodytext"/>
              <w:rPr>
                <w:lang w:val="en-GB"/>
              </w:rPr>
            </w:pPr>
            <w:r w:rsidRPr="000C5D1D">
              <w:rPr>
                <w:lang w:val="en-GB"/>
              </w:rPr>
              <w:t>22.9</w:t>
            </w:r>
          </w:p>
        </w:tc>
        <w:tc>
          <w:tcPr>
            <w:tcW w:w="1085" w:type="dxa"/>
            <w:shd w:val="clear" w:color="auto" w:fill="FFFFFF"/>
          </w:tcPr>
          <w:p w14:paraId="47347316" w14:textId="7EC06010" w:rsidR="0013085D" w:rsidRPr="000C5D1D" w:rsidRDefault="0013085D" w:rsidP="00410ACC">
            <w:pPr>
              <w:pStyle w:val="CETBodytext"/>
              <w:ind w:right="-1"/>
              <w:rPr>
                <w:rFonts w:cs="Arial"/>
                <w:szCs w:val="18"/>
                <w:lang w:val="en-GB"/>
              </w:rPr>
            </w:pPr>
            <w:r w:rsidRPr="000C5D1D">
              <w:rPr>
                <w:rFonts w:cs="Arial"/>
                <w:szCs w:val="18"/>
                <w:lang w:val="en-GB"/>
              </w:rPr>
              <w:t>4.49</w:t>
            </w:r>
          </w:p>
        </w:tc>
        <w:tc>
          <w:tcPr>
            <w:tcW w:w="1085" w:type="dxa"/>
            <w:shd w:val="clear" w:color="auto" w:fill="FFFFFF"/>
          </w:tcPr>
          <w:p w14:paraId="422FF2C0" w14:textId="63F288FA" w:rsidR="0013085D" w:rsidRPr="000C5D1D" w:rsidRDefault="0013085D" w:rsidP="00410ACC">
            <w:pPr>
              <w:pStyle w:val="CETBodytext"/>
              <w:ind w:right="-1"/>
              <w:rPr>
                <w:rFonts w:cs="Arial"/>
                <w:szCs w:val="18"/>
                <w:lang w:val="en-GB"/>
              </w:rPr>
            </w:pPr>
            <w:r w:rsidRPr="000C5D1D">
              <w:rPr>
                <w:rFonts w:cs="Arial"/>
                <w:szCs w:val="18"/>
                <w:lang w:val="en-GB"/>
              </w:rPr>
              <w:t>0.87</w:t>
            </w:r>
          </w:p>
        </w:tc>
        <w:tc>
          <w:tcPr>
            <w:tcW w:w="1099" w:type="dxa"/>
            <w:shd w:val="clear" w:color="auto" w:fill="FFFFFF"/>
          </w:tcPr>
          <w:p w14:paraId="44808ED6" w14:textId="63D1C357" w:rsidR="0013085D" w:rsidRPr="000C5D1D" w:rsidRDefault="0013085D" w:rsidP="00410ACC">
            <w:pPr>
              <w:pStyle w:val="CETBodytext"/>
              <w:ind w:right="-1"/>
              <w:rPr>
                <w:rFonts w:cs="Arial"/>
                <w:szCs w:val="18"/>
                <w:lang w:val="en-GB"/>
              </w:rPr>
            </w:pPr>
            <w:r w:rsidRPr="000C5D1D">
              <w:rPr>
                <w:rFonts w:cs="Arial"/>
                <w:szCs w:val="18"/>
                <w:lang w:val="en-GB"/>
              </w:rPr>
              <w:t>1.09</w:t>
            </w:r>
          </w:p>
        </w:tc>
        <w:tc>
          <w:tcPr>
            <w:tcW w:w="1099" w:type="dxa"/>
            <w:shd w:val="clear" w:color="auto" w:fill="FFFFFF"/>
          </w:tcPr>
          <w:p w14:paraId="6B972276" w14:textId="3F7A2306" w:rsidR="0013085D" w:rsidRPr="000C5D1D" w:rsidRDefault="0009151F" w:rsidP="00410ACC">
            <w:pPr>
              <w:pStyle w:val="CETBodytext"/>
              <w:ind w:right="-1"/>
              <w:rPr>
                <w:rFonts w:cs="Arial"/>
                <w:szCs w:val="18"/>
                <w:lang w:val="en-GB"/>
              </w:rPr>
            </w:pPr>
            <w:r>
              <w:rPr>
                <w:rFonts w:cs="Arial"/>
                <w:szCs w:val="18"/>
                <w:lang w:val="en-GB"/>
              </w:rPr>
              <w:t>50.8</w:t>
            </w:r>
          </w:p>
        </w:tc>
      </w:tr>
      <w:tr w:rsidR="0013085D" w:rsidRPr="00B57B36" w14:paraId="05911E81" w14:textId="2011FEBB" w:rsidTr="008113FF">
        <w:tc>
          <w:tcPr>
            <w:tcW w:w="1102" w:type="dxa"/>
            <w:shd w:val="clear" w:color="auto" w:fill="FFFFFF"/>
          </w:tcPr>
          <w:p w14:paraId="30215A8E" w14:textId="53E9A90D" w:rsidR="0013085D" w:rsidRDefault="0013085D" w:rsidP="00410ACC">
            <w:pPr>
              <w:pStyle w:val="CETBodytext"/>
              <w:rPr>
                <w:lang w:val="en-GB"/>
              </w:rPr>
            </w:pPr>
            <w:r>
              <w:rPr>
                <w:lang w:val="en-GB"/>
              </w:rPr>
              <w:t>2.1</w:t>
            </w:r>
          </w:p>
        </w:tc>
        <w:tc>
          <w:tcPr>
            <w:tcW w:w="2216" w:type="dxa"/>
            <w:gridSpan w:val="2"/>
            <w:shd w:val="clear" w:color="auto" w:fill="FFFFFF"/>
          </w:tcPr>
          <w:p w14:paraId="1E96EF35" w14:textId="6559CCB6" w:rsidR="0013085D" w:rsidRPr="00B57B36" w:rsidRDefault="0013085D" w:rsidP="00410ACC">
            <w:pPr>
              <w:pStyle w:val="CETBodytext"/>
              <w:jc w:val="center"/>
              <w:rPr>
                <w:lang w:val="en-GB"/>
              </w:rPr>
            </w:pPr>
            <w:r>
              <w:rPr>
                <w:lang w:val="en-GB"/>
              </w:rPr>
              <w:t>Not ignited</w:t>
            </w:r>
          </w:p>
        </w:tc>
        <w:tc>
          <w:tcPr>
            <w:tcW w:w="1100" w:type="dxa"/>
            <w:shd w:val="clear" w:color="auto" w:fill="FFFFFF"/>
          </w:tcPr>
          <w:p w14:paraId="1F637483" w14:textId="17BC9722" w:rsidR="0013085D" w:rsidRPr="00B57B36" w:rsidRDefault="0013085D" w:rsidP="00410ACC">
            <w:pPr>
              <w:pStyle w:val="CETBodytext"/>
              <w:rPr>
                <w:lang w:val="en-GB"/>
              </w:rPr>
            </w:pPr>
            <w:r>
              <w:rPr>
                <w:lang w:val="en-GB"/>
              </w:rPr>
              <w:t>40.4</w:t>
            </w:r>
          </w:p>
        </w:tc>
        <w:tc>
          <w:tcPr>
            <w:tcW w:w="1085" w:type="dxa"/>
            <w:shd w:val="clear" w:color="auto" w:fill="FFFFFF"/>
          </w:tcPr>
          <w:p w14:paraId="4579782B" w14:textId="6755E6A9" w:rsidR="0013085D" w:rsidRPr="00B57B36" w:rsidRDefault="0013085D" w:rsidP="00410ACC">
            <w:pPr>
              <w:pStyle w:val="CETBodytext"/>
              <w:ind w:right="-1"/>
              <w:rPr>
                <w:rFonts w:cs="Arial"/>
                <w:szCs w:val="18"/>
                <w:lang w:val="en-GB"/>
              </w:rPr>
            </w:pPr>
            <w:r>
              <w:rPr>
                <w:rFonts w:cs="Arial"/>
                <w:szCs w:val="18"/>
                <w:lang w:val="en-GB"/>
              </w:rPr>
              <w:t>1.88</w:t>
            </w:r>
          </w:p>
        </w:tc>
        <w:tc>
          <w:tcPr>
            <w:tcW w:w="1085" w:type="dxa"/>
            <w:shd w:val="clear" w:color="auto" w:fill="FFFFFF"/>
          </w:tcPr>
          <w:p w14:paraId="6003D466" w14:textId="61010169" w:rsidR="0013085D" w:rsidRPr="00B57B36" w:rsidRDefault="0013085D" w:rsidP="00410ACC">
            <w:pPr>
              <w:pStyle w:val="CETBodytext"/>
              <w:ind w:right="-1"/>
              <w:rPr>
                <w:rFonts w:cs="Arial"/>
                <w:szCs w:val="18"/>
                <w:lang w:val="en-GB"/>
              </w:rPr>
            </w:pPr>
            <w:r>
              <w:rPr>
                <w:rFonts w:cs="Arial"/>
                <w:szCs w:val="18"/>
                <w:lang w:val="en-GB"/>
              </w:rPr>
              <w:t>0.87</w:t>
            </w:r>
          </w:p>
        </w:tc>
        <w:tc>
          <w:tcPr>
            <w:tcW w:w="1099" w:type="dxa"/>
            <w:shd w:val="clear" w:color="auto" w:fill="FFFFFF"/>
          </w:tcPr>
          <w:p w14:paraId="0DF83189" w14:textId="6641D1D8" w:rsidR="0013085D" w:rsidRPr="00B57B36" w:rsidRDefault="0013085D" w:rsidP="00410ACC">
            <w:pPr>
              <w:pStyle w:val="CETBodytext"/>
              <w:ind w:right="-1"/>
              <w:rPr>
                <w:rFonts w:cs="Arial"/>
                <w:szCs w:val="18"/>
                <w:lang w:val="en-GB"/>
              </w:rPr>
            </w:pPr>
            <w:r>
              <w:rPr>
                <w:rFonts w:cs="Arial"/>
                <w:szCs w:val="18"/>
                <w:lang w:val="en-GB"/>
              </w:rPr>
              <w:t>2.07</w:t>
            </w:r>
          </w:p>
        </w:tc>
        <w:tc>
          <w:tcPr>
            <w:tcW w:w="1099" w:type="dxa"/>
            <w:shd w:val="clear" w:color="auto" w:fill="FFFFFF"/>
          </w:tcPr>
          <w:p w14:paraId="6D661B21" w14:textId="366D5099" w:rsidR="0013085D" w:rsidRDefault="0013085D" w:rsidP="00410ACC">
            <w:pPr>
              <w:pStyle w:val="CETBodytext"/>
              <w:ind w:right="-1"/>
              <w:rPr>
                <w:rFonts w:cs="Arial"/>
                <w:szCs w:val="18"/>
                <w:lang w:val="en-GB"/>
              </w:rPr>
            </w:pPr>
          </w:p>
        </w:tc>
      </w:tr>
    </w:tbl>
    <w:p w14:paraId="04C85FBB" w14:textId="77777777" w:rsidR="00353B73" w:rsidRDefault="00353B73" w:rsidP="00FB09DB">
      <w:pPr>
        <w:pStyle w:val="CETBodytext"/>
      </w:pPr>
    </w:p>
    <w:p w14:paraId="06104E64" w14:textId="44A94602" w:rsidR="00C011E2" w:rsidRDefault="00367086" w:rsidP="00FB09DB">
      <w:pPr>
        <w:pStyle w:val="CETBodytext"/>
      </w:pPr>
      <w:r w:rsidRPr="00367086">
        <w:t xml:space="preserve"> </w:t>
      </w:r>
      <w:r w:rsidR="002E714B" w:rsidRPr="002E714B">
        <w:rPr>
          <w:noProof/>
        </w:rPr>
        <w:drawing>
          <wp:inline distT="0" distB="0" distL="0" distR="0" wp14:anchorId="6DCED3A1" wp14:editId="05F881ED">
            <wp:extent cx="3961765" cy="1165609"/>
            <wp:effectExtent l="0" t="0" r="635" b="0"/>
            <wp:docPr id="4367469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350" t="4745" r="27605" b="3512"/>
                    <a:stretch/>
                  </pic:blipFill>
                  <pic:spPr bwMode="auto">
                    <a:xfrm>
                      <a:off x="0" y="0"/>
                      <a:ext cx="3964071" cy="1166287"/>
                    </a:xfrm>
                    <a:prstGeom prst="rect">
                      <a:avLst/>
                    </a:prstGeom>
                    <a:noFill/>
                    <a:ln>
                      <a:noFill/>
                    </a:ln>
                    <a:extLst>
                      <a:ext uri="{53640926-AAD7-44D8-BBD7-CCE9431645EC}">
                        <a14:shadowObscured xmlns:a14="http://schemas.microsoft.com/office/drawing/2010/main"/>
                      </a:ext>
                    </a:extLst>
                  </pic:spPr>
                </pic:pic>
              </a:graphicData>
            </a:graphic>
          </wp:inline>
        </w:drawing>
      </w:r>
    </w:p>
    <w:p w14:paraId="61E1E1B5" w14:textId="70589FF9" w:rsidR="00C011E2" w:rsidRDefault="00C011E2" w:rsidP="00C011E2">
      <w:pPr>
        <w:pStyle w:val="CETCaption"/>
      </w:pPr>
      <w:r>
        <w:t xml:space="preserve">Figure </w:t>
      </w:r>
      <w:r w:rsidR="001B49A0">
        <w:t>4</w:t>
      </w:r>
      <w:r>
        <w:t>: Extension</w:t>
      </w:r>
      <w:r w:rsidR="00F60EA8">
        <w:t xml:space="preserve"> (LFL isoline)</w:t>
      </w:r>
      <w:r>
        <w:t xml:space="preserve"> of the jet fires</w:t>
      </w:r>
      <w:r w:rsidR="00367086">
        <w:t xml:space="preserve"> and non-ignited jet</w:t>
      </w:r>
      <w:r>
        <w:t xml:space="preserve"> at h/d = 6 for different flowrates</w:t>
      </w:r>
      <w:r w:rsidR="009E5F44">
        <w:t>.</w:t>
      </w:r>
    </w:p>
    <w:p w14:paraId="7CC8208F" w14:textId="561D1AD0" w:rsidR="00201302" w:rsidRDefault="00353B73" w:rsidP="00FB09DB">
      <w:pPr>
        <w:pStyle w:val="CETBodytext"/>
      </w:pPr>
      <w:r>
        <w:lastRenderedPageBreak/>
        <w:t xml:space="preserve">Correctly, the obtained heat released </w:t>
      </w:r>
      <w:r w:rsidR="009A31EA">
        <w:t>is</w:t>
      </w:r>
      <w:r w:rsidR="00C23B84">
        <w:t xml:space="preserve"> </w:t>
      </w:r>
      <w:r>
        <w:t>proportional to the flowrate</w:t>
      </w:r>
      <w:r w:rsidR="00C23B84">
        <w:t xml:space="preserve">, as methane is </w:t>
      </w:r>
      <w:r w:rsidR="0092559D">
        <w:t>totally oxidized</w:t>
      </w:r>
      <w:r w:rsidR="00C23B84">
        <w:t xml:space="preserve"> within the computational domain</w:t>
      </w:r>
      <w:r>
        <w:t>.</w:t>
      </w:r>
      <w:r w:rsidR="0088394D">
        <w:t xml:space="preserve"> Also, QR </w:t>
      </w:r>
      <w:r w:rsidR="0013085D">
        <w:t>is</w:t>
      </w:r>
      <w:r w:rsidR="00C859E5">
        <w:t xml:space="preserve"> </w:t>
      </w:r>
      <w:r w:rsidR="00E20B9F">
        <w:t>roughly</w:t>
      </w:r>
      <w:r w:rsidR="00C859E5">
        <w:t xml:space="preserve"> proportional to </w:t>
      </w:r>
      <w:r w:rsidR="0013085D">
        <w:t>F</w:t>
      </w:r>
      <w:r w:rsidR="00C859E5">
        <w:t xml:space="preserve"> and</w:t>
      </w:r>
      <w:r w:rsidR="0088394D">
        <w:t xml:space="preserve"> </w:t>
      </w:r>
      <w:r w:rsidR="0009151F">
        <w:t xml:space="preserve">well agrees with </w:t>
      </w:r>
      <w:r w:rsidR="0088394D">
        <w:t>(</w:t>
      </w:r>
      <w:proofErr w:type="spellStart"/>
      <w:r w:rsidR="0088394D" w:rsidRPr="00094D04">
        <w:t>Lowesmith</w:t>
      </w:r>
      <w:proofErr w:type="spellEnd"/>
      <w:r w:rsidR="0088394D">
        <w:t xml:space="preserve"> et al., 2007).</w:t>
      </w:r>
      <w:r w:rsidR="00E20B9F">
        <w:t xml:space="preserve"> At increasing flowrates, the convective effects (such as the </w:t>
      </w:r>
      <w:proofErr w:type="spellStart"/>
      <w:r w:rsidR="00E20B9F">
        <w:t>Coandă</w:t>
      </w:r>
      <w:proofErr w:type="spellEnd"/>
      <w:r w:rsidR="00E20B9F">
        <w:t xml:space="preserve"> effect) should become more </w:t>
      </w:r>
      <w:r w:rsidR="00F645B1">
        <w:t>relevant</w:t>
      </w:r>
      <w:r w:rsidR="00E20B9F">
        <w:t xml:space="preserve"> and produce wider jets. This is observed for the non-ignited jet which has a value of </w:t>
      </w:r>
      <w:proofErr w:type="spellStart"/>
      <w:r w:rsidR="00E20B9F">
        <w:t>HE</w:t>
      </w:r>
      <w:r w:rsidR="00E20B9F" w:rsidRPr="00F06CDA">
        <w:rPr>
          <w:vertAlign w:val="subscript"/>
        </w:rPr>
        <w:t>dl</w:t>
      </w:r>
      <w:proofErr w:type="spellEnd"/>
      <w:r w:rsidR="00E20B9F">
        <w:t xml:space="preserve"> larger than 1. Nevertheless, the buoyancy effects in ignited </w:t>
      </w:r>
      <w:r w:rsidR="003E3E4C">
        <w:t xml:space="preserve">sub-sonic </w:t>
      </w:r>
      <w:r w:rsidR="00E20B9F">
        <w:t>jets are always predominant</w:t>
      </w:r>
      <w:r w:rsidR="0092559D">
        <w:t xml:space="preserve"> in determining HE</w:t>
      </w:r>
      <w:r w:rsidR="00E20B9F">
        <w:t xml:space="preserve"> in the analyzed cases, in fact</w:t>
      </w:r>
      <w:r w:rsidR="00F645B1">
        <w:t xml:space="preserve"> all</w:t>
      </w:r>
      <w:r w:rsidR="00E20B9F">
        <w:t xml:space="preserve"> the values of </w:t>
      </w:r>
      <w:proofErr w:type="spellStart"/>
      <w:r w:rsidR="00E20B9F">
        <w:t>HE</w:t>
      </w:r>
      <w:r w:rsidR="00E20B9F" w:rsidRPr="00F06CDA">
        <w:rPr>
          <w:vertAlign w:val="subscript"/>
        </w:rPr>
        <w:t>dl</w:t>
      </w:r>
      <w:proofErr w:type="spellEnd"/>
      <w:r>
        <w:t xml:space="preserve"> </w:t>
      </w:r>
      <w:r w:rsidR="00E20B9F">
        <w:t xml:space="preserve">are close to 1, meaning that all flames have </w:t>
      </w:r>
      <w:r w:rsidR="00CF5513">
        <w:t xml:space="preserve">a horizontal </w:t>
      </w:r>
      <w:r w:rsidR="00E20B9F">
        <w:t xml:space="preserve">dimension </w:t>
      </w:r>
      <w:proofErr w:type="gramStart"/>
      <w:r w:rsidR="00E20B9F">
        <w:t>similar to</w:t>
      </w:r>
      <w:proofErr w:type="gramEnd"/>
      <w:r w:rsidR="00E20B9F">
        <w:t xml:space="preserve"> those of a free, undisturbed jet</w:t>
      </w:r>
      <w:r w:rsidR="0092559D">
        <w:t xml:space="preserve"> fire.</w:t>
      </w:r>
    </w:p>
    <w:p w14:paraId="70D2D37E" w14:textId="1D8BD029" w:rsidR="00C011E2" w:rsidRDefault="0092559D" w:rsidP="00FB09DB">
      <w:pPr>
        <w:pStyle w:val="CETBodytext"/>
      </w:pPr>
      <w:r>
        <w:t>V</w:t>
      </w:r>
      <w:r w:rsidR="00F645B1">
        <w:t xml:space="preserve">E- correctly increases at increasing flowrate for ignited jets, as more air is entrained in the jet at </w:t>
      </w:r>
      <w:r w:rsidR="006F3CAB">
        <w:t>larger</w:t>
      </w:r>
      <w:r w:rsidR="00F645B1">
        <w:t xml:space="preserve"> emission velocities, until the jet impinges the ground (</w:t>
      </w:r>
      <w:r w:rsidR="006F3CAB">
        <w:t>when</w:t>
      </w:r>
      <w:r w:rsidR="00F645B1">
        <w:t xml:space="preserve"> </w:t>
      </w:r>
      <w:r>
        <w:t>V</w:t>
      </w:r>
      <w:r w:rsidR="00F645B1">
        <w:t xml:space="preserve">E- </w:t>
      </w:r>
      <w:r w:rsidR="006F3CAB">
        <w:t xml:space="preserve">is </w:t>
      </w:r>
      <w:r w:rsidR="00F645B1">
        <w:t xml:space="preserve">equal to 0.87 m). </w:t>
      </w:r>
      <w:r w:rsidR="00287710">
        <w:t xml:space="preserve">The </w:t>
      </w:r>
      <w:r w:rsidR="008A100B">
        <w:t xml:space="preserve">positive </w:t>
      </w:r>
      <w:r w:rsidR="00287710">
        <w:t>vertical extension is</w:t>
      </w:r>
      <w:r w:rsidR="00F645B1">
        <w:t xml:space="preserve"> </w:t>
      </w:r>
      <w:r w:rsidR="006F3CAB">
        <w:t>an</w:t>
      </w:r>
      <w:r w:rsidR="00F645B1">
        <w:t xml:space="preserve"> indicator of the presence of the </w:t>
      </w:r>
      <w:proofErr w:type="spellStart"/>
      <w:r w:rsidR="00F645B1">
        <w:t>Coandă</w:t>
      </w:r>
      <w:proofErr w:type="spellEnd"/>
      <w:r w:rsidR="00F645B1">
        <w:t xml:space="preserve"> effect: at the largest flowrate (largest influence of convection), </w:t>
      </w:r>
      <w:r>
        <w:t>V</w:t>
      </w:r>
      <w:r w:rsidR="00F645B1">
        <w:t xml:space="preserve">E+ has the minimum value and the jet is driven downwards with an increase of </w:t>
      </w:r>
      <w:r w:rsidR="006F3CAB">
        <w:t>its</w:t>
      </w:r>
      <w:r w:rsidR="00F645B1">
        <w:t xml:space="preserve"> width</w:t>
      </w:r>
      <w:r w:rsidR="006F3CAB">
        <w:t>,</w:t>
      </w:r>
      <w:r w:rsidR="00F645B1">
        <w:t xml:space="preserve"> as it can be seen from Figure </w:t>
      </w:r>
      <w:r w:rsidR="008A173C">
        <w:t>4</w:t>
      </w:r>
      <w:r w:rsidR="008A100B">
        <w:t>.</w:t>
      </w:r>
      <w:r w:rsidR="00F645B1">
        <w:t xml:space="preserve"> This effect is </w:t>
      </w:r>
      <w:proofErr w:type="gramStart"/>
      <w:r w:rsidR="00F645B1">
        <w:t>similar to</w:t>
      </w:r>
      <w:proofErr w:type="gramEnd"/>
      <w:r w:rsidR="00F645B1">
        <w:t xml:space="preserve"> the one observed before for the simulations at different release heights, showing that </w:t>
      </w:r>
      <w:r w:rsidR="006F3CAB">
        <w:t xml:space="preserve">jets extremely close to the ground and/or with a large release flowrate </w:t>
      </w:r>
      <w:r w:rsidR="00AD160A">
        <w:t>can be</w:t>
      </w:r>
      <w:r w:rsidR="006F3CAB">
        <w:t xml:space="preserve"> affected by the </w:t>
      </w:r>
      <w:proofErr w:type="spellStart"/>
      <w:r w:rsidR="006F3CAB">
        <w:t>Coandă</w:t>
      </w:r>
      <w:proofErr w:type="spellEnd"/>
      <w:r w:rsidR="006F3CAB">
        <w:t xml:space="preserve"> effect, but this </w:t>
      </w:r>
      <w:r w:rsidR="00AD160A">
        <w:t>influence</w:t>
      </w:r>
      <w:r w:rsidR="006F3CAB">
        <w:t xml:space="preserve"> is </w:t>
      </w:r>
      <w:r w:rsidR="00AD160A">
        <w:t>minor</w:t>
      </w:r>
      <w:r w:rsidR="00F645B1">
        <w:t>.</w:t>
      </w:r>
    </w:p>
    <w:p w14:paraId="53D4DC81" w14:textId="4BF66FDC" w:rsidR="00862394" w:rsidRDefault="00B73A20" w:rsidP="00FB09DB">
      <w:pPr>
        <w:pStyle w:val="CETBodytext"/>
      </w:pPr>
      <w:r>
        <w:t xml:space="preserve">The relevance of buoyancy in determining the shape and extension of the jet-fire was further investigated qualitatively with two additional simulations </w:t>
      </w:r>
      <w:r w:rsidR="006C755A">
        <w:t xml:space="preserve">characterized </w:t>
      </w:r>
      <w:r w:rsidR="006C755A" w:rsidRPr="003E3E4C">
        <w:t>by</w:t>
      </w:r>
      <w:r w:rsidRPr="003E3E4C">
        <w:t xml:space="preserve"> h/d = 6 and </w:t>
      </w:r>
      <w:r w:rsidR="006C755A" w:rsidRPr="003E3E4C">
        <w:t>F =</w:t>
      </w:r>
      <w:r w:rsidRPr="003E3E4C">
        <w:t xml:space="preserve"> 2.1 kg/s. The first one is a fictitious simulation with reduced gravit</w:t>
      </w:r>
      <w:r w:rsidR="00862394" w:rsidRPr="003E3E4C">
        <w:t>ational acceleration</w:t>
      </w:r>
      <w:r w:rsidRPr="003E3E4C">
        <w:t xml:space="preserve"> (0.981 m/s</w:t>
      </w:r>
      <w:r w:rsidRPr="003E3E4C">
        <w:rPr>
          <w:vertAlign w:val="superscript"/>
        </w:rPr>
        <w:t>2</w:t>
      </w:r>
      <w:r w:rsidRPr="003E3E4C">
        <w:t xml:space="preserve">). The second is a simulation with standard gravity in the proximity of a vertical surface at </w:t>
      </w:r>
      <w:r w:rsidR="00862394" w:rsidRPr="003E3E4C">
        <w:t>a</w:t>
      </w:r>
      <w:r w:rsidRPr="003E3E4C">
        <w:t xml:space="preserve"> horizontal distance of 6d from t</w:t>
      </w:r>
      <w:r>
        <w:t>he emission point. The former simulation is aimed at reducing the buoyancy forces by ten times, while keeping the convective forces constant</w:t>
      </w:r>
      <w:r w:rsidR="006C755A">
        <w:t>.</w:t>
      </w:r>
      <w:r>
        <w:t xml:space="preserve"> </w:t>
      </w:r>
      <w:r w:rsidR="006C755A">
        <w:t>T</w:t>
      </w:r>
      <w:r>
        <w:t xml:space="preserve">he latter simulation aims at observing the </w:t>
      </w:r>
      <w:proofErr w:type="spellStart"/>
      <w:r w:rsidR="00862394">
        <w:t>Coandă</w:t>
      </w:r>
      <w:proofErr w:type="spellEnd"/>
      <w:r w:rsidR="00862394">
        <w:t xml:space="preserve"> effect on a vertical surface where the buoyancy force </w:t>
      </w:r>
      <w:r w:rsidR="006C755A">
        <w:t>should not play a relevant role,</w:t>
      </w:r>
      <w:r w:rsidR="00862394">
        <w:t xml:space="preserve"> as</w:t>
      </w:r>
      <w:r w:rsidR="006C755A">
        <w:t xml:space="preserve"> it is instead for</w:t>
      </w:r>
      <w:r w:rsidR="00862394">
        <w:t xml:space="preserve"> horizontal surfaces.</w:t>
      </w:r>
    </w:p>
    <w:p w14:paraId="457A50BC" w14:textId="62D1F552" w:rsidR="001B49A0" w:rsidRDefault="002E714B" w:rsidP="001B49A0">
      <w:pPr>
        <w:pStyle w:val="CETCaption"/>
      </w:pPr>
      <w:r w:rsidRPr="002E714B">
        <w:rPr>
          <w:noProof/>
        </w:rPr>
        <w:drawing>
          <wp:inline distT="0" distB="0" distL="0" distR="0" wp14:anchorId="3E26B272" wp14:editId="5C2C95C7">
            <wp:extent cx="3996000" cy="2252769"/>
            <wp:effectExtent l="0" t="0" r="5080" b="0"/>
            <wp:docPr id="9755229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1213" r="23643" b="2097"/>
                    <a:stretch/>
                  </pic:blipFill>
                  <pic:spPr bwMode="auto">
                    <a:xfrm>
                      <a:off x="0" y="0"/>
                      <a:ext cx="3996000" cy="2252769"/>
                    </a:xfrm>
                    <a:prstGeom prst="rect">
                      <a:avLst/>
                    </a:prstGeom>
                    <a:noFill/>
                    <a:ln>
                      <a:noFill/>
                    </a:ln>
                    <a:extLst>
                      <a:ext uri="{53640926-AAD7-44D8-BBD7-CCE9431645EC}">
                        <a14:shadowObscured xmlns:a14="http://schemas.microsoft.com/office/drawing/2010/main"/>
                      </a:ext>
                    </a:extLst>
                  </pic:spPr>
                </pic:pic>
              </a:graphicData>
            </a:graphic>
          </wp:inline>
        </w:drawing>
      </w:r>
    </w:p>
    <w:p w14:paraId="599AF8AA" w14:textId="07001058" w:rsidR="00862394" w:rsidRDefault="001B49A0" w:rsidP="001B49A0">
      <w:pPr>
        <w:pStyle w:val="CETCaption"/>
      </w:pPr>
      <w:r>
        <w:t xml:space="preserve">Figure 5: </w:t>
      </w:r>
      <w:r w:rsidR="001C0031">
        <w:t>Instantaneous s</w:t>
      </w:r>
      <w:r>
        <w:t>hape of the flames from the side and rear of the emission point with h/d = 6 and F= 2.1 kg/s in the reference case, in a fictitious case with reduced gravitational forces</w:t>
      </w:r>
      <w:r w:rsidR="0029169A">
        <w:t xml:space="preserve"> (g = 0.981 m/s</w:t>
      </w:r>
      <w:r w:rsidR="0029169A" w:rsidRPr="0029169A">
        <w:rPr>
          <w:vertAlign w:val="superscript"/>
        </w:rPr>
        <w:t>2</w:t>
      </w:r>
      <w:r w:rsidR="0029169A">
        <w:t>)</w:t>
      </w:r>
      <w:r>
        <w:t xml:space="preserve">, and in the presence of a vertical surface at </w:t>
      </w:r>
      <w:r w:rsidR="007525FD">
        <w:t>6d</w:t>
      </w:r>
      <w:r>
        <w:t xml:space="preserve"> from the emission </w:t>
      </w:r>
      <w:r w:rsidR="0029169A">
        <w:t>location</w:t>
      </w:r>
      <w:r>
        <w:t>.</w:t>
      </w:r>
    </w:p>
    <w:p w14:paraId="18C96280" w14:textId="7C466D83" w:rsidR="00B73A20" w:rsidRDefault="00862394" w:rsidP="00FB09DB">
      <w:pPr>
        <w:pStyle w:val="CETBodytext"/>
      </w:pPr>
      <w:r>
        <w:t xml:space="preserve">The flame shapes </w:t>
      </w:r>
      <w:r w:rsidR="00346055">
        <w:t>reported</w:t>
      </w:r>
      <w:r>
        <w:t xml:space="preserve"> </w:t>
      </w:r>
      <w:r w:rsidR="00346055">
        <w:t>by</w:t>
      </w:r>
      <w:r>
        <w:t xml:space="preserve"> </w:t>
      </w:r>
      <w:proofErr w:type="spellStart"/>
      <w:r w:rsidR="008A173C">
        <w:t>SmokeView</w:t>
      </w:r>
      <w:proofErr w:type="spellEnd"/>
      <w:r>
        <w:t xml:space="preserve"> are </w:t>
      </w:r>
      <w:r w:rsidR="00346055">
        <w:t>depicted</w:t>
      </w:r>
      <w:r>
        <w:t xml:space="preserve"> with a view from the side and a view from the back of the emission in Figure </w:t>
      </w:r>
      <w:r w:rsidR="008A173C">
        <w:t>5</w:t>
      </w:r>
      <w:r>
        <w:t xml:space="preserve"> for the reference case and the two new simulations. It can be noted that the flame shape dramatically changes when gravitational forces are reduced</w:t>
      </w:r>
      <w:r w:rsidR="00586CC1">
        <w:t xml:space="preserve"> (the length is more than doubled)</w:t>
      </w:r>
      <w:r>
        <w:t xml:space="preserve">, confirming that the buoyancy effect counters and overcomes the </w:t>
      </w:r>
      <w:proofErr w:type="spellStart"/>
      <w:r>
        <w:t>Coandă</w:t>
      </w:r>
      <w:proofErr w:type="spellEnd"/>
      <w:r>
        <w:t xml:space="preserve"> effect in the reference case. The vertical surface influences the shape of the flame, as observed experimentally in other fire scenarios, extending the flame length slightly with respect to the reference case</w:t>
      </w:r>
      <w:r w:rsidR="00346055">
        <w:t xml:space="preserve"> by prolonging the initial convection-driven part of the jet fire</w:t>
      </w:r>
      <w:r w:rsidR="00DE45A2">
        <w:t xml:space="preserve"> and reducing the width of the jet in the x-z plane projection</w:t>
      </w:r>
      <w:r>
        <w:t xml:space="preserve">. This </w:t>
      </w:r>
      <w:r w:rsidR="006C755A">
        <w:t>suggests</w:t>
      </w:r>
      <w:r>
        <w:t xml:space="preserve"> that convective effects become influent </w:t>
      </w:r>
      <w:r w:rsidR="006C755A">
        <w:t>if</w:t>
      </w:r>
      <w:r>
        <w:t xml:space="preserve"> not countered by buoyancy effects, as no buoyancy force is present in the direction perpendicular to the vertical surface.</w:t>
      </w:r>
      <w:r w:rsidR="00346055">
        <w:t xml:space="preserve"> This can also be seen from the side view, where the flame is in contact with the vertical surface for more than half of its height. Further investigation will be needed to address the effect of vertical obstacles on the shape and dimensions of jet fires</w:t>
      </w:r>
      <w:r w:rsidR="00190A97">
        <w:t xml:space="preserve">, where the </w:t>
      </w:r>
      <w:proofErr w:type="spellStart"/>
      <w:r w:rsidR="00190A97">
        <w:t>Coandă</w:t>
      </w:r>
      <w:proofErr w:type="spellEnd"/>
      <w:r w:rsidR="00190A97">
        <w:t xml:space="preserve"> effect may play a relevant role</w:t>
      </w:r>
      <w:r w:rsidR="00346055">
        <w:t xml:space="preserve">. </w:t>
      </w:r>
    </w:p>
    <w:p w14:paraId="007EB6AA" w14:textId="2FF85F28" w:rsidR="00740266" w:rsidRDefault="00740266" w:rsidP="00740266">
      <w:pPr>
        <w:pStyle w:val="CETHeading1"/>
      </w:pPr>
      <w:r>
        <w:t>Conclusions</w:t>
      </w:r>
    </w:p>
    <w:p w14:paraId="66675141" w14:textId="6E57E864" w:rsidR="00DF346B" w:rsidRDefault="00A22CE9" w:rsidP="00DF346B">
      <w:pPr>
        <w:pStyle w:val="CETBodytext"/>
      </w:pPr>
      <w:r>
        <w:t>The effect of the ground proximity on ignited subsonic jets was studied</w:t>
      </w:r>
      <w:r w:rsidR="00212323">
        <w:t xml:space="preserve"> using FDS</w:t>
      </w:r>
      <w:r>
        <w:t xml:space="preserve"> to characterize the main dimensions of horizontal methane jet fires considering different release heights and flowrates. While non-ignited </w:t>
      </w:r>
      <w:r w:rsidR="000A0B45">
        <w:lastRenderedPageBreak/>
        <w:t xml:space="preserve">sonic </w:t>
      </w:r>
      <w:r>
        <w:t xml:space="preserve">jets are strongly affected by the ground (specifically the </w:t>
      </w:r>
      <w:proofErr w:type="spellStart"/>
      <w:r>
        <w:t>Coandă</w:t>
      </w:r>
      <w:proofErr w:type="spellEnd"/>
      <w:r>
        <w:t xml:space="preserve"> effect), non-ignited </w:t>
      </w:r>
      <w:r w:rsidR="000A0B45">
        <w:t>subsonic ones</w:t>
      </w:r>
      <w:r>
        <w:t xml:space="preserve"> are marginally affected, as buoyancy acts contrarily to the down-driving influence of the ground. Therefore, safety assessment c</w:t>
      </w:r>
      <w:r w:rsidR="00DF346B">
        <w:t xml:space="preserve">onsidering non-ignited jets </w:t>
      </w:r>
      <w:r>
        <w:t xml:space="preserve">will </w:t>
      </w:r>
      <w:r w:rsidR="00DF346B">
        <w:t>lead to conservative results for flammability problems</w:t>
      </w:r>
      <w:r w:rsidR="00AC7BC0">
        <w:t xml:space="preserve"> when the effect</w:t>
      </w:r>
      <w:r>
        <w:t xml:space="preserve"> of</w:t>
      </w:r>
      <w:r w:rsidR="00AC7BC0">
        <w:t xml:space="preserve"> ground </w:t>
      </w:r>
      <w:r>
        <w:t xml:space="preserve">proximity </w:t>
      </w:r>
      <w:r w:rsidR="00AC7BC0">
        <w:t>is considered</w:t>
      </w:r>
      <w:r w:rsidR="000A0B45" w:rsidRPr="000A0B45">
        <w:t xml:space="preserve"> </w:t>
      </w:r>
      <w:r w:rsidR="000A0B45">
        <w:t xml:space="preserve">if an ignition source is present close to the emission location, while it could be a good choice </w:t>
      </w:r>
      <w:r w:rsidR="00AC7BC0">
        <w:t>if the most likely scenario is a</w:t>
      </w:r>
      <w:r w:rsidR="000A0B45">
        <w:t xml:space="preserve"> delayed ignition</w:t>
      </w:r>
      <w:r w:rsidR="00AC7BC0">
        <w:t>.</w:t>
      </w:r>
      <w:r>
        <w:t xml:space="preserve"> </w:t>
      </w:r>
      <w:r w:rsidR="0067029F">
        <w:t>The</w:t>
      </w:r>
      <w:r>
        <w:t xml:space="preserve"> horizontal</w:t>
      </w:r>
      <w:r w:rsidR="0067029F">
        <w:t xml:space="preserve"> extension of the flame</w:t>
      </w:r>
      <w:r>
        <w:t xml:space="preserve"> is almost unaffected by the </w:t>
      </w:r>
      <w:r w:rsidR="00972EBE">
        <w:t>ground,</w:t>
      </w:r>
      <w:r>
        <w:t xml:space="preserve"> and it can be evaluated using the correlation proposed by (Palacios et al., 2020)</w:t>
      </w:r>
      <w:r w:rsidR="0067029F">
        <w:t>.</w:t>
      </w:r>
      <w:r>
        <w:t xml:space="preserve"> </w:t>
      </w:r>
      <w:r w:rsidRPr="000A0B45">
        <w:t xml:space="preserve">A slight influence of ground on the vertical extension of the jet fire was observed at low flowrates when the release location is very close to the ground (h/d = 2) or at large flowrates (F = 8.4 kg/s) even at </w:t>
      </w:r>
      <w:r w:rsidR="00212323" w:rsidRPr="000A0B45">
        <w:t>higher release locations (h/d = 6).</w:t>
      </w:r>
      <w:r w:rsidR="00212323">
        <w:t xml:space="preserve"> The vertical extension is decreased when the jet fire is influenced by the ground.</w:t>
      </w:r>
    </w:p>
    <w:p w14:paraId="2240633F" w14:textId="027BB8B7" w:rsidR="00467DF4" w:rsidRPr="00DF346B" w:rsidRDefault="00273E45" w:rsidP="0067029F">
      <w:pPr>
        <w:pStyle w:val="CETBodytext"/>
      </w:pPr>
      <w:r>
        <w:t xml:space="preserve">The use of FDS </w:t>
      </w:r>
      <w:r w:rsidR="00212323">
        <w:t>provided</w:t>
      </w:r>
      <w:r>
        <w:t xml:space="preserve"> accurate results (confirmed by</w:t>
      </w:r>
      <w:r w:rsidR="00212323">
        <w:t xml:space="preserve"> the</w:t>
      </w:r>
      <w:r>
        <w:t xml:space="preserve"> semiempirical correlations</w:t>
      </w:r>
      <w:r w:rsidR="00AC7BC0">
        <w:t xml:space="preserve"> </w:t>
      </w:r>
      <w:r w:rsidR="00212323">
        <w:t>available in literature</w:t>
      </w:r>
      <w:r>
        <w:t xml:space="preserve">) </w:t>
      </w:r>
      <w:r w:rsidR="00212323">
        <w:t>both in terms of fire dimensions and radiation properties</w:t>
      </w:r>
      <w:r>
        <w:t>.</w:t>
      </w:r>
      <w:r w:rsidR="00DC52B8">
        <w:t xml:space="preserve"> </w:t>
      </w:r>
      <w:r w:rsidR="00212323">
        <w:t xml:space="preserve">Thus, these simulations can be </w:t>
      </w:r>
      <w:r w:rsidR="00DC52B8">
        <w:t xml:space="preserve">directly used to </w:t>
      </w:r>
      <w:r w:rsidR="00AF40B4">
        <w:t>assess</w:t>
      </w:r>
      <w:r w:rsidR="00DC52B8">
        <w:t xml:space="preserve"> radiation </w:t>
      </w:r>
      <w:r w:rsidR="00B82503">
        <w:t>scenarios</w:t>
      </w:r>
      <w:r w:rsidR="00733AFD">
        <w:t xml:space="preserve"> in detail</w:t>
      </w:r>
      <w:r w:rsidR="00B82503">
        <w:t xml:space="preserve"> without </w:t>
      </w:r>
      <w:r w:rsidR="00212323">
        <w:t>using</w:t>
      </w:r>
      <w:r w:rsidR="00B82503">
        <w:t xml:space="preserve"> </w:t>
      </w:r>
      <w:r w:rsidR="00212323">
        <w:t>standard</w:t>
      </w:r>
      <w:r w:rsidR="00B82503">
        <w:t xml:space="preserve"> models (</w:t>
      </w:r>
      <w:r w:rsidR="00212323">
        <w:t xml:space="preserve">e.g., </w:t>
      </w:r>
      <w:r w:rsidR="00B82503">
        <w:t xml:space="preserve">solid flames, point source, </w:t>
      </w:r>
      <w:r w:rsidR="00212323">
        <w:t>etc.</w:t>
      </w:r>
      <w:r w:rsidR="00B82503">
        <w:t>)</w:t>
      </w:r>
      <w:r w:rsidR="00212323">
        <w:t xml:space="preserve"> which may oversimplify the case study</w:t>
      </w:r>
      <w:r w:rsidR="00DC52B8">
        <w:t>.</w:t>
      </w:r>
    </w:p>
    <w:p w14:paraId="472A4E7C" w14:textId="7BA13B49" w:rsidR="00740266" w:rsidRDefault="00740266" w:rsidP="00740266">
      <w:pPr>
        <w:pStyle w:val="CETHeadingxx"/>
      </w:pPr>
      <w:r>
        <w:t>Nomenclature</w:t>
      </w:r>
    </w:p>
    <w:p w14:paraId="226FF740" w14:textId="77777777" w:rsidR="00A21BD0" w:rsidRDefault="00A21BD0" w:rsidP="004B561A">
      <w:pPr>
        <w:pStyle w:val="CETBodytext"/>
        <w:sectPr w:rsidR="00A21BD0" w:rsidSect="007D0951">
          <w:type w:val="continuous"/>
          <w:pgSz w:w="11906" w:h="16838" w:code="9"/>
          <w:pgMar w:top="1701" w:right="1418" w:bottom="1701" w:left="1701" w:header="1701" w:footer="0" w:gutter="0"/>
          <w:cols w:space="708"/>
          <w:formProt w:val="0"/>
          <w:titlePg/>
          <w:docGrid w:linePitch="360"/>
        </w:sectPr>
      </w:pPr>
    </w:p>
    <w:p w14:paraId="736C62F1" w14:textId="3229D1DA" w:rsidR="004B561A" w:rsidRDefault="004B561A" w:rsidP="004B561A">
      <w:pPr>
        <w:pStyle w:val="CETBodytext"/>
        <w:rPr>
          <w:rFonts w:eastAsia="SimSun"/>
        </w:rPr>
      </w:pPr>
      <w:r>
        <w:t xml:space="preserve">d </w:t>
      </w:r>
      <w:r w:rsidRPr="00280FAF">
        <w:rPr>
          <w:rFonts w:eastAsia="SimSun"/>
        </w:rPr>
        <w:t>–</w:t>
      </w:r>
      <w:r>
        <w:rPr>
          <w:rFonts w:eastAsia="SimSun"/>
        </w:rPr>
        <w:t xml:space="preserve"> </w:t>
      </w:r>
      <w:r w:rsidR="00CC2E71">
        <w:rPr>
          <w:rFonts w:eastAsia="SimSun"/>
        </w:rPr>
        <w:t>orifice dimension</w:t>
      </w:r>
      <w:r>
        <w:rPr>
          <w:rFonts w:eastAsia="SimSun"/>
        </w:rPr>
        <w:t>, m</w:t>
      </w:r>
    </w:p>
    <w:p w14:paraId="2AA60AD8" w14:textId="125AFEE5" w:rsidR="00D7038F" w:rsidRDefault="00D7038F" w:rsidP="004B561A">
      <w:pPr>
        <w:pStyle w:val="CETBodytext"/>
      </w:pPr>
      <w:r>
        <w:rPr>
          <w:rFonts w:eastAsia="SimSun"/>
        </w:rPr>
        <w:t>F</w:t>
      </w:r>
      <w:r>
        <w:t xml:space="preserve"> </w:t>
      </w:r>
      <w:r w:rsidRPr="00280FAF">
        <w:rPr>
          <w:rFonts w:eastAsia="SimSun"/>
        </w:rPr>
        <w:t>–</w:t>
      </w:r>
      <w:r>
        <w:rPr>
          <w:rFonts w:eastAsia="SimSun"/>
        </w:rPr>
        <w:t xml:space="preserve"> released flowrate, kg/s</w:t>
      </w:r>
    </w:p>
    <w:p w14:paraId="40FB7BCF" w14:textId="2035C092" w:rsidR="004B561A" w:rsidRDefault="004B561A" w:rsidP="004B561A">
      <w:pPr>
        <w:pStyle w:val="CETBodytext"/>
      </w:pPr>
      <w:r>
        <w:t xml:space="preserve">h </w:t>
      </w:r>
      <w:r w:rsidRPr="00280FAF">
        <w:rPr>
          <w:rFonts w:eastAsia="SimSun"/>
        </w:rPr>
        <w:t>–</w:t>
      </w:r>
      <w:r>
        <w:rPr>
          <w:rFonts w:eastAsia="SimSun"/>
        </w:rPr>
        <w:t xml:space="preserve"> release height, m</w:t>
      </w:r>
    </w:p>
    <w:p w14:paraId="4670F047" w14:textId="6EAAF41D" w:rsidR="004B561A" w:rsidRDefault="004B561A" w:rsidP="004B561A">
      <w:pPr>
        <w:pStyle w:val="CETBodytext"/>
        <w:rPr>
          <w:rFonts w:eastAsia="SimSun"/>
        </w:rPr>
      </w:pPr>
      <w:r>
        <w:t xml:space="preserve">HE </w:t>
      </w:r>
      <w:r w:rsidRPr="00280FAF">
        <w:rPr>
          <w:rFonts w:eastAsia="SimSun"/>
        </w:rPr>
        <w:t>–</w:t>
      </w:r>
      <w:r>
        <w:rPr>
          <w:rFonts w:eastAsia="SimSun"/>
        </w:rPr>
        <w:t xml:space="preserve"> </w:t>
      </w:r>
      <w:r w:rsidR="00A21BD0">
        <w:rPr>
          <w:rFonts w:eastAsia="SimSun"/>
        </w:rPr>
        <w:t xml:space="preserve">flame </w:t>
      </w:r>
      <w:r>
        <w:rPr>
          <w:rFonts w:eastAsia="SimSun"/>
        </w:rPr>
        <w:t xml:space="preserve">horizontal extension, </w:t>
      </w:r>
      <w:proofErr w:type="gramStart"/>
      <w:r>
        <w:rPr>
          <w:rFonts w:eastAsia="SimSun"/>
        </w:rPr>
        <w:t>m</w:t>
      </w:r>
      <w:proofErr w:type="gramEnd"/>
    </w:p>
    <w:p w14:paraId="2F63FB17" w14:textId="247770F5" w:rsidR="00F06CDA" w:rsidRPr="00F06CDA" w:rsidRDefault="00F06CDA" w:rsidP="004B561A">
      <w:pPr>
        <w:pStyle w:val="CETBodytext"/>
        <w:rPr>
          <w:rFonts w:eastAsia="SimSun"/>
        </w:rPr>
      </w:pPr>
      <w:proofErr w:type="spellStart"/>
      <w:r>
        <w:rPr>
          <w:rFonts w:eastAsia="SimSun"/>
        </w:rPr>
        <w:t>HE</w:t>
      </w:r>
      <w:r w:rsidRPr="00F06CDA">
        <w:rPr>
          <w:rFonts w:eastAsia="SimSun"/>
          <w:vertAlign w:val="subscript"/>
        </w:rPr>
        <w:t>dl</w:t>
      </w:r>
      <w:proofErr w:type="spellEnd"/>
      <w:r>
        <w:t xml:space="preserve"> </w:t>
      </w:r>
      <w:r w:rsidRPr="00280FAF">
        <w:rPr>
          <w:rFonts w:eastAsia="SimSun"/>
        </w:rPr>
        <w:t>–</w:t>
      </w:r>
      <w:r w:rsidR="001B7D1F">
        <w:rPr>
          <w:rFonts w:eastAsia="SimSun"/>
        </w:rPr>
        <w:t xml:space="preserve"> </w:t>
      </w:r>
      <w:r>
        <w:rPr>
          <w:rFonts w:eastAsia="SimSun"/>
        </w:rPr>
        <w:t xml:space="preserve">flame </w:t>
      </w:r>
      <w:r w:rsidR="008954D0">
        <w:rPr>
          <w:rFonts w:eastAsia="SimSun"/>
        </w:rPr>
        <w:t xml:space="preserve">dimensionless </w:t>
      </w:r>
      <w:r>
        <w:rPr>
          <w:rFonts w:eastAsia="SimSun"/>
        </w:rPr>
        <w:t>horizontal extension</w:t>
      </w:r>
      <w:r w:rsidR="001B7D1F">
        <w:rPr>
          <w:rFonts w:eastAsia="SimSun"/>
        </w:rPr>
        <w:t>, -</w:t>
      </w:r>
    </w:p>
    <w:p w14:paraId="4AD5CFFB" w14:textId="772CE9E0" w:rsidR="004B561A" w:rsidRDefault="004B561A" w:rsidP="004B561A">
      <w:pPr>
        <w:pStyle w:val="CETBodytext"/>
      </w:pPr>
      <w:r>
        <w:t xml:space="preserve">HRR </w:t>
      </w:r>
      <w:r w:rsidRPr="00280FAF">
        <w:rPr>
          <w:rFonts w:eastAsia="SimSun"/>
        </w:rPr>
        <w:t>–</w:t>
      </w:r>
      <w:r>
        <w:rPr>
          <w:rFonts w:eastAsia="SimSun"/>
        </w:rPr>
        <w:t xml:space="preserve"> heat release rate, MW</w:t>
      </w:r>
    </w:p>
    <w:p w14:paraId="1BA8BD42" w14:textId="652DA06A" w:rsidR="004B561A" w:rsidRDefault="004B561A" w:rsidP="004B561A">
      <w:pPr>
        <w:pStyle w:val="CETBodytext"/>
      </w:pPr>
      <w:r>
        <w:t xml:space="preserve">HRRPUV </w:t>
      </w:r>
      <w:r w:rsidRPr="00280FAF">
        <w:rPr>
          <w:rFonts w:eastAsia="SimSun"/>
        </w:rPr>
        <w:t>–</w:t>
      </w:r>
      <w:r>
        <w:rPr>
          <w:rFonts w:eastAsia="SimSun"/>
        </w:rPr>
        <w:t xml:space="preserve"> </w:t>
      </w:r>
      <w:r w:rsidR="00A21BD0">
        <w:rPr>
          <w:rFonts w:eastAsia="SimSun"/>
        </w:rPr>
        <w:t>HRR</w:t>
      </w:r>
      <w:r>
        <w:rPr>
          <w:rFonts w:eastAsia="SimSun"/>
        </w:rPr>
        <w:t xml:space="preserve"> per unit volume, </w:t>
      </w:r>
      <w:r>
        <w:t>kW/m</w:t>
      </w:r>
      <w:r w:rsidRPr="00AB657D">
        <w:rPr>
          <w:vertAlign w:val="superscript"/>
        </w:rPr>
        <w:t>3</w:t>
      </w:r>
    </w:p>
    <w:p w14:paraId="20731258" w14:textId="353A4686" w:rsidR="004B561A" w:rsidRDefault="004B561A" w:rsidP="004B561A">
      <w:pPr>
        <w:pStyle w:val="CETBodytext"/>
      </w:pPr>
      <w:r>
        <w:t xml:space="preserve">LFL </w:t>
      </w:r>
      <w:r w:rsidRPr="00280FAF">
        <w:rPr>
          <w:rFonts w:eastAsia="SimSun"/>
        </w:rPr>
        <w:t>–</w:t>
      </w:r>
      <w:r>
        <w:rPr>
          <w:rFonts w:eastAsia="SimSun"/>
        </w:rPr>
        <w:t xml:space="preserve"> </w:t>
      </w:r>
      <w:r w:rsidR="005E2C86">
        <w:rPr>
          <w:rFonts w:eastAsia="SimSun"/>
        </w:rPr>
        <w:t>l</w:t>
      </w:r>
      <w:r>
        <w:rPr>
          <w:rFonts w:eastAsia="SimSun"/>
        </w:rPr>
        <w:t>ower flammability limit, %</w:t>
      </w:r>
      <w:r>
        <w:t xml:space="preserve"> </w:t>
      </w:r>
    </w:p>
    <w:p w14:paraId="3A96924F" w14:textId="64B1C249" w:rsidR="004B561A" w:rsidRDefault="004B561A" w:rsidP="004B561A">
      <w:pPr>
        <w:pStyle w:val="CETBodytext"/>
      </w:pPr>
      <w:r>
        <w:t xml:space="preserve">QR </w:t>
      </w:r>
      <w:r w:rsidRPr="00280FAF">
        <w:rPr>
          <w:rFonts w:eastAsia="SimSun"/>
        </w:rPr>
        <w:t>–</w:t>
      </w:r>
      <w:r>
        <w:rPr>
          <w:rFonts w:eastAsia="SimSun"/>
        </w:rPr>
        <w:t xml:space="preserve"> </w:t>
      </w:r>
      <w:r w:rsidR="005E2C86">
        <w:rPr>
          <w:rFonts w:eastAsia="SimSun"/>
        </w:rPr>
        <w:t>r</w:t>
      </w:r>
      <w:r>
        <w:rPr>
          <w:rFonts w:eastAsia="SimSun"/>
        </w:rPr>
        <w:t>adiative power, MW</w:t>
      </w:r>
    </w:p>
    <w:p w14:paraId="0C7F93AD" w14:textId="1B31189A" w:rsidR="004B561A" w:rsidRDefault="004B561A" w:rsidP="004B561A">
      <w:pPr>
        <w:pStyle w:val="CETBodytext"/>
      </w:pPr>
      <w:r>
        <w:t xml:space="preserve">VE+ </w:t>
      </w:r>
      <w:r w:rsidRPr="00280FAF">
        <w:rPr>
          <w:rFonts w:eastAsia="SimSun"/>
        </w:rPr>
        <w:t>–</w:t>
      </w:r>
      <w:r>
        <w:rPr>
          <w:rFonts w:eastAsia="SimSun"/>
        </w:rPr>
        <w:t xml:space="preserve"> </w:t>
      </w:r>
      <w:r w:rsidR="00A21BD0">
        <w:rPr>
          <w:rFonts w:eastAsia="SimSun"/>
        </w:rPr>
        <w:t xml:space="preserve">flame </w:t>
      </w:r>
      <w:r w:rsidR="005E2C86">
        <w:rPr>
          <w:rFonts w:eastAsia="SimSun"/>
        </w:rPr>
        <w:t>v</w:t>
      </w:r>
      <w:r>
        <w:rPr>
          <w:rFonts w:eastAsia="SimSun"/>
        </w:rPr>
        <w:t xml:space="preserve">ertical extension above release, </w:t>
      </w:r>
      <w:proofErr w:type="gramStart"/>
      <w:r>
        <w:rPr>
          <w:rFonts w:eastAsia="SimSun"/>
        </w:rPr>
        <w:t>m</w:t>
      </w:r>
      <w:proofErr w:type="gramEnd"/>
    </w:p>
    <w:p w14:paraId="36747164" w14:textId="457B1B4F" w:rsidR="004B561A" w:rsidRDefault="004B561A" w:rsidP="004B561A">
      <w:pPr>
        <w:pStyle w:val="CETBodytext"/>
      </w:pPr>
      <w:r>
        <w:t xml:space="preserve">VE- </w:t>
      </w:r>
      <w:r w:rsidRPr="00280FAF">
        <w:rPr>
          <w:rFonts w:eastAsia="SimSun"/>
        </w:rPr>
        <w:t>–</w:t>
      </w:r>
      <w:r>
        <w:rPr>
          <w:rFonts w:eastAsia="SimSun"/>
        </w:rPr>
        <w:t xml:space="preserve"> </w:t>
      </w:r>
      <w:r w:rsidR="00A21BD0">
        <w:rPr>
          <w:rFonts w:eastAsia="SimSun"/>
        </w:rPr>
        <w:t xml:space="preserve">flame </w:t>
      </w:r>
      <w:r w:rsidR="005E2C86">
        <w:rPr>
          <w:rFonts w:eastAsia="SimSun"/>
        </w:rPr>
        <w:t>v</w:t>
      </w:r>
      <w:r>
        <w:rPr>
          <w:rFonts w:eastAsia="SimSun"/>
        </w:rPr>
        <w:t xml:space="preserve">ertical extension below release, </w:t>
      </w:r>
      <w:proofErr w:type="gramStart"/>
      <w:r>
        <w:rPr>
          <w:rFonts w:eastAsia="SimSun"/>
        </w:rPr>
        <w:t>m</w:t>
      </w:r>
      <w:proofErr w:type="gramEnd"/>
    </w:p>
    <w:p w14:paraId="491739F1" w14:textId="450C788C" w:rsidR="004B561A" w:rsidRDefault="004B561A" w:rsidP="004B561A">
      <w:pPr>
        <w:pStyle w:val="CETBodytext"/>
      </w:pPr>
      <w:r>
        <w:t xml:space="preserve">VE </w:t>
      </w:r>
      <w:r w:rsidRPr="00280FAF">
        <w:rPr>
          <w:rFonts w:eastAsia="SimSun"/>
        </w:rPr>
        <w:t>–</w:t>
      </w:r>
      <w:r>
        <w:rPr>
          <w:rFonts w:eastAsia="SimSun"/>
        </w:rPr>
        <w:t xml:space="preserve"> </w:t>
      </w:r>
      <w:r w:rsidR="005E2C86">
        <w:rPr>
          <w:rFonts w:eastAsia="SimSun"/>
        </w:rPr>
        <w:t>t</w:t>
      </w:r>
      <w:r>
        <w:rPr>
          <w:rFonts w:eastAsia="SimSun"/>
        </w:rPr>
        <w:t>otal vertical extension of the flame, m</w:t>
      </w:r>
    </w:p>
    <w:p w14:paraId="03F3584C" w14:textId="72066145" w:rsidR="004B561A" w:rsidRPr="00740266" w:rsidRDefault="004B561A" w:rsidP="004B561A">
      <w:pPr>
        <w:pStyle w:val="CETBodytext"/>
      </w:pPr>
      <w:proofErr w:type="spellStart"/>
      <w:r>
        <w:t>x</w:t>
      </w:r>
      <w:r w:rsidRPr="00D041E1">
        <w:rPr>
          <w:vertAlign w:val="subscript"/>
        </w:rPr>
        <w:t>dl</w:t>
      </w:r>
      <w:proofErr w:type="spellEnd"/>
      <w:r>
        <w:t xml:space="preserve"> </w:t>
      </w:r>
      <w:r w:rsidRPr="00280FAF">
        <w:rPr>
          <w:rFonts w:eastAsia="SimSun"/>
        </w:rPr>
        <w:t>–</w:t>
      </w:r>
      <w:r>
        <w:rPr>
          <w:rFonts w:eastAsia="SimSun"/>
        </w:rPr>
        <w:t xml:space="preserve"> </w:t>
      </w:r>
      <w:r w:rsidR="005E2C86">
        <w:rPr>
          <w:rFonts w:eastAsia="SimSun"/>
        </w:rPr>
        <w:t>d</w:t>
      </w:r>
      <w:r>
        <w:rPr>
          <w:rFonts w:eastAsia="SimSun"/>
        </w:rPr>
        <w:t>imensionless coordinate, -</w:t>
      </w:r>
    </w:p>
    <w:p w14:paraId="3C6D0594" w14:textId="77777777" w:rsidR="00A21BD0" w:rsidRDefault="00A21BD0" w:rsidP="00740266">
      <w:pPr>
        <w:pStyle w:val="CETReference"/>
        <w:sectPr w:rsidR="00A21BD0" w:rsidSect="00A21BD0">
          <w:type w:val="continuous"/>
          <w:pgSz w:w="11906" w:h="16838" w:code="9"/>
          <w:pgMar w:top="1701" w:right="1418" w:bottom="1701" w:left="1701" w:header="1701" w:footer="0" w:gutter="0"/>
          <w:cols w:num="2" w:space="708"/>
          <w:formProt w:val="0"/>
          <w:titlePg/>
          <w:docGrid w:linePitch="360"/>
        </w:sectPr>
      </w:pPr>
    </w:p>
    <w:p w14:paraId="03872E5E" w14:textId="77777777" w:rsidR="00851438" w:rsidRDefault="00740266" w:rsidP="00740266">
      <w:pPr>
        <w:pStyle w:val="CETReference"/>
      </w:pPr>
      <w:r>
        <w:t>References</w:t>
      </w:r>
    </w:p>
    <w:p w14:paraId="507C36AE" w14:textId="123143FF" w:rsidR="003309FB" w:rsidRDefault="003309FB" w:rsidP="003309FB">
      <w:pPr>
        <w:pStyle w:val="CETReferencetext"/>
      </w:pPr>
      <w:r w:rsidRPr="003309FB">
        <w:rPr>
          <w:lang w:val="en-US"/>
        </w:rPr>
        <w:t>Chen, C.J. an</w:t>
      </w:r>
      <w:r>
        <w:rPr>
          <w:lang w:val="en-US"/>
        </w:rPr>
        <w:t>d</w:t>
      </w:r>
      <w:r w:rsidRPr="003309FB">
        <w:rPr>
          <w:lang w:val="en-US"/>
        </w:rPr>
        <w:t xml:space="preserve"> </w:t>
      </w:r>
      <w:proofErr w:type="spellStart"/>
      <w:r w:rsidRPr="003309FB">
        <w:rPr>
          <w:lang w:val="en-US"/>
        </w:rPr>
        <w:t>Rodi</w:t>
      </w:r>
      <w:proofErr w:type="spellEnd"/>
      <w:r w:rsidRPr="003309FB">
        <w:rPr>
          <w:lang w:val="en-US"/>
        </w:rPr>
        <w:t xml:space="preserve">, W., 1980. </w:t>
      </w:r>
      <w:r>
        <w:t>Vertical Turbulent Buoyant Jets – A Review of Experimental Data, first ed., vol. 4. Pergamon Press.</w:t>
      </w:r>
    </w:p>
    <w:p w14:paraId="635F913B" w14:textId="22B3381B" w:rsidR="0016735E" w:rsidRDefault="0016735E" w:rsidP="0016735E">
      <w:pPr>
        <w:pStyle w:val="CETReferencetext"/>
      </w:pPr>
      <w:proofErr w:type="spellStart"/>
      <w:r>
        <w:t>Colombini</w:t>
      </w:r>
      <w:proofErr w:type="spellEnd"/>
      <w:r>
        <w:t xml:space="preserve"> </w:t>
      </w:r>
      <w:proofErr w:type="spellStart"/>
      <w:r>
        <w:t>C.and</w:t>
      </w:r>
      <w:proofErr w:type="spellEnd"/>
      <w:r>
        <w:t xml:space="preserve"> Busini</w:t>
      </w:r>
      <w:r w:rsidRPr="002F3FAA">
        <w:t xml:space="preserve"> </w:t>
      </w:r>
      <w:r>
        <w:t>V., 2019, Obstacle influence on high pressure jets based on computational fluid dynamics simulations, Chemical Engineering Transactions, 77.</w:t>
      </w:r>
    </w:p>
    <w:p w14:paraId="5647EC54" w14:textId="45065387" w:rsidR="00AE6051" w:rsidRDefault="00AE6051" w:rsidP="00F279DA">
      <w:pPr>
        <w:pStyle w:val="CETReferencetext"/>
      </w:pPr>
      <w:proofErr w:type="spellStart"/>
      <w:r>
        <w:t>Colombini</w:t>
      </w:r>
      <w:proofErr w:type="spellEnd"/>
      <w:r>
        <w:t xml:space="preserve"> C, </w:t>
      </w:r>
      <w:proofErr w:type="spellStart"/>
      <w:r w:rsidRPr="00AE6051">
        <w:t>Martani</w:t>
      </w:r>
      <w:proofErr w:type="spellEnd"/>
      <w:r>
        <w:t xml:space="preserve"> A.,</w:t>
      </w:r>
      <w:r w:rsidRPr="00AE6051">
        <w:t xml:space="preserve"> Rota</w:t>
      </w:r>
      <w:r>
        <w:t xml:space="preserve"> R.</w:t>
      </w:r>
      <w:r w:rsidRPr="00AE6051">
        <w:t>, Busini</w:t>
      </w:r>
      <w:r>
        <w:t xml:space="preserve"> V., </w:t>
      </w:r>
      <w:r w:rsidR="00F279DA">
        <w:t xml:space="preserve">2020, </w:t>
      </w:r>
      <w:r>
        <w:t>Ground influence on high-pressure methane jets: Practical tools for</w:t>
      </w:r>
      <w:r w:rsidR="00F279DA">
        <w:t xml:space="preserve"> </w:t>
      </w:r>
      <w:r>
        <w:t>risk assessment</w:t>
      </w:r>
      <w:r w:rsidR="00F279DA">
        <w:t xml:space="preserve">, </w:t>
      </w:r>
      <w:r w:rsidR="00F279DA" w:rsidRPr="00F279DA">
        <w:t>Journal of Loss Prevention in the Process Industries</w:t>
      </w:r>
      <w:r w:rsidR="00F279DA">
        <w:t>,</w:t>
      </w:r>
      <w:r w:rsidR="00F279DA" w:rsidRPr="00F279DA">
        <w:t xml:space="preserve"> 67</w:t>
      </w:r>
      <w:r w:rsidR="00F279DA">
        <w:t>,</w:t>
      </w:r>
      <w:r w:rsidR="00F279DA" w:rsidRPr="00F279DA">
        <w:t xml:space="preserve"> 104240</w:t>
      </w:r>
      <w:r w:rsidR="00F279DA">
        <w:t>.</w:t>
      </w:r>
    </w:p>
    <w:p w14:paraId="5F0A39D8" w14:textId="77777777" w:rsidR="0016735E" w:rsidRDefault="0016735E" w:rsidP="0016735E">
      <w:pPr>
        <w:pStyle w:val="CETReferencetext"/>
      </w:pPr>
      <w:proofErr w:type="spellStart"/>
      <w:r>
        <w:t>Colombini</w:t>
      </w:r>
      <w:proofErr w:type="spellEnd"/>
      <w:r>
        <w:t xml:space="preserve"> C., Maugeri G., </w:t>
      </w:r>
      <w:proofErr w:type="spellStart"/>
      <w:r>
        <w:t>Zanon</w:t>
      </w:r>
      <w:proofErr w:type="spellEnd"/>
      <w:r>
        <w:t xml:space="preserve"> G., Rota R., Busini V., “Unignited High-Pressure Methane Jet Impinging a Pipe Rack: Practical Tools for Risk Assessment”,</w:t>
      </w:r>
      <w:r w:rsidRPr="00B33AF9">
        <w:t xml:space="preserve"> </w:t>
      </w:r>
      <w:r>
        <w:t>Journal of Loss Prevention in the Process Industries 69, 2021</w:t>
      </w:r>
    </w:p>
    <w:p w14:paraId="3770E6E5" w14:textId="0740AF6B" w:rsidR="00851438" w:rsidRDefault="00851438" w:rsidP="0016735E">
      <w:pPr>
        <w:pStyle w:val="CETReferencetext"/>
      </w:pPr>
      <w:r>
        <w:t xml:space="preserve">Florit F., Favrin S., Rota R., Derudi M., 2019, </w:t>
      </w:r>
      <w:r w:rsidRPr="00851438">
        <w:t>Jet fires and reaction runaway interaction: A multiscale approach</w:t>
      </w:r>
      <w:r>
        <w:t xml:space="preserve">, </w:t>
      </w:r>
      <w:r w:rsidRPr="00851438">
        <w:t>Chemical Engineering Transactions, 77, 367</w:t>
      </w:r>
      <w:r>
        <w:t>–</w:t>
      </w:r>
      <w:r w:rsidRPr="00851438">
        <w:t>372</w:t>
      </w:r>
      <w:r>
        <w:t>.</w:t>
      </w:r>
    </w:p>
    <w:p w14:paraId="1EE7F995" w14:textId="03487662" w:rsidR="001335E8" w:rsidRDefault="001335E8" w:rsidP="00D6487D">
      <w:pPr>
        <w:pStyle w:val="CETReferencetext"/>
      </w:pPr>
      <w:r>
        <w:t xml:space="preserve">Florit F., Busini V., Favrin S., Rota R., Derudi M., 2022, </w:t>
      </w:r>
      <w:r w:rsidRPr="001335E8">
        <w:t>Reaction Runaway as a Domino Effect of Pool Fire</w:t>
      </w:r>
      <w:r>
        <w:t xml:space="preserve"> </w:t>
      </w:r>
      <w:r w:rsidRPr="001335E8">
        <w:t>Engulfing an Ethoxylation Reactor</w:t>
      </w:r>
      <w:r>
        <w:t xml:space="preserve">, </w:t>
      </w:r>
      <w:r w:rsidRPr="00851438">
        <w:t xml:space="preserve">Chemical Engineering Transactions, </w:t>
      </w:r>
      <w:r>
        <w:t>91</w:t>
      </w:r>
      <w:r w:rsidRPr="00851438">
        <w:t xml:space="preserve">, </w:t>
      </w:r>
      <w:r>
        <w:t>79–84.</w:t>
      </w:r>
    </w:p>
    <w:p w14:paraId="73813387" w14:textId="26593074" w:rsidR="007F00FD" w:rsidRDefault="007F00FD" w:rsidP="0016735E">
      <w:pPr>
        <w:pStyle w:val="CETReferencetext"/>
      </w:pPr>
      <w:r w:rsidRPr="00851112">
        <w:t>Gao</w:t>
      </w:r>
      <w:r w:rsidRPr="007F00FD">
        <w:t xml:space="preserve"> </w:t>
      </w:r>
      <w:r w:rsidRPr="00851112">
        <w:t>Z.H., Ji</w:t>
      </w:r>
      <w:r w:rsidRPr="007F00FD">
        <w:t xml:space="preserve"> </w:t>
      </w:r>
      <w:r w:rsidRPr="00851112">
        <w:t>J., Wan</w:t>
      </w:r>
      <w:r w:rsidRPr="007F00FD">
        <w:t xml:space="preserve"> </w:t>
      </w:r>
      <w:r w:rsidRPr="00851112">
        <w:t>H.X., Li</w:t>
      </w:r>
      <w:r w:rsidRPr="007F00FD">
        <w:t xml:space="preserve"> </w:t>
      </w:r>
      <w:r w:rsidRPr="00851112">
        <w:t>K.Y., Sun</w:t>
      </w:r>
      <w:r w:rsidRPr="007F00FD">
        <w:t xml:space="preserve"> </w:t>
      </w:r>
      <w:r w:rsidRPr="00851112">
        <w:t>J.H.</w:t>
      </w:r>
      <w:r>
        <w:t xml:space="preserve">, 2015, </w:t>
      </w:r>
      <w:r w:rsidRPr="00851112">
        <w:t>An investigation of the detailed flame shape and flame length under the ceiling of a channel</w:t>
      </w:r>
      <w:r>
        <w:t xml:space="preserve"> </w:t>
      </w:r>
      <w:r w:rsidR="00110B05" w:rsidRPr="00110B05">
        <w:t>Proceedings of the Combustion Institute</w:t>
      </w:r>
      <w:r w:rsidRPr="00851112">
        <w:t>, 35, 2657-2664</w:t>
      </w:r>
    </w:p>
    <w:p w14:paraId="5934E386" w14:textId="5D096D9C" w:rsidR="007F00FD" w:rsidRDefault="007F00FD" w:rsidP="0016735E">
      <w:pPr>
        <w:pStyle w:val="CETReferencetext"/>
      </w:pPr>
      <w:proofErr w:type="spellStart"/>
      <w:r w:rsidRPr="002F3FAA">
        <w:t>Himoto</w:t>
      </w:r>
      <w:proofErr w:type="spellEnd"/>
      <w:r w:rsidRPr="007F00FD">
        <w:t xml:space="preserve"> </w:t>
      </w:r>
      <w:r w:rsidRPr="002F3FAA">
        <w:t xml:space="preserve">K., </w:t>
      </w:r>
      <w:proofErr w:type="spellStart"/>
      <w:r w:rsidRPr="002F3FAA">
        <w:t>Tsuchihashi</w:t>
      </w:r>
      <w:proofErr w:type="spellEnd"/>
      <w:r w:rsidRPr="007F00FD">
        <w:t xml:space="preserve"> </w:t>
      </w:r>
      <w:r w:rsidRPr="002F3FAA">
        <w:t>T., Tanaka</w:t>
      </w:r>
      <w:r w:rsidRPr="007F00FD">
        <w:t xml:space="preserve"> </w:t>
      </w:r>
      <w:r w:rsidRPr="002F3FAA">
        <w:t>Y., Tanaka</w:t>
      </w:r>
      <w:r w:rsidRPr="007F00FD">
        <w:t xml:space="preserve"> </w:t>
      </w:r>
      <w:r w:rsidRPr="002F3FAA">
        <w:t>T.</w:t>
      </w:r>
      <w:r>
        <w:t xml:space="preserve">, 2009, </w:t>
      </w:r>
      <w:proofErr w:type="spellStart"/>
      <w:r w:rsidRPr="002F3FAA">
        <w:t>Modeling</w:t>
      </w:r>
      <w:proofErr w:type="spellEnd"/>
      <w:r w:rsidRPr="002F3FAA">
        <w:t xml:space="preserve"> the trajectory of window flames </w:t>
      </w:r>
      <w:proofErr w:type="gramStart"/>
      <w:r w:rsidRPr="002F3FAA">
        <w:t>with regard to</w:t>
      </w:r>
      <w:proofErr w:type="gramEnd"/>
      <w:r w:rsidRPr="002F3FAA">
        <w:t xml:space="preserve"> flow attachment to the adjacent wall</w:t>
      </w:r>
      <w:r>
        <w:t xml:space="preserve"> </w:t>
      </w:r>
      <w:r w:rsidRPr="002F3FAA">
        <w:t xml:space="preserve">Fire </w:t>
      </w:r>
      <w:proofErr w:type="spellStart"/>
      <w:r w:rsidRPr="002F3FAA">
        <w:t>Saf</w:t>
      </w:r>
      <w:proofErr w:type="spellEnd"/>
      <w:r w:rsidRPr="002F3FAA">
        <w:t>. J., 44, 250-258</w:t>
      </w:r>
    </w:p>
    <w:p w14:paraId="3545A825" w14:textId="4C505202" w:rsidR="00110B05" w:rsidRDefault="00110B05" w:rsidP="0016735E">
      <w:pPr>
        <w:pStyle w:val="CETReferencetext"/>
      </w:pPr>
      <w:r w:rsidRPr="00851112">
        <w:t>Ji</w:t>
      </w:r>
      <w:r w:rsidRPr="00110B05">
        <w:t xml:space="preserve"> </w:t>
      </w:r>
      <w:r w:rsidRPr="00851112">
        <w:t>J., Fan</w:t>
      </w:r>
      <w:r w:rsidRPr="00110B05">
        <w:t xml:space="preserve"> </w:t>
      </w:r>
      <w:r w:rsidRPr="00851112">
        <w:t>C.G., Li</w:t>
      </w:r>
      <w:r w:rsidRPr="00110B05">
        <w:t xml:space="preserve"> </w:t>
      </w:r>
      <w:r w:rsidRPr="00851112">
        <w:t xml:space="preserve">Y.Z., </w:t>
      </w:r>
      <w:proofErr w:type="spellStart"/>
      <w:r w:rsidRPr="00851112">
        <w:t>Ingason</w:t>
      </w:r>
      <w:proofErr w:type="spellEnd"/>
      <w:r w:rsidRPr="00110B05">
        <w:t xml:space="preserve"> </w:t>
      </w:r>
      <w:r w:rsidRPr="00851112">
        <w:t>H., Sun</w:t>
      </w:r>
      <w:r>
        <w:t xml:space="preserve"> </w:t>
      </w:r>
      <w:r w:rsidRPr="00851112">
        <w:t>J.H.</w:t>
      </w:r>
      <w:r>
        <w:t>, 2015,</w:t>
      </w:r>
      <w:r w:rsidRPr="00851112">
        <w:t xml:space="preserve"> Experimental study of non-monotonous sidewall effect on flame characteristics and burning rate of n-heptane pool fires</w:t>
      </w:r>
      <w:r>
        <w:t xml:space="preserve"> </w:t>
      </w:r>
      <w:r w:rsidRPr="00851112">
        <w:t>Fuel, 145, 228-233</w:t>
      </w:r>
    </w:p>
    <w:p w14:paraId="7457E089" w14:textId="13F9BB61" w:rsidR="00094D04" w:rsidRDefault="00094D04" w:rsidP="00094D04">
      <w:pPr>
        <w:pStyle w:val="CETReferencetext"/>
      </w:pPr>
      <w:proofErr w:type="spellStart"/>
      <w:r w:rsidRPr="00094D04">
        <w:t>Lowesmith</w:t>
      </w:r>
      <w:proofErr w:type="spellEnd"/>
      <w:r>
        <w:t xml:space="preserve"> B.J.</w:t>
      </w:r>
      <w:r w:rsidRPr="00094D04">
        <w:t>, Hankinson</w:t>
      </w:r>
      <w:r>
        <w:t xml:space="preserve"> G.</w:t>
      </w:r>
      <w:r w:rsidRPr="00094D04">
        <w:t>, Acton</w:t>
      </w:r>
      <w:r>
        <w:t xml:space="preserve"> M.R.,</w:t>
      </w:r>
      <w:r w:rsidRPr="00094D04">
        <w:t xml:space="preserve"> Chamberlain</w:t>
      </w:r>
      <w:r>
        <w:t xml:space="preserve"> G., 2007, Hydrocarbon jet fire hazards in the oil and gas industry and a simplified approach to assessing the hazards</w:t>
      </w:r>
      <w:r w:rsidRPr="00094D04">
        <w:t>, Process Safety and Environmental Protection, 85(B3)</w:t>
      </w:r>
      <w:r>
        <w:t>,</w:t>
      </w:r>
      <w:r w:rsidRPr="00094D04">
        <w:t xml:space="preserve"> 207</w:t>
      </w:r>
      <w:r>
        <w:t>–</w:t>
      </w:r>
      <w:r w:rsidRPr="00094D04">
        <w:t>220</w:t>
      </w:r>
      <w:r>
        <w:t>.</w:t>
      </w:r>
    </w:p>
    <w:p w14:paraId="3DB464E1" w14:textId="351CD137" w:rsidR="00851438" w:rsidRDefault="00851438" w:rsidP="00851438">
      <w:pPr>
        <w:pStyle w:val="CETReferencetext"/>
      </w:pPr>
      <w:r w:rsidRPr="00851438">
        <w:t xml:space="preserve">McGrattan K., </w:t>
      </w:r>
      <w:proofErr w:type="spellStart"/>
      <w:r w:rsidRPr="00851438">
        <w:t>Hostikka</w:t>
      </w:r>
      <w:proofErr w:type="spellEnd"/>
      <w:r w:rsidRPr="00851438">
        <w:t xml:space="preserve"> S., McDermott R., Floyd J., </w:t>
      </w:r>
      <w:proofErr w:type="spellStart"/>
      <w:r w:rsidRPr="00851438">
        <w:t>Vanella</w:t>
      </w:r>
      <w:proofErr w:type="spellEnd"/>
      <w:r w:rsidRPr="00851438">
        <w:t xml:space="preserve"> M., Weinschenk C., Overholt K.,</w:t>
      </w:r>
      <w:r>
        <w:t xml:space="preserve"> 2017, Fire Dynamics Simulator User’s Guide, NIST Special Publication 1019, </w:t>
      </w:r>
      <w:r w:rsidR="0091711B">
        <w:t>USA</w:t>
      </w:r>
      <w:r>
        <w:t>.</w:t>
      </w:r>
    </w:p>
    <w:p w14:paraId="0E823DFC" w14:textId="77777777" w:rsidR="0016735E" w:rsidRPr="00851438" w:rsidRDefault="0016735E" w:rsidP="0016735E">
      <w:pPr>
        <w:pStyle w:val="CETReferencetext"/>
      </w:pPr>
      <w:r>
        <w:t>McLean</w:t>
      </w:r>
      <w:r w:rsidRPr="00ED3CD9">
        <w:t xml:space="preserve"> </w:t>
      </w:r>
      <w:r>
        <w:t>D., 2012, Understanding Aerodynamics: Arguing from the Real Physics (first ed.), John Wiley &amp; Sons, Hoboken, New Jersey</w:t>
      </w:r>
    </w:p>
    <w:p w14:paraId="0842346D" w14:textId="1B481309" w:rsidR="009E06F3" w:rsidRDefault="009E06F3" w:rsidP="009E06F3">
      <w:pPr>
        <w:pStyle w:val="CETReferencetext"/>
      </w:pPr>
      <w:r w:rsidRPr="009E06F3">
        <w:t>Palacios</w:t>
      </w:r>
      <w:r>
        <w:t xml:space="preserve"> A.</w:t>
      </w:r>
      <w:r w:rsidRPr="009E06F3">
        <w:t>, Garc</w:t>
      </w:r>
      <w:r w:rsidRPr="009E06F3">
        <w:rPr>
          <w:rFonts w:cs="Arial"/>
        </w:rPr>
        <w:t>í</w:t>
      </w:r>
      <w:r w:rsidRPr="009E06F3">
        <w:t>a</w:t>
      </w:r>
      <w:r>
        <w:t xml:space="preserve"> A.</w:t>
      </w:r>
      <w:r w:rsidRPr="009E06F3">
        <w:t xml:space="preserve">, </w:t>
      </w:r>
      <w:proofErr w:type="spellStart"/>
      <w:r w:rsidRPr="009E06F3">
        <w:t>Rengel</w:t>
      </w:r>
      <w:proofErr w:type="spellEnd"/>
      <w:r>
        <w:t xml:space="preserve"> B., 2020, Flame shapes and thermal fluxes for an extensive range of horizontal jet flames, Fuel, </w:t>
      </w:r>
      <w:r w:rsidRPr="009E06F3">
        <w:t>279</w:t>
      </w:r>
      <w:r>
        <w:t>,</w:t>
      </w:r>
      <w:r w:rsidRPr="009E06F3">
        <w:t xml:space="preserve"> 118328</w:t>
      </w:r>
      <w:r>
        <w:t>.</w:t>
      </w:r>
    </w:p>
    <w:p w14:paraId="5D0EABA1" w14:textId="6C994EA0" w:rsidR="007F00FD" w:rsidRDefault="007F00FD" w:rsidP="009E06F3">
      <w:pPr>
        <w:pStyle w:val="CETReferencetext"/>
      </w:pPr>
      <w:proofErr w:type="spellStart"/>
      <w:r w:rsidRPr="002F3FAA">
        <w:t>Shaari</w:t>
      </w:r>
      <w:proofErr w:type="spellEnd"/>
      <w:r w:rsidRPr="007F00FD">
        <w:t xml:space="preserve"> </w:t>
      </w:r>
      <w:r w:rsidRPr="002F3FAA">
        <w:t xml:space="preserve">K., </w:t>
      </w:r>
      <w:proofErr w:type="spellStart"/>
      <w:r w:rsidRPr="002F3FAA">
        <w:t>Zilati</w:t>
      </w:r>
      <w:proofErr w:type="spellEnd"/>
      <w:r w:rsidRPr="007F00FD">
        <w:t xml:space="preserve"> </w:t>
      </w:r>
      <w:r w:rsidRPr="002F3FAA">
        <w:t>K., Awang M., 2015</w:t>
      </w:r>
      <w:r>
        <w:t xml:space="preserve">, </w:t>
      </w:r>
      <w:r w:rsidRPr="002F3FAA">
        <w:t>CFD Modelling of the Coanda Based Thrust Vectoring Nozzle, Springer International Publishing, New York, New York, 73-84</w:t>
      </w:r>
    </w:p>
    <w:p w14:paraId="19C4FC68" w14:textId="22C28A6D" w:rsidR="004628D2" w:rsidRDefault="007F00FD" w:rsidP="00BC706B">
      <w:pPr>
        <w:pStyle w:val="CETBodytext"/>
        <w:ind w:left="284" w:hanging="284"/>
      </w:pPr>
      <w:r w:rsidRPr="002F3FAA">
        <w:rPr>
          <w:lang w:val="en-GB"/>
        </w:rPr>
        <w:t>Singh</w:t>
      </w:r>
      <w:r w:rsidRPr="007F00FD">
        <w:rPr>
          <w:lang w:val="en-GB"/>
        </w:rPr>
        <w:t xml:space="preserve"> </w:t>
      </w:r>
      <w:r w:rsidRPr="002F3FAA">
        <w:rPr>
          <w:lang w:val="en-GB"/>
        </w:rPr>
        <w:t xml:space="preserve">N.K., </w:t>
      </w:r>
      <w:proofErr w:type="spellStart"/>
      <w:r w:rsidRPr="002F3FAA">
        <w:rPr>
          <w:lang w:val="en-GB"/>
        </w:rPr>
        <w:t>Ramamurthi</w:t>
      </w:r>
      <w:proofErr w:type="spellEnd"/>
      <w:r>
        <w:rPr>
          <w:lang w:val="en-GB"/>
        </w:rPr>
        <w:t xml:space="preserve"> </w:t>
      </w:r>
      <w:r w:rsidRPr="002F3FAA">
        <w:rPr>
          <w:lang w:val="en-GB"/>
        </w:rPr>
        <w:t>K.</w:t>
      </w:r>
      <w:r>
        <w:rPr>
          <w:lang w:val="en-GB"/>
        </w:rPr>
        <w:t xml:space="preserve">, </w:t>
      </w:r>
      <w:r w:rsidRPr="002F3FAA">
        <w:rPr>
          <w:lang w:val="en-GB"/>
        </w:rPr>
        <w:t>2009</w:t>
      </w:r>
      <w:r>
        <w:rPr>
          <w:lang w:val="en-GB"/>
        </w:rPr>
        <w:t>,</w:t>
      </w:r>
      <w:r w:rsidRPr="002F3FAA">
        <w:rPr>
          <w:lang w:val="en-GB"/>
        </w:rPr>
        <w:t xml:space="preserve"> Formation of Coanda jet from sharp-edged swirl nozzle with base plate</w:t>
      </w:r>
      <w:r>
        <w:rPr>
          <w:lang w:val="en-GB"/>
        </w:rPr>
        <w:t xml:space="preserve">, </w:t>
      </w:r>
      <w:r w:rsidRPr="007F00FD">
        <w:rPr>
          <w:lang w:val="en-GB"/>
        </w:rPr>
        <w:t>Experimental Thermal and Fluid Science</w:t>
      </w:r>
      <w:r w:rsidRPr="002F3FAA">
        <w:rPr>
          <w:lang w:val="en-GB"/>
        </w:rPr>
        <w:t>, 33, 675-682</w:t>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41CB" w14:textId="77777777" w:rsidR="005D6547" w:rsidRDefault="005D6547" w:rsidP="004F5E36">
      <w:r>
        <w:separator/>
      </w:r>
    </w:p>
  </w:endnote>
  <w:endnote w:type="continuationSeparator" w:id="0">
    <w:p w14:paraId="7E9E6503" w14:textId="77777777" w:rsidR="005D6547" w:rsidRDefault="005D654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9171" w14:textId="77777777" w:rsidR="005D6547" w:rsidRDefault="005D6547" w:rsidP="004F5E36">
      <w:r>
        <w:separator/>
      </w:r>
    </w:p>
  </w:footnote>
  <w:footnote w:type="continuationSeparator" w:id="0">
    <w:p w14:paraId="5C413F32" w14:textId="77777777" w:rsidR="005D6547" w:rsidRDefault="005D654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02F0"/>
    <w:rsid w:val="000117CB"/>
    <w:rsid w:val="00013D81"/>
    <w:rsid w:val="00017490"/>
    <w:rsid w:val="0003148D"/>
    <w:rsid w:val="00031EEC"/>
    <w:rsid w:val="00051566"/>
    <w:rsid w:val="00054288"/>
    <w:rsid w:val="000562A9"/>
    <w:rsid w:val="00062960"/>
    <w:rsid w:val="00062A9A"/>
    <w:rsid w:val="00065058"/>
    <w:rsid w:val="00077308"/>
    <w:rsid w:val="0008192B"/>
    <w:rsid w:val="00086C39"/>
    <w:rsid w:val="0009151F"/>
    <w:rsid w:val="00092610"/>
    <w:rsid w:val="00094A74"/>
    <w:rsid w:val="00094D04"/>
    <w:rsid w:val="000A03B2"/>
    <w:rsid w:val="000A0B45"/>
    <w:rsid w:val="000A755B"/>
    <w:rsid w:val="000C5D1D"/>
    <w:rsid w:val="000D0268"/>
    <w:rsid w:val="000D34BE"/>
    <w:rsid w:val="000E102F"/>
    <w:rsid w:val="000E36F1"/>
    <w:rsid w:val="000E3A73"/>
    <w:rsid w:val="000E414A"/>
    <w:rsid w:val="000F093C"/>
    <w:rsid w:val="000F787B"/>
    <w:rsid w:val="001041F4"/>
    <w:rsid w:val="00105731"/>
    <w:rsid w:val="00110B05"/>
    <w:rsid w:val="00112923"/>
    <w:rsid w:val="00115832"/>
    <w:rsid w:val="0012091F"/>
    <w:rsid w:val="00126BC2"/>
    <w:rsid w:val="0013085D"/>
    <w:rsid w:val="001308B6"/>
    <w:rsid w:val="0013121F"/>
    <w:rsid w:val="00131FE6"/>
    <w:rsid w:val="0013263F"/>
    <w:rsid w:val="001331DF"/>
    <w:rsid w:val="001335E8"/>
    <w:rsid w:val="00134DE4"/>
    <w:rsid w:val="0014034D"/>
    <w:rsid w:val="00143B99"/>
    <w:rsid w:val="00144D16"/>
    <w:rsid w:val="00150E59"/>
    <w:rsid w:val="001515BA"/>
    <w:rsid w:val="00152DE3"/>
    <w:rsid w:val="00156F38"/>
    <w:rsid w:val="00164CF9"/>
    <w:rsid w:val="001652B9"/>
    <w:rsid w:val="0016595B"/>
    <w:rsid w:val="00165D70"/>
    <w:rsid w:val="001667A6"/>
    <w:rsid w:val="0016735E"/>
    <w:rsid w:val="00184AD6"/>
    <w:rsid w:val="00190A97"/>
    <w:rsid w:val="00191D25"/>
    <w:rsid w:val="001A4AF7"/>
    <w:rsid w:val="001A59CF"/>
    <w:rsid w:val="001B0349"/>
    <w:rsid w:val="001B1E93"/>
    <w:rsid w:val="001B447D"/>
    <w:rsid w:val="001B49A0"/>
    <w:rsid w:val="001B643B"/>
    <w:rsid w:val="001B65C1"/>
    <w:rsid w:val="001B7D1F"/>
    <w:rsid w:val="001C0031"/>
    <w:rsid w:val="001C1636"/>
    <w:rsid w:val="001C249F"/>
    <w:rsid w:val="001C684B"/>
    <w:rsid w:val="001D0CFB"/>
    <w:rsid w:val="001D21AF"/>
    <w:rsid w:val="001D2EC1"/>
    <w:rsid w:val="001D53FC"/>
    <w:rsid w:val="001E73B0"/>
    <w:rsid w:val="001F2028"/>
    <w:rsid w:val="001F256D"/>
    <w:rsid w:val="001F42A5"/>
    <w:rsid w:val="001F51A8"/>
    <w:rsid w:val="001F7B9D"/>
    <w:rsid w:val="00201302"/>
    <w:rsid w:val="00201C93"/>
    <w:rsid w:val="0020438A"/>
    <w:rsid w:val="0020600B"/>
    <w:rsid w:val="00210ED1"/>
    <w:rsid w:val="00212323"/>
    <w:rsid w:val="002224B4"/>
    <w:rsid w:val="00223276"/>
    <w:rsid w:val="00224CA2"/>
    <w:rsid w:val="0023272D"/>
    <w:rsid w:val="00236D83"/>
    <w:rsid w:val="002447EF"/>
    <w:rsid w:val="0024597E"/>
    <w:rsid w:val="00251550"/>
    <w:rsid w:val="00263B05"/>
    <w:rsid w:val="0027221A"/>
    <w:rsid w:val="00273E45"/>
    <w:rsid w:val="00275B61"/>
    <w:rsid w:val="00280FAF"/>
    <w:rsid w:val="00282656"/>
    <w:rsid w:val="00287710"/>
    <w:rsid w:val="0029169A"/>
    <w:rsid w:val="00296B83"/>
    <w:rsid w:val="002B4015"/>
    <w:rsid w:val="002B78CE"/>
    <w:rsid w:val="002C2568"/>
    <w:rsid w:val="002C2FB6"/>
    <w:rsid w:val="002D1BEB"/>
    <w:rsid w:val="002E1811"/>
    <w:rsid w:val="002E5FA7"/>
    <w:rsid w:val="002E714B"/>
    <w:rsid w:val="002F3309"/>
    <w:rsid w:val="002F3AAE"/>
    <w:rsid w:val="003008CE"/>
    <w:rsid w:val="003009B7"/>
    <w:rsid w:val="00300E56"/>
    <w:rsid w:val="0030152C"/>
    <w:rsid w:val="00303D41"/>
    <w:rsid w:val="0030469C"/>
    <w:rsid w:val="0031268C"/>
    <w:rsid w:val="00317948"/>
    <w:rsid w:val="00320063"/>
    <w:rsid w:val="00321CA6"/>
    <w:rsid w:val="00322CA7"/>
    <w:rsid w:val="00323763"/>
    <w:rsid w:val="00323C5F"/>
    <w:rsid w:val="003309FB"/>
    <w:rsid w:val="0033220B"/>
    <w:rsid w:val="00334C09"/>
    <w:rsid w:val="00346055"/>
    <w:rsid w:val="00351A6F"/>
    <w:rsid w:val="00353B73"/>
    <w:rsid w:val="00367086"/>
    <w:rsid w:val="003723D4"/>
    <w:rsid w:val="003727D6"/>
    <w:rsid w:val="00381905"/>
    <w:rsid w:val="003845AD"/>
    <w:rsid w:val="00384CC8"/>
    <w:rsid w:val="003871FD"/>
    <w:rsid w:val="00397429"/>
    <w:rsid w:val="003A1E30"/>
    <w:rsid w:val="003A2829"/>
    <w:rsid w:val="003A530B"/>
    <w:rsid w:val="003A7D1C"/>
    <w:rsid w:val="003B304B"/>
    <w:rsid w:val="003B3146"/>
    <w:rsid w:val="003C219D"/>
    <w:rsid w:val="003C6B3A"/>
    <w:rsid w:val="003D6BD6"/>
    <w:rsid w:val="003E3DBA"/>
    <w:rsid w:val="003E3E4C"/>
    <w:rsid w:val="003F015E"/>
    <w:rsid w:val="003F3B51"/>
    <w:rsid w:val="00400414"/>
    <w:rsid w:val="00410ACC"/>
    <w:rsid w:val="004112A0"/>
    <w:rsid w:val="0041446B"/>
    <w:rsid w:val="00415BBF"/>
    <w:rsid w:val="00421D43"/>
    <w:rsid w:val="0044071E"/>
    <w:rsid w:val="0044329C"/>
    <w:rsid w:val="00453E24"/>
    <w:rsid w:val="00457456"/>
    <w:rsid w:val="004577FE"/>
    <w:rsid w:val="00457B9C"/>
    <w:rsid w:val="0046164A"/>
    <w:rsid w:val="004628D2"/>
    <w:rsid w:val="00462DCD"/>
    <w:rsid w:val="004648AD"/>
    <w:rsid w:val="00467DF4"/>
    <w:rsid w:val="004703A9"/>
    <w:rsid w:val="004737E1"/>
    <w:rsid w:val="004760DE"/>
    <w:rsid w:val="004763D7"/>
    <w:rsid w:val="00476E07"/>
    <w:rsid w:val="0048395B"/>
    <w:rsid w:val="00484439"/>
    <w:rsid w:val="0049502B"/>
    <w:rsid w:val="0049554E"/>
    <w:rsid w:val="004A004E"/>
    <w:rsid w:val="004A24CF"/>
    <w:rsid w:val="004A348C"/>
    <w:rsid w:val="004A3A5D"/>
    <w:rsid w:val="004B3792"/>
    <w:rsid w:val="004B561A"/>
    <w:rsid w:val="004C3D1D"/>
    <w:rsid w:val="004C3D84"/>
    <w:rsid w:val="004C53E3"/>
    <w:rsid w:val="004C7913"/>
    <w:rsid w:val="004D1624"/>
    <w:rsid w:val="004E4DD6"/>
    <w:rsid w:val="004F174E"/>
    <w:rsid w:val="004F5E36"/>
    <w:rsid w:val="0050499B"/>
    <w:rsid w:val="00507B47"/>
    <w:rsid w:val="00507BEF"/>
    <w:rsid w:val="00507CC9"/>
    <w:rsid w:val="005119A5"/>
    <w:rsid w:val="00517ACD"/>
    <w:rsid w:val="00523A30"/>
    <w:rsid w:val="005278B7"/>
    <w:rsid w:val="00530654"/>
    <w:rsid w:val="00530DD8"/>
    <w:rsid w:val="00532016"/>
    <w:rsid w:val="005346C8"/>
    <w:rsid w:val="00543E7D"/>
    <w:rsid w:val="00547A68"/>
    <w:rsid w:val="00547D80"/>
    <w:rsid w:val="005531C9"/>
    <w:rsid w:val="00557E00"/>
    <w:rsid w:val="00565AFF"/>
    <w:rsid w:val="00570C43"/>
    <w:rsid w:val="00570DE7"/>
    <w:rsid w:val="005823EC"/>
    <w:rsid w:val="00582F39"/>
    <w:rsid w:val="00585A9D"/>
    <w:rsid w:val="00586CC1"/>
    <w:rsid w:val="005A3EFE"/>
    <w:rsid w:val="005A6ABF"/>
    <w:rsid w:val="005B2110"/>
    <w:rsid w:val="005B61E6"/>
    <w:rsid w:val="005C77E1"/>
    <w:rsid w:val="005D26AD"/>
    <w:rsid w:val="005D3172"/>
    <w:rsid w:val="005D51D3"/>
    <w:rsid w:val="005D6547"/>
    <w:rsid w:val="005D668A"/>
    <w:rsid w:val="005D6A2F"/>
    <w:rsid w:val="005E1A82"/>
    <w:rsid w:val="005E2C86"/>
    <w:rsid w:val="005E794C"/>
    <w:rsid w:val="005F0A28"/>
    <w:rsid w:val="005F0E5E"/>
    <w:rsid w:val="00600535"/>
    <w:rsid w:val="00600F81"/>
    <w:rsid w:val="006073EB"/>
    <w:rsid w:val="00610CD6"/>
    <w:rsid w:val="00610D45"/>
    <w:rsid w:val="006177E7"/>
    <w:rsid w:val="00620DEE"/>
    <w:rsid w:val="00621F92"/>
    <w:rsid w:val="0062280A"/>
    <w:rsid w:val="00622C87"/>
    <w:rsid w:val="00623E97"/>
    <w:rsid w:val="00625639"/>
    <w:rsid w:val="006306D8"/>
    <w:rsid w:val="00631B33"/>
    <w:rsid w:val="006347EA"/>
    <w:rsid w:val="0064184D"/>
    <w:rsid w:val="006422CC"/>
    <w:rsid w:val="006518A5"/>
    <w:rsid w:val="00660ABF"/>
    <w:rsid w:val="00660E3E"/>
    <w:rsid w:val="00662E74"/>
    <w:rsid w:val="0067029F"/>
    <w:rsid w:val="006727A2"/>
    <w:rsid w:val="00680C23"/>
    <w:rsid w:val="00680E80"/>
    <w:rsid w:val="00681D7D"/>
    <w:rsid w:val="00682697"/>
    <w:rsid w:val="00682784"/>
    <w:rsid w:val="00693766"/>
    <w:rsid w:val="006A3281"/>
    <w:rsid w:val="006B4888"/>
    <w:rsid w:val="006B4D5D"/>
    <w:rsid w:val="006C2E45"/>
    <w:rsid w:val="006C3475"/>
    <w:rsid w:val="006C359C"/>
    <w:rsid w:val="006C5579"/>
    <w:rsid w:val="006C755A"/>
    <w:rsid w:val="006D6E8B"/>
    <w:rsid w:val="006E0C01"/>
    <w:rsid w:val="006E737D"/>
    <w:rsid w:val="006F0BA7"/>
    <w:rsid w:val="006F3CAB"/>
    <w:rsid w:val="00707DD1"/>
    <w:rsid w:val="00711BB8"/>
    <w:rsid w:val="00713973"/>
    <w:rsid w:val="0072052F"/>
    <w:rsid w:val="00720A24"/>
    <w:rsid w:val="00732386"/>
    <w:rsid w:val="00733AFD"/>
    <w:rsid w:val="0073514D"/>
    <w:rsid w:val="00740266"/>
    <w:rsid w:val="007447F3"/>
    <w:rsid w:val="00747DE5"/>
    <w:rsid w:val="007525FD"/>
    <w:rsid w:val="00752F0B"/>
    <w:rsid w:val="0075499F"/>
    <w:rsid w:val="007661C8"/>
    <w:rsid w:val="0077098D"/>
    <w:rsid w:val="00771688"/>
    <w:rsid w:val="007931FA"/>
    <w:rsid w:val="00794994"/>
    <w:rsid w:val="007949B6"/>
    <w:rsid w:val="007A4861"/>
    <w:rsid w:val="007A7BBA"/>
    <w:rsid w:val="007B0C50"/>
    <w:rsid w:val="007B2526"/>
    <w:rsid w:val="007B48F9"/>
    <w:rsid w:val="007B6BCB"/>
    <w:rsid w:val="007C1A43"/>
    <w:rsid w:val="007C2B5C"/>
    <w:rsid w:val="007D0951"/>
    <w:rsid w:val="007D22EB"/>
    <w:rsid w:val="007F00FD"/>
    <w:rsid w:val="0080013E"/>
    <w:rsid w:val="00813288"/>
    <w:rsid w:val="008168FC"/>
    <w:rsid w:val="00830996"/>
    <w:rsid w:val="008345F1"/>
    <w:rsid w:val="00840EF4"/>
    <w:rsid w:val="00843E9B"/>
    <w:rsid w:val="00846D69"/>
    <w:rsid w:val="00851438"/>
    <w:rsid w:val="00856EE5"/>
    <w:rsid w:val="00862394"/>
    <w:rsid w:val="008651D5"/>
    <w:rsid w:val="00865B07"/>
    <w:rsid w:val="008667EA"/>
    <w:rsid w:val="0087637F"/>
    <w:rsid w:val="00876DC8"/>
    <w:rsid w:val="0088394D"/>
    <w:rsid w:val="00884F65"/>
    <w:rsid w:val="00892AD5"/>
    <w:rsid w:val="00893EBD"/>
    <w:rsid w:val="008954D0"/>
    <w:rsid w:val="0089676E"/>
    <w:rsid w:val="008A100B"/>
    <w:rsid w:val="008A1512"/>
    <w:rsid w:val="008A173C"/>
    <w:rsid w:val="008A1897"/>
    <w:rsid w:val="008A4B54"/>
    <w:rsid w:val="008A7245"/>
    <w:rsid w:val="008B0ED2"/>
    <w:rsid w:val="008B2FA8"/>
    <w:rsid w:val="008B3EB8"/>
    <w:rsid w:val="008B6E5D"/>
    <w:rsid w:val="008D32B9"/>
    <w:rsid w:val="008D433B"/>
    <w:rsid w:val="008D4A16"/>
    <w:rsid w:val="008E566E"/>
    <w:rsid w:val="008E6CC2"/>
    <w:rsid w:val="008F3B4D"/>
    <w:rsid w:val="0090161A"/>
    <w:rsid w:val="00901EB6"/>
    <w:rsid w:val="0090220B"/>
    <w:rsid w:val="00904C62"/>
    <w:rsid w:val="0091711B"/>
    <w:rsid w:val="00922BA8"/>
    <w:rsid w:val="009244CA"/>
    <w:rsid w:val="00924CBC"/>
    <w:rsid w:val="00924DAC"/>
    <w:rsid w:val="0092559D"/>
    <w:rsid w:val="00927058"/>
    <w:rsid w:val="00932D6D"/>
    <w:rsid w:val="00942750"/>
    <w:rsid w:val="009450CE"/>
    <w:rsid w:val="009459BB"/>
    <w:rsid w:val="00947179"/>
    <w:rsid w:val="0095164B"/>
    <w:rsid w:val="00952844"/>
    <w:rsid w:val="00954090"/>
    <w:rsid w:val="009573E7"/>
    <w:rsid w:val="00963E05"/>
    <w:rsid w:val="00964A45"/>
    <w:rsid w:val="00967796"/>
    <w:rsid w:val="00967843"/>
    <w:rsid w:val="00967D54"/>
    <w:rsid w:val="00971028"/>
    <w:rsid w:val="00971EC7"/>
    <w:rsid w:val="0097201D"/>
    <w:rsid w:val="00972EBE"/>
    <w:rsid w:val="00973A5D"/>
    <w:rsid w:val="00992E2D"/>
    <w:rsid w:val="00993B84"/>
    <w:rsid w:val="009948F3"/>
    <w:rsid w:val="00996483"/>
    <w:rsid w:val="00996F5A"/>
    <w:rsid w:val="009A31EA"/>
    <w:rsid w:val="009B041A"/>
    <w:rsid w:val="009B61D5"/>
    <w:rsid w:val="009B773B"/>
    <w:rsid w:val="009C37C3"/>
    <w:rsid w:val="009C7C86"/>
    <w:rsid w:val="009D2FF7"/>
    <w:rsid w:val="009E06F3"/>
    <w:rsid w:val="009E5F44"/>
    <w:rsid w:val="009E7884"/>
    <w:rsid w:val="009E788A"/>
    <w:rsid w:val="009F0E08"/>
    <w:rsid w:val="00A06941"/>
    <w:rsid w:val="00A06BEC"/>
    <w:rsid w:val="00A126EF"/>
    <w:rsid w:val="00A1763D"/>
    <w:rsid w:val="00A17CEC"/>
    <w:rsid w:val="00A21BD0"/>
    <w:rsid w:val="00A22CE9"/>
    <w:rsid w:val="00A27EF0"/>
    <w:rsid w:val="00A302DF"/>
    <w:rsid w:val="00A42361"/>
    <w:rsid w:val="00A4447C"/>
    <w:rsid w:val="00A50B20"/>
    <w:rsid w:val="00A50CF6"/>
    <w:rsid w:val="00A51390"/>
    <w:rsid w:val="00A56FB8"/>
    <w:rsid w:val="00A60D13"/>
    <w:rsid w:val="00A64F10"/>
    <w:rsid w:val="00A7223D"/>
    <w:rsid w:val="00A72493"/>
    <w:rsid w:val="00A72745"/>
    <w:rsid w:val="00A76EFC"/>
    <w:rsid w:val="00A81079"/>
    <w:rsid w:val="00A87D50"/>
    <w:rsid w:val="00A91010"/>
    <w:rsid w:val="00A974B9"/>
    <w:rsid w:val="00A97F29"/>
    <w:rsid w:val="00AA0093"/>
    <w:rsid w:val="00AA0F2B"/>
    <w:rsid w:val="00AA3B3F"/>
    <w:rsid w:val="00AA702E"/>
    <w:rsid w:val="00AA7350"/>
    <w:rsid w:val="00AA7D26"/>
    <w:rsid w:val="00AB0964"/>
    <w:rsid w:val="00AB5011"/>
    <w:rsid w:val="00AB59B5"/>
    <w:rsid w:val="00AB657D"/>
    <w:rsid w:val="00AB6864"/>
    <w:rsid w:val="00AC0894"/>
    <w:rsid w:val="00AC7368"/>
    <w:rsid w:val="00AC7BC0"/>
    <w:rsid w:val="00AD05B3"/>
    <w:rsid w:val="00AD160A"/>
    <w:rsid w:val="00AD16B9"/>
    <w:rsid w:val="00AE377D"/>
    <w:rsid w:val="00AE6051"/>
    <w:rsid w:val="00AF0EBA"/>
    <w:rsid w:val="00AF40B4"/>
    <w:rsid w:val="00B02C8A"/>
    <w:rsid w:val="00B0606F"/>
    <w:rsid w:val="00B16B8C"/>
    <w:rsid w:val="00B17FBD"/>
    <w:rsid w:val="00B315A6"/>
    <w:rsid w:val="00B31813"/>
    <w:rsid w:val="00B33365"/>
    <w:rsid w:val="00B34599"/>
    <w:rsid w:val="00B473AF"/>
    <w:rsid w:val="00B47CBF"/>
    <w:rsid w:val="00B56272"/>
    <w:rsid w:val="00B57B36"/>
    <w:rsid w:val="00B57E6F"/>
    <w:rsid w:val="00B73A20"/>
    <w:rsid w:val="00B82503"/>
    <w:rsid w:val="00B8686D"/>
    <w:rsid w:val="00B874D5"/>
    <w:rsid w:val="00B919CB"/>
    <w:rsid w:val="00B93F69"/>
    <w:rsid w:val="00BB166F"/>
    <w:rsid w:val="00BB1DDC"/>
    <w:rsid w:val="00BC30C9"/>
    <w:rsid w:val="00BC3AC8"/>
    <w:rsid w:val="00BC706B"/>
    <w:rsid w:val="00BD077D"/>
    <w:rsid w:val="00BE005E"/>
    <w:rsid w:val="00BE3E58"/>
    <w:rsid w:val="00BF1898"/>
    <w:rsid w:val="00BF3F9E"/>
    <w:rsid w:val="00BF4D93"/>
    <w:rsid w:val="00C011E2"/>
    <w:rsid w:val="00C01616"/>
    <w:rsid w:val="00C0162B"/>
    <w:rsid w:val="00C02C1E"/>
    <w:rsid w:val="00C068ED"/>
    <w:rsid w:val="00C11296"/>
    <w:rsid w:val="00C22E0C"/>
    <w:rsid w:val="00C23B84"/>
    <w:rsid w:val="00C31759"/>
    <w:rsid w:val="00C33A5A"/>
    <w:rsid w:val="00C345B1"/>
    <w:rsid w:val="00C34930"/>
    <w:rsid w:val="00C361C4"/>
    <w:rsid w:val="00C40142"/>
    <w:rsid w:val="00C52C3C"/>
    <w:rsid w:val="00C57182"/>
    <w:rsid w:val="00C57863"/>
    <w:rsid w:val="00C640AF"/>
    <w:rsid w:val="00C655FD"/>
    <w:rsid w:val="00C73F6A"/>
    <w:rsid w:val="00C75407"/>
    <w:rsid w:val="00C757F9"/>
    <w:rsid w:val="00C841C6"/>
    <w:rsid w:val="00C859E5"/>
    <w:rsid w:val="00C870A8"/>
    <w:rsid w:val="00C90178"/>
    <w:rsid w:val="00C94434"/>
    <w:rsid w:val="00CA0D75"/>
    <w:rsid w:val="00CA1C95"/>
    <w:rsid w:val="00CA40EC"/>
    <w:rsid w:val="00CA5A9C"/>
    <w:rsid w:val="00CB0D56"/>
    <w:rsid w:val="00CC2E71"/>
    <w:rsid w:val="00CC4C20"/>
    <w:rsid w:val="00CD3517"/>
    <w:rsid w:val="00CD5FE2"/>
    <w:rsid w:val="00CE7C68"/>
    <w:rsid w:val="00CF1C1F"/>
    <w:rsid w:val="00CF5513"/>
    <w:rsid w:val="00D005DA"/>
    <w:rsid w:val="00D02454"/>
    <w:rsid w:val="00D02B4C"/>
    <w:rsid w:val="00D040C4"/>
    <w:rsid w:val="00D041E1"/>
    <w:rsid w:val="00D12328"/>
    <w:rsid w:val="00D20AD1"/>
    <w:rsid w:val="00D22472"/>
    <w:rsid w:val="00D23516"/>
    <w:rsid w:val="00D2582C"/>
    <w:rsid w:val="00D41FC5"/>
    <w:rsid w:val="00D46B7E"/>
    <w:rsid w:val="00D55585"/>
    <w:rsid w:val="00D57641"/>
    <w:rsid w:val="00D57C84"/>
    <w:rsid w:val="00D60002"/>
    <w:rsid w:val="00D6057D"/>
    <w:rsid w:val="00D6487D"/>
    <w:rsid w:val="00D7038F"/>
    <w:rsid w:val="00D71640"/>
    <w:rsid w:val="00D7232B"/>
    <w:rsid w:val="00D73F99"/>
    <w:rsid w:val="00D836C5"/>
    <w:rsid w:val="00D84576"/>
    <w:rsid w:val="00D87C08"/>
    <w:rsid w:val="00D94656"/>
    <w:rsid w:val="00DA071D"/>
    <w:rsid w:val="00DA1399"/>
    <w:rsid w:val="00DA24C6"/>
    <w:rsid w:val="00DA4D7B"/>
    <w:rsid w:val="00DC52B8"/>
    <w:rsid w:val="00DD271C"/>
    <w:rsid w:val="00DD6CDF"/>
    <w:rsid w:val="00DE264A"/>
    <w:rsid w:val="00DE35E9"/>
    <w:rsid w:val="00DE45A2"/>
    <w:rsid w:val="00DE63FB"/>
    <w:rsid w:val="00DF11AB"/>
    <w:rsid w:val="00DF2967"/>
    <w:rsid w:val="00DF346B"/>
    <w:rsid w:val="00DF5072"/>
    <w:rsid w:val="00E02D18"/>
    <w:rsid w:val="00E041E7"/>
    <w:rsid w:val="00E04E4C"/>
    <w:rsid w:val="00E0756E"/>
    <w:rsid w:val="00E110DA"/>
    <w:rsid w:val="00E20B9F"/>
    <w:rsid w:val="00E219E5"/>
    <w:rsid w:val="00E23CA1"/>
    <w:rsid w:val="00E33B55"/>
    <w:rsid w:val="00E3502D"/>
    <w:rsid w:val="00E409A8"/>
    <w:rsid w:val="00E50C12"/>
    <w:rsid w:val="00E5157B"/>
    <w:rsid w:val="00E61704"/>
    <w:rsid w:val="00E65B91"/>
    <w:rsid w:val="00E7209D"/>
    <w:rsid w:val="00E72EAD"/>
    <w:rsid w:val="00E77223"/>
    <w:rsid w:val="00E80F30"/>
    <w:rsid w:val="00E8528B"/>
    <w:rsid w:val="00E85B94"/>
    <w:rsid w:val="00E91416"/>
    <w:rsid w:val="00E973E1"/>
    <w:rsid w:val="00E978D0"/>
    <w:rsid w:val="00EA2B0C"/>
    <w:rsid w:val="00EA4613"/>
    <w:rsid w:val="00EA7F91"/>
    <w:rsid w:val="00EB1523"/>
    <w:rsid w:val="00EC0E49"/>
    <w:rsid w:val="00EC101F"/>
    <w:rsid w:val="00EC1D9F"/>
    <w:rsid w:val="00EC6966"/>
    <w:rsid w:val="00EE0131"/>
    <w:rsid w:val="00EE17B0"/>
    <w:rsid w:val="00EF06D9"/>
    <w:rsid w:val="00F0571C"/>
    <w:rsid w:val="00F06CDA"/>
    <w:rsid w:val="00F06FE3"/>
    <w:rsid w:val="00F120F1"/>
    <w:rsid w:val="00F21C29"/>
    <w:rsid w:val="00F279DA"/>
    <w:rsid w:val="00F3049E"/>
    <w:rsid w:val="00F30C64"/>
    <w:rsid w:val="00F32BA2"/>
    <w:rsid w:val="00F32CDB"/>
    <w:rsid w:val="00F410A9"/>
    <w:rsid w:val="00F4134F"/>
    <w:rsid w:val="00F54336"/>
    <w:rsid w:val="00F565FE"/>
    <w:rsid w:val="00F60EA8"/>
    <w:rsid w:val="00F62B24"/>
    <w:rsid w:val="00F63A70"/>
    <w:rsid w:val="00F63D8C"/>
    <w:rsid w:val="00F645B1"/>
    <w:rsid w:val="00F733E5"/>
    <w:rsid w:val="00F739BF"/>
    <w:rsid w:val="00F7534E"/>
    <w:rsid w:val="00F77E92"/>
    <w:rsid w:val="00F80349"/>
    <w:rsid w:val="00F808C8"/>
    <w:rsid w:val="00F81D4C"/>
    <w:rsid w:val="00F87761"/>
    <w:rsid w:val="00F92FAE"/>
    <w:rsid w:val="00F93E75"/>
    <w:rsid w:val="00F93EDF"/>
    <w:rsid w:val="00FA05EA"/>
    <w:rsid w:val="00FA1802"/>
    <w:rsid w:val="00FA21D0"/>
    <w:rsid w:val="00FA5F5F"/>
    <w:rsid w:val="00FA7062"/>
    <w:rsid w:val="00FB09DB"/>
    <w:rsid w:val="00FB730C"/>
    <w:rsid w:val="00FC2695"/>
    <w:rsid w:val="00FC3E03"/>
    <w:rsid w:val="00FC3FC1"/>
    <w:rsid w:val="00FC498B"/>
    <w:rsid w:val="00FC4FE7"/>
    <w:rsid w:val="00FC57AA"/>
    <w:rsid w:val="00FC5B05"/>
    <w:rsid w:val="00FC67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D23516"/>
    <w:rPr>
      <w:color w:val="808080"/>
    </w:rPr>
  </w:style>
  <w:style w:type="paragraph" w:styleId="Revisione">
    <w:name w:val="Revision"/>
    <w:hidden/>
    <w:uiPriority w:val="99"/>
    <w:semiHidden/>
    <w:rsid w:val="00D6000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8134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714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3320</Words>
  <Characters>18930</Characters>
  <Application>Microsoft Office Word</Application>
  <DocSecurity>0</DocSecurity>
  <Lines>157</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Valentina Busini</cp:lastModifiedBy>
  <cp:revision>3</cp:revision>
  <cp:lastPrinted>2015-05-12T18:31:00Z</cp:lastPrinted>
  <dcterms:created xsi:type="dcterms:W3CDTF">2023-07-12T15:49:00Z</dcterms:created>
  <dcterms:modified xsi:type="dcterms:W3CDTF">2023-07-12T15:55:00Z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