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AFE3F1B" w:rsidR="00300E56" w:rsidRPr="006A158A" w:rsidRDefault="00300E56" w:rsidP="007931FA">
            <w:pPr>
              <w:ind w:left="-107"/>
              <w:rPr>
                <w:rFonts w:ascii="Times New Roman" w:hAnsi="Times New Roman"/>
                <w:sz w:val="24"/>
                <w:szCs w:val="24"/>
                <w:lang w:val="en-US" w:eastAsia="it-IT"/>
              </w:rPr>
            </w:pPr>
            <w:r w:rsidRPr="006A158A">
              <w:rPr>
                <w:rFonts w:ascii="Tahoma" w:hAnsi="Tahoma" w:cs="Tahoma"/>
                <w:iCs/>
                <w:color w:val="333333"/>
                <w:sz w:val="14"/>
                <w:szCs w:val="14"/>
                <w:lang w:val="en-US" w:eastAsia="it-IT"/>
              </w:rPr>
              <w:t>Guest Editors:</w:t>
            </w:r>
            <w:r w:rsidR="00904C62" w:rsidRPr="006A158A">
              <w:rPr>
                <w:rFonts w:ascii="Tahoma" w:hAnsi="Tahoma" w:cs="Tahoma"/>
                <w:iCs/>
                <w:color w:val="333333"/>
                <w:sz w:val="14"/>
                <w:szCs w:val="14"/>
                <w:lang w:val="en-US" w:eastAsia="it-IT"/>
              </w:rPr>
              <w:t xml:space="preserve"> </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Servizi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footerReference w:type="first" r:id="rId10"/>
          <w:type w:val="continuous"/>
          <w:pgSz w:w="11906" w:h="16838" w:code="9"/>
          <w:pgMar w:top="1701" w:right="1418" w:bottom="1701" w:left="1701" w:header="1701" w:footer="0" w:gutter="0"/>
          <w:cols w:space="708"/>
          <w:titlePg/>
          <w:docGrid w:linePitch="360"/>
        </w:sectPr>
      </w:pPr>
    </w:p>
    <w:p w14:paraId="2E667253" w14:textId="2FB74A4A" w:rsidR="00E978D0" w:rsidRPr="00B57B36" w:rsidRDefault="006A158A" w:rsidP="00E978D0">
      <w:pPr>
        <w:pStyle w:val="CETTitle"/>
      </w:pPr>
      <w:proofErr w:type="spellStart"/>
      <w:r>
        <w:t>Biomethane</w:t>
      </w:r>
      <w:proofErr w:type="spellEnd"/>
      <w:r>
        <w:t xml:space="preserve"> Compression Unit: a Methodological Approach Aimed at Decreasing the </w:t>
      </w:r>
      <w:proofErr w:type="spellStart"/>
      <w:r>
        <w:t>Atex</w:t>
      </w:r>
      <w:proofErr w:type="spellEnd"/>
      <w:r>
        <w:t xml:space="preserve"> Zones Hazardousness</w:t>
      </w:r>
      <w:r w:rsidR="00600535" w:rsidRPr="00B57B36">
        <w:t xml:space="preserve"> </w:t>
      </w:r>
    </w:p>
    <w:p w14:paraId="2B3CA35C" w14:textId="5901D45B" w:rsidR="00E978D0" w:rsidRPr="00B57B36" w:rsidRDefault="006A158A" w:rsidP="00AB5011">
      <w:pPr>
        <w:pStyle w:val="CETAuthors"/>
      </w:pPr>
      <w:r>
        <w:t>Roberto Lauri</w:t>
      </w:r>
      <w:r w:rsidR="00600535" w:rsidRPr="00B57B36">
        <w:rPr>
          <w:vertAlign w:val="superscript"/>
        </w:rPr>
        <w:t>a</w:t>
      </w:r>
    </w:p>
    <w:p w14:paraId="5053C5A8" w14:textId="333B4C7E" w:rsidR="00E978D0" w:rsidRPr="00B57B36" w:rsidRDefault="006A158A" w:rsidP="00E978D0">
      <w:pPr>
        <w:pStyle w:val="CETAddress"/>
      </w:pPr>
      <w:r w:rsidRPr="006A158A">
        <w:rPr>
          <w:vertAlign w:val="superscript"/>
        </w:rPr>
        <w:t>a</w:t>
      </w:r>
      <w:r>
        <w:t>Inail, Department of Technological Innovations and Safety of Plants, Products and Human Settlements, Via del Torraccio di Torrenova 7, 00133 Rome, Italy</w:t>
      </w:r>
      <w:r w:rsidR="00E978D0" w:rsidRPr="00B57B36">
        <w:t xml:space="preserve"> </w:t>
      </w:r>
    </w:p>
    <w:p w14:paraId="0127A28D" w14:textId="2AE6446F" w:rsidR="00E978D0" w:rsidRPr="005F5BEE" w:rsidRDefault="008F053A" w:rsidP="00E978D0">
      <w:pPr>
        <w:pStyle w:val="CETemail"/>
        <w:rPr>
          <w:lang w:val="fr-FR"/>
        </w:rPr>
      </w:pPr>
      <w:r>
        <w:rPr>
          <w:lang w:val="fr-FR"/>
        </w:rPr>
        <w:t>r.lauri@inail.it</w:t>
      </w:r>
    </w:p>
    <w:p w14:paraId="61DC1995" w14:textId="619227F9" w:rsidR="00C1294B" w:rsidRPr="00C1294B" w:rsidRDefault="00C1294B" w:rsidP="00C1294B">
      <w:pPr>
        <w:pStyle w:val="CETBodytext"/>
        <w:spacing w:line="240" w:lineRule="auto"/>
        <w:rPr>
          <w:rFonts w:cs="Arial"/>
          <w:color w:val="000000" w:themeColor="text1"/>
          <w:szCs w:val="18"/>
        </w:rPr>
      </w:pPr>
      <w:r w:rsidRPr="00C1294B">
        <w:rPr>
          <w:rStyle w:val="Enfasigrassetto"/>
          <w:rFonts w:cs="Arial"/>
          <w:b w:val="0"/>
          <w:color w:val="000000" w:themeColor="text1"/>
          <w:szCs w:val="18"/>
          <w:bdr w:val="none" w:sz="0" w:space="0" w:color="auto" w:frame="1"/>
        </w:rPr>
        <w:t>The smart combination of renewable energy sources will be fundamental for developing the energy systems of the future and achieving carbon-neutrality by 2050. Biomethane, produced by biogas upgrading, is a renewable alternative to natural gas and it is able</w:t>
      </w:r>
      <w:r w:rsidRPr="00C1294B">
        <w:rPr>
          <w:rFonts w:cs="Arial"/>
          <w:color w:val="000000" w:themeColor="text1"/>
          <w:szCs w:val="18"/>
        </w:rPr>
        <w:t xml:space="preserve"> to </w:t>
      </w:r>
      <w:r w:rsidR="0084566F">
        <w:rPr>
          <w:rFonts w:cs="Arial"/>
          <w:color w:val="000000" w:themeColor="text1"/>
          <w:szCs w:val="18"/>
        </w:rPr>
        <w:t>decrease</w:t>
      </w:r>
      <w:r w:rsidRPr="00C1294B">
        <w:rPr>
          <w:rFonts w:cs="Arial"/>
          <w:color w:val="000000" w:themeColor="text1"/>
          <w:szCs w:val="18"/>
        </w:rPr>
        <w:t xml:space="preserve"> the </w:t>
      </w:r>
      <w:r w:rsidR="00200A5A">
        <w:rPr>
          <w:rFonts w:cs="Arial"/>
          <w:color w:val="000000" w:themeColor="text1"/>
          <w:szCs w:val="18"/>
        </w:rPr>
        <w:t>greenhouse gas (</w:t>
      </w:r>
      <w:r w:rsidRPr="00C1294B">
        <w:rPr>
          <w:rFonts w:cs="Arial"/>
          <w:color w:val="000000" w:themeColor="text1"/>
          <w:szCs w:val="18"/>
        </w:rPr>
        <w:t>GHG</w:t>
      </w:r>
      <w:r w:rsidR="00200A5A">
        <w:rPr>
          <w:rFonts w:cs="Arial"/>
          <w:color w:val="000000" w:themeColor="text1"/>
          <w:szCs w:val="18"/>
        </w:rPr>
        <w:t>)</w:t>
      </w:r>
      <w:r w:rsidRPr="00C1294B">
        <w:rPr>
          <w:rFonts w:cs="Arial"/>
          <w:color w:val="000000" w:themeColor="text1"/>
          <w:szCs w:val="18"/>
        </w:rPr>
        <w:t xml:space="preserve"> emissions in multiple sectors. Indeed, t</w:t>
      </w:r>
      <w:r w:rsidRPr="00C1294B">
        <w:rPr>
          <w:rFonts w:cs="Arial"/>
          <w:color w:val="000000" w:themeColor="text1"/>
          <w:szCs w:val="18"/>
          <w:shd w:val="clear" w:color="auto" w:fill="FFFFFF"/>
        </w:rPr>
        <w:t xml:space="preserve">his </w:t>
      </w:r>
      <w:r w:rsidR="00527A63">
        <w:rPr>
          <w:rFonts w:cs="Arial"/>
          <w:color w:val="000000" w:themeColor="text1"/>
          <w:szCs w:val="18"/>
          <w:shd w:val="clear" w:color="auto" w:fill="FFFFFF"/>
        </w:rPr>
        <w:t xml:space="preserve">gaseous </w:t>
      </w:r>
      <w:r w:rsidRPr="00C1294B">
        <w:rPr>
          <w:rFonts w:cs="Arial"/>
          <w:color w:val="000000" w:themeColor="text1"/>
          <w:szCs w:val="18"/>
          <w:shd w:val="clear" w:color="auto" w:fill="FFFFFF"/>
        </w:rPr>
        <w:t xml:space="preserve">biofuel </w:t>
      </w:r>
      <w:proofErr w:type="gramStart"/>
      <w:r w:rsidRPr="00C1294B">
        <w:rPr>
          <w:rFonts w:cs="Arial"/>
          <w:color w:val="000000" w:themeColor="text1"/>
          <w:szCs w:val="18"/>
          <w:shd w:val="clear" w:color="auto" w:fill="FFFFFF"/>
        </w:rPr>
        <w:t>can be used</w:t>
      </w:r>
      <w:proofErr w:type="gramEnd"/>
      <w:r w:rsidRPr="00C1294B">
        <w:rPr>
          <w:rFonts w:cs="Arial"/>
          <w:color w:val="000000" w:themeColor="text1"/>
          <w:szCs w:val="18"/>
          <w:shd w:val="clear" w:color="auto" w:fill="FFFFFF"/>
        </w:rPr>
        <w:t xml:space="preserve"> in applications such as heating, transport and electric energy generation, since it has the same properties as natural gas. It </w:t>
      </w:r>
      <w:proofErr w:type="gramStart"/>
      <w:r w:rsidRPr="00C1294B">
        <w:rPr>
          <w:rFonts w:cs="Arial"/>
          <w:color w:val="000000" w:themeColor="text1"/>
          <w:szCs w:val="18"/>
          <w:shd w:val="clear" w:color="auto" w:fill="FFFFFF"/>
        </w:rPr>
        <w:t>can be directly injected</w:t>
      </w:r>
      <w:proofErr w:type="gramEnd"/>
      <w:r w:rsidRPr="00C1294B">
        <w:rPr>
          <w:rFonts w:cs="Arial"/>
          <w:color w:val="000000" w:themeColor="text1"/>
          <w:szCs w:val="18"/>
          <w:shd w:val="clear" w:color="auto" w:fill="FFFFFF"/>
        </w:rPr>
        <w:t xml:space="preserve"> into the existing gas network as a low-carbon alternative to natural gas. </w:t>
      </w:r>
      <w:r w:rsidRPr="00C1294B">
        <w:rPr>
          <w:rFonts w:cs="Arial"/>
          <w:color w:val="000000" w:themeColor="text1"/>
          <w:szCs w:val="18"/>
        </w:rPr>
        <w:t xml:space="preserve">The strategic biomethane role determines a particular attention to potential hazards associated with its production. In particular, one of the main hazards is the possible formation of potentially explosive atmospheres due to accidental releases from components, such as valves, compressors, flanges, etc.  The biomethane compression is the most hazardous phase of its production process, because it occurs in an indoor place (compression unit) and it is characterized by the </w:t>
      </w:r>
      <w:proofErr w:type="gramStart"/>
      <w:r w:rsidR="007E620B">
        <w:rPr>
          <w:rFonts w:cs="Arial"/>
          <w:color w:val="000000" w:themeColor="text1"/>
          <w:szCs w:val="18"/>
        </w:rPr>
        <w:t>highest</w:t>
      </w:r>
      <w:r w:rsidRPr="00C1294B">
        <w:rPr>
          <w:rFonts w:cs="Arial"/>
          <w:color w:val="000000" w:themeColor="text1"/>
          <w:szCs w:val="18"/>
        </w:rPr>
        <w:t xml:space="preserve"> pressure</w:t>
      </w:r>
      <w:proofErr w:type="gramEnd"/>
      <w:r w:rsidRPr="00C1294B">
        <w:rPr>
          <w:rFonts w:cs="Arial"/>
          <w:color w:val="000000" w:themeColor="text1"/>
          <w:szCs w:val="18"/>
        </w:rPr>
        <w:t xml:space="preserve"> values. The paper </w:t>
      </w:r>
      <w:proofErr w:type="gramStart"/>
      <w:r w:rsidR="00DF6D57">
        <w:rPr>
          <w:rFonts w:cs="Arial"/>
          <w:color w:val="000000" w:themeColor="text1"/>
          <w:szCs w:val="18"/>
        </w:rPr>
        <w:t>is</w:t>
      </w:r>
      <w:r w:rsidRPr="00C1294B">
        <w:rPr>
          <w:rFonts w:cs="Arial"/>
          <w:color w:val="000000" w:themeColor="text1"/>
          <w:szCs w:val="18"/>
        </w:rPr>
        <w:t xml:space="preserve"> focused</w:t>
      </w:r>
      <w:proofErr w:type="gramEnd"/>
      <w:r w:rsidRPr="00C1294B">
        <w:rPr>
          <w:rFonts w:cs="Arial"/>
          <w:color w:val="000000" w:themeColor="text1"/>
          <w:szCs w:val="18"/>
        </w:rPr>
        <w:t xml:space="preserve"> on biomethane compression unit and it illustrate</w:t>
      </w:r>
      <w:r w:rsidR="00DF6D57">
        <w:rPr>
          <w:rFonts w:cs="Arial"/>
          <w:color w:val="000000" w:themeColor="text1"/>
          <w:szCs w:val="18"/>
        </w:rPr>
        <w:t>s</w:t>
      </w:r>
      <w:r w:rsidRPr="00C1294B">
        <w:rPr>
          <w:rFonts w:cs="Arial"/>
          <w:color w:val="000000" w:themeColor="text1"/>
          <w:szCs w:val="18"/>
        </w:rPr>
        <w:t xml:space="preserve"> a methodological approach aimed at decreasing the </w:t>
      </w:r>
      <w:proofErr w:type="spellStart"/>
      <w:r w:rsidRPr="00C1294B">
        <w:rPr>
          <w:rFonts w:cs="Arial"/>
          <w:color w:val="000000" w:themeColor="text1"/>
          <w:szCs w:val="18"/>
        </w:rPr>
        <w:t>Atex</w:t>
      </w:r>
      <w:proofErr w:type="spellEnd"/>
      <w:r w:rsidRPr="00C1294B">
        <w:rPr>
          <w:rFonts w:cs="Arial"/>
          <w:color w:val="000000" w:themeColor="text1"/>
          <w:szCs w:val="18"/>
        </w:rPr>
        <w:t xml:space="preserve"> zones hazardousness</w:t>
      </w:r>
      <w:r w:rsidR="00610A00">
        <w:rPr>
          <w:rFonts w:cs="Arial"/>
          <w:color w:val="000000" w:themeColor="text1"/>
          <w:szCs w:val="18"/>
        </w:rPr>
        <w:t>.</w:t>
      </w:r>
    </w:p>
    <w:p w14:paraId="2D41DADE" w14:textId="77777777" w:rsidR="00C1294B" w:rsidRDefault="00C1294B" w:rsidP="00600535">
      <w:pPr>
        <w:pStyle w:val="CETBodytext"/>
        <w:rPr>
          <w:rFonts w:ascii="Times New Roman" w:hAnsi="Times New Roman"/>
          <w:color w:val="000000" w:themeColor="text1"/>
          <w:sz w:val="24"/>
          <w:szCs w:val="24"/>
        </w:rPr>
      </w:pPr>
    </w:p>
    <w:p w14:paraId="476B2F2E" w14:textId="77777777" w:rsidR="00600535" w:rsidRPr="00B57B36" w:rsidRDefault="00600535" w:rsidP="00600535">
      <w:pPr>
        <w:pStyle w:val="CETHeading1"/>
        <w:rPr>
          <w:lang w:val="en-GB"/>
        </w:rPr>
      </w:pPr>
      <w:r w:rsidRPr="00B57B36">
        <w:rPr>
          <w:lang w:val="en-GB"/>
        </w:rPr>
        <w:t>Introduction</w:t>
      </w:r>
    </w:p>
    <w:p w14:paraId="21569413" w14:textId="009F3253" w:rsidR="001830FD" w:rsidRPr="001830FD" w:rsidRDefault="00136B5E" w:rsidP="001830FD">
      <w:pPr>
        <w:tabs>
          <w:tab w:val="clear" w:pos="7100"/>
        </w:tabs>
        <w:autoSpaceDE w:val="0"/>
        <w:autoSpaceDN w:val="0"/>
        <w:adjustRightInd w:val="0"/>
        <w:spacing w:line="240" w:lineRule="auto"/>
        <w:rPr>
          <w:rFonts w:eastAsiaTheme="minorHAnsi" w:cs="Arial"/>
          <w:color w:val="000000"/>
          <w:szCs w:val="18"/>
          <w:lang w:val="en-US"/>
        </w:rPr>
      </w:pPr>
      <w:r w:rsidRPr="007B4744">
        <w:rPr>
          <w:rFonts w:eastAsiaTheme="minorHAnsi" w:cs="Arial"/>
          <w:szCs w:val="18"/>
          <w:lang w:val="en-US"/>
        </w:rPr>
        <w:t xml:space="preserve">The European Commission estimates that 350 </w:t>
      </w:r>
      <w:proofErr w:type="spellStart"/>
      <w:r w:rsidRPr="007B4744">
        <w:rPr>
          <w:rFonts w:eastAsiaTheme="minorHAnsi" w:cs="Arial"/>
          <w:szCs w:val="18"/>
          <w:lang w:val="en-US"/>
        </w:rPr>
        <w:t>TWh</w:t>
      </w:r>
      <w:proofErr w:type="spellEnd"/>
      <w:r w:rsidRPr="007B4744">
        <w:rPr>
          <w:rFonts w:eastAsiaTheme="minorHAnsi" w:cs="Arial"/>
          <w:szCs w:val="18"/>
          <w:lang w:val="en-US"/>
        </w:rPr>
        <w:t xml:space="preserve"> or 33 billion cubic meters of biomethane </w:t>
      </w:r>
      <w:proofErr w:type="gramStart"/>
      <w:r w:rsidRPr="007B4744">
        <w:rPr>
          <w:rFonts w:eastAsiaTheme="minorHAnsi" w:cs="Arial"/>
          <w:szCs w:val="18"/>
          <w:lang w:val="en-US"/>
        </w:rPr>
        <w:t>could be produced</w:t>
      </w:r>
      <w:proofErr w:type="gramEnd"/>
      <w:r w:rsidRPr="007B4744">
        <w:rPr>
          <w:rFonts w:eastAsiaTheme="minorHAnsi" w:cs="Arial"/>
          <w:szCs w:val="18"/>
          <w:lang w:val="en-US"/>
        </w:rPr>
        <w:t xml:space="preserve"> per year in 2030, which equal around 10% of the projected European Union natural gas use</w:t>
      </w:r>
      <w:r w:rsidR="00BB0804">
        <w:rPr>
          <w:rFonts w:eastAsiaTheme="minorHAnsi" w:cs="Arial"/>
          <w:szCs w:val="18"/>
          <w:lang w:val="en-US"/>
        </w:rPr>
        <w:t xml:space="preserve"> (</w:t>
      </w:r>
      <w:proofErr w:type="spellStart"/>
      <w:r w:rsidR="00BB0804">
        <w:rPr>
          <w:rFonts w:eastAsiaTheme="minorHAnsi" w:cs="Arial"/>
          <w:szCs w:val="18"/>
          <w:lang w:val="en-US"/>
        </w:rPr>
        <w:t>Alberici</w:t>
      </w:r>
      <w:proofErr w:type="spellEnd"/>
      <w:r w:rsidR="00BB0804">
        <w:rPr>
          <w:rFonts w:eastAsiaTheme="minorHAnsi" w:cs="Arial"/>
          <w:szCs w:val="18"/>
          <w:lang w:val="en-US"/>
        </w:rPr>
        <w:t xml:space="preserve"> et al., 2021)</w:t>
      </w:r>
      <w:r w:rsidRPr="007B4744">
        <w:rPr>
          <w:rFonts w:eastAsiaTheme="minorHAnsi" w:cs="Arial"/>
          <w:szCs w:val="18"/>
          <w:lang w:val="en-US"/>
        </w:rPr>
        <w:t xml:space="preserve">. This </w:t>
      </w:r>
      <w:r w:rsidR="00D01AED" w:rsidRPr="007B4744">
        <w:rPr>
          <w:rFonts w:eastAsiaTheme="minorHAnsi" w:cs="Arial"/>
          <w:szCs w:val="18"/>
          <w:lang w:val="en-US"/>
        </w:rPr>
        <w:t xml:space="preserve">biofuel </w:t>
      </w:r>
      <w:r w:rsidRPr="007B4744">
        <w:rPr>
          <w:rFonts w:eastAsiaTheme="minorHAnsi" w:cs="Arial"/>
          <w:szCs w:val="18"/>
          <w:lang w:val="en-US"/>
        </w:rPr>
        <w:t>quantity would save about 110 Mt CO</w:t>
      </w:r>
      <w:r w:rsidR="00D01AED" w:rsidRPr="007B4744">
        <w:rPr>
          <w:rFonts w:eastAsiaTheme="minorHAnsi" w:cs="Arial"/>
          <w:szCs w:val="18"/>
          <w:vertAlign w:val="subscript"/>
          <w:lang w:val="en-US"/>
        </w:rPr>
        <w:t>2</w:t>
      </w:r>
      <w:r w:rsidR="00D01AED" w:rsidRPr="007B4744">
        <w:rPr>
          <w:rFonts w:eastAsiaTheme="minorHAnsi" w:cs="Arial"/>
          <w:szCs w:val="18"/>
          <w:lang w:val="en-US"/>
        </w:rPr>
        <w:t xml:space="preserve"> </w:t>
      </w:r>
      <w:r w:rsidRPr="007B4744">
        <w:rPr>
          <w:rFonts w:eastAsiaTheme="minorHAnsi" w:cs="Arial"/>
          <w:szCs w:val="18"/>
          <w:lang w:val="en-US"/>
        </w:rPr>
        <w:t>emissions or around 6% of the required effort to achieve 55% GHG reduction.</w:t>
      </w:r>
      <w:r w:rsidR="0007595C" w:rsidRPr="007B4744">
        <w:rPr>
          <w:rFonts w:eastAsiaTheme="minorHAnsi" w:cs="Arial"/>
          <w:szCs w:val="18"/>
          <w:lang w:val="en-US"/>
        </w:rPr>
        <w:t xml:space="preserve"> The biomethane production and deployment offer significant greenhouse gas savings and </w:t>
      </w:r>
      <w:r w:rsidR="00215A8E" w:rsidRPr="007B4744">
        <w:rPr>
          <w:rFonts w:eastAsiaTheme="minorHAnsi" w:cs="Arial"/>
          <w:szCs w:val="18"/>
          <w:lang w:val="en-US"/>
        </w:rPr>
        <w:t>have positive</w:t>
      </w:r>
      <w:r w:rsidR="0007595C" w:rsidRPr="007B4744">
        <w:rPr>
          <w:rFonts w:eastAsiaTheme="minorHAnsi" w:cs="Arial"/>
          <w:szCs w:val="18"/>
          <w:lang w:val="en-US"/>
        </w:rPr>
        <w:t xml:space="preserve"> impacts on rural employment.</w:t>
      </w:r>
      <w:r w:rsidR="007A3241" w:rsidRPr="007B4744">
        <w:rPr>
          <w:rFonts w:eastAsiaTheme="minorHAnsi" w:cs="Arial"/>
          <w:szCs w:val="18"/>
          <w:lang w:val="en-US"/>
        </w:rPr>
        <w:t xml:space="preserve"> In Europe, there is </w:t>
      </w:r>
      <w:r w:rsidR="00124985">
        <w:rPr>
          <w:rFonts w:eastAsiaTheme="minorHAnsi" w:cs="Arial"/>
          <w:szCs w:val="18"/>
          <w:lang w:val="en-US"/>
        </w:rPr>
        <w:t xml:space="preserve">a </w:t>
      </w:r>
      <w:r w:rsidR="007A3241" w:rsidRPr="007B4744">
        <w:rPr>
          <w:rFonts w:eastAsiaTheme="minorHAnsi" w:cs="Arial"/>
          <w:szCs w:val="18"/>
          <w:lang w:val="en-US"/>
        </w:rPr>
        <w:t>significant potential to scale up the production of sustainable biomethane in the next years. This can simultaneously offer environmental and social benefits.</w:t>
      </w:r>
      <w:r w:rsidR="003F54D9" w:rsidRPr="007B4744">
        <w:rPr>
          <w:rFonts w:eastAsiaTheme="minorHAnsi" w:cs="Arial"/>
          <w:szCs w:val="18"/>
          <w:lang w:val="en-US"/>
        </w:rPr>
        <w:t xml:space="preserve"> Nowadays, this gaseous biofuel</w:t>
      </w:r>
      <w:r w:rsidR="00EC30C2" w:rsidRPr="007B4744">
        <w:rPr>
          <w:rFonts w:eastAsiaTheme="minorHAnsi" w:cs="Arial"/>
          <w:szCs w:val="18"/>
          <w:lang w:val="en-US"/>
        </w:rPr>
        <w:t xml:space="preserve"> is not available in large quantities and needs to </w:t>
      </w:r>
      <w:proofErr w:type="gramStart"/>
      <w:r w:rsidR="00EC30C2" w:rsidRPr="007B4744">
        <w:rPr>
          <w:rFonts w:eastAsiaTheme="minorHAnsi" w:cs="Arial"/>
          <w:szCs w:val="18"/>
          <w:lang w:val="en-US"/>
        </w:rPr>
        <w:t>be rapidly scaled up</w:t>
      </w:r>
      <w:proofErr w:type="gramEnd"/>
      <w:r w:rsidR="00EC30C2" w:rsidRPr="007B4744">
        <w:rPr>
          <w:rFonts w:eastAsiaTheme="minorHAnsi" w:cs="Arial"/>
          <w:szCs w:val="18"/>
          <w:lang w:val="en-US"/>
        </w:rPr>
        <w:t xml:space="preserve"> to </w:t>
      </w:r>
      <w:r w:rsidR="003F54D9" w:rsidRPr="007B4744">
        <w:rPr>
          <w:rFonts w:eastAsiaTheme="minorHAnsi" w:cs="Arial"/>
          <w:szCs w:val="18"/>
          <w:lang w:val="en-US"/>
        </w:rPr>
        <w:t xml:space="preserve">exploit its </w:t>
      </w:r>
      <w:r w:rsidR="00EC30C2" w:rsidRPr="007B4744">
        <w:rPr>
          <w:rFonts w:eastAsiaTheme="minorHAnsi" w:cs="Arial"/>
          <w:szCs w:val="18"/>
          <w:lang w:val="en-US"/>
        </w:rPr>
        <w:t xml:space="preserve">full potential. Besides technical innovations, this requires a more liquid </w:t>
      </w:r>
      <w:proofErr w:type="spellStart"/>
      <w:r w:rsidR="003F54D9" w:rsidRPr="007B4744">
        <w:rPr>
          <w:rFonts w:eastAsiaTheme="minorHAnsi" w:cs="Arial"/>
          <w:szCs w:val="18"/>
          <w:lang w:val="en-US"/>
        </w:rPr>
        <w:t>european</w:t>
      </w:r>
      <w:proofErr w:type="spellEnd"/>
      <w:r w:rsidR="003F54D9" w:rsidRPr="007B4744">
        <w:rPr>
          <w:rFonts w:eastAsiaTheme="minorHAnsi" w:cs="Arial"/>
          <w:szCs w:val="18"/>
          <w:lang w:val="en-US"/>
        </w:rPr>
        <w:t xml:space="preserve"> biomethane </w:t>
      </w:r>
      <w:r w:rsidR="00EC30C2" w:rsidRPr="007B4744">
        <w:rPr>
          <w:rFonts w:eastAsiaTheme="minorHAnsi" w:cs="Arial"/>
          <w:szCs w:val="18"/>
          <w:lang w:val="en-US"/>
        </w:rPr>
        <w:t xml:space="preserve">market </w:t>
      </w:r>
      <w:proofErr w:type="gramStart"/>
      <w:r w:rsidR="00EC30C2" w:rsidRPr="007B4744">
        <w:rPr>
          <w:rFonts w:eastAsiaTheme="minorHAnsi" w:cs="Arial"/>
          <w:szCs w:val="18"/>
          <w:lang w:val="en-US"/>
        </w:rPr>
        <w:t>and  that</w:t>
      </w:r>
      <w:proofErr w:type="gramEnd"/>
      <w:r w:rsidR="00EC30C2" w:rsidRPr="007B4744">
        <w:rPr>
          <w:rFonts w:eastAsiaTheme="minorHAnsi" w:cs="Arial"/>
          <w:szCs w:val="18"/>
          <w:lang w:val="en-US"/>
        </w:rPr>
        <w:t xml:space="preserve"> stakeholders are </w:t>
      </w:r>
      <w:r w:rsidR="003F54D9" w:rsidRPr="007B4744">
        <w:rPr>
          <w:rFonts w:eastAsiaTheme="minorHAnsi" w:cs="Arial"/>
          <w:szCs w:val="18"/>
          <w:lang w:val="en-US"/>
        </w:rPr>
        <w:t>incentivized to produce and trade this biofuel</w:t>
      </w:r>
      <w:r w:rsidR="00EC30C2" w:rsidRPr="007B4744">
        <w:rPr>
          <w:rFonts w:eastAsiaTheme="minorHAnsi" w:cs="Arial"/>
          <w:szCs w:val="18"/>
          <w:lang w:val="en-US"/>
        </w:rPr>
        <w:t xml:space="preserve"> in the most optimal way. </w:t>
      </w:r>
      <w:r w:rsidR="001830FD" w:rsidRPr="001830FD">
        <w:rPr>
          <w:rFonts w:eastAsiaTheme="minorHAnsi" w:cs="Arial"/>
          <w:color w:val="000000"/>
          <w:szCs w:val="18"/>
          <w:lang w:val="en-US"/>
        </w:rPr>
        <w:t>About 90% of globally produced biomethane is generated by the anaerobic digestion</w:t>
      </w:r>
      <w:r w:rsidR="0024020C">
        <w:rPr>
          <w:rFonts w:eastAsiaTheme="minorHAnsi" w:cs="Arial"/>
          <w:color w:val="000000"/>
          <w:szCs w:val="18"/>
          <w:lang w:val="en-US"/>
        </w:rPr>
        <w:t xml:space="preserve"> (</w:t>
      </w:r>
      <w:proofErr w:type="spellStart"/>
      <w:r w:rsidR="0024020C">
        <w:rPr>
          <w:rFonts w:eastAsiaTheme="minorHAnsi" w:cs="Arial"/>
          <w:color w:val="000000"/>
          <w:szCs w:val="18"/>
          <w:lang w:val="en-US"/>
        </w:rPr>
        <w:t>Rafiee</w:t>
      </w:r>
      <w:proofErr w:type="spellEnd"/>
      <w:r w:rsidR="0024020C">
        <w:rPr>
          <w:rFonts w:eastAsiaTheme="minorHAnsi" w:cs="Arial"/>
          <w:color w:val="000000"/>
          <w:szCs w:val="18"/>
          <w:lang w:val="en-US"/>
        </w:rPr>
        <w:t xml:space="preserve"> et al., 2021)</w:t>
      </w:r>
      <w:r w:rsidR="001830FD" w:rsidRPr="001830FD">
        <w:rPr>
          <w:rFonts w:eastAsiaTheme="minorHAnsi" w:cs="Arial"/>
          <w:color w:val="000000"/>
          <w:szCs w:val="18"/>
          <w:lang w:val="en-US"/>
        </w:rPr>
        <w:t xml:space="preserve">, followed by different upgrading treatments. </w:t>
      </w:r>
      <w:r w:rsidR="001830FD">
        <w:rPr>
          <w:rFonts w:eastAsiaTheme="minorHAnsi" w:cs="Arial"/>
          <w:color w:val="000000"/>
          <w:szCs w:val="18"/>
          <w:lang w:val="en-US"/>
        </w:rPr>
        <w:t xml:space="preserve">Production alternatives include </w:t>
      </w:r>
      <w:r w:rsidR="001830FD" w:rsidRPr="001830FD">
        <w:rPr>
          <w:rFonts w:eastAsiaTheme="minorHAnsi" w:cs="Arial"/>
          <w:color w:val="000000"/>
          <w:szCs w:val="18"/>
          <w:lang w:val="en-US"/>
        </w:rPr>
        <w:t>thermal and hydrothermal gasification.</w:t>
      </w:r>
    </w:p>
    <w:p w14:paraId="3EEFBDC1" w14:textId="6C986E32" w:rsidR="00EC30C2" w:rsidRPr="0024020C" w:rsidRDefault="00EC30C2" w:rsidP="007B4744">
      <w:pPr>
        <w:tabs>
          <w:tab w:val="clear" w:pos="7100"/>
        </w:tabs>
        <w:autoSpaceDE w:val="0"/>
        <w:autoSpaceDN w:val="0"/>
        <w:adjustRightInd w:val="0"/>
        <w:spacing w:line="240" w:lineRule="auto"/>
        <w:rPr>
          <w:rFonts w:eastAsiaTheme="minorHAnsi" w:cs="Arial"/>
          <w:szCs w:val="18"/>
          <w:lang w:val="en-US"/>
        </w:rPr>
      </w:pPr>
      <w:r w:rsidRPr="007B4744">
        <w:rPr>
          <w:rFonts w:eastAsiaTheme="minorHAnsi" w:cs="Arial"/>
          <w:szCs w:val="18"/>
          <w:lang w:val="en-US"/>
        </w:rPr>
        <w:t>Today, the average digester in Europe has a biogas production capacity of 290 Nm</w:t>
      </w:r>
      <w:r w:rsidRPr="007B4744">
        <w:rPr>
          <w:rFonts w:eastAsiaTheme="minorHAnsi" w:cs="Arial"/>
          <w:szCs w:val="18"/>
          <w:vertAlign w:val="superscript"/>
          <w:lang w:val="en-US"/>
        </w:rPr>
        <w:t>3</w:t>
      </w:r>
      <w:r w:rsidRPr="007B4744">
        <w:rPr>
          <w:rFonts w:eastAsiaTheme="minorHAnsi" w:cs="Arial"/>
          <w:szCs w:val="18"/>
          <w:lang w:val="en-US"/>
        </w:rPr>
        <w:t>/h</w:t>
      </w:r>
      <w:r w:rsidR="003F54D9" w:rsidRPr="007B4744">
        <w:rPr>
          <w:rFonts w:eastAsiaTheme="minorHAnsi" w:cs="Arial"/>
          <w:szCs w:val="18"/>
          <w:lang w:val="en-US"/>
        </w:rPr>
        <w:t xml:space="preserve">, </w:t>
      </w:r>
      <w:r w:rsidRPr="007B4744">
        <w:rPr>
          <w:rFonts w:eastAsiaTheme="minorHAnsi" w:cs="Arial"/>
          <w:szCs w:val="18"/>
          <w:lang w:val="en-US"/>
        </w:rPr>
        <w:t xml:space="preserve">although large variations exist </w:t>
      </w:r>
      <w:r w:rsidR="003F54D9" w:rsidRPr="007B4744">
        <w:rPr>
          <w:rFonts w:eastAsiaTheme="minorHAnsi" w:cs="Arial"/>
          <w:szCs w:val="18"/>
          <w:lang w:val="en-US"/>
        </w:rPr>
        <w:t>in several</w:t>
      </w:r>
      <w:r w:rsidRPr="007B4744">
        <w:rPr>
          <w:rFonts w:eastAsiaTheme="minorHAnsi" w:cs="Arial"/>
          <w:szCs w:val="18"/>
          <w:lang w:val="en-US"/>
        </w:rPr>
        <w:t xml:space="preserve"> countries. It would be feasible and cost-ef</w:t>
      </w:r>
      <w:r w:rsidR="003F54D9" w:rsidRPr="007B4744">
        <w:rPr>
          <w:rFonts w:eastAsiaTheme="minorHAnsi" w:cs="Arial"/>
          <w:szCs w:val="18"/>
          <w:lang w:val="en-US"/>
        </w:rPr>
        <w:t xml:space="preserve">ficient to increase </w:t>
      </w:r>
      <w:r w:rsidRPr="007B4744">
        <w:rPr>
          <w:rFonts w:eastAsiaTheme="minorHAnsi" w:cs="Arial"/>
          <w:szCs w:val="18"/>
          <w:lang w:val="en-US"/>
        </w:rPr>
        <w:t xml:space="preserve">the </w:t>
      </w:r>
      <w:r w:rsidR="003F54D9" w:rsidRPr="007B4744">
        <w:rPr>
          <w:rFonts w:eastAsiaTheme="minorHAnsi" w:cs="Arial"/>
          <w:szCs w:val="18"/>
          <w:lang w:val="en-US"/>
        </w:rPr>
        <w:t xml:space="preserve">new digesters </w:t>
      </w:r>
      <w:r w:rsidRPr="007B4744">
        <w:rPr>
          <w:rFonts w:eastAsiaTheme="minorHAnsi" w:cs="Arial"/>
          <w:szCs w:val="18"/>
          <w:lang w:val="en-US"/>
        </w:rPr>
        <w:t>capacity to at least 500 Nm</w:t>
      </w:r>
      <w:r w:rsidRPr="007B4744">
        <w:rPr>
          <w:rFonts w:eastAsiaTheme="minorHAnsi" w:cs="Arial"/>
          <w:szCs w:val="18"/>
          <w:vertAlign w:val="superscript"/>
          <w:lang w:val="en-US"/>
        </w:rPr>
        <w:t>3</w:t>
      </w:r>
      <w:r w:rsidRPr="007B4744">
        <w:rPr>
          <w:rFonts w:eastAsiaTheme="minorHAnsi" w:cs="Arial"/>
          <w:szCs w:val="18"/>
          <w:lang w:val="en-US"/>
        </w:rPr>
        <w:t xml:space="preserve">/h, preferably even </w:t>
      </w:r>
      <w:r w:rsidR="003F54D9" w:rsidRPr="007B4744">
        <w:rPr>
          <w:rFonts w:eastAsiaTheme="minorHAnsi" w:cs="Arial"/>
          <w:szCs w:val="18"/>
          <w:lang w:val="en-US"/>
        </w:rPr>
        <w:t>larger</w:t>
      </w:r>
      <w:r w:rsidR="0024020C">
        <w:rPr>
          <w:rFonts w:eastAsiaTheme="minorHAnsi" w:cs="Arial"/>
          <w:szCs w:val="18"/>
          <w:lang w:val="en-US"/>
        </w:rPr>
        <w:t xml:space="preserve"> (</w:t>
      </w:r>
      <w:proofErr w:type="spellStart"/>
      <w:r w:rsidR="0024020C">
        <w:rPr>
          <w:rFonts w:eastAsiaTheme="minorHAnsi" w:cs="Arial"/>
          <w:szCs w:val="18"/>
          <w:lang w:val="en-US"/>
        </w:rPr>
        <w:t>Pavicic</w:t>
      </w:r>
      <w:proofErr w:type="spellEnd"/>
      <w:r w:rsidR="0024020C">
        <w:rPr>
          <w:rFonts w:eastAsiaTheme="minorHAnsi" w:cs="Arial"/>
          <w:szCs w:val="18"/>
          <w:lang w:val="en-US"/>
        </w:rPr>
        <w:t xml:space="preserve"> et al., 2022)</w:t>
      </w:r>
      <w:r w:rsidR="003F54D9" w:rsidRPr="007B4744">
        <w:rPr>
          <w:rFonts w:eastAsiaTheme="minorHAnsi" w:cs="Arial"/>
          <w:szCs w:val="18"/>
          <w:lang w:val="en-US"/>
        </w:rPr>
        <w:t>. This can be achieved by n</w:t>
      </w:r>
      <w:r w:rsidRPr="007B4744">
        <w:rPr>
          <w:rFonts w:eastAsiaTheme="minorHAnsi" w:cs="Arial"/>
          <w:szCs w:val="18"/>
          <w:lang w:val="en-US"/>
        </w:rPr>
        <w:t>ational support schemes</w:t>
      </w:r>
      <w:r w:rsidR="003F54D9" w:rsidRPr="007B4744">
        <w:rPr>
          <w:rFonts w:eastAsiaTheme="minorHAnsi" w:cs="Arial"/>
          <w:szCs w:val="18"/>
          <w:lang w:val="en-US"/>
        </w:rPr>
        <w:t>, which</w:t>
      </w:r>
      <w:r w:rsidRPr="007B4744">
        <w:rPr>
          <w:rFonts w:eastAsiaTheme="minorHAnsi" w:cs="Arial"/>
          <w:szCs w:val="18"/>
          <w:lang w:val="en-US"/>
        </w:rPr>
        <w:t xml:space="preserve"> can also encourage economies of scale</w:t>
      </w:r>
      <w:r w:rsidR="00EE635C" w:rsidRPr="007B4744">
        <w:rPr>
          <w:rFonts w:eastAsiaTheme="minorHAnsi" w:cs="Arial"/>
          <w:szCs w:val="18"/>
          <w:lang w:val="en-US"/>
        </w:rPr>
        <w:t>,</w:t>
      </w:r>
      <w:r w:rsidRPr="007B4744">
        <w:rPr>
          <w:rFonts w:eastAsiaTheme="minorHAnsi" w:cs="Arial"/>
          <w:szCs w:val="18"/>
          <w:lang w:val="en-US"/>
        </w:rPr>
        <w:t xml:space="preserve"> for example by not providing premiums for </w:t>
      </w:r>
      <w:proofErr w:type="gramStart"/>
      <w:r w:rsidRPr="007B4744">
        <w:rPr>
          <w:rFonts w:eastAsiaTheme="minorHAnsi" w:cs="Arial"/>
          <w:szCs w:val="18"/>
          <w:lang w:val="en-US"/>
        </w:rPr>
        <w:t>small scale</w:t>
      </w:r>
      <w:proofErr w:type="gramEnd"/>
      <w:r w:rsidRPr="007B4744">
        <w:rPr>
          <w:rFonts w:eastAsiaTheme="minorHAnsi" w:cs="Arial"/>
          <w:szCs w:val="18"/>
          <w:lang w:val="en-US"/>
        </w:rPr>
        <w:t xml:space="preserve"> biogas plants.</w:t>
      </w:r>
      <w:r w:rsidR="00AD7A95" w:rsidRPr="007B4744">
        <w:rPr>
          <w:rFonts w:eastAsiaTheme="minorHAnsi" w:cs="Arial"/>
          <w:szCs w:val="18"/>
          <w:lang w:val="en-US"/>
        </w:rPr>
        <w:t xml:space="preserve"> </w:t>
      </w:r>
      <w:r w:rsidR="00FB2120" w:rsidRPr="007B4744">
        <w:rPr>
          <w:rFonts w:eastAsiaTheme="minorHAnsi" w:cs="Arial"/>
          <w:szCs w:val="18"/>
          <w:lang w:val="en-US"/>
        </w:rPr>
        <w:t xml:space="preserve">This scenario requires a particular attention to the potential hazards associated with biomethane production. </w:t>
      </w:r>
      <w:r w:rsidR="00DD0E7A" w:rsidRPr="007B4744">
        <w:rPr>
          <w:rFonts w:eastAsiaTheme="minorHAnsi" w:cs="Arial"/>
          <w:szCs w:val="18"/>
          <w:lang w:val="en-US"/>
        </w:rPr>
        <w:t xml:space="preserve">One of the main hazards is the possible formation of potentially explosive atmospheres due to accidental biofuel releases from components, such as flanges, valves, compressors, etc. </w:t>
      </w:r>
      <w:r w:rsidR="007B4744" w:rsidRPr="00B00718">
        <w:rPr>
          <w:rFonts w:eastAsia="CharisSIL" w:cs="Arial"/>
          <w:szCs w:val="18"/>
          <w:lang w:val="en-US"/>
        </w:rPr>
        <w:t>In appropriate ratios, the</w:t>
      </w:r>
      <w:r w:rsidR="00B00718" w:rsidRPr="00B00718">
        <w:rPr>
          <w:rFonts w:eastAsia="CharisSIL" w:cs="Arial"/>
          <w:szCs w:val="18"/>
          <w:lang w:val="en-US"/>
        </w:rPr>
        <w:t xml:space="preserve"> </w:t>
      </w:r>
      <w:r w:rsidR="007B4744" w:rsidRPr="007B4744">
        <w:rPr>
          <w:rFonts w:eastAsia="CharisSIL" w:cs="Arial"/>
          <w:szCs w:val="18"/>
          <w:lang w:val="en-US"/>
        </w:rPr>
        <w:t xml:space="preserve">mixture of air and </w:t>
      </w:r>
      <w:r w:rsidR="00B00718">
        <w:rPr>
          <w:rFonts w:eastAsia="CharisSIL" w:cs="Arial"/>
          <w:szCs w:val="18"/>
          <w:lang w:val="en-US"/>
        </w:rPr>
        <w:t>bio</w:t>
      </w:r>
      <w:r w:rsidR="007B4744" w:rsidRPr="007B4744">
        <w:rPr>
          <w:rFonts w:eastAsia="CharisSIL" w:cs="Arial"/>
          <w:szCs w:val="18"/>
          <w:lang w:val="en-US"/>
        </w:rPr>
        <w:t>methane has explosive properties</w:t>
      </w:r>
      <w:r w:rsidR="0024020C">
        <w:rPr>
          <w:rFonts w:eastAsia="CharisSIL" w:cs="Arial"/>
          <w:szCs w:val="18"/>
          <w:lang w:val="en-US"/>
        </w:rPr>
        <w:t xml:space="preserve"> (</w:t>
      </w:r>
      <w:proofErr w:type="spellStart"/>
      <w:r w:rsidR="0024020C" w:rsidRPr="005842D5">
        <w:rPr>
          <w:rFonts w:eastAsia="CharisSIL" w:cs="Arial"/>
          <w:color w:val="000000" w:themeColor="text1"/>
          <w:szCs w:val="18"/>
          <w:lang w:val="en-US"/>
        </w:rPr>
        <w:t>Travnicek</w:t>
      </w:r>
      <w:proofErr w:type="spellEnd"/>
      <w:r w:rsidR="0024020C" w:rsidRPr="005842D5">
        <w:rPr>
          <w:rFonts w:eastAsia="CharisSIL" w:cs="Arial"/>
          <w:color w:val="000000" w:themeColor="text1"/>
          <w:szCs w:val="18"/>
          <w:lang w:val="en-US"/>
        </w:rPr>
        <w:t xml:space="preserve"> </w:t>
      </w:r>
      <w:r w:rsidR="0024020C">
        <w:rPr>
          <w:rFonts w:eastAsia="CharisSIL" w:cs="Arial"/>
          <w:color w:val="000000" w:themeColor="text1"/>
          <w:szCs w:val="18"/>
          <w:lang w:val="en-US"/>
        </w:rPr>
        <w:t>and</w:t>
      </w:r>
      <w:r w:rsidR="0024020C" w:rsidRPr="005842D5">
        <w:rPr>
          <w:rFonts w:eastAsia="CharisSIL" w:cs="Arial"/>
          <w:color w:val="000000" w:themeColor="text1"/>
          <w:szCs w:val="18"/>
          <w:lang w:val="en-US"/>
        </w:rPr>
        <w:t xml:space="preserve"> </w:t>
      </w:r>
      <w:proofErr w:type="spellStart"/>
      <w:r w:rsidR="0024020C" w:rsidRPr="005842D5">
        <w:rPr>
          <w:rFonts w:eastAsia="CharisSIL" w:cs="Arial"/>
          <w:color w:val="000000" w:themeColor="text1"/>
          <w:szCs w:val="18"/>
          <w:lang w:val="en-US"/>
        </w:rPr>
        <w:t>Kotek</w:t>
      </w:r>
      <w:proofErr w:type="spellEnd"/>
      <w:r w:rsidR="0024020C">
        <w:rPr>
          <w:rFonts w:eastAsia="CharisSIL" w:cs="Arial"/>
          <w:color w:val="000000" w:themeColor="text1"/>
          <w:szCs w:val="18"/>
          <w:lang w:val="en-US"/>
        </w:rPr>
        <w:t>, 2015</w:t>
      </w:r>
      <w:r w:rsidR="0024020C">
        <w:rPr>
          <w:rFonts w:eastAsia="CharisSIL" w:cs="Arial"/>
          <w:szCs w:val="18"/>
          <w:lang w:val="en-US"/>
        </w:rPr>
        <w:t>)</w:t>
      </w:r>
      <w:r w:rsidR="00B00718">
        <w:rPr>
          <w:rFonts w:eastAsia="CharisSIL" w:cs="Arial"/>
          <w:szCs w:val="18"/>
          <w:lang w:val="en-US"/>
        </w:rPr>
        <w:t xml:space="preserve">. </w:t>
      </w:r>
      <w:r w:rsidR="00DD0E7A" w:rsidRPr="007B4744">
        <w:rPr>
          <w:rFonts w:eastAsiaTheme="minorHAnsi" w:cs="Arial"/>
          <w:szCs w:val="18"/>
          <w:lang w:val="en-US"/>
        </w:rPr>
        <w:t>In particular, t</w:t>
      </w:r>
      <w:r w:rsidR="00DD0E7A" w:rsidRPr="007B4744">
        <w:rPr>
          <w:rFonts w:cs="Arial"/>
          <w:szCs w:val="18"/>
        </w:rPr>
        <w:t xml:space="preserve">he </w:t>
      </w:r>
      <w:proofErr w:type="spellStart"/>
      <w:r w:rsidR="00DD0E7A" w:rsidRPr="007B4744">
        <w:rPr>
          <w:rFonts w:cs="Arial"/>
          <w:szCs w:val="18"/>
        </w:rPr>
        <w:t>biomethane</w:t>
      </w:r>
      <w:proofErr w:type="spellEnd"/>
      <w:r w:rsidR="00DD0E7A" w:rsidRPr="007B4744">
        <w:rPr>
          <w:rFonts w:cs="Arial"/>
          <w:szCs w:val="18"/>
        </w:rPr>
        <w:t xml:space="preserve"> compression is the most hazardous phase of its production process, because it occurs in an indoor place (compression unit) and it </w:t>
      </w:r>
      <w:proofErr w:type="gramStart"/>
      <w:r w:rsidR="00DD0E7A" w:rsidRPr="007B4744">
        <w:rPr>
          <w:rFonts w:cs="Arial"/>
          <w:szCs w:val="18"/>
        </w:rPr>
        <w:t>is characterized</w:t>
      </w:r>
      <w:proofErr w:type="gramEnd"/>
      <w:r w:rsidR="00DD0E7A" w:rsidRPr="007B4744">
        <w:rPr>
          <w:rFonts w:cs="Arial"/>
          <w:szCs w:val="18"/>
        </w:rPr>
        <w:t xml:space="preserve"> by the maximum pressure values, which can exceed 70-80 bar. </w:t>
      </w:r>
      <w:r w:rsidR="00DA0318" w:rsidRPr="007B4744">
        <w:rPr>
          <w:rFonts w:cs="Arial"/>
          <w:szCs w:val="18"/>
        </w:rPr>
        <w:t xml:space="preserve">Therefore, the choice of operating parameters (air velocity and flow) of </w:t>
      </w:r>
      <w:r w:rsidR="00CB08AD">
        <w:rPr>
          <w:rFonts w:cs="Arial"/>
          <w:szCs w:val="18"/>
        </w:rPr>
        <w:t xml:space="preserve">the </w:t>
      </w:r>
      <w:r w:rsidR="00DA0318" w:rsidRPr="007B4744">
        <w:rPr>
          <w:rFonts w:cs="Arial"/>
          <w:szCs w:val="18"/>
        </w:rPr>
        <w:t>forced ventilation system becomes extremely important for diluting the explosive mixture</w:t>
      </w:r>
      <w:r w:rsidR="00F94182" w:rsidRPr="007B4744">
        <w:rPr>
          <w:rFonts w:cs="Arial"/>
          <w:szCs w:val="18"/>
        </w:rPr>
        <w:t>,</w:t>
      </w:r>
      <w:r w:rsidR="00DA0318" w:rsidRPr="007B4744">
        <w:rPr>
          <w:rFonts w:cs="Arial"/>
          <w:szCs w:val="18"/>
        </w:rPr>
        <w:t xml:space="preserve"> </w:t>
      </w:r>
      <w:r w:rsidR="00F94182" w:rsidRPr="007B4744">
        <w:rPr>
          <w:rFonts w:cs="Arial"/>
          <w:szCs w:val="18"/>
        </w:rPr>
        <w:t xml:space="preserve">decreasing the </w:t>
      </w:r>
      <w:proofErr w:type="spellStart"/>
      <w:r w:rsidR="00F94182" w:rsidRPr="007B4744">
        <w:rPr>
          <w:rFonts w:cs="Arial"/>
          <w:szCs w:val="18"/>
        </w:rPr>
        <w:t>Atex</w:t>
      </w:r>
      <w:proofErr w:type="spellEnd"/>
      <w:r w:rsidR="00F94182" w:rsidRPr="007B4744">
        <w:rPr>
          <w:rFonts w:cs="Arial"/>
          <w:szCs w:val="18"/>
        </w:rPr>
        <w:t xml:space="preserve"> zone</w:t>
      </w:r>
      <w:r w:rsidR="00D06E8C">
        <w:rPr>
          <w:rFonts w:cs="Arial"/>
          <w:szCs w:val="18"/>
        </w:rPr>
        <w:t>s</w:t>
      </w:r>
      <w:r w:rsidR="00F94182" w:rsidRPr="007B4744">
        <w:rPr>
          <w:rFonts w:cs="Arial"/>
          <w:szCs w:val="18"/>
        </w:rPr>
        <w:t xml:space="preserve"> hazardousness and </w:t>
      </w:r>
      <w:r w:rsidR="00D06E8C">
        <w:rPr>
          <w:rFonts w:cs="Arial"/>
          <w:szCs w:val="18"/>
        </w:rPr>
        <w:t>their</w:t>
      </w:r>
      <w:r w:rsidR="00F94182" w:rsidRPr="007B4744">
        <w:rPr>
          <w:rFonts w:cs="Arial"/>
          <w:szCs w:val="18"/>
        </w:rPr>
        <w:t xml:space="preserve"> persistence time. The paper illustrates a methodological approach</w:t>
      </w:r>
      <w:r w:rsidR="00DD0E7A" w:rsidRPr="007B4744">
        <w:rPr>
          <w:rFonts w:eastAsiaTheme="minorHAnsi" w:cs="Arial"/>
          <w:szCs w:val="18"/>
          <w:lang w:val="en-US"/>
        </w:rPr>
        <w:t xml:space="preserve"> </w:t>
      </w:r>
      <w:r w:rsidR="00F94182" w:rsidRPr="007B4744">
        <w:rPr>
          <w:rFonts w:eastAsiaTheme="minorHAnsi" w:cs="Arial"/>
          <w:szCs w:val="18"/>
          <w:lang w:val="en-US"/>
        </w:rPr>
        <w:t xml:space="preserve">aimed at the optimization of the dilution </w:t>
      </w:r>
      <w:r w:rsidR="00F94182" w:rsidRPr="007B4744">
        <w:rPr>
          <w:rFonts w:eastAsiaTheme="minorHAnsi" w:cs="Arial"/>
          <w:szCs w:val="18"/>
          <w:lang w:val="en-US"/>
        </w:rPr>
        <w:lastRenderedPageBreak/>
        <w:t>degree</w:t>
      </w:r>
      <w:r w:rsidR="00594E67" w:rsidRPr="007B4744">
        <w:rPr>
          <w:rFonts w:eastAsiaTheme="minorHAnsi" w:cs="Arial"/>
          <w:szCs w:val="18"/>
          <w:lang w:val="en-US"/>
        </w:rPr>
        <w:t xml:space="preserve"> of biomethane compression unit. </w:t>
      </w:r>
      <w:r w:rsidR="005B2255">
        <w:rPr>
          <w:rFonts w:eastAsiaTheme="minorHAnsi" w:cs="Arial"/>
          <w:szCs w:val="18"/>
          <w:lang w:val="en-US"/>
        </w:rPr>
        <w:t xml:space="preserve">This optimization depends on minimum air velocity, which has to be ensured by the artificial ventilation system. </w:t>
      </w:r>
      <w:r w:rsidR="00594E67" w:rsidRPr="007B4744">
        <w:rPr>
          <w:rFonts w:eastAsiaTheme="minorHAnsi" w:cs="Arial"/>
          <w:szCs w:val="18"/>
          <w:lang w:val="en-US"/>
        </w:rPr>
        <w:t>The dilution degree is one</w:t>
      </w:r>
      <w:r w:rsidR="00F94182" w:rsidRPr="007B4744">
        <w:rPr>
          <w:rFonts w:eastAsiaTheme="minorHAnsi" w:cs="Arial"/>
          <w:szCs w:val="18"/>
          <w:lang w:val="en-US"/>
        </w:rPr>
        <w:t xml:space="preserve"> </w:t>
      </w:r>
      <w:r w:rsidR="00594E67" w:rsidRPr="007B4744">
        <w:rPr>
          <w:rFonts w:eastAsiaTheme="minorHAnsi" w:cs="Arial"/>
          <w:szCs w:val="18"/>
          <w:lang w:val="en-US"/>
        </w:rPr>
        <w:t>of parameters required by International Standard IEC EN 60079-</w:t>
      </w:r>
      <w:r w:rsidR="00594E67">
        <w:rPr>
          <w:rFonts w:eastAsiaTheme="minorHAnsi" w:cs="Arial"/>
          <w:szCs w:val="18"/>
          <w:lang w:val="en-US"/>
        </w:rPr>
        <w:t xml:space="preserve">10-1 for classifying the zone (hazardous or non-hazardous) </w:t>
      </w:r>
      <w:r w:rsidR="0056395A">
        <w:rPr>
          <w:rFonts w:eastAsiaTheme="minorHAnsi" w:cs="Arial"/>
          <w:szCs w:val="18"/>
          <w:lang w:val="en-US"/>
        </w:rPr>
        <w:t xml:space="preserve">generated by a potential release source and its optimization can </w:t>
      </w:r>
      <w:r w:rsidR="00F94182">
        <w:rPr>
          <w:rFonts w:eastAsiaTheme="minorHAnsi" w:cs="Arial"/>
          <w:szCs w:val="18"/>
          <w:lang w:val="en-US"/>
        </w:rPr>
        <w:t xml:space="preserve">make the </w:t>
      </w:r>
      <w:proofErr w:type="spellStart"/>
      <w:r w:rsidR="00F94182">
        <w:rPr>
          <w:rFonts w:eastAsiaTheme="minorHAnsi" w:cs="Arial"/>
          <w:szCs w:val="18"/>
          <w:lang w:val="en-US"/>
        </w:rPr>
        <w:t>Atex</w:t>
      </w:r>
      <w:proofErr w:type="spellEnd"/>
      <w:r w:rsidR="00F94182">
        <w:rPr>
          <w:rFonts w:eastAsiaTheme="minorHAnsi" w:cs="Arial"/>
          <w:szCs w:val="18"/>
          <w:lang w:val="en-US"/>
        </w:rPr>
        <w:t xml:space="preserve"> zone</w:t>
      </w:r>
      <w:r w:rsidR="00510EA0">
        <w:rPr>
          <w:rFonts w:eastAsiaTheme="minorHAnsi" w:cs="Arial"/>
          <w:szCs w:val="18"/>
          <w:lang w:val="en-US"/>
        </w:rPr>
        <w:t>s</w:t>
      </w:r>
      <w:r w:rsidR="00F94182">
        <w:rPr>
          <w:rFonts w:eastAsiaTheme="minorHAnsi" w:cs="Arial"/>
          <w:szCs w:val="18"/>
          <w:lang w:val="en-US"/>
        </w:rPr>
        <w:t xml:space="preserve"> less hazardous. </w:t>
      </w:r>
      <w:r w:rsidR="004F277A">
        <w:rPr>
          <w:rFonts w:eastAsiaTheme="minorHAnsi" w:cs="Arial"/>
          <w:szCs w:val="18"/>
          <w:lang w:val="en-US"/>
        </w:rPr>
        <w:t xml:space="preserve">This parameter </w:t>
      </w:r>
      <w:r w:rsidR="00F359DE">
        <w:rPr>
          <w:rFonts w:cs="Arial"/>
          <w:szCs w:val="18"/>
        </w:rPr>
        <w:t xml:space="preserve">is a ventilation efficiency measure </w:t>
      </w:r>
      <w:r w:rsidR="004F277A">
        <w:rPr>
          <w:rFonts w:eastAsiaTheme="minorHAnsi" w:cs="Arial"/>
          <w:szCs w:val="18"/>
          <w:lang w:val="en-US"/>
        </w:rPr>
        <w:t xml:space="preserve">to dilute a flammable gas (or mixture) release to a safe level. </w:t>
      </w:r>
      <w:r w:rsidR="00F15950">
        <w:rPr>
          <w:rFonts w:cs="Arial"/>
          <w:szCs w:val="18"/>
        </w:rPr>
        <w:t>The best condition is characterized by gaseous biofuel concentrations (in air), which are below its lower flammability limit (</w:t>
      </w:r>
      <w:r w:rsidR="00CE6DA7">
        <w:rPr>
          <w:rFonts w:cs="Arial"/>
          <w:szCs w:val="18"/>
        </w:rPr>
        <w:t>Nguemna et al., 2022</w:t>
      </w:r>
      <w:r w:rsidR="00F15950">
        <w:rPr>
          <w:rFonts w:cs="Arial"/>
          <w:szCs w:val="18"/>
        </w:rPr>
        <w:t>).</w:t>
      </w:r>
    </w:p>
    <w:p w14:paraId="28E9D9E0" w14:textId="0FB4F8C5" w:rsidR="00CB4A0D" w:rsidRPr="003F54D9" w:rsidRDefault="00CB4A0D" w:rsidP="00CB4A0D">
      <w:pPr>
        <w:pStyle w:val="CETHeading1"/>
        <w:rPr>
          <w:rFonts w:eastAsiaTheme="minorHAnsi"/>
        </w:rPr>
      </w:pPr>
      <w:r>
        <w:rPr>
          <w:rFonts w:eastAsiaTheme="minorHAnsi"/>
        </w:rPr>
        <w:t>Material and Methods</w:t>
      </w:r>
    </w:p>
    <w:p w14:paraId="31124485" w14:textId="78733BF6" w:rsidR="00D31F73" w:rsidRPr="008D39AE" w:rsidRDefault="00D31F73" w:rsidP="00D31F73">
      <w:pPr>
        <w:pStyle w:val="CETBodytext"/>
        <w:spacing w:line="22" w:lineRule="atLeast"/>
        <w:rPr>
          <w:rFonts w:cs="Arial"/>
          <w:szCs w:val="18"/>
        </w:rPr>
      </w:pPr>
      <w:r w:rsidRPr="008D39AE">
        <w:rPr>
          <w:rFonts w:cs="Arial"/>
          <w:szCs w:val="18"/>
          <w:lang w:val="en-GB"/>
        </w:rPr>
        <w:t xml:space="preserve">The </w:t>
      </w:r>
      <w:r>
        <w:rPr>
          <w:rFonts w:cs="Arial"/>
          <w:szCs w:val="18"/>
          <w:lang w:val="en-GB"/>
        </w:rPr>
        <w:t xml:space="preserve">proposed approach is based on International </w:t>
      </w:r>
      <w:r w:rsidRPr="008D39AE">
        <w:rPr>
          <w:rFonts w:cs="Arial"/>
          <w:szCs w:val="18"/>
          <w:lang w:val="en-GB"/>
        </w:rPr>
        <w:t xml:space="preserve"> Standard IEC </w:t>
      </w:r>
      <w:r w:rsidR="00F359DE">
        <w:rPr>
          <w:rFonts w:cs="Arial"/>
          <w:szCs w:val="18"/>
          <w:lang w:val="en-GB"/>
        </w:rPr>
        <w:t xml:space="preserve">EN </w:t>
      </w:r>
      <w:r w:rsidRPr="008D39AE">
        <w:rPr>
          <w:rFonts w:cs="Arial"/>
          <w:szCs w:val="18"/>
          <w:lang w:val="en-GB"/>
        </w:rPr>
        <w:t>60079-10-1</w:t>
      </w:r>
      <w:r>
        <w:rPr>
          <w:rFonts w:cs="Arial"/>
          <w:szCs w:val="18"/>
          <w:lang w:val="en-GB"/>
        </w:rPr>
        <w:t>, which is</w:t>
      </w:r>
      <w:r w:rsidRPr="008D39AE">
        <w:rPr>
          <w:rFonts w:cs="Arial"/>
          <w:szCs w:val="18"/>
          <w:lang w:val="en-GB"/>
        </w:rPr>
        <w:t xml:space="preserve"> used to classify the areas (</w:t>
      </w:r>
      <w:proofErr w:type="spellStart"/>
      <w:r w:rsidRPr="008D39AE">
        <w:rPr>
          <w:rFonts w:cs="Arial"/>
          <w:szCs w:val="18"/>
          <w:lang w:val="en-GB"/>
        </w:rPr>
        <w:t>Atex</w:t>
      </w:r>
      <w:proofErr w:type="spellEnd"/>
      <w:r w:rsidRPr="008D39AE">
        <w:rPr>
          <w:rFonts w:cs="Arial"/>
          <w:szCs w:val="18"/>
          <w:lang w:val="en-GB"/>
        </w:rPr>
        <w:t xml:space="preserve"> zones), where a potentially explosive mixture could form. The zones</w:t>
      </w:r>
      <w:r w:rsidRPr="008D39AE">
        <w:rPr>
          <w:rFonts w:cs="Arial"/>
          <w:szCs w:val="18"/>
        </w:rPr>
        <w:t xml:space="preserve"> classification </w:t>
      </w:r>
      <w:r w:rsidR="00AF746F">
        <w:rPr>
          <w:rFonts w:cs="Arial"/>
          <w:szCs w:val="18"/>
        </w:rPr>
        <w:t>(</w:t>
      </w:r>
      <w:r w:rsidR="000F738F">
        <w:rPr>
          <w:rFonts w:cs="Arial"/>
          <w:szCs w:val="18"/>
        </w:rPr>
        <w:t>Table 1</w:t>
      </w:r>
      <w:r w:rsidR="00AF746F">
        <w:rPr>
          <w:rFonts w:cs="Arial"/>
          <w:szCs w:val="18"/>
        </w:rPr>
        <w:t>)</w:t>
      </w:r>
      <w:r w:rsidR="00641853">
        <w:rPr>
          <w:rFonts w:cs="Arial"/>
          <w:szCs w:val="18"/>
        </w:rPr>
        <w:t xml:space="preserve"> </w:t>
      </w:r>
      <w:r w:rsidRPr="008D39AE">
        <w:rPr>
          <w:rFonts w:cs="Arial"/>
          <w:szCs w:val="18"/>
        </w:rPr>
        <w:t>depends on three following parameters (IEC, 20</w:t>
      </w:r>
      <w:r>
        <w:rPr>
          <w:rFonts w:cs="Arial"/>
          <w:szCs w:val="18"/>
        </w:rPr>
        <w:t>21</w:t>
      </w:r>
      <w:r w:rsidRPr="008D39AE">
        <w:rPr>
          <w:rFonts w:cs="Arial"/>
          <w:szCs w:val="18"/>
        </w:rPr>
        <w:t>):</w:t>
      </w:r>
    </w:p>
    <w:p w14:paraId="24DB6514" w14:textId="77777777" w:rsidR="00D31F73" w:rsidRPr="008D39AE" w:rsidRDefault="00D31F73" w:rsidP="00D31F73">
      <w:pPr>
        <w:pStyle w:val="CETBodytext"/>
        <w:numPr>
          <w:ilvl w:val="0"/>
          <w:numId w:val="22"/>
        </w:numPr>
        <w:spacing w:line="22" w:lineRule="atLeast"/>
        <w:ind w:left="426" w:hanging="426"/>
        <w:rPr>
          <w:rFonts w:cs="Arial"/>
          <w:szCs w:val="18"/>
        </w:rPr>
      </w:pPr>
      <w:r w:rsidRPr="008D39AE">
        <w:rPr>
          <w:rFonts w:cs="Arial"/>
          <w:szCs w:val="18"/>
        </w:rPr>
        <w:t xml:space="preserve">source release grade (continuous, primary or secondary); </w:t>
      </w:r>
    </w:p>
    <w:p w14:paraId="0FC1840A" w14:textId="77777777" w:rsidR="00D31F73" w:rsidRPr="008D39AE" w:rsidRDefault="00D31F73" w:rsidP="00D31F73">
      <w:pPr>
        <w:pStyle w:val="CETBodytext"/>
        <w:numPr>
          <w:ilvl w:val="0"/>
          <w:numId w:val="22"/>
        </w:numPr>
        <w:spacing w:line="22" w:lineRule="atLeast"/>
        <w:ind w:left="426" w:hanging="426"/>
        <w:rPr>
          <w:rFonts w:cs="Arial"/>
          <w:szCs w:val="18"/>
        </w:rPr>
      </w:pPr>
      <w:r w:rsidRPr="008D39AE">
        <w:rPr>
          <w:rFonts w:cs="Arial"/>
          <w:szCs w:val="18"/>
        </w:rPr>
        <w:t xml:space="preserve">dilution degree (high, medium or low); </w:t>
      </w:r>
    </w:p>
    <w:p w14:paraId="0DF329F6" w14:textId="14FC2FD2" w:rsidR="00D31F73" w:rsidRDefault="00D31F73" w:rsidP="00D31F73">
      <w:pPr>
        <w:pStyle w:val="CETBodytext"/>
        <w:numPr>
          <w:ilvl w:val="0"/>
          <w:numId w:val="22"/>
        </w:numPr>
        <w:spacing w:line="22" w:lineRule="atLeast"/>
        <w:ind w:left="426" w:hanging="426"/>
        <w:rPr>
          <w:rFonts w:cs="Arial"/>
          <w:szCs w:val="18"/>
        </w:rPr>
      </w:pPr>
      <w:proofErr w:type="gramStart"/>
      <w:r w:rsidRPr="008D39AE">
        <w:rPr>
          <w:rFonts w:cs="Arial"/>
          <w:szCs w:val="18"/>
        </w:rPr>
        <w:t>ventilation</w:t>
      </w:r>
      <w:proofErr w:type="gramEnd"/>
      <w:r w:rsidRPr="008D39AE">
        <w:rPr>
          <w:rFonts w:cs="Arial"/>
          <w:szCs w:val="18"/>
        </w:rPr>
        <w:t xml:space="preserve"> availability (good, fair or poor). </w:t>
      </w:r>
    </w:p>
    <w:p w14:paraId="29C353E5" w14:textId="45765268" w:rsidR="0090024F" w:rsidRDefault="0090024F" w:rsidP="0090024F">
      <w:pPr>
        <w:pStyle w:val="CETBodytext"/>
        <w:spacing w:line="22" w:lineRule="atLeast"/>
        <w:rPr>
          <w:rFonts w:cs="Arial"/>
          <w:szCs w:val="18"/>
        </w:rPr>
      </w:pPr>
    </w:p>
    <w:p w14:paraId="3DA2EE9C" w14:textId="4EE71A35" w:rsidR="0090024F" w:rsidRPr="00655572" w:rsidRDefault="0090024F" w:rsidP="000E60E9">
      <w:pPr>
        <w:pStyle w:val="CETBodytext"/>
        <w:tabs>
          <w:tab w:val="left" w:pos="284"/>
        </w:tabs>
        <w:jc w:val="left"/>
        <w:rPr>
          <w:rFonts w:cs="Arial"/>
          <w:i/>
          <w:szCs w:val="18"/>
        </w:rPr>
      </w:pPr>
      <w:r w:rsidRPr="00655572">
        <w:rPr>
          <w:rFonts w:cs="Arial"/>
          <w:i/>
          <w:szCs w:val="18"/>
        </w:rPr>
        <w:t>Table 1:</w:t>
      </w:r>
      <w:r>
        <w:rPr>
          <w:rFonts w:cs="Arial"/>
          <w:i/>
          <w:szCs w:val="18"/>
        </w:rPr>
        <w:t xml:space="preserve"> </w:t>
      </w:r>
      <w:r w:rsidRPr="00655572">
        <w:rPr>
          <w:rFonts w:cs="Arial"/>
          <w:i/>
          <w:szCs w:val="18"/>
        </w:rPr>
        <w:t>Classification of hazardous zones due to potentially explosive atmospheres</w:t>
      </w:r>
      <w:r w:rsidR="000F738F">
        <w:rPr>
          <w:rFonts w:cs="Arial"/>
          <w:i/>
          <w:szCs w:val="18"/>
        </w:rPr>
        <w:t xml:space="preserve"> (IEC EN 60079-10-1)</w:t>
      </w:r>
    </w:p>
    <w:tbl>
      <w:tblPr>
        <w:tblStyle w:val="Tabellasemplice-21"/>
        <w:tblW w:w="5000" w:type="pct"/>
        <w:tblLook w:val="04A0" w:firstRow="1" w:lastRow="0" w:firstColumn="1" w:lastColumn="0" w:noHBand="0" w:noVBand="1"/>
      </w:tblPr>
      <w:tblGrid>
        <w:gridCol w:w="1291"/>
        <w:gridCol w:w="1293"/>
        <w:gridCol w:w="1293"/>
        <w:gridCol w:w="1170"/>
        <w:gridCol w:w="810"/>
        <w:gridCol w:w="1037"/>
        <w:gridCol w:w="863"/>
        <w:gridCol w:w="14"/>
        <w:gridCol w:w="1016"/>
      </w:tblGrid>
      <w:tr w:rsidR="0090024F" w:rsidRPr="00655572" w14:paraId="439314F1" w14:textId="77777777" w:rsidTr="000E60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tcBorders>
              <w:top w:val="single" w:sz="12" w:space="0" w:color="00B050"/>
              <w:left w:val="nil"/>
              <w:bottom w:val="single" w:sz="12" w:space="0" w:color="00B050"/>
              <w:right w:val="nil"/>
            </w:tcBorders>
            <w:shd w:val="clear" w:color="auto" w:fill="auto"/>
          </w:tcPr>
          <w:p w14:paraId="2EA8A6C6" w14:textId="77777777" w:rsidR="0090024F" w:rsidRPr="00655572" w:rsidRDefault="0090024F" w:rsidP="008C34EF">
            <w:pPr>
              <w:rPr>
                <w:rFonts w:cs="Arial"/>
                <w:szCs w:val="18"/>
                <w:lang w:val="en-US"/>
              </w:rPr>
            </w:pPr>
          </w:p>
        </w:tc>
        <w:tc>
          <w:tcPr>
            <w:tcW w:w="4266" w:type="pct"/>
            <w:gridSpan w:val="8"/>
            <w:tcBorders>
              <w:top w:val="single" w:sz="12" w:space="0" w:color="00B050"/>
              <w:left w:val="nil"/>
              <w:bottom w:val="single" w:sz="12" w:space="0" w:color="00B050"/>
              <w:right w:val="nil"/>
            </w:tcBorders>
            <w:shd w:val="clear" w:color="auto" w:fill="auto"/>
            <w:hideMark/>
          </w:tcPr>
          <w:p w14:paraId="1712B414" w14:textId="0B17FFA8" w:rsidR="0090024F" w:rsidRPr="00315C22" w:rsidRDefault="0090024F" w:rsidP="009E5C62">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Pr>
                <w:rFonts w:cs="Arial"/>
                <w:b w:val="0"/>
                <w:szCs w:val="18"/>
              </w:rPr>
              <w:t>Dilu</w:t>
            </w:r>
            <w:r w:rsidRPr="00315C22">
              <w:rPr>
                <w:rFonts w:cs="Arial"/>
                <w:b w:val="0"/>
                <w:szCs w:val="18"/>
              </w:rPr>
              <w:t>tion</w:t>
            </w:r>
            <w:r w:rsidR="009E5C62">
              <w:rPr>
                <w:rFonts w:cs="Arial"/>
                <w:b w:val="0"/>
                <w:szCs w:val="18"/>
              </w:rPr>
              <w:t xml:space="preserve"> d</w:t>
            </w:r>
            <w:r w:rsidR="009E5C62" w:rsidRPr="009E5C62">
              <w:rPr>
                <w:rFonts w:cs="Arial"/>
                <w:b w:val="0"/>
                <w:szCs w:val="18"/>
              </w:rPr>
              <w:t>egree</w:t>
            </w:r>
          </w:p>
        </w:tc>
      </w:tr>
      <w:tr w:rsidR="0090024F" w:rsidRPr="00655572" w14:paraId="490FAF0A" w14:textId="77777777" w:rsidTr="009E5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vMerge w:val="restart"/>
            <w:tcBorders>
              <w:top w:val="single" w:sz="12" w:space="0" w:color="00B050"/>
              <w:left w:val="nil"/>
              <w:bottom w:val="nil"/>
              <w:right w:val="nil"/>
            </w:tcBorders>
          </w:tcPr>
          <w:p w14:paraId="7C974BCC" w14:textId="77777777" w:rsidR="0090024F" w:rsidRPr="00655572" w:rsidRDefault="0090024F" w:rsidP="008C34EF">
            <w:pPr>
              <w:jc w:val="center"/>
              <w:rPr>
                <w:rFonts w:cs="Arial"/>
                <w:szCs w:val="18"/>
              </w:rPr>
            </w:pPr>
          </w:p>
          <w:p w14:paraId="5343C0AD" w14:textId="77777777" w:rsidR="0090024F" w:rsidRPr="00655572" w:rsidRDefault="0090024F" w:rsidP="008C34EF">
            <w:pPr>
              <w:jc w:val="center"/>
              <w:rPr>
                <w:rFonts w:cs="Arial"/>
                <w:szCs w:val="18"/>
              </w:rPr>
            </w:pPr>
          </w:p>
          <w:p w14:paraId="69439884" w14:textId="77777777" w:rsidR="0090024F" w:rsidRPr="00315C22" w:rsidRDefault="0090024F" w:rsidP="008C34EF">
            <w:pPr>
              <w:jc w:val="center"/>
              <w:rPr>
                <w:rFonts w:cs="Arial"/>
                <w:b w:val="0"/>
                <w:szCs w:val="18"/>
              </w:rPr>
            </w:pPr>
            <w:r w:rsidRPr="00315C22">
              <w:rPr>
                <w:rFonts w:cs="Arial"/>
                <w:b w:val="0"/>
                <w:szCs w:val="18"/>
              </w:rPr>
              <w:t>Release Grade</w:t>
            </w:r>
          </w:p>
        </w:tc>
        <w:tc>
          <w:tcPr>
            <w:tcW w:w="4266" w:type="pct"/>
            <w:gridSpan w:val="8"/>
            <w:tcBorders>
              <w:top w:val="single" w:sz="12" w:space="0" w:color="00B050"/>
              <w:left w:val="nil"/>
              <w:bottom w:val="nil"/>
              <w:right w:val="nil"/>
            </w:tcBorders>
            <w:hideMark/>
          </w:tcPr>
          <w:p w14:paraId="613F00D4" w14:textId="23E1F702"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p>
        </w:tc>
      </w:tr>
      <w:tr w:rsidR="0090024F" w:rsidRPr="00655572" w14:paraId="11E3B770" w14:textId="77777777" w:rsidTr="008C34EF">
        <w:tc>
          <w:tcPr>
            <w:cnfStyle w:val="001000000000" w:firstRow="0" w:lastRow="0" w:firstColumn="1" w:lastColumn="0" w:oddVBand="0" w:evenVBand="0" w:oddHBand="0" w:evenHBand="0" w:firstRowFirstColumn="0" w:firstRowLastColumn="0" w:lastRowFirstColumn="0" w:lastRowLastColumn="0"/>
            <w:tcW w:w="734" w:type="pct"/>
            <w:vMerge/>
            <w:tcBorders>
              <w:top w:val="nil"/>
              <w:left w:val="nil"/>
              <w:bottom w:val="nil"/>
              <w:right w:val="nil"/>
            </w:tcBorders>
            <w:vAlign w:val="center"/>
            <w:hideMark/>
          </w:tcPr>
          <w:p w14:paraId="79BAED4B" w14:textId="77777777" w:rsidR="0090024F" w:rsidRPr="00655572" w:rsidRDefault="0090024F" w:rsidP="008C34EF">
            <w:pPr>
              <w:rPr>
                <w:rFonts w:cs="Arial"/>
                <w:szCs w:val="18"/>
              </w:rPr>
            </w:pPr>
          </w:p>
        </w:tc>
        <w:tc>
          <w:tcPr>
            <w:tcW w:w="2138" w:type="pct"/>
            <w:gridSpan w:val="3"/>
            <w:tcBorders>
              <w:top w:val="nil"/>
              <w:left w:val="nil"/>
              <w:bottom w:val="nil"/>
              <w:right w:val="nil"/>
            </w:tcBorders>
            <w:hideMark/>
          </w:tcPr>
          <w:p w14:paraId="132E4E36"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High</w:t>
            </w:r>
          </w:p>
        </w:tc>
        <w:tc>
          <w:tcPr>
            <w:tcW w:w="1542" w:type="pct"/>
            <w:gridSpan w:val="3"/>
            <w:tcBorders>
              <w:top w:val="nil"/>
              <w:left w:val="nil"/>
              <w:bottom w:val="nil"/>
              <w:right w:val="nil"/>
            </w:tcBorders>
            <w:hideMark/>
          </w:tcPr>
          <w:p w14:paraId="727B19BF" w14:textId="77777777" w:rsidR="0090024F" w:rsidRPr="00655572" w:rsidRDefault="0090024F" w:rsidP="008C34EF">
            <w:pPr>
              <w:ind w:left="63"/>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Medium</w:t>
            </w:r>
          </w:p>
        </w:tc>
        <w:tc>
          <w:tcPr>
            <w:tcW w:w="587" w:type="pct"/>
            <w:gridSpan w:val="2"/>
            <w:tcBorders>
              <w:top w:val="nil"/>
              <w:left w:val="nil"/>
              <w:bottom w:val="nil"/>
              <w:right w:val="nil"/>
            </w:tcBorders>
            <w:hideMark/>
          </w:tcPr>
          <w:p w14:paraId="7797B410" w14:textId="77777777" w:rsidR="0090024F" w:rsidRPr="00655572" w:rsidRDefault="0090024F" w:rsidP="008C34EF">
            <w:pPr>
              <w:ind w:left="148"/>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Low</w:t>
            </w:r>
          </w:p>
        </w:tc>
      </w:tr>
      <w:tr w:rsidR="0090024F" w:rsidRPr="00655572" w14:paraId="13180549" w14:textId="77777777" w:rsidTr="008C3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vMerge/>
            <w:tcBorders>
              <w:top w:val="nil"/>
              <w:left w:val="nil"/>
              <w:bottom w:val="nil"/>
              <w:right w:val="nil"/>
            </w:tcBorders>
            <w:vAlign w:val="center"/>
            <w:hideMark/>
          </w:tcPr>
          <w:p w14:paraId="6800ED45" w14:textId="77777777" w:rsidR="0090024F" w:rsidRPr="00655572" w:rsidRDefault="0090024F" w:rsidP="008C34EF">
            <w:pPr>
              <w:rPr>
                <w:rFonts w:cs="Arial"/>
                <w:szCs w:val="18"/>
              </w:rPr>
            </w:pPr>
          </w:p>
        </w:tc>
        <w:tc>
          <w:tcPr>
            <w:tcW w:w="4266" w:type="pct"/>
            <w:gridSpan w:val="8"/>
            <w:tcBorders>
              <w:top w:val="nil"/>
              <w:left w:val="nil"/>
              <w:bottom w:val="nil"/>
              <w:right w:val="nil"/>
            </w:tcBorders>
            <w:hideMark/>
          </w:tcPr>
          <w:p w14:paraId="069B6901" w14:textId="2A9C4333" w:rsidR="0090024F" w:rsidRPr="00655572" w:rsidRDefault="005D4182" w:rsidP="005D4182">
            <w:pPr>
              <w:jc w:val="center"/>
              <w:cnfStyle w:val="000000100000" w:firstRow="0" w:lastRow="0" w:firstColumn="0" w:lastColumn="0" w:oddVBand="0" w:evenVBand="0" w:oddHBand="1" w:evenHBand="0" w:firstRowFirstColumn="0" w:firstRowLastColumn="0" w:lastRowFirstColumn="0" w:lastRowLastColumn="0"/>
              <w:rPr>
                <w:rFonts w:cs="Arial"/>
                <w:szCs w:val="18"/>
              </w:rPr>
            </w:pPr>
            <w:r>
              <w:rPr>
                <w:rFonts w:cs="Arial"/>
                <w:szCs w:val="18"/>
              </w:rPr>
              <w:t>Ventilation a</w:t>
            </w:r>
            <w:r w:rsidR="0090024F" w:rsidRPr="00655572">
              <w:rPr>
                <w:rFonts w:cs="Arial"/>
                <w:szCs w:val="18"/>
              </w:rPr>
              <w:t>vailability</w:t>
            </w:r>
          </w:p>
        </w:tc>
      </w:tr>
      <w:tr w:rsidR="0090024F" w:rsidRPr="00655572" w14:paraId="5045A26E" w14:textId="77777777" w:rsidTr="008C34EF">
        <w:tc>
          <w:tcPr>
            <w:cnfStyle w:val="001000000000" w:firstRow="0" w:lastRow="0" w:firstColumn="1" w:lastColumn="0" w:oddVBand="0" w:evenVBand="0" w:oddHBand="0" w:evenHBand="0" w:firstRowFirstColumn="0" w:firstRowLastColumn="0" w:lastRowFirstColumn="0" w:lastRowLastColumn="0"/>
            <w:tcW w:w="734" w:type="pct"/>
            <w:vMerge/>
            <w:tcBorders>
              <w:top w:val="nil"/>
              <w:left w:val="nil"/>
              <w:bottom w:val="nil"/>
              <w:right w:val="nil"/>
            </w:tcBorders>
            <w:vAlign w:val="center"/>
            <w:hideMark/>
          </w:tcPr>
          <w:p w14:paraId="1B8F84A8" w14:textId="77777777" w:rsidR="0090024F" w:rsidRPr="00655572" w:rsidRDefault="0090024F" w:rsidP="008C34EF">
            <w:pPr>
              <w:rPr>
                <w:rFonts w:cs="Arial"/>
                <w:szCs w:val="18"/>
              </w:rPr>
            </w:pPr>
          </w:p>
        </w:tc>
        <w:tc>
          <w:tcPr>
            <w:tcW w:w="736" w:type="pct"/>
            <w:tcBorders>
              <w:top w:val="nil"/>
              <w:left w:val="nil"/>
              <w:bottom w:val="nil"/>
              <w:right w:val="nil"/>
            </w:tcBorders>
            <w:hideMark/>
          </w:tcPr>
          <w:p w14:paraId="6BE0F147"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Good</w:t>
            </w:r>
          </w:p>
        </w:tc>
        <w:tc>
          <w:tcPr>
            <w:tcW w:w="736" w:type="pct"/>
            <w:tcBorders>
              <w:top w:val="nil"/>
              <w:left w:val="nil"/>
              <w:bottom w:val="nil"/>
              <w:right w:val="nil"/>
            </w:tcBorders>
            <w:hideMark/>
          </w:tcPr>
          <w:p w14:paraId="2F951F3D"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Fair</w:t>
            </w:r>
          </w:p>
        </w:tc>
        <w:tc>
          <w:tcPr>
            <w:tcW w:w="665" w:type="pct"/>
            <w:tcBorders>
              <w:top w:val="nil"/>
              <w:left w:val="nil"/>
              <w:bottom w:val="nil"/>
              <w:right w:val="nil"/>
            </w:tcBorders>
            <w:hideMark/>
          </w:tcPr>
          <w:p w14:paraId="06DC371D"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Poor</w:t>
            </w:r>
          </w:p>
        </w:tc>
        <w:tc>
          <w:tcPr>
            <w:tcW w:w="461" w:type="pct"/>
            <w:tcBorders>
              <w:top w:val="nil"/>
              <w:left w:val="nil"/>
              <w:bottom w:val="nil"/>
              <w:right w:val="nil"/>
            </w:tcBorders>
            <w:hideMark/>
          </w:tcPr>
          <w:p w14:paraId="493AFFBE"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Good</w:t>
            </w:r>
          </w:p>
        </w:tc>
        <w:tc>
          <w:tcPr>
            <w:tcW w:w="590" w:type="pct"/>
            <w:tcBorders>
              <w:top w:val="nil"/>
              <w:left w:val="nil"/>
              <w:bottom w:val="nil"/>
              <w:right w:val="nil"/>
            </w:tcBorders>
            <w:hideMark/>
          </w:tcPr>
          <w:p w14:paraId="7771FC4E"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Fair</w:t>
            </w:r>
          </w:p>
        </w:tc>
        <w:tc>
          <w:tcPr>
            <w:tcW w:w="499" w:type="pct"/>
            <w:gridSpan w:val="2"/>
            <w:tcBorders>
              <w:top w:val="nil"/>
              <w:left w:val="nil"/>
              <w:bottom w:val="nil"/>
              <w:right w:val="nil"/>
            </w:tcBorders>
            <w:hideMark/>
          </w:tcPr>
          <w:p w14:paraId="6AE925D5"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Poor</w:t>
            </w:r>
          </w:p>
        </w:tc>
        <w:tc>
          <w:tcPr>
            <w:tcW w:w="580" w:type="pct"/>
            <w:tcBorders>
              <w:top w:val="nil"/>
              <w:left w:val="nil"/>
              <w:bottom w:val="nil"/>
              <w:right w:val="nil"/>
            </w:tcBorders>
            <w:hideMark/>
          </w:tcPr>
          <w:p w14:paraId="0D5D52FE"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Good, fair or poor</w:t>
            </w:r>
          </w:p>
        </w:tc>
      </w:tr>
      <w:tr w:rsidR="0090024F" w:rsidRPr="00655572" w14:paraId="0A3AE89A" w14:textId="77777777" w:rsidTr="008C3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tcBorders>
              <w:top w:val="nil"/>
              <w:left w:val="nil"/>
              <w:bottom w:val="nil"/>
              <w:right w:val="nil"/>
            </w:tcBorders>
          </w:tcPr>
          <w:p w14:paraId="1A752CBB" w14:textId="77777777" w:rsidR="0090024F" w:rsidRPr="00655572" w:rsidRDefault="0090024F" w:rsidP="008C34EF">
            <w:pPr>
              <w:jc w:val="center"/>
              <w:rPr>
                <w:rFonts w:cs="Arial"/>
                <w:szCs w:val="18"/>
              </w:rPr>
            </w:pPr>
          </w:p>
          <w:p w14:paraId="1C41C273" w14:textId="77777777" w:rsidR="0090024F" w:rsidRPr="00315C22" w:rsidRDefault="0090024F" w:rsidP="008C34EF">
            <w:pPr>
              <w:jc w:val="center"/>
              <w:rPr>
                <w:rFonts w:cs="Arial"/>
                <w:b w:val="0"/>
                <w:szCs w:val="18"/>
              </w:rPr>
            </w:pPr>
            <w:r w:rsidRPr="00315C22">
              <w:rPr>
                <w:rFonts w:cs="Arial"/>
                <w:b w:val="0"/>
                <w:szCs w:val="18"/>
              </w:rPr>
              <w:t>continuous</w:t>
            </w:r>
          </w:p>
        </w:tc>
        <w:tc>
          <w:tcPr>
            <w:tcW w:w="736" w:type="pct"/>
            <w:tcBorders>
              <w:top w:val="nil"/>
              <w:left w:val="nil"/>
              <w:bottom w:val="nil"/>
              <w:right w:val="nil"/>
            </w:tcBorders>
            <w:hideMark/>
          </w:tcPr>
          <w:p w14:paraId="21CD7851" w14:textId="7B6AD156" w:rsidR="0090024F" w:rsidRPr="00655572" w:rsidRDefault="0090024F" w:rsidP="009E5C62">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r w:rsidRPr="00655572">
              <w:rPr>
                <w:rFonts w:cs="Arial"/>
                <w:szCs w:val="18"/>
                <w:lang w:val="it-IT"/>
              </w:rPr>
              <w:t>(Zone 0 NE)</w:t>
            </w:r>
            <w:r w:rsidR="009E5C62" w:rsidRPr="00655572">
              <w:rPr>
                <w:rFonts w:cs="Arial"/>
                <w:szCs w:val="18"/>
                <w:vertAlign w:val="superscript"/>
                <w:lang w:val="it-IT"/>
              </w:rPr>
              <w:t>a</w:t>
            </w:r>
            <w:r w:rsidRPr="00655572">
              <w:rPr>
                <w:rFonts w:cs="Arial"/>
                <w:szCs w:val="18"/>
                <w:lang w:val="it-IT"/>
              </w:rPr>
              <w:t xml:space="preserve"> Non hazardous</w:t>
            </w:r>
          </w:p>
        </w:tc>
        <w:tc>
          <w:tcPr>
            <w:tcW w:w="736" w:type="pct"/>
            <w:tcBorders>
              <w:top w:val="nil"/>
              <w:left w:val="nil"/>
              <w:bottom w:val="nil"/>
              <w:right w:val="nil"/>
            </w:tcBorders>
            <w:hideMark/>
          </w:tcPr>
          <w:p w14:paraId="628D7A4A" w14:textId="0337526A"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0 NE)</w:t>
            </w:r>
            <w:r w:rsidR="009E5C62" w:rsidRPr="00655572">
              <w:rPr>
                <w:rFonts w:cs="Arial"/>
                <w:szCs w:val="18"/>
                <w:vertAlign w:val="superscript"/>
              </w:rPr>
              <w:t>a</w:t>
            </w:r>
          </w:p>
          <w:p w14:paraId="689951EE" w14:textId="556A7A2D" w:rsidR="0090024F" w:rsidRPr="00655572" w:rsidRDefault="0090024F" w:rsidP="009E5C62">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2</w:t>
            </w:r>
          </w:p>
        </w:tc>
        <w:tc>
          <w:tcPr>
            <w:tcW w:w="665" w:type="pct"/>
            <w:tcBorders>
              <w:top w:val="nil"/>
              <w:left w:val="nil"/>
              <w:bottom w:val="nil"/>
              <w:right w:val="nil"/>
            </w:tcBorders>
            <w:hideMark/>
          </w:tcPr>
          <w:p w14:paraId="5CE90AA0" w14:textId="10027D28"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0 NE)</w:t>
            </w:r>
            <w:r w:rsidR="009E5C62" w:rsidRPr="00655572">
              <w:rPr>
                <w:rFonts w:cs="Arial"/>
                <w:szCs w:val="18"/>
                <w:vertAlign w:val="superscript"/>
              </w:rPr>
              <w:t>a</w:t>
            </w:r>
          </w:p>
          <w:p w14:paraId="73497CEE" w14:textId="0333E0A7" w:rsidR="0090024F" w:rsidRPr="00655572" w:rsidRDefault="0090024F" w:rsidP="009E5C62">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1</w:t>
            </w:r>
          </w:p>
        </w:tc>
        <w:tc>
          <w:tcPr>
            <w:tcW w:w="461" w:type="pct"/>
            <w:tcBorders>
              <w:top w:val="nil"/>
              <w:left w:val="nil"/>
              <w:bottom w:val="nil"/>
              <w:right w:val="nil"/>
            </w:tcBorders>
            <w:hideMark/>
          </w:tcPr>
          <w:p w14:paraId="654AAA60"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0</w:t>
            </w:r>
          </w:p>
        </w:tc>
        <w:tc>
          <w:tcPr>
            <w:tcW w:w="590" w:type="pct"/>
            <w:tcBorders>
              <w:top w:val="nil"/>
              <w:left w:val="nil"/>
              <w:bottom w:val="nil"/>
              <w:right w:val="nil"/>
            </w:tcBorders>
            <w:hideMark/>
          </w:tcPr>
          <w:p w14:paraId="7C76FEB6"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0</w:t>
            </w:r>
          </w:p>
          <w:p w14:paraId="7C168426"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w:t>
            </w:r>
          </w:p>
          <w:p w14:paraId="06D8A5B6"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2</w:t>
            </w:r>
          </w:p>
        </w:tc>
        <w:tc>
          <w:tcPr>
            <w:tcW w:w="499" w:type="pct"/>
            <w:gridSpan w:val="2"/>
            <w:tcBorders>
              <w:top w:val="nil"/>
              <w:left w:val="nil"/>
              <w:bottom w:val="nil"/>
              <w:right w:val="nil"/>
            </w:tcBorders>
            <w:hideMark/>
          </w:tcPr>
          <w:p w14:paraId="4059ECFE"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0</w:t>
            </w:r>
          </w:p>
          <w:p w14:paraId="54E596C0"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w:t>
            </w:r>
          </w:p>
          <w:p w14:paraId="06D532B9"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1</w:t>
            </w:r>
          </w:p>
        </w:tc>
        <w:tc>
          <w:tcPr>
            <w:tcW w:w="580" w:type="pct"/>
            <w:tcBorders>
              <w:top w:val="nil"/>
              <w:left w:val="nil"/>
              <w:bottom w:val="nil"/>
              <w:right w:val="nil"/>
            </w:tcBorders>
            <w:hideMark/>
          </w:tcPr>
          <w:p w14:paraId="3C07970F" w14:textId="77777777"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0</w:t>
            </w:r>
          </w:p>
        </w:tc>
      </w:tr>
      <w:tr w:rsidR="0090024F" w:rsidRPr="00655572" w14:paraId="46692BAA" w14:textId="77777777" w:rsidTr="008C34EF">
        <w:tc>
          <w:tcPr>
            <w:cnfStyle w:val="001000000000" w:firstRow="0" w:lastRow="0" w:firstColumn="1" w:lastColumn="0" w:oddVBand="0" w:evenVBand="0" w:oddHBand="0" w:evenHBand="0" w:firstRowFirstColumn="0" w:firstRowLastColumn="0" w:lastRowFirstColumn="0" w:lastRowLastColumn="0"/>
            <w:tcW w:w="734" w:type="pct"/>
            <w:tcBorders>
              <w:top w:val="nil"/>
              <w:left w:val="nil"/>
              <w:bottom w:val="nil"/>
              <w:right w:val="nil"/>
            </w:tcBorders>
          </w:tcPr>
          <w:p w14:paraId="10FA20BC" w14:textId="77777777" w:rsidR="0090024F" w:rsidRPr="00655572" w:rsidRDefault="0090024F" w:rsidP="008C34EF">
            <w:pPr>
              <w:jc w:val="center"/>
              <w:rPr>
                <w:rFonts w:cs="Arial"/>
                <w:szCs w:val="18"/>
              </w:rPr>
            </w:pPr>
          </w:p>
          <w:p w14:paraId="58C2DE44" w14:textId="77777777" w:rsidR="005406C1" w:rsidRDefault="005406C1" w:rsidP="008C34EF">
            <w:pPr>
              <w:jc w:val="center"/>
              <w:rPr>
                <w:rFonts w:cs="Arial"/>
                <w:b w:val="0"/>
                <w:szCs w:val="18"/>
              </w:rPr>
            </w:pPr>
          </w:p>
          <w:p w14:paraId="66C67608" w14:textId="0EB5351A" w:rsidR="0090024F" w:rsidRPr="00315C22" w:rsidRDefault="0090024F" w:rsidP="008C34EF">
            <w:pPr>
              <w:jc w:val="center"/>
              <w:rPr>
                <w:rFonts w:cs="Arial"/>
                <w:b w:val="0"/>
                <w:szCs w:val="18"/>
              </w:rPr>
            </w:pPr>
            <w:r w:rsidRPr="00315C22">
              <w:rPr>
                <w:rFonts w:cs="Arial"/>
                <w:b w:val="0"/>
                <w:szCs w:val="18"/>
              </w:rPr>
              <w:t>primary</w:t>
            </w:r>
          </w:p>
        </w:tc>
        <w:tc>
          <w:tcPr>
            <w:tcW w:w="736" w:type="pct"/>
            <w:tcBorders>
              <w:top w:val="nil"/>
              <w:left w:val="nil"/>
              <w:bottom w:val="nil"/>
              <w:right w:val="nil"/>
            </w:tcBorders>
            <w:hideMark/>
          </w:tcPr>
          <w:p w14:paraId="10BCE0D5" w14:textId="77777777" w:rsidR="005406C1" w:rsidRDefault="005406C1" w:rsidP="008C34EF">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p>
          <w:p w14:paraId="66AAF169" w14:textId="3DC9C2F4"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r w:rsidRPr="00655572">
              <w:rPr>
                <w:rFonts w:cs="Arial"/>
                <w:szCs w:val="18"/>
                <w:lang w:val="it-IT"/>
              </w:rPr>
              <w:t xml:space="preserve">(Zone 1 </w:t>
            </w:r>
            <w:proofErr w:type="gramStart"/>
            <w:r w:rsidRPr="00655572">
              <w:rPr>
                <w:rFonts w:cs="Arial"/>
                <w:szCs w:val="18"/>
                <w:lang w:val="it-IT"/>
              </w:rPr>
              <w:t>NE)</w:t>
            </w:r>
            <w:r w:rsidR="009E5C62" w:rsidRPr="00655572">
              <w:rPr>
                <w:rFonts w:cs="Arial"/>
                <w:szCs w:val="18"/>
                <w:vertAlign w:val="superscript"/>
                <w:lang w:val="it-IT"/>
              </w:rPr>
              <w:t>a</w:t>
            </w:r>
            <w:proofErr w:type="gramEnd"/>
          </w:p>
          <w:p w14:paraId="46FC478C" w14:textId="4BEDCD72" w:rsidR="0090024F" w:rsidRPr="00655572" w:rsidRDefault="0090024F" w:rsidP="009E5C62">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r w:rsidRPr="00655572">
              <w:rPr>
                <w:rFonts w:cs="Arial"/>
                <w:szCs w:val="18"/>
                <w:lang w:val="it-IT"/>
              </w:rPr>
              <w:t>Non hazardous</w:t>
            </w:r>
          </w:p>
        </w:tc>
        <w:tc>
          <w:tcPr>
            <w:tcW w:w="736" w:type="pct"/>
            <w:tcBorders>
              <w:top w:val="nil"/>
              <w:left w:val="nil"/>
              <w:bottom w:val="nil"/>
              <w:right w:val="nil"/>
            </w:tcBorders>
            <w:hideMark/>
          </w:tcPr>
          <w:p w14:paraId="5106F7C5" w14:textId="77777777" w:rsidR="005406C1" w:rsidRDefault="005406C1" w:rsidP="008C34EF">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p>
          <w:p w14:paraId="5751B01B" w14:textId="17BC9CA9"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1 NE)</w:t>
            </w:r>
            <w:r w:rsidR="009E5C62" w:rsidRPr="00655572">
              <w:rPr>
                <w:rFonts w:cs="Arial"/>
                <w:szCs w:val="18"/>
                <w:vertAlign w:val="superscript"/>
                <w:lang w:val="it-IT"/>
              </w:rPr>
              <w:t>a</w:t>
            </w:r>
          </w:p>
          <w:p w14:paraId="73DDEB60" w14:textId="0048DD71" w:rsidR="0090024F" w:rsidRPr="00655572" w:rsidRDefault="0090024F" w:rsidP="009E5C62">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2</w:t>
            </w:r>
          </w:p>
        </w:tc>
        <w:tc>
          <w:tcPr>
            <w:tcW w:w="665" w:type="pct"/>
            <w:tcBorders>
              <w:top w:val="nil"/>
              <w:left w:val="nil"/>
              <w:bottom w:val="nil"/>
              <w:right w:val="nil"/>
            </w:tcBorders>
            <w:hideMark/>
          </w:tcPr>
          <w:p w14:paraId="52399940" w14:textId="77777777" w:rsidR="005406C1" w:rsidRPr="000D2052" w:rsidRDefault="005406C1" w:rsidP="008C34EF">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p>
          <w:p w14:paraId="239BAD79" w14:textId="0EC15648" w:rsidR="0090024F" w:rsidRPr="000D205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r w:rsidRPr="000D2052">
              <w:rPr>
                <w:rFonts w:cs="Arial"/>
                <w:szCs w:val="18"/>
                <w:lang w:val="it-IT"/>
              </w:rPr>
              <w:t>(Zone 1 NE)</w:t>
            </w:r>
            <w:r w:rsidR="000D2052" w:rsidRPr="00655572">
              <w:rPr>
                <w:rFonts w:cs="Arial"/>
                <w:szCs w:val="18"/>
                <w:vertAlign w:val="superscript"/>
                <w:lang w:val="it-IT"/>
              </w:rPr>
              <w:t xml:space="preserve"> a</w:t>
            </w:r>
          </w:p>
          <w:p w14:paraId="265ACE81" w14:textId="23D960CA" w:rsidR="0090024F" w:rsidRPr="000D2052" w:rsidRDefault="0090024F" w:rsidP="000D2052">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r w:rsidRPr="000D2052">
              <w:rPr>
                <w:rFonts w:cs="Arial"/>
                <w:szCs w:val="18"/>
                <w:lang w:val="it-IT"/>
              </w:rPr>
              <w:t>Zone 2</w:t>
            </w:r>
          </w:p>
        </w:tc>
        <w:tc>
          <w:tcPr>
            <w:tcW w:w="461" w:type="pct"/>
            <w:tcBorders>
              <w:top w:val="nil"/>
              <w:left w:val="nil"/>
              <w:bottom w:val="nil"/>
              <w:right w:val="nil"/>
            </w:tcBorders>
            <w:hideMark/>
          </w:tcPr>
          <w:p w14:paraId="048D0220" w14:textId="77777777" w:rsidR="005406C1" w:rsidRPr="000D2052" w:rsidRDefault="005406C1" w:rsidP="008C34EF">
            <w:pPr>
              <w:jc w:val="center"/>
              <w:cnfStyle w:val="000000000000" w:firstRow="0" w:lastRow="0" w:firstColumn="0" w:lastColumn="0" w:oddVBand="0" w:evenVBand="0" w:oddHBand="0" w:evenHBand="0" w:firstRowFirstColumn="0" w:firstRowLastColumn="0" w:lastRowFirstColumn="0" w:lastRowLastColumn="0"/>
              <w:rPr>
                <w:rFonts w:cs="Arial"/>
                <w:szCs w:val="18"/>
                <w:lang w:val="it-IT"/>
              </w:rPr>
            </w:pPr>
          </w:p>
          <w:p w14:paraId="04B0F2A6" w14:textId="06B90F4F"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1</w:t>
            </w:r>
          </w:p>
        </w:tc>
        <w:tc>
          <w:tcPr>
            <w:tcW w:w="590" w:type="pct"/>
            <w:tcBorders>
              <w:top w:val="nil"/>
              <w:left w:val="nil"/>
              <w:bottom w:val="nil"/>
              <w:right w:val="nil"/>
            </w:tcBorders>
            <w:hideMark/>
          </w:tcPr>
          <w:p w14:paraId="332BDAFE" w14:textId="77777777" w:rsidR="005406C1" w:rsidRDefault="005406C1"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p>
          <w:p w14:paraId="13597E3C" w14:textId="3097307C"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1</w:t>
            </w:r>
          </w:p>
          <w:p w14:paraId="6B4C728D"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w:t>
            </w:r>
          </w:p>
          <w:p w14:paraId="6ED3723F"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2</w:t>
            </w:r>
          </w:p>
        </w:tc>
        <w:tc>
          <w:tcPr>
            <w:tcW w:w="499" w:type="pct"/>
            <w:gridSpan w:val="2"/>
            <w:tcBorders>
              <w:top w:val="nil"/>
              <w:left w:val="nil"/>
              <w:bottom w:val="nil"/>
              <w:right w:val="nil"/>
            </w:tcBorders>
            <w:hideMark/>
          </w:tcPr>
          <w:p w14:paraId="3AE3A1CA" w14:textId="77777777" w:rsidR="005406C1" w:rsidRDefault="005406C1"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p>
          <w:p w14:paraId="40D2D1CC" w14:textId="347D02DD"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1</w:t>
            </w:r>
          </w:p>
          <w:p w14:paraId="72C76323"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w:t>
            </w:r>
          </w:p>
          <w:p w14:paraId="6633225C" w14:textId="77777777"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2</w:t>
            </w:r>
          </w:p>
        </w:tc>
        <w:tc>
          <w:tcPr>
            <w:tcW w:w="580" w:type="pct"/>
            <w:tcBorders>
              <w:top w:val="nil"/>
              <w:left w:val="nil"/>
              <w:bottom w:val="nil"/>
              <w:right w:val="nil"/>
            </w:tcBorders>
            <w:hideMark/>
          </w:tcPr>
          <w:p w14:paraId="4B06DBD5" w14:textId="77777777" w:rsidR="005406C1" w:rsidRDefault="005406C1"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p>
          <w:p w14:paraId="52BA0BF2" w14:textId="49C2A37D" w:rsidR="0090024F" w:rsidRPr="00655572" w:rsidRDefault="0090024F" w:rsidP="008C34EF">
            <w:pPr>
              <w:jc w:val="center"/>
              <w:cnfStyle w:val="000000000000" w:firstRow="0" w:lastRow="0" w:firstColumn="0" w:lastColumn="0" w:oddVBand="0" w:evenVBand="0" w:oddHBand="0" w:evenHBand="0" w:firstRowFirstColumn="0" w:firstRowLastColumn="0" w:lastRowFirstColumn="0" w:lastRowLastColumn="0"/>
              <w:rPr>
                <w:rFonts w:cs="Arial"/>
                <w:szCs w:val="18"/>
              </w:rPr>
            </w:pPr>
            <w:r w:rsidRPr="00655572">
              <w:rPr>
                <w:rFonts w:cs="Arial"/>
                <w:szCs w:val="18"/>
              </w:rPr>
              <w:t>Zone 1 or Zone 0</w:t>
            </w:r>
            <w:r w:rsidRPr="00655572">
              <w:rPr>
                <w:rFonts w:cs="Arial"/>
                <w:szCs w:val="18"/>
                <w:vertAlign w:val="superscript"/>
              </w:rPr>
              <w:t>b</w:t>
            </w:r>
          </w:p>
        </w:tc>
      </w:tr>
      <w:tr w:rsidR="0090024F" w:rsidRPr="00655572" w14:paraId="779661AC" w14:textId="77777777" w:rsidTr="00CF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pct"/>
            <w:tcBorders>
              <w:top w:val="nil"/>
              <w:left w:val="nil"/>
              <w:bottom w:val="nil"/>
              <w:right w:val="nil"/>
            </w:tcBorders>
          </w:tcPr>
          <w:p w14:paraId="4BBCF00D" w14:textId="77777777" w:rsidR="0090024F" w:rsidRPr="00655572" w:rsidRDefault="0090024F" w:rsidP="008C34EF">
            <w:pPr>
              <w:jc w:val="center"/>
              <w:rPr>
                <w:rFonts w:cs="Arial"/>
                <w:szCs w:val="18"/>
              </w:rPr>
            </w:pPr>
          </w:p>
          <w:p w14:paraId="2A51EDA7" w14:textId="77777777" w:rsidR="0090024F" w:rsidRPr="00315C22" w:rsidRDefault="0090024F" w:rsidP="008C34EF">
            <w:pPr>
              <w:jc w:val="center"/>
              <w:rPr>
                <w:rFonts w:cs="Arial"/>
                <w:b w:val="0"/>
                <w:szCs w:val="18"/>
              </w:rPr>
            </w:pPr>
            <w:r w:rsidRPr="00315C22">
              <w:rPr>
                <w:rFonts w:cs="Arial"/>
                <w:b w:val="0"/>
                <w:szCs w:val="18"/>
              </w:rPr>
              <w:t>secondary</w:t>
            </w:r>
          </w:p>
        </w:tc>
        <w:tc>
          <w:tcPr>
            <w:tcW w:w="736" w:type="pct"/>
            <w:tcBorders>
              <w:top w:val="nil"/>
              <w:left w:val="nil"/>
              <w:bottom w:val="nil"/>
              <w:right w:val="nil"/>
            </w:tcBorders>
            <w:hideMark/>
          </w:tcPr>
          <w:p w14:paraId="7FEC3461" w14:textId="77777777" w:rsidR="005406C1" w:rsidRDefault="005406C1" w:rsidP="008C34EF">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p>
          <w:p w14:paraId="2416EBB9" w14:textId="211428D2"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r w:rsidRPr="00655572">
              <w:rPr>
                <w:rFonts w:cs="Arial"/>
                <w:szCs w:val="18"/>
                <w:lang w:val="it-IT"/>
              </w:rPr>
              <w:t xml:space="preserve">(Zone 2 </w:t>
            </w:r>
            <w:proofErr w:type="gramStart"/>
            <w:r w:rsidRPr="00655572">
              <w:rPr>
                <w:rFonts w:cs="Arial"/>
                <w:szCs w:val="18"/>
                <w:lang w:val="it-IT"/>
              </w:rPr>
              <w:t>NE)</w:t>
            </w:r>
            <w:r w:rsidR="000D2052" w:rsidRPr="00655572">
              <w:rPr>
                <w:rFonts w:cs="Arial"/>
                <w:szCs w:val="18"/>
                <w:vertAlign w:val="superscript"/>
                <w:lang w:val="it-IT"/>
              </w:rPr>
              <w:t>a</w:t>
            </w:r>
            <w:proofErr w:type="gramEnd"/>
          </w:p>
          <w:p w14:paraId="1E5DD9B2" w14:textId="52B5CF2A" w:rsidR="0090024F" w:rsidRPr="00655572" w:rsidRDefault="0090024F" w:rsidP="000D2052">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r w:rsidRPr="00655572">
              <w:rPr>
                <w:rFonts w:cs="Arial"/>
                <w:szCs w:val="18"/>
                <w:lang w:val="it-IT"/>
              </w:rPr>
              <w:t>Non hazardous</w:t>
            </w:r>
          </w:p>
        </w:tc>
        <w:tc>
          <w:tcPr>
            <w:tcW w:w="736" w:type="pct"/>
            <w:tcBorders>
              <w:top w:val="nil"/>
              <w:left w:val="nil"/>
              <w:bottom w:val="nil"/>
              <w:right w:val="nil"/>
            </w:tcBorders>
            <w:hideMark/>
          </w:tcPr>
          <w:p w14:paraId="27BDCBB3" w14:textId="77777777" w:rsidR="005406C1" w:rsidRDefault="005406C1" w:rsidP="008C34EF">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p>
          <w:p w14:paraId="11755211" w14:textId="0DD964B3"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r w:rsidRPr="00655572">
              <w:rPr>
                <w:rFonts w:cs="Arial"/>
                <w:szCs w:val="18"/>
                <w:lang w:val="it-IT"/>
              </w:rPr>
              <w:t xml:space="preserve">(Zone 2 </w:t>
            </w:r>
            <w:proofErr w:type="gramStart"/>
            <w:r w:rsidRPr="00655572">
              <w:rPr>
                <w:rFonts w:cs="Arial"/>
                <w:szCs w:val="18"/>
                <w:lang w:val="it-IT"/>
              </w:rPr>
              <w:t>NE)</w:t>
            </w:r>
            <w:r w:rsidR="000D2052" w:rsidRPr="00655572">
              <w:rPr>
                <w:rFonts w:cs="Arial"/>
                <w:szCs w:val="18"/>
                <w:vertAlign w:val="superscript"/>
                <w:lang w:val="it-IT"/>
              </w:rPr>
              <w:t>a</w:t>
            </w:r>
            <w:proofErr w:type="gramEnd"/>
          </w:p>
          <w:p w14:paraId="5CDA05D4" w14:textId="3A05049B" w:rsidR="0090024F" w:rsidRPr="00655572" w:rsidRDefault="0090024F" w:rsidP="000D2052">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r w:rsidRPr="00655572">
              <w:rPr>
                <w:rFonts w:cs="Arial"/>
                <w:szCs w:val="18"/>
                <w:lang w:val="it-IT"/>
              </w:rPr>
              <w:t>Non hazardous</w:t>
            </w:r>
          </w:p>
        </w:tc>
        <w:tc>
          <w:tcPr>
            <w:tcW w:w="665" w:type="pct"/>
            <w:tcBorders>
              <w:top w:val="nil"/>
              <w:left w:val="nil"/>
              <w:bottom w:val="nil"/>
              <w:right w:val="nil"/>
            </w:tcBorders>
            <w:hideMark/>
          </w:tcPr>
          <w:p w14:paraId="238D1AA0" w14:textId="77777777" w:rsidR="005406C1" w:rsidRDefault="005406C1" w:rsidP="008C34EF">
            <w:pPr>
              <w:jc w:val="center"/>
              <w:cnfStyle w:val="000000100000" w:firstRow="0" w:lastRow="0" w:firstColumn="0" w:lastColumn="0" w:oddVBand="0" w:evenVBand="0" w:oddHBand="1" w:evenHBand="0" w:firstRowFirstColumn="0" w:firstRowLastColumn="0" w:lastRowFirstColumn="0" w:lastRowLastColumn="0"/>
              <w:rPr>
                <w:rFonts w:cs="Arial"/>
                <w:szCs w:val="18"/>
                <w:lang w:val="it-IT"/>
              </w:rPr>
            </w:pPr>
          </w:p>
          <w:p w14:paraId="331E83F0" w14:textId="373C68CC"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2</w:t>
            </w:r>
          </w:p>
        </w:tc>
        <w:tc>
          <w:tcPr>
            <w:tcW w:w="461" w:type="pct"/>
            <w:tcBorders>
              <w:top w:val="nil"/>
              <w:left w:val="nil"/>
              <w:bottom w:val="nil"/>
              <w:right w:val="nil"/>
            </w:tcBorders>
            <w:hideMark/>
          </w:tcPr>
          <w:p w14:paraId="6761EE9F" w14:textId="77777777" w:rsidR="005406C1" w:rsidRDefault="005406C1"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p>
          <w:p w14:paraId="34B85392" w14:textId="77432EA9"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2</w:t>
            </w:r>
          </w:p>
        </w:tc>
        <w:tc>
          <w:tcPr>
            <w:tcW w:w="590" w:type="pct"/>
            <w:tcBorders>
              <w:top w:val="nil"/>
              <w:left w:val="nil"/>
              <w:bottom w:val="nil"/>
              <w:right w:val="nil"/>
            </w:tcBorders>
            <w:hideMark/>
          </w:tcPr>
          <w:p w14:paraId="7609023B" w14:textId="77777777" w:rsidR="005406C1" w:rsidRDefault="005406C1"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p>
          <w:p w14:paraId="1E6AE986" w14:textId="330C32E3"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2</w:t>
            </w:r>
          </w:p>
        </w:tc>
        <w:tc>
          <w:tcPr>
            <w:tcW w:w="499" w:type="pct"/>
            <w:gridSpan w:val="2"/>
            <w:tcBorders>
              <w:top w:val="nil"/>
              <w:left w:val="nil"/>
              <w:bottom w:val="nil"/>
              <w:right w:val="nil"/>
            </w:tcBorders>
            <w:hideMark/>
          </w:tcPr>
          <w:p w14:paraId="01F8270D" w14:textId="77777777" w:rsidR="005406C1" w:rsidRDefault="005406C1"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p>
          <w:p w14:paraId="068D7939" w14:textId="52A7947B"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2</w:t>
            </w:r>
          </w:p>
        </w:tc>
        <w:tc>
          <w:tcPr>
            <w:tcW w:w="580" w:type="pct"/>
            <w:tcBorders>
              <w:top w:val="nil"/>
              <w:left w:val="nil"/>
              <w:bottom w:val="nil"/>
              <w:right w:val="nil"/>
            </w:tcBorders>
            <w:hideMark/>
          </w:tcPr>
          <w:p w14:paraId="762DBD61" w14:textId="77777777" w:rsidR="005406C1" w:rsidRDefault="005406C1"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p>
          <w:p w14:paraId="7C703461" w14:textId="27FED492" w:rsidR="0090024F" w:rsidRPr="00655572" w:rsidRDefault="0090024F" w:rsidP="008C34EF">
            <w:pPr>
              <w:jc w:val="center"/>
              <w:cnfStyle w:val="000000100000" w:firstRow="0" w:lastRow="0" w:firstColumn="0" w:lastColumn="0" w:oddVBand="0" w:evenVBand="0" w:oddHBand="1" w:evenHBand="0" w:firstRowFirstColumn="0" w:firstRowLastColumn="0" w:lastRowFirstColumn="0" w:lastRowLastColumn="0"/>
              <w:rPr>
                <w:rFonts w:cs="Arial"/>
                <w:szCs w:val="18"/>
              </w:rPr>
            </w:pPr>
            <w:r w:rsidRPr="00655572">
              <w:rPr>
                <w:rFonts w:cs="Arial"/>
                <w:szCs w:val="18"/>
              </w:rPr>
              <w:t>Zone 1 or Zone 0</w:t>
            </w:r>
            <w:r w:rsidRPr="00655572">
              <w:rPr>
                <w:rFonts w:cs="Arial"/>
                <w:szCs w:val="18"/>
                <w:vertAlign w:val="superscript"/>
              </w:rPr>
              <w:t>b</w:t>
            </w:r>
          </w:p>
        </w:tc>
      </w:tr>
      <w:tr w:rsidR="0090024F" w:rsidRPr="00655572" w14:paraId="49A3393F" w14:textId="77777777" w:rsidTr="008C34EF">
        <w:tc>
          <w:tcPr>
            <w:cnfStyle w:val="001000000000" w:firstRow="0" w:lastRow="0" w:firstColumn="1" w:lastColumn="0" w:oddVBand="0" w:evenVBand="0" w:oddHBand="0" w:evenHBand="0" w:firstRowFirstColumn="0" w:firstRowLastColumn="0" w:lastRowFirstColumn="0" w:lastRowLastColumn="0"/>
            <w:tcW w:w="5000" w:type="pct"/>
            <w:gridSpan w:val="9"/>
            <w:tcBorders>
              <w:top w:val="nil"/>
              <w:left w:val="nil"/>
              <w:bottom w:val="single" w:sz="4" w:space="0" w:color="00CC66"/>
              <w:right w:val="nil"/>
            </w:tcBorders>
            <w:hideMark/>
          </w:tcPr>
          <w:p w14:paraId="5F2E0E2D" w14:textId="77777777" w:rsidR="0090024F" w:rsidRPr="00655572" w:rsidRDefault="0090024F" w:rsidP="008C34EF">
            <w:pPr>
              <w:pBdr>
                <w:top w:val="single" w:sz="2" w:space="1" w:color="00B050"/>
              </w:pBdr>
              <w:rPr>
                <w:rFonts w:cs="Arial"/>
                <w:b w:val="0"/>
                <w:szCs w:val="18"/>
                <w:lang w:val="en-US"/>
              </w:rPr>
            </w:pPr>
            <w:r w:rsidRPr="00655572">
              <w:rPr>
                <w:rFonts w:cs="Arial"/>
                <w:b w:val="0"/>
                <w:szCs w:val="18"/>
                <w:lang w:val="en-US"/>
              </w:rPr>
              <w:t>Glossary</w:t>
            </w:r>
          </w:p>
          <w:p w14:paraId="04E2B695" w14:textId="77777777" w:rsidR="0090024F" w:rsidRPr="00655572" w:rsidRDefault="0090024F" w:rsidP="008C34EF">
            <w:pPr>
              <w:rPr>
                <w:rFonts w:cs="Arial"/>
                <w:b w:val="0"/>
                <w:szCs w:val="18"/>
                <w:lang w:val="en-US"/>
              </w:rPr>
            </w:pPr>
            <w:r w:rsidRPr="00655572">
              <w:rPr>
                <w:rFonts w:cs="Arial"/>
                <w:b w:val="0"/>
                <w:szCs w:val="18"/>
                <w:lang w:val="en-US"/>
              </w:rPr>
              <w:t>“+” means “surrounded by”.</w:t>
            </w:r>
          </w:p>
          <w:p w14:paraId="08832AA1" w14:textId="77777777" w:rsidR="0090024F" w:rsidRPr="00655572" w:rsidRDefault="0090024F" w:rsidP="008C34EF">
            <w:pPr>
              <w:rPr>
                <w:rFonts w:cs="Arial"/>
                <w:b w:val="0"/>
                <w:szCs w:val="18"/>
                <w:lang w:val="en-US"/>
              </w:rPr>
            </w:pPr>
            <w:proofErr w:type="spellStart"/>
            <w:proofErr w:type="gramStart"/>
            <w:r w:rsidRPr="00655572">
              <w:rPr>
                <w:rFonts w:cs="Arial"/>
                <w:b w:val="0"/>
                <w:szCs w:val="18"/>
                <w:vertAlign w:val="superscript"/>
                <w:lang w:val="en-US"/>
              </w:rPr>
              <w:t>a</w:t>
            </w:r>
            <w:r w:rsidRPr="00655572">
              <w:rPr>
                <w:rFonts w:cs="Arial"/>
                <w:b w:val="0"/>
                <w:szCs w:val="18"/>
                <w:lang w:val="en-US"/>
              </w:rPr>
              <w:t>Zone</w:t>
            </w:r>
            <w:proofErr w:type="spellEnd"/>
            <w:r w:rsidRPr="00655572">
              <w:rPr>
                <w:rFonts w:cs="Arial"/>
                <w:b w:val="0"/>
                <w:szCs w:val="18"/>
                <w:lang w:val="en-US"/>
              </w:rPr>
              <w:t xml:space="preserve">  0</w:t>
            </w:r>
            <w:proofErr w:type="gramEnd"/>
            <w:r w:rsidRPr="00655572">
              <w:rPr>
                <w:rFonts w:cs="Arial"/>
                <w:b w:val="0"/>
                <w:szCs w:val="18"/>
                <w:lang w:val="en-US"/>
              </w:rPr>
              <w:t xml:space="preserve"> NE, 1 NE </w:t>
            </w:r>
            <w:r>
              <w:rPr>
                <w:rFonts w:cs="Arial"/>
                <w:b w:val="0"/>
                <w:szCs w:val="18"/>
                <w:lang w:val="en-US"/>
              </w:rPr>
              <w:t>and</w:t>
            </w:r>
            <w:r w:rsidRPr="00655572">
              <w:rPr>
                <w:rFonts w:cs="Arial"/>
                <w:b w:val="0"/>
                <w:szCs w:val="18"/>
                <w:lang w:val="en-US"/>
              </w:rPr>
              <w:t xml:space="preserve"> 2 NE indicate areas, which have negligible extents. </w:t>
            </w:r>
          </w:p>
          <w:p w14:paraId="2B071451" w14:textId="77777777" w:rsidR="0090024F" w:rsidRPr="00655572" w:rsidRDefault="0090024F" w:rsidP="008C34EF">
            <w:pPr>
              <w:rPr>
                <w:rFonts w:cs="Arial"/>
                <w:szCs w:val="18"/>
                <w:lang w:val="en-US"/>
              </w:rPr>
            </w:pPr>
            <w:proofErr w:type="gramStart"/>
            <w:r w:rsidRPr="00827306">
              <w:rPr>
                <w:rFonts w:cs="Arial"/>
                <w:b w:val="0"/>
                <w:szCs w:val="18"/>
                <w:vertAlign w:val="superscript"/>
                <w:lang w:val="en-US"/>
              </w:rPr>
              <w:t>b</w:t>
            </w:r>
            <w:proofErr w:type="gramEnd"/>
            <w:r w:rsidRPr="00827306">
              <w:rPr>
                <w:rFonts w:cs="Arial"/>
                <w:b w:val="0"/>
                <w:szCs w:val="18"/>
                <w:lang w:val="en-US"/>
              </w:rPr>
              <w:t xml:space="preserve"> Zone 0 can be generated in poor states of ventilation.</w:t>
            </w:r>
          </w:p>
        </w:tc>
      </w:tr>
    </w:tbl>
    <w:p w14:paraId="67442DEE" w14:textId="77777777" w:rsidR="0090024F" w:rsidRPr="0090024F" w:rsidRDefault="0090024F" w:rsidP="0090024F">
      <w:pPr>
        <w:pStyle w:val="CETBodytext"/>
        <w:spacing w:line="22" w:lineRule="atLeast"/>
        <w:rPr>
          <w:rFonts w:cs="Arial"/>
          <w:szCs w:val="18"/>
          <w:lang w:val="en-GB"/>
        </w:rPr>
      </w:pPr>
    </w:p>
    <w:p w14:paraId="10D398B2" w14:textId="31028044" w:rsidR="00641853" w:rsidRDefault="00641853" w:rsidP="00F74FF7">
      <w:pPr>
        <w:pStyle w:val="CETBodytext"/>
        <w:rPr>
          <w:rFonts w:cs="Arial"/>
          <w:szCs w:val="18"/>
        </w:rPr>
      </w:pPr>
    </w:p>
    <w:p w14:paraId="7720A53E" w14:textId="7254816A" w:rsidR="001E6975" w:rsidRDefault="00D31F73" w:rsidP="001E6975">
      <w:pPr>
        <w:pStyle w:val="CETBodytext"/>
        <w:tabs>
          <w:tab w:val="left" w:pos="284"/>
        </w:tabs>
        <w:spacing w:line="22" w:lineRule="atLeast"/>
        <w:rPr>
          <w:rFonts w:cs="Arial"/>
          <w:szCs w:val="18"/>
        </w:rPr>
      </w:pPr>
      <w:r w:rsidRPr="008D39AE">
        <w:rPr>
          <w:rFonts w:cs="Arial"/>
          <w:szCs w:val="18"/>
        </w:rPr>
        <w:t xml:space="preserve">The first parameter is determined by the analysis of components (valves, flanges, compressors, etc.) operating conditions, whereas the others mainly depend on natural ventilation (outdoor places) or </w:t>
      </w:r>
      <w:r>
        <w:rPr>
          <w:rFonts w:cs="Arial"/>
          <w:szCs w:val="18"/>
        </w:rPr>
        <w:t>forced</w:t>
      </w:r>
      <w:r w:rsidRPr="008D39AE">
        <w:rPr>
          <w:rFonts w:cs="Arial"/>
          <w:szCs w:val="18"/>
        </w:rPr>
        <w:t xml:space="preserve"> </w:t>
      </w:r>
      <w:r w:rsidR="007B7D3C" w:rsidRPr="008D39AE">
        <w:rPr>
          <w:rFonts w:cs="Arial"/>
          <w:szCs w:val="18"/>
        </w:rPr>
        <w:t>ventilation (</w:t>
      </w:r>
      <w:r w:rsidRPr="008D39AE">
        <w:rPr>
          <w:rFonts w:cs="Arial"/>
          <w:szCs w:val="18"/>
        </w:rPr>
        <w:t xml:space="preserve">indoor places). </w:t>
      </w:r>
      <w:r w:rsidR="00F74FF7">
        <w:rPr>
          <w:rFonts w:cs="Arial"/>
          <w:szCs w:val="18"/>
        </w:rPr>
        <w:t>T</w:t>
      </w:r>
      <w:r w:rsidR="00F74FF7" w:rsidRPr="008D39AE">
        <w:rPr>
          <w:rFonts w:cs="Arial"/>
          <w:szCs w:val="18"/>
        </w:rPr>
        <w:t>he dilution degree is determined (IEC, 20</w:t>
      </w:r>
      <w:r w:rsidR="00F74FF7">
        <w:rPr>
          <w:rFonts w:cs="Arial"/>
          <w:szCs w:val="18"/>
        </w:rPr>
        <w:t>2</w:t>
      </w:r>
      <w:r w:rsidR="00F74FF7" w:rsidRPr="008D39AE">
        <w:rPr>
          <w:rFonts w:cs="Arial"/>
          <w:szCs w:val="18"/>
        </w:rPr>
        <w:t xml:space="preserve">1) by the diagram (Figure </w:t>
      </w:r>
      <w:r w:rsidR="00A84CAD">
        <w:rPr>
          <w:rFonts w:cs="Arial"/>
          <w:szCs w:val="18"/>
        </w:rPr>
        <w:t>1</w:t>
      </w:r>
      <w:r w:rsidR="00F74FF7" w:rsidRPr="008D39AE">
        <w:rPr>
          <w:rFonts w:cs="Arial"/>
          <w:szCs w:val="18"/>
        </w:rPr>
        <w:t xml:space="preserve">) reported in </w:t>
      </w:r>
      <w:r w:rsidR="005A6E4B">
        <w:rPr>
          <w:rFonts w:cs="Arial"/>
          <w:szCs w:val="18"/>
        </w:rPr>
        <w:t xml:space="preserve">the </w:t>
      </w:r>
      <w:r w:rsidR="00F74FF7" w:rsidRPr="008D39AE">
        <w:rPr>
          <w:rFonts w:cs="Arial"/>
          <w:szCs w:val="18"/>
        </w:rPr>
        <w:t xml:space="preserve">mentioned Standard. </w:t>
      </w:r>
      <w:r w:rsidR="00A7536C">
        <w:rPr>
          <w:rFonts w:cs="Arial"/>
          <w:szCs w:val="18"/>
        </w:rPr>
        <w:t xml:space="preserve">The approach goal is </w:t>
      </w:r>
      <w:r w:rsidR="003948F3">
        <w:rPr>
          <w:rFonts w:cs="Arial"/>
          <w:szCs w:val="18"/>
        </w:rPr>
        <w:t>the detection of minimum ventilation velocity (</w:t>
      </w:r>
      <w:proofErr w:type="spellStart"/>
      <w:proofErr w:type="gramStart"/>
      <w:r w:rsidR="003948F3">
        <w:rPr>
          <w:rFonts w:cs="Arial"/>
          <w:szCs w:val="18"/>
        </w:rPr>
        <w:t>u</w:t>
      </w:r>
      <w:r w:rsidR="003948F3" w:rsidRPr="003948F3">
        <w:rPr>
          <w:rFonts w:cs="Arial"/>
          <w:szCs w:val="18"/>
          <w:vertAlign w:val="subscript"/>
        </w:rPr>
        <w:t>w</w:t>
      </w:r>
      <w:proofErr w:type="spellEnd"/>
      <w:proofErr w:type="gramEnd"/>
      <w:r w:rsidR="003948F3">
        <w:rPr>
          <w:rFonts w:cs="Arial"/>
          <w:szCs w:val="18"/>
        </w:rPr>
        <w:t xml:space="preserve">), which is able to achieve the best dilution degree for </w:t>
      </w:r>
      <w:r w:rsidR="00C67E0E">
        <w:rPr>
          <w:rFonts w:cs="Arial"/>
          <w:szCs w:val="18"/>
        </w:rPr>
        <w:t>the examined case study</w:t>
      </w:r>
      <w:r w:rsidR="003948F3">
        <w:rPr>
          <w:rFonts w:cs="Arial"/>
          <w:szCs w:val="18"/>
        </w:rPr>
        <w:t xml:space="preserve">. In the paper, the attention </w:t>
      </w:r>
      <w:proofErr w:type="gramStart"/>
      <w:r w:rsidR="003948F3">
        <w:rPr>
          <w:rFonts w:cs="Arial"/>
          <w:szCs w:val="18"/>
        </w:rPr>
        <w:t>is focused</w:t>
      </w:r>
      <w:proofErr w:type="gramEnd"/>
      <w:r w:rsidR="003948F3">
        <w:rPr>
          <w:rFonts w:cs="Arial"/>
          <w:szCs w:val="18"/>
        </w:rPr>
        <w:t xml:space="preserve"> on </w:t>
      </w:r>
      <w:r w:rsidR="00CB08AD">
        <w:rPr>
          <w:rFonts w:cs="Arial"/>
          <w:szCs w:val="18"/>
        </w:rPr>
        <w:t xml:space="preserve">the </w:t>
      </w:r>
      <w:r w:rsidR="003948F3">
        <w:rPr>
          <w:rFonts w:cs="Arial"/>
          <w:szCs w:val="18"/>
        </w:rPr>
        <w:t xml:space="preserve">biomethane compression unit. </w:t>
      </w:r>
      <w:r w:rsidR="00965279">
        <w:rPr>
          <w:rFonts w:cs="Arial"/>
          <w:szCs w:val="18"/>
        </w:rPr>
        <w:t xml:space="preserve">In order to determine </w:t>
      </w:r>
      <w:proofErr w:type="spellStart"/>
      <w:proofErr w:type="gramStart"/>
      <w:r w:rsidR="00965279">
        <w:rPr>
          <w:rFonts w:cs="Arial"/>
          <w:szCs w:val="18"/>
        </w:rPr>
        <w:t>u</w:t>
      </w:r>
      <w:r w:rsidR="00965279" w:rsidRPr="003948F3">
        <w:rPr>
          <w:rFonts w:cs="Arial"/>
          <w:szCs w:val="18"/>
          <w:vertAlign w:val="subscript"/>
        </w:rPr>
        <w:t>w</w:t>
      </w:r>
      <w:proofErr w:type="spellEnd"/>
      <w:proofErr w:type="gramEnd"/>
      <w:r w:rsidR="00965279">
        <w:rPr>
          <w:rFonts w:cs="Arial"/>
          <w:szCs w:val="18"/>
        </w:rPr>
        <w:t>, t</w:t>
      </w:r>
      <w:r w:rsidR="00965279" w:rsidRPr="00616B27">
        <w:rPr>
          <w:rFonts w:cs="Arial"/>
          <w:szCs w:val="18"/>
        </w:rPr>
        <w:t xml:space="preserve">he </w:t>
      </w:r>
      <w:r w:rsidR="00965279">
        <w:rPr>
          <w:rFonts w:cs="Arial"/>
          <w:szCs w:val="18"/>
        </w:rPr>
        <w:t>volumetric release characteristic (Q</w:t>
      </w:r>
      <w:r w:rsidR="00965279">
        <w:rPr>
          <w:rFonts w:cs="Arial"/>
          <w:szCs w:val="18"/>
          <w:vertAlign w:val="subscript"/>
        </w:rPr>
        <w:t>c</w:t>
      </w:r>
      <w:r w:rsidR="00965279">
        <w:rPr>
          <w:rFonts w:cs="Arial"/>
          <w:szCs w:val="18"/>
        </w:rPr>
        <w:t xml:space="preserve">) has to be calculated. </w:t>
      </w:r>
      <w:r w:rsidR="001E6975" w:rsidRPr="00616B27">
        <w:rPr>
          <w:rFonts w:cs="Arial"/>
          <w:szCs w:val="18"/>
        </w:rPr>
        <w:t>Th</w:t>
      </w:r>
      <w:r w:rsidR="001E6975">
        <w:rPr>
          <w:rFonts w:cs="Arial"/>
          <w:szCs w:val="18"/>
        </w:rPr>
        <w:t xml:space="preserve">is parameter </w:t>
      </w:r>
      <w:proofErr w:type="gramStart"/>
      <w:r w:rsidR="001E6975">
        <w:rPr>
          <w:rFonts w:cs="Arial"/>
          <w:szCs w:val="18"/>
        </w:rPr>
        <w:t>is expressed</w:t>
      </w:r>
      <w:proofErr w:type="gramEnd"/>
      <w:r w:rsidR="001E6975">
        <w:rPr>
          <w:rFonts w:cs="Arial"/>
          <w:szCs w:val="18"/>
        </w:rPr>
        <w:t xml:space="preserve"> by the following equation</w:t>
      </w:r>
      <w:r w:rsidR="00A504B1">
        <w:rPr>
          <w:rFonts w:cs="Arial"/>
          <w:szCs w:val="18"/>
        </w:rPr>
        <w:t xml:space="preserve"> </w:t>
      </w:r>
      <w:r w:rsidR="00A504B1" w:rsidRPr="008D39AE">
        <w:rPr>
          <w:rFonts w:cs="Arial"/>
          <w:szCs w:val="18"/>
        </w:rPr>
        <w:t>(IEC, 20</w:t>
      </w:r>
      <w:r w:rsidR="00A504B1">
        <w:rPr>
          <w:rFonts w:cs="Arial"/>
          <w:szCs w:val="18"/>
        </w:rPr>
        <w:t>2</w:t>
      </w:r>
      <w:r w:rsidR="00A504B1" w:rsidRPr="008D39AE">
        <w:rPr>
          <w:rFonts w:cs="Arial"/>
          <w:szCs w:val="18"/>
        </w:rPr>
        <w:t>1)</w:t>
      </w:r>
      <w:r w:rsidR="001E6975">
        <w:rPr>
          <w:rFonts w:cs="Arial"/>
          <w:szCs w:val="18"/>
        </w:rPr>
        <w:t>:</w:t>
      </w:r>
    </w:p>
    <w:p w14:paraId="3A704218" w14:textId="77777777" w:rsidR="001E6975" w:rsidRPr="00616B27" w:rsidRDefault="001E6975" w:rsidP="001E6975">
      <w:pPr>
        <w:pStyle w:val="CETBodytext"/>
        <w:tabs>
          <w:tab w:val="left" w:pos="284"/>
        </w:tabs>
        <w:spacing w:line="22" w:lineRule="atLeast"/>
        <w:rPr>
          <w:rFonts w:cs="Arial"/>
          <w:szCs w:val="18"/>
        </w:rPr>
      </w:pPr>
      <w:r>
        <w:object w:dxaOrig="8740" w:dyaOrig="620" w14:anchorId="29A3F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2pt;height:31.3pt" o:ole="">
            <v:imagedata r:id="rId11" o:title=""/>
          </v:shape>
          <o:OLEObject Type="Embed" ProgID="Unknown" ShapeID="_x0000_i1025" DrawAspect="Content" ObjectID="_1750753140" r:id="rId12"/>
        </w:object>
      </w:r>
      <w:r>
        <w:rPr>
          <w:rFonts w:cs="Arial"/>
          <w:szCs w:val="18"/>
        </w:rPr>
        <w:t xml:space="preserve">                                                                                                                              </w:t>
      </w:r>
    </w:p>
    <w:p w14:paraId="7FA4753F" w14:textId="77777777" w:rsidR="001E6975" w:rsidRDefault="001E6975" w:rsidP="001E6975">
      <w:pPr>
        <w:pStyle w:val="CETBodytext"/>
        <w:spacing w:line="22" w:lineRule="atLeast"/>
        <w:rPr>
          <w:rFonts w:cs="Arial"/>
          <w:szCs w:val="18"/>
        </w:rPr>
      </w:pPr>
      <w:r>
        <w:rPr>
          <w:rFonts w:cs="Arial"/>
          <w:szCs w:val="18"/>
        </w:rPr>
        <w:t>Where:</w:t>
      </w:r>
    </w:p>
    <w:p w14:paraId="6332EC9E" w14:textId="77911FBE" w:rsidR="001E6975" w:rsidRPr="000600EB" w:rsidRDefault="001E6975" w:rsidP="001E6975">
      <w:pPr>
        <w:pStyle w:val="Paragrafoelenco"/>
        <w:numPr>
          <w:ilvl w:val="0"/>
          <w:numId w:val="23"/>
        </w:numPr>
        <w:tabs>
          <w:tab w:val="clear" w:pos="7100"/>
          <w:tab w:val="left" w:pos="284"/>
        </w:tabs>
        <w:autoSpaceDE w:val="0"/>
        <w:autoSpaceDN w:val="0"/>
        <w:adjustRightInd w:val="0"/>
        <w:spacing w:line="22" w:lineRule="atLeast"/>
        <w:ind w:hanging="720"/>
        <w:rPr>
          <w:rFonts w:cs="Arial"/>
          <w:szCs w:val="18"/>
          <w:lang w:val="en-US"/>
        </w:rPr>
      </w:pPr>
      <w:proofErr w:type="spellStart"/>
      <w:r w:rsidRPr="000600EB">
        <w:rPr>
          <w:rFonts w:cs="Arial"/>
          <w:szCs w:val="18"/>
        </w:rPr>
        <w:t>W</w:t>
      </w:r>
      <w:r w:rsidRPr="000600EB">
        <w:rPr>
          <w:rFonts w:cs="Arial"/>
          <w:szCs w:val="18"/>
          <w:vertAlign w:val="subscript"/>
        </w:rPr>
        <w:t>g</w:t>
      </w:r>
      <w:proofErr w:type="spellEnd"/>
      <w:r>
        <w:rPr>
          <w:rFonts w:cs="Arial"/>
          <w:szCs w:val="18"/>
          <w:vertAlign w:val="subscript"/>
        </w:rPr>
        <w:t xml:space="preserve"> </w:t>
      </w:r>
      <w:r w:rsidRPr="000600EB">
        <w:rPr>
          <w:rFonts w:cs="Arial"/>
          <w:szCs w:val="18"/>
        </w:rPr>
        <w:t xml:space="preserve">(kg/s) is </w:t>
      </w:r>
      <w:r w:rsidRPr="000600EB">
        <w:rPr>
          <w:rFonts w:cs="Arial"/>
          <w:szCs w:val="18"/>
          <w:lang w:val="en-US"/>
        </w:rPr>
        <w:t xml:space="preserve">the </w:t>
      </w:r>
      <w:r w:rsidR="000B27C7">
        <w:rPr>
          <w:rFonts w:cs="Arial"/>
          <w:szCs w:val="18"/>
          <w:lang w:val="en-US"/>
        </w:rPr>
        <w:t xml:space="preserve">overall </w:t>
      </w:r>
      <w:r w:rsidRPr="000600EB">
        <w:rPr>
          <w:rFonts w:cs="Arial"/>
          <w:szCs w:val="18"/>
          <w:lang w:val="en-US"/>
        </w:rPr>
        <w:t>mass flow of flammable compound</w:t>
      </w:r>
      <w:r>
        <w:rPr>
          <w:rFonts w:cs="Arial"/>
          <w:szCs w:val="18"/>
          <w:lang w:val="en-US"/>
        </w:rPr>
        <w:t xml:space="preserve"> (biomethane)</w:t>
      </w:r>
      <w:r w:rsidRPr="000600EB">
        <w:rPr>
          <w:rFonts w:cs="Arial"/>
          <w:szCs w:val="18"/>
          <w:lang w:val="en-US"/>
        </w:rPr>
        <w:t>;</w:t>
      </w:r>
    </w:p>
    <w:p w14:paraId="33AC579E" w14:textId="4A5D3887" w:rsidR="001E6975" w:rsidRPr="000600EB" w:rsidRDefault="001E6975" w:rsidP="007C32DC">
      <w:pPr>
        <w:pStyle w:val="Paragrafoelenco"/>
        <w:numPr>
          <w:ilvl w:val="0"/>
          <w:numId w:val="23"/>
        </w:numPr>
        <w:tabs>
          <w:tab w:val="clear" w:pos="7100"/>
          <w:tab w:val="left" w:pos="284"/>
        </w:tabs>
        <w:autoSpaceDE w:val="0"/>
        <w:autoSpaceDN w:val="0"/>
        <w:adjustRightInd w:val="0"/>
        <w:spacing w:line="22" w:lineRule="atLeast"/>
        <w:ind w:left="0" w:firstLine="0"/>
        <w:rPr>
          <w:rFonts w:cs="Arial"/>
          <w:szCs w:val="18"/>
          <w:lang w:val="en-US"/>
        </w:rPr>
      </w:pPr>
      <w:proofErr w:type="spellStart"/>
      <w:r w:rsidRPr="000600EB">
        <w:rPr>
          <w:rFonts w:cs="Arial"/>
          <w:szCs w:val="18"/>
          <w:lang w:val="en-US"/>
        </w:rPr>
        <w:t>ρ</w:t>
      </w:r>
      <w:r w:rsidRPr="000600EB">
        <w:rPr>
          <w:rFonts w:cs="Arial"/>
          <w:szCs w:val="18"/>
          <w:vertAlign w:val="subscript"/>
          <w:lang w:val="en-US"/>
        </w:rPr>
        <w:t>g</w:t>
      </w:r>
      <w:proofErr w:type="spellEnd"/>
      <w:r w:rsidRPr="000600EB">
        <w:rPr>
          <w:rFonts w:cs="Arial"/>
          <w:szCs w:val="18"/>
          <w:vertAlign w:val="subscript"/>
          <w:lang w:val="en-US"/>
        </w:rPr>
        <w:t xml:space="preserve"> </w:t>
      </w:r>
      <w:r w:rsidRPr="000600EB">
        <w:rPr>
          <w:rFonts w:cs="Arial"/>
          <w:szCs w:val="18"/>
          <w:lang w:val="en-US"/>
        </w:rPr>
        <w:t>(kg/m</w:t>
      </w:r>
      <w:r w:rsidRPr="000600EB">
        <w:rPr>
          <w:rFonts w:cs="Arial"/>
          <w:szCs w:val="18"/>
          <w:vertAlign w:val="superscript"/>
          <w:lang w:val="en-US"/>
        </w:rPr>
        <w:t>3</w:t>
      </w:r>
      <w:r w:rsidRPr="000600EB">
        <w:rPr>
          <w:rFonts w:cs="Arial"/>
          <w:szCs w:val="18"/>
          <w:lang w:val="en-US"/>
        </w:rPr>
        <w:t>)</w:t>
      </w:r>
      <w:r>
        <w:rPr>
          <w:rFonts w:cs="Arial"/>
          <w:szCs w:val="18"/>
          <w:lang w:val="en-US"/>
        </w:rPr>
        <w:t xml:space="preserve"> </w:t>
      </w:r>
      <w:r w:rsidRPr="000600EB">
        <w:rPr>
          <w:rFonts w:cs="Arial"/>
          <w:szCs w:val="18"/>
          <w:lang w:val="en-US"/>
        </w:rPr>
        <w:t xml:space="preserve">indicates the gas or </w:t>
      </w:r>
      <w:proofErr w:type="spellStart"/>
      <w:r w:rsidRPr="000600EB">
        <w:rPr>
          <w:rFonts w:cs="Arial"/>
          <w:szCs w:val="18"/>
          <w:lang w:val="en-US"/>
        </w:rPr>
        <w:t>vapo</w:t>
      </w:r>
      <w:r>
        <w:rPr>
          <w:rFonts w:cs="Arial"/>
          <w:szCs w:val="18"/>
          <w:lang w:val="en-US"/>
        </w:rPr>
        <w:t>u</w:t>
      </w:r>
      <w:r w:rsidRPr="000600EB">
        <w:rPr>
          <w:rFonts w:cs="Arial"/>
          <w:szCs w:val="18"/>
          <w:lang w:val="en-US"/>
        </w:rPr>
        <w:t>r</w:t>
      </w:r>
      <w:proofErr w:type="spellEnd"/>
      <w:r w:rsidRPr="000600EB">
        <w:rPr>
          <w:rFonts w:cs="Arial"/>
          <w:szCs w:val="18"/>
          <w:lang w:val="en-US"/>
        </w:rPr>
        <w:t xml:space="preserve"> density</w:t>
      </w:r>
      <w:r>
        <w:rPr>
          <w:rFonts w:cs="Arial"/>
          <w:szCs w:val="18"/>
          <w:lang w:val="en-US"/>
        </w:rPr>
        <w:t xml:space="preserve"> (the parameter is linked to ambient pressure and temperature)</w:t>
      </w:r>
      <w:r w:rsidR="007C32DC">
        <w:rPr>
          <w:rFonts w:cs="Arial"/>
          <w:szCs w:val="18"/>
          <w:lang w:val="en-US"/>
        </w:rPr>
        <w:t xml:space="preserve"> and it is calculated </w:t>
      </w:r>
      <w:r w:rsidR="007C32DC">
        <w:rPr>
          <w:rFonts w:eastAsiaTheme="minorHAnsi"/>
        </w:rPr>
        <w:t>by the ideal gas law</w:t>
      </w:r>
      <w:r w:rsidRPr="000600EB">
        <w:rPr>
          <w:rFonts w:cs="Arial"/>
          <w:szCs w:val="18"/>
          <w:lang w:val="en-US"/>
        </w:rPr>
        <w:t>;</w:t>
      </w:r>
    </w:p>
    <w:p w14:paraId="75AA29A7" w14:textId="64510315" w:rsidR="001E6975" w:rsidRPr="005A6E4B" w:rsidRDefault="001E6975" w:rsidP="001E6975">
      <w:pPr>
        <w:pStyle w:val="Paragrafoelenco"/>
        <w:numPr>
          <w:ilvl w:val="0"/>
          <w:numId w:val="23"/>
        </w:numPr>
        <w:tabs>
          <w:tab w:val="clear" w:pos="7100"/>
          <w:tab w:val="left" w:pos="284"/>
        </w:tabs>
        <w:autoSpaceDE w:val="0"/>
        <w:autoSpaceDN w:val="0"/>
        <w:adjustRightInd w:val="0"/>
        <w:spacing w:line="22" w:lineRule="atLeast"/>
        <w:ind w:hanging="720"/>
        <w:rPr>
          <w:rFonts w:cs="Arial"/>
          <w:szCs w:val="18"/>
        </w:rPr>
      </w:pPr>
      <w:r w:rsidRPr="005A6E4B">
        <w:rPr>
          <w:rFonts w:cs="Arial"/>
          <w:szCs w:val="18"/>
          <w:vertAlign w:val="subscript"/>
          <w:lang w:val="en-US"/>
        </w:rPr>
        <w:t xml:space="preserve"> </w:t>
      </w:r>
      <w:r w:rsidRPr="005A6E4B">
        <w:rPr>
          <w:rFonts w:cs="Arial"/>
          <w:szCs w:val="18"/>
          <w:lang w:val="en-US"/>
        </w:rPr>
        <w:t>LFL (</w:t>
      </w:r>
      <w:r w:rsidR="004A68C8">
        <w:rPr>
          <w:rFonts w:cs="Arial"/>
          <w:szCs w:val="18"/>
          <w:lang w:val="en-US"/>
        </w:rPr>
        <w:t xml:space="preserve">4 </w:t>
      </w:r>
      <w:r w:rsidRPr="005A6E4B">
        <w:rPr>
          <w:rFonts w:cs="Arial"/>
          <w:szCs w:val="18"/>
          <w:lang w:val="en-US"/>
        </w:rPr>
        <w:t>%</w:t>
      </w:r>
      <w:r w:rsidR="004A68C8">
        <w:rPr>
          <w:rFonts w:cs="Arial"/>
          <w:szCs w:val="18"/>
          <w:lang w:val="en-US"/>
        </w:rPr>
        <w:t xml:space="preserve"> </w:t>
      </w:r>
      <w:r w:rsidR="004A68C8" w:rsidRPr="005A6E4B">
        <w:rPr>
          <w:rFonts w:cs="Arial"/>
          <w:szCs w:val="18"/>
          <w:lang w:val="en-US"/>
        </w:rPr>
        <w:t>v/v</w:t>
      </w:r>
      <w:r w:rsidRPr="005A6E4B">
        <w:rPr>
          <w:rFonts w:cs="Arial"/>
          <w:szCs w:val="18"/>
          <w:lang w:val="en-US"/>
        </w:rPr>
        <w:t xml:space="preserve">) is the lower flammability limit of biomethane. </w:t>
      </w:r>
    </w:p>
    <w:p w14:paraId="1C0CE308" w14:textId="2BE3E419" w:rsidR="001E6975" w:rsidRPr="00861357" w:rsidRDefault="001E6975" w:rsidP="001E6975">
      <w:pPr>
        <w:tabs>
          <w:tab w:val="clear" w:pos="7100"/>
          <w:tab w:val="left" w:pos="284"/>
        </w:tabs>
        <w:autoSpaceDE w:val="0"/>
        <w:autoSpaceDN w:val="0"/>
        <w:adjustRightInd w:val="0"/>
        <w:spacing w:line="22" w:lineRule="atLeast"/>
        <w:rPr>
          <w:rFonts w:cs="Arial"/>
          <w:szCs w:val="18"/>
        </w:rPr>
      </w:pPr>
      <w:r w:rsidRPr="00861357">
        <w:rPr>
          <w:rFonts w:cs="Arial"/>
          <w:szCs w:val="18"/>
        </w:rPr>
        <w:t xml:space="preserve">In case of gaseous release, </w:t>
      </w:r>
      <w:proofErr w:type="spellStart"/>
      <w:r w:rsidRPr="00861357">
        <w:rPr>
          <w:rFonts w:cs="Arial"/>
          <w:szCs w:val="18"/>
        </w:rPr>
        <w:t>W</w:t>
      </w:r>
      <w:r w:rsidRPr="00861357">
        <w:rPr>
          <w:rFonts w:cs="Arial"/>
          <w:szCs w:val="18"/>
          <w:vertAlign w:val="subscript"/>
        </w:rPr>
        <w:t>g</w:t>
      </w:r>
      <w:proofErr w:type="spellEnd"/>
      <w:r w:rsidRPr="00861357">
        <w:rPr>
          <w:rFonts w:cs="Arial"/>
          <w:szCs w:val="18"/>
        </w:rPr>
        <w:t xml:space="preserve"> depends on flow conditions (sonic or subsonic), which are determined by the </w:t>
      </w:r>
      <w:proofErr w:type="gramStart"/>
      <w:r w:rsidRPr="00861357">
        <w:rPr>
          <w:rFonts w:cs="Arial"/>
          <w:szCs w:val="18"/>
        </w:rPr>
        <w:t>following  equations</w:t>
      </w:r>
      <w:proofErr w:type="gramEnd"/>
      <w:r>
        <w:rPr>
          <w:rFonts w:cs="Arial"/>
          <w:szCs w:val="18"/>
        </w:rPr>
        <w:t xml:space="preserve"> (</w:t>
      </w:r>
      <w:proofErr w:type="spellStart"/>
      <w:r>
        <w:rPr>
          <w:rFonts w:cs="Arial"/>
          <w:szCs w:val="18"/>
        </w:rPr>
        <w:t>Casal</w:t>
      </w:r>
      <w:proofErr w:type="spellEnd"/>
      <w:r>
        <w:rPr>
          <w:rFonts w:cs="Arial"/>
          <w:szCs w:val="18"/>
        </w:rPr>
        <w:t>, 2018)</w:t>
      </w:r>
      <w:r w:rsidRPr="00861357">
        <w:rPr>
          <w:rFonts w:cs="Arial"/>
          <w:szCs w:val="18"/>
        </w:rPr>
        <w:t>:</w:t>
      </w:r>
    </w:p>
    <w:p w14:paraId="356E6B05" w14:textId="77777777" w:rsidR="001E6975" w:rsidRPr="00AB3F1D" w:rsidRDefault="001E6975" w:rsidP="001E6975">
      <w:pPr>
        <w:pStyle w:val="CETBodytext"/>
        <w:spacing w:line="22" w:lineRule="atLeast"/>
        <w:rPr>
          <w:rFonts w:cs="Arial"/>
          <w:szCs w:val="18"/>
        </w:rPr>
      </w:pPr>
      <w:r>
        <w:object w:dxaOrig="8820" w:dyaOrig="760" w14:anchorId="1369B7C0">
          <v:shape id="_x0000_i1026" type="#_x0000_t75" style="width:441.35pt;height:38.35pt" o:ole="">
            <v:imagedata r:id="rId13" o:title=""/>
          </v:shape>
          <o:OLEObject Type="Embed" ProgID="Unknown" ShapeID="_x0000_i1026" DrawAspect="Content" ObjectID="_1750753141" r:id="rId14"/>
        </w:object>
      </w:r>
      <w:r>
        <w:t xml:space="preserve">                                                                </w:t>
      </w:r>
    </w:p>
    <w:p w14:paraId="680C72BC" w14:textId="65913408" w:rsidR="001E6975" w:rsidRDefault="002B0BDB" w:rsidP="001E6975">
      <w:pPr>
        <w:pStyle w:val="CETBodytext"/>
        <w:spacing w:line="22" w:lineRule="atLeast"/>
      </w:pPr>
      <w:r>
        <w:object w:dxaOrig="8860" w:dyaOrig="760" w14:anchorId="59BB07A2">
          <v:shape id="_x0000_i1027" type="#_x0000_t75" style="width:443.2pt;height:38.35pt" o:ole="">
            <v:imagedata r:id="rId15" o:title=""/>
          </v:shape>
          <o:OLEObject Type="Embed" ProgID="Unknown" ShapeID="_x0000_i1027" DrawAspect="Content" ObjectID="_1750753142" r:id="rId16"/>
        </w:object>
      </w:r>
    </w:p>
    <w:p w14:paraId="409A80EC" w14:textId="77777777" w:rsidR="001E6975" w:rsidRDefault="001E6975" w:rsidP="001E6975">
      <w:pPr>
        <w:pStyle w:val="CETBodytext"/>
        <w:spacing w:line="22" w:lineRule="atLeast"/>
        <w:rPr>
          <w:lang w:val="en-GB"/>
        </w:rPr>
      </w:pPr>
      <w:r>
        <w:rPr>
          <w:lang w:val="en-GB"/>
        </w:rPr>
        <w:t>Where:</w:t>
      </w:r>
    </w:p>
    <w:p w14:paraId="0250A36C" w14:textId="77777777" w:rsidR="001E6975" w:rsidRDefault="001E6975" w:rsidP="001E6975">
      <w:pPr>
        <w:pStyle w:val="CETBodytext"/>
        <w:numPr>
          <w:ilvl w:val="0"/>
          <w:numId w:val="24"/>
        </w:numPr>
        <w:tabs>
          <w:tab w:val="left" w:pos="284"/>
        </w:tabs>
        <w:spacing w:line="22" w:lineRule="atLeast"/>
        <w:ind w:hanging="720"/>
        <w:rPr>
          <w:lang w:val="en-GB"/>
        </w:rPr>
      </w:pPr>
      <w:r>
        <w:rPr>
          <w:lang w:val="en-GB"/>
        </w:rPr>
        <w:t>p</w:t>
      </w:r>
      <w:r>
        <w:rPr>
          <w:vertAlign w:val="subscript"/>
          <w:lang w:val="en-GB"/>
        </w:rPr>
        <w:t xml:space="preserve">in </w:t>
      </w:r>
      <w:r>
        <w:rPr>
          <w:lang w:val="en-GB"/>
        </w:rPr>
        <w:t>(Pa) is the pressure inside the vessel or component;</w:t>
      </w:r>
    </w:p>
    <w:p w14:paraId="6A9A16DC" w14:textId="77777777" w:rsidR="001E6975" w:rsidRDefault="001E6975" w:rsidP="001E6975">
      <w:pPr>
        <w:pStyle w:val="CETBodytext"/>
        <w:numPr>
          <w:ilvl w:val="0"/>
          <w:numId w:val="24"/>
        </w:numPr>
        <w:tabs>
          <w:tab w:val="left" w:pos="284"/>
        </w:tabs>
        <w:spacing w:line="22" w:lineRule="atLeast"/>
        <w:ind w:hanging="720"/>
        <w:rPr>
          <w:lang w:val="en-GB"/>
        </w:rPr>
      </w:pPr>
      <w:proofErr w:type="spellStart"/>
      <w:r>
        <w:rPr>
          <w:lang w:val="en-GB"/>
        </w:rPr>
        <w:t>p</w:t>
      </w:r>
      <w:r w:rsidRPr="00EA56A3">
        <w:rPr>
          <w:vertAlign w:val="subscript"/>
          <w:lang w:val="en-GB"/>
        </w:rPr>
        <w:t>atm</w:t>
      </w:r>
      <w:proofErr w:type="spellEnd"/>
      <w:r>
        <w:rPr>
          <w:lang w:val="en-GB"/>
        </w:rPr>
        <w:t xml:space="preserve"> (101325 Pa) indicates the atmospheric pressure;</w:t>
      </w:r>
    </w:p>
    <w:p w14:paraId="346BF1B5" w14:textId="77777777" w:rsidR="001E6975" w:rsidRDefault="001E6975" w:rsidP="001E6975">
      <w:pPr>
        <w:pStyle w:val="CETBodytext"/>
        <w:numPr>
          <w:ilvl w:val="0"/>
          <w:numId w:val="24"/>
        </w:numPr>
        <w:tabs>
          <w:tab w:val="left" w:pos="284"/>
        </w:tabs>
        <w:spacing w:line="22" w:lineRule="atLeast"/>
        <w:ind w:hanging="720"/>
        <w:rPr>
          <w:lang w:val="en-GB"/>
        </w:rPr>
      </w:pPr>
      <w:proofErr w:type="gramStart"/>
      <w:r>
        <w:rPr>
          <w:rFonts w:cs="Arial"/>
          <w:lang w:val="en-GB"/>
        </w:rPr>
        <w:t>γ</w:t>
      </w:r>
      <w:proofErr w:type="gramEnd"/>
      <w:r>
        <w:rPr>
          <w:lang w:val="en-GB"/>
        </w:rPr>
        <w:t xml:space="preserve"> (dimensionless parameter) = </w:t>
      </w:r>
      <w:proofErr w:type="spellStart"/>
      <w:r>
        <w:rPr>
          <w:lang w:val="en-GB"/>
        </w:rPr>
        <w:t>c</w:t>
      </w:r>
      <w:r w:rsidRPr="00861357">
        <w:rPr>
          <w:vertAlign w:val="subscript"/>
          <w:lang w:val="en-GB"/>
        </w:rPr>
        <w:t>p</w:t>
      </w:r>
      <w:proofErr w:type="spellEnd"/>
      <w:r>
        <w:rPr>
          <w:lang w:val="en-GB"/>
        </w:rPr>
        <w:t>/c</w:t>
      </w:r>
      <w:r w:rsidRPr="00861357">
        <w:rPr>
          <w:vertAlign w:val="subscript"/>
          <w:lang w:val="en-GB"/>
        </w:rPr>
        <w:t xml:space="preserve">v </w:t>
      </w:r>
      <w:r>
        <w:rPr>
          <w:lang w:val="en-GB"/>
        </w:rPr>
        <w:t xml:space="preserve">(heat capacities ratio). </w:t>
      </w:r>
    </w:p>
    <w:p w14:paraId="6F8F62D3" w14:textId="2D13E681" w:rsidR="001E6975" w:rsidRDefault="001E6975" w:rsidP="001E6975">
      <w:pPr>
        <w:pStyle w:val="CETBodytext"/>
        <w:spacing w:line="22" w:lineRule="atLeast"/>
        <w:rPr>
          <w:rFonts w:cs="Arial"/>
          <w:szCs w:val="18"/>
          <w:lang w:val="en-GB"/>
        </w:rPr>
      </w:pPr>
      <w:r>
        <w:rPr>
          <w:rFonts w:cs="Arial"/>
          <w:szCs w:val="18"/>
          <w:lang w:val="en-GB"/>
        </w:rPr>
        <w:t xml:space="preserve">The heat capacities ratio depends on temperature and it </w:t>
      </w:r>
      <w:proofErr w:type="gramStart"/>
      <w:r>
        <w:rPr>
          <w:rFonts w:cs="Arial"/>
          <w:szCs w:val="18"/>
          <w:lang w:val="en-GB"/>
        </w:rPr>
        <w:t>can be calculated</w:t>
      </w:r>
      <w:proofErr w:type="gramEnd"/>
      <w:r>
        <w:rPr>
          <w:rFonts w:cs="Arial"/>
          <w:szCs w:val="18"/>
          <w:lang w:val="en-GB"/>
        </w:rPr>
        <w:t xml:space="preserve"> by the </w:t>
      </w:r>
      <w:proofErr w:type="spellStart"/>
      <w:r>
        <w:rPr>
          <w:rFonts w:cs="Arial"/>
          <w:szCs w:val="18"/>
          <w:lang w:val="en-GB"/>
        </w:rPr>
        <w:t>Langen</w:t>
      </w:r>
      <w:proofErr w:type="spellEnd"/>
      <w:r>
        <w:rPr>
          <w:rFonts w:cs="Arial"/>
          <w:szCs w:val="18"/>
          <w:lang w:val="en-GB"/>
        </w:rPr>
        <w:t xml:space="preserve"> equations:</w:t>
      </w:r>
    </w:p>
    <w:p w14:paraId="26813D0A" w14:textId="008D578E" w:rsidR="00F74FF7" w:rsidRPr="001E6975" w:rsidRDefault="008519DB" w:rsidP="001E6975">
      <w:pPr>
        <w:pStyle w:val="CETBodytext"/>
        <w:rPr>
          <w:rFonts w:cs="Arial"/>
          <w:szCs w:val="18"/>
          <w:lang w:val="en-GB"/>
        </w:rPr>
      </w:pPr>
      <w:r>
        <w:rPr>
          <w:rFonts w:cs="Arial"/>
          <w:noProof/>
          <w:szCs w:val="18"/>
          <w:lang w:val="it-IT" w:eastAsia="it-IT"/>
        </w:rPr>
        <w:object w:dxaOrig="1440" w:dyaOrig="1440" w14:anchorId="15B8D11A">
          <v:shape id="_x0000_s1038" type="#_x0000_t75" style="position:absolute;left:0;text-align:left;margin-left:3.8pt;margin-top:10.65pt;width:442.55pt;height:33.65pt;z-index:251658240;mso-position-horizontal-relative:text;mso-position-vertical-relative:text">
            <v:imagedata r:id="rId17" o:title=""/>
            <w10:wrap type="square" side="right"/>
          </v:shape>
          <o:OLEObject Type="Embed" ProgID="Unknown" ShapeID="_x0000_s1038" DrawAspect="Content" ObjectID="_1750753146" r:id="rId18"/>
        </w:object>
      </w:r>
    </w:p>
    <w:p w14:paraId="65F37894" w14:textId="2F1BCCC8" w:rsidR="00D31F73" w:rsidRDefault="00D31F73" w:rsidP="00D31F73">
      <w:pPr>
        <w:pStyle w:val="CETBodytext"/>
        <w:rPr>
          <w:rFonts w:cs="Arial"/>
          <w:szCs w:val="18"/>
        </w:rPr>
      </w:pPr>
    </w:p>
    <w:p w14:paraId="08EF68F7" w14:textId="77777777" w:rsidR="001E6975" w:rsidRDefault="001E6975" w:rsidP="001E6975">
      <w:pPr>
        <w:pStyle w:val="CETBodytext"/>
        <w:spacing w:line="22" w:lineRule="atLeast"/>
      </w:pPr>
      <w:r>
        <w:t xml:space="preserve">With reference to methane, the values of a, a’ and b are shown in table 2. </w:t>
      </w:r>
    </w:p>
    <w:p w14:paraId="639A7DA2" w14:textId="77777777" w:rsidR="001E6975" w:rsidRPr="005A2D74" w:rsidRDefault="001E6975" w:rsidP="001E6975">
      <w:pPr>
        <w:pStyle w:val="CETBodytext"/>
        <w:spacing w:line="22" w:lineRule="atLeast"/>
        <w:ind w:left="360"/>
        <w:rPr>
          <w:sz w:val="10"/>
          <w:szCs w:val="10"/>
        </w:rPr>
      </w:pPr>
    </w:p>
    <w:p w14:paraId="38D288A4" w14:textId="77777777" w:rsidR="001E6975" w:rsidRDefault="001E6975" w:rsidP="001E6975">
      <w:pPr>
        <w:pStyle w:val="CETBodytext"/>
        <w:spacing w:line="22" w:lineRule="atLeast"/>
        <w:rPr>
          <w:i/>
        </w:rPr>
      </w:pPr>
      <w:r w:rsidRPr="006F4F6A">
        <w:rPr>
          <w:i/>
        </w:rPr>
        <w:t xml:space="preserve">Table </w:t>
      </w:r>
      <w:r>
        <w:rPr>
          <w:i/>
        </w:rPr>
        <w:t>2</w:t>
      </w:r>
      <w:r w:rsidRPr="006F4F6A">
        <w:rPr>
          <w:i/>
        </w:rPr>
        <w:t xml:space="preserve">: </w:t>
      </w:r>
      <w:proofErr w:type="spellStart"/>
      <w:r w:rsidRPr="006F4F6A">
        <w:rPr>
          <w:i/>
        </w:rPr>
        <w:t>Langen</w:t>
      </w:r>
      <w:proofErr w:type="spellEnd"/>
      <w:r w:rsidRPr="006F4F6A">
        <w:rPr>
          <w:i/>
        </w:rPr>
        <w:t xml:space="preserve"> parameters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34"/>
        <w:gridCol w:w="1134"/>
      </w:tblGrid>
      <w:tr w:rsidR="001E6975" w14:paraId="037407E9" w14:textId="77777777" w:rsidTr="00CF6B3E">
        <w:tc>
          <w:tcPr>
            <w:tcW w:w="1271" w:type="dxa"/>
            <w:tcBorders>
              <w:top w:val="single" w:sz="4" w:space="0" w:color="92D050"/>
              <w:bottom w:val="single" w:sz="4" w:space="0" w:color="92D050"/>
            </w:tcBorders>
          </w:tcPr>
          <w:p w14:paraId="7FD0DEC8" w14:textId="77777777" w:rsidR="001E6975" w:rsidRPr="006F4F6A" w:rsidRDefault="001E6975" w:rsidP="008C34EF">
            <w:pPr>
              <w:pStyle w:val="CETBodytext"/>
              <w:spacing w:line="22" w:lineRule="atLeast"/>
              <w:jc w:val="center"/>
            </w:pPr>
            <w:r>
              <w:t>a (J/kg K)</w:t>
            </w:r>
          </w:p>
        </w:tc>
        <w:tc>
          <w:tcPr>
            <w:tcW w:w="1134" w:type="dxa"/>
            <w:tcBorders>
              <w:top w:val="single" w:sz="4" w:space="0" w:color="92D050"/>
              <w:bottom w:val="single" w:sz="4" w:space="0" w:color="92D050"/>
            </w:tcBorders>
          </w:tcPr>
          <w:p w14:paraId="0AFF8B61" w14:textId="77777777" w:rsidR="001E6975" w:rsidRPr="006F4F6A" w:rsidRDefault="001E6975" w:rsidP="008C34EF">
            <w:pPr>
              <w:pStyle w:val="CETBodytext"/>
              <w:spacing w:line="22" w:lineRule="atLeast"/>
              <w:jc w:val="center"/>
            </w:pPr>
            <w:r w:rsidRPr="006F4F6A">
              <w:t>a’</w:t>
            </w:r>
            <w:r>
              <w:t xml:space="preserve"> (J/kg K)</w:t>
            </w:r>
          </w:p>
        </w:tc>
        <w:tc>
          <w:tcPr>
            <w:tcW w:w="1134" w:type="dxa"/>
            <w:tcBorders>
              <w:top w:val="single" w:sz="4" w:space="0" w:color="92D050"/>
              <w:bottom w:val="single" w:sz="4" w:space="0" w:color="92D050"/>
            </w:tcBorders>
          </w:tcPr>
          <w:p w14:paraId="0892D14C" w14:textId="77777777" w:rsidR="001E6975" w:rsidRPr="006F4F6A" w:rsidRDefault="001E6975" w:rsidP="008C34EF">
            <w:pPr>
              <w:pStyle w:val="CETBodytext"/>
              <w:spacing w:line="22" w:lineRule="atLeast"/>
              <w:jc w:val="center"/>
            </w:pPr>
            <w:r>
              <w:t>b (J/kg K</w:t>
            </w:r>
            <w:r w:rsidRPr="006F4F6A">
              <w:rPr>
                <w:vertAlign w:val="superscript"/>
              </w:rPr>
              <w:t>2</w:t>
            </w:r>
            <w:r>
              <w:t>)</w:t>
            </w:r>
          </w:p>
        </w:tc>
      </w:tr>
      <w:tr w:rsidR="001E6975" w14:paraId="0F7B667B" w14:textId="77777777" w:rsidTr="00CF6B3E">
        <w:tc>
          <w:tcPr>
            <w:tcW w:w="1271" w:type="dxa"/>
            <w:tcBorders>
              <w:top w:val="single" w:sz="4" w:space="0" w:color="92D050"/>
              <w:bottom w:val="single" w:sz="4" w:space="0" w:color="92D050"/>
            </w:tcBorders>
          </w:tcPr>
          <w:p w14:paraId="15602B12" w14:textId="3065083B" w:rsidR="001E6975" w:rsidRPr="006F4F6A" w:rsidRDefault="001E6975" w:rsidP="008C34EF">
            <w:pPr>
              <w:pStyle w:val="CETBodytext"/>
              <w:spacing w:line="22" w:lineRule="atLeast"/>
              <w:jc w:val="center"/>
            </w:pPr>
            <w:r w:rsidRPr="006F4F6A">
              <w:t>1</w:t>
            </w:r>
            <w:r w:rsidR="00144BE4">
              <w:t>,</w:t>
            </w:r>
            <w:r w:rsidRPr="006F4F6A">
              <w:t>710</w:t>
            </w:r>
          </w:p>
        </w:tc>
        <w:tc>
          <w:tcPr>
            <w:tcW w:w="1134" w:type="dxa"/>
            <w:tcBorders>
              <w:top w:val="single" w:sz="4" w:space="0" w:color="92D050"/>
              <w:bottom w:val="single" w:sz="4" w:space="0" w:color="92D050"/>
            </w:tcBorders>
          </w:tcPr>
          <w:p w14:paraId="25611893" w14:textId="2EF9983A" w:rsidR="001E6975" w:rsidRPr="006F4F6A" w:rsidRDefault="001E6975" w:rsidP="008C34EF">
            <w:pPr>
              <w:pStyle w:val="CETBodytext"/>
              <w:spacing w:line="22" w:lineRule="atLeast"/>
              <w:jc w:val="center"/>
            </w:pPr>
            <w:r w:rsidRPr="006F4F6A">
              <w:t>1</w:t>
            </w:r>
            <w:r w:rsidR="00144BE4">
              <w:t>,</w:t>
            </w:r>
            <w:r w:rsidRPr="006F4F6A">
              <w:t>210</w:t>
            </w:r>
          </w:p>
        </w:tc>
        <w:tc>
          <w:tcPr>
            <w:tcW w:w="1134" w:type="dxa"/>
            <w:tcBorders>
              <w:top w:val="single" w:sz="4" w:space="0" w:color="92D050"/>
              <w:bottom w:val="single" w:sz="4" w:space="0" w:color="92D050"/>
            </w:tcBorders>
          </w:tcPr>
          <w:p w14:paraId="18F87A60" w14:textId="77777777" w:rsidR="001E6975" w:rsidRPr="006F4F6A" w:rsidRDefault="001E6975" w:rsidP="008C34EF">
            <w:pPr>
              <w:pStyle w:val="CETBodytext"/>
              <w:spacing w:line="22" w:lineRule="atLeast"/>
              <w:jc w:val="center"/>
            </w:pPr>
            <w:r w:rsidRPr="006F4F6A">
              <w:t>0.276</w:t>
            </w:r>
          </w:p>
        </w:tc>
      </w:tr>
    </w:tbl>
    <w:p w14:paraId="4366640A" w14:textId="6D9BAE06" w:rsidR="001E6975" w:rsidRDefault="001E6975" w:rsidP="00D31F73">
      <w:pPr>
        <w:pStyle w:val="CETBodytext"/>
        <w:rPr>
          <w:rFonts w:cs="Arial"/>
          <w:szCs w:val="18"/>
        </w:rPr>
      </w:pPr>
    </w:p>
    <w:p w14:paraId="0B91E9AE" w14:textId="2616762E" w:rsidR="001E6975" w:rsidRDefault="001E6975" w:rsidP="00D31F73">
      <w:pPr>
        <w:pStyle w:val="CETBodytext"/>
        <w:rPr>
          <w:rFonts w:cs="Arial"/>
          <w:szCs w:val="18"/>
        </w:rPr>
      </w:pPr>
    </w:p>
    <w:p w14:paraId="4865A85F" w14:textId="16DB3CD5" w:rsidR="00D31F73" w:rsidRPr="00655572" w:rsidRDefault="00D71F90" w:rsidP="00D31F73">
      <w:pPr>
        <w:pStyle w:val="CETBodytext"/>
        <w:jc w:val="left"/>
        <w:rPr>
          <w:rFonts w:cs="Arial"/>
          <w:szCs w:val="18"/>
        </w:rPr>
      </w:pPr>
      <w:r w:rsidRPr="00D71F90">
        <w:rPr>
          <w:rFonts w:cs="Arial"/>
          <w:noProof/>
          <w:szCs w:val="18"/>
          <w:lang w:val="it-IT" w:eastAsia="it-IT"/>
        </w:rPr>
        <w:drawing>
          <wp:inline distT="0" distB="0" distL="0" distR="0" wp14:anchorId="075033C4" wp14:editId="673C78B0">
            <wp:extent cx="4035600" cy="3182400"/>
            <wp:effectExtent l="0" t="0" r="3175" b="0"/>
            <wp:docPr id="4" name="Immagine 4" descr="C:\Users\xf45702\OneDrive - INAIL\Back up Lauri\Documenti\Lavoro di ricerca Roberto\FeX 2023\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xf45702\OneDrive - INAIL\Back up Lauri\Documenti\Lavoro di ricerca Roberto\FeX 2023\Figure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35600" cy="3182400"/>
                    </a:xfrm>
                    <a:prstGeom prst="rect">
                      <a:avLst/>
                    </a:prstGeom>
                    <a:noFill/>
                    <a:ln>
                      <a:noFill/>
                    </a:ln>
                  </pic:spPr>
                </pic:pic>
              </a:graphicData>
            </a:graphic>
          </wp:inline>
        </w:drawing>
      </w:r>
    </w:p>
    <w:p w14:paraId="5756C0B2" w14:textId="12E53DFF" w:rsidR="00641853" w:rsidRPr="004C2916" w:rsidRDefault="00D31F73" w:rsidP="00641853">
      <w:pPr>
        <w:pStyle w:val="CETBodytext"/>
        <w:tabs>
          <w:tab w:val="left" w:pos="284"/>
        </w:tabs>
        <w:jc w:val="left"/>
        <w:rPr>
          <w:rFonts w:cs="Arial"/>
          <w:i/>
          <w:szCs w:val="18"/>
        </w:rPr>
      </w:pPr>
      <w:r w:rsidRPr="004C2916">
        <w:rPr>
          <w:rFonts w:cs="Arial"/>
          <w:i/>
          <w:szCs w:val="18"/>
        </w:rPr>
        <w:t xml:space="preserve">Figure </w:t>
      </w:r>
      <w:r w:rsidR="00A84CAD">
        <w:rPr>
          <w:rFonts w:cs="Arial"/>
          <w:i/>
          <w:szCs w:val="18"/>
        </w:rPr>
        <w:t>1</w:t>
      </w:r>
      <w:r w:rsidRPr="004C2916">
        <w:rPr>
          <w:rFonts w:cs="Arial"/>
          <w:i/>
          <w:szCs w:val="18"/>
        </w:rPr>
        <w:t>: Dilution degree assessment</w:t>
      </w:r>
      <w:r w:rsidR="00641853">
        <w:rPr>
          <w:rFonts w:cs="Arial"/>
          <w:i/>
          <w:szCs w:val="18"/>
        </w:rPr>
        <w:t xml:space="preserve"> (IEC EN 60079-10-1)</w:t>
      </w:r>
    </w:p>
    <w:p w14:paraId="7EF91FD9" w14:textId="0D8C3841" w:rsidR="00D31F73" w:rsidRPr="004C2916" w:rsidRDefault="00D31F73" w:rsidP="00D31F73">
      <w:pPr>
        <w:pStyle w:val="CETBodytext"/>
        <w:tabs>
          <w:tab w:val="left" w:pos="284"/>
        </w:tabs>
        <w:jc w:val="left"/>
        <w:rPr>
          <w:rFonts w:cs="Arial"/>
          <w:i/>
          <w:szCs w:val="18"/>
        </w:rPr>
      </w:pPr>
    </w:p>
    <w:p w14:paraId="55FE1FEF" w14:textId="594B4468" w:rsidR="00E83C73" w:rsidRPr="00187B1C" w:rsidRDefault="00C4448E" w:rsidP="00BF006A">
      <w:pPr>
        <w:pStyle w:val="CETBodytext"/>
        <w:spacing w:line="22" w:lineRule="atLeast"/>
        <w:rPr>
          <w:lang w:val="en-GB"/>
        </w:rPr>
      </w:pPr>
      <w:r>
        <w:t xml:space="preserve">In indoor places, such as the compression unit, </w:t>
      </w:r>
      <w:proofErr w:type="spellStart"/>
      <w:r>
        <w:t>W</w:t>
      </w:r>
      <w:r w:rsidRPr="00C4448E">
        <w:rPr>
          <w:vertAlign w:val="subscript"/>
        </w:rPr>
        <w:t>g</w:t>
      </w:r>
      <w:proofErr w:type="spellEnd"/>
      <w:r>
        <w:t xml:space="preserve"> depends on mass flows (</w:t>
      </w:r>
      <w:proofErr w:type="spellStart"/>
      <w:r>
        <w:t>M</w:t>
      </w:r>
      <w:r w:rsidRPr="00C4448E">
        <w:rPr>
          <w:vertAlign w:val="subscript"/>
        </w:rPr>
        <w:t>i</w:t>
      </w:r>
      <w:proofErr w:type="spellEnd"/>
      <w:r>
        <w:t xml:space="preserve">) released by the potential sources included in </w:t>
      </w:r>
      <w:r w:rsidR="00BF006A">
        <w:t xml:space="preserve">the building.  </w:t>
      </w:r>
      <w:proofErr w:type="spellStart"/>
      <w:r w:rsidR="00E83C73">
        <w:rPr>
          <w:lang w:val="en-GB"/>
        </w:rPr>
        <w:t>M</w:t>
      </w:r>
      <w:r w:rsidR="00E83C73">
        <w:rPr>
          <w:vertAlign w:val="subscript"/>
          <w:lang w:val="en-GB"/>
        </w:rPr>
        <w:t>i</w:t>
      </w:r>
      <w:proofErr w:type="spellEnd"/>
      <w:r w:rsidR="00E83C73">
        <w:rPr>
          <w:lang w:val="en-GB"/>
        </w:rPr>
        <w:t xml:space="preserve"> </w:t>
      </w:r>
      <w:proofErr w:type="gramStart"/>
      <w:r w:rsidR="00E83C73">
        <w:rPr>
          <w:lang w:val="en-GB"/>
        </w:rPr>
        <w:t>is calculated</w:t>
      </w:r>
      <w:proofErr w:type="gramEnd"/>
      <w:r w:rsidR="00E83C73">
        <w:rPr>
          <w:lang w:val="en-GB"/>
        </w:rPr>
        <w:t xml:space="preserve"> by the following equations (Lauri, 20</w:t>
      </w:r>
      <w:r w:rsidR="000F1BCE">
        <w:rPr>
          <w:lang w:val="en-GB"/>
        </w:rPr>
        <w:t>22</w:t>
      </w:r>
      <w:r w:rsidR="00E83C73">
        <w:rPr>
          <w:lang w:val="en-GB"/>
        </w:rPr>
        <w:t>):</w:t>
      </w:r>
    </w:p>
    <w:p w14:paraId="111BFADB" w14:textId="148C8FE2" w:rsidR="00E83C73" w:rsidRDefault="00AB1252" w:rsidP="00E83C73">
      <w:pPr>
        <w:pStyle w:val="CETBodytext"/>
        <w:spacing w:line="22" w:lineRule="atLeast"/>
      </w:pPr>
      <w:r>
        <w:object w:dxaOrig="9080" w:dyaOrig="840" w14:anchorId="6E3A86AB">
          <v:shape id="_x0000_i1029" type="#_x0000_t75" style="width:453.5pt;height:43pt" o:ole="">
            <v:imagedata r:id="rId20" o:title=""/>
          </v:shape>
          <o:OLEObject Type="Embed" ProgID="Unknown" ShapeID="_x0000_i1029" DrawAspect="Content" ObjectID="_1750753143" r:id="rId21"/>
        </w:object>
      </w:r>
    </w:p>
    <w:p w14:paraId="79734DAA" w14:textId="69C7AD11" w:rsidR="00E83C73" w:rsidRDefault="00064826" w:rsidP="00E83C73">
      <w:pPr>
        <w:pStyle w:val="CETBodytext"/>
        <w:spacing w:line="22" w:lineRule="atLeast"/>
        <w:rPr>
          <w:lang w:val="en-GB"/>
        </w:rPr>
      </w:pPr>
      <w:r>
        <w:object w:dxaOrig="9139" w:dyaOrig="1080" w14:anchorId="564D3F1D">
          <v:shape id="_x0000_i1030" type="#_x0000_t75" style="width:456.3pt;height:53.75pt" o:ole="">
            <v:imagedata r:id="rId22" o:title=""/>
          </v:shape>
          <o:OLEObject Type="Embed" ProgID="Unknown" ShapeID="_x0000_i1030" DrawAspect="Content" ObjectID="_1750753144" r:id="rId23"/>
        </w:object>
      </w:r>
    </w:p>
    <w:p w14:paraId="5777761B" w14:textId="77777777" w:rsidR="00E83C73" w:rsidRDefault="00E83C73" w:rsidP="00E83C73">
      <w:pPr>
        <w:pStyle w:val="CETBodytext"/>
        <w:spacing w:line="22" w:lineRule="atLeast"/>
        <w:rPr>
          <w:lang w:val="en-GB"/>
        </w:rPr>
      </w:pPr>
      <w:r>
        <w:rPr>
          <w:lang w:val="en-GB"/>
        </w:rPr>
        <w:t>Where:</w:t>
      </w:r>
    </w:p>
    <w:p w14:paraId="1CFAD3AF" w14:textId="77777777" w:rsidR="00E83C73" w:rsidRPr="00655572" w:rsidRDefault="00E83C73" w:rsidP="00E83C73">
      <w:pPr>
        <w:pStyle w:val="CETBodytext"/>
        <w:numPr>
          <w:ilvl w:val="0"/>
          <w:numId w:val="25"/>
        </w:numPr>
        <w:tabs>
          <w:tab w:val="left" w:pos="284"/>
        </w:tabs>
        <w:spacing w:line="22" w:lineRule="atLeast"/>
        <w:ind w:hanging="720"/>
        <w:rPr>
          <w:rFonts w:cs="Arial"/>
          <w:szCs w:val="18"/>
        </w:rPr>
      </w:pPr>
      <w:r w:rsidRPr="00655572">
        <w:rPr>
          <w:rFonts w:cs="Arial"/>
          <w:szCs w:val="18"/>
        </w:rPr>
        <w:t>A</w:t>
      </w:r>
      <w:r>
        <w:rPr>
          <w:rFonts w:cs="Arial"/>
          <w:szCs w:val="18"/>
        </w:rPr>
        <w:t xml:space="preserve"> </w:t>
      </w:r>
      <w:r w:rsidRPr="00655572">
        <w:rPr>
          <w:rFonts w:cs="Arial"/>
          <w:szCs w:val="18"/>
        </w:rPr>
        <w:t>(m</w:t>
      </w:r>
      <w:r w:rsidRPr="00655572">
        <w:rPr>
          <w:rFonts w:cs="Arial"/>
          <w:szCs w:val="18"/>
          <w:vertAlign w:val="superscript"/>
        </w:rPr>
        <w:t>2</w:t>
      </w:r>
      <w:r w:rsidRPr="00655572">
        <w:rPr>
          <w:rFonts w:cs="Arial"/>
          <w:szCs w:val="18"/>
        </w:rPr>
        <w:t>) is the hole area;</w:t>
      </w:r>
    </w:p>
    <w:p w14:paraId="5D97AD4D" w14:textId="77777777" w:rsidR="00E83C73" w:rsidRPr="00655572" w:rsidRDefault="00E83C73" w:rsidP="00E83C73">
      <w:pPr>
        <w:pStyle w:val="CETBodytext"/>
        <w:numPr>
          <w:ilvl w:val="0"/>
          <w:numId w:val="25"/>
        </w:numPr>
        <w:tabs>
          <w:tab w:val="left" w:pos="284"/>
        </w:tabs>
        <w:spacing w:line="22" w:lineRule="atLeast"/>
        <w:ind w:hanging="720"/>
        <w:rPr>
          <w:rFonts w:cs="Arial"/>
          <w:szCs w:val="18"/>
        </w:rPr>
      </w:pPr>
      <w:r w:rsidRPr="00655572">
        <w:rPr>
          <w:rFonts w:cs="Arial"/>
          <w:szCs w:val="18"/>
        </w:rPr>
        <w:t>C</w:t>
      </w:r>
      <w:r w:rsidRPr="00655572">
        <w:rPr>
          <w:rFonts w:cs="Arial"/>
          <w:szCs w:val="18"/>
          <w:vertAlign w:val="subscript"/>
        </w:rPr>
        <w:t>d</w:t>
      </w:r>
      <w:r w:rsidRPr="00655572">
        <w:rPr>
          <w:rFonts w:cs="Arial"/>
          <w:szCs w:val="18"/>
        </w:rPr>
        <w:t xml:space="preserve"> indicates the discharge coefficient (dimensionless parameter)</w:t>
      </w:r>
      <w:r>
        <w:rPr>
          <w:rFonts w:cs="Arial"/>
          <w:szCs w:val="18"/>
        </w:rPr>
        <w:t>, which is lower than 1</w:t>
      </w:r>
      <w:r w:rsidRPr="00655572">
        <w:rPr>
          <w:rFonts w:cs="Arial"/>
          <w:szCs w:val="18"/>
        </w:rPr>
        <w:t>;</w:t>
      </w:r>
    </w:p>
    <w:p w14:paraId="1EE03CD0" w14:textId="77777777" w:rsidR="00E83C73" w:rsidRDefault="00E83C73" w:rsidP="00E83C73">
      <w:pPr>
        <w:pStyle w:val="CETBodytext"/>
        <w:numPr>
          <w:ilvl w:val="0"/>
          <w:numId w:val="25"/>
        </w:numPr>
        <w:tabs>
          <w:tab w:val="left" w:pos="284"/>
        </w:tabs>
        <w:spacing w:line="22" w:lineRule="atLeast"/>
        <w:ind w:hanging="720"/>
        <w:rPr>
          <w:rFonts w:cs="Arial"/>
          <w:szCs w:val="18"/>
        </w:rPr>
      </w:pPr>
      <w:proofErr w:type="spellStart"/>
      <w:r w:rsidRPr="00655572">
        <w:rPr>
          <w:rFonts w:cs="Arial"/>
          <w:szCs w:val="18"/>
        </w:rPr>
        <w:t>PM</w:t>
      </w:r>
      <w:r w:rsidRPr="00655572">
        <w:rPr>
          <w:rFonts w:cs="Arial"/>
          <w:szCs w:val="18"/>
          <w:vertAlign w:val="subscript"/>
        </w:rPr>
        <w:t>b</w:t>
      </w:r>
      <w:proofErr w:type="spellEnd"/>
      <w:r w:rsidRPr="00655572">
        <w:rPr>
          <w:rFonts w:cs="Arial"/>
          <w:szCs w:val="18"/>
        </w:rPr>
        <w:t xml:space="preserve"> (</w:t>
      </w:r>
      <w:r>
        <w:rPr>
          <w:rFonts w:cs="Arial"/>
          <w:szCs w:val="18"/>
        </w:rPr>
        <w:t xml:space="preserve">16 </w:t>
      </w:r>
      <w:r w:rsidRPr="00655572">
        <w:rPr>
          <w:rFonts w:cs="Arial"/>
          <w:szCs w:val="18"/>
        </w:rPr>
        <w:t>kg/</w:t>
      </w:r>
      <w:proofErr w:type="spellStart"/>
      <w:r w:rsidRPr="00655572">
        <w:rPr>
          <w:rFonts w:cs="Arial"/>
          <w:szCs w:val="18"/>
        </w:rPr>
        <w:t>kmol</w:t>
      </w:r>
      <w:proofErr w:type="spellEnd"/>
      <w:r w:rsidRPr="00655572">
        <w:rPr>
          <w:rFonts w:cs="Arial"/>
          <w:szCs w:val="18"/>
        </w:rPr>
        <w:t>)</w:t>
      </w:r>
      <w:r>
        <w:rPr>
          <w:rFonts w:cs="Arial"/>
          <w:szCs w:val="18"/>
        </w:rPr>
        <w:t xml:space="preserve"> </w:t>
      </w:r>
      <w:r w:rsidRPr="00655572">
        <w:rPr>
          <w:rFonts w:cs="Arial"/>
          <w:szCs w:val="18"/>
        </w:rPr>
        <w:t xml:space="preserve">is the molecular weight </w:t>
      </w:r>
      <w:r>
        <w:rPr>
          <w:rFonts w:cs="Arial"/>
          <w:szCs w:val="18"/>
        </w:rPr>
        <w:t>of biomethane</w:t>
      </w:r>
      <w:r w:rsidRPr="00655572">
        <w:rPr>
          <w:rFonts w:cs="Arial"/>
          <w:szCs w:val="18"/>
        </w:rPr>
        <w:t>;</w:t>
      </w:r>
    </w:p>
    <w:p w14:paraId="1B89C93D" w14:textId="77777777" w:rsidR="00E83C73" w:rsidRDefault="00E83C73" w:rsidP="00E83C73">
      <w:pPr>
        <w:pStyle w:val="CETBodytext"/>
        <w:numPr>
          <w:ilvl w:val="0"/>
          <w:numId w:val="25"/>
        </w:numPr>
        <w:tabs>
          <w:tab w:val="left" w:pos="284"/>
        </w:tabs>
        <w:spacing w:line="22" w:lineRule="atLeast"/>
        <w:ind w:hanging="720"/>
        <w:rPr>
          <w:rFonts w:cs="Arial"/>
          <w:szCs w:val="18"/>
        </w:rPr>
      </w:pPr>
      <w:r>
        <w:rPr>
          <w:rFonts w:cs="Arial"/>
          <w:szCs w:val="18"/>
        </w:rPr>
        <w:t>Z (dimensionless parameter) is the compressibility factor;</w:t>
      </w:r>
    </w:p>
    <w:p w14:paraId="0FF9DC31" w14:textId="77777777" w:rsidR="00E83C73" w:rsidRPr="00C0626C" w:rsidRDefault="00E83C73" w:rsidP="00E83C73">
      <w:pPr>
        <w:pStyle w:val="CETBodytext"/>
        <w:numPr>
          <w:ilvl w:val="0"/>
          <w:numId w:val="25"/>
        </w:numPr>
        <w:tabs>
          <w:tab w:val="left" w:pos="284"/>
        </w:tabs>
        <w:spacing w:line="22" w:lineRule="atLeast"/>
        <w:ind w:hanging="720"/>
        <w:rPr>
          <w:rFonts w:cs="Arial"/>
          <w:szCs w:val="18"/>
        </w:rPr>
      </w:pPr>
      <w:r>
        <w:rPr>
          <w:rFonts w:cs="Arial"/>
          <w:szCs w:val="18"/>
        </w:rPr>
        <w:lastRenderedPageBreak/>
        <w:t>R (8,314 J/</w:t>
      </w:r>
      <w:proofErr w:type="spellStart"/>
      <w:r>
        <w:rPr>
          <w:rFonts w:cs="Arial"/>
          <w:szCs w:val="18"/>
        </w:rPr>
        <w:t>kmol</w:t>
      </w:r>
      <w:proofErr w:type="spellEnd"/>
      <w:r>
        <w:rPr>
          <w:rFonts w:cs="Arial"/>
          <w:szCs w:val="18"/>
        </w:rPr>
        <w:t xml:space="preserve"> K) is the universal gas constant;</w:t>
      </w:r>
    </w:p>
    <w:p w14:paraId="7F80EBA9" w14:textId="38725554" w:rsidR="00E83C73" w:rsidRDefault="00E83C73" w:rsidP="00E83C73">
      <w:pPr>
        <w:pStyle w:val="CETBodytext"/>
        <w:numPr>
          <w:ilvl w:val="0"/>
          <w:numId w:val="25"/>
        </w:numPr>
        <w:tabs>
          <w:tab w:val="left" w:pos="284"/>
        </w:tabs>
        <w:spacing w:line="22" w:lineRule="atLeast"/>
        <w:ind w:hanging="720"/>
        <w:rPr>
          <w:rFonts w:cs="Arial"/>
          <w:szCs w:val="18"/>
        </w:rPr>
      </w:pPr>
      <w:r w:rsidRPr="00655572">
        <w:rPr>
          <w:rFonts w:cs="Arial"/>
          <w:szCs w:val="18"/>
        </w:rPr>
        <w:t>T represents the bio</w:t>
      </w:r>
      <w:r>
        <w:rPr>
          <w:rFonts w:cs="Arial"/>
          <w:szCs w:val="18"/>
        </w:rPr>
        <w:t>fuel</w:t>
      </w:r>
      <w:r w:rsidRPr="00655572">
        <w:rPr>
          <w:rFonts w:cs="Arial"/>
          <w:szCs w:val="18"/>
        </w:rPr>
        <w:t xml:space="preserve"> release temperature (K).  </w:t>
      </w:r>
    </w:p>
    <w:p w14:paraId="15405926" w14:textId="60A8D447" w:rsidR="00A52F48" w:rsidRDefault="00A52F48" w:rsidP="00A52F48">
      <w:pPr>
        <w:pStyle w:val="CETBodytext"/>
        <w:tabs>
          <w:tab w:val="left" w:pos="284"/>
        </w:tabs>
        <w:spacing w:line="22" w:lineRule="atLeast"/>
        <w:rPr>
          <w:rFonts w:cs="Arial"/>
          <w:szCs w:val="18"/>
        </w:rPr>
      </w:pPr>
    </w:p>
    <w:p w14:paraId="47E4A0F4" w14:textId="42344B6E" w:rsidR="00A52F48" w:rsidRDefault="00A52F48" w:rsidP="00A52F48">
      <w:pPr>
        <w:pStyle w:val="CETHeading1"/>
      </w:pPr>
      <w:r>
        <w:t>Biomethane compression unit</w:t>
      </w:r>
    </w:p>
    <w:p w14:paraId="6B3E8849" w14:textId="22B2C7DF" w:rsidR="002D54F3" w:rsidRDefault="001A1AC4" w:rsidP="002D54F3">
      <w:pPr>
        <w:pStyle w:val="CETBodytext"/>
      </w:pPr>
      <w:r>
        <w:t xml:space="preserve">In the biomethane production plants, the compression unit (Figure </w:t>
      </w:r>
      <w:r w:rsidR="00C866AB">
        <w:t>2</w:t>
      </w:r>
      <w:r>
        <w:t>) increases the biofuel pressure, which depends on intended purpose. Indeed, in case of biomethane injection into the natural gas network, the pr</w:t>
      </w:r>
      <w:r w:rsidR="0033101B">
        <w:t>e</w:t>
      </w:r>
      <w:r>
        <w:t>s</w:t>
      </w:r>
      <w:r w:rsidR="0033101B">
        <w:t xml:space="preserve">sure can </w:t>
      </w:r>
      <w:r w:rsidR="007F0475">
        <w:t xml:space="preserve">usually </w:t>
      </w:r>
      <w:r w:rsidR="0033101B">
        <w:t>vary from 40 bar to 80 bar, whereas, in case of compressed natural gas (CNG) production, it is about 220-230 bar.</w:t>
      </w:r>
      <w:r w:rsidR="00F70582">
        <w:t xml:space="preserve"> A typical compression unit is composed by:</w:t>
      </w:r>
    </w:p>
    <w:p w14:paraId="64BE56BA" w14:textId="2E329CB3" w:rsidR="00F70582" w:rsidRPr="003B6A84" w:rsidRDefault="003B6A84" w:rsidP="003B6A84">
      <w:pPr>
        <w:pStyle w:val="CETBodytext"/>
        <w:numPr>
          <w:ilvl w:val="0"/>
          <w:numId w:val="26"/>
        </w:numPr>
        <w:tabs>
          <w:tab w:val="left" w:pos="284"/>
        </w:tabs>
        <w:ind w:left="0" w:firstLine="0"/>
        <w:rPr>
          <w:rFonts w:cs="Arial"/>
          <w:color w:val="000000" w:themeColor="text1"/>
        </w:rPr>
      </w:pPr>
      <w:r>
        <w:rPr>
          <w:rFonts w:cs="Arial"/>
          <w:color w:val="000000" w:themeColor="text1"/>
          <w:szCs w:val="18"/>
        </w:rPr>
        <w:t>c</w:t>
      </w:r>
      <w:r w:rsidR="00F70582" w:rsidRPr="003B6A84">
        <w:rPr>
          <w:rFonts w:cs="Arial"/>
          <w:color w:val="000000" w:themeColor="text1"/>
          <w:szCs w:val="18"/>
        </w:rPr>
        <w:t>ompressor</w:t>
      </w:r>
      <w:r>
        <w:rPr>
          <w:rFonts w:cs="Arial"/>
          <w:color w:val="000000" w:themeColor="text1"/>
          <w:szCs w:val="18"/>
        </w:rPr>
        <w:t>;</w:t>
      </w:r>
      <w:r w:rsidR="00F70582" w:rsidRPr="003B6A84">
        <w:rPr>
          <w:rFonts w:cs="Arial"/>
          <w:color w:val="000000" w:themeColor="text1"/>
          <w:szCs w:val="18"/>
        </w:rPr>
        <w:t xml:space="preserve"> </w:t>
      </w:r>
    </w:p>
    <w:p w14:paraId="501EC85B" w14:textId="002E5B63" w:rsidR="00F70582" w:rsidRPr="003B6A84" w:rsidRDefault="00F70582" w:rsidP="003B6A84">
      <w:pPr>
        <w:pStyle w:val="CETBodytext"/>
        <w:numPr>
          <w:ilvl w:val="0"/>
          <w:numId w:val="26"/>
        </w:numPr>
        <w:tabs>
          <w:tab w:val="left" w:pos="284"/>
        </w:tabs>
        <w:ind w:left="0" w:firstLine="0"/>
        <w:rPr>
          <w:rFonts w:cs="Arial"/>
          <w:color w:val="000000" w:themeColor="text1"/>
        </w:rPr>
      </w:pPr>
      <w:r w:rsidRPr="003B6A84">
        <w:rPr>
          <w:rFonts w:cs="Arial"/>
          <w:color w:val="000000" w:themeColor="text1"/>
          <w:szCs w:val="18"/>
        </w:rPr>
        <w:t>anti-explosive electric motor</w:t>
      </w:r>
      <w:r w:rsidR="003B6A84">
        <w:rPr>
          <w:rFonts w:cs="Arial"/>
          <w:color w:val="000000" w:themeColor="text1"/>
          <w:szCs w:val="18"/>
        </w:rPr>
        <w:t>;</w:t>
      </w:r>
      <w:r w:rsidRPr="003B6A84">
        <w:rPr>
          <w:rFonts w:cs="Arial"/>
          <w:color w:val="000000" w:themeColor="text1"/>
          <w:szCs w:val="18"/>
        </w:rPr>
        <w:t xml:space="preserve"> </w:t>
      </w:r>
    </w:p>
    <w:p w14:paraId="3C319B6B" w14:textId="5FEB4004" w:rsidR="00F70582" w:rsidRPr="003B6A84" w:rsidRDefault="00F70582" w:rsidP="003B6A84">
      <w:pPr>
        <w:pStyle w:val="CETBodytext"/>
        <w:numPr>
          <w:ilvl w:val="0"/>
          <w:numId w:val="26"/>
        </w:numPr>
        <w:tabs>
          <w:tab w:val="left" w:pos="284"/>
        </w:tabs>
        <w:ind w:left="0" w:firstLine="0"/>
        <w:rPr>
          <w:rFonts w:cs="Arial"/>
          <w:color w:val="000000" w:themeColor="text1"/>
        </w:rPr>
      </w:pPr>
      <w:r w:rsidRPr="003B6A84">
        <w:rPr>
          <w:rFonts w:cs="Arial"/>
          <w:color w:val="000000" w:themeColor="text1"/>
          <w:szCs w:val="18"/>
        </w:rPr>
        <w:t>cooling unit</w:t>
      </w:r>
      <w:r w:rsidR="003B6A84">
        <w:rPr>
          <w:rFonts w:cs="Arial"/>
          <w:color w:val="000000" w:themeColor="text1"/>
          <w:szCs w:val="18"/>
        </w:rPr>
        <w:t>;</w:t>
      </w:r>
      <w:r w:rsidRPr="003B6A84">
        <w:rPr>
          <w:rFonts w:cs="Arial"/>
          <w:color w:val="000000" w:themeColor="text1"/>
          <w:szCs w:val="18"/>
        </w:rPr>
        <w:t xml:space="preserve"> </w:t>
      </w:r>
    </w:p>
    <w:p w14:paraId="429D06EE" w14:textId="23E011A7" w:rsidR="00F70582" w:rsidRPr="00FA65DD" w:rsidRDefault="00F70582" w:rsidP="003B6A84">
      <w:pPr>
        <w:pStyle w:val="CETBodytext"/>
        <w:numPr>
          <w:ilvl w:val="0"/>
          <w:numId w:val="26"/>
        </w:numPr>
        <w:tabs>
          <w:tab w:val="left" w:pos="284"/>
        </w:tabs>
        <w:ind w:left="0" w:firstLine="0"/>
        <w:rPr>
          <w:rFonts w:cs="Arial"/>
          <w:color w:val="000000" w:themeColor="text1"/>
        </w:rPr>
      </w:pPr>
      <w:r w:rsidRPr="003B6A84">
        <w:rPr>
          <w:rFonts w:cs="Arial"/>
          <w:color w:val="000000" w:themeColor="text1"/>
          <w:szCs w:val="18"/>
        </w:rPr>
        <w:t>connection pipeline</w:t>
      </w:r>
      <w:r w:rsidR="003B6A84">
        <w:rPr>
          <w:rFonts w:cs="Arial"/>
          <w:color w:val="000000" w:themeColor="text1"/>
          <w:szCs w:val="18"/>
        </w:rPr>
        <w:t>;</w:t>
      </w:r>
      <w:r w:rsidRPr="003B6A84">
        <w:rPr>
          <w:rFonts w:cs="Arial"/>
          <w:color w:val="000000" w:themeColor="text1"/>
          <w:szCs w:val="18"/>
        </w:rPr>
        <w:t xml:space="preserve"> </w:t>
      </w:r>
    </w:p>
    <w:p w14:paraId="17BF63F3" w14:textId="718DA426" w:rsidR="00FA65DD" w:rsidRPr="003B6A84" w:rsidRDefault="00FA65DD" w:rsidP="003B6A84">
      <w:pPr>
        <w:pStyle w:val="CETBodytext"/>
        <w:numPr>
          <w:ilvl w:val="0"/>
          <w:numId w:val="26"/>
        </w:numPr>
        <w:tabs>
          <w:tab w:val="left" w:pos="284"/>
        </w:tabs>
        <w:ind w:left="0" w:firstLine="0"/>
        <w:rPr>
          <w:rFonts w:cs="Arial"/>
          <w:color w:val="000000" w:themeColor="text1"/>
        </w:rPr>
      </w:pPr>
      <w:r>
        <w:rPr>
          <w:rFonts w:cs="Arial"/>
          <w:color w:val="000000" w:themeColor="text1"/>
          <w:szCs w:val="18"/>
        </w:rPr>
        <w:t>control valves;</w:t>
      </w:r>
    </w:p>
    <w:p w14:paraId="6607AE9F" w14:textId="1FA1D8B1" w:rsidR="00F70582" w:rsidRPr="003B6A84" w:rsidRDefault="00F70582" w:rsidP="003B6A84">
      <w:pPr>
        <w:pStyle w:val="CETBodytext"/>
        <w:numPr>
          <w:ilvl w:val="0"/>
          <w:numId w:val="26"/>
        </w:numPr>
        <w:tabs>
          <w:tab w:val="left" w:pos="284"/>
        </w:tabs>
        <w:ind w:left="0" w:firstLine="0"/>
        <w:rPr>
          <w:rFonts w:cs="Arial"/>
          <w:color w:val="000000" w:themeColor="text1"/>
        </w:rPr>
      </w:pPr>
      <w:r w:rsidRPr="003B6A84">
        <w:rPr>
          <w:rFonts w:cs="Arial"/>
          <w:color w:val="000000" w:themeColor="text1"/>
          <w:szCs w:val="18"/>
        </w:rPr>
        <w:t>safety valve</w:t>
      </w:r>
      <w:r w:rsidR="003B6A84">
        <w:rPr>
          <w:rFonts w:cs="Arial"/>
          <w:color w:val="000000" w:themeColor="text1"/>
          <w:szCs w:val="18"/>
        </w:rPr>
        <w:t>s;</w:t>
      </w:r>
      <w:r w:rsidRPr="003B6A84">
        <w:rPr>
          <w:rFonts w:cs="Arial"/>
          <w:color w:val="000000" w:themeColor="text1"/>
          <w:szCs w:val="18"/>
        </w:rPr>
        <w:t xml:space="preserve"> </w:t>
      </w:r>
    </w:p>
    <w:p w14:paraId="079EA333" w14:textId="680BAC35" w:rsidR="00F70582" w:rsidRPr="003B6A84" w:rsidRDefault="00F70582" w:rsidP="003B6A84">
      <w:pPr>
        <w:pStyle w:val="CETBodytext"/>
        <w:numPr>
          <w:ilvl w:val="0"/>
          <w:numId w:val="26"/>
        </w:numPr>
        <w:tabs>
          <w:tab w:val="left" w:pos="284"/>
        </w:tabs>
        <w:ind w:left="0" w:firstLine="0"/>
        <w:rPr>
          <w:rFonts w:cs="Arial"/>
          <w:color w:val="000000" w:themeColor="text1"/>
        </w:rPr>
      </w:pPr>
      <w:r w:rsidRPr="003B6A84">
        <w:rPr>
          <w:rFonts w:cs="Arial"/>
          <w:color w:val="000000" w:themeColor="text1"/>
          <w:szCs w:val="18"/>
        </w:rPr>
        <w:t>blow-down valve</w:t>
      </w:r>
      <w:r w:rsidR="003B6A84">
        <w:rPr>
          <w:rFonts w:cs="Arial"/>
          <w:color w:val="000000" w:themeColor="text1"/>
          <w:szCs w:val="18"/>
        </w:rPr>
        <w:t>;</w:t>
      </w:r>
    </w:p>
    <w:p w14:paraId="49871647" w14:textId="7BB38A53" w:rsidR="00F70582" w:rsidRPr="003B6A84" w:rsidRDefault="00F70582" w:rsidP="003B6A84">
      <w:pPr>
        <w:pStyle w:val="CETBodytext"/>
        <w:numPr>
          <w:ilvl w:val="0"/>
          <w:numId w:val="26"/>
        </w:numPr>
        <w:tabs>
          <w:tab w:val="left" w:pos="284"/>
        </w:tabs>
        <w:ind w:left="0" w:firstLine="0"/>
        <w:rPr>
          <w:rFonts w:cs="Arial"/>
          <w:color w:val="000000" w:themeColor="text1"/>
        </w:rPr>
      </w:pPr>
      <w:proofErr w:type="gramStart"/>
      <w:r w:rsidRPr="003B6A84">
        <w:rPr>
          <w:rFonts w:cs="Arial"/>
          <w:color w:val="000000" w:themeColor="text1"/>
          <w:szCs w:val="18"/>
        </w:rPr>
        <w:t>control</w:t>
      </w:r>
      <w:proofErr w:type="gramEnd"/>
      <w:r w:rsidRPr="003B6A84">
        <w:rPr>
          <w:rFonts w:cs="Arial"/>
          <w:color w:val="000000" w:themeColor="text1"/>
          <w:szCs w:val="18"/>
        </w:rPr>
        <w:t xml:space="preserve"> cabinet.</w:t>
      </w:r>
    </w:p>
    <w:p w14:paraId="12F342C0" w14:textId="77777777" w:rsidR="00984ED2" w:rsidRDefault="00984ED2" w:rsidP="00120283">
      <w:pPr>
        <w:tabs>
          <w:tab w:val="clear" w:pos="7100"/>
        </w:tabs>
        <w:autoSpaceDE w:val="0"/>
        <w:autoSpaceDN w:val="0"/>
        <w:adjustRightInd w:val="0"/>
        <w:spacing w:line="22" w:lineRule="atLeast"/>
        <w:rPr>
          <w:rFonts w:cs="Arial"/>
          <w:szCs w:val="18"/>
        </w:rPr>
      </w:pPr>
    </w:p>
    <w:p w14:paraId="574E2FD2" w14:textId="1B77D94C" w:rsidR="00984ED2" w:rsidRDefault="00984ED2" w:rsidP="00120283">
      <w:pPr>
        <w:tabs>
          <w:tab w:val="clear" w:pos="7100"/>
        </w:tabs>
        <w:autoSpaceDE w:val="0"/>
        <w:autoSpaceDN w:val="0"/>
        <w:adjustRightInd w:val="0"/>
        <w:spacing w:line="22" w:lineRule="atLeast"/>
        <w:rPr>
          <w:rFonts w:cs="Arial"/>
          <w:szCs w:val="18"/>
        </w:rPr>
      </w:pPr>
      <w:r w:rsidRPr="00984ED2">
        <w:rPr>
          <w:rFonts w:cs="Arial"/>
          <w:noProof/>
          <w:szCs w:val="18"/>
          <w:lang w:val="it-IT" w:eastAsia="it-IT"/>
        </w:rPr>
        <w:drawing>
          <wp:inline distT="0" distB="0" distL="0" distR="0" wp14:anchorId="7F7C3152" wp14:editId="6B364166">
            <wp:extent cx="3181985" cy="2801620"/>
            <wp:effectExtent l="19050" t="19050" r="18415" b="17780"/>
            <wp:docPr id="3" name="Immagine 3" descr="C:\Users\xf45702\OneDrive - INAIL\Back up Lauri\Documenti\Lavoro di ricerca Roberto\FeX 2023\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xf45702\OneDrive - INAIL\Back up Lauri\Documenti\Lavoro di ricerca Roberto\FeX 2023\Figure 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1985" cy="2801620"/>
                    </a:xfrm>
                    <a:prstGeom prst="rect">
                      <a:avLst/>
                    </a:prstGeom>
                    <a:noFill/>
                    <a:ln>
                      <a:solidFill>
                        <a:schemeClr val="tx1"/>
                      </a:solidFill>
                    </a:ln>
                  </pic:spPr>
                </pic:pic>
              </a:graphicData>
            </a:graphic>
          </wp:inline>
        </w:drawing>
      </w:r>
    </w:p>
    <w:p w14:paraId="5FD7FA2C" w14:textId="77777777" w:rsidR="00984ED2" w:rsidRDefault="00984ED2" w:rsidP="00120283">
      <w:pPr>
        <w:tabs>
          <w:tab w:val="clear" w:pos="7100"/>
        </w:tabs>
        <w:autoSpaceDE w:val="0"/>
        <w:autoSpaceDN w:val="0"/>
        <w:adjustRightInd w:val="0"/>
        <w:spacing w:line="22" w:lineRule="atLeast"/>
        <w:rPr>
          <w:rFonts w:cs="Arial"/>
          <w:szCs w:val="18"/>
        </w:rPr>
      </w:pPr>
    </w:p>
    <w:p w14:paraId="0DB263A3" w14:textId="014F18D1" w:rsidR="00984ED2" w:rsidRPr="004C2916" w:rsidRDefault="00984ED2" w:rsidP="00984ED2">
      <w:pPr>
        <w:pStyle w:val="CETBodytext"/>
        <w:tabs>
          <w:tab w:val="left" w:pos="284"/>
        </w:tabs>
        <w:jc w:val="left"/>
        <w:rPr>
          <w:rFonts w:cs="Arial"/>
          <w:i/>
          <w:szCs w:val="18"/>
        </w:rPr>
      </w:pPr>
      <w:r w:rsidRPr="004C2916">
        <w:rPr>
          <w:rFonts w:cs="Arial"/>
          <w:i/>
          <w:szCs w:val="18"/>
        </w:rPr>
        <w:t xml:space="preserve">Figure </w:t>
      </w:r>
      <w:r w:rsidR="00C866AB">
        <w:rPr>
          <w:rFonts w:cs="Arial"/>
          <w:i/>
          <w:szCs w:val="18"/>
        </w:rPr>
        <w:t>2</w:t>
      </w:r>
      <w:r w:rsidRPr="004C2916">
        <w:rPr>
          <w:rFonts w:cs="Arial"/>
          <w:i/>
          <w:szCs w:val="18"/>
        </w:rPr>
        <w:t xml:space="preserve">: </w:t>
      </w:r>
      <w:r>
        <w:rPr>
          <w:rFonts w:cs="Arial"/>
          <w:i/>
          <w:szCs w:val="18"/>
        </w:rPr>
        <w:t>Biomethane compression unit</w:t>
      </w:r>
    </w:p>
    <w:p w14:paraId="7C325AA8" w14:textId="52F40AAD" w:rsidR="00792908" w:rsidRDefault="00792908" w:rsidP="00120283">
      <w:pPr>
        <w:tabs>
          <w:tab w:val="clear" w:pos="7100"/>
        </w:tabs>
        <w:autoSpaceDE w:val="0"/>
        <w:autoSpaceDN w:val="0"/>
        <w:adjustRightInd w:val="0"/>
        <w:spacing w:line="22" w:lineRule="atLeast"/>
        <w:rPr>
          <w:rFonts w:cs="Arial"/>
          <w:szCs w:val="18"/>
        </w:rPr>
      </w:pPr>
    </w:p>
    <w:p w14:paraId="5E9B8721" w14:textId="0C853DA4" w:rsidR="00120283" w:rsidRPr="008D39AE" w:rsidRDefault="00792908" w:rsidP="00792908">
      <w:pPr>
        <w:tabs>
          <w:tab w:val="clear" w:pos="7100"/>
        </w:tabs>
        <w:autoSpaceDE w:val="0"/>
        <w:autoSpaceDN w:val="0"/>
        <w:adjustRightInd w:val="0"/>
        <w:spacing w:line="240" w:lineRule="auto"/>
        <w:rPr>
          <w:rFonts w:eastAsiaTheme="minorHAnsi" w:cs="Arial"/>
          <w:szCs w:val="18"/>
          <w:lang w:val="en-US"/>
        </w:rPr>
      </w:pPr>
      <w:r>
        <w:rPr>
          <w:rFonts w:cs="Arial"/>
          <w:szCs w:val="18"/>
        </w:rPr>
        <w:t>Multi-stage r</w:t>
      </w:r>
      <w:r w:rsidR="00120283" w:rsidRPr="00D17E91">
        <w:rPr>
          <w:rFonts w:cs="Arial"/>
          <w:szCs w:val="18"/>
        </w:rPr>
        <w:t xml:space="preserve">eciprocating compressors </w:t>
      </w:r>
      <w:proofErr w:type="gramStart"/>
      <w:r w:rsidR="00120283" w:rsidRPr="00D17E91">
        <w:rPr>
          <w:rFonts w:cs="Arial"/>
          <w:szCs w:val="18"/>
        </w:rPr>
        <w:t>are generally used</w:t>
      </w:r>
      <w:proofErr w:type="gramEnd"/>
      <w:r w:rsidR="00120283" w:rsidRPr="00D17E91">
        <w:rPr>
          <w:rFonts w:cs="Arial"/>
          <w:szCs w:val="18"/>
        </w:rPr>
        <w:t xml:space="preserve"> to increase the biofuel pressure.</w:t>
      </w:r>
      <w:r w:rsidR="00120283">
        <w:rPr>
          <w:rFonts w:cs="Arial"/>
          <w:szCs w:val="18"/>
        </w:rPr>
        <w:t xml:space="preserve"> </w:t>
      </w:r>
      <w:r w:rsidRPr="00792908">
        <w:rPr>
          <w:rFonts w:eastAsiaTheme="minorHAnsi" w:cs="Arial"/>
          <w:szCs w:val="18"/>
          <w:lang w:val="en-US"/>
        </w:rPr>
        <w:t>On multi</w:t>
      </w:r>
      <w:r>
        <w:rPr>
          <w:rFonts w:eastAsiaTheme="minorHAnsi" w:cs="Arial"/>
          <w:szCs w:val="18"/>
          <w:lang w:val="en-US"/>
        </w:rPr>
        <w:t>-</w:t>
      </w:r>
      <w:r w:rsidRPr="00792908">
        <w:rPr>
          <w:rFonts w:eastAsiaTheme="minorHAnsi" w:cs="Arial"/>
          <w:szCs w:val="18"/>
          <w:lang w:val="en-US"/>
        </w:rPr>
        <w:t xml:space="preserve">stage machines, intercoolers </w:t>
      </w:r>
      <w:proofErr w:type="gramStart"/>
      <w:r w:rsidRPr="00792908">
        <w:rPr>
          <w:rFonts w:eastAsiaTheme="minorHAnsi" w:cs="Arial"/>
          <w:szCs w:val="18"/>
          <w:lang w:val="en-US"/>
        </w:rPr>
        <w:t xml:space="preserve">are </w:t>
      </w:r>
      <w:r w:rsidR="00B57E55">
        <w:rPr>
          <w:rFonts w:eastAsiaTheme="minorHAnsi" w:cs="Arial"/>
          <w:szCs w:val="18"/>
          <w:lang w:val="en-US"/>
        </w:rPr>
        <w:t>usually</w:t>
      </w:r>
      <w:r w:rsidRPr="00792908">
        <w:rPr>
          <w:rFonts w:eastAsiaTheme="minorHAnsi" w:cs="Arial"/>
          <w:szCs w:val="18"/>
          <w:lang w:val="en-US"/>
        </w:rPr>
        <w:t xml:space="preserve"> provided</w:t>
      </w:r>
      <w:proofErr w:type="gramEnd"/>
      <w:r>
        <w:rPr>
          <w:rFonts w:eastAsiaTheme="minorHAnsi" w:cs="Arial"/>
          <w:szCs w:val="18"/>
          <w:lang w:val="en-US"/>
        </w:rPr>
        <w:t xml:space="preserve"> </w:t>
      </w:r>
      <w:r w:rsidRPr="00792908">
        <w:rPr>
          <w:rFonts w:eastAsiaTheme="minorHAnsi" w:cs="Arial"/>
          <w:szCs w:val="18"/>
          <w:lang w:val="en-US"/>
        </w:rPr>
        <w:t>between stages. The</w:t>
      </w:r>
      <w:r>
        <w:rPr>
          <w:rFonts w:eastAsiaTheme="minorHAnsi" w:cs="Arial"/>
          <w:szCs w:val="18"/>
          <w:lang w:val="en-US"/>
        </w:rPr>
        <w:t>y</w:t>
      </w:r>
      <w:r w:rsidRPr="00792908">
        <w:rPr>
          <w:rFonts w:eastAsiaTheme="minorHAnsi" w:cs="Arial"/>
          <w:szCs w:val="18"/>
          <w:lang w:val="en-US"/>
        </w:rPr>
        <w:t xml:space="preserve"> are h</w:t>
      </w:r>
      <w:r>
        <w:rPr>
          <w:rFonts w:eastAsiaTheme="minorHAnsi" w:cs="Arial"/>
          <w:szCs w:val="18"/>
          <w:lang w:val="en-US"/>
        </w:rPr>
        <w:t xml:space="preserve">eat exchangers, which remove the </w:t>
      </w:r>
      <w:r w:rsidR="0047675C" w:rsidRPr="00792908">
        <w:rPr>
          <w:rFonts w:eastAsiaTheme="minorHAnsi" w:cs="Arial"/>
          <w:szCs w:val="18"/>
          <w:lang w:val="en-US"/>
        </w:rPr>
        <w:t xml:space="preserve">compression </w:t>
      </w:r>
      <w:proofErr w:type="gramStart"/>
      <w:r w:rsidRPr="00792908">
        <w:rPr>
          <w:rFonts w:eastAsiaTheme="minorHAnsi" w:cs="Arial"/>
          <w:szCs w:val="18"/>
          <w:lang w:val="en-US"/>
        </w:rPr>
        <w:t>heat  from</w:t>
      </w:r>
      <w:proofErr w:type="gramEnd"/>
      <w:r w:rsidRPr="00792908">
        <w:rPr>
          <w:rFonts w:eastAsiaTheme="minorHAnsi" w:cs="Arial"/>
          <w:szCs w:val="18"/>
          <w:lang w:val="en-US"/>
        </w:rPr>
        <w:t xml:space="preserve"> the gas and reduce its</w:t>
      </w:r>
      <w:r>
        <w:rPr>
          <w:rFonts w:eastAsiaTheme="minorHAnsi" w:cs="Arial"/>
          <w:szCs w:val="18"/>
          <w:lang w:val="en-US"/>
        </w:rPr>
        <w:t xml:space="preserve"> temperature </w:t>
      </w:r>
      <w:r w:rsidRPr="00792908">
        <w:rPr>
          <w:rFonts w:eastAsiaTheme="minorHAnsi" w:cs="Arial"/>
          <w:szCs w:val="18"/>
          <w:lang w:val="en-US"/>
        </w:rPr>
        <w:t xml:space="preserve">to </w:t>
      </w:r>
      <w:r>
        <w:rPr>
          <w:rFonts w:eastAsiaTheme="minorHAnsi" w:cs="Arial"/>
          <w:szCs w:val="18"/>
          <w:lang w:val="en-US"/>
        </w:rPr>
        <w:t xml:space="preserve">value existing at the compressor </w:t>
      </w:r>
      <w:r w:rsidRPr="00792908">
        <w:rPr>
          <w:rFonts w:eastAsiaTheme="minorHAnsi" w:cs="Arial"/>
          <w:szCs w:val="18"/>
          <w:lang w:val="en-US"/>
        </w:rPr>
        <w:t>intake.</w:t>
      </w:r>
      <w:r>
        <w:rPr>
          <w:rFonts w:eastAsiaTheme="minorHAnsi" w:cs="Arial"/>
          <w:szCs w:val="18"/>
          <w:lang w:val="en-US"/>
        </w:rPr>
        <w:t xml:space="preserve"> </w:t>
      </w:r>
      <w:r w:rsidR="00120283">
        <w:rPr>
          <w:rFonts w:cs="Arial"/>
          <w:szCs w:val="18"/>
        </w:rPr>
        <w:t>W</w:t>
      </w:r>
      <w:r w:rsidR="004474F6">
        <w:rPr>
          <w:rFonts w:cs="Arial"/>
          <w:szCs w:val="18"/>
        </w:rPr>
        <w:t>i</w:t>
      </w:r>
      <w:r w:rsidR="00120283">
        <w:rPr>
          <w:rFonts w:cs="Arial"/>
          <w:szCs w:val="18"/>
        </w:rPr>
        <w:t>th reference to these compressors, t</w:t>
      </w:r>
      <w:r w:rsidR="00120283">
        <w:rPr>
          <w:rFonts w:cs="Arial"/>
          <w:color w:val="000000" w:themeColor="text1"/>
          <w:szCs w:val="18"/>
        </w:rPr>
        <w:t xml:space="preserve">he </w:t>
      </w:r>
      <w:r w:rsidR="00120283" w:rsidRPr="00034635">
        <w:rPr>
          <w:rFonts w:eastAsiaTheme="minorHAnsi" w:cs="Arial"/>
          <w:szCs w:val="18"/>
          <w:lang w:val="en-US"/>
        </w:rPr>
        <w:t xml:space="preserve">leak is </w:t>
      </w:r>
      <w:r w:rsidR="00C456C2">
        <w:rPr>
          <w:rFonts w:eastAsiaTheme="minorHAnsi" w:cs="Arial"/>
          <w:szCs w:val="18"/>
          <w:lang w:val="en-US"/>
        </w:rPr>
        <w:t>the</w:t>
      </w:r>
      <w:r w:rsidR="00120283" w:rsidRPr="00034635">
        <w:rPr>
          <w:rFonts w:eastAsiaTheme="minorHAnsi" w:cs="Arial"/>
          <w:szCs w:val="18"/>
          <w:lang w:val="en-US"/>
        </w:rPr>
        <w:t xml:space="preserve"> ma</w:t>
      </w:r>
      <w:r w:rsidR="00120283">
        <w:rPr>
          <w:rFonts w:eastAsiaTheme="minorHAnsi" w:cs="Arial"/>
          <w:szCs w:val="18"/>
          <w:lang w:val="en-US"/>
        </w:rPr>
        <w:t>in</w:t>
      </w:r>
      <w:r w:rsidR="00120283" w:rsidRPr="00034635">
        <w:rPr>
          <w:rFonts w:eastAsiaTheme="minorHAnsi" w:cs="Arial"/>
          <w:szCs w:val="18"/>
          <w:lang w:val="en-US"/>
        </w:rPr>
        <w:t xml:space="preserve"> source of inefficiency </w:t>
      </w:r>
      <w:r w:rsidR="00120283">
        <w:rPr>
          <w:rFonts w:eastAsiaTheme="minorHAnsi" w:cs="Arial"/>
          <w:szCs w:val="18"/>
          <w:lang w:val="en-US"/>
        </w:rPr>
        <w:t xml:space="preserve">(Matsumura et al., 1992) </w:t>
      </w:r>
      <w:r w:rsidR="00120283" w:rsidRPr="008D39AE">
        <w:rPr>
          <w:rFonts w:eastAsiaTheme="minorHAnsi" w:cs="Arial"/>
          <w:szCs w:val="18"/>
          <w:lang w:val="en-US"/>
        </w:rPr>
        <w:t>and it can become dangerous in case of flammable gases releases. Areas of high leak frequency from reciprocating compressors include flanges, valves and fittings located on compressors (</w:t>
      </w:r>
      <w:proofErr w:type="spellStart"/>
      <w:r w:rsidR="00120283" w:rsidRPr="008D39AE">
        <w:rPr>
          <w:rFonts w:eastAsiaTheme="minorHAnsi" w:cs="Arial"/>
          <w:szCs w:val="18"/>
          <w:lang w:val="en-US"/>
        </w:rPr>
        <w:t>Zimmerle</w:t>
      </w:r>
      <w:proofErr w:type="spellEnd"/>
      <w:r w:rsidR="00120283" w:rsidRPr="008D39AE">
        <w:rPr>
          <w:rFonts w:eastAsiaTheme="minorHAnsi" w:cs="Arial"/>
          <w:szCs w:val="18"/>
          <w:lang w:val="en-US"/>
        </w:rPr>
        <w:t xml:space="preserve"> et al., 2015). However, the highest volume of gas loss is associated with piston rod packing systems and blowdown open-ended lines (</w:t>
      </w:r>
      <w:r w:rsidR="00120283" w:rsidRPr="008D39AE">
        <w:rPr>
          <w:rFonts w:cs="Arial"/>
          <w:szCs w:val="18"/>
        </w:rPr>
        <w:t>Gas Processors Suppliers Association, 2004</w:t>
      </w:r>
      <w:r w:rsidR="00120283" w:rsidRPr="008D39AE">
        <w:rPr>
          <w:rFonts w:eastAsiaTheme="minorHAnsi" w:cs="Arial"/>
          <w:szCs w:val="18"/>
          <w:lang w:val="en-US"/>
        </w:rPr>
        <w:t>).</w:t>
      </w:r>
      <w:r w:rsidR="00120283" w:rsidRPr="008D39AE">
        <w:rPr>
          <w:rFonts w:cs="Arial"/>
          <w:color w:val="000000" w:themeColor="text1"/>
          <w:szCs w:val="18"/>
        </w:rPr>
        <w:t xml:space="preserve"> </w:t>
      </w:r>
      <w:r w:rsidR="00E94140" w:rsidRPr="007371D0">
        <w:rPr>
          <w:rFonts w:cs="Arial"/>
          <w:color w:val="000000" w:themeColor="text1"/>
          <w:szCs w:val="18"/>
        </w:rPr>
        <w:t>The</w:t>
      </w:r>
      <w:r w:rsidR="00E94140">
        <w:rPr>
          <w:rFonts w:cs="Arial"/>
          <w:color w:val="000000" w:themeColor="text1"/>
          <w:szCs w:val="18"/>
        </w:rPr>
        <w:t xml:space="preserve"> </w:t>
      </w:r>
      <w:r w:rsidR="00E94140" w:rsidRPr="007371D0">
        <w:rPr>
          <w:rFonts w:cs="Arial"/>
          <w:color w:val="000000" w:themeColor="text1"/>
          <w:szCs w:val="18"/>
        </w:rPr>
        <w:t>reciprocating compressor is equipped with safety valves aimed at limiting the discharge and inter-stage pressure and ensuring a safe machine operating. The safety valves</w:t>
      </w:r>
      <w:r w:rsidR="00E94140">
        <w:rPr>
          <w:rFonts w:cs="Arial"/>
          <w:color w:val="000000" w:themeColor="text1"/>
          <w:szCs w:val="18"/>
        </w:rPr>
        <w:t xml:space="preserve"> (SV)</w:t>
      </w:r>
      <w:r w:rsidR="00E94140" w:rsidRPr="007371D0">
        <w:rPr>
          <w:rFonts w:cs="Arial"/>
          <w:color w:val="000000" w:themeColor="text1"/>
          <w:szCs w:val="18"/>
        </w:rPr>
        <w:t xml:space="preserve"> are set to open at pressure</w:t>
      </w:r>
      <w:r w:rsidR="00E94140">
        <w:rPr>
          <w:rFonts w:cs="Arial"/>
          <w:color w:val="000000" w:themeColor="text1"/>
          <w:szCs w:val="18"/>
        </w:rPr>
        <w:t>s, which are</w:t>
      </w:r>
      <w:r w:rsidR="00E94140" w:rsidRPr="007371D0">
        <w:rPr>
          <w:rFonts w:cs="Arial"/>
          <w:color w:val="000000" w:themeColor="text1"/>
          <w:szCs w:val="18"/>
        </w:rPr>
        <w:t xml:space="preserve"> slightly higher than the normal discharge pressure of </w:t>
      </w:r>
      <w:r w:rsidR="005866B8">
        <w:rPr>
          <w:rFonts w:cs="Arial"/>
          <w:color w:val="000000" w:themeColor="text1"/>
          <w:szCs w:val="18"/>
        </w:rPr>
        <w:t xml:space="preserve">the </w:t>
      </w:r>
      <w:r w:rsidR="00E94140" w:rsidRPr="007371D0">
        <w:rPr>
          <w:rFonts w:cs="Arial"/>
          <w:color w:val="000000" w:themeColor="text1"/>
          <w:szCs w:val="18"/>
        </w:rPr>
        <w:t>compressor.</w:t>
      </w:r>
      <w:r w:rsidR="00E94140">
        <w:rPr>
          <w:rFonts w:cs="Arial"/>
          <w:color w:val="000000" w:themeColor="text1"/>
          <w:szCs w:val="18"/>
        </w:rPr>
        <w:t xml:space="preserve"> </w:t>
      </w:r>
      <w:r w:rsidR="00D504C4">
        <w:rPr>
          <w:rFonts w:cs="Arial"/>
          <w:color w:val="000000" w:themeColor="text1"/>
          <w:szCs w:val="18"/>
        </w:rPr>
        <w:t xml:space="preserve">With reference to classification of </w:t>
      </w:r>
      <w:proofErr w:type="spellStart"/>
      <w:r w:rsidR="00D504C4">
        <w:rPr>
          <w:rFonts w:cs="Arial"/>
          <w:color w:val="000000" w:themeColor="text1"/>
          <w:szCs w:val="18"/>
        </w:rPr>
        <w:t>Atex</w:t>
      </w:r>
      <w:proofErr w:type="spellEnd"/>
      <w:r w:rsidR="00D504C4">
        <w:rPr>
          <w:rFonts w:cs="Arial"/>
          <w:color w:val="000000" w:themeColor="text1"/>
          <w:szCs w:val="18"/>
        </w:rPr>
        <w:t xml:space="preserve"> zones,</w:t>
      </w:r>
      <w:r w:rsidR="00094AAA" w:rsidRPr="008D39AE">
        <w:rPr>
          <w:rFonts w:cs="Arial"/>
          <w:szCs w:val="18"/>
        </w:rPr>
        <w:t xml:space="preserve"> the compressor can be considered as a source of secondary grade (</w:t>
      </w:r>
      <w:r w:rsidR="00D504C4">
        <w:rPr>
          <w:rFonts w:cs="Arial"/>
          <w:szCs w:val="18"/>
        </w:rPr>
        <w:t xml:space="preserve">the </w:t>
      </w:r>
      <w:r w:rsidR="00094AAA" w:rsidRPr="008D39AE">
        <w:rPr>
          <w:rFonts w:cs="Arial"/>
          <w:szCs w:val="18"/>
        </w:rPr>
        <w:t xml:space="preserve">emission is not expected during the normal operating or release duration would be extremely short) release, whereas the safety valves are sources of primary grade release, because their emission can occasionally occur during the operating. </w:t>
      </w:r>
      <w:r w:rsidR="003D552D">
        <w:rPr>
          <w:rFonts w:cs="Arial"/>
          <w:szCs w:val="18"/>
        </w:rPr>
        <w:t xml:space="preserve">The compression unit is a complex engineering system, which can be affected by failures of several components (flanges, control valve, </w:t>
      </w:r>
      <w:r w:rsidR="00EF2F26">
        <w:rPr>
          <w:rFonts w:cs="Arial"/>
          <w:szCs w:val="18"/>
        </w:rPr>
        <w:t xml:space="preserve">compressor, </w:t>
      </w:r>
      <w:r w:rsidR="003D552D">
        <w:rPr>
          <w:rFonts w:cs="Arial"/>
          <w:szCs w:val="18"/>
        </w:rPr>
        <w:t xml:space="preserve">etc.), which can generate uncontrolled </w:t>
      </w:r>
      <w:proofErr w:type="spellStart"/>
      <w:r w:rsidR="003D552D">
        <w:rPr>
          <w:rFonts w:cs="Arial"/>
          <w:szCs w:val="18"/>
        </w:rPr>
        <w:t>biomethane</w:t>
      </w:r>
      <w:proofErr w:type="spellEnd"/>
      <w:r w:rsidR="003D552D">
        <w:rPr>
          <w:rFonts w:cs="Arial"/>
          <w:szCs w:val="18"/>
        </w:rPr>
        <w:t xml:space="preserve"> releases. </w:t>
      </w:r>
      <w:r w:rsidR="00FA65DD">
        <w:rPr>
          <w:rFonts w:cs="Arial"/>
          <w:szCs w:val="18"/>
        </w:rPr>
        <w:t xml:space="preserve">Leaks from flanges are due to the gaskets, whereas those from control valves are due to the stem packing. </w:t>
      </w:r>
      <w:r w:rsidR="00C456C2">
        <w:rPr>
          <w:rFonts w:cs="Arial"/>
          <w:color w:val="000000" w:themeColor="text1"/>
          <w:szCs w:val="18"/>
        </w:rPr>
        <w:t>Regarding the</w:t>
      </w:r>
      <w:r w:rsidR="00120283" w:rsidRPr="008D39AE">
        <w:rPr>
          <w:rFonts w:cs="Arial"/>
          <w:color w:val="000000" w:themeColor="text1"/>
          <w:szCs w:val="18"/>
        </w:rPr>
        <w:t xml:space="preserve"> possible formation of </w:t>
      </w:r>
      <w:proofErr w:type="spellStart"/>
      <w:r w:rsidR="00120283" w:rsidRPr="008D39AE">
        <w:rPr>
          <w:rFonts w:cs="Arial"/>
          <w:color w:val="000000" w:themeColor="text1"/>
          <w:szCs w:val="18"/>
        </w:rPr>
        <w:t>Atex</w:t>
      </w:r>
      <w:proofErr w:type="spellEnd"/>
      <w:r w:rsidR="00120283" w:rsidRPr="008D39AE">
        <w:rPr>
          <w:rFonts w:cs="Arial"/>
          <w:color w:val="000000" w:themeColor="text1"/>
          <w:szCs w:val="18"/>
        </w:rPr>
        <w:t xml:space="preserve"> zones in </w:t>
      </w:r>
      <w:r w:rsidR="00E75478">
        <w:rPr>
          <w:rFonts w:cs="Arial"/>
          <w:color w:val="000000" w:themeColor="text1"/>
          <w:szCs w:val="18"/>
        </w:rPr>
        <w:t xml:space="preserve">the </w:t>
      </w:r>
      <w:r w:rsidR="00120283" w:rsidRPr="008D39AE">
        <w:rPr>
          <w:rFonts w:cs="Arial"/>
          <w:color w:val="000000" w:themeColor="text1"/>
          <w:szCs w:val="18"/>
        </w:rPr>
        <w:t>compression unit, the forced ventilation system is extremely important</w:t>
      </w:r>
      <w:r w:rsidR="00E62943">
        <w:rPr>
          <w:rFonts w:cs="Arial"/>
          <w:color w:val="000000" w:themeColor="text1"/>
          <w:szCs w:val="18"/>
        </w:rPr>
        <w:t>, because it</w:t>
      </w:r>
      <w:r w:rsidR="00120283" w:rsidRPr="008D39AE">
        <w:rPr>
          <w:rFonts w:cs="Arial"/>
          <w:color w:val="000000" w:themeColor="text1"/>
          <w:szCs w:val="18"/>
        </w:rPr>
        <w:t xml:space="preserve"> has three basic functions:</w:t>
      </w:r>
    </w:p>
    <w:p w14:paraId="4E5829DF" w14:textId="1081E0FD" w:rsidR="00E62943" w:rsidRPr="00E62943" w:rsidRDefault="00E62943" w:rsidP="00E62943">
      <w:pPr>
        <w:pStyle w:val="Paragrafoelenco"/>
        <w:numPr>
          <w:ilvl w:val="0"/>
          <w:numId w:val="27"/>
        </w:numPr>
        <w:tabs>
          <w:tab w:val="clear" w:pos="7100"/>
          <w:tab w:val="left" w:pos="284"/>
        </w:tabs>
        <w:autoSpaceDE w:val="0"/>
        <w:autoSpaceDN w:val="0"/>
        <w:adjustRightInd w:val="0"/>
        <w:spacing w:line="22" w:lineRule="atLeast"/>
        <w:ind w:left="0" w:firstLine="0"/>
        <w:jc w:val="left"/>
        <w:rPr>
          <w:rFonts w:eastAsiaTheme="minorHAnsi" w:cs="Arial"/>
          <w:szCs w:val="18"/>
          <w:lang w:val="en-US"/>
        </w:rPr>
      </w:pPr>
      <w:r w:rsidRPr="00E62943">
        <w:rPr>
          <w:rFonts w:eastAsiaTheme="minorHAnsi" w:cs="Arial"/>
          <w:szCs w:val="18"/>
          <w:lang w:val="en-US"/>
        </w:rPr>
        <w:t>the</w:t>
      </w:r>
      <w:r w:rsidRPr="00E62943">
        <w:rPr>
          <w:rFonts w:ascii="Symbol" w:eastAsiaTheme="minorHAnsi" w:hAnsi="Symbol" w:cs="Symbol"/>
          <w:szCs w:val="18"/>
          <w:lang w:val="it-IT"/>
        </w:rPr>
        <w:t></w:t>
      </w:r>
      <w:r w:rsidRPr="00E62943">
        <w:rPr>
          <w:rFonts w:eastAsiaTheme="minorHAnsi" w:cs="Arial"/>
          <w:szCs w:val="18"/>
          <w:lang w:val="en-US"/>
        </w:rPr>
        <w:t>prevention of explosive mixture formation</w:t>
      </w:r>
      <w:r w:rsidR="005A2142">
        <w:rPr>
          <w:rFonts w:eastAsiaTheme="minorHAnsi" w:cs="Arial"/>
          <w:szCs w:val="18"/>
          <w:lang w:val="en-US"/>
        </w:rPr>
        <w:t>;</w:t>
      </w:r>
      <w:r w:rsidRPr="00E62943">
        <w:rPr>
          <w:rFonts w:eastAsiaTheme="minorHAnsi" w:cs="Arial"/>
          <w:szCs w:val="18"/>
          <w:lang w:val="en-US"/>
        </w:rPr>
        <w:t xml:space="preserve"> </w:t>
      </w:r>
    </w:p>
    <w:p w14:paraId="0F9BF374" w14:textId="4990AD60" w:rsidR="00120283" w:rsidRPr="00E62943" w:rsidRDefault="00E62943" w:rsidP="00E62943">
      <w:pPr>
        <w:pStyle w:val="Paragrafoelenco"/>
        <w:numPr>
          <w:ilvl w:val="0"/>
          <w:numId w:val="27"/>
        </w:numPr>
        <w:tabs>
          <w:tab w:val="clear" w:pos="7100"/>
          <w:tab w:val="left" w:pos="284"/>
        </w:tabs>
        <w:autoSpaceDE w:val="0"/>
        <w:autoSpaceDN w:val="0"/>
        <w:adjustRightInd w:val="0"/>
        <w:spacing w:line="22" w:lineRule="atLeast"/>
        <w:ind w:left="0" w:firstLine="0"/>
        <w:jc w:val="left"/>
        <w:rPr>
          <w:rFonts w:eastAsiaTheme="minorHAnsi" w:cs="Arial"/>
          <w:szCs w:val="18"/>
          <w:lang w:val="en-US"/>
        </w:rPr>
      </w:pPr>
      <w:r w:rsidRPr="00E62943">
        <w:rPr>
          <w:rFonts w:eastAsiaTheme="minorHAnsi" w:cs="Arial"/>
          <w:szCs w:val="18"/>
          <w:lang w:val="en-US"/>
        </w:rPr>
        <w:lastRenderedPageBreak/>
        <w:t xml:space="preserve">the </w:t>
      </w:r>
      <w:r w:rsidR="00120283" w:rsidRPr="00E62943">
        <w:rPr>
          <w:rFonts w:eastAsiaTheme="minorHAnsi" w:cs="Arial"/>
          <w:szCs w:val="18"/>
          <w:lang w:val="en-US"/>
        </w:rPr>
        <w:t>zone extent decrease;</w:t>
      </w:r>
    </w:p>
    <w:p w14:paraId="6CD76348" w14:textId="2760698A" w:rsidR="00120283" w:rsidRDefault="00E62943" w:rsidP="00E62943">
      <w:pPr>
        <w:tabs>
          <w:tab w:val="clear" w:pos="7100"/>
          <w:tab w:val="left" w:pos="284"/>
        </w:tabs>
        <w:autoSpaceDE w:val="0"/>
        <w:autoSpaceDN w:val="0"/>
        <w:adjustRightInd w:val="0"/>
        <w:spacing w:line="22" w:lineRule="atLeast"/>
        <w:jc w:val="left"/>
        <w:rPr>
          <w:rFonts w:eastAsiaTheme="minorHAnsi" w:cs="Arial"/>
          <w:szCs w:val="18"/>
          <w:lang w:val="en-US"/>
        </w:rPr>
      </w:pPr>
      <w:r>
        <w:rPr>
          <w:rFonts w:ascii="Symbol" w:eastAsiaTheme="minorHAnsi" w:hAnsi="Symbol" w:cs="Symbol"/>
          <w:szCs w:val="18"/>
          <w:lang w:val="it-IT"/>
        </w:rPr>
        <w:t></w:t>
      </w:r>
      <w:r w:rsidR="00120283" w:rsidRPr="008D39AE">
        <w:rPr>
          <w:rFonts w:ascii="Symbol" w:eastAsiaTheme="minorHAnsi" w:hAnsi="Symbol" w:cs="Symbol"/>
          <w:szCs w:val="18"/>
          <w:lang w:val="it-IT"/>
        </w:rPr>
        <w:t></w:t>
      </w:r>
      <w:r w:rsidR="00120283" w:rsidRPr="008D39AE">
        <w:rPr>
          <w:rFonts w:ascii="Symbol" w:eastAsiaTheme="minorHAnsi" w:hAnsi="Symbol" w:cs="Symbol"/>
          <w:szCs w:val="18"/>
          <w:lang w:val="it-IT"/>
        </w:rPr>
        <w:t></w:t>
      </w:r>
      <w:r>
        <w:rPr>
          <w:rFonts w:ascii="Symbol" w:eastAsiaTheme="minorHAnsi" w:hAnsi="Symbol" w:cs="Symbol"/>
          <w:szCs w:val="18"/>
          <w:lang w:val="it-IT"/>
        </w:rPr>
        <w:t></w:t>
      </w:r>
      <w:r>
        <w:rPr>
          <w:rFonts w:ascii="Symbol" w:eastAsiaTheme="minorHAnsi" w:hAnsi="Symbol" w:cs="Symbol"/>
          <w:szCs w:val="18"/>
          <w:lang w:val="it-IT"/>
        </w:rPr>
        <w:t></w:t>
      </w:r>
      <w:r w:rsidRPr="00E62943">
        <w:rPr>
          <w:rFonts w:eastAsiaTheme="minorHAnsi" w:cs="Arial"/>
          <w:szCs w:val="18"/>
          <w:lang w:val="en-US"/>
        </w:rPr>
        <w:t>the</w:t>
      </w:r>
      <w:r>
        <w:rPr>
          <w:rFonts w:ascii="Symbol" w:eastAsiaTheme="minorHAnsi" w:hAnsi="Symbol" w:cs="Symbol"/>
          <w:szCs w:val="18"/>
          <w:lang w:val="it-IT"/>
        </w:rPr>
        <w:t></w:t>
      </w:r>
      <w:r w:rsidR="00120283" w:rsidRPr="008D39AE">
        <w:rPr>
          <w:rFonts w:eastAsiaTheme="minorHAnsi" w:cs="Arial"/>
          <w:szCs w:val="18"/>
          <w:lang w:val="en-US"/>
        </w:rPr>
        <w:t>shortening of explosive atmosphere persistence time</w:t>
      </w:r>
      <w:r w:rsidR="009607AA">
        <w:rPr>
          <w:rFonts w:eastAsiaTheme="minorHAnsi" w:cs="Arial"/>
          <w:szCs w:val="18"/>
          <w:lang w:val="en-US"/>
        </w:rPr>
        <w:t>.</w:t>
      </w:r>
    </w:p>
    <w:p w14:paraId="38BDA914" w14:textId="5F0C24DA" w:rsidR="009607AA" w:rsidRDefault="009607AA" w:rsidP="00E62943">
      <w:pPr>
        <w:tabs>
          <w:tab w:val="clear" w:pos="7100"/>
          <w:tab w:val="left" w:pos="284"/>
        </w:tabs>
        <w:autoSpaceDE w:val="0"/>
        <w:autoSpaceDN w:val="0"/>
        <w:adjustRightInd w:val="0"/>
        <w:spacing w:line="22" w:lineRule="atLeast"/>
        <w:jc w:val="left"/>
        <w:rPr>
          <w:rFonts w:eastAsiaTheme="minorHAnsi" w:cs="Arial"/>
          <w:szCs w:val="18"/>
          <w:lang w:val="en-US"/>
        </w:rPr>
      </w:pPr>
    </w:p>
    <w:p w14:paraId="6FEEAF10" w14:textId="6889E08F" w:rsidR="009607AA" w:rsidRDefault="009607AA" w:rsidP="009607AA">
      <w:pPr>
        <w:pStyle w:val="CETHeading1"/>
        <w:rPr>
          <w:rFonts w:eastAsiaTheme="minorHAnsi"/>
        </w:rPr>
      </w:pPr>
      <w:r>
        <w:rPr>
          <w:rFonts w:eastAsiaTheme="minorHAnsi"/>
        </w:rPr>
        <w:t>Results and discussion</w:t>
      </w:r>
    </w:p>
    <w:p w14:paraId="18CB7F7A" w14:textId="49C013BC" w:rsidR="006E7754" w:rsidRPr="00AA228E" w:rsidRDefault="005602C7" w:rsidP="006E7754">
      <w:pPr>
        <w:tabs>
          <w:tab w:val="clear" w:pos="7100"/>
        </w:tabs>
        <w:autoSpaceDE w:val="0"/>
        <w:autoSpaceDN w:val="0"/>
        <w:adjustRightInd w:val="0"/>
        <w:spacing w:line="240" w:lineRule="auto"/>
        <w:rPr>
          <w:rFonts w:eastAsiaTheme="minorHAnsi" w:cs="Arial"/>
          <w:szCs w:val="18"/>
          <w:lang w:val="en-US"/>
        </w:rPr>
      </w:pPr>
      <w:r w:rsidRPr="00AA228E">
        <w:rPr>
          <w:rFonts w:eastAsiaTheme="minorHAnsi"/>
          <w:szCs w:val="18"/>
        </w:rPr>
        <w:t xml:space="preserve">In indoor places, such as the compression unit, </w:t>
      </w:r>
      <w:r w:rsidR="00F46309" w:rsidRPr="00AA228E">
        <w:rPr>
          <w:rFonts w:eastAsiaTheme="minorHAnsi"/>
          <w:szCs w:val="18"/>
        </w:rPr>
        <w:t xml:space="preserve">in order to detect the minimum ventilation velocity, which is able to achieve the best dilution degree, the worst scenario has to </w:t>
      </w:r>
      <w:proofErr w:type="gramStart"/>
      <w:r w:rsidR="00F46309" w:rsidRPr="00AA228E">
        <w:rPr>
          <w:rFonts w:eastAsiaTheme="minorHAnsi"/>
          <w:szCs w:val="18"/>
        </w:rPr>
        <w:t xml:space="preserve">be </w:t>
      </w:r>
      <w:r w:rsidR="008A2005">
        <w:rPr>
          <w:rFonts w:eastAsiaTheme="minorHAnsi"/>
          <w:szCs w:val="18"/>
        </w:rPr>
        <w:t>examined</w:t>
      </w:r>
      <w:proofErr w:type="gramEnd"/>
      <w:r w:rsidR="00F46309" w:rsidRPr="00AA228E">
        <w:rPr>
          <w:rFonts w:eastAsiaTheme="minorHAnsi"/>
          <w:szCs w:val="18"/>
        </w:rPr>
        <w:t xml:space="preserve">. This is due to </w:t>
      </w:r>
      <w:r w:rsidR="001F4F93" w:rsidRPr="00AA228E">
        <w:rPr>
          <w:rFonts w:eastAsiaTheme="minorHAnsi"/>
          <w:szCs w:val="18"/>
        </w:rPr>
        <w:t xml:space="preserve">maximum </w:t>
      </w:r>
      <w:proofErr w:type="spellStart"/>
      <w:r w:rsidR="00F46309" w:rsidRPr="00AA228E">
        <w:rPr>
          <w:rFonts w:eastAsiaTheme="minorHAnsi"/>
          <w:szCs w:val="18"/>
        </w:rPr>
        <w:t>biomethane</w:t>
      </w:r>
      <w:proofErr w:type="spellEnd"/>
      <w:r w:rsidR="00F46309" w:rsidRPr="00AA228E">
        <w:rPr>
          <w:rFonts w:eastAsiaTheme="minorHAnsi"/>
          <w:szCs w:val="18"/>
        </w:rPr>
        <w:t xml:space="preserve"> emission from secondary grade source. </w:t>
      </w:r>
      <w:r w:rsidR="00F54B96">
        <w:rPr>
          <w:rFonts w:eastAsiaTheme="minorHAnsi"/>
          <w:szCs w:val="18"/>
        </w:rPr>
        <w:t xml:space="preserve">In particular, the largest </w:t>
      </w:r>
      <w:r w:rsidR="00487FB5">
        <w:rPr>
          <w:rFonts w:eastAsiaTheme="minorHAnsi"/>
          <w:szCs w:val="18"/>
        </w:rPr>
        <w:t>mass flow</w:t>
      </w:r>
      <w:r w:rsidR="00F54B96">
        <w:rPr>
          <w:rFonts w:eastAsiaTheme="minorHAnsi"/>
          <w:szCs w:val="18"/>
        </w:rPr>
        <w:t xml:space="preserve"> depends on the maximum bio</w:t>
      </w:r>
      <w:r w:rsidR="00487FB5">
        <w:rPr>
          <w:rFonts w:eastAsiaTheme="minorHAnsi"/>
          <w:szCs w:val="18"/>
        </w:rPr>
        <w:t>fuel</w:t>
      </w:r>
      <w:r w:rsidR="00F54B96">
        <w:rPr>
          <w:rFonts w:eastAsiaTheme="minorHAnsi"/>
          <w:szCs w:val="18"/>
        </w:rPr>
        <w:t xml:space="preserve"> pressure. </w:t>
      </w:r>
      <w:r w:rsidR="006E7754">
        <w:rPr>
          <w:rFonts w:eastAsiaTheme="minorHAnsi" w:cs="Arial"/>
          <w:szCs w:val="18"/>
          <w:lang w:val="en-US"/>
        </w:rPr>
        <w:t>In the compression unit, there are several potential sources (</w:t>
      </w:r>
      <w:r w:rsidR="00627D1F">
        <w:rPr>
          <w:rFonts w:eastAsiaTheme="minorHAnsi" w:cs="Arial"/>
          <w:szCs w:val="18"/>
          <w:lang w:val="en-US"/>
        </w:rPr>
        <w:t xml:space="preserve">pressure and flow </w:t>
      </w:r>
      <w:r w:rsidR="006E7754">
        <w:rPr>
          <w:rFonts w:eastAsiaTheme="minorHAnsi" w:cs="Arial"/>
          <w:szCs w:val="18"/>
          <w:lang w:val="en-US"/>
        </w:rPr>
        <w:t xml:space="preserve">control valves, flanges, compressor, etc.) of secondary grade, but only the largest has to </w:t>
      </w:r>
      <w:proofErr w:type="gramStart"/>
      <w:r w:rsidR="006E7754">
        <w:rPr>
          <w:rFonts w:eastAsiaTheme="minorHAnsi" w:cs="Arial"/>
          <w:szCs w:val="18"/>
          <w:lang w:val="en-US"/>
        </w:rPr>
        <w:t>be considered</w:t>
      </w:r>
      <w:proofErr w:type="gramEnd"/>
      <w:r w:rsidR="006E7754">
        <w:rPr>
          <w:rFonts w:eastAsiaTheme="minorHAnsi" w:cs="Arial"/>
          <w:szCs w:val="18"/>
          <w:lang w:val="en-US"/>
        </w:rPr>
        <w:t xml:space="preserve">, because </w:t>
      </w:r>
      <w:r w:rsidR="00627D1F">
        <w:rPr>
          <w:rFonts w:eastAsiaTheme="minorHAnsi" w:cs="Arial"/>
          <w:szCs w:val="18"/>
          <w:lang w:val="en-US"/>
        </w:rPr>
        <w:t>the</w:t>
      </w:r>
      <w:r w:rsidR="006E7754">
        <w:rPr>
          <w:rFonts w:eastAsiaTheme="minorHAnsi" w:cs="Arial"/>
          <w:szCs w:val="18"/>
          <w:lang w:val="en-US"/>
        </w:rPr>
        <w:t xml:space="preserve"> </w:t>
      </w:r>
      <w:r w:rsidR="006E7754" w:rsidRPr="008D39AE">
        <w:rPr>
          <w:rFonts w:cs="Arial"/>
          <w:szCs w:val="18"/>
        </w:rPr>
        <w:t xml:space="preserve">emission </w:t>
      </w:r>
      <w:r w:rsidR="00627D1F">
        <w:rPr>
          <w:rFonts w:cs="Arial"/>
          <w:szCs w:val="18"/>
        </w:rPr>
        <w:t xml:space="preserve">from the secondary grade source </w:t>
      </w:r>
      <w:r w:rsidR="006E7754" w:rsidRPr="008D39AE">
        <w:rPr>
          <w:rFonts w:cs="Arial"/>
          <w:szCs w:val="18"/>
        </w:rPr>
        <w:t xml:space="preserve">is not expected during the normal operating or </w:t>
      </w:r>
      <w:r w:rsidR="00627D1F">
        <w:rPr>
          <w:rFonts w:cs="Arial"/>
          <w:szCs w:val="18"/>
        </w:rPr>
        <w:t>its</w:t>
      </w:r>
      <w:r w:rsidR="006E7754" w:rsidRPr="008D39AE">
        <w:rPr>
          <w:rFonts w:cs="Arial"/>
          <w:szCs w:val="18"/>
        </w:rPr>
        <w:t xml:space="preserve"> duration </w:t>
      </w:r>
      <w:r w:rsidR="006E7754">
        <w:rPr>
          <w:rFonts w:cs="Arial"/>
          <w:szCs w:val="18"/>
        </w:rPr>
        <w:t>is</w:t>
      </w:r>
      <w:r w:rsidR="006E7754" w:rsidRPr="008D39AE">
        <w:rPr>
          <w:rFonts w:cs="Arial"/>
          <w:szCs w:val="18"/>
        </w:rPr>
        <w:t xml:space="preserve"> extremely short</w:t>
      </w:r>
      <w:r w:rsidR="006E7754">
        <w:rPr>
          <w:rFonts w:cs="Arial"/>
          <w:szCs w:val="18"/>
        </w:rPr>
        <w:t xml:space="preserve">. </w:t>
      </w:r>
      <w:r w:rsidR="006E7754">
        <w:rPr>
          <w:rFonts w:eastAsiaTheme="minorHAnsi" w:cs="Arial"/>
          <w:szCs w:val="18"/>
          <w:lang w:val="en-US"/>
        </w:rPr>
        <w:t xml:space="preserve">Therefore, the simultaneous emission from the secondary grade sources is extremely unlikely. </w:t>
      </w:r>
      <w:r w:rsidR="00621A6D">
        <w:rPr>
          <w:rFonts w:eastAsiaTheme="minorHAnsi" w:cs="Arial"/>
          <w:szCs w:val="18"/>
          <w:lang w:val="en-US"/>
        </w:rPr>
        <w:t>C</w:t>
      </w:r>
      <w:r w:rsidR="006F0C23">
        <w:rPr>
          <w:rFonts w:eastAsiaTheme="minorHAnsi" w:cs="Arial"/>
          <w:szCs w:val="18"/>
          <w:lang w:val="en-US"/>
        </w:rPr>
        <w:t>omponent</w:t>
      </w:r>
      <w:r w:rsidR="00621A6D">
        <w:rPr>
          <w:rFonts w:eastAsiaTheme="minorHAnsi" w:cs="Arial"/>
          <w:szCs w:val="18"/>
          <w:lang w:val="en-US"/>
        </w:rPr>
        <w:t xml:space="preserve">s, which release biomethane because of wrong maintenance </w:t>
      </w:r>
      <w:r w:rsidR="00022F38">
        <w:rPr>
          <w:rFonts w:eastAsiaTheme="minorHAnsi" w:cs="Arial"/>
          <w:szCs w:val="18"/>
          <w:lang w:val="en-US"/>
        </w:rPr>
        <w:t>or</w:t>
      </w:r>
      <w:r w:rsidR="00621A6D">
        <w:rPr>
          <w:rFonts w:eastAsiaTheme="minorHAnsi" w:cs="Arial"/>
          <w:szCs w:val="18"/>
          <w:lang w:val="en-US"/>
        </w:rPr>
        <w:t xml:space="preserve"> catastrophic failure, </w:t>
      </w:r>
      <w:proofErr w:type="gramStart"/>
      <w:r w:rsidR="00621A6D">
        <w:rPr>
          <w:rFonts w:eastAsiaTheme="minorHAnsi" w:cs="Arial"/>
          <w:szCs w:val="18"/>
          <w:lang w:val="en-US"/>
        </w:rPr>
        <w:t>are not considered</w:t>
      </w:r>
      <w:proofErr w:type="gramEnd"/>
      <w:r w:rsidR="00621A6D">
        <w:rPr>
          <w:rFonts w:eastAsiaTheme="minorHAnsi" w:cs="Arial"/>
          <w:szCs w:val="18"/>
          <w:lang w:val="en-US"/>
        </w:rPr>
        <w:t xml:space="preserve"> potential emission sources.  </w:t>
      </w:r>
      <w:r w:rsidR="006F0C23">
        <w:rPr>
          <w:rFonts w:eastAsiaTheme="minorHAnsi" w:cs="Arial"/>
          <w:szCs w:val="18"/>
          <w:lang w:val="en-US"/>
        </w:rPr>
        <w:t xml:space="preserve"> </w:t>
      </w:r>
      <w:r w:rsidR="006E7754">
        <w:rPr>
          <w:rFonts w:eastAsiaTheme="minorHAnsi" w:cs="Arial"/>
          <w:szCs w:val="18"/>
          <w:lang w:val="en-US"/>
        </w:rPr>
        <w:t xml:space="preserve">   </w:t>
      </w:r>
    </w:p>
    <w:p w14:paraId="300CAF32" w14:textId="0CD32BF5" w:rsidR="00AA228E" w:rsidRDefault="006E7754" w:rsidP="00AA228E">
      <w:pPr>
        <w:tabs>
          <w:tab w:val="clear" w:pos="7100"/>
        </w:tabs>
        <w:autoSpaceDE w:val="0"/>
        <w:autoSpaceDN w:val="0"/>
        <w:adjustRightInd w:val="0"/>
        <w:spacing w:line="240" w:lineRule="auto"/>
        <w:rPr>
          <w:rFonts w:eastAsiaTheme="minorHAnsi" w:cs="Arial"/>
          <w:szCs w:val="18"/>
          <w:lang w:val="en-US"/>
        </w:rPr>
      </w:pPr>
      <w:r>
        <w:rPr>
          <w:rFonts w:eastAsiaTheme="minorHAnsi"/>
          <w:szCs w:val="18"/>
        </w:rPr>
        <w:t>A</w:t>
      </w:r>
      <w:r w:rsidR="00A02B9C" w:rsidRPr="00AA228E">
        <w:rPr>
          <w:rFonts w:eastAsiaTheme="minorHAnsi"/>
          <w:szCs w:val="18"/>
        </w:rPr>
        <w:t xml:space="preserve">s reported in IEC EN 60079-10-1, </w:t>
      </w:r>
      <w:r w:rsidR="00AA228E" w:rsidRPr="00AA228E">
        <w:rPr>
          <w:rFonts w:eastAsiaTheme="minorHAnsi" w:cs="Arial"/>
          <w:szCs w:val="18"/>
          <w:lang w:val="en-US"/>
        </w:rPr>
        <w:t>the overall secondary release is the largest individual secondary release combined with</w:t>
      </w:r>
      <w:r w:rsidR="00AA228E">
        <w:rPr>
          <w:rFonts w:eastAsiaTheme="minorHAnsi" w:cs="Arial"/>
          <w:szCs w:val="18"/>
          <w:lang w:val="en-US"/>
        </w:rPr>
        <w:t xml:space="preserve"> </w:t>
      </w:r>
      <w:r w:rsidR="00AA228E" w:rsidRPr="00AA228E">
        <w:rPr>
          <w:rFonts w:eastAsiaTheme="minorHAnsi" w:cs="Arial"/>
          <w:szCs w:val="18"/>
          <w:lang w:val="en-US"/>
        </w:rPr>
        <w:t>the overall primary release</w:t>
      </w:r>
      <w:r w:rsidR="00B96E28">
        <w:rPr>
          <w:rFonts w:eastAsiaTheme="minorHAnsi" w:cs="Arial"/>
          <w:szCs w:val="18"/>
          <w:lang w:val="en-US"/>
        </w:rPr>
        <w:t xml:space="preserve"> (IEC, 2021)</w:t>
      </w:r>
      <w:r w:rsidR="00AA228E">
        <w:rPr>
          <w:rFonts w:eastAsiaTheme="minorHAnsi" w:cs="Arial"/>
          <w:szCs w:val="18"/>
          <w:lang w:val="en-US"/>
        </w:rPr>
        <w:t xml:space="preserve">, which </w:t>
      </w:r>
      <w:r w:rsidR="00AA228E" w:rsidRPr="00AA228E">
        <w:rPr>
          <w:rFonts w:eastAsiaTheme="minorHAnsi" w:cs="Arial"/>
          <w:szCs w:val="18"/>
          <w:lang w:val="en-US"/>
        </w:rPr>
        <w:t xml:space="preserve">is </w:t>
      </w:r>
      <w:r w:rsidR="00AA228E">
        <w:rPr>
          <w:rFonts w:eastAsiaTheme="minorHAnsi" w:cs="Arial"/>
          <w:szCs w:val="18"/>
          <w:lang w:val="en-US"/>
        </w:rPr>
        <w:t xml:space="preserve">given by </w:t>
      </w:r>
      <w:r w:rsidR="00AA228E" w:rsidRPr="00AA228E">
        <w:rPr>
          <w:rFonts w:eastAsiaTheme="minorHAnsi" w:cs="Arial"/>
          <w:szCs w:val="18"/>
          <w:lang w:val="en-US"/>
        </w:rPr>
        <w:t>the sum of the individual primary rele</w:t>
      </w:r>
      <w:r w:rsidR="00AA228E">
        <w:rPr>
          <w:rFonts w:eastAsiaTheme="minorHAnsi" w:cs="Arial"/>
          <w:szCs w:val="18"/>
          <w:lang w:val="en-US"/>
        </w:rPr>
        <w:t xml:space="preserve">ases </w:t>
      </w:r>
      <w:r w:rsidR="00AB1252">
        <w:rPr>
          <w:rFonts w:eastAsiaTheme="minorHAnsi" w:cs="Arial"/>
          <w:szCs w:val="18"/>
          <w:lang w:val="en-US"/>
        </w:rPr>
        <w:t>(</w:t>
      </w:r>
      <w:proofErr w:type="spellStart"/>
      <w:r w:rsidR="00AB1252" w:rsidRPr="00AB1252">
        <w:rPr>
          <w:rFonts w:eastAsiaTheme="minorHAnsi" w:cs="Arial"/>
          <w:szCs w:val="18"/>
          <w:lang w:val="en-US"/>
        </w:rPr>
        <w:t>M</w:t>
      </w:r>
      <w:r w:rsidR="00AB1252">
        <w:rPr>
          <w:rFonts w:eastAsiaTheme="minorHAnsi" w:cs="Arial"/>
          <w:szCs w:val="18"/>
          <w:vertAlign w:val="subscript"/>
          <w:lang w:val="en-US"/>
        </w:rPr>
        <w:t>i</w:t>
      </w:r>
      <w:proofErr w:type="spellEnd"/>
      <w:r w:rsidR="00AB1252">
        <w:rPr>
          <w:rFonts w:eastAsiaTheme="minorHAnsi" w:cs="Arial"/>
          <w:szCs w:val="18"/>
          <w:vertAlign w:val="subscript"/>
          <w:lang w:val="en-US"/>
        </w:rPr>
        <w:t xml:space="preserve"> primary release</w:t>
      </w:r>
      <w:r w:rsidR="00AB1252">
        <w:rPr>
          <w:rFonts w:eastAsiaTheme="minorHAnsi" w:cs="Arial"/>
          <w:szCs w:val="18"/>
          <w:lang w:val="en-US"/>
        </w:rPr>
        <w:t xml:space="preserve">) </w:t>
      </w:r>
      <w:r w:rsidR="00AA228E" w:rsidRPr="00AB1252">
        <w:rPr>
          <w:rFonts w:eastAsiaTheme="minorHAnsi" w:cs="Arial"/>
          <w:szCs w:val="18"/>
          <w:lang w:val="en-US"/>
        </w:rPr>
        <w:t>combined</w:t>
      </w:r>
      <w:r w:rsidR="00AA228E">
        <w:rPr>
          <w:rFonts w:eastAsiaTheme="minorHAnsi" w:cs="Arial"/>
          <w:szCs w:val="18"/>
          <w:lang w:val="en-US"/>
        </w:rPr>
        <w:t xml:space="preserve"> </w:t>
      </w:r>
      <w:r w:rsidR="00AA228E" w:rsidRPr="00AA228E">
        <w:rPr>
          <w:rFonts w:eastAsiaTheme="minorHAnsi" w:cs="Arial"/>
          <w:szCs w:val="18"/>
          <w:lang w:val="en-US"/>
        </w:rPr>
        <w:t>with the overall continuous release</w:t>
      </w:r>
      <w:r w:rsidR="00AB1252">
        <w:rPr>
          <w:rFonts w:eastAsiaTheme="minorHAnsi" w:cs="Arial"/>
          <w:szCs w:val="18"/>
          <w:lang w:val="en-US"/>
        </w:rPr>
        <w:t xml:space="preserve"> (</w:t>
      </w:r>
      <w:proofErr w:type="spellStart"/>
      <w:r w:rsidR="00AB1252" w:rsidRPr="00AB1252">
        <w:rPr>
          <w:rFonts w:eastAsiaTheme="minorHAnsi" w:cs="Arial"/>
          <w:szCs w:val="18"/>
          <w:lang w:val="en-US"/>
        </w:rPr>
        <w:t>M</w:t>
      </w:r>
      <w:r w:rsidR="00AB1252">
        <w:rPr>
          <w:rFonts w:eastAsiaTheme="minorHAnsi" w:cs="Arial"/>
          <w:szCs w:val="18"/>
          <w:vertAlign w:val="subscript"/>
          <w:lang w:val="en-US"/>
        </w:rPr>
        <w:t>i</w:t>
      </w:r>
      <w:proofErr w:type="spellEnd"/>
      <w:r w:rsidR="00AB1252">
        <w:rPr>
          <w:rFonts w:eastAsiaTheme="minorHAnsi" w:cs="Arial"/>
          <w:szCs w:val="18"/>
          <w:vertAlign w:val="subscript"/>
          <w:lang w:val="en-US"/>
        </w:rPr>
        <w:t xml:space="preserve"> continuous release</w:t>
      </w:r>
      <w:r w:rsidR="00AB1252">
        <w:rPr>
          <w:rFonts w:eastAsiaTheme="minorHAnsi" w:cs="Arial"/>
          <w:szCs w:val="18"/>
          <w:lang w:val="en-US"/>
        </w:rPr>
        <w:t>)</w:t>
      </w:r>
      <w:r w:rsidR="00AA228E">
        <w:rPr>
          <w:rFonts w:eastAsiaTheme="minorHAnsi" w:cs="Arial"/>
          <w:szCs w:val="18"/>
          <w:lang w:val="en-US"/>
        </w:rPr>
        <w:t>:</w:t>
      </w:r>
    </w:p>
    <w:p w14:paraId="3A72C8FC" w14:textId="3CAF0DE5" w:rsidR="00AB1252" w:rsidRDefault="009A64FD" w:rsidP="00AA228E">
      <w:pPr>
        <w:tabs>
          <w:tab w:val="clear" w:pos="7100"/>
        </w:tabs>
        <w:autoSpaceDE w:val="0"/>
        <w:autoSpaceDN w:val="0"/>
        <w:adjustRightInd w:val="0"/>
        <w:spacing w:line="240" w:lineRule="auto"/>
        <w:rPr>
          <w:rFonts w:eastAsiaTheme="minorHAnsi" w:cs="Arial"/>
          <w:szCs w:val="18"/>
          <w:lang w:val="en-US"/>
        </w:rPr>
      </w:pPr>
      <w:r>
        <w:object w:dxaOrig="10820" w:dyaOrig="620" w14:anchorId="664B35D9">
          <v:shape id="_x0000_i1031" type="#_x0000_t75" style="width:444.15pt;height:25.25pt" o:ole="">
            <v:imagedata r:id="rId25" o:title=""/>
          </v:shape>
          <o:OLEObject Type="Embed" ProgID="Unknown" ShapeID="_x0000_i1031" DrawAspect="Content" ObjectID="_1750753145" r:id="rId26"/>
        </w:object>
      </w:r>
    </w:p>
    <w:p w14:paraId="0C78C144" w14:textId="75F7A2B0" w:rsidR="009607AA" w:rsidRPr="00AA228E" w:rsidRDefault="000E7E64" w:rsidP="00AA228E">
      <w:pPr>
        <w:pStyle w:val="CETBodytext"/>
        <w:rPr>
          <w:rFonts w:eastAsiaTheme="minorHAnsi"/>
          <w:szCs w:val="18"/>
        </w:rPr>
      </w:pPr>
      <w:r w:rsidRPr="00AA228E">
        <w:rPr>
          <w:rFonts w:eastAsiaTheme="minorHAnsi"/>
          <w:szCs w:val="18"/>
        </w:rPr>
        <w:t xml:space="preserve">The methodological approach </w:t>
      </w:r>
      <w:proofErr w:type="gramStart"/>
      <w:r w:rsidRPr="00AA228E">
        <w:rPr>
          <w:rFonts w:eastAsiaTheme="minorHAnsi"/>
          <w:szCs w:val="18"/>
        </w:rPr>
        <w:t>is composed</w:t>
      </w:r>
      <w:proofErr w:type="gramEnd"/>
      <w:r w:rsidRPr="00AA228E">
        <w:rPr>
          <w:rFonts w:eastAsiaTheme="minorHAnsi"/>
          <w:szCs w:val="18"/>
        </w:rPr>
        <w:t xml:space="preserve"> by the following phases</w:t>
      </w:r>
      <w:r w:rsidR="00A76619">
        <w:rPr>
          <w:rFonts w:eastAsiaTheme="minorHAnsi"/>
          <w:szCs w:val="18"/>
        </w:rPr>
        <w:t xml:space="preserve"> (Figure </w:t>
      </w:r>
      <w:r w:rsidR="00C866AB">
        <w:rPr>
          <w:rFonts w:eastAsiaTheme="minorHAnsi"/>
          <w:szCs w:val="18"/>
        </w:rPr>
        <w:t>3</w:t>
      </w:r>
      <w:r w:rsidR="00A76619">
        <w:rPr>
          <w:rFonts w:eastAsiaTheme="minorHAnsi"/>
          <w:szCs w:val="18"/>
        </w:rPr>
        <w:t>)</w:t>
      </w:r>
      <w:r w:rsidRPr="00AA228E">
        <w:rPr>
          <w:rFonts w:eastAsiaTheme="minorHAnsi"/>
          <w:szCs w:val="18"/>
        </w:rPr>
        <w:t>:</w:t>
      </w:r>
    </w:p>
    <w:p w14:paraId="5FE510FF" w14:textId="544E4540" w:rsidR="000E7E64" w:rsidRPr="00AA228E" w:rsidRDefault="000E7E64" w:rsidP="00E54210">
      <w:pPr>
        <w:pStyle w:val="CETBodytext"/>
        <w:numPr>
          <w:ilvl w:val="0"/>
          <w:numId w:val="30"/>
        </w:numPr>
        <w:ind w:left="284" w:hanging="284"/>
        <w:rPr>
          <w:rFonts w:eastAsiaTheme="minorHAnsi"/>
          <w:szCs w:val="18"/>
        </w:rPr>
      </w:pPr>
      <w:r w:rsidRPr="00AA228E">
        <w:rPr>
          <w:rFonts w:eastAsiaTheme="minorHAnsi"/>
          <w:szCs w:val="18"/>
        </w:rPr>
        <w:t>to individuate all the potential sources of biomethane release</w:t>
      </w:r>
      <w:r w:rsidR="00A249F2" w:rsidRPr="00AA228E">
        <w:rPr>
          <w:rFonts w:eastAsiaTheme="minorHAnsi"/>
          <w:szCs w:val="18"/>
        </w:rPr>
        <w:t xml:space="preserve"> </w:t>
      </w:r>
      <w:r w:rsidR="007E126B" w:rsidRPr="00AA228E">
        <w:rPr>
          <w:rFonts w:eastAsiaTheme="minorHAnsi"/>
          <w:szCs w:val="18"/>
        </w:rPr>
        <w:t xml:space="preserve">and their emission degree </w:t>
      </w:r>
      <w:r w:rsidR="00A249F2" w:rsidRPr="00AA228E">
        <w:rPr>
          <w:rFonts w:eastAsiaTheme="minorHAnsi"/>
          <w:szCs w:val="18"/>
        </w:rPr>
        <w:t xml:space="preserve">(table </w:t>
      </w:r>
      <w:r w:rsidR="00C866AB">
        <w:rPr>
          <w:rFonts w:eastAsiaTheme="minorHAnsi"/>
          <w:szCs w:val="18"/>
        </w:rPr>
        <w:t>3</w:t>
      </w:r>
      <w:r w:rsidR="00A249F2" w:rsidRPr="00AA228E">
        <w:rPr>
          <w:rFonts w:eastAsiaTheme="minorHAnsi"/>
          <w:szCs w:val="18"/>
        </w:rPr>
        <w:t>)</w:t>
      </w:r>
      <w:r w:rsidRPr="00AA228E">
        <w:rPr>
          <w:rFonts w:eastAsiaTheme="minorHAnsi"/>
          <w:szCs w:val="18"/>
        </w:rPr>
        <w:t>;</w:t>
      </w:r>
    </w:p>
    <w:p w14:paraId="689F8267" w14:textId="549BFD55" w:rsidR="000E7E64" w:rsidRPr="00AA228E" w:rsidRDefault="000E7E64" w:rsidP="00E54210">
      <w:pPr>
        <w:pStyle w:val="CETBodytext"/>
        <w:numPr>
          <w:ilvl w:val="0"/>
          <w:numId w:val="30"/>
        </w:numPr>
        <w:ind w:left="284" w:hanging="284"/>
        <w:rPr>
          <w:rFonts w:eastAsiaTheme="minorHAnsi"/>
          <w:szCs w:val="18"/>
        </w:rPr>
      </w:pPr>
      <w:r w:rsidRPr="00AA228E">
        <w:rPr>
          <w:rFonts w:eastAsiaTheme="minorHAnsi"/>
          <w:szCs w:val="18"/>
        </w:rPr>
        <w:t>to consider the worst scenario (</w:t>
      </w:r>
      <w:r w:rsidR="00A249F2" w:rsidRPr="00AA228E">
        <w:rPr>
          <w:rFonts w:eastAsiaTheme="minorHAnsi"/>
          <w:szCs w:val="18"/>
        </w:rPr>
        <w:t xml:space="preserve">under the same conditions, reported in equations 6 and 7, it is due to the maximum biofuel pressure);  </w:t>
      </w:r>
    </w:p>
    <w:p w14:paraId="7F529572" w14:textId="4F2EFE68" w:rsidR="00A249F2" w:rsidRPr="00AA228E" w:rsidRDefault="00A249F2" w:rsidP="00E54210">
      <w:pPr>
        <w:pStyle w:val="CETBodytext"/>
        <w:numPr>
          <w:ilvl w:val="0"/>
          <w:numId w:val="30"/>
        </w:numPr>
        <w:ind w:left="284" w:hanging="284"/>
        <w:rPr>
          <w:rFonts w:eastAsiaTheme="minorHAnsi"/>
          <w:szCs w:val="18"/>
        </w:rPr>
      </w:pPr>
      <w:r w:rsidRPr="00AA228E">
        <w:rPr>
          <w:rFonts w:eastAsiaTheme="minorHAnsi"/>
          <w:szCs w:val="18"/>
        </w:rPr>
        <w:t>to assess the biomethane flow conditions (</w:t>
      </w:r>
      <w:r w:rsidR="00064826">
        <w:rPr>
          <w:rFonts w:eastAsiaTheme="minorHAnsi"/>
          <w:szCs w:val="18"/>
        </w:rPr>
        <w:t>equations 2 or 3</w:t>
      </w:r>
      <w:r w:rsidR="00A40CD9">
        <w:rPr>
          <w:rFonts w:eastAsiaTheme="minorHAnsi"/>
          <w:szCs w:val="18"/>
        </w:rPr>
        <w:t>)</w:t>
      </w:r>
      <w:r w:rsidRPr="00AA228E">
        <w:rPr>
          <w:rFonts w:eastAsiaTheme="minorHAnsi"/>
          <w:szCs w:val="18"/>
        </w:rPr>
        <w:t>;</w:t>
      </w:r>
    </w:p>
    <w:p w14:paraId="385E14AB" w14:textId="5E6573A5" w:rsidR="00A249F2" w:rsidRPr="00AA228E" w:rsidRDefault="00A249F2" w:rsidP="00E54210">
      <w:pPr>
        <w:pStyle w:val="CETBodytext"/>
        <w:numPr>
          <w:ilvl w:val="0"/>
          <w:numId w:val="30"/>
        </w:numPr>
        <w:ind w:left="284" w:hanging="284"/>
        <w:rPr>
          <w:rFonts w:eastAsiaTheme="minorHAnsi"/>
          <w:szCs w:val="18"/>
        </w:rPr>
      </w:pPr>
      <w:r w:rsidRPr="00AA228E">
        <w:rPr>
          <w:rFonts w:eastAsiaTheme="minorHAnsi"/>
          <w:szCs w:val="18"/>
        </w:rPr>
        <w:t xml:space="preserve">to calculate </w:t>
      </w:r>
      <w:r w:rsidR="00E54210" w:rsidRPr="00AA228E">
        <w:rPr>
          <w:rFonts w:eastAsiaTheme="minorHAnsi"/>
          <w:szCs w:val="18"/>
        </w:rPr>
        <w:t>the</w:t>
      </w:r>
      <w:r w:rsidRPr="00AA228E">
        <w:rPr>
          <w:rFonts w:eastAsiaTheme="minorHAnsi"/>
          <w:szCs w:val="18"/>
        </w:rPr>
        <w:t xml:space="preserve"> mass flows released from </w:t>
      </w:r>
      <w:r w:rsidR="00E54210" w:rsidRPr="00AA228E">
        <w:rPr>
          <w:rFonts w:eastAsiaTheme="minorHAnsi"/>
          <w:szCs w:val="18"/>
        </w:rPr>
        <w:t xml:space="preserve">all </w:t>
      </w:r>
      <w:r w:rsidRPr="00AA228E">
        <w:rPr>
          <w:rFonts w:eastAsiaTheme="minorHAnsi"/>
          <w:szCs w:val="18"/>
        </w:rPr>
        <w:t>potential sources</w:t>
      </w:r>
      <w:r w:rsidR="00064826">
        <w:rPr>
          <w:rFonts w:eastAsiaTheme="minorHAnsi"/>
          <w:szCs w:val="18"/>
        </w:rPr>
        <w:t xml:space="preserve"> (equations </w:t>
      </w:r>
      <w:r w:rsidR="00020B66">
        <w:rPr>
          <w:rFonts w:eastAsiaTheme="minorHAnsi"/>
          <w:szCs w:val="18"/>
        </w:rPr>
        <w:t>6 or 7)</w:t>
      </w:r>
      <w:r w:rsidRPr="00AA228E">
        <w:rPr>
          <w:rFonts w:eastAsiaTheme="minorHAnsi"/>
          <w:szCs w:val="18"/>
        </w:rPr>
        <w:t>;</w:t>
      </w:r>
    </w:p>
    <w:p w14:paraId="12B8C4EE" w14:textId="27E11A20" w:rsidR="007E126B" w:rsidRDefault="007E126B" w:rsidP="00E54210">
      <w:pPr>
        <w:pStyle w:val="CETBodytext"/>
        <w:numPr>
          <w:ilvl w:val="0"/>
          <w:numId w:val="30"/>
        </w:numPr>
        <w:ind w:left="284" w:hanging="284"/>
        <w:rPr>
          <w:rFonts w:eastAsiaTheme="minorHAnsi"/>
        </w:rPr>
      </w:pPr>
      <w:r w:rsidRPr="00AA228E">
        <w:rPr>
          <w:rFonts w:eastAsiaTheme="minorHAnsi"/>
          <w:szCs w:val="18"/>
        </w:rPr>
        <w:t xml:space="preserve">to individuate the secondary </w:t>
      </w:r>
      <w:r w:rsidR="00E54210" w:rsidRPr="00AA228E">
        <w:rPr>
          <w:rFonts w:eastAsiaTheme="minorHAnsi"/>
          <w:szCs w:val="18"/>
        </w:rPr>
        <w:t>grade source, which</w:t>
      </w:r>
      <w:r w:rsidR="00E54210">
        <w:rPr>
          <w:rFonts w:eastAsiaTheme="minorHAnsi"/>
        </w:rPr>
        <w:t xml:space="preserve"> releases the maximum mass flow;</w:t>
      </w:r>
    </w:p>
    <w:p w14:paraId="01BF0FE0" w14:textId="3E4B810E" w:rsidR="00064826" w:rsidRDefault="00E54210" w:rsidP="00E54210">
      <w:pPr>
        <w:pStyle w:val="CETBodytext"/>
        <w:numPr>
          <w:ilvl w:val="0"/>
          <w:numId w:val="30"/>
        </w:numPr>
        <w:ind w:left="284" w:hanging="284"/>
        <w:rPr>
          <w:rFonts w:eastAsiaTheme="minorHAnsi"/>
        </w:rPr>
      </w:pPr>
      <w:r>
        <w:rPr>
          <w:rFonts w:eastAsiaTheme="minorHAnsi"/>
        </w:rPr>
        <w:t xml:space="preserve">to apply the </w:t>
      </w:r>
      <w:r w:rsidR="00064826">
        <w:rPr>
          <w:rFonts w:eastAsiaTheme="minorHAnsi"/>
        </w:rPr>
        <w:t>e</w:t>
      </w:r>
      <w:r>
        <w:rPr>
          <w:rFonts w:eastAsiaTheme="minorHAnsi"/>
        </w:rPr>
        <w:t>quation</w:t>
      </w:r>
      <w:r w:rsidR="00020B66">
        <w:rPr>
          <w:rFonts w:eastAsiaTheme="minorHAnsi"/>
        </w:rPr>
        <w:t xml:space="preserve"> 8</w:t>
      </w:r>
      <w:r w:rsidR="002F3500">
        <w:rPr>
          <w:rFonts w:eastAsiaTheme="minorHAnsi"/>
        </w:rPr>
        <w:t xml:space="preserve"> (IEC, 2021)</w:t>
      </w:r>
      <w:r w:rsidR="005602C7">
        <w:rPr>
          <w:rFonts w:eastAsiaTheme="minorHAnsi"/>
        </w:rPr>
        <w:t>, referred to indoor places</w:t>
      </w:r>
      <w:r w:rsidR="002F3500">
        <w:rPr>
          <w:rFonts w:eastAsiaTheme="minorHAnsi"/>
        </w:rPr>
        <w:t>,</w:t>
      </w:r>
      <w:r w:rsidR="005602C7">
        <w:rPr>
          <w:rFonts w:eastAsiaTheme="minorHAnsi"/>
        </w:rPr>
        <w:t xml:space="preserve"> for calculating </w:t>
      </w:r>
      <w:proofErr w:type="spellStart"/>
      <w:r w:rsidR="005602C7">
        <w:rPr>
          <w:rFonts w:eastAsiaTheme="minorHAnsi"/>
        </w:rPr>
        <w:t>W</w:t>
      </w:r>
      <w:r w:rsidR="005602C7" w:rsidRPr="005602C7">
        <w:rPr>
          <w:rFonts w:eastAsiaTheme="minorHAnsi"/>
          <w:vertAlign w:val="subscript"/>
        </w:rPr>
        <w:t>g</w:t>
      </w:r>
      <w:proofErr w:type="spellEnd"/>
      <w:r w:rsidR="00064826">
        <w:rPr>
          <w:rFonts w:eastAsiaTheme="minorHAnsi"/>
        </w:rPr>
        <w:t>;</w:t>
      </w:r>
    </w:p>
    <w:p w14:paraId="57EB0A8A" w14:textId="77777777" w:rsidR="0019032E" w:rsidRDefault="00064826" w:rsidP="00E54210">
      <w:pPr>
        <w:pStyle w:val="CETBodytext"/>
        <w:numPr>
          <w:ilvl w:val="0"/>
          <w:numId w:val="30"/>
        </w:numPr>
        <w:ind w:left="284" w:hanging="284"/>
        <w:rPr>
          <w:rFonts w:eastAsiaTheme="minorHAnsi"/>
        </w:rPr>
      </w:pPr>
      <w:r>
        <w:rPr>
          <w:rFonts w:eastAsiaTheme="minorHAnsi"/>
        </w:rPr>
        <w:t xml:space="preserve">to calculate </w:t>
      </w:r>
      <w:proofErr w:type="spellStart"/>
      <w:r w:rsidR="00020B66">
        <w:rPr>
          <w:rFonts w:eastAsiaTheme="minorHAnsi" w:cs="Arial"/>
        </w:rPr>
        <w:t>ρ</w:t>
      </w:r>
      <w:r w:rsidR="00020B66">
        <w:rPr>
          <w:rFonts w:eastAsiaTheme="minorHAnsi"/>
          <w:vertAlign w:val="subscript"/>
        </w:rPr>
        <w:t>g</w:t>
      </w:r>
      <w:proofErr w:type="spellEnd"/>
      <w:r w:rsidR="00020B66">
        <w:rPr>
          <w:rFonts w:eastAsiaTheme="minorHAnsi"/>
        </w:rPr>
        <w:t xml:space="preserve"> by the </w:t>
      </w:r>
      <w:r w:rsidR="0019032E">
        <w:rPr>
          <w:rFonts w:eastAsiaTheme="minorHAnsi"/>
        </w:rPr>
        <w:t>ideal gas law;</w:t>
      </w:r>
    </w:p>
    <w:p w14:paraId="3FFF9BB7" w14:textId="17359BDA" w:rsidR="00BB368D" w:rsidRPr="00BB368D" w:rsidRDefault="0019032E" w:rsidP="00E54210">
      <w:pPr>
        <w:pStyle w:val="CETBodytext"/>
        <w:numPr>
          <w:ilvl w:val="0"/>
          <w:numId w:val="30"/>
        </w:numPr>
        <w:ind w:left="284" w:hanging="284"/>
        <w:rPr>
          <w:rFonts w:eastAsiaTheme="minorHAnsi"/>
        </w:rPr>
      </w:pPr>
      <w:r>
        <w:rPr>
          <w:rFonts w:eastAsiaTheme="minorHAnsi"/>
        </w:rPr>
        <w:t xml:space="preserve">to calculate </w:t>
      </w:r>
      <w:r w:rsidR="005602C7">
        <w:rPr>
          <w:rFonts w:eastAsiaTheme="minorHAnsi"/>
        </w:rPr>
        <w:t xml:space="preserve"> </w:t>
      </w:r>
      <w:r>
        <w:rPr>
          <w:rFonts w:cs="Arial"/>
          <w:szCs w:val="18"/>
        </w:rPr>
        <w:t>Q</w:t>
      </w:r>
      <w:r>
        <w:rPr>
          <w:rFonts w:cs="Arial"/>
          <w:szCs w:val="18"/>
          <w:vertAlign w:val="subscript"/>
        </w:rPr>
        <w:t>c</w:t>
      </w:r>
      <w:r w:rsidR="002F3500">
        <w:rPr>
          <w:rFonts w:cs="Arial"/>
          <w:szCs w:val="18"/>
          <w:vertAlign w:val="subscript"/>
        </w:rPr>
        <w:t xml:space="preserve"> </w:t>
      </w:r>
      <w:r w:rsidR="002F3500">
        <w:rPr>
          <w:rFonts w:cs="Arial"/>
          <w:szCs w:val="18"/>
        </w:rPr>
        <w:t>(equation 1)</w:t>
      </w:r>
      <w:r w:rsidR="00BB368D">
        <w:rPr>
          <w:rFonts w:cs="Arial"/>
          <w:szCs w:val="18"/>
        </w:rPr>
        <w:t>;</w:t>
      </w:r>
    </w:p>
    <w:p w14:paraId="31069E8C" w14:textId="1D08FE09" w:rsidR="00BB368D" w:rsidRPr="00AF7215" w:rsidRDefault="0019032E" w:rsidP="00E54210">
      <w:pPr>
        <w:pStyle w:val="CETBodytext"/>
        <w:numPr>
          <w:ilvl w:val="0"/>
          <w:numId w:val="30"/>
        </w:numPr>
        <w:ind w:left="284" w:hanging="284"/>
        <w:rPr>
          <w:rFonts w:eastAsiaTheme="minorHAnsi"/>
        </w:rPr>
      </w:pPr>
      <w:proofErr w:type="gramStart"/>
      <w:r>
        <w:rPr>
          <w:rFonts w:cs="Arial"/>
          <w:szCs w:val="18"/>
        </w:rPr>
        <w:t>to</w:t>
      </w:r>
      <w:proofErr w:type="gramEnd"/>
      <w:r>
        <w:rPr>
          <w:rFonts w:cs="Arial"/>
          <w:szCs w:val="18"/>
        </w:rPr>
        <w:t xml:space="preserve"> use </w:t>
      </w:r>
      <w:r w:rsidR="00BB368D">
        <w:rPr>
          <w:rFonts w:cs="Arial"/>
          <w:szCs w:val="18"/>
        </w:rPr>
        <w:t xml:space="preserve">the </w:t>
      </w:r>
      <w:r>
        <w:rPr>
          <w:rFonts w:cs="Arial"/>
          <w:szCs w:val="18"/>
        </w:rPr>
        <w:t>diagram</w:t>
      </w:r>
      <w:r w:rsidR="00BB368D">
        <w:rPr>
          <w:rFonts w:cs="Arial"/>
          <w:szCs w:val="18"/>
        </w:rPr>
        <w:t>,</w:t>
      </w:r>
      <w:r>
        <w:rPr>
          <w:rFonts w:cs="Arial"/>
          <w:szCs w:val="18"/>
        </w:rPr>
        <w:t xml:space="preserve"> reported in Figure </w:t>
      </w:r>
      <w:r w:rsidR="00C866AB">
        <w:rPr>
          <w:rFonts w:cs="Arial"/>
          <w:szCs w:val="18"/>
        </w:rPr>
        <w:t>1</w:t>
      </w:r>
      <w:r w:rsidR="00BB368D">
        <w:rPr>
          <w:rFonts w:cs="Arial"/>
          <w:szCs w:val="18"/>
        </w:rPr>
        <w:t>,</w:t>
      </w:r>
      <w:r w:rsidR="00647246">
        <w:rPr>
          <w:rFonts w:cs="Arial"/>
          <w:szCs w:val="18"/>
        </w:rPr>
        <w:t xml:space="preserve"> for detecting the minimum </w:t>
      </w:r>
      <w:proofErr w:type="spellStart"/>
      <w:r w:rsidR="00647246">
        <w:rPr>
          <w:rFonts w:cs="Arial"/>
          <w:szCs w:val="18"/>
        </w:rPr>
        <w:t>u</w:t>
      </w:r>
      <w:r w:rsidR="00647246" w:rsidRPr="00647246">
        <w:rPr>
          <w:rFonts w:cs="Arial"/>
          <w:szCs w:val="18"/>
          <w:vertAlign w:val="subscript"/>
        </w:rPr>
        <w:t>w</w:t>
      </w:r>
      <w:proofErr w:type="spellEnd"/>
      <w:r w:rsidR="00BB368D">
        <w:rPr>
          <w:rFonts w:cs="Arial"/>
          <w:szCs w:val="18"/>
        </w:rPr>
        <w:t xml:space="preserve">, which has to be ensured by the forced ventilation system </w:t>
      </w:r>
      <w:r w:rsidR="00647246">
        <w:rPr>
          <w:rFonts w:cs="Arial"/>
          <w:szCs w:val="18"/>
        </w:rPr>
        <w:t xml:space="preserve"> </w:t>
      </w:r>
      <w:r w:rsidR="00BB368D">
        <w:rPr>
          <w:rFonts w:cs="Arial"/>
          <w:szCs w:val="18"/>
        </w:rPr>
        <w:t>for achieving the best dilution degree.</w:t>
      </w:r>
    </w:p>
    <w:p w14:paraId="6F84AE8C" w14:textId="554B5A8E" w:rsidR="00AF7215" w:rsidRPr="00A40CD9" w:rsidRDefault="00AF7215" w:rsidP="00AF7215">
      <w:pPr>
        <w:pStyle w:val="CETBodytext"/>
        <w:rPr>
          <w:rFonts w:eastAsiaTheme="minorHAnsi"/>
        </w:rPr>
      </w:pPr>
      <w:r>
        <w:rPr>
          <w:rFonts w:eastAsiaTheme="minorHAnsi"/>
        </w:rPr>
        <w:t xml:space="preserve">The dilution degree is obtained as </w:t>
      </w:r>
      <w:r w:rsidR="005866B8">
        <w:rPr>
          <w:rFonts w:eastAsiaTheme="minorHAnsi"/>
        </w:rPr>
        <w:t xml:space="preserve">a </w:t>
      </w:r>
      <w:r>
        <w:rPr>
          <w:rFonts w:eastAsiaTheme="minorHAnsi"/>
        </w:rPr>
        <w:t xml:space="preserve">function of </w:t>
      </w:r>
      <w:proofErr w:type="gramStart"/>
      <w:r>
        <w:rPr>
          <w:rFonts w:eastAsiaTheme="minorHAnsi"/>
        </w:rPr>
        <w:t>Q</w:t>
      </w:r>
      <w:r w:rsidRPr="00AF7215">
        <w:rPr>
          <w:rFonts w:eastAsiaTheme="minorHAnsi"/>
          <w:vertAlign w:val="subscript"/>
        </w:rPr>
        <w:t>c</w:t>
      </w:r>
      <w:proofErr w:type="gramEnd"/>
      <w:r>
        <w:rPr>
          <w:rFonts w:eastAsiaTheme="minorHAnsi"/>
        </w:rPr>
        <w:t>.</w:t>
      </w:r>
      <w:r>
        <w:rPr>
          <w:rFonts w:eastAsiaTheme="minorHAnsi"/>
          <w:vertAlign w:val="subscript"/>
        </w:rPr>
        <w:t xml:space="preserve"> </w:t>
      </w:r>
      <w:r w:rsidRPr="00AF7215">
        <w:rPr>
          <w:rFonts w:eastAsiaTheme="minorHAnsi"/>
          <w:vertAlign w:val="subscript"/>
        </w:rPr>
        <w:t xml:space="preserve"> </w:t>
      </w:r>
      <w:r w:rsidR="00A40CD9">
        <w:rPr>
          <w:rFonts w:eastAsiaTheme="minorHAnsi"/>
        </w:rPr>
        <w:t xml:space="preserve">Indeed, </w:t>
      </w:r>
      <w:r w:rsidR="00FC3D86">
        <w:rPr>
          <w:rFonts w:eastAsiaTheme="minorHAnsi"/>
        </w:rPr>
        <w:t xml:space="preserve">in order to find the minimum </w:t>
      </w:r>
      <w:proofErr w:type="spellStart"/>
      <w:proofErr w:type="gramStart"/>
      <w:r w:rsidR="00FC3D86">
        <w:rPr>
          <w:rFonts w:cs="Arial"/>
          <w:szCs w:val="18"/>
        </w:rPr>
        <w:t>u</w:t>
      </w:r>
      <w:r w:rsidR="00FC3D86" w:rsidRPr="00647246">
        <w:rPr>
          <w:rFonts w:cs="Arial"/>
          <w:szCs w:val="18"/>
          <w:vertAlign w:val="subscript"/>
        </w:rPr>
        <w:t>w</w:t>
      </w:r>
      <w:proofErr w:type="spellEnd"/>
      <w:proofErr w:type="gramEnd"/>
      <w:r w:rsidR="00FC3D86">
        <w:rPr>
          <w:rFonts w:cs="Arial"/>
          <w:szCs w:val="18"/>
        </w:rPr>
        <w:t>,</w:t>
      </w:r>
      <w:r w:rsidR="00FC3D86">
        <w:rPr>
          <w:rFonts w:eastAsiaTheme="minorHAnsi"/>
        </w:rPr>
        <w:t xml:space="preserve"> </w:t>
      </w:r>
      <w:r w:rsidR="00A40CD9">
        <w:rPr>
          <w:rFonts w:eastAsiaTheme="minorHAnsi"/>
        </w:rPr>
        <w:t>it is sufficient to draw a vertical line (Figure 1) from the calculated value of</w:t>
      </w:r>
      <w:r w:rsidR="00A40CD9">
        <w:rPr>
          <w:rFonts w:cs="Arial"/>
          <w:szCs w:val="18"/>
        </w:rPr>
        <w:t xml:space="preserve"> volumetric release characteristic</w:t>
      </w:r>
      <w:r w:rsidR="00FC3D86">
        <w:rPr>
          <w:rFonts w:cs="Arial"/>
          <w:szCs w:val="18"/>
        </w:rPr>
        <w:t xml:space="preserve">. </w:t>
      </w:r>
      <w:r w:rsidR="00DA07C1">
        <w:rPr>
          <w:rFonts w:cs="Arial"/>
          <w:szCs w:val="18"/>
        </w:rPr>
        <w:t xml:space="preserve">The dilution degree </w:t>
      </w:r>
      <w:proofErr w:type="gramStart"/>
      <w:r w:rsidR="00DA07C1">
        <w:rPr>
          <w:rFonts w:cs="Arial"/>
          <w:szCs w:val="18"/>
        </w:rPr>
        <w:t xml:space="preserve">is </w:t>
      </w:r>
      <w:r w:rsidR="0091782F">
        <w:rPr>
          <w:rFonts w:cs="Arial"/>
          <w:szCs w:val="18"/>
        </w:rPr>
        <w:t xml:space="preserve">successively </w:t>
      </w:r>
      <w:r w:rsidR="00DA07C1">
        <w:rPr>
          <w:rFonts w:cs="Arial"/>
          <w:szCs w:val="18"/>
        </w:rPr>
        <w:t>given</w:t>
      </w:r>
      <w:proofErr w:type="gramEnd"/>
      <w:r w:rsidR="00DA07C1">
        <w:rPr>
          <w:rFonts w:cs="Arial"/>
          <w:szCs w:val="18"/>
        </w:rPr>
        <w:t xml:space="preserve"> by the intersection of values displayed on abscisses</w:t>
      </w:r>
      <w:bookmarkStart w:id="0" w:name="_GoBack"/>
      <w:bookmarkEnd w:id="0"/>
      <w:r w:rsidR="00DA07C1">
        <w:rPr>
          <w:rFonts w:cs="Arial"/>
          <w:szCs w:val="18"/>
        </w:rPr>
        <w:t xml:space="preserve"> and ordinates axis.  </w:t>
      </w:r>
      <w:r w:rsidR="00A40CD9">
        <w:rPr>
          <w:rFonts w:cs="Arial"/>
          <w:szCs w:val="18"/>
        </w:rPr>
        <w:t xml:space="preserve"> </w:t>
      </w:r>
    </w:p>
    <w:p w14:paraId="3B749CB9" w14:textId="77777777" w:rsidR="00BB368D" w:rsidRDefault="00BB368D" w:rsidP="00BB368D">
      <w:pPr>
        <w:pStyle w:val="CETBodytext"/>
        <w:rPr>
          <w:rFonts w:cs="Arial"/>
          <w:szCs w:val="18"/>
        </w:rPr>
      </w:pPr>
    </w:p>
    <w:p w14:paraId="5C633ACE" w14:textId="3B7F683F" w:rsidR="00BB368D" w:rsidRDefault="00BB368D" w:rsidP="00BB368D">
      <w:pPr>
        <w:pStyle w:val="CETBodytext"/>
        <w:rPr>
          <w:rFonts w:cs="Arial"/>
          <w:i/>
          <w:szCs w:val="18"/>
        </w:rPr>
      </w:pPr>
      <w:r w:rsidRPr="00BB368D">
        <w:rPr>
          <w:rFonts w:cs="Arial"/>
          <w:i/>
          <w:szCs w:val="18"/>
        </w:rPr>
        <w:t xml:space="preserve">Table </w:t>
      </w:r>
      <w:r w:rsidR="00C866AB">
        <w:rPr>
          <w:rFonts w:cs="Arial"/>
          <w:i/>
          <w:szCs w:val="18"/>
        </w:rPr>
        <w:t>3</w:t>
      </w:r>
      <w:r w:rsidRPr="00BB368D">
        <w:rPr>
          <w:rFonts w:cs="Arial"/>
          <w:i/>
          <w:szCs w:val="18"/>
        </w:rPr>
        <w:t xml:space="preserve">: Biomethane release sources (compression unit)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425"/>
        <w:gridCol w:w="1437"/>
        <w:gridCol w:w="2268"/>
        <w:gridCol w:w="142"/>
        <w:gridCol w:w="767"/>
      </w:tblGrid>
      <w:tr w:rsidR="002416AB" w:rsidRPr="00B57B36" w14:paraId="66BC825B" w14:textId="3BD4862B" w:rsidTr="00627D1F">
        <w:tc>
          <w:tcPr>
            <w:tcW w:w="1560" w:type="dxa"/>
            <w:tcBorders>
              <w:top w:val="single" w:sz="12" w:space="0" w:color="008000"/>
              <w:bottom w:val="single" w:sz="6" w:space="0" w:color="008000"/>
            </w:tcBorders>
            <w:shd w:val="clear" w:color="auto" w:fill="FFFFFF"/>
          </w:tcPr>
          <w:p w14:paraId="09F6F8EF" w14:textId="7BFC504B" w:rsidR="002416AB" w:rsidRPr="00B57B36" w:rsidRDefault="002416AB" w:rsidP="007E55FB">
            <w:pPr>
              <w:pStyle w:val="CETBodytext"/>
              <w:rPr>
                <w:lang w:val="en-GB"/>
              </w:rPr>
            </w:pPr>
            <w:r>
              <w:rPr>
                <w:lang w:val="en-GB"/>
              </w:rPr>
              <w:t>Release sources</w:t>
            </w:r>
            <w:r w:rsidRPr="00B57B36">
              <w:rPr>
                <w:lang w:val="en-GB"/>
              </w:rPr>
              <w:t xml:space="preserve"> </w:t>
            </w:r>
          </w:p>
        </w:tc>
        <w:tc>
          <w:tcPr>
            <w:tcW w:w="425" w:type="dxa"/>
            <w:tcBorders>
              <w:top w:val="single" w:sz="12" w:space="0" w:color="008000"/>
              <w:bottom w:val="single" w:sz="6" w:space="0" w:color="008000"/>
            </w:tcBorders>
            <w:shd w:val="clear" w:color="auto" w:fill="FFFFFF"/>
          </w:tcPr>
          <w:p w14:paraId="62B88F43" w14:textId="0446741D" w:rsidR="002416AB" w:rsidRPr="00B57B36" w:rsidRDefault="002416AB" w:rsidP="007E55FB">
            <w:pPr>
              <w:pStyle w:val="CETBodytext"/>
              <w:rPr>
                <w:lang w:val="en-GB"/>
              </w:rPr>
            </w:pPr>
            <w:r>
              <w:rPr>
                <w:lang w:val="en-GB"/>
              </w:rPr>
              <w:t xml:space="preserve">   </w:t>
            </w:r>
          </w:p>
        </w:tc>
        <w:tc>
          <w:tcPr>
            <w:tcW w:w="1437" w:type="dxa"/>
            <w:tcBorders>
              <w:top w:val="single" w:sz="12" w:space="0" w:color="008000"/>
              <w:bottom w:val="single" w:sz="6" w:space="0" w:color="008000"/>
            </w:tcBorders>
            <w:shd w:val="clear" w:color="auto" w:fill="FFFFFF"/>
          </w:tcPr>
          <w:p w14:paraId="5D5CDE25" w14:textId="1DE13D33" w:rsidR="002416AB" w:rsidRPr="00B57B36" w:rsidRDefault="002416AB" w:rsidP="007E55FB">
            <w:pPr>
              <w:pStyle w:val="CETBodytext"/>
              <w:rPr>
                <w:lang w:val="en-GB"/>
              </w:rPr>
            </w:pPr>
            <w:r>
              <w:rPr>
                <w:lang w:val="en-GB"/>
              </w:rPr>
              <w:t>Emission grade</w:t>
            </w:r>
          </w:p>
        </w:tc>
        <w:tc>
          <w:tcPr>
            <w:tcW w:w="2268" w:type="dxa"/>
            <w:tcBorders>
              <w:top w:val="single" w:sz="12" w:space="0" w:color="008000"/>
              <w:bottom w:val="single" w:sz="6" w:space="0" w:color="008000"/>
            </w:tcBorders>
            <w:shd w:val="clear" w:color="auto" w:fill="FFFFFF"/>
          </w:tcPr>
          <w:p w14:paraId="313322F7" w14:textId="5521C765" w:rsidR="002416AB" w:rsidRDefault="002416AB" w:rsidP="00A4332F">
            <w:pPr>
              <w:pStyle w:val="CETBodytext"/>
              <w:jc w:val="center"/>
              <w:rPr>
                <w:lang w:val="en-GB"/>
              </w:rPr>
            </w:pPr>
            <w:r>
              <w:rPr>
                <w:lang w:val="en-GB"/>
              </w:rPr>
              <w:t xml:space="preserve">      Flow (sonic or subsonic)</w:t>
            </w:r>
          </w:p>
        </w:tc>
        <w:tc>
          <w:tcPr>
            <w:tcW w:w="142" w:type="dxa"/>
            <w:tcBorders>
              <w:top w:val="single" w:sz="12" w:space="0" w:color="008000"/>
              <w:bottom w:val="single" w:sz="6" w:space="0" w:color="008000"/>
            </w:tcBorders>
            <w:shd w:val="clear" w:color="auto" w:fill="FFFFFF"/>
          </w:tcPr>
          <w:p w14:paraId="0392A75B" w14:textId="77777777" w:rsidR="002416AB" w:rsidRDefault="002416AB" w:rsidP="007E55FB">
            <w:pPr>
              <w:pStyle w:val="CETBodytext"/>
              <w:rPr>
                <w:lang w:val="en-GB"/>
              </w:rPr>
            </w:pPr>
          </w:p>
        </w:tc>
        <w:tc>
          <w:tcPr>
            <w:tcW w:w="767" w:type="dxa"/>
            <w:tcBorders>
              <w:top w:val="single" w:sz="12" w:space="0" w:color="008000"/>
              <w:bottom w:val="single" w:sz="6" w:space="0" w:color="008000"/>
            </w:tcBorders>
            <w:shd w:val="clear" w:color="auto" w:fill="FFFFFF"/>
          </w:tcPr>
          <w:p w14:paraId="6B544224" w14:textId="0689C1D2" w:rsidR="002416AB" w:rsidRDefault="002416AB" w:rsidP="007E55FB">
            <w:pPr>
              <w:pStyle w:val="CETBodytext"/>
              <w:rPr>
                <w:lang w:val="en-GB"/>
              </w:rPr>
            </w:pPr>
            <w:proofErr w:type="spellStart"/>
            <w:r>
              <w:rPr>
                <w:lang w:val="en-GB"/>
              </w:rPr>
              <w:t>M</w:t>
            </w:r>
            <w:r w:rsidRPr="00A4332F">
              <w:rPr>
                <w:vertAlign w:val="subscript"/>
                <w:lang w:val="en-GB"/>
              </w:rPr>
              <w:t>i</w:t>
            </w:r>
            <w:proofErr w:type="spellEnd"/>
            <w:r>
              <w:rPr>
                <w:vertAlign w:val="subscript"/>
                <w:lang w:val="en-GB"/>
              </w:rPr>
              <w:t xml:space="preserve"> </w:t>
            </w:r>
            <w:r>
              <w:rPr>
                <w:lang w:val="en-GB"/>
              </w:rPr>
              <w:t>(kg/s)</w:t>
            </w:r>
          </w:p>
        </w:tc>
      </w:tr>
      <w:tr w:rsidR="002416AB" w:rsidRPr="00B57B36" w14:paraId="4A89FE59" w14:textId="28DFF79C" w:rsidTr="00627D1F">
        <w:tc>
          <w:tcPr>
            <w:tcW w:w="1560" w:type="dxa"/>
            <w:shd w:val="clear" w:color="auto" w:fill="FFFFFF"/>
          </w:tcPr>
          <w:p w14:paraId="5AEF121B" w14:textId="365F790E" w:rsidR="002416AB" w:rsidRDefault="002416AB" w:rsidP="00FE546B">
            <w:pPr>
              <w:pStyle w:val="CETBodytext"/>
              <w:rPr>
                <w:lang w:val="en-GB"/>
              </w:rPr>
            </w:pPr>
            <w:r>
              <w:rPr>
                <w:lang w:val="en-GB"/>
              </w:rPr>
              <w:t>control valve</w:t>
            </w:r>
          </w:p>
          <w:p w14:paraId="68E1BA91" w14:textId="3B5FC5AC" w:rsidR="002416AB" w:rsidRPr="00B57B36" w:rsidRDefault="002416AB" w:rsidP="00627D1F">
            <w:pPr>
              <w:pStyle w:val="CETBodytext"/>
              <w:rPr>
                <w:lang w:val="en-GB"/>
              </w:rPr>
            </w:pPr>
            <w:r>
              <w:rPr>
                <w:lang w:val="en-GB"/>
              </w:rPr>
              <w:t xml:space="preserve">flange                             </w:t>
            </w:r>
          </w:p>
        </w:tc>
        <w:tc>
          <w:tcPr>
            <w:tcW w:w="425" w:type="dxa"/>
            <w:shd w:val="clear" w:color="auto" w:fill="FFFFFF"/>
          </w:tcPr>
          <w:p w14:paraId="36BF40E4" w14:textId="77777777" w:rsidR="002416AB" w:rsidRPr="00B57B36" w:rsidRDefault="002416AB" w:rsidP="00B95AFA">
            <w:pPr>
              <w:pStyle w:val="CETBodytext"/>
              <w:rPr>
                <w:lang w:val="en-GB"/>
              </w:rPr>
            </w:pPr>
          </w:p>
        </w:tc>
        <w:tc>
          <w:tcPr>
            <w:tcW w:w="1437" w:type="dxa"/>
            <w:shd w:val="clear" w:color="auto" w:fill="FFFFFF"/>
          </w:tcPr>
          <w:p w14:paraId="1D1AF6FF" w14:textId="23A0652E" w:rsidR="002416AB" w:rsidRDefault="002416AB" w:rsidP="003C558B">
            <w:pPr>
              <w:pStyle w:val="CETBodytext"/>
              <w:rPr>
                <w:lang w:val="en-GB"/>
              </w:rPr>
            </w:pPr>
            <w:r>
              <w:rPr>
                <w:lang w:val="en-GB"/>
              </w:rPr>
              <w:t>secondary</w:t>
            </w:r>
          </w:p>
          <w:p w14:paraId="62293A1A" w14:textId="2C4791FB" w:rsidR="002416AB" w:rsidRPr="00B57B36" w:rsidRDefault="002416AB" w:rsidP="003C558B">
            <w:pPr>
              <w:pStyle w:val="CETBodytext"/>
              <w:rPr>
                <w:lang w:val="en-GB"/>
              </w:rPr>
            </w:pPr>
            <w:r>
              <w:rPr>
                <w:lang w:val="en-GB"/>
              </w:rPr>
              <w:t>secondary</w:t>
            </w:r>
          </w:p>
        </w:tc>
        <w:tc>
          <w:tcPr>
            <w:tcW w:w="2268" w:type="dxa"/>
            <w:shd w:val="clear" w:color="auto" w:fill="FFFFFF"/>
          </w:tcPr>
          <w:p w14:paraId="597B57AC" w14:textId="77777777" w:rsidR="002416AB" w:rsidRDefault="002416AB" w:rsidP="003C558B">
            <w:pPr>
              <w:pStyle w:val="CETBodytext"/>
              <w:rPr>
                <w:lang w:val="en-GB"/>
              </w:rPr>
            </w:pPr>
            <w:r>
              <w:rPr>
                <w:lang w:val="en-GB"/>
              </w:rPr>
              <w:t xml:space="preserve">      ………………………</w:t>
            </w:r>
          </w:p>
          <w:p w14:paraId="1EA777BF" w14:textId="486F5FF7" w:rsidR="002416AB" w:rsidRDefault="002416AB" w:rsidP="003C558B">
            <w:pPr>
              <w:pStyle w:val="CETBodytext"/>
              <w:rPr>
                <w:lang w:val="en-GB"/>
              </w:rPr>
            </w:pPr>
            <w:r>
              <w:rPr>
                <w:lang w:val="en-GB"/>
              </w:rPr>
              <w:t xml:space="preserve">      ………………………</w:t>
            </w:r>
          </w:p>
        </w:tc>
        <w:tc>
          <w:tcPr>
            <w:tcW w:w="142" w:type="dxa"/>
            <w:shd w:val="clear" w:color="auto" w:fill="FFFFFF"/>
          </w:tcPr>
          <w:p w14:paraId="062F15BE" w14:textId="77777777" w:rsidR="002416AB" w:rsidRDefault="002416AB" w:rsidP="003C558B">
            <w:pPr>
              <w:pStyle w:val="CETBodytext"/>
              <w:rPr>
                <w:lang w:val="en-GB"/>
              </w:rPr>
            </w:pPr>
          </w:p>
        </w:tc>
        <w:tc>
          <w:tcPr>
            <w:tcW w:w="767" w:type="dxa"/>
            <w:shd w:val="clear" w:color="auto" w:fill="FFFFFF"/>
          </w:tcPr>
          <w:p w14:paraId="20D3E5D7" w14:textId="77777777" w:rsidR="002416AB" w:rsidRDefault="00FD1602" w:rsidP="003C558B">
            <w:pPr>
              <w:pStyle w:val="CETBodytext"/>
              <w:rPr>
                <w:lang w:val="en-GB"/>
              </w:rPr>
            </w:pPr>
            <w:r>
              <w:rPr>
                <w:lang w:val="en-GB"/>
              </w:rPr>
              <w:t>………</w:t>
            </w:r>
          </w:p>
          <w:p w14:paraId="603C4637" w14:textId="0F920D40" w:rsidR="00FD1602" w:rsidRDefault="00FD1602" w:rsidP="003C558B">
            <w:pPr>
              <w:pStyle w:val="CETBodytext"/>
              <w:rPr>
                <w:lang w:val="en-GB"/>
              </w:rPr>
            </w:pPr>
            <w:r>
              <w:rPr>
                <w:lang w:val="en-GB"/>
              </w:rPr>
              <w:t>………</w:t>
            </w:r>
          </w:p>
        </w:tc>
      </w:tr>
      <w:tr w:rsidR="002416AB" w:rsidRPr="00B57B36" w14:paraId="6396A502" w14:textId="106A47AA" w:rsidTr="00627D1F">
        <w:tc>
          <w:tcPr>
            <w:tcW w:w="1560" w:type="dxa"/>
            <w:shd w:val="clear" w:color="auto" w:fill="FFFFFF"/>
          </w:tcPr>
          <w:p w14:paraId="2AEF8C47" w14:textId="642F2974" w:rsidR="002416AB" w:rsidRPr="00B57B36" w:rsidRDefault="002416AB" w:rsidP="00627D1F">
            <w:pPr>
              <w:pStyle w:val="CETBodytext"/>
              <w:ind w:right="-1"/>
              <w:rPr>
                <w:rFonts w:cs="Arial"/>
                <w:szCs w:val="18"/>
                <w:lang w:val="en-GB"/>
              </w:rPr>
            </w:pPr>
            <w:r>
              <w:rPr>
                <w:rFonts w:cs="Arial"/>
                <w:szCs w:val="18"/>
                <w:lang w:val="en-GB"/>
              </w:rPr>
              <w:t>safety valve</w:t>
            </w:r>
          </w:p>
        </w:tc>
        <w:tc>
          <w:tcPr>
            <w:tcW w:w="425" w:type="dxa"/>
            <w:shd w:val="clear" w:color="auto" w:fill="FFFFFF"/>
          </w:tcPr>
          <w:p w14:paraId="42E54181" w14:textId="77777777" w:rsidR="002416AB" w:rsidRPr="00B57B36" w:rsidRDefault="002416AB" w:rsidP="00B95AFA">
            <w:pPr>
              <w:pStyle w:val="CETBodytext"/>
              <w:ind w:right="-1"/>
              <w:rPr>
                <w:rFonts w:cs="Arial"/>
                <w:szCs w:val="18"/>
                <w:lang w:val="en-GB"/>
              </w:rPr>
            </w:pPr>
          </w:p>
        </w:tc>
        <w:tc>
          <w:tcPr>
            <w:tcW w:w="1437" w:type="dxa"/>
            <w:shd w:val="clear" w:color="auto" w:fill="FFFFFF"/>
          </w:tcPr>
          <w:p w14:paraId="700ED72A" w14:textId="50662C29" w:rsidR="002416AB" w:rsidRPr="00B57B36" w:rsidRDefault="002416AB" w:rsidP="00B95AFA">
            <w:pPr>
              <w:pStyle w:val="CETBodytext"/>
              <w:ind w:right="-1"/>
              <w:rPr>
                <w:rFonts w:cs="Arial"/>
                <w:szCs w:val="18"/>
                <w:lang w:val="en-GB"/>
              </w:rPr>
            </w:pPr>
            <w:r>
              <w:rPr>
                <w:rFonts w:cs="Arial"/>
                <w:szCs w:val="18"/>
                <w:lang w:val="en-GB"/>
              </w:rPr>
              <w:t>primary</w:t>
            </w:r>
          </w:p>
        </w:tc>
        <w:tc>
          <w:tcPr>
            <w:tcW w:w="2268" w:type="dxa"/>
            <w:shd w:val="clear" w:color="auto" w:fill="FFFFFF"/>
          </w:tcPr>
          <w:p w14:paraId="18218F8E" w14:textId="11E19341" w:rsidR="002416AB" w:rsidRDefault="002416AB" w:rsidP="00B95AFA">
            <w:pPr>
              <w:pStyle w:val="CETBodytext"/>
              <w:ind w:right="-1"/>
              <w:rPr>
                <w:rFonts w:cs="Arial"/>
                <w:szCs w:val="18"/>
                <w:lang w:val="en-GB"/>
              </w:rPr>
            </w:pPr>
            <w:r>
              <w:rPr>
                <w:rFonts w:cs="Arial"/>
                <w:szCs w:val="18"/>
                <w:lang w:val="en-GB"/>
              </w:rPr>
              <w:t xml:space="preserve">      ………………………</w:t>
            </w:r>
          </w:p>
        </w:tc>
        <w:tc>
          <w:tcPr>
            <w:tcW w:w="142" w:type="dxa"/>
            <w:shd w:val="clear" w:color="auto" w:fill="FFFFFF"/>
          </w:tcPr>
          <w:p w14:paraId="5DFE7A34" w14:textId="77777777" w:rsidR="002416AB" w:rsidRDefault="002416AB" w:rsidP="00B95AFA">
            <w:pPr>
              <w:pStyle w:val="CETBodytext"/>
              <w:ind w:right="-1"/>
              <w:rPr>
                <w:rFonts w:cs="Arial"/>
                <w:szCs w:val="18"/>
                <w:lang w:val="en-GB"/>
              </w:rPr>
            </w:pPr>
          </w:p>
        </w:tc>
        <w:tc>
          <w:tcPr>
            <w:tcW w:w="767" w:type="dxa"/>
            <w:shd w:val="clear" w:color="auto" w:fill="FFFFFF"/>
          </w:tcPr>
          <w:p w14:paraId="61008441" w14:textId="02A1BD6E" w:rsidR="002416AB" w:rsidRDefault="00B84089" w:rsidP="00B95AFA">
            <w:pPr>
              <w:pStyle w:val="CETBodytext"/>
              <w:ind w:right="-1"/>
              <w:rPr>
                <w:rFonts w:cs="Arial"/>
                <w:szCs w:val="18"/>
                <w:lang w:val="en-GB"/>
              </w:rPr>
            </w:pPr>
            <w:r>
              <w:rPr>
                <w:rFonts w:cs="Arial"/>
                <w:szCs w:val="18"/>
                <w:lang w:val="en-GB"/>
              </w:rPr>
              <w:t>………</w:t>
            </w:r>
          </w:p>
        </w:tc>
      </w:tr>
      <w:tr w:rsidR="002416AB" w:rsidRPr="00B57B36" w14:paraId="14BB5D71" w14:textId="761460BE" w:rsidTr="00627D1F">
        <w:tc>
          <w:tcPr>
            <w:tcW w:w="1560" w:type="dxa"/>
            <w:shd w:val="clear" w:color="auto" w:fill="FFFFFF"/>
          </w:tcPr>
          <w:p w14:paraId="4A1C85BC" w14:textId="7810E883" w:rsidR="002416AB" w:rsidRPr="00B57B36" w:rsidRDefault="002416AB" w:rsidP="00B95AFA">
            <w:pPr>
              <w:pStyle w:val="CETBodytext"/>
              <w:ind w:right="-1"/>
              <w:rPr>
                <w:rFonts w:cs="Arial"/>
                <w:szCs w:val="18"/>
                <w:lang w:val="en-GB"/>
              </w:rPr>
            </w:pPr>
            <w:r>
              <w:rPr>
                <w:rFonts w:cs="Arial"/>
                <w:szCs w:val="18"/>
                <w:lang w:val="en-GB"/>
              </w:rPr>
              <w:t>compressor</w:t>
            </w:r>
          </w:p>
        </w:tc>
        <w:tc>
          <w:tcPr>
            <w:tcW w:w="425" w:type="dxa"/>
            <w:shd w:val="clear" w:color="auto" w:fill="FFFFFF"/>
          </w:tcPr>
          <w:p w14:paraId="43436419" w14:textId="77777777" w:rsidR="002416AB" w:rsidRPr="00B57B36" w:rsidRDefault="002416AB" w:rsidP="00B95AFA">
            <w:pPr>
              <w:pStyle w:val="CETBodytext"/>
              <w:ind w:right="-1"/>
              <w:rPr>
                <w:rFonts w:cs="Arial"/>
                <w:szCs w:val="18"/>
                <w:lang w:val="en-GB"/>
              </w:rPr>
            </w:pPr>
          </w:p>
        </w:tc>
        <w:tc>
          <w:tcPr>
            <w:tcW w:w="1437" w:type="dxa"/>
            <w:shd w:val="clear" w:color="auto" w:fill="FFFFFF"/>
          </w:tcPr>
          <w:p w14:paraId="0B63F504" w14:textId="1D9A50AB" w:rsidR="002416AB" w:rsidRDefault="002416AB" w:rsidP="00B95AFA">
            <w:pPr>
              <w:pStyle w:val="CETBodytext"/>
              <w:ind w:right="-1"/>
              <w:rPr>
                <w:rFonts w:cs="Arial"/>
                <w:szCs w:val="18"/>
                <w:lang w:val="en-GB"/>
              </w:rPr>
            </w:pPr>
            <w:r>
              <w:rPr>
                <w:rFonts w:cs="Arial"/>
                <w:szCs w:val="18"/>
                <w:lang w:val="en-GB"/>
              </w:rPr>
              <w:t>secondary</w:t>
            </w:r>
          </w:p>
        </w:tc>
        <w:tc>
          <w:tcPr>
            <w:tcW w:w="2268" w:type="dxa"/>
            <w:shd w:val="clear" w:color="auto" w:fill="FFFFFF"/>
          </w:tcPr>
          <w:p w14:paraId="6E44AE93" w14:textId="34D965BC" w:rsidR="002416AB" w:rsidRDefault="002416AB" w:rsidP="00B95AFA">
            <w:pPr>
              <w:pStyle w:val="CETBodytext"/>
              <w:ind w:right="-1"/>
              <w:rPr>
                <w:rFonts w:cs="Arial"/>
                <w:szCs w:val="18"/>
                <w:lang w:val="en-GB"/>
              </w:rPr>
            </w:pPr>
            <w:r>
              <w:rPr>
                <w:rFonts w:cs="Arial"/>
                <w:szCs w:val="18"/>
                <w:lang w:val="en-GB"/>
              </w:rPr>
              <w:t xml:space="preserve">      ………………………</w:t>
            </w:r>
          </w:p>
        </w:tc>
        <w:tc>
          <w:tcPr>
            <w:tcW w:w="142" w:type="dxa"/>
            <w:shd w:val="clear" w:color="auto" w:fill="FFFFFF"/>
          </w:tcPr>
          <w:p w14:paraId="39BFBD7B" w14:textId="77777777" w:rsidR="002416AB" w:rsidRDefault="002416AB" w:rsidP="00B95AFA">
            <w:pPr>
              <w:pStyle w:val="CETBodytext"/>
              <w:ind w:right="-1"/>
              <w:rPr>
                <w:rFonts w:cs="Arial"/>
                <w:szCs w:val="18"/>
                <w:lang w:val="en-GB"/>
              </w:rPr>
            </w:pPr>
          </w:p>
        </w:tc>
        <w:tc>
          <w:tcPr>
            <w:tcW w:w="767" w:type="dxa"/>
            <w:shd w:val="clear" w:color="auto" w:fill="FFFFFF"/>
          </w:tcPr>
          <w:p w14:paraId="56C06E79" w14:textId="682A16F3" w:rsidR="002416AB" w:rsidRDefault="00B84089" w:rsidP="00B95AFA">
            <w:pPr>
              <w:pStyle w:val="CETBodytext"/>
              <w:ind w:right="-1"/>
              <w:rPr>
                <w:rFonts w:cs="Arial"/>
                <w:szCs w:val="18"/>
                <w:lang w:val="en-GB"/>
              </w:rPr>
            </w:pPr>
            <w:r>
              <w:rPr>
                <w:rFonts w:cs="Arial"/>
                <w:szCs w:val="18"/>
                <w:lang w:val="en-GB"/>
              </w:rPr>
              <w:t>………</w:t>
            </w:r>
          </w:p>
        </w:tc>
      </w:tr>
      <w:tr w:rsidR="002416AB" w:rsidRPr="00B57B36" w14:paraId="428CB37E" w14:textId="7E8C3F63" w:rsidTr="00627D1F">
        <w:tc>
          <w:tcPr>
            <w:tcW w:w="1560" w:type="dxa"/>
            <w:shd w:val="clear" w:color="auto" w:fill="FFFFFF"/>
          </w:tcPr>
          <w:p w14:paraId="266B2FED" w14:textId="3BDB90BD" w:rsidR="002416AB" w:rsidRPr="00B57B36" w:rsidRDefault="002416AB" w:rsidP="00B95AFA">
            <w:pPr>
              <w:pStyle w:val="CETBodytext"/>
              <w:ind w:right="-1"/>
              <w:rPr>
                <w:rFonts w:cs="Arial"/>
                <w:szCs w:val="18"/>
                <w:lang w:val="en-GB"/>
              </w:rPr>
            </w:pPr>
            <w:r>
              <w:rPr>
                <w:rFonts w:cs="Arial"/>
                <w:szCs w:val="18"/>
                <w:lang w:val="en-GB"/>
              </w:rPr>
              <w:t>…………….</w:t>
            </w:r>
          </w:p>
        </w:tc>
        <w:tc>
          <w:tcPr>
            <w:tcW w:w="425" w:type="dxa"/>
            <w:shd w:val="clear" w:color="auto" w:fill="FFFFFF"/>
          </w:tcPr>
          <w:p w14:paraId="791A6758" w14:textId="77777777" w:rsidR="002416AB" w:rsidRPr="00B57B36" w:rsidRDefault="002416AB" w:rsidP="00B95AFA">
            <w:pPr>
              <w:pStyle w:val="CETBodytext"/>
              <w:ind w:right="-1"/>
              <w:rPr>
                <w:rFonts w:cs="Arial"/>
                <w:szCs w:val="18"/>
                <w:lang w:val="en-GB"/>
              </w:rPr>
            </w:pPr>
          </w:p>
        </w:tc>
        <w:tc>
          <w:tcPr>
            <w:tcW w:w="1437" w:type="dxa"/>
            <w:shd w:val="clear" w:color="auto" w:fill="FFFFFF"/>
          </w:tcPr>
          <w:p w14:paraId="04FB94EB" w14:textId="77D884EE" w:rsidR="002416AB" w:rsidRDefault="002416AB" w:rsidP="00B95AFA">
            <w:pPr>
              <w:pStyle w:val="CETBodytext"/>
              <w:ind w:right="-1"/>
              <w:rPr>
                <w:rFonts w:cs="Arial"/>
                <w:szCs w:val="18"/>
                <w:lang w:val="en-GB"/>
              </w:rPr>
            </w:pPr>
            <w:r>
              <w:rPr>
                <w:rFonts w:cs="Arial"/>
                <w:szCs w:val="18"/>
                <w:lang w:val="en-GB"/>
              </w:rPr>
              <w:t>…………..</w:t>
            </w:r>
          </w:p>
        </w:tc>
        <w:tc>
          <w:tcPr>
            <w:tcW w:w="2268" w:type="dxa"/>
            <w:shd w:val="clear" w:color="auto" w:fill="FFFFFF"/>
          </w:tcPr>
          <w:p w14:paraId="40594260" w14:textId="09232A84" w:rsidR="002416AB" w:rsidRDefault="002416AB" w:rsidP="00B95AFA">
            <w:pPr>
              <w:pStyle w:val="CETBodytext"/>
              <w:ind w:right="-1"/>
              <w:rPr>
                <w:rFonts w:cs="Arial"/>
                <w:szCs w:val="18"/>
                <w:lang w:val="en-GB"/>
              </w:rPr>
            </w:pPr>
            <w:r>
              <w:rPr>
                <w:rFonts w:cs="Arial"/>
                <w:szCs w:val="18"/>
                <w:lang w:val="en-GB"/>
              </w:rPr>
              <w:t xml:space="preserve">      ………………………</w:t>
            </w:r>
          </w:p>
        </w:tc>
        <w:tc>
          <w:tcPr>
            <w:tcW w:w="142" w:type="dxa"/>
            <w:shd w:val="clear" w:color="auto" w:fill="FFFFFF"/>
          </w:tcPr>
          <w:p w14:paraId="7F9F1D40" w14:textId="77777777" w:rsidR="002416AB" w:rsidRDefault="002416AB" w:rsidP="00B95AFA">
            <w:pPr>
              <w:pStyle w:val="CETBodytext"/>
              <w:ind w:right="-1"/>
              <w:rPr>
                <w:rFonts w:cs="Arial"/>
                <w:szCs w:val="18"/>
                <w:lang w:val="en-GB"/>
              </w:rPr>
            </w:pPr>
          </w:p>
        </w:tc>
        <w:tc>
          <w:tcPr>
            <w:tcW w:w="767" w:type="dxa"/>
            <w:shd w:val="clear" w:color="auto" w:fill="FFFFFF"/>
          </w:tcPr>
          <w:p w14:paraId="4DDB7DB7" w14:textId="42B422F8" w:rsidR="002416AB" w:rsidRDefault="00B84089" w:rsidP="00B95AFA">
            <w:pPr>
              <w:pStyle w:val="CETBodytext"/>
              <w:ind w:right="-1"/>
              <w:rPr>
                <w:rFonts w:cs="Arial"/>
                <w:szCs w:val="18"/>
                <w:lang w:val="en-GB"/>
              </w:rPr>
            </w:pPr>
            <w:r>
              <w:rPr>
                <w:rFonts w:cs="Arial"/>
                <w:szCs w:val="18"/>
                <w:lang w:val="en-GB"/>
              </w:rPr>
              <w:t>………</w:t>
            </w:r>
          </w:p>
        </w:tc>
      </w:tr>
    </w:tbl>
    <w:p w14:paraId="01B40928" w14:textId="11509B51" w:rsidR="00E54210" w:rsidRPr="00BB368D" w:rsidRDefault="0019032E" w:rsidP="00BB368D">
      <w:pPr>
        <w:pStyle w:val="CETBodytext"/>
        <w:rPr>
          <w:rFonts w:eastAsiaTheme="minorHAnsi"/>
          <w:i/>
        </w:rPr>
      </w:pPr>
      <w:r w:rsidRPr="00BB368D">
        <w:rPr>
          <w:rFonts w:cs="Arial"/>
          <w:i/>
          <w:szCs w:val="18"/>
        </w:rPr>
        <w:t xml:space="preserve"> </w:t>
      </w:r>
    </w:p>
    <w:p w14:paraId="512BF7B1" w14:textId="199A9C67" w:rsidR="00C27E83" w:rsidRDefault="00E17EA3" w:rsidP="00136B5E">
      <w:pPr>
        <w:tabs>
          <w:tab w:val="clear" w:pos="7100"/>
        </w:tabs>
        <w:autoSpaceDE w:val="0"/>
        <w:autoSpaceDN w:val="0"/>
        <w:adjustRightInd w:val="0"/>
        <w:spacing w:line="240" w:lineRule="auto"/>
        <w:jc w:val="left"/>
      </w:pPr>
      <w:r w:rsidRPr="00E17EA3">
        <w:rPr>
          <w:noProof/>
          <w:lang w:val="it-IT" w:eastAsia="it-IT"/>
        </w:rPr>
        <w:drawing>
          <wp:inline distT="0" distB="0" distL="0" distR="0" wp14:anchorId="388992E1" wp14:editId="6B1233C2">
            <wp:extent cx="4964400" cy="2127600"/>
            <wp:effectExtent l="19050" t="19050" r="27305" b="25400"/>
            <wp:docPr id="8" name="Immagine 8" descr="C:\Users\xf45702\OneDrive - INAIL\Back up Lauri\Documenti\Lavoro di ricerca Roberto\FeX 2023\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f45702\OneDrive - INAIL\Back up Lauri\Documenti\Lavoro di ricerca Roberto\FeX 2023\Figure 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4400" cy="2127600"/>
                    </a:xfrm>
                    <a:prstGeom prst="rect">
                      <a:avLst/>
                    </a:prstGeom>
                    <a:noFill/>
                    <a:ln>
                      <a:solidFill>
                        <a:schemeClr val="tx1"/>
                      </a:solidFill>
                    </a:ln>
                  </pic:spPr>
                </pic:pic>
              </a:graphicData>
            </a:graphic>
          </wp:inline>
        </w:drawing>
      </w:r>
    </w:p>
    <w:p w14:paraId="2516BC77" w14:textId="1CCB7551" w:rsidR="00A76619" w:rsidRDefault="00A76619" w:rsidP="00136B5E">
      <w:pPr>
        <w:tabs>
          <w:tab w:val="clear" w:pos="7100"/>
        </w:tabs>
        <w:autoSpaceDE w:val="0"/>
        <w:autoSpaceDN w:val="0"/>
        <w:adjustRightInd w:val="0"/>
        <w:spacing w:line="240" w:lineRule="auto"/>
        <w:jc w:val="left"/>
        <w:rPr>
          <w:i/>
        </w:rPr>
      </w:pPr>
      <w:r w:rsidRPr="00A76619">
        <w:rPr>
          <w:i/>
        </w:rPr>
        <w:t xml:space="preserve">Figure </w:t>
      </w:r>
      <w:r w:rsidR="00C866AB">
        <w:rPr>
          <w:i/>
        </w:rPr>
        <w:t>3</w:t>
      </w:r>
      <w:r w:rsidRPr="00A76619">
        <w:rPr>
          <w:i/>
        </w:rPr>
        <w:t>: Methodological approach phases</w:t>
      </w:r>
    </w:p>
    <w:p w14:paraId="66816E75" w14:textId="2968619C" w:rsidR="00A76619" w:rsidRDefault="002E5480" w:rsidP="001A5E9B">
      <w:pPr>
        <w:tabs>
          <w:tab w:val="clear" w:pos="7100"/>
        </w:tabs>
        <w:autoSpaceDE w:val="0"/>
        <w:autoSpaceDN w:val="0"/>
        <w:adjustRightInd w:val="0"/>
        <w:spacing w:line="240" w:lineRule="auto"/>
      </w:pPr>
      <w:r>
        <w:lastRenderedPageBreak/>
        <w:t>In case of gaseous biofuel release, the minimum ventilation velocity has to be ensured, whereas, in leaks absence</w:t>
      </w:r>
      <w:r w:rsidR="00CB06C2">
        <w:t>,</w:t>
      </w:r>
      <w:r>
        <w:t xml:space="preserve"> </w:t>
      </w:r>
      <w:proofErr w:type="spellStart"/>
      <w:proofErr w:type="gramStart"/>
      <w:r>
        <w:rPr>
          <w:rFonts w:cs="Arial"/>
          <w:szCs w:val="18"/>
        </w:rPr>
        <w:t>u</w:t>
      </w:r>
      <w:r w:rsidRPr="00647246">
        <w:rPr>
          <w:rFonts w:cs="Arial"/>
          <w:szCs w:val="18"/>
          <w:vertAlign w:val="subscript"/>
        </w:rPr>
        <w:t>w</w:t>
      </w:r>
      <w:proofErr w:type="spellEnd"/>
      <w:proofErr w:type="gramEnd"/>
      <w:r>
        <w:t xml:space="preserve"> has to compl</w:t>
      </w:r>
      <w:r w:rsidR="00CB06C2">
        <w:t>y</w:t>
      </w:r>
      <w:r>
        <w:t xml:space="preserve"> with </w:t>
      </w:r>
      <w:r w:rsidR="006A2469">
        <w:t xml:space="preserve">UNI EN ISO 7730. </w:t>
      </w:r>
      <w:r w:rsidR="001A5E9B">
        <w:t xml:space="preserve">The methodological approach goal </w:t>
      </w:r>
      <w:proofErr w:type="gramStart"/>
      <w:r w:rsidR="001A5E9B">
        <w:t>is aimed</w:t>
      </w:r>
      <w:proofErr w:type="gramEnd"/>
      <w:r w:rsidR="001A5E9B">
        <w:t xml:space="preserve"> at avoiding the low dilution, which c</w:t>
      </w:r>
      <w:r w:rsidR="00FE7948">
        <w:t xml:space="preserve">ould </w:t>
      </w:r>
      <w:r w:rsidR="004D0937">
        <w:t>generate</w:t>
      </w:r>
      <w:r w:rsidR="00FE7948">
        <w:t xml:space="preserve"> hazardous scenarios (</w:t>
      </w:r>
      <w:r w:rsidR="00F300C7">
        <w:t xml:space="preserve">the </w:t>
      </w:r>
      <w:r w:rsidR="00FE7948">
        <w:t xml:space="preserve">air and </w:t>
      </w:r>
      <w:proofErr w:type="spellStart"/>
      <w:r w:rsidR="00FE7948">
        <w:t>biomethane</w:t>
      </w:r>
      <w:proofErr w:type="spellEnd"/>
      <w:r w:rsidR="00FE7948">
        <w:t xml:space="preserve"> cloud could be ignited) </w:t>
      </w:r>
      <w:r w:rsidR="00071536">
        <w:t xml:space="preserve">due to </w:t>
      </w:r>
      <w:r w:rsidR="007E38A9">
        <w:t>the</w:t>
      </w:r>
      <w:r w:rsidR="001A5E9B">
        <w:t xml:space="preserve"> significant concentration of potentially explosive atmosphere or </w:t>
      </w:r>
      <w:r w:rsidR="00071536">
        <w:t xml:space="preserve">to </w:t>
      </w:r>
      <w:r w:rsidR="001A5E9B">
        <w:t>its lasting persistence after the release is stopped</w:t>
      </w:r>
      <w:r w:rsidR="00251EBF">
        <w:t xml:space="preserve">. </w:t>
      </w:r>
      <w:r w:rsidR="00DA101E">
        <w:t xml:space="preserve">However, the high dilution is not always </w:t>
      </w:r>
      <w:proofErr w:type="gramStart"/>
      <w:r w:rsidR="00DA101E">
        <w:t>obtainable,</w:t>
      </w:r>
      <w:proofErr w:type="gramEnd"/>
      <w:r w:rsidR="00DA101E">
        <w:t xml:space="preserve"> because it depends on emission sources number and </w:t>
      </w:r>
      <w:proofErr w:type="spellStart"/>
      <w:r w:rsidR="00E071EA">
        <w:t>biomethane</w:t>
      </w:r>
      <w:proofErr w:type="spellEnd"/>
      <w:r w:rsidR="00E071EA">
        <w:t xml:space="preserve"> pressure and temperature (these last two parameters influence </w:t>
      </w:r>
      <w:proofErr w:type="spellStart"/>
      <w:r w:rsidR="00E071EA">
        <w:t>M</w:t>
      </w:r>
      <w:r w:rsidR="00E071EA" w:rsidRPr="00E071EA">
        <w:rPr>
          <w:vertAlign w:val="subscript"/>
        </w:rPr>
        <w:t>i</w:t>
      </w:r>
      <w:proofErr w:type="spellEnd"/>
      <w:r w:rsidR="00E071EA">
        <w:t>).</w:t>
      </w:r>
      <w:r w:rsidR="00DA101E">
        <w:t xml:space="preserve"> </w:t>
      </w:r>
      <w:r w:rsidR="00534BF2">
        <w:t xml:space="preserve">In particular, the most critical scenarios are due to </w:t>
      </w:r>
      <w:proofErr w:type="spellStart"/>
      <w:r w:rsidR="00534BF2">
        <w:t>biomethane</w:t>
      </w:r>
      <w:proofErr w:type="spellEnd"/>
      <w:r w:rsidR="00534BF2">
        <w:t xml:space="preserve"> injection in</w:t>
      </w:r>
      <w:r w:rsidR="00FB036C">
        <w:t>to</w:t>
      </w:r>
      <w:r w:rsidR="00534BF2">
        <w:t xml:space="preserve"> first class pipeline (its operating pressure is higher than 24 bar) or to CNG production (the biofuel pressure is about 220-230 bar). </w:t>
      </w:r>
      <w:r w:rsidR="00251EBF">
        <w:t xml:space="preserve">This approach </w:t>
      </w:r>
      <w:r w:rsidR="00782D7F">
        <w:t xml:space="preserve">can be particularly useful, because it </w:t>
      </w:r>
      <w:proofErr w:type="gramStart"/>
      <w:r w:rsidR="00251EBF">
        <w:t>can be used</w:t>
      </w:r>
      <w:proofErr w:type="gramEnd"/>
      <w:r w:rsidR="00251EBF">
        <w:t xml:space="preserve"> during the early stage of design of </w:t>
      </w:r>
      <w:r w:rsidR="000E1E93">
        <w:t xml:space="preserve">an </w:t>
      </w:r>
      <w:r w:rsidR="00251EBF">
        <w:t xml:space="preserve">artificial ventilation system for defining the minimum air velocity or during </w:t>
      </w:r>
      <w:r w:rsidR="001356D3">
        <w:t>its</w:t>
      </w:r>
      <w:r w:rsidR="00251EBF">
        <w:t xml:space="preserve"> operating for adjusting </w:t>
      </w:r>
      <w:r w:rsidR="00ED0B03">
        <w:t>this parameter</w:t>
      </w:r>
      <w:r w:rsidR="00251EBF">
        <w:t xml:space="preserve">. </w:t>
      </w:r>
      <w:r w:rsidR="005A25BA">
        <w:t xml:space="preserve">With reference to Table 1 application, the dilution degree optimization can decrease the </w:t>
      </w:r>
      <w:proofErr w:type="spellStart"/>
      <w:r w:rsidR="005A25BA">
        <w:t>Atex</w:t>
      </w:r>
      <w:proofErr w:type="spellEnd"/>
      <w:r w:rsidR="005A25BA">
        <w:t xml:space="preserve"> zones hazardousness and ensure a safer operating of </w:t>
      </w:r>
      <w:r w:rsidR="00741F77">
        <w:t xml:space="preserve">the </w:t>
      </w:r>
      <w:r w:rsidR="005A25BA">
        <w:t xml:space="preserve">compression unit. </w:t>
      </w:r>
      <w:r w:rsidR="00936498">
        <w:t>Indeed, t</w:t>
      </w:r>
      <w:r w:rsidR="00177A77">
        <w:t xml:space="preserve">he areas hazardousness decreases from zone 0 to zone 2. </w:t>
      </w:r>
      <w:r w:rsidR="00251EBF">
        <w:t xml:space="preserve"> </w:t>
      </w:r>
      <w:r w:rsidR="001A5E9B">
        <w:t xml:space="preserve">  </w:t>
      </w:r>
    </w:p>
    <w:p w14:paraId="45080AC4" w14:textId="77777777" w:rsidR="001A5E9B" w:rsidRPr="00A76619" w:rsidRDefault="001A5E9B" w:rsidP="00136B5E">
      <w:pPr>
        <w:tabs>
          <w:tab w:val="clear" w:pos="7100"/>
        </w:tabs>
        <w:autoSpaceDE w:val="0"/>
        <w:autoSpaceDN w:val="0"/>
        <w:adjustRightInd w:val="0"/>
        <w:spacing w:line="240" w:lineRule="auto"/>
        <w:jc w:val="left"/>
        <w:rPr>
          <w:i/>
        </w:rPr>
      </w:pPr>
    </w:p>
    <w:p w14:paraId="623B07BA" w14:textId="025E8D5E" w:rsidR="00423120" w:rsidRDefault="00423120" w:rsidP="000B2FD2">
      <w:pPr>
        <w:pStyle w:val="CETHeading1"/>
      </w:pPr>
      <w:r w:rsidRPr="00423120">
        <w:t xml:space="preserve">Conclusions </w:t>
      </w:r>
    </w:p>
    <w:p w14:paraId="692CC2B1" w14:textId="272018C2" w:rsidR="009E0626" w:rsidRPr="00003613" w:rsidRDefault="000B2FD2" w:rsidP="00003613">
      <w:pPr>
        <w:tabs>
          <w:tab w:val="clear" w:pos="7100"/>
          <w:tab w:val="left" w:pos="284"/>
        </w:tabs>
        <w:autoSpaceDE w:val="0"/>
        <w:autoSpaceDN w:val="0"/>
        <w:adjustRightInd w:val="0"/>
        <w:spacing w:line="22" w:lineRule="atLeast"/>
        <w:rPr>
          <w:rFonts w:eastAsiaTheme="minorHAnsi" w:cs="Arial"/>
          <w:szCs w:val="18"/>
          <w:lang w:val="en-US"/>
        </w:rPr>
      </w:pPr>
      <w:r w:rsidRPr="00C43EDA">
        <w:rPr>
          <w:rFonts w:eastAsiaTheme="minorHAnsi" w:cs="Arial"/>
          <w:szCs w:val="18"/>
          <w:lang w:val="en-US"/>
        </w:rPr>
        <w:t>Biomethane is a storable and flexible energy source with a high</w:t>
      </w:r>
      <w:r w:rsidR="00B16491" w:rsidRPr="00C43EDA">
        <w:rPr>
          <w:rFonts w:eastAsiaTheme="minorHAnsi" w:cs="Arial"/>
          <w:szCs w:val="18"/>
          <w:lang w:val="en-US"/>
        </w:rPr>
        <w:t xml:space="preserve"> </w:t>
      </w:r>
      <w:r w:rsidRPr="00C43EDA">
        <w:rPr>
          <w:rFonts w:eastAsiaTheme="minorHAnsi" w:cs="Arial"/>
          <w:szCs w:val="18"/>
          <w:lang w:val="en-US"/>
        </w:rPr>
        <w:t xml:space="preserve">greenhouse gas saving potential and </w:t>
      </w:r>
      <w:r w:rsidR="00B16491" w:rsidRPr="00C43EDA">
        <w:rPr>
          <w:rFonts w:eastAsiaTheme="minorHAnsi" w:cs="Arial"/>
          <w:szCs w:val="18"/>
          <w:lang w:val="en-US"/>
        </w:rPr>
        <w:t>it</w:t>
      </w:r>
      <w:r w:rsidRPr="00C43EDA">
        <w:rPr>
          <w:rFonts w:eastAsiaTheme="minorHAnsi" w:cs="Arial"/>
          <w:szCs w:val="18"/>
          <w:lang w:val="en-US"/>
        </w:rPr>
        <w:t xml:space="preserve"> has the ability to generate negative emissions.</w:t>
      </w:r>
      <w:r w:rsidR="00B16491" w:rsidRPr="00C43EDA">
        <w:rPr>
          <w:rFonts w:eastAsiaTheme="minorHAnsi" w:cs="Arial"/>
          <w:szCs w:val="18"/>
          <w:lang w:val="en-US"/>
        </w:rPr>
        <w:t xml:space="preserve"> </w:t>
      </w:r>
      <w:r w:rsidR="00EF4852" w:rsidRPr="00C43EDA">
        <w:rPr>
          <w:rFonts w:eastAsiaTheme="minorHAnsi" w:cs="Arial"/>
          <w:szCs w:val="18"/>
          <w:lang w:val="en-US"/>
        </w:rPr>
        <w:t>F</w:t>
      </w:r>
      <w:r w:rsidR="00C43EDA" w:rsidRPr="00C43EDA">
        <w:rPr>
          <w:rFonts w:eastAsiaTheme="minorHAnsi" w:cs="Arial"/>
          <w:szCs w:val="18"/>
          <w:lang w:val="en-US"/>
        </w:rPr>
        <w:t>urthermore, t</w:t>
      </w:r>
      <w:r w:rsidR="00B16491" w:rsidRPr="00C43EDA">
        <w:rPr>
          <w:rFonts w:eastAsiaTheme="minorHAnsi" w:cs="Arial"/>
          <w:szCs w:val="18"/>
          <w:lang w:val="en-US"/>
        </w:rPr>
        <w:t>his gaseous biofuel</w:t>
      </w:r>
      <w:r w:rsidRPr="00C43EDA">
        <w:rPr>
          <w:rFonts w:eastAsiaTheme="minorHAnsi" w:cs="Arial"/>
          <w:szCs w:val="18"/>
          <w:lang w:val="en-US"/>
        </w:rPr>
        <w:t xml:space="preserve"> </w:t>
      </w:r>
      <w:proofErr w:type="gramStart"/>
      <w:r w:rsidRPr="00C43EDA">
        <w:rPr>
          <w:rFonts w:eastAsiaTheme="minorHAnsi" w:cs="Arial"/>
          <w:szCs w:val="18"/>
          <w:lang w:val="en-US"/>
        </w:rPr>
        <w:t>can be transported</w:t>
      </w:r>
      <w:proofErr w:type="gramEnd"/>
      <w:r w:rsidRPr="00C43EDA">
        <w:rPr>
          <w:rFonts w:eastAsiaTheme="minorHAnsi" w:cs="Arial"/>
          <w:szCs w:val="18"/>
          <w:lang w:val="en-US"/>
        </w:rPr>
        <w:t xml:space="preserve"> through existing gas infrastructure. </w:t>
      </w:r>
      <w:r w:rsidR="004631C7" w:rsidRPr="00C43EDA">
        <w:rPr>
          <w:rFonts w:eastAsiaTheme="minorHAnsi" w:cs="Arial"/>
          <w:szCs w:val="18"/>
          <w:lang w:val="en-US"/>
        </w:rPr>
        <w:t>With reference to these properties, it becomes</w:t>
      </w:r>
      <w:r w:rsidRPr="00C43EDA">
        <w:rPr>
          <w:rFonts w:eastAsiaTheme="minorHAnsi" w:cs="Arial"/>
          <w:szCs w:val="18"/>
          <w:lang w:val="en-US"/>
        </w:rPr>
        <w:t xml:space="preserve"> an appealing </w:t>
      </w:r>
      <w:r w:rsidR="00A8063D" w:rsidRPr="00C43EDA">
        <w:rPr>
          <w:rFonts w:eastAsiaTheme="minorHAnsi" w:cs="Arial"/>
          <w:szCs w:val="18"/>
          <w:lang w:val="en-US"/>
        </w:rPr>
        <w:t>fuel</w:t>
      </w:r>
      <w:r w:rsidRPr="00C43EDA">
        <w:rPr>
          <w:rFonts w:eastAsiaTheme="minorHAnsi" w:cs="Arial"/>
          <w:szCs w:val="18"/>
          <w:lang w:val="en-US"/>
        </w:rPr>
        <w:t xml:space="preserve"> in </w:t>
      </w:r>
      <w:r w:rsidR="00A8063D" w:rsidRPr="00C43EDA">
        <w:rPr>
          <w:rFonts w:eastAsiaTheme="minorHAnsi" w:cs="Arial"/>
          <w:szCs w:val="18"/>
          <w:lang w:val="en-US"/>
        </w:rPr>
        <w:t xml:space="preserve">order to achieve </w:t>
      </w:r>
      <w:r w:rsidRPr="00C43EDA">
        <w:rPr>
          <w:rFonts w:eastAsiaTheme="minorHAnsi" w:cs="Arial"/>
          <w:szCs w:val="18"/>
          <w:lang w:val="en-US"/>
        </w:rPr>
        <w:t>a climate neutral energy</w:t>
      </w:r>
      <w:r w:rsidR="00B16491" w:rsidRPr="00C43EDA">
        <w:rPr>
          <w:rFonts w:eastAsiaTheme="minorHAnsi" w:cs="Arial"/>
          <w:szCs w:val="18"/>
          <w:lang w:val="en-US"/>
        </w:rPr>
        <w:t xml:space="preserve"> </w:t>
      </w:r>
      <w:r w:rsidRPr="00C43EDA">
        <w:rPr>
          <w:rFonts w:eastAsiaTheme="minorHAnsi" w:cs="Arial"/>
          <w:szCs w:val="18"/>
          <w:lang w:val="en-US"/>
        </w:rPr>
        <w:t>system.</w:t>
      </w:r>
      <w:r w:rsidR="00807AD4" w:rsidRPr="00C43EDA">
        <w:rPr>
          <w:rFonts w:eastAsiaTheme="minorHAnsi" w:cs="Arial"/>
          <w:szCs w:val="18"/>
          <w:lang w:val="en-US"/>
        </w:rPr>
        <w:t xml:space="preserve"> The </w:t>
      </w:r>
      <w:r w:rsidR="00EF4852" w:rsidRPr="00C43EDA">
        <w:rPr>
          <w:rFonts w:eastAsiaTheme="minorHAnsi" w:cs="Arial"/>
          <w:szCs w:val="18"/>
          <w:lang w:val="en-US"/>
        </w:rPr>
        <w:t>coming increase of</w:t>
      </w:r>
      <w:r w:rsidR="00807AD4" w:rsidRPr="00C43EDA">
        <w:rPr>
          <w:rFonts w:eastAsiaTheme="minorHAnsi" w:cs="Arial"/>
          <w:szCs w:val="18"/>
          <w:lang w:val="en-US"/>
        </w:rPr>
        <w:t xml:space="preserve"> </w:t>
      </w:r>
      <w:r w:rsidR="009E26BA">
        <w:rPr>
          <w:rFonts w:eastAsiaTheme="minorHAnsi" w:cs="Arial"/>
          <w:szCs w:val="18"/>
          <w:lang w:val="en-US"/>
        </w:rPr>
        <w:t xml:space="preserve">the </w:t>
      </w:r>
      <w:r w:rsidR="00B737FE" w:rsidRPr="00C43EDA">
        <w:rPr>
          <w:rFonts w:eastAsiaTheme="minorHAnsi" w:cs="Arial"/>
          <w:szCs w:val="18"/>
          <w:lang w:val="en-US"/>
        </w:rPr>
        <w:t xml:space="preserve">number of </w:t>
      </w:r>
      <w:r w:rsidR="00807AD4" w:rsidRPr="00C43EDA">
        <w:rPr>
          <w:rFonts w:eastAsiaTheme="minorHAnsi" w:cs="Arial"/>
          <w:szCs w:val="18"/>
          <w:lang w:val="en-US"/>
        </w:rPr>
        <w:t xml:space="preserve">biomethane production </w:t>
      </w:r>
      <w:r w:rsidR="00B737FE" w:rsidRPr="00C43EDA">
        <w:rPr>
          <w:rFonts w:eastAsiaTheme="minorHAnsi" w:cs="Arial"/>
          <w:szCs w:val="18"/>
          <w:lang w:val="en-US"/>
        </w:rPr>
        <w:t xml:space="preserve">plants </w:t>
      </w:r>
      <w:r w:rsidR="00EF4852" w:rsidRPr="00C43EDA">
        <w:rPr>
          <w:rFonts w:eastAsiaTheme="minorHAnsi" w:cs="Arial"/>
          <w:szCs w:val="18"/>
          <w:lang w:val="en-US"/>
        </w:rPr>
        <w:t>requires</w:t>
      </w:r>
      <w:r w:rsidR="00CC26F2" w:rsidRPr="00C43EDA">
        <w:rPr>
          <w:rFonts w:eastAsiaTheme="minorHAnsi" w:cs="Arial"/>
          <w:szCs w:val="18"/>
          <w:lang w:val="en-US"/>
        </w:rPr>
        <w:t xml:space="preserve"> a</w:t>
      </w:r>
      <w:r w:rsidR="00B737FE" w:rsidRPr="00C43EDA">
        <w:rPr>
          <w:rFonts w:eastAsiaTheme="minorHAnsi" w:cs="Arial"/>
          <w:szCs w:val="18"/>
          <w:lang w:val="en-US"/>
        </w:rPr>
        <w:t xml:space="preserve"> specific attention to potential hazards</w:t>
      </w:r>
      <w:r w:rsidR="00EF4852" w:rsidRPr="00C43EDA">
        <w:rPr>
          <w:rFonts w:eastAsiaTheme="minorHAnsi" w:cs="Arial"/>
          <w:szCs w:val="18"/>
          <w:lang w:val="en-US"/>
        </w:rPr>
        <w:t xml:space="preserve"> associated with their operating.  One of the main hazards is the possible formation of potentially explosive atmospheres in indoor places, such as the compression unit, where </w:t>
      </w:r>
      <w:r w:rsidR="00CC34CF" w:rsidRPr="00C43EDA">
        <w:rPr>
          <w:rFonts w:eastAsiaTheme="minorHAnsi" w:cs="Arial"/>
          <w:szCs w:val="18"/>
          <w:lang w:val="en-US"/>
        </w:rPr>
        <w:t xml:space="preserve">the </w:t>
      </w:r>
      <w:r w:rsidR="001C4A1E">
        <w:rPr>
          <w:rFonts w:eastAsiaTheme="minorHAnsi" w:cs="Arial"/>
          <w:szCs w:val="18"/>
          <w:lang w:val="en-US"/>
        </w:rPr>
        <w:t>correct</w:t>
      </w:r>
      <w:r w:rsidR="00CC34CF" w:rsidRPr="00C43EDA">
        <w:rPr>
          <w:rFonts w:eastAsiaTheme="minorHAnsi" w:cs="Arial"/>
          <w:szCs w:val="18"/>
          <w:lang w:val="en-US"/>
        </w:rPr>
        <w:t xml:space="preserve"> choice of operating parameters (air velocity and flow) of forced ventilation system is </w:t>
      </w:r>
      <w:r w:rsidR="00C43EDA" w:rsidRPr="00C43EDA">
        <w:rPr>
          <w:rFonts w:eastAsiaTheme="minorHAnsi" w:cs="Arial"/>
          <w:szCs w:val="18"/>
          <w:lang w:val="en-US"/>
        </w:rPr>
        <w:t>fundamental for preventing the explosive mixture</w:t>
      </w:r>
      <w:r w:rsidR="00CD008B">
        <w:rPr>
          <w:rFonts w:eastAsiaTheme="minorHAnsi" w:cs="Arial"/>
          <w:szCs w:val="18"/>
          <w:lang w:val="en-US"/>
        </w:rPr>
        <w:t>s</w:t>
      </w:r>
      <w:r w:rsidR="00C43EDA" w:rsidRPr="00C43EDA">
        <w:rPr>
          <w:rFonts w:eastAsiaTheme="minorHAnsi" w:cs="Arial"/>
          <w:szCs w:val="18"/>
          <w:lang w:val="en-US"/>
        </w:rPr>
        <w:t xml:space="preserve"> formation </w:t>
      </w:r>
      <w:r w:rsidR="00483AB1">
        <w:rPr>
          <w:rFonts w:eastAsiaTheme="minorHAnsi" w:cs="Arial"/>
          <w:szCs w:val="18"/>
          <w:lang w:val="en-US"/>
        </w:rPr>
        <w:t xml:space="preserve">or </w:t>
      </w:r>
      <w:r w:rsidR="00C43EDA" w:rsidRPr="00C43EDA">
        <w:rPr>
          <w:rFonts w:eastAsiaTheme="minorHAnsi" w:cs="Arial"/>
          <w:szCs w:val="18"/>
          <w:lang w:val="en-US"/>
        </w:rPr>
        <w:t xml:space="preserve">decreasing </w:t>
      </w:r>
      <w:r w:rsidR="00483AB1">
        <w:rPr>
          <w:rFonts w:eastAsiaTheme="minorHAnsi" w:cs="Arial"/>
          <w:szCs w:val="18"/>
          <w:lang w:val="en-US"/>
        </w:rPr>
        <w:t xml:space="preserve">the </w:t>
      </w:r>
      <w:proofErr w:type="spellStart"/>
      <w:r w:rsidR="00483AB1">
        <w:t>Atex</w:t>
      </w:r>
      <w:proofErr w:type="spellEnd"/>
      <w:r w:rsidR="00483AB1">
        <w:t xml:space="preserve"> zones hazardousness</w:t>
      </w:r>
      <w:r w:rsidR="00C43EDA" w:rsidRPr="00C43EDA">
        <w:rPr>
          <w:rFonts w:eastAsiaTheme="minorHAnsi" w:cs="Arial"/>
          <w:szCs w:val="18"/>
          <w:lang w:val="en-US"/>
        </w:rPr>
        <w:t>.</w:t>
      </w:r>
      <w:r w:rsidR="00E92926">
        <w:rPr>
          <w:rFonts w:eastAsiaTheme="minorHAnsi" w:cs="Arial"/>
          <w:szCs w:val="18"/>
          <w:lang w:val="en-US"/>
        </w:rPr>
        <w:t xml:space="preserve"> The </w:t>
      </w:r>
      <w:r w:rsidR="004949D2">
        <w:rPr>
          <w:rFonts w:eastAsiaTheme="minorHAnsi" w:cs="Arial"/>
          <w:szCs w:val="18"/>
          <w:lang w:val="en-US"/>
        </w:rPr>
        <w:t>proposed</w:t>
      </w:r>
      <w:r w:rsidR="00AB70D8">
        <w:rPr>
          <w:rFonts w:eastAsiaTheme="minorHAnsi" w:cs="Arial"/>
          <w:szCs w:val="18"/>
          <w:lang w:val="en-US"/>
        </w:rPr>
        <w:t xml:space="preserve"> </w:t>
      </w:r>
      <w:r w:rsidR="00E92926">
        <w:rPr>
          <w:rFonts w:eastAsiaTheme="minorHAnsi" w:cs="Arial"/>
          <w:szCs w:val="18"/>
          <w:lang w:val="en-US"/>
        </w:rPr>
        <w:t>approach</w:t>
      </w:r>
      <w:r w:rsidR="00AB70D8">
        <w:rPr>
          <w:rFonts w:eastAsiaTheme="minorHAnsi" w:cs="Arial"/>
          <w:szCs w:val="18"/>
          <w:lang w:val="en-US"/>
        </w:rPr>
        <w:t xml:space="preserve"> </w:t>
      </w:r>
      <w:proofErr w:type="gramStart"/>
      <w:r w:rsidR="00AB70D8">
        <w:rPr>
          <w:rFonts w:eastAsiaTheme="minorHAnsi" w:cs="Arial"/>
          <w:szCs w:val="18"/>
          <w:lang w:val="en-US"/>
        </w:rPr>
        <w:t>is aimed</w:t>
      </w:r>
      <w:proofErr w:type="gramEnd"/>
      <w:r w:rsidR="00AB70D8">
        <w:rPr>
          <w:rFonts w:eastAsiaTheme="minorHAnsi" w:cs="Arial"/>
          <w:szCs w:val="18"/>
          <w:lang w:val="en-US"/>
        </w:rPr>
        <w:t xml:space="preserve"> at </w:t>
      </w:r>
      <w:r w:rsidR="00CA6864">
        <w:rPr>
          <w:rFonts w:eastAsiaTheme="minorHAnsi" w:cs="Arial"/>
          <w:szCs w:val="18"/>
          <w:lang w:val="en-US"/>
        </w:rPr>
        <w:t>the dilution degree optimization</w:t>
      </w:r>
      <w:r w:rsidR="00945A61">
        <w:rPr>
          <w:rFonts w:eastAsiaTheme="minorHAnsi" w:cs="Arial"/>
          <w:szCs w:val="18"/>
          <w:lang w:val="en-US"/>
        </w:rPr>
        <w:t>, which could a</w:t>
      </w:r>
      <w:r w:rsidR="00AB70D8">
        <w:rPr>
          <w:rFonts w:eastAsiaTheme="minorHAnsi" w:cs="Arial"/>
          <w:szCs w:val="18"/>
          <w:lang w:val="en-US"/>
        </w:rPr>
        <w:t>void the low dilution into the biomethane compression unit</w:t>
      </w:r>
      <w:r w:rsidR="00945A61">
        <w:rPr>
          <w:rFonts w:eastAsiaTheme="minorHAnsi" w:cs="Arial"/>
          <w:szCs w:val="18"/>
          <w:lang w:val="en-US"/>
        </w:rPr>
        <w:t xml:space="preserve">. Indeed, this condition could generate dangerous scenarios due to </w:t>
      </w:r>
      <w:r w:rsidR="00945A61">
        <w:t>the high concentration of potentially explosive atmosphere (air/</w:t>
      </w:r>
      <w:proofErr w:type="spellStart"/>
      <w:r w:rsidR="00945A61">
        <w:t>biomethane</w:t>
      </w:r>
      <w:proofErr w:type="spellEnd"/>
      <w:r w:rsidR="00945A61">
        <w:t xml:space="preserve">) or to its excessive persistence time after the release </w:t>
      </w:r>
      <w:proofErr w:type="gramStart"/>
      <w:r w:rsidR="00945A61">
        <w:t>is stopped</w:t>
      </w:r>
      <w:proofErr w:type="gramEnd"/>
      <w:r w:rsidR="00945A61">
        <w:t xml:space="preserve">. </w:t>
      </w:r>
      <w:r w:rsidR="002A7AAC">
        <w:t xml:space="preserve">The </w:t>
      </w:r>
      <w:proofErr w:type="spellStart"/>
      <w:r w:rsidR="002A7AAC">
        <w:t>biomethane</w:t>
      </w:r>
      <w:proofErr w:type="spellEnd"/>
      <w:r w:rsidR="002A7AAC">
        <w:t xml:space="preserve"> production pressure is the key parameter for </w:t>
      </w:r>
      <w:r w:rsidR="00AF23CE">
        <w:t>the method application</w:t>
      </w:r>
      <w:r w:rsidR="001C4A1E">
        <w:t>, because it strongly influence</w:t>
      </w:r>
      <w:r w:rsidR="00DC244D">
        <w:t>s</w:t>
      </w:r>
      <w:r w:rsidR="001C4A1E">
        <w:t xml:space="preserve"> the mass flows released by the potential sources included in the compression unit</w:t>
      </w:r>
      <w:r w:rsidR="002A7AAC">
        <w:t xml:space="preserve">. </w:t>
      </w:r>
      <w:r w:rsidR="00484B1A" w:rsidRPr="000B5FA1">
        <w:rPr>
          <w:color w:val="000000" w:themeColor="text1"/>
        </w:rPr>
        <w:t xml:space="preserve">The next step </w:t>
      </w:r>
      <w:proofErr w:type="gramStart"/>
      <w:r w:rsidR="00484B1A" w:rsidRPr="000B5FA1">
        <w:t>could be represented</w:t>
      </w:r>
      <w:proofErr w:type="gramEnd"/>
      <w:r w:rsidR="00484B1A" w:rsidRPr="000B5FA1">
        <w:t xml:space="preserve"> by the use of specific software, which is able to study the </w:t>
      </w:r>
      <w:proofErr w:type="spellStart"/>
      <w:r w:rsidR="00484B1A" w:rsidRPr="000B5FA1">
        <w:t>biomethane</w:t>
      </w:r>
      <w:proofErr w:type="spellEnd"/>
      <w:r w:rsidR="00484B1A" w:rsidRPr="000B5FA1">
        <w:t xml:space="preserve"> release from the </w:t>
      </w:r>
      <w:r w:rsidR="00C5413D" w:rsidRPr="000B5FA1">
        <w:t xml:space="preserve">compression unit </w:t>
      </w:r>
      <w:r w:rsidR="009136F1" w:rsidRPr="000B5FA1">
        <w:t>components (flanges, valves, etc.)</w:t>
      </w:r>
      <w:r w:rsidR="00484B1A" w:rsidRPr="000B5FA1">
        <w:t xml:space="preserve">. This solution could improve the </w:t>
      </w:r>
      <w:proofErr w:type="spellStart"/>
      <w:r w:rsidR="00484B1A" w:rsidRPr="000B5FA1">
        <w:t>W</w:t>
      </w:r>
      <w:r w:rsidR="00484B1A" w:rsidRPr="000B5FA1">
        <w:rPr>
          <w:vertAlign w:val="subscript"/>
        </w:rPr>
        <w:t>g</w:t>
      </w:r>
      <w:proofErr w:type="spellEnd"/>
      <w:r w:rsidR="00484B1A" w:rsidRPr="000B5FA1">
        <w:t xml:space="preserve"> calculation accuracy and therefore the </w:t>
      </w:r>
      <w:proofErr w:type="spellStart"/>
      <w:proofErr w:type="gramStart"/>
      <w:r w:rsidR="00E5700C" w:rsidRPr="000B5FA1">
        <w:t>u</w:t>
      </w:r>
      <w:r w:rsidR="00E5700C" w:rsidRPr="000B5FA1">
        <w:rPr>
          <w:vertAlign w:val="subscript"/>
        </w:rPr>
        <w:t>w</w:t>
      </w:r>
      <w:proofErr w:type="spellEnd"/>
      <w:proofErr w:type="gramEnd"/>
      <w:r w:rsidR="00E5700C" w:rsidRPr="000B5FA1">
        <w:t xml:space="preserve"> </w:t>
      </w:r>
      <w:r w:rsidR="000B5FA1">
        <w:t>detection</w:t>
      </w:r>
      <w:r w:rsidR="00E5700C" w:rsidRPr="000B5FA1">
        <w:t xml:space="preserve"> could become more rigorous.</w:t>
      </w:r>
      <w:r w:rsidR="00484B1A">
        <w:t xml:space="preserve"> </w:t>
      </w:r>
      <w:r w:rsidR="00945A61">
        <w:t xml:space="preserve">The </w:t>
      </w:r>
      <w:r w:rsidR="004949D2">
        <w:t>methodological</w:t>
      </w:r>
      <w:r w:rsidR="00945A61">
        <w:t xml:space="preserve"> approach has the advantage that </w:t>
      </w:r>
      <w:r w:rsidR="00AB70D8">
        <w:rPr>
          <w:rFonts w:eastAsiaTheme="minorHAnsi" w:cs="Arial"/>
          <w:szCs w:val="18"/>
          <w:lang w:val="en-US"/>
        </w:rPr>
        <w:t>it</w:t>
      </w:r>
      <w:r w:rsidR="00E92926">
        <w:rPr>
          <w:rFonts w:eastAsiaTheme="minorHAnsi" w:cs="Arial"/>
          <w:szCs w:val="18"/>
          <w:lang w:val="en-US"/>
        </w:rPr>
        <w:t xml:space="preserve"> </w:t>
      </w:r>
      <w:proofErr w:type="gramStart"/>
      <w:r w:rsidR="009E0626">
        <w:rPr>
          <w:rFonts w:eastAsiaTheme="minorHAnsi" w:cs="Arial"/>
          <w:szCs w:val="18"/>
          <w:lang w:val="en-US"/>
        </w:rPr>
        <w:t xml:space="preserve">can </w:t>
      </w:r>
      <w:r w:rsidR="00AB70D8">
        <w:rPr>
          <w:rFonts w:eastAsiaTheme="minorHAnsi" w:cs="Arial"/>
          <w:szCs w:val="18"/>
          <w:lang w:val="en-US"/>
        </w:rPr>
        <w:t xml:space="preserve">be </w:t>
      </w:r>
      <w:r w:rsidR="009E0626" w:rsidRPr="009E0626">
        <w:rPr>
          <w:rFonts w:eastAsia="CharisSIL" w:cs="Arial"/>
          <w:szCs w:val="18"/>
          <w:lang w:val="en-US"/>
        </w:rPr>
        <w:t>appli</w:t>
      </w:r>
      <w:r w:rsidR="00AB70D8">
        <w:rPr>
          <w:rFonts w:eastAsia="CharisSIL" w:cs="Arial"/>
          <w:szCs w:val="18"/>
          <w:lang w:val="en-US"/>
        </w:rPr>
        <w:t>ed</w:t>
      </w:r>
      <w:proofErr w:type="gramEnd"/>
      <w:r w:rsidR="00003613">
        <w:rPr>
          <w:rFonts w:eastAsiaTheme="minorHAnsi" w:cs="Arial"/>
          <w:szCs w:val="18"/>
          <w:lang w:val="en-US"/>
        </w:rPr>
        <w:t xml:space="preserve"> </w:t>
      </w:r>
      <w:r w:rsidR="009E0626" w:rsidRPr="009E0626">
        <w:rPr>
          <w:rFonts w:eastAsia="CharisSIL" w:cs="Arial"/>
          <w:szCs w:val="18"/>
          <w:lang w:val="en-US"/>
        </w:rPr>
        <w:t xml:space="preserve">both </w:t>
      </w:r>
      <w:r w:rsidR="00580207">
        <w:rPr>
          <w:rFonts w:eastAsia="CharisSIL" w:cs="Arial"/>
          <w:szCs w:val="18"/>
          <w:lang w:val="en-US"/>
        </w:rPr>
        <w:t>to</w:t>
      </w:r>
      <w:r w:rsidR="009E0626" w:rsidRPr="009E0626">
        <w:rPr>
          <w:rFonts w:eastAsia="CharisSIL" w:cs="Arial"/>
          <w:szCs w:val="18"/>
          <w:lang w:val="en-US"/>
        </w:rPr>
        <w:t xml:space="preserve"> </w:t>
      </w:r>
      <w:r w:rsidR="009E26BA">
        <w:rPr>
          <w:rFonts w:eastAsia="CharisSIL" w:cs="Arial"/>
          <w:szCs w:val="18"/>
          <w:lang w:val="en-US"/>
        </w:rPr>
        <w:t xml:space="preserve">the </w:t>
      </w:r>
      <w:r w:rsidR="009E0626">
        <w:rPr>
          <w:rFonts w:eastAsia="CharisSIL" w:cs="Arial"/>
          <w:szCs w:val="18"/>
          <w:lang w:val="en-US"/>
        </w:rPr>
        <w:t>ventilation</w:t>
      </w:r>
      <w:r w:rsidR="009E0626" w:rsidRPr="009E0626">
        <w:rPr>
          <w:rFonts w:eastAsia="CharisSIL" w:cs="Arial"/>
          <w:szCs w:val="18"/>
          <w:lang w:val="en-US"/>
        </w:rPr>
        <w:t xml:space="preserve"> system design stage and during </w:t>
      </w:r>
      <w:r w:rsidR="009E0626">
        <w:rPr>
          <w:rFonts w:eastAsia="CharisSIL" w:cs="Arial"/>
          <w:szCs w:val="18"/>
          <w:lang w:val="en-US"/>
        </w:rPr>
        <w:t xml:space="preserve">its </w:t>
      </w:r>
      <w:r w:rsidR="009E0626" w:rsidRPr="009E0626">
        <w:rPr>
          <w:rFonts w:eastAsia="CharisSIL" w:cs="Arial"/>
          <w:szCs w:val="18"/>
          <w:lang w:val="en-US"/>
        </w:rPr>
        <w:t>operatin</w:t>
      </w:r>
      <w:r w:rsidR="00003613">
        <w:rPr>
          <w:rFonts w:eastAsia="CharisSIL" w:cs="Arial"/>
          <w:szCs w:val="18"/>
          <w:lang w:val="en-US"/>
        </w:rPr>
        <w:t>g</w:t>
      </w:r>
      <w:r w:rsidR="005E7F21">
        <w:rPr>
          <w:rFonts w:eastAsia="CharisSIL" w:cs="Arial"/>
          <w:szCs w:val="18"/>
          <w:lang w:val="en-US"/>
        </w:rPr>
        <w:t xml:space="preserve"> for adjusting the minimum ventilation velocity.</w:t>
      </w:r>
    </w:p>
    <w:p w14:paraId="73AA4D40" w14:textId="77777777" w:rsidR="00423120" w:rsidRPr="00580207" w:rsidRDefault="00423120" w:rsidP="00136B5E">
      <w:pPr>
        <w:tabs>
          <w:tab w:val="clear" w:pos="7100"/>
        </w:tabs>
        <w:autoSpaceDE w:val="0"/>
        <w:autoSpaceDN w:val="0"/>
        <w:adjustRightInd w:val="0"/>
        <w:spacing w:line="240" w:lineRule="auto"/>
        <w:jc w:val="left"/>
        <w:rPr>
          <w:lang w:val="en-US"/>
        </w:rPr>
      </w:pPr>
    </w:p>
    <w:p w14:paraId="41141C45" w14:textId="77777777" w:rsidR="00BF469A" w:rsidRPr="00B57B36" w:rsidRDefault="00BF469A" w:rsidP="00BF469A">
      <w:pPr>
        <w:pStyle w:val="CETReference"/>
      </w:pPr>
      <w:r w:rsidRPr="00B57B36">
        <w:t>References</w:t>
      </w:r>
    </w:p>
    <w:p w14:paraId="223ADD43" w14:textId="582022A4" w:rsidR="00F50181" w:rsidRDefault="00F50181" w:rsidP="00F9634D">
      <w:pPr>
        <w:pStyle w:val="CETBodytext"/>
        <w:ind w:left="284" w:hanging="284"/>
        <w:rPr>
          <w:lang w:val="en-GB"/>
        </w:rPr>
      </w:pPr>
      <w:proofErr w:type="spellStart"/>
      <w:r>
        <w:rPr>
          <w:lang w:val="en-GB"/>
        </w:rPr>
        <w:t>Alberici</w:t>
      </w:r>
      <w:proofErr w:type="spellEnd"/>
      <w:r>
        <w:rPr>
          <w:lang w:val="en-GB"/>
        </w:rPr>
        <w:t xml:space="preserve"> S., </w:t>
      </w:r>
      <w:proofErr w:type="spellStart"/>
      <w:r>
        <w:rPr>
          <w:lang w:val="en-GB"/>
        </w:rPr>
        <w:t>Moultak</w:t>
      </w:r>
      <w:proofErr w:type="spellEnd"/>
      <w:r>
        <w:rPr>
          <w:lang w:val="en-GB"/>
        </w:rPr>
        <w:t xml:space="preserve"> M., Peters J., 2021, Gas for Climate: the Future Role of </w:t>
      </w:r>
      <w:proofErr w:type="spellStart"/>
      <w:r>
        <w:rPr>
          <w:lang w:val="en-GB"/>
        </w:rPr>
        <w:t>Biomethane</w:t>
      </w:r>
      <w:proofErr w:type="spellEnd"/>
      <w:r>
        <w:rPr>
          <w:lang w:val="en-GB"/>
        </w:rPr>
        <w:t xml:space="preserve">, </w:t>
      </w:r>
      <w:proofErr w:type="spellStart"/>
      <w:r>
        <w:rPr>
          <w:lang w:val="en-GB"/>
        </w:rPr>
        <w:t>Guidehouse</w:t>
      </w:r>
      <w:proofErr w:type="spellEnd"/>
      <w:r>
        <w:rPr>
          <w:lang w:val="en-GB"/>
        </w:rPr>
        <w:t xml:space="preserve">, Utrecht, The Netherlands. </w:t>
      </w:r>
    </w:p>
    <w:p w14:paraId="4B830095" w14:textId="37967608" w:rsidR="00BF469A" w:rsidRDefault="00BF469A" w:rsidP="00BF469A">
      <w:pPr>
        <w:pStyle w:val="CETBodytext"/>
        <w:ind w:left="284" w:hanging="284"/>
        <w:rPr>
          <w:lang w:val="en-GB"/>
        </w:rPr>
      </w:pPr>
      <w:proofErr w:type="spellStart"/>
      <w:r>
        <w:rPr>
          <w:lang w:val="en-GB"/>
        </w:rPr>
        <w:t>Casal</w:t>
      </w:r>
      <w:proofErr w:type="spellEnd"/>
      <w:r>
        <w:rPr>
          <w:lang w:val="en-GB"/>
        </w:rPr>
        <w:t xml:space="preserve"> J., 2018, Evaluation of the Effects and Consequences of Major Accidents in Industrial Plants, Elsevier, Eastbourne, UK.</w:t>
      </w:r>
    </w:p>
    <w:p w14:paraId="7BBA25B9" w14:textId="77777777" w:rsidR="00BF469A" w:rsidRDefault="00BF469A" w:rsidP="00BF469A">
      <w:pPr>
        <w:pStyle w:val="CETBodytext"/>
        <w:ind w:left="284" w:hanging="284"/>
        <w:rPr>
          <w:lang w:val="en-GB"/>
        </w:rPr>
      </w:pPr>
      <w:r>
        <w:rPr>
          <w:lang w:val="en-GB"/>
        </w:rPr>
        <w:t xml:space="preserve">Gas Processors Suppliers Association (Ed), 2004, Engineering Data Book, Gas Processors </w:t>
      </w:r>
      <w:proofErr w:type="gramStart"/>
      <w:r>
        <w:rPr>
          <w:lang w:val="en-GB"/>
        </w:rPr>
        <w:t>Suppliers  Association</w:t>
      </w:r>
      <w:proofErr w:type="gramEnd"/>
      <w:r>
        <w:rPr>
          <w:lang w:val="en-GB"/>
        </w:rPr>
        <w:t>, Tulsa, USA.</w:t>
      </w:r>
    </w:p>
    <w:p w14:paraId="2F4622FE" w14:textId="77777777" w:rsidR="00BF469A" w:rsidRDefault="00BF469A" w:rsidP="00BF469A">
      <w:pPr>
        <w:pStyle w:val="CETBodytext"/>
        <w:ind w:left="284" w:hanging="284"/>
        <w:rPr>
          <w:lang w:val="en-GB"/>
        </w:rPr>
      </w:pPr>
      <w:r>
        <w:rPr>
          <w:lang w:val="en-GB"/>
        </w:rPr>
        <w:t xml:space="preserve">IEC (Ed), 2021, IEC EN 60079-10-1: Classification of Areas-Explosive Gas Atmospheres, IEC, Geneva, Switzerland. </w:t>
      </w:r>
    </w:p>
    <w:p w14:paraId="30B93C9F" w14:textId="1A1645D4" w:rsidR="00BF469A" w:rsidRDefault="00BF469A" w:rsidP="00BF469A">
      <w:pPr>
        <w:pStyle w:val="CETBodytext"/>
        <w:ind w:left="284" w:hanging="284"/>
        <w:rPr>
          <w:rFonts w:cs="Arial"/>
          <w:bCs/>
          <w:iCs/>
        </w:rPr>
      </w:pPr>
      <w:r>
        <w:rPr>
          <w:lang w:val="en-GB"/>
        </w:rPr>
        <w:t>Lauri R</w:t>
      </w:r>
      <w:r w:rsidRPr="001300A1">
        <w:rPr>
          <w:rFonts w:cs="Arial"/>
          <w:lang w:val="en-GB"/>
        </w:rPr>
        <w:t xml:space="preserve">., </w:t>
      </w:r>
      <w:r>
        <w:rPr>
          <w:rFonts w:cs="Arial"/>
          <w:lang w:val="en-GB"/>
        </w:rPr>
        <w:t xml:space="preserve">2022, </w:t>
      </w:r>
      <w:proofErr w:type="spellStart"/>
      <w:r>
        <w:rPr>
          <w:rFonts w:cs="Arial"/>
          <w:lang w:val="en-GB"/>
        </w:rPr>
        <w:t>Biomethane</w:t>
      </w:r>
      <w:proofErr w:type="spellEnd"/>
      <w:r>
        <w:rPr>
          <w:rFonts w:cs="Arial"/>
          <w:lang w:val="en-GB"/>
        </w:rPr>
        <w:t xml:space="preserve"> </w:t>
      </w:r>
      <w:r w:rsidR="00B553D7">
        <w:rPr>
          <w:rFonts w:cs="Arial"/>
          <w:lang w:val="en-GB"/>
        </w:rPr>
        <w:t>p</w:t>
      </w:r>
      <w:r>
        <w:rPr>
          <w:rFonts w:cs="Arial"/>
          <w:lang w:val="en-GB"/>
        </w:rPr>
        <w:t xml:space="preserve">roduction: </w:t>
      </w:r>
      <w:r w:rsidR="00B553D7">
        <w:rPr>
          <w:rFonts w:cs="Arial"/>
          <w:lang w:val="en-GB"/>
        </w:rPr>
        <w:t>p</w:t>
      </w:r>
      <w:r>
        <w:rPr>
          <w:rFonts w:cs="Arial"/>
          <w:lang w:val="en-GB"/>
        </w:rPr>
        <w:t>ressure Influence on</w:t>
      </w:r>
      <w:r w:rsidRPr="00BF469A">
        <w:rPr>
          <w:rFonts w:cs="Arial"/>
          <w:lang w:val="en-GB"/>
        </w:rPr>
        <w:t xml:space="preserve"> </w:t>
      </w:r>
      <w:r>
        <w:rPr>
          <w:rFonts w:cs="Arial"/>
          <w:lang w:val="en-GB"/>
        </w:rPr>
        <w:t xml:space="preserve">classification of </w:t>
      </w:r>
      <w:proofErr w:type="spellStart"/>
      <w:r>
        <w:rPr>
          <w:rFonts w:cs="Arial"/>
          <w:lang w:val="en-GB"/>
        </w:rPr>
        <w:t>Atex</w:t>
      </w:r>
      <w:proofErr w:type="spellEnd"/>
      <w:r>
        <w:rPr>
          <w:rFonts w:cs="Arial"/>
          <w:lang w:val="en-GB"/>
        </w:rPr>
        <w:t xml:space="preserve"> zones</w:t>
      </w:r>
      <w:r>
        <w:rPr>
          <w:rFonts w:cs="Arial"/>
          <w:bCs/>
          <w:iCs/>
        </w:rPr>
        <w:t xml:space="preserve">, </w:t>
      </w:r>
      <w:r w:rsidRPr="001300A1">
        <w:rPr>
          <w:rFonts w:cs="Arial"/>
          <w:bCs/>
          <w:iCs/>
        </w:rPr>
        <w:t xml:space="preserve">Chemical Engineering Transactions, </w:t>
      </w:r>
      <w:r>
        <w:rPr>
          <w:rFonts w:cs="Arial"/>
          <w:bCs/>
          <w:iCs/>
        </w:rPr>
        <w:t>91</w:t>
      </w:r>
      <w:r w:rsidRPr="001300A1">
        <w:rPr>
          <w:rFonts w:cs="Arial"/>
          <w:bCs/>
          <w:iCs/>
        </w:rPr>
        <w:t xml:space="preserve">, </w:t>
      </w:r>
      <w:r>
        <w:rPr>
          <w:rFonts w:cs="Arial"/>
          <w:bCs/>
          <w:iCs/>
        </w:rPr>
        <w:t>73</w:t>
      </w:r>
      <w:r w:rsidRPr="001300A1">
        <w:rPr>
          <w:rFonts w:cs="Arial"/>
          <w:bCs/>
          <w:iCs/>
        </w:rPr>
        <w:t>-</w:t>
      </w:r>
      <w:r>
        <w:rPr>
          <w:rFonts w:cs="Arial"/>
          <w:bCs/>
          <w:iCs/>
        </w:rPr>
        <w:t>78.</w:t>
      </w:r>
    </w:p>
    <w:p w14:paraId="4D576B24" w14:textId="309DC384" w:rsidR="00BF469A" w:rsidRDefault="00BF469A" w:rsidP="00BF469A">
      <w:pPr>
        <w:pStyle w:val="CETBodytext"/>
        <w:ind w:left="284" w:hanging="284"/>
        <w:rPr>
          <w:rFonts w:eastAsiaTheme="minorHAnsi" w:cs="Arial"/>
          <w:szCs w:val="18"/>
        </w:rPr>
      </w:pPr>
      <w:r w:rsidRPr="006960DA">
        <w:rPr>
          <w:rFonts w:eastAsiaTheme="minorHAnsi" w:cs="Arial"/>
          <w:szCs w:val="18"/>
        </w:rPr>
        <w:t xml:space="preserve">Matsumura M., Kato M., Hirata T., 1992, Behavior and </w:t>
      </w:r>
      <w:r>
        <w:rPr>
          <w:rFonts w:eastAsiaTheme="minorHAnsi" w:cs="Arial"/>
          <w:szCs w:val="18"/>
        </w:rPr>
        <w:t>A</w:t>
      </w:r>
      <w:r w:rsidRPr="006960DA">
        <w:rPr>
          <w:rFonts w:eastAsiaTheme="minorHAnsi" w:cs="Arial"/>
          <w:szCs w:val="18"/>
        </w:rPr>
        <w:t xml:space="preserve">nalysis of </w:t>
      </w:r>
      <w:r>
        <w:rPr>
          <w:rFonts w:eastAsiaTheme="minorHAnsi" w:cs="Arial"/>
          <w:szCs w:val="18"/>
        </w:rPr>
        <w:t xml:space="preserve">Reciprocating Compressor Valve, </w:t>
      </w:r>
      <w:proofErr w:type="spellStart"/>
      <w:proofErr w:type="gramStart"/>
      <w:r w:rsidRPr="006960DA">
        <w:rPr>
          <w:rFonts w:eastAsiaTheme="minorHAnsi" w:cs="Arial"/>
          <w:szCs w:val="18"/>
        </w:rPr>
        <w:t>Kobel</w:t>
      </w:r>
      <w:r>
        <w:rPr>
          <w:rFonts w:eastAsiaTheme="minorHAnsi" w:cs="Arial"/>
          <w:szCs w:val="18"/>
        </w:rPr>
        <w:t>c</w:t>
      </w:r>
      <w:r w:rsidRPr="006960DA">
        <w:rPr>
          <w:rFonts w:eastAsiaTheme="minorHAnsi" w:cs="Arial"/>
          <w:szCs w:val="18"/>
        </w:rPr>
        <w:t>o</w:t>
      </w:r>
      <w:proofErr w:type="spellEnd"/>
      <w:r w:rsidRPr="006960DA">
        <w:rPr>
          <w:rFonts w:eastAsiaTheme="minorHAnsi" w:cs="Arial"/>
          <w:szCs w:val="18"/>
        </w:rPr>
        <w:t xml:space="preserve"> </w:t>
      </w:r>
      <w:r>
        <w:rPr>
          <w:rFonts w:eastAsiaTheme="minorHAnsi" w:cs="Arial"/>
          <w:szCs w:val="18"/>
        </w:rPr>
        <w:t xml:space="preserve"> </w:t>
      </w:r>
      <w:r w:rsidRPr="006960DA">
        <w:rPr>
          <w:rFonts w:eastAsiaTheme="minorHAnsi" w:cs="Arial"/>
          <w:iCs/>
          <w:szCs w:val="18"/>
        </w:rPr>
        <w:t>Technology</w:t>
      </w:r>
      <w:proofErr w:type="gramEnd"/>
      <w:r w:rsidRPr="006960DA">
        <w:rPr>
          <w:rFonts w:eastAsiaTheme="minorHAnsi" w:cs="Arial"/>
          <w:iCs/>
          <w:szCs w:val="18"/>
        </w:rPr>
        <w:t xml:space="preserve"> Review, 14</w:t>
      </w:r>
      <w:r w:rsidRPr="006960DA">
        <w:rPr>
          <w:rFonts w:eastAsiaTheme="minorHAnsi" w:cs="Arial"/>
          <w:szCs w:val="18"/>
        </w:rPr>
        <w:t>, 20-24.</w:t>
      </w:r>
    </w:p>
    <w:p w14:paraId="2F626191" w14:textId="0C7D39EE" w:rsidR="004C765D" w:rsidRPr="004C765D" w:rsidRDefault="004C765D" w:rsidP="00BF469A">
      <w:pPr>
        <w:pStyle w:val="CETBodytext"/>
        <w:ind w:left="284" w:hanging="284"/>
        <w:rPr>
          <w:rFonts w:eastAsiaTheme="minorHAnsi" w:cs="Arial"/>
          <w:szCs w:val="18"/>
        </w:rPr>
      </w:pPr>
      <w:r w:rsidRPr="004C765D">
        <w:rPr>
          <w:rFonts w:cs="Arial"/>
          <w:color w:val="000000"/>
        </w:rPr>
        <w:t xml:space="preserve">Nguemna L., Lauri R., Incocciati E., </w:t>
      </w:r>
      <w:proofErr w:type="spellStart"/>
      <w:r w:rsidRPr="004C765D">
        <w:rPr>
          <w:rFonts w:cs="Arial"/>
          <w:color w:val="000000"/>
        </w:rPr>
        <w:t>Pietrangeli</w:t>
      </w:r>
      <w:proofErr w:type="spellEnd"/>
      <w:r w:rsidRPr="004C765D">
        <w:rPr>
          <w:rFonts w:cs="Arial"/>
          <w:color w:val="000000"/>
        </w:rPr>
        <w:t xml:space="preserve"> B., Majone M., </w:t>
      </w:r>
      <w:proofErr w:type="spellStart"/>
      <w:r w:rsidRPr="004C765D">
        <w:rPr>
          <w:rFonts w:cs="Arial"/>
          <w:color w:val="000000"/>
        </w:rPr>
        <w:t>Micolucci</w:t>
      </w:r>
      <w:proofErr w:type="spellEnd"/>
      <w:r w:rsidRPr="004C765D">
        <w:rPr>
          <w:rFonts w:cs="Arial"/>
          <w:color w:val="000000"/>
        </w:rPr>
        <w:t xml:space="preserve"> F., Gottardo M., Valentino F., 2022</w:t>
      </w:r>
      <w:r>
        <w:rPr>
          <w:rFonts w:cs="Arial"/>
          <w:color w:val="000000"/>
        </w:rPr>
        <w:t>,</w:t>
      </w:r>
      <w:r w:rsidRPr="004C765D">
        <w:rPr>
          <w:rFonts w:cs="Arial"/>
          <w:color w:val="000000"/>
        </w:rPr>
        <w:t xml:space="preserve">  </w:t>
      </w:r>
      <w:proofErr w:type="spellStart"/>
      <w:r w:rsidRPr="004C765D">
        <w:rPr>
          <w:rFonts w:cs="Arial"/>
          <w:color w:val="000000"/>
        </w:rPr>
        <w:t>Acidogenic</w:t>
      </w:r>
      <w:proofErr w:type="spellEnd"/>
      <w:r w:rsidRPr="004C765D">
        <w:rPr>
          <w:rFonts w:cs="Arial"/>
          <w:color w:val="000000"/>
        </w:rPr>
        <w:t xml:space="preserve"> fermentation of food waste and sewage sludge mixture: effect of operating parameters on process performance and safety aspects</w:t>
      </w:r>
      <w:r>
        <w:rPr>
          <w:rFonts w:cs="Arial"/>
          <w:color w:val="000000"/>
        </w:rPr>
        <w:t>,</w:t>
      </w:r>
      <w:r w:rsidRPr="004C765D">
        <w:rPr>
          <w:rFonts w:cs="Arial"/>
          <w:color w:val="000000"/>
        </w:rPr>
        <w:t xml:space="preserve"> Process Safety and Environmental Protection, 163</w:t>
      </w:r>
      <w:r>
        <w:rPr>
          <w:rFonts w:cs="Arial"/>
          <w:color w:val="000000"/>
        </w:rPr>
        <w:t xml:space="preserve">, </w:t>
      </w:r>
      <w:r w:rsidRPr="004C765D">
        <w:rPr>
          <w:rFonts w:cs="Arial"/>
          <w:color w:val="000000"/>
        </w:rPr>
        <w:t>158-166</w:t>
      </w:r>
      <w:r>
        <w:rPr>
          <w:rFonts w:cs="Arial"/>
          <w:color w:val="000000"/>
        </w:rPr>
        <w:t>.</w:t>
      </w:r>
      <w:r w:rsidRPr="004C765D">
        <w:rPr>
          <w:rFonts w:cs="Arial"/>
          <w:color w:val="000000"/>
        </w:rPr>
        <w:t xml:space="preserve"> </w:t>
      </w:r>
    </w:p>
    <w:p w14:paraId="7B59886B" w14:textId="132AEB94" w:rsidR="00816668" w:rsidRPr="00816668" w:rsidRDefault="00816668" w:rsidP="00BF469A">
      <w:pPr>
        <w:pStyle w:val="CETBodytext"/>
        <w:ind w:left="284" w:hanging="284"/>
        <w:rPr>
          <w:rFonts w:eastAsiaTheme="minorHAnsi" w:cs="Arial"/>
          <w:szCs w:val="18"/>
        </w:rPr>
      </w:pPr>
      <w:proofErr w:type="spellStart"/>
      <w:r w:rsidRPr="00816668">
        <w:rPr>
          <w:rFonts w:eastAsiaTheme="minorHAnsi" w:cs="Arial"/>
          <w:szCs w:val="18"/>
        </w:rPr>
        <w:t>Pavicic</w:t>
      </w:r>
      <w:proofErr w:type="spellEnd"/>
      <w:r w:rsidRPr="00816668">
        <w:rPr>
          <w:rFonts w:eastAsiaTheme="minorHAnsi" w:cs="Arial"/>
          <w:szCs w:val="18"/>
        </w:rPr>
        <w:t xml:space="preserve"> J., </w:t>
      </w:r>
      <w:proofErr w:type="spellStart"/>
      <w:r w:rsidRPr="00816668">
        <w:rPr>
          <w:rFonts w:eastAsiaTheme="minorHAnsi" w:cs="Arial"/>
          <w:szCs w:val="18"/>
        </w:rPr>
        <w:t>Mavar</w:t>
      </w:r>
      <w:proofErr w:type="spellEnd"/>
      <w:r w:rsidRPr="00816668">
        <w:rPr>
          <w:rFonts w:eastAsiaTheme="minorHAnsi" w:cs="Arial"/>
          <w:szCs w:val="18"/>
        </w:rPr>
        <w:t xml:space="preserve"> K., </w:t>
      </w:r>
      <w:proofErr w:type="spellStart"/>
      <w:r w:rsidRPr="00816668">
        <w:rPr>
          <w:rFonts w:eastAsiaTheme="minorHAnsi" w:cs="Arial"/>
          <w:szCs w:val="18"/>
        </w:rPr>
        <w:t>Brkic</w:t>
      </w:r>
      <w:proofErr w:type="spellEnd"/>
      <w:r w:rsidRPr="00816668">
        <w:rPr>
          <w:rFonts w:eastAsiaTheme="minorHAnsi" w:cs="Arial"/>
          <w:szCs w:val="18"/>
        </w:rPr>
        <w:t xml:space="preserve"> V., Simon K., 2022, Biogas and biomethane </w:t>
      </w:r>
      <w:r>
        <w:rPr>
          <w:rFonts w:eastAsiaTheme="minorHAnsi" w:cs="Arial"/>
          <w:szCs w:val="18"/>
        </w:rPr>
        <w:t>production and usage: technology development, advantages and challenges in Europe, Energies, 15, 2940-2968.</w:t>
      </w:r>
    </w:p>
    <w:p w14:paraId="3D19E3E4" w14:textId="1A0657D6" w:rsidR="00BF469A" w:rsidRDefault="00BF469A" w:rsidP="00BF469A">
      <w:pPr>
        <w:tabs>
          <w:tab w:val="clear" w:pos="7100"/>
        </w:tabs>
        <w:autoSpaceDE w:val="0"/>
        <w:autoSpaceDN w:val="0"/>
        <w:adjustRightInd w:val="0"/>
        <w:spacing w:line="240" w:lineRule="auto"/>
        <w:ind w:left="284" w:hanging="284"/>
      </w:pPr>
      <w:proofErr w:type="spellStart"/>
      <w:r>
        <w:t>Rafiee</w:t>
      </w:r>
      <w:proofErr w:type="spellEnd"/>
      <w:r>
        <w:t xml:space="preserve"> A., </w:t>
      </w:r>
      <w:proofErr w:type="spellStart"/>
      <w:r>
        <w:t>Khalilpour</w:t>
      </w:r>
      <w:proofErr w:type="spellEnd"/>
      <w:r>
        <w:t xml:space="preserve"> K.R., </w:t>
      </w:r>
      <w:proofErr w:type="spellStart"/>
      <w:r>
        <w:t>Prest</w:t>
      </w:r>
      <w:proofErr w:type="spellEnd"/>
      <w:r>
        <w:t xml:space="preserve"> J., Skryabin I., 2021, Biogas as an Energy Vector, Biomass and Bioenergy, 144, 1-20.</w:t>
      </w:r>
    </w:p>
    <w:p w14:paraId="231E1AB2" w14:textId="51032757" w:rsidR="005842D5" w:rsidRPr="005842D5" w:rsidRDefault="005842D5" w:rsidP="005842D5">
      <w:pPr>
        <w:tabs>
          <w:tab w:val="clear" w:pos="7100"/>
        </w:tabs>
        <w:autoSpaceDE w:val="0"/>
        <w:autoSpaceDN w:val="0"/>
        <w:adjustRightInd w:val="0"/>
        <w:spacing w:line="240" w:lineRule="auto"/>
        <w:ind w:left="284" w:hanging="284"/>
        <w:rPr>
          <w:rFonts w:eastAsia="CharisSIL" w:cs="Arial"/>
          <w:color w:val="000000" w:themeColor="text1"/>
          <w:szCs w:val="18"/>
          <w:lang w:val="en-US"/>
        </w:rPr>
      </w:pPr>
      <w:proofErr w:type="spellStart"/>
      <w:r w:rsidRPr="005842D5">
        <w:rPr>
          <w:rFonts w:eastAsia="CharisSIL" w:cs="Arial"/>
          <w:color w:val="000000" w:themeColor="text1"/>
          <w:szCs w:val="18"/>
          <w:lang w:val="en-US"/>
        </w:rPr>
        <w:t>Travnicek</w:t>
      </w:r>
      <w:proofErr w:type="spellEnd"/>
      <w:r w:rsidRPr="005842D5">
        <w:rPr>
          <w:rFonts w:eastAsia="CharisSIL" w:cs="Arial"/>
          <w:color w:val="000000" w:themeColor="text1"/>
          <w:szCs w:val="18"/>
          <w:lang w:val="en-US"/>
        </w:rPr>
        <w:t xml:space="preserve"> P</w:t>
      </w:r>
      <w:r>
        <w:rPr>
          <w:rFonts w:eastAsia="CharisSIL" w:cs="Arial"/>
          <w:color w:val="000000" w:themeColor="text1"/>
          <w:szCs w:val="18"/>
          <w:lang w:val="en-US"/>
        </w:rPr>
        <w:t>.</w:t>
      </w:r>
      <w:r w:rsidRPr="005842D5">
        <w:rPr>
          <w:rFonts w:eastAsia="CharisSIL" w:cs="Arial"/>
          <w:color w:val="000000" w:themeColor="text1"/>
          <w:szCs w:val="18"/>
          <w:lang w:val="en-US"/>
        </w:rPr>
        <w:t xml:space="preserve">, </w:t>
      </w:r>
      <w:proofErr w:type="spellStart"/>
      <w:r w:rsidRPr="005842D5">
        <w:rPr>
          <w:rFonts w:eastAsia="CharisSIL" w:cs="Arial"/>
          <w:color w:val="000000" w:themeColor="text1"/>
          <w:szCs w:val="18"/>
          <w:lang w:val="en-US"/>
        </w:rPr>
        <w:t>Kotek</w:t>
      </w:r>
      <w:proofErr w:type="spellEnd"/>
      <w:r w:rsidRPr="005842D5">
        <w:rPr>
          <w:rFonts w:eastAsia="CharisSIL" w:cs="Arial"/>
          <w:color w:val="000000" w:themeColor="text1"/>
          <w:szCs w:val="18"/>
          <w:lang w:val="en-US"/>
        </w:rPr>
        <w:t xml:space="preserve"> L.</w:t>
      </w:r>
      <w:r>
        <w:rPr>
          <w:rFonts w:eastAsia="CharisSIL" w:cs="Arial"/>
          <w:color w:val="000000" w:themeColor="text1"/>
          <w:szCs w:val="18"/>
          <w:lang w:val="en-US"/>
        </w:rPr>
        <w:t xml:space="preserve">, 2015, </w:t>
      </w:r>
      <w:r w:rsidRPr="005842D5">
        <w:rPr>
          <w:rFonts w:eastAsia="CharisSIL" w:cs="Arial"/>
          <w:color w:val="000000" w:themeColor="text1"/>
          <w:szCs w:val="18"/>
          <w:lang w:val="en-US"/>
        </w:rPr>
        <w:t xml:space="preserve">Risks associated with the </w:t>
      </w:r>
      <w:r>
        <w:rPr>
          <w:rFonts w:eastAsia="CharisSIL" w:cs="Arial"/>
          <w:color w:val="000000" w:themeColor="text1"/>
          <w:szCs w:val="18"/>
          <w:lang w:val="en-US"/>
        </w:rPr>
        <w:t xml:space="preserve">production of biogas in Europe, Process Safety Progress, </w:t>
      </w:r>
      <w:r w:rsidRPr="005842D5">
        <w:rPr>
          <w:rFonts w:eastAsia="CharisSIL" w:cs="Arial"/>
          <w:color w:val="000000" w:themeColor="text1"/>
          <w:szCs w:val="18"/>
          <w:lang w:val="en-US"/>
        </w:rPr>
        <w:t>34</w:t>
      </w:r>
      <w:r w:rsidR="00B553D7">
        <w:rPr>
          <w:rFonts w:eastAsia="CharisSIL" w:cs="Arial"/>
          <w:color w:val="000000" w:themeColor="text1"/>
          <w:szCs w:val="18"/>
          <w:lang w:val="en-US"/>
        </w:rPr>
        <w:t xml:space="preserve">, </w:t>
      </w:r>
      <w:r w:rsidRPr="005842D5">
        <w:rPr>
          <w:rFonts w:eastAsia="CharisSIL" w:cs="Arial"/>
          <w:color w:val="000000" w:themeColor="text1"/>
          <w:szCs w:val="18"/>
          <w:lang w:val="en-US"/>
        </w:rPr>
        <w:t>172</w:t>
      </w:r>
      <w:r w:rsidRPr="005842D5">
        <w:rPr>
          <w:rFonts w:eastAsia="STIX-Regular" w:cs="Arial"/>
          <w:color w:val="000000" w:themeColor="text1"/>
          <w:szCs w:val="18"/>
          <w:lang w:val="en-US"/>
        </w:rPr>
        <w:t>–</w:t>
      </w:r>
      <w:r>
        <w:rPr>
          <w:rFonts w:eastAsia="STIX-Regular" w:cs="Arial"/>
          <w:color w:val="000000" w:themeColor="text1"/>
          <w:szCs w:val="18"/>
          <w:lang w:val="en-US"/>
        </w:rPr>
        <w:t>17</w:t>
      </w:r>
      <w:r w:rsidRPr="005842D5">
        <w:rPr>
          <w:rFonts w:eastAsia="CharisSIL" w:cs="Arial"/>
          <w:color w:val="000000" w:themeColor="text1"/>
          <w:szCs w:val="18"/>
          <w:lang w:val="en-US"/>
        </w:rPr>
        <w:t>8.</w:t>
      </w:r>
    </w:p>
    <w:p w14:paraId="2548747A" w14:textId="77777777" w:rsidR="00BF469A" w:rsidRPr="00C01B68" w:rsidRDefault="00BF469A" w:rsidP="00BF469A">
      <w:pPr>
        <w:tabs>
          <w:tab w:val="clear" w:pos="7100"/>
        </w:tabs>
        <w:autoSpaceDE w:val="0"/>
        <w:autoSpaceDN w:val="0"/>
        <w:adjustRightInd w:val="0"/>
        <w:spacing w:line="240" w:lineRule="auto"/>
        <w:ind w:left="284" w:hanging="284"/>
        <w:rPr>
          <w:rFonts w:eastAsiaTheme="minorHAnsi" w:cs="Arial"/>
          <w:szCs w:val="18"/>
          <w:lang w:val="en-US"/>
        </w:rPr>
      </w:pPr>
      <w:proofErr w:type="spellStart"/>
      <w:r w:rsidRPr="006C3ACE">
        <w:rPr>
          <w:rFonts w:eastAsiaTheme="minorHAnsi" w:cs="Arial"/>
          <w:szCs w:val="18"/>
          <w:lang w:val="en-US"/>
        </w:rPr>
        <w:t>Zimmerle</w:t>
      </w:r>
      <w:proofErr w:type="spellEnd"/>
      <w:r>
        <w:rPr>
          <w:rFonts w:eastAsiaTheme="minorHAnsi" w:cs="Arial"/>
          <w:szCs w:val="18"/>
          <w:lang w:val="en-US"/>
        </w:rPr>
        <w:t xml:space="preserve"> D.J., </w:t>
      </w:r>
      <w:r w:rsidRPr="006C3ACE">
        <w:rPr>
          <w:rFonts w:eastAsiaTheme="minorHAnsi" w:cs="Arial"/>
          <w:szCs w:val="18"/>
          <w:lang w:val="en-US"/>
        </w:rPr>
        <w:t>Williams</w:t>
      </w:r>
      <w:r>
        <w:rPr>
          <w:rFonts w:eastAsiaTheme="minorHAnsi" w:cs="Arial"/>
          <w:szCs w:val="18"/>
          <w:lang w:val="en-US"/>
        </w:rPr>
        <w:t xml:space="preserve"> L., </w:t>
      </w:r>
      <w:r w:rsidRPr="006C3ACE">
        <w:rPr>
          <w:rFonts w:eastAsiaTheme="minorHAnsi" w:cs="Arial"/>
          <w:szCs w:val="18"/>
          <w:lang w:val="en-US"/>
        </w:rPr>
        <w:t>Vaughn</w:t>
      </w:r>
      <w:r>
        <w:rPr>
          <w:rFonts w:eastAsiaTheme="minorHAnsi" w:cs="Arial"/>
          <w:szCs w:val="18"/>
          <w:lang w:val="en-US"/>
        </w:rPr>
        <w:t xml:space="preserve"> T.L., </w:t>
      </w:r>
      <w:r w:rsidRPr="006C3ACE">
        <w:rPr>
          <w:rFonts w:eastAsiaTheme="minorHAnsi" w:cs="Arial"/>
          <w:szCs w:val="18"/>
          <w:lang w:val="en-US"/>
        </w:rPr>
        <w:t>Quinn</w:t>
      </w:r>
      <w:r>
        <w:rPr>
          <w:rFonts w:eastAsiaTheme="minorHAnsi" w:cs="Arial"/>
          <w:szCs w:val="18"/>
          <w:lang w:val="en-US"/>
        </w:rPr>
        <w:t xml:space="preserve"> C., </w:t>
      </w:r>
      <w:r w:rsidRPr="006C3ACE">
        <w:rPr>
          <w:rFonts w:eastAsiaTheme="minorHAnsi" w:cs="Arial"/>
          <w:szCs w:val="18"/>
          <w:lang w:val="en-US"/>
        </w:rPr>
        <w:t>Subramanian</w:t>
      </w:r>
      <w:r>
        <w:rPr>
          <w:rFonts w:eastAsiaTheme="minorHAnsi" w:cs="Arial"/>
          <w:szCs w:val="18"/>
          <w:lang w:val="en-US"/>
        </w:rPr>
        <w:t xml:space="preserve"> R.,  </w:t>
      </w:r>
      <w:r w:rsidRPr="006C3ACE">
        <w:rPr>
          <w:rFonts w:eastAsiaTheme="minorHAnsi" w:cs="Arial"/>
          <w:szCs w:val="18"/>
          <w:lang w:val="en-US"/>
        </w:rPr>
        <w:t>Duggan</w:t>
      </w:r>
      <w:r>
        <w:rPr>
          <w:rFonts w:eastAsiaTheme="minorHAnsi" w:cs="Arial"/>
          <w:szCs w:val="18"/>
          <w:lang w:val="en-US"/>
        </w:rPr>
        <w:t xml:space="preserve"> G.P.,</w:t>
      </w:r>
      <w:r w:rsidRPr="006C3ACE">
        <w:rPr>
          <w:rFonts w:eastAsiaTheme="minorHAnsi" w:cs="Arial"/>
          <w:szCs w:val="18"/>
          <w:lang w:val="en-US"/>
        </w:rPr>
        <w:t xml:space="preserve"> </w:t>
      </w:r>
      <w:proofErr w:type="spellStart"/>
      <w:r w:rsidRPr="006C3ACE">
        <w:rPr>
          <w:rFonts w:eastAsiaTheme="minorHAnsi" w:cs="Arial"/>
          <w:szCs w:val="18"/>
          <w:lang w:val="en-US"/>
        </w:rPr>
        <w:t>Willson</w:t>
      </w:r>
      <w:proofErr w:type="spellEnd"/>
      <w:r>
        <w:rPr>
          <w:rFonts w:eastAsiaTheme="minorHAnsi" w:cs="Arial"/>
          <w:szCs w:val="18"/>
          <w:lang w:val="en-US"/>
        </w:rPr>
        <w:t xml:space="preserve"> B.</w:t>
      </w:r>
      <w:r w:rsidRPr="006C3ACE">
        <w:rPr>
          <w:rFonts w:eastAsiaTheme="minorHAnsi" w:cs="Arial"/>
          <w:szCs w:val="18"/>
          <w:lang w:val="en-US"/>
        </w:rPr>
        <w:t xml:space="preserve">, </w:t>
      </w:r>
      <w:proofErr w:type="spellStart"/>
      <w:r w:rsidRPr="006C3ACE">
        <w:rPr>
          <w:rFonts w:eastAsiaTheme="minorHAnsi" w:cs="Arial"/>
          <w:szCs w:val="18"/>
          <w:lang w:val="en-US"/>
        </w:rPr>
        <w:t>Opsomer</w:t>
      </w:r>
      <w:proofErr w:type="spellEnd"/>
      <w:r>
        <w:rPr>
          <w:rFonts w:eastAsiaTheme="minorHAnsi" w:cs="Arial"/>
          <w:szCs w:val="18"/>
          <w:lang w:val="en-US"/>
        </w:rPr>
        <w:t xml:space="preserve"> J.D.</w:t>
      </w:r>
      <w:r w:rsidRPr="006C3ACE">
        <w:rPr>
          <w:rFonts w:eastAsiaTheme="minorHAnsi" w:cs="Arial"/>
          <w:szCs w:val="18"/>
          <w:lang w:val="en-US"/>
        </w:rPr>
        <w:t>,</w:t>
      </w:r>
      <w:r>
        <w:rPr>
          <w:rFonts w:eastAsiaTheme="minorHAnsi" w:cs="Arial"/>
          <w:szCs w:val="18"/>
          <w:lang w:val="en-US"/>
        </w:rPr>
        <w:t xml:space="preserve"> </w:t>
      </w:r>
      <w:r w:rsidRPr="006C3ACE">
        <w:rPr>
          <w:rFonts w:eastAsiaTheme="minorHAnsi" w:cs="Arial"/>
          <w:szCs w:val="18"/>
          <w:lang w:val="en-US"/>
        </w:rPr>
        <w:t xml:space="preserve"> Marchese</w:t>
      </w:r>
      <w:r>
        <w:rPr>
          <w:rFonts w:eastAsiaTheme="minorHAnsi" w:cs="Arial"/>
          <w:szCs w:val="18"/>
          <w:lang w:val="en-US"/>
        </w:rPr>
        <w:t xml:space="preserve"> A.J.</w:t>
      </w:r>
      <w:r w:rsidRPr="006C3ACE">
        <w:rPr>
          <w:rFonts w:eastAsiaTheme="minorHAnsi" w:cs="Arial"/>
          <w:szCs w:val="18"/>
          <w:lang w:val="en-US"/>
        </w:rPr>
        <w:t>,</w:t>
      </w:r>
      <w:r>
        <w:rPr>
          <w:rFonts w:eastAsiaTheme="minorHAnsi" w:cs="Arial"/>
          <w:szCs w:val="18"/>
          <w:lang w:val="en-US"/>
        </w:rPr>
        <w:t xml:space="preserve"> </w:t>
      </w:r>
      <w:r w:rsidRPr="006C3ACE">
        <w:rPr>
          <w:rFonts w:eastAsiaTheme="minorHAnsi" w:cs="Arial"/>
          <w:szCs w:val="18"/>
          <w:lang w:val="en-US"/>
        </w:rPr>
        <w:t>Martinez</w:t>
      </w:r>
      <w:r>
        <w:rPr>
          <w:rFonts w:eastAsiaTheme="minorHAnsi" w:cs="Arial"/>
          <w:szCs w:val="18"/>
          <w:lang w:val="en-US"/>
        </w:rPr>
        <w:t xml:space="preserve"> D.M.</w:t>
      </w:r>
      <w:r w:rsidRPr="006C3ACE">
        <w:rPr>
          <w:rFonts w:eastAsiaTheme="minorHAnsi" w:cs="Arial"/>
          <w:szCs w:val="18"/>
          <w:lang w:val="en-US"/>
        </w:rPr>
        <w:t>,</w:t>
      </w:r>
      <w:r>
        <w:rPr>
          <w:rFonts w:eastAsiaTheme="minorHAnsi" w:cs="Arial"/>
          <w:szCs w:val="18"/>
          <w:lang w:val="en-US"/>
        </w:rPr>
        <w:t xml:space="preserve"> </w:t>
      </w:r>
      <w:r w:rsidRPr="006C3ACE">
        <w:rPr>
          <w:rFonts w:eastAsiaTheme="minorHAnsi" w:cs="Arial"/>
          <w:szCs w:val="18"/>
          <w:lang w:val="en-US"/>
        </w:rPr>
        <w:t>Robinson</w:t>
      </w:r>
      <w:r>
        <w:rPr>
          <w:rFonts w:eastAsiaTheme="minorHAnsi" w:cs="Arial"/>
          <w:szCs w:val="18"/>
          <w:lang w:val="en-US"/>
        </w:rPr>
        <w:t xml:space="preserve"> A.L., 2015</w:t>
      </w:r>
      <w:r w:rsidRPr="00C01B68">
        <w:rPr>
          <w:rFonts w:eastAsiaTheme="minorHAnsi" w:cs="Arial"/>
          <w:szCs w:val="18"/>
          <w:lang w:val="en-US"/>
        </w:rPr>
        <w:t>, Methane Emissions from the Natural Gas Transmission and Storage</w:t>
      </w:r>
      <w:r>
        <w:rPr>
          <w:rFonts w:eastAsiaTheme="minorHAnsi" w:cs="Arial"/>
          <w:szCs w:val="18"/>
          <w:lang w:val="en-US"/>
        </w:rPr>
        <w:t xml:space="preserve"> </w:t>
      </w:r>
      <w:r w:rsidRPr="00C01B68">
        <w:rPr>
          <w:rFonts w:eastAsiaTheme="minorHAnsi" w:cs="Arial"/>
          <w:szCs w:val="18"/>
          <w:lang w:val="en-US"/>
        </w:rPr>
        <w:t xml:space="preserve">System in the United States, Environmental Science and Technology, 49, 9374-9383. </w:t>
      </w:r>
    </w:p>
    <w:p w14:paraId="372BF726" w14:textId="77777777" w:rsidR="00BF469A" w:rsidRPr="00BF469A" w:rsidRDefault="00BF469A" w:rsidP="00136B5E">
      <w:pPr>
        <w:tabs>
          <w:tab w:val="clear" w:pos="7100"/>
        </w:tabs>
        <w:autoSpaceDE w:val="0"/>
        <w:autoSpaceDN w:val="0"/>
        <w:adjustRightInd w:val="0"/>
        <w:spacing w:line="240" w:lineRule="auto"/>
        <w:jc w:val="left"/>
        <w:rPr>
          <w:lang w:val="en-US"/>
        </w:rPr>
      </w:pPr>
    </w:p>
    <w:sectPr w:rsidR="00BF469A" w:rsidRPr="00BF469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FC5DB" w14:textId="77777777" w:rsidR="008519DB" w:rsidRDefault="008519DB" w:rsidP="004F5E36">
      <w:r>
        <w:separator/>
      </w:r>
    </w:p>
  </w:endnote>
  <w:endnote w:type="continuationSeparator" w:id="0">
    <w:p w14:paraId="316FE901" w14:textId="77777777" w:rsidR="008519DB" w:rsidRDefault="008519D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harisSIL">
    <w:altName w:val="MS Gothic"/>
    <w:panose1 w:val="00000000000000000000"/>
    <w:charset w:val="80"/>
    <w:family w:val="auto"/>
    <w:notTrueType/>
    <w:pitch w:val="default"/>
    <w:sig w:usb0="00000001" w:usb1="08070000" w:usb2="00000010" w:usb3="00000000" w:csb0="00020000" w:csb1="00000000"/>
  </w:font>
  <w:font w:name="STIX-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685779"/>
      <w:docPartObj>
        <w:docPartGallery w:val="Page Numbers (Bottom of Page)"/>
        <w:docPartUnique/>
      </w:docPartObj>
    </w:sdtPr>
    <w:sdtEndPr/>
    <w:sdtContent>
      <w:p w14:paraId="069F0AE8" w14:textId="230B956A" w:rsidR="000B2FD2" w:rsidRDefault="000B2FD2">
        <w:pPr>
          <w:pStyle w:val="Pidipagina"/>
          <w:jc w:val="right"/>
        </w:pPr>
        <w:r>
          <w:fldChar w:fldCharType="begin"/>
        </w:r>
        <w:r>
          <w:instrText>PAGE   \* MERGEFORMAT</w:instrText>
        </w:r>
        <w:r>
          <w:fldChar w:fldCharType="separate"/>
        </w:r>
        <w:r w:rsidR="00076E87" w:rsidRPr="00076E87">
          <w:rPr>
            <w:noProof/>
            <w:lang w:val="it-IT"/>
          </w:rPr>
          <w:t>1</w:t>
        </w:r>
        <w:r>
          <w:fldChar w:fldCharType="end"/>
        </w:r>
      </w:p>
    </w:sdtContent>
  </w:sdt>
  <w:p w14:paraId="1DC13D6B" w14:textId="77777777" w:rsidR="000B2FD2" w:rsidRDefault="000B2F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207BE" w14:textId="77777777" w:rsidR="008519DB" w:rsidRDefault="008519DB" w:rsidP="004F5E36">
      <w:r>
        <w:separator/>
      </w:r>
    </w:p>
  </w:footnote>
  <w:footnote w:type="continuationSeparator" w:id="0">
    <w:p w14:paraId="75E4ADFA" w14:textId="77777777" w:rsidR="008519DB" w:rsidRDefault="008519D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1B4173"/>
    <w:multiLevelType w:val="hybridMultilevel"/>
    <w:tmpl w:val="430EC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0363B00"/>
    <w:multiLevelType w:val="hybridMultilevel"/>
    <w:tmpl w:val="6644C888"/>
    <w:lvl w:ilvl="0" w:tplc="A9E4FFAA">
      <w:start w:val="1"/>
      <w:numFmt w:val="decimal"/>
      <w:lvlText w:val="%1)"/>
      <w:lvlJc w:val="left"/>
      <w:pPr>
        <w:ind w:left="720" w:hanging="360"/>
      </w:pPr>
      <w:rPr>
        <w:rFonts w:eastAsia="Times New Roman"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78B1FE1"/>
    <w:multiLevelType w:val="hybridMultilevel"/>
    <w:tmpl w:val="A9FCC22E"/>
    <w:lvl w:ilvl="0" w:tplc="A9E4FFAA">
      <w:start w:val="1"/>
      <w:numFmt w:val="decimal"/>
      <w:lvlText w:val="%1)"/>
      <w:lvlJc w:val="left"/>
      <w:pPr>
        <w:ind w:left="720" w:hanging="360"/>
      </w:pPr>
      <w:rPr>
        <w:rFonts w:eastAsia="Times New Roman"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4A46292"/>
    <w:multiLevelType w:val="hybridMultilevel"/>
    <w:tmpl w:val="AFFCE77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BC0977"/>
    <w:multiLevelType w:val="hybridMultilevel"/>
    <w:tmpl w:val="B6600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6C24B2D"/>
    <w:multiLevelType w:val="hybridMultilevel"/>
    <w:tmpl w:val="918657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E6D512F"/>
    <w:multiLevelType w:val="hybridMultilevel"/>
    <w:tmpl w:val="8C4CC4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F16210"/>
    <w:multiLevelType w:val="hybridMultilevel"/>
    <w:tmpl w:val="729A0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C86886"/>
    <w:multiLevelType w:val="hybridMultilevel"/>
    <w:tmpl w:val="615C9C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31E22B8"/>
    <w:multiLevelType w:val="hybridMultilevel"/>
    <w:tmpl w:val="6CDC9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7"/>
  </w:num>
  <w:num w:numId="14">
    <w:abstractNumId w:val="23"/>
  </w:num>
  <w:num w:numId="15">
    <w:abstractNumId w:val="27"/>
  </w:num>
  <w:num w:numId="16">
    <w:abstractNumId w:val="25"/>
  </w:num>
  <w:num w:numId="17">
    <w:abstractNumId w:val="16"/>
  </w:num>
  <w:num w:numId="18">
    <w:abstractNumId w:val="17"/>
    <w:lvlOverride w:ilvl="0">
      <w:startOverride w:val="1"/>
    </w:lvlOverride>
  </w:num>
  <w:num w:numId="19">
    <w:abstractNumId w:val="21"/>
  </w:num>
  <w:num w:numId="20">
    <w:abstractNumId w:val="20"/>
  </w:num>
  <w:num w:numId="21">
    <w:abstractNumId w:val="18"/>
  </w:num>
  <w:num w:numId="22">
    <w:abstractNumId w:val="14"/>
  </w:num>
  <w:num w:numId="23">
    <w:abstractNumId w:val="29"/>
  </w:num>
  <w:num w:numId="24">
    <w:abstractNumId w:val="26"/>
  </w:num>
  <w:num w:numId="25">
    <w:abstractNumId w:val="10"/>
  </w:num>
  <w:num w:numId="26">
    <w:abstractNumId w:val="24"/>
  </w:num>
  <w:num w:numId="27">
    <w:abstractNumId w:val="12"/>
  </w:num>
  <w:num w:numId="28">
    <w:abstractNumId w:val="11"/>
  </w:num>
  <w:num w:numId="29">
    <w:abstractNumId w:val="28"/>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613"/>
    <w:rsid w:val="000052FB"/>
    <w:rsid w:val="00005839"/>
    <w:rsid w:val="000117CB"/>
    <w:rsid w:val="00020B66"/>
    <w:rsid w:val="00022F38"/>
    <w:rsid w:val="0003148D"/>
    <w:rsid w:val="000336CD"/>
    <w:rsid w:val="00051566"/>
    <w:rsid w:val="0005621D"/>
    <w:rsid w:val="00062A9A"/>
    <w:rsid w:val="00064826"/>
    <w:rsid w:val="00065058"/>
    <w:rsid w:val="00071536"/>
    <w:rsid w:val="0007595C"/>
    <w:rsid w:val="00076E87"/>
    <w:rsid w:val="00086C39"/>
    <w:rsid w:val="00094AAA"/>
    <w:rsid w:val="000A03B2"/>
    <w:rsid w:val="000B27C7"/>
    <w:rsid w:val="000B2FD2"/>
    <w:rsid w:val="000B5FA1"/>
    <w:rsid w:val="000D0268"/>
    <w:rsid w:val="000D2052"/>
    <w:rsid w:val="000D34BE"/>
    <w:rsid w:val="000E102F"/>
    <w:rsid w:val="000E1E93"/>
    <w:rsid w:val="000E36F1"/>
    <w:rsid w:val="000E3A73"/>
    <w:rsid w:val="000E414A"/>
    <w:rsid w:val="000E60E9"/>
    <w:rsid w:val="000E7E64"/>
    <w:rsid w:val="000F093C"/>
    <w:rsid w:val="000F1BCE"/>
    <w:rsid w:val="000F738F"/>
    <w:rsid w:val="000F787B"/>
    <w:rsid w:val="00120283"/>
    <w:rsid w:val="0012091F"/>
    <w:rsid w:val="00124985"/>
    <w:rsid w:val="00126BC2"/>
    <w:rsid w:val="001308B6"/>
    <w:rsid w:val="0013121F"/>
    <w:rsid w:val="00131FE6"/>
    <w:rsid w:val="0013263F"/>
    <w:rsid w:val="00132C71"/>
    <w:rsid w:val="00134DE4"/>
    <w:rsid w:val="001356D3"/>
    <w:rsid w:val="00136B5E"/>
    <w:rsid w:val="0014034D"/>
    <w:rsid w:val="00144BE4"/>
    <w:rsid w:val="00150E59"/>
    <w:rsid w:val="00152DE3"/>
    <w:rsid w:val="00154E3B"/>
    <w:rsid w:val="00163795"/>
    <w:rsid w:val="00164CF9"/>
    <w:rsid w:val="00164DA2"/>
    <w:rsid w:val="001667A6"/>
    <w:rsid w:val="00177A77"/>
    <w:rsid w:val="001830FD"/>
    <w:rsid w:val="00184AD6"/>
    <w:rsid w:val="0019032E"/>
    <w:rsid w:val="00197F67"/>
    <w:rsid w:val="001A1AC4"/>
    <w:rsid w:val="001A4AF7"/>
    <w:rsid w:val="001A5E9B"/>
    <w:rsid w:val="001B0349"/>
    <w:rsid w:val="001B65C1"/>
    <w:rsid w:val="001C4A1E"/>
    <w:rsid w:val="001C684B"/>
    <w:rsid w:val="001D53FC"/>
    <w:rsid w:val="001E50C1"/>
    <w:rsid w:val="001E6975"/>
    <w:rsid w:val="001F42A5"/>
    <w:rsid w:val="001F4F93"/>
    <w:rsid w:val="001F7B9D"/>
    <w:rsid w:val="00200A5A"/>
    <w:rsid w:val="00215A8E"/>
    <w:rsid w:val="002224B4"/>
    <w:rsid w:val="0024020C"/>
    <w:rsid w:val="002416AB"/>
    <w:rsid w:val="002447EF"/>
    <w:rsid w:val="002452E9"/>
    <w:rsid w:val="00247D0D"/>
    <w:rsid w:val="00251550"/>
    <w:rsid w:val="00251EBF"/>
    <w:rsid w:val="00256AAC"/>
    <w:rsid w:val="00263B05"/>
    <w:rsid w:val="0027221A"/>
    <w:rsid w:val="00275B61"/>
    <w:rsid w:val="00282656"/>
    <w:rsid w:val="00296B83"/>
    <w:rsid w:val="002A7AAC"/>
    <w:rsid w:val="002B0BDB"/>
    <w:rsid w:val="002B36C4"/>
    <w:rsid w:val="002B543D"/>
    <w:rsid w:val="002B78CE"/>
    <w:rsid w:val="002C027F"/>
    <w:rsid w:val="002C2FB6"/>
    <w:rsid w:val="002D54F3"/>
    <w:rsid w:val="002D7C5F"/>
    <w:rsid w:val="002E5480"/>
    <w:rsid w:val="002F3309"/>
    <w:rsid w:val="002F3500"/>
    <w:rsid w:val="0030023A"/>
    <w:rsid w:val="003009B7"/>
    <w:rsid w:val="00300E56"/>
    <w:rsid w:val="0030469C"/>
    <w:rsid w:val="00321CA6"/>
    <w:rsid w:val="00323763"/>
    <w:rsid w:val="0033101B"/>
    <w:rsid w:val="00334C09"/>
    <w:rsid w:val="00352215"/>
    <w:rsid w:val="003723D4"/>
    <w:rsid w:val="00381905"/>
    <w:rsid w:val="00384CC8"/>
    <w:rsid w:val="003871FD"/>
    <w:rsid w:val="00392300"/>
    <w:rsid w:val="003948F3"/>
    <w:rsid w:val="003A1E30"/>
    <w:rsid w:val="003A7D1C"/>
    <w:rsid w:val="003B304B"/>
    <w:rsid w:val="003B3146"/>
    <w:rsid w:val="003B6A84"/>
    <w:rsid w:val="003C558B"/>
    <w:rsid w:val="003C7E64"/>
    <w:rsid w:val="003D1089"/>
    <w:rsid w:val="003D552D"/>
    <w:rsid w:val="003F015E"/>
    <w:rsid w:val="003F54D9"/>
    <w:rsid w:val="00400414"/>
    <w:rsid w:val="004025AC"/>
    <w:rsid w:val="0041446B"/>
    <w:rsid w:val="00423120"/>
    <w:rsid w:val="0043163A"/>
    <w:rsid w:val="0044329C"/>
    <w:rsid w:val="004474F6"/>
    <w:rsid w:val="004577FE"/>
    <w:rsid w:val="00457B9C"/>
    <w:rsid w:val="0046164A"/>
    <w:rsid w:val="004628D2"/>
    <w:rsid w:val="00462DCD"/>
    <w:rsid w:val="004631C7"/>
    <w:rsid w:val="004648AD"/>
    <w:rsid w:val="004703A9"/>
    <w:rsid w:val="004760DE"/>
    <w:rsid w:val="004763D7"/>
    <w:rsid w:val="0047675C"/>
    <w:rsid w:val="0047743B"/>
    <w:rsid w:val="00483AB1"/>
    <w:rsid w:val="00484B1A"/>
    <w:rsid w:val="00487FB5"/>
    <w:rsid w:val="004949D2"/>
    <w:rsid w:val="004A004E"/>
    <w:rsid w:val="004A24CF"/>
    <w:rsid w:val="004A68C8"/>
    <w:rsid w:val="004C2771"/>
    <w:rsid w:val="004C3D1D"/>
    <w:rsid w:val="004C4C37"/>
    <w:rsid w:val="004C765D"/>
    <w:rsid w:val="004C7913"/>
    <w:rsid w:val="004D0937"/>
    <w:rsid w:val="004E4782"/>
    <w:rsid w:val="004E4DD6"/>
    <w:rsid w:val="004F277A"/>
    <w:rsid w:val="004F5E36"/>
    <w:rsid w:val="005002E9"/>
    <w:rsid w:val="005064EA"/>
    <w:rsid w:val="00507B47"/>
    <w:rsid w:val="00507BEF"/>
    <w:rsid w:val="00507CC9"/>
    <w:rsid w:val="00510EA0"/>
    <w:rsid w:val="005119A5"/>
    <w:rsid w:val="005278B7"/>
    <w:rsid w:val="00527A63"/>
    <w:rsid w:val="00532016"/>
    <w:rsid w:val="005346C8"/>
    <w:rsid w:val="00534BF2"/>
    <w:rsid w:val="005406C1"/>
    <w:rsid w:val="00543E7D"/>
    <w:rsid w:val="00543FE0"/>
    <w:rsid w:val="00547A68"/>
    <w:rsid w:val="005531C9"/>
    <w:rsid w:val="005602C7"/>
    <w:rsid w:val="005620C1"/>
    <w:rsid w:val="0056395A"/>
    <w:rsid w:val="00570C43"/>
    <w:rsid w:val="00580207"/>
    <w:rsid w:val="005842D5"/>
    <w:rsid w:val="005866B8"/>
    <w:rsid w:val="00594E67"/>
    <w:rsid w:val="005A1522"/>
    <w:rsid w:val="005A2142"/>
    <w:rsid w:val="005A25BA"/>
    <w:rsid w:val="005A6E4B"/>
    <w:rsid w:val="005B2110"/>
    <w:rsid w:val="005B2255"/>
    <w:rsid w:val="005B61E6"/>
    <w:rsid w:val="005C77E1"/>
    <w:rsid w:val="005D4182"/>
    <w:rsid w:val="005D668A"/>
    <w:rsid w:val="005D6A2F"/>
    <w:rsid w:val="005E1A82"/>
    <w:rsid w:val="005E794C"/>
    <w:rsid w:val="005E7F21"/>
    <w:rsid w:val="005F0A28"/>
    <w:rsid w:val="005F0E5E"/>
    <w:rsid w:val="005F5BEE"/>
    <w:rsid w:val="005F6FEA"/>
    <w:rsid w:val="00600535"/>
    <w:rsid w:val="00610A00"/>
    <w:rsid w:val="00610CD6"/>
    <w:rsid w:val="00611BC3"/>
    <w:rsid w:val="00620DEE"/>
    <w:rsid w:val="00621A6D"/>
    <w:rsid w:val="00621F92"/>
    <w:rsid w:val="0062280A"/>
    <w:rsid w:val="00625639"/>
    <w:rsid w:val="00627D1F"/>
    <w:rsid w:val="00631B33"/>
    <w:rsid w:val="0064184D"/>
    <w:rsid w:val="00641853"/>
    <w:rsid w:val="006422CC"/>
    <w:rsid w:val="00647246"/>
    <w:rsid w:val="00660E3E"/>
    <w:rsid w:val="00662E74"/>
    <w:rsid w:val="00680C23"/>
    <w:rsid w:val="00693766"/>
    <w:rsid w:val="006A158A"/>
    <w:rsid w:val="006A2469"/>
    <w:rsid w:val="006A3281"/>
    <w:rsid w:val="006B2CB4"/>
    <w:rsid w:val="006B438B"/>
    <w:rsid w:val="006B4888"/>
    <w:rsid w:val="006B51A6"/>
    <w:rsid w:val="006C2E45"/>
    <w:rsid w:val="006C359C"/>
    <w:rsid w:val="006C5579"/>
    <w:rsid w:val="006D6E8B"/>
    <w:rsid w:val="006E2C20"/>
    <w:rsid w:val="006E737D"/>
    <w:rsid w:val="006E7754"/>
    <w:rsid w:val="006F0C23"/>
    <w:rsid w:val="00710D23"/>
    <w:rsid w:val="00720A24"/>
    <w:rsid w:val="00732386"/>
    <w:rsid w:val="0073514D"/>
    <w:rsid w:val="0074155C"/>
    <w:rsid w:val="00741F77"/>
    <w:rsid w:val="007447F3"/>
    <w:rsid w:val="00752A73"/>
    <w:rsid w:val="0075499F"/>
    <w:rsid w:val="007661C8"/>
    <w:rsid w:val="0077098D"/>
    <w:rsid w:val="00782D7F"/>
    <w:rsid w:val="00792908"/>
    <w:rsid w:val="007931FA"/>
    <w:rsid w:val="007A3241"/>
    <w:rsid w:val="007A4861"/>
    <w:rsid w:val="007A6D60"/>
    <w:rsid w:val="007A7BBA"/>
    <w:rsid w:val="007B0C50"/>
    <w:rsid w:val="007B4744"/>
    <w:rsid w:val="007B7D3C"/>
    <w:rsid w:val="007C1A43"/>
    <w:rsid w:val="007C32DC"/>
    <w:rsid w:val="007C51CC"/>
    <w:rsid w:val="007D3BED"/>
    <w:rsid w:val="007E126B"/>
    <w:rsid w:val="007E38A9"/>
    <w:rsid w:val="007E55FB"/>
    <w:rsid w:val="007E620B"/>
    <w:rsid w:val="007F0475"/>
    <w:rsid w:val="0080013E"/>
    <w:rsid w:val="00807AD4"/>
    <w:rsid w:val="00813288"/>
    <w:rsid w:val="0081545E"/>
    <w:rsid w:val="00816668"/>
    <w:rsid w:val="008168FC"/>
    <w:rsid w:val="0082714A"/>
    <w:rsid w:val="00830996"/>
    <w:rsid w:val="008345F1"/>
    <w:rsid w:val="0084358F"/>
    <w:rsid w:val="0084566F"/>
    <w:rsid w:val="008519DB"/>
    <w:rsid w:val="00851E77"/>
    <w:rsid w:val="00865B07"/>
    <w:rsid w:val="008667EA"/>
    <w:rsid w:val="0087637F"/>
    <w:rsid w:val="00892AD5"/>
    <w:rsid w:val="00897DB0"/>
    <w:rsid w:val="008A1512"/>
    <w:rsid w:val="008A2005"/>
    <w:rsid w:val="008A7F68"/>
    <w:rsid w:val="008B0F61"/>
    <w:rsid w:val="008B107A"/>
    <w:rsid w:val="008D32B9"/>
    <w:rsid w:val="008D433B"/>
    <w:rsid w:val="008E566E"/>
    <w:rsid w:val="008F053A"/>
    <w:rsid w:val="008F17EF"/>
    <w:rsid w:val="0090024F"/>
    <w:rsid w:val="0090161A"/>
    <w:rsid w:val="00901EB6"/>
    <w:rsid w:val="00904C62"/>
    <w:rsid w:val="009136F1"/>
    <w:rsid w:val="0091782F"/>
    <w:rsid w:val="00917C72"/>
    <w:rsid w:val="00922BA8"/>
    <w:rsid w:val="00924DAC"/>
    <w:rsid w:val="00927058"/>
    <w:rsid w:val="00931702"/>
    <w:rsid w:val="00936498"/>
    <w:rsid w:val="00942750"/>
    <w:rsid w:val="009450CE"/>
    <w:rsid w:val="00945A61"/>
    <w:rsid w:val="00947179"/>
    <w:rsid w:val="0095164B"/>
    <w:rsid w:val="00954090"/>
    <w:rsid w:val="009573E7"/>
    <w:rsid w:val="009607AA"/>
    <w:rsid w:val="009628EA"/>
    <w:rsid w:val="00962983"/>
    <w:rsid w:val="00963E05"/>
    <w:rsid w:val="00965279"/>
    <w:rsid w:val="00967843"/>
    <w:rsid w:val="00967D54"/>
    <w:rsid w:val="00971028"/>
    <w:rsid w:val="00984ED2"/>
    <w:rsid w:val="00996483"/>
    <w:rsid w:val="00996F5A"/>
    <w:rsid w:val="009A64FD"/>
    <w:rsid w:val="009B041A"/>
    <w:rsid w:val="009C37C3"/>
    <w:rsid w:val="009C7C86"/>
    <w:rsid w:val="009D2FF7"/>
    <w:rsid w:val="009E0626"/>
    <w:rsid w:val="009E26BA"/>
    <w:rsid w:val="009E5C62"/>
    <w:rsid w:val="009E7884"/>
    <w:rsid w:val="009E788A"/>
    <w:rsid w:val="009F0E08"/>
    <w:rsid w:val="00A02B9C"/>
    <w:rsid w:val="00A1763D"/>
    <w:rsid w:val="00A17CEC"/>
    <w:rsid w:val="00A234E1"/>
    <w:rsid w:val="00A249F2"/>
    <w:rsid w:val="00A27EF0"/>
    <w:rsid w:val="00A40CD9"/>
    <w:rsid w:val="00A42361"/>
    <w:rsid w:val="00A4332F"/>
    <w:rsid w:val="00A43DAB"/>
    <w:rsid w:val="00A504B1"/>
    <w:rsid w:val="00A50B20"/>
    <w:rsid w:val="00A51390"/>
    <w:rsid w:val="00A52F48"/>
    <w:rsid w:val="00A60D13"/>
    <w:rsid w:val="00A64C62"/>
    <w:rsid w:val="00A67F59"/>
    <w:rsid w:val="00A72745"/>
    <w:rsid w:val="00A7536C"/>
    <w:rsid w:val="00A76619"/>
    <w:rsid w:val="00A76EFC"/>
    <w:rsid w:val="00A8063D"/>
    <w:rsid w:val="00A8437F"/>
    <w:rsid w:val="00A84CAD"/>
    <w:rsid w:val="00A91010"/>
    <w:rsid w:val="00A97F29"/>
    <w:rsid w:val="00AA228E"/>
    <w:rsid w:val="00AA702E"/>
    <w:rsid w:val="00AB0964"/>
    <w:rsid w:val="00AB1252"/>
    <w:rsid w:val="00AB1DEE"/>
    <w:rsid w:val="00AB258F"/>
    <w:rsid w:val="00AB5011"/>
    <w:rsid w:val="00AB70D8"/>
    <w:rsid w:val="00AC7368"/>
    <w:rsid w:val="00AD16B9"/>
    <w:rsid w:val="00AD6816"/>
    <w:rsid w:val="00AD7A95"/>
    <w:rsid w:val="00AE377D"/>
    <w:rsid w:val="00AF0EBA"/>
    <w:rsid w:val="00AF23CE"/>
    <w:rsid w:val="00AF7215"/>
    <w:rsid w:val="00AF746F"/>
    <w:rsid w:val="00B003DE"/>
    <w:rsid w:val="00B00718"/>
    <w:rsid w:val="00B02C8A"/>
    <w:rsid w:val="00B16491"/>
    <w:rsid w:val="00B17FBD"/>
    <w:rsid w:val="00B245C6"/>
    <w:rsid w:val="00B24E69"/>
    <w:rsid w:val="00B312AF"/>
    <w:rsid w:val="00B315A6"/>
    <w:rsid w:val="00B31813"/>
    <w:rsid w:val="00B33365"/>
    <w:rsid w:val="00B553D7"/>
    <w:rsid w:val="00B57B36"/>
    <w:rsid w:val="00B57E55"/>
    <w:rsid w:val="00B737FE"/>
    <w:rsid w:val="00B84089"/>
    <w:rsid w:val="00B8686D"/>
    <w:rsid w:val="00B96E28"/>
    <w:rsid w:val="00BB0804"/>
    <w:rsid w:val="00BB1DDC"/>
    <w:rsid w:val="00BB368D"/>
    <w:rsid w:val="00BC30C9"/>
    <w:rsid w:val="00BE3E58"/>
    <w:rsid w:val="00BE6C41"/>
    <w:rsid w:val="00BF006A"/>
    <w:rsid w:val="00BF469A"/>
    <w:rsid w:val="00C01616"/>
    <w:rsid w:val="00C0162B"/>
    <w:rsid w:val="00C01EA4"/>
    <w:rsid w:val="00C068ED"/>
    <w:rsid w:val="00C109DB"/>
    <w:rsid w:val="00C1294B"/>
    <w:rsid w:val="00C27E83"/>
    <w:rsid w:val="00C30F35"/>
    <w:rsid w:val="00C345B1"/>
    <w:rsid w:val="00C40142"/>
    <w:rsid w:val="00C43EDA"/>
    <w:rsid w:val="00C4448E"/>
    <w:rsid w:val="00C456C2"/>
    <w:rsid w:val="00C5413D"/>
    <w:rsid w:val="00C57182"/>
    <w:rsid w:val="00C57863"/>
    <w:rsid w:val="00C655FD"/>
    <w:rsid w:val="00C67E0E"/>
    <w:rsid w:val="00C75407"/>
    <w:rsid w:val="00C866AB"/>
    <w:rsid w:val="00C867B2"/>
    <w:rsid w:val="00C870A8"/>
    <w:rsid w:val="00C94434"/>
    <w:rsid w:val="00CA0D75"/>
    <w:rsid w:val="00CA1C95"/>
    <w:rsid w:val="00CA5A9C"/>
    <w:rsid w:val="00CA6864"/>
    <w:rsid w:val="00CB06C2"/>
    <w:rsid w:val="00CB08AD"/>
    <w:rsid w:val="00CB4A0D"/>
    <w:rsid w:val="00CC26F2"/>
    <w:rsid w:val="00CC34CF"/>
    <w:rsid w:val="00CC4C20"/>
    <w:rsid w:val="00CD008B"/>
    <w:rsid w:val="00CD3517"/>
    <w:rsid w:val="00CD5FE2"/>
    <w:rsid w:val="00CE6DA7"/>
    <w:rsid w:val="00CE7C68"/>
    <w:rsid w:val="00CF6B3E"/>
    <w:rsid w:val="00D0014B"/>
    <w:rsid w:val="00D01AED"/>
    <w:rsid w:val="00D02B4C"/>
    <w:rsid w:val="00D040C4"/>
    <w:rsid w:val="00D06E8C"/>
    <w:rsid w:val="00D2700A"/>
    <w:rsid w:val="00D30E12"/>
    <w:rsid w:val="00D31F73"/>
    <w:rsid w:val="00D504C4"/>
    <w:rsid w:val="00D5254C"/>
    <w:rsid w:val="00D57C84"/>
    <w:rsid w:val="00D6057D"/>
    <w:rsid w:val="00D71F90"/>
    <w:rsid w:val="00D836C5"/>
    <w:rsid w:val="00D84576"/>
    <w:rsid w:val="00DA0318"/>
    <w:rsid w:val="00DA07C1"/>
    <w:rsid w:val="00DA101E"/>
    <w:rsid w:val="00DA1399"/>
    <w:rsid w:val="00DA24C6"/>
    <w:rsid w:val="00DA4D7B"/>
    <w:rsid w:val="00DC244D"/>
    <w:rsid w:val="00DD069B"/>
    <w:rsid w:val="00DD0E7A"/>
    <w:rsid w:val="00DE264A"/>
    <w:rsid w:val="00DE29DA"/>
    <w:rsid w:val="00DE721D"/>
    <w:rsid w:val="00DF5072"/>
    <w:rsid w:val="00DF6D57"/>
    <w:rsid w:val="00E02D18"/>
    <w:rsid w:val="00E041E7"/>
    <w:rsid w:val="00E071EA"/>
    <w:rsid w:val="00E17EA3"/>
    <w:rsid w:val="00E23CA1"/>
    <w:rsid w:val="00E409A8"/>
    <w:rsid w:val="00E50C12"/>
    <w:rsid w:val="00E53167"/>
    <w:rsid w:val="00E54210"/>
    <w:rsid w:val="00E5700C"/>
    <w:rsid w:val="00E62943"/>
    <w:rsid w:val="00E65A27"/>
    <w:rsid w:val="00E65B91"/>
    <w:rsid w:val="00E7209D"/>
    <w:rsid w:val="00E73AAC"/>
    <w:rsid w:val="00E75478"/>
    <w:rsid w:val="00E77223"/>
    <w:rsid w:val="00E81B9D"/>
    <w:rsid w:val="00E83C73"/>
    <w:rsid w:val="00E8528B"/>
    <w:rsid w:val="00E85B94"/>
    <w:rsid w:val="00E8644E"/>
    <w:rsid w:val="00E92926"/>
    <w:rsid w:val="00E94140"/>
    <w:rsid w:val="00E978D0"/>
    <w:rsid w:val="00EA4613"/>
    <w:rsid w:val="00EA7F91"/>
    <w:rsid w:val="00EB1523"/>
    <w:rsid w:val="00EC0E49"/>
    <w:rsid w:val="00EC101F"/>
    <w:rsid w:val="00EC1D9F"/>
    <w:rsid w:val="00EC30C2"/>
    <w:rsid w:val="00ED0B03"/>
    <w:rsid w:val="00EE0131"/>
    <w:rsid w:val="00EE17B0"/>
    <w:rsid w:val="00EE635C"/>
    <w:rsid w:val="00EF06D9"/>
    <w:rsid w:val="00EF2F26"/>
    <w:rsid w:val="00EF4852"/>
    <w:rsid w:val="00F15950"/>
    <w:rsid w:val="00F16260"/>
    <w:rsid w:val="00F300C7"/>
    <w:rsid w:val="00F30C64"/>
    <w:rsid w:val="00F32CDB"/>
    <w:rsid w:val="00F359DE"/>
    <w:rsid w:val="00F46309"/>
    <w:rsid w:val="00F50181"/>
    <w:rsid w:val="00F54B96"/>
    <w:rsid w:val="00F565FE"/>
    <w:rsid w:val="00F63A70"/>
    <w:rsid w:val="00F70582"/>
    <w:rsid w:val="00F74FF7"/>
    <w:rsid w:val="00F76042"/>
    <w:rsid w:val="00F94182"/>
    <w:rsid w:val="00F9634D"/>
    <w:rsid w:val="00FA21D0"/>
    <w:rsid w:val="00FA5F5F"/>
    <w:rsid w:val="00FA65DD"/>
    <w:rsid w:val="00FB036C"/>
    <w:rsid w:val="00FB2120"/>
    <w:rsid w:val="00FB730C"/>
    <w:rsid w:val="00FC2695"/>
    <w:rsid w:val="00FC3D86"/>
    <w:rsid w:val="00FC3E03"/>
    <w:rsid w:val="00FC3FC1"/>
    <w:rsid w:val="00FD1602"/>
    <w:rsid w:val="00FE546B"/>
    <w:rsid w:val="00FE794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Enfasigrassetto">
    <w:name w:val="Strong"/>
    <w:basedOn w:val="Carpredefinitoparagrafo"/>
    <w:uiPriority w:val="22"/>
    <w:qFormat/>
    <w:rsid w:val="00C1294B"/>
    <w:rPr>
      <w:b/>
      <w:bCs/>
    </w:rPr>
  </w:style>
  <w:style w:type="paragraph" w:styleId="Paragrafoelenco">
    <w:name w:val="List Paragraph"/>
    <w:basedOn w:val="Normale"/>
    <w:uiPriority w:val="34"/>
    <w:qFormat/>
    <w:rsid w:val="00136B5E"/>
    <w:pPr>
      <w:ind w:left="720"/>
      <w:contextualSpacing/>
    </w:pPr>
  </w:style>
  <w:style w:type="table" w:styleId="Tabellasemplice-2">
    <w:name w:val="Plain Table 2"/>
    <w:basedOn w:val="Tabellanormale"/>
    <w:uiPriority w:val="42"/>
    <w:rsid w:val="00FE54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lasemplice-21">
    <w:name w:val="Tabella semplice - 21"/>
    <w:basedOn w:val="Tabellanormale"/>
    <w:uiPriority w:val="42"/>
    <w:rsid w:val="009002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image" Target="media/image1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1A00C-F032-4360-9887-3989F37B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2881</Words>
  <Characters>16423</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Lauri Roberto</cp:lastModifiedBy>
  <cp:revision>17</cp:revision>
  <cp:lastPrinted>2023-02-28T06:46:00Z</cp:lastPrinted>
  <dcterms:created xsi:type="dcterms:W3CDTF">2023-07-10T10:16:00Z</dcterms:created>
  <dcterms:modified xsi:type="dcterms:W3CDTF">2023-07-13T09:32:00Z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