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6A1BA5B6" w:rsidR="000A03B2" w:rsidRPr="00B57B36" w:rsidRDefault="00A76EFC" w:rsidP="005D668A">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FA5F5F">
              <w:rPr>
                <w:rFonts w:cs="Arial"/>
                <w:b/>
                <w:bCs/>
                <w:i/>
                <w:iCs/>
                <w:color w:val="000066"/>
                <w:sz w:val="22"/>
                <w:szCs w:val="22"/>
                <w:lang w:eastAsia="it-IT"/>
              </w:rPr>
              <w:t>, 20</w:t>
            </w:r>
            <w:r w:rsidR="00DF5072">
              <w:rPr>
                <w:rFonts w:cs="Arial"/>
                <w:b/>
                <w:bCs/>
                <w:i/>
                <w:iCs/>
                <w:color w:val="000066"/>
                <w:sz w:val="22"/>
                <w:szCs w:val="22"/>
                <w:lang w:eastAsia="it-IT"/>
              </w:rPr>
              <w:t>2</w:t>
            </w:r>
            <w:r w:rsidR="00543FE0">
              <w:rPr>
                <w:rFonts w:cs="Arial"/>
                <w:b/>
                <w:bCs/>
                <w:i/>
                <w:iCs/>
                <w:color w:val="000066"/>
                <w:sz w:val="22"/>
                <w:szCs w:val="22"/>
                <w:lang w:eastAsia="it-IT"/>
              </w:rPr>
              <w:t>3</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0CD871F8" w:rsidR="00300E56" w:rsidRPr="00225738" w:rsidRDefault="00300E56" w:rsidP="007931FA">
            <w:pPr>
              <w:ind w:left="-107"/>
              <w:rPr>
                <w:rFonts w:ascii="Times New Roman" w:hAnsi="Times New Roman"/>
                <w:sz w:val="24"/>
                <w:szCs w:val="24"/>
                <w:lang w:val="en-US" w:eastAsia="it-IT"/>
              </w:rPr>
            </w:pPr>
            <w:r w:rsidRPr="00225738">
              <w:rPr>
                <w:rFonts w:ascii="Tahoma" w:hAnsi="Tahoma" w:cs="Tahoma"/>
                <w:iCs/>
                <w:color w:val="333333"/>
                <w:sz w:val="14"/>
                <w:szCs w:val="14"/>
                <w:lang w:val="en-US" w:eastAsia="it-IT"/>
              </w:rPr>
              <w:t>Guest Editors:</w:t>
            </w:r>
            <w:r w:rsidR="00904C62" w:rsidRPr="00225738">
              <w:rPr>
                <w:rFonts w:ascii="Tahoma" w:hAnsi="Tahoma" w:cs="Tahoma"/>
                <w:iCs/>
                <w:color w:val="333333"/>
                <w:sz w:val="14"/>
                <w:szCs w:val="14"/>
                <w:lang w:val="en-US" w:eastAsia="it-IT"/>
              </w:rPr>
              <w:t xml:space="preserve"> </w:t>
            </w:r>
            <w:r w:rsidR="00225738" w:rsidRPr="00225738">
              <w:rPr>
                <w:rFonts w:ascii="Tahoma" w:hAnsi="Tahoma" w:cs="Tahoma"/>
                <w:iCs/>
                <w:color w:val="333333"/>
                <w:sz w:val="14"/>
                <w:szCs w:val="14"/>
                <w:lang w:val="en-US" w:eastAsia="it-IT"/>
              </w:rPr>
              <w:t>Sabrina Copelli, Richard Siw</w:t>
            </w:r>
            <w:r w:rsidR="00225738">
              <w:rPr>
                <w:rFonts w:ascii="Tahoma" w:hAnsi="Tahoma" w:cs="Tahoma"/>
                <w:iCs/>
                <w:color w:val="333333"/>
                <w:sz w:val="14"/>
                <w:szCs w:val="14"/>
                <w:lang w:val="en-US" w:eastAsia="it-IT"/>
              </w:rPr>
              <w:t>ek</w:t>
            </w:r>
          </w:p>
          <w:p w14:paraId="1B0F1814" w14:textId="3BBD1B69" w:rsidR="000A03B2" w:rsidRPr="00B57B36" w:rsidRDefault="00FA5F5F" w:rsidP="005D668A">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543FE0">
              <w:rPr>
                <w:rFonts w:ascii="Tahoma" w:hAnsi="Tahoma" w:cs="Tahoma"/>
                <w:iCs/>
                <w:color w:val="333333"/>
                <w:sz w:val="14"/>
                <w:szCs w:val="14"/>
                <w:lang w:eastAsia="it-IT"/>
              </w:rPr>
              <w:t>3</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300E56"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41E220FB" w14:textId="77777777" w:rsidR="00E874AD" w:rsidRPr="0049150E" w:rsidRDefault="00E874AD" w:rsidP="0049150E">
      <w:pPr>
        <w:pStyle w:val="CETTitle"/>
      </w:pPr>
      <w:r w:rsidRPr="0049150E">
        <w:t>Analysis of the common ignition sources in the milling industry</w:t>
      </w:r>
    </w:p>
    <w:p w14:paraId="31148FD0" w14:textId="56CEFBE0" w:rsidR="00E874AD" w:rsidRPr="0049150E" w:rsidRDefault="00E874AD" w:rsidP="00E874AD">
      <w:pPr>
        <w:pStyle w:val="CETAuthors"/>
        <w:rPr>
          <w:lang w:val="it-IT"/>
        </w:rPr>
      </w:pPr>
      <w:r w:rsidRPr="0049150E">
        <w:rPr>
          <w:lang w:val="it-IT"/>
        </w:rPr>
        <w:t>Stefano Cavallin</w:t>
      </w:r>
      <w:r w:rsidRPr="0049150E">
        <w:rPr>
          <w:vertAlign w:val="superscript"/>
          <w:lang w:val="it-IT"/>
        </w:rPr>
        <w:t>a</w:t>
      </w:r>
      <w:r w:rsidR="00CA436A">
        <w:rPr>
          <w:vertAlign w:val="superscript"/>
          <w:lang w:val="it-IT"/>
        </w:rPr>
        <w:t>*</w:t>
      </w:r>
      <w:r w:rsidRPr="0049150E">
        <w:rPr>
          <w:lang w:val="it-IT"/>
        </w:rPr>
        <w:t>, Martina S. Scotton</w:t>
      </w:r>
      <w:r w:rsidRPr="0049150E">
        <w:rPr>
          <w:vertAlign w:val="superscript"/>
          <w:lang w:val="it-IT"/>
        </w:rPr>
        <w:t>b</w:t>
      </w:r>
      <w:r w:rsidRPr="0049150E">
        <w:rPr>
          <w:lang w:val="it-IT"/>
        </w:rPr>
        <w:t>, Marco Barozzi</w:t>
      </w:r>
      <w:r w:rsidRPr="0049150E">
        <w:rPr>
          <w:vertAlign w:val="superscript"/>
          <w:lang w:val="it-IT"/>
        </w:rPr>
        <w:t>b</w:t>
      </w:r>
      <w:r w:rsidRPr="0049150E">
        <w:rPr>
          <w:lang w:val="it-IT"/>
        </w:rPr>
        <w:t>, Sabrina Copelli</w:t>
      </w:r>
      <w:r w:rsidRPr="0049150E">
        <w:rPr>
          <w:vertAlign w:val="superscript"/>
          <w:lang w:val="it-IT"/>
        </w:rPr>
        <w:t>b</w:t>
      </w:r>
    </w:p>
    <w:p w14:paraId="4292F14E" w14:textId="77777777" w:rsidR="00E874AD" w:rsidRPr="00E874AD" w:rsidRDefault="00E874AD" w:rsidP="00E874AD">
      <w:pPr>
        <w:pStyle w:val="CETAddress"/>
      </w:pPr>
      <w:r w:rsidRPr="00E874AD">
        <w:rPr>
          <w:vertAlign w:val="superscript"/>
        </w:rPr>
        <w:t>a</w:t>
      </w:r>
      <w:r w:rsidRPr="00E874AD">
        <w:t>FireEx Engineering Sagl, Stabio, Switzerland</w:t>
      </w:r>
    </w:p>
    <w:p w14:paraId="1A400EDC" w14:textId="77777777" w:rsidR="00E874AD" w:rsidRPr="00E874AD" w:rsidRDefault="00E874AD" w:rsidP="00E874AD">
      <w:pPr>
        <w:pStyle w:val="CETAddress"/>
      </w:pPr>
      <w:r w:rsidRPr="00E874AD">
        <w:rPr>
          <w:vertAlign w:val="superscript"/>
        </w:rPr>
        <w:t>b</w:t>
      </w:r>
      <w:r w:rsidRPr="00E874AD">
        <w:t>Department of Science and High Technology, Università degli Studi dell’Insubria, Como, Italy</w:t>
      </w:r>
    </w:p>
    <w:p w14:paraId="314BC7EC" w14:textId="7F41BAA9" w:rsidR="00E874AD" w:rsidRPr="00DA225B" w:rsidRDefault="00E874AD" w:rsidP="00E874AD">
      <w:pPr>
        <w:pStyle w:val="CETemail"/>
        <w:rPr>
          <w:lang w:val="en-US"/>
        </w:rPr>
      </w:pPr>
      <w:r w:rsidRPr="00DA225B">
        <w:rPr>
          <w:lang w:val="en-US"/>
        </w:rPr>
        <w:t>*</w:t>
      </w:r>
      <w:r w:rsidR="00CA436A">
        <w:rPr>
          <w:lang w:val="en-US"/>
        </w:rPr>
        <w:t>s</w:t>
      </w:r>
      <w:r w:rsidR="008A23E8">
        <w:rPr>
          <w:lang w:val="en-US"/>
        </w:rPr>
        <w:t>.cavallin@fireex.eu</w:t>
      </w:r>
    </w:p>
    <w:p w14:paraId="58A6CE17" w14:textId="118BA44B" w:rsidR="00E874AD" w:rsidRPr="00E874AD" w:rsidRDefault="00E874AD" w:rsidP="00E874AD">
      <w:pPr>
        <w:pStyle w:val="CETBodytext"/>
      </w:pPr>
      <w:r w:rsidRPr="003B55CB">
        <w:rPr>
          <w:lang w:val="en-GB"/>
        </w:rPr>
        <w:t xml:space="preserve">In the summer of 2007, in </w:t>
      </w:r>
      <w:proofErr w:type="spellStart"/>
      <w:r w:rsidRPr="003B55CB">
        <w:rPr>
          <w:lang w:val="en-GB"/>
        </w:rPr>
        <w:t>Fossano</w:t>
      </w:r>
      <w:proofErr w:type="spellEnd"/>
      <w:r w:rsidRPr="003B55CB">
        <w:rPr>
          <w:lang w:val="en-GB"/>
        </w:rPr>
        <w:t xml:space="preserve">, Italy, one of the most catastrophic and famous dust explosions in Italy, </w:t>
      </w:r>
      <w:r w:rsidRPr="00E874AD">
        <w:t>caused by flour dust, occurred in Molino Cordero, a historic cereal milling and flour storage plant. The explosion happened during the pneumatic unloading operation of a tank truck, previously accidentally overfilled. Five people lost their lives, and the building was partially destroyed by the powerful explosion. The forensic reconstruction and investigation of this accident were carried out years after the explosion.</w:t>
      </w:r>
      <w:r w:rsidR="00FF745D">
        <w:t xml:space="preserve"> </w:t>
      </w:r>
      <w:r w:rsidRPr="00E874AD">
        <w:t xml:space="preserve">This paper has presented an assessment of the main potential ignition sources that can be expected in a flour mill, </w:t>
      </w:r>
      <w:proofErr w:type="gramStart"/>
      <w:r w:rsidRPr="00E874AD">
        <w:t>taking into account</w:t>
      </w:r>
      <w:proofErr w:type="gramEnd"/>
      <w:r w:rsidRPr="00E874AD">
        <w:t xml:space="preserve"> the typical equipment that is normally installed in this process.</w:t>
      </w:r>
      <w:r w:rsidR="00FF745D">
        <w:t xml:space="preserve"> </w:t>
      </w:r>
      <w:r w:rsidRPr="00E874AD">
        <w:t>The target is to provide the employer and the users of flour mill plants with basic information that can be helpful in carrying out the specific explosion risk assessment, necessary for every single process. Possible improvements, which could be implemented to reduce the risk of explosion to a tolerable level, will be highlighted.</w:t>
      </w:r>
    </w:p>
    <w:p w14:paraId="476B2F2E" w14:textId="77777777" w:rsidR="00600535" w:rsidRDefault="00600535" w:rsidP="00600535">
      <w:pPr>
        <w:pStyle w:val="CETHeading1"/>
        <w:rPr>
          <w:lang w:val="en-GB"/>
        </w:rPr>
      </w:pPr>
      <w:r w:rsidRPr="00B57B36">
        <w:rPr>
          <w:lang w:val="en-GB"/>
        </w:rPr>
        <w:t>Introduction</w:t>
      </w:r>
    </w:p>
    <w:p w14:paraId="790E9D70" w14:textId="3D6F138E" w:rsidR="00E874AD" w:rsidRPr="00D84FAF" w:rsidRDefault="00E874AD" w:rsidP="00E874AD">
      <w:pPr>
        <w:pStyle w:val="CETBodytext"/>
        <w:rPr>
          <w:bCs/>
          <w:lang w:val="en-GB"/>
        </w:rPr>
      </w:pPr>
      <w:r w:rsidRPr="006176E4">
        <w:rPr>
          <w:bCs/>
          <w:lang w:val="en-GB"/>
        </w:rPr>
        <w:t xml:space="preserve">Dust explosions pose a significant threat to various industries, and among them, the grain and flour processing sectors have been particularly susceptible to catastrophic incidents; according to Combustible Dust Incident Reports </w:t>
      </w:r>
      <w:r w:rsidRPr="006176E4">
        <w:rPr>
          <w:bCs/>
          <w:lang w:val="en-GB"/>
        </w:rPr>
        <w:fldChar w:fldCharType="begin"/>
      </w:r>
      <w:r w:rsidRPr="006176E4">
        <w:rPr>
          <w:bCs/>
          <w:lang w:val="en-GB"/>
        </w:rPr>
        <w:instrText xml:space="preserve"> ADDIN ZOTERO_ITEM CSL_CITATION {"citationID":"wZGk8Glh","properties":{"formattedCitation":"(Cloney, 2021)","plainCitation":"(Cloney, 2021)","noteIndex":0},"citationItems":[{"id":275,"uris":["http://zotero.org/users/4673237/items/6RZHEWMH"],"itemData":{"id":275,"type":"webpage","title":"2021-Combustible-Dust-Incident-Report-Version-1.pdf","URL":"https://dss1.s3.us-east-2.amazonaws.com/2021-Combustible-Dust-Incident-Report-Version-1.pdf","author":[{"family":"Cloney","given":"Chris"}],"accessed":{"date-parts":[["2023",1,17]]},"issued":{"date-parts":[["2021"]]}}}],"schema":"https://github.com/citation-style-language/schema/raw/master/csl-citation.json"} </w:instrText>
      </w:r>
      <w:r w:rsidRPr="006176E4">
        <w:rPr>
          <w:bCs/>
          <w:lang w:val="en-GB"/>
        </w:rPr>
        <w:fldChar w:fldCharType="separate"/>
      </w:r>
      <w:r w:rsidRPr="006176E4">
        <w:rPr>
          <w:rFonts w:cs="Arial"/>
        </w:rPr>
        <w:t>(Cloney, 2021)</w:t>
      </w:r>
      <w:r w:rsidRPr="006176E4">
        <w:rPr>
          <w:bCs/>
          <w:lang w:val="en-GB"/>
        </w:rPr>
        <w:fldChar w:fldCharType="end"/>
      </w:r>
      <w:r w:rsidRPr="006176E4">
        <w:rPr>
          <w:bCs/>
          <w:lang w:val="en-GB"/>
        </w:rPr>
        <w:t xml:space="preserve">, food and wood products accounted for almost 75% of recorded fires and explosions. Historical data reveals the significant impact of agricultural activity and food production, ranging from 33% to 50% since 2017. </w:t>
      </w:r>
      <w:r w:rsidR="00D84FAF">
        <w:rPr>
          <w:bCs/>
          <w:lang w:val="en-GB"/>
        </w:rPr>
        <w:t xml:space="preserve"> </w:t>
      </w:r>
      <w:r w:rsidRPr="006176E4">
        <w:rPr>
          <w:bCs/>
        </w:rPr>
        <w:t>Grain and flour dust, generated during the handling, storage, and processing of agricultural commodities, possess explosive properties that can lead to destructive explosions and fires. Factors such as static electricity discharges, uncontrolled flames, and high-temperature equipment can ignite these dust explosions. Recognizing the importance of understanding and mitigating the risks, this study aims to enhance the industry's knowledge and promote effective strategies for managing dust explosions in the milling industry.</w:t>
      </w:r>
      <w:r w:rsidR="00D84FAF">
        <w:rPr>
          <w:bCs/>
        </w:rPr>
        <w:t xml:space="preserve"> </w:t>
      </w:r>
      <w:r w:rsidRPr="006176E4">
        <w:rPr>
          <w:bCs/>
        </w:rPr>
        <w:t xml:space="preserve">Laboratory tests were conducted on common types of flour, including type 00 flour and semolina flour, to assess their combustibility, explosibility, and other relevant properties. These tests provided insights into particle size distribution, moisture content, </w:t>
      </w:r>
      <w:r w:rsidRPr="006176E4">
        <w:rPr>
          <w:rFonts w:cs="Arial"/>
          <w:szCs w:val="18"/>
          <w:lang w:val="en-GB" w:eastAsia="it-IT"/>
        </w:rPr>
        <w:t>burning</w:t>
      </w:r>
      <w:r w:rsidRPr="006176E4">
        <w:rPr>
          <w:bCs/>
        </w:rPr>
        <w:t xml:space="preserve"> class, minimum ignition energy, and other key factors. The results of these tests help identify potential hazards and develop appropriate safety measures.</w:t>
      </w:r>
      <w:r w:rsidR="00D84FAF">
        <w:rPr>
          <w:bCs/>
        </w:rPr>
        <w:t xml:space="preserve"> </w:t>
      </w:r>
      <w:r w:rsidRPr="006176E4">
        <w:rPr>
          <w:bCs/>
        </w:rPr>
        <w:t xml:space="preserve">The study also emphasizes the importance of considering the intended use and </w:t>
      </w:r>
      <w:r w:rsidRPr="006176E4">
        <w:rPr>
          <w:rFonts w:cs="Arial"/>
          <w:szCs w:val="18"/>
          <w:lang w:val="en-GB" w:eastAsia="it-IT"/>
        </w:rPr>
        <w:t>environmental</w:t>
      </w:r>
      <w:r w:rsidRPr="006176E4">
        <w:rPr>
          <w:bCs/>
        </w:rPr>
        <w:t xml:space="preserve"> conditions when assessing explosion risks. Based on the test results, a table defining the </w:t>
      </w:r>
      <w:r w:rsidRPr="006176E4">
        <w:rPr>
          <w:rFonts w:cs="Arial"/>
          <w:szCs w:val="18"/>
          <w:lang w:val="en-GB" w:eastAsia="it-IT"/>
        </w:rPr>
        <w:t>process</w:t>
      </w:r>
      <w:r w:rsidRPr="006176E4">
        <w:rPr>
          <w:bCs/>
        </w:rPr>
        <w:t xml:space="preserve"> intended use is provided, aiding in risk assessment. The paper also discusses potential ignition sources in the milling industry, such as hot surfaces, glowing nests, and mechanical sparks. Safety guidelines based on product </w:t>
      </w:r>
      <w:proofErr w:type="spellStart"/>
      <w:r w:rsidRPr="006176E4">
        <w:rPr>
          <w:bCs/>
        </w:rPr>
        <w:t>behaviour</w:t>
      </w:r>
      <w:proofErr w:type="spellEnd"/>
      <w:r w:rsidRPr="006176E4">
        <w:rPr>
          <w:bCs/>
        </w:rPr>
        <w:t xml:space="preserve"> and temperature thresholds are proposed to minimize the risk of ignition. By analyzing the characteristics, causes, and preventive measures associated with dust explosions in the milling industry, this study seeks to contribute to a better understanding of the risks involved and promote effective risk management strategies and accident prevention.</w:t>
      </w:r>
    </w:p>
    <w:p w14:paraId="25ADE21A" w14:textId="77777777" w:rsidR="00E874AD" w:rsidRPr="00F340ED" w:rsidRDefault="00E874AD" w:rsidP="00E874AD">
      <w:pPr>
        <w:pStyle w:val="CETHeading1"/>
        <w:rPr>
          <w:sz w:val="18"/>
          <w:szCs w:val="18"/>
          <w:lang w:val="en-GB"/>
        </w:rPr>
      </w:pPr>
      <w:r w:rsidRPr="00F340ED">
        <w:rPr>
          <w:sz w:val="18"/>
          <w:szCs w:val="18"/>
          <w:lang w:val="en-GB"/>
        </w:rPr>
        <w:t>Combustible dust in the milling industry</w:t>
      </w:r>
    </w:p>
    <w:p w14:paraId="51CA7DE5" w14:textId="5CCAC64A" w:rsidR="00E874AD" w:rsidRPr="006176E4" w:rsidRDefault="00E874AD" w:rsidP="00E874AD">
      <w:pPr>
        <w:pStyle w:val="CETBodytext"/>
        <w:rPr>
          <w:lang w:val="en-GB"/>
        </w:rPr>
      </w:pPr>
      <w:r w:rsidRPr="006176E4">
        <w:rPr>
          <w:lang w:val="en-GB"/>
        </w:rPr>
        <w:t>Different types of combustible dust are generally present in the milling industry</w:t>
      </w:r>
      <w:r w:rsidR="00397391">
        <w:rPr>
          <w:lang w:val="en-GB"/>
        </w:rPr>
        <w:t>;</w:t>
      </w:r>
      <w:r w:rsidRPr="006176E4">
        <w:rPr>
          <w:lang w:val="en-GB"/>
        </w:rPr>
        <w:t xml:space="preserve"> the ignition behaviour of some of the most common of these has been experimentally determined through laboratory tests at laboratories under the ISO 17025 accreditation scheme, according to international standards and guidelines.</w:t>
      </w:r>
    </w:p>
    <w:p w14:paraId="604CA1AA" w14:textId="77777777" w:rsidR="00E874AD" w:rsidRPr="006176E4" w:rsidRDefault="00E874AD" w:rsidP="00E874AD">
      <w:pPr>
        <w:pStyle w:val="CETBodytext"/>
        <w:rPr>
          <w:lang w:val="en-GB"/>
        </w:rPr>
      </w:pPr>
      <w:r w:rsidRPr="006176E4">
        <w:rPr>
          <w:lang w:val="en-GB"/>
        </w:rPr>
        <w:lastRenderedPageBreak/>
        <w:t>Each situation must be assessed individually: it must be verified which types of dust are present in the different sections of the process, including the particle size distribution and the humidity, considering that the dust clouds are normally formed from the finest fraction of the product.</w:t>
      </w:r>
    </w:p>
    <w:p w14:paraId="462B64BC" w14:textId="570CA44C" w:rsidR="00E874AD" w:rsidRPr="006176E4" w:rsidRDefault="00E874AD" w:rsidP="00E874AD">
      <w:pPr>
        <w:pStyle w:val="CETBodytext"/>
        <w:rPr>
          <w:lang w:val="en-GB"/>
        </w:rPr>
      </w:pPr>
      <w:r w:rsidRPr="006176E4">
        <w:rPr>
          <w:lang w:val="en-GB"/>
        </w:rPr>
        <w:t xml:space="preserve">In this context, it is important to underline how, for example, the minimum ignition energy decreases with decreasing particle size or moisture content of the product. To gain a better understanding of the risks associated with milling, handling, and storage of flour, laboratory tests were conducted on different products, a crucial step for an explosion risk assessment. Testing products in the laboratory is a crucial step for risk analysis and determining whether a product is flammable or not. Unfortunately, laboratory tests are often time-consuming and costly. Additionally, it is important to consider that some powders have a high commercial value, making it impossible to conduct laboratory tests on large quantities of samples or volumes. In response to this need, various predictive models have been presented in the literature for the explosive properties of organic powders, for calculating Kst </w:t>
      </w:r>
      <w:r w:rsidRPr="006176E4">
        <w:rPr>
          <w:lang w:val="en-GB"/>
        </w:rPr>
        <w:fldChar w:fldCharType="begin"/>
      </w:r>
      <w:r w:rsidRPr="006176E4">
        <w:rPr>
          <w:lang w:val="en-GB"/>
        </w:rPr>
        <w:instrText xml:space="preserve"> ADDIN ZOTERO_ITEM CSL_CITATION {"citationID":"E2J5M6dE","properties":{"formattedCitation":"(Copelli et al., 2019; Scotton et al., 2020)","plainCitation":"(Copelli et al., 2019; Scotton et al., 2020)","noteIndex":0},"citationItems":[{"id":272,"uris":["http://zotero.org/users/4673237/items/6Z8SC9A8"],"itemData":{"id":272,"type":"article-journal","container-title":"Process Safety and Environmental Protection","DOI":"10.1016/j.psep.2019.04.012","ISSN":"09575820","journalAbbreviation":"Process Safety and Environmental Protection","language":"en","page":"329-338","source":"DOI.org (Crossref)","title":"A predictive model for the estimation of the deflagration index of organic dusts","volume":"126","author":[{"family":"Copelli","given":"Sabrina"},{"family":"Barozzi","given":"Marco"},{"family":"Scotton","given":"Martina Silvia"},{"family":"Fumagalli","given":"Anna"},{"family":"Derudi","given":"Marco"},{"family":"Rota","given":"Renato"}],"issued":{"date-parts":[["2019",6]]}}},{"id":50,"uris":["http://zotero.org/users/4673237/items/KVXUPJJG"],"itemData":{"id":50,"type":"article-journal","abstract":"Risk mitigation in production facilities has been an issue of great interest for decades, especially in activities which represent a serious hazard to human health, environment and industrial plants. Dust explosions are a major hazard in many industrial processes: only in the first part of 2019 (January–June) 34 dust explosions, mainly due to organic powders, occurred worldwide. An explosion may take place whenever there is the presence of combustible dusts, which are frequently generated by activities such as grinding, crushing, conveying and storage. Currently, a relatively expensive experimental test, carried out into a 20-L Siwek apparatus, is used to address the order of magnitude (class) of explosive dust: this piece of information is referred to as the deflagration index, Kst. At the current state, only a few pioneering models have been developed in order to predict the value of the Kst as a function of some relevant properties of the dust: e.g. particle size distribution (PSD), humidity, thermal conductivity, etc</w:instrText>
      </w:r>
      <w:r w:rsidRPr="006176E4">
        <w:rPr>
          <w:rFonts w:ascii="MS Gothic" w:eastAsia="MS Gothic" w:hAnsi="MS Gothic" w:cs="MS Gothic" w:hint="eastAsia"/>
          <w:lang w:val="en-GB"/>
        </w:rPr>
        <w:instrText>‥</w:instrText>
      </w:r>
      <w:r w:rsidRPr="006176E4">
        <w:rPr>
          <w:lang w:val="en-GB"/>
        </w:rPr>
        <w:instrText xml:space="preserve"> Most of these models condense the information about the PSD of a given dust into an average value, referred to as D50. In this work, a kinetic free mathematical model aimed at predicting the deflagration index for organic dus</w:instrText>
      </w:r>
      <w:r w:rsidRPr="006176E4">
        <w:rPr>
          <w:lang w:val="fr-FR"/>
        </w:rPr>
        <w:instrText xml:space="preserve">ts is presented. This model, unlike the older ones, considers the whole particle size distribution for the computation of the deflagration index. In order to be implemented, only a single experimental Kst value (which works as a reference) and a particle size analysis on the dust are required. The model was validated using the whole granulometric distribution of three different organic powders (fosfomycin, sugar and niacin). In addition, the same estimations were done by considering only the D50 data. It was noticed that, for highly polydispersed dusts, results were less accurate with respect to those obtained using the complete PSD, highlighting the importance of considering a complete granulometric distribution for process safety purposes.","container-title":"Journal of Loss Prevention in the Process Industries","DOI":"10.1016/j.jlp.2020.104218","ISSN":"0950-4230","journalAbbreviation":"Journal of Loss Prevention in the Process Industries","language":"en","page":"104218","source":"ScienceDirect","title":"Kinetic free mathematical model for the prediction of Kst values for organic dusts with arbitrary particle size distribution","volume":"67","author":[{"family":"Scotton","given":"Martina Silvia"},{"family":"Barozzi","given":"Marco"},{"family":"Derudi","given":"Marco"},{"family":"Rota","given":"Renato"},{"family":"Copelli","given":"Sabrina"}],"issued":{"date-parts":[["2020",9,1]]}}}],"schema":"https://github.com/citation-style-language/schema/raw/master/csl-citation.json"} </w:instrText>
      </w:r>
      <w:r w:rsidRPr="006176E4">
        <w:rPr>
          <w:lang w:val="en-GB"/>
        </w:rPr>
        <w:fldChar w:fldCharType="separate"/>
      </w:r>
      <w:r w:rsidRPr="006176E4">
        <w:rPr>
          <w:rFonts w:cs="Arial"/>
          <w:lang w:val="fr-FR"/>
        </w:rPr>
        <w:t>(Copelli et al., 2019; Scotton et al., 2020)</w:t>
      </w:r>
      <w:r w:rsidRPr="006176E4">
        <w:rPr>
          <w:lang w:val="en-GB"/>
        </w:rPr>
        <w:fldChar w:fldCharType="end"/>
      </w:r>
      <w:r w:rsidRPr="006176E4">
        <w:rPr>
          <w:lang w:val="fr-FR"/>
        </w:rPr>
        <w:t xml:space="preserve"> or MIE </w:t>
      </w:r>
      <w:r w:rsidRPr="006176E4">
        <w:rPr>
          <w:lang w:val="en-GB"/>
        </w:rPr>
        <w:fldChar w:fldCharType="begin"/>
      </w:r>
      <w:r w:rsidRPr="006176E4">
        <w:rPr>
          <w:lang w:val="fr-FR"/>
        </w:rPr>
        <w:instrText xml:space="preserve"> ADDIN ZOTERO_ITEM CSL_CITATION {"citationID":"kmfv1lRI","properties":{"formattedCitation":"(Copelli et al., 2021)","plainCitation":"(Copelli et al., 2021)","noteIndex":0},"citationItems":[{"id":18,"uris":["http://zotero.org/users/4673237/items/BS2UIURX"],"itemData":{"id":18,"type":"article-journal","abstract":"In the last decades, protection and prevention in the workplace has assumed great relevance. In this context, organic dust explosions represent one of the major risks. Within this frame, the minimum ignition energy (MIE) of a dust occupies a fundamental role for the assessment of the explosibility hazard. At present, the measurement of the MIE is performed using the standard Hartmann apparatus. This approach involves some practical limitations, mainly related to the testing times and costs. This work is focused on developing both a mathematical model capable of describing the main phenomena leading to the ignition of an organic dust inside a Hartmann tube and a simpler procedure for the estimation of the MIE. Such an approach relies on the use of accessible physicochemical properties and simple thermogravimetric analysis (TGA) experiments, coupled with a particle size analysis capable of providing a mean characteristic diameter of the dust. The proposed procedure has been validated by comparison with literature experimental data of minimum ignition energy of several organic dusts, showing a fair agreement among experimental results and model predictions.","container-title":"Industrial &amp; Engineering Chemistry Research","DOI":"10.1021/acs.iecr.1c00309","ISSN":"0888-5885","issue":"29","journalAbbreviation":"Ind. Eng. Chem. Res.","note":"publisher: American Chemical Society","page":"10807-10813","source":"ACS Publications","title":"A Practical Tool for Predicting the Minimum Ignition Energy of Organic Dusts","volume":"60","author":[{"family":"Copelli","given":"Sabrina"},{"family":"Scotton","given":"Martina S."},{"family":"Barozzi","given":"Marco"},{"family":"Derudi","given":"Marco"},{"family":"Rota","given":"Renato"}],"issued":{"date-parts":[["2021",7,28]]}}}],"schema":"https://github.com/citation-style-language/schema/raw/master/csl-citation.json"} </w:instrText>
      </w:r>
      <w:r w:rsidRPr="006176E4">
        <w:rPr>
          <w:lang w:val="en-GB"/>
        </w:rPr>
        <w:fldChar w:fldCharType="separate"/>
      </w:r>
      <w:r w:rsidRPr="006176E4">
        <w:rPr>
          <w:rFonts w:cs="Arial"/>
          <w:lang w:val="fr-FR"/>
        </w:rPr>
        <w:t>(Copelli et al., 2021)</w:t>
      </w:r>
      <w:r w:rsidRPr="006176E4">
        <w:rPr>
          <w:lang w:val="en-GB"/>
        </w:rPr>
        <w:fldChar w:fldCharType="end"/>
      </w:r>
      <w:r w:rsidRPr="006176E4">
        <w:rPr>
          <w:lang w:val="fr-FR"/>
        </w:rPr>
        <w:t xml:space="preserve">. </w:t>
      </w:r>
      <w:r w:rsidRPr="006176E4">
        <w:rPr>
          <w:lang w:val="en-GB"/>
        </w:rPr>
        <w:t>These tests aimed to assess the combustibility, explosibility, and other relevant properties of these flours in order to identify potential hazards and develop appropriate safety measures. By conducting these laboratory tests, a more comprehensive understanding of the risks involved in the milling industry can be achieved, contributing to the development of effective risk management strategies and the prevention of accidents and incidents.</w:t>
      </w:r>
      <w:r>
        <w:rPr>
          <w:lang w:val="en-GB"/>
        </w:rPr>
        <w:t xml:space="preserve"> </w:t>
      </w:r>
      <w:r w:rsidRPr="006176E4">
        <w:rPr>
          <w:lang w:val="en-GB"/>
        </w:rPr>
        <w:t xml:space="preserve">The tests conducted included granulometric analysis, residual moisture content, powder bulk resistivity, burning class, Hartmann Tube, Minimum Ignition Energy (MIE), Minimum Ignition Temperature of a dust cloud (MIT cloud) according to </w:t>
      </w:r>
      <w:proofErr w:type="spellStart"/>
      <w:r w:rsidRPr="006176E4">
        <w:rPr>
          <w:lang w:val="en-GB"/>
        </w:rPr>
        <w:t>Godbert</w:t>
      </w:r>
      <w:proofErr w:type="spellEnd"/>
      <w:r w:rsidRPr="006176E4">
        <w:rPr>
          <w:lang w:val="en-GB"/>
        </w:rPr>
        <w:t xml:space="preserve">-Greenwald, Minimum Ignition Temperature of a 5 mm dust layer (MIT layer 5 mm), Grewer test, and hot storage test in a 400 ml wire mesh basket. For two products, Wheat flour and Semolina, the tests were performed on both </w:t>
      </w:r>
      <w:proofErr w:type="gramStart"/>
      <w:r w:rsidRPr="006176E4">
        <w:rPr>
          <w:lang w:val="en-GB"/>
        </w:rPr>
        <w:t>as-received</w:t>
      </w:r>
      <w:proofErr w:type="gramEnd"/>
      <w:r w:rsidRPr="006176E4">
        <w:rPr>
          <w:lang w:val="en-GB"/>
        </w:rPr>
        <w:t xml:space="preserve"> and milled and dried samples. The granulometric analysis provided insights into the particle size distribution, which is crucial for understanding the dust behaviour, the same for the residual moisture content. The powder resistivity test assesses the electrostatic hazards associated with handling and processing the flour. The burning class gives information about the risk of </w:t>
      </w:r>
      <w:proofErr w:type="spellStart"/>
      <w:r w:rsidRPr="006176E4">
        <w:rPr>
          <w:lang w:val="en-GB"/>
        </w:rPr>
        <w:t>smoldering</w:t>
      </w:r>
      <w:proofErr w:type="spellEnd"/>
      <w:r w:rsidRPr="006176E4">
        <w:rPr>
          <w:lang w:val="en-GB"/>
        </w:rPr>
        <w:t xml:space="preserve"> material or glowing nests along the process. The Hartmann Tube test and, if required, the following MIE test in the MIKE apparatus, are crucial to assess the potential of different ignition sources. The </w:t>
      </w:r>
      <w:proofErr w:type="spellStart"/>
      <w:r w:rsidRPr="006176E4">
        <w:rPr>
          <w:lang w:val="en-GB"/>
        </w:rPr>
        <w:t>Godbert</w:t>
      </w:r>
      <w:proofErr w:type="spellEnd"/>
      <w:r w:rsidRPr="006176E4">
        <w:rPr>
          <w:lang w:val="en-GB"/>
        </w:rPr>
        <w:t xml:space="preserve">-Greenwald tests determines the minimum temperature at which ignition can occur in a dust cloud. The Grewer is a screening test to basically understand the exothermic decomposition potential of the product, while the hot storage test, performed </w:t>
      </w:r>
      <w:r w:rsidR="00AD4A4B">
        <w:rPr>
          <w:lang w:val="en-GB"/>
        </w:rPr>
        <w:t>at</w:t>
      </w:r>
      <w:r w:rsidR="004D7D96">
        <w:rPr>
          <w:lang w:val="en-GB"/>
        </w:rPr>
        <w:t xml:space="preserve"> </w:t>
      </w:r>
      <w:proofErr w:type="spellStart"/>
      <w:r w:rsidRPr="006176E4">
        <w:rPr>
          <w:lang w:val="en-GB"/>
        </w:rPr>
        <w:t>isoperiboli</w:t>
      </w:r>
      <w:r w:rsidR="00AD4A4B">
        <w:rPr>
          <w:lang w:val="en-GB"/>
        </w:rPr>
        <w:t>c</w:t>
      </w:r>
      <w:proofErr w:type="spellEnd"/>
      <w:r w:rsidRPr="006176E4">
        <w:rPr>
          <w:lang w:val="en-GB"/>
        </w:rPr>
        <w:t xml:space="preserve"> conditions at defined temperatures and volumes, provide more precise information of possible exothermic decomposition, </w:t>
      </w:r>
      <w:proofErr w:type="gramStart"/>
      <w:r w:rsidRPr="006176E4">
        <w:rPr>
          <w:lang w:val="en-GB"/>
        </w:rPr>
        <w:t>considering also</w:t>
      </w:r>
      <w:proofErr w:type="gramEnd"/>
      <w:r w:rsidRPr="006176E4">
        <w:rPr>
          <w:lang w:val="en-GB"/>
        </w:rPr>
        <w:t xml:space="preserve"> the effect of heat accumulation of bulk product. Process conditions such as temperature, pressure and turbulence also influence the ignition behaviour of dust clouds, which must be considered in the assessment of explosion risk. By testing Wheat flour and Semolina on both </w:t>
      </w:r>
      <w:proofErr w:type="gramStart"/>
      <w:r w:rsidRPr="006176E4">
        <w:rPr>
          <w:lang w:val="en-GB"/>
        </w:rPr>
        <w:t>as-received</w:t>
      </w:r>
      <w:proofErr w:type="gramEnd"/>
      <w:r w:rsidRPr="006176E4">
        <w:rPr>
          <w:lang w:val="en-GB"/>
        </w:rPr>
        <w:t xml:space="preserve"> and milled and dried samples the study tried to define the influence of particle size distribution and humidity on some safety parameters. This approach provides a more comprehensive understanding of the risks associated with the handling, storage, and processing of the flours, facilitating the development of appropriate safety measures and risk mitigation strategies. The following tables list the results of the laboratory tests carried out. They are used as a reference in evaluating the potential ignition sources of the most common process equipment ordinarily present in the milling industry.</w:t>
      </w:r>
    </w:p>
    <w:p w14:paraId="1B46125B" w14:textId="6B0F25C1" w:rsidR="00E874AD" w:rsidRDefault="00600535" w:rsidP="00E874AD">
      <w:pPr>
        <w:pStyle w:val="CET-table-title"/>
        <w:rPr>
          <w:lang w:val="en-GB"/>
        </w:rPr>
      </w:pPr>
      <w:r w:rsidRPr="00B57B36">
        <w:t>Table 1:</w:t>
      </w:r>
      <w:r w:rsidR="00E874AD">
        <w:t xml:space="preserve"> </w:t>
      </w:r>
      <w:r w:rsidR="00E874AD" w:rsidRPr="006176E4">
        <w:rPr>
          <w:lang w:val="en-GB"/>
        </w:rPr>
        <w:t xml:space="preserve">Laboratory tests performed on different Grain dust </w:t>
      </w:r>
      <w:proofErr w:type="gramStart"/>
      <w:r w:rsidR="00E874AD" w:rsidRPr="006176E4">
        <w:rPr>
          <w:lang w:val="en-GB"/>
        </w:rPr>
        <w:t>samples</w:t>
      </w:r>
      <w:proofErr w:type="gramEnd"/>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83"/>
        <w:gridCol w:w="2852"/>
        <w:gridCol w:w="2852"/>
      </w:tblGrid>
      <w:tr w:rsidR="00E874AD" w:rsidRPr="006176E4" w14:paraId="2CCCCFC3" w14:textId="77777777" w:rsidTr="00170E31">
        <w:tc>
          <w:tcPr>
            <w:tcW w:w="1754" w:type="pct"/>
            <w:tcBorders>
              <w:top w:val="single" w:sz="12" w:space="0" w:color="008000"/>
              <w:bottom w:val="single" w:sz="6" w:space="0" w:color="008000"/>
            </w:tcBorders>
            <w:shd w:val="clear" w:color="auto" w:fill="FFFFFF"/>
          </w:tcPr>
          <w:p w14:paraId="78AF8979" w14:textId="77777777" w:rsidR="00E874AD" w:rsidRPr="006176E4" w:rsidRDefault="00E874AD" w:rsidP="00170E31">
            <w:pPr>
              <w:pStyle w:val="CETBodytext"/>
              <w:jc w:val="center"/>
              <w:rPr>
                <w:sz w:val="17"/>
                <w:szCs w:val="17"/>
                <w:lang w:val="en-GB"/>
              </w:rPr>
            </w:pPr>
            <w:r w:rsidRPr="006176E4">
              <w:rPr>
                <w:sz w:val="17"/>
                <w:szCs w:val="17"/>
                <w:lang w:val="en-GB"/>
              </w:rPr>
              <w:t>Parameter</w:t>
            </w:r>
          </w:p>
        </w:tc>
        <w:tc>
          <w:tcPr>
            <w:tcW w:w="1623" w:type="pct"/>
            <w:tcBorders>
              <w:top w:val="single" w:sz="12" w:space="0" w:color="008000"/>
              <w:bottom w:val="single" w:sz="6" w:space="0" w:color="008000"/>
            </w:tcBorders>
            <w:shd w:val="clear" w:color="auto" w:fill="FFFFFF"/>
          </w:tcPr>
          <w:p w14:paraId="0139E97D" w14:textId="77777777" w:rsidR="00E874AD" w:rsidRPr="006176E4" w:rsidRDefault="00E874AD" w:rsidP="00170E31">
            <w:pPr>
              <w:pStyle w:val="CETBodytext"/>
              <w:jc w:val="center"/>
              <w:rPr>
                <w:sz w:val="17"/>
                <w:szCs w:val="17"/>
                <w:lang w:val="en-GB"/>
              </w:rPr>
            </w:pPr>
            <w:r w:rsidRPr="006176E4">
              <w:rPr>
                <w:sz w:val="17"/>
                <w:szCs w:val="17"/>
                <w:lang w:val="en-GB"/>
              </w:rPr>
              <w:t>Sample 1</w:t>
            </w:r>
          </w:p>
        </w:tc>
        <w:tc>
          <w:tcPr>
            <w:tcW w:w="1623" w:type="pct"/>
            <w:tcBorders>
              <w:top w:val="single" w:sz="12" w:space="0" w:color="008000"/>
              <w:bottom w:val="single" w:sz="6" w:space="0" w:color="008000"/>
            </w:tcBorders>
            <w:shd w:val="clear" w:color="auto" w:fill="FFFFFF"/>
          </w:tcPr>
          <w:p w14:paraId="25BF0919" w14:textId="77777777" w:rsidR="00E874AD" w:rsidRPr="006176E4" w:rsidRDefault="00E874AD" w:rsidP="00170E31">
            <w:pPr>
              <w:pStyle w:val="CETBodytext"/>
              <w:jc w:val="center"/>
              <w:rPr>
                <w:sz w:val="17"/>
                <w:szCs w:val="17"/>
                <w:lang w:val="en-GB"/>
              </w:rPr>
            </w:pPr>
            <w:r w:rsidRPr="006176E4">
              <w:rPr>
                <w:sz w:val="17"/>
                <w:szCs w:val="17"/>
                <w:lang w:val="en-GB"/>
              </w:rPr>
              <w:t>Sample 2</w:t>
            </w:r>
          </w:p>
        </w:tc>
      </w:tr>
      <w:tr w:rsidR="00E874AD" w:rsidRPr="006176E4" w14:paraId="49E116D2" w14:textId="77777777" w:rsidTr="00170E31">
        <w:tc>
          <w:tcPr>
            <w:tcW w:w="1754" w:type="pct"/>
            <w:shd w:val="clear" w:color="auto" w:fill="FFFFFF"/>
          </w:tcPr>
          <w:p w14:paraId="484B3C5A"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w:t>
            </w:r>
            <w:proofErr w:type="gramStart"/>
            <w:r w:rsidRPr="006176E4">
              <w:rPr>
                <w:sz w:val="17"/>
                <w:szCs w:val="17"/>
                <w:lang w:val="en-GB"/>
              </w:rPr>
              <w:t>as-received</w:t>
            </w:r>
            <w:proofErr w:type="gramEnd"/>
            <w:r w:rsidRPr="006176E4">
              <w:rPr>
                <w:sz w:val="17"/>
                <w:szCs w:val="17"/>
                <w:lang w:val="en-GB"/>
              </w:rPr>
              <w:t>)</w:t>
            </w:r>
          </w:p>
        </w:tc>
        <w:tc>
          <w:tcPr>
            <w:tcW w:w="1623" w:type="pct"/>
            <w:shd w:val="clear" w:color="auto" w:fill="FFFFFF"/>
          </w:tcPr>
          <w:p w14:paraId="095715FD" w14:textId="77777777" w:rsidR="00E874AD" w:rsidRPr="006176E4" w:rsidRDefault="00E874AD" w:rsidP="00170E31">
            <w:pPr>
              <w:pStyle w:val="CETBodytext"/>
              <w:jc w:val="center"/>
              <w:rPr>
                <w:sz w:val="17"/>
                <w:szCs w:val="17"/>
                <w:lang w:val="en-GB"/>
              </w:rPr>
            </w:pPr>
            <w:r w:rsidRPr="006176E4">
              <w:rPr>
                <w:sz w:val="17"/>
                <w:szCs w:val="17"/>
                <w:lang w:val="en-GB"/>
              </w:rPr>
              <w:t xml:space="preserve">200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6CF33910" w14:textId="77777777" w:rsidR="00E874AD" w:rsidRPr="006176E4" w:rsidRDefault="00E874AD" w:rsidP="00170E31">
            <w:pPr>
              <w:pStyle w:val="CETBodytext"/>
              <w:jc w:val="center"/>
              <w:rPr>
                <w:sz w:val="17"/>
                <w:szCs w:val="17"/>
                <w:lang w:val="en-GB"/>
              </w:rPr>
            </w:pPr>
            <w:r w:rsidRPr="006176E4">
              <w:rPr>
                <w:sz w:val="17"/>
                <w:szCs w:val="17"/>
                <w:lang w:val="en-GB"/>
              </w:rPr>
              <w:t xml:space="preserve">58 </w:t>
            </w:r>
            <w:r w:rsidRPr="006176E4">
              <w:rPr>
                <w:rFonts w:ascii="Symbol" w:hAnsi="Symbol"/>
                <w:sz w:val="17"/>
                <w:szCs w:val="17"/>
                <w:lang w:val="en-GB"/>
              </w:rPr>
              <w:t></w:t>
            </w:r>
            <w:r w:rsidRPr="006176E4">
              <w:rPr>
                <w:sz w:val="17"/>
                <w:szCs w:val="17"/>
                <w:lang w:val="en-GB"/>
              </w:rPr>
              <w:t>m</w:t>
            </w:r>
          </w:p>
        </w:tc>
      </w:tr>
      <w:tr w:rsidR="00E874AD" w:rsidRPr="006176E4" w14:paraId="55972C80" w14:textId="77777777" w:rsidTr="00170E31">
        <w:tc>
          <w:tcPr>
            <w:tcW w:w="1754" w:type="pct"/>
            <w:shd w:val="clear" w:color="auto" w:fill="FFFFFF"/>
          </w:tcPr>
          <w:p w14:paraId="5B354171"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(milled sample, tested)</w:t>
            </w:r>
          </w:p>
        </w:tc>
        <w:tc>
          <w:tcPr>
            <w:tcW w:w="1623" w:type="pct"/>
            <w:shd w:val="clear" w:color="auto" w:fill="FFFFFF"/>
          </w:tcPr>
          <w:p w14:paraId="251C6D03" w14:textId="77777777" w:rsidR="00E874AD" w:rsidRPr="006176E4" w:rsidRDefault="00E874AD" w:rsidP="00170E31">
            <w:pPr>
              <w:pStyle w:val="CETBodytext"/>
              <w:jc w:val="center"/>
              <w:rPr>
                <w:sz w:val="17"/>
                <w:szCs w:val="17"/>
                <w:lang w:val="en-GB"/>
              </w:rPr>
            </w:pPr>
            <w:r w:rsidRPr="006176E4">
              <w:rPr>
                <w:sz w:val="17"/>
                <w:szCs w:val="17"/>
                <w:lang w:val="en-GB"/>
              </w:rPr>
              <w:t xml:space="preserve">45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4E8EC137" w14:textId="77777777" w:rsidR="00E874AD" w:rsidRPr="006176E4" w:rsidRDefault="00E874AD" w:rsidP="00170E31">
            <w:pPr>
              <w:pStyle w:val="CETBodytext"/>
              <w:jc w:val="center"/>
              <w:rPr>
                <w:sz w:val="17"/>
                <w:szCs w:val="17"/>
                <w:lang w:val="en-GB"/>
              </w:rPr>
            </w:pPr>
            <w:r w:rsidRPr="006176E4">
              <w:rPr>
                <w:sz w:val="17"/>
                <w:szCs w:val="17"/>
                <w:lang w:val="en-GB"/>
              </w:rPr>
              <w:t xml:space="preserve">15 </w:t>
            </w:r>
            <w:r w:rsidRPr="006176E4">
              <w:rPr>
                <w:rFonts w:ascii="Symbol" w:hAnsi="Symbol"/>
                <w:sz w:val="17"/>
                <w:szCs w:val="17"/>
                <w:lang w:val="en-GB"/>
              </w:rPr>
              <w:t></w:t>
            </w:r>
            <w:r w:rsidRPr="006176E4">
              <w:rPr>
                <w:sz w:val="17"/>
                <w:szCs w:val="17"/>
                <w:lang w:val="en-GB"/>
              </w:rPr>
              <w:t>m</w:t>
            </w:r>
          </w:p>
        </w:tc>
      </w:tr>
      <w:tr w:rsidR="00E874AD" w:rsidRPr="006176E4" w14:paraId="2A898A30" w14:textId="77777777" w:rsidTr="00170E31">
        <w:tc>
          <w:tcPr>
            <w:tcW w:w="1754" w:type="pct"/>
            <w:shd w:val="clear" w:color="auto" w:fill="FFFFFF"/>
          </w:tcPr>
          <w:p w14:paraId="23931C51" w14:textId="77777777" w:rsidR="00E874AD" w:rsidRPr="006176E4" w:rsidRDefault="00E874AD" w:rsidP="00170E31">
            <w:pPr>
              <w:pStyle w:val="CETBodytext"/>
              <w:rPr>
                <w:sz w:val="17"/>
                <w:szCs w:val="17"/>
                <w:lang w:val="en-GB"/>
              </w:rPr>
            </w:pPr>
            <w:r w:rsidRPr="006176E4">
              <w:rPr>
                <w:sz w:val="17"/>
                <w:szCs w:val="17"/>
                <w:lang w:val="en-GB"/>
              </w:rPr>
              <w:t>Humidity</w:t>
            </w:r>
          </w:p>
        </w:tc>
        <w:tc>
          <w:tcPr>
            <w:tcW w:w="1623" w:type="pct"/>
            <w:shd w:val="clear" w:color="auto" w:fill="FFFFFF"/>
          </w:tcPr>
          <w:p w14:paraId="5DB225E4" w14:textId="77777777" w:rsidR="00E874AD" w:rsidRPr="006176E4" w:rsidRDefault="00E874AD" w:rsidP="00170E31">
            <w:pPr>
              <w:pStyle w:val="CETBodytext"/>
              <w:jc w:val="center"/>
              <w:rPr>
                <w:sz w:val="17"/>
                <w:szCs w:val="17"/>
                <w:lang w:val="en-GB"/>
              </w:rPr>
            </w:pPr>
            <w:r w:rsidRPr="006176E4">
              <w:rPr>
                <w:sz w:val="17"/>
                <w:szCs w:val="17"/>
                <w:lang w:val="en-GB"/>
              </w:rPr>
              <w:t>Dried (vacuum, 1h, 50°C)</w:t>
            </w:r>
          </w:p>
        </w:tc>
        <w:tc>
          <w:tcPr>
            <w:tcW w:w="1623" w:type="pct"/>
            <w:shd w:val="clear" w:color="auto" w:fill="FFFFFF"/>
          </w:tcPr>
          <w:p w14:paraId="16648D33" w14:textId="77777777" w:rsidR="00E874AD" w:rsidRPr="006176E4" w:rsidRDefault="00E874AD" w:rsidP="00170E31">
            <w:pPr>
              <w:pStyle w:val="CETBodytext"/>
              <w:jc w:val="center"/>
              <w:rPr>
                <w:sz w:val="17"/>
                <w:szCs w:val="17"/>
                <w:lang w:val="en-GB"/>
              </w:rPr>
            </w:pPr>
            <w:r w:rsidRPr="006176E4">
              <w:rPr>
                <w:sz w:val="17"/>
                <w:szCs w:val="17"/>
                <w:lang w:val="en-GB"/>
              </w:rPr>
              <w:t>Dried (vacuum, 1h, 50°C)</w:t>
            </w:r>
          </w:p>
        </w:tc>
      </w:tr>
      <w:tr w:rsidR="00E874AD" w:rsidRPr="006176E4" w14:paraId="117448AE" w14:textId="77777777" w:rsidTr="00170E31">
        <w:tc>
          <w:tcPr>
            <w:tcW w:w="1754" w:type="pct"/>
            <w:shd w:val="clear" w:color="auto" w:fill="FFFFFF"/>
          </w:tcPr>
          <w:p w14:paraId="798710CD" w14:textId="77777777" w:rsidR="00E874AD" w:rsidRPr="006176E4" w:rsidRDefault="00E874AD" w:rsidP="00170E31">
            <w:pPr>
              <w:pStyle w:val="CETBodytext"/>
              <w:rPr>
                <w:sz w:val="17"/>
                <w:szCs w:val="17"/>
                <w:lang w:val="en-GB"/>
              </w:rPr>
            </w:pPr>
            <w:r w:rsidRPr="006176E4">
              <w:rPr>
                <w:sz w:val="17"/>
                <w:szCs w:val="17"/>
                <w:lang w:val="en-GB"/>
              </w:rPr>
              <w:t>Burning class at 20°C</w:t>
            </w:r>
          </w:p>
        </w:tc>
        <w:tc>
          <w:tcPr>
            <w:tcW w:w="1623" w:type="pct"/>
            <w:shd w:val="clear" w:color="auto" w:fill="FFFFFF"/>
          </w:tcPr>
          <w:p w14:paraId="4D9C7F9C" w14:textId="77777777" w:rsidR="00E874AD" w:rsidRPr="006176E4" w:rsidRDefault="00E874AD" w:rsidP="00170E31">
            <w:pPr>
              <w:pStyle w:val="CETBodytext"/>
              <w:jc w:val="center"/>
              <w:rPr>
                <w:sz w:val="17"/>
                <w:szCs w:val="17"/>
                <w:lang w:val="en-GB"/>
              </w:rPr>
            </w:pPr>
            <w:r w:rsidRPr="006176E4">
              <w:rPr>
                <w:sz w:val="17"/>
                <w:szCs w:val="17"/>
                <w:lang w:val="en-GB"/>
              </w:rPr>
              <w:t>4</w:t>
            </w:r>
          </w:p>
        </w:tc>
        <w:tc>
          <w:tcPr>
            <w:tcW w:w="1623" w:type="pct"/>
            <w:shd w:val="clear" w:color="auto" w:fill="FFFFFF"/>
          </w:tcPr>
          <w:p w14:paraId="07D85652" w14:textId="77777777" w:rsidR="00E874AD" w:rsidRPr="006176E4" w:rsidRDefault="00E874AD" w:rsidP="00170E31">
            <w:pPr>
              <w:pStyle w:val="CETBodytext"/>
              <w:jc w:val="center"/>
              <w:rPr>
                <w:sz w:val="17"/>
                <w:szCs w:val="17"/>
                <w:lang w:val="en-GB"/>
              </w:rPr>
            </w:pPr>
            <w:r w:rsidRPr="006176E4">
              <w:rPr>
                <w:sz w:val="17"/>
                <w:szCs w:val="17"/>
                <w:lang w:val="en-GB"/>
              </w:rPr>
              <w:t>3</w:t>
            </w:r>
          </w:p>
        </w:tc>
      </w:tr>
      <w:tr w:rsidR="00E874AD" w:rsidRPr="006176E4" w14:paraId="3107A444" w14:textId="77777777" w:rsidTr="00170E31">
        <w:tc>
          <w:tcPr>
            <w:tcW w:w="1754" w:type="pct"/>
            <w:shd w:val="clear" w:color="auto" w:fill="FFFFFF"/>
          </w:tcPr>
          <w:p w14:paraId="3514FA3A" w14:textId="77777777" w:rsidR="00E874AD" w:rsidRPr="006176E4" w:rsidRDefault="00E874AD" w:rsidP="00170E31">
            <w:pPr>
              <w:pStyle w:val="CETBodytext"/>
              <w:rPr>
                <w:sz w:val="17"/>
                <w:szCs w:val="17"/>
                <w:lang w:val="en-GB"/>
              </w:rPr>
            </w:pPr>
            <w:r w:rsidRPr="006176E4">
              <w:rPr>
                <w:sz w:val="17"/>
                <w:szCs w:val="17"/>
                <w:lang w:val="en-GB"/>
              </w:rPr>
              <w:t>Burning class at 100°C</w:t>
            </w:r>
          </w:p>
        </w:tc>
        <w:tc>
          <w:tcPr>
            <w:tcW w:w="1623" w:type="pct"/>
            <w:shd w:val="clear" w:color="auto" w:fill="FFFFFF"/>
          </w:tcPr>
          <w:p w14:paraId="00D053B3" w14:textId="77777777" w:rsidR="00E874AD" w:rsidRPr="006176E4" w:rsidRDefault="00E874AD" w:rsidP="00170E31">
            <w:pPr>
              <w:pStyle w:val="CETBodytext"/>
              <w:jc w:val="center"/>
              <w:rPr>
                <w:sz w:val="17"/>
                <w:szCs w:val="17"/>
                <w:lang w:val="en-GB"/>
              </w:rPr>
            </w:pPr>
            <w:r w:rsidRPr="006176E4">
              <w:rPr>
                <w:sz w:val="17"/>
                <w:szCs w:val="17"/>
                <w:lang w:val="en-GB"/>
              </w:rPr>
              <w:t>5</w:t>
            </w:r>
          </w:p>
        </w:tc>
        <w:tc>
          <w:tcPr>
            <w:tcW w:w="1623" w:type="pct"/>
            <w:shd w:val="clear" w:color="auto" w:fill="FFFFFF"/>
          </w:tcPr>
          <w:p w14:paraId="53279839" w14:textId="77777777" w:rsidR="00E874AD" w:rsidRPr="006176E4" w:rsidRDefault="00E874AD" w:rsidP="00170E31">
            <w:pPr>
              <w:pStyle w:val="CETBodytext"/>
              <w:jc w:val="center"/>
              <w:rPr>
                <w:sz w:val="17"/>
                <w:szCs w:val="17"/>
                <w:lang w:val="en-GB"/>
              </w:rPr>
            </w:pPr>
            <w:r w:rsidRPr="006176E4">
              <w:rPr>
                <w:sz w:val="17"/>
                <w:szCs w:val="17"/>
                <w:lang w:val="en-GB"/>
              </w:rPr>
              <w:t>5</w:t>
            </w:r>
          </w:p>
        </w:tc>
      </w:tr>
      <w:tr w:rsidR="00E874AD" w:rsidRPr="006176E4" w14:paraId="525A0706" w14:textId="77777777" w:rsidTr="00170E31">
        <w:tc>
          <w:tcPr>
            <w:tcW w:w="1754" w:type="pct"/>
            <w:shd w:val="clear" w:color="auto" w:fill="FFFFFF"/>
          </w:tcPr>
          <w:p w14:paraId="0D3596AE" w14:textId="77777777" w:rsidR="00E874AD" w:rsidRPr="006176E4" w:rsidRDefault="00E874AD" w:rsidP="00170E31">
            <w:pPr>
              <w:pStyle w:val="CETBodytext"/>
              <w:rPr>
                <w:sz w:val="17"/>
                <w:szCs w:val="17"/>
                <w:lang w:val="en-GB"/>
              </w:rPr>
            </w:pPr>
            <w:r w:rsidRPr="006176E4">
              <w:rPr>
                <w:sz w:val="17"/>
                <w:szCs w:val="17"/>
                <w:lang w:val="en-GB"/>
              </w:rPr>
              <w:t>MIT layer 5 mm</w:t>
            </w:r>
          </w:p>
        </w:tc>
        <w:tc>
          <w:tcPr>
            <w:tcW w:w="1623" w:type="pct"/>
            <w:shd w:val="clear" w:color="auto" w:fill="FFFFFF"/>
          </w:tcPr>
          <w:p w14:paraId="5BE239BF" w14:textId="77777777" w:rsidR="00E874AD" w:rsidRPr="006176E4" w:rsidRDefault="00E874AD" w:rsidP="00170E31">
            <w:pPr>
              <w:pStyle w:val="CETBodytext"/>
              <w:jc w:val="center"/>
              <w:rPr>
                <w:sz w:val="17"/>
                <w:szCs w:val="17"/>
                <w:lang w:val="en-GB"/>
              </w:rPr>
            </w:pPr>
            <w:r w:rsidRPr="006176E4">
              <w:rPr>
                <w:sz w:val="17"/>
                <w:szCs w:val="17"/>
                <w:lang w:val="en-GB"/>
              </w:rPr>
              <w:t>250°C</w:t>
            </w:r>
          </w:p>
        </w:tc>
        <w:tc>
          <w:tcPr>
            <w:tcW w:w="1623" w:type="pct"/>
            <w:shd w:val="clear" w:color="auto" w:fill="FFFFFF"/>
          </w:tcPr>
          <w:p w14:paraId="10CE387E" w14:textId="77777777" w:rsidR="00E874AD" w:rsidRPr="006176E4" w:rsidRDefault="00E874AD" w:rsidP="00170E31">
            <w:pPr>
              <w:pStyle w:val="CETBodytext"/>
              <w:jc w:val="center"/>
              <w:rPr>
                <w:sz w:val="17"/>
                <w:szCs w:val="17"/>
                <w:lang w:val="en-GB"/>
              </w:rPr>
            </w:pPr>
          </w:p>
        </w:tc>
      </w:tr>
      <w:tr w:rsidR="00E874AD" w:rsidRPr="006176E4" w14:paraId="3A5526E2" w14:textId="77777777" w:rsidTr="00170E31">
        <w:tc>
          <w:tcPr>
            <w:tcW w:w="1754" w:type="pct"/>
            <w:shd w:val="clear" w:color="auto" w:fill="FFFFFF"/>
          </w:tcPr>
          <w:p w14:paraId="62CC556F" w14:textId="77777777" w:rsidR="00E874AD" w:rsidRPr="006176E4" w:rsidRDefault="00E874AD" w:rsidP="00170E31">
            <w:pPr>
              <w:pStyle w:val="CETBodytext"/>
              <w:rPr>
                <w:sz w:val="17"/>
                <w:szCs w:val="17"/>
                <w:lang w:val="en-GB"/>
              </w:rPr>
            </w:pPr>
            <w:r w:rsidRPr="006176E4">
              <w:rPr>
                <w:sz w:val="17"/>
                <w:szCs w:val="17"/>
                <w:lang w:val="en-GB"/>
              </w:rPr>
              <w:t>MIE with inductance</w:t>
            </w:r>
          </w:p>
        </w:tc>
        <w:tc>
          <w:tcPr>
            <w:tcW w:w="1623" w:type="pct"/>
            <w:shd w:val="clear" w:color="auto" w:fill="FFFFFF"/>
          </w:tcPr>
          <w:p w14:paraId="53F65E83" w14:textId="77777777" w:rsidR="00E874AD" w:rsidRPr="006176E4" w:rsidRDefault="00E874AD" w:rsidP="00170E31">
            <w:pPr>
              <w:pStyle w:val="CETBodytext"/>
              <w:jc w:val="center"/>
              <w:rPr>
                <w:sz w:val="17"/>
                <w:szCs w:val="17"/>
                <w:lang w:val="en-GB"/>
              </w:rPr>
            </w:pPr>
            <w:r w:rsidRPr="006176E4">
              <w:rPr>
                <w:sz w:val="17"/>
                <w:szCs w:val="17"/>
                <w:lang w:val="en-GB"/>
              </w:rPr>
              <w:t>100 mJ - 300 mJ</w:t>
            </w:r>
          </w:p>
        </w:tc>
        <w:tc>
          <w:tcPr>
            <w:tcW w:w="1623" w:type="pct"/>
            <w:shd w:val="clear" w:color="auto" w:fill="FFFFFF"/>
          </w:tcPr>
          <w:p w14:paraId="2D94A39A" w14:textId="77777777" w:rsidR="00E874AD" w:rsidRPr="006176E4" w:rsidRDefault="00E874AD" w:rsidP="00170E31">
            <w:pPr>
              <w:pStyle w:val="CETBodytext"/>
              <w:jc w:val="center"/>
              <w:rPr>
                <w:sz w:val="17"/>
                <w:szCs w:val="17"/>
                <w:lang w:val="en-GB"/>
              </w:rPr>
            </w:pPr>
            <w:r w:rsidRPr="006176E4">
              <w:rPr>
                <w:sz w:val="17"/>
                <w:szCs w:val="17"/>
                <w:lang w:val="en-GB"/>
              </w:rPr>
              <w:t>30 mJ - 100 mJ</w:t>
            </w:r>
          </w:p>
        </w:tc>
      </w:tr>
      <w:tr w:rsidR="00E874AD" w:rsidRPr="006176E4" w14:paraId="10DEA413" w14:textId="77777777" w:rsidTr="00170E31">
        <w:tc>
          <w:tcPr>
            <w:tcW w:w="1754" w:type="pct"/>
            <w:shd w:val="clear" w:color="auto" w:fill="FFFFFF"/>
          </w:tcPr>
          <w:p w14:paraId="6FC18111" w14:textId="77777777" w:rsidR="00E874AD" w:rsidRPr="006176E4" w:rsidRDefault="00E874AD" w:rsidP="00170E31">
            <w:pPr>
              <w:pStyle w:val="CETBodytext"/>
              <w:rPr>
                <w:sz w:val="17"/>
                <w:szCs w:val="17"/>
                <w:lang w:val="en-GB"/>
              </w:rPr>
            </w:pPr>
            <w:r w:rsidRPr="006176E4">
              <w:rPr>
                <w:sz w:val="17"/>
                <w:szCs w:val="17"/>
                <w:lang w:val="en-GB"/>
              </w:rPr>
              <w:t>MIE without inductance</w:t>
            </w:r>
          </w:p>
        </w:tc>
        <w:tc>
          <w:tcPr>
            <w:tcW w:w="1623" w:type="pct"/>
            <w:shd w:val="clear" w:color="auto" w:fill="FFFFFF"/>
          </w:tcPr>
          <w:p w14:paraId="6D8168A0" w14:textId="77777777" w:rsidR="00E874AD" w:rsidRPr="006176E4" w:rsidRDefault="00E874AD" w:rsidP="00170E31">
            <w:pPr>
              <w:pStyle w:val="CETBodytext"/>
              <w:jc w:val="center"/>
              <w:rPr>
                <w:sz w:val="17"/>
                <w:szCs w:val="17"/>
                <w:lang w:val="en-GB"/>
              </w:rPr>
            </w:pPr>
            <w:r w:rsidRPr="006176E4">
              <w:rPr>
                <w:sz w:val="17"/>
                <w:szCs w:val="17"/>
                <w:lang w:val="en-GB"/>
              </w:rPr>
              <w:t>300 mJ - 1.000 mJ</w:t>
            </w:r>
          </w:p>
        </w:tc>
        <w:tc>
          <w:tcPr>
            <w:tcW w:w="1623" w:type="pct"/>
            <w:shd w:val="clear" w:color="auto" w:fill="FFFFFF"/>
          </w:tcPr>
          <w:p w14:paraId="1897C148" w14:textId="77777777" w:rsidR="00E874AD" w:rsidRPr="006176E4" w:rsidRDefault="00E874AD" w:rsidP="00170E31">
            <w:pPr>
              <w:pStyle w:val="CETBodytext"/>
              <w:jc w:val="center"/>
              <w:rPr>
                <w:sz w:val="17"/>
                <w:szCs w:val="17"/>
                <w:lang w:val="en-GB"/>
              </w:rPr>
            </w:pPr>
            <w:r w:rsidRPr="006176E4">
              <w:rPr>
                <w:sz w:val="17"/>
                <w:szCs w:val="17"/>
                <w:lang w:val="en-GB"/>
              </w:rPr>
              <w:t>100 mJ - 300 mJ</w:t>
            </w:r>
          </w:p>
        </w:tc>
      </w:tr>
      <w:tr w:rsidR="00E874AD" w:rsidRPr="006176E4" w14:paraId="0EB1BB74" w14:textId="77777777" w:rsidTr="00170E31">
        <w:tc>
          <w:tcPr>
            <w:tcW w:w="1754" w:type="pct"/>
            <w:shd w:val="clear" w:color="auto" w:fill="FFFFFF"/>
          </w:tcPr>
          <w:p w14:paraId="48493A3A" w14:textId="77777777" w:rsidR="00E874AD" w:rsidRPr="006176E4" w:rsidRDefault="00E874AD" w:rsidP="00170E31">
            <w:pPr>
              <w:pStyle w:val="CETBodytext"/>
              <w:rPr>
                <w:sz w:val="17"/>
                <w:szCs w:val="17"/>
                <w:lang w:val="en-GB"/>
              </w:rPr>
            </w:pPr>
            <w:r w:rsidRPr="006176E4">
              <w:rPr>
                <w:sz w:val="17"/>
                <w:szCs w:val="17"/>
                <w:lang w:val="en-GB"/>
              </w:rPr>
              <w:t>MIT cloud (</w:t>
            </w:r>
            <w:proofErr w:type="spellStart"/>
            <w:r w:rsidRPr="006176E4">
              <w:rPr>
                <w:sz w:val="17"/>
                <w:szCs w:val="17"/>
                <w:lang w:val="en-GB"/>
              </w:rPr>
              <w:t>Godbert</w:t>
            </w:r>
            <w:proofErr w:type="spellEnd"/>
            <w:r w:rsidRPr="006176E4">
              <w:rPr>
                <w:sz w:val="17"/>
                <w:szCs w:val="17"/>
                <w:lang w:val="en-GB"/>
              </w:rPr>
              <w:t>-Greenwald)</w:t>
            </w:r>
          </w:p>
        </w:tc>
        <w:tc>
          <w:tcPr>
            <w:tcW w:w="1623" w:type="pct"/>
            <w:shd w:val="clear" w:color="auto" w:fill="FFFFFF"/>
          </w:tcPr>
          <w:p w14:paraId="3C4BAE4B" w14:textId="77777777" w:rsidR="00E874AD" w:rsidRPr="006176E4" w:rsidRDefault="00E874AD" w:rsidP="00170E31">
            <w:pPr>
              <w:pStyle w:val="CETBodytext"/>
              <w:jc w:val="center"/>
              <w:rPr>
                <w:sz w:val="17"/>
                <w:szCs w:val="17"/>
                <w:lang w:val="en-GB"/>
              </w:rPr>
            </w:pPr>
            <w:r w:rsidRPr="006176E4">
              <w:rPr>
                <w:sz w:val="17"/>
                <w:szCs w:val="17"/>
                <w:lang w:val="en-GB"/>
              </w:rPr>
              <w:t>350°C</w:t>
            </w:r>
          </w:p>
        </w:tc>
        <w:tc>
          <w:tcPr>
            <w:tcW w:w="1623" w:type="pct"/>
            <w:shd w:val="clear" w:color="auto" w:fill="FFFFFF"/>
          </w:tcPr>
          <w:p w14:paraId="3E6A4A50" w14:textId="77777777" w:rsidR="00E874AD" w:rsidRPr="006176E4" w:rsidRDefault="00E874AD" w:rsidP="00170E31">
            <w:pPr>
              <w:pStyle w:val="CETBodytext"/>
              <w:jc w:val="center"/>
              <w:rPr>
                <w:sz w:val="17"/>
                <w:szCs w:val="17"/>
                <w:lang w:val="en-GB"/>
              </w:rPr>
            </w:pPr>
          </w:p>
        </w:tc>
      </w:tr>
      <w:tr w:rsidR="00E874AD" w:rsidRPr="006176E4" w14:paraId="3A8DCED6" w14:textId="77777777" w:rsidTr="00170E31">
        <w:tc>
          <w:tcPr>
            <w:tcW w:w="1754" w:type="pct"/>
            <w:shd w:val="clear" w:color="auto" w:fill="FFFFFF"/>
          </w:tcPr>
          <w:p w14:paraId="53710331" w14:textId="77777777" w:rsidR="00E874AD" w:rsidRPr="006176E4" w:rsidRDefault="00E874AD" w:rsidP="00170E31">
            <w:pPr>
              <w:pStyle w:val="CETBodytext"/>
              <w:rPr>
                <w:sz w:val="17"/>
                <w:szCs w:val="17"/>
                <w:lang w:val="en-GB"/>
              </w:rPr>
            </w:pPr>
            <w:r w:rsidRPr="006176E4">
              <w:rPr>
                <w:sz w:val="17"/>
                <w:szCs w:val="17"/>
                <w:lang w:val="en-GB"/>
              </w:rPr>
              <w:t>Bulk resistivity</w:t>
            </w:r>
          </w:p>
        </w:tc>
        <w:tc>
          <w:tcPr>
            <w:tcW w:w="1623" w:type="pct"/>
            <w:shd w:val="clear" w:color="auto" w:fill="FFFFFF"/>
          </w:tcPr>
          <w:p w14:paraId="31945587"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8</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22A1F702"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8</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r>
    </w:tbl>
    <w:p w14:paraId="7DF2B154" w14:textId="77777777" w:rsidR="00E874AD" w:rsidRPr="006176E4" w:rsidRDefault="00E874AD" w:rsidP="00E874AD">
      <w:pPr>
        <w:pStyle w:val="CET-table-title"/>
        <w:rPr>
          <w:lang w:val="en-GB"/>
        </w:rPr>
      </w:pPr>
      <w:r w:rsidRPr="006176E4">
        <w:rPr>
          <w:lang w:val="en-GB"/>
        </w:rPr>
        <w:t>Table 2:  Laboratory tests performed on different Wheat flour samples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86"/>
        <w:gridCol w:w="2849"/>
        <w:gridCol w:w="2852"/>
      </w:tblGrid>
      <w:tr w:rsidR="00E874AD" w:rsidRPr="006176E4" w14:paraId="21271DCD" w14:textId="77777777" w:rsidTr="00170E31">
        <w:tc>
          <w:tcPr>
            <w:tcW w:w="1756" w:type="pct"/>
            <w:tcBorders>
              <w:top w:val="single" w:sz="12" w:space="0" w:color="008000"/>
              <w:bottom w:val="single" w:sz="6" w:space="0" w:color="008000"/>
            </w:tcBorders>
            <w:shd w:val="clear" w:color="auto" w:fill="FFFFFF"/>
          </w:tcPr>
          <w:p w14:paraId="6289F1A7" w14:textId="77777777" w:rsidR="00E874AD" w:rsidRPr="006176E4" w:rsidRDefault="00E874AD" w:rsidP="00170E31">
            <w:pPr>
              <w:pStyle w:val="CETBodytext"/>
              <w:jc w:val="center"/>
              <w:rPr>
                <w:sz w:val="17"/>
                <w:szCs w:val="17"/>
                <w:lang w:val="en-GB"/>
              </w:rPr>
            </w:pPr>
            <w:r w:rsidRPr="006176E4">
              <w:rPr>
                <w:sz w:val="17"/>
                <w:szCs w:val="17"/>
                <w:lang w:val="en-GB"/>
              </w:rPr>
              <w:t>Parameter</w:t>
            </w:r>
          </w:p>
        </w:tc>
        <w:tc>
          <w:tcPr>
            <w:tcW w:w="1621" w:type="pct"/>
            <w:tcBorders>
              <w:top w:val="single" w:sz="12" w:space="0" w:color="008000"/>
              <w:bottom w:val="single" w:sz="6" w:space="0" w:color="008000"/>
            </w:tcBorders>
            <w:shd w:val="clear" w:color="auto" w:fill="FFFFFF"/>
          </w:tcPr>
          <w:p w14:paraId="61088389" w14:textId="77777777" w:rsidR="00E874AD" w:rsidRPr="006176E4" w:rsidRDefault="00E874AD" w:rsidP="00170E31">
            <w:pPr>
              <w:pStyle w:val="CETBodytext"/>
              <w:jc w:val="center"/>
              <w:rPr>
                <w:sz w:val="17"/>
                <w:szCs w:val="17"/>
                <w:lang w:val="en-GB"/>
              </w:rPr>
            </w:pPr>
            <w:r w:rsidRPr="006176E4">
              <w:rPr>
                <w:sz w:val="17"/>
                <w:szCs w:val="17"/>
                <w:lang w:val="en-GB"/>
              </w:rPr>
              <w:t>Sample 1</w:t>
            </w:r>
          </w:p>
        </w:tc>
        <w:tc>
          <w:tcPr>
            <w:tcW w:w="1623" w:type="pct"/>
            <w:tcBorders>
              <w:top w:val="single" w:sz="12" w:space="0" w:color="008000"/>
              <w:bottom w:val="single" w:sz="6" w:space="0" w:color="008000"/>
            </w:tcBorders>
            <w:shd w:val="clear" w:color="auto" w:fill="FFFFFF"/>
          </w:tcPr>
          <w:p w14:paraId="1EAAFFE1" w14:textId="77777777" w:rsidR="00E874AD" w:rsidRPr="006176E4" w:rsidRDefault="00E874AD" w:rsidP="00170E31">
            <w:pPr>
              <w:pStyle w:val="CETBodytext"/>
              <w:jc w:val="center"/>
              <w:rPr>
                <w:sz w:val="17"/>
                <w:szCs w:val="17"/>
                <w:lang w:val="en-GB"/>
              </w:rPr>
            </w:pPr>
            <w:r w:rsidRPr="006176E4">
              <w:rPr>
                <w:sz w:val="17"/>
                <w:szCs w:val="17"/>
                <w:lang w:val="en-GB"/>
              </w:rPr>
              <w:t>Sample 2</w:t>
            </w:r>
          </w:p>
        </w:tc>
      </w:tr>
      <w:tr w:rsidR="00E874AD" w:rsidRPr="006176E4" w14:paraId="5500E74C" w14:textId="77777777" w:rsidTr="00170E31">
        <w:tc>
          <w:tcPr>
            <w:tcW w:w="1756" w:type="pct"/>
            <w:shd w:val="clear" w:color="auto" w:fill="FFFFFF"/>
          </w:tcPr>
          <w:p w14:paraId="74AF0AC0"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w:t>
            </w:r>
            <w:proofErr w:type="gramStart"/>
            <w:r w:rsidRPr="006176E4">
              <w:rPr>
                <w:sz w:val="17"/>
                <w:szCs w:val="17"/>
                <w:lang w:val="en-GB"/>
              </w:rPr>
              <w:t>as-received</w:t>
            </w:r>
            <w:proofErr w:type="gramEnd"/>
            <w:r w:rsidRPr="006176E4">
              <w:rPr>
                <w:sz w:val="17"/>
                <w:szCs w:val="17"/>
                <w:lang w:val="en-GB"/>
              </w:rPr>
              <w:t>)</w:t>
            </w:r>
          </w:p>
        </w:tc>
        <w:tc>
          <w:tcPr>
            <w:tcW w:w="1621" w:type="pct"/>
            <w:shd w:val="clear" w:color="auto" w:fill="FFFFFF"/>
          </w:tcPr>
          <w:p w14:paraId="7A3C5A50" w14:textId="77777777" w:rsidR="00E874AD" w:rsidRPr="006176E4" w:rsidRDefault="00E874AD" w:rsidP="00170E31">
            <w:pPr>
              <w:pStyle w:val="CETBodytext"/>
              <w:jc w:val="center"/>
              <w:rPr>
                <w:sz w:val="17"/>
                <w:szCs w:val="17"/>
                <w:lang w:val="en-GB"/>
              </w:rPr>
            </w:pPr>
            <w:r w:rsidRPr="006176E4">
              <w:rPr>
                <w:sz w:val="17"/>
                <w:szCs w:val="17"/>
                <w:lang w:val="en-GB"/>
              </w:rPr>
              <w:t xml:space="preserve">100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7861A4EC" w14:textId="77777777" w:rsidR="00E874AD" w:rsidRPr="006176E4" w:rsidRDefault="00E874AD" w:rsidP="00170E31">
            <w:pPr>
              <w:pStyle w:val="CETBodytext"/>
              <w:jc w:val="center"/>
              <w:rPr>
                <w:sz w:val="17"/>
                <w:szCs w:val="17"/>
                <w:lang w:val="en-GB"/>
              </w:rPr>
            </w:pPr>
            <w:r w:rsidRPr="006176E4">
              <w:rPr>
                <w:sz w:val="17"/>
                <w:szCs w:val="17"/>
                <w:lang w:val="en-GB"/>
              </w:rPr>
              <w:t xml:space="preserve">84 </w:t>
            </w:r>
            <w:r w:rsidRPr="006176E4">
              <w:rPr>
                <w:rFonts w:ascii="Symbol" w:hAnsi="Symbol"/>
                <w:sz w:val="17"/>
                <w:szCs w:val="17"/>
                <w:lang w:val="en-GB"/>
              </w:rPr>
              <w:t></w:t>
            </w:r>
            <w:r w:rsidRPr="006176E4">
              <w:rPr>
                <w:sz w:val="17"/>
                <w:szCs w:val="17"/>
                <w:lang w:val="en-GB"/>
              </w:rPr>
              <w:t>m</w:t>
            </w:r>
          </w:p>
        </w:tc>
      </w:tr>
      <w:tr w:rsidR="00E874AD" w:rsidRPr="006176E4" w14:paraId="73863D70" w14:textId="77777777" w:rsidTr="00170E31">
        <w:tc>
          <w:tcPr>
            <w:tcW w:w="1756" w:type="pct"/>
            <w:shd w:val="clear" w:color="auto" w:fill="FFFFFF"/>
          </w:tcPr>
          <w:p w14:paraId="1EB6284D"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(milled sample, tested)</w:t>
            </w:r>
          </w:p>
        </w:tc>
        <w:tc>
          <w:tcPr>
            <w:tcW w:w="1621" w:type="pct"/>
            <w:shd w:val="clear" w:color="auto" w:fill="FFFFFF"/>
          </w:tcPr>
          <w:p w14:paraId="4D34D5B5" w14:textId="77777777" w:rsidR="00E874AD" w:rsidRPr="006176E4" w:rsidRDefault="00E874AD" w:rsidP="00170E31">
            <w:pPr>
              <w:pStyle w:val="CETBodytext"/>
              <w:jc w:val="center"/>
              <w:rPr>
                <w:sz w:val="17"/>
                <w:szCs w:val="17"/>
                <w:lang w:val="en-GB"/>
              </w:rPr>
            </w:pPr>
            <w:r w:rsidRPr="006176E4">
              <w:rPr>
                <w:sz w:val="17"/>
                <w:szCs w:val="17"/>
                <w:lang w:val="en-GB"/>
              </w:rPr>
              <w:t xml:space="preserve">36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7EF76262" w14:textId="77777777" w:rsidR="00E874AD" w:rsidRPr="006176E4" w:rsidRDefault="00E874AD" w:rsidP="00170E31">
            <w:pPr>
              <w:pStyle w:val="CETBodytext"/>
              <w:jc w:val="center"/>
              <w:rPr>
                <w:sz w:val="17"/>
                <w:szCs w:val="17"/>
                <w:lang w:val="en-GB"/>
              </w:rPr>
            </w:pPr>
            <w:r w:rsidRPr="006176E4">
              <w:rPr>
                <w:sz w:val="17"/>
                <w:szCs w:val="17"/>
                <w:lang w:val="en-GB"/>
              </w:rPr>
              <w:t xml:space="preserve">28 </w:t>
            </w:r>
            <w:r w:rsidRPr="006176E4">
              <w:rPr>
                <w:rFonts w:ascii="Symbol" w:hAnsi="Symbol"/>
                <w:sz w:val="17"/>
                <w:szCs w:val="17"/>
                <w:lang w:val="en-GB"/>
              </w:rPr>
              <w:t></w:t>
            </w:r>
            <w:r w:rsidRPr="006176E4">
              <w:rPr>
                <w:sz w:val="17"/>
                <w:szCs w:val="17"/>
                <w:lang w:val="en-GB"/>
              </w:rPr>
              <w:t>m</w:t>
            </w:r>
          </w:p>
        </w:tc>
      </w:tr>
      <w:tr w:rsidR="00E874AD" w:rsidRPr="006176E4" w14:paraId="189F8C2A" w14:textId="77777777" w:rsidTr="00170E31">
        <w:tc>
          <w:tcPr>
            <w:tcW w:w="1756" w:type="pct"/>
            <w:shd w:val="clear" w:color="auto" w:fill="FFFFFF"/>
          </w:tcPr>
          <w:p w14:paraId="7FEFEAFE" w14:textId="77777777" w:rsidR="00E874AD" w:rsidRPr="006176E4" w:rsidRDefault="00E874AD" w:rsidP="00170E31">
            <w:pPr>
              <w:pStyle w:val="CETBodytext"/>
              <w:rPr>
                <w:sz w:val="17"/>
                <w:szCs w:val="17"/>
                <w:lang w:val="en-GB"/>
              </w:rPr>
            </w:pPr>
            <w:r w:rsidRPr="006176E4">
              <w:rPr>
                <w:sz w:val="17"/>
                <w:szCs w:val="17"/>
                <w:lang w:val="en-GB"/>
              </w:rPr>
              <w:t>Humidity</w:t>
            </w:r>
          </w:p>
        </w:tc>
        <w:tc>
          <w:tcPr>
            <w:tcW w:w="1621" w:type="pct"/>
            <w:shd w:val="clear" w:color="auto" w:fill="FFFFFF"/>
          </w:tcPr>
          <w:p w14:paraId="32171579" w14:textId="77777777" w:rsidR="00E874AD" w:rsidRPr="006176E4" w:rsidRDefault="00E874AD" w:rsidP="00170E31">
            <w:pPr>
              <w:pStyle w:val="CETBodytext"/>
              <w:jc w:val="center"/>
              <w:rPr>
                <w:sz w:val="17"/>
                <w:szCs w:val="17"/>
                <w:lang w:val="en-GB"/>
              </w:rPr>
            </w:pPr>
            <w:r w:rsidRPr="006176E4">
              <w:rPr>
                <w:sz w:val="17"/>
                <w:szCs w:val="17"/>
                <w:lang w:val="en-GB"/>
              </w:rPr>
              <w:t>Dried (vacuum, 1h, 50°C)</w:t>
            </w:r>
          </w:p>
        </w:tc>
        <w:tc>
          <w:tcPr>
            <w:tcW w:w="1623" w:type="pct"/>
            <w:shd w:val="clear" w:color="auto" w:fill="FFFFFF"/>
          </w:tcPr>
          <w:p w14:paraId="3A9F9EE5" w14:textId="77777777" w:rsidR="00E874AD" w:rsidRPr="006176E4" w:rsidRDefault="00E874AD" w:rsidP="00170E31">
            <w:pPr>
              <w:pStyle w:val="CETBodytext"/>
              <w:jc w:val="center"/>
              <w:rPr>
                <w:sz w:val="17"/>
                <w:szCs w:val="17"/>
                <w:lang w:val="en-GB"/>
              </w:rPr>
            </w:pPr>
            <w:r w:rsidRPr="006176E4">
              <w:rPr>
                <w:sz w:val="17"/>
                <w:szCs w:val="17"/>
                <w:lang w:val="en-GB"/>
              </w:rPr>
              <w:t>Dried (vacuum, 1h, 50°C)</w:t>
            </w:r>
          </w:p>
        </w:tc>
      </w:tr>
      <w:tr w:rsidR="00E874AD" w:rsidRPr="006176E4" w14:paraId="241D3F3F" w14:textId="77777777" w:rsidTr="00170E31">
        <w:tc>
          <w:tcPr>
            <w:tcW w:w="1756" w:type="pct"/>
            <w:shd w:val="clear" w:color="auto" w:fill="FFFFFF"/>
          </w:tcPr>
          <w:p w14:paraId="3BD0D9FC" w14:textId="77777777" w:rsidR="00E874AD" w:rsidRPr="006176E4" w:rsidRDefault="00E874AD" w:rsidP="00170E31">
            <w:pPr>
              <w:pStyle w:val="CETBodytext"/>
              <w:rPr>
                <w:sz w:val="17"/>
                <w:szCs w:val="17"/>
                <w:lang w:val="en-GB"/>
              </w:rPr>
            </w:pPr>
            <w:r w:rsidRPr="006176E4">
              <w:rPr>
                <w:sz w:val="17"/>
                <w:szCs w:val="17"/>
                <w:lang w:val="en-GB"/>
              </w:rPr>
              <w:t>Burning class at 20°C</w:t>
            </w:r>
          </w:p>
        </w:tc>
        <w:tc>
          <w:tcPr>
            <w:tcW w:w="1621" w:type="pct"/>
            <w:shd w:val="clear" w:color="auto" w:fill="FFFFFF"/>
          </w:tcPr>
          <w:p w14:paraId="56477143" w14:textId="77777777" w:rsidR="00E874AD" w:rsidRPr="006176E4" w:rsidRDefault="00E874AD" w:rsidP="00170E31">
            <w:pPr>
              <w:pStyle w:val="CETBodytext"/>
              <w:jc w:val="center"/>
              <w:rPr>
                <w:sz w:val="17"/>
                <w:szCs w:val="17"/>
                <w:lang w:val="en-GB"/>
              </w:rPr>
            </w:pPr>
            <w:r w:rsidRPr="006176E4">
              <w:rPr>
                <w:sz w:val="17"/>
                <w:szCs w:val="17"/>
                <w:lang w:val="en-GB"/>
              </w:rPr>
              <w:t>3</w:t>
            </w:r>
          </w:p>
        </w:tc>
        <w:tc>
          <w:tcPr>
            <w:tcW w:w="1623" w:type="pct"/>
            <w:shd w:val="clear" w:color="auto" w:fill="FFFFFF"/>
          </w:tcPr>
          <w:p w14:paraId="0DD0F394" w14:textId="77777777" w:rsidR="00E874AD" w:rsidRPr="006176E4" w:rsidRDefault="00E874AD" w:rsidP="00170E31">
            <w:pPr>
              <w:pStyle w:val="CETBodytext"/>
              <w:jc w:val="center"/>
              <w:rPr>
                <w:sz w:val="17"/>
                <w:szCs w:val="17"/>
                <w:lang w:val="en-GB"/>
              </w:rPr>
            </w:pPr>
            <w:r w:rsidRPr="006176E4">
              <w:rPr>
                <w:sz w:val="17"/>
                <w:szCs w:val="17"/>
                <w:lang w:val="en-GB"/>
              </w:rPr>
              <w:t>3</w:t>
            </w:r>
          </w:p>
        </w:tc>
      </w:tr>
      <w:tr w:rsidR="00E874AD" w:rsidRPr="006176E4" w14:paraId="40F56199" w14:textId="77777777" w:rsidTr="00170E31">
        <w:tc>
          <w:tcPr>
            <w:tcW w:w="1756" w:type="pct"/>
            <w:shd w:val="clear" w:color="auto" w:fill="FFFFFF"/>
          </w:tcPr>
          <w:p w14:paraId="11101C7F" w14:textId="77777777" w:rsidR="00E874AD" w:rsidRPr="006176E4" w:rsidRDefault="00E874AD" w:rsidP="00170E31">
            <w:pPr>
              <w:pStyle w:val="CETBodytext"/>
              <w:rPr>
                <w:sz w:val="17"/>
                <w:szCs w:val="17"/>
                <w:lang w:val="en-GB"/>
              </w:rPr>
            </w:pPr>
            <w:r w:rsidRPr="006176E4">
              <w:rPr>
                <w:sz w:val="17"/>
                <w:szCs w:val="17"/>
                <w:lang w:val="en-GB"/>
              </w:rPr>
              <w:lastRenderedPageBreak/>
              <w:t>Burning class at 100°C</w:t>
            </w:r>
          </w:p>
        </w:tc>
        <w:tc>
          <w:tcPr>
            <w:tcW w:w="1621" w:type="pct"/>
            <w:shd w:val="clear" w:color="auto" w:fill="FFFFFF"/>
          </w:tcPr>
          <w:p w14:paraId="3221E7FD" w14:textId="77777777" w:rsidR="00E874AD" w:rsidRPr="006176E4" w:rsidRDefault="00E874AD" w:rsidP="00170E31">
            <w:pPr>
              <w:pStyle w:val="CETBodytext"/>
              <w:jc w:val="center"/>
              <w:rPr>
                <w:sz w:val="17"/>
                <w:szCs w:val="17"/>
                <w:lang w:val="en-GB"/>
              </w:rPr>
            </w:pPr>
            <w:r w:rsidRPr="006176E4">
              <w:rPr>
                <w:sz w:val="17"/>
                <w:szCs w:val="17"/>
                <w:lang w:val="en-GB"/>
              </w:rPr>
              <w:t>5</w:t>
            </w:r>
          </w:p>
        </w:tc>
        <w:tc>
          <w:tcPr>
            <w:tcW w:w="1623" w:type="pct"/>
            <w:shd w:val="clear" w:color="auto" w:fill="FFFFFF"/>
          </w:tcPr>
          <w:p w14:paraId="59CDA30F" w14:textId="77777777" w:rsidR="00E874AD" w:rsidRPr="006176E4" w:rsidRDefault="00E874AD" w:rsidP="00170E31">
            <w:pPr>
              <w:pStyle w:val="CETBodytext"/>
              <w:jc w:val="center"/>
              <w:rPr>
                <w:sz w:val="17"/>
                <w:szCs w:val="17"/>
                <w:lang w:val="en-GB"/>
              </w:rPr>
            </w:pPr>
            <w:r w:rsidRPr="006176E4">
              <w:rPr>
                <w:sz w:val="17"/>
                <w:szCs w:val="17"/>
                <w:lang w:val="en-GB"/>
              </w:rPr>
              <w:t>5</w:t>
            </w:r>
          </w:p>
        </w:tc>
      </w:tr>
      <w:tr w:rsidR="00E874AD" w:rsidRPr="006176E4" w14:paraId="754AF759" w14:textId="77777777" w:rsidTr="00170E31">
        <w:tc>
          <w:tcPr>
            <w:tcW w:w="1756" w:type="pct"/>
            <w:shd w:val="clear" w:color="auto" w:fill="FFFFFF"/>
          </w:tcPr>
          <w:p w14:paraId="20ADFAAF" w14:textId="77777777" w:rsidR="00E874AD" w:rsidRPr="006176E4" w:rsidRDefault="00E874AD" w:rsidP="00170E31">
            <w:pPr>
              <w:pStyle w:val="CETBodytext"/>
              <w:rPr>
                <w:sz w:val="17"/>
                <w:szCs w:val="17"/>
                <w:lang w:val="en-GB"/>
              </w:rPr>
            </w:pPr>
            <w:r w:rsidRPr="006176E4">
              <w:rPr>
                <w:sz w:val="17"/>
                <w:szCs w:val="17"/>
                <w:lang w:val="en-GB"/>
              </w:rPr>
              <w:t>MIT layer 5 mm</w:t>
            </w:r>
          </w:p>
        </w:tc>
        <w:tc>
          <w:tcPr>
            <w:tcW w:w="1621" w:type="pct"/>
            <w:shd w:val="clear" w:color="auto" w:fill="FFFFFF"/>
          </w:tcPr>
          <w:p w14:paraId="4D76C5B8" w14:textId="77777777" w:rsidR="00E874AD" w:rsidRPr="006176E4" w:rsidRDefault="00E874AD" w:rsidP="00170E31">
            <w:pPr>
              <w:pStyle w:val="CETBodytext"/>
              <w:jc w:val="center"/>
              <w:rPr>
                <w:sz w:val="17"/>
                <w:szCs w:val="17"/>
                <w:lang w:val="en-GB"/>
              </w:rPr>
            </w:pPr>
            <w:r w:rsidRPr="006176E4">
              <w:rPr>
                <w:sz w:val="17"/>
                <w:szCs w:val="17"/>
                <w:lang w:val="en-GB"/>
              </w:rPr>
              <w:t>260°C</w:t>
            </w:r>
          </w:p>
        </w:tc>
        <w:tc>
          <w:tcPr>
            <w:tcW w:w="1623" w:type="pct"/>
            <w:shd w:val="clear" w:color="auto" w:fill="FFFFFF"/>
          </w:tcPr>
          <w:p w14:paraId="608BFBE2" w14:textId="77777777" w:rsidR="00E874AD" w:rsidRPr="006176E4" w:rsidRDefault="00E874AD" w:rsidP="00170E31">
            <w:pPr>
              <w:pStyle w:val="CETBodytext"/>
              <w:jc w:val="center"/>
              <w:rPr>
                <w:sz w:val="17"/>
                <w:szCs w:val="17"/>
                <w:lang w:val="en-GB"/>
              </w:rPr>
            </w:pPr>
            <w:r w:rsidRPr="006176E4">
              <w:rPr>
                <w:sz w:val="17"/>
                <w:szCs w:val="17"/>
                <w:lang w:val="en-GB"/>
              </w:rPr>
              <w:t>&gt;400°C</w:t>
            </w:r>
          </w:p>
        </w:tc>
      </w:tr>
      <w:tr w:rsidR="00E874AD" w:rsidRPr="006176E4" w14:paraId="0DE47828" w14:textId="77777777" w:rsidTr="00170E31">
        <w:tc>
          <w:tcPr>
            <w:tcW w:w="1756" w:type="pct"/>
            <w:shd w:val="clear" w:color="auto" w:fill="FFFFFF"/>
          </w:tcPr>
          <w:p w14:paraId="580000E6" w14:textId="77777777" w:rsidR="00E874AD" w:rsidRPr="006176E4" w:rsidRDefault="00E874AD" w:rsidP="00170E31">
            <w:pPr>
              <w:pStyle w:val="CETBodytext"/>
              <w:rPr>
                <w:sz w:val="17"/>
                <w:szCs w:val="17"/>
                <w:lang w:val="en-GB"/>
              </w:rPr>
            </w:pPr>
            <w:r w:rsidRPr="006176E4">
              <w:rPr>
                <w:sz w:val="17"/>
                <w:szCs w:val="17"/>
                <w:lang w:val="en-GB"/>
              </w:rPr>
              <w:t>MIE with inductance</w:t>
            </w:r>
          </w:p>
        </w:tc>
        <w:tc>
          <w:tcPr>
            <w:tcW w:w="1621" w:type="pct"/>
            <w:shd w:val="clear" w:color="auto" w:fill="FFFFFF"/>
          </w:tcPr>
          <w:p w14:paraId="132F633B" w14:textId="77777777" w:rsidR="00E874AD" w:rsidRPr="006176E4" w:rsidRDefault="00E874AD" w:rsidP="00170E31">
            <w:pPr>
              <w:pStyle w:val="CETBodytext"/>
              <w:jc w:val="center"/>
              <w:rPr>
                <w:sz w:val="17"/>
                <w:szCs w:val="17"/>
                <w:lang w:val="en-GB"/>
              </w:rPr>
            </w:pPr>
            <w:r w:rsidRPr="006176E4">
              <w:rPr>
                <w:sz w:val="17"/>
                <w:szCs w:val="17"/>
                <w:lang w:val="en-GB"/>
              </w:rPr>
              <w:t>100 mJ - 300 mJ</w:t>
            </w:r>
          </w:p>
        </w:tc>
        <w:tc>
          <w:tcPr>
            <w:tcW w:w="1623" w:type="pct"/>
            <w:shd w:val="clear" w:color="auto" w:fill="FFFFFF"/>
          </w:tcPr>
          <w:p w14:paraId="1BFE8296" w14:textId="77777777" w:rsidR="00E874AD" w:rsidRPr="006176E4" w:rsidRDefault="00E874AD" w:rsidP="00170E31">
            <w:pPr>
              <w:pStyle w:val="CETBodytext"/>
              <w:jc w:val="center"/>
              <w:rPr>
                <w:sz w:val="17"/>
                <w:szCs w:val="17"/>
                <w:lang w:val="en-GB"/>
              </w:rPr>
            </w:pPr>
            <w:r w:rsidRPr="006176E4">
              <w:rPr>
                <w:sz w:val="17"/>
                <w:szCs w:val="17"/>
                <w:lang w:val="en-GB"/>
              </w:rPr>
              <w:t>300 mJ - 1.000 mJ</w:t>
            </w:r>
          </w:p>
        </w:tc>
      </w:tr>
      <w:tr w:rsidR="00E874AD" w:rsidRPr="006176E4" w14:paraId="3057AFDF" w14:textId="77777777" w:rsidTr="00170E31">
        <w:tc>
          <w:tcPr>
            <w:tcW w:w="1756" w:type="pct"/>
            <w:shd w:val="clear" w:color="auto" w:fill="FFFFFF"/>
          </w:tcPr>
          <w:p w14:paraId="10E24AD6" w14:textId="77777777" w:rsidR="00E874AD" w:rsidRPr="006176E4" w:rsidRDefault="00E874AD" w:rsidP="00170E31">
            <w:pPr>
              <w:pStyle w:val="CETBodytext"/>
              <w:rPr>
                <w:sz w:val="17"/>
                <w:szCs w:val="17"/>
                <w:lang w:val="en-GB"/>
              </w:rPr>
            </w:pPr>
            <w:r w:rsidRPr="006176E4">
              <w:rPr>
                <w:sz w:val="17"/>
                <w:szCs w:val="17"/>
                <w:lang w:val="en-GB"/>
              </w:rPr>
              <w:t>MIE without inductance</w:t>
            </w:r>
          </w:p>
        </w:tc>
        <w:tc>
          <w:tcPr>
            <w:tcW w:w="1621" w:type="pct"/>
            <w:shd w:val="clear" w:color="auto" w:fill="FFFFFF"/>
          </w:tcPr>
          <w:p w14:paraId="545D9EFA" w14:textId="77777777" w:rsidR="00E874AD" w:rsidRPr="006176E4" w:rsidRDefault="00E874AD" w:rsidP="00170E31">
            <w:pPr>
              <w:pStyle w:val="CETBodytext"/>
              <w:jc w:val="center"/>
              <w:rPr>
                <w:sz w:val="17"/>
                <w:szCs w:val="17"/>
                <w:lang w:val="en-GB"/>
              </w:rPr>
            </w:pPr>
            <w:r w:rsidRPr="006176E4">
              <w:rPr>
                <w:sz w:val="17"/>
                <w:szCs w:val="17"/>
                <w:lang w:val="en-GB"/>
              </w:rPr>
              <w:t>300 mJ - 1.000 mJ</w:t>
            </w:r>
          </w:p>
        </w:tc>
        <w:tc>
          <w:tcPr>
            <w:tcW w:w="1623" w:type="pct"/>
            <w:shd w:val="clear" w:color="auto" w:fill="FFFFFF"/>
          </w:tcPr>
          <w:p w14:paraId="26A8AF3E" w14:textId="77777777" w:rsidR="00E874AD" w:rsidRPr="006176E4" w:rsidRDefault="00E874AD" w:rsidP="00170E31">
            <w:pPr>
              <w:pStyle w:val="CETBodytext"/>
              <w:jc w:val="center"/>
              <w:rPr>
                <w:sz w:val="17"/>
                <w:szCs w:val="17"/>
                <w:lang w:val="en-GB"/>
              </w:rPr>
            </w:pPr>
            <w:r w:rsidRPr="006176E4">
              <w:rPr>
                <w:sz w:val="17"/>
                <w:szCs w:val="17"/>
                <w:lang w:val="en-GB"/>
              </w:rPr>
              <w:t>&gt;1.000 mJ</w:t>
            </w:r>
          </w:p>
        </w:tc>
      </w:tr>
      <w:tr w:rsidR="00E874AD" w:rsidRPr="006176E4" w14:paraId="1E034BBA" w14:textId="77777777" w:rsidTr="00170E31">
        <w:tc>
          <w:tcPr>
            <w:tcW w:w="1756" w:type="pct"/>
            <w:shd w:val="clear" w:color="auto" w:fill="FFFFFF"/>
          </w:tcPr>
          <w:p w14:paraId="2F02C964" w14:textId="77777777" w:rsidR="00E874AD" w:rsidRPr="006176E4" w:rsidRDefault="00E874AD" w:rsidP="00170E31">
            <w:pPr>
              <w:pStyle w:val="CETBodytext"/>
              <w:rPr>
                <w:sz w:val="17"/>
                <w:szCs w:val="17"/>
                <w:lang w:val="en-GB"/>
              </w:rPr>
            </w:pPr>
            <w:r w:rsidRPr="006176E4">
              <w:rPr>
                <w:sz w:val="17"/>
                <w:szCs w:val="17"/>
                <w:lang w:val="en-GB"/>
              </w:rPr>
              <w:t>MIT cloud (</w:t>
            </w:r>
            <w:proofErr w:type="spellStart"/>
            <w:r w:rsidRPr="006176E4">
              <w:rPr>
                <w:sz w:val="17"/>
                <w:szCs w:val="17"/>
                <w:lang w:val="en-GB"/>
              </w:rPr>
              <w:t>Godbert</w:t>
            </w:r>
            <w:proofErr w:type="spellEnd"/>
            <w:r w:rsidRPr="006176E4">
              <w:rPr>
                <w:sz w:val="17"/>
                <w:szCs w:val="17"/>
                <w:lang w:val="en-GB"/>
              </w:rPr>
              <w:t>-Greenwald)</w:t>
            </w:r>
          </w:p>
        </w:tc>
        <w:tc>
          <w:tcPr>
            <w:tcW w:w="1621" w:type="pct"/>
            <w:shd w:val="clear" w:color="auto" w:fill="FFFFFF"/>
          </w:tcPr>
          <w:p w14:paraId="18F4D0D4" w14:textId="77777777" w:rsidR="00E874AD" w:rsidRPr="006176E4" w:rsidRDefault="00E874AD" w:rsidP="00170E31">
            <w:pPr>
              <w:pStyle w:val="CETBodytext"/>
              <w:jc w:val="center"/>
              <w:rPr>
                <w:sz w:val="17"/>
                <w:szCs w:val="17"/>
                <w:lang w:val="en-GB"/>
              </w:rPr>
            </w:pPr>
            <w:r w:rsidRPr="006176E4">
              <w:rPr>
                <w:sz w:val="17"/>
                <w:szCs w:val="17"/>
                <w:lang w:val="en-GB"/>
              </w:rPr>
              <w:t>350°C</w:t>
            </w:r>
          </w:p>
        </w:tc>
        <w:tc>
          <w:tcPr>
            <w:tcW w:w="1623" w:type="pct"/>
            <w:shd w:val="clear" w:color="auto" w:fill="FFFFFF"/>
          </w:tcPr>
          <w:p w14:paraId="02FC2425" w14:textId="77777777" w:rsidR="00E874AD" w:rsidRPr="006176E4" w:rsidRDefault="00E874AD" w:rsidP="00170E31">
            <w:pPr>
              <w:pStyle w:val="CETBodytext"/>
              <w:jc w:val="center"/>
              <w:rPr>
                <w:sz w:val="17"/>
                <w:szCs w:val="17"/>
                <w:lang w:val="en-GB"/>
              </w:rPr>
            </w:pPr>
            <w:r w:rsidRPr="006176E4">
              <w:rPr>
                <w:sz w:val="17"/>
                <w:szCs w:val="17"/>
                <w:lang w:val="en-GB"/>
              </w:rPr>
              <w:t>370°C</w:t>
            </w:r>
          </w:p>
        </w:tc>
      </w:tr>
      <w:tr w:rsidR="00E874AD" w:rsidRPr="006176E4" w14:paraId="1467C6A4" w14:textId="77777777" w:rsidTr="00170E31">
        <w:tc>
          <w:tcPr>
            <w:tcW w:w="1756" w:type="pct"/>
            <w:shd w:val="clear" w:color="auto" w:fill="FFFFFF"/>
          </w:tcPr>
          <w:p w14:paraId="7F7CDF75" w14:textId="77777777" w:rsidR="00E874AD" w:rsidRPr="006176E4" w:rsidRDefault="00E874AD" w:rsidP="00170E31">
            <w:pPr>
              <w:pStyle w:val="CETBodytext"/>
              <w:rPr>
                <w:sz w:val="17"/>
                <w:szCs w:val="17"/>
                <w:lang w:val="en-GB"/>
              </w:rPr>
            </w:pPr>
            <w:r w:rsidRPr="006176E4">
              <w:rPr>
                <w:sz w:val="17"/>
                <w:szCs w:val="17"/>
                <w:lang w:val="en-GB"/>
              </w:rPr>
              <w:t>Bulk resistivity</w:t>
            </w:r>
          </w:p>
        </w:tc>
        <w:tc>
          <w:tcPr>
            <w:tcW w:w="1621" w:type="pct"/>
            <w:shd w:val="clear" w:color="auto" w:fill="FFFFFF"/>
          </w:tcPr>
          <w:p w14:paraId="749587E2"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7</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278AD706"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8</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r>
    </w:tbl>
    <w:p w14:paraId="6C3C43AA" w14:textId="77777777" w:rsidR="00E874AD" w:rsidRPr="006176E4" w:rsidRDefault="00E874AD" w:rsidP="00E874AD">
      <w:pPr>
        <w:pStyle w:val="CET-table-title"/>
        <w:rPr>
          <w:lang w:val="en-GB"/>
        </w:rPr>
      </w:pPr>
      <w:r w:rsidRPr="006176E4">
        <w:rPr>
          <w:lang w:val="en-GB"/>
        </w:rPr>
        <w:t xml:space="preserve">Table 3:  Laboratory tests performed on a sample of Wheat flour, </w:t>
      </w:r>
      <w:proofErr w:type="gramStart"/>
      <w:r w:rsidRPr="006176E4">
        <w:rPr>
          <w:lang w:val="en-GB"/>
        </w:rPr>
        <w:t>as-received</w:t>
      </w:r>
      <w:proofErr w:type="gramEnd"/>
      <w:r w:rsidRPr="006176E4">
        <w:rPr>
          <w:lang w:val="en-GB"/>
        </w:rPr>
        <w:t xml:space="preserve"> and after milling and drying</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86"/>
        <w:gridCol w:w="2849"/>
        <w:gridCol w:w="2852"/>
      </w:tblGrid>
      <w:tr w:rsidR="00E874AD" w:rsidRPr="006176E4" w14:paraId="2A5EB7F9" w14:textId="77777777" w:rsidTr="00170E31">
        <w:tc>
          <w:tcPr>
            <w:tcW w:w="1756" w:type="pct"/>
            <w:tcBorders>
              <w:top w:val="single" w:sz="12" w:space="0" w:color="008000"/>
              <w:bottom w:val="single" w:sz="6" w:space="0" w:color="008000"/>
            </w:tcBorders>
            <w:shd w:val="clear" w:color="auto" w:fill="FFFFFF"/>
          </w:tcPr>
          <w:p w14:paraId="5EFCB28A" w14:textId="77777777" w:rsidR="00E874AD" w:rsidRPr="006176E4" w:rsidRDefault="00E874AD" w:rsidP="00170E31">
            <w:pPr>
              <w:pStyle w:val="CETBodytext"/>
              <w:jc w:val="center"/>
              <w:rPr>
                <w:sz w:val="17"/>
                <w:szCs w:val="17"/>
                <w:lang w:val="en-GB"/>
              </w:rPr>
            </w:pPr>
            <w:r w:rsidRPr="006176E4">
              <w:rPr>
                <w:sz w:val="17"/>
                <w:szCs w:val="17"/>
                <w:lang w:val="en-GB"/>
              </w:rPr>
              <w:t>Parameter</w:t>
            </w:r>
          </w:p>
        </w:tc>
        <w:tc>
          <w:tcPr>
            <w:tcW w:w="1621" w:type="pct"/>
            <w:tcBorders>
              <w:top w:val="single" w:sz="12" w:space="0" w:color="008000"/>
              <w:bottom w:val="single" w:sz="6" w:space="0" w:color="008000"/>
            </w:tcBorders>
            <w:shd w:val="clear" w:color="auto" w:fill="FFFFFF"/>
          </w:tcPr>
          <w:p w14:paraId="1F5A339F" w14:textId="77777777" w:rsidR="00E874AD" w:rsidRPr="006176E4" w:rsidRDefault="00E874AD" w:rsidP="00170E31">
            <w:pPr>
              <w:pStyle w:val="CETBodytext"/>
              <w:jc w:val="center"/>
              <w:rPr>
                <w:sz w:val="17"/>
                <w:szCs w:val="17"/>
                <w:lang w:val="en-GB"/>
              </w:rPr>
            </w:pPr>
            <w:proofErr w:type="gramStart"/>
            <w:r w:rsidRPr="006176E4">
              <w:rPr>
                <w:sz w:val="17"/>
                <w:szCs w:val="17"/>
                <w:lang w:val="en-GB"/>
              </w:rPr>
              <w:t>As-received</w:t>
            </w:r>
            <w:proofErr w:type="gramEnd"/>
          </w:p>
        </w:tc>
        <w:tc>
          <w:tcPr>
            <w:tcW w:w="1623" w:type="pct"/>
            <w:tcBorders>
              <w:top w:val="single" w:sz="12" w:space="0" w:color="008000"/>
              <w:bottom w:val="single" w:sz="6" w:space="0" w:color="008000"/>
            </w:tcBorders>
            <w:shd w:val="clear" w:color="auto" w:fill="FFFFFF"/>
          </w:tcPr>
          <w:p w14:paraId="627B2C48" w14:textId="77777777" w:rsidR="00E874AD" w:rsidRPr="006176E4" w:rsidRDefault="00E874AD" w:rsidP="00170E31">
            <w:pPr>
              <w:pStyle w:val="CETBodytext"/>
              <w:jc w:val="center"/>
              <w:rPr>
                <w:sz w:val="17"/>
                <w:szCs w:val="17"/>
                <w:lang w:val="en-GB"/>
              </w:rPr>
            </w:pPr>
            <w:r w:rsidRPr="006176E4">
              <w:rPr>
                <w:sz w:val="17"/>
                <w:szCs w:val="17"/>
                <w:lang w:val="en-GB"/>
              </w:rPr>
              <w:t>Milled and dried</w:t>
            </w:r>
          </w:p>
        </w:tc>
      </w:tr>
      <w:tr w:rsidR="00E874AD" w:rsidRPr="006176E4" w14:paraId="7A61BCF5" w14:textId="77777777" w:rsidTr="00170E31">
        <w:tc>
          <w:tcPr>
            <w:tcW w:w="1756" w:type="pct"/>
            <w:shd w:val="clear" w:color="auto" w:fill="FFFFFF"/>
          </w:tcPr>
          <w:p w14:paraId="0EC4A1ED"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w:t>
            </w:r>
            <w:proofErr w:type="gramStart"/>
            <w:r w:rsidRPr="006176E4">
              <w:rPr>
                <w:sz w:val="17"/>
                <w:szCs w:val="17"/>
                <w:lang w:val="en-GB"/>
              </w:rPr>
              <w:t>as-received</w:t>
            </w:r>
            <w:proofErr w:type="gramEnd"/>
            <w:r w:rsidRPr="006176E4">
              <w:rPr>
                <w:sz w:val="17"/>
                <w:szCs w:val="17"/>
                <w:lang w:val="en-GB"/>
              </w:rPr>
              <w:t>, tested)</w:t>
            </w:r>
          </w:p>
        </w:tc>
        <w:tc>
          <w:tcPr>
            <w:tcW w:w="1621" w:type="pct"/>
            <w:shd w:val="clear" w:color="auto" w:fill="FFFFFF"/>
          </w:tcPr>
          <w:p w14:paraId="2884CC1A" w14:textId="77777777" w:rsidR="00E874AD" w:rsidRPr="006176E4" w:rsidRDefault="00E874AD" w:rsidP="00170E31">
            <w:pPr>
              <w:pStyle w:val="CETBodytext"/>
              <w:jc w:val="center"/>
              <w:rPr>
                <w:sz w:val="17"/>
                <w:szCs w:val="17"/>
                <w:lang w:val="en-GB"/>
              </w:rPr>
            </w:pPr>
            <w:r w:rsidRPr="006176E4">
              <w:rPr>
                <w:sz w:val="17"/>
                <w:szCs w:val="17"/>
                <w:lang w:val="en-GB"/>
              </w:rPr>
              <w:t xml:space="preserve">78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0996D478" w14:textId="77777777" w:rsidR="00E874AD" w:rsidRPr="006176E4" w:rsidRDefault="00E874AD" w:rsidP="00170E31">
            <w:pPr>
              <w:pStyle w:val="CETBodytext"/>
              <w:jc w:val="center"/>
              <w:rPr>
                <w:sz w:val="17"/>
                <w:szCs w:val="17"/>
                <w:lang w:val="en-GB"/>
              </w:rPr>
            </w:pPr>
          </w:p>
        </w:tc>
      </w:tr>
      <w:tr w:rsidR="00E874AD" w:rsidRPr="006176E4" w14:paraId="3BDF9EE2" w14:textId="77777777" w:rsidTr="00170E31">
        <w:tc>
          <w:tcPr>
            <w:tcW w:w="1756" w:type="pct"/>
            <w:shd w:val="clear" w:color="auto" w:fill="FFFFFF"/>
          </w:tcPr>
          <w:p w14:paraId="129AFA25"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(milled sample, tested)</w:t>
            </w:r>
          </w:p>
        </w:tc>
        <w:tc>
          <w:tcPr>
            <w:tcW w:w="1621" w:type="pct"/>
            <w:shd w:val="clear" w:color="auto" w:fill="FFFFFF"/>
          </w:tcPr>
          <w:p w14:paraId="5E7B09B9"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3130E576" w14:textId="77777777" w:rsidR="00E874AD" w:rsidRPr="006176E4" w:rsidRDefault="00E874AD" w:rsidP="00170E31">
            <w:pPr>
              <w:pStyle w:val="CETBodytext"/>
              <w:jc w:val="center"/>
              <w:rPr>
                <w:sz w:val="17"/>
                <w:szCs w:val="17"/>
                <w:lang w:val="en-GB"/>
              </w:rPr>
            </w:pPr>
            <w:r w:rsidRPr="006176E4">
              <w:rPr>
                <w:sz w:val="17"/>
                <w:szCs w:val="17"/>
                <w:lang w:val="en-GB"/>
              </w:rPr>
              <w:t xml:space="preserve">53 </w:t>
            </w:r>
            <w:r w:rsidRPr="006176E4">
              <w:rPr>
                <w:rFonts w:ascii="Symbol" w:hAnsi="Symbol"/>
                <w:sz w:val="17"/>
                <w:szCs w:val="17"/>
                <w:lang w:val="en-GB"/>
              </w:rPr>
              <w:t></w:t>
            </w:r>
            <w:r w:rsidRPr="006176E4">
              <w:rPr>
                <w:sz w:val="17"/>
                <w:szCs w:val="17"/>
                <w:lang w:val="en-GB"/>
              </w:rPr>
              <w:t>m</w:t>
            </w:r>
          </w:p>
        </w:tc>
      </w:tr>
      <w:tr w:rsidR="00E874AD" w:rsidRPr="006176E4" w14:paraId="49E5905E" w14:textId="77777777" w:rsidTr="00170E31">
        <w:tc>
          <w:tcPr>
            <w:tcW w:w="1756" w:type="pct"/>
            <w:shd w:val="clear" w:color="auto" w:fill="FFFFFF"/>
          </w:tcPr>
          <w:p w14:paraId="0CDF14BA" w14:textId="77777777" w:rsidR="00E874AD" w:rsidRPr="006176E4" w:rsidRDefault="00E874AD" w:rsidP="00170E31">
            <w:pPr>
              <w:pStyle w:val="CETBodytext"/>
              <w:rPr>
                <w:sz w:val="17"/>
                <w:szCs w:val="17"/>
                <w:lang w:val="en-GB"/>
              </w:rPr>
            </w:pPr>
            <w:r w:rsidRPr="006176E4">
              <w:rPr>
                <w:sz w:val="17"/>
                <w:szCs w:val="17"/>
                <w:lang w:val="en-GB"/>
              </w:rPr>
              <w:t>Humidity</w:t>
            </w:r>
          </w:p>
        </w:tc>
        <w:tc>
          <w:tcPr>
            <w:tcW w:w="1621" w:type="pct"/>
            <w:shd w:val="clear" w:color="auto" w:fill="FFFFFF"/>
          </w:tcPr>
          <w:p w14:paraId="652AE821" w14:textId="77777777" w:rsidR="00E874AD" w:rsidRPr="006176E4" w:rsidRDefault="00E874AD" w:rsidP="00170E31">
            <w:pPr>
              <w:pStyle w:val="CETBodytext"/>
              <w:jc w:val="center"/>
              <w:rPr>
                <w:sz w:val="17"/>
                <w:szCs w:val="17"/>
                <w:lang w:val="en-GB"/>
              </w:rPr>
            </w:pPr>
            <w:r w:rsidRPr="006176E4">
              <w:rPr>
                <w:sz w:val="17"/>
                <w:szCs w:val="17"/>
                <w:lang w:val="en-GB"/>
              </w:rPr>
              <w:t>11,17%</w:t>
            </w:r>
          </w:p>
        </w:tc>
        <w:tc>
          <w:tcPr>
            <w:tcW w:w="1623" w:type="pct"/>
            <w:shd w:val="clear" w:color="auto" w:fill="FFFFFF"/>
          </w:tcPr>
          <w:p w14:paraId="3A181B8C" w14:textId="77777777" w:rsidR="00E874AD" w:rsidRPr="006176E4" w:rsidRDefault="00E874AD" w:rsidP="00170E31">
            <w:pPr>
              <w:pStyle w:val="CETBodytext"/>
              <w:jc w:val="center"/>
              <w:rPr>
                <w:sz w:val="17"/>
                <w:szCs w:val="17"/>
                <w:lang w:val="en-GB"/>
              </w:rPr>
            </w:pPr>
            <w:r w:rsidRPr="006176E4">
              <w:rPr>
                <w:sz w:val="17"/>
                <w:szCs w:val="17"/>
                <w:lang w:val="en-GB"/>
              </w:rPr>
              <w:t>1,93%</w:t>
            </w:r>
          </w:p>
        </w:tc>
      </w:tr>
      <w:tr w:rsidR="00E874AD" w:rsidRPr="006176E4" w14:paraId="4372EBA2" w14:textId="77777777" w:rsidTr="00170E31">
        <w:tc>
          <w:tcPr>
            <w:tcW w:w="1756" w:type="pct"/>
            <w:shd w:val="clear" w:color="auto" w:fill="FFFFFF"/>
          </w:tcPr>
          <w:p w14:paraId="06E03D12" w14:textId="77777777" w:rsidR="00E874AD" w:rsidRPr="006176E4" w:rsidRDefault="00E874AD" w:rsidP="00170E31">
            <w:pPr>
              <w:pStyle w:val="CETBodytext"/>
              <w:rPr>
                <w:sz w:val="17"/>
                <w:szCs w:val="17"/>
                <w:lang w:val="en-GB"/>
              </w:rPr>
            </w:pPr>
            <w:r w:rsidRPr="006176E4">
              <w:rPr>
                <w:sz w:val="17"/>
                <w:szCs w:val="17"/>
                <w:lang w:val="en-GB"/>
              </w:rPr>
              <w:t>Burning class at 20°C</w:t>
            </w:r>
          </w:p>
        </w:tc>
        <w:tc>
          <w:tcPr>
            <w:tcW w:w="1621" w:type="pct"/>
            <w:shd w:val="clear" w:color="auto" w:fill="FFFFFF"/>
          </w:tcPr>
          <w:p w14:paraId="639383A0"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2D2D71C9" w14:textId="77777777" w:rsidR="00E874AD" w:rsidRPr="006176E4" w:rsidRDefault="00E874AD" w:rsidP="00170E31">
            <w:pPr>
              <w:pStyle w:val="CETBodytext"/>
              <w:jc w:val="center"/>
              <w:rPr>
                <w:sz w:val="17"/>
                <w:szCs w:val="17"/>
                <w:lang w:val="en-GB"/>
              </w:rPr>
            </w:pPr>
            <w:r w:rsidRPr="006176E4">
              <w:rPr>
                <w:sz w:val="17"/>
                <w:szCs w:val="17"/>
                <w:lang w:val="en-GB"/>
              </w:rPr>
              <w:t>2</w:t>
            </w:r>
          </w:p>
        </w:tc>
      </w:tr>
      <w:tr w:rsidR="00E874AD" w:rsidRPr="006176E4" w14:paraId="32312829" w14:textId="77777777" w:rsidTr="00170E31">
        <w:tc>
          <w:tcPr>
            <w:tcW w:w="1756" w:type="pct"/>
            <w:shd w:val="clear" w:color="auto" w:fill="FFFFFF"/>
          </w:tcPr>
          <w:p w14:paraId="2AC687DC" w14:textId="77777777" w:rsidR="00E874AD" w:rsidRPr="006176E4" w:rsidRDefault="00E874AD" w:rsidP="00170E31">
            <w:pPr>
              <w:pStyle w:val="CETBodytext"/>
              <w:rPr>
                <w:sz w:val="17"/>
                <w:szCs w:val="17"/>
                <w:lang w:val="en-GB"/>
              </w:rPr>
            </w:pPr>
            <w:r w:rsidRPr="006176E4">
              <w:rPr>
                <w:sz w:val="17"/>
                <w:szCs w:val="17"/>
                <w:lang w:val="en-GB"/>
              </w:rPr>
              <w:t>Burning class at 100°C</w:t>
            </w:r>
          </w:p>
        </w:tc>
        <w:tc>
          <w:tcPr>
            <w:tcW w:w="1621" w:type="pct"/>
            <w:shd w:val="clear" w:color="auto" w:fill="FFFFFF"/>
          </w:tcPr>
          <w:p w14:paraId="1D56CCE1"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25FE91EE" w14:textId="77777777" w:rsidR="00E874AD" w:rsidRPr="006176E4" w:rsidRDefault="00E874AD" w:rsidP="00170E31">
            <w:pPr>
              <w:pStyle w:val="CETBodytext"/>
              <w:jc w:val="center"/>
              <w:rPr>
                <w:sz w:val="17"/>
                <w:szCs w:val="17"/>
                <w:lang w:val="en-GB"/>
              </w:rPr>
            </w:pPr>
            <w:r w:rsidRPr="006176E4">
              <w:rPr>
                <w:sz w:val="17"/>
                <w:szCs w:val="17"/>
                <w:lang w:val="en-GB"/>
              </w:rPr>
              <w:t>2</w:t>
            </w:r>
          </w:p>
        </w:tc>
      </w:tr>
      <w:tr w:rsidR="00E874AD" w:rsidRPr="006176E4" w14:paraId="44CCE68B" w14:textId="77777777" w:rsidTr="00170E31">
        <w:tc>
          <w:tcPr>
            <w:tcW w:w="1756" w:type="pct"/>
            <w:shd w:val="clear" w:color="auto" w:fill="FFFFFF"/>
          </w:tcPr>
          <w:p w14:paraId="22DE786D" w14:textId="77777777" w:rsidR="00E874AD" w:rsidRPr="006176E4" w:rsidRDefault="00E874AD" w:rsidP="00170E31">
            <w:pPr>
              <w:pStyle w:val="CETBodytext"/>
              <w:rPr>
                <w:sz w:val="17"/>
                <w:szCs w:val="17"/>
                <w:lang w:val="en-GB"/>
              </w:rPr>
            </w:pPr>
            <w:r w:rsidRPr="006176E4">
              <w:rPr>
                <w:sz w:val="17"/>
                <w:szCs w:val="17"/>
                <w:lang w:val="en-GB"/>
              </w:rPr>
              <w:t>MIE with inductance</w:t>
            </w:r>
          </w:p>
        </w:tc>
        <w:tc>
          <w:tcPr>
            <w:tcW w:w="1621" w:type="pct"/>
            <w:shd w:val="clear" w:color="auto" w:fill="FFFFFF"/>
          </w:tcPr>
          <w:p w14:paraId="4BBEA4AB" w14:textId="77777777" w:rsidR="00E874AD" w:rsidRPr="006176E4" w:rsidRDefault="00E874AD" w:rsidP="00170E31">
            <w:pPr>
              <w:pStyle w:val="CETBodytext"/>
              <w:jc w:val="center"/>
              <w:rPr>
                <w:sz w:val="17"/>
                <w:szCs w:val="17"/>
                <w:lang w:val="en-GB"/>
              </w:rPr>
            </w:pPr>
            <w:r w:rsidRPr="006176E4">
              <w:rPr>
                <w:sz w:val="17"/>
                <w:szCs w:val="17"/>
                <w:lang w:val="en-GB"/>
              </w:rPr>
              <w:t>&gt;1.000 mJ</w:t>
            </w:r>
          </w:p>
        </w:tc>
        <w:tc>
          <w:tcPr>
            <w:tcW w:w="1623" w:type="pct"/>
            <w:shd w:val="clear" w:color="auto" w:fill="FFFFFF"/>
          </w:tcPr>
          <w:p w14:paraId="6BC0215D" w14:textId="77777777" w:rsidR="00E874AD" w:rsidRPr="006176E4" w:rsidRDefault="00E874AD" w:rsidP="00170E31">
            <w:pPr>
              <w:pStyle w:val="CETBodytext"/>
              <w:jc w:val="center"/>
              <w:rPr>
                <w:sz w:val="17"/>
                <w:szCs w:val="17"/>
                <w:lang w:val="en-GB"/>
              </w:rPr>
            </w:pPr>
            <w:r w:rsidRPr="006176E4">
              <w:rPr>
                <w:sz w:val="17"/>
                <w:szCs w:val="17"/>
                <w:lang w:val="en-GB"/>
              </w:rPr>
              <w:t>30 mJ - 100 mJ</w:t>
            </w:r>
          </w:p>
        </w:tc>
      </w:tr>
      <w:tr w:rsidR="00E874AD" w:rsidRPr="006176E4" w14:paraId="5E5F8AB7" w14:textId="77777777" w:rsidTr="00170E31">
        <w:tc>
          <w:tcPr>
            <w:tcW w:w="1756" w:type="pct"/>
            <w:shd w:val="clear" w:color="auto" w:fill="FFFFFF"/>
          </w:tcPr>
          <w:p w14:paraId="03B542C8" w14:textId="77777777" w:rsidR="00E874AD" w:rsidRPr="006176E4" w:rsidRDefault="00E874AD" w:rsidP="00170E31">
            <w:pPr>
              <w:pStyle w:val="CETBodytext"/>
              <w:rPr>
                <w:sz w:val="17"/>
                <w:szCs w:val="17"/>
                <w:lang w:val="en-GB"/>
              </w:rPr>
            </w:pPr>
            <w:r w:rsidRPr="006176E4">
              <w:rPr>
                <w:sz w:val="17"/>
                <w:szCs w:val="17"/>
                <w:lang w:val="en-GB"/>
              </w:rPr>
              <w:t>MIE without inductance</w:t>
            </w:r>
          </w:p>
        </w:tc>
        <w:tc>
          <w:tcPr>
            <w:tcW w:w="1621" w:type="pct"/>
            <w:shd w:val="clear" w:color="auto" w:fill="FFFFFF"/>
          </w:tcPr>
          <w:p w14:paraId="5BCFB5CA" w14:textId="77777777" w:rsidR="00E874AD" w:rsidRPr="006176E4" w:rsidRDefault="00E874AD" w:rsidP="00170E31">
            <w:pPr>
              <w:pStyle w:val="CETBodytext"/>
              <w:jc w:val="center"/>
              <w:rPr>
                <w:sz w:val="17"/>
                <w:szCs w:val="17"/>
                <w:lang w:val="en-GB"/>
              </w:rPr>
            </w:pPr>
            <w:r w:rsidRPr="006176E4">
              <w:rPr>
                <w:sz w:val="17"/>
                <w:szCs w:val="17"/>
                <w:lang w:val="en-GB"/>
              </w:rPr>
              <w:t>&gt;1.000 mJ</w:t>
            </w:r>
          </w:p>
        </w:tc>
        <w:tc>
          <w:tcPr>
            <w:tcW w:w="1623" w:type="pct"/>
            <w:shd w:val="clear" w:color="auto" w:fill="FFFFFF"/>
          </w:tcPr>
          <w:p w14:paraId="4A7DFCFE" w14:textId="77777777" w:rsidR="00E874AD" w:rsidRPr="006176E4" w:rsidRDefault="00E874AD" w:rsidP="00170E31">
            <w:pPr>
              <w:pStyle w:val="CETBodytext"/>
              <w:jc w:val="center"/>
              <w:rPr>
                <w:sz w:val="17"/>
                <w:szCs w:val="17"/>
                <w:lang w:val="en-GB"/>
              </w:rPr>
            </w:pPr>
            <w:r w:rsidRPr="006176E4">
              <w:rPr>
                <w:sz w:val="17"/>
                <w:szCs w:val="17"/>
                <w:lang w:val="en-GB"/>
              </w:rPr>
              <w:t>300 mJ - 1.000 mJ</w:t>
            </w:r>
          </w:p>
        </w:tc>
      </w:tr>
      <w:tr w:rsidR="00E874AD" w:rsidRPr="006176E4" w14:paraId="3DB0C1D9" w14:textId="77777777" w:rsidTr="00170E31">
        <w:tc>
          <w:tcPr>
            <w:tcW w:w="1756" w:type="pct"/>
            <w:shd w:val="clear" w:color="auto" w:fill="FFFFFF"/>
          </w:tcPr>
          <w:p w14:paraId="125984A5" w14:textId="77777777" w:rsidR="00E874AD" w:rsidRPr="006176E4" w:rsidRDefault="00E874AD" w:rsidP="00170E31">
            <w:pPr>
              <w:pStyle w:val="CETBodytext"/>
              <w:rPr>
                <w:sz w:val="17"/>
                <w:szCs w:val="17"/>
                <w:lang w:val="en-GB"/>
              </w:rPr>
            </w:pPr>
            <w:r w:rsidRPr="006176E4">
              <w:rPr>
                <w:sz w:val="17"/>
                <w:szCs w:val="17"/>
                <w:lang w:val="en-GB"/>
              </w:rPr>
              <w:t>MIT cloud (</w:t>
            </w:r>
            <w:proofErr w:type="spellStart"/>
            <w:r w:rsidRPr="006176E4">
              <w:rPr>
                <w:sz w:val="17"/>
                <w:szCs w:val="17"/>
                <w:lang w:val="en-GB"/>
              </w:rPr>
              <w:t>Godbert</w:t>
            </w:r>
            <w:proofErr w:type="spellEnd"/>
            <w:r w:rsidRPr="006176E4">
              <w:rPr>
                <w:sz w:val="17"/>
                <w:szCs w:val="17"/>
                <w:lang w:val="en-GB"/>
              </w:rPr>
              <w:t>-Greenwald)</w:t>
            </w:r>
          </w:p>
        </w:tc>
        <w:tc>
          <w:tcPr>
            <w:tcW w:w="1621" w:type="pct"/>
            <w:shd w:val="clear" w:color="auto" w:fill="FFFFFF"/>
          </w:tcPr>
          <w:p w14:paraId="0F427294" w14:textId="77777777" w:rsidR="00E874AD" w:rsidRPr="006176E4" w:rsidRDefault="00E874AD" w:rsidP="00170E31">
            <w:pPr>
              <w:pStyle w:val="CETBodytext"/>
              <w:jc w:val="center"/>
              <w:rPr>
                <w:sz w:val="17"/>
                <w:szCs w:val="17"/>
                <w:lang w:val="en-GB"/>
              </w:rPr>
            </w:pPr>
            <w:r w:rsidRPr="006176E4">
              <w:rPr>
                <w:sz w:val="17"/>
                <w:szCs w:val="17"/>
                <w:lang w:val="en-GB"/>
              </w:rPr>
              <w:t>450°C</w:t>
            </w:r>
          </w:p>
        </w:tc>
        <w:tc>
          <w:tcPr>
            <w:tcW w:w="1623" w:type="pct"/>
            <w:shd w:val="clear" w:color="auto" w:fill="FFFFFF"/>
          </w:tcPr>
          <w:p w14:paraId="033259EE" w14:textId="77777777" w:rsidR="00E874AD" w:rsidRPr="006176E4" w:rsidRDefault="00E874AD" w:rsidP="00170E31">
            <w:pPr>
              <w:pStyle w:val="CETBodytext"/>
              <w:jc w:val="center"/>
              <w:rPr>
                <w:sz w:val="17"/>
                <w:szCs w:val="17"/>
                <w:lang w:val="en-GB"/>
              </w:rPr>
            </w:pPr>
            <w:r w:rsidRPr="006176E4">
              <w:rPr>
                <w:sz w:val="17"/>
                <w:szCs w:val="17"/>
                <w:lang w:val="en-GB"/>
              </w:rPr>
              <w:t>440°C</w:t>
            </w:r>
          </w:p>
        </w:tc>
      </w:tr>
      <w:tr w:rsidR="00E874AD" w:rsidRPr="006176E4" w14:paraId="510D5B80" w14:textId="77777777" w:rsidTr="00170E31">
        <w:tc>
          <w:tcPr>
            <w:tcW w:w="1756" w:type="pct"/>
            <w:shd w:val="clear" w:color="auto" w:fill="FFFFFF"/>
          </w:tcPr>
          <w:p w14:paraId="41097920" w14:textId="77777777" w:rsidR="00E874AD" w:rsidRPr="006176E4" w:rsidRDefault="00E874AD" w:rsidP="00170E31">
            <w:pPr>
              <w:pStyle w:val="CETBodytext"/>
              <w:rPr>
                <w:sz w:val="17"/>
                <w:szCs w:val="17"/>
                <w:lang w:val="en-GB"/>
              </w:rPr>
            </w:pPr>
            <w:r w:rsidRPr="006176E4">
              <w:rPr>
                <w:sz w:val="17"/>
                <w:szCs w:val="17"/>
                <w:lang w:val="en-GB"/>
              </w:rPr>
              <w:t>Bulk resistivity</w:t>
            </w:r>
          </w:p>
        </w:tc>
        <w:tc>
          <w:tcPr>
            <w:tcW w:w="1621" w:type="pct"/>
            <w:shd w:val="clear" w:color="auto" w:fill="FFFFFF"/>
          </w:tcPr>
          <w:p w14:paraId="2378A28F"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8</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66010AEF"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11</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r>
      <w:tr w:rsidR="00E874AD" w:rsidRPr="006176E4" w14:paraId="20AEDE8D" w14:textId="77777777" w:rsidTr="00170E31">
        <w:tc>
          <w:tcPr>
            <w:tcW w:w="1756" w:type="pct"/>
            <w:shd w:val="clear" w:color="auto" w:fill="FFFFFF"/>
          </w:tcPr>
          <w:p w14:paraId="087C0DD4" w14:textId="77777777" w:rsidR="00E874AD" w:rsidRPr="006176E4" w:rsidRDefault="00E874AD" w:rsidP="00170E31">
            <w:pPr>
              <w:pStyle w:val="CETBodytext"/>
              <w:rPr>
                <w:sz w:val="17"/>
                <w:szCs w:val="17"/>
                <w:lang w:val="en-GB"/>
              </w:rPr>
            </w:pPr>
            <w:r w:rsidRPr="006176E4">
              <w:rPr>
                <w:sz w:val="17"/>
                <w:szCs w:val="17"/>
                <w:lang w:val="en-GB"/>
              </w:rPr>
              <w:t>Screening self-ignition (Grewer)</w:t>
            </w:r>
          </w:p>
        </w:tc>
        <w:tc>
          <w:tcPr>
            <w:tcW w:w="1621" w:type="pct"/>
            <w:shd w:val="clear" w:color="auto" w:fill="FFFFFF"/>
          </w:tcPr>
          <w:p w14:paraId="1A2B26B4"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04789312" w14:textId="77777777" w:rsidR="00E874AD" w:rsidRPr="006176E4" w:rsidRDefault="00E874AD" w:rsidP="00170E31">
            <w:pPr>
              <w:pStyle w:val="CETBodytext"/>
              <w:jc w:val="center"/>
              <w:rPr>
                <w:sz w:val="17"/>
                <w:szCs w:val="17"/>
                <w:lang w:val="en-GB"/>
              </w:rPr>
            </w:pPr>
            <w:r w:rsidRPr="006176E4">
              <w:rPr>
                <w:sz w:val="17"/>
                <w:szCs w:val="17"/>
                <w:lang w:val="en-GB"/>
              </w:rPr>
              <w:t>120°C (1</w:t>
            </w:r>
            <w:r w:rsidRPr="006176E4">
              <w:rPr>
                <w:sz w:val="17"/>
                <w:szCs w:val="17"/>
                <w:vertAlign w:val="superscript"/>
                <w:lang w:val="en-GB"/>
              </w:rPr>
              <w:t>st</w:t>
            </w:r>
            <w:r w:rsidRPr="006176E4">
              <w:rPr>
                <w:sz w:val="17"/>
                <w:szCs w:val="17"/>
                <w:lang w:val="en-GB"/>
              </w:rPr>
              <w:t xml:space="preserve"> exotherm)</w:t>
            </w:r>
          </w:p>
        </w:tc>
      </w:tr>
      <w:tr w:rsidR="00E874AD" w:rsidRPr="006176E4" w14:paraId="350E072E" w14:textId="77777777" w:rsidTr="00170E31">
        <w:tc>
          <w:tcPr>
            <w:tcW w:w="1756" w:type="pct"/>
            <w:shd w:val="clear" w:color="auto" w:fill="FFFFFF"/>
          </w:tcPr>
          <w:p w14:paraId="6F9C85DC" w14:textId="77777777" w:rsidR="00E874AD" w:rsidRPr="006176E4" w:rsidRDefault="00E874AD" w:rsidP="00170E31">
            <w:pPr>
              <w:pStyle w:val="CETBodytext"/>
              <w:rPr>
                <w:sz w:val="17"/>
                <w:szCs w:val="17"/>
                <w:lang w:val="en-GB"/>
              </w:rPr>
            </w:pPr>
            <w:r w:rsidRPr="006176E4">
              <w:rPr>
                <w:sz w:val="17"/>
                <w:szCs w:val="17"/>
                <w:lang w:val="en-GB"/>
              </w:rPr>
              <w:t>Hot storage 400 ml (at 150°C)</w:t>
            </w:r>
          </w:p>
        </w:tc>
        <w:tc>
          <w:tcPr>
            <w:tcW w:w="1621" w:type="pct"/>
            <w:shd w:val="clear" w:color="auto" w:fill="FFFFFF"/>
          </w:tcPr>
          <w:p w14:paraId="62C8436E"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37CFAC34" w14:textId="77777777" w:rsidR="00E874AD" w:rsidRPr="006176E4" w:rsidRDefault="00E874AD" w:rsidP="00170E31">
            <w:pPr>
              <w:pStyle w:val="CETBodytext"/>
              <w:jc w:val="center"/>
              <w:rPr>
                <w:sz w:val="17"/>
                <w:szCs w:val="17"/>
                <w:lang w:val="en-GB"/>
              </w:rPr>
            </w:pPr>
            <w:r w:rsidRPr="006176E4">
              <w:rPr>
                <w:sz w:val="17"/>
                <w:szCs w:val="17"/>
                <w:lang w:val="en-GB"/>
              </w:rPr>
              <w:t>peak height 0°C</w:t>
            </w:r>
          </w:p>
        </w:tc>
      </w:tr>
      <w:tr w:rsidR="00E874AD" w:rsidRPr="006176E4" w14:paraId="48A9638A" w14:textId="77777777" w:rsidTr="00170E31">
        <w:tc>
          <w:tcPr>
            <w:tcW w:w="1756" w:type="pct"/>
            <w:shd w:val="clear" w:color="auto" w:fill="FFFFFF"/>
          </w:tcPr>
          <w:p w14:paraId="763643B4" w14:textId="77777777" w:rsidR="00E874AD" w:rsidRPr="006176E4" w:rsidRDefault="00E874AD" w:rsidP="00170E31">
            <w:pPr>
              <w:pStyle w:val="CETBodytext"/>
              <w:rPr>
                <w:sz w:val="17"/>
                <w:szCs w:val="17"/>
                <w:lang w:val="en-GB"/>
              </w:rPr>
            </w:pPr>
            <w:r w:rsidRPr="006176E4">
              <w:rPr>
                <w:sz w:val="17"/>
                <w:szCs w:val="17"/>
                <w:lang w:val="en-GB"/>
              </w:rPr>
              <w:t>Hot storage 400 ml (at 160°C)</w:t>
            </w:r>
          </w:p>
        </w:tc>
        <w:tc>
          <w:tcPr>
            <w:tcW w:w="1621" w:type="pct"/>
            <w:shd w:val="clear" w:color="auto" w:fill="FFFFFF"/>
          </w:tcPr>
          <w:p w14:paraId="1AD041FC"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4280221C" w14:textId="77777777" w:rsidR="00E874AD" w:rsidRPr="006176E4" w:rsidRDefault="00E874AD" w:rsidP="00170E31">
            <w:pPr>
              <w:pStyle w:val="CETBodytext"/>
              <w:jc w:val="center"/>
              <w:rPr>
                <w:sz w:val="17"/>
                <w:szCs w:val="17"/>
                <w:lang w:val="en-GB"/>
              </w:rPr>
            </w:pPr>
            <w:r w:rsidRPr="006176E4">
              <w:rPr>
                <w:sz w:val="17"/>
                <w:szCs w:val="17"/>
                <w:lang w:val="en-GB"/>
              </w:rPr>
              <w:t>peak height 1°C (&gt;8h)</w:t>
            </w:r>
          </w:p>
        </w:tc>
      </w:tr>
      <w:tr w:rsidR="00E874AD" w:rsidRPr="006176E4" w14:paraId="49D008F8" w14:textId="77777777" w:rsidTr="00170E31">
        <w:tc>
          <w:tcPr>
            <w:tcW w:w="1756" w:type="pct"/>
            <w:shd w:val="clear" w:color="auto" w:fill="FFFFFF"/>
          </w:tcPr>
          <w:p w14:paraId="255C7708" w14:textId="77777777" w:rsidR="00E874AD" w:rsidRPr="006176E4" w:rsidRDefault="00E874AD" w:rsidP="00170E31">
            <w:pPr>
              <w:pStyle w:val="CETBodytext"/>
              <w:rPr>
                <w:sz w:val="17"/>
                <w:szCs w:val="17"/>
                <w:lang w:val="en-GB"/>
              </w:rPr>
            </w:pPr>
            <w:r w:rsidRPr="006176E4">
              <w:rPr>
                <w:sz w:val="17"/>
                <w:szCs w:val="17"/>
                <w:lang w:val="en-GB"/>
              </w:rPr>
              <w:t>Hot storage 400 ml (at 170°C)</w:t>
            </w:r>
          </w:p>
        </w:tc>
        <w:tc>
          <w:tcPr>
            <w:tcW w:w="1621" w:type="pct"/>
            <w:shd w:val="clear" w:color="auto" w:fill="FFFFFF"/>
          </w:tcPr>
          <w:p w14:paraId="674F35D6"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64D13AF7" w14:textId="77777777" w:rsidR="00E874AD" w:rsidRPr="006176E4" w:rsidRDefault="00E874AD" w:rsidP="00170E31">
            <w:pPr>
              <w:pStyle w:val="CETBodytext"/>
              <w:jc w:val="center"/>
              <w:rPr>
                <w:sz w:val="17"/>
                <w:szCs w:val="17"/>
                <w:lang w:val="en-GB"/>
              </w:rPr>
            </w:pPr>
            <w:r w:rsidRPr="006176E4">
              <w:rPr>
                <w:sz w:val="17"/>
                <w:szCs w:val="17"/>
                <w:lang w:val="en-GB"/>
              </w:rPr>
              <w:t>peak height 4°C (&gt;6h)</w:t>
            </w:r>
          </w:p>
        </w:tc>
      </w:tr>
      <w:tr w:rsidR="00E874AD" w:rsidRPr="006176E4" w14:paraId="3EB7D50F" w14:textId="77777777" w:rsidTr="00170E31">
        <w:tc>
          <w:tcPr>
            <w:tcW w:w="1756" w:type="pct"/>
            <w:shd w:val="clear" w:color="auto" w:fill="FFFFFF"/>
          </w:tcPr>
          <w:p w14:paraId="4CF4F9DE" w14:textId="77777777" w:rsidR="00E874AD" w:rsidRPr="006176E4" w:rsidRDefault="00E874AD" w:rsidP="00170E31">
            <w:pPr>
              <w:pStyle w:val="CETBodytext"/>
              <w:rPr>
                <w:sz w:val="17"/>
                <w:szCs w:val="17"/>
                <w:lang w:val="en-GB"/>
              </w:rPr>
            </w:pPr>
            <w:r w:rsidRPr="006176E4">
              <w:rPr>
                <w:sz w:val="17"/>
                <w:szCs w:val="17"/>
                <w:lang w:val="en-GB"/>
              </w:rPr>
              <w:t>Hot storage 400 ml (at 180°C)</w:t>
            </w:r>
          </w:p>
        </w:tc>
        <w:tc>
          <w:tcPr>
            <w:tcW w:w="1621" w:type="pct"/>
            <w:shd w:val="clear" w:color="auto" w:fill="FFFFFF"/>
          </w:tcPr>
          <w:p w14:paraId="6D22A970"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65CB2E30" w14:textId="77777777" w:rsidR="00E874AD" w:rsidRPr="006176E4" w:rsidRDefault="00E874AD" w:rsidP="00170E31">
            <w:pPr>
              <w:pStyle w:val="CETBodytext"/>
              <w:jc w:val="center"/>
              <w:rPr>
                <w:sz w:val="17"/>
                <w:szCs w:val="17"/>
                <w:lang w:val="en-GB"/>
              </w:rPr>
            </w:pPr>
            <w:r w:rsidRPr="006176E4">
              <w:rPr>
                <w:sz w:val="17"/>
                <w:szCs w:val="17"/>
                <w:lang w:val="en-GB"/>
              </w:rPr>
              <w:t>peak height 279°C (&gt;6h)</w:t>
            </w:r>
          </w:p>
        </w:tc>
      </w:tr>
    </w:tbl>
    <w:p w14:paraId="2D757053" w14:textId="77777777" w:rsidR="00E874AD" w:rsidRPr="006176E4" w:rsidRDefault="00E874AD" w:rsidP="00E874AD">
      <w:pPr>
        <w:pStyle w:val="CET-table-title"/>
        <w:rPr>
          <w:lang w:val="en-GB"/>
        </w:rPr>
      </w:pPr>
      <w:r w:rsidRPr="006176E4">
        <w:rPr>
          <w:lang w:val="en-GB"/>
        </w:rPr>
        <w:t>Table 4:  Laboratory tests performed on different Semolina samples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86"/>
        <w:gridCol w:w="2849"/>
        <w:gridCol w:w="2852"/>
      </w:tblGrid>
      <w:tr w:rsidR="00E874AD" w:rsidRPr="006176E4" w14:paraId="6E210708" w14:textId="77777777" w:rsidTr="00170E31">
        <w:tc>
          <w:tcPr>
            <w:tcW w:w="1756" w:type="pct"/>
            <w:tcBorders>
              <w:top w:val="single" w:sz="12" w:space="0" w:color="008000"/>
              <w:bottom w:val="single" w:sz="6" w:space="0" w:color="008000"/>
            </w:tcBorders>
            <w:shd w:val="clear" w:color="auto" w:fill="FFFFFF"/>
          </w:tcPr>
          <w:p w14:paraId="0D62EBC2" w14:textId="77777777" w:rsidR="00E874AD" w:rsidRPr="006176E4" w:rsidRDefault="00E874AD" w:rsidP="00170E31">
            <w:pPr>
              <w:pStyle w:val="CETBodytext"/>
              <w:jc w:val="center"/>
              <w:rPr>
                <w:sz w:val="17"/>
                <w:szCs w:val="17"/>
                <w:lang w:val="en-GB"/>
              </w:rPr>
            </w:pPr>
            <w:r w:rsidRPr="006176E4">
              <w:rPr>
                <w:sz w:val="17"/>
                <w:szCs w:val="17"/>
                <w:lang w:val="en-GB"/>
              </w:rPr>
              <w:t>Parameter</w:t>
            </w:r>
          </w:p>
        </w:tc>
        <w:tc>
          <w:tcPr>
            <w:tcW w:w="1621" w:type="pct"/>
            <w:tcBorders>
              <w:top w:val="single" w:sz="12" w:space="0" w:color="008000"/>
              <w:bottom w:val="single" w:sz="6" w:space="0" w:color="008000"/>
            </w:tcBorders>
            <w:shd w:val="clear" w:color="auto" w:fill="FFFFFF"/>
          </w:tcPr>
          <w:p w14:paraId="26FB2F85" w14:textId="77777777" w:rsidR="00E874AD" w:rsidRPr="006176E4" w:rsidRDefault="00E874AD" w:rsidP="00170E31">
            <w:pPr>
              <w:pStyle w:val="CETBodytext"/>
              <w:jc w:val="center"/>
              <w:rPr>
                <w:sz w:val="17"/>
                <w:szCs w:val="17"/>
                <w:lang w:val="en-GB"/>
              </w:rPr>
            </w:pPr>
            <w:r w:rsidRPr="006176E4">
              <w:rPr>
                <w:sz w:val="17"/>
                <w:szCs w:val="17"/>
                <w:lang w:val="en-GB"/>
              </w:rPr>
              <w:t>Sample 1</w:t>
            </w:r>
          </w:p>
        </w:tc>
        <w:tc>
          <w:tcPr>
            <w:tcW w:w="1623" w:type="pct"/>
            <w:tcBorders>
              <w:top w:val="single" w:sz="12" w:space="0" w:color="008000"/>
              <w:bottom w:val="single" w:sz="6" w:space="0" w:color="008000"/>
            </w:tcBorders>
            <w:shd w:val="clear" w:color="auto" w:fill="FFFFFF"/>
          </w:tcPr>
          <w:p w14:paraId="0D5AC415" w14:textId="77777777" w:rsidR="00E874AD" w:rsidRPr="006176E4" w:rsidRDefault="00E874AD" w:rsidP="00170E31">
            <w:pPr>
              <w:pStyle w:val="CETBodytext"/>
              <w:jc w:val="center"/>
              <w:rPr>
                <w:sz w:val="17"/>
                <w:szCs w:val="17"/>
                <w:lang w:val="en-GB"/>
              </w:rPr>
            </w:pPr>
            <w:r w:rsidRPr="006176E4">
              <w:rPr>
                <w:sz w:val="17"/>
                <w:szCs w:val="17"/>
                <w:lang w:val="en-GB"/>
              </w:rPr>
              <w:t>Sample 2</w:t>
            </w:r>
          </w:p>
        </w:tc>
      </w:tr>
      <w:tr w:rsidR="00E874AD" w:rsidRPr="006176E4" w14:paraId="63D823BE" w14:textId="77777777" w:rsidTr="00170E31">
        <w:tc>
          <w:tcPr>
            <w:tcW w:w="1756" w:type="pct"/>
            <w:shd w:val="clear" w:color="auto" w:fill="FFFFFF"/>
          </w:tcPr>
          <w:p w14:paraId="0417C0F6"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w:t>
            </w:r>
            <w:proofErr w:type="gramStart"/>
            <w:r w:rsidRPr="006176E4">
              <w:rPr>
                <w:sz w:val="17"/>
                <w:szCs w:val="17"/>
                <w:lang w:val="en-GB"/>
              </w:rPr>
              <w:t>as-received</w:t>
            </w:r>
            <w:proofErr w:type="gramEnd"/>
            <w:r w:rsidRPr="006176E4">
              <w:rPr>
                <w:sz w:val="17"/>
                <w:szCs w:val="17"/>
                <w:lang w:val="en-GB"/>
              </w:rPr>
              <w:t>)</w:t>
            </w:r>
          </w:p>
        </w:tc>
        <w:tc>
          <w:tcPr>
            <w:tcW w:w="1621" w:type="pct"/>
            <w:shd w:val="clear" w:color="auto" w:fill="FFFFFF"/>
          </w:tcPr>
          <w:p w14:paraId="1E524502" w14:textId="77777777" w:rsidR="00E874AD" w:rsidRPr="006176E4" w:rsidRDefault="00E874AD" w:rsidP="00170E31">
            <w:pPr>
              <w:pStyle w:val="CETBodytext"/>
              <w:jc w:val="center"/>
              <w:rPr>
                <w:sz w:val="17"/>
                <w:szCs w:val="17"/>
                <w:lang w:val="en-GB"/>
              </w:rPr>
            </w:pPr>
            <w:r w:rsidRPr="006176E4">
              <w:rPr>
                <w:sz w:val="17"/>
                <w:szCs w:val="17"/>
                <w:lang w:val="en-GB"/>
              </w:rPr>
              <w:t xml:space="preserve">300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552E1493" w14:textId="77777777" w:rsidR="00E874AD" w:rsidRPr="006176E4" w:rsidRDefault="00E874AD" w:rsidP="00170E31">
            <w:pPr>
              <w:pStyle w:val="CETBodytext"/>
              <w:jc w:val="center"/>
              <w:rPr>
                <w:sz w:val="17"/>
                <w:szCs w:val="17"/>
                <w:lang w:val="en-GB"/>
              </w:rPr>
            </w:pPr>
            <w:r w:rsidRPr="006176E4">
              <w:rPr>
                <w:sz w:val="17"/>
                <w:szCs w:val="17"/>
                <w:lang w:val="en-GB"/>
              </w:rPr>
              <w:t xml:space="preserve">35 </w:t>
            </w:r>
            <w:r w:rsidRPr="006176E4">
              <w:rPr>
                <w:rFonts w:ascii="Symbol" w:hAnsi="Symbol"/>
                <w:sz w:val="17"/>
                <w:szCs w:val="17"/>
                <w:lang w:val="en-GB"/>
              </w:rPr>
              <w:t></w:t>
            </w:r>
            <w:r w:rsidRPr="006176E4">
              <w:rPr>
                <w:sz w:val="17"/>
                <w:szCs w:val="17"/>
                <w:lang w:val="en-GB"/>
              </w:rPr>
              <w:t>m</w:t>
            </w:r>
          </w:p>
        </w:tc>
      </w:tr>
      <w:tr w:rsidR="00E874AD" w:rsidRPr="006176E4" w14:paraId="2CF8B4CF" w14:textId="77777777" w:rsidTr="00170E31">
        <w:tc>
          <w:tcPr>
            <w:tcW w:w="1756" w:type="pct"/>
            <w:shd w:val="clear" w:color="auto" w:fill="FFFFFF"/>
          </w:tcPr>
          <w:p w14:paraId="75E00FC7"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(milled sample, tested)</w:t>
            </w:r>
          </w:p>
        </w:tc>
        <w:tc>
          <w:tcPr>
            <w:tcW w:w="1621" w:type="pct"/>
            <w:shd w:val="clear" w:color="auto" w:fill="FFFFFF"/>
          </w:tcPr>
          <w:p w14:paraId="2FCA4ABE" w14:textId="77777777" w:rsidR="00E874AD" w:rsidRPr="006176E4" w:rsidRDefault="00E874AD" w:rsidP="00170E31">
            <w:pPr>
              <w:pStyle w:val="CETBodytext"/>
              <w:jc w:val="center"/>
              <w:rPr>
                <w:sz w:val="17"/>
                <w:szCs w:val="17"/>
                <w:lang w:val="en-GB"/>
              </w:rPr>
            </w:pPr>
            <w:r w:rsidRPr="006176E4">
              <w:rPr>
                <w:sz w:val="17"/>
                <w:szCs w:val="17"/>
                <w:lang w:val="en-GB"/>
              </w:rPr>
              <w:t xml:space="preserve">100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7EA221D4" w14:textId="77777777" w:rsidR="00E874AD" w:rsidRPr="006176E4" w:rsidRDefault="00E874AD" w:rsidP="00170E31">
            <w:pPr>
              <w:pStyle w:val="CETBodytext"/>
              <w:jc w:val="center"/>
              <w:rPr>
                <w:sz w:val="17"/>
                <w:szCs w:val="17"/>
                <w:lang w:val="en-GB"/>
              </w:rPr>
            </w:pPr>
            <w:r w:rsidRPr="006176E4">
              <w:rPr>
                <w:sz w:val="17"/>
                <w:szCs w:val="17"/>
                <w:lang w:val="en-GB"/>
              </w:rPr>
              <w:t xml:space="preserve">35 </w:t>
            </w:r>
            <w:r w:rsidRPr="006176E4">
              <w:rPr>
                <w:rFonts w:ascii="Symbol" w:hAnsi="Symbol"/>
                <w:sz w:val="17"/>
                <w:szCs w:val="17"/>
                <w:lang w:val="en-GB"/>
              </w:rPr>
              <w:t></w:t>
            </w:r>
            <w:r w:rsidRPr="006176E4">
              <w:rPr>
                <w:sz w:val="17"/>
                <w:szCs w:val="17"/>
                <w:lang w:val="en-GB"/>
              </w:rPr>
              <w:t>m (not milled)</w:t>
            </w:r>
          </w:p>
        </w:tc>
      </w:tr>
      <w:tr w:rsidR="00E874AD" w:rsidRPr="006176E4" w14:paraId="6E18CF5D" w14:textId="77777777" w:rsidTr="00170E31">
        <w:tc>
          <w:tcPr>
            <w:tcW w:w="1756" w:type="pct"/>
            <w:shd w:val="clear" w:color="auto" w:fill="FFFFFF"/>
          </w:tcPr>
          <w:p w14:paraId="5C3D272A" w14:textId="77777777" w:rsidR="00E874AD" w:rsidRPr="006176E4" w:rsidRDefault="00E874AD" w:rsidP="00170E31">
            <w:pPr>
              <w:pStyle w:val="CETBodytext"/>
              <w:rPr>
                <w:sz w:val="17"/>
                <w:szCs w:val="17"/>
                <w:lang w:val="en-GB"/>
              </w:rPr>
            </w:pPr>
            <w:r w:rsidRPr="006176E4">
              <w:rPr>
                <w:sz w:val="17"/>
                <w:szCs w:val="17"/>
                <w:lang w:val="en-GB"/>
              </w:rPr>
              <w:t>Humidity</w:t>
            </w:r>
          </w:p>
        </w:tc>
        <w:tc>
          <w:tcPr>
            <w:tcW w:w="1621" w:type="pct"/>
            <w:shd w:val="clear" w:color="auto" w:fill="FFFFFF"/>
          </w:tcPr>
          <w:p w14:paraId="3114586A" w14:textId="77777777" w:rsidR="00E874AD" w:rsidRPr="006176E4" w:rsidRDefault="00E874AD" w:rsidP="00170E31">
            <w:pPr>
              <w:pStyle w:val="CETBodytext"/>
              <w:jc w:val="center"/>
              <w:rPr>
                <w:sz w:val="17"/>
                <w:szCs w:val="17"/>
                <w:lang w:val="en-GB"/>
              </w:rPr>
            </w:pPr>
            <w:r w:rsidRPr="006176E4">
              <w:rPr>
                <w:sz w:val="17"/>
                <w:szCs w:val="17"/>
                <w:lang w:val="en-GB"/>
              </w:rPr>
              <w:t>Dried (vacuum, 1h, 50°C)</w:t>
            </w:r>
          </w:p>
        </w:tc>
        <w:tc>
          <w:tcPr>
            <w:tcW w:w="1623" w:type="pct"/>
            <w:shd w:val="clear" w:color="auto" w:fill="FFFFFF"/>
          </w:tcPr>
          <w:p w14:paraId="7490B265" w14:textId="77777777" w:rsidR="00E874AD" w:rsidRPr="006176E4" w:rsidRDefault="00E874AD" w:rsidP="00170E31">
            <w:pPr>
              <w:pStyle w:val="CETBodytext"/>
              <w:jc w:val="center"/>
              <w:rPr>
                <w:sz w:val="17"/>
                <w:szCs w:val="17"/>
                <w:lang w:val="en-GB"/>
              </w:rPr>
            </w:pPr>
            <w:r w:rsidRPr="006176E4">
              <w:rPr>
                <w:sz w:val="17"/>
                <w:szCs w:val="17"/>
                <w:lang w:val="en-GB"/>
              </w:rPr>
              <w:t>Dried (vacuum, 1h, 50°C)</w:t>
            </w:r>
          </w:p>
        </w:tc>
      </w:tr>
      <w:tr w:rsidR="00E874AD" w:rsidRPr="006176E4" w14:paraId="4D25E5B9" w14:textId="77777777" w:rsidTr="00170E31">
        <w:tc>
          <w:tcPr>
            <w:tcW w:w="1756" w:type="pct"/>
            <w:shd w:val="clear" w:color="auto" w:fill="FFFFFF"/>
          </w:tcPr>
          <w:p w14:paraId="48D81A98" w14:textId="77777777" w:rsidR="00E874AD" w:rsidRPr="006176E4" w:rsidRDefault="00E874AD" w:rsidP="00170E31">
            <w:pPr>
              <w:pStyle w:val="CETBodytext"/>
              <w:rPr>
                <w:sz w:val="17"/>
                <w:szCs w:val="17"/>
                <w:lang w:val="en-GB"/>
              </w:rPr>
            </w:pPr>
            <w:r w:rsidRPr="006176E4">
              <w:rPr>
                <w:sz w:val="17"/>
                <w:szCs w:val="17"/>
                <w:lang w:val="en-GB"/>
              </w:rPr>
              <w:t>Burning class at 20°C</w:t>
            </w:r>
          </w:p>
        </w:tc>
        <w:tc>
          <w:tcPr>
            <w:tcW w:w="1621" w:type="pct"/>
            <w:shd w:val="clear" w:color="auto" w:fill="FFFFFF"/>
          </w:tcPr>
          <w:p w14:paraId="25812425" w14:textId="77777777" w:rsidR="00E874AD" w:rsidRPr="006176E4" w:rsidRDefault="00E874AD" w:rsidP="00170E31">
            <w:pPr>
              <w:pStyle w:val="CETBodytext"/>
              <w:jc w:val="center"/>
              <w:rPr>
                <w:sz w:val="17"/>
                <w:szCs w:val="17"/>
                <w:lang w:val="en-GB"/>
              </w:rPr>
            </w:pPr>
            <w:r w:rsidRPr="006176E4">
              <w:rPr>
                <w:sz w:val="17"/>
                <w:szCs w:val="17"/>
                <w:lang w:val="en-GB"/>
              </w:rPr>
              <w:t>3</w:t>
            </w:r>
          </w:p>
        </w:tc>
        <w:tc>
          <w:tcPr>
            <w:tcW w:w="1623" w:type="pct"/>
            <w:shd w:val="clear" w:color="auto" w:fill="FFFFFF"/>
          </w:tcPr>
          <w:p w14:paraId="66545AA2" w14:textId="77777777" w:rsidR="00E874AD" w:rsidRPr="006176E4" w:rsidRDefault="00E874AD" w:rsidP="00170E31">
            <w:pPr>
              <w:pStyle w:val="CETBodytext"/>
              <w:jc w:val="center"/>
              <w:rPr>
                <w:sz w:val="17"/>
                <w:szCs w:val="17"/>
                <w:lang w:val="en-GB"/>
              </w:rPr>
            </w:pPr>
            <w:r w:rsidRPr="006176E4">
              <w:rPr>
                <w:sz w:val="17"/>
                <w:szCs w:val="17"/>
                <w:lang w:val="en-GB"/>
              </w:rPr>
              <w:t>3</w:t>
            </w:r>
          </w:p>
        </w:tc>
      </w:tr>
      <w:tr w:rsidR="00E874AD" w:rsidRPr="006176E4" w14:paraId="2E3037EE" w14:textId="77777777" w:rsidTr="00170E31">
        <w:tc>
          <w:tcPr>
            <w:tcW w:w="1756" w:type="pct"/>
            <w:shd w:val="clear" w:color="auto" w:fill="FFFFFF"/>
          </w:tcPr>
          <w:p w14:paraId="41EAC120" w14:textId="77777777" w:rsidR="00E874AD" w:rsidRPr="006176E4" w:rsidRDefault="00E874AD" w:rsidP="00170E31">
            <w:pPr>
              <w:pStyle w:val="CETBodytext"/>
              <w:rPr>
                <w:sz w:val="17"/>
                <w:szCs w:val="17"/>
                <w:lang w:val="en-GB"/>
              </w:rPr>
            </w:pPr>
            <w:r w:rsidRPr="006176E4">
              <w:rPr>
                <w:sz w:val="17"/>
                <w:szCs w:val="17"/>
                <w:lang w:val="en-GB"/>
              </w:rPr>
              <w:t>Burning class at 100°C</w:t>
            </w:r>
          </w:p>
        </w:tc>
        <w:tc>
          <w:tcPr>
            <w:tcW w:w="1621" w:type="pct"/>
            <w:shd w:val="clear" w:color="auto" w:fill="FFFFFF"/>
          </w:tcPr>
          <w:p w14:paraId="65FFB713" w14:textId="77777777" w:rsidR="00E874AD" w:rsidRPr="006176E4" w:rsidRDefault="00E874AD" w:rsidP="00170E31">
            <w:pPr>
              <w:pStyle w:val="CETBodytext"/>
              <w:jc w:val="center"/>
              <w:rPr>
                <w:sz w:val="17"/>
                <w:szCs w:val="17"/>
                <w:lang w:val="en-GB"/>
              </w:rPr>
            </w:pPr>
            <w:r w:rsidRPr="006176E4">
              <w:rPr>
                <w:sz w:val="17"/>
                <w:szCs w:val="17"/>
                <w:lang w:val="en-GB"/>
              </w:rPr>
              <w:t>5</w:t>
            </w:r>
          </w:p>
        </w:tc>
        <w:tc>
          <w:tcPr>
            <w:tcW w:w="1623" w:type="pct"/>
            <w:shd w:val="clear" w:color="auto" w:fill="FFFFFF"/>
          </w:tcPr>
          <w:p w14:paraId="1E1F3490" w14:textId="77777777" w:rsidR="00E874AD" w:rsidRPr="006176E4" w:rsidRDefault="00E874AD" w:rsidP="00170E31">
            <w:pPr>
              <w:pStyle w:val="CETBodytext"/>
              <w:jc w:val="center"/>
              <w:rPr>
                <w:sz w:val="17"/>
                <w:szCs w:val="17"/>
                <w:lang w:val="en-GB"/>
              </w:rPr>
            </w:pPr>
            <w:r w:rsidRPr="006176E4">
              <w:rPr>
                <w:sz w:val="17"/>
                <w:szCs w:val="17"/>
                <w:lang w:val="en-GB"/>
              </w:rPr>
              <w:t>4</w:t>
            </w:r>
          </w:p>
        </w:tc>
      </w:tr>
      <w:tr w:rsidR="00E874AD" w:rsidRPr="006176E4" w14:paraId="374E9E64" w14:textId="77777777" w:rsidTr="00170E31">
        <w:tc>
          <w:tcPr>
            <w:tcW w:w="1756" w:type="pct"/>
            <w:shd w:val="clear" w:color="auto" w:fill="FFFFFF"/>
          </w:tcPr>
          <w:p w14:paraId="0ADE611C" w14:textId="77777777" w:rsidR="00E874AD" w:rsidRPr="006176E4" w:rsidRDefault="00E874AD" w:rsidP="00170E31">
            <w:pPr>
              <w:pStyle w:val="CETBodytext"/>
              <w:rPr>
                <w:sz w:val="17"/>
                <w:szCs w:val="17"/>
                <w:lang w:val="en-GB"/>
              </w:rPr>
            </w:pPr>
            <w:r w:rsidRPr="006176E4">
              <w:rPr>
                <w:sz w:val="17"/>
                <w:szCs w:val="17"/>
                <w:lang w:val="en-GB"/>
              </w:rPr>
              <w:t>MIT layer 5 mm</w:t>
            </w:r>
          </w:p>
        </w:tc>
        <w:tc>
          <w:tcPr>
            <w:tcW w:w="1621" w:type="pct"/>
            <w:shd w:val="clear" w:color="auto" w:fill="FFFFFF"/>
          </w:tcPr>
          <w:p w14:paraId="104012C4" w14:textId="77777777" w:rsidR="00E874AD" w:rsidRPr="006176E4" w:rsidRDefault="00E874AD" w:rsidP="00170E31">
            <w:pPr>
              <w:pStyle w:val="CETBodytext"/>
              <w:jc w:val="center"/>
              <w:rPr>
                <w:sz w:val="17"/>
                <w:szCs w:val="17"/>
                <w:lang w:val="en-GB"/>
              </w:rPr>
            </w:pPr>
            <w:r w:rsidRPr="006176E4">
              <w:rPr>
                <w:sz w:val="17"/>
                <w:szCs w:val="17"/>
                <w:lang w:val="en-GB"/>
              </w:rPr>
              <w:t>260°C</w:t>
            </w:r>
          </w:p>
        </w:tc>
        <w:tc>
          <w:tcPr>
            <w:tcW w:w="1623" w:type="pct"/>
            <w:shd w:val="clear" w:color="auto" w:fill="FFFFFF"/>
          </w:tcPr>
          <w:p w14:paraId="051CA766" w14:textId="77777777" w:rsidR="00E874AD" w:rsidRPr="006176E4" w:rsidRDefault="00E874AD" w:rsidP="00170E31">
            <w:pPr>
              <w:pStyle w:val="CETBodytext"/>
              <w:jc w:val="center"/>
              <w:rPr>
                <w:sz w:val="17"/>
                <w:szCs w:val="17"/>
                <w:lang w:val="en-GB"/>
              </w:rPr>
            </w:pPr>
          </w:p>
        </w:tc>
      </w:tr>
      <w:tr w:rsidR="00E874AD" w:rsidRPr="006176E4" w14:paraId="394C29DD" w14:textId="77777777" w:rsidTr="00170E31">
        <w:tc>
          <w:tcPr>
            <w:tcW w:w="1756" w:type="pct"/>
            <w:shd w:val="clear" w:color="auto" w:fill="FFFFFF"/>
          </w:tcPr>
          <w:p w14:paraId="5E1F2DDB" w14:textId="77777777" w:rsidR="00E874AD" w:rsidRPr="006176E4" w:rsidRDefault="00E874AD" w:rsidP="00170E31">
            <w:pPr>
              <w:pStyle w:val="CETBodytext"/>
              <w:rPr>
                <w:sz w:val="17"/>
                <w:szCs w:val="17"/>
                <w:lang w:val="en-GB"/>
              </w:rPr>
            </w:pPr>
            <w:r w:rsidRPr="006176E4">
              <w:rPr>
                <w:sz w:val="17"/>
                <w:szCs w:val="17"/>
                <w:lang w:val="en-GB"/>
              </w:rPr>
              <w:t>MIE with inductance</w:t>
            </w:r>
          </w:p>
        </w:tc>
        <w:tc>
          <w:tcPr>
            <w:tcW w:w="1621" w:type="pct"/>
            <w:shd w:val="clear" w:color="auto" w:fill="FFFFFF"/>
          </w:tcPr>
          <w:p w14:paraId="6D2F07FE" w14:textId="77777777" w:rsidR="00E874AD" w:rsidRPr="006176E4" w:rsidRDefault="00E874AD" w:rsidP="00170E31">
            <w:pPr>
              <w:pStyle w:val="CETBodytext"/>
              <w:jc w:val="center"/>
              <w:rPr>
                <w:sz w:val="17"/>
                <w:szCs w:val="17"/>
                <w:lang w:val="en-GB"/>
              </w:rPr>
            </w:pPr>
            <w:r w:rsidRPr="006176E4">
              <w:rPr>
                <w:sz w:val="17"/>
                <w:szCs w:val="17"/>
                <w:lang w:val="en-GB"/>
              </w:rPr>
              <w:t>100 mJ - 300 mJ</w:t>
            </w:r>
          </w:p>
        </w:tc>
        <w:tc>
          <w:tcPr>
            <w:tcW w:w="1623" w:type="pct"/>
            <w:shd w:val="clear" w:color="auto" w:fill="FFFFFF"/>
          </w:tcPr>
          <w:p w14:paraId="40528885" w14:textId="77777777" w:rsidR="00E874AD" w:rsidRPr="006176E4" w:rsidRDefault="00E874AD" w:rsidP="00170E31">
            <w:pPr>
              <w:pStyle w:val="CETBodytext"/>
              <w:jc w:val="center"/>
              <w:rPr>
                <w:sz w:val="17"/>
                <w:szCs w:val="17"/>
                <w:lang w:val="en-GB"/>
              </w:rPr>
            </w:pPr>
          </w:p>
        </w:tc>
      </w:tr>
      <w:tr w:rsidR="00E874AD" w:rsidRPr="006176E4" w14:paraId="3B210C5C" w14:textId="77777777" w:rsidTr="00170E31">
        <w:tc>
          <w:tcPr>
            <w:tcW w:w="1756" w:type="pct"/>
            <w:shd w:val="clear" w:color="auto" w:fill="FFFFFF"/>
          </w:tcPr>
          <w:p w14:paraId="39EECB11" w14:textId="77777777" w:rsidR="00E874AD" w:rsidRPr="006176E4" w:rsidRDefault="00E874AD" w:rsidP="00170E31">
            <w:pPr>
              <w:pStyle w:val="CETBodytext"/>
              <w:rPr>
                <w:sz w:val="17"/>
                <w:szCs w:val="17"/>
                <w:lang w:val="en-GB"/>
              </w:rPr>
            </w:pPr>
            <w:r w:rsidRPr="006176E4">
              <w:rPr>
                <w:sz w:val="17"/>
                <w:szCs w:val="17"/>
                <w:lang w:val="en-GB"/>
              </w:rPr>
              <w:t>MIE without inductance</w:t>
            </w:r>
          </w:p>
        </w:tc>
        <w:tc>
          <w:tcPr>
            <w:tcW w:w="1621" w:type="pct"/>
            <w:shd w:val="clear" w:color="auto" w:fill="FFFFFF"/>
          </w:tcPr>
          <w:p w14:paraId="18F12578" w14:textId="77777777" w:rsidR="00E874AD" w:rsidRPr="006176E4" w:rsidRDefault="00E874AD" w:rsidP="00170E31">
            <w:pPr>
              <w:pStyle w:val="CETBodytext"/>
              <w:jc w:val="center"/>
              <w:rPr>
                <w:sz w:val="17"/>
                <w:szCs w:val="17"/>
                <w:lang w:val="en-GB"/>
              </w:rPr>
            </w:pPr>
            <w:r w:rsidRPr="006176E4">
              <w:rPr>
                <w:sz w:val="17"/>
                <w:szCs w:val="17"/>
                <w:lang w:val="en-GB"/>
              </w:rPr>
              <w:t>&gt;1.000 mJ</w:t>
            </w:r>
          </w:p>
        </w:tc>
        <w:tc>
          <w:tcPr>
            <w:tcW w:w="1623" w:type="pct"/>
            <w:shd w:val="clear" w:color="auto" w:fill="FFFFFF"/>
          </w:tcPr>
          <w:p w14:paraId="76371B59" w14:textId="77777777" w:rsidR="00E874AD" w:rsidRPr="006176E4" w:rsidRDefault="00E874AD" w:rsidP="00170E31">
            <w:pPr>
              <w:pStyle w:val="CETBodytext"/>
              <w:jc w:val="center"/>
              <w:rPr>
                <w:sz w:val="17"/>
                <w:szCs w:val="17"/>
                <w:lang w:val="en-GB"/>
              </w:rPr>
            </w:pPr>
          </w:p>
        </w:tc>
      </w:tr>
      <w:tr w:rsidR="00E874AD" w:rsidRPr="006176E4" w14:paraId="5A557681" w14:textId="77777777" w:rsidTr="00170E31">
        <w:tc>
          <w:tcPr>
            <w:tcW w:w="1756" w:type="pct"/>
            <w:shd w:val="clear" w:color="auto" w:fill="FFFFFF"/>
          </w:tcPr>
          <w:p w14:paraId="7DE3F5F7" w14:textId="77777777" w:rsidR="00E874AD" w:rsidRPr="006176E4" w:rsidRDefault="00E874AD" w:rsidP="00170E31">
            <w:pPr>
              <w:pStyle w:val="CETBodytext"/>
              <w:rPr>
                <w:sz w:val="17"/>
                <w:szCs w:val="17"/>
                <w:lang w:val="en-GB"/>
              </w:rPr>
            </w:pPr>
            <w:r w:rsidRPr="006176E4">
              <w:rPr>
                <w:sz w:val="17"/>
                <w:szCs w:val="17"/>
                <w:lang w:val="en-GB"/>
              </w:rPr>
              <w:t>MIT cloud (</w:t>
            </w:r>
            <w:proofErr w:type="spellStart"/>
            <w:r w:rsidRPr="006176E4">
              <w:rPr>
                <w:sz w:val="17"/>
                <w:szCs w:val="17"/>
                <w:lang w:val="en-GB"/>
              </w:rPr>
              <w:t>Godbert</w:t>
            </w:r>
            <w:proofErr w:type="spellEnd"/>
            <w:r w:rsidRPr="006176E4">
              <w:rPr>
                <w:sz w:val="17"/>
                <w:szCs w:val="17"/>
                <w:lang w:val="en-GB"/>
              </w:rPr>
              <w:t>-Greenwald)</w:t>
            </w:r>
          </w:p>
        </w:tc>
        <w:tc>
          <w:tcPr>
            <w:tcW w:w="1621" w:type="pct"/>
            <w:shd w:val="clear" w:color="auto" w:fill="FFFFFF"/>
          </w:tcPr>
          <w:p w14:paraId="2D600F0D" w14:textId="77777777" w:rsidR="00E874AD" w:rsidRPr="006176E4" w:rsidRDefault="00E874AD" w:rsidP="00170E31">
            <w:pPr>
              <w:pStyle w:val="CETBodytext"/>
              <w:jc w:val="center"/>
              <w:rPr>
                <w:sz w:val="17"/>
                <w:szCs w:val="17"/>
                <w:lang w:val="en-GB"/>
              </w:rPr>
            </w:pPr>
            <w:r w:rsidRPr="006176E4">
              <w:rPr>
                <w:sz w:val="17"/>
                <w:szCs w:val="17"/>
                <w:lang w:val="en-GB"/>
              </w:rPr>
              <w:t>390°C</w:t>
            </w:r>
          </w:p>
        </w:tc>
        <w:tc>
          <w:tcPr>
            <w:tcW w:w="1623" w:type="pct"/>
            <w:shd w:val="clear" w:color="auto" w:fill="FFFFFF"/>
          </w:tcPr>
          <w:p w14:paraId="592E2530" w14:textId="77777777" w:rsidR="00E874AD" w:rsidRPr="006176E4" w:rsidRDefault="00E874AD" w:rsidP="00170E31">
            <w:pPr>
              <w:pStyle w:val="CETBodytext"/>
              <w:jc w:val="center"/>
              <w:rPr>
                <w:sz w:val="17"/>
                <w:szCs w:val="17"/>
                <w:lang w:val="en-GB"/>
              </w:rPr>
            </w:pPr>
          </w:p>
        </w:tc>
      </w:tr>
      <w:tr w:rsidR="00E874AD" w:rsidRPr="006176E4" w14:paraId="1B1E8E41" w14:textId="77777777" w:rsidTr="00170E31">
        <w:tc>
          <w:tcPr>
            <w:tcW w:w="1756" w:type="pct"/>
            <w:shd w:val="clear" w:color="auto" w:fill="FFFFFF"/>
          </w:tcPr>
          <w:p w14:paraId="1BB02B6D" w14:textId="77777777" w:rsidR="00E874AD" w:rsidRPr="006176E4" w:rsidRDefault="00E874AD" w:rsidP="00170E31">
            <w:pPr>
              <w:pStyle w:val="CETBodytext"/>
              <w:rPr>
                <w:sz w:val="17"/>
                <w:szCs w:val="17"/>
                <w:lang w:val="en-GB"/>
              </w:rPr>
            </w:pPr>
            <w:r w:rsidRPr="006176E4">
              <w:rPr>
                <w:sz w:val="17"/>
                <w:szCs w:val="17"/>
                <w:lang w:val="en-GB"/>
              </w:rPr>
              <w:t>Bulk resistivity</w:t>
            </w:r>
          </w:p>
        </w:tc>
        <w:tc>
          <w:tcPr>
            <w:tcW w:w="1621" w:type="pct"/>
            <w:shd w:val="clear" w:color="auto" w:fill="FFFFFF"/>
          </w:tcPr>
          <w:p w14:paraId="507EB20A"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10</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27810160"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9</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r>
      <w:tr w:rsidR="00E874AD" w:rsidRPr="006176E4" w14:paraId="5867B6A5" w14:textId="77777777" w:rsidTr="00170E31">
        <w:tc>
          <w:tcPr>
            <w:tcW w:w="1756" w:type="pct"/>
            <w:shd w:val="clear" w:color="auto" w:fill="FFFFFF"/>
          </w:tcPr>
          <w:p w14:paraId="7E4406F0" w14:textId="77777777" w:rsidR="00E874AD" w:rsidRPr="006176E4" w:rsidRDefault="00E874AD" w:rsidP="00170E31">
            <w:pPr>
              <w:pStyle w:val="CETBodytext"/>
              <w:rPr>
                <w:sz w:val="17"/>
                <w:szCs w:val="17"/>
                <w:lang w:val="en-GB"/>
              </w:rPr>
            </w:pPr>
            <w:r w:rsidRPr="006176E4">
              <w:rPr>
                <w:sz w:val="17"/>
                <w:szCs w:val="17"/>
                <w:lang w:val="en-GB"/>
              </w:rPr>
              <w:t>Screening self-ignition (Grewer)</w:t>
            </w:r>
          </w:p>
        </w:tc>
        <w:tc>
          <w:tcPr>
            <w:tcW w:w="1621" w:type="pct"/>
            <w:shd w:val="clear" w:color="auto" w:fill="FFFFFF"/>
          </w:tcPr>
          <w:p w14:paraId="12CB0F4A" w14:textId="77777777" w:rsidR="00E874AD" w:rsidRPr="006176E4" w:rsidRDefault="00E874AD" w:rsidP="00170E31">
            <w:pPr>
              <w:pStyle w:val="CETBodytext"/>
              <w:jc w:val="center"/>
              <w:rPr>
                <w:sz w:val="17"/>
                <w:szCs w:val="17"/>
                <w:lang w:val="en-GB"/>
              </w:rPr>
            </w:pPr>
            <w:r w:rsidRPr="006176E4">
              <w:rPr>
                <w:sz w:val="17"/>
                <w:szCs w:val="17"/>
                <w:lang w:val="en-GB"/>
              </w:rPr>
              <w:t>190°C (1</w:t>
            </w:r>
            <w:r w:rsidRPr="006176E4">
              <w:rPr>
                <w:sz w:val="17"/>
                <w:szCs w:val="17"/>
                <w:vertAlign w:val="superscript"/>
                <w:lang w:val="en-GB"/>
              </w:rPr>
              <w:t>st</w:t>
            </w:r>
            <w:r w:rsidRPr="006176E4">
              <w:rPr>
                <w:sz w:val="17"/>
                <w:szCs w:val="17"/>
                <w:lang w:val="en-GB"/>
              </w:rPr>
              <w:t xml:space="preserve"> exotherm)</w:t>
            </w:r>
          </w:p>
        </w:tc>
        <w:tc>
          <w:tcPr>
            <w:tcW w:w="1623" w:type="pct"/>
            <w:shd w:val="clear" w:color="auto" w:fill="FFFFFF"/>
          </w:tcPr>
          <w:p w14:paraId="13164527" w14:textId="77777777" w:rsidR="00E874AD" w:rsidRPr="006176E4" w:rsidRDefault="00E874AD" w:rsidP="00170E31">
            <w:pPr>
              <w:pStyle w:val="CETBodytext"/>
              <w:jc w:val="center"/>
              <w:rPr>
                <w:sz w:val="17"/>
                <w:szCs w:val="17"/>
                <w:lang w:val="en-GB"/>
              </w:rPr>
            </w:pPr>
          </w:p>
        </w:tc>
      </w:tr>
    </w:tbl>
    <w:p w14:paraId="1DD6AABD" w14:textId="77777777" w:rsidR="00E874AD" w:rsidRPr="006176E4" w:rsidRDefault="00E874AD" w:rsidP="00E874AD">
      <w:pPr>
        <w:pStyle w:val="CET-table-title"/>
        <w:rPr>
          <w:lang w:val="en-GB"/>
        </w:rPr>
      </w:pPr>
      <w:r w:rsidRPr="006176E4">
        <w:rPr>
          <w:lang w:val="en-GB"/>
        </w:rPr>
        <w:t xml:space="preserve">Table 5:  Laboratory tests performed on a sample of Semolina, </w:t>
      </w:r>
      <w:proofErr w:type="gramStart"/>
      <w:r w:rsidRPr="006176E4">
        <w:rPr>
          <w:lang w:val="en-GB"/>
        </w:rPr>
        <w:t>as-received</w:t>
      </w:r>
      <w:proofErr w:type="gramEnd"/>
      <w:r w:rsidRPr="006176E4">
        <w:rPr>
          <w:lang w:val="en-GB"/>
        </w:rPr>
        <w:t xml:space="preserve"> and after milling and drying</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86"/>
        <w:gridCol w:w="2849"/>
        <w:gridCol w:w="2852"/>
      </w:tblGrid>
      <w:tr w:rsidR="00E874AD" w:rsidRPr="006176E4" w14:paraId="4C13D64B" w14:textId="77777777" w:rsidTr="00170E31">
        <w:tc>
          <w:tcPr>
            <w:tcW w:w="1756" w:type="pct"/>
            <w:tcBorders>
              <w:top w:val="single" w:sz="12" w:space="0" w:color="008000"/>
              <w:bottom w:val="single" w:sz="6" w:space="0" w:color="008000"/>
            </w:tcBorders>
            <w:shd w:val="clear" w:color="auto" w:fill="FFFFFF"/>
          </w:tcPr>
          <w:p w14:paraId="4F60E37C" w14:textId="77777777" w:rsidR="00E874AD" w:rsidRPr="006176E4" w:rsidRDefault="00E874AD" w:rsidP="00170E31">
            <w:pPr>
              <w:pStyle w:val="CETBodytext"/>
              <w:jc w:val="center"/>
              <w:rPr>
                <w:sz w:val="17"/>
                <w:szCs w:val="17"/>
                <w:lang w:val="en-GB"/>
              </w:rPr>
            </w:pPr>
            <w:r w:rsidRPr="006176E4">
              <w:rPr>
                <w:sz w:val="17"/>
                <w:szCs w:val="17"/>
                <w:lang w:val="en-GB"/>
              </w:rPr>
              <w:t>Parameter</w:t>
            </w:r>
          </w:p>
        </w:tc>
        <w:tc>
          <w:tcPr>
            <w:tcW w:w="1621" w:type="pct"/>
            <w:tcBorders>
              <w:top w:val="single" w:sz="12" w:space="0" w:color="008000"/>
              <w:bottom w:val="single" w:sz="6" w:space="0" w:color="008000"/>
            </w:tcBorders>
            <w:shd w:val="clear" w:color="auto" w:fill="FFFFFF"/>
          </w:tcPr>
          <w:p w14:paraId="5303E92F" w14:textId="77777777" w:rsidR="00E874AD" w:rsidRPr="006176E4" w:rsidRDefault="00E874AD" w:rsidP="00170E31">
            <w:pPr>
              <w:pStyle w:val="CETBodytext"/>
              <w:jc w:val="center"/>
              <w:rPr>
                <w:sz w:val="17"/>
                <w:szCs w:val="17"/>
                <w:lang w:val="en-GB"/>
              </w:rPr>
            </w:pPr>
            <w:proofErr w:type="gramStart"/>
            <w:r w:rsidRPr="006176E4">
              <w:rPr>
                <w:sz w:val="17"/>
                <w:szCs w:val="17"/>
                <w:lang w:val="en-GB"/>
              </w:rPr>
              <w:t>As-received</w:t>
            </w:r>
            <w:proofErr w:type="gramEnd"/>
          </w:p>
        </w:tc>
        <w:tc>
          <w:tcPr>
            <w:tcW w:w="1623" w:type="pct"/>
            <w:tcBorders>
              <w:top w:val="single" w:sz="12" w:space="0" w:color="008000"/>
              <w:bottom w:val="single" w:sz="6" w:space="0" w:color="008000"/>
            </w:tcBorders>
            <w:shd w:val="clear" w:color="auto" w:fill="FFFFFF"/>
          </w:tcPr>
          <w:p w14:paraId="58158172" w14:textId="77777777" w:rsidR="00E874AD" w:rsidRPr="006176E4" w:rsidRDefault="00E874AD" w:rsidP="00170E31">
            <w:pPr>
              <w:pStyle w:val="CETBodytext"/>
              <w:jc w:val="center"/>
              <w:rPr>
                <w:sz w:val="17"/>
                <w:szCs w:val="17"/>
                <w:lang w:val="en-GB"/>
              </w:rPr>
            </w:pPr>
            <w:r w:rsidRPr="006176E4">
              <w:rPr>
                <w:sz w:val="17"/>
                <w:szCs w:val="17"/>
                <w:lang w:val="en-GB"/>
              </w:rPr>
              <w:t>Milled and dried</w:t>
            </w:r>
          </w:p>
        </w:tc>
      </w:tr>
      <w:tr w:rsidR="00E874AD" w:rsidRPr="006176E4" w14:paraId="6C7CF235" w14:textId="77777777" w:rsidTr="00170E31">
        <w:tc>
          <w:tcPr>
            <w:tcW w:w="1756" w:type="pct"/>
            <w:shd w:val="clear" w:color="auto" w:fill="FFFFFF"/>
          </w:tcPr>
          <w:p w14:paraId="3010D9F5"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w:t>
            </w:r>
            <w:proofErr w:type="gramStart"/>
            <w:r w:rsidRPr="006176E4">
              <w:rPr>
                <w:sz w:val="17"/>
                <w:szCs w:val="17"/>
                <w:lang w:val="en-GB"/>
              </w:rPr>
              <w:t>as-received</w:t>
            </w:r>
            <w:proofErr w:type="gramEnd"/>
            <w:r w:rsidRPr="006176E4">
              <w:rPr>
                <w:sz w:val="17"/>
                <w:szCs w:val="17"/>
                <w:lang w:val="en-GB"/>
              </w:rPr>
              <w:t>, tested)</w:t>
            </w:r>
          </w:p>
        </w:tc>
        <w:tc>
          <w:tcPr>
            <w:tcW w:w="1621" w:type="pct"/>
            <w:shd w:val="clear" w:color="auto" w:fill="FFFFFF"/>
          </w:tcPr>
          <w:p w14:paraId="11865643" w14:textId="77777777" w:rsidR="00E874AD" w:rsidRPr="006176E4" w:rsidRDefault="00E874AD" w:rsidP="00170E31">
            <w:pPr>
              <w:pStyle w:val="CETBodytext"/>
              <w:jc w:val="center"/>
              <w:rPr>
                <w:sz w:val="17"/>
                <w:szCs w:val="17"/>
                <w:lang w:val="en-GB"/>
              </w:rPr>
            </w:pPr>
            <w:r w:rsidRPr="006176E4">
              <w:rPr>
                <w:sz w:val="17"/>
                <w:szCs w:val="17"/>
                <w:lang w:val="en-GB"/>
              </w:rPr>
              <w:t xml:space="preserve">149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69A7FC0A" w14:textId="77777777" w:rsidR="00E874AD" w:rsidRPr="006176E4" w:rsidRDefault="00E874AD" w:rsidP="00170E31">
            <w:pPr>
              <w:pStyle w:val="CETBodytext"/>
              <w:jc w:val="center"/>
              <w:rPr>
                <w:sz w:val="17"/>
                <w:szCs w:val="17"/>
                <w:lang w:val="en-GB"/>
              </w:rPr>
            </w:pPr>
          </w:p>
        </w:tc>
      </w:tr>
      <w:tr w:rsidR="00E874AD" w:rsidRPr="006176E4" w14:paraId="1D0E5A37" w14:textId="77777777" w:rsidTr="00170E31">
        <w:tc>
          <w:tcPr>
            <w:tcW w:w="1756" w:type="pct"/>
            <w:shd w:val="clear" w:color="auto" w:fill="FFFFFF"/>
          </w:tcPr>
          <w:p w14:paraId="1064CEA6"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(milled sample, tested)</w:t>
            </w:r>
          </w:p>
        </w:tc>
        <w:tc>
          <w:tcPr>
            <w:tcW w:w="1621" w:type="pct"/>
            <w:shd w:val="clear" w:color="auto" w:fill="FFFFFF"/>
          </w:tcPr>
          <w:p w14:paraId="06585F4B"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074C8170" w14:textId="77777777" w:rsidR="00E874AD" w:rsidRPr="006176E4" w:rsidRDefault="00E874AD" w:rsidP="00170E31">
            <w:pPr>
              <w:pStyle w:val="CETBodytext"/>
              <w:jc w:val="center"/>
              <w:rPr>
                <w:sz w:val="17"/>
                <w:szCs w:val="17"/>
                <w:lang w:val="en-GB"/>
              </w:rPr>
            </w:pPr>
            <w:r w:rsidRPr="006176E4">
              <w:rPr>
                <w:sz w:val="17"/>
                <w:szCs w:val="17"/>
                <w:lang w:val="en-GB"/>
              </w:rPr>
              <w:t xml:space="preserve">84 </w:t>
            </w:r>
            <w:r w:rsidRPr="006176E4">
              <w:rPr>
                <w:rFonts w:ascii="Symbol" w:hAnsi="Symbol"/>
                <w:sz w:val="17"/>
                <w:szCs w:val="17"/>
                <w:lang w:val="en-GB"/>
              </w:rPr>
              <w:t></w:t>
            </w:r>
            <w:r w:rsidRPr="006176E4">
              <w:rPr>
                <w:sz w:val="17"/>
                <w:szCs w:val="17"/>
                <w:lang w:val="en-GB"/>
              </w:rPr>
              <w:t>m</w:t>
            </w:r>
          </w:p>
        </w:tc>
      </w:tr>
      <w:tr w:rsidR="00E874AD" w:rsidRPr="006176E4" w14:paraId="25F6C728" w14:textId="77777777" w:rsidTr="00170E31">
        <w:tc>
          <w:tcPr>
            <w:tcW w:w="1756" w:type="pct"/>
            <w:shd w:val="clear" w:color="auto" w:fill="FFFFFF"/>
          </w:tcPr>
          <w:p w14:paraId="4AA7B01E" w14:textId="77777777" w:rsidR="00E874AD" w:rsidRPr="006176E4" w:rsidRDefault="00E874AD" w:rsidP="00170E31">
            <w:pPr>
              <w:pStyle w:val="CETBodytext"/>
              <w:rPr>
                <w:sz w:val="17"/>
                <w:szCs w:val="17"/>
                <w:lang w:val="en-GB"/>
              </w:rPr>
            </w:pPr>
            <w:r w:rsidRPr="006176E4">
              <w:rPr>
                <w:sz w:val="17"/>
                <w:szCs w:val="17"/>
                <w:lang w:val="en-GB"/>
              </w:rPr>
              <w:t>Humidity</w:t>
            </w:r>
          </w:p>
        </w:tc>
        <w:tc>
          <w:tcPr>
            <w:tcW w:w="1621" w:type="pct"/>
            <w:shd w:val="clear" w:color="auto" w:fill="FFFFFF"/>
          </w:tcPr>
          <w:p w14:paraId="1E1C5B52" w14:textId="77777777" w:rsidR="00E874AD" w:rsidRPr="006176E4" w:rsidRDefault="00E874AD" w:rsidP="00170E31">
            <w:pPr>
              <w:pStyle w:val="CETBodytext"/>
              <w:jc w:val="center"/>
              <w:rPr>
                <w:sz w:val="17"/>
                <w:szCs w:val="17"/>
                <w:lang w:val="en-GB"/>
              </w:rPr>
            </w:pPr>
            <w:r w:rsidRPr="006176E4">
              <w:rPr>
                <w:sz w:val="17"/>
                <w:szCs w:val="17"/>
                <w:lang w:val="en-GB"/>
              </w:rPr>
              <w:t>10,55%</w:t>
            </w:r>
          </w:p>
        </w:tc>
        <w:tc>
          <w:tcPr>
            <w:tcW w:w="1623" w:type="pct"/>
            <w:shd w:val="clear" w:color="auto" w:fill="FFFFFF"/>
          </w:tcPr>
          <w:p w14:paraId="40E82C42" w14:textId="77777777" w:rsidR="00E874AD" w:rsidRPr="006176E4" w:rsidRDefault="00E874AD" w:rsidP="00170E31">
            <w:pPr>
              <w:pStyle w:val="CETBodytext"/>
              <w:jc w:val="center"/>
              <w:rPr>
                <w:sz w:val="17"/>
                <w:szCs w:val="17"/>
                <w:lang w:val="en-GB"/>
              </w:rPr>
            </w:pPr>
            <w:r w:rsidRPr="006176E4">
              <w:rPr>
                <w:sz w:val="17"/>
                <w:szCs w:val="17"/>
                <w:lang w:val="en-GB"/>
              </w:rPr>
              <w:t>3,26%</w:t>
            </w:r>
          </w:p>
        </w:tc>
      </w:tr>
      <w:tr w:rsidR="00E874AD" w:rsidRPr="006176E4" w14:paraId="39FAD902" w14:textId="77777777" w:rsidTr="00170E31">
        <w:tc>
          <w:tcPr>
            <w:tcW w:w="1756" w:type="pct"/>
            <w:shd w:val="clear" w:color="auto" w:fill="FFFFFF"/>
          </w:tcPr>
          <w:p w14:paraId="07430195" w14:textId="77777777" w:rsidR="00E874AD" w:rsidRPr="006176E4" w:rsidRDefault="00E874AD" w:rsidP="00170E31">
            <w:pPr>
              <w:pStyle w:val="CETBodytext"/>
              <w:rPr>
                <w:sz w:val="17"/>
                <w:szCs w:val="17"/>
                <w:lang w:val="en-GB"/>
              </w:rPr>
            </w:pPr>
            <w:r w:rsidRPr="006176E4">
              <w:rPr>
                <w:sz w:val="17"/>
                <w:szCs w:val="17"/>
                <w:lang w:val="en-GB"/>
              </w:rPr>
              <w:t>Burning class at 20°C</w:t>
            </w:r>
          </w:p>
        </w:tc>
        <w:tc>
          <w:tcPr>
            <w:tcW w:w="1621" w:type="pct"/>
            <w:shd w:val="clear" w:color="auto" w:fill="FFFFFF"/>
          </w:tcPr>
          <w:p w14:paraId="30A05F83"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137CE8C7" w14:textId="77777777" w:rsidR="00E874AD" w:rsidRPr="006176E4" w:rsidRDefault="00E874AD" w:rsidP="00170E31">
            <w:pPr>
              <w:pStyle w:val="CETBodytext"/>
              <w:jc w:val="center"/>
              <w:rPr>
                <w:sz w:val="17"/>
                <w:szCs w:val="17"/>
                <w:lang w:val="en-GB"/>
              </w:rPr>
            </w:pPr>
            <w:r w:rsidRPr="006176E4">
              <w:rPr>
                <w:sz w:val="17"/>
                <w:szCs w:val="17"/>
                <w:lang w:val="en-GB"/>
              </w:rPr>
              <w:t>3</w:t>
            </w:r>
          </w:p>
        </w:tc>
      </w:tr>
      <w:tr w:rsidR="00E874AD" w:rsidRPr="006176E4" w14:paraId="543EC0E1" w14:textId="77777777" w:rsidTr="00170E31">
        <w:tc>
          <w:tcPr>
            <w:tcW w:w="1756" w:type="pct"/>
            <w:shd w:val="clear" w:color="auto" w:fill="FFFFFF"/>
          </w:tcPr>
          <w:p w14:paraId="6763FCD6" w14:textId="77777777" w:rsidR="00E874AD" w:rsidRPr="006176E4" w:rsidRDefault="00E874AD" w:rsidP="00170E31">
            <w:pPr>
              <w:pStyle w:val="CETBodytext"/>
              <w:rPr>
                <w:sz w:val="17"/>
                <w:szCs w:val="17"/>
                <w:lang w:val="en-GB"/>
              </w:rPr>
            </w:pPr>
            <w:r w:rsidRPr="006176E4">
              <w:rPr>
                <w:sz w:val="17"/>
                <w:szCs w:val="17"/>
                <w:lang w:val="en-GB"/>
              </w:rPr>
              <w:t>Burning class at 100°C</w:t>
            </w:r>
          </w:p>
        </w:tc>
        <w:tc>
          <w:tcPr>
            <w:tcW w:w="1621" w:type="pct"/>
            <w:shd w:val="clear" w:color="auto" w:fill="FFFFFF"/>
          </w:tcPr>
          <w:p w14:paraId="01E79927"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2CEB26DD" w14:textId="77777777" w:rsidR="00E874AD" w:rsidRPr="006176E4" w:rsidRDefault="00E874AD" w:rsidP="00170E31">
            <w:pPr>
              <w:pStyle w:val="CETBodytext"/>
              <w:jc w:val="center"/>
              <w:rPr>
                <w:sz w:val="17"/>
                <w:szCs w:val="17"/>
                <w:lang w:val="en-GB"/>
              </w:rPr>
            </w:pPr>
            <w:r w:rsidRPr="006176E4">
              <w:rPr>
                <w:sz w:val="17"/>
                <w:szCs w:val="17"/>
                <w:lang w:val="en-GB"/>
              </w:rPr>
              <w:t>3</w:t>
            </w:r>
          </w:p>
        </w:tc>
      </w:tr>
      <w:tr w:rsidR="00E874AD" w:rsidRPr="006176E4" w14:paraId="21D4393F" w14:textId="77777777" w:rsidTr="00170E31">
        <w:tc>
          <w:tcPr>
            <w:tcW w:w="1756" w:type="pct"/>
            <w:shd w:val="clear" w:color="auto" w:fill="FFFFFF"/>
          </w:tcPr>
          <w:p w14:paraId="067A6B5B" w14:textId="77777777" w:rsidR="00E874AD" w:rsidRPr="006176E4" w:rsidRDefault="00E874AD" w:rsidP="00170E31">
            <w:pPr>
              <w:pStyle w:val="CETBodytext"/>
              <w:rPr>
                <w:sz w:val="17"/>
                <w:szCs w:val="17"/>
                <w:lang w:val="en-GB"/>
              </w:rPr>
            </w:pPr>
            <w:r w:rsidRPr="006176E4">
              <w:rPr>
                <w:sz w:val="17"/>
                <w:szCs w:val="17"/>
                <w:lang w:val="en-GB"/>
              </w:rPr>
              <w:t>MIE with inductance</w:t>
            </w:r>
          </w:p>
        </w:tc>
        <w:tc>
          <w:tcPr>
            <w:tcW w:w="1621" w:type="pct"/>
            <w:shd w:val="clear" w:color="auto" w:fill="FFFFFF"/>
          </w:tcPr>
          <w:p w14:paraId="21753FF4" w14:textId="77777777" w:rsidR="00E874AD" w:rsidRPr="006176E4" w:rsidRDefault="00E874AD" w:rsidP="00170E31">
            <w:pPr>
              <w:pStyle w:val="CETBodytext"/>
              <w:jc w:val="center"/>
              <w:rPr>
                <w:sz w:val="17"/>
                <w:szCs w:val="17"/>
                <w:lang w:val="en-GB"/>
              </w:rPr>
            </w:pPr>
            <w:r w:rsidRPr="006176E4">
              <w:rPr>
                <w:sz w:val="17"/>
                <w:szCs w:val="17"/>
                <w:lang w:val="en-GB"/>
              </w:rPr>
              <w:t>&gt;1.000 mJ</w:t>
            </w:r>
          </w:p>
        </w:tc>
        <w:tc>
          <w:tcPr>
            <w:tcW w:w="1623" w:type="pct"/>
            <w:shd w:val="clear" w:color="auto" w:fill="FFFFFF"/>
          </w:tcPr>
          <w:p w14:paraId="2A232877" w14:textId="77777777" w:rsidR="00E874AD" w:rsidRPr="006176E4" w:rsidRDefault="00E874AD" w:rsidP="00170E31">
            <w:pPr>
              <w:pStyle w:val="CETBodytext"/>
              <w:jc w:val="center"/>
              <w:rPr>
                <w:sz w:val="17"/>
                <w:szCs w:val="17"/>
                <w:lang w:val="en-GB"/>
              </w:rPr>
            </w:pPr>
            <w:r w:rsidRPr="006176E4">
              <w:rPr>
                <w:sz w:val="17"/>
                <w:szCs w:val="17"/>
                <w:lang w:val="en-GB"/>
              </w:rPr>
              <w:t>30 mJ - 100 mJ</w:t>
            </w:r>
          </w:p>
        </w:tc>
      </w:tr>
      <w:tr w:rsidR="00E874AD" w:rsidRPr="006176E4" w14:paraId="7C35E818" w14:textId="77777777" w:rsidTr="00170E31">
        <w:tc>
          <w:tcPr>
            <w:tcW w:w="1756" w:type="pct"/>
            <w:shd w:val="clear" w:color="auto" w:fill="FFFFFF"/>
          </w:tcPr>
          <w:p w14:paraId="65A4DB75" w14:textId="77777777" w:rsidR="00E874AD" w:rsidRPr="006176E4" w:rsidRDefault="00E874AD" w:rsidP="00170E31">
            <w:pPr>
              <w:pStyle w:val="CETBodytext"/>
              <w:rPr>
                <w:sz w:val="17"/>
                <w:szCs w:val="17"/>
                <w:lang w:val="en-GB"/>
              </w:rPr>
            </w:pPr>
            <w:r w:rsidRPr="006176E4">
              <w:rPr>
                <w:sz w:val="17"/>
                <w:szCs w:val="17"/>
                <w:lang w:val="en-GB"/>
              </w:rPr>
              <w:t>MIE without inductance</w:t>
            </w:r>
          </w:p>
        </w:tc>
        <w:tc>
          <w:tcPr>
            <w:tcW w:w="1621" w:type="pct"/>
            <w:shd w:val="clear" w:color="auto" w:fill="FFFFFF"/>
          </w:tcPr>
          <w:p w14:paraId="008412D7" w14:textId="77777777" w:rsidR="00E874AD" w:rsidRPr="006176E4" w:rsidRDefault="00E874AD" w:rsidP="00170E31">
            <w:pPr>
              <w:pStyle w:val="CETBodytext"/>
              <w:jc w:val="center"/>
              <w:rPr>
                <w:sz w:val="17"/>
                <w:szCs w:val="17"/>
                <w:lang w:val="en-GB"/>
              </w:rPr>
            </w:pPr>
            <w:r w:rsidRPr="006176E4">
              <w:rPr>
                <w:sz w:val="17"/>
                <w:szCs w:val="17"/>
                <w:lang w:val="en-GB"/>
              </w:rPr>
              <w:t>&gt;1.000 mJ</w:t>
            </w:r>
          </w:p>
        </w:tc>
        <w:tc>
          <w:tcPr>
            <w:tcW w:w="1623" w:type="pct"/>
            <w:shd w:val="clear" w:color="auto" w:fill="FFFFFF"/>
          </w:tcPr>
          <w:p w14:paraId="65D374D4" w14:textId="77777777" w:rsidR="00E874AD" w:rsidRPr="006176E4" w:rsidRDefault="00E874AD" w:rsidP="00170E31">
            <w:pPr>
              <w:pStyle w:val="CETBodytext"/>
              <w:jc w:val="center"/>
              <w:rPr>
                <w:sz w:val="17"/>
                <w:szCs w:val="17"/>
                <w:lang w:val="en-GB"/>
              </w:rPr>
            </w:pPr>
            <w:r w:rsidRPr="006176E4">
              <w:rPr>
                <w:sz w:val="17"/>
                <w:szCs w:val="17"/>
                <w:lang w:val="en-GB"/>
              </w:rPr>
              <w:t>300 mJ - 1.000 mJ</w:t>
            </w:r>
          </w:p>
        </w:tc>
      </w:tr>
      <w:tr w:rsidR="00E874AD" w:rsidRPr="006176E4" w14:paraId="515C8DE7" w14:textId="77777777" w:rsidTr="00170E31">
        <w:tc>
          <w:tcPr>
            <w:tcW w:w="1756" w:type="pct"/>
            <w:shd w:val="clear" w:color="auto" w:fill="FFFFFF"/>
          </w:tcPr>
          <w:p w14:paraId="3B15C86C" w14:textId="77777777" w:rsidR="00E874AD" w:rsidRPr="006176E4" w:rsidRDefault="00E874AD" w:rsidP="00170E31">
            <w:pPr>
              <w:pStyle w:val="CETBodytext"/>
              <w:rPr>
                <w:sz w:val="17"/>
                <w:szCs w:val="17"/>
                <w:lang w:val="en-GB"/>
              </w:rPr>
            </w:pPr>
            <w:r w:rsidRPr="006176E4">
              <w:rPr>
                <w:sz w:val="17"/>
                <w:szCs w:val="17"/>
                <w:lang w:val="en-GB"/>
              </w:rPr>
              <w:t>MIT cloud (</w:t>
            </w:r>
            <w:proofErr w:type="spellStart"/>
            <w:r w:rsidRPr="006176E4">
              <w:rPr>
                <w:sz w:val="17"/>
                <w:szCs w:val="17"/>
                <w:lang w:val="en-GB"/>
              </w:rPr>
              <w:t>Godbert</w:t>
            </w:r>
            <w:proofErr w:type="spellEnd"/>
            <w:r w:rsidRPr="006176E4">
              <w:rPr>
                <w:sz w:val="17"/>
                <w:szCs w:val="17"/>
                <w:lang w:val="en-GB"/>
              </w:rPr>
              <w:t>-Greenwald)</w:t>
            </w:r>
          </w:p>
        </w:tc>
        <w:tc>
          <w:tcPr>
            <w:tcW w:w="1621" w:type="pct"/>
            <w:shd w:val="clear" w:color="auto" w:fill="FFFFFF"/>
          </w:tcPr>
          <w:p w14:paraId="4DB699B2" w14:textId="77777777" w:rsidR="00E874AD" w:rsidRPr="006176E4" w:rsidRDefault="00E874AD" w:rsidP="00170E31">
            <w:pPr>
              <w:pStyle w:val="CETBodytext"/>
              <w:jc w:val="center"/>
              <w:rPr>
                <w:sz w:val="17"/>
                <w:szCs w:val="17"/>
                <w:lang w:val="en-GB"/>
              </w:rPr>
            </w:pPr>
            <w:r w:rsidRPr="006176E4">
              <w:rPr>
                <w:sz w:val="17"/>
                <w:szCs w:val="17"/>
                <w:lang w:val="en-GB"/>
              </w:rPr>
              <w:t>440°C</w:t>
            </w:r>
          </w:p>
        </w:tc>
        <w:tc>
          <w:tcPr>
            <w:tcW w:w="1623" w:type="pct"/>
            <w:shd w:val="clear" w:color="auto" w:fill="FFFFFF"/>
          </w:tcPr>
          <w:p w14:paraId="71331FEC" w14:textId="77777777" w:rsidR="00E874AD" w:rsidRPr="006176E4" w:rsidRDefault="00E874AD" w:rsidP="00170E31">
            <w:pPr>
              <w:pStyle w:val="CETBodytext"/>
              <w:jc w:val="center"/>
              <w:rPr>
                <w:sz w:val="17"/>
                <w:szCs w:val="17"/>
                <w:lang w:val="en-GB"/>
              </w:rPr>
            </w:pPr>
            <w:r w:rsidRPr="006176E4">
              <w:rPr>
                <w:sz w:val="17"/>
                <w:szCs w:val="17"/>
                <w:lang w:val="en-GB"/>
              </w:rPr>
              <w:t>440°C</w:t>
            </w:r>
          </w:p>
        </w:tc>
      </w:tr>
      <w:tr w:rsidR="00E874AD" w:rsidRPr="006176E4" w14:paraId="576AE330" w14:textId="77777777" w:rsidTr="00170E31">
        <w:tc>
          <w:tcPr>
            <w:tcW w:w="1756" w:type="pct"/>
            <w:shd w:val="clear" w:color="auto" w:fill="FFFFFF"/>
          </w:tcPr>
          <w:p w14:paraId="66BCC9C8" w14:textId="77777777" w:rsidR="00E874AD" w:rsidRPr="006176E4" w:rsidRDefault="00E874AD" w:rsidP="00170E31">
            <w:pPr>
              <w:pStyle w:val="CETBodytext"/>
              <w:rPr>
                <w:sz w:val="17"/>
                <w:szCs w:val="17"/>
                <w:lang w:val="en-GB"/>
              </w:rPr>
            </w:pPr>
            <w:r w:rsidRPr="006176E4">
              <w:rPr>
                <w:sz w:val="17"/>
                <w:szCs w:val="17"/>
                <w:lang w:val="en-GB"/>
              </w:rPr>
              <w:t>Bulk resistivity</w:t>
            </w:r>
          </w:p>
        </w:tc>
        <w:tc>
          <w:tcPr>
            <w:tcW w:w="1621" w:type="pct"/>
            <w:shd w:val="clear" w:color="auto" w:fill="FFFFFF"/>
          </w:tcPr>
          <w:p w14:paraId="7395E8F3"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8</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c>
          <w:tcPr>
            <w:tcW w:w="1623" w:type="pct"/>
            <w:shd w:val="clear" w:color="auto" w:fill="FFFFFF"/>
          </w:tcPr>
          <w:p w14:paraId="5916B6AD"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10</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r>
      <w:tr w:rsidR="00E874AD" w:rsidRPr="006176E4" w14:paraId="6A0AFF01" w14:textId="77777777" w:rsidTr="00170E31">
        <w:tc>
          <w:tcPr>
            <w:tcW w:w="1756" w:type="pct"/>
            <w:shd w:val="clear" w:color="auto" w:fill="FFFFFF"/>
          </w:tcPr>
          <w:p w14:paraId="3A9A8832" w14:textId="77777777" w:rsidR="00E874AD" w:rsidRPr="006176E4" w:rsidRDefault="00E874AD" w:rsidP="00170E31">
            <w:pPr>
              <w:pStyle w:val="CETBodytext"/>
              <w:rPr>
                <w:sz w:val="17"/>
                <w:szCs w:val="17"/>
                <w:lang w:val="en-GB"/>
              </w:rPr>
            </w:pPr>
            <w:r w:rsidRPr="006176E4">
              <w:rPr>
                <w:sz w:val="17"/>
                <w:szCs w:val="17"/>
                <w:lang w:val="en-GB"/>
              </w:rPr>
              <w:t>Screening self-ignition (Grewer)</w:t>
            </w:r>
          </w:p>
        </w:tc>
        <w:tc>
          <w:tcPr>
            <w:tcW w:w="1621" w:type="pct"/>
            <w:shd w:val="clear" w:color="auto" w:fill="FFFFFF"/>
          </w:tcPr>
          <w:p w14:paraId="5567C53F"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0906EEFC" w14:textId="77777777" w:rsidR="00E874AD" w:rsidRPr="006176E4" w:rsidRDefault="00E874AD" w:rsidP="00170E31">
            <w:pPr>
              <w:pStyle w:val="CETBodytext"/>
              <w:jc w:val="center"/>
              <w:rPr>
                <w:sz w:val="17"/>
                <w:szCs w:val="17"/>
                <w:lang w:val="en-GB"/>
              </w:rPr>
            </w:pPr>
            <w:r w:rsidRPr="006176E4">
              <w:rPr>
                <w:sz w:val="17"/>
                <w:szCs w:val="17"/>
                <w:lang w:val="en-GB"/>
              </w:rPr>
              <w:t>140°C (1</w:t>
            </w:r>
            <w:r w:rsidRPr="006176E4">
              <w:rPr>
                <w:sz w:val="17"/>
                <w:szCs w:val="17"/>
                <w:vertAlign w:val="superscript"/>
                <w:lang w:val="en-GB"/>
              </w:rPr>
              <w:t>st</w:t>
            </w:r>
            <w:r w:rsidRPr="006176E4">
              <w:rPr>
                <w:sz w:val="17"/>
                <w:szCs w:val="17"/>
                <w:lang w:val="en-GB"/>
              </w:rPr>
              <w:t xml:space="preserve"> exotherm)</w:t>
            </w:r>
          </w:p>
        </w:tc>
      </w:tr>
    </w:tbl>
    <w:p w14:paraId="42E5B1D0" w14:textId="77777777" w:rsidR="00E874AD" w:rsidRPr="006176E4" w:rsidRDefault="00E874AD" w:rsidP="00E874AD">
      <w:pPr>
        <w:pStyle w:val="CET-table-title"/>
        <w:rPr>
          <w:lang w:val="en-GB"/>
        </w:rPr>
      </w:pPr>
      <w:r w:rsidRPr="006176E4">
        <w:rPr>
          <w:lang w:val="en-GB"/>
        </w:rPr>
        <w:t>Table 6:  Laboratory tests performed on different Waste dust samples from the first cleaning step</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086"/>
        <w:gridCol w:w="2849"/>
        <w:gridCol w:w="2852"/>
      </w:tblGrid>
      <w:tr w:rsidR="00E874AD" w:rsidRPr="006176E4" w14:paraId="0F7C909C" w14:textId="77777777" w:rsidTr="00170E31">
        <w:tc>
          <w:tcPr>
            <w:tcW w:w="1756" w:type="pct"/>
            <w:tcBorders>
              <w:top w:val="single" w:sz="12" w:space="0" w:color="008000"/>
              <w:bottom w:val="single" w:sz="6" w:space="0" w:color="008000"/>
            </w:tcBorders>
            <w:shd w:val="clear" w:color="auto" w:fill="FFFFFF"/>
          </w:tcPr>
          <w:p w14:paraId="00E35A59" w14:textId="77777777" w:rsidR="00E874AD" w:rsidRPr="006176E4" w:rsidRDefault="00E874AD" w:rsidP="00170E31">
            <w:pPr>
              <w:pStyle w:val="CETBodytext"/>
              <w:jc w:val="center"/>
              <w:rPr>
                <w:sz w:val="17"/>
                <w:szCs w:val="17"/>
                <w:lang w:val="en-GB"/>
              </w:rPr>
            </w:pPr>
            <w:r w:rsidRPr="006176E4">
              <w:rPr>
                <w:sz w:val="17"/>
                <w:szCs w:val="17"/>
                <w:lang w:val="en-GB"/>
              </w:rPr>
              <w:t>Parameter</w:t>
            </w:r>
          </w:p>
        </w:tc>
        <w:tc>
          <w:tcPr>
            <w:tcW w:w="1621" w:type="pct"/>
            <w:tcBorders>
              <w:top w:val="single" w:sz="12" w:space="0" w:color="008000"/>
              <w:bottom w:val="single" w:sz="6" w:space="0" w:color="008000"/>
            </w:tcBorders>
            <w:shd w:val="clear" w:color="auto" w:fill="FFFFFF"/>
          </w:tcPr>
          <w:p w14:paraId="2D0DBD62" w14:textId="77777777" w:rsidR="00E874AD" w:rsidRPr="006176E4" w:rsidRDefault="00E874AD" w:rsidP="00170E31">
            <w:pPr>
              <w:pStyle w:val="CETBodytext"/>
              <w:jc w:val="center"/>
              <w:rPr>
                <w:sz w:val="17"/>
                <w:szCs w:val="17"/>
                <w:lang w:val="en-GB"/>
              </w:rPr>
            </w:pPr>
            <w:r w:rsidRPr="006176E4">
              <w:rPr>
                <w:sz w:val="17"/>
                <w:szCs w:val="17"/>
                <w:lang w:val="en-GB"/>
              </w:rPr>
              <w:t>Sample 1</w:t>
            </w:r>
          </w:p>
        </w:tc>
        <w:tc>
          <w:tcPr>
            <w:tcW w:w="1623" w:type="pct"/>
            <w:tcBorders>
              <w:top w:val="single" w:sz="12" w:space="0" w:color="008000"/>
              <w:bottom w:val="single" w:sz="6" w:space="0" w:color="008000"/>
            </w:tcBorders>
            <w:shd w:val="clear" w:color="auto" w:fill="FFFFFF"/>
          </w:tcPr>
          <w:p w14:paraId="03272329" w14:textId="77777777" w:rsidR="00E874AD" w:rsidRPr="006176E4" w:rsidRDefault="00E874AD" w:rsidP="00170E31">
            <w:pPr>
              <w:pStyle w:val="CETBodytext"/>
              <w:jc w:val="center"/>
              <w:rPr>
                <w:sz w:val="17"/>
                <w:szCs w:val="17"/>
                <w:lang w:val="en-GB"/>
              </w:rPr>
            </w:pPr>
            <w:r w:rsidRPr="006176E4">
              <w:rPr>
                <w:sz w:val="17"/>
                <w:szCs w:val="17"/>
                <w:lang w:val="en-GB"/>
              </w:rPr>
              <w:t>Sample 2</w:t>
            </w:r>
          </w:p>
        </w:tc>
      </w:tr>
      <w:tr w:rsidR="00E874AD" w:rsidRPr="006176E4" w14:paraId="11E4E238" w14:textId="77777777" w:rsidTr="00170E31">
        <w:tc>
          <w:tcPr>
            <w:tcW w:w="1756" w:type="pct"/>
            <w:shd w:val="clear" w:color="auto" w:fill="FFFFFF"/>
          </w:tcPr>
          <w:p w14:paraId="38C46F0E"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w:t>
            </w:r>
            <w:proofErr w:type="gramStart"/>
            <w:r w:rsidRPr="006176E4">
              <w:rPr>
                <w:sz w:val="17"/>
                <w:szCs w:val="17"/>
                <w:lang w:val="en-GB"/>
              </w:rPr>
              <w:t>as-received</w:t>
            </w:r>
            <w:proofErr w:type="gramEnd"/>
            <w:r w:rsidRPr="006176E4">
              <w:rPr>
                <w:sz w:val="17"/>
                <w:szCs w:val="17"/>
                <w:lang w:val="en-GB"/>
              </w:rPr>
              <w:t>)</w:t>
            </w:r>
          </w:p>
        </w:tc>
        <w:tc>
          <w:tcPr>
            <w:tcW w:w="1621" w:type="pct"/>
            <w:shd w:val="clear" w:color="auto" w:fill="FFFFFF"/>
          </w:tcPr>
          <w:p w14:paraId="62E52BA9"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0CC8E424" w14:textId="77777777" w:rsidR="00E874AD" w:rsidRPr="006176E4" w:rsidRDefault="00E874AD" w:rsidP="00170E31">
            <w:pPr>
              <w:pStyle w:val="CETBodytext"/>
              <w:jc w:val="center"/>
              <w:rPr>
                <w:sz w:val="17"/>
                <w:szCs w:val="17"/>
                <w:lang w:val="en-GB"/>
              </w:rPr>
            </w:pPr>
            <w:r w:rsidRPr="006176E4">
              <w:rPr>
                <w:sz w:val="17"/>
                <w:szCs w:val="17"/>
                <w:lang w:val="en-GB"/>
              </w:rPr>
              <w:t xml:space="preserve">205 </w:t>
            </w:r>
            <w:r w:rsidRPr="006176E4">
              <w:rPr>
                <w:rFonts w:ascii="Symbol" w:hAnsi="Symbol"/>
                <w:sz w:val="17"/>
                <w:szCs w:val="17"/>
                <w:lang w:val="en-GB"/>
              </w:rPr>
              <w:t></w:t>
            </w:r>
            <w:r w:rsidRPr="006176E4">
              <w:rPr>
                <w:sz w:val="17"/>
                <w:szCs w:val="17"/>
                <w:lang w:val="en-GB"/>
              </w:rPr>
              <w:t>m</w:t>
            </w:r>
          </w:p>
        </w:tc>
      </w:tr>
      <w:tr w:rsidR="00E874AD" w:rsidRPr="006176E4" w14:paraId="6D7277B4" w14:textId="77777777" w:rsidTr="00170E31">
        <w:tc>
          <w:tcPr>
            <w:tcW w:w="1756" w:type="pct"/>
            <w:shd w:val="clear" w:color="auto" w:fill="FFFFFF"/>
          </w:tcPr>
          <w:p w14:paraId="14C7271C" w14:textId="77777777" w:rsidR="00E874AD" w:rsidRPr="006176E4" w:rsidRDefault="00E874AD" w:rsidP="00170E31">
            <w:pPr>
              <w:pStyle w:val="CETBodytext"/>
              <w:rPr>
                <w:sz w:val="17"/>
                <w:szCs w:val="17"/>
                <w:lang w:val="en-GB"/>
              </w:rPr>
            </w:pPr>
            <w:r w:rsidRPr="006176E4">
              <w:rPr>
                <w:sz w:val="17"/>
                <w:szCs w:val="17"/>
                <w:lang w:val="en-GB"/>
              </w:rPr>
              <w:t>Grain size d</w:t>
            </w:r>
            <w:r w:rsidRPr="006176E4">
              <w:rPr>
                <w:sz w:val="17"/>
                <w:szCs w:val="17"/>
                <w:vertAlign w:val="subscript"/>
                <w:lang w:val="en-GB"/>
              </w:rPr>
              <w:t>50</w:t>
            </w:r>
            <w:r w:rsidRPr="006176E4">
              <w:rPr>
                <w:sz w:val="17"/>
                <w:szCs w:val="17"/>
                <w:lang w:val="en-GB"/>
              </w:rPr>
              <w:t xml:space="preserve"> (milled sample, tested)</w:t>
            </w:r>
          </w:p>
        </w:tc>
        <w:tc>
          <w:tcPr>
            <w:tcW w:w="1621" w:type="pct"/>
            <w:shd w:val="clear" w:color="auto" w:fill="FFFFFF"/>
          </w:tcPr>
          <w:p w14:paraId="37340975"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625B8E64" w14:textId="77777777" w:rsidR="00E874AD" w:rsidRPr="006176E4" w:rsidRDefault="00E874AD" w:rsidP="00170E31">
            <w:pPr>
              <w:pStyle w:val="CETBodytext"/>
              <w:jc w:val="center"/>
              <w:rPr>
                <w:sz w:val="17"/>
                <w:szCs w:val="17"/>
                <w:lang w:val="en-GB"/>
              </w:rPr>
            </w:pPr>
            <w:r w:rsidRPr="006176E4">
              <w:rPr>
                <w:sz w:val="17"/>
                <w:szCs w:val="17"/>
                <w:lang w:val="en-GB"/>
              </w:rPr>
              <w:t xml:space="preserve">24 </w:t>
            </w:r>
            <w:r w:rsidRPr="006176E4">
              <w:rPr>
                <w:rFonts w:ascii="Symbol" w:hAnsi="Symbol"/>
                <w:sz w:val="17"/>
                <w:szCs w:val="17"/>
                <w:lang w:val="en-GB"/>
              </w:rPr>
              <w:t></w:t>
            </w:r>
            <w:r w:rsidRPr="006176E4">
              <w:rPr>
                <w:sz w:val="17"/>
                <w:szCs w:val="17"/>
                <w:lang w:val="en-GB"/>
              </w:rPr>
              <w:t>m</w:t>
            </w:r>
          </w:p>
        </w:tc>
      </w:tr>
      <w:tr w:rsidR="00E874AD" w:rsidRPr="006176E4" w14:paraId="23E579A1" w14:textId="77777777" w:rsidTr="00170E31">
        <w:tc>
          <w:tcPr>
            <w:tcW w:w="1756" w:type="pct"/>
            <w:shd w:val="clear" w:color="auto" w:fill="FFFFFF"/>
          </w:tcPr>
          <w:p w14:paraId="5B672B60" w14:textId="77777777" w:rsidR="00E874AD" w:rsidRPr="006176E4" w:rsidRDefault="00E874AD" w:rsidP="00170E31">
            <w:pPr>
              <w:pStyle w:val="CETBodytext"/>
              <w:rPr>
                <w:sz w:val="17"/>
                <w:szCs w:val="17"/>
                <w:lang w:val="en-GB"/>
              </w:rPr>
            </w:pPr>
            <w:r w:rsidRPr="006176E4">
              <w:rPr>
                <w:sz w:val="17"/>
                <w:szCs w:val="17"/>
                <w:lang w:val="en-GB"/>
              </w:rPr>
              <w:t>Humidity</w:t>
            </w:r>
          </w:p>
        </w:tc>
        <w:tc>
          <w:tcPr>
            <w:tcW w:w="1621" w:type="pct"/>
            <w:shd w:val="clear" w:color="auto" w:fill="FFFFFF"/>
          </w:tcPr>
          <w:p w14:paraId="1FF7ECCD"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05442FAB" w14:textId="77777777" w:rsidR="00E874AD" w:rsidRPr="006176E4" w:rsidRDefault="00E874AD" w:rsidP="00170E31">
            <w:pPr>
              <w:pStyle w:val="CETBodytext"/>
              <w:jc w:val="center"/>
              <w:rPr>
                <w:sz w:val="17"/>
                <w:szCs w:val="17"/>
                <w:lang w:val="en-GB"/>
              </w:rPr>
            </w:pPr>
            <w:r w:rsidRPr="006176E4">
              <w:rPr>
                <w:sz w:val="17"/>
                <w:szCs w:val="17"/>
                <w:lang w:val="en-GB"/>
              </w:rPr>
              <w:t>Dried (vacuum, 1h, 50°C)</w:t>
            </w:r>
          </w:p>
        </w:tc>
      </w:tr>
      <w:tr w:rsidR="00E874AD" w:rsidRPr="006176E4" w14:paraId="461A5055" w14:textId="77777777" w:rsidTr="00170E31">
        <w:tc>
          <w:tcPr>
            <w:tcW w:w="1756" w:type="pct"/>
            <w:shd w:val="clear" w:color="auto" w:fill="FFFFFF"/>
          </w:tcPr>
          <w:p w14:paraId="3577EC68" w14:textId="77777777" w:rsidR="00E874AD" w:rsidRPr="006176E4" w:rsidRDefault="00E874AD" w:rsidP="00170E31">
            <w:pPr>
              <w:pStyle w:val="CETBodytext"/>
              <w:rPr>
                <w:sz w:val="17"/>
                <w:szCs w:val="17"/>
                <w:lang w:val="en-GB"/>
              </w:rPr>
            </w:pPr>
            <w:r w:rsidRPr="006176E4">
              <w:rPr>
                <w:sz w:val="17"/>
                <w:szCs w:val="17"/>
                <w:lang w:val="en-GB"/>
              </w:rPr>
              <w:t>Burning class at 20°C</w:t>
            </w:r>
          </w:p>
        </w:tc>
        <w:tc>
          <w:tcPr>
            <w:tcW w:w="1621" w:type="pct"/>
            <w:shd w:val="clear" w:color="auto" w:fill="FFFFFF"/>
          </w:tcPr>
          <w:p w14:paraId="54B5203B" w14:textId="77777777" w:rsidR="00E874AD" w:rsidRPr="006176E4" w:rsidRDefault="00E874AD" w:rsidP="00170E31">
            <w:pPr>
              <w:pStyle w:val="CETBodytext"/>
              <w:jc w:val="center"/>
              <w:rPr>
                <w:sz w:val="17"/>
                <w:szCs w:val="17"/>
                <w:lang w:val="en-GB"/>
              </w:rPr>
            </w:pPr>
            <w:r w:rsidRPr="006176E4">
              <w:rPr>
                <w:sz w:val="17"/>
                <w:szCs w:val="17"/>
                <w:lang w:val="en-GB"/>
              </w:rPr>
              <w:t>4</w:t>
            </w:r>
          </w:p>
        </w:tc>
        <w:tc>
          <w:tcPr>
            <w:tcW w:w="1623" w:type="pct"/>
            <w:shd w:val="clear" w:color="auto" w:fill="FFFFFF"/>
          </w:tcPr>
          <w:p w14:paraId="43A25817" w14:textId="77777777" w:rsidR="00E874AD" w:rsidRPr="006176E4" w:rsidRDefault="00E874AD" w:rsidP="00170E31">
            <w:pPr>
              <w:pStyle w:val="CETBodytext"/>
              <w:jc w:val="center"/>
              <w:rPr>
                <w:sz w:val="17"/>
                <w:szCs w:val="17"/>
                <w:lang w:val="en-GB"/>
              </w:rPr>
            </w:pPr>
            <w:r w:rsidRPr="006176E4">
              <w:rPr>
                <w:sz w:val="17"/>
                <w:szCs w:val="17"/>
                <w:lang w:val="en-GB"/>
              </w:rPr>
              <w:t>3</w:t>
            </w:r>
          </w:p>
        </w:tc>
      </w:tr>
      <w:tr w:rsidR="00E874AD" w:rsidRPr="006176E4" w14:paraId="6E41432A" w14:textId="77777777" w:rsidTr="00170E31">
        <w:tc>
          <w:tcPr>
            <w:tcW w:w="1756" w:type="pct"/>
            <w:shd w:val="clear" w:color="auto" w:fill="FFFFFF"/>
          </w:tcPr>
          <w:p w14:paraId="7A88AEE2" w14:textId="77777777" w:rsidR="00E874AD" w:rsidRPr="006176E4" w:rsidRDefault="00E874AD" w:rsidP="00170E31">
            <w:pPr>
              <w:pStyle w:val="CETBodytext"/>
              <w:rPr>
                <w:sz w:val="17"/>
                <w:szCs w:val="17"/>
                <w:lang w:val="en-GB"/>
              </w:rPr>
            </w:pPr>
            <w:r w:rsidRPr="006176E4">
              <w:rPr>
                <w:sz w:val="17"/>
                <w:szCs w:val="17"/>
                <w:lang w:val="en-GB"/>
              </w:rPr>
              <w:lastRenderedPageBreak/>
              <w:t>Burning class at 100°C</w:t>
            </w:r>
          </w:p>
        </w:tc>
        <w:tc>
          <w:tcPr>
            <w:tcW w:w="1621" w:type="pct"/>
            <w:shd w:val="clear" w:color="auto" w:fill="FFFFFF"/>
          </w:tcPr>
          <w:p w14:paraId="68AA046B" w14:textId="77777777" w:rsidR="00E874AD" w:rsidRPr="006176E4" w:rsidRDefault="00E874AD" w:rsidP="00170E31">
            <w:pPr>
              <w:pStyle w:val="CETBodytext"/>
              <w:jc w:val="center"/>
              <w:rPr>
                <w:sz w:val="17"/>
                <w:szCs w:val="17"/>
                <w:lang w:val="en-GB"/>
              </w:rPr>
            </w:pPr>
            <w:r w:rsidRPr="006176E4">
              <w:rPr>
                <w:sz w:val="17"/>
                <w:szCs w:val="17"/>
                <w:lang w:val="en-GB"/>
              </w:rPr>
              <w:t>4</w:t>
            </w:r>
          </w:p>
        </w:tc>
        <w:tc>
          <w:tcPr>
            <w:tcW w:w="1623" w:type="pct"/>
            <w:shd w:val="clear" w:color="auto" w:fill="FFFFFF"/>
          </w:tcPr>
          <w:p w14:paraId="5D786180" w14:textId="77777777" w:rsidR="00E874AD" w:rsidRPr="006176E4" w:rsidRDefault="00E874AD" w:rsidP="00170E31">
            <w:pPr>
              <w:pStyle w:val="CETBodytext"/>
              <w:jc w:val="center"/>
              <w:rPr>
                <w:sz w:val="17"/>
                <w:szCs w:val="17"/>
                <w:lang w:val="en-GB"/>
              </w:rPr>
            </w:pPr>
            <w:r w:rsidRPr="006176E4">
              <w:rPr>
                <w:sz w:val="17"/>
                <w:szCs w:val="17"/>
                <w:lang w:val="en-GB"/>
              </w:rPr>
              <w:t>5</w:t>
            </w:r>
          </w:p>
        </w:tc>
      </w:tr>
      <w:tr w:rsidR="00E874AD" w:rsidRPr="006176E4" w14:paraId="12F1EFEB" w14:textId="77777777" w:rsidTr="00170E31">
        <w:tc>
          <w:tcPr>
            <w:tcW w:w="1756" w:type="pct"/>
            <w:shd w:val="clear" w:color="auto" w:fill="FFFFFF"/>
          </w:tcPr>
          <w:p w14:paraId="58BA9007" w14:textId="77777777" w:rsidR="00E874AD" w:rsidRPr="006176E4" w:rsidRDefault="00E874AD" w:rsidP="00170E31">
            <w:pPr>
              <w:pStyle w:val="CETBodytext"/>
              <w:rPr>
                <w:sz w:val="17"/>
                <w:szCs w:val="17"/>
                <w:lang w:val="en-GB"/>
              </w:rPr>
            </w:pPr>
            <w:r w:rsidRPr="006176E4">
              <w:rPr>
                <w:sz w:val="17"/>
                <w:szCs w:val="17"/>
                <w:lang w:val="en-GB"/>
              </w:rPr>
              <w:t>MIT layer 5 mm</w:t>
            </w:r>
          </w:p>
        </w:tc>
        <w:tc>
          <w:tcPr>
            <w:tcW w:w="1621" w:type="pct"/>
            <w:shd w:val="clear" w:color="auto" w:fill="FFFFFF"/>
          </w:tcPr>
          <w:p w14:paraId="08343A6F"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56B2584A" w14:textId="77777777" w:rsidR="00E874AD" w:rsidRPr="006176E4" w:rsidRDefault="00E874AD" w:rsidP="00170E31">
            <w:pPr>
              <w:pStyle w:val="CETBodytext"/>
              <w:jc w:val="center"/>
              <w:rPr>
                <w:sz w:val="17"/>
                <w:szCs w:val="17"/>
                <w:lang w:val="en-GB"/>
              </w:rPr>
            </w:pPr>
            <w:r w:rsidRPr="006176E4">
              <w:rPr>
                <w:sz w:val="17"/>
                <w:szCs w:val="17"/>
                <w:lang w:val="en-GB"/>
              </w:rPr>
              <w:t>310°C</w:t>
            </w:r>
          </w:p>
        </w:tc>
      </w:tr>
      <w:tr w:rsidR="00E874AD" w:rsidRPr="006176E4" w14:paraId="34668028" w14:textId="77777777" w:rsidTr="00170E31">
        <w:tc>
          <w:tcPr>
            <w:tcW w:w="1756" w:type="pct"/>
            <w:shd w:val="clear" w:color="auto" w:fill="FFFFFF"/>
          </w:tcPr>
          <w:p w14:paraId="668DC676" w14:textId="77777777" w:rsidR="00E874AD" w:rsidRPr="006176E4" w:rsidRDefault="00E874AD" w:rsidP="00170E31">
            <w:pPr>
              <w:pStyle w:val="CETBodytext"/>
              <w:rPr>
                <w:sz w:val="17"/>
                <w:szCs w:val="17"/>
                <w:lang w:val="en-GB"/>
              </w:rPr>
            </w:pPr>
            <w:r w:rsidRPr="006176E4">
              <w:rPr>
                <w:sz w:val="17"/>
                <w:szCs w:val="17"/>
                <w:lang w:val="en-GB"/>
              </w:rPr>
              <w:t>MIE with inductance</w:t>
            </w:r>
          </w:p>
        </w:tc>
        <w:tc>
          <w:tcPr>
            <w:tcW w:w="1621" w:type="pct"/>
            <w:shd w:val="clear" w:color="auto" w:fill="FFFFFF"/>
          </w:tcPr>
          <w:p w14:paraId="680390A1"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6BD062AD" w14:textId="77777777" w:rsidR="00E874AD" w:rsidRPr="006176E4" w:rsidRDefault="00E874AD" w:rsidP="00170E31">
            <w:pPr>
              <w:pStyle w:val="CETBodytext"/>
              <w:jc w:val="center"/>
              <w:rPr>
                <w:sz w:val="17"/>
                <w:szCs w:val="17"/>
                <w:lang w:val="en-GB"/>
              </w:rPr>
            </w:pPr>
            <w:r w:rsidRPr="006176E4">
              <w:rPr>
                <w:sz w:val="17"/>
                <w:szCs w:val="17"/>
                <w:lang w:val="en-GB"/>
              </w:rPr>
              <w:t>30 mJ - 100 mJ</w:t>
            </w:r>
          </w:p>
        </w:tc>
      </w:tr>
      <w:tr w:rsidR="00E874AD" w:rsidRPr="006176E4" w14:paraId="69FDB590" w14:textId="77777777" w:rsidTr="00170E31">
        <w:tc>
          <w:tcPr>
            <w:tcW w:w="1756" w:type="pct"/>
            <w:shd w:val="clear" w:color="auto" w:fill="FFFFFF"/>
          </w:tcPr>
          <w:p w14:paraId="5B4F5B5E" w14:textId="77777777" w:rsidR="00E874AD" w:rsidRPr="006176E4" w:rsidRDefault="00E874AD" w:rsidP="00170E31">
            <w:pPr>
              <w:pStyle w:val="CETBodytext"/>
              <w:rPr>
                <w:sz w:val="17"/>
                <w:szCs w:val="17"/>
                <w:lang w:val="en-GB"/>
              </w:rPr>
            </w:pPr>
            <w:r w:rsidRPr="006176E4">
              <w:rPr>
                <w:sz w:val="17"/>
                <w:szCs w:val="17"/>
                <w:lang w:val="en-GB"/>
              </w:rPr>
              <w:t>MIE without inductance</w:t>
            </w:r>
          </w:p>
        </w:tc>
        <w:tc>
          <w:tcPr>
            <w:tcW w:w="1621" w:type="pct"/>
            <w:shd w:val="clear" w:color="auto" w:fill="FFFFFF"/>
          </w:tcPr>
          <w:p w14:paraId="0E710104"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20409E18" w14:textId="77777777" w:rsidR="00E874AD" w:rsidRPr="006176E4" w:rsidRDefault="00E874AD" w:rsidP="00170E31">
            <w:pPr>
              <w:pStyle w:val="CETBodytext"/>
              <w:jc w:val="center"/>
              <w:rPr>
                <w:sz w:val="17"/>
                <w:szCs w:val="17"/>
                <w:lang w:val="en-GB"/>
              </w:rPr>
            </w:pPr>
            <w:r w:rsidRPr="006176E4">
              <w:rPr>
                <w:sz w:val="17"/>
                <w:szCs w:val="17"/>
                <w:lang w:val="en-GB"/>
              </w:rPr>
              <w:t>&gt;1.000 mJ</w:t>
            </w:r>
          </w:p>
        </w:tc>
      </w:tr>
      <w:tr w:rsidR="00E874AD" w:rsidRPr="006176E4" w14:paraId="74AAC31F" w14:textId="77777777" w:rsidTr="00170E31">
        <w:tc>
          <w:tcPr>
            <w:tcW w:w="1756" w:type="pct"/>
            <w:shd w:val="clear" w:color="auto" w:fill="FFFFFF"/>
          </w:tcPr>
          <w:p w14:paraId="452B5404" w14:textId="77777777" w:rsidR="00E874AD" w:rsidRPr="006176E4" w:rsidRDefault="00E874AD" w:rsidP="00170E31">
            <w:pPr>
              <w:pStyle w:val="CETBodytext"/>
              <w:rPr>
                <w:sz w:val="17"/>
                <w:szCs w:val="17"/>
                <w:lang w:val="en-GB"/>
              </w:rPr>
            </w:pPr>
            <w:r w:rsidRPr="006176E4">
              <w:rPr>
                <w:sz w:val="17"/>
                <w:szCs w:val="17"/>
                <w:lang w:val="en-GB"/>
              </w:rPr>
              <w:t>MIT cloud (</w:t>
            </w:r>
            <w:proofErr w:type="spellStart"/>
            <w:r w:rsidRPr="006176E4">
              <w:rPr>
                <w:sz w:val="17"/>
                <w:szCs w:val="17"/>
                <w:lang w:val="en-GB"/>
              </w:rPr>
              <w:t>Godbert</w:t>
            </w:r>
            <w:proofErr w:type="spellEnd"/>
            <w:r w:rsidRPr="006176E4">
              <w:rPr>
                <w:sz w:val="17"/>
                <w:szCs w:val="17"/>
                <w:lang w:val="en-GB"/>
              </w:rPr>
              <w:t>-Greenwald)</w:t>
            </w:r>
          </w:p>
        </w:tc>
        <w:tc>
          <w:tcPr>
            <w:tcW w:w="1621" w:type="pct"/>
            <w:shd w:val="clear" w:color="auto" w:fill="FFFFFF"/>
          </w:tcPr>
          <w:p w14:paraId="2A42FD37"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66F8DFB3" w14:textId="77777777" w:rsidR="00E874AD" w:rsidRPr="006176E4" w:rsidRDefault="00E874AD" w:rsidP="00170E31">
            <w:pPr>
              <w:pStyle w:val="CETBodytext"/>
              <w:jc w:val="center"/>
              <w:rPr>
                <w:sz w:val="17"/>
                <w:szCs w:val="17"/>
                <w:lang w:val="en-GB"/>
              </w:rPr>
            </w:pPr>
            <w:r w:rsidRPr="006176E4">
              <w:rPr>
                <w:sz w:val="17"/>
                <w:szCs w:val="17"/>
                <w:lang w:val="en-GB"/>
              </w:rPr>
              <w:t>360°C</w:t>
            </w:r>
          </w:p>
        </w:tc>
      </w:tr>
      <w:tr w:rsidR="00E874AD" w:rsidRPr="006176E4" w14:paraId="5CEED4A9" w14:textId="77777777" w:rsidTr="00170E31">
        <w:tc>
          <w:tcPr>
            <w:tcW w:w="1756" w:type="pct"/>
            <w:shd w:val="clear" w:color="auto" w:fill="FFFFFF"/>
          </w:tcPr>
          <w:p w14:paraId="560C6815" w14:textId="77777777" w:rsidR="00E874AD" w:rsidRPr="006176E4" w:rsidRDefault="00E874AD" w:rsidP="00170E31">
            <w:pPr>
              <w:pStyle w:val="CETBodytext"/>
              <w:rPr>
                <w:sz w:val="17"/>
                <w:szCs w:val="17"/>
                <w:lang w:val="en-GB"/>
              </w:rPr>
            </w:pPr>
            <w:r w:rsidRPr="006176E4">
              <w:rPr>
                <w:sz w:val="17"/>
                <w:szCs w:val="17"/>
                <w:lang w:val="en-GB"/>
              </w:rPr>
              <w:t>Bulk resistivity</w:t>
            </w:r>
          </w:p>
        </w:tc>
        <w:tc>
          <w:tcPr>
            <w:tcW w:w="1621" w:type="pct"/>
            <w:shd w:val="clear" w:color="auto" w:fill="FFFFFF"/>
          </w:tcPr>
          <w:p w14:paraId="3501D628" w14:textId="77777777" w:rsidR="00E874AD" w:rsidRPr="006176E4" w:rsidRDefault="00E874AD" w:rsidP="00170E31">
            <w:pPr>
              <w:pStyle w:val="CETBodytext"/>
              <w:jc w:val="center"/>
              <w:rPr>
                <w:sz w:val="17"/>
                <w:szCs w:val="17"/>
                <w:lang w:val="en-GB"/>
              </w:rPr>
            </w:pPr>
          </w:p>
        </w:tc>
        <w:tc>
          <w:tcPr>
            <w:tcW w:w="1623" w:type="pct"/>
            <w:shd w:val="clear" w:color="auto" w:fill="FFFFFF"/>
          </w:tcPr>
          <w:p w14:paraId="22817EEB" w14:textId="77777777" w:rsidR="00E874AD" w:rsidRPr="006176E4" w:rsidRDefault="00E874AD" w:rsidP="00170E31">
            <w:pPr>
              <w:pStyle w:val="CETBodytext"/>
              <w:jc w:val="center"/>
              <w:rPr>
                <w:sz w:val="17"/>
                <w:szCs w:val="17"/>
                <w:lang w:val="en-GB"/>
              </w:rPr>
            </w:pPr>
            <w:r w:rsidRPr="006176E4">
              <w:rPr>
                <w:sz w:val="17"/>
                <w:szCs w:val="17"/>
                <w:lang w:val="en-GB"/>
              </w:rPr>
              <w:t>10</w:t>
            </w:r>
            <w:r w:rsidRPr="006176E4">
              <w:rPr>
                <w:sz w:val="17"/>
                <w:szCs w:val="17"/>
                <w:vertAlign w:val="superscript"/>
                <w:lang w:val="en-GB"/>
              </w:rPr>
              <w:t>8</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r>
      <w:tr w:rsidR="00E874AD" w:rsidRPr="006176E4" w14:paraId="484C213D" w14:textId="77777777" w:rsidTr="00170E31">
        <w:tc>
          <w:tcPr>
            <w:tcW w:w="1756" w:type="pct"/>
            <w:shd w:val="clear" w:color="auto" w:fill="FFFFFF"/>
          </w:tcPr>
          <w:p w14:paraId="516148AF" w14:textId="77777777" w:rsidR="00E874AD" w:rsidRPr="006176E4" w:rsidRDefault="00E874AD" w:rsidP="00170E31">
            <w:pPr>
              <w:pStyle w:val="CETBodytext"/>
              <w:rPr>
                <w:sz w:val="17"/>
                <w:szCs w:val="17"/>
                <w:lang w:val="en-GB"/>
              </w:rPr>
            </w:pPr>
            <w:r w:rsidRPr="006176E4">
              <w:rPr>
                <w:sz w:val="17"/>
                <w:szCs w:val="17"/>
                <w:lang w:val="en-GB"/>
              </w:rPr>
              <w:t>Screening self-ignition (Grewer)</w:t>
            </w:r>
          </w:p>
        </w:tc>
        <w:tc>
          <w:tcPr>
            <w:tcW w:w="1621" w:type="pct"/>
            <w:shd w:val="clear" w:color="auto" w:fill="FFFFFF"/>
          </w:tcPr>
          <w:p w14:paraId="1C2E53FE" w14:textId="77777777" w:rsidR="00E874AD" w:rsidRPr="006176E4" w:rsidRDefault="00E874AD" w:rsidP="00170E31">
            <w:pPr>
              <w:pStyle w:val="CETBodytext"/>
              <w:jc w:val="center"/>
              <w:rPr>
                <w:sz w:val="17"/>
                <w:szCs w:val="17"/>
                <w:lang w:val="en-GB"/>
              </w:rPr>
            </w:pPr>
            <w:r w:rsidRPr="006176E4">
              <w:rPr>
                <w:sz w:val="17"/>
                <w:szCs w:val="17"/>
                <w:lang w:val="en-GB"/>
              </w:rPr>
              <w:t>160°C (1</w:t>
            </w:r>
            <w:r w:rsidRPr="006176E4">
              <w:rPr>
                <w:sz w:val="17"/>
                <w:szCs w:val="17"/>
                <w:vertAlign w:val="superscript"/>
                <w:lang w:val="en-GB"/>
              </w:rPr>
              <w:t>st</w:t>
            </w:r>
            <w:r w:rsidRPr="006176E4">
              <w:rPr>
                <w:sz w:val="17"/>
                <w:szCs w:val="17"/>
                <w:lang w:val="en-GB"/>
              </w:rPr>
              <w:t xml:space="preserve"> exotherm)</w:t>
            </w:r>
          </w:p>
        </w:tc>
        <w:tc>
          <w:tcPr>
            <w:tcW w:w="1623" w:type="pct"/>
            <w:shd w:val="clear" w:color="auto" w:fill="FFFFFF"/>
          </w:tcPr>
          <w:p w14:paraId="3858F8C3" w14:textId="77777777" w:rsidR="00E874AD" w:rsidRPr="006176E4" w:rsidRDefault="00E874AD" w:rsidP="00170E31">
            <w:pPr>
              <w:pStyle w:val="CETBodytext"/>
              <w:jc w:val="center"/>
              <w:rPr>
                <w:sz w:val="17"/>
                <w:szCs w:val="17"/>
                <w:lang w:val="en-GB"/>
              </w:rPr>
            </w:pPr>
            <w:r w:rsidRPr="006176E4">
              <w:rPr>
                <w:sz w:val="17"/>
                <w:szCs w:val="17"/>
                <w:lang w:val="en-GB"/>
              </w:rPr>
              <w:t>180°C (1</w:t>
            </w:r>
            <w:r w:rsidRPr="006176E4">
              <w:rPr>
                <w:sz w:val="17"/>
                <w:szCs w:val="17"/>
                <w:vertAlign w:val="superscript"/>
                <w:lang w:val="en-GB"/>
              </w:rPr>
              <w:t>st</w:t>
            </w:r>
            <w:r w:rsidRPr="006176E4">
              <w:rPr>
                <w:sz w:val="17"/>
                <w:szCs w:val="17"/>
                <w:lang w:val="en-GB"/>
              </w:rPr>
              <w:t xml:space="preserve"> exotherm)</w:t>
            </w:r>
          </w:p>
        </w:tc>
      </w:tr>
    </w:tbl>
    <w:p w14:paraId="005EC1DC" w14:textId="77777777" w:rsidR="00E874AD" w:rsidRPr="006176E4" w:rsidRDefault="00E874AD" w:rsidP="00E874AD">
      <w:pPr>
        <w:pStyle w:val="CETHeading1"/>
        <w:rPr>
          <w:lang w:val="en-GB"/>
        </w:rPr>
      </w:pPr>
      <w:r w:rsidRPr="006176E4">
        <w:rPr>
          <w:lang w:val="en-GB"/>
        </w:rPr>
        <w:t>Process intended use</w:t>
      </w:r>
    </w:p>
    <w:p w14:paraId="07275F41" w14:textId="77777777" w:rsidR="00E874AD" w:rsidRPr="006176E4" w:rsidRDefault="00E874AD" w:rsidP="00E874AD">
      <w:pPr>
        <w:pStyle w:val="CETBodytext"/>
        <w:rPr>
          <w:lang w:val="en-GB"/>
        </w:rPr>
      </w:pPr>
      <w:r w:rsidRPr="006176E4">
        <w:rPr>
          <w:lang w:val="en-GB"/>
        </w:rPr>
        <w:t>To perform any explosion risk assessment, the definition of the intended use is required, including the dust products ignition behaviour. Based on the above Tables from 1 to 6, considering, for example, atmospheric process conditions and adopting a safety margin, the intended use could be defined according to Table 7.</w:t>
      </w:r>
    </w:p>
    <w:p w14:paraId="0C7DE422" w14:textId="77777777" w:rsidR="00E874AD" w:rsidRPr="006176E4" w:rsidRDefault="00E874AD" w:rsidP="00E874AD">
      <w:pPr>
        <w:pStyle w:val="CET-table-title"/>
        <w:rPr>
          <w:lang w:val="en-GB"/>
        </w:rPr>
      </w:pPr>
      <w:r w:rsidRPr="006176E4">
        <w:rPr>
          <w:lang w:val="en-GB"/>
        </w:rPr>
        <w:t>Table 7:  Process intended use according to tables from 1 to 6 in the case of atmospheric process conditions</w:t>
      </w:r>
    </w:p>
    <w:tbl>
      <w:tblPr>
        <w:tblW w:w="5043"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826"/>
        <w:gridCol w:w="2170"/>
        <w:gridCol w:w="2173"/>
      </w:tblGrid>
      <w:tr w:rsidR="00E874AD" w:rsidRPr="006176E4" w14:paraId="6EC7072B" w14:textId="77777777" w:rsidTr="00170E31">
        <w:trPr>
          <w:trHeight w:val="292"/>
        </w:trPr>
        <w:tc>
          <w:tcPr>
            <w:tcW w:w="1520" w:type="pct"/>
            <w:tcBorders>
              <w:top w:val="single" w:sz="12" w:space="0" w:color="008000"/>
              <w:bottom w:val="single" w:sz="6" w:space="0" w:color="008000"/>
            </w:tcBorders>
            <w:shd w:val="clear" w:color="auto" w:fill="FFFFFF"/>
          </w:tcPr>
          <w:p w14:paraId="54A5A393" w14:textId="77777777" w:rsidR="00E874AD" w:rsidRPr="006176E4" w:rsidRDefault="00E874AD" w:rsidP="00170E31">
            <w:pPr>
              <w:pStyle w:val="CETBodytext"/>
              <w:jc w:val="center"/>
              <w:rPr>
                <w:sz w:val="17"/>
                <w:szCs w:val="17"/>
                <w:lang w:val="en-GB"/>
              </w:rPr>
            </w:pPr>
            <w:r w:rsidRPr="006176E4">
              <w:rPr>
                <w:sz w:val="17"/>
                <w:szCs w:val="17"/>
                <w:lang w:val="en-GB"/>
              </w:rPr>
              <w:t>Parameter</w:t>
            </w:r>
          </w:p>
        </w:tc>
        <w:tc>
          <w:tcPr>
            <w:tcW w:w="1030" w:type="pct"/>
            <w:tcBorders>
              <w:top w:val="single" w:sz="12" w:space="0" w:color="008000"/>
              <w:bottom w:val="single" w:sz="6" w:space="0" w:color="008000"/>
            </w:tcBorders>
            <w:shd w:val="clear" w:color="auto" w:fill="FFFFFF"/>
          </w:tcPr>
          <w:p w14:paraId="71811338" w14:textId="77777777" w:rsidR="00E874AD" w:rsidRPr="006176E4" w:rsidRDefault="00E874AD" w:rsidP="00170E31">
            <w:pPr>
              <w:pStyle w:val="CETBodytext"/>
              <w:jc w:val="center"/>
              <w:rPr>
                <w:sz w:val="17"/>
                <w:szCs w:val="17"/>
                <w:lang w:val="en-GB"/>
              </w:rPr>
            </w:pPr>
            <w:r w:rsidRPr="006176E4">
              <w:rPr>
                <w:sz w:val="17"/>
                <w:szCs w:val="17"/>
                <w:lang w:val="en-GB"/>
              </w:rPr>
              <w:t>Grain dust</w:t>
            </w:r>
          </w:p>
        </w:tc>
        <w:tc>
          <w:tcPr>
            <w:tcW w:w="1224" w:type="pct"/>
            <w:tcBorders>
              <w:top w:val="single" w:sz="12" w:space="0" w:color="008000"/>
              <w:bottom w:val="single" w:sz="6" w:space="0" w:color="008000"/>
            </w:tcBorders>
            <w:shd w:val="clear" w:color="auto" w:fill="FFFFFF"/>
          </w:tcPr>
          <w:p w14:paraId="7FCB3CDB" w14:textId="77777777" w:rsidR="00E874AD" w:rsidRPr="006176E4" w:rsidRDefault="00E874AD" w:rsidP="00170E31">
            <w:pPr>
              <w:pStyle w:val="CETBodytext"/>
              <w:jc w:val="center"/>
              <w:rPr>
                <w:sz w:val="17"/>
                <w:szCs w:val="17"/>
                <w:lang w:val="en-GB"/>
              </w:rPr>
            </w:pPr>
            <w:r w:rsidRPr="006176E4">
              <w:rPr>
                <w:sz w:val="17"/>
                <w:szCs w:val="17"/>
                <w:lang w:val="en-GB"/>
              </w:rPr>
              <w:t>Wheat flour (not dried)</w:t>
            </w:r>
          </w:p>
        </w:tc>
        <w:tc>
          <w:tcPr>
            <w:tcW w:w="1226" w:type="pct"/>
            <w:tcBorders>
              <w:top w:val="single" w:sz="12" w:space="0" w:color="008000"/>
              <w:bottom w:val="single" w:sz="6" w:space="0" w:color="008000"/>
            </w:tcBorders>
            <w:shd w:val="clear" w:color="auto" w:fill="FFFFFF"/>
          </w:tcPr>
          <w:p w14:paraId="32EAA4F5" w14:textId="77777777" w:rsidR="00E874AD" w:rsidRPr="006176E4" w:rsidRDefault="00E874AD" w:rsidP="00170E31">
            <w:pPr>
              <w:pStyle w:val="CETBodytext"/>
              <w:jc w:val="center"/>
              <w:rPr>
                <w:sz w:val="17"/>
                <w:szCs w:val="17"/>
                <w:lang w:val="en-GB"/>
              </w:rPr>
            </w:pPr>
            <w:r w:rsidRPr="006176E4">
              <w:rPr>
                <w:sz w:val="17"/>
                <w:szCs w:val="17"/>
                <w:lang w:val="en-GB"/>
              </w:rPr>
              <w:t>Semolina (not dried)</w:t>
            </w:r>
          </w:p>
        </w:tc>
      </w:tr>
      <w:tr w:rsidR="00E874AD" w:rsidRPr="006176E4" w14:paraId="1606923F" w14:textId="77777777" w:rsidTr="00170E31">
        <w:trPr>
          <w:trHeight w:val="276"/>
        </w:trPr>
        <w:tc>
          <w:tcPr>
            <w:tcW w:w="1520" w:type="pct"/>
            <w:shd w:val="clear" w:color="auto" w:fill="FFFFFF"/>
          </w:tcPr>
          <w:p w14:paraId="646AF75A" w14:textId="77777777" w:rsidR="00E874AD" w:rsidRPr="006176E4" w:rsidRDefault="00E874AD" w:rsidP="00170E31">
            <w:pPr>
              <w:pStyle w:val="CETBodytext"/>
              <w:rPr>
                <w:sz w:val="17"/>
                <w:szCs w:val="17"/>
                <w:lang w:val="en-GB"/>
              </w:rPr>
            </w:pPr>
            <w:r w:rsidRPr="006176E4">
              <w:rPr>
                <w:sz w:val="17"/>
                <w:szCs w:val="17"/>
                <w:lang w:val="en-GB"/>
              </w:rPr>
              <w:t>Burning class at 20°C</w:t>
            </w:r>
          </w:p>
        </w:tc>
        <w:tc>
          <w:tcPr>
            <w:tcW w:w="1030" w:type="pct"/>
            <w:shd w:val="clear" w:color="auto" w:fill="FFFFFF"/>
          </w:tcPr>
          <w:p w14:paraId="76A025E9" w14:textId="77777777" w:rsidR="00E874AD" w:rsidRPr="006176E4" w:rsidRDefault="00E874AD" w:rsidP="00170E31">
            <w:pPr>
              <w:pStyle w:val="CETBodytext"/>
              <w:jc w:val="center"/>
              <w:rPr>
                <w:sz w:val="17"/>
                <w:szCs w:val="17"/>
                <w:lang w:val="en-GB"/>
              </w:rPr>
            </w:pPr>
            <w:r w:rsidRPr="006176E4">
              <w:rPr>
                <w:rFonts w:cs="Arial"/>
                <w:sz w:val="17"/>
                <w:szCs w:val="17"/>
                <w:lang w:val="en-GB"/>
              </w:rPr>
              <w:t>≤</w:t>
            </w:r>
            <w:r w:rsidRPr="006176E4">
              <w:rPr>
                <w:sz w:val="17"/>
                <w:szCs w:val="17"/>
                <w:lang w:val="en-GB"/>
              </w:rPr>
              <w:t>4</w:t>
            </w:r>
          </w:p>
        </w:tc>
        <w:tc>
          <w:tcPr>
            <w:tcW w:w="1224" w:type="pct"/>
            <w:shd w:val="clear" w:color="auto" w:fill="FFFFFF"/>
          </w:tcPr>
          <w:p w14:paraId="78DB6343" w14:textId="77777777" w:rsidR="00E874AD" w:rsidRPr="006176E4" w:rsidRDefault="00E874AD" w:rsidP="00170E31">
            <w:pPr>
              <w:pStyle w:val="CETBodytext"/>
              <w:jc w:val="center"/>
              <w:rPr>
                <w:sz w:val="17"/>
                <w:szCs w:val="17"/>
                <w:lang w:val="en-GB"/>
              </w:rPr>
            </w:pPr>
            <w:r w:rsidRPr="006176E4">
              <w:rPr>
                <w:rFonts w:cs="Arial"/>
                <w:sz w:val="17"/>
                <w:szCs w:val="17"/>
                <w:lang w:val="en-GB"/>
              </w:rPr>
              <w:t>≤</w:t>
            </w:r>
            <w:r w:rsidRPr="006176E4">
              <w:rPr>
                <w:sz w:val="17"/>
                <w:szCs w:val="17"/>
                <w:lang w:val="en-GB"/>
              </w:rPr>
              <w:t>3</w:t>
            </w:r>
          </w:p>
        </w:tc>
        <w:tc>
          <w:tcPr>
            <w:tcW w:w="1226" w:type="pct"/>
            <w:shd w:val="clear" w:color="auto" w:fill="FFFFFF"/>
          </w:tcPr>
          <w:p w14:paraId="137BF8DB" w14:textId="77777777" w:rsidR="00E874AD" w:rsidRPr="006176E4" w:rsidRDefault="00E874AD" w:rsidP="00170E31">
            <w:pPr>
              <w:pStyle w:val="CETBodytext"/>
              <w:jc w:val="center"/>
              <w:rPr>
                <w:sz w:val="17"/>
                <w:szCs w:val="17"/>
                <w:lang w:val="en-GB"/>
              </w:rPr>
            </w:pPr>
            <w:r w:rsidRPr="006176E4">
              <w:rPr>
                <w:rFonts w:cs="Arial"/>
                <w:sz w:val="17"/>
                <w:szCs w:val="17"/>
                <w:lang w:val="en-GB"/>
              </w:rPr>
              <w:t>≤</w:t>
            </w:r>
            <w:r w:rsidRPr="006176E4">
              <w:rPr>
                <w:sz w:val="17"/>
                <w:szCs w:val="17"/>
                <w:lang w:val="en-GB"/>
              </w:rPr>
              <w:t>3</w:t>
            </w:r>
          </w:p>
        </w:tc>
      </w:tr>
      <w:tr w:rsidR="00E874AD" w:rsidRPr="006176E4" w14:paraId="68664FE2" w14:textId="77777777" w:rsidTr="00170E31">
        <w:trPr>
          <w:trHeight w:val="276"/>
        </w:trPr>
        <w:tc>
          <w:tcPr>
            <w:tcW w:w="1520" w:type="pct"/>
            <w:shd w:val="clear" w:color="auto" w:fill="FFFFFF"/>
          </w:tcPr>
          <w:p w14:paraId="15254691" w14:textId="77777777" w:rsidR="00E874AD" w:rsidRPr="006176E4" w:rsidRDefault="00E874AD" w:rsidP="00170E31">
            <w:pPr>
              <w:pStyle w:val="CETBodytext"/>
              <w:rPr>
                <w:sz w:val="17"/>
                <w:szCs w:val="17"/>
                <w:lang w:val="en-GB"/>
              </w:rPr>
            </w:pPr>
            <w:r w:rsidRPr="006176E4">
              <w:rPr>
                <w:sz w:val="17"/>
                <w:szCs w:val="17"/>
                <w:lang w:val="en-GB"/>
              </w:rPr>
              <w:t>Burning class at 100°C</w:t>
            </w:r>
          </w:p>
        </w:tc>
        <w:tc>
          <w:tcPr>
            <w:tcW w:w="1030" w:type="pct"/>
            <w:shd w:val="clear" w:color="auto" w:fill="FFFFFF"/>
          </w:tcPr>
          <w:p w14:paraId="5210EDAF" w14:textId="77777777" w:rsidR="00E874AD" w:rsidRPr="006176E4" w:rsidRDefault="00E874AD" w:rsidP="00170E31">
            <w:pPr>
              <w:pStyle w:val="CETBodytext"/>
              <w:jc w:val="center"/>
              <w:rPr>
                <w:sz w:val="17"/>
                <w:szCs w:val="17"/>
                <w:lang w:val="en-GB"/>
              </w:rPr>
            </w:pPr>
            <w:r w:rsidRPr="006176E4">
              <w:rPr>
                <w:rFonts w:cs="Arial"/>
                <w:sz w:val="17"/>
                <w:szCs w:val="17"/>
                <w:lang w:val="en-GB"/>
              </w:rPr>
              <w:t>≤</w:t>
            </w:r>
            <w:r w:rsidRPr="006176E4">
              <w:rPr>
                <w:sz w:val="17"/>
                <w:szCs w:val="17"/>
                <w:lang w:val="en-GB"/>
              </w:rPr>
              <w:t>5</w:t>
            </w:r>
          </w:p>
        </w:tc>
        <w:tc>
          <w:tcPr>
            <w:tcW w:w="1224" w:type="pct"/>
            <w:shd w:val="clear" w:color="auto" w:fill="FFFFFF"/>
          </w:tcPr>
          <w:p w14:paraId="6E7B3793" w14:textId="77777777" w:rsidR="00E874AD" w:rsidRPr="006176E4" w:rsidRDefault="00E874AD" w:rsidP="00170E31">
            <w:pPr>
              <w:pStyle w:val="CETBodytext"/>
              <w:jc w:val="center"/>
              <w:rPr>
                <w:sz w:val="17"/>
                <w:szCs w:val="17"/>
                <w:lang w:val="en-GB"/>
              </w:rPr>
            </w:pPr>
            <w:r w:rsidRPr="006176E4">
              <w:rPr>
                <w:rFonts w:cs="Arial"/>
                <w:sz w:val="17"/>
                <w:szCs w:val="17"/>
                <w:lang w:val="en-GB"/>
              </w:rPr>
              <w:t>≤</w:t>
            </w:r>
            <w:r w:rsidRPr="006176E4">
              <w:rPr>
                <w:sz w:val="17"/>
                <w:szCs w:val="17"/>
                <w:lang w:val="en-GB"/>
              </w:rPr>
              <w:t>5</w:t>
            </w:r>
          </w:p>
        </w:tc>
        <w:tc>
          <w:tcPr>
            <w:tcW w:w="1226" w:type="pct"/>
            <w:shd w:val="clear" w:color="auto" w:fill="FFFFFF"/>
          </w:tcPr>
          <w:p w14:paraId="080FFCEA" w14:textId="77777777" w:rsidR="00E874AD" w:rsidRPr="006176E4" w:rsidRDefault="00E874AD" w:rsidP="00170E31">
            <w:pPr>
              <w:pStyle w:val="CETBodytext"/>
              <w:jc w:val="center"/>
              <w:rPr>
                <w:sz w:val="17"/>
                <w:szCs w:val="17"/>
                <w:lang w:val="en-GB"/>
              </w:rPr>
            </w:pPr>
            <w:r w:rsidRPr="006176E4">
              <w:rPr>
                <w:rFonts w:cs="Arial"/>
                <w:sz w:val="17"/>
                <w:szCs w:val="17"/>
                <w:lang w:val="en-GB"/>
              </w:rPr>
              <w:t>≤</w:t>
            </w:r>
            <w:r w:rsidRPr="006176E4">
              <w:rPr>
                <w:sz w:val="17"/>
                <w:szCs w:val="17"/>
                <w:lang w:val="en-GB"/>
              </w:rPr>
              <w:t>5</w:t>
            </w:r>
          </w:p>
        </w:tc>
      </w:tr>
      <w:tr w:rsidR="00E874AD" w:rsidRPr="006176E4" w14:paraId="1445708E" w14:textId="77777777" w:rsidTr="00170E31">
        <w:trPr>
          <w:trHeight w:val="276"/>
        </w:trPr>
        <w:tc>
          <w:tcPr>
            <w:tcW w:w="1520" w:type="pct"/>
            <w:shd w:val="clear" w:color="auto" w:fill="FFFFFF"/>
          </w:tcPr>
          <w:p w14:paraId="381377C1" w14:textId="77777777" w:rsidR="00E874AD" w:rsidRPr="006176E4" w:rsidRDefault="00E874AD" w:rsidP="00170E31">
            <w:pPr>
              <w:pStyle w:val="CETBodytext"/>
              <w:rPr>
                <w:sz w:val="17"/>
                <w:szCs w:val="17"/>
                <w:lang w:val="en-GB"/>
              </w:rPr>
            </w:pPr>
            <w:r w:rsidRPr="006176E4">
              <w:rPr>
                <w:sz w:val="17"/>
                <w:szCs w:val="17"/>
                <w:lang w:val="en-GB"/>
              </w:rPr>
              <w:t>MIT layer 5 mm</w:t>
            </w:r>
          </w:p>
        </w:tc>
        <w:tc>
          <w:tcPr>
            <w:tcW w:w="1030" w:type="pct"/>
            <w:shd w:val="clear" w:color="auto" w:fill="FFFFFF"/>
          </w:tcPr>
          <w:p w14:paraId="5DE5FB1B" w14:textId="77777777" w:rsidR="00E874AD" w:rsidRPr="006176E4" w:rsidRDefault="00E874AD" w:rsidP="00170E31">
            <w:pPr>
              <w:pStyle w:val="CETBodytext"/>
              <w:jc w:val="center"/>
              <w:rPr>
                <w:sz w:val="17"/>
                <w:szCs w:val="17"/>
                <w:lang w:val="en-GB"/>
              </w:rPr>
            </w:pPr>
            <w:r w:rsidRPr="006176E4">
              <w:rPr>
                <w:sz w:val="17"/>
                <w:szCs w:val="17"/>
                <w:lang w:val="en-GB"/>
              </w:rPr>
              <w:t>&gt;210°C</w:t>
            </w:r>
          </w:p>
        </w:tc>
        <w:tc>
          <w:tcPr>
            <w:tcW w:w="1224" w:type="pct"/>
            <w:shd w:val="clear" w:color="auto" w:fill="FFFFFF"/>
          </w:tcPr>
          <w:p w14:paraId="5ADF2C66" w14:textId="77777777" w:rsidR="00E874AD" w:rsidRPr="006176E4" w:rsidRDefault="00E874AD" w:rsidP="00170E31">
            <w:pPr>
              <w:pStyle w:val="CETBodytext"/>
              <w:jc w:val="center"/>
              <w:rPr>
                <w:sz w:val="17"/>
                <w:szCs w:val="17"/>
                <w:lang w:val="en-GB"/>
              </w:rPr>
            </w:pPr>
            <w:r w:rsidRPr="006176E4">
              <w:rPr>
                <w:sz w:val="17"/>
                <w:szCs w:val="17"/>
                <w:lang w:val="en-GB"/>
              </w:rPr>
              <w:t>&gt;210°C</w:t>
            </w:r>
          </w:p>
        </w:tc>
        <w:tc>
          <w:tcPr>
            <w:tcW w:w="1226" w:type="pct"/>
            <w:shd w:val="clear" w:color="auto" w:fill="FFFFFF"/>
          </w:tcPr>
          <w:p w14:paraId="3EB72CFB" w14:textId="77777777" w:rsidR="00E874AD" w:rsidRPr="006176E4" w:rsidRDefault="00E874AD" w:rsidP="00170E31">
            <w:pPr>
              <w:pStyle w:val="CETBodytext"/>
              <w:jc w:val="center"/>
              <w:rPr>
                <w:sz w:val="17"/>
                <w:szCs w:val="17"/>
                <w:lang w:val="en-GB"/>
              </w:rPr>
            </w:pPr>
            <w:r w:rsidRPr="006176E4">
              <w:rPr>
                <w:sz w:val="17"/>
                <w:szCs w:val="17"/>
                <w:lang w:val="en-GB"/>
              </w:rPr>
              <w:t>&gt;210°C</w:t>
            </w:r>
          </w:p>
        </w:tc>
      </w:tr>
      <w:tr w:rsidR="00E874AD" w:rsidRPr="006176E4" w14:paraId="010539A7" w14:textId="77777777" w:rsidTr="00170E31">
        <w:trPr>
          <w:trHeight w:val="292"/>
        </w:trPr>
        <w:tc>
          <w:tcPr>
            <w:tcW w:w="1520" w:type="pct"/>
            <w:shd w:val="clear" w:color="auto" w:fill="FFFFFF"/>
          </w:tcPr>
          <w:p w14:paraId="46FBA31F" w14:textId="77777777" w:rsidR="00E874AD" w:rsidRPr="006176E4" w:rsidRDefault="00E874AD" w:rsidP="00170E31">
            <w:pPr>
              <w:pStyle w:val="CETBodytext"/>
              <w:rPr>
                <w:sz w:val="17"/>
                <w:szCs w:val="17"/>
                <w:lang w:val="en-GB"/>
              </w:rPr>
            </w:pPr>
            <w:r w:rsidRPr="006176E4">
              <w:rPr>
                <w:sz w:val="17"/>
                <w:szCs w:val="17"/>
                <w:lang w:val="en-GB"/>
              </w:rPr>
              <w:t>MIE with inductance</w:t>
            </w:r>
          </w:p>
        </w:tc>
        <w:tc>
          <w:tcPr>
            <w:tcW w:w="1030" w:type="pct"/>
            <w:shd w:val="clear" w:color="auto" w:fill="FFFFFF"/>
          </w:tcPr>
          <w:p w14:paraId="3EADA431" w14:textId="77777777" w:rsidR="00E874AD" w:rsidRPr="006176E4" w:rsidRDefault="00E874AD" w:rsidP="00170E31">
            <w:pPr>
              <w:pStyle w:val="CETBodytext"/>
              <w:jc w:val="center"/>
              <w:rPr>
                <w:sz w:val="17"/>
                <w:szCs w:val="17"/>
                <w:lang w:val="en-GB"/>
              </w:rPr>
            </w:pPr>
            <w:r w:rsidRPr="006176E4">
              <w:rPr>
                <w:sz w:val="17"/>
                <w:szCs w:val="17"/>
                <w:lang w:val="en-GB"/>
              </w:rPr>
              <w:t>&gt;30 mJ</w:t>
            </w:r>
          </w:p>
        </w:tc>
        <w:tc>
          <w:tcPr>
            <w:tcW w:w="1224" w:type="pct"/>
            <w:shd w:val="clear" w:color="auto" w:fill="FFFFFF"/>
          </w:tcPr>
          <w:p w14:paraId="2680D407" w14:textId="77777777" w:rsidR="00E874AD" w:rsidRPr="006176E4" w:rsidRDefault="00E874AD" w:rsidP="00170E31">
            <w:pPr>
              <w:pStyle w:val="CETBodytext"/>
              <w:jc w:val="center"/>
              <w:rPr>
                <w:sz w:val="17"/>
                <w:szCs w:val="17"/>
                <w:lang w:val="en-GB"/>
              </w:rPr>
            </w:pPr>
            <w:r w:rsidRPr="006176E4">
              <w:rPr>
                <w:sz w:val="17"/>
                <w:szCs w:val="17"/>
                <w:lang w:val="en-GB"/>
              </w:rPr>
              <w:t>&gt;100 mJ</w:t>
            </w:r>
          </w:p>
        </w:tc>
        <w:tc>
          <w:tcPr>
            <w:tcW w:w="1226" w:type="pct"/>
            <w:shd w:val="clear" w:color="auto" w:fill="FFFFFF"/>
          </w:tcPr>
          <w:p w14:paraId="3752DD6C" w14:textId="77777777" w:rsidR="00E874AD" w:rsidRPr="006176E4" w:rsidRDefault="00E874AD" w:rsidP="00170E31">
            <w:pPr>
              <w:pStyle w:val="CETBodytext"/>
              <w:jc w:val="center"/>
              <w:rPr>
                <w:sz w:val="17"/>
                <w:szCs w:val="17"/>
                <w:lang w:val="en-GB"/>
              </w:rPr>
            </w:pPr>
            <w:r w:rsidRPr="006176E4">
              <w:rPr>
                <w:sz w:val="17"/>
                <w:szCs w:val="17"/>
                <w:lang w:val="en-GB"/>
              </w:rPr>
              <w:t>&gt;100 mJ</w:t>
            </w:r>
          </w:p>
        </w:tc>
      </w:tr>
      <w:tr w:rsidR="00E874AD" w:rsidRPr="006176E4" w14:paraId="0954FA5F" w14:textId="77777777" w:rsidTr="00170E31">
        <w:trPr>
          <w:trHeight w:val="276"/>
        </w:trPr>
        <w:tc>
          <w:tcPr>
            <w:tcW w:w="1520" w:type="pct"/>
            <w:shd w:val="clear" w:color="auto" w:fill="FFFFFF"/>
          </w:tcPr>
          <w:p w14:paraId="40815EBC" w14:textId="77777777" w:rsidR="00E874AD" w:rsidRPr="006176E4" w:rsidRDefault="00E874AD" w:rsidP="00170E31">
            <w:pPr>
              <w:pStyle w:val="CETBodytext"/>
              <w:rPr>
                <w:sz w:val="17"/>
                <w:szCs w:val="17"/>
                <w:lang w:val="en-GB"/>
              </w:rPr>
            </w:pPr>
            <w:r w:rsidRPr="006176E4">
              <w:rPr>
                <w:sz w:val="17"/>
                <w:szCs w:val="17"/>
                <w:lang w:val="en-GB"/>
              </w:rPr>
              <w:t>MIE without inductance</w:t>
            </w:r>
          </w:p>
        </w:tc>
        <w:tc>
          <w:tcPr>
            <w:tcW w:w="1030" w:type="pct"/>
            <w:shd w:val="clear" w:color="auto" w:fill="FFFFFF"/>
          </w:tcPr>
          <w:p w14:paraId="3E1C2C70" w14:textId="77777777" w:rsidR="00E874AD" w:rsidRPr="006176E4" w:rsidRDefault="00E874AD" w:rsidP="00170E31">
            <w:pPr>
              <w:pStyle w:val="CETBodytext"/>
              <w:jc w:val="center"/>
              <w:rPr>
                <w:sz w:val="17"/>
                <w:szCs w:val="17"/>
                <w:lang w:val="en-GB"/>
              </w:rPr>
            </w:pPr>
            <w:r w:rsidRPr="006176E4">
              <w:rPr>
                <w:sz w:val="17"/>
                <w:szCs w:val="17"/>
                <w:lang w:val="en-GB"/>
              </w:rPr>
              <w:t>&gt;100 mJ</w:t>
            </w:r>
          </w:p>
        </w:tc>
        <w:tc>
          <w:tcPr>
            <w:tcW w:w="1224" w:type="pct"/>
            <w:shd w:val="clear" w:color="auto" w:fill="FFFFFF"/>
          </w:tcPr>
          <w:p w14:paraId="59E19755" w14:textId="77777777" w:rsidR="00E874AD" w:rsidRPr="006176E4" w:rsidRDefault="00E874AD" w:rsidP="00170E31">
            <w:pPr>
              <w:pStyle w:val="CETBodytext"/>
              <w:jc w:val="center"/>
              <w:rPr>
                <w:sz w:val="17"/>
                <w:szCs w:val="17"/>
                <w:lang w:val="en-GB"/>
              </w:rPr>
            </w:pPr>
            <w:r w:rsidRPr="006176E4">
              <w:rPr>
                <w:sz w:val="17"/>
                <w:szCs w:val="17"/>
                <w:lang w:val="en-GB"/>
              </w:rPr>
              <w:t>&gt;300 mJ</w:t>
            </w:r>
          </w:p>
        </w:tc>
        <w:tc>
          <w:tcPr>
            <w:tcW w:w="1226" w:type="pct"/>
            <w:shd w:val="clear" w:color="auto" w:fill="FFFFFF"/>
          </w:tcPr>
          <w:p w14:paraId="3E777F21" w14:textId="77777777" w:rsidR="00E874AD" w:rsidRPr="006176E4" w:rsidRDefault="00E874AD" w:rsidP="00170E31">
            <w:pPr>
              <w:pStyle w:val="CETBodytext"/>
              <w:jc w:val="center"/>
              <w:rPr>
                <w:sz w:val="17"/>
                <w:szCs w:val="17"/>
                <w:lang w:val="en-GB"/>
              </w:rPr>
            </w:pPr>
            <w:r w:rsidRPr="006176E4">
              <w:rPr>
                <w:sz w:val="17"/>
                <w:szCs w:val="17"/>
                <w:lang w:val="en-GB"/>
              </w:rPr>
              <w:t>&gt;1.000 mJ</w:t>
            </w:r>
          </w:p>
        </w:tc>
      </w:tr>
      <w:tr w:rsidR="00E874AD" w:rsidRPr="006176E4" w14:paraId="15FCFEDD" w14:textId="77777777" w:rsidTr="00170E31">
        <w:trPr>
          <w:trHeight w:val="276"/>
        </w:trPr>
        <w:tc>
          <w:tcPr>
            <w:tcW w:w="1520" w:type="pct"/>
            <w:shd w:val="clear" w:color="auto" w:fill="FFFFFF"/>
          </w:tcPr>
          <w:p w14:paraId="1C15B8C6" w14:textId="77777777" w:rsidR="00E874AD" w:rsidRPr="006176E4" w:rsidRDefault="00E874AD" w:rsidP="00170E31">
            <w:pPr>
              <w:pStyle w:val="CETBodytext"/>
              <w:rPr>
                <w:sz w:val="17"/>
                <w:szCs w:val="17"/>
                <w:lang w:val="en-GB"/>
              </w:rPr>
            </w:pPr>
            <w:r w:rsidRPr="006176E4">
              <w:rPr>
                <w:sz w:val="17"/>
                <w:szCs w:val="17"/>
                <w:lang w:val="en-GB"/>
              </w:rPr>
              <w:t>MIT cloud (</w:t>
            </w:r>
            <w:proofErr w:type="spellStart"/>
            <w:r w:rsidRPr="006176E4">
              <w:rPr>
                <w:sz w:val="17"/>
                <w:szCs w:val="17"/>
                <w:lang w:val="en-GB"/>
              </w:rPr>
              <w:t>Godbert</w:t>
            </w:r>
            <w:proofErr w:type="spellEnd"/>
            <w:r w:rsidRPr="006176E4">
              <w:rPr>
                <w:sz w:val="17"/>
                <w:szCs w:val="17"/>
                <w:lang w:val="en-GB"/>
              </w:rPr>
              <w:t>-Greenwald)</w:t>
            </w:r>
          </w:p>
        </w:tc>
        <w:tc>
          <w:tcPr>
            <w:tcW w:w="1030" w:type="pct"/>
            <w:shd w:val="clear" w:color="auto" w:fill="FFFFFF"/>
          </w:tcPr>
          <w:p w14:paraId="085E487E" w14:textId="77777777" w:rsidR="00E874AD" w:rsidRPr="006176E4" w:rsidRDefault="00E874AD" w:rsidP="00170E31">
            <w:pPr>
              <w:pStyle w:val="CETBodytext"/>
              <w:jc w:val="center"/>
              <w:rPr>
                <w:sz w:val="17"/>
                <w:szCs w:val="17"/>
                <w:lang w:val="en-GB"/>
              </w:rPr>
            </w:pPr>
            <w:r w:rsidRPr="006176E4">
              <w:rPr>
                <w:sz w:val="17"/>
                <w:szCs w:val="17"/>
                <w:lang w:val="en-GB"/>
              </w:rPr>
              <w:t>&gt;300°C</w:t>
            </w:r>
          </w:p>
        </w:tc>
        <w:tc>
          <w:tcPr>
            <w:tcW w:w="1224" w:type="pct"/>
            <w:shd w:val="clear" w:color="auto" w:fill="FFFFFF"/>
          </w:tcPr>
          <w:p w14:paraId="240FC4F8" w14:textId="77777777" w:rsidR="00E874AD" w:rsidRPr="006176E4" w:rsidRDefault="00E874AD" w:rsidP="00170E31">
            <w:pPr>
              <w:pStyle w:val="CETBodytext"/>
              <w:jc w:val="center"/>
              <w:rPr>
                <w:sz w:val="17"/>
                <w:szCs w:val="17"/>
                <w:lang w:val="en-GB"/>
              </w:rPr>
            </w:pPr>
            <w:r w:rsidRPr="006176E4">
              <w:rPr>
                <w:sz w:val="17"/>
                <w:szCs w:val="17"/>
                <w:lang w:val="en-GB"/>
              </w:rPr>
              <w:t>&gt;300°C</w:t>
            </w:r>
          </w:p>
        </w:tc>
        <w:tc>
          <w:tcPr>
            <w:tcW w:w="1226" w:type="pct"/>
            <w:shd w:val="clear" w:color="auto" w:fill="FFFFFF"/>
          </w:tcPr>
          <w:p w14:paraId="0C04249B" w14:textId="77777777" w:rsidR="00E874AD" w:rsidRPr="006176E4" w:rsidRDefault="00E874AD" w:rsidP="00170E31">
            <w:pPr>
              <w:pStyle w:val="CETBodytext"/>
              <w:jc w:val="center"/>
              <w:rPr>
                <w:sz w:val="17"/>
                <w:szCs w:val="17"/>
                <w:lang w:val="en-GB"/>
              </w:rPr>
            </w:pPr>
            <w:r w:rsidRPr="006176E4">
              <w:rPr>
                <w:sz w:val="17"/>
                <w:szCs w:val="17"/>
                <w:lang w:val="en-GB"/>
              </w:rPr>
              <w:t>&gt;300°C</w:t>
            </w:r>
          </w:p>
        </w:tc>
      </w:tr>
      <w:tr w:rsidR="00E874AD" w:rsidRPr="006176E4" w14:paraId="3DF006BC" w14:textId="77777777" w:rsidTr="00170E31">
        <w:trPr>
          <w:trHeight w:val="292"/>
        </w:trPr>
        <w:tc>
          <w:tcPr>
            <w:tcW w:w="1520" w:type="pct"/>
            <w:shd w:val="clear" w:color="auto" w:fill="FFFFFF"/>
          </w:tcPr>
          <w:p w14:paraId="25CA32BD" w14:textId="77777777" w:rsidR="00E874AD" w:rsidRPr="006176E4" w:rsidRDefault="00E874AD" w:rsidP="00170E31">
            <w:pPr>
              <w:pStyle w:val="CETBodytext"/>
              <w:rPr>
                <w:sz w:val="17"/>
                <w:szCs w:val="17"/>
                <w:lang w:val="en-GB"/>
              </w:rPr>
            </w:pPr>
            <w:r w:rsidRPr="006176E4">
              <w:rPr>
                <w:sz w:val="17"/>
                <w:szCs w:val="17"/>
                <w:lang w:val="en-GB"/>
              </w:rPr>
              <w:t>Bulk resistivity</w:t>
            </w:r>
          </w:p>
        </w:tc>
        <w:tc>
          <w:tcPr>
            <w:tcW w:w="1030" w:type="pct"/>
            <w:shd w:val="clear" w:color="auto" w:fill="FFFFFF"/>
          </w:tcPr>
          <w:p w14:paraId="590936F4" w14:textId="77777777" w:rsidR="00E874AD" w:rsidRPr="006176E4" w:rsidRDefault="00E874AD" w:rsidP="00170E31">
            <w:pPr>
              <w:pStyle w:val="CETBodytext"/>
              <w:jc w:val="center"/>
              <w:rPr>
                <w:sz w:val="17"/>
                <w:szCs w:val="17"/>
                <w:lang w:val="en-GB"/>
              </w:rPr>
            </w:pPr>
            <w:r w:rsidRPr="006176E4">
              <w:rPr>
                <w:sz w:val="17"/>
                <w:szCs w:val="17"/>
                <w:lang w:val="en-GB"/>
              </w:rPr>
              <w:t>&lt;10</w:t>
            </w:r>
            <w:r w:rsidRPr="006176E4">
              <w:rPr>
                <w:sz w:val="17"/>
                <w:szCs w:val="17"/>
                <w:vertAlign w:val="superscript"/>
                <w:lang w:val="en-GB"/>
              </w:rPr>
              <w:t>10</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c>
          <w:tcPr>
            <w:tcW w:w="1224" w:type="pct"/>
            <w:shd w:val="clear" w:color="auto" w:fill="FFFFFF"/>
          </w:tcPr>
          <w:p w14:paraId="518E149E" w14:textId="77777777" w:rsidR="00E874AD" w:rsidRPr="006176E4" w:rsidRDefault="00E874AD" w:rsidP="00170E31">
            <w:pPr>
              <w:pStyle w:val="CETBodytext"/>
              <w:jc w:val="center"/>
              <w:rPr>
                <w:sz w:val="17"/>
                <w:szCs w:val="17"/>
                <w:lang w:val="en-GB"/>
              </w:rPr>
            </w:pPr>
            <w:r w:rsidRPr="006176E4">
              <w:rPr>
                <w:sz w:val="17"/>
                <w:szCs w:val="17"/>
                <w:lang w:val="en-GB"/>
              </w:rPr>
              <w:t>&lt;10</w:t>
            </w:r>
            <w:r w:rsidRPr="006176E4">
              <w:rPr>
                <w:sz w:val="17"/>
                <w:szCs w:val="17"/>
                <w:vertAlign w:val="superscript"/>
                <w:lang w:val="en-GB"/>
              </w:rPr>
              <w:t>10</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c>
          <w:tcPr>
            <w:tcW w:w="1226" w:type="pct"/>
            <w:shd w:val="clear" w:color="auto" w:fill="FFFFFF"/>
          </w:tcPr>
          <w:p w14:paraId="52B9D367" w14:textId="77777777" w:rsidR="00E874AD" w:rsidRPr="006176E4" w:rsidRDefault="00E874AD" w:rsidP="00170E31">
            <w:pPr>
              <w:pStyle w:val="CETBodytext"/>
              <w:jc w:val="center"/>
              <w:rPr>
                <w:sz w:val="17"/>
                <w:szCs w:val="17"/>
                <w:lang w:val="en-GB"/>
              </w:rPr>
            </w:pPr>
            <w:r w:rsidRPr="006176E4">
              <w:rPr>
                <w:sz w:val="17"/>
                <w:szCs w:val="17"/>
                <w:lang w:val="en-GB"/>
              </w:rPr>
              <w:t>&lt;10</w:t>
            </w:r>
            <w:r w:rsidRPr="006176E4">
              <w:rPr>
                <w:sz w:val="17"/>
                <w:szCs w:val="17"/>
                <w:vertAlign w:val="superscript"/>
                <w:lang w:val="en-GB"/>
              </w:rPr>
              <w:t>10</w:t>
            </w:r>
            <w:r w:rsidRPr="006176E4">
              <w:rPr>
                <w:sz w:val="17"/>
                <w:szCs w:val="17"/>
                <w:lang w:val="en-GB"/>
              </w:rPr>
              <w:t xml:space="preserve"> </w:t>
            </w:r>
            <w:r w:rsidRPr="006176E4">
              <w:rPr>
                <w:rFonts w:ascii="Symbol" w:hAnsi="Symbol"/>
                <w:sz w:val="17"/>
                <w:szCs w:val="17"/>
                <w:lang w:val="en-GB"/>
              </w:rPr>
              <w:t></w:t>
            </w:r>
            <w:r w:rsidRPr="006176E4">
              <w:rPr>
                <w:sz w:val="17"/>
                <w:szCs w:val="17"/>
                <w:lang w:val="en-GB"/>
              </w:rPr>
              <w:t>m</w:t>
            </w:r>
          </w:p>
        </w:tc>
      </w:tr>
      <w:tr w:rsidR="00E874AD" w:rsidRPr="006176E4" w14:paraId="4FA0421D" w14:textId="77777777" w:rsidTr="00170E31">
        <w:trPr>
          <w:trHeight w:val="276"/>
        </w:trPr>
        <w:tc>
          <w:tcPr>
            <w:tcW w:w="1520" w:type="pct"/>
            <w:shd w:val="clear" w:color="auto" w:fill="FFFFFF"/>
          </w:tcPr>
          <w:p w14:paraId="3C3F3EDA" w14:textId="77777777" w:rsidR="00E874AD" w:rsidRPr="006176E4" w:rsidRDefault="00E874AD" w:rsidP="00170E31">
            <w:pPr>
              <w:pStyle w:val="CETBodytext"/>
              <w:rPr>
                <w:sz w:val="17"/>
                <w:szCs w:val="17"/>
                <w:lang w:val="en-GB"/>
              </w:rPr>
            </w:pPr>
            <w:r w:rsidRPr="006176E4">
              <w:rPr>
                <w:sz w:val="17"/>
                <w:szCs w:val="17"/>
                <w:lang w:val="en-GB"/>
              </w:rPr>
              <w:t>Screening self-ignition (Grewer)</w:t>
            </w:r>
          </w:p>
        </w:tc>
        <w:tc>
          <w:tcPr>
            <w:tcW w:w="1030" w:type="pct"/>
            <w:shd w:val="clear" w:color="auto" w:fill="FFFFFF"/>
          </w:tcPr>
          <w:p w14:paraId="615B01E4" w14:textId="77777777" w:rsidR="00E874AD" w:rsidRPr="006176E4" w:rsidRDefault="00E874AD" w:rsidP="00170E31">
            <w:pPr>
              <w:pStyle w:val="CETBodytext"/>
              <w:jc w:val="center"/>
              <w:rPr>
                <w:sz w:val="17"/>
                <w:szCs w:val="17"/>
                <w:lang w:val="en-GB"/>
              </w:rPr>
            </w:pPr>
            <w:r w:rsidRPr="006176E4">
              <w:rPr>
                <w:sz w:val="17"/>
                <w:szCs w:val="17"/>
                <w:lang w:val="en-GB"/>
              </w:rPr>
              <w:t>&gt;140°C (1</w:t>
            </w:r>
            <w:r w:rsidRPr="006176E4">
              <w:rPr>
                <w:sz w:val="17"/>
                <w:szCs w:val="17"/>
                <w:vertAlign w:val="superscript"/>
                <w:lang w:val="en-GB"/>
              </w:rPr>
              <w:t>st</w:t>
            </w:r>
            <w:r w:rsidRPr="006176E4">
              <w:rPr>
                <w:sz w:val="17"/>
                <w:szCs w:val="17"/>
                <w:lang w:val="en-GB"/>
              </w:rPr>
              <w:t xml:space="preserve"> exotherm)</w:t>
            </w:r>
          </w:p>
        </w:tc>
        <w:tc>
          <w:tcPr>
            <w:tcW w:w="1224" w:type="pct"/>
            <w:shd w:val="clear" w:color="auto" w:fill="FFFFFF"/>
          </w:tcPr>
          <w:p w14:paraId="7B6479B7" w14:textId="77777777" w:rsidR="00E874AD" w:rsidRPr="006176E4" w:rsidRDefault="00E874AD" w:rsidP="00170E31">
            <w:pPr>
              <w:pStyle w:val="CETBodytext"/>
              <w:jc w:val="center"/>
              <w:rPr>
                <w:sz w:val="17"/>
                <w:szCs w:val="17"/>
                <w:lang w:val="en-GB"/>
              </w:rPr>
            </w:pPr>
            <w:r w:rsidRPr="006176E4">
              <w:rPr>
                <w:sz w:val="17"/>
                <w:szCs w:val="17"/>
                <w:lang w:val="en-GB"/>
              </w:rPr>
              <w:t>&gt;100°C (1</w:t>
            </w:r>
            <w:r w:rsidRPr="006176E4">
              <w:rPr>
                <w:sz w:val="17"/>
                <w:szCs w:val="17"/>
                <w:vertAlign w:val="superscript"/>
                <w:lang w:val="en-GB"/>
              </w:rPr>
              <w:t>st</w:t>
            </w:r>
            <w:r w:rsidRPr="006176E4">
              <w:rPr>
                <w:sz w:val="17"/>
                <w:szCs w:val="17"/>
                <w:lang w:val="en-GB"/>
              </w:rPr>
              <w:t xml:space="preserve"> exotherm)</w:t>
            </w:r>
          </w:p>
        </w:tc>
        <w:tc>
          <w:tcPr>
            <w:tcW w:w="1226" w:type="pct"/>
            <w:shd w:val="clear" w:color="auto" w:fill="FFFFFF"/>
          </w:tcPr>
          <w:p w14:paraId="589E6547" w14:textId="77777777" w:rsidR="00E874AD" w:rsidRPr="006176E4" w:rsidRDefault="00E874AD" w:rsidP="00170E31">
            <w:pPr>
              <w:pStyle w:val="CETBodytext"/>
              <w:jc w:val="center"/>
              <w:rPr>
                <w:sz w:val="17"/>
                <w:szCs w:val="17"/>
                <w:lang w:val="en-GB"/>
              </w:rPr>
            </w:pPr>
            <w:r w:rsidRPr="006176E4">
              <w:rPr>
                <w:sz w:val="17"/>
                <w:szCs w:val="17"/>
                <w:lang w:val="en-GB"/>
              </w:rPr>
              <w:t>&gt;120°C (1</w:t>
            </w:r>
            <w:r w:rsidRPr="006176E4">
              <w:rPr>
                <w:sz w:val="17"/>
                <w:szCs w:val="17"/>
                <w:vertAlign w:val="superscript"/>
                <w:lang w:val="en-GB"/>
              </w:rPr>
              <w:t>st</w:t>
            </w:r>
            <w:r w:rsidRPr="006176E4">
              <w:rPr>
                <w:sz w:val="17"/>
                <w:szCs w:val="17"/>
                <w:lang w:val="en-GB"/>
              </w:rPr>
              <w:t xml:space="preserve"> exotherm)</w:t>
            </w:r>
          </w:p>
        </w:tc>
      </w:tr>
      <w:tr w:rsidR="00E874AD" w:rsidRPr="006176E4" w14:paraId="12DE0CA9" w14:textId="77777777" w:rsidTr="00170E31">
        <w:trPr>
          <w:trHeight w:val="292"/>
        </w:trPr>
        <w:tc>
          <w:tcPr>
            <w:tcW w:w="1520" w:type="pct"/>
            <w:shd w:val="clear" w:color="auto" w:fill="FFFFFF"/>
          </w:tcPr>
          <w:p w14:paraId="52152CE6" w14:textId="77777777" w:rsidR="00E874AD" w:rsidRPr="006176E4" w:rsidRDefault="00E874AD" w:rsidP="00170E31">
            <w:pPr>
              <w:pStyle w:val="CETBodytext"/>
              <w:rPr>
                <w:sz w:val="17"/>
                <w:szCs w:val="17"/>
                <w:lang w:val="en-GB"/>
              </w:rPr>
            </w:pPr>
            <w:r w:rsidRPr="006176E4">
              <w:rPr>
                <w:sz w:val="17"/>
                <w:szCs w:val="17"/>
                <w:lang w:val="en-GB"/>
              </w:rPr>
              <w:t>Thermal decomposition (400 ml)</w:t>
            </w:r>
          </w:p>
        </w:tc>
        <w:tc>
          <w:tcPr>
            <w:tcW w:w="1030" w:type="pct"/>
            <w:shd w:val="clear" w:color="auto" w:fill="FFFFFF"/>
          </w:tcPr>
          <w:p w14:paraId="11684FA5" w14:textId="77777777" w:rsidR="00E874AD" w:rsidRPr="006176E4" w:rsidRDefault="00E874AD" w:rsidP="00170E31">
            <w:pPr>
              <w:pStyle w:val="CETBodytext"/>
              <w:jc w:val="center"/>
              <w:rPr>
                <w:sz w:val="17"/>
                <w:szCs w:val="17"/>
                <w:lang w:val="en-GB"/>
              </w:rPr>
            </w:pPr>
          </w:p>
        </w:tc>
        <w:tc>
          <w:tcPr>
            <w:tcW w:w="1224" w:type="pct"/>
            <w:shd w:val="clear" w:color="auto" w:fill="FFFFFF"/>
          </w:tcPr>
          <w:p w14:paraId="69C4297B" w14:textId="77777777" w:rsidR="00E874AD" w:rsidRPr="006176E4" w:rsidRDefault="00E874AD" w:rsidP="00170E31">
            <w:pPr>
              <w:pStyle w:val="CETBodytext"/>
              <w:jc w:val="center"/>
              <w:rPr>
                <w:sz w:val="17"/>
                <w:szCs w:val="17"/>
                <w:lang w:val="en-GB"/>
              </w:rPr>
            </w:pPr>
            <w:r w:rsidRPr="006176E4">
              <w:rPr>
                <w:sz w:val="17"/>
                <w:szCs w:val="17"/>
                <w:lang w:val="en-GB"/>
              </w:rPr>
              <w:t>&gt;140°C</w:t>
            </w:r>
          </w:p>
        </w:tc>
        <w:tc>
          <w:tcPr>
            <w:tcW w:w="1226" w:type="pct"/>
            <w:shd w:val="clear" w:color="auto" w:fill="FFFFFF"/>
          </w:tcPr>
          <w:p w14:paraId="25784AE5" w14:textId="77777777" w:rsidR="00E874AD" w:rsidRPr="006176E4" w:rsidRDefault="00E874AD" w:rsidP="00170E31">
            <w:pPr>
              <w:pStyle w:val="CETBodytext"/>
              <w:jc w:val="center"/>
              <w:rPr>
                <w:sz w:val="17"/>
                <w:szCs w:val="17"/>
                <w:lang w:val="en-GB"/>
              </w:rPr>
            </w:pPr>
          </w:p>
        </w:tc>
      </w:tr>
    </w:tbl>
    <w:p w14:paraId="6902626A" w14:textId="77777777" w:rsidR="00E874AD" w:rsidRPr="006176E4" w:rsidRDefault="00E874AD" w:rsidP="00E874AD">
      <w:pPr>
        <w:pStyle w:val="CETHeading1"/>
      </w:pPr>
      <w:r w:rsidRPr="006176E4">
        <w:t xml:space="preserve">Main potential ignition sources </w:t>
      </w:r>
      <w:r w:rsidRPr="006176E4">
        <w:rPr>
          <w:lang w:val="en-GB"/>
        </w:rPr>
        <w:t>in the milling industry</w:t>
      </w:r>
    </w:p>
    <w:p w14:paraId="3958EA8C" w14:textId="73C59DFE" w:rsidR="00E874AD" w:rsidRPr="006176E4" w:rsidRDefault="00E874AD" w:rsidP="00E874AD">
      <w:pPr>
        <w:pStyle w:val="CETBodytext"/>
        <w:rPr>
          <w:lang w:val="en-GB"/>
        </w:rPr>
      </w:pPr>
      <w:r w:rsidRPr="006176E4">
        <w:rPr>
          <w:lang w:val="en-GB"/>
        </w:rPr>
        <w:t xml:space="preserve">Standard </w:t>
      </w:r>
      <w:r w:rsidRPr="006176E4">
        <w:rPr>
          <w:lang w:val="en-GB"/>
        </w:rPr>
        <w:fldChar w:fldCharType="begin"/>
      </w:r>
      <w:r w:rsidRPr="006176E4">
        <w:rPr>
          <w:lang w:val="en-GB"/>
        </w:rPr>
        <w:instrText xml:space="preserve"> ADDIN ZOTERO_ITEM CSL_CITATION {"citationID":"AlY7SKtC","properties":{"formattedCitation":"(\\uc0\\u8220{}BS EN 1127-1:2019 Explosive atmospheres. Explosion prevention and protection Basic concepts and methodology\\uc0\\u160{}-\\uc0\\u160{}European Standards,\\uc0\\u8221{} n.d.)","plainCitation":"(“BS EN 1127-1:2019 Explosive atmospheres. Explosion prevention and protection Basic concepts and methodology - European Standards,” n.d.)","noteIndex":0},"citationItems":[{"id":410,"uris":["http://zotero.org/users/4673237/items/QK5GWDQP"],"itemData":{"id":410,"type":"webpage","title":"BS EN 1127-1:2019 Explosive atmospheres. Explosion prevention and protection Basic concepts and methodology - European Standards","URL":"https://www.en-standard.eu/bs-en-1127-1-2019-explosive-atmospheres-explosion-prevention-and-protection-basic-concepts-and-methodology/","accessed":{"date-parts":[["2023",5,30]]}}}],"schema":"https://github.com/citation-style-language/schema/raw/master/csl-citation.json"} </w:instrText>
      </w:r>
      <w:r w:rsidRPr="006176E4">
        <w:rPr>
          <w:lang w:val="en-GB"/>
        </w:rPr>
        <w:fldChar w:fldCharType="separate"/>
      </w:r>
      <w:r w:rsidRPr="006176E4">
        <w:rPr>
          <w:rFonts w:cs="Arial"/>
          <w:szCs w:val="24"/>
        </w:rPr>
        <w:t xml:space="preserve"> EN 1127-1</w:t>
      </w:r>
      <w:r w:rsidRPr="006176E4">
        <w:rPr>
          <w:lang w:val="en-GB"/>
        </w:rPr>
        <w:fldChar w:fldCharType="end"/>
      </w:r>
      <w:r w:rsidRPr="006176E4">
        <w:rPr>
          <w:lang w:val="en-GB"/>
        </w:rPr>
        <w:t xml:space="preserve"> lists the possible ignition sources; under certain circumstances, some can become potential, i.e., igniting the explosive atmosphere in the milling industry.</w:t>
      </w:r>
      <w:r>
        <w:rPr>
          <w:lang w:val="en-GB"/>
        </w:rPr>
        <w:t xml:space="preserve"> </w:t>
      </w:r>
      <w:r w:rsidRPr="006176E4">
        <w:rPr>
          <w:lang w:val="en-GB"/>
        </w:rPr>
        <w:t>Considering the products ignition behaviour, based on the intended use according to Table 7, following a basic evaluation of the main process-related ignition sources.</w:t>
      </w:r>
      <w:r>
        <w:rPr>
          <w:lang w:val="en-GB"/>
        </w:rPr>
        <w:t xml:space="preserve"> </w:t>
      </w:r>
      <w:r w:rsidRPr="006176E4">
        <w:rPr>
          <w:lang w:val="en-GB"/>
        </w:rPr>
        <w:t>Hot surfaces can be a potential ignition source when the temperature reaches dangerous levels, compared with both MIT layer 5 mm and MIT cloud. Considering a safety margin, a hot surface should be regarded as capable of igniting a 5 mm dust layer when the temperature is above 135°C and a dust cloud when the temperature is above 200°C. This information should also be considered when defining the temperature class required for electrical or mechanical equipment. Based on the burning class of the products glowing nests are a potential ignition source. They can be generated after products exothermic reactions, for example, by hotspots, overheating, mechanical friction, unsuitable electrical equipment, or trivial ignition sources due to hot works. Considering self-ignition (Grewer) and thermal decomposition in a 400 ml wire mesh basket, glowing materials can be expected when the products for any reason are heated up above 100°C.</w:t>
      </w:r>
      <w:r>
        <w:rPr>
          <w:lang w:val="en-GB"/>
        </w:rPr>
        <w:t xml:space="preserve"> </w:t>
      </w:r>
      <w:r w:rsidRPr="006176E4">
        <w:rPr>
          <w:lang w:val="en-GB"/>
        </w:rPr>
        <w:t xml:space="preserve">Based on MIE with inductance and MIT cloud, mechanical generated sparks like impact sparks are not potential, while friction sparks can ignite a dust cloud when relative speed is sufficiently high to provide the necessary equivalent energy. In the milling industry, in general, with a relative speed </w:t>
      </w:r>
      <w:r w:rsidRPr="006176E4">
        <w:rPr>
          <w:rFonts w:cs="Arial"/>
          <w:lang w:val="en-GB"/>
        </w:rPr>
        <w:t>≤</w:t>
      </w:r>
      <w:r w:rsidRPr="006176E4">
        <w:rPr>
          <w:lang w:val="en-GB"/>
        </w:rPr>
        <w:t xml:space="preserve">1 m/s there is no hazard of ignition of dust clouds, while higher relative speeds must be assessed on a case-by-case basis considering, at least, the equipment concerned, relative speed, applied power, presence of any controls such as thermal switches or circuit breakers to protect the electric motor. Electrical apparatus is always a potential ignition source; so proper safety features are required, based on equipment marking, including Atex category required according to the installation zone and periodic checks and maintenance. Moreover, equipment installed in the milling industry should be at least of group IIIB and temperature class </w:t>
      </w:r>
      <w:r w:rsidRPr="006176E4">
        <w:rPr>
          <w:rFonts w:cs="Arial"/>
          <w:lang w:val="en-GB"/>
        </w:rPr>
        <w:t>≤</w:t>
      </w:r>
      <w:r w:rsidRPr="006176E4">
        <w:rPr>
          <w:lang w:val="en-GB"/>
        </w:rPr>
        <w:t>135°C.</w:t>
      </w:r>
    </w:p>
    <w:p w14:paraId="232AD32E" w14:textId="11C52BBD" w:rsidR="00E874AD" w:rsidRPr="006176E4" w:rsidRDefault="00E874AD" w:rsidP="00E874AD">
      <w:pPr>
        <w:pStyle w:val="CETBodytext"/>
        <w:rPr>
          <w:lang w:val="en-GB"/>
        </w:rPr>
      </w:pPr>
      <w:r w:rsidRPr="006176E4">
        <w:rPr>
          <w:lang w:val="en-GB"/>
        </w:rPr>
        <w:t xml:space="preserve">Some static discharges are not potential, like Corona and Brush discharges, because of the sufficiently high MIE without inductance, or not foreseeable like Cone discharges because of the </w:t>
      </w:r>
      <w:r w:rsidR="001347C7">
        <w:rPr>
          <w:lang w:val="en-GB"/>
        </w:rPr>
        <w:t xml:space="preserve">low </w:t>
      </w:r>
      <w:r w:rsidRPr="006176E4">
        <w:rPr>
          <w:lang w:val="en-GB"/>
        </w:rPr>
        <w:t>enough</w:t>
      </w:r>
      <w:r w:rsidR="001347C7">
        <w:rPr>
          <w:lang w:val="en-GB"/>
        </w:rPr>
        <w:t xml:space="preserve"> </w:t>
      </w:r>
      <w:r w:rsidRPr="006176E4">
        <w:rPr>
          <w:lang w:val="en-GB"/>
        </w:rPr>
        <w:t>Bulk resistivity.</w:t>
      </w:r>
    </w:p>
    <w:p w14:paraId="0298D58F" w14:textId="7F81CA9D" w:rsidR="00E874AD" w:rsidRPr="006176E4" w:rsidRDefault="00E874AD" w:rsidP="00E874AD">
      <w:pPr>
        <w:pStyle w:val="CETBodytext"/>
        <w:rPr>
          <w:lang w:val="en-GB"/>
        </w:rPr>
      </w:pPr>
      <w:r w:rsidRPr="006176E4">
        <w:rPr>
          <w:lang w:val="en-GB"/>
        </w:rPr>
        <w:t>Propagating brush discharges are a potential ignition source and must be effectively prevented by avoiding thin insulating coatings on metals or other conductive materials when affected by repeated electrostatic charging processes. If coatings are used, they should have a sufficiently low leakage resistance (&lt;10</w:t>
      </w:r>
      <w:r w:rsidRPr="006176E4">
        <w:rPr>
          <w:vertAlign w:val="superscript"/>
          <w:lang w:val="en-GB"/>
        </w:rPr>
        <w:t>11</w:t>
      </w:r>
      <w:r w:rsidRPr="006176E4">
        <w:rPr>
          <w:lang w:val="en-GB"/>
        </w:rPr>
        <w:t xml:space="preserve"> Ω), or low dielectric strength (breakdown voltage &lt;4 kV), or thicknesses greater than 10 mm.</w:t>
      </w:r>
      <w:r>
        <w:rPr>
          <w:lang w:val="en-GB"/>
        </w:rPr>
        <w:t xml:space="preserve"> </w:t>
      </w:r>
      <w:r w:rsidRPr="006176E4">
        <w:rPr>
          <w:lang w:val="en-GB"/>
        </w:rPr>
        <w:t xml:space="preserve">Spark discharges are a potential ignition source and must be effectively prevented by proper grounding and bonding of all the conductive </w:t>
      </w:r>
      <w:r w:rsidRPr="006176E4">
        <w:rPr>
          <w:lang w:val="en-GB"/>
        </w:rPr>
        <w:lastRenderedPageBreak/>
        <w:t xml:space="preserve">(volume resistivity </w:t>
      </w:r>
      <w:r w:rsidRPr="006176E4">
        <w:rPr>
          <w:rFonts w:cs="Arial"/>
          <w:lang w:val="en-GB"/>
        </w:rPr>
        <w:t>≤</w:t>
      </w:r>
      <w:r w:rsidRPr="006176E4">
        <w:rPr>
          <w:lang w:val="en-GB"/>
        </w:rPr>
        <w:t>10</w:t>
      </w:r>
      <w:r w:rsidRPr="006176E4">
        <w:rPr>
          <w:vertAlign w:val="superscript"/>
          <w:lang w:val="en-GB"/>
        </w:rPr>
        <w:t>4</w:t>
      </w:r>
      <w:r w:rsidRPr="006176E4">
        <w:rPr>
          <w:lang w:val="en-GB"/>
        </w:rPr>
        <w:t xml:space="preserve"> Ωm) and dissipative (10</w:t>
      </w:r>
      <w:r w:rsidRPr="006176E4">
        <w:rPr>
          <w:vertAlign w:val="superscript"/>
          <w:lang w:val="en-GB"/>
        </w:rPr>
        <w:t>4</w:t>
      </w:r>
      <w:r w:rsidRPr="006176E4">
        <w:rPr>
          <w:lang w:val="en-GB"/>
        </w:rPr>
        <w:t xml:space="preserve"> Ωm &lt; volume resistivity </w:t>
      </w:r>
      <w:r w:rsidRPr="006176E4">
        <w:rPr>
          <w:rFonts w:cs="Arial"/>
          <w:lang w:val="en-GB"/>
        </w:rPr>
        <w:t>≤</w:t>
      </w:r>
      <w:r w:rsidRPr="006176E4">
        <w:rPr>
          <w:lang w:val="en-GB"/>
        </w:rPr>
        <w:t>10</w:t>
      </w:r>
      <w:r w:rsidRPr="006176E4">
        <w:rPr>
          <w:vertAlign w:val="superscript"/>
          <w:lang w:val="en-GB"/>
        </w:rPr>
        <w:t>9</w:t>
      </w:r>
      <w:r w:rsidRPr="006176E4">
        <w:rPr>
          <w:lang w:val="en-GB"/>
        </w:rPr>
        <w:t xml:space="preserve"> Ωm) parts of equipment affected by electrostatic charging processes. Finally, lightning is always a potential ignition source, for this reason, proper lightning protection of the building and the equipment is required, subject to periodic checks and maintenance. Other ignition sources, listed in standard EN 1127-1, are not considered since they are not the most important in the milling industry, but must be in any case evaluated in any explosion risk assessment.</w:t>
      </w:r>
    </w:p>
    <w:p w14:paraId="3C458B91" w14:textId="77777777" w:rsidR="00E874AD" w:rsidRPr="006176E4" w:rsidRDefault="00E874AD" w:rsidP="00E874AD">
      <w:pPr>
        <w:pStyle w:val="CETHeading1"/>
      </w:pPr>
      <w:r w:rsidRPr="006176E4">
        <w:t xml:space="preserve">Main process equipment </w:t>
      </w:r>
      <w:r w:rsidRPr="006176E4">
        <w:rPr>
          <w:lang w:val="en-GB"/>
        </w:rPr>
        <w:t>in the milling industry</w:t>
      </w:r>
    </w:p>
    <w:p w14:paraId="5308117E" w14:textId="77777777" w:rsidR="00E874AD" w:rsidRPr="006176E4" w:rsidRDefault="00E874AD" w:rsidP="00E874AD">
      <w:pPr>
        <w:pStyle w:val="CETBodytext"/>
        <w:rPr>
          <w:lang w:val="en-GB"/>
        </w:rPr>
      </w:pPr>
      <w:r w:rsidRPr="006176E4">
        <w:rPr>
          <w:lang w:val="en-GB"/>
        </w:rPr>
        <w:t>Following information regarding potential ignition sources and possible technical and organisational measures for controlling the risk of explosion for the main process equipment widely adopted in the milling industry.</w:t>
      </w:r>
    </w:p>
    <w:p w14:paraId="5BF7B88A" w14:textId="0AF0A7C9" w:rsidR="00E874AD" w:rsidRPr="006176E4" w:rsidRDefault="00E874AD" w:rsidP="00E874AD">
      <w:pPr>
        <w:pStyle w:val="CETBodytext"/>
        <w:rPr>
          <w:lang w:val="en-GB"/>
        </w:rPr>
      </w:pPr>
      <w:r w:rsidRPr="006176E4">
        <w:rPr>
          <w:lang w:val="en-GB"/>
        </w:rPr>
        <w:t>The type and the extent of the safety measures required to achieve the safety target, must be defined, on a case-by-case basis, according to the specific explosion risk assessment.</w:t>
      </w:r>
      <w:r>
        <w:rPr>
          <w:lang w:val="en-GB"/>
        </w:rPr>
        <w:t xml:space="preserve"> </w:t>
      </w:r>
      <w:r w:rsidRPr="006176E4">
        <w:rPr>
          <w:lang w:val="en-GB"/>
        </w:rPr>
        <w:t>In general, electrical equipment require</w:t>
      </w:r>
      <w:r w:rsidR="00E41DA2">
        <w:rPr>
          <w:lang w:val="en-GB"/>
        </w:rPr>
        <w:t>s</w:t>
      </w:r>
      <w:r w:rsidRPr="006176E4">
        <w:rPr>
          <w:lang w:val="en-GB"/>
        </w:rPr>
        <w:t xml:space="preserve"> a proper Atex category, according to </w:t>
      </w:r>
      <w:r w:rsidR="00447557">
        <w:rPr>
          <w:lang w:val="en-GB"/>
        </w:rPr>
        <w:t xml:space="preserve">the </w:t>
      </w:r>
      <w:r w:rsidRPr="006176E4">
        <w:rPr>
          <w:lang w:val="en-GB"/>
        </w:rPr>
        <w:t xml:space="preserve">installation zone, and at least group IIIB and temperature class </w:t>
      </w:r>
      <w:r w:rsidRPr="006176E4">
        <w:rPr>
          <w:rFonts w:cs="Arial"/>
          <w:lang w:val="en-GB"/>
        </w:rPr>
        <w:t>≤</w:t>
      </w:r>
      <w:r w:rsidRPr="006176E4">
        <w:rPr>
          <w:lang w:val="en-GB"/>
        </w:rPr>
        <w:t>135°C. Periodic checks and maintenance are necessary to ensure the equipment maintains its safety features. Bucket elevators, based on recorded explosions, are the equipment most likely to cause an ignition in the milling industry. Even in the case of the application of very efficient aspiration, it is not possible to prevent, inside bucket elevators, explosive dust clouds and dust layers during normal operating conditions. Mechanical ignition sources are likely to occur: friction sparks and local overheating with consequent thermal decomposition of dust layers, followed by glowing phenomena.</w:t>
      </w:r>
      <w:r>
        <w:rPr>
          <w:lang w:val="en-GB"/>
        </w:rPr>
        <w:t xml:space="preserve"> </w:t>
      </w:r>
      <w:r w:rsidRPr="006176E4">
        <w:rPr>
          <w:lang w:val="en-GB"/>
        </w:rPr>
        <w:t>These mechanical ignition sources are mainly due to: friction between metal buckets and elevator casing, belt slippage and misalignment, and bearings overheating. To control the above mechanical ignition sources, technical measures can be adopted, like belt speed limitation until possible, belt slippage and misalignment monitoring, and bearings overheating monitoring. Possible product clogging into the elevator boot can also cause thermal decomposition, and consequent glowing nests can be expected. Adopting a detection system able to alarm in case of boot clogging is not always easy to apply; in some circumstances, this malfunction can be detected using a level switch in the upstream equipment, able to monitor an abnormal accumulation.</w:t>
      </w:r>
      <w:r>
        <w:rPr>
          <w:lang w:val="en-GB"/>
        </w:rPr>
        <w:t xml:space="preserve"> </w:t>
      </w:r>
      <w:r w:rsidRPr="006176E4">
        <w:rPr>
          <w:lang w:val="en-GB"/>
        </w:rPr>
        <w:t>Proper grounding and bonding of all the conductive parts of the elevator can prevent ignition by spark discharges. The adoption of a dissipative belt (surface resistances on both sides &lt; 3x108 Ω) can guarantee, at the same time, grounding of metallic buckets and the prevention of propagating brush discharges that could occur in case of isolating belt. Periodic checks and maintenance are required organisational measures to maintain mechanical equipment efficiency and reduce the probability of occurrence of potential ignition sources. Dust collectors, like bag filters, can contain an explosive dust cloud inside the dusty air plenum during normal operating conditions, particularly after the activation of the air jet cleaning system, but even on the clean gas side in case of failure of the filter media.</w:t>
      </w:r>
      <w:r>
        <w:rPr>
          <w:lang w:val="en-GB"/>
        </w:rPr>
        <w:t xml:space="preserve"> </w:t>
      </w:r>
      <w:r w:rsidRPr="006176E4">
        <w:rPr>
          <w:lang w:val="en-GB"/>
        </w:rPr>
        <w:t xml:space="preserve">The ignition sources able to cause an ignition are mainly hot surfaces and mechanical generated sparks, in the event of a simultaneous failure of filter media and fan installed in the emission pipe or spark discharges in case of grounding failure. Filter media failure can be controlled by installing a triboelectric detector or a safety filter; while a fan with proper Atex marking, subject to periodic checks and maintenance, can control hot surfaces and mechanical generated sparks. </w:t>
      </w:r>
      <w:r w:rsidRPr="006176E4">
        <w:rPr>
          <w:rFonts w:hint="eastAsia"/>
          <w:lang w:val="en-GB"/>
        </w:rPr>
        <w:t>Moving parts can be present inside the filter, like rotary valves, that should not be considered as potential ignition sources until they have a peripheral speed ≤1 m/s and limited applied power.</w:t>
      </w:r>
      <w:r w:rsidRPr="006176E4">
        <w:rPr>
          <w:lang w:val="en-GB"/>
        </w:rPr>
        <w:t xml:space="preserve"> Proper grounding and bonding of all the conductive parts, including filter bag cages, can prevent ignition by spark discharges. Propagating brush discharges should not be expected in case the filter is used for aspiration purpose, since the limited dust concentration in the aspirated air should limit charging processes on insulating inner coatings if present. The probability of occurrence of an explosive dust cloud inside silos and cells depends on the product stored inside: grain or milled dust, and, in the case of grain: after pre-cleaning, cleaning or wetting procedures. Moving parts can be present inside silos and cells, like rotary valves and screw conveyors.</w:t>
      </w:r>
      <w:r>
        <w:rPr>
          <w:lang w:val="en-GB"/>
        </w:rPr>
        <w:t xml:space="preserve"> </w:t>
      </w:r>
      <w:r w:rsidRPr="006176E4">
        <w:rPr>
          <w:lang w:val="en-GB"/>
        </w:rPr>
        <w:t xml:space="preserve">In the case of rotary valves, hot surfaces and mechanical generated sparks should not be considered as potential ignition sources until they have a peripheral speed </w:t>
      </w:r>
      <w:r w:rsidRPr="006176E4">
        <w:rPr>
          <w:rFonts w:cs="Arial"/>
          <w:lang w:val="en-GB"/>
        </w:rPr>
        <w:t>≤</w:t>
      </w:r>
      <w:r w:rsidRPr="006176E4">
        <w:rPr>
          <w:lang w:val="en-GB"/>
        </w:rPr>
        <w:t>1 m/s and limited applied power.</w:t>
      </w:r>
      <w:r>
        <w:rPr>
          <w:lang w:val="en-GB"/>
        </w:rPr>
        <w:t xml:space="preserve"> </w:t>
      </w:r>
      <w:r w:rsidRPr="006176E4">
        <w:rPr>
          <w:lang w:val="en-GB"/>
        </w:rPr>
        <w:t>In the case of screw conveyors, hot surfaces could occur, in particular at support pins and bearings, while applied peripheral speed sometimes can be &gt;1 m/s, so every situation must be assessed on a case-by-case basis. In some situations, silos and cells are built in metal, so grounding and bonding are required to prevent ignition by spark discharges, but sometimes they are made in concrete or, if very old, even in wood. Propagating brush discharges should not be expected when insulating inner coatings are not used, and, in any case, limited impact of dust at high speed should limit charging processes.</w:t>
      </w:r>
      <w:r>
        <w:rPr>
          <w:lang w:val="en-GB"/>
        </w:rPr>
        <w:t xml:space="preserve"> </w:t>
      </w:r>
      <w:r w:rsidRPr="006176E4">
        <w:rPr>
          <w:lang w:val="en-GB"/>
        </w:rPr>
        <w:t xml:space="preserve">The probability of occurrence of an explosive dust cloud inside chain conveyors, also called </w:t>
      </w:r>
      <w:proofErr w:type="spellStart"/>
      <w:r w:rsidRPr="006176E4">
        <w:rPr>
          <w:lang w:val="en-GB"/>
        </w:rPr>
        <w:t>redlers</w:t>
      </w:r>
      <w:proofErr w:type="spellEnd"/>
      <w:r w:rsidRPr="006176E4">
        <w:rPr>
          <w:lang w:val="en-GB"/>
        </w:rPr>
        <w:t>, can usually be limited by adopting a proper aspiration. In these circumstances, the presence of an explosive atmosphere inside must be considered, at least due to abnormal operating conditions.</w:t>
      </w:r>
    </w:p>
    <w:p w14:paraId="52C14E1C" w14:textId="3C58F63A" w:rsidR="00E874AD" w:rsidRPr="006176E4" w:rsidRDefault="00E874AD" w:rsidP="00E874AD">
      <w:pPr>
        <w:pStyle w:val="CETBodytext"/>
        <w:rPr>
          <w:lang w:val="en-GB"/>
        </w:rPr>
      </w:pPr>
      <w:r w:rsidRPr="006176E4">
        <w:rPr>
          <w:lang w:val="en-GB"/>
        </w:rPr>
        <w:t xml:space="preserve">In these circumstances the risk of ignition from mechanical friction between blades and casing can easily be controlled by periodic checks and maintenance. Grounding and bonding are required to prevent ignition by spark discharges while propagating brush discharges should not be expected when insulating inner coatings are not used. Pneumatic transports contain an explosive dust cloud inside during normal operating conditions; the </w:t>
      </w:r>
      <w:r w:rsidRPr="006176E4">
        <w:rPr>
          <w:lang w:val="en-GB"/>
        </w:rPr>
        <w:lastRenderedPageBreak/>
        <w:t>probability of occurrence can change according to the process setup.</w:t>
      </w:r>
      <w:r>
        <w:rPr>
          <w:lang w:val="en-GB"/>
        </w:rPr>
        <w:t xml:space="preserve"> </w:t>
      </w:r>
      <w:r w:rsidRPr="006176E4">
        <w:rPr>
          <w:lang w:val="en-GB"/>
        </w:rPr>
        <w:t xml:space="preserve">Sometimes diverter valves are applied along the pipes but, considering that they are not operated during pneumatic </w:t>
      </w:r>
      <w:proofErr w:type="gramStart"/>
      <w:r w:rsidRPr="006176E4">
        <w:rPr>
          <w:lang w:val="en-GB"/>
        </w:rPr>
        <w:t>conveying</w:t>
      </w:r>
      <w:proofErr w:type="gramEnd"/>
      <w:r w:rsidRPr="006176E4">
        <w:t xml:space="preserve"> </w:t>
      </w:r>
      <w:r w:rsidRPr="006176E4">
        <w:rPr>
          <w:lang w:val="en-GB"/>
        </w:rPr>
        <w:t xml:space="preserve">or, in any case, they usually move with a speed </w:t>
      </w:r>
      <w:r w:rsidRPr="006176E4">
        <w:rPr>
          <w:rFonts w:cs="Arial"/>
          <w:lang w:val="en-GB"/>
        </w:rPr>
        <w:t>≤</w:t>
      </w:r>
      <w:r w:rsidRPr="006176E4">
        <w:rPr>
          <w:lang w:val="en-GB"/>
        </w:rPr>
        <w:t>1 m/s, they should not be considered as potential ignition sources. Grounding and bonding are required to prevent ignition by spark discharges; the use of flexible pipes made of insulating polymer can compromise the grounding and bonding of some metallic pipe sections. In these circumstances, special electrical connections are required, or alternatively, the adoption of flexible pipes made of dissipative material. Propagating brush discharges should not be expected when insulating inner coatings are not used. According to the explosion risk assessment, constructional explosion protection may be required to reach the safety target (residual risk) to reduce the impact of a possible explosion in case the safety measures are not suitable to reduce the probability of an explosion to a sufficiently low level. Constructional explosion protection can be represented by explosion venting or explosion suppression, combined with explosion decoupling to prevent explosion propagation to the interconnected process equipment. It is important to underline how a secondary explosion must be prevented since it’s affected by increased explosion violence caused by high turbulence, pressure piling and broad flame jet ignition.</w:t>
      </w:r>
    </w:p>
    <w:p w14:paraId="599F678E" w14:textId="77777777" w:rsidR="00E874AD" w:rsidRPr="006176E4" w:rsidRDefault="00E874AD" w:rsidP="00E874AD">
      <w:pPr>
        <w:pStyle w:val="CETHeading1"/>
        <w:tabs>
          <w:tab w:val="clear" w:pos="360"/>
          <w:tab w:val="right" w:pos="7100"/>
        </w:tabs>
        <w:jc w:val="both"/>
        <w:rPr>
          <w:lang w:val="en-GB"/>
        </w:rPr>
      </w:pPr>
      <w:r w:rsidRPr="006176E4">
        <w:rPr>
          <w:lang w:val="en-GB"/>
        </w:rPr>
        <w:t>Conclusions</w:t>
      </w:r>
    </w:p>
    <w:p w14:paraId="3278530E" w14:textId="3ED35A5C" w:rsidR="00E874AD" w:rsidRPr="006176E4" w:rsidRDefault="00E874AD" w:rsidP="00E874AD">
      <w:pPr>
        <w:pStyle w:val="CETBodytext"/>
      </w:pPr>
      <w:r w:rsidRPr="006176E4">
        <w:t>In conclusion, this scientific paper emphasizes the importance of understanding and managing the risks associated with dust explosions in milling facilities. The insights gained from laboratory tests on different dust products provide a basis for identifying hazards and implementing safety measures. This study contributes to advancing our understanding of the risks involved in grain and flour processing, making it a valuable resource for industry professionals and safety experts.</w:t>
      </w:r>
      <w:r w:rsidRPr="006176E4">
        <w:rPr>
          <w:rFonts w:ascii="Segoe UI" w:hAnsi="Segoe UI" w:cs="Segoe UI"/>
          <w:sz w:val="24"/>
          <w:szCs w:val="24"/>
          <w:lang w:eastAsia="it-IT"/>
        </w:rPr>
        <w:t xml:space="preserve"> </w:t>
      </w:r>
      <w:r w:rsidRPr="006176E4">
        <w:t>The findings highlight the need for proactive measures to mitigate the risks of dust explosions. By implementing recommended safety guidelines and incorporating risk assessments into operational practices, the industry can significantly reduce the occurrence and severity of dust-related incidents. This ensures the well-being of workers, protects assets, and promotes a safer working environment.</w:t>
      </w:r>
      <w:r>
        <w:t xml:space="preserve"> </w:t>
      </w:r>
      <w:r w:rsidRPr="006176E4">
        <w:t>Hazard analysis and risk assessment are crucial for maintaining safety. By identifying potential hazards and assessing associated risks, organizations can implement control measures and preventive actions to minimize accidents. A thorough evaluation of all potential ignition sources allows targeted mitigation strategies to be put in place, such as avoidance of effective ignition sources and, when necessary, reduction of the explosion effects by means of constructional explosion protection.</w:t>
      </w:r>
    </w:p>
    <w:p w14:paraId="4D172038" w14:textId="77777777" w:rsidR="00E874AD" w:rsidRPr="006176E4" w:rsidRDefault="00E874AD" w:rsidP="00E874AD">
      <w:pPr>
        <w:pStyle w:val="CETBodytext"/>
      </w:pPr>
      <w:r w:rsidRPr="006176E4">
        <w:t>Regularly reviewing and updating hazard analysis and risk assessments enables organizations to adapt to changes and ensure ongoing safety and compliance. This comprehensive approach fosters a culture of safety, protects lives and property, and contributes to the long-term success and sustainability of the plant and the organization as a whole.</w:t>
      </w:r>
    </w:p>
    <w:p w14:paraId="13099FC6" w14:textId="77777777" w:rsidR="00E874AD" w:rsidRPr="006176E4" w:rsidRDefault="00E874AD" w:rsidP="00E874AD">
      <w:pPr>
        <w:pStyle w:val="CETBodytext"/>
        <w:rPr>
          <w:lang w:val="en-GB"/>
        </w:rPr>
      </w:pPr>
    </w:p>
    <w:p w14:paraId="73433642" w14:textId="77777777" w:rsidR="00E874AD" w:rsidRPr="006176E4" w:rsidRDefault="00E874AD" w:rsidP="00E874AD">
      <w:pPr>
        <w:pStyle w:val="CETReference0"/>
      </w:pPr>
      <w:r w:rsidRPr="006176E4">
        <w:t>References</w:t>
      </w:r>
    </w:p>
    <w:p w14:paraId="74857F2E" w14:textId="77777777" w:rsidR="00E874AD" w:rsidRPr="006176E4" w:rsidRDefault="00E874AD" w:rsidP="00FF745D">
      <w:pPr>
        <w:pStyle w:val="CETReferencetext"/>
      </w:pPr>
      <w:r w:rsidRPr="006176E4">
        <w:rPr>
          <w:rFonts w:ascii="Times New Roman" w:eastAsia="SimSun" w:hAnsi="Times New Roman"/>
          <w:sz w:val="20"/>
        </w:rPr>
        <w:fldChar w:fldCharType="begin"/>
      </w:r>
      <w:r w:rsidRPr="006176E4">
        <w:instrText xml:space="preserve"> ADDIN ZOTERO_BIBL {"uncited":[],"omitted":[],"custom":[]} CSL_BIBLIOGRAPHY </w:instrText>
      </w:r>
      <w:r w:rsidRPr="006176E4">
        <w:rPr>
          <w:rFonts w:ascii="Times New Roman" w:eastAsia="SimSun" w:hAnsi="Times New Roman"/>
          <w:sz w:val="20"/>
        </w:rPr>
        <w:fldChar w:fldCharType="separate"/>
      </w:r>
      <w:r w:rsidRPr="006176E4">
        <w:t>BS EN 1127-1:2019 Explosive atmospheres. Explosion prevention and protection Basic concepts and methodology - European Standards [WWW Document], n.d. URL https://www.en-standard.eu/bs-en-1127-1-2019-explosive-atmospheres-explosion-prevention-and-protection-basic-concepts-and-methodology/ (accessed 5.30.23).</w:t>
      </w:r>
    </w:p>
    <w:p w14:paraId="406CF5A2" w14:textId="05D1C17E" w:rsidR="00E874AD" w:rsidRPr="006176E4" w:rsidRDefault="00E874AD" w:rsidP="00FF745D">
      <w:pPr>
        <w:pStyle w:val="CETReferencetext"/>
      </w:pPr>
      <w:r w:rsidRPr="006176E4">
        <w:t>Cloney C., 2021. 2021-Combustible-Dust-Incident-Report-Version-1.pdf [WWW Document]. URL https://dss1.s3.us-east-2.amazonaws.com/2021-Combustible-Dust-Incident-Report-Version-1.pdf (accessed 1.17.23).</w:t>
      </w:r>
    </w:p>
    <w:p w14:paraId="2F180D50" w14:textId="044B6131" w:rsidR="00E874AD" w:rsidRPr="006176E4" w:rsidRDefault="00E874AD" w:rsidP="00FF745D">
      <w:pPr>
        <w:pStyle w:val="CETReferencetext"/>
      </w:pPr>
      <w:r w:rsidRPr="006176E4">
        <w:rPr>
          <w:lang w:val="it-IT"/>
        </w:rPr>
        <w:t xml:space="preserve">Copelli S., Barozzi M., Scotton M.S., Fumagalli A., Derudi M., Rota R., 2019. </w:t>
      </w:r>
      <w:r w:rsidRPr="006176E4">
        <w:t>A predictive model for the estimation of the deflagration index of organic dusts. Process Saf. Environ. Prot. 126, 329–338. https://doi.org/10.1016/j.psep.2019.04.012</w:t>
      </w:r>
    </w:p>
    <w:p w14:paraId="48C37826" w14:textId="5023EE9E" w:rsidR="00E874AD" w:rsidRPr="006176E4" w:rsidRDefault="00E874AD" w:rsidP="00FF745D">
      <w:pPr>
        <w:pStyle w:val="CETReferencetext"/>
        <w:rPr>
          <w:lang w:val="it-IT"/>
        </w:rPr>
      </w:pPr>
      <w:r w:rsidRPr="00CA436A">
        <w:t xml:space="preserve">Copelli S., Scotton M.S., Barozzi M., Derudi M., Rota R., 2021. </w:t>
      </w:r>
      <w:r w:rsidRPr="006176E4">
        <w:t xml:space="preserve">A Practical Tool for Predicting the Minimum Ignition Energy of Organic Dusts. </w:t>
      </w:r>
      <w:r w:rsidRPr="006176E4">
        <w:rPr>
          <w:lang w:val="it-IT"/>
        </w:rPr>
        <w:t>Ind. Eng. Chem. Res. 60, 10807–10813. https://doi.org/10.1021/acs.iecr.1c00309</w:t>
      </w:r>
    </w:p>
    <w:p w14:paraId="0DE52B97" w14:textId="4B24C981" w:rsidR="00E874AD" w:rsidRPr="006176E4" w:rsidRDefault="00E874AD" w:rsidP="00FF745D">
      <w:pPr>
        <w:pStyle w:val="CETReferencetext"/>
      </w:pPr>
      <w:r w:rsidRPr="006176E4">
        <w:rPr>
          <w:lang w:val="it-IT"/>
        </w:rPr>
        <w:t xml:space="preserve">Scotton M.S., Barozzi M., Derudi M., Rota R., Copelli S., 2020. </w:t>
      </w:r>
      <w:r w:rsidRPr="006176E4">
        <w:t>Kinetic free mathematical model for the prediction of Kst values for organic dusts with arbitrary particle size distribution. J. Loss Prev. Process Ind. 67, 104218. https://doi.org/10.1016/j.jlp.2020.104218</w:t>
      </w:r>
    </w:p>
    <w:p w14:paraId="5A13856B" w14:textId="352A95BB" w:rsidR="006B4888" w:rsidRPr="000D56D6" w:rsidRDefault="00E874AD" w:rsidP="00FF745D">
      <w:pPr>
        <w:pStyle w:val="CETReferencetext"/>
      </w:pPr>
      <w:r w:rsidRPr="006176E4">
        <w:fldChar w:fldCharType="end"/>
      </w:r>
    </w:p>
    <w:sectPr w:rsidR="006B4888" w:rsidRPr="000D56D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257BE" w14:textId="77777777" w:rsidR="00AE0D87" w:rsidRDefault="00AE0D87" w:rsidP="004F5E36">
      <w:r>
        <w:separator/>
      </w:r>
    </w:p>
  </w:endnote>
  <w:endnote w:type="continuationSeparator" w:id="0">
    <w:p w14:paraId="4D95D992" w14:textId="77777777" w:rsidR="00AE0D87" w:rsidRDefault="00AE0D8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44416" w14:textId="77777777" w:rsidR="00AE0D87" w:rsidRDefault="00AE0D87" w:rsidP="004F5E36">
      <w:r>
        <w:separator/>
      </w:r>
    </w:p>
  </w:footnote>
  <w:footnote w:type="continuationSeparator" w:id="0">
    <w:p w14:paraId="7DBB17A0" w14:textId="77777777" w:rsidR="00AE0D87" w:rsidRDefault="00AE0D8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81423352">
    <w:abstractNumId w:val="10"/>
  </w:num>
  <w:num w:numId="2" w16cid:durableId="322437159">
    <w:abstractNumId w:val="8"/>
  </w:num>
  <w:num w:numId="3" w16cid:durableId="834492678">
    <w:abstractNumId w:val="3"/>
  </w:num>
  <w:num w:numId="4" w16cid:durableId="694386076">
    <w:abstractNumId w:val="2"/>
  </w:num>
  <w:num w:numId="5" w16cid:durableId="973676887">
    <w:abstractNumId w:val="1"/>
  </w:num>
  <w:num w:numId="6" w16cid:durableId="1618176024">
    <w:abstractNumId w:val="0"/>
  </w:num>
  <w:num w:numId="7" w16cid:durableId="970134955">
    <w:abstractNumId w:val="9"/>
  </w:num>
  <w:num w:numId="8" w16cid:durableId="1404445691">
    <w:abstractNumId w:val="7"/>
  </w:num>
  <w:num w:numId="9" w16cid:durableId="977610226">
    <w:abstractNumId w:val="6"/>
  </w:num>
  <w:num w:numId="10" w16cid:durableId="1509439027">
    <w:abstractNumId w:val="5"/>
  </w:num>
  <w:num w:numId="11" w16cid:durableId="766465540">
    <w:abstractNumId w:val="4"/>
  </w:num>
  <w:num w:numId="12" w16cid:durableId="1315724144">
    <w:abstractNumId w:val="16"/>
  </w:num>
  <w:num w:numId="13" w16cid:durableId="1350059530">
    <w:abstractNumId w:val="12"/>
  </w:num>
  <w:num w:numId="14" w16cid:durableId="1919091623">
    <w:abstractNumId w:val="17"/>
  </w:num>
  <w:num w:numId="15" w16cid:durableId="189300202">
    <w:abstractNumId w:val="19"/>
  </w:num>
  <w:num w:numId="16" w16cid:durableId="723021461">
    <w:abstractNumId w:val="18"/>
  </w:num>
  <w:num w:numId="17" w16cid:durableId="732965888">
    <w:abstractNumId w:val="11"/>
  </w:num>
  <w:num w:numId="18" w16cid:durableId="1792744392">
    <w:abstractNumId w:val="12"/>
    <w:lvlOverride w:ilvl="0">
      <w:startOverride w:val="1"/>
    </w:lvlOverride>
  </w:num>
  <w:num w:numId="19" w16cid:durableId="400713613">
    <w:abstractNumId w:val="15"/>
  </w:num>
  <w:num w:numId="20" w16cid:durableId="1478034465">
    <w:abstractNumId w:val="14"/>
  </w:num>
  <w:num w:numId="21" w16cid:durableId="14415603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51566"/>
    <w:rsid w:val="00062A9A"/>
    <w:rsid w:val="00065058"/>
    <w:rsid w:val="00086C39"/>
    <w:rsid w:val="000A03B2"/>
    <w:rsid w:val="000D0268"/>
    <w:rsid w:val="000D34BE"/>
    <w:rsid w:val="000E102F"/>
    <w:rsid w:val="000E36F1"/>
    <w:rsid w:val="000E3A73"/>
    <w:rsid w:val="000E414A"/>
    <w:rsid w:val="000F093C"/>
    <w:rsid w:val="000F787B"/>
    <w:rsid w:val="0012091F"/>
    <w:rsid w:val="00126BC2"/>
    <w:rsid w:val="001308B6"/>
    <w:rsid w:val="0013121F"/>
    <w:rsid w:val="00131FE6"/>
    <w:rsid w:val="0013263F"/>
    <w:rsid w:val="001347C7"/>
    <w:rsid w:val="00134DE4"/>
    <w:rsid w:val="0014034D"/>
    <w:rsid w:val="00150E59"/>
    <w:rsid w:val="00152DE3"/>
    <w:rsid w:val="00164CF9"/>
    <w:rsid w:val="001667A6"/>
    <w:rsid w:val="00184AD6"/>
    <w:rsid w:val="00197F6C"/>
    <w:rsid w:val="001A4AF7"/>
    <w:rsid w:val="001B0349"/>
    <w:rsid w:val="001B65C1"/>
    <w:rsid w:val="001C684B"/>
    <w:rsid w:val="001D53FC"/>
    <w:rsid w:val="001F42A5"/>
    <w:rsid w:val="001F7B9D"/>
    <w:rsid w:val="002224B4"/>
    <w:rsid w:val="00225738"/>
    <w:rsid w:val="002447EF"/>
    <w:rsid w:val="00251550"/>
    <w:rsid w:val="00263B05"/>
    <w:rsid w:val="0027221A"/>
    <w:rsid w:val="00275B61"/>
    <w:rsid w:val="00282656"/>
    <w:rsid w:val="00296B83"/>
    <w:rsid w:val="002B78CE"/>
    <w:rsid w:val="002C2FB6"/>
    <w:rsid w:val="002D7C5F"/>
    <w:rsid w:val="002F3309"/>
    <w:rsid w:val="003009B7"/>
    <w:rsid w:val="00300E56"/>
    <w:rsid w:val="0030469C"/>
    <w:rsid w:val="00321CA6"/>
    <w:rsid w:val="00323763"/>
    <w:rsid w:val="00334C09"/>
    <w:rsid w:val="003723D4"/>
    <w:rsid w:val="00381905"/>
    <w:rsid w:val="00384CC8"/>
    <w:rsid w:val="003871FD"/>
    <w:rsid w:val="00397391"/>
    <w:rsid w:val="003A1E30"/>
    <w:rsid w:val="003A7D1C"/>
    <w:rsid w:val="003B304B"/>
    <w:rsid w:val="003B3146"/>
    <w:rsid w:val="003F015E"/>
    <w:rsid w:val="00400414"/>
    <w:rsid w:val="0041446B"/>
    <w:rsid w:val="0044329C"/>
    <w:rsid w:val="00447557"/>
    <w:rsid w:val="004577FE"/>
    <w:rsid w:val="00457B9C"/>
    <w:rsid w:val="0046164A"/>
    <w:rsid w:val="004628D2"/>
    <w:rsid w:val="00462DCD"/>
    <w:rsid w:val="004648AD"/>
    <w:rsid w:val="004703A9"/>
    <w:rsid w:val="004760DE"/>
    <w:rsid w:val="004763D7"/>
    <w:rsid w:val="0049150E"/>
    <w:rsid w:val="004A004E"/>
    <w:rsid w:val="004A24CF"/>
    <w:rsid w:val="004C3D1D"/>
    <w:rsid w:val="004C7913"/>
    <w:rsid w:val="004D7D96"/>
    <w:rsid w:val="004E4DD6"/>
    <w:rsid w:val="004F5E36"/>
    <w:rsid w:val="00507B47"/>
    <w:rsid w:val="00507BEF"/>
    <w:rsid w:val="00507CC9"/>
    <w:rsid w:val="005119A5"/>
    <w:rsid w:val="005278B7"/>
    <w:rsid w:val="00532016"/>
    <w:rsid w:val="005346C8"/>
    <w:rsid w:val="00543E7D"/>
    <w:rsid w:val="00543FE0"/>
    <w:rsid w:val="00547A68"/>
    <w:rsid w:val="005531C9"/>
    <w:rsid w:val="00570C43"/>
    <w:rsid w:val="005B2110"/>
    <w:rsid w:val="005B61E6"/>
    <w:rsid w:val="005C77E1"/>
    <w:rsid w:val="005D668A"/>
    <w:rsid w:val="005D6A2F"/>
    <w:rsid w:val="005E1A82"/>
    <w:rsid w:val="005E794C"/>
    <w:rsid w:val="005F0A28"/>
    <w:rsid w:val="005F0E5E"/>
    <w:rsid w:val="005F5BEE"/>
    <w:rsid w:val="00600535"/>
    <w:rsid w:val="00610CD6"/>
    <w:rsid w:val="00620DEE"/>
    <w:rsid w:val="00621F92"/>
    <w:rsid w:val="0062280A"/>
    <w:rsid w:val="00625639"/>
    <w:rsid w:val="00631B33"/>
    <w:rsid w:val="0064184D"/>
    <w:rsid w:val="006422CC"/>
    <w:rsid w:val="00660E3E"/>
    <w:rsid w:val="00662E74"/>
    <w:rsid w:val="00680C23"/>
    <w:rsid w:val="00693766"/>
    <w:rsid w:val="006A3281"/>
    <w:rsid w:val="006B4888"/>
    <w:rsid w:val="006C2E45"/>
    <w:rsid w:val="006C359C"/>
    <w:rsid w:val="006C5579"/>
    <w:rsid w:val="006D6E8B"/>
    <w:rsid w:val="006E737D"/>
    <w:rsid w:val="00720A24"/>
    <w:rsid w:val="00732386"/>
    <w:rsid w:val="0073514D"/>
    <w:rsid w:val="007447F3"/>
    <w:rsid w:val="0075499F"/>
    <w:rsid w:val="007661C8"/>
    <w:rsid w:val="0077098D"/>
    <w:rsid w:val="007931FA"/>
    <w:rsid w:val="007A4861"/>
    <w:rsid w:val="007A7BBA"/>
    <w:rsid w:val="007B0C50"/>
    <w:rsid w:val="007C1A43"/>
    <w:rsid w:val="007C7433"/>
    <w:rsid w:val="0080013E"/>
    <w:rsid w:val="00813288"/>
    <w:rsid w:val="008168FC"/>
    <w:rsid w:val="00830996"/>
    <w:rsid w:val="008345F1"/>
    <w:rsid w:val="00865B07"/>
    <w:rsid w:val="008667EA"/>
    <w:rsid w:val="0087637F"/>
    <w:rsid w:val="00892AD5"/>
    <w:rsid w:val="008A1512"/>
    <w:rsid w:val="008A23E8"/>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843"/>
    <w:rsid w:val="00967D54"/>
    <w:rsid w:val="00971028"/>
    <w:rsid w:val="00996483"/>
    <w:rsid w:val="00996F5A"/>
    <w:rsid w:val="009B041A"/>
    <w:rsid w:val="009C37C3"/>
    <w:rsid w:val="009C7C86"/>
    <w:rsid w:val="009D2FF7"/>
    <w:rsid w:val="009E7884"/>
    <w:rsid w:val="009E788A"/>
    <w:rsid w:val="009F0E08"/>
    <w:rsid w:val="00A1763D"/>
    <w:rsid w:val="00A17CEC"/>
    <w:rsid w:val="00A27EF0"/>
    <w:rsid w:val="00A42361"/>
    <w:rsid w:val="00A50B20"/>
    <w:rsid w:val="00A51390"/>
    <w:rsid w:val="00A60D13"/>
    <w:rsid w:val="00A72745"/>
    <w:rsid w:val="00A76EFC"/>
    <w:rsid w:val="00A91010"/>
    <w:rsid w:val="00A97F29"/>
    <w:rsid w:val="00AA702E"/>
    <w:rsid w:val="00AB0964"/>
    <w:rsid w:val="00AB5011"/>
    <w:rsid w:val="00AC7368"/>
    <w:rsid w:val="00AD16B9"/>
    <w:rsid w:val="00AD4A4B"/>
    <w:rsid w:val="00AE0D87"/>
    <w:rsid w:val="00AE377D"/>
    <w:rsid w:val="00AF0EBA"/>
    <w:rsid w:val="00B02C8A"/>
    <w:rsid w:val="00B17FBD"/>
    <w:rsid w:val="00B315A6"/>
    <w:rsid w:val="00B31813"/>
    <w:rsid w:val="00B33365"/>
    <w:rsid w:val="00B57B36"/>
    <w:rsid w:val="00B8686D"/>
    <w:rsid w:val="00BB1DDC"/>
    <w:rsid w:val="00BC30C9"/>
    <w:rsid w:val="00BE3E58"/>
    <w:rsid w:val="00C01616"/>
    <w:rsid w:val="00C0162B"/>
    <w:rsid w:val="00C068ED"/>
    <w:rsid w:val="00C345B1"/>
    <w:rsid w:val="00C40142"/>
    <w:rsid w:val="00C57182"/>
    <w:rsid w:val="00C57863"/>
    <w:rsid w:val="00C655FD"/>
    <w:rsid w:val="00C75407"/>
    <w:rsid w:val="00C870A8"/>
    <w:rsid w:val="00C94434"/>
    <w:rsid w:val="00CA0D75"/>
    <w:rsid w:val="00CA1C95"/>
    <w:rsid w:val="00CA436A"/>
    <w:rsid w:val="00CA5A9C"/>
    <w:rsid w:val="00CC4C20"/>
    <w:rsid w:val="00CD3517"/>
    <w:rsid w:val="00CD5FE2"/>
    <w:rsid w:val="00CE7C68"/>
    <w:rsid w:val="00D02B4C"/>
    <w:rsid w:val="00D040C4"/>
    <w:rsid w:val="00D57C84"/>
    <w:rsid w:val="00D6057D"/>
    <w:rsid w:val="00D836C5"/>
    <w:rsid w:val="00D84576"/>
    <w:rsid w:val="00D84FAF"/>
    <w:rsid w:val="00DA1399"/>
    <w:rsid w:val="00DA24C6"/>
    <w:rsid w:val="00DA4D7B"/>
    <w:rsid w:val="00DE264A"/>
    <w:rsid w:val="00DF5072"/>
    <w:rsid w:val="00E02D18"/>
    <w:rsid w:val="00E041E7"/>
    <w:rsid w:val="00E23CA1"/>
    <w:rsid w:val="00E409A8"/>
    <w:rsid w:val="00E41DA2"/>
    <w:rsid w:val="00E50C12"/>
    <w:rsid w:val="00E65B91"/>
    <w:rsid w:val="00E7209D"/>
    <w:rsid w:val="00E77223"/>
    <w:rsid w:val="00E8528B"/>
    <w:rsid w:val="00E85B94"/>
    <w:rsid w:val="00E874AD"/>
    <w:rsid w:val="00E978D0"/>
    <w:rsid w:val="00EA4613"/>
    <w:rsid w:val="00EA7F91"/>
    <w:rsid w:val="00EB1523"/>
    <w:rsid w:val="00EC0E49"/>
    <w:rsid w:val="00EC101F"/>
    <w:rsid w:val="00EC1D9F"/>
    <w:rsid w:val="00EE0131"/>
    <w:rsid w:val="00EE17B0"/>
    <w:rsid w:val="00EF06D9"/>
    <w:rsid w:val="00F30C64"/>
    <w:rsid w:val="00F32CDB"/>
    <w:rsid w:val="00F565FE"/>
    <w:rsid w:val="00F63A70"/>
    <w:rsid w:val="00FA21D0"/>
    <w:rsid w:val="00FA5F5F"/>
    <w:rsid w:val="00FB730C"/>
    <w:rsid w:val="00FC2695"/>
    <w:rsid w:val="00FC3E03"/>
    <w:rsid w:val="00FC3FC1"/>
    <w:rsid w:val="00FF745D"/>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F1C78656-E49D-4D60-ADB2-2C346A517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customStyle="1" w:styleId="CET-table-title">
    <w:name w:val="CET-table-title"/>
    <w:rsid w:val="00E874AD"/>
    <w:pPr>
      <w:keepNext/>
      <w:spacing w:before="240" w:after="80" w:line="240" w:lineRule="exact"/>
    </w:pPr>
    <w:rPr>
      <w:rFonts w:ascii="Arial" w:eastAsia="Times New Roman" w:hAnsi="Arial" w:cs="Times New Roman"/>
      <w:i/>
      <w:sz w:val="18"/>
      <w:szCs w:val="20"/>
      <w:lang w:val="en-US"/>
    </w:rPr>
  </w:style>
  <w:style w:type="paragraph" w:customStyle="1" w:styleId="CETReference0">
    <w:name w:val="CET_Reference"/>
    <w:next w:val="Normal"/>
    <w:rsid w:val="00E874AD"/>
    <w:pPr>
      <w:spacing w:line="264" w:lineRule="auto"/>
    </w:pPr>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11AA-7E38-4948-8F02-68CA4B563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5094</Words>
  <Characters>29037</Characters>
  <Application>Microsoft Office Word</Application>
  <DocSecurity>0</DocSecurity>
  <Lines>241</Lines>
  <Paragraphs>68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Martina Scotton</cp:lastModifiedBy>
  <cp:revision>2</cp:revision>
  <cp:lastPrinted>2015-05-12T18:31:00Z</cp:lastPrinted>
  <dcterms:created xsi:type="dcterms:W3CDTF">2023-07-19T14:56:00Z</dcterms:created>
  <dcterms:modified xsi:type="dcterms:W3CDTF">2023-07-19T14:56:00Z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dc4306fe99d1d178fb1e04aa6517bb8ec8875995afc75e0d35a87e4a83fe9f74</vt:lpwstr>
  </property>
</Properties>
</file>