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73B9C"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FD5F1B" w:rsidRDefault="000D0268" w:rsidP="00CD5FE2">
            <w:pPr>
              <w:spacing w:line="140" w:lineRule="atLeast"/>
              <w:jc w:val="right"/>
              <w:rPr>
                <w:rFonts w:cs="Arial"/>
                <w:sz w:val="13"/>
                <w:szCs w:val="13"/>
                <w:lang w:val="nb-NO"/>
              </w:rPr>
            </w:pPr>
            <w:r w:rsidRPr="00FD5F1B">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4B0BB442" w14:textId="2AFE3F1B" w:rsidR="00300E56" w:rsidRPr="00FD5F1B" w:rsidRDefault="00300E56" w:rsidP="007931FA">
            <w:pPr>
              <w:ind w:left="-107"/>
              <w:rPr>
                <w:rFonts w:ascii="Times New Roman" w:hAnsi="Times New Roman"/>
                <w:sz w:val="24"/>
                <w:szCs w:val="24"/>
                <w:lang w:val="en-US" w:eastAsia="it-IT"/>
              </w:rPr>
            </w:pPr>
            <w:r w:rsidRPr="00FD5F1B">
              <w:rPr>
                <w:rFonts w:ascii="Tahoma" w:hAnsi="Tahoma" w:cs="Tahoma"/>
                <w:iCs/>
                <w:color w:val="333333"/>
                <w:sz w:val="14"/>
                <w:szCs w:val="14"/>
                <w:lang w:val="en-US" w:eastAsia="it-IT"/>
              </w:rPr>
              <w:t>Guest Editors:</w:t>
            </w:r>
            <w:r w:rsidR="00904C62" w:rsidRPr="00FD5F1B">
              <w:rPr>
                <w:rFonts w:ascii="Tahoma" w:hAnsi="Tahoma" w:cs="Tahoma"/>
                <w:iCs/>
                <w:color w:val="333333"/>
                <w:sz w:val="14"/>
                <w:szCs w:val="14"/>
                <w:lang w:val="en-US" w:eastAsia="it-IT"/>
              </w:rPr>
              <w:t xml:space="preserve"> </w:t>
            </w:r>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proofErr w:type="gramStart"/>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proofErr w:type="gramEnd"/>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1E76898" w:rsidR="00E978D0" w:rsidRPr="00B57B36" w:rsidRDefault="00FD5F1B" w:rsidP="00E978D0">
      <w:pPr>
        <w:pStyle w:val="CETTitle"/>
      </w:pPr>
      <w:r>
        <w:t>Modelling of Fireballs Generated after the Catastrophic Rupture of Hydrogen Tanks</w:t>
      </w:r>
    </w:p>
    <w:p w14:paraId="2B3CA35C" w14:textId="29E7D23C" w:rsidR="00E978D0" w:rsidRPr="00FD5F1B" w:rsidRDefault="00FD5F1B" w:rsidP="00AB5011">
      <w:pPr>
        <w:pStyle w:val="CETAuthors"/>
        <w:rPr>
          <w:lang w:val="it-IT"/>
        </w:rPr>
      </w:pPr>
      <w:r w:rsidRPr="00FD5F1B">
        <w:rPr>
          <w:lang w:val="it-IT"/>
        </w:rPr>
        <w:t>Leonardo Giannini</w:t>
      </w:r>
      <w:r w:rsidR="00600535" w:rsidRPr="00FD5F1B">
        <w:rPr>
          <w:vertAlign w:val="superscript"/>
          <w:lang w:val="it-IT"/>
        </w:rPr>
        <w:t>a</w:t>
      </w:r>
      <w:r w:rsidRPr="00FD5F1B">
        <w:rPr>
          <w:vertAlign w:val="superscript"/>
          <w:lang w:val="it-IT"/>
        </w:rPr>
        <w:t>,</w:t>
      </w:r>
      <w:r w:rsidRPr="00FD5F1B">
        <w:rPr>
          <w:lang w:val="it-IT"/>
        </w:rPr>
        <w:t>*</w:t>
      </w:r>
      <w:r w:rsidR="00600535" w:rsidRPr="00FD5F1B">
        <w:rPr>
          <w:lang w:val="it-IT"/>
        </w:rPr>
        <w:t xml:space="preserve">, </w:t>
      </w:r>
      <w:r w:rsidRPr="00FD5F1B">
        <w:rPr>
          <w:lang w:val="it-IT"/>
        </w:rPr>
        <w:t>Gabriele Tincani</w:t>
      </w:r>
      <w:r w:rsidRPr="00FD5F1B">
        <w:rPr>
          <w:vertAlign w:val="superscript"/>
          <w:lang w:val="it-IT"/>
        </w:rPr>
        <w:t>b</w:t>
      </w:r>
      <w:r w:rsidR="00600535" w:rsidRPr="00FD5F1B">
        <w:rPr>
          <w:lang w:val="it-IT"/>
        </w:rPr>
        <w:t xml:space="preserve">, </w:t>
      </w:r>
      <w:r w:rsidRPr="00FD5F1B">
        <w:rPr>
          <w:lang w:val="it-IT"/>
        </w:rPr>
        <w:t>Giulia Collina</w:t>
      </w:r>
      <w:r w:rsidRPr="00FD5F1B">
        <w:rPr>
          <w:vertAlign w:val="superscript"/>
          <w:lang w:val="it-IT"/>
        </w:rPr>
        <w:t>b</w:t>
      </w:r>
      <w:r w:rsidRPr="00FD5F1B">
        <w:rPr>
          <w:lang w:val="it-IT"/>
        </w:rPr>
        <w:t>, Ernesto Salzano</w:t>
      </w:r>
      <w:r w:rsidRPr="00FD5F1B">
        <w:rPr>
          <w:vertAlign w:val="superscript"/>
          <w:lang w:val="it-IT"/>
        </w:rPr>
        <w:t>b</w:t>
      </w:r>
      <w:r w:rsidRPr="00FD5F1B">
        <w:rPr>
          <w:lang w:val="it-IT"/>
        </w:rPr>
        <w:t>, Valerio Cozzani</w:t>
      </w:r>
      <w:r w:rsidRPr="00FD5F1B">
        <w:rPr>
          <w:vertAlign w:val="superscript"/>
          <w:lang w:val="it-IT"/>
        </w:rPr>
        <w:t>b</w:t>
      </w:r>
      <w:r w:rsidRPr="00FD5F1B">
        <w:rPr>
          <w:lang w:val="it-IT"/>
        </w:rPr>
        <w:t xml:space="preserve">, </w:t>
      </w:r>
      <w:r w:rsidR="00593A7D" w:rsidRPr="00FD5F1B">
        <w:rPr>
          <w:lang w:val="it-IT"/>
        </w:rPr>
        <w:t>Fede</w:t>
      </w:r>
      <w:r w:rsidR="00593A7D">
        <w:rPr>
          <w:lang w:val="it-IT"/>
        </w:rPr>
        <w:t>ri</w:t>
      </w:r>
      <w:r w:rsidR="00593A7D" w:rsidRPr="00FD5F1B">
        <w:rPr>
          <w:lang w:val="it-IT"/>
        </w:rPr>
        <w:t xml:space="preserve">co </w:t>
      </w:r>
      <w:r w:rsidRPr="00FD5F1B">
        <w:rPr>
          <w:lang w:val="it-IT"/>
        </w:rPr>
        <w:t>Ustolin</w:t>
      </w:r>
      <w:r w:rsidRPr="00FD5F1B">
        <w:rPr>
          <w:vertAlign w:val="superscript"/>
          <w:lang w:val="it-IT"/>
        </w:rPr>
        <w:t>a</w:t>
      </w:r>
    </w:p>
    <w:p w14:paraId="20FB9C21" w14:textId="61B71633" w:rsidR="001B470D" w:rsidRPr="00B57B36" w:rsidRDefault="00E978D0" w:rsidP="00E978D0">
      <w:pPr>
        <w:pStyle w:val="CETAddress"/>
      </w:pPr>
      <w:r w:rsidRPr="00B57B36">
        <w:rPr>
          <w:vertAlign w:val="superscript"/>
        </w:rPr>
        <w:t>a</w:t>
      </w:r>
      <w:r w:rsidR="001B470D" w:rsidRPr="001B470D">
        <w:t xml:space="preserve"> Department of Mechanical and Industrial Engineering, Norwegian University of Science and Technology NTNU, Richard Birkelands vei 2B, 7034 Torndheim, Norway </w:t>
      </w:r>
    </w:p>
    <w:p w14:paraId="38D29194" w14:textId="78B3F2AA" w:rsidR="00E978D0" w:rsidRPr="0035204F" w:rsidRDefault="00E978D0" w:rsidP="00E978D0">
      <w:pPr>
        <w:pStyle w:val="CETAddress"/>
        <w:rPr>
          <w:lang w:val="it-IT"/>
        </w:rPr>
      </w:pPr>
      <w:r w:rsidRPr="0035204F">
        <w:rPr>
          <w:vertAlign w:val="superscript"/>
          <w:lang w:val="it-IT"/>
        </w:rPr>
        <w:t>b</w:t>
      </w:r>
      <w:r w:rsidR="006E4909" w:rsidRPr="0035204F">
        <w:rPr>
          <w:lang w:val="it-IT"/>
        </w:rPr>
        <w:t xml:space="preserve"> Dipartimento di Ingegneria Civile, Chimica, Ambientale e dei Materiali, Università degli studi di Bologna, Via Terracini 28, 40131 Bologna, Italy</w:t>
      </w:r>
    </w:p>
    <w:p w14:paraId="0127A28D" w14:textId="63565655" w:rsidR="00E978D0" w:rsidRPr="00FD5F1B" w:rsidRDefault="00AB5011" w:rsidP="00E978D0">
      <w:pPr>
        <w:pStyle w:val="CETemail"/>
        <w:rPr>
          <w:lang w:val="en-US"/>
        </w:rPr>
      </w:pPr>
      <w:r w:rsidRPr="0035204F">
        <w:rPr>
          <w:lang w:val="it-IT"/>
        </w:rPr>
        <w:t xml:space="preserve"> </w:t>
      </w:r>
      <w:r w:rsidR="00FD5F1B" w:rsidRPr="00FD5F1B">
        <w:rPr>
          <w:lang w:val="en-US"/>
        </w:rPr>
        <w:t>leonardo.g</w:t>
      </w:r>
      <w:r w:rsidR="00FD5F1B">
        <w:rPr>
          <w:lang w:val="en-US"/>
        </w:rPr>
        <w:t>iannini@ntnu.no</w:t>
      </w:r>
    </w:p>
    <w:p w14:paraId="7BE03097" w14:textId="46FE0B96" w:rsidR="00DB5F56" w:rsidRDefault="00FD7D83" w:rsidP="005F52B5">
      <w:pPr>
        <w:pStyle w:val="CETBodytext"/>
        <w:rPr>
          <w:lang w:val="en-GB"/>
        </w:rPr>
      </w:pPr>
      <w:r w:rsidRPr="00FD7D83">
        <w:rPr>
          <w:lang w:val="en-GB"/>
        </w:rPr>
        <w:t xml:space="preserve">The interest </w:t>
      </w:r>
      <w:r w:rsidR="00073B9C">
        <w:rPr>
          <w:lang w:val="en-GB"/>
        </w:rPr>
        <w:t>towards</w:t>
      </w:r>
      <w:r w:rsidRPr="00FD7D83">
        <w:rPr>
          <w:lang w:val="en-GB"/>
        </w:rPr>
        <w:t xml:space="preserve"> hydrogen skyrocketed in the last years. </w:t>
      </w:r>
      <w:r w:rsidR="007C597C">
        <w:rPr>
          <w:lang w:val="en-GB"/>
        </w:rPr>
        <w:t>Thanks to its potential as an energy carrier</w:t>
      </w:r>
      <w:r w:rsidRPr="00FD7D83">
        <w:rPr>
          <w:lang w:val="en-GB"/>
        </w:rPr>
        <w:t>, hydrogen</w:t>
      </w:r>
      <w:r>
        <w:rPr>
          <w:lang w:val="en-GB"/>
        </w:rPr>
        <w:t xml:space="preserve"> </w:t>
      </w:r>
      <w:r w:rsidRPr="00FD7D83">
        <w:rPr>
          <w:lang w:val="en-GB"/>
        </w:rPr>
        <w:t xml:space="preserve">will be </w:t>
      </w:r>
      <w:r w:rsidR="007C597C">
        <w:rPr>
          <w:lang w:val="en-GB"/>
        </w:rPr>
        <w:t xml:space="preserve">soon </w:t>
      </w:r>
      <w:r w:rsidRPr="00FD7D83">
        <w:rPr>
          <w:lang w:val="en-GB"/>
        </w:rPr>
        <w:t>handled in public</w:t>
      </w:r>
      <w:r w:rsidR="007C597C">
        <w:rPr>
          <w:lang w:val="en-GB"/>
        </w:rPr>
        <w:t xml:space="preserve"> and densely populated</w:t>
      </w:r>
      <w:r w:rsidRPr="00FD7D83">
        <w:rPr>
          <w:lang w:val="en-GB"/>
        </w:rPr>
        <w:t xml:space="preserve"> areas. Therefore,</w:t>
      </w:r>
      <w:r w:rsidR="007C597C">
        <w:rPr>
          <w:lang w:val="en-GB"/>
        </w:rPr>
        <w:t xml:space="preserve"> </w:t>
      </w:r>
      <w:r w:rsidRPr="00FD7D83">
        <w:rPr>
          <w:lang w:val="en-GB"/>
        </w:rPr>
        <w:t>accurate models are necessary to</w:t>
      </w:r>
      <w:r>
        <w:rPr>
          <w:lang w:val="en-GB"/>
        </w:rPr>
        <w:t xml:space="preserve"> </w:t>
      </w:r>
      <w:r w:rsidR="00BF4604">
        <w:rPr>
          <w:lang w:val="en-GB"/>
        </w:rPr>
        <w:t>predict</w:t>
      </w:r>
      <w:r w:rsidRPr="00FD7D83">
        <w:rPr>
          <w:lang w:val="en-GB"/>
        </w:rPr>
        <w:t xml:space="preserve"> the consequences of </w:t>
      </w:r>
      <w:r w:rsidR="00BF4604">
        <w:rPr>
          <w:lang w:val="en-GB"/>
        </w:rPr>
        <w:t>unwanted</w:t>
      </w:r>
      <w:r w:rsidRPr="00FD7D83">
        <w:rPr>
          <w:lang w:val="en-GB"/>
        </w:rPr>
        <w:t xml:space="preserve"> scenarios. Th</w:t>
      </w:r>
      <w:r w:rsidR="00A67C92">
        <w:rPr>
          <w:lang w:val="en-GB"/>
        </w:rPr>
        <w:t>ese new models should</w:t>
      </w:r>
      <w:r w:rsidRPr="00FD7D83">
        <w:rPr>
          <w:lang w:val="en-GB"/>
        </w:rPr>
        <w:t xml:space="preserve"> be employed in the consequence</w:t>
      </w:r>
      <w:r>
        <w:rPr>
          <w:lang w:val="en-GB"/>
        </w:rPr>
        <w:t xml:space="preserve"> </w:t>
      </w:r>
      <w:r w:rsidRPr="00FD7D83">
        <w:rPr>
          <w:lang w:val="en-GB"/>
        </w:rPr>
        <w:t xml:space="preserve">analysis, </w:t>
      </w:r>
      <w:r w:rsidR="00A67C92">
        <w:rPr>
          <w:lang w:val="en-GB"/>
        </w:rPr>
        <w:t>a phase</w:t>
      </w:r>
      <w:r w:rsidRPr="00FD7D83">
        <w:rPr>
          <w:lang w:val="en-GB"/>
        </w:rPr>
        <w:t xml:space="preserve"> of</w:t>
      </w:r>
      <w:r>
        <w:rPr>
          <w:lang w:val="en-GB"/>
        </w:rPr>
        <w:t xml:space="preserve"> </w:t>
      </w:r>
      <w:r w:rsidRPr="00FD7D83">
        <w:rPr>
          <w:lang w:val="en-GB"/>
        </w:rPr>
        <w:t xml:space="preserve">risk assessment, and </w:t>
      </w:r>
      <w:r w:rsidR="00A67C92">
        <w:rPr>
          <w:lang w:val="en-GB"/>
        </w:rPr>
        <w:t xml:space="preserve">thus </w:t>
      </w:r>
      <w:r w:rsidRPr="00FD7D83">
        <w:rPr>
          <w:lang w:val="en-GB"/>
        </w:rPr>
        <w:t>aid the selection</w:t>
      </w:r>
      <w:r w:rsidR="00A67C92">
        <w:rPr>
          <w:lang w:val="en-GB"/>
        </w:rPr>
        <w:t>,</w:t>
      </w:r>
      <w:r w:rsidRPr="00FD7D83">
        <w:rPr>
          <w:lang w:val="en-GB"/>
        </w:rPr>
        <w:t xml:space="preserve"> implementation</w:t>
      </w:r>
      <w:r w:rsidR="00A67C92">
        <w:rPr>
          <w:lang w:val="en-GB"/>
        </w:rPr>
        <w:t>,</w:t>
      </w:r>
      <w:r w:rsidRPr="00FD7D83">
        <w:rPr>
          <w:lang w:val="en-GB"/>
        </w:rPr>
        <w:t xml:space="preserve"> </w:t>
      </w:r>
      <w:r w:rsidR="00A67C92">
        <w:rPr>
          <w:lang w:val="en-GB"/>
        </w:rPr>
        <w:t xml:space="preserve">and optimization </w:t>
      </w:r>
      <w:r w:rsidRPr="00FD7D83">
        <w:rPr>
          <w:lang w:val="en-GB"/>
        </w:rPr>
        <w:t>of effective risk</w:t>
      </w:r>
      <w:r w:rsidR="00A67C92">
        <w:rPr>
          <w:lang w:val="en-GB"/>
        </w:rPr>
        <w:t>-</w:t>
      </w:r>
      <w:r w:rsidRPr="00FD7D83">
        <w:rPr>
          <w:lang w:val="en-GB"/>
        </w:rPr>
        <w:t>reduc</w:t>
      </w:r>
      <w:r w:rsidR="00A67C92">
        <w:rPr>
          <w:lang w:val="en-GB"/>
        </w:rPr>
        <w:t>ing</w:t>
      </w:r>
      <w:r w:rsidRPr="00FD7D83">
        <w:rPr>
          <w:lang w:val="en-GB"/>
        </w:rPr>
        <w:t xml:space="preserve"> measures. This w</w:t>
      </w:r>
      <w:r w:rsidR="00A67C92">
        <w:rPr>
          <w:lang w:val="en-GB"/>
        </w:rPr>
        <w:t>ill</w:t>
      </w:r>
      <w:r w:rsidRPr="00FD7D83">
        <w:rPr>
          <w:lang w:val="en-GB"/>
        </w:rPr>
        <w:t xml:space="preserve"> increase safety of hydrogen technologies and </w:t>
      </w:r>
      <w:r w:rsidR="00A67C92">
        <w:rPr>
          <w:lang w:val="en-GB"/>
        </w:rPr>
        <w:t xml:space="preserve">therefore </w:t>
      </w:r>
      <w:r w:rsidRPr="00FD7D83">
        <w:rPr>
          <w:lang w:val="en-GB"/>
        </w:rPr>
        <w:t>favour their</w:t>
      </w:r>
      <w:r>
        <w:rPr>
          <w:lang w:val="en-GB"/>
        </w:rPr>
        <w:t xml:space="preserve"> </w:t>
      </w:r>
      <w:r w:rsidRPr="00FD7D83">
        <w:rPr>
          <w:lang w:val="en-GB"/>
        </w:rPr>
        <w:t xml:space="preserve">deployment </w:t>
      </w:r>
      <w:r w:rsidR="00401B8E">
        <w:rPr>
          <w:lang w:val="en-GB"/>
        </w:rPr>
        <w:t>on a larger scale.</w:t>
      </w:r>
      <w:r w:rsidRPr="00FD7D83">
        <w:rPr>
          <w:lang w:val="en-GB"/>
        </w:rPr>
        <w:t xml:space="preserve"> Hydrogen is known to be a</w:t>
      </w:r>
      <w:r w:rsidR="00401B8E">
        <w:rPr>
          <w:lang w:val="en-GB"/>
        </w:rPr>
        <w:t>n extremely</w:t>
      </w:r>
      <w:r w:rsidRPr="00FD7D83">
        <w:rPr>
          <w:lang w:val="en-GB"/>
        </w:rPr>
        <w:t xml:space="preserve"> flammable gas with a low radiation flame</w:t>
      </w:r>
      <w:r>
        <w:rPr>
          <w:lang w:val="en-GB"/>
        </w:rPr>
        <w:t xml:space="preserve"> </w:t>
      </w:r>
      <w:r w:rsidRPr="00FD7D83">
        <w:rPr>
          <w:lang w:val="en-GB"/>
        </w:rPr>
        <w:t>compared to hydrocarbons. However, luminous fireballs were generated after the</w:t>
      </w:r>
      <w:r>
        <w:rPr>
          <w:lang w:val="en-GB"/>
        </w:rPr>
        <w:t xml:space="preserve"> </w:t>
      </w:r>
      <w:r w:rsidRPr="00FD7D83">
        <w:rPr>
          <w:lang w:val="en-GB"/>
        </w:rPr>
        <w:t>rupture of both compressed gaseous and liquid hydrogen tanks in many experiments. Moreover, it</w:t>
      </w:r>
      <w:r>
        <w:rPr>
          <w:lang w:val="en-GB"/>
        </w:rPr>
        <w:t xml:space="preserve"> </w:t>
      </w:r>
      <w:r w:rsidRPr="00FD7D83">
        <w:rPr>
          <w:lang w:val="en-GB"/>
        </w:rPr>
        <w:t xml:space="preserve">was demonstrated that </w:t>
      </w:r>
      <w:r w:rsidR="007F0ACB">
        <w:rPr>
          <w:lang w:val="en-GB"/>
        </w:rPr>
        <w:t xml:space="preserve">conventional empirical </w:t>
      </w:r>
      <w:r w:rsidRPr="00FD7D83">
        <w:rPr>
          <w:lang w:val="en-GB"/>
        </w:rPr>
        <w:t>correlations</w:t>
      </w:r>
      <w:r w:rsidR="007F0ACB">
        <w:rPr>
          <w:lang w:val="en-GB"/>
        </w:rPr>
        <w:t>, initially</w:t>
      </w:r>
      <w:r w:rsidRPr="00FD7D83">
        <w:rPr>
          <w:lang w:val="en-GB"/>
        </w:rPr>
        <w:t xml:space="preserve"> developed for hydrocarbon fuels</w:t>
      </w:r>
      <w:r w:rsidR="007F0ACB">
        <w:rPr>
          <w:lang w:val="en-GB"/>
        </w:rPr>
        <w:t>,</w:t>
      </w:r>
      <w:r w:rsidRPr="00FD7D83">
        <w:rPr>
          <w:lang w:val="en-GB"/>
        </w:rPr>
        <w:t xml:space="preserve"> underestimate</w:t>
      </w:r>
      <w:r>
        <w:rPr>
          <w:lang w:val="en-GB"/>
        </w:rPr>
        <w:t xml:space="preserve"> </w:t>
      </w:r>
      <w:r w:rsidR="00A54FE1">
        <w:rPr>
          <w:lang w:val="en-GB"/>
        </w:rPr>
        <w:t xml:space="preserve">both </w:t>
      </w:r>
      <w:r w:rsidRPr="00FD7D83">
        <w:rPr>
          <w:lang w:val="en-GB"/>
        </w:rPr>
        <w:t xml:space="preserve">dimension and duration of hydrogen fireballs recorded during small-scale tests </w:t>
      </w:r>
      <w:r w:rsidR="00C47556">
        <w:rPr>
          <w:lang w:val="en-GB"/>
        </w:rPr>
        <w:t>(</w:t>
      </w:r>
      <w:proofErr w:type="spellStart"/>
      <w:r w:rsidR="00C47556">
        <w:rPr>
          <w:lang w:val="en-GB"/>
        </w:rPr>
        <w:t>Ustolin</w:t>
      </w:r>
      <w:proofErr w:type="spellEnd"/>
      <w:r w:rsidR="00C47556">
        <w:rPr>
          <w:lang w:val="en-GB"/>
        </w:rPr>
        <w:t xml:space="preserve"> and Paltrinieri, 2020)</w:t>
      </w:r>
      <w:r w:rsidRPr="00FD7D83">
        <w:rPr>
          <w:lang w:val="en-GB"/>
        </w:rPr>
        <w:t>.</w:t>
      </w:r>
      <w:r w:rsidR="00D14439">
        <w:rPr>
          <w:lang w:val="en-GB"/>
        </w:rPr>
        <w:t xml:space="preserve"> </w:t>
      </w:r>
      <w:r w:rsidRPr="00FD7D83">
        <w:rPr>
          <w:lang w:val="en-GB"/>
        </w:rPr>
        <w:t xml:space="preserve">The aim of this study is </w:t>
      </w:r>
      <w:r w:rsidR="00A54FE1">
        <w:rPr>
          <w:lang w:val="en-GB"/>
        </w:rPr>
        <w:t>to obtain</w:t>
      </w:r>
      <w:r w:rsidRPr="00FD7D83">
        <w:rPr>
          <w:lang w:val="en-GB"/>
        </w:rPr>
        <w:t xml:space="preserve"> a</w:t>
      </w:r>
      <w:r w:rsidR="00A54FE1">
        <w:rPr>
          <w:lang w:val="en-GB"/>
        </w:rPr>
        <w:t>n</w:t>
      </w:r>
      <w:r w:rsidRPr="00FD7D83">
        <w:rPr>
          <w:lang w:val="en-GB"/>
        </w:rPr>
        <w:t xml:space="preserve"> analysis of hydrogen fireballs to provide</w:t>
      </w:r>
      <w:r w:rsidR="00A54FE1">
        <w:rPr>
          <w:lang w:val="en-GB"/>
        </w:rPr>
        <w:t xml:space="preserve"> new</w:t>
      </w:r>
      <w:r w:rsidRPr="00FD7D83">
        <w:rPr>
          <w:lang w:val="en-GB"/>
        </w:rPr>
        <w:t xml:space="preserve"> critical insights</w:t>
      </w:r>
      <w:r>
        <w:rPr>
          <w:lang w:val="en-GB"/>
        </w:rPr>
        <w:t xml:space="preserve"> </w:t>
      </w:r>
      <w:r w:rsidRPr="00FD7D83">
        <w:rPr>
          <w:lang w:val="en-GB"/>
        </w:rPr>
        <w:t xml:space="preserve">for </w:t>
      </w:r>
      <w:r w:rsidR="00A54FE1">
        <w:rPr>
          <w:lang w:val="en-GB"/>
        </w:rPr>
        <w:t>consequence analysis</w:t>
      </w:r>
      <w:r w:rsidRPr="00FD7D83">
        <w:rPr>
          <w:lang w:val="en-GB"/>
        </w:rPr>
        <w:t>. A comparison</w:t>
      </w:r>
      <w:r w:rsidR="004F7B18">
        <w:rPr>
          <w:lang w:val="en-GB"/>
        </w:rPr>
        <w:t xml:space="preserve"> among</w:t>
      </w:r>
      <w:r w:rsidRPr="00FD7D83">
        <w:rPr>
          <w:lang w:val="en-GB"/>
        </w:rPr>
        <w:t xml:space="preserve"> different correlations is conducted when</w:t>
      </w:r>
      <w:r>
        <w:rPr>
          <w:lang w:val="en-GB"/>
        </w:rPr>
        <w:t xml:space="preserve"> </w:t>
      </w:r>
      <w:r w:rsidR="004F7B18">
        <w:rPr>
          <w:lang w:val="en-GB"/>
        </w:rPr>
        <w:t>predicting</w:t>
      </w:r>
      <w:r w:rsidRPr="00FD7D83">
        <w:rPr>
          <w:lang w:val="en-GB"/>
        </w:rPr>
        <w:t xml:space="preserve"> fireball </w:t>
      </w:r>
      <w:r w:rsidR="004F7B18">
        <w:rPr>
          <w:lang w:val="en-GB"/>
        </w:rPr>
        <w:t>characteristics</w:t>
      </w:r>
      <w:r w:rsidRPr="00FD7D83">
        <w:rPr>
          <w:lang w:val="en-GB"/>
        </w:rPr>
        <w:t xml:space="preserve"> during the simulation of past experiments where both</w:t>
      </w:r>
      <w:r>
        <w:rPr>
          <w:lang w:val="en-GB"/>
        </w:rPr>
        <w:t xml:space="preserve"> </w:t>
      </w:r>
      <w:r w:rsidRPr="00FD7D83">
        <w:rPr>
          <w:lang w:val="en-GB"/>
        </w:rPr>
        <w:t>gaseous and liquid hydrogen tanks were intentionally destroyed. All</w:t>
      </w:r>
      <w:r>
        <w:rPr>
          <w:lang w:val="en-GB"/>
        </w:rPr>
        <w:t xml:space="preserve"> </w:t>
      </w:r>
      <w:r w:rsidRPr="00FD7D83">
        <w:rPr>
          <w:lang w:val="en-GB"/>
        </w:rPr>
        <w:t>the models employed in this study are compared with the experimental results for validation</w:t>
      </w:r>
      <w:r>
        <w:rPr>
          <w:lang w:val="en-GB"/>
        </w:rPr>
        <w:t xml:space="preserve"> </w:t>
      </w:r>
      <w:r w:rsidRPr="00FD7D83">
        <w:rPr>
          <w:lang w:val="en-GB"/>
        </w:rPr>
        <w:t>purposes.</w:t>
      </w:r>
      <w:r w:rsidR="00A25B07">
        <w:rPr>
          <w:lang w:val="en-GB"/>
        </w:rPr>
        <w:t xml:space="preserve"> Specific models designed for</w:t>
      </w:r>
      <w:r w:rsidRPr="00FD7D83">
        <w:rPr>
          <w:lang w:val="en-GB"/>
        </w:rPr>
        <w:t xml:space="preserve"> hydrogen can support the design of</w:t>
      </w:r>
      <w:r>
        <w:rPr>
          <w:lang w:val="en-GB"/>
        </w:rPr>
        <w:t xml:space="preserve"> </w:t>
      </w:r>
      <w:r w:rsidRPr="00FD7D83">
        <w:rPr>
          <w:lang w:val="en-GB"/>
        </w:rPr>
        <w:t xml:space="preserve">hydrogen systems </w:t>
      </w:r>
      <w:r w:rsidR="00A25B07">
        <w:rPr>
          <w:lang w:val="en-GB"/>
        </w:rPr>
        <w:t>and</w:t>
      </w:r>
      <w:r w:rsidRPr="00FD7D83">
        <w:rPr>
          <w:lang w:val="en-GB"/>
        </w:rPr>
        <w:t xml:space="preserve"> increasing their </w:t>
      </w:r>
      <w:r w:rsidR="00D15213">
        <w:rPr>
          <w:lang w:val="en-GB"/>
        </w:rPr>
        <w:t xml:space="preserve">safety </w:t>
      </w:r>
      <w:r w:rsidRPr="00FD7D83">
        <w:rPr>
          <w:lang w:val="en-GB"/>
        </w:rPr>
        <w:t xml:space="preserve">and promote their </w:t>
      </w:r>
      <w:r w:rsidR="00A25B07">
        <w:rPr>
          <w:lang w:val="en-GB"/>
        </w:rPr>
        <w:t xml:space="preserve">future </w:t>
      </w:r>
      <w:r w:rsidRPr="00FD7D83">
        <w:rPr>
          <w:lang w:val="en-GB"/>
        </w:rPr>
        <w:t>distribution.</w:t>
      </w:r>
    </w:p>
    <w:p w14:paraId="1E65247A" w14:textId="77777777" w:rsidR="0011092D" w:rsidRDefault="0011092D" w:rsidP="005F52B5">
      <w:pPr>
        <w:pStyle w:val="CETBodytext"/>
        <w:rPr>
          <w:lang w:val="en-GB"/>
        </w:rPr>
      </w:pPr>
    </w:p>
    <w:p w14:paraId="476B2F2E" w14:textId="77777777" w:rsidR="00600535" w:rsidRPr="00B57B36" w:rsidRDefault="00600535" w:rsidP="005F52B5">
      <w:pPr>
        <w:pStyle w:val="CETHeading1"/>
        <w:spacing w:before="120"/>
        <w:rPr>
          <w:lang w:val="en-GB"/>
        </w:rPr>
      </w:pPr>
      <w:r w:rsidRPr="00B57B36">
        <w:rPr>
          <w:lang w:val="en-GB"/>
        </w:rPr>
        <w:t>Introduction</w:t>
      </w:r>
    </w:p>
    <w:p w14:paraId="23F86FEF" w14:textId="20DF0A16" w:rsidR="00600535" w:rsidRDefault="00C348AB" w:rsidP="00600535">
      <w:pPr>
        <w:pStyle w:val="CETBodytext"/>
        <w:rPr>
          <w:lang w:val="en-GB"/>
        </w:rPr>
      </w:pPr>
      <w:r>
        <w:rPr>
          <w:lang w:val="en-GB"/>
        </w:rPr>
        <w:t xml:space="preserve">The </w:t>
      </w:r>
      <w:proofErr w:type="spellStart"/>
      <w:r>
        <w:rPr>
          <w:lang w:val="en-GB"/>
        </w:rPr>
        <w:t>REPowerEU</w:t>
      </w:r>
      <w:proofErr w:type="spellEnd"/>
      <w:r w:rsidRPr="00C348AB">
        <w:t xml:space="preserve"> </w:t>
      </w:r>
      <w:r>
        <w:rPr>
          <w:lang w:val="en-GB"/>
        </w:rPr>
        <w:t>ambitious strategy for hydrogen implementation foresees a great increase in the domestic renewable hydrogen production within the European union</w:t>
      </w:r>
      <w:r w:rsidR="00621615">
        <w:rPr>
          <w:lang w:val="en-GB"/>
        </w:rPr>
        <w:t xml:space="preserve"> </w:t>
      </w:r>
      <w:r w:rsidR="00621615" w:rsidRPr="00C348AB">
        <w:t>(</w:t>
      </w:r>
      <w:r w:rsidR="00621615">
        <w:t>European Commission, 2022</w:t>
      </w:r>
      <w:r w:rsidR="00621615" w:rsidRPr="00C348AB">
        <w:t>)</w:t>
      </w:r>
      <w:r>
        <w:rPr>
          <w:lang w:val="en-GB"/>
        </w:rPr>
        <w:t xml:space="preserve">, thus implying a vast-scale diffusion of hydrogen technologies, even in high </w:t>
      </w:r>
      <w:r w:rsidR="009E2031">
        <w:rPr>
          <w:lang w:val="en-GB"/>
        </w:rPr>
        <w:t xml:space="preserve">densely populated </w:t>
      </w:r>
      <w:r>
        <w:rPr>
          <w:lang w:val="en-GB"/>
        </w:rPr>
        <w:t xml:space="preserve">areas. However, safety aspects of hydrogen technologies still </w:t>
      </w:r>
      <w:r w:rsidR="002D2A75">
        <w:rPr>
          <w:lang w:val="en-GB"/>
        </w:rPr>
        <w:t>constitute</w:t>
      </w:r>
      <w:r>
        <w:rPr>
          <w:lang w:val="en-GB"/>
        </w:rPr>
        <w:t xml:space="preserve"> a bottleneck to their implementation</w:t>
      </w:r>
      <w:r w:rsidR="000E3543">
        <w:rPr>
          <w:lang w:val="en-GB"/>
        </w:rPr>
        <w:t xml:space="preserve"> for several reasons, one of them being</w:t>
      </w:r>
      <w:r w:rsidR="002D2A75">
        <w:rPr>
          <w:lang w:val="en-GB"/>
        </w:rPr>
        <w:t xml:space="preserve"> </w:t>
      </w:r>
      <w:r w:rsidR="005D707C">
        <w:rPr>
          <w:lang w:val="en-GB"/>
        </w:rPr>
        <w:t xml:space="preserve">hydrogen’s </w:t>
      </w:r>
      <w:r w:rsidR="002D2A75">
        <w:rPr>
          <w:lang w:val="en-GB"/>
        </w:rPr>
        <w:t>high flammability</w:t>
      </w:r>
      <w:r w:rsidR="00943533">
        <w:rPr>
          <w:lang w:val="en-GB"/>
        </w:rPr>
        <w:t>, which could promote the occurrence of hazardous scenarios</w:t>
      </w:r>
      <w:r w:rsidR="001708B8">
        <w:rPr>
          <w:lang w:val="en-GB"/>
        </w:rPr>
        <w:t xml:space="preserve"> and accidents (Campari et al, 2023)</w:t>
      </w:r>
      <w:r w:rsidR="00943533">
        <w:rPr>
          <w:lang w:val="en-GB"/>
        </w:rPr>
        <w:t>.</w:t>
      </w:r>
      <w:r w:rsidR="002D2A75">
        <w:rPr>
          <w:lang w:val="en-GB"/>
        </w:rPr>
        <w:t xml:space="preserve"> </w:t>
      </w:r>
      <w:r w:rsidR="000E3543">
        <w:rPr>
          <w:lang w:val="en-GB"/>
        </w:rPr>
        <w:t>Hence</w:t>
      </w:r>
      <w:r w:rsidR="002D2A75">
        <w:rPr>
          <w:lang w:val="en-GB"/>
        </w:rPr>
        <w:t xml:space="preserve">, the definition of safety procedures for hydrogen handling encompasses several different challenges. More precisely, the </w:t>
      </w:r>
      <w:r w:rsidR="00943533">
        <w:rPr>
          <w:lang w:val="en-GB"/>
        </w:rPr>
        <w:t xml:space="preserve">very low </w:t>
      </w:r>
      <w:r w:rsidR="00A56216">
        <w:rPr>
          <w:lang w:val="en-GB"/>
        </w:rPr>
        <w:t xml:space="preserve">minimum </w:t>
      </w:r>
      <w:r w:rsidR="00943533">
        <w:rPr>
          <w:lang w:val="en-GB"/>
        </w:rPr>
        <w:t>ignition energy</w:t>
      </w:r>
      <w:r w:rsidR="00F8069B">
        <w:rPr>
          <w:lang w:val="en-GB"/>
        </w:rPr>
        <w:t xml:space="preserve"> of</w:t>
      </w:r>
      <w:r w:rsidR="00943533">
        <w:rPr>
          <w:lang w:val="en-GB"/>
        </w:rPr>
        <w:t xml:space="preserve"> 0.017 </w:t>
      </w:r>
      <w:proofErr w:type="spellStart"/>
      <w:r w:rsidR="00943533">
        <w:rPr>
          <w:lang w:val="en-GB"/>
        </w:rPr>
        <w:t>mJ</w:t>
      </w:r>
      <w:proofErr w:type="spellEnd"/>
      <w:r w:rsidR="00943533">
        <w:rPr>
          <w:lang w:val="en-GB"/>
        </w:rPr>
        <w:t xml:space="preserve"> </w:t>
      </w:r>
      <w:r w:rsidR="00F8069B">
        <w:rPr>
          <w:lang w:val="en-GB"/>
        </w:rPr>
        <w:t>(Ono et al, 2007)</w:t>
      </w:r>
      <w:r w:rsidR="002D2A75">
        <w:rPr>
          <w:lang w:val="en-GB"/>
        </w:rPr>
        <w:t xml:space="preserve"> is just one characteristic that raises concern among scientists and engineers. Moreover, the occurrence of rare, yet </w:t>
      </w:r>
      <w:r w:rsidR="001F5B6B">
        <w:rPr>
          <w:lang w:val="en-GB"/>
        </w:rPr>
        <w:t xml:space="preserve">severe </w:t>
      </w:r>
      <w:r w:rsidR="002D2A75">
        <w:rPr>
          <w:lang w:val="en-GB"/>
        </w:rPr>
        <w:t>phenomena referred</w:t>
      </w:r>
      <w:r w:rsidR="00817D40">
        <w:rPr>
          <w:lang w:val="en-GB"/>
        </w:rPr>
        <w:t xml:space="preserve"> to</w:t>
      </w:r>
      <w:r w:rsidR="002D2A75">
        <w:rPr>
          <w:lang w:val="en-GB"/>
        </w:rPr>
        <w:t xml:space="preserve"> as hydrogen fireballs is deemed to be</w:t>
      </w:r>
      <w:r w:rsidR="0017588A">
        <w:rPr>
          <w:lang w:val="en-GB"/>
        </w:rPr>
        <w:t xml:space="preserve"> not only critical in terms of </w:t>
      </w:r>
      <w:r w:rsidR="00F8069B">
        <w:rPr>
          <w:lang w:val="en-GB"/>
        </w:rPr>
        <w:t>safety</w:t>
      </w:r>
      <w:r w:rsidR="0017588A">
        <w:rPr>
          <w:lang w:val="en-GB"/>
        </w:rPr>
        <w:t xml:space="preserve">, but </w:t>
      </w:r>
      <w:r w:rsidR="005D707C">
        <w:rPr>
          <w:lang w:val="en-GB"/>
        </w:rPr>
        <w:t>also in terms of</w:t>
      </w:r>
      <w:r w:rsidR="00F8069B">
        <w:rPr>
          <w:lang w:val="en-GB"/>
        </w:rPr>
        <w:t xml:space="preserve"> </w:t>
      </w:r>
      <w:r w:rsidR="0017588A">
        <w:rPr>
          <w:lang w:val="en-GB"/>
        </w:rPr>
        <w:t xml:space="preserve">perceived risk, </w:t>
      </w:r>
      <w:r w:rsidR="005D707C">
        <w:rPr>
          <w:lang w:val="en-GB"/>
        </w:rPr>
        <w:t xml:space="preserve">which </w:t>
      </w:r>
      <w:r w:rsidR="0017588A">
        <w:rPr>
          <w:lang w:val="en-GB"/>
        </w:rPr>
        <w:t xml:space="preserve">limits the </w:t>
      </w:r>
      <w:r w:rsidR="00D569B4">
        <w:rPr>
          <w:lang w:val="en-GB"/>
        </w:rPr>
        <w:t xml:space="preserve">public </w:t>
      </w:r>
      <w:r w:rsidR="0017588A">
        <w:rPr>
          <w:lang w:val="en-GB"/>
        </w:rPr>
        <w:t xml:space="preserve">acceptability of these technologies. In fact, </w:t>
      </w:r>
      <w:r w:rsidR="00D95268">
        <w:rPr>
          <w:lang w:val="en-GB"/>
        </w:rPr>
        <w:t xml:space="preserve">the </w:t>
      </w:r>
      <w:r w:rsidR="005D707C">
        <w:rPr>
          <w:lang w:val="en-GB"/>
        </w:rPr>
        <w:t>concreteness</w:t>
      </w:r>
      <w:r w:rsidR="00D95268">
        <w:rPr>
          <w:lang w:val="en-GB"/>
        </w:rPr>
        <w:t xml:space="preserve"> of disastrous</w:t>
      </w:r>
      <w:r w:rsidR="0017588A">
        <w:rPr>
          <w:lang w:val="en-GB"/>
        </w:rPr>
        <w:t xml:space="preserve"> scenarios </w:t>
      </w:r>
      <w:r w:rsidR="00D95268">
        <w:rPr>
          <w:lang w:val="en-GB"/>
        </w:rPr>
        <w:t>is</w:t>
      </w:r>
      <w:r w:rsidR="0017588A">
        <w:rPr>
          <w:lang w:val="en-GB"/>
        </w:rPr>
        <w:t xml:space="preserve"> known to </w:t>
      </w:r>
      <w:r w:rsidR="000370CE">
        <w:rPr>
          <w:lang w:val="en-GB"/>
        </w:rPr>
        <w:t xml:space="preserve">socially </w:t>
      </w:r>
      <w:r w:rsidR="0017588A">
        <w:rPr>
          <w:lang w:val="en-GB"/>
        </w:rPr>
        <w:t xml:space="preserve">impact </w:t>
      </w:r>
      <w:r w:rsidR="0017588A" w:rsidRPr="0017588A">
        <w:rPr>
          <w:lang w:val="en-GB"/>
        </w:rPr>
        <w:t xml:space="preserve">hydrogen </w:t>
      </w:r>
      <w:r w:rsidR="0017588A">
        <w:rPr>
          <w:lang w:val="en-GB"/>
        </w:rPr>
        <w:t>re</w:t>
      </w:r>
      <w:r w:rsidR="0017588A" w:rsidRPr="0017588A">
        <w:rPr>
          <w:lang w:val="en-GB"/>
        </w:rPr>
        <w:t>fuel</w:t>
      </w:r>
      <w:r w:rsidR="0017588A">
        <w:rPr>
          <w:lang w:val="en-GB"/>
        </w:rPr>
        <w:t>l</w:t>
      </w:r>
      <w:r w:rsidR="0017588A" w:rsidRPr="0017588A">
        <w:rPr>
          <w:lang w:val="en-GB"/>
        </w:rPr>
        <w:t>ing stations</w:t>
      </w:r>
      <w:r w:rsidR="0017588A">
        <w:rPr>
          <w:lang w:val="en-GB"/>
        </w:rPr>
        <w:t xml:space="preserve">, </w:t>
      </w:r>
      <w:r w:rsidR="000E3543">
        <w:rPr>
          <w:lang w:val="en-GB"/>
        </w:rPr>
        <w:t>making them more</w:t>
      </w:r>
      <w:r w:rsidR="0017588A" w:rsidRPr="0017588A">
        <w:rPr>
          <w:lang w:val="en-GB"/>
        </w:rPr>
        <w:t xml:space="preserve"> challenging to site, permit, and operate, </w:t>
      </w:r>
      <w:r w:rsidR="0017588A">
        <w:rPr>
          <w:lang w:val="en-GB"/>
        </w:rPr>
        <w:t xml:space="preserve">thus </w:t>
      </w:r>
      <w:r w:rsidR="0017588A" w:rsidRPr="0017588A">
        <w:rPr>
          <w:lang w:val="en-GB"/>
        </w:rPr>
        <w:t>limiting the development of a widespread hydrogen infrastructure</w:t>
      </w:r>
      <w:r w:rsidR="00D95268">
        <w:rPr>
          <w:lang w:val="en-GB"/>
        </w:rPr>
        <w:t xml:space="preserve"> (</w:t>
      </w:r>
      <w:proofErr w:type="spellStart"/>
      <w:r w:rsidR="00D95268">
        <w:rPr>
          <w:lang w:val="en-GB"/>
        </w:rPr>
        <w:t>Huijts</w:t>
      </w:r>
      <w:proofErr w:type="spellEnd"/>
      <w:r w:rsidR="00D95268">
        <w:rPr>
          <w:lang w:val="en-GB"/>
        </w:rPr>
        <w:t xml:space="preserve"> et al, 2019).</w:t>
      </w:r>
      <w:r w:rsidR="000370CE">
        <w:rPr>
          <w:lang w:val="en-GB"/>
        </w:rPr>
        <w:t xml:space="preserve"> </w:t>
      </w:r>
      <w:r w:rsidR="002653F9">
        <w:rPr>
          <w:lang w:val="en-GB"/>
        </w:rPr>
        <w:t xml:space="preserve">For these reasons, the necessity of specific and reliable models describing hydrogen fireballs arises as a first-order variable in the development of </w:t>
      </w:r>
      <w:r w:rsidR="000E3543">
        <w:rPr>
          <w:lang w:val="en-GB"/>
        </w:rPr>
        <w:t>the</w:t>
      </w:r>
      <w:r w:rsidR="002653F9">
        <w:rPr>
          <w:lang w:val="en-GB"/>
        </w:rPr>
        <w:t xml:space="preserve"> hydrogen value chain, </w:t>
      </w:r>
      <w:r w:rsidR="000E3543">
        <w:rPr>
          <w:lang w:val="en-GB"/>
        </w:rPr>
        <w:t>therefore</w:t>
      </w:r>
      <w:r w:rsidR="002653F9">
        <w:rPr>
          <w:lang w:val="en-GB"/>
        </w:rPr>
        <w:t xml:space="preserve"> affecting the overall energy transition scenario. </w:t>
      </w:r>
      <w:r w:rsidR="00C54A7F">
        <w:rPr>
          <w:lang w:val="en-GB"/>
        </w:rPr>
        <w:t>T</w:t>
      </w:r>
      <w:r w:rsidR="002653F9">
        <w:rPr>
          <w:lang w:val="en-GB"/>
        </w:rPr>
        <w:t xml:space="preserve">his work proposes new models which aim </w:t>
      </w:r>
      <w:r w:rsidR="000E007F">
        <w:rPr>
          <w:lang w:val="en-GB"/>
        </w:rPr>
        <w:t>to estimate</w:t>
      </w:r>
      <w:r w:rsidR="002653F9">
        <w:rPr>
          <w:lang w:val="en-GB"/>
        </w:rPr>
        <w:t xml:space="preserve"> both the duration and the diameter </w:t>
      </w:r>
      <w:r w:rsidR="002653F9">
        <w:rPr>
          <w:lang w:val="en-GB"/>
        </w:rPr>
        <w:lastRenderedPageBreak/>
        <w:t>of hydrogen fireballs. These models are considered as an evolution of the ones often found in literature, since they are developed for hydrogen and based on experiments concerning</w:t>
      </w:r>
      <w:r w:rsidR="00BC7BD2">
        <w:rPr>
          <w:lang w:val="en-GB"/>
        </w:rPr>
        <w:t xml:space="preserve"> both pressure vessel bursts (PVBs) and</w:t>
      </w:r>
      <w:r w:rsidR="002653F9">
        <w:rPr>
          <w:lang w:val="en-GB"/>
        </w:rPr>
        <w:t xml:space="preserve"> liquid hydrogen</w:t>
      </w:r>
      <w:r w:rsidR="00151663">
        <w:rPr>
          <w:lang w:val="en-GB"/>
        </w:rPr>
        <w:t xml:space="preserve"> (LH</w:t>
      </w:r>
      <w:r w:rsidR="00151663">
        <w:rPr>
          <w:vertAlign w:val="subscript"/>
          <w:lang w:val="en-GB"/>
        </w:rPr>
        <w:t>2</w:t>
      </w:r>
      <w:r w:rsidR="00151663">
        <w:rPr>
          <w:lang w:val="en-GB"/>
        </w:rPr>
        <w:t>)</w:t>
      </w:r>
      <w:r w:rsidR="002653F9">
        <w:rPr>
          <w:lang w:val="en-GB"/>
        </w:rPr>
        <w:t xml:space="preserve"> boiling liquid expanding vapor explosion (</w:t>
      </w:r>
      <w:r w:rsidR="00D24492">
        <w:rPr>
          <w:lang w:val="en-GB"/>
        </w:rPr>
        <w:t xml:space="preserve">BLEVE). In particular, the proposed models aim at the description of the fireball generated during the recently concluded </w:t>
      </w:r>
      <w:r w:rsidR="00D11AB8">
        <w:rPr>
          <w:lang w:val="en-GB"/>
        </w:rPr>
        <w:t>“</w:t>
      </w:r>
      <w:r w:rsidR="00D24492">
        <w:rPr>
          <w:lang w:val="en-GB"/>
        </w:rPr>
        <w:t>Safe Hydrogen Fuel Handling and Use for Efficient Implementatio</w:t>
      </w:r>
      <w:r w:rsidR="00D11AB8">
        <w:rPr>
          <w:lang w:val="en-GB"/>
        </w:rPr>
        <w:t>n” project (SH</w:t>
      </w:r>
      <w:r w:rsidR="00D11AB8">
        <w:rPr>
          <w:vertAlign w:val="subscript"/>
          <w:lang w:val="en-GB"/>
        </w:rPr>
        <w:t>2</w:t>
      </w:r>
      <w:r w:rsidR="00D11AB8">
        <w:rPr>
          <w:lang w:val="en-GB"/>
        </w:rPr>
        <w:t>IFT, 2021)</w:t>
      </w:r>
      <w:r w:rsidR="00745F43">
        <w:rPr>
          <w:lang w:val="en-GB"/>
        </w:rPr>
        <w:t xml:space="preserve"> and </w:t>
      </w:r>
      <w:r w:rsidR="000E3543">
        <w:rPr>
          <w:lang w:val="en-GB"/>
        </w:rPr>
        <w:t xml:space="preserve">in this paper </w:t>
      </w:r>
      <w:r w:rsidR="00745F43">
        <w:rPr>
          <w:lang w:val="en-GB"/>
        </w:rPr>
        <w:t>a comparison with other experimental hydrogen fireballs is performed for validation purposes.</w:t>
      </w:r>
      <w:r w:rsidR="003C08E1">
        <w:rPr>
          <w:lang w:val="en-GB"/>
        </w:rPr>
        <w:t xml:space="preserve"> </w:t>
      </w:r>
      <w:r w:rsidR="003C08E1" w:rsidRPr="003C08E1">
        <w:rPr>
          <w:lang w:val="en-GB"/>
        </w:rPr>
        <w:t>However, there still</w:t>
      </w:r>
      <w:r w:rsidR="00311051">
        <w:rPr>
          <w:lang w:val="en-GB"/>
        </w:rPr>
        <w:t xml:space="preserve"> is</w:t>
      </w:r>
      <w:r w:rsidR="003C08E1" w:rsidRPr="003C08E1">
        <w:rPr>
          <w:lang w:val="en-GB"/>
        </w:rPr>
        <w:t xml:space="preserve"> a </w:t>
      </w:r>
      <w:r w:rsidR="005D707C">
        <w:rPr>
          <w:lang w:val="en-GB"/>
        </w:rPr>
        <w:t xml:space="preserve">deep </w:t>
      </w:r>
      <w:r w:rsidR="003C08E1" w:rsidRPr="003C08E1">
        <w:rPr>
          <w:lang w:val="en-GB"/>
        </w:rPr>
        <w:t xml:space="preserve">need </w:t>
      </w:r>
      <w:r w:rsidR="00A450DD">
        <w:rPr>
          <w:lang w:val="en-GB"/>
        </w:rPr>
        <w:t>for</w:t>
      </w:r>
      <w:r w:rsidR="00A450DD" w:rsidRPr="003C08E1">
        <w:rPr>
          <w:lang w:val="en-GB"/>
        </w:rPr>
        <w:t xml:space="preserve"> </w:t>
      </w:r>
      <w:r w:rsidR="005D707C">
        <w:rPr>
          <w:lang w:val="en-GB"/>
        </w:rPr>
        <w:t>new</w:t>
      </w:r>
      <w:r w:rsidR="003C08E1" w:rsidRPr="003C08E1">
        <w:rPr>
          <w:lang w:val="en-GB"/>
        </w:rPr>
        <w:t xml:space="preserve"> experimental </w:t>
      </w:r>
      <w:r w:rsidR="003C08E1">
        <w:rPr>
          <w:lang w:val="en-GB"/>
        </w:rPr>
        <w:t>activities</w:t>
      </w:r>
      <w:r w:rsidR="003C08E1" w:rsidRPr="003C08E1">
        <w:rPr>
          <w:lang w:val="en-GB"/>
        </w:rPr>
        <w:t xml:space="preserve"> to </w:t>
      </w:r>
      <w:r w:rsidR="003C08E1">
        <w:rPr>
          <w:lang w:val="en-GB"/>
        </w:rPr>
        <w:t xml:space="preserve">further </w:t>
      </w:r>
      <w:r w:rsidR="003C08E1" w:rsidRPr="003C08E1">
        <w:rPr>
          <w:lang w:val="en-GB"/>
        </w:rPr>
        <w:t xml:space="preserve">validate and improve these models. Experimental studies can </w:t>
      </w:r>
      <w:r w:rsidR="005D707C">
        <w:rPr>
          <w:lang w:val="en-GB"/>
        </w:rPr>
        <w:t xml:space="preserve">in fact </w:t>
      </w:r>
      <w:r w:rsidR="003C08E1" w:rsidRPr="003C08E1">
        <w:rPr>
          <w:lang w:val="en-GB"/>
        </w:rPr>
        <w:t>help improv</w:t>
      </w:r>
      <w:r w:rsidR="005D707C">
        <w:rPr>
          <w:lang w:val="en-GB"/>
        </w:rPr>
        <w:t>ing</w:t>
      </w:r>
      <w:r w:rsidR="003C08E1" w:rsidRPr="003C08E1">
        <w:rPr>
          <w:lang w:val="en-GB"/>
        </w:rPr>
        <w:t xml:space="preserve"> the accuracy and reliability of the </w:t>
      </w:r>
      <w:r w:rsidR="00546BE1">
        <w:rPr>
          <w:lang w:val="en-GB"/>
        </w:rPr>
        <w:t>new</w:t>
      </w:r>
      <w:r w:rsidR="003C08E1">
        <w:rPr>
          <w:lang w:val="en-GB"/>
        </w:rPr>
        <w:t xml:space="preserve"> </w:t>
      </w:r>
      <w:r w:rsidR="003C08E1" w:rsidRPr="003C08E1">
        <w:rPr>
          <w:lang w:val="en-GB"/>
        </w:rPr>
        <w:t xml:space="preserve">models by providing </w:t>
      </w:r>
      <w:r w:rsidR="003C08E1">
        <w:rPr>
          <w:lang w:val="en-GB"/>
        </w:rPr>
        <w:t xml:space="preserve">more </w:t>
      </w:r>
      <w:r w:rsidR="003C08E1" w:rsidRPr="003C08E1">
        <w:rPr>
          <w:lang w:val="en-GB"/>
        </w:rPr>
        <w:t xml:space="preserve">data on real-world conditions and scenarios. These studies can also help identify </w:t>
      </w:r>
      <w:r w:rsidR="003C08E1">
        <w:rPr>
          <w:lang w:val="en-GB"/>
        </w:rPr>
        <w:t>different</w:t>
      </w:r>
      <w:r w:rsidR="003C08E1" w:rsidRPr="003C08E1">
        <w:rPr>
          <w:lang w:val="en-GB"/>
        </w:rPr>
        <w:t xml:space="preserve"> hazards or factors that may influence the behaviour of hydrogen fireballs,</w:t>
      </w:r>
      <w:r w:rsidR="000E3543">
        <w:rPr>
          <w:lang w:val="en-GB"/>
        </w:rPr>
        <w:t xml:space="preserve"> thus</w:t>
      </w:r>
      <w:r w:rsidR="003C08E1" w:rsidRPr="003C08E1">
        <w:rPr>
          <w:lang w:val="en-GB"/>
        </w:rPr>
        <w:t xml:space="preserve"> leading to better safety standards and practices.</w:t>
      </w:r>
    </w:p>
    <w:p w14:paraId="45E855DC" w14:textId="77777777" w:rsidR="0011092D" w:rsidRPr="00FA5F5F" w:rsidRDefault="0011092D" w:rsidP="00600535">
      <w:pPr>
        <w:pStyle w:val="CETBodytext"/>
        <w:rPr>
          <w:lang w:val="en-GB"/>
        </w:rPr>
      </w:pPr>
    </w:p>
    <w:p w14:paraId="43BD1BA5" w14:textId="4A1DEE78" w:rsidR="004D3EB2" w:rsidRPr="004D3EB2" w:rsidRDefault="004D3EB2" w:rsidP="005F52B5">
      <w:pPr>
        <w:pStyle w:val="CETHeading1"/>
        <w:spacing w:before="120"/>
      </w:pPr>
      <w:r>
        <w:t>Hydrogen Fireballs</w:t>
      </w:r>
    </w:p>
    <w:p w14:paraId="5FB68B23" w14:textId="7D1133B1" w:rsidR="000E102F" w:rsidRPr="000D7192" w:rsidRDefault="00237A34" w:rsidP="00237A34">
      <w:pPr>
        <w:pStyle w:val="CETBodytext"/>
        <w:rPr>
          <w:lang w:val="en-GB"/>
        </w:rPr>
      </w:pPr>
      <w:r>
        <w:rPr>
          <w:lang w:val="en-GB"/>
        </w:rPr>
        <w:t>BLEVEs and</w:t>
      </w:r>
      <w:r w:rsidR="00BC7BD2">
        <w:rPr>
          <w:lang w:val="en-GB"/>
        </w:rPr>
        <w:t xml:space="preserve"> PVBs</w:t>
      </w:r>
      <w:r>
        <w:rPr>
          <w:lang w:val="en-GB"/>
        </w:rPr>
        <w:t xml:space="preserve"> are defined </w:t>
      </w:r>
      <w:r w:rsidR="00B565F2">
        <w:rPr>
          <w:lang w:val="en-GB"/>
        </w:rPr>
        <w:t>as explosions</w:t>
      </w:r>
      <w:r>
        <w:rPr>
          <w:lang w:val="en-GB"/>
        </w:rPr>
        <w:t xml:space="preserve"> involving the catastrophic rupture of a vessel. A BLEVE is characterized by the violent burst of a boiling liquid, which involves</w:t>
      </w:r>
      <w:r w:rsidR="005D707C">
        <w:rPr>
          <w:lang w:val="en-GB"/>
        </w:rPr>
        <w:t xml:space="preserve"> both</w:t>
      </w:r>
      <w:r>
        <w:rPr>
          <w:lang w:val="en-GB"/>
        </w:rPr>
        <w:t xml:space="preserve"> the rapid expansion of the gaseous phase</w:t>
      </w:r>
      <w:r w:rsidR="005D707C">
        <w:rPr>
          <w:lang w:val="en-GB"/>
        </w:rPr>
        <w:t xml:space="preserve"> and</w:t>
      </w:r>
      <w:r>
        <w:rPr>
          <w:lang w:val="en-GB"/>
        </w:rPr>
        <w:t xml:space="preserve"> the flashing of a fraction of the liquid phase, </w:t>
      </w:r>
      <w:proofErr w:type="gramStart"/>
      <w:r>
        <w:rPr>
          <w:lang w:val="en-GB"/>
        </w:rPr>
        <w:t>as a consequence of</w:t>
      </w:r>
      <w:proofErr w:type="gramEnd"/>
      <w:r>
        <w:rPr>
          <w:lang w:val="en-GB"/>
        </w:rPr>
        <w:t xml:space="preserve"> rapid depressurization </w:t>
      </w:r>
      <w:r w:rsidR="000D7192">
        <w:rPr>
          <w:lang w:val="en-GB"/>
        </w:rPr>
        <w:t>(</w:t>
      </w:r>
      <w:proofErr w:type="spellStart"/>
      <w:r w:rsidR="00B3215E">
        <w:rPr>
          <w:lang w:val="en-GB"/>
        </w:rPr>
        <w:t>Ustolin</w:t>
      </w:r>
      <w:proofErr w:type="spellEnd"/>
      <w:r w:rsidR="00B3215E">
        <w:rPr>
          <w:lang w:val="en-GB"/>
        </w:rPr>
        <w:t xml:space="preserve"> et al, 2020).</w:t>
      </w:r>
      <w:r w:rsidR="000D7192">
        <w:rPr>
          <w:lang w:val="en-GB"/>
        </w:rPr>
        <w:t xml:space="preserve"> A PVB </w:t>
      </w:r>
      <w:r w:rsidR="00F65415">
        <w:rPr>
          <w:lang w:val="en-GB"/>
        </w:rPr>
        <w:t xml:space="preserve">may </w:t>
      </w:r>
      <w:r w:rsidR="00093586">
        <w:rPr>
          <w:lang w:val="en-GB"/>
        </w:rPr>
        <w:t>show</w:t>
      </w:r>
      <w:r w:rsidR="000D7192">
        <w:rPr>
          <w:lang w:val="en-GB"/>
        </w:rPr>
        <w:t xml:space="preserve"> </w:t>
      </w:r>
      <w:r w:rsidR="00C01C97">
        <w:rPr>
          <w:lang w:val="en-GB"/>
        </w:rPr>
        <w:t xml:space="preserve">a </w:t>
      </w:r>
      <w:r w:rsidR="000D7192">
        <w:rPr>
          <w:lang w:val="en-GB"/>
        </w:rPr>
        <w:t>similar</w:t>
      </w:r>
      <w:r w:rsidR="00C01C97">
        <w:rPr>
          <w:lang w:val="en-GB"/>
        </w:rPr>
        <w:t xml:space="preserve"> </w:t>
      </w:r>
      <w:r w:rsidR="00311051">
        <w:rPr>
          <w:lang w:val="en-GB"/>
        </w:rPr>
        <w:t>aftermath,</w:t>
      </w:r>
      <w:r w:rsidR="000D7192">
        <w:rPr>
          <w:lang w:val="en-GB"/>
        </w:rPr>
        <w:t xml:space="preserve"> </w:t>
      </w:r>
      <w:r w:rsidR="00E65514">
        <w:rPr>
          <w:lang w:val="en-GB"/>
        </w:rPr>
        <w:t>but</w:t>
      </w:r>
      <w:r w:rsidR="000D7192">
        <w:rPr>
          <w:lang w:val="en-GB"/>
        </w:rPr>
        <w:t xml:space="preserve"> </w:t>
      </w:r>
      <w:r w:rsidR="00311051">
        <w:rPr>
          <w:lang w:val="en-GB"/>
        </w:rPr>
        <w:t xml:space="preserve">it </w:t>
      </w:r>
      <w:r w:rsidR="000D7192">
        <w:rPr>
          <w:lang w:val="en-GB"/>
        </w:rPr>
        <w:t xml:space="preserve">is characterized by the </w:t>
      </w:r>
      <w:r w:rsidR="00E65514">
        <w:rPr>
          <w:lang w:val="en-GB"/>
        </w:rPr>
        <w:t>burst of a vessel containing gas at elevated pressure</w:t>
      </w:r>
      <w:r w:rsidR="00116756">
        <w:rPr>
          <w:lang w:val="en-GB"/>
        </w:rPr>
        <w:t xml:space="preserve"> (</w:t>
      </w:r>
      <w:r w:rsidR="00492F93">
        <w:rPr>
          <w:lang w:val="en-GB"/>
        </w:rPr>
        <w:t>CCPS, 2010</w:t>
      </w:r>
      <w:r w:rsidR="00116756">
        <w:rPr>
          <w:lang w:val="en-GB"/>
        </w:rPr>
        <w:t>)</w:t>
      </w:r>
      <w:r w:rsidR="00E65514">
        <w:rPr>
          <w:lang w:val="en-GB"/>
        </w:rPr>
        <w:t xml:space="preserve">. In both cases, </w:t>
      </w:r>
      <w:r w:rsidR="00492F93">
        <w:rPr>
          <w:lang w:val="en-GB"/>
        </w:rPr>
        <w:t xml:space="preserve">the high mechanical energy released </w:t>
      </w:r>
      <w:r w:rsidR="00EF7F56">
        <w:rPr>
          <w:lang w:val="en-GB"/>
        </w:rPr>
        <w:t>(</w:t>
      </w:r>
      <w:proofErr w:type="spellStart"/>
      <w:r w:rsidR="00EF7F56">
        <w:rPr>
          <w:lang w:val="en-GB"/>
        </w:rPr>
        <w:t>Ustolin</w:t>
      </w:r>
      <w:proofErr w:type="spellEnd"/>
      <w:r w:rsidR="00EF7F56">
        <w:rPr>
          <w:lang w:val="en-GB"/>
        </w:rPr>
        <w:t xml:space="preserve"> et al, 2022) </w:t>
      </w:r>
      <w:r w:rsidR="00492F93">
        <w:rPr>
          <w:lang w:val="en-GB"/>
        </w:rPr>
        <w:t>implies</w:t>
      </w:r>
      <w:r w:rsidR="00E65514">
        <w:rPr>
          <w:lang w:val="en-GB"/>
        </w:rPr>
        <w:t xml:space="preserve"> consequences </w:t>
      </w:r>
      <w:r w:rsidR="00492F93">
        <w:rPr>
          <w:lang w:val="en-GB"/>
        </w:rPr>
        <w:t xml:space="preserve">that </w:t>
      </w:r>
      <w:r w:rsidR="00E65514">
        <w:rPr>
          <w:lang w:val="en-GB"/>
        </w:rPr>
        <w:t>are often severe, involving generation of pressure waves, fragments projection and, if the released fluid is flammable, fireballs. Hence, a distinction of fireballs from BLEVEs and PVBs is provided below, to describe the different experiments the proposed models are based on.</w:t>
      </w:r>
    </w:p>
    <w:p w14:paraId="70AF24E3" w14:textId="1AA56841" w:rsidR="004D3EB2" w:rsidRDefault="004D3EB2" w:rsidP="004D3EB2">
      <w:pPr>
        <w:pStyle w:val="CETheadingx"/>
      </w:pPr>
      <w:r>
        <w:t>Fireballs from BLEVEs</w:t>
      </w:r>
    </w:p>
    <w:p w14:paraId="5D5DF858" w14:textId="767479CA" w:rsidR="00DB5F56" w:rsidRDefault="00116756" w:rsidP="00E65514">
      <w:pPr>
        <w:pStyle w:val="CETBodytext"/>
      </w:pPr>
      <w:r w:rsidRPr="00116756">
        <w:t>Hydrogen BLEVEs are rare scenarios, often</w:t>
      </w:r>
      <w:r>
        <w:t xml:space="preserve"> classified as atypical accident scenarios </w:t>
      </w:r>
      <w:r w:rsidR="00492F93">
        <w:t>(</w:t>
      </w:r>
      <w:proofErr w:type="spellStart"/>
      <w:r w:rsidR="00492F93">
        <w:t>Ustolin</w:t>
      </w:r>
      <w:proofErr w:type="spellEnd"/>
      <w:r w:rsidR="00492F93">
        <w:t xml:space="preserve"> et al, 2020</w:t>
      </w:r>
      <w:r>
        <w:t xml:space="preserve">). </w:t>
      </w:r>
      <w:r w:rsidR="005D707C">
        <w:t>In addition</w:t>
      </w:r>
      <w:r>
        <w:t>, experiments concerning these explosions and their major consequences (i.e., hydrogen fireballs) are also</w:t>
      </w:r>
      <w:r w:rsidR="00883331">
        <w:t xml:space="preserve"> difficult to be found</w:t>
      </w:r>
      <w:r>
        <w:t xml:space="preserve"> in literature, and a limited number of data is </w:t>
      </w:r>
      <w:r w:rsidR="00883331">
        <w:t xml:space="preserve">currently </w:t>
      </w:r>
      <w:r>
        <w:t xml:space="preserve">available. Moreover, the cryogenic conditions </w:t>
      </w:r>
      <w:r w:rsidR="000645F4">
        <w:t>of</w:t>
      </w:r>
      <w:r>
        <w:t xml:space="preserve"> </w:t>
      </w:r>
      <w:r w:rsidR="00BD79E2">
        <w:t>l</w:t>
      </w:r>
      <w:r>
        <w:t>iquid hydrogen (LH</w:t>
      </w:r>
      <w:r>
        <w:rPr>
          <w:vertAlign w:val="subscript"/>
        </w:rPr>
        <w:t>2</w:t>
      </w:r>
      <w:r>
        <w:t>)</w:t>
      </w:r>
      <w:r w:rsidR="00BD79E2">
        <w:t xml:space="preserve"> impose considerable costs</w:t>
      </w:r>
      <w:r w:rsidR="00FD16B8">
        <w:t xml:space="preserve"> for the </w:t>
      </w:r>
      <w:r w:rsidR="004B6595">
        <w:t>purchase of specific equipment</w:t>
      </w:r>
      <w:r w:rsidR="00BD79E2">
        <w:t xml:space="preserve">, reducing </w:t>
      </w:r>
      <w:r w:rsidR="005D707C">
        <w:t>the availability of</w:t>
      </w:r>
      <w:r w:rsidR="00BD79E2">
        <w:t xml:space="preserve"> experimental evidence and data. Within this work, two important set of experiments were considered to study the fireball generated from hydrogen BLEVEs:</w:t>
      </w:r>
    </w:p>
    <w:p w14:paraId="41675E70" w14:textId="77777777" w:rsidR="002E360D" w:rsidRDefault="002E360D" w:rsidP="00E65514">
      <w:pPr>
        <w:pStyle w:val="CETBodytext"/>
      </w:pPr>
    </w:p>
    <w:p w14:paraId="3CDCFD1E" w14:textId="40D8BBDF" w:rsidR="00434BC0" w:rsidRDefault="00BD79E2" w:rsidP="00434BC0">
      <w:pPr>
        <w:pStyle w:val="CETBodytext"/>
        <w:numPr>
          <w:ilvl w:val="0"/>
          <w:numId w:val="22"/>
        </w:numPr>
        <w:ind w:left="470" w:hanging="357"/>
      </w:pPr>
      <w:r>
        <w:t>“Cold” LH</w:t>
      </w:r>
      <w:r>
        <w:rPr>
          <w:vertAlign w:val="subscript"/>
        </w:rPr>
        <w:t xml:space="preserve">2 </w:t>
      </w:r>
      <w:r>
        <w:t>BLEVEs from safety tests conducted by BMW car manufacturer in the 1990s (</w:t>
      </w:r>
      <w:r w:rsidR="00FE537C">
        <w:t>Pehr, 1996</w:t>
      </w:r>
      <w:r>
        <w:t>)</w:t>
      </w:r>
      <w:r w:rsidR="005D707C">
        <w:t xml:space="preserve"> h</w:t>
      </w:r>
      <w:r w:rsidR="001F6A84">
        <w:t>ereafter BMW tests</w:t>
      </w:r>
      <w:r w:rsidR="005D707C">
        <w:t>.</w:t>
      </w:r>
    </w:p>
    <w:p w14:paraId="0B746A3B" w14:textId="359EBDF6" w:rsidR="00DB5F56" w:rsidRDefault="00BD79E2" w:rsidP="00DB5F56">
      <w:pPr>
        <w:pStyle w:val="CETBodytext"/>
        <w:numPr>
          <w:ilvl w:val="0"/>
          <w:numId w:val="22"/>
        </w:numPr>
        <w:ind w:left="470" w:hanging="357"/>
      </w:pPr>
      <w:r>
        <w:t>“Hot” LH</w:t>
      </w:r>
      <w:r>
        <w:rPr>
          <w:vertAlign w:val="subscript"/>
        </w:rPr>
        <w:t>2</w:t>
      </w:r>
      <w:r>
        <w:t xml:space="preserve"> BLEVE from </w:t>
      </w:r>
      <w:r w:rsidR="005D707C">
        <w:t xml:space="preserve">the </w:t>
      </w:r>
      <w:r>
        <w:t>SH</w:t>
      </w:r>
      <w:r>
        <w:rPr>
          <w:vertAlign w:val="subscript"/>
        </w:rPr>
        <w:t>2</w:t>
      </w:r>
      <w:r>
        <w:t>IFT project (SH2IFT</w:t>
      </w:r>
      <w:r w:rsidR="00FE537C">
        <w:t>, 2021</w:t>
      </w:r>
      <w:r>
        <w:t>)</w:t>
      </w:r>
      <w:r w:rsidR="005D707C">
        <w:t>, h</w:t>
      </w:r>
      <w:r w:rsidR="001F6A84">
        <w:t>ereafter SH</w:t>
      </w:r>
      <w:r w:rsidR="001F6A84">
        <w:rPr>
          <w:vertAlign w:val="subscript"/>
        </w:rPr>
        <w:t>2</w:t>
      </w:r>
      <w:r w:rsidR="001F6A84">
        <w:t>IFT test</w:t>
      </w:r>
      <w:r w:rsidR="005D707C">
        <w:t>.</w:t>
      </w:r>
    </w:p>
    <w:p w14:paraId="25EA66F4" w14:textId="77777777" w:rsidR="002E360D" w:rsidRDefault="002E360D" w:rsidP="002E360D">
      <w:pPr>
        <w:pStyle w:val="CETBodytext"/>
        <w:ind w:left="470"/>
      </w:pPr>
    </w:p>
    <w:p w14:paraId="0E05A325" w14:textId="09EC0A90" w:rsidR="00984568" w:rsidRPr="00876E6F" w:rsidRDefault="00BD79E2" w:rsidP="00BD79E2">
      <w:pPr>
        <w:pStyle w:val="CETBodytext"/>
        <w:rPr>
          <w:lang w:val="en-GB"/>
        </w:rPr>
      </w:pPr>
      <w:r>
        <w:t xml:space="preserve">Where “cold” and “hot” indicate </w:t>
      </w:r>
      <w:r w:rsidR="006A7332">
        <w:t>the event triggering type</w:t>
      </w:r>
      <w:r>
        <w:t>, being “cold” a</w:t>
      </w:r>
      <w:r w:rsidR="00984568">
        <w:t xml:space="preserve"> </w:t>
      </w:r>
      <w:r>
        <w:t xml:space="preserve">cutting charge located on the </w:t>
      </w:r>
      <w:r w:rsidR="00844C14">
        <w:t xml:space="preserve">exploding </w:t>
      </w:r>
      <w:r>
        <w:t xml:space="preserve">vessel and “hot” </w:t>
      </w:r>
      <w:r w:rsidR="00CD2361">
        <w:t>implying the presence of</w:t>
      </w:r>
      <w:r w:rsidR="00074FBC">
        <w:t xml:space="preserve"> </w:t>
      </w:r>
      <w:r>
        <w:t>a propane burner placed under the LH</w:t>
      </w:r>
      <w:r>
        <w:rPr>
          <w:vertAlign w:val="subscript"/>
        </w:rPr>
        <w:t>2</w:t>
      </w:r>
      <w:r>
        <w:t xml:space="preserve"> </w:t>
      </w:r>
      <w:r w:rsidR="00A132BB">
        <w:t>tank</w:t>
      </w:r>
      <w:r w:rsidR="0014068E">
        <w:t xml:space="preserve"> to </w:t>
      </w:r>
      <w:r w:rsidR="00B939C0">
        <w:t>engulf</w:t>
      </w:r>
      <w:r w:rsidR="0014068E">
        <w:t xml:space="preserve"> it in a</w:t>
      </w:r>
      <w:r w:rsidR="00B939C0">
        <w:t xml:space="preserve"> fire</w:t>
      </w:r>
      <w:r>
        <w:t>.</w:t>
      </w:r>
      <w:r w:rsidR="00A132BB">
        <w:t xml:space="preserve"> The</w:t>
      </w:r>
      <w:r w:rsidR="00984568">
        <w:t xml:space="preserve"> experiment</w:t>
      </w:r>
      <w:r w:rsidR="00A132BB">
        <w:t>s</w:t>
      </w:r>
      <w:r w:rsidR="00984568">
        <w:t xml:space="preserve"> resulted in </w:t>
      </w:r>
      <w:r w:rsidR="00A132BB">
        <w:t xml:space="preserve">the generation of </w:t>
      </w:r>
      <w:r w:rsidR="00984568">
        <w:t>fireball</w:t>
      </w:r>
      <w:r w:rsidR="00A132BB">
        <w:t>s</w:t>
      </w:r>
      <w:r w:rsidR="00984568">
        <w:t xml:space="preserve">, </w:t>
      </w:r>
      <w:r w:rsidR="00A132BB">
        <w:t>which were unique</w:t>
      </w:r>
      <w:r w:rsidR="00984568">
        <w:t xml:space="preserve"> </w:t>
      </w:r>
      <w:r w:rsidR="00A132BB">
        <w:t>in terms of their</w:t>
      </w:r>
      <w:r w:rsidR="00984568">
        <w:t xml:space="preserve"> fundamental characteristics (i.e., duration and diameter). More precisely, the mass content is deemed to be a </w:t>
      </w:r>
      <w:r w:rsidR="00A132BB">
        <w:t>crucial</w:t>
      </w:r>
      <w:r w:rsidR="00984568">
        <w:t xml:space="preserve"> parameter </w:t>
      </w:r>
      <w:r w:rsidR="00A132BB">
        <w:t>for the development of the</w:t>
      </w:r>
      <w:r w:rsidR="00984568">
        <w:t xml:space="preserve"> fireball, which is also confirmed by several models in literature (</w:t>
      </w:r>
      <w:r w:rsidR="002C13FA">
        <w:t>Roberts, 1981</w:t>
      </w:r>
      <w:r w:rsidR="00984568">
        <w:t>)</w:t>
      </w:r>
      <w:r w:rsidR="002C13FA">
        <w:t>.</w:t>
      </w:r>
      <w:r w:rsidR="009B53C2">
        <w:t xml:space="preserve"> </w:t>
      </w:r>
      <w:r w:rsidR="009B53C2" w:rsidRPr="00270EB4">
        <w:t>During the execution of the SH</w:t>
      </w:r>
      <w:r w:rsidR="009B53C2" w:rsidRPr="00270EB4">
        <w:rPr>
          <w:vertAlign w:val="subscript"/>
        </w:rPr>
        <w:t>2</w:t>
      </w:r>
      <w:r w:rsidR="009B53C2" w:rsidRPr="00270EB4">
        <w:t>IFT test, a leakage of LH</w:t>
      </w:r>
      <w:r w:rsidR="009B53C2" w:rsidRPr="00270EB4">
        <w:rPr>
          <w:vertAlign w:val="subscript"/>
        </w:rPr>
        <w:t>2</w:t>
      </w:r>
      <w:r w:rsidR="009B53C2" w:rsidRPr="00270EB4">
        <w:t xml:space="preserve"> happened before the BLEVE event, which reduced the initial mass (27 kg of LH</w:t>
      </w:r>
      <w:r w:rsidR="009B53C2" w:rsidRPr="00270EB4">
        <w:rPr>
          <w:vertAlign w:val="subscript"/>
        </w:rPr>
        <w:t>2</w:t>
      </w:r>
      <w:r w:rsidR="009B53C2" w:rsidRPr="00270EB4">
        <w:t xml:space="preserve">) to an unknown value. This event affected both the fireball dimension and duration, but a hydrogen mass ranging between 13 kg and 27 kg is deemed as a plausible value </w:t>
      </w:r>
      <w:proofErr w:type="gramStart"/>
      <w:r w:rsidR="009B53C2" w:rsidRPr="00270EB4">
        <w:t>at the moment</w:t>
      </w:r>
      <w:proofErr w:type="gramEnd"/>
      <w:r w:rsidR="009B53C2" w:rsidRPr="00270EB4">
        <w:t xml:space="preserve"> of the explosion. Moreover, the exact mass of LH</w:t>
      </w:r>
      <w:r w:rsidR="009B53C2" w:rsidRPr="00270EB4">
        <w:rPr>
          <w:vertAlign w:val="subscript"/>
        </w:rPr>
        <w:t xml:space="preserve">2 </w:t>
      </w:r>
      <w:r w:rsidR="009B53C2" w:rsidRPr="00270EB4">
        <w:t xml:space="preserve">is also unknown for the BMW tests, since the experimental data </w:t>
      </w:r>
      <w:r w:rsidR="009B53C2">
        <w:t>indicate</w:t>
      </w:r>
      <w:r w:rsidR="009B53C2" w:rsidRPr="00270EB4">
        <w:t xml:space="preserve"> a </w:t>
      </w:r>
      <w:r w:rsidR="009B53C2">
        <w:t xml:space="preserve">hydrogen </w:t>
      </w:r>
      <w:r w:rsidR="009B53C2" w:rsidRPr="00270EB4">
        <w:t xml:space="preserve">mass ranging from 1.8 kg and 5.4 kg. Therefore, it </w:t>
      </w:r>
      <w:r w:rsidR="009B53C2">
        <w:t>is expected</w:t>
      </w:r>
      <w:r w:rsidR="009B53C2" w:rsidRPr="00270EB4">
        <w:t xml:space="preserve"> that these uncertainties affect the overall accuracy of the models. However, the obtained results suggest that further tests could validate these findings, as explained in </w:t>
      </w:r>
      <w:r w:rsidR="009B53C2">
        <w:t>S</w:t>
      </w:r>
      <w:r w:rsidR="009B53C2" w:rsidRPr="00270EB4">
        <w:t>ec</w:t>
      </w:r>
      <w:r w:rsidR="009B53C2">
        <w:t>.</w:t>
      </w:r>
      <w:r w:rsidR="009B53C2" w:rsidRPr="00270EB4">
        <w:t xml:space="preserve"> 4.</w:t>
      </w:r>
      <w:r w:rsidR="009B53C2">
        <w:t xml:space="preserve"> </w:t>
      </w:r>
    </w:p>
    <w:p w14:paraId="0029B5B0" w14:textId="01AF0D18" w:rsidR="004D3EB2" w:rsidRPr="004D3EB2" w:rsidRDefault="004D3EB2" w:rsidP="004D3EB2">
      <w:pPr>
        <w:pStyle w:val="CETheadingx"/>
      </w:pPr>
      <w:r>
        <w:t>Fireballs from PVBs</w:t>
      </w:r>
    </w:p>
    <w:p w14:paraId="6CA13356" w14:textId="5FA28613" w:rsidR="00600535" w:rsidRDefault="00F6199E" w:rsidP="00600535">
      <w:pPr>
        <w:pStyle w:val="CETBodytext"/>
      </w:pPr>
      <w:proofErr w:type="gramStart"/>
      <w:r>
        <w:t>Similarly</w:t>
      </w:r>
      <w:proofErr w:type="gramEnd"/>
      <w:r>
        <w:t xml:space="preserve"> to the LH</w:t>
      </w:r>
      <w:r>
        <w:rPr>
          <w:vertAlign w:val="subscript"/>
        </w:rPr>
        <w:t>2</w:t>
      </w:r>
      <w:r>
        <w:t xml:space="preserve"> BLEVE, a hydrogen fireball is likely to occur as a consequence of a H</w:t>
      </w:r>
      <w:r>
        <w:rPr>
          <w:vertAlign w:val="subscript"/>
        </w:rPr>
        <w:t xml:space="preserve">2 </w:t>
      </w:r>
      <w:r>
        <w:t xml:space="preserve">PVB. </w:t>
      </w:r>
      <w:r w:rsidR="002D4B81">
        <w:t>Experimental hydrogen PVBs are usually conducted to investigate the consequences of loss of containment scenarios involving high pressure vessels, such as hydrogen vessels designed for the automotive sector. Hence, data are available for different pressure levels, ranging from 34.5 MPa to almost 100 MPa</w:t>
      </w:r>
      <w:r w:rsidR="00833892">
        <w:t xml:space="preserve"> for different experiments</w:t>
      </w:r>
      <w:r w:rsidR="002D4B81">
        <w:t>, which in some cases simulate PVBs generati</w:t>
      </w:r>
      <w:r w:rsidR="00A132BB">
        <w:t>ng</w:t>
      </w:r>
      <w:r w:rsidR="002D4B81">
        <w:t xml:space="preserve"> from road accidents (</w:t>
      </w:r>
      <w:proofErr w:type="spellStart"/>
      <w:r w:rsidR="00074FBC">
        <w:t>Zalosh</w:t>
      </w:r>
      <w:proofErr w:type="spellEnd"/>
      <w:r w:rsidR="00AE70D5">
        <w:t>,</w:t>
      </w:r>
      <w:r w:rsidR="00074FBC">
        <w:t xml:space="preserve"> 2007</w:t>
      </w:r>
      <w:r w:rsidR="002D4B81">
        <w:t>). In particular, the following experiments are considered in this paper:</w:t>
      </w:r>
    </w:p>
    <w:p w14:paraId="556985AE" w14:textId="77777777" w:rsidR="002E360D" w:rsidRPr="002D4B81" w:rsidRDefault="002E360D" w:rsidP="00600535">
      <w:pPr>
        <w:pStyle w:val="CETBodytext"/>
      </w:pPr>
    </w:p>
    <w:p w14:paraId="7F3B60DA" w14:textId="1F6DB6E3" w:rsidR="004577FE" w:rsidRDefault="002D4B81" w:rsidP="00BD79E2">
      <w:pPr>
        <w:pStyle w:val="CETListbullets"/>
        <w:numPr>
          <w:ilvl w:val="0"/>
          <w:numId w:val="13"/>
        </w:numPr>
      </w:pPr>
      <w:r>
        <w:t xml:space="preserve">PVBs triggered by propane flames </w:t>
      </w:r>
      <w:r w:rsidR="00A132BB">
        <w:t>applied to</w:t>
      </w:r>
      <w:r>
        <w:t xml:space="preserve"> </w:t>
      </w:r>
      <w:r w:rsidR="00173F09">
        <w:t>different vessel types (type III and IV) without pressure relief valves (PRVs)</w:t>
      </w:r>
      <w:r w:rsidR="00A132BB">
        <w:t xml:space="preserve">, </w:t>
      </w:r>
      <w:r w:rsidR="00573B3C">
        <w:t xml:space="preserve">hereafter, </w:t>
      </w:r>
      <w:proofErr w:type="spellStart"/>
      <w:r w:rsidR="00573B3C">
        <w:t>Zalosh</w:t>
      </w:r>
      <w:proofErr w:type="spellEnd"/>
      <w:r w:rsidR="004360F2" w:rsidRPr="00CF7E2B">
        <w:rPr>
          <w:lang w:val="en-US"/>
        </w:rPr>
        <w:t>-1</w:t>
      </w:r>
      <w:r w:rsidR="00573B3C">
        <w:t xml:space="preserve"> test</w:t>
      </w:r>
      <w:r w:rsidR="00A132BB">
        <w:t xml:space="preserve"> (</w:t>
      </w:r>
      <w:proofErr w:type="spellStart"/>
      <w:r w:rsidR="00A132BB">
        <w:t>Zalosh</w:t>
      </w:r>
      <w:proofErr w:type="spellEnd"/>
      <w:r w:rsidR="00A132BB">
        <w:t xml:space="preserve"> </w:t>
      </w:r>
      <w:r w:rsidR="00A132BB" w:rsidRPr="00074FBC">
        <w:rPr>
          <w:lang w:val="en-US"/>
        </w:rPr>
        <w:t>and Weyandt</w:t>
      </w:r>
      <w:r w:rsidR="00A132BB">
        <w:rPr>
          <w:lang w:val="en-US"/>
        </w:rPr>
        <w:t>,</w:t>
      </w:r>
      <w:r w:rsidR="00A132BB">
        <w:t xml:space="preserve"> 2005) </w:t>
      </w:r>
      <w:r w:rsidR="003E0E63">
        <w:t>and Zalosh</w:t>
      </w:r>
      <w:r w:rsidR="004360F2">
        <w:t>-2</w:t>
      </w:r>
      <w:r w:rsidR="003E0E63">
        <w:t xml:space="preserve"> test</w:t>
      </w:r>
      <w:r w:rsidR="00074FBC">
        <w:t xml:space="preserve"> </w:t>
      </w:r>
      <w:r w:rsidR="00AE70D5" w:rsidRPr="00074FBC">
        <w:rPr>
          <w:lang w:val="en-US"/>
        </w:rPr>
        <w:t>(</w:t>
      </w:r>
      <w:proofErr w:type="spellStart"/>
      <w:r w:rsidR="00AE70D5" w:rsidRPr="00074FBC">
        <w:rPr>
          <w:lang w:val="en-US"/>
        </w:rPr>
        <w:t>Z</w:t>
      </w:r>
      <w:r w:rsidR="00AE70D5">
        <w:rPr>
          <w:lang w:val="en-US"/>
        </w:rPr>
        <w:t>alosh</w:t>
      </w:r>
      <w:proofErr w:type="spellEnd"/>
      <w:r w:rsidR="00AE70D5">
        <w:rPr>
          <w:lang w:val="en-US"/>
        </w:rPr>
        <w:t>, 2007</w:t>
      </w:r>
      <w:r w:rsidR="00AE70D5">
        <w:t>)</w:t>
      </w:r>
      <w:r w:rsidR="00A132BB">
        <w:t>.</w:t>
      </w:r>
    </w:p>
    <w:p w14:paraId="381C5276" w14:textId="3748026F" w:rsidR="00434BC0" w:rsidRDefault="00573B3C" w:rsidP="00586A1B">
      <w:pPr>
        <w:pStyle w:val="CETListbullets"/>
        <w:numPr>
          <w:ilvl w:val="0"/>
          <w:numId w:val="13"/>
        </w:numPr>
      </w:pPr>
      <w:r>
        <w:lastRenderedPageBreak/>
        <w:t>Fire tests conducted on different type</w:t>
      </w:r>
      <w:r w:rsidR="00A132BB">
        <w:t>s</w:t>
      </w:r>
      <w:r>
        <w:t xml:space="preserve"> of high-pressure hydrogen vessels (type III and IV)</w:t>
      </w:r>
      <w:r w:rsidR="00A132BB">
        <w:t xml:space="preserve">, </w:t>
      </w:r>
      <w:r>
        <w:t>hereafter Tamura</w:t>
      </w:r>
      <w:r w:rsidR="004360F2">
        <w:t>-1</w:t>
      </w:r>
      <w:r>
        <w:t xml:space="preserve"> </w:t>
      </w:r>
      <w:r w:rsidR="004360F2">
        <w:t>test,</w:t>
      </w:r>
      <w:r w:rsidR="00DD61E2">
        <w:t xml:space="preserve"> and Tamura</w:t>
      </w:r>
      <w:r w:rsidR="004360F2">
        <w:t>-2</w:t>
      </w:r>
      <w:r w:rsidR="00DD61E2">
        <w:t xml:space="preserve"> </w:t>
      </w:r>
      <w:r w:rsidR="00B85A40">
        <w:t xml:space="preserve">test </w:t>
      </w:r>
      <w:r w:rsidR="00074FBC">
        <w:t>(</w:t>
      </w:r>
      <w:proofErr w:type="spellStart"/>
      <w:r w:rsidR="00AE70D5">
        <w:t>Molkov</w:t>
      </w:r>
      <w:proofErr w:type="spellEnd"/>
      <w:r w:rsidR="00AE70D5">
        <w:t>, 2021)</w:t>
      </w:r>
      <w:r w:rsidR="00A132BB">
        <w:t>.</w:t>
      </w:r>
    </w:p>
    <w:p w14:paraId="1AED3853" w14:textId="65043CFB" w:rsidR="00600535" w:rsidRDefault="00573B3C" w:rsidP="00600535">
      <w:pPr>
        <w:pStyle w:val="CETListbullets"/>
        <w:numPr>
          <w:ilvl w:val="0"/>
          <w:numId w:val="13"/>
        </w:numPr>
      </w:pPr>
      <w:r>
        <w:t>Fireball generated by a cup head failure of a type III vessel</w:t>
      </w:r>
      <w:r w:rsidR="00A132BB">
        <w:t xml:space="preserve">, </w:t>
      </w:r>
      <w:r>
        <w:t>hereafter Shen tests</w:t>
      </w:r>
      <w:r w:rsidR="00B85A40">
        <w:t xml:space="preserve"> 2018</w:t>
      </w:r>
      <w:r w:rsidR="002B4CB8">
        <w:t xml:space="preserve"> (Shen, 2018)</w:t>
      </w:r>
      <w:r>
        <w:t xml:space="preserve"> </w:t>
      </w:r>
    </w:p>
    <w:p w14:paraId="7953A7A8" w14:textId="77777777" w:rsidR="002E360D" w:rsidRDefault="002E360D" w:rsidP="00B84978">
      <w:pPr>
        <w:pStyle w:val="CETListbullets"/>
        <w:ind w:left="0" w:firstLine="0"/>
      </w:pPr>
    </w:p>
    <w:p w14:paraId="365BCA4E" w14:textId="319444B2" w:rsidR="001B5E3C" w:rsidRDefault="00315300" w:rsidP="00866CD1">
      <w:pPr>
        <w:pStyle w:val="CETListbullets"/>
        <w:ind w:left="0" w:firstLine="0"/>
      </w:pPr>
      <w:r>
        <w:t>Table 1</w:t>
      </w:r>
      <w:r w:rsidR="00FC3C2B">
        <w:t xml:space="preserve"> summarizes the </w:t>
      </w:r>
      <w:r w:rsidR="00866CD1">
        <w:t>experiments and provides the available measures concerning fireball diameters and duration</w:t>
      </w:r>
      <w:r w:rsidR="00434BC0">
        <w:t>s</w:t>
      </w:r>
      <w:r w:rsidR="00866CD1">
        <w:t>:</w:t>
      </w:r>
    </w:p>
    <w:p w14:paraId="1AC76704" w14:textId="11013EFA" w:rsidR="00866CD1" w:rsidRPr="004360F2" w:rsidRDefault="00866CD1" w:rsidP="00D14439">
      <w:pPr>
        <w:pStyle w:val="CETTabletitle"/>
        <w:spacing w:before="0" w:after="0"/>
        <w:rPr>
          <w:lang w:val="en-US"/>
        </w:rPr>
      </w:pPr>
      <w:r w:rsidRPr="00B57B36">
        <w:t xml:space="preserve">Table 1: </w:t>
      </w:r>
      <w:r w:rsidR="00A51D69" w:rsidRPr="00B065BF">
        <w:rPr>
          <w:lang w:val="en-US"/>
        </w:rPr>
        <w:t>Experimental data</w:t>
      </w:r>
      <w:r w:rsidR="00A51D69">
        <w:rPr>
          <w:lang w:val="en-US"/>
        </w:rPr>
        <w:t xml:space="preserve"> for</w:t>
      </w:r>
      <w:r w:rsidR="00A51D69" w:rsidRPr="00B065BF">
        <w:rPr>
          <w:lang w:val="en-US"/>
        </w:rPr>
        <w:t xml:space="preserve"> hydrogen BLEVEs a</w:t>
      </w:r>
      <w:r w:rsidR="00A51D69">
        <w:rPr>
          <w:lang w:val="en-US"/>
        </w:rPr>
        <w:t>nd PVBs</w:t>
      </w:r>
      <w:r w:rsidR="00B82837">
        <w:rPr>
          <w:lang w:val="en-US"/>
        </w:rPr>
        <w:t xml:space="preserve"> (abbreviation: FB: fireball)</w:t>
      </w:r>
      <w:r w:rsidR="00713F16">
        <w:rPr>
          <w:lang w:val="en-US"/>
        </w:rPr>
        <w:t>.</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708"/>
        <w:gridCol w:w="851"/>
        <w:gridCol w:w="1701"/>
        <w:gridCol w:w="1843"/>
        <w:gridCol w:w="1417"/>
        <w:gridCol w:w="1276"/>
      </w:tblGrid>
      <w:tr w:rsidR="00C93189" w:rsidRPr="00B57B36" w14:paraId="4BD5358A" w14:textId="6B9E9854" w:rsidTr="00C93189">
        <w:tc>
          <w:tcPr>
            <w:tcW w:w="993" w:type="dxa"/>
            <w:tcBorders>
              <w:top w:val="single" w:sz="12" w:space="0" w:color="008000"/>
              <w:bottom w:val="single" w:sz="6" w:space="0" w:color="008000"/>
            </w:tcBorders>
            <w:shd w:val="clear" w:color="auto" w:fill="FFFFFF"/>
          </w:tcPr>
          <w:p w14:paraId="6EC7BCA6" w14:textId="07395DF2" w:rsidR="00FF4834" w:rsidRPr="00B57B36" w:rsidRDefault="00FF4834" w:rsidP="00053424">
            <w:pPr>
              <w:pStyle w:val="CETBodytext"/>
              <w:rPr>
                <w:lang w:val="en-GB"/>
              </w:rPr>
            </w:pPr>
            <w:r>
              <w:rPr>
                <w:lang w:val="en-GB"/>
              </w:rPr>
              <w:t>Test</w:t>
            </w:r>
            <w:r w:rsidRPr="00B57B36">
              <w:rPr>
                <w:lang w:val="en-GB"/>
              </w:rPr>
              <w:t xml:space="preserve"> </w:t>
            </w:r>
          </w:p>
        </w:tc>
        <w:tc>
          <w:tcPr>
            <w:tcW w:w="708" w:type="dxa"/>
            <w:tcBorders>
              <w:top w:val="single" w:sz="12" w:space="0" w:color="008000"/>
              <w:bottom w:val="single" w:sz="6" w:space="0" w:color="008000"/>
            </w:tcBorders>
            <w:shd w:val="clear" w:color="auto" w:fill="FFFFFF"/>
          </w:tcPr>
          <w:p w14:paraId="2277B2C0" w14:textId="15F6231D" w:rsidR="00FF4834" w:rsidRDefault="00FF4834" w:rsidP="00053424">
            <w:pPr>
              <w:pStyle w:val="CETBodytext"/>
              <w:rPr>
                <w:lang w:val="en-GB"/>
              </w:rPr>
            </w:pPr>
            <w:r>
              <w:rPr>
                <w:lang w:val="en-GB"/>
              </w:rPr>
              <w:t>Year</w:t>
            </w:r>
          </w:p>
        </w:tc>
        <w:tc>
          <w:tcPr>
            <w:tcW w:w="851" w:type="dxa"/>
            <w:tcBorders>
              <w:top w:val="single" w:sz="12" w:space="0" w:color="008000"/>
              <w:bottom w:val="single" w:sz="6" w:space="0" w:color="008000"/>
            </w:tcBorders>
            <w:shd w:val="clear" w:color="auto" w:fill="FFFFFF"/>
          </w:tcPr>
          <w:p w14:paraId="7F9D0EFB" w14:textId="3D709101" w:rsidR="00FF4834" w:rsidRPr="00B57B36" w:rsidRDefault="00FF4834" w:rsidP="00053424">
            <w:pPr>
              <w:pStyle w:val="CETBodytext"/>
              <w:rPr>
                <w:lang w:val="en-GB"/>
              </w:rPr>
            </w:pPr>
            <w:r>
              <w:rPr>
                <w:lang w:val="en-GB"/>
              </w:rPr>
              <w:t>Type [-]</w:t>
            </w:r>
          </w:p>
        </w:tc>
        <w:tc>
          <w:tcPr>
            <w:tcW w:w="1701" w:type="dxa"/>
            <w:tcBorders>
              <w:top w:val="single" w:sz="12" w:space="0" w:color="008000"/>
              <w:bottom w:val="single" w:sz="6" w:space="0" w:color="008000"/>
            </w:tcBorders>
            <w:shd w:val="clear" w:color="auto" w:fill="FFFFFF"/>
          </w:tcPr>
          <w:p w14:paraId="4754BBED" w14:textId="4619E311" w:rsidR="00FF4834" w:rsidRPr="00B57B36" w:rsidRDefault="00FF4834" w:rsidP="00AA2B95">
            <w:pPr>
              <w:pStyle w:val="CETBodytext"/>
              <w:jc w:val="left"/>
              <w:rPr>
                <w:lang w:val="en-GB"/>
              </w:rPr>
            </w:pPr>
            <w:r>
              <w:rPr>
                <w:lang w:val="en-GB"/>
              </w:rPr>
              <w:t xml:space="preserve"> Mass Content [kg]</w:t>
            </w:r>
          </w:p>
        </w:tc>
        <w:tc>
          <w:tcPr>
            <w:tcW w:w="1843" w:type="dxa"/>
            <w:tcBorders>
              <w:top w:val="single" w:sz="12" w:space="0" w:color="008000"/>
              <w:bottom w:val="single" w:sz="6" w:space="0" w:color="008000"/>
            </w:tcBorders>
            <w:shd w:val="clear" w:color="auto" w:fill="FFFFFF"/>
          </w:tcPr>
          <w:p w14:paraId="18BA5FF9" w14:textId="41226F18" w:rsidR="00FF4834" w:rsidRPr="00B57B36" w:rsidRDefault="00FF4834" w:rsidP="00ED0110">
            <w:pPr>
              <w:pStyle w:val="CETBodytext"/>
              <w:ind w:right="-1"/>
              <w:jc w:val="left"/>
              <w:rPr>
                <w:rFonts w:cs="Arial"/>
                <w:szCs w:val="18"/>
                <w:lang w:val="en-GB"/>
              </w:rPr>
            </w:pPr>
            <w:r>
              <w:rPr>
                <w:rFonts w:cs="Arial"/>
                <w:szCs w:val="18"/>
                <w:lang w:val="en-GB"/>
              </w:rPr>
              <w:t>Pressure Burst [MPa]</w:t>
            </w:r>
          </w:p>
        </w:tc>
        <w:tc>
          <w:tcPr>
            <w:tcW w:w="1417" w:type="dxa"/>
            <w:tcBorders>
              <w:top w:val="single" w:sz="12" w:space="0" w:color="008000"/>
              <w:bottom w:val="single" w:sz="6" w:space="0" w:color="008000"/>
            </w:tcBorders>
            <w:shd w:val="clear" w:color="auto" w:fill="FFFFFF"/>
          </w:tcPr>
          <w:p w14:paraId="41008403" w14:textId="7270E574" w:rsidR="00FF4834" w:rsidRPr="00B57B36" w:rsidRDefault="00FF4834" w:rsidP="00866CD1">
            <w:pPr>
              <w:pStyle w:val="CETBodytext"/>
              <w:ind w:right="-1"/>
              <w:jc w:val="left"/>
              <w:rPr>
                <w:rFonts w:cs="Arial"/>
                <w:szCs w:val="18"/>
                <w:lang w:val="en-GB"/>
              </w:rPr>
            </w:pPr>
            <w:r>
              <w:rPr>
                <w:rFonts w:cs="Arial"/>
                <w:szCs w:val="18"/>
                <w:lang w:val="en-GB"/>
              </w:rPr>
              <w:t>FB diameter [m]</w:t>
            </w:r>
          </w:p>
        </w:tc>
        <w:tc>
          <w:tcPr>
            <w:tcW w:w="1276" w:type="dxa"/>
            <w:tcBorders>
              <w:top w:val="single" w:sz="12" w:space="0" w:color="008000"/>
              <w:bottom w:val="single" w:sz="6" w:space="0" w:color="008000"/>
            </w:tcBorders>
            <w:shd w:val="clear" w:color="auto" w:fill="FFFFFF"/>
          </w:tcPr>
          <w:p w14:paraId="05FFB20B" w14:textId="5811029C" w:rsidR="00FF4834" w:rsidRDefault="00FF4834" w:rsidP="00866CD1">
            <w:pPr>
              <w:pStyle w:val="CETBodytext"/>
              <w:ind w:right="-1"/>
              <w:jc w:val="left"/>
              <w:rPr>
                <w:rFonts w:cs="Arial"/>
                <w:szCs w:val="18"/>
                <w:lang w:val="en-GB"/>
              </w:rPr>
            </w:pPr>
            <w:r>
              <w:rPr>
                <w:rFonts w:cs="Arial"/>
                <w:szCs w:val="18"/>
                <w:lang w:val="en-GB"/>
              </w:rPr>
              <w:t>FB duration [s]</w:t>
            </w:r>
          </w:p>
        </w:tc>
      </w:tr>
      <w:tr w:rsidR="00C93189" w:rsidRPr="00B57B36" w14:paraId="27BBA803" w14:textId="3C898532" w:rsidTr="00C93189">
        <w:tc>
          <w:tcPr>
            <w:tcW w:w="993" w:type="dxa"/>
            <w:shd w:val="clear" w:color="auto" w:fill="FFFFFF"/>
          </w:tcPr>
          <w:p w14:paraId="4D73CFCA" w14:textId="54FCF4DD" w:rsidR="00FF4834" w:rsidRPr="00B57B36" w:rsidRDefault="00FF4834" w:rsidP="00053424">
            <w:pPr>
              <w:pStyle w:val="CETBodytext"/>
              <w:rPr>
                <w:lang w:val="en-GB"/>
              </w:rPr>
            </w:pPr>
            <w:r>
              <w:rPr>
                <w:lang w:val="en-GB"/>
              </w:rPr>
              <w:t xml:space="preserve">BMW </w:t>
            </w:r>
          </w:p>
        </w:tc>
        <w:tc>
          <w:tcPr>
            <w:tcW w:w="708" w:type="dxa"/>
            <w:shd w:val="clear" w:color="auto" w:fill="FFFFFF"/>
          </w:tcPr>
          <w:p w14:paraId="5ED18A9C" w14:textId="1A8AC316" w:rsidR="00FF4834" w:rsidRDefault="00FF4834" w:rsidP="00053424">
            <w:pPr>
              <w:pStyle w:val="CETBodytext"/>
              <w:rPr>
                <w:lang w:val="en-GB"/>
              </w:rPr>
            </w:pPr>
            <w:r>
              <w:rPr>
                <w:lang w:val="en-GB"/>
              </w:rPr>
              <w:t>1996</w:t>
            </w:r>
          </w:p>
        </w:tc>
        <w:tc>
          <w:tcPr>
            <w:tcW w:w="851" w:type="dxa"/>
            <w:shd w:val="clear" w:color="auto" w:fill="FFFFFF"/>
          </w:tcPr>
          <w:p w14:paraId="6EF75E5C" w14:textId="65112BFE" w:rsidR="00FF4834" w:rsidRPr="00B57B36" w:rsidRDefault="00FF4834" w:rsidP="00053424">
            <w:pPr>
              <w:pStyle w:val="CETBodytext"/>
              <w:rPr>
                <w:lang w:val="en-GB"/>
              </w:rPr>
            </w:pPr>
            <w:r>
              <w:rPr>
                <w:lang w:val="en-GB"/>
              </w:rPr>
              <w:t>BLEVE</w:t>
            </w:r>
          </w:p>
        </w:tc>
        <w:tc>
          <w:tcPr>
            <w:tcW w:w="1701" w:type="dxa"/>
            <w:shd w:val="clear" w:color="auto" w:fill="FFFFFF"/>
          </w:tcPr>
          <w:p w14:paraId="22EBD16E" w14:textId="0675D6B5" w:rsidR="00FF4834" w:rsidRPr="00B57B36" w:rsidRDefault="00FF4834" w:rsidP="00053424">
            <w:pPr>
              <w:pStyle w:val="CETBodytext"/>
              <w:rPr>
                <w:lang w:val="en-GB"/>
              </w:rPr>
            </w:pPr>
            <w:r>
              <w:rPr>
                <w:lang w:val="en-GB"/>
              </w:rPr>
              <w:t xml:space="preserve">1.80 </w:t>
            </w:r>
            <w:r>
              <w:rPr>
                <w:rFonts w:cs="Arial"/>
                <w:lang w:val="en-GB"/>
              </w:rPr>
              <w:t>÷</w:t>
            </w:r>
            <w:r>
              <w:rPr>
                <w:lang w:val="en-GB"/>
              </w:rPr>
              <w:t xml:space="preserve"> 5.40</w:t>
            </w:r>
          </w:p>
        </w:tc>
        <w:tc>
          <w:tcPr>
            <w:tcW w:w="1843" w:type="dxa"/>
            <w:shd w:val="clear" w:color="auto" w:fill="FFFFFF"/>
          </w:tcPr>
          <w:p w14:paraId="4BCE32EA" w14:textId="1DBE51F8" w:rsidR="00FF4834" w:rsidRPr="00B57B36" w:rsidRDefault="00FF4834" w:rsidP="00053424">
            <w:pPr>
              <w:pStyle w:val="CETBodytext"/>
              <w:ind w:right="-1"/>
              <w:rPr>
                <w:rFonts w:cs="Arial"/>
                <w:szCs w:val="18"/>
                <w:lang w:val="en-GB"/>
              </w:rPr>
            </w:pPr>
            <w:r>
              <w:rPr>
                <w:rFonts w:cs="Arial"/>
                <w:szCs w:val="18"/>
                <w:lang w:val="en-GB"/>
              </w:rPr>
              <w:t>&lt; 1.29</w:t>
            </w:r>
          </w:p>
        </w:tc>
        <w:tc>
          <w:tcPr>
            <w:tcW w:w="1417" w:type="dxa"/>
            <w:shd w:val="clear" w:color="auto" w:fill="FFFFFF"/>
          </w:tcPr>
          <w:p w14:paraId="40841F90" w14:textId="7006A5C3" w:rsidR="00FF4834" w:rsidRPr="00B57B36" w:rsidRDefault="00FF4834" w:rsidP="00053424">
            <w:pPr>
              <w:pStyle w:val="CETBodytext"/>
              <w:ind w:right="-1"/>
              <w:rPr>
                <w:rFonts w:cs="Arial"/>
                <w:szCs w:val="18"/>
                <w:lang w:val="en-GB"/>
              </w:rPr>
            </w:pPr>
            <w:r>
              <w:rPr>
                <w:rFonts w:cs="Arial"/>
                <w:szCs w:val="18"/>
                <w:lang w:val="en-GB"/>
              </w:rPr>
              <w:t>20</w:t>
            </w:r>
          </w:p>
        </w:tc>
        <w:tc>
          <w:tcPr>
            <w:tcW w:w="1276" w:type="dxa"/>
            <w:shd w:val="clear" w:color="auto" w:fill="FFFFFF"/>
          </w:tcPr>
          <w:p w14:paraId="5C4D5864" w14:textId="3B6DC039" w:rsidR="00FF4834" w:rsidRPr="00B57B36" w:rsidRDefault="00FF4834" w:rsidP="00053424">
            <w:pPr>
              <w:pStyle w:val="CETBodytext"/>
              <w:ind w:right="-1"/>
              <w:rPr>
                <w:rFonts w:cs="Arial"/>
                <w:szCs w:val="18"/>
                <w:lang w:val="en-GB"/>
              </w:rPr>
            </w:pPr>
            <w:r>
              <w:rPr>
                <w:rFonts w:cs="Arial"/>
                <w:szCs w:val="18"/>
                <w:lang w:val="en-GB"/>
              </w:rPr>
              <w:t>4</w:t>
            </w:r>
            <w:r w:rsidR="00AE51C1">
              <w:rPr>
                <w:rFonts w:cs="Arial"/>
                <w:szCs w:val="18"/>
                <w:lang w:val="en-GB"/>
              </w:rPr>
              <w:t>.0</w:t>
            </w:r>
          </w:p>
        </w:tc>
      </w:tr>
      <w:tr w:rsidR="00C93189" w:rsidRPr="00B57B36" w14:paraId="5F0345FD" w14:textId="408BBE75" w:rsidTr="00C93189">
        <w:tc>
          <w:tcPr>
            <w:tcW w:w="993" w:type="dxa"/>
            <w:shd w:val="clear" w:color="auto" w:fill="FFFFFF"/>
          </w:tcPr>
          <w:p w14:paraId="6529469E" w14:textId="3AC73A66" w:rsidR="00FF4834" w:rsidRPr="00ED0110" w:rsidRDefault="00FF4834" w:rsidP="00053424">
            <w:pPr>
              <w:pStyle w:val="CETBodytext"/>
              <w:ind w:right="-1"/>
              <w:rPr>
                <w:rFonts w:cs="Arial"/>
                <w:szCs w:val="18"/>
                <w:lang w:val="en-GB"/>
              </w:rPr>
            </w:pPr>
            <w:r>
              <w:rPr>
                <w:rFonts w:cs="Arial"/>
                <w:szCs w:val="18"/>
                <w:lang w:val="en-GB"/>
              </w:rPr>
              <w:t>SH</w:t>
            </w:r>
            <w:r>
              <w:rPr>
                <w:rFonts w:cs="Arial"/>
                <w:szCs w:val="18"/>
                <w:vertAlign w:val="subscript"/>
                <w:lang w:val="en-GB"/>
              </w:rPr>
              <w:t>2</w:t>
            </w:r>
            <w:r>
              <w:rPr>
                <w:rFonts w:cs="Arial"/>
                <w:szCs w:val="18"/>
                <w:lang w:val="en-GB"/>
              </w:rPr>
              <w:t>IFT</w:t>
            </w:r>
          </w:p>
        </w:tc>
        <w:tc>
          <w:tcPr>
            <w:tcW w:w="708" w:type="dxa"/>
            <w:shd w:val="clear" w:color="auto" w:fill="FFFFFF"/>
          </w:tcPr>
          <w:p w14:paraId="75B6E374" w14:textId="39D4D06D" w:rsidR="00FF4834" w:rsidRDefault="00FF4834" w:rsidP="00053424">
            <w:pPr>
              <w:pStyle w:val="CETBodytext"/>
              <w:ind w:right="-1"/>
              <w:rPr>
                <w:rFonts w:cs="Arial"/>
                <w:szCs w:val="18"/>
                <w:lang w:val="en-GB"/>
              </w:rPr>
            </w:pPr>
            <w:r>
              <w:rPr>
                <w:rFonts w:cs="Arial"/>
                <w:szCs w:val="18"/>
                <w:lang w:val="en-GB"/>
              </w:rPr>
              <w:t>2021</w:t>
            </w:r>
          </w:p>
        </w:tc>
        <w:tc>
          <w:tcPr>
            <w:tcW w:w="851" w:type="dxa"/>
            <w:shd w:val="clear" w:color="auto" w:fill="FFFFFF"/>
          </w:tcPr>
          <w:p w14:paraId="7B86F8D5" w14:textId="27BF6C9F" w:rsidR="00FF4834" w:rsidRPr="00B57B36" w:rsidRDefault="00FF4834" w:rsidP="00053424">
            <w:pPr>
              <w:pStyle w:val="CETBodytext"/>
              <w:ind w:right="-1"/>
              <w:rPr>
                <w:rFonts w:cs="Arial"/>
                <w:szCs w:val="18"/>
                <w:lang w:val="en-GB"/>
              </w:rPr>
            </w:pPr>
            <w:r>
              <w:rPr>
                <w:rFonts w:cs="Arial"/>
                <w:szCs w:val="18"/>
                <w:lang w:val="en-GB"/>
              </w:rPr>
              <w:t>BLEVE</w:t>
            </w:r>
          </w:p>
        </w:tc>
        <w:tc>
          <w:tcPr>
            <w:tcW w:w="1701" w:type="dxa"/>
            <w:shd w:val="clear" w:color="auto" w:fill="FFFFFF"/>
          </w:tcPr>
          <w:p w14:paraId="0404F0A1" w14:textId="2A3B4B8B" w:rsidR="00FF4834" w:rsidRPr="00B57B36" w:rsidRDefault="00FF4834" w:rsidP="00053424">
            <w:pPr>
              <w:pStyle w:val="CETBodytext"/>
              <w:ind w:right="-1"/>
              <w:rPr>
                <w:rFonts w:cs="Arial"/>
                <w:szCs w:val="18"/>
                <w:lang w:val="en-GB"/>
              </w:rPr>
            </w:pPr>
            <w:r>
              <w:rPr>
                <w:rFonts w:cs="Arial"/>
                <w:szCs w:val="18"/>
                <w:lang w:val="en-GB"/>
              </w:rPr>
              <w:t>27.0</w:t>
            </w:r>
            <w:r w:rsidR="009D1588">
              <w:rPr>
                <w:rFonts w:cs="Arial"/>
                <w:szCs w:val="18"/>
                <w:lang w:val="en-GB"/>
              </w:rPr>
              <w:t>0</w:t>
            </w:r>
          </w:p>
        </w:tc>
        <w:tc>
          <w:tcPr>
            <w:tcW w:w="1843" w:type="dxa"/>
            <w:shd w:val="clear" w:color="auto" w:fill="FFFFFF"/>
          </w:tcPr>
          <w:p w14:paraId="4C8FFDAB" w14:textId="6E36BA09" w:rsidR="00FF4834" w:rsidRPr="00B57B36" w:rsidRDefault="00FF4834" w:rsidP="00053424">
            <w:pPr>
              <w:pStyle w:val="CETBodytext"/>
              <w:ind w:right="-1"/>
              <w:rPr>
                <w:rFonts w:cs="Arial"/>
                <w:szCs w:val="18"/>
                <w:lang w:val="en-GB"/>
              </w:rPr>
            </w:pPr>
            <w:r>
              <w:rPr>
                <w:rFonts w:cs="Arial"/>
                <w:szCs w:val="18"/>
                <w:lang w:val="en-GB"/>
              </w:rPr>
              <w:t>5.00</w:t>
            </w:r>
          </w:p>
        </w:tc>
        <w:tc>
          <w:tcPr>
            <w:tcW w:w="1417" w:type="dxa"/>
            <w:shd w:val="clear" w:color="auto" w:fill="FFFFFF"/>
          </w:tcPr>
          <w:p w14:paraId="4B037744" w14:textId="02E503B4" w:rsidR="00FF4834" w:rsidRPr="00B57B36" w:rsidRDefault="00FF4834" w:rsidP="00053424">
            <w:pPr>
              <w:pStyle w:val="CETBodytext"/>
              <w:ind w:right="-1"/>
              <w:rPr>
                <w:rFonts w:cs="Arial"/>
                <w:szCs w:val="18"/>
                <w:lang w:val="en-GB"/>
              </w:rPr>
            </w:pPr>
            <w:r>
              <w:rPr>
                <w:rFonts w:cs="Arial"/>
                <w:szCs w:val="18"/>
                <w:lang w:val="en-GB"/>
              </w:rPr>
              <w:t>26</w:t>
            </w:r>
          </w:p>
        </w:tc>
        <w:tc>
          <w:tcPr>
            <w:tcW w:w="1276" w:type="dxa"/>
            <w:shd w:val="clear" w:color="auto" w:fill="FFFFFF"/>
          </w:tcPr>
          <w:p w14:paraId="557D018D" w14:textId="38851F64" w:rsidR="00FF4834" w:rsidRPr="00B57B36" w:rsidRDefault="00FF4834" w:rsidP="00053424">
            <w:pPr>
              <w:pStyle w:val="CETBodytext"/>
              <w:ind w:right="-1"/>
              <w:rPr>
                <w:rFonts w:cs="Arial"/>
                <w:szCs w:val="18"/>
                <w:lang w:val="en-GB"/>
              </w:rPr>
            </w:pPr>
            <w:r>
              <w:rPr>
                <w:rFonts w:cs="Arial"/>
                <w:szCs w:val="18"/>
                <w:lang w:val="en-GB"/>
              </w:rPr>
              <w:t>5</w:t>
            </w:r>
            <w:r w:rsidR="00AE51C1">
              <w:rPr>
                <w:rFonts w:cs="Arial"/>
                <w:szCs w:val="18"/>
                <w:lang w:val="en-GB"/>
              </w:rPr>
              <w:t>.0</w:t>
            </w:r>
          </w:p>
        </w:tc>
      </w:tr>
      <w:tr w:rsidR="00C93189" w:rsidRPr="00ED0110" w14:paraId="734FB8DD" w14:textId="13A7F565" w:rsidTr="00C93189">
        <w:tc>
          <w:tcPr>
            <w:tcW w:w="993" w:type="dxa"/>
            <w:shd w:val="clear" w:color="auto" w:fill="FFFFFF"/>
          </w:tcPr>
          <w:p w14:paraId="538F8DA7" w14:textId="5CC85CA8" w:rsidR="00FF4834" w:rsidRPr="00ED0110" w:rsidRDefault="00FF4834" w:rsidP="00053424">
            <w:pPr>
              <w:pStyle w:val="CETBodytext"/>
              <w:ind w:right="-1"/>
              <w:rPr>
                <w:rFonts w:cs="Arial"/>
                <w:szCs w:val="18"/>
                <w:lang w:val="es-ES"/>
              </w:rPr>
            </w:pPr>
            <w:r w:rsidRPr="00ED0110">
              <w:rPr>
                <w:rFonts w:cs="Arial"/>
                <w:szCs w:val="18"/>
                <w:lang w:val="es-ES"/>
              </w:rPr>
              <w:t>Zalosh</w:t>
            </w:r>
            <w:r w:rsidR="0014503F">
              <w:rPr>
                <w:rFonts w:cs="Arial"/>
                <w:szCs w:val="18"/>
                <w:lang w:val="es-ES"/>
              </w:rPr>
              <w:t>-1</w:t>
            </w:r>
          </w:p>
        </w:tc>
        <w:tc>
          <w:tcPr>
            <w:tcW w:w="708" w:type="dxa"/>
            <w:shd w:val="clear" w:color="auto" w:fill="FFFFFF"/>
          </w:tcPr>
          <w:p w14:paraId="4640BDC1" w14:textId="275E56C3" w:rsidR="00FF4834" w:rsidRDefault="00FF4834" w:rsidP="00053424">
            <w:pPr>
              <w:pStyle w:val="CETBodytext"/>
              <w:ind w:right="-1"/>
              <w:rPr>
                <w:rFonts w:cs="Arial"/>
                <w:szCs w:val="18"/>
                <w:lang w:val="es-ES"/>
              </w:rPr>
            </w:pPr>
            <w:r>
              <w:rPr>
                <w:rFonts w:cs="Arial"/>
                <w:szCs w:val="18"/>
                <w:lang w:val="es-ES"/>
              </w:rPr>
              <w:t>2005</w:t>
            </w:r>
          </w:p>
        </w:tc>
        <w:tc>
          <w:tcPr>
            <w:tcW w:w="851" w:type="dxa"/>
            <w:shd w:val="clear" w:color="auto" w:fill="FFFFFF"/>
          </w:tcPr>
          <w:p w14:paraId="453A177C" w14:textId="0440D53A" w:rsidR="00FF4834" w:rsidRPr="00ED0110" w:rsidRDefault="00FF4834" w:rsidP="00053424">
            <w:pPr>
              <w:pStyle w:val="CETBodytext"/>
              <w:ind w:right="-1"/>
              <w:rPr>
                <w:rFonts w:cs="Arial"/>
                <w:szCs w:val="18"/>
                <w:lang w:val="es-ES"/>
              </w:rPr>
            </w:pPr>
            <w:r>
              <w:rPr>
                <w:rFonts w:cs="Arial"/>
                <w:szCs w:val="18"/>
                <w:lang w:val="es-ES"/>
              </w:rPr>
              <w:t>PVB</w:t>
            </w:r>
          </w:p>
        </w:tc>
        <w:tc>
          <w:tcPr>
            <w:tcW w:w="1701" w:type="dxa"/>
            <w:shd w:val="clear" w:color="auto" w:fill="FFFFFF"/>
          </w:tcPr>
          <w:p w14:paraId="60A3C563" w14:textId="44516FAC" w:rsidR="00FF4834" w:rsidRPr="00ED0110" w:rsidRDefault="00FF4834" w:rsidP="00053424">
            <w:pPr>
              <w:pStyle w:val="CETBodytext"/>
              <w:ind w:right="-1"/>
              <w:rPr>
                <w:rFonts w:cs="Arial"/>
                <w:szCs w:val="18"/>
                <w:lang w:val="es-ES"/>
              </w:rPr>
            </w:pPr>
            <w:r>
              <w:rPr>
                <w:rFonts w:cs="Arial"/>
                <w:szCs w:val="18"/>
                <w:lang w:val="es-ES"/>
              </w:rPr>
              <w:t>1.64</w:t>
            </w:r>
          </w:p>
        </w:tc>
        <w:tc>
          <w:tcPr>
            <w:tcW w:w="1843" w:type="dxa"/>
            <w:shd w:val="clear" w:color="auto" w:fill="FFFFFF"/>
          </w:tcPr>
          <w:p w14:paraId="05D862E6" w14:textId="322A03BF" w:rsidR="00FF4834" w:rsidRPr="00ED0110" w:rsidRDefault="00FF4834" w:rsidP="00053424">
            <w:pPr>
              <w:pStyle w:val="CETBodytext"/>
              <w:ind w:right="-1"/>
              <w:rPr>
                <w:rFonts w:cs="Arial"/>
                <w:szCs w:val="18"/>
                <w:lang w:val="es-ES"/>
              </w:rPr>
            </w:pPr>
            <w:r>
              <w:rPr>
                <w:rFonts w:cs="Arial"/>
                <w:szCs w:val="18"/>
                <w:lang w:val="es-ES"/>
              </w:rPr>
              <w:t>35.7</w:t>
            </w:r>
            <w:r w:rsidR="009D1588">
              <w:rPr>
                <w:rFonts w:cs="Arial"/>
                <w:szCs w:val="18"/>
                <w:lang w:val="es-ES"/>
              </w:rPr>
              <w:t>0</w:t>
            </w:r>
          </w:p>
        </w:tc>
        <w:tc>
          <w:tcPr>
            <w:tcW w:w="1417" w:type="dxa"/>
            <w:shd w:val="clear" w:color="auto" w:fill="FFFFFF"/>
          </w:tcPr>
          <w:p w14:paraId="5956D5AA" w14:textId="47104238" w:rsidR="00FF4834" w:rsidRPr="00ED0110" w:rsidRDefault="00FF4834" w:rsidP="00053424">
            <w:pPr>
              <w:pStyle w:val="CETBodytext"/>
              <w:ind w:right="-1"/>
              <w:rPr>
                <w:rFonts w:cs="Arial"/>
                <w:szCs w:val="18"/>
                <w:lang w:val="es-ES"/>
              </w:rPr>
            </w:pPr>
            <w:r>
              <w:rPr>
                <w:rFonts w:cs="Arial"/>
                <w:szCs w:val="18"/>
                <w:lang w:val="es-ES"/>
              </w:rPr>
              <w:t>8</w:t>
            </w:r>
          </w:p>
        </w:tc>
        <w:tc>
          <w:tcPr>
            <w:tcW w:w="1276" w:type="dxa"/>
            <w:shd w:val="clear" w:color="auto" w:fill="FFFFFF"/>
          </w:tcPr>
          <w:p w14:paraId="2D82E1D5" w14:textId="699023F9" w:rsidR="00FF4834" w:rsidRPr="00ED0110" w:rsidRDefault="00FF4834" w:rsidP="00053424">
            <w:pPr>
              <w:pStyle w:val="CETBodytext"/>
              <w:ind w:right="-1"/>
              <w:rPr>
                <w:rFonts w:cs="Arial"/>
                <w:szCs w:val="18"/>
                <w:lang w:val="es-ES"/>
              </w:rPr>
            </w:pPr>
            <w:r>
              <w:rPr>
                <w:rFonts w:cs="Arial"/>
                <w:szCs w:val="18"/>
                <w:lang w:val="es-ES"/>
              </w:rPr>
              <w:t>2</w:t>
            </w:r>
            <w:r w:rsidR="00AE51C1">
              <w:rPr>
                <w:rFonts w:cs="Arial"/>
                <w:szCs w:val="18"/>
                <w:lang w:val="es-ES"/>
              </w:rPr>
              <w:t>.0</w:t>
            </w:r>
          </w:p>
        </w:tc>
      </w:tr>
      <w:tr w:rsidR="00C93189" w:rsidRPr="00ED0110" w14:paraId="335D5E7F" w14:textId="77777777" w:rsidTr="00C93189">
        <w:tc>
          <w:tcPr>
            <w:tcW w:w="993" w:type="dxa"/>
            <w:shd w:val="clear" w:color="auto" w:fill="FFFFFF"/>
          </w:tcPr>
          <w:p w14:paraId="1D38764E" w14:textId="75F2DA6E" w:rsidR="00FF4834" w:rsidRPr="00ED0110" w:rsidRDefault="00FF4834" w:rsidP="00053424">
            <w:pPr>
              <w:pStyle w:val="CETBodytext"/>
              <w:ind w:right="-1"/>
              <w:rPr>
                <w:rFonts w:cs="Arial"/>
                <w:szCs w:val="18"/>
                <w:lang w:val="es-ES"/>
              </w:rPr>
            </w:pPr>
            <w:r>
              <w:rPr>
                <w:rFonts w:cs="Arial"/>
                <w:szCs w:val="18"/>
                <w:lang w:val="es-ES"/>
              </w:rPr>
              <w:t>Zalosh</w:t>
            </w:r>
            <w:r w:rsidR="006679DD">
              <w:rPr>
                <w:rFonts w:cs="Arial"/>
                <w:szCs w:val="18"/>
                <w:lang w:val="es-ES"/>
              </w:rPr>
              <w:t>-2</w:t>
            </w:r>
          </w:p>
        </w:tc>
        <w:tc>
          <w:tcPr>
            <w:tcW w:w="708" w:type="dxa"/>
            <w:shd w:val="clear" w:color="auto" w:fill="FFFFFF"/>
          </w:tcPr>
          <w:p w14:paraId="2360FF2B" w14:textId="6BFA1407" w:rsidR="00FF4834" w:rsidRDefault="00FF4834" w:rsidP="00053424">
            <w:pPr>
              <w:pStyle w:val="CETBodytext"/>
              <w:ind w:right="-1"/>
              <w:rPr>
                <w:rFonts w:cs="Arial"/>
                <w:szCs w:val="18"/>
                <w:lang w:val="es-ES"/>
              </w:rPr>
            </w:pPr>
            <w:r>
              <w:rPr>
                <w:rFonts w:cs="Arial"/>
                <w:szCs w:val="18"/>
                <w:lang w:val="es-ES"/>
              </w:rPr>
              <w:t>2007</w:t>
            </w:r>
          </w:p>
        </w:tc>
        <w:tc>
          <w:tcPr>
            <w:tcW w:w="851" w:type="dxa"/>
            <w:shd w:val="clear" w:color="auto" w:fill="FFFFFF"/>
          </w:tcPr>
          <w:p w14:paraId="1A1F62B5" w14:textId="3CBC6AFB" w:rsidR="00FF4834" w:rsidRDefault="00FF4834" w:rsidP="00053424">
            <w:pPr>
              <w:pStyle w:val="CETBodytext"/>
              <w:ind w:right="-1"/>
              <w:rPr>
                <w:rFonts w:cs="Arial"/>
                <w:szCs w:val="18"/>
                <w:lang w:val="es-ES"/>
              </w:rPr>
            </w:pPr>
            <w:r>
              <w:rPr>
                <w:rFonts w:cs="Arial"/>
                <w:szCs w:val="18"/>
                <w:lang w:val="es-ES"/>
              </w:rPr>
              <w:t>PVB</w:t>
            </w:r>
          </w:p>
        </w:tc>
        <w:tc>
          <w:tcPr>
            <w:tcW w:w="1701" w:type="dxa"/>
            <w:shd w:val="clear" w:color="auto" w:fill="FFFFFF"/>
          </w:tcPr>
          <w:p w14:paraId="411A8176" w14:textId="0636335B" w:rsidR="00FF4834" w:rsidRDefault="00FF4834" w:rsidP="00053424">
            <w:pPr>
              <w:pStyle w:val="CETBodytext"/>
              <w:ind w:right="-1"/>
              <w:rPr>
                <w:rFonts w:cs="Arial"/>
                <w:szCs w:val="18"/>
                <w:lang w:val="es-ES"/>
              </w:rPr>
            </w:pPr>
            <w:r>
              <w:rPr>
                <w:rFonts w:cs="Arial"/>
                <w:szCs w:val="18"/>
                <w:lang w:val="es-ES"/>
              </w:rPr>
              <w:t>1.87</w:t>
            </w:r>
          </w:p>
        </w:tc>
        <w:tc>
          <w:tcPr>
            <w:tcW w:w="1843" w:type="dxa"/>
            <w:shd w:val="clear" w:color="auto" w:fill="FFFFFF"/>
          </w:tcPr>
          <w:p w14:paraId="30E55F30" w14:textId="3365E7AA" w:rsidR="00FF4834" w:rsidRDefault="00FF4834" w:rsidP="00053424">
            <w:pPr>
              <w:pStyle w:val="CETBodytext"/>
              <w:ind w:right="-1"/>
              <w:rPr>
                <w:rFonts w:cs="Arial"/>
                <w:szCs w:val="18"/>
                <w:lang w:val="es-ES"/>
              </w:rPr>
            </w:pPr>
            <w:r>
              <w:rPr>
                <w:rFonts w:cs="Arial"/>
                <w:szCs w:val="18"/>
                <w:lang w:val="es-ES"/>
              </w:rPr>
              <w:t>34.5</w:t>
            </w:r>
            <w:r w:rsidR="009D1588">
              <w:rPr>
                <w:rFonts w:cs="Arial"/>
                <w:szCs w:val="18"/>
                <w:lang w:val="es-ES"/>
              </w:rPr>
              <w:t>0</w:t>
            </w:r>
          </w:p>
        </w:tc>
        <w:tc>
          <w:tcPr>
            <w:tcW w:w="1417" w:type="dxa"/>
            <w:shd w:val="clear" w:color="auto" w:fill="FFFFFF"/>
          </w:tcPr>
          <w:p w14:paraId="6A818DAD" w14:textId="21554D94" w:rsidR="00FF4834" w:rsidRDefault="00FF4834" w:rsidP="00053424">
            <w:pPr>
              <w:pStyle w:val="CETBodytext"/>
              <w:ind w:right="-1"/>
              <w:rPr>
                <w:rFonts w:cs="Arial"/>
                <w:szCs w:val="18"/>
                <w:lang w:val="es-ES"/>
              </w:rPr>
            </w:pPr>
            <w:r>
              <w:rPr>
                <w:rFonts w:cs="Arial"/>
                <w:szCs w:val="18"/>
                <w:lang w:val="es-ES"/>
              </w:rPr>
              <w:t>24</w:t>
            </w:r>
          </w:p>
        </w:tc>
        <w:tc>
          <w:tcPr>
            <w:tcW w:w="1276" w:type="dxa"/>
            <w:shd w:val="clear" w:color="auto" w:fill="FFFFFF"/>
          </w:tcPr>
          <w:p w14:paraId="07250C81" w14:textId="1A42C2B1" w:rsidR="00FF4834" w:rsidRDefault="00FF4834" w:rsidP="00053424">
            <w:pPr>
              <w:pStyle w:val="CETBodytext"/>
              <w:ind w:right="-1"/>
              <w:rPr>
                <w:rFonts w:cs="Arial"/>
                <w:szCs w:val="18"/>
                <w:lang w:val="es-ES"/>
              </w:rPr>
            </w:pPr>
            <w:r>
              <w:rPr>
                <w:rFonts w:cs="Arial"/>
                <w:szCs w:val="18"/>
                <w:lang w:val="es-ES"/>
              </w:rPr>
              <w:t>2</w:t>
            </w:r>
            <w:r w:rsidR="00AE51C1">
              <w:rPr>
                <w:rFonts w:cs="Arial"/>
                <w:szCs w:val="18"/>
                <w:lang w:val="es-ES"/>
              </w:rPr>
              <w:t>.0</w:t>
            </w:r>
          </w:p>
        </w:tc>
      </w:tr>
      <w:tr w:rsidR="00C93189" w:rsidRPr="00ED0110" w14:paraId="107D43D7" w14:textId="77777777" w:rsidTr="00C93189">
        <w:tc>
          <w:tcPr>
            <w:tcW w:w="993" w:type="dxa"/>
            <w:shd w:val="clear" w:color="auto" w:fill="FFFFFF"/>
          </w:tcPr>
          <w:p w14:paraId="554AA417" w14:textId="463151C4" w:rsidR="00FF4834" w:rsidRPr="00ED0110" w:rsidRDefault="00FF4834" w:rsidP="00053424">
            <w:pPr>
              <w:pStyle w:val="CETBodytext"/>
              <w:ind w:right="-1"/>
              <w:rPr>
                <w:rFonts w:cs="Arial"/>
                <w:szCs w:val="18"/>
                <w:lang w:val="es-ES"/>
              </w:rPr>
            </w:pPr>
            <w:r w:rsidRPr="00ED0110">
              <w:rPr>
                <w:rFonts w:cs="Arial"/>
                <w:szCs w:val="18"/>
                <w:lang w:val="es-ES"/>
              </w:rPr>
              <w:t>Tamura</w:t>
            </w:r>
            <w:r>
              <w:rPr>
                <w:rFonts w:cs="Arial"/>
                <w:szCs w:val="18"/>
                <w:lang w:val="es-ES"/>
              </w:rPr>
              <w:t>-</w:t>
            </w:r>
            <w:r w:rsidR="00F41681">
              <w:rPr>
                <w:rFonts w:cs="Arial"/>
                <w:szCs w:val="18"/>
                <w:lang w:val="es-ES"/>
              </w:rPr>
              <w:t>1</w:t>
            </w:r>
          </w:p>
        </w:tc>
        <w:tc>
          <w:tcPr>
            <w:tcW w:w="708" w:type="dxa"/>
            <w:shd w:val="clear" w:color="auto" w:fill="FFFFFF"/>
          </w:tcPr>
          <w:p w14:paraId="70D96B9E" w14:textId="63765A8F" w:rsidR="00FF4834" w:rsidRDefault="00FF4834" w:rsidP="00053424">
            <w:pPr>
              <w:pStyle w:val="CETBodytext"/>
              <w:ind w:right="-1"/>
              <w:rPr>
                <w:rFonts w:cs="Arial"/>
                <w:szCs w:val="18"/>
                <w:lang w:val="es-ES"/>
              </w:rPr>
            </w:pPr>
            <w:r>
              <w:rPr>
                <w:rFonts w:cs="Arial"/>
                <w:szCs w:val="18"/>
                <w:lang w:val="es-ES"/>
              </w:rPr>
              <w:t>2006</w:t>
            </w:r>
          </w:p>
        </w:tc>
        <w:tc>
          <w:tcPr>
            <w:tcW w:w="851" w:type="dxa"/>
            <w:shd w:val="clear" w:color="auto" w:fill="FFFFFF"/>
          </w:tcPr>
          <w:p w14:paraId="2B85E55E" w14:textId="5B29E23F" w:rsidR="00FF4834" w:rsidRDefault="00FF4834" w:rsidP="00053424">
            <w:pPr>
              <w:pStyle w:val="CETBodytext"/>
              <w:ind w:right="-1"/>
              <w:rPr>
                <w:rFonts w:cs="Arial"/>
                <w:szCs w:val="18"/>
                <w:lang w:val="es-ES"/>
              </w:rPr>
            </w:pPr>
            <w:r>
              <w:rPr>
                <w:rFonts w:cs="Arial"/>
                <w:szCs w:val="18"/>
                <w:lang w:val="es-ES"/>
              </w:rPr>
              <w:t>PVB</w:t>
            </w:r>
          </w:p>
        </w:tc>
        <w:tc>
          <w:tcPr>
            <w:tcW w:w="1701" w:type="dxa"/>
            <w:shd w:val="clear" w:color="auto" w:fill="FFFFFF"/>
          </w:tcPr>
          <w:p w14:paraId="4ABD06E9" w14:textId="0F1F6859" w:rsidR="00FF4834" w:rsidRPr="00ED0110" w:rsidRDefault="00FF4834" w:rsidP="00053424">
            <w:pPr>
              <w:pStyle w:val="CETBodytext"/>
              <w:ind w:right="-1"/>
              <w:rPr>
                <w:rFonts w:cs="Arial"/>
                <w:szCs w:val="18"/>
                <w:lang w:val="es-ES"/>
              </w:rPr>
            </w:pPr>
            <w:r>
              <w:rPr>
                <w:rFonts w:cs="Arial"/>
                <w:szCs w:val="18"/>
                <w:lang w:val="es-ES"/>
              </w:rPr>
              <w:t>1.41</w:t>
            </w:r>
          </w:p>
        </w:tc>
        <w:tc>
          <w:tcPr>
            <w:tcW w:w="1843" w:type="dxa"/>
            <w:shd w:val="clear" w:color="auto" w:fill="FFFFFF"/>
          </w:tcPr>
          <w:p w14:paraId="50BF0896" w14:textId="3AEEC337" w:rsidR="00FF4834" w:rsidRPr="00ED0110" w:rsidRDefault="00FF4834" w:rsidP="00053424">
            <w:pPr>
              <w:pStyle w:val="CETBodytext"/>
              <w:ind w:right="-1"/>
              <w:rPr>
                <w:rFonts w:cs="Arial"/>
                <w:szCs w:val="18"/>
                <w:lang w:val="es-ES"/>
              </w:rPr>
            </w:pPr>
            <w:r>
              <w:rPr>
                <w:rFonts w:cs="Arial"/>
                <w:szCs w:val="18"/>
                <w:lang w:val="es-ES"/>
              </w:rPr>
              <w:t>99.5</w:t>
            </w:r>
            <w:r w:rsidR="009D1588">
              <w:rPr>
                <w:rFonts w:cs="Arial"/>
                <w:szCs w:val="18"/>
                <w:lang w:val="es-ES"/>
              </w:rPr>
              <w:t>0</w:t>
            </w:r>
          </w:p>
        </w:tc>
        <w:tc>
          <w:tcPr>
            <w:tcW w:w="1417" w:type="dxa"/>
            <w:shd w:val="clear" w:color="auto" w:fill="FFFFFF"/>
          </w:tcPr>
          <w:p w14:paraId="4BB94A91" w14:textId="4080E596" w:rsidR="00FF4834" w:rsidRPr="00ED0110" w:rsidRDefault="00FF4834" w:rsidP="00053424">
            <w:pPr>
              <w:pStyle w:val="CETBodytext"/>
              <w:ind w:right="-1"/>
              <w:rPr>
                <w:rFonts w:cs="Arial"/>
                <w:szCs w:val="18"/>
                <w:lang w:val="es-ES"/>
              </w:rPr>
            </w:pPr>
            <w:r>
              <w:rPr>
                <w:rFonts w:cs="Arial"/>
                <w:szCs w:val="18"/>
                <w:lang w:val="es-ES"/>
              </w:rPr>
              <w:t>18</w:t>
            </w:r>
          </w:p>
        </w:tc>
        <w:tc>
          <w:tcPr>
            <w:tcW w:w="1276" w:type="dxa"/>
            <w:shd w:val="clear" w:color="auto" w:fill="FFFFFF"/>
          </w:tcPr>
          <w:p w14:paraId="1E6E81FB" w14:textId="5E6EE2CF" w:rsidR="00FF4834" w:rsidRPr="00ED0110" w:rsidRDefault="00FF4834" w:rsidP="00053424">
            <w:pPr>
              <w:pStyle w:val="CETBodytext"/>
              <w:ind w:right="-1"/>
              <w:rPr>
                <w:rFonts w:cs="Arial"/>
                <w:szCs w:val="18"/>
                <w:lang w:val="es-ES"/>
              </w:rPr>
            </w:pPr>
            <w:r>
              <w:rPr>
                <w:rFonts w:cs="Arial"/>
                <w:szCs w:val="18"/>
                <w:lang w:val="es-ES"/>
              </w:rPr>
              <w:t>2</w:t>
            </w:r>
            <w:r w:rsidR="00AE51C1">
              <w:rPr>
                <w:rFonts w:cs="Arial"/>
                <w:szCs w:val="18"/>
                <w:lang w:val="es-ES"/>
              </w:rPr>
              <w:t>.0</w:t>
            </w:r>
          </w:p>
        </w:tc>
      </w:tr>
      <w:tr w:rsidR="00C93189" w:rsidRPr="00ED0110" w14:paraId="6545E55C" w14:textId="77777777" w:rsidTr="00C93189">
        <w:tc>
          <w:tcPr>
            <w:tcW w:w="993" w:type="dxa"/>
            <w:shd w:val="clear" w:color="auto" w:fill="FFFFFF"/>
          </w:tcPr>
          <w:p w14:paraId="3E4B08B6" w14:textId="35158680" w:rsidR="00FF4834" w:rsidRPr="00ED0110" w:rsidRDefault="00FF4834" w:rsidP="00053424">
            <w:pPr>
              <w:pStyle w:val="CETBodytext"/>
              <w:ind w:right="-1"/>
              <w:rPr>
                <w:rFonts w:cs="Arial"/>
                <w:szCs w:val="18"/>
                <w:lang w:val="es-ES"/>
              </w:rPr>
            </w:pPr>
            <w:r w:rsidRPr="00ED0110">
              <w:rPr>
                <w:rFonts w:cs="Arial"/>
                <w:szCs w:val="18"/>
                <w:lang w:val="es-ES"/>
              </w:rPr>
              <w:t>Tamura</w:t>
            </w:r>
            <w:r>
              <w:rPr>
                <w:rFonts w:cs="Arial"/>
                <w:szCs w:val="18"/>
                <w:lang w:val="es-ES"/>
              </w:rPr>
              <w:t>-</w:t>
            </w:r>
            <w:r w:rsidR="00F41681">
              <w:rPr>
                <w:rFonts w:cs="Arial"/>
                <w:szCs w:val="18"/>
                <w:lang w:val="es-ES"/>
              </w:rPr>
              <w:t>2</w:t>
            </w:r>
          </w:p>
        </w:tc>
        <w:tc>
          <w:tcPr>
            <w:tcW w:w="708" w:type="dxa"/>
            <w:shd w:val="clear" w:color="auto" w:fill="FFFFFF"/>
          </w:tcPr>
          <w:p w14:paraId="59F60301" w14:textId="3A46CA85" w:rsidR="00FF4834" w:rsidRDefault="00FF4834" w:rsidP="00053424">
            <w:pPr>
              <w:pStyle w:val="CETBodytext"/>
              <w:ind w:right="-1"/>
              <w:rPr>
                <w:rFonts w:cs="Arial"/>
                <w:szCs w:val="18"/>
                <w:lang w:val="es-ES"/>
              </w:rPr>
            </w:pPr>
            <w:r>
              <w:rPr>
                <w:rFonts w:cs="Arial"/>
                <w:szCs w:val="18"/>
                <w:lang w:val="es-ES"/>
              </w:rPr>
              <w:t>2006</w:t>
            </w:r>
          </w:p>
        </w:tc>
        <w:tc>
          <w:tcPr>
            <w:tcW w:w="851" w:type="dxa"/>
            <w:shd w:val="clear" w:color="auto" w:fill="FFFFFF"/>
          </w:tcPr>
          <w:p w14:paraId="5F99F380" w14:textId="60027958" w:rsidR="00FF4834" w:rsidRDefault="00FF4834" w:rsidP="00053424">
            <w:pPr>
              <w:pStyle w:val="CETBodytext"/>
              <w:ind w:right="-1"/>
              <w:rPr>
                <w:rFonts w:cs="Arial"/>
                <w:szCs w:val="18"/>
                <w:lang w:val="es-ES"/>
              </w:rPr>
            </w:pPr>
            <w:r>
              <w:rPr>
                <w:rFonts w:cs="Arial"/>
                <w:szCs w:val="18"/>
                <w:lang w:val="es-ES"/>
              </w:rPr>
              <w:t>PVB</w:t>
            </w:r>
          </w:p>
        </w:tc>
        <w:tc>
          <w:tcPr>
            <w:tcW w:w="1701" w:type="dxa"/>
            <w:shd w:val="clear" w:color="auto" w:fill="FFFFFF"/>
          </w:tcPr>
          <w:p w14:paraId="301F56FC" w14:textId="3C3D181C" w:rsidR="00FF4834" w:rsidRPr="00ED0110" w:rsidRDefault="00FF4834" w:rsidP="00053424">
            <w:pPr>
              <w:pStyle w:val="CETBodytext"/>
              <w:ind w:right="-1"/>
              <w:rPr>
                <w:rFonts w:cs="Arial"/>
                <w:szCs w:val="18"/>
                <w:lang w:val="es-ES"/>
              </w:rPr>
            </w:pPr>
            <w:r>
              <w:rPr>
                <w:rFonts w:cs="Arial"/>
                <w:szCs w:val="18"/>
                <w:lang w:val="es-ES"/>
              </w:rPr>
              <w:t>1.37</w:t>
            </w:r>
          </w:p>
        </w:tc>
        <w:tc>
          <w:tcPr>
            <w:tcW w:w="1843" w:type="dxa"/>
            <w:shd w:val="clear" w:color="auto" w:fill="FFFFFF"/>
          </w:tcPr>
          <w:p w14:paraId="3D58C116" w14:textId="1BEB3F8D" w:rsidR="00FF4834" w:rsidRPr="00ED0110" w:rsidRDefault="00FF4834" w:rsidP="00053424">
            <w:pPr>
              <w:pStyle w:val="CETBodytext"/>
              <w:ind w:right="-1"/>
              <w:rPr>
                <w:rFonts w:cs="Arial"/>
                <w:szCs w:val="18"/>
                <w:lang w:val="es-ES"/>
              </w:rPr>
            </w:pPr>
            <w:r>
              <w:rPr>
                <w:rFonts w:cs="Arial"/>
                <w:szCs w:val="18"/>
                <w:lang w:val="es-ES"/>
              </w:rPr>
              <w:t>94.5</w:t>
            </w:r>
            <w:r w:rsidR="009D1588">
              <w:rPr>
                <w:rFonts w:cs="Arial"/>
                <w:szCs w:val="18"/>
                <w:lang w:val="es-ES"/>
              </w:rPr>
              <w:t>0</w:t>
            </w:r>
          </w:p>
        </w:tc>
        <w:tc>
          <w:tcPr>
            <w:tcW w:w="1417" w:type="dxa"/>
            <w:shd w:val="clear" w:color="auto" w:fill="FFFFFF"/>
          </w:tcPr>
          <w:p w14:paraId="10F44409" w14:textId="60274E7A" w:rsidR="00FF4834" w:rsidRPr="00ED0110" w:rsidRDefault="00FF4834" w:rsidP="00053424">
            <w:pPr>
              <w:pStyle w:val="CETBodytext"/>
              <w:ind w:right="-1"/>
              <w:rPr>
                <w:rFonts w:cs="Arial"/>
                <w:szCs w:val="18"/>
                <w:lang w:val="es-ES"/>
              </w:rPr>
            </w:pPr>
            <w:r>
              <w:rPr>
                <w:rFonts w:cs="Arial"/>
                <w:szCs w:val="18"/>
                <w:lang w:val="es-ES"/>
              </w:rPr>
              <w:t>18</w:t>
            </w:r>
          </w:p>
        </w:tc>
        <w:tc>
          <w:tcPr>
            <w:tcW w:w="1276" w:type="dxa"/>
            <w:shd w:val="clear" w:color="auto" w:fill="FFFFFF"/>
          </w:tcPr>
          <w:p w14:paraId="05E2B4FC" w14:textId="0C9A3137" w:rsidR="00FF4834" w:rsidRPr="00ED0110" w:rsidRDefault="00FF4834" w:rsidP="00053424">
            <w:pPr>
              <w:pStyle w:val="CETBodytext"/>
              <w:ind w:right="-1"/>
              <w:rPr>
                <w:rFonts w:cs="Arial"/>
                <w:szCs w:val="18"/>
                <w:lang w:val="es-ES"/>
              </w:rPr>
            </w:pPr>
            <w:r>
              <w:rPr>
                <w:rFonts w:cs="Arial"/>
                <w:szCs w:val="18"/>
                <w:lang w:val="es-ES"/>
              </w:rPr>
              <w:t>2</w:t>
            </w:r>
            <w:r w:rsidR="00AE51C1">
              <w:rPr>
                <w:rFonts w:cs="Arial"/>
                <w:szCs w:val="18"/>
                <w:lang w:val="es-ES"/>
              </w:rPr>
              <w:t>.0</w:t>
            </w:r>
          </w:p>
        </w:tc>
      </w:tr>
      <w:tr w:rsidR="00C93189" w:rsidRPr="00ED0110" w14:paraId="1EE162F1" w14:textId="77777777" w:rsidTr="00C93189">
        <w:tc>
          <w:tcPr>
            <w:tcW w:w="993" w:type="dxa"/>
            <w:shd w:val="clear" w:color="auto" w:fill="FFFFFF"/>
          </w:tcPr>
          <w:p w14:paraId="7B75E76B" w14:textId="1E04C7A9" w:rsidR="00FF4834" w:rsidRPr="00ED0110" w:rsidRDefault="00FF4834" w:rsidP="00053424">
            <w:pPr>
              <w:pStyle w:val="CETBodytext"/>
              <w:ind w:right="-1"/>
              <w:rPr>
                <w:rFonts w:cs="Arial"/>
                <w:szCs w:val="18"/>
                <w:lang w:val="es-ES"/>
              </w:rPr>
            </w:pPr>
            <w:r w:rsidRPr="00ED0110">
              <w:rPr>
                <w:rFonts w:cs="Arial"/>
                <w:szCs w:val="18"/>
                <w:lang w:val="es-ES"/>
              </w:rPr>
              <w:t>S</w:t>
            </w:r>
            <w:r>
              <w:rPr>
                <w:rFonts w:cs="Arial"/>
                <w:szCs w:val="18"/>
                <w:lang w:val="es-ES"/>
              </w:rPr>
              <w:t>hen</w:t>
            </w:r>
          </w:p>
        </w:tc>
        <w:tc>
          <w:tcPr>
            <w:tcW w:w="708" w:type="dxa"/>
            <w:shd w:val="clear" w:color="auto" w:fill="FFFFFF"/>
          </w:tcPr>
          <w:p w14:paraId="5BF09A47" w14:textId="2BA93FBF" w:rsidR="00FF4834" w:rsidRDefault="00FF4834" w:rsidP="00053424">
            <w:pPr>
              <w:pStyle w:val="CETBodytext"/>
              <w:ind w:right="-1"/>
              <w:rPr>
                <w:rFonts w:cs="Arial"/>
                <w:szCs w:val="18"/>
                <w:lang w:val="es-ES"/>
              </w:rPr>
            </w:pPr>
            <w:r>
              <w:rPr>
                <w:rFonts w:cs="Arial"/>
                <w:szCs w:val="18"/>
                <w:lang w:val="es-ES"/>
              </w:rPr>
              <w:t>2018</w:t>
            </w:r>
          </w:p>
        </w:tc>
        <w:tc>
          <w:tcPr>
            <w:tcW w:w="851" w:type="dxa"/>
            <w:shd w:val="clear" w:color="auto" w:fill="FFFFFF"/>
          </w:tcPr>
          <w:p w14:paraId="753BFD10" w14:textId="4DDE15A1" w:rsidR="00FF4834" w:rsidRDefault="00FF4834" w:rsidP="00053424">
            <w:pPr>
              <w:pStyle w:val="CETBodytext"/>
              <w:ind w:right="-1"/>
              <w:rPr>
                <w:rFonts w:cs="Arial"/>
                <w:szCs w:val="18"/>
                <w:lang w:val="es-ES"/>
              </w:rPr>
            </w:pPr>
            <w:r>
              <w:rPr>
                <w:rFonts w:cs="Arial"/>
                <w:szCs w:val="18"/>
                <w:lang w:val="es-ES"/>
              </w:rPr>
              <w:t>PVB</w:t>
            </w:r>
          </w:p>
        </w:tc>
        <w:tc>
          <w:tcPr>
            <w:tcW w:w="1701" w:type="dxa"/>
            <w:shd w:val="clear" w:color="auto" w:fill="FFFFFF"/>
          </w:tcPr>
          <w:p w14:paraId="19683F22" w14:textId="1E21F981" w:rsidR="00FF4834" w:rsidRPr="00ED0110" w:rsidRDefault="00FF4834" w:rsidP="00053424">
            <w:pPr>
              <w:pStyle w:val="CETBodytext"/>
              <w:ind w:right="-1"/>
              <w:rPr>
                <w:rFonts w:cs="Arial"/>
                <w:szCs w:val="18"/>
                <w:lang w:val="es-ES"/>
              </w:rPr>
            </w:pPr>
            <w:r>
              <w:rPr>
                <w:rFonts w:cs="Arial"/>
                <w:szCs w:val="18"/>
                <w:lang w:val="es-ES"/>
              </w:rPr>
              <w:t>3.90</w:t>
            </w:r>
          </w:p>
        </w:tc>
        <w:tc>
          <w:tcPr>
            <w:tcW w:w="1843" w:type="dxa"/>
            <w:shd w:val="clear" w:color="auto" w:fill="FFFFFF"/>
          </w:tcPr>
          <w:p w14:paraId="4F4AB99E" w14:textId="009693D8" w:rsidR="00FF4834" w:rsidRPr="00ED0110" w:rsidRDefault="00FF4834" w:rsidP="00053424">
            <w:pPr>
              <w:pStyle w:val="CETBodytext"/>
              <w:ind w:right="-1"/>
              <w:rPr>
                <w:rFonts w:cs="Arial"/>
                <w:szCs w:val="18"/>
                <w:lang w:val="es-ES"/>
              </w:rPr>
            </w:pPr>
            <w:r>
              <w:rPr>
                <w:rFonts w:cs="Arial"/>
                <w:szCs w:val="18"/>
                <w:lang w:val="es-ES"/>
              </w:rPr>
              <w:t>43.7</w:t>
            </w:r>
            <w:r w:rsidR="009D1588">
              <w:rPr>
                <w:rFonts w:cs="Arial"/>
                <w:szCs w:val="18"/>
                <w:lang w:val="es-ES"/>
              </w:rPr>
              <w:t>0</w:t>
            </w:r>
          </w:p>
        </w:tc>
        <w:tc>
          <w:tcPr>
            <w:tcW w:w="1417" w:type="dxa"/>
            <w:shd w:val="clear" w:color="auto" w:fill="FFFFFF"/>
          </w:tcPr>
          <w:p w14:paraId="00BFBA12" w14:textId="210A7A04" w:rsidR="00FF4834" w:rsidRPr="00ED0110" w:rsidRDefault="00FF4834" w:rsidP="00053424">
            <w:pPr>
              <w:pStyle w:val="CETBodytext"/>
              <w:ind w:right="-1"/>
              <w:rPr>
                <w:rFonts w:cs="Arial"/>
                <w:szCs w:val="18"/>
                <w:lang w:val="es-ES"/>
              </w:rPr>
            </w:pPr>
            <w:r>
              <w:rPr>
                <w:rFonts w:cs="Arial"/>
                <w:szCs w:val="18"/>
                <w:lang w:val="es-ES"/>
              </w:rPr>
              <w:t>7 ÷ 8</w:t>
            </w:r>
          </w:p>
        </w:tc>
        <w:tc>
          <w:tcPr>
            <w:tcW w:w="1276" w:type="dxa"/>
            <w:shd w:val="clear" w:color="auto" w:fill="FFFFFF"/>
          </w:tcPr>
          <w:p w14:paraId="5651E595" w14:textId="4FB3ABA1" w:rsidR="00FF4834" w:rsidRPr="00ED0110" w:rsidRDefault="00FF4834" w:rsidP="00053424">
            <w:pPr>
              <w:pStyle w:val="CETBodytext"/>
              <w:ind w:right="-1"/>
              <w:rPr>
                <w:rFonts w:cs="Arial"/>
                <w:szCs w:val="18"/>
                <w:lang w:val="es-ES"/>
              </w:rPr>
            </w:pPr>
            <w:r>
              <w:rPr>
                <w:rFonts w:cs="Arial"/>
                <w:szCs w:val="18"/>
                <w:lang w:val="es-ES"/>
              </w:rPr>
              <w:t>1</w:t>
            </w:r>
            <w:r w:rsidR="00AE51C1">
              <w:rPr>
                <w:rFonts w:cs="Arial"/>
                <w:szCs w:val="18"/>
                <w:lang w:val="es-ES"/>
              </w:rPr>
              <w:t>.</w:t>
            </w:r>
            <w:r>
              <w:rPr>
                <w:rFonts w:cs="Arial"/>
                <w:szCs w:val="18"/>
                <w:lang w:val="es-ES"/>
              </w:rPr>
              <w:t>5</w:t>
            </w:r>
          </w:p>
        </w:tc>
      </w:tr>
    </w:tbl>
    <w:p w14:paraId="7BF90A1E" w14:textId="4AB140B6" w:rsidR="00866CD1" w:rsidRDefault="00866CD1" w:rsidP="00866CD1">
      <w:pPr>
        <w:pStyle w:val="CETListbullets"/>
        <w:ind w:left="0" w:firstLine="0"/>
        <w:rPr>
          <w:lang w:val="es-ES"/>
        </w:rPr>
      </w:pPr>
    </w:p>
    <w:p w14:paraId="0D0C728B" w14:textId="7E25FBE5" w:rsidR="008273E9" w:rsidRDefault="001A7CCD" w:rsidP="00D14439">
      <w:pPr>
        <w:pStyle w:val="CETListbullets"/>
        <w:ind w:left="0" w:firstLine="0"/>
        <w:rPr>
          <w:lang w:val="en-US"/>
        </w:rPr>
      </w:pPr>
      <w:r>
        <w:rPr>
          <w:lang w:val="en-US"/>
        </w:rPr>
        <w:t xml:space="preserve">It is </w:t>
      </w:r>
      <w:r w:rsidR="004360F2">
        <w:rPr>
          <w:lang w:val="en-US"/>
        </w:rPr>
        <w:t>worth noticing</w:t>
      </w:r>
      <w:r w:rsidRPr="008273E9">
        <w:rPr>
          <w:lang w:val="en-US"/>
        </w:rPr>
        <w:t xml:space="preserve"> </w:t>
      </w:r>
      <w:r w:rsidR="008273E9" w:rsidRPr="008273E9">
        <w:rPr>
          <w:lang w:val="en-US"/>
        </w:rPr>
        <w:t xml:space="preserve">that </w:t>
      </w:r>
      <w:r>
        <w:rPr>
          <w:lang w:val="en-US"/>
        </w:rPr>
        <w:t>three</w:t>
      </w:r>
      <w:r w:rsidRPr="008273E9">
        <w:rPr>
          <w:lang w:val="en-US"/>
        </w:rPr>
        <w:t xml:space="preserve"> </w:t>
      </w:r>
      <w:r w:rsidR="008273E9" w:rsidRPr="008273E9">
        <w:rPr>
          <w:lang w:val="en-US"/>
        </w:rPr>
        <w:t>out o</w:t>
      </w:r>
      <w:r w:rsidR="008273E9">
        <w:rPr>
          <w:lang w:val="en-US"/>
        </w:rPr>
        <w:t xml:space="preserve">f the seven tests reported in Table </w:t>
      </w:r>
      <w:r w:rsidR="008E1BA0">
        <w:rPr>
          <w:lang w:val="en-US"/>
        </w:rPr>
        <w:t>1 are described as flattened fireballs</w:t>
      </w:r>
      <w:r w:rsidR="005C6132">
        <w:rPr>
          <w:lang w:val="en-US"/>
        </w:rPr>
        <w:t xml:space="preserve">, hence characterized by a particularly </w:t>
      </w:r>
      <w:r w:rsidR="003C3355">
        <w:rPr>
          <w:lang w:val="en-US"/>
        </w:rPr>
        <w:t xml:space="preserve">elongated </w:t>
      </w:r>
      <w:r w:rsidR="005C6132">
        <w:rPr>
          <w:lang w:val="en-US"/>
        </w:rPr>
        <w:t xml:space="preserve">horizontal dimension. </w:t>
      </w:r>
      <w:r w:rsidR="008E1BA0">
        <w:rPr>
          <w:lang w:val="en-US"/>
        </w:rPr>
        <w:t xml:space="preserve">As it will be discussed </w:t>
      </w:r>
      <w:r w:rsidR="00C73E15">
        <w:rPr>
          <w:lang w:val="en-US"/>
        </w:rPr>
        <w:t xml:space="preserve">in </w:t>
      </w:r>
      <w:r w:rsidR="008E1BA0">
        <w:rPr>
          <w:lang w:val="en-US"/>
        </w:rPr>
        <w:t>Sec</w:t>
      </w:r>
      <w:r w:rsidR="004360F2">
        <w:rPr>
          <w:lang w:val="en-US"/>
        </w:rPr>
        <w:t>tion</w:t>
      </w:r>
      <w:r w:rsidR="008E1BA0">
        <w:rPr>
          <w:lang w:val="en-US"/>
        </w:rPr>
        <w:t xml:space="preserve"> 4, the experiments that resulted in the flattened fireball are</w:t>
      </w:r>
      <w:r w:rsidR="006679DD">
        <w:rPr>
          <w:lang w:val="en-US"/>
        </w:rPr>
        <w:t xml:space="preserve"> </w:t>
      </w:r>
      <w:r w:rsidR="008E1BA0">
        <w:rPr>
          <w:lang w:val="en-US"/>
        </w:rPr>
        <w:t>Tamura</w:t>
      </w:r>
      <w:r w:rsidR="000F16B8">
        <w:rPr>
          <w:lang w:val="en-US"/>
        </w:rPr>
        <w:t>-1</w:t>
      </w:r>
      <w:r w:rsidR="00311051">
        <w:rPr>
          <w:lang w:val="en-US"/>
        </w:rPr>
        <w:t>,</w:t>
      </w:r>
      <w:r w:rsidR="000F16B8">
        <w:rPr>
          <w:lang w:val="en-US"/>
        </w:rPr>
        <w:t xml:space="preserve"> </w:t>
      </w:r>
      <w:r w:rsidR="006679DD">
        <w:rPr>
          <w:lang w:val="en-US"/>
        </w:rPr>
        <w:t>Tamura</w:t>
      </w:r>
      <w:r w:rsidR="000F16B8">
        <w:rPr>
          <w:lang w:val="en-US"/>
        </w:rPr>
        <w:t>-2</w:t>
      </w:r>
      <w:r w:rsidR="006679DD">
        <w:rPr>
          <w:lang w:val="en-US"/>
        </w:rPr>
        <w:t>,</w:t>
      </w:r>
      <w:r w:rsidR="008E1BA0">
        <w:rPr>
          <w:lang w:val="en-US"/>
        </w:rPr>
        <w:t xml:space="preserve"> and Zalosh</w:t>
      </w:r>
      <w:r w:rsidR="006679DD">
        <w:rPr>
          <w:lang w:val="en-US"/>
        </w:rPr>
        <w:t>-2</w:t>
      </w:r>
      <w:r w:rsidR="008E1BA0">
        <w:rPr>
          <w:lang w:val="en-US"/>
        </w:rPr>
        <w:t xml:space="preserve"> </w:t>
      </w:r>
      <w:r w:rsidR="00311051">
        <w:rPr>
          <w:lang w:val="en-US"/>
        </w:rPr>
        <w:t xml:space="preserve">tests </w:t>
      </w:r>
      <w:r w:rsidR="008E1BA0">
        <w:rPr>
          <w:lang w:val="en-US"/>
        </w:rPr>
        <w:t>(M</w:t>
      </w:r>
      <w:r w:rsidR="00514281">
        <w:rPr>
          <w:lang w:val="en-US"/>
        </w:rPr>
        <w:t>akarov, 2021</w:t>
      </w:r>
      <w:r w:rsidR="008E1BA0">
        <w:rPr>
          <w:lang w:val="en-US"/>
        </w:rPr>
        <w:t>)</w:t>
      </w:r>
      <w:r w:rsidR="005C6132">
        <w:rPr>
          <w:lang w:val="en-US"/>
        </w:rPr>
        <w:t>.</w:t>
      </w:r>
    </w:p>
    <w:p w14:paraId="18B97AF8" w14:textId="77777777" w:rsidR="0011092D" w:rsidRPr="008273E9" w:rsidRDefault="0011092D" w:rsidP="00D14439">
      <w:pPr>
        <w:pStyle w:val="CETListbullets"/>
        <w:ind w:left="0" w:firstLine="0"/>
        <w:rPr>
          <w:lang w:val="en-US"/>
        </w:rPr>
      </w:pPr>
    </w:p>
    <w:p w14:paraId="677EBFF0" w14:textId="116A56FC" w:rsidR="00600535" w:rsidRDefault="00296765" w:rsidP="005F52B5">
      <w:pPr>
        <w:pStyle w:val="CETHeading1"/>
        <w:tabs>
          <w:tab w:val="clear" w:pos="360"/>
          <w:tab w:val="right" w:pos="7100"/>
        </w:tabs>
        <w:spacing w:before="120"/>
        <w:jc w:val="both"/>
        <w:rPr>
          <w:lang w:val="en-GB"/>
        </w:rPr>
      </w:pPr>
      <w:r>
        <w:rPr>
          <w:lang w:val="en-GB"/>
        </w:rPr>
        <w:t>Methodology</w:t>
      </w:r>
    </w:p>
    <w:p w14:paraId="3797BF97" w14:textId="5E9A61A6" w:rsidR="001F6A84" w:rsidRDefault="00E4295F" w:rsidP="001F6A84">
      <w:pPr>
        <w:pStyle w:val="CETBodytext"/>
        <w:rPr>
          <w:lang w:val="en-GB"/>
        </w:rPr>
      </w:pPr>
      <w:r>
        <w:rPr>
          <w:lang w:val="en-GB"/>
        </w:rPr>
        <w:t>T</w:t>
      </w:r>
      <w:r w:rsidR="001F6A84">
        <w:rPr>
          <w:lang w:val="en-GB"/>
        </w:rPr>
        <w:t xml:space="preserve">he </w:t>
      </w:r>
      <w:r w:rsidR="00852301">
        <w:rPr>
          <w:lang w:val="en-GB"/>
        </w:rPr>
        <w:t>model</w:t>
      </w:r>
      <w:r w:rsidR="00A17067">
        <w:rPr>
          <w:lang w:val="en-GB"/>
        </w:rPr>
        <w:t>s</w:t>
      </w:r>
      <w:r w:rsidR="00852301">
        <w:rPr>
          <w:lang w:val="en-GB"/>
        </w:rPr>
        <w:t xml:space="preserve"> proposed with</w:t>
      </w:r>
      <w:r w:rsidR="005C6132">
        <w:rPr>
          <w:lang w:val="en-GB"/>
        </w:rPr>
        <w:t>in</w:t>
      </w:r>
      <w:r w:rsidR="00852301">
        <w:rPr>
          <w:lang w:val="en-GB"/>
        </w:rPr>
        <w:t xml:space="preserve"> this work </w:t>
      </w:r>
      <w:r w:rsidR="001F6A84">
        <w:rPr>
          <w:lang w:val="en-GB"/>
        </w:rPr>
        <w:t xml:space="preserve">are obtained by fitting the experimental data of the BMW </w:t>
      </w:r>
      <w:r w:rsidR="00852301">
        <w:rPr>
          <w:lang w:val="en-GB"/>
        </w:rPr>
        <w:t>and SH</w:t>
      </w:r>
      <w:r w:rsidR="00852301">
        <w:rPr>
          <w:vertAlign w:val="subscript"/>
          <w:lang w:val="en-GB"/>
        </w:rPr>
        <w:t>2</w:t>
      </w:r>
      <w:r w:rsidR="00852301">
        <w:rPr>
          <w:lang w:val="en-GB"/>
        </w:rPr>
        <w:t xml:space="preserve">IFT </w:t>
      </w:r>
      <w:r w:rsidR="005A431A">
        <w:rPr>
          <w:lang w:val="en-GB"/>
        </w:rPr>
        <w:t>tests</w:t>
      </w:r>
      <w:r w:rsidR="00852301">
        <w:rPr>
          <w:lang w:val="en-GB"/>
        </w:rPr>
        <w:t xml:space="preserve">. Hence, the PVBs experiments are reported </w:t>
      </w:r>
      <w:r w:rsidR="00311051">
        <w:rPr>
          <w:lang w:val="en-GB"/>
        </w:rPr>
        <w:t xml:space="preserve">to investigate the models’ accuracy for these events and </w:t>
      </w:r>
      <w:r w:rsidR="00852301">
        <w:rPr>
          <w:lang w:val="en-GB"/>
        </w:rPr>
        <w:t xml:space="preserve">for validation purposes. Before discussing these models, </w:t>
      </w:r>
      <w:r w:rsidR="002A4A70">
        <w:rPr>
          <w:lang w:val="en-GB"/>
        </w:rPr>
        <w:t xml:space="preserve">the adopted methodology is explained </w:t>
      </w:r>
      <w:r w:rsidR="00BF0FED">
        <w:rPr>
          <w:lang w:val="en-GB"/>
        </w:rPr>
        <w:t>in Sec</w:t>
      </w:r>
      <w:r w:rsidR="004360F2">
        <w:rPr>
          <w:lang w:val="en-GB"/>
        </w:rPr>
        <w:t>tions</w:t>
      </w:r>
      <w:r w:rsidR="00BF0FED">
        <w:rPr>
          <w:lang w:val="en-GB"/>
        </w:rPr>
        <w:t xml:space="preserve"> 3.1 and 3.2</w:t>
      </w:r>
      <w:r w:rsidR="002A4A70">
        <w:rPr>
          <w:lang w:val="en-GB"/>
        </w:rPr>
        <w:t>.</w:t>
      </w:r>
    </w:p>
    <w:p w14:paraId="151EA9C2" w14:textId="478F13DE" w:rsidR="002A4A70" w:rsidRPr="002A4A70" w:rsidRDefault="002A4A70" w:rsidP="001F6A84">
      <w:pPr>
        <w:pStyle w:val="CETheadingx"/>
      </w:pPr>
      <w:r>
        <w:t>Literature Correlations</w:t>
      </w:r>
    </w:p>
    <w:p w14:paraId="7EC5797E" w14:textId="2C1D944B" w:rsidR="005642F7" w:rsidRPr="005642F7" w:rsidRDefault="00D4781B" w:rsidP="005642F7">
      <w:pPr>
        <w:pStyle w:val="CETBodytext"/>
        <w:rPr>
          <w:lang w:val="en-GB"/>
        </w:rPr>
      </w:pPr>
      <w:r>
        <w:rPr>
          <w:lang w:val="en-GB"/>
        </w:rPr>
        <w:t xml:space="preserve">Several empirical correlations </w:t>
      </w:r>
      <w:r w:rsidR="005C6132">
        <w:rPr>
          <w:lang w:val="en-GB"/>
        </w:rPr>
        <w:t>can be</w:t>
      </w:r>
      <w:r>
        <w:rPr>
          <w:lang w:val="en-GB"/>
        </w:rPr>
        <w:t xml:space="preserve"> found in literature to predict dimensions and duration of fireballs generated after the loss of containment of flammable fuels. Among these formulae, the</w:t>
      </w:r>
      <w:r w:rsidR="00C426E8">
        <w:rPr>
          <w:lang w:val="en-GB"/>
        </w:rPr>
        <w:t xml:space="preserve"> Hord</w:t>
      </w:r>
      <w:r>
        <w:rPr>
          <w:lang w:val="en-GB"/>
        </w:rPr>
        <w:t xml:space="preserve"> equation</w:t>
      </w:r>
      <w:r w:rsidR="003E0E63">
        <w:rPr>
          <w:lang w:val="en-GB"/>
        </w:rPr>
        <w:t xml:space="preserve"> (</w:t>
      </w:r>
      <w:r w:rsidR="00C426E8">
        <w:rPr>
          <w:lang w:val="en-GB"/>
        </w:rPr>
        <w:t>Hord</w:t>
      </w:r>
      <w:r w:rsidR="003E0E63">
        <w:rPr>
          <w:lang w:val="en-GB"/>
        </w:rPr>
        <w:t>, 19</w:t>
      </w:r>
      <w:r w:rsidR="00912EDC">
        <w:rPr>
          <w:lang w:val="en-GB"/>
        </w:rPr>
        <w:t>72</w:t>
      </w:r>
      <w:r w:rsidR="003E0E63">
        <w:rPr>
          <w:lang w:val="en-GB"/>
        </w:rPr>
        <w:t xml:space="preserve">) </w:t>
      </w:r>
      <w:r w:rsidR="000B2CF5">
        <w:rPr>
          <w:lang w:val="en-GB"/>
        </w:rPr>
        <w:t>gained the most appeal</w:t>
      </w:r>
      <w:r w:rsidR="008C21BE">
        <w:rPr>
          <w:lang w:val="en-GB"/>
        </w:rPr>
        <w:t xml:space="preserve"> (Eq. 1)</w:t>
      </w:r>
      <w:r>
        <w:rPr>
          <w:lang w:val="en-GB"/>
        </w:rPr>
        <w:t xml:space="preserve">. This correlation </w:t>
      </w:r>
      <w:r w:rsidR="000B2CF5">
        <w:rPr>
          <w:lang w:val="en-GB"/>
        </w:rPr>
        <w:t>considers</w:t>
      </w:r>
      <w:r>
        <w:rPr>
          <w:lang w:val="en-GB"/>
        </w:rPr>
        <w:t xml:space="preserve"> the fireball diameter</w:t>
      </w:r>
      <w:r w:rsidR="000B2CF5">
        <w:rPr>
          <w:lang w:val="en-GB"/>
        </w:rPr>
        <w:t xml:space="preserve"> as a function of the fuel mass</w:t>
      </w:r>
      <w:r>
        <w:rPr>
          <w:lang w:val="en-GB"/>
        </w:rPr>
        <w:t xml:space="preserve">, while </w:t>
      </w:r>
      <w:r w:rsidR="000B2CF5">
        <w:rPr>
          <w:lang w:val="en-GB"/>
        </w:rPr>
        <w:t>the fireball</w:t>
      </w:r>
      <w:r>
        <w:rPr>
          <w:lang w:val="en-GB"/>
        </w:rPr>
        <w:t xml:space="preserve"> duration can be </w:t>
      </w:r>
      <w:r w:rsidR="000B2CF5">
        <w:rPr>
          <w:lang w:val="en-GB"/>
        </w:rPr>
        <w:t>evaluated</w:t>
      </w:r>
      <w:r>
        <w:rPr>
          <w:lang w:val="en-GB"/>
        </w:rPr>
        <w:t xml:space="preserve"> considering </w:t>
      </w:r>
      <w:r w:rsidR="000B2CF5">
        <w:rPr>
          <w:lang w:val="en-GB"/>
        </w:rPr>
        <w:t>it</w:t>
      </w:r>
      <w:r>
        <w:rPr>
          <w:lang w:val="en-GB"/>
        </w:rPr>
        <w:t xml:space="preserve"> as momentum-driven or buoyancy-driven</w:t>
      </w:r>
      <w:r w:rsidR="008C21BE">
        <w:rPr>
          <w:lang w:val="en-GB"/>
        </w:rPr>
        <w:t xml:space="preserve"> (Eq. 2 and Eq. 3)</w:t>
      </w:r>
      <w:r>
        <w:rPr>
          <w:lang w:val="en-GB"/>
        </w:rPr>
        <w:t>. Again, this distinction is based on the fuel mass</w:t>
      </w:r>
      <w:r w:rsidR="000B2CF5">
        <w:rPr>
          <w:lang w:val="en-GB"/>
        </w:rPr>
        <w:t xml:space="preserve"> contained in the exploding vessel</w:t>
      </w:r>
      <w:r>
        <w:rPr>
          <w:lang w:val="en-GB"/>
        </w:rPr>
        <w:t xml:space="preserve">, </w:t>
      </w:r>
      <w:r w:rsidR="008C21BE">
        <w:rPr>
          <w:lang w:val="en-GB"/>
        </w:rPr>
        <w:t>as</w:t>
      </w:r>
      <w:r>
        <w:rPr>
          <w:lang w:val="en-GB"/>
        </w:rPr>
        <w:t xml:space="preserve"> reported below</w:t>
      </w:r>
      <w:r w:rsidR="000B6F0B">
        <w:rPr>
          <w:lang w:val="en-GB"/>
        </w:rPr>
        <w:t>.</w:t>
      </w:r>
    </w:p>
    <w:tbl>
      <w:tblPr>
        <w:tblW w:w="5000" w:type="pct"/>
        <w:tblLook w:val="04A0" w:firstRow="1" w:lastRow="0" w:firstColumn="1" w:lastColumn="0" w:noHBand="0" w:noVBand="1"/>
      </w:tblPr>
      <w:tblGrid>
        <w:gridCol w:w="7983"/>
        <w:gridCol w:w="804"/>
      </w:tblGrid>
      <w:tr w:rsidR="005642F7" w:rsidRPr="00B57B36" w14:paraId="2C9DB1DB" w14:textId="77777777" w:rsidTr="005642F7">
        <w:tc>
          <w:tcPr>
            <w:tcW w:w="8188" w:type="dxa"/>
            <w:shd w:val="clear" w:color="auto" w:fill="auto"/>
            <w:vAlign w:val="center"/>
          </w:tcPr>
          <w:p w14:paraId="78D2D0FA" w14:textId="2A06631E" w:rsidR="005642F7" w:rsidRPr="00075FA1" w:rsidRDefault="005642F7" w:rsidP="0041376B">
            <w:pPr>
              <w:pStyle w:val="CETEquation"/>
            </w:pPr>
            <m:oMathPara>
              <m:oMathParaPr>
                <m:jc m:val="left"/>
              </m:oMathParaPr>
              <m:oMath>
                <m:r>
                  <m:rPr>
                    <m:nor/>
                  </m:rPr>
                  <w:rPr>
                    <w:rFonts w:cs="Arial"/>
                  </w:rPr>
                  <m:t xml:space="preserve">D = </m:t>
                </m:r>
                <m:r>
                  <m:rPr>
                    <m:nor/>
                  </m:rPr>
                  <w:rPr>
                    <w:rFonts w:ascii="Cambria Math" w:cs="Arial"/>
                  </w:rPr>
                  <m:t>7.93</m:t>
                </m:r>
                <m:r>
                  <m:rPr>
                    <m:nor/>
                  </m:rPr>
                  <w:rPr>
                    <w:rFonts w:cs="Arial"/>
                  </w:rPr>
                  <m:t xml:space="preserve"> </m:t>
                </m:r>
                <m:sSup>
                  <m:sSupPr>
                    <m:ctrlPr>
                      <w:rPr>
                        <w:rFonts w:ascii="Cambria Math" w:hAnsi="Cambria Math" w:cs="Arial"/>
                        <w:i/>
                      </w:rPr>
                    </m:ctrlPr>
                  </m:sSupPr>
                  <m:e>
                    <m:sSub>
                      <m:sSubPr>
                        <m:ctrlPr>
                          <w:rPr>
                            <w:rFonts w:ascii="Cambria Math" w:hAnsi="Cambria Math" w:cs="Arial"/>
                            <w:i/>
                          </w:rPr>
                        </m:ctrlPr>
                      </m:sSubPr>
                      <m:e>
                        <m:r>
                          <m:rPr>
                            <m:nor/>
                          </m:rPr>
                          <w:rPr>
                            <w:rFonts w:cs="Arial"/>
                          </w:rPr>
                          <m:t>m</m:t>
                        </m:r>
                      </m:e>
                      <m:sub>
                        <m:r>
                          <w:rPr>
                            <w:rFonts w:ascii="Cambria Math" w:hAnsi="Cambria Math" w:cs="Arial"/>
                          </w:rPr>
                          <m:t>f</m:t>
                        </m:r>
                      </m:sub>
                    </m:sSub>
                  </m:e>
                  <m:sup>
                    <m:f>
                      <m:fPr>
                        <m:type m:val="skw"/>
                        <m:ctrlPr>
                          <w:rPr>
                            <w:rFonts w:ascii="Cambria Math" w:hAnsi="Cambria Math" w:cs="Arial"/>
                            <w:i/>
                          </w:rPr>
                        </m:ctrlPr>
                      </m:fPr>
                      <m:num>
                        <m:r>
                          <w:rPr>
                            <w:rFonts w:ascii="Cambria Math" w:hAnsi="Cambria Math" w:cs="Arial"/>
                          </w:rPr>
                          <m:t>1</m:t>
                        </m:r>
                      </m:num>
                      <m:den>
                        <m:r>
                          <w:rPr>
                            <w:rFonts w:ascii="Cambria Math" w:hAnsi="Cambria Math" w:cs="Arial"/>
                          </w:rPr>
                          <m:t>3</m:t>
                        </m:r>
                      </m:den>
                    </m:f>
                  </m:sup>
                </m:sSup>
              </m:oMath>
            </m:oMathPara>
          </w:p>
        </w:tc>
        <w:tc>
          <w:tcPr>
            <w:tcW w:w="815" w:type="dxa"/>
            <w:shd w:val="clear" w:color="auto" w:fill="auto"/>
            <w:vAlign w:val="center"/>
          </w:tcPr>
          <w:p w14:paraId="4AA810EA" w14:textId="77777777" w:rsidR="005642F7" w:rsidRPr="00B57B36" w:rsidRDefault="005642F7" w:rsidP="0041376B">
            <w:pPr>
              <w:pStyle w:val="CETEquation"/>
              <w:jc w:val="right"/>
            </w:pPr>
            <w:r w:rsidRPr="00B57B36">
              <w:t>(1)</w:t>
            </w:r>
          </w:p>
        </w:tc>
      </w:tr>
      <w:tr w:rsidR="00075FA1" w:rsidRPr="00B57B36" w14:paraId="62DAB35F" w14:textId="77777777" w:rsidTr="005642F7">
        <w:tc>
          <w:tcPr>
            <w:tcW w:w="8188" w:type="dxa"/>
            <w:shd w:val="clear" w:color="auto" w:fill="auto"/>
            <w:vAlign w:val="center"/>
          </w:tcPr>
          <w:p w14:paraId="6A590789" w14:textId="16B6CC4E" w:rsidR="00075FA1" w:rsidRPr="00BA0388" w:rsidRDefault="001759E4" w:rsidP="0041376B">
            <w:pPr>
              <w:pStyle w:val="CETEquation"/>
              <w:rPr>
                <w:rFonts w:cs="Arial"/>
                <w:i/>
                <w:lang w:val="de-DE"/>
              </w:rPr>
            </w:pPr>
            <m:oMath>
              <m:r>
                <m:rPr>
                  <m:nor/>
                </m:rPr>
                <w:rPr>
                  <w:rFonts w:ascii="Cambria Math" w:cs="Arial"/>
                  <w:lang w:val="de-DE"/>
                </w:rPr>
                <m:t xml:space="preserve">t </m:t>
              </m:r>
              <m:r>
                <m:rPr>
                  <m:nor/>
                </m:rPr>
                <w:rPr>
                  <w:rFonts w:cs="Arial"/>
                  <w:lang w:val="de-DE"/>
                </w:rPr>
                <m:t xml:space="preserve">= 0.45 </m:t>
              </m:r>
              <m:sSup>
                <m:sSupPr>
                  <m:ctrlPr>
                    <w:rPr>
                      <w:rFonts w:ascii="Cambria Math" w:hAnsi="Cambria Math" w:cs="Arial"/>
                      <w:i/>
                    </w:rPr>
                  </m:ctrlPr>
                </m:sSupPr>
                <m:e>
                  <m:sSub>
                    <m:sSubPr>
                      <m:ctrlPr>
                        <w:rPr>
                          <w:rFonts w:ascii="Cambria Math" w:hAnsi="Cambria Math" w:cs="Arial"/>
                          <w:i/>
                        </w:rPr>
                      </m:ctrlPr>
                    </m:sSubPr>
                    <m:e>
                      <m:r>
                        <m:rPr>
                          <m:nor/>
                        </m:rPr>
                        <w:rPr>
                          <w:rFonts w:cs="Arial"/>
                          <w:lang w:val="de-DE"/>
                        </w:rPr>
                        <m:t>m</m:t>
                      </m:r>
                    </m:e>
                    <m:sub>
                      <m:r>
                        <w:rPr>
                          <w:rFonts w:ascii="Cambria Math" w:hAnsi="Cambria Math" w:cs="Arial"/>
                        </w:rPr>
                        <m:t>f</m:t>
                      </m:r>
                    </m:sub>
                  </m:sSub>
                </m:e>
                <m:sup>
                  <m:f>
                    <m:fPr>
                      <m:type m:val="skw"/>
                      <m:ctrlPr>
                        <w:rPr>
                          <w:rFonts w:ascii="Cambria Math" w:hAnsi="Cambria Math" w:cs="Arial"/>
                          <w:i/>
                        </w:rPr>
                      </m:ctrlPr>
                    </m:fPr>
                    <m:num>
                      <m:r>
                        <w:rPr>
                          <w:rFonts w:ascii="Cambria Math" w:hAnsi="Cambria Math" w:cs="Arial"/>
                          <w:lang w:val="de-DE"/>
                        </w:rPr>
                        <m:t>1</m:t>
                      </m:r>
                    </m:num>
                    <m:den>
                      <m:r>
                        <w:rPr>
                          <w:rFonts w:ascii="Cambria Math" w:hAnsi="Cambria Math" w:cs="Arial"/>
                          <w:lang w:val="de-DE"/>
                        </w:rPr>
                        <m:t>3</m:t>
                      </m:r>
                    </m:den>
                  </m:f>
                </m:sup>
              </m:sSup>
              <m:r>
                <w:rPr>
                  <w:rFonts w:ascii="Cambria Math" w:hAnsi="Cambria Math" w:cs="Arial"/>
                  <w:lang w:val="de-DE"/>
                </w:rPr>
                <m:t xml:space="preserve"> </m:t>
              </m:r>
            </m:oMath>
            <w:r w:rsidR="00BA0388" w:rsidRPr="00607342">
              <w:rPr>
                <w:rFonts w:cs="Arial"/>
                <w:i/>
                <w:lang w:val="nb-NO"/>
              </w:rPr>
              <w:t xml:space="preserve"> </w:t>
            </w:r>
            <w:r w:rsidR="00BA0388" w:rsidRPr="008540EA">
              <w:rPr>
                <w:rFonts w:cs="Arial"/>
                <w:iCs/>
                <w:lang w:val="en-US"/>
              </w:rPr>
              <w:t>momentum-</w:t>
            </w:r>
            <w:r w:rsidR="004360F2" w:rsidRPr="008540EA">
              <w:rPr>
                <w:rFonts w:cs="Arial"/>
                <w:iCs/>
                <w:lang w:val="en-US"/>
              </w:rPr>
              <w:t>driven</w:t>
            </w:r>
          </w:p>
        </w:tc>
        <w:tc>
          <w:tcPr>
            <w:tcW w:w="815" w:type="dxa"/>
            <w:shd w:val="clear" w:color="auto" w:fill="auto"/>
            <w:vAlign w:val="center"/>
          </w:tcPr>
          <w:p w14:paraId="74830EC6" w14:textId="67974F99" w:rsidR="00075FA1" w:rsidRPr="00B57B36" w:rsidRDefault="00075FA1" w:rsidP="0041376B">
            <w:pPr>
              <w:pStyle w:val="CETEquation"/>
              <w:jc w:val="right"/>
            </w:pPr>
            <w:r>
              <w:t>(2)</w:t>
            </w:r>
          </w:p>
        </w:tc>
      </w:tr>
      <w:tr w:rsidR="00075FA1" w:rsidRPr="00B57B36" w14:paraId="50ABAC6E" w14:textId="77777777" w:rsidTr="005642F7">
        <w:tc>
          <w:tcPr>
            <w:tcW w:w="8188" w:type="dxa"/>
            <w:shd w:val="clear" w:color="auto" w:fill="auto"/>
            <w:vAlign w:val="center"/>
          </w:tcPr>
          <w:p w14:paraId="18F6B241" w14:textId="5B556120" w:rsidR="00075FA1" w:rsidRPr="00BA0388" w:rsidRDefault="001759E4" w:rsidP="0041376B">
            <w:pPr>
              <w:pStyle w:val="CETEquation"/>
              <w:rPr>
                <w:lang w:val="en-US"/>
              </w:rPr>
            </w:pPr>
            <m:oMath>
              <m:r>
                <m:rPr>
                  <m:nor/>
                </m:rPr>
                <w:rPr>
                  <w:rFonts w:ascii="Cambria Math" w:cs="Arial"/>
                  <w:lang w:val="en-US"/>
                </w:rPr>
                <m:t xml:space="preserve">t </m:t>
              </m:r>
              <m:r>
                <m:rPr>
                  <m:nor/>
                </m:rPr>
                <w:rPr>
                  <w:rFonts w:cs="Arial"/>
                  <w:lang w:val="en-US"/>
                </w:rPr>
                <m:t xml:space="preserve">= 2.60 </m:t>
              </m:r>
              <m:sSup>
                <m:sSupPr>
                  <m:ctrlPr>
                    <w:rPr>
                      <w:rFonts w:ascii="Cambria Math" w:hAnsi="Cambria Math" w:cs="Arial"/>
                      <w:i/>
                    </w:rPr>
                  </m:ctrlPr>
                </m:sSupPr>
                <m:e>
                  <m:sSub>
                    <m:sSubPr>
                      <m:ctrlPr>
                        <w:rPr>
                          <w:rFonts w:ascii="Cambria Math" w:hAnsi="Cambria Math" w:cs="Arial"/>
                          <w:i/>
                        </w:rPr>
                      </m:ctrlPr>
                    </m:sSubPr>
                    <m:e>
                      <m:r>
                        <m:rPr>
                          <m:nor/>
                        </m:rPr>
                        <w:rPr>
                          <w:rFonts w:cs="Arial"/>
                          <w:lang w:val="en-US"/>
                        </w:rPr>
                        <m:t>m</m:t>
                      </m:r>
                    </m:e>
                    <m:sub>
                      <m:r>
                        <w:rPr>
                          <w:rFonts w:ascii="Cambria Math" w:hAnsi="Cambria Math" w:cs="Arial"/>
                        </w:rPr>
                        <m:t>f</m:t>
                      </m:r>
                    </m:sub>
                  </m:sSub>
                </m:e>
                <m:sup>
                  <m:f>
                    <m:fPr>
                      <m:type m:val="skw"/>
                      <m:ctrlPr>
                        <w:rPr>
                          <w:rFonts w:ascii="Cambria Math" w:hAnsi="Cambria Math" w:cs="Arial"/>
                          <w:i/>
                        </w:rPr>
                      </m:ctrlPr>
                    </m:fPr>
                    <m:num>
                      <m:r>
                        <w:rPr>
                          <w:rFonts w:ascii="Cambria Math" w:hAnsi="Cambria Math" w:cs="Arial"/>
                          <w:lang w:val="en-US"/>
                        </w:rPr>
                        <m:t>1</m:t>
                      </m:r>
                    </m:num>
                    <m:den>
                      <m:r>
                        <w:rPr>
                          <w:rFonts w:ascii="Cambria Math" w:hAnsi="Cambria Math" w:cs="Arial"/>
                          <w:lang w:val="en-US"/>
                        </w:rPr>
                        <m:t>6</m:t>
                      </m:r>
                    </m:den>
                  </m:f>
                </m:sup>
              </m:sSup>
            </m:oMath>
            <w:r w:rsidR="00075FA1" w:rsidRPr="00BA0388">
              <w:rPr>
                <w:lang w:val="en-US"/>
              </w:rPr>
              <w:t xml:space="preserve"> </w:t>
            </w:r>
            <w:r w:rsidR="008540EA">
              <w:rPr>
                <w:lang w:val="en-US"/>
              </w:rPr>
              <w:t xml:space="preserve"> </w:t>
            </w:r>
            <w:r w:rsidR="00BA0388" w:rsidRPr="00BA0388">
              <w:rPr>
                <w:lang w:val="en-US"/>
              </w:rPr>
              <w:t>buoyancy-drive</w:t>
            </w:r>
            <w:r w:rsidR="00BA0388">
              <w:rPr>
                <w:lang w:val="en-US"/>
              </w:rPr>
              <w:t>n</w:t>
            </w:r>
          </w:p>
        </w:tc>
        <w:tc>
          <w:tcPr>
            <w:tcW w:w="815" w:type="dxa"/>
            <w:shd w:val="clear" w:color="auto" w:fill="auto"/>
            <w:vAlign w:val="center"/>
          </w:tcPr>
          <w:p w14:paraId="4B211EE9" w14:textId="69A2F25E" w:rsidR="00075FA1" w:rsidRPr="00B57B36" w:rsidRDefault="00075FA1" w:rsidP="0041376B">
            <w:pPr>
              <w:pStyle w:val="CETEquation"/>
              <w:jc w:val="right"/>
            </w:pPr>
            <w:r>
              <w:t>(3)</w:t>
            </w:r>
          </w:p>
        </w:tc>
      </w:tr>
    </w:tbl>
    <w:p w14:paraId="74C32DEB" w14:textId="73A60960" w:rsidR="005642F7" w:rsidRDefault="005D3331" w:rsidP="00D4781B">
      <w:pPr>
        <w:pStyle w:val="CETBodytext"/>
        <w:rPr>
          <w:lang w:val="en-GB"/>
        </w:rPr>
      </w:pPr>
      <w:r>
        <w:rPr>
          <w:lang w:val="en-GB"/>
        </w:rPr>
        <w:t xml:space="preserve">Where D </w:t>
      </w:r>
      <w:r w:rsidR="000B6F0B">
        <w:rPr>
          <w:lang w:val="en-GB"/>
        </w:rPr>
        <w:t>indicates</w:t>
      </w:r>
      <w:r>
        <w:rPr>
          <w:lang w:val="en-GB"/>
        </w:rPr>
        <w:t xml:space="preserve"> the fireball diameter</w:t>
      </w:r>
      <w:r w:rsidR="00D45409">
        <w:rPr>
          <w:lang w:val="en-GB"/>
        </w:rPr>
        <w:t xml:space="preserve"> in m</w:t>
      </w:r>
      <w:r w:rsidR="004360F2">
        <w:rPr>
          <w:lang w:val="en-GB"/>
        </w:rPr>
        <w:t>eters</w:t>
      </w:r>
      <w:r>
        <w:rPr>
          <w:lang w:val="en-GB"/>
        </w:rPr>
        <w:t xml:space="preserve">, t its duration </w:t>
      </w:r>
      <w:r w:rsidR="00D45409">
        <w:rPr>
          <w:lang w:val="en-GB"/>
        </w:rPr>
        <w:t>in s</w:t>
      </w:r>
      <w:r w:rsidR="004360F2">
        <w:rPr>
          <w:lang w:val="en-GB"/>
        </w:rPr>
        <w:t>econds</w:t>
      </w:r>
      <w:r w:rsidR="00D45409">
        <w:rPr>
          <w:lang w:val="en-GB"/>
        </w:rPr>
        <w:t xml:space="preserve">, </w:t>
      </w:r>
      <w:r>
        <w:rPr>
          <w:lang w:val="en-GB"/>
        </w:rPr>
        <w:t xml:space="preserve">and </w:t>
      </w:r>
      <m:oMath>
        <m:sSub>
          <m:sSubPr>
            <m:ctrlPr>
              <w:rPr>
                <w:rFonts w:ascii="Cambria Math" w:hAnsi="Cambria Math" w:cs="Arial"/>
                <w:i/>
                <w:lang w:val="en-GB"/>
              </w:rPr>
            </m:ctrlPr>
          </m:sSubPr>
          <m:e>
            <m:r>
              <m:rPr>
                <m:nor/>
              </m:rPr>
              <w:rPr>
                <w:rFonts w:cs="Arial"/>
              </w:rPr>
              <m:t>m</m:t>
            </m:r>
          </m:e>
          <m:sub>
            <m:r>
              <w:rPr>
                <w:rFonts w:ascii="Cambria Math" w:hAnsi="Cambria Math" w:cs="Arial"/>
              </w:rPr>
              <m:t>f</m:t>
            </m:r>
          </m:sub>
        </m:sSub>
      </m:oMath>
      <w:r>
        <w:rPr>
          <w:lang w:val="en-GB"/>
        </w:rPr>
        <w:t xml:space="preserve"> </w:t>
      </w:r>
      <w:r w:rsidR="000B6F0B">
        <w:rPr>
          <w:lang w:val="en-GB"/>
        </w:rPr>
        <w:t>being</w:t>
      </w:r>
      <w:r>
        <w:rPr>
          <w:lang w:val="en-GB"/>
        </w:rPr>
        <w:t xml:space="preserve"> the fuel mass</w:t>
      </w:r>
      <w:r w:rsidR="00D45409">
        <w:rPr>
          <w:lang w:val="en-GB"/>
        </w:rPr>
        <w:t xml:space="preserve"> in </w:t>
      </w:r>
      <w:r w:rsidR="004360F2">
        <w:rPr>
          <w:lang w:val="en-GB"/>
        </w:rPr>
        <w:t>kilograms</w:t>
      </w:r>
      <w:r>
        <w:rPr>
          <w:lang w:val="en-GB"/>
        </w:rPr>
        <w:t xml:space="preserve">. </w:t>
      </w:r>
      <w:r w:rsidR="005D3774">
        <w:rPr>
          <w:lang w:val="en-GB"/>
        </w:rPr>
        <w:t xml:space="preserve">These equations, </w:t>
      </w:r>
      <w:r w:rsidR="005C6132">
        <w:rPr>
          <w:lang w:val="en-GB"/>
        </w:rPr>
        <w:t>in accordance with</w:t>
      </w:r>
      <w:r w:rsidR="005D3774">
        <w:rPr>
          <w:lang w:val="en-GB"/>
        </w:rPr>
        <w:t xml:space="preserve"> others found in literature, consider the fireball as spherical. </w:t>
      </w:r>
      <w:r w:rsidR="000B6F0B">
        <w:rPr>
          <w:lang w:val="en-GB"/>
        </w:rPr>
        <w:t>However, r</w:t>
      </w:r>
      <w:r w:rsidR="005D3774">
        <w:rPr>
          <w:lang w:val="en-GB"/>
        </w:rPr>
        <w:t>ecent studies (M</w:t>
      </w:r>
      <w:r w:rsidR="003E0E63">
        <w:rPr>
          <w:lang w:val="en-GB"/>
        </w:rPr>
        <w:t>akarov, 2021</w:t>
      </w:r>
      <w:r w:rsidR="005D3774">
        <w:rPr>
          <w:lang w:val="en-GB"/>
        </w:rPr>
        <w:t>) propose different empirical correlations</w:t>
      </w:r>
      <w:r w:rsidR="0047490D">
        <w:rPr>
          <w:lang w:val="en-GB"/>
        </w:rPr>
        <w:t xml:space="preserve"> (Eq. 4 and Eq. 5)</w:t>
      </w:r>
      <w:r w:rsidR="005D3774">
        <w:rPr>
          <w:lang w:val="en-GB"/>
        </w:rPr>
        <w:t xml:space="preserve"> to estimate the diameter of a hydrogen fireball, considering it </w:t>
      </w:r>
      <w:r w:rsidR="0047490D">
        <w:rPr>
          <w:lang w:val="en-GB"/>
        </w:rPr>
        <w:t>to develop in a hemispherical shape</w:t>
      </w:r>
      <w:r w:rsidR="002E2DB6">
        <w:rPr>
          <w:lang w:val="en-GB"/>
        </w:rPr>
        <w:t>.</w:t>
      </w:r>
    </w:p>
    <w:tbl>
      <w:tblPr>
        <w:tblW w:w="5000" w:type="pct"/>
        <w:tblLook w:val="04A0" w:firstRow="1" w:lastRow="0" w:firstColumn="1" w:lastColumn="0" w:noHBand="0" w:noVBand="1"/>
      </w:tblPr>
      <w:tblGrid>
        <w:gridCol w:w="7986"/>
        <w:gridCol w:w="801"/>
      </w:tblGrid>
      <w:tr w:rsidR="0047490D" w:rsidRPr="00B57B36" w14:paraId="3C012CA1" w14:textId="77777777" w:rsidTr="0047490D">
        <w:tc>
          <w:tcPr>
            <w:tcW w:w="7986" w:type="dxa"/>
            <w:shd w:val="clear" w:color="auto" w:fill="auto"/>
            <w:vAlign w:val="center"/>
          </w:tcPr>
          <w:p w14:paraId="5B84F225" w14:textId="1DB31CF8" w:rsidR="0047490D" w:rsidRPr="00075FA1" w:rsidRDefault="00000000" w:rsidP="0041376B">
            <w:pPr>
              <w:pStyle w:val="CETEquation"/>
            </w:pPr>
            <m:oMathPara>
              <m:oMathParaPr>
                <m:jc m:val="left"/>
              </m:oMathParaPr>
              <m:oMath>
                <m:sSub>
                  <m:sSubPr>
                    <m:ctrlPr>
                      <w:rPr>
                        <w:rFonts w:ascii="Cambria Math" w:hAnsi="Cambria Math" w:cs="Arial"/>
                        <w:i/>
                      </w:rPr>
                    </m:ctrlPr>
                  </m:sSubPr>
                  <m:e>
                    <m:r>
                      <m:rPr>
                        <m:nor/>
                      </m:rPr>
                      <w:rPr>
                        <w:rFonts w:cs="Arial"/>
                      </w:rPr>
                      <m:t>D</m:t>
                    </m:r>
                  </m:e>
                  <m:sub>
                    <m:r>
                      <w:rPr>
                        <w:rFonts w:ascii="Cambria Math" w:hAnsi="Cambria Math" w:cs="Arial"/>
                      </w:rPr>
                      <m:t>hms</m:t>
                    </m:r>
                  </m:sub>
                </m:sSub>
                <m:r>
                  <m:rPr>
                    <m:nor/>
                  </m:rPr>
                  <w:rPr>
                    <w:rFonts w:cs="Arial"/>
                  </w:rPr>
                  <m:t xml:space="preserve"> = 9.8 </m:t>
                </m:r>
                <m:sSup>
                  <m:sSupPr>
                    <m:ctrlPr>
                      <w:rPr>
                        <w:rFonts w:ascii="Cambria Math" w:hAnsi="Cambria Math" w:cs="Arial"/>
                        <w:i/>
                      </w:rPr>
                    </m:ctrlPr>
                  </m:sSupPr>
                  <m:e>
                    <m:sSub>
                      <m:sSubPr>
                        <m:ctrlPr>
                          <w:rPr>
                            <w:rFonts w:ascii="Cambria Math" w:hAnsi="Cambria Math" w:cs="Arial"/>
                            <w:i/>
                          </w:rPr>
                        </m:ctrlPr>
                      </m:sSubPr>
                      <m:e>
                        <m:r>
                          <m:rPr>
                            <m:nor/>
                          </m:rPr>
                          <w:rPr>
                            <w:rFonts w:cs="Arial"/>
                          </w:rPr>
                          <m:t>m</m:t>
                        </m:r>
                      </m:e>
                      <m:sub>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sub>
                    </m:sSub>
                  </m:e>
                  <m:sup>
                    <m:f>
                      <m:fPr>
                        <m:type m:val="skw"/>
                        <m:ctrlPr>
                          <w:rPr>
                            <w:rFonts w:ascii="Cambria Math" w:hAnsi="Cambria Math" w:cs="Arial"/>
                            <w:i/>
                          </w:rPr>
                        </m:ctrlPr>
                      </m:fPr>
                      <m:num>
                        <m:r>
                          <w:rPr>
                            <w:rFonts w:ascii="Cambria Math" w:hAnsi="Cambria Math" w:cs="Arial"/>
                          </w:rPr>
                          <m:t>1</m:t>
                        </m:r>
                      </m:num>
                      <m:den>
                        <m:r>
                          <w:rPr>
                            <w:rFonts w:ascii="Cambria Math" w:hAnsi="Cambria Math" w:cs="Arial"/>
                          </w:rPr>
                          <m:t>3</m:t>
                        </m:r>
                      </m:den>
                    </m:f>
                  </m:sup>
                </m:sSup>
              </m:oMath>
            </m:oMathPara>
          </w:p>
        </w:tc>
        <w:tc>
          <w:tcPr>
            <w:tcW w:w="801" w:type="dxa"/>
            <w:shd w:val="clear" w:color="auto" w:fill="auto"/>
            <w:vAlign w:val="center"/>
          </w:tcPr>
          <w:p w14:paraId="164A508F" w14:textId="5B8AD007" w:rsidR="0047490D" w:rsidRPr="00B57B36" w:rsidRDefault="0047490D" w:rsidP="0041376B">
            <w:pPr>
              <w:pStyle w:val="CETEquation"/>
              <w:jc w:val="right"/>
            </w:pPr>
            <w:r w:rsidRPr="00B57B36">
              <w:t>(</w:t>
            </w:r>
            <w:r w:rsidR="00DF3072">
              <w:t>4</w:t>
            </w:r>
            <w:r w:rsidRPr="00B57B36">
              <w:t>)</w:t>
            </w:r>
          </w:p>
        </w:tc>
      </w:tr>
      <w:tr w:rsidR="0047490D" w:rsidRPr="00B57B36" w14:paraId="76934DC0" w14:textId="77777777" w:rsidTr="0047490D">
        <w:tc>
          <w:tcPr>
            <w:tcW w:w="7986" w:type="dxa"/>
            <w:shd w:val="clear" w:color="auto" w:fill="auto"/>
            <w:vAlign w:val="center"/>
          </w:tcPr>
          <w:p w14:paraId="1419FC8D" w14:textId="3A83DC08" w:rsidR="0047490D" w:rsidRPr="00075FA1" w:rsidRDefault="00000000" w:rsidP="0041376B">
            <w:pPr>
              <w:pStyle w:val="CETEquation"/>
              <w:rPr>
                <w:rFonts w:cs="Arial"/>
                <w:i/>
                <w:lang w:val="nb-NO"/>
              </w:rPr>
            </w:pPr>
            <m:oMathPara>
              <m:oMathParaPr>
                <m:jc m:val="left"/>
              </m:oMathParaPr>
              <m:oMath>
                <m:sSub>
                  <m:sSubPr>
                    <m:ctrlPr>
                      <w:rPr>
                        <w:rFonts w:ascii="Cambria Math" w:hAnsi="Cambria Math" w:cs="Arial"/>
                        <w:i/>
                      </w:rPr>
                    </m:ctrlPr>
                  </m:sSubPr>
                  <m:e>
                    <m:r>
                      <m:rPr>
                        <m:nor/>
                      </m:rPr>
                      <w:rPr>
                        <w:rFonts w:cs="Arial"/>
                      </w:rPr>
                      <m:t>D</m:t>
                    </m:r>
                  </m:e>
                  <m:sub>
                    <m:r>
                      <w:rPr>
                        <w:rFonts w:ascii="Cambria Math" w:hAnsi="Cambria Math" w:cs="Arial"/>
                      </w:rPr>
                      <m:t>hms_cons</m:t>
                    </m:r>
                  </m:sub>
                </m:sSub>
                <m:r>
                  <m:rPr>
                    <m:nor/>
                  </m:rPr>
                  <w:rPr>
                    <w:rFonts w:cs="Arial"/>
                  </w:rPr>
                  <m:t xml:space="preserve"> = 19.5 </m:t>
                </m:r>
                <m:sSup>
                  <m:sSupPr>
                    <m:ctrlPr>
                      <w:rPr>
                        <w:rFonts w:ascii="Cambria Math" w:hAnsi="Cambria Math" w:cs="Arial"/>
                        <w:i/>
                      </w:rPr>
                    </m:ctrlPr>
                  </m:sSupPr>
                  <m:e>
                    <m:sSub>
                      <m:sSubPr>
                        <m:ctrlPr>
                          <w:rPr>
                            <w:rFonts w:ascii="Cambria Math" w:hAnsi="Cambria Math" w:cs="Arial"/>
                            <w:i/>
                          </w:rPr>
                        </m:ctrlPr>
                      </m:sSubPr>
                      <m:e>
                        <m:r>
                          <m:rPr>
                            <m:nor/>
                          </m:rPr>
                          <w:rPr>
                            <w:rFonts w:cs="Arial"/>
                          </w:rPr>
                          <m:t>m</m:t>
                        </m:r>
                      </m:e>
                      <m:sub>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sub>
                    </m:sSub>
                  </m:e>
                  <m:sup>
                    <m:f>
                      <m:fPr>
                        <m:type m:val="skw"/>
                        <m:ctrlPr>
                          <w:rPr>
                            <w:rFonts w:ascii="Cambria Math" w:hAnsi="Cambria Math" w:cs="Arial"/>
                            <w:i/>
                          </w:rPr>
                        </m:ctrlPr>
                      </m:fPr>
                      <m:num>
                        <m:r>
                          <w:rPr>
                            <w:rFonts w:ascii="Cambria Math" w:hAnsi="Cambria Math" w:cs="Arial"/>
                          </w:rPr>
                          <m:t>1</m:t>
                        </m:r>
                      </m:num>
                      <m:den>
                        <m:r>
                          <w:rPr>
                            <w:rFonts w:ascii="Cambria Math" w:hAnsi="Cambria Math" w:cs="Arial"/>
                          </w:rPr>
                          <m:t>3</m:t>
                        </m:r>
                      </m:den>
                    </m:f>
                  </m:sup>
                </m:sSup>
              </m:oMath>
            </m:oMathPara>
          </w:p>
        </w:tc>
        <w:tc>
          <w:tcPr>
            <w:tcW w:w="801" w:type="dxa"/>
            <w:shd w:val="clear" w:color="auto" w:fill="auto"/>
            <w:vAlign w:val="center"/>
          </w:tcPr>
          <w:p w14:paraId="43FA5B74" w14:textId="0C6EAD0B" w:rsidR="0047490D" w:rsidRPr="00B57B36" w:rsidRDefault="0047490D" w:rsidP="0041376B">
            <w:pPr>
              <w:pStyle w:val="CETEquation"/>
              <w:jc w:val="right"/>
            </w:pPr>
            <w:r>
              <w:t>(</w:t>
            </w:r>
            <w:r w:rsidR="00DF3072">
              <w:t>5</w:t>
            </w:r>
            <w:r>
              <w:t>)</w:t>
            </w:r>
          </w:p>
        </w:tc>
      </w:tr>
    </w:tbl>
    <w:p w14:paraId="3786EED2" w14:textId="0184B14F" w:rsidR="002A4A70" w:rsidRPr="00D4781B" w:rsidRDefault="006019D3" w:rsidP="00D4781B">
      <w:pPr>
        <w:pStyle w:val="CETBodytext"/>
        <w:rPr>
          <w:lang w:val="en-GB"/>
        </w:rPr>
      </w:pPr>
      <w:r>
        <w:rPr>
          <w:lang w:val="en-GB"/>
        </w:rPr>
        <w:t xml:space="preserve">Where </w:t>
      </w:r>
      <m:oMath>
        <m:sSub>
          <m:sSubPr>
            <m:ctrlPr>
              <w:rPr>
                <w:rFonts w:ascii="Cambria Math" w:hAnsi="Cambria Math" w:cs="Arial"/>
                <w:i/>
                <w:lang w:val="en-GB"/>
              </w:rPr>
            </m:ctrlPr>
          </m:sSubPr>
          <m:e>
            <m:r>
              <m:rPr>
                <m:nor/>
              </m:rPr>
              <w:rPr>
                <w:rFonts w:cs="Arial"/>
              </w:rPr>
              <m:t>D</m:t>
            </m:r>
          </m:e>
          <m:sub>
            <m:r>
              <w:rPr>
                <w:rFonts w:ascii="Cambria Math" w:hAnsi="Cambria Math" w:cs="Arial"/>
              </w:rPr>
              <m:t>hms</m:t>
            </m:r>
          </m:sub>
        </m:sSub>
      </m:oMath>
      <w:r>
        <w:rPr>
          <w:lang w:val="en-GB"/>
        </w:rPr>
        <w:t xml:space="preserve"> and  </w:t>
      </w:r>
      <m:oMath>
        <m:sSub>
          <m:sSubPr>
            <m:ctrlPr>
              <w:rPr>
                <w:rFonts w:ascii="Cambria Math" w:hAnsi="Cambria Math" w:cs="Arial"/>
                <w:i/>
                <w:lang w:val="en-GB"/>
              </w:rPr>
            </m:ctrlPr>
          </m:sSubPr>
          <m:e>
            <m:r>
              <m:rPr>
                <m:nor/>
              </m:rPr>
              <w:rPr>
                <w:rFonts w:cs="Arial"/>
              </w:rPr>
              <m:t>D</m:t>
            </m:r>
          </m:e>
          <m:sub>
            <m:r>
              <w:rPr>
                <w:rFonts w:ascii="Cambria Math" w:hAnsi="Cambria Math" w:cs="Arial"/>
              </w:rPr>
              <m:t>hms_cons</m:t>
            </m:r>
          </m:sub>
        </m:sSub>
      </m:oMath>
      <w:r>
        <w:rPr>
          <w:lang w:val="en-GB"/>
        </w:rPr>
        <w:t xml:space="preserve"> indicate the hydrogen fireball diameter</w:t>
      </w:r>
      <w:r w:rsidR="00F67EF8">
        <w:rPr>
          <w:lang w:val="en-GB"/>
        </w:rPr>
        <w:t xml:space="preserve"> in meters</w:t>
      </w:r>
      <w:r>
        <w:rPr>
          <w:lang w:val="en-GB"/>
        </w:rPr>
        <w:t xml:space="preserve"> considering it a</w:t>
      </w:r>
      <w:r w:rsidR="002E2DB6">
        <w:rPr>
          <w:lang w:val="en-GB"/>
        </w:rPr>
        <w:t>s</w:t>
      </w:r>
      <w:r>
        <w:rPr>
          <w:lang w:val="en-GB"/>
        </w:rPr>
        <w:t xml:space="preserve"> hemispherical</w:t>
      </w:r>
      <w:r w:rsidR="00E6229A">
        <w:rPr>
          <w:lang w:val="en-GB"/>
        </w:rPr>
        <w:t xml:space="preserve"> (Eq. 5 being more conservative)</w:t>
      </w:r>
      <w:r>
        <w:rPr>
          <w:lang w:val="en-GB"/>
        </w:rPr>
        <w:t xml:space="preserve"> and </w:t>
      </w:r>
      <m:oMath>
        <m:sSub>
          <m:sSubPr>
            <m:ctrlPr>
              <w:rPr>
                <w:rFonts w:ascii="Cambria Math" w:hAnsi="Cambria Math" w:cs="Arial"/>
                <w:i/>
                <w:lang w:val="en-GB"/>
              </w:rPr>
            </m:ctrlPr>
          </m:sSubPr>
          <m:e>
            <m:r>
              <m:rPr>
                <m:nor/>
              </m:rPr>
              <w:rPr>
                <w:rFonts w:cs="Arial"/>
              </w:rPr>
              <m:t>m</m:t>
            </m:r>
          </m:e>
          <m:sub>
            <m:sSub>
              <m:sSubPr>
                <m:ctrlPr>
                  <w:rPr>
                    <w:rFonts w:ascii="Cambria Math" w:hAnsi="Cambria Math" w:cs="Arial"/>
                    <w:i/>
                    <w:lang w:val="en-GB"/>
                  </w:rPr>
                </m:ctrlPr>
              </m:sSubPr>
              <m:e>
                <m:r>
                  <w:rPr>
                    <w:rFonts w:ascii="Cambria Math" w:hAnsi="Cambria Math" w:cs="Arial"/>
                  </w:rPr>
                  <m:t>H</m:t>
                </m:r>
              </m:e>
              <m:sub>
                <m:r>
                  <w:rPr>
                    <w:rFonts w:ascii="Cambria Math" w:hAnsi="Cambria Math" w:cs="Arial"/>
                  </w:rPr>
                  <m:t>2</m:t>
                </m:r>
              </m:sub>
            </m:sSub>
          </m:sub>
        </m:sSub>
      </m:oMath>
      <w:r w:rsidR="0032709E">
        <w:rPr>
          <w:lang w:val="en-GB"/>
        </w:rPr>
        <w:t>being</w:t>
      </w:r>
      <w:r>
        <w:rPr>
          <w:lang w:val="en-GB"/>
        </w:rPr>
        <w:t xml:space="preserve"> the hydrogen mass</w:t>
      </w:r>
      <w:r w:rsidR="00F67EF8">
        <w:rPr>
          <w:lang w:val="en-GB"/>
        </w:rPr>
        <w:t xml:space="preserve"> in kilograms</w:t>
      </w:r>
      <w:r>
        <w:rPr>
          <w:lang w:val="en-GB"/>
        </w:rPr>
        <w:t>. Eq. 5</w:t>
      </w:r>
      <w:r w:rsidR="0032709E">
        <w:rPr>
          <w:lang w:val="en-GB"/>
        </w:rPr>
        <w:t xml:space="preserve"> predicts</w:t>
      </w:r>
      <w:r>
        <w:rPr>
          <w:lang w:val="en-GB"/>
        </w:rPr>
        <w:t xml:space="preserve"> particularly conservative </w:t>
      </w:r>
      <w:r w:rsidR="0032709E">
        <w:rPr>
          <w:lang w:val="en-GB"/>
        </w:rPr>
        <w:t>results</w:t>
      </w:r>
      <w:r>
        <w:rPr>
          <w:lang w:val="en-GB"/>
        </w:rPr>
        <w:t xml:space="preserve">, since it is based on a </w:t>
      </w:r>
      <w:r w:rsidR="00222609">
        <w:rPr>
          <w:lang w:val="en-GB"/>
        </w:rPr>
        <w:t>flattened fireball experiment (obtain</w:t>
      </w:r>
      <w:r w:rsidR="00650FE4">
        <w:rPr>
          <w:lang w:val="en-GB"/>
        </w:rPr>
        <w:t>ed</w:t>
      </w:r>
      <w:r w:rsidR="00222609">
        <w:rPr>
          <w:lang w:val="en-GB"/>
        </w:rPr>
        <w:t xml:space="preserve"> by placing an obstacle above the exploding tank) which resulted in a</w:t>
      </w:r>
      <w:r w:rsidR="00650FE4">
        <w:rPr>
          <w:lang w:val="en-GB"/>
        </w:rPr>
        <w:t>n</w:t>
      </w:r>
      <w:r w:rsidR="00222609">
        <w:rPr>
          <w:lang w:val="en-GB"/>
        </w:rPr>
        <w:t xml:space="preserve"> increased horizontal </w:t>
      </w:r>
      <w:r w:rsidR="0037280E">
        <w:rPr>
          <w:lang w:val="en-GB"/>
        </w:rPr>
        <w:t>dimensio</w:t>
      </w:r>
      <w:r w:rsidR="00222609">
        <w:rPr>
          <w:lang w:val="en-GB"/>
        </w:rPr>
        <w:t>n</w:t>
      </w:r>
      <w:r w:rsidR="0037280E">
        <w:rPr>
          <w:lang w:val="en-GB"/>
        </w:rPr>
        <w:t xml:space="preserve"> (M</w:t>
      </w:r>
      <w:r w:rsidR="003E0E63">
        <w:rPr>
          <w:lang w:val="en-GB"/>
        </w:rPr>
        <w:t>akarov, 2021</w:t>
      </w:r>
      <w:r w:rsidR="0037280E">
        <w:rPr>
          <w:lang w:val="en-GB"/>
        </w:rPr>
        <w:t>)</w:t>
      </w:r>
      <w:r w:rsidR="00222609">
        <w:rPr>
          <w:lang w:val="en-GB"/>
        </w:rPr>
        <w:t>.</w:t>
      </w:r>
    </w:p>
    <w:p w14:paraId="04963A06" w14:textId="61A94426" w:rsidR="00600535" w:rsidRDefault="002A4A70" w:rsidP="00FA5F5F">
      <w:pPr>
        <w:pStyle w:val="CETheadingx"/>
      </w:pPr>
      <w:r>
        <w:t>Proposed Correlations</w:t>
      </w:r>
    </w:p>
    <w:p w14:paraId="6D50E8B1" w14:textId="5D51FB93" w:rsidR="00FB1C5E" w:rsidRPr="00912EDC" w:rsidRDefault="00EC2B72" w:rsidP="000B2CF5">
      <w:pPr>
        <w:pStyle w:val="CETBodytext"/>
      </w:pPr>
      <w:r>
        <w:t>As mentioned, the models proposed with</w:t>
      </w:r>
      <w:r w:rsidR="005572E9">
        <w:t>in</w:t>
      </w:r>
      <w:r>
        <w:t xml:space="preserve"> this work are obtained by fitting the experimental data of the BMW and the SH</w:t>
      </w:r>
      <w:r>
        <w:rPr>
          <w:vertAlign w:val="subscript"/>
        </w:rPr>
        <w:t>2</w:t>
      </w:r>
      <w:r>
        <w:t>IFT tests</w:t>
      </w:r>
      <w:r w:rsidR="00FE2CCE">
        <w:t xml:space="preserve"> and</w:t>
      </w:r>
      <w:r w:rsidR="00094FD0">
        <w:t xml:space="preserve"> tuning existing correlations described in Sec. 3.1. </w:t>
      </w:r>
      <w:r w:rsidR="00A17067">
        <w:t>The correlations</w:t>
      </w:r>
      <w:r w:rsidR="00FE2CCE">
        <w:t xml:space="preserve"> aim at predicting both diameter and duration of hydrogen fireballs.</w:t>
      </w:r>
      <w:r w:rsidR="00D13367">
        <w:t xml:space="preserve"> Eq. 6 and Eq. 7 estimate the fireball diameter fitting the BMW </w:t>
      </w:r>
      <w:r w:rsidR="00D13367">
        <w:lastRenderedPageBreak/>
        <w:t>and the SH</w:t>
      </w:r>
      <w:r w:rsidR="00D13367">
        <w:rPr>
          <w:vertAlign w:val="subscript"/>
        </w:rPr>
        <w:t>2</w:t>
      </w:r>
      <w:r w:rsidR="00D13367">
        <w:t>IFT tests respectively, while</w:t>
      </w:r>
      <w:r w:rsidR="00FB1C5E">
        <w:t xml:space="preserve"> Eq. 8</w:t>
      </w:r>
      <w:r w:rsidR="00912EDC">
        <w:t xml:space="preserve"> and Eq. 9</w:t>
      </w:r>
      <w:r w:rsidR="00FB1C5E">
        <w:t xml:space="preserve"> </w:t>
      </w:r>
      <w:r w:rsidR="008E26E6">
        <w:t>calculate</w:t>
      </w:r>
      <w:r w:rsidR="00FB1C5E">
        <w:t xml:space="preserve"> the fireball duration.</w:t>
      </w:r>
      <w:r w:rsidR="005572E9">
        <w:t xml:space="preserve"> In addition, Eq. </w:t>
      </w:r>
      <w:r w:rsidR="00912EDC">
        <w:t>8</w:t>
      </w:r>
      <w:r w:rsidR="005572E9">
        <w:t xml:space="preserve"> and Eq. </w:t>
      </w:r>
      <w:r w:rsidR="00912EDC">
        <w:t>9</w:t>
      </w:r>
      <w:r w:rsidR="005572E9">
        <w:t xml:space="preserve"> are conceived to </w:t>
      </w:r>
      <w:r w:rsidR="008E26E6">
        <w:t>predict</w:t>
      </w:r>
      <w:r w:rsidR="005572E9">
        <w:t xml:space="preserve"> the fireball </w:t>
      </w:r>
      <w:r w:rsidR="001B5E3C">
        <w:t>duration</w:t>
      </w:r>
      <w:r w:rsidR="009B6BD7">
        <w:t xml:space="preserve"> </w:t>
      </w:r>
      <w:r w:rsidR="00DD072B">
        <w:t>similarly to</w:t>
      </w:r>
      <w:r w:rsidR="009B6BD7">
        <w:t xml:space="preserve"> the buoyancy-driven </w:t>
      </w:r>
      <w:r w:rsidR="00CC0D3D">
        <w:t>case</w:t>
      </w:r>
      <w:r w:rsidR="00F67EF8">
        <w:t>,</w:t>
      </w:r>
      <w:r w:rsidR="00CC0D3D">
        <w:t xml:space="preserve"> but</w:t>
      </w:r>
      <w:r w:rsidR="005572E9">
        <w:t xml:space="preserve"> </w:t>
      </w:r>
      <w:r w:rsidR="00F67EF8">
        <w:t xml:space="preserve">they </w:t>
      </w:r>
      <w:r w:rsidR="005572E9">
        <w:t xml:space="preserve">are built </w:t>
      </w:r>
      <w:r w:rsidR="00912EDC">
        <w:t>fitting the experimental data of both the BMW and the SH</w:t>
      </w:r>
      <w:r w:rsidR="00912EDC">
        <w:rPr>
          <w:vertAlign w:val="subscript"/>
        </w:rPr>
        <w:t>2</w:t>
      </w:r>
      <w:r w:rsidR="00912EDC">
        <w:t>IFT BLEVEs respectively.</w:t>
      </w:r>
      <w:r w:rsidR="00E5712B">
        <w:t xml:space="preserve"> In fact, the buo</w:t>
      </w:r>
      <w:r w:rsidR="007844BD">
        <w:t xml:space="preserve">yancy-driven model is more </w:t>
      </w:r>
      <w:r w:rsidR="00030B6B">
        <w:t>accurate for hydrogen fireballs than the momentum-driven, as it is shown below.</w:t>
      </w:r>
    </w:p>
    <w:tbl>
      <w:tblPr>
        <w:tblW w:w="5000" w:type="pct"/>
        <w:tblLook w:val="04A0" w:firstRow="1" w:lastRow="0" w:firstColumn="1" w:lastColumn="0" w:noHBand="0" w:noVBand="1"/>
      </w:tblPr>
      <w:tblGrid>
        <w:gridCol w:w="7981"/>
        <w:gridCol w:w="806"/>
      </w:tblGrid>
      <w:tr w:rsidR="00FB1C5E" w:rsidRPr="00B57B36" w14:paraId="55706955" w14:textId="77777777" w:rsidTr="00876E6F">
        <w:tc>
          <w:tcPr>
            <w:tcW w:w="7981" w:type="dxa"/>
            <w:shd w:val="clear" w:color="auto" w:fill="auto"/>
            <w:vAlign w:val="center"/>
          </w:tcPr>
          <w:p w14:paraId="2A2B0FDB" w14:textId="2C9700C9" w:rsidR="00FB1C5E" w:rsidRPr="00075FA1" w:rsidRDefault="00FB1C5E" w:rsidP="0041376B">
            <w:pPr>
              <w:pStyle w:val="CETEquation"/>
            </w:pPr>
            <m:oMath>
              <m:r>
                <m:rPr>
                  <m:nor/>
                </m:rPr>
                <w:rPr>
                  <w:rFonts w:cs="Arial"/>
                </w:rPr>
                <m:t xml:space="preserve">D = 16.44 </m:t>
              </m:r>
              <m:sSup>
                <m:sSupPr>
                  <m:ctrlPr>
                    <w:rPr>
                      <w:rFonts w:ascii="Cambria Math" w:hAnsi="Cambria Math" w:cs="Arial"/>
                      <w:i/>
                    </w:rPr>
                  </m:ctrlPr>
                </m:sSupPr>
                <m:e>
                  <m:sSub>
                    <m:sSubPr>
                      <m:ctrlPr>
                        <w:rPr>
                          <w:rFonts w:ascii="Cambria Math" w:hAnsi="Cambria Math" w:cs="Arial"/>
                          <w:i/>
                        </w:rPr>
                      </m:ctrlPr>
                    </m:sSubPr>
                    <m:e>
                      <m:r>
                        <m:rPr>
                          <m:nor/>
                        </m:rPr>
                        <w:rPr>
                          <w:rFonts w:cs="Arial"/>
                        </w:rPr>
                        <m:t>m</m:t>
                      </m:r>
                    </m:e>
                    <m:sub>
                      <m:r>
                        <w:rPr>
                          <w:rFonts w:ascii="Cambria Math" w:hAnsi="Cambria Math" w:cs="Arial"/>
                        </w:rPr>
                        <m:t>f</m:t>
                      </m:r>
                    </m:sub>
                  </m:sSub>
                </m:e>
                <m:sup>
                  <m:f>
                    <m:fPr>
                      <m:type m:val="skw"/>
                      <m:ctrlPr>
                        <w:rPr>
                          <w:rFonts w:ascii="Cambria Math" w:hAnsi="Cambria Math" w:cs="Arial"/>
                          <w:i/>
                        </w:rPr>
                      </m:ctrlPr>
                    </m:fPr>
                    <m:num>
                      <m:r>
                        <w:rPr>
                          <w:rFonts w:ascii="Cambria Math" w:hAnsi="Cambria Math" w:cs="Arial"/>
                        </w:rPr>
                        <m:t>1</m:t>
                      </m:r>
                    </m:num>
                    <m:den>
                      <m:r>
                        <w:rPr>
                          <w:rFonts w:ascii="Cambria Math" w:hAnsi="Cambria Math" w:cs="Arial"/>
                        </w:rPr>
                        <m:t>3</m:t>
                      </m:r>
                    </m:den>
                  </m:f>
                </m:sup>
              </m:sSup>
            </m:oMath>
            <w:r w:rsidR="0046602A">
              <w:t xml:space="preserve"> BMW-fit</w:t>
            </w:r>
          </w:p>
        </w:tc>
        <w:tc>
          <w:tcPr>
            <w:tcW w:w="806" w:type="dxa"/>
            <w:shd w:val="clear" w:color="auto" w:fill="auto"/>
            <w:vAlign w:val="center"/>
          </w:tcPr>
          <w:p w14:paraId="510C06DF" w14:textId="629D4383" w:rsidR="00FB1C5E" w:rsidRPr="00B57B36" w:rsidRDefault="00FB1C5E" w:rsidP="0041376B">
            <w:pPr>
              <w:pStyle w:val="CETEquation"/>
              <w:jc w:val="right"/>
            </w:pPr>
            <w:r w:rsidRPr="00B57B36">
              <w:t>(</w:t>
            </w:r>
            <w:r w:rsidR="005572E9">
              <w:t>6</w:t>
            </w:r>
            <w:r w:rsidRPr="00B57B36">
              <w:t>)</w:t>
            </w:r>
          </w:p>
        </w:tc>
      </w:tr>
      <w:tr w:rsidR="00FB1C5E" w:rsidRPr="00B57B36" w14:paraId="19EC001C" w14:textId="77777777" w:rsidTr="00876E6F">
        <w:tc>
          <w:tcPr>
            <w:tcW w:w="7981" w:type="dxa"/>
            <w:shd w:val="clear" w:color="auto" w:fill="auto"/>
            <w:vAlign w:val="center"/>
          </w:tcPr>
          <w:p w14:paraId="5485D74A" w14:textId="69BCD752" w:rsidR="00FB1C5E" w:rsidRPr="0046602A" w:rsidRDefault="00FB1C5E" w:rsidP="0041376B">
            <w:pPr>
              <w:pStyle w:val="CETEquation"/>
              <w:rPr>
                <w:rFonts w:cs="Arial"/>
                <w:iCs/>
                <w:lang w:val="en-US"/>
              </w:rPr>
            </w:pPr>
            <m:oMath>
              <m:r>
                <m:rPr>
                  <m:nor/>
                </m:rPr>
                <w:rPr>
                  <w:rFonts w:cs="Arial"/>
                </w:rPr>
                <m:t xml:space="preserve">D = 10.97 </m:t>
              </m:r>
              <m:sSup>
                <m:sSupPr>
                  <m:ctrlPr>
                    <w:rPr>
                      <w:rFonts w:ascii="Cambria Math" w:hAnsi="Cambria Math" w:cs="Arial"/>
                      <w:i/>
                    </w:rPr>
                  </m:ctrlPr>
                </m:sSupPr>
                <m:e>
                  <m:sSub>
                    <m:sSubPr>
                      <m:ctrlPr>
                        <w:rPr>
                          <w:rFonts w:ascii="Cambria Math" w:hAnsi="Cambria Math" w:cs="Arial"/>
                          <w:i/>
                        </w:rPr>
                      </m:ctrlPr>
                    </m:sSubPr>
                    <m:e>
                      <m:r>
                        <m:rPr>
                          <m:nor/>
                        </m:rPr>
                        <w:rPr>
                          <w:rFonts w:cs="Arial"/>
                        </w:rPr>
                        <m:t>m</m:t>
                      </m:r>
                    </m:e>
                    <m:sub>
                      <m:r>
                        <w:rPr>
                          <w:rFonts w:ascii="Cambria Math" w:hAnsi="Cambria Math" w:cs="Arial"/>
                        </w:rPr>
                        <m:t>f</m:t>
                      </m:r>
                    </m:sub>
                  </m:sSub>
                </m:e>
                <m:sup>
                  <m:f>
                    <m:fPr>
                      <m:type m:val="skw"/>
                      <m:ctrlPr>
                        <w:rPr>
                          <w:rFonts w:ascii="Cambria Math" w:hAnsi="Cambria Math" w:cs="Arial"/>
                          <w:i/>
                        </w:rPr>
                      </m:ctrlPr>
                    </m:fPr>
                    <m:num>
                      <m:r>
                        <w:rPr>
                          <w:rFonts w:ascii="Cambria Math" w:hAnsi="Cambria Math" w:cs="Arial"/>
                        </w:rPr>
                        <m:t>1</m:t>
                      </m:r>
                    </m:num>
                    <m:den>
                      <m:r>
                        <w:rPr>
                          <w:rFonts w:ascii="Cambria Math" w:hAnsi="Cambria Math" w:cs="Arial"/>
                        </w:rPr>
                        <m:t>3</m:t>
                      </m:r>
                    </m:den>
                  </m:f>
                </m:sup>
              </m:sSup>
            </m:oMath>
            <w:r w:rsidR="0046602A">
              <w:rPr>
                <w:rFonts w:cs="Arial"/>
              </w:rPr>
              <w:t xml:space="preserve"> </w:t>
            </w:r>
            <w:r w:rsidR="0046602A">
              <w:rPr>
                <w:rFonts w:cs="Arial"/>
                <w:iCs/>
              </w:rPr>
              <w:t>SH</w:t>
            </w:r>
            <w:r w:rsidR="0046602A">
              <w:rPr>
                <w:rFonts w:cs="Arial"/>
                <w:iCs/>
                <w:vertAlign w:val="subscript"/>
              </w:rPr>
              <w:t>2</w:t>
            </w:r>
            <w:r w:rsidR="0046602A">
              <w:rPr>
                <w:rFonts w:cs="Arial"/>
                <w:iCs/>
              </w:rPr>
              <w:t>IFT-fit</w:t>
            </w:r>
          </w:p>
        </w:tc>
        <w:tc>
          <w:tcPr>
            <w:tcW w:w="806" w:type="dxa"/>
            <w:shd w:val="clear" w:color="auto" w:fill="auto"/>
            <w:vAlign w:val="center"/>
          </w:tcPr>
          <w:p w14:paraId="2DA123ED" w14:textId="4FABFA25" w:rsidR="00FB1C5E" w:rsidRPr="00B57B36" w:rsidRDefault="00FB1C5E" w:rsidP="0041376B">
            <w:pPr>
              <w:pStyle w:val="CETEquation"/>
              <w:jc w:val="right"/>
            </w:pPr>
            <w:r>
              <w:t>(</w:t>
            </w:r>
            <w:r w:rsidR="005572E9">
              <w:t>7</w:t>
            </w:r>
            <w:r>
              <w:t>)</w:t>
            </w:r>
          </w:p>
        </w:tc>
      </w:tr>
      <w:tr w:rsidR="005572E9" w:rsidRPr="00BA0388" w14:paraId="1B85BE40" w14:textId="7F11281E" w:rsidTr="00876E6F">
        <w:tc>
          <w:tcPr>
            <w:tcW w:w="7981" w:type="dxa"/>
            <w:shd w:val="clear" w:color="auto" w:fill="auto"/>
            <w:vAlign w:val="center"/>
          </w:tcPr>
          <w:p w14:paraId="48852F56" w14:textId="1745D0A3" w:rsidR="005572E9" w:rsidRPr="00876E6F" w:rsidRDefault="00876E6F" w:rsidP="0041376B">
            <w:pPr>
              <w:pStyle w:val="CETEquation"/>
              <w:rPr>
                <w:lang w:val="nb-NO"/>
              </w:rPr>
            </w:pPr>
            <m:oMath>
              <m:r>
                <m:rPr>
                  <m:nor/>
                </m:rPr>
                <w:rPr>
                  <w:rFonts w:cs="Arial"/>
                  <w:iCs/>
                  <w:lang w:val="de-DE"/>
                </w:rPr>
                <m:t>t</m:t>
              </m:r>
              <m:r>
                <m:rPr>
                  <m:nor/>
                </m:rPr>
                <w:rPr>
                  <w:rFonts w:cs="Arial"/>
                  <w:lang w:val="de-DE"/>
                </w:rPr>
                <m:t xml:space="preserve"> = 3.63  </m:t>
              </m:r>
              <m:sSup>
                <m:sSupPr>
                  <m:ctrlPr>
                    <w:rPr>
                      <w:rFonts w:ascii="Cambria Math" w:hAnsi="Cambria Math" w:cs="Arial"/>
                      <w:i/>
                    </w:rPr>
                  </m:ctrlPr>
                </m:sSupPr>
                <m:e>
                  <m:sSub>
                    <m:sSubPr>
                      <m:ctrlPr>
                        <w:rPr>
                          <w:rFonts w:ascii="Cambria Math" w:hAnsi="Cambria Math" w:cs="Arial"/>
                          <w:i/>
                        </w:rPr>
                      </m:ctrlPr>
                    </m:sSubPr>
                    <m:e>
                      <m:r>
                        <m:rPr>
                          <m:nor/>
                        </m:rPr>
                        <w:rPr>
                          <w:rFonts w:cs="Arial"/>
                          <w:lang w:val="de-DE"/>
                        </w:rPr>
                        <m:t>m</m:t>
                      </m:r>
                    </m:e>
                    <m:sub>
                      <m:sSub>
                        <m:sSubPr>
                          <m:ctrlPr>
                            <w:rPr>
                              <w:rFonts w:ascii="Cambria Math" w:hAnsi="Cambria Math" w:cs="Arial"/>
                              <w:i/>
                            </w:rPr>
                          </m:ctrlPr>
                        </m:sSubPr>
                        <m:e>
                          <m:r>
                            <w:rPr>
                              <w:rFonts w:ascii="Cambria Math" w:hAnsi="Cambria Math" w:cs="Arial"/>
                            </w:rPr>
                            <m:t>H</m:t>
                          </m:r>
                        </m:e>
                        <m:sub>
                          <m:r>
                            <w:rPr>
                              <w:rFonts w:ascii="Cambria Math" w:hAnsi="Cambria Math" w:cs="Arial"/>
                              <w:lang w:val="de-DE"/>
                            </w:rPr>
                            <m:t>2</m:t>
                          </m:r>
                        </m:sub>
                      </m:sSub>
                    </m:sub>
                  </m:sSub>
                </m:e>
                <m:sup>
                  <m:f>
                    <m:fPr>
                      <m:type m:val="skw"/>
                      <m:ctrlPr>
                        <w:rPr>
                          <w:rFonts w:ascii="Cambria Math" w:hAnsi="Cambria Math" w:cs="Arial"/>
                          <w:i/>
                        </w:rPr>
                      </m:ctrlPr>
                    </m:fPr>
                    <m:num>
                      <m:r>
                        <w:rPr>
                          <w:rFonts w:ascii="Cambria Math" w:hAnsi="Cambria Math" w:cs="Arial"/>
                          <w:lang w:val="de-DE"/>
                        </w:rPr>
                        <m:t>1</m:t>
                      </m:r>
                    </m:num>
                    <m:den>
                      <m:r>
                        <w:rPr>
                          <w:rFonts w:ascii="Cambria Math" w:hAnsi="Cambria Math" w:cs="Arial"/>
                        </w:rPr>
                        <m:t>6</m:t>
                      </m:r>
                    </m:den>
                  </m:f>
                </m:sup>
              </m:sSup>
            </m:oMath>
            <w:r w:rsidR="00BA0388" w:rsidRPr="004A407D">
              <w:rPr>
                <w:lang w:val="de-DE"/>
              </w:rPr>
              <w:t xml:space="preserve"> </w:t>
            </w:r>
            <w:r w:rsidR="00BA0388">
              <w:rPr>
                <w:lang w:val="de-DE"/>
              </w:rPr>
              <w:t xml:space="preserve"> </w:t>
            </w:r>
            <w:r>
              <w:rPr>
                <w:lang w:val="de-DE"/>
              </w:rPr>
              <w:t>BMW-fit</w:t>
            </w:r>
          </w:p>
        </w:tc>
        <w:tc>
          <w:tcPr>
            <w:tcW w:w="806" w:type="dxa"/>
            <w:shd w:val="clear" w:color="auto" w:fill="auto"/>
            <w:vAlign w:val="center"/>
          </w:tcPr>
          <w:p w14:paraId="3875D554" w14:textId="0E31A1FC" w:rsidR="005572E9" w:rsidRPr="00BA0388" w:rsidRDefault="00967D77" w:rsidP="0041376B">
            <w:pPr>
              <w:pStyle w:val="CETEquation"/>
              <w:jc w:val="right"/>
              <w:rPr>
                <w:lang w:val="de-DE"/>
              </w:rPr>
            </w:pPr>
            <w:r>
              <w:rPr>
                <w:lang w:val="de-DE"/>
              </w:rPr>
              <w:t>(</w:t>
            </w:r>
            <w:r w:rsidR="00876E6F">
              <w:rPr>
                <w:lang w:val="de-DE"/>
              </w:rPr>
              <w:t>8</w:t>
            </w:r>
            <w:r>
              <w:rPr>
                <w:lang w:val="de-DE"/>
              </w:rPr>
              <w:t>)</w:t>
            </w:r>
          </w:p>
        </w:tc>
      </w:tr>
      <w:tr w:rsidR="005572E9" w:rsidRPr="00DE451B" w14:paraId="4387C90A" w14:textId="13BB8379" w:rsidTr="00876E6F">
        <w:tc>
          <w:tcPr>
            <w:tcW w:w="7981" w:type="dxa"/>
            <w:shd w:val="clear" w:color="auto" w:fill="auto"/>
            <w:vAlign w:val="center"/>
          </w:tcPr>
          <w:p w14:paraId="745686D2" w14:textId="03EF97EF" w:rsidR="005572E9" w:rsidRPr="00876E6F" w:rsidRDefault="00876E6F" w:rsidP="0041376B">
            <w:pPr>
              <w:pStyle w:val="CETEquation"/>
              <w:rPr>
                <w:lang w:val="en-US"/>
              </w:rPr>
            </w:pPr>
            <m:oMath>
              <m:r>
                <m:rPr>
                  <m:nor/>
                </m:rPr>
                <w:rPr>
                  <w:rFonts w:cs="Arial"/>
                  <w:iCs/>
                  <w:lang w:val="de-DE"/>
                </w:rPr>
                <m:t>t</m:t>
              </m:r>
              <m:r>
                <m:rPr>
                  <m:nor/>
                </m:rPr>
                <w:rPr>
                  <w:rFonts w:cs="Arial"/>
                  <w:lang w:val="en-US"/>
                </w:rPr>
                <m:t xml:space="preserve"> = 3.26 </m:t>
              </m:r>
              <m:sSup>
                <m:sSupPr>
                  <m:ctrlPr>
                    <w:rPr>
                      <w:rFonts w:ascii="Cambria Math" w:hAnsi="Cambria Math" w:cs="Arial"/>
                      <w:i/>
                    </w:rPr>
                  </m:ctrlPr>
                </m:sSupPr>
                <m:e>
                  <m:sSub>
                    <m:sSubPr>
                      <m:ctrlPr>
                        <w:rPr>
                          <w:rFonts w:ascii="Cambria Math" w:hAnsi="Cambria Math" w:cs="Arial"/>
                          <w:i/>
                        </w:rPr>
                      </m:ctrlPr>
                    </m:sSubPr>
                    <m:e>
                      <m:r>
                        <m:rPr>
                          <m:nor/>
                        </m:rPr>
                        <w:rPr>
                          <w:rFonts w:cs="Arial"/>
                          <w:lang w:val="en-US"/>
                        </w:rPr>
                        <m:t>m</m:t>
                      </m:r>
                    </m:e>
                    <m:sub>
                      <m:sSub>
                        <m:sSubPr>
                          <m:ctrlPr>
                            <w:rPr>
                              <w:rFonts w:ascii="Cambria Math" w:hAnsi="Cambria Math" w:cs="Arial"/>
                              <w:i/>
                            </w:rPr>
                          </m:ctrlPr>
                        </m:sSubPr>
                        <m:e>
                          <m:r>
                            <w:rPr>
                              <w:rFonts w:ascii="Cambria Math" w:hAnsi="Cambria Math" w:cs="Arial"/>
                            </w:rPr>
                            <m:t>H</m:t>
                          </m:r>
                        </m:e>
                        <m:sub>
                          <m:r>
                            <w:rPr>
                              <w:rFonts w:ascii="Cambria Math" w:hAnsi="Cambria Math" w:cs="Arial"/>
                              <w:lang w:val="en-US"/>
                            </w:rPr>
                            <m:t>2</m:t>
                          </m:r>
                        </m:sub>
                      </m:sSub>
                    </m:sub>
                  </m:sSub>
                </m:e>
                <m:sup>
                  <m:f>
                    <m:fPr>
                      <m:type m:val="skw"/>
                      <m:ctrlPr>
                        <w:rPr>
                          <w:rFonts w:ascii="Cambria Math" w:hAnsi="Cambria Math" w:cs="Arial"/>
                          <w:i/>
                        </w:rPr>
                      </m:ctrlPr>
                    </m:fPr>
                    <m:num>
                      <m:r>
                        <w:rPr>
                          <w:rFonts w:ascii="Cambria Math" w:hAnsi="Cambria Math" w:cs="Arial"/>
                          <w:lang w:val="en-US"/>
                        </w:rPr>
                        <m:t>1</m:t>
                      </m:r>
                    </m:num>
                    <m:den>
                      <m:r>
                        <w:rPr>
                          <w:rFonts w:ascii="Cambria Math" w:hAnsi="Cambria Math" w:cs="Arial"/>
                        </w:rPr>
                        <m:t>6</m:t>
                      </m:r>
                    </m:den>
                  </m:f>
                </m:sup>
              </m:sSup>
            </m:oMath>
            <w:r w:rsidR="00BA0388" w:rsidRPr="00DE451B">
              <w:rPr>
                <w:lang w:val="en-US"/>
              </w:rPr>
              <w:t xml:space="preserve">  </w:t>
            </w:r>
            <w:r>
              <w:rPr>
                <w:lang w:val="en-US"/>
              </w:rPr>
              <w:t>SH</w:t>
            </w:r>
            <w:r>
              <w:rPr>
                <w:vertAlign w:val="subscript"/>
                <w:lang w:val="en-US"/>
              </w:rPr>
              <w:t>2</w:t>
            </w:r>
            <w:r>
              <w:rPr>
                <w:lang w:val="en-US"/>
              </w:rPr>
              <w:t>IFT-fit</w:t>
            </w:r>
          </w:p>
        </w:tc>
        <w:tc>
          <w:tcPr>
            <w:tcW w:w="806" w:type="dxa"/>
            <w:shd w:val="clear" w:color="auto" w:fill="auto"/>
            <w:vAlign w:val="center"/>
          </w:tcPr>
          <w:p w14:paraId="367F0FA4" w14:textId="23BEB435" w:rsidR="005572E9" w:rsidRPr="00DE451B" w:rsidRDefault="00967D77" w:rsidP="0041376B">
            <w:pPr>
              <w:pStyle w:val="CETEquation"/>
              <w:jc w:val="right"/>
              <w:rPr>
                <w:lang w:val="en-US"/>
              </w:rPr>
            </w:pPr>
            <w:r>
              <w:rPr>
                <w:lang w:val="en-US"/>
              </w:rPr>
              <w:t>(</w:t>
            </w:r>
            <w:r w:rsidR="00876E6F">
              <w:rPr>
                <w:lang w:val="en-US"/>
              </w:rPr>
              <w:t>9</w:t>
            </w:r>
            <w:r>
              <w:rPr>
                <w:lang w:val="en-US"/>
              </w:rPr>
              <w:t>)</w:t>
            </w:r>
          </w:p>
        </w:tc>
      </w:tr>
    </w:tbl>
    <w:p w14:paraId="1F96CA21" w14:textId="49554109" w:rsidR="00600535" w:rsidRDefault="00FE2CCE" w:rsidP="00D70259">
      <w:pPr>
        <w:pStyle w:val="CETBodytext"/>
      </w:pPr>
      <w:r w:rsidRPr="00270EB4">
        <w:t xml:space="preserve">In accordance with the models found in literature, these correlations are also based on the fuel mass contained in the exploding vessels, so </w:t>
      </w:r>
      <w:r w:rsidR="009B23DB">
        <w:t xml:space="preserve">a high accuracy in the mass measurement is </w:t>
      </w:r>
      <w:r w:rsidRPr="00270EB4">
        <w:t xml:space="preserve">deemed </w:t>
      </w:r>
      <w:r w:rsidR="009B23DB">
        <w:t xml:space="preserve">as </w:t>
      </w:r>
      <w:r w:rsidRPr="00270EB4">
        <w:t xml:space="preserve">necessary </w:t>
      </w:r>
      <w:r w:rsidR="009B23DB">
        <w:t>for future experimental tests</w:t>
      </w:r>
      <w:r w:rsidRPr="00270EB4">
        <w:t>.</w:t>
      </w:r>
      <w:r w:rsidR="00D13367" w:rsidRPr="00270EB4">
        <w:t xml:space="preserve"> </w:t>
      </w:r>
    </w:p>
    <w:p w14:paraId="24CD4AE3" w14:textId="77777777" w:rsidR="0011092D" w:rsidRDefault="0011092D" w:rsidP="00D70259">
      <w:pPr>
        <w:pStyle w:val="CETBodytext"/>
      </w:pPr>
    </w:p>
    <w:p w14:paraId="0AD2BF82" w14:textId="2CDE9F32" w:rsidR="00A3468F" w:rsidRDefault="00D70259" w:rsidP="005F52B5">
      <w:pPr>
        <w:pStyle w:val="CETHeading1"/>
        <w:tabs>
          <w:tab w:val="clear" w:pos="360"/>
          <w:tab w:val="right" w:pos="7100"/>
        </w:tabs>
        <w:spacing w:before="120"/>
        <w:jc w:val="both"/>
        <w:rPr>
          <w:lang w:val="en-GB"/>
        </w:rPr>
      </w:pPr>
      <w:r>
        <w:rPr>
          <w:lang w:val="en-GB"/>
        </w:rPr>
        <w:t>Results</w:t>
      </w:r>
      <w:r w:rsidR="00B83004">
        <w:rPr>
          <w:lang w:val="en-GB"/>
        </w:rPr>
        <w:t xml:space="preserve"> and Discussion</w:t>
      </w:r>
    </w:p>
    <w:p w14:paraId="17DEDA5E" w14:textId="5937613F" w:rsidR="002C3139" w:rsidRDefault="007814D9" w:rsidP="00112240">
      <w:pPr>
        <w:pStyle w:val="CETBodytext"/>
      </w:pPr>
      <w:r>
        <w:t xml:space="preserve">The obtained results </w:t>
      </w:r>
      <w:r w:rsidR="00B84978">
        <w:t xml:space="preserve">(Figure 1a) </w:t>
      </w:r>
      <w:r>
        <w:t xml:space="preserve">show how the models </w:t>
      </w:r>
      <w:r w:rsidR="00B84978">
        <w:t>proposed with this work (</w:t>
      </w:r>
      <w:r w:rsidR="001A23BF">
        <w:t>Eq. 6 and Eq. 7</w:t>
      </w:r>
      <w:r w:rsidR="00B84978">
        <w:t xml:space="preserve">) </w:t>
      </w:r>
      <w:r>
        <w:t xml:space="preserve">generally overestimate the PVBs fireball diameters, </w:t>
      </w:r>
      <w:proofErr w:type="gramStart"/>
      <w:r>
        <w:t>with the exception of</w:t>
      </w:r>
      <w:proofErr w:type="gramEnd"/>
      <w:r>
        <w:t xml:space="preserve"> the flattened fireball</w:t>
      </w:r>
      <w:r w:rsidR="0046602A">
        <w:t xml:space="preserve"> of the Zalosh-2 test</w:t>
      </w:r>
      <w:r>
        <w:t>, which w</w:t>
      </w:r>
      <w:r w:rsidR="0046602A">
        <w:t>as</w:t>
      </w:r>
      <w:r>
        <w:t xml:space="preserve"> characterized by </w:t>
      </w:r>
      <w:r w:rsidR="0046602A">
        <w:t xml:space="preserve">an </w:t>
      </w:r>
      <w:r>
        <w:t xml:space="preserve">exceptionally higher horizontal dimension. </w:t>
      </w:r>
      <w:r w:rsidR="00390BC7" w:rsidRPr="007814D9">
        <w:rPr>
          <w:lang w:val="en-GB"/>
        </w:rPr>
        <w:t>Figure 1</w:t>
      </w:r>
      <w:r w:rsidR="0046602A">
        <w:rPr>
          <w:lang w:val="en-GB"/>
        </w:rPr>
        <w:t>a</w:t>
      </w:r>
      <w:r w:rsidR="00AE00E5">
        <w:rPr>
          <w:lang w:val="en-GB"/>
        </w:rPr>
        <w:t xml:space="preserve"> also</w:t>
      </w:r>
      <w:r w:rsidR="0046602A">
        <w:rPr>
          <w:lang w:val="en-GB"/>
        </w:rPr>
        <w:t xml:space="preserve"> </w:t>
      </w:r>
      <w:r w:rsidR="00390BC7" w:rsidRPr="007814D9">
        <w:rPr>
          <w:lang w:val="en-GB"/>
        </w:rPr>
        <w:t>depict</w:t>
      </w:r>
      <w:r w:rsidR="00D8211D">
        <w:rPr>
          <w:lang w:val="en-GB"/>
        </w:rPr>
        <w:t>s</w:t>
      </w:r>
      <w:r w:rsidR="00390BC7" w:rsidRPr="007814D9">
        <w:rPr>
          <w:lang w:val="en-GB"/>
        </w:rPr>
        <w:t xml:space="preserve"> the </w:t>
      </w:r>
      <w:r>
        <w:rPr>
          <w:lang w:val="en-GB"/>
        </w:rPr>
        <w:t>two new</w:t>
      </w:r>
      <w:r w:rsidR="00390BC7" w:rsidRPr="007814D9">
        <w:rPr>
          <w:lang w:val="en-GB"/>
        </w:rPr>
        <w:t xml:space="preserve"> models</w:t>
      </w:r>
      <w:r w:rsidR="00390582">
        <w:rPr>
          <w:lang w:val="en-GB"/>
        </w:rPr>
        <w:t xml:space="preserve">, </w:t>
      </w:r>
      <w:r w:rsidR="00390BC7" w:rsidRPr="007814D9">
        <w:rPr>
          <w:lang w:val="en-GB"/>
        </w:rPr>
        <w:t>named BMW</w:t>
      </w:r>
      <w:r w:rsidR="00B85A40">
        <w:rPr>
          <w:lang w:val="en-GB"/>
        </w:rPr>
        <w:t>-</w:t>
      </w:r>
      <w:r w:rsidR="00390BC7" w:rsidRPr="007814D9">
        <w:rPr>
          <w:lang w:val="en-GB"/>
        </w:rPr>
        <w:t>fit</w:t>
      </w:r>
      <w:r w:rsidR="00390582">
        <w:rPr>
          <w:lang w:val="en-GB"/>
        </w:rPr>
        <w:t xml:space="preserve"> (Eq. 6)</w:t>
      </w:r>
      <w:r w:rsidR="00390BC7" w:rsidRPr="007814D9">
        <w:rPr>
          <w:lang w:val="en-GB"/>
        </w:rPr>
        <w:t xml:space="preserve"> and SH</w:t>
      </w:r>
      <w:r w:rsidR="00390BC7" w:rsidRPr="007814D9">
        <w:rPr>
          <w:vertAlign w:val="subscript"/>
          <w:lang w:val="en-GB"/>
        </w:rPr>
        <w:t>2</w:t>
      </w:r>
      <w:r w:rsidR="00390BC7" w:rsidRPr="007814D9">
        <w:rPr>
          <w:lang w:val="en-GB"/>
        </w:rPr>
        <w:t>IFT</w:t>
      </w:r>
      <w:r w:rsidR="00B85A40">
        <w:rPr>
          <w:lang w:val="en-GB"/>
        </w:rPr>
        <w:t>-</w:t>
      </w:r>
      <w:r w:rsidR="00390BC7" w:rsidRPr="007814D9">
        <w:rPr>
          <w:lang w:val="en-GB"/>
        </w:rPr>
        <w:t xml:space="preserve">fit </w:t>
      </w:r>
      <w:r w:rsidR="00390582">
        <w:rPr>
          <w:lang w:val="en-GB"/>
        </w:rPr>
        <w:t>(Eq. 7),</w:t>
      </w:r>
      <w:r w:rsidR="00390BC7" w:rsidRPr="007814D9">
        <w:rPr>
          <w:lang w:val="en-GB"/>
        </w:rPr>
        <w:t xml:space="preserve"> which fit the data of the </w:t>
      </w:r>
      <w:r w:rsidR="001C4C42">
        <w:rPr>
          <w:lang w:val="en-GB"/>
        </w:rPr>
        <w:t xml:space="preserve">BMW and SH2IFT </w:t>
      </w:r>
      <w:r w:rsidR="00390BC7" w:rsidRPr="007814D9">
        <w:rPr>
          <w:lang w:val="en-GB"/>
        </w:rPr>
        <w:t>BLEVE</w:t>
      </w:r>
      <w:r w:rsidR="001C4C42" w:rsidRPr="001C4C42">
        <w:rPr>
          <w:lang w:val="en-GB"/>
        </w:rPr>
        <w:t xml:space="preserve"> </w:t>
      </w:r>
      <w:r w:rsidR="00D217A8" w:rsidRPr="007814D9">
        <w:rPr>
          <w:lang w:val="en-GB"/>
        </w:rPr>
        <w:t>experiment</w:t>
      </w:r>
      <w:r w:rsidR="00D217A8">
        <w:rPr>
          <w:lang w:val="en-GB"/>
        </w:rPr>
        <w:t>s,</w:t>
      </w:r>
      <w:r w:rsidR="00D217A8" w:rsidRPr="007814D9">
        <w:rPr>
          <w:lang w:val="en-GB"/>
        </w:rPr>
        <w:t xml:space="preserve"> </w:t>
      </w:r>
      <w:r w:rsidR="001C4C42" w:rsidRPr="007814D9">
        <w:rPr>
          <w:lang w:val="en-GB"/>
        </w:rPr>
        <w:t>respectively</w:t>
      </w:r>
      <w:r w:rsidR="00390BC7" w:rsidRPr="007814D9">
        <w:rPr>
          <w:lang w:val="en-GB"/>
        </w:rPr>
        <w:t>. The uncertainties concerning the mass values at moment of the explosion are also illustrated in Figure 1</w:t>
      </w:r>
      <w:r w:rsidR="00CC2E2A">
        <w:rPr>
          <w:lang w:val="en-GB"/>
        </w:rPr>
        <w:t>a and 1b</w:t>
      </w:r>
      <w:r w:rsidR="00390BC7" w:rsidRPr="007814D9">
        <w:rPr>
          <w:lang w:val="en-GB"/>
        </w:rPr>
        <w:t>, along with the PVBs</w:t>
      </w:r>
      <w:r w:rsidR="004E4E39">
        <w:rPr>
          <w:lang w:val="en-GB"/>
        </w:rPr>
        <w:t xml:space="preserve"> and BLEVEs</w:t>
      </w:r>
      <w:r w:rsidR="00390BC7" w:rsidRPr="007814D9">
        <w:rPr>
          <w:lang w:val="en-GB"/>
        </w:rPr>
        <w:t xml:space="preserve"> experimental data</w:t>
      </w:r>
      <w:r w:rsidR="00A3468F" w:rsidRPr="007814D9">
        <w:rPr>
          <w:lang w:val="en-GB"/>
        </w:rPr>
        <w:t xml:space="preserve">. Given these results, it could be speculated that the hydrogen mass </w:t>
      </w:r>
      <w:r w:rsidR="0023108F">
        <w:rPr>
          <w:lang w:val="en-GB"/>
        </w:rPr>
        <w:t>prior the</w:t>
      </w:r>
      <w:r w:rsidR="00A3468F" w:rsidRPr="007814D9">
        <w:rPr>
          <w:lang w:val="en-GB"/>
        </w:rPr>
        <w:t xml:space="preserve"> SH</w:t>
      </w:r>
      <w:r w:rsidR="00A3468F" w:rsidRPr="007814D9">
        <w:rPr>
          <w:vertAlign w:val="subscript"/>
          <w:lang w:val="en-GB"/>
        </w:rPr>
        <w:t>2</w:t>
      </w:r>
      <w:r w:rsidR="00A3468F" w:rsidRPr="007814D9">
        <w:rPr>
          <w:lang w:val="en-GB"/>
        </w:rPr>
        <w:t xml:space="preserve">IFT BLEVE was </w:t>
      </w:r>
      <w:r w:rsidR="00B241D1" w:rsidRPr="007814D9">
        <w:rPr>
          <w:lang w:val="en-GB"/>
        </w:rPr>
        <w:t xml:space="preserve">closer to the expected value of 13 kg, thus implying a leakage of about 14 kg of hydrogen (thin dashed line with black circles). This aspect could be also inferred </w:t>
      </w:r>
      <w:r w:rsidR="004540E2" w:rsidRPr="007814D9">
        <w:rPr>
          <w:lang w:val="en-GB"/>
        </w:rPr>
        <w:t xml:space="preserve">by </w:t>
      </w:r>
      <w:proofErr w:type="gramStart"/>
      <w:r w:rsidR="00B241D1" w:rsidRPr="007814D9">
        <w:rPr>
          <w:lang w:val="en-GB"/>
        </w:rPr>
        <w:t>taking into account</w:t>
      </w:r>
      <w:proofErr w:type="gramEnd"/>
      <w:r w:rsidR="00B241D1" w:rsidRPr="007814D9">
        <w:rPr>
          <w:lang w:val="en-GB"/>
        </w:rPr>
        <w:t xml:space="preserve"> the experimental data of the BMW tests (thin dashed line with black squares) which might indicate that the 20 m fireball diameter was obtained with a filling value </w:t>
      </w:r>
      <w:r w:rsidR="00AE00E5">
        <w:rPr>
          <w:lang w:val="en-GB"/>
        </w:rPr>
        <w:t>close to</w:t>
      </w:r>
      <w:r w:rsidR="00B241D1" w:rsidRPr="007814D9">
        <w:rPr>
          <w:lang w:val="en-GB"/>
        </w:rPr>
        <w:t xml:space="preserve"> 5.4 kg of LH</w:t>
      </w:r>
      <w:r w:rsidR="00B241D1" w:rsidRPr="007814D9">
        <w:rPr>
          <w:vertAlign w:val="subscript"/>
          <w:lang w:val="en-GB"/>
        </w:rPr>
        <w:t>2</w:t>
      </w:r>
      <w:r w:rsidR="00B241D1" w:rsidRPr="007814D9">
        <w:rPr>
          <w:lang w:val="en-GB"/>
        </w:rPr>
        <w:t>.</w:t>
      </w:r>
      <w:r w:rsidR="005C1097" w:rsidRPr="007814D9">
        <w:rPr>
          <w:lang w:val="en-GB"/>
        </w:rPr>
        <w:t xml:space="preserve"> Moreover, </w:t>
      </w:r>
      <w:r w:rsidR="001A23BF">
        <w:rPr>
          <w:lang w:val="en-GB"/>
        </w:rPr>
        <w:t xml:space="preserve">Eq. 6 </w:t>
      </w:r>
      <w:r w:rsidR="005C1097" w:rsidRPr="007814D9">
        <w:rPr>
          <w:lang w:val="en-GB"/>
        </w:rPr>
        <w:t>seem</w:t>
      </w:r>
      <w:r w:rsidR="001A23BF">
        <w:rPr>
          <w:lang w:val="en-GB"/>
        </w:rPr>
        <w:t>s</w:t>
      </w:r>
      <w:r w:rsidR="005C1097" w:rsidRPr="007814D9">
        <w:rPr>
          <w:lang w:val="en-GB"/>
        </w:rPr>
        <w:t xml:space="preserve"> to </w:t>
      </w:r>
      <w:r w:rsidR="001A23BF">
        <w:rPr>
          <w:lang w:val="en-GB"/>
        </w:rPr>
        <w:t>accurately predict the dimensions of both the Tamura fireballs, which were described as flattened</w:t>
      </w:r>
      <w:r w:rsidR="005C1097" w:rsidRPr="007814D9">
        <w:rPr>
          <w:lang w:val="en-GB"/>
        </w:rPr>
        <w:t xml:space="preserve">. In </w:t>
      </w:r>
      <w:r w:rsidR="001A23BF">
        <w:rPr>
          <w:lang w:val="en-GB"/>
        </w:rPr>
        <w:t>addition</w:t>
      </w:r>
      <w:r w:rsidR="005C1097" w:rsidRPr="007814D9">
        <w:rPr>
          <w:lang w:val="en-GB"/>
        </w:rPr>
        <w:t>, the measured fireball dimensions are higher for the LH</w:t>
      </w:r>
      <w:r w:rsidR="005C1097" w:rsidRPr="007814D9">
        <w:rPr>
          <w:vertAlign w:val="subscript"/>
          <w:lang w:val="en-GB"/>
        </w:rPr>
        <w:t>2</w:t>
      </w:r>
      <w:r w:rsidR="005C1097" w:rsidRPr="007814D9">
        <w:rPr>
          <w:lang w:val="en-GB"/>
        </w:rPr>
        <w:t xml:space="preserve"> BLEVEs, </w:t>
      </w:r>
      <w:proofErr w:type="gramStart"/>
      <w:r w:rsidR="005C1097" w:rsidRPr="007814D9">
        <w:rPr>
          <w:lang w:val="en-GB"/>
        </w:rPr>
        <w:t>with the exception of</w:t>
      </w:r>
      <w:proofErr w:type="gramEnd"/>
      <w:r w:rsidR="005C1097" w:rsidRPr="007814D9">
        <w:rPr>
          <w:lang w:val="en-GB"/>
        </w:rPr>
        <w:t xml:space="preserve"> the results </w:t>
      </w:r>
      <w:r w:rsidR="00AD758B">
        <w:rPr>
          <w:lang w:val="en-GB"/>
        </w:rPr>
        <w:t>of</w:t>
      </w:r>
      <w:r w:rsidR="005C1097" w:rsidRPr="007814D9">
        <w:rPr>
          <w:lang w:val="en-GB"/>
        </w:rPr>
        <w:t xml:space="preserve"> flattened fireballs (Tamura</w:t>
      </w:r>
      <w:r w:rsidR="00CF7E2B" w:rsidRPr="00CF7E2B">
        <w:t>-1</w:t>
      </w:r>
      <w:r w:rsidR="005C1097" w:rsidRPr="007814D9">
        <w:rPr>
          <w:lang w:val="en-GB"/>
        </w:rPr>
        <w:t>, Tamura</w:t>
      </w:r>
      <w:r w:rsidR="00CF7E2B">
        <w:rPr>
          <w:lang w:val="en-GB"/>
        </w:rPr>
        <w:t xml:space="preserve">-2, </w:t>
      </w:r>
      <w:r w:rsidR="005C1097" w:rsidRPr="007814D9">
        <w:rPr>
          <w:lang w:val="en-GB"/>
        </w:rPr>
        <w:t>and Zalosh</w:t>
      </w:r>
      <w:r w:rsidR="00CF7E2B">
        <w:rPr>
          <w:lang w:val="en-GB"/>
        </w:rPr>
        <w:t>-2</w:t>
      </w:r>
      <w:r w:rsidR="005C1097" w:rsidRPr="007814D9">
        <w:rPr>
          <w:lang w:val="en-GB"/>
        </w:rPr>
        <w:t xml:space="preserve"> </w:t>
      </w:r>
      <w:r w:rsidR="00CF7E2B">
        <w:rPr>
          <w:lang w:val="en-GB"/>
        </w:rPr>
        <w:t>test</w:t>
      </w:r>
      <w:r w:rsidR="00C3369C">
        <w:rPr>
          <w:lang w:val="en-GB"/>
        </w:rPr>
        <w:t>s</w:t>
      </w:r>
      <w:r w:rsidR="00CF7E2B">
        <w:rPr>
          <w:lang w:val="en-GB"/>
        </w:rPr>
        <w:t>)</w:t>
      </w:r>
      <w:r w:rsidR="005C1097" w:rsidRPr="007814D9">
        <w:rPr>
          <w:lang w:val="en-GB"/>
        </w:rPr>
        <w:t xml:space="preserve">. </w:t>
      </w:r>
      <w:r w:rsidR="00660090" w:rsidRPr="007814D9">
        <w:rPr>
          <w:lang w:val="en-GB"/>
        </w:rPr>
        <w:t xml:space="preserve">Interestingly, both </w:t>
      </w:r>
      <w:r w:rsidR="00506C3D">
        <w:rPr>
          <w:lang w:val="en-GB"/>
        </w:rPr>
        <w:t>Eq. 1 (</w:t>
      </w:r>
      <w:r w:rsidR="00CC2E2A">
        <w:rPr>
          <w:lang w:val="en-GB"/>
        </w:rPr>
        <w:t>Hord</w:t>
      </w:r>
      <w:r w:rsidR="00506C3D">
        <w:rPr>
          <w:lang w:val="en-GB"/>
        </w:rPr>
        <w:t>, 19</w:t>
      </w:r>
      <w:r w:rsidR="00CC2E2A">
        <w:rPr>
          <w:lang w:val="en-GB"/>
        </w:rPr>
        <w:t>72</w:t>
      </w:r>
      <w:r w:rsidR="00506C3D">
        <w:rPr>
          <w:lang w:val="en-GB"/>
        </w:rPr>
        <w:t>)</w:t>
      </w:r>
      <w:r w:rsidR="00660090" w:rsidRPr="007814D9">
        <w:rPr>
          <w:lang w:val="en-GB"/>
        </w:rPr>
        <w:t xml:space="preserve"> (blue curve) and </w:t>
      </w:r>
      <w:r w:rsidR="00506C3D">
        <w:rPr>
          <w:lang w:val="en-GB"/>
        </w:rPr>
        <w:t>Eq. 4 (Makarov, 2021)</w:t>
      </w:r>
      <w:r w:rsidR="00660090" w:rsidRPr="007814D9">
        <w:rPr>
          <w:lang w:val="en-GB"/>
        </w:rPr>
        <w:t xml:space="preserve"> (green curve) underestimate the fireball diameters for LH</w:t>
      </w:r>
      <w:r w:rsidR="00660090" w:rsidRPr="007814D9">
        <w:rPr>
          <w:vertAlign w:val="subscript"/>
          <w:lang w:val="en-GB"/>
        </w:rPr>
        <w:t>2</w:t>
      </w:r>
      <w:r w:rsidR="00660090" w:rsidRPr="007814D9">
        <w:rPr>
          <w:lang w:val="en-GB"/>
        </w:rPr>
        <w:t xml:space="preserve"> BLEVE</w:t>
      </w:r>
      <w:r w:rsidR="004D0909">
        <w:rPr>
          <w:lang w:val="en-GB"/>
        </w:rPr>
        <w:t>s</w:t>
      </w:r>
      <w:r w:rsidR="00660090" w:rsidRPr="007814D9">
        <w:rPr>
          <w:lang w:val="en-GB"/>
        </w:rPr>
        <w:t xml:space="preserve">, while the fitting equation of the extremely flattened fireball obtained </w:t>
      </w:r>
      <w:r w:rsidR="005A33D5">
        <w:rPr>
          <w:lang w:val="en-GB"/>
        </w:rPr>
        <w:t xml:space="preserve">for </w:t>
      </w:r>
      <w:r w:rsidR="00506C3D">
        <w:rPr>
          <w:lang w:val="en-GB"/>
        </w:rPr>
        <w:t>the Zalosh</w:t>
      </w:r>
      <w:r w:rsidR="00CF7E2B">
        <w:rPr>
          <w:lang w:val="en-GB"/>
        </w:rPr>
        <w:t>-2</w:t>
      </w:r>
      <w:r w:rsidR="00506C3D">
        <w:rPr>
          <w:lang w:val="en-GB"/>
        </w:rPr>
        <w:t xml:space="preserve"> test</w:t>
      </w:r>
      <w:r w:rsidR="00B85A40">
        <w:rPr>
          <w:lang w:val="en-GB"/>
        </w:rPr>
        <w:t xml:space="preserve"> </w:t>
      </w:r>
      <w:r w:rsidR="00660090" w:rsidRPr="007814D9">
        <w:rPr>
          <w:lang w:val="en-GB"/>
        </w:rPr>
        <w:t xml:space="preserve">(red line) </w:t>
      </w:r>
      <w:r w:rsidR="003002BD" w:rsidRPr="007814D9">
        <w:rPr>
          <w:lang w:val="en-GB"/>
        </w:rPr>
        <w:t>results</w:t>
      </w:r>
      <w:r w:rsidR="00660090" w:rsidRPr="007814D9">
        <w:rPr>
          <w:lang w:val="en-GB"/>
        </w:rPr>
        <w:t xml:space="preserve"> </w:t>
      </w:r>
      <w:r w:rsidR="004540E2" w:rsidRPr="007814D9">
        <w:rPr>
          <w:lang w:val="en-GB"/>
        </w:rPr>
        <w:t xml:space="preserve">in </w:t>
      </w:r>
      <w:r w:rsidR="00660090" w:rsidRPr="007814D9">
        <w:rPr>
          <w:lang w:val="en-GB"/>
        </w:rPr>
        <w:t>the most conservative prediction.</w:t>
      </w:r>
      <w:r w:rsidR="004540E2" w:rsidRPr="007814D9">
        <w:rPr>
          <w:lang w:val="en-GB"/>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438"/>
      </w:tblGrid>
      <w:tr w:rsidR="0037225F" w14:paraId="7297C990" w14:textId="77777777" w:rsidTr="001A23BF">
        <w:tc>
          <w:tcPr>
            <w:tcW w:w="4388" w:type="dxa"/>
          </w:tcPr>
          <w:p w14:paraId="7DE07E9C" w14:textId="0356E1F0" w:rsidR="0037225F" w:rsidRDefault="0037225F" w:rsidP="00112240">
            <w:pPr>
              <w:pStyle w:val="CETBodytext"/>
            </w:pPr>
            <w:r>
              <w:rPr>
                <w:noProof/>
              </w:rPr>
              <w:drawing>
                <wp:anchor distT="0" distB="0" distL="114300" distR="114300" simplePos="0" relativeHeight="251661312" behindDoc="0" locked="0" layoutInCell="1" allowOverlap="1" wp14:anchorId="372654DB" wp14:editId="549236E4">
                  <wp:simplePos x="0" y="0"/>
                  <wp:positionH relativeFrom="column">
                    <wp:posOffset>-6350</wp:posOffset>
                  </wp:positionH>
                  <wp:positionV relativeFrom="paragraph">
                    <wp:posOffset>151130</wp:posOffset>
                  </wp:positionV>
                  <wp:extent cx="2648262" cy="2160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167" t="5553" r="8939"/>
                          <a:stretch/>
                        </pic:blipFill>
                        <pic:spPr bwMode="auto">
                          <a:xfrm>
                            <a:off x="0" y="0"/>
                            <a:ext cx="2648262" cy="21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89" w:type="dxa"/>
          </w:tcPr>
          <w:p w14:paraId="28662B4C" w14:textId="42118C50" w:rsidR="0037225F" w:rsidRDefault="0037225F" w:rsidP="00112240">
            <w:pPr>
              <w:pStyle w:val="CETBodytext"/>
            </w:pPr>
            <w:r>
              <w:rPr>
                <w:noProof/>
                <w:lang w:val="en-GB"/>
              </w:rPr>
              <w:drawing>
                <wp:anchor distT="0" distB="0" distL="114300" distR="114300" simplePos="0" relativeHeight="251663360" behindDoc="0" locked="0" layoutInCell="1" allowOverlap="1" wp14:anchorId="3640B945" wp14:editId="6C106E98">
                  <wp:simplePos x="0" y="0"/>
                  <wp:positionH relativeFrom="column">
                    <wp:posOffset>-2540</wp:posOffset>
                  </wp:positionH>
                  <wp:positionV relativeFrom="paragraph">
                    <wp:posOffset>151130</wp:posOffset>
                  </wp:positionV>
                  <wp:extent cx="2700000" cy="2160000"/>
                  <wp:effectExtent l="0" t="0" r="5715" b="0"/>
                  <wp:wrapTopAndBottom/>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a:picLocks noChangeAspect="1" noChangeArrowheads="1"/>
                          </pic:cNvPicPr>
                        </pic:nvPicPr>
                        <pic:blipFill rotWithShape="1">
                          <a:blip r:embed="rId11">
                            <a:extLst>
                              <a:ext uri="{28A0092B-C50C-407E-A947-70E740481C1C}">
                                <a14:useLocalDpi xmlns:a14="http://schemas.microsoft.com/office/drawing/2010/main" val="0"/>
                              </a:ext>
                            </a:extLst>
                          </a:blip>
                          <a:srcRect l="3994" t="6709" r="8504"/>
                          <a:stretch/>
                        </pic:blipFill>
                        <pic:spPr bwMode="auto">
                          <a:xfrm>
                            <a:off x="0" y="0"/>
                            <a:ext cx="2700000" cy="21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225F" w14:paraId="0F0E2E7E" w14:textId="77777777" w:rsidTr="001A23BF">
        <w:tc>
          <w:tcPr>
            <w:tcW w:w="4388" w:type="dxa"/>
          </w:tcPr>
          <w:p w14:paraId="441C9A0A" w14:textId="02B09890" w:rsidR="0037225F" w:rsidRDefault="001A23BF" w:rsidP="001A23BF">
            <w:pPr>
              <w:pStyle w:val="CETBodytext"/>
              <w:jc w:val="center"/>
            </w:pPr>
            <w:r>
              <w:t xml:space="preserve">       </w:t>
            </w:r>
            <w:r w:rsidR="0037225F">
              <w:t>a</w:t>
            </w:r>
            <w:r>
              <w:t>)</w:t>
            </w:r>
          </w:p>
        </w:tc>
        <w:tc>
          <w:tcPr>
            <w:tcW w:w="4389" w:type="dxa"/>
          </w:tcPr>
          <w:p w14:paraId="184E4DDF" w14:textId="567774EF" w:rsidR="0037225F" w:rsidRDefault="001A23BF" w:rsidP="001A23BF">
            <w:pPr>
              <w:pStyle w:val="CETBodytext"/>
              <w:jc w:val="center"/>
            </w:pPr>
            <w:r>
              <w:t xml:space="preserve">     </w:t>
            </w:r>
            <w:r w:rsidR="0037225F">
              <w:t>b</w:t>
            </w:r>
            <w:r>
              <w:t>)</w:t>
            </w:r>
          </w:p>
        </w:tc>
      </w:tr>
    </w:tbl>
    <w:p w14:paraId="3343FFAC" w14:textId="77777777" w:rsidR="00112240" w:rsidRDefault="00112240" w:rsidP="00112240">
      <w:pPr>
        <w:pStyle w:val="CETBodytext"/>
      </w:pPr>
    </w:p>
    <w:p w14:paraId="3C0CCBC3" w14:textId="11287872" w:rsidR="002C3139" w:rsidRDefault="00475EC2" w:rsidP="005F52B5">
      <w:pPr>
        <w:pStyle w:val="CETCaption"/>
        <w:spacing w:before="0" w:after="120"/>
      </w:pPr>
      <w:r w:rsidRPr="00475EC2">
        <w:t xml:space="preserve">Figure 1: </w:t>
      </w:r>
      <w:r w:rsidR="00762800">
        <w:t xml:space="preserve">Comparison between experimental data and </w:t>
      </w:r>
      <w:r w:rsidR="00C35885" w:rsidRPr="00475EC2">
        <w:t xml:space="preserve">predictions </w:t>
      </w:r>
      <w:r w:rsidR="00C711D0">
        <w:t>f</w:t>
      </w:r>
      <w:r w:rsidR="00C711D0" w:rsidRPr="00475EC2">
        <w:t xml:space="preserve">ireball </w:t>
      </w:r>
      <w:r w:rsidR="00C711D0">
        <w:t xml:space="preserve">(a) </w:t>
      </w:r>
      <w:r w:rsidRPr="00475EC2">
        <w:t>diameters</w:t>
      </w:r>
      <w:r w:rsidR="00C711D0">
        <w:t xml:space="preserve"> and (b) durations</w:t>
      </w:r>
      <w:r w:rsidRPr="00475EC2">
        <w:t xml:space="preserve"> </w:t>
      </w:r>
      <w:r w:rsidR="00C711D0">
        <w:t xml:space="preserve">for different </w:t>
      </w:r>
      <w:r w:rsidR="003C6767">
        <w:t>hydrogen mass</w:t>
      </w:r>
      <w:r w:rsidR="00C711D0">
        <w:t>es</w:t>
      </w:r>
      <w:r w:rsidR="00876E6F">
        <w:t xml:space="preserve">. </w:t>
      </w:r>
      <w:r w:rsidR="00C37D8B">
        <w:t>T</w:t>
      </w:r>
      <w:r w:rsidRPr="00475EC2">
        <w:t xml:space="preserve">he uncertainties concerning the liquid hydrogen BLEVE </w:t>
      </w:r>
      <w:r w:rsidR="003C6767">
        <w:t xml:space="preserve">masses </w:t>
      </w:r>
      <w:r w:rsidRPr="00475EC2">
        <w:t xml:space="preserve">are indicated by the thin dashed lines.  </w:t>
      </w:r>
    </w:p>
    <w:p w14:paraId="626E8F5D" w14:textId="77777777" w:rsidR="00586A1B" w:rsidRDefault="00586A1B" w:rsidP="002039F6">
      <w:pPr>
        <w:rPr>
          <w:lang w:val="en-US"/>
        </w:rPr>
      </w:pPr>
    </w:p>
    <w:p w14:paraId="573A319F" w14:textId="5809093F" w:rsidR="005F52B5" w:rsidRDefault="005764CA" w:rsidP="002039F6">
      <w:pPr>
        <w:rPr>
          <w:lang w:val="en-US"/>
        </w:rPr>
      </w:pPr>
      <w:r w:rsidRPr="005764CA">
        <w:rPr>
          <w:lang w:val="en-US"/>
        </w:rPr>
        <w:lastRenderedPageBreak/>
        <w:t>While the flattening of f</w:t>
      </w:r>
      <w:r>
        <w:rPr>
          <w:lang w:val="en-US"/>
        </w:rPr>
        <w:t xml:space="preserve">ireballs resulted in a relevant scattering of the experimental </w:t>
      </w:r>
      <w:r w:rsidR="005D320D">
        <w:rPr>
          <w:lang w:val="en-US"/>
        </w:rPr>
        <w:t>diameters</w:t>
      </w:r>
      <w:r>
        <w:rPr>
          <w:lang w:val="en-US"/>
        </w:rPr>
        <w:t xml:space="preserve">, the data concerning the fireball durations seem to show more consistency. Figure </w:t>
      </w:r>
      <w:r w:rsidR="0017321F">
        <w:rPr>
          <w:lang w:val="en-US"/>
        </w:rPr>
        <w:t>1b</w:t>
      </w:r>
      <w:r>
        <w:rPr>
          <w:lang w:val="en-US"/>
        </w:rPr>
        <w:t xml:space="preserve"> </w:t>
      </w:r>
      <w:r w:rsidR="002370F9">
        <w:rPr>
          <w:lang w:val="en-US"/>
        </w:rPr>
        <w:t>illustrates</w:t>
      </w:r>
      <w:r>
        <w:rPr>
          <w:lang w:val="en-US"/>
        </w:rPr>
        <w:t xml:space="preserve"> this aspect, since each PVB experiment resulted in a fireball duration of around two seconds, </w:t>
      </w:r>
      <w:r w:rsidR="00EA1EEC">
        <w:rPr>
          <w:lang w:val="en-US"/>
        </w:rPr>
        <w:t>except for</w:t>
      </w:r>
      <w:r>
        <w:rPr>
          <w:lang w:val="en-US"/>
        </w:rPr>
        <w:t xml:space="preserve"> the Shen test, in which a shorter duration was measured for a higher hydrogen mass with respect to the other experiments.</w:t>
      </w:r>
      <w:r w:rsidR="009C1FF9">
        <w:rPr>
          <w:lang w:val="en-US"/>
        </w:rPr>
        <w:t xml:space="preserve"> </w:t>
      </w:r>
      <w:r w:rsidR="007F6AD2">
        <w:rPr>
          <w:lang w:val="en-US"/>
        </w:rPr>
        <w:t>On the other hand</w:t>
      </w:r>
      <w:r w:rsidR="009C1FF9">
        <w:rPr>
          <w:lang w:val="en-US"/>
        </w:rPr>
        <w:t xml:space="preserve">, the fireballs generated from BLEVEs seem to show </w:t>
      </w:r>
      <w:r w:rsidR="0017321F">
        <w:rPr>
          <w:lang w:val="en-US"/>
        </w:rPr>
        <w:t>longer</w:t>
      </w:r>
      <w:r w:rsidR="009C1FF9">
        <w:rPr>
          <w:lang w:val="en-US"/>
        </w:rPr>
        <w:t xml:space="preserve"> durations with respect to the ones generated by PVBs</w:t>
      </w:r>
      <w:r w:rsidR="002039F6">
        <w:rPr>
          <w:lang w:val="en-US"/>
        </w:rPr>
        <w:t>.</w:t>
      </w:r>
      <w:r w:rsidR="0017321F">
        <w:rPr>
          <w:lang w:val="en-US"/>
        </w:rPr>
        <w:t xml:space="preserve"> </w:t>
      </w:r>
      <w:r w:rsidR="005D320D">
        <w:rPr>
          <w:lang w:val="en-US"/>
        </w:rPr>
        <w:t xml:space="preserve">This aspect can be also noted in </w:t>
      </w:r>
      <w:r w:rsidR="0017321F">
        <w:rPr>
          <w:lang w:val="en-US"/>
        </w:rPr>
        <w:t>Table 2</w:t>
      </w:r>
      <w:r w:rsidR="005D320D">
        <w:rPr>
          <w:lang w:val="en-US"/>
        </w:rPr>
        <w:t>, which</w:t>
      </w:r>
      <w:r w:rsidR="0017321F">
        <w:rPr>
          <w:lang w:val="en-US"/>
        </w:rPr>
        <w:t xml:space="preserve"> collects the calculation errors for the BMW-fit model</w:t>
      </w:r>
      <w:r w:rsidR="005D320D">
        <w:rPr>
          <w:lang w:val="en-US"/>
        </w:rPr>
        <w:t>. This model</w:t>
      </w:r>
      <w:r w:rsidR="0017321F">
        <w:rPr>
          <w:lang w:val="en-US"/>
        </w:rPr>
        <w:t xml:space="preserve"> produced the most conservative estimations for the fireball duration,</w:t>
      </w:r>
      <w:r w:rsidR="00031C87">
        <w:rPr>
          <w:lang w:val="en-US"/>
        </w:rPr>
        <w:t xml:space="preserve"> and it was developed considering the exploding mass </w:t>
      </w:r>
      <w:r w:rsidR="00D24353">
        <w:rPr>
          <w:lang w:val="en-US"/>
        </w:rPr>
        <w:t>equal to</w:t>
      </w:r>
      <w:r w:rsidR="00031C87">
        <w:rPr>
          <w:lang w:val="en-US"/>
        </w:rPr>
        <w:t xml:space="preserve"> 1</w:t>
      </w:r>
      <w:r w:rsidR="00BC5689">
        <w:rPr>
          <w:lang w:val="en-US"/>
        </w:rPr>
        <w:t>.8</w:t>
      </w:r>
      <w:r w:rsidR="00031C87">
        <w:rPr>
          <w:lang w:val="en-US"/>
        </w:rPr>
        <w:t xml:space="preserve"> kg of LH</w:t>
      </w:r>
      <w:r w:rsidR="00031C87">
        <w:rPr>
          <w:vertAlign w:val="subscript"/>
          <w:lang w:val="en-US"/>
        </w:rPr>
        <w:t>2</w:t>
      </w:r>
      <w:r w:rsidR="00031C87">
        <w:rPr>
          <w:lang w:val="en-US"/>
        </w:rPr>
        <w:t>.</w:t>
      </w:r>
    </w:p>
    <w:p w14:paraId="7EEE5409" w14:textId="77777777" w:rsidR="00AE3F9A" w:rsidRDefault="00AE3F9A" w:rsidP="002039F6">
      <w:pPr>
        <w:rPr>
          <w:lang w:val="en-US"/>
        </w:rPr>
      </w:pPr>
    </w:p>
    <w:p w14:paraId="57765966" w14:textId="135E97B2" w:rsidR="00607342" w:rsidRPr="004360F2" w:rsidRDefault="00607342" w:rsidP="00607342">
      <w:pPr>
        <w:pStyle w:val="CETTabletitle"/>
        <w:spacing w:before="0" w:after="0"/>
        <w:rPr>
          <w:lang w:val="en-US"/>
        </w:rPr>
      </w:pPr>
      <w:r w:rsidRPr="00B57B36">
        <w:t xml:space="preserve">Table </w:t>
      </w:r>
      <w:r>
        <w:t>2</w:t>
      </w:r>
      <w:r w:rsidRPr="00B57B36">
        <w:t xml:space="preserve">: </w:t>
      </w:r>
      <w:r w:rsidR="00EB106F">
        <w:t xml:space="preserve">Comparison between the experimental results and the </w:t>
      </w:r>
      <w:r w:rsidR="00EB106F">
        <w:rPr>
          <w:lang w:val="en-US"/>
        </w:rPr>
        <w:t xml:space="preserve">most </w:t>
      </w:r>
      <w:r>
        <w:rPr>
          <w:lang w:val="en-US"/>
        </w:rPr>
        <w:t>conservative model</w:t>
      </w:r>
      <w:r w:rsidR="00713F16">
        <w:rPr>
          <w:lang w:val="en-US"/>
        </w:rPr>
        <w:t xml:space="preserve"> (BMW-fit)</w:t>
      </w:r>
      <w:r w:rsidR="00EB106F">
        <w:rPr>
          <w:lang w:val="en-US"/>
        </w:rPr>
        <w:t xml:space="preserve"> outcomes</w:t>
      </w:r>
      <w:r w:rsidR="00713F16">
        <w:rPr>
          <w:lang w:val="en-US"/>
        </w:rPr>
        <w:t>.</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1134"/>
        <w:gridCol w:w="1134"/>
        <w:gridCol w:w="1134"/>
        <w:gridCol w:w="1275"/>
        <w:gridCol w:w="1560"/>
        <w:gridCol w:w="1559"/>
      </w:tblGrid>
      <w:tr w:rsidR="00E84C81" w:rsidRPr="00B57B36" w14:paraId="2C1C5D56" w14:textId="77777777" w:rsidTr="008F0CC3">
        <w:tc>
          <w:tcPr>
            <w:tcW w:w="993" w:type="dxa"/>
            <w:tcBorders>
              <w:top w:val="single" w:sz="12" w:space="0" w:color="008000"/>
              <w:bottom w:val="single" w:sz="6" w:space="0" w:color="008000"/>
            </w:tcBorders>
            <w:shd w:val="clear" w:color="auto" w:fill="FFFFFF"/>
          </w:tcPr>
          <w:p w14:paraId="29120D6F" w14:textId="77777777" w:rsidR="00733413" w:rsidRDefault="00733413" w:rsidP="00607342">
            <w:pPr>
              <w:pStyle w:val="CETBodytext"/>
              <w:rPr>
                <w:lang w:val="en-GB"/>
              </w:rPr>
            </w:pPr>
          </w:p>
        </w:tc>
        <w:tc>
          <w:tcPr>
            <w:tcW w:w="2268" w:type="dxa"/>
            <w:gridSpan w:val="2"/>
            <w:tcBorders>
              <w:top w:val="single" w:sz="12" w:space="0" w:color="008000"/>
              <w:bottom w:val="single" w:sz="6" w:space="0" w:color="008000"/>
            </w:tcBorders>
            <w:shd w:val="clear" w:color="auto" w:fill="FFFFFF"/>
          </w:tcPr>
          <w:p w14:paraId="1B43FA71" w14:textId="0CDB75A5" w:rsidR="00733413" w:rsidRDefault="00733413" w:rsidP="00D11539">
            <w:pPr>
              <w:pStyle w:val="CETBodytext"/>
              <w:ind w:right="-1"/>
              <w:jc w:val="left"/>
              <w:rPr>
                <w:rFonts w:cs="Arial"/>
                <w:szCs w:val="18"/>
                <w:lang w:val="en-GB"/>
              </w:rPr>
            </w:pPr>
            <w:r>
              <w:rPr>
                <w:rFonts w:cs="Arial"/>
                <w:szCs w:val="18"/>
                <w:lang w:val="en-GB"/>
              </w:rPr>
              <w:t>Experimental data</w:t>
            </w:r>
          </w:p>
        </w:tc>
        <w:tc>
          <w:tcPr>
            <w:tcW w:w="5528" w:type="dxa"/>
            <w:gridSpan w:val="4"/>
            <w:tcBorders>
              <w:top w:val="single" w:sz="12" w:space="0" w:color="008000"/>
              <w:bottom w:val="single" w:sz="6" w:space="0" w:color="008000"/>
            </w:tcBorders>
            <w:shd w:val="clear" w:color="auto" w:fill="FFFFFF"/>
          </w:tcPr>
          <w:p w14:paraId="3E7F1383" w14:textId="00D2F06C" w:rsidR="00733413" w:rsidRDefault="00733413" w:rsidP="00D11539">
            <w:pPr>
              <w:pStyle w:val="CETBodytext"/>
              <w:ind w:right="-1"/>
              <w:jc w:val="left"/>
              <w:rPr>
                <w:rFonts w:cs="Arial"/>
                <w:szCs w:val="18"/>
                <w:lang w:val="en-GB"/>
              </w:rPr>
            </w:pPr>
            <w:r>
              <w:rPr>
                <w:rFonts w:cs="Arial"/>
                <w:szCs w:val="18"/>
                <w:lang w:val="en-GB"/>
              </w:rPr>
              <w:t>Simulation</w:t>
            </w:r>
          </w:p>
        </w:tc>
      </w:tr>
      <w:tr w:rsidR="00E84C81" w:rsidRPr="00B57B36" w14:paraId="5875D2F3" w14:textId="4846BDA1" w:rsidTr="008F0CC3">
        <w:trPr>
          <w:trHeight w:val="227"/>
        </w:trPr>
        <w:tc>
          <w:tcPr>
            <w:tcW w:w="993" w:type="dxa"/>
            <w:tcBorders>
              <w:top w:val="single" w:sz="12" w:space="0" w:color="008000"/>
              <w:bottom w:val="single" w:sz="6" w:space="0" w:color="008000"/>
            </w:tcBorders>
            <w:shd w:val="clear" w:color="auto" w:fill="FFFFFF"/>
          </w:tcPr>
          <w:p w14:paraId="72509064" w14:textId="77777777" w:rsidR="00607342" w:rsidRPr="00B57B36" w:rsidRDefault="00607342" w:rsidP="00607342">
            <w:pPr>
              <w:pStyle w:val="CETBodytext"/>
              <w:rPr>
                <w:lang w:val="en-GB"/>
              </w:rPr>
            </w:pPr>
            <w:r>
              <w:rPr>
                <w:lang w:val="en-GB"/>
              </w:rPr>
              <w:t>Test</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6A78E69D" w14:textId="5F769CFE" w:rsidR="00607342" w:rsidRPr="00B57B36" w:rsidRDefault="00253DEB" w:rsidP="00607342">
            <w:pPr>
              <w:pStyle w:val="CETBodytext"/>
              <w:ind w:right="-1"/>
              <w:jc w:val="left"/>
              <w:rPr>
                <w:rFonts w:cs="Arial"/>
                <w:szCs w:val="18"/>
                <w:lang w:val="en-GB"/>
              </w:rPr>
            </w:pPr>
            <w:r>
              <w:rPr>
                <w:rFonts w:cs="Arial"/>
                <w:szCs w:val="18"/>
                <w:lang w:val="en-GB"/>
              </w:rPr>
              <w:t>D</w:t>
            </w:r>
            <w:r w:rsidR="00607342">
              <w:rPr>
                <w:rFonts w:cs="Arial"/>
                <w:szCs w:val="18"/>
                <w:lang w:val="en-GB"/>
              </w:rPr>
              <w:t>iameter</w:t>
            </w:r>
            <w:r w:rsidR="00E84C81">
              <w:rPr>
                <w:rFonts w:cs="Arial"/>
                <w:szCs w:val="18"/>
                <w:lang w:val="en-GB"/>
              </w:rPr>
              <w:t xml:space="preserve"> </w:t>
            </w:r>
            <w:r w:rsidR="00607342">
              <w:rPr>
                <w:rFonts w:cs="Arial"/>
                <w:szCs w:val="18"/>
                <w:lang w:val="en-GB"/>
              </w:rPr>
              <w:t>[m]</w:t>
            </w:r>
          </w:p>
        </w:tc>
        <w:tc>
          <w:tcPr>
            <w:tcW w:w="1134" w:type="dxa"/>
            <w:tcBorders>
              <w:top w:val="single" w:sz="12" w:space="0" w:color="008000"/>
              <w:bottom w:val="single" w:sz="6" w:space="0" w:color="008000"/>
            </w:tcBorders>
            <w:shd w:val="clear" w:color="auto" w:fill="FFFFFF"/>
          </w:tcPr>
          <w:p w14:paraId="3B34177C" w14:textId="233928DB" w:rsidR="00607342" w:rsidRDefault="00253DEB" w:rsidP="00607342">
            <w:pPr>
              <w:pStyle w:val="CETBodytext"/>
              <w:ind w:right="-1"/>
              <w:jc w:val="left"/>
              <w:rPr>
                <w:rFonts w:cs="Arial"/>
                <w:szCs w:val="18"/>
                <w:lang w:val="en-GB"/>
              </w:rPr>
            </w:pPr>
            <w:r>
              <w:rPr>
                <w:rFonts w:cs="Arial"/>
                <w:szCs w:val="18"/>
                <w:lang w:val="en-GB"/>
              </w:rPr>
              <w:t>D</w:t>
            </w:r>
            <w:r w:rsidR="00607342">
              <w:rPr>
                <w:rFonts w:cs="Arial"/>
                <w:szCs w:val="18"/>
                <w:lang w:val="en-GB"/>
              </w:rPr>
              <w:t>uration</w:t>
            </w:r>
            <w:r w:rsidR="00E84C81">
              <w:rPr>
                <w:rFonts w:cs="Arial"/>
                <w:szCs w:val="18"/>
                <w:lang w:val="en-GB"/>
              </w:rPr>
              <w:t xml:space="preserve"> </w:t>
            </w:r>
            <w:r w:rsidR="00607342">
              <w:rPr>
                <w:rFonts w:cs="Arial"/>
                <w:szCs w:val="18"/>
                <w:lang w:val="en-GB"/>
              </w:rPr>
              <w:t>[s]</w:t>
            </w:r>
          </w:p>
        </w:tc>
        <w:tc>
          <w:tcPr>
            <w:tcW w:w="1134" w:type="dxa"/>
            <w:tcBorders>
              <w:top w:val="single" w:sz="12" w:space="0" w:color="008000"/>
              <w:bottom w:val="single" w:sz="6" w:space="0" w:color="008000"/>
            </w:tcBorders>
            <w:shd w:val="clear" w:color="auto" w:fill="FFFFFF"/>
          </w:tcPr>
          <w:p w14:paraId="24D261AE" w14:textId="0C265184" w:rsidR="00607342" w:rsidRDefault="00253DEB" w:rsidP="00607342">
            <w:pPr>
              <w:pStyle w:val="CETBodytext"/>
              <w:ind w:right="-1"/>
              <w:jc w:val="left"/>
              <w:rPr>
                <w:rFonts w:cs="Arial"/>
                <w:szCs w:val="18"/>
                <w:lang w:val="en-GB"/>
              </w:rPr>
            </w:pPr>
            <w:r>
              <w:rPr>
                <w:rFonts w:cs="Arial"/>
                <w:szCs w:val="18"/>
                <w:lang w:val="en-GB"/>
              </w:rPr>
              <w:t>D</w:t>
            </w:r>
            <w:r w:rsidR="00607342">
              <w:rPr>
                <w:rFonts w:cs="Arial"/>
                <w:szCs w:val="18"/>
                <w:lang w:val="en-GB"/>
              </w:rPr>
              <w:t>iameter</w:t>
            </w:r>
            <w:r w:rsidR="00E84C81">
              <w:rPr>
                <w:rFonts w:cs="Arial"/>
                <w:szCs w:val="18"/>
                <w:lang w:val="en-GB"/>
              </w:rPr>
              <w:t xml:space="preserve"> </w:t>
            </w:r>
            <w:r w:rsidR="00607342">
              <w:rPr>
                <w:rFonts w:cs="Arial"/>
                <w:szCs w:val="18"/>
                <w:lang w:val="en-GB"/>
              </w:rPr>
              <w:t>[m]</w:t>
            </w:r>
          </w:p>
        </w:tc>
        <w:tc>
          <w:tcPr>
            <w:tcW w:w="1275" w:type="dxa"/>
            <w:tcBorders>
              <w:top w:val="single" w:sz="12" w:space="0" w:color="008000"/>
              <w:bottom w:val="single" w:sz="6" w:space="0" w:color="008000"/>
            </w:tcBorders>
            <w:shd w:val="clear" w:color="auto" w:fill="FFFFFF"/>
          </w:tcPr>
          <w:p w14:paraId="35FA05B6" w14:textId="1C887F80" w:rsidR="00607342" w:rsidRDefault="00253DEB" w:rsidP="00607342">
            <w:pPr>
              <w:pStyle w:val="CETBodytext"/>
              <w:ind w:right="-1"/>
              <w:jc w:val="left"/>
              <w:rPr>
                <w:rFonts w:cs="Arial"/>
                <w:szCs w:val="18"/>
                <w:lang w:val="en-GB"/>
              </w:rPr>
            </w:pPr>
            <w:r>
              <w:rPr>
                <w:rFonts w:cs="Arial"/>
                <w:szCs w:val="18"/>
                <w:lang w:val="en-GB"/>
              </w:rPr>
              <w:t>D</w:t>
            </w:r>
            <w:r w:rsidR="00607342">
              <w:rPr>
                <w:rFonts w:cs="Arial"/>
                <w:szCs w:val="18"/>
                <w:lang w:val="en-GB"/>
              </w:rPr>
              <w:t>uration</w:t>
            </w:r>
            <w:r w:rsidR="00E84C81">
              <w:rPr>
                <w:rFonts w:cs="Arial"/>
                <w:szCs w:val="18"/>
                <w:lang w:val="en-GB"/>
              </w:rPr>
              <w:t xml:space="preserve"> </w:t>
            </w:r>
            <w:r w:rsidR="00607342">
              <w:rPr>
                <w:rFonts w:cs="Arial"/>
                <w:szCs w:val="18"/>
                <w:lang w:val="en-GB"/>
              </w:rPr>
              <w:t>[s]</w:t>
            </w:r>
          </w:p>
        </w:tc>
        <w:tc>
          <w:tcPr>
            <w:tcW w:w="1560" w:type="dxa"/>
            <w:tcBorders>
              <w:top w:val="single" w:sz="12" w:space="0" w:color="008000"/>
              <w:bottom w:val="single" w:sz="6" w:space="0" w:color="008000"/>
            </w:tcBorders>
            <w:shd w:val="clear" w:color="auto" w:fill="FFFFFF"/>
          </w:tcPr>
          <w:p w14:paraId="41AE36C1" w14:textId="7C6AFB18" w:rsidR="00607342" w:rsidRDefault="00607342" w:rsidP="00607342">
            <w:pPr>
              <w:pStyle w:val="CETBodytext"/>
              <w:ind w:right="-1"/>
              <w:jc w:val="left"/>
              <w:rPr>
                <w:rFonts w:cs="Arial"/>
                <w:szCs w:val="18"/>
                <w:lang w:val="en-GB"/>
              </w:rPr>
            </w:pPr>
            <w:r>
              <w:rPr>
                <w:rFonts w:cs="Arial"/>
                <w:szCs w:val="18"/>
                <w:lang w:val="en-GB"/>
              </w:rPr>
              <w:t>Diameter Error</w:t>
            </w:r>
            <w:r w:rsidR="00E84C81">
              <w:rPr>
                <w:rFonts w:cs="Arial"/>
                <w:szCs w:val="18"/>
                <w:lang w:val="en-GB"/>
              </w:rPr>
              <w:t xml:space="preserve"> </w:t>
            </w:r>
            <w:r>
              <w:rPr>
                <w:rFonts w:cs="Arial"/>
                <w:szCs w:val="18"/>
                <w:lang w:val="en-GB"/>
              </w:rPr>
              <w:t>[%]</w:t>
            </w:r>
          </w:p>
        </w:tc>
        <w:tc>
          <w:tcPr>
            <w:tcW w:w="1559" w:type="dxa"/>
            <w:tcBorders>
              <w:top w:val="single" w:sz="12" w:space="0" w:color="008000"/>
              <w:bottom w:val="single" w:sz="6" w:space="0" w:color="008000"/>
            </w:tcBorders>
            <w:shd w:val="clear" w:color="auto" w:fill="FFFFFF"/>
          </w:tcPr>
          <w:p w14:paraId="5CE59C95" w14:textId="1565FC66" w:rsidR="00607342" w:rsidRDefault="00607342" w:rsidP="00607342">
            <w:pPr>
              <w:pStyle w:val="CETBodytext"/>
              <w:ind w:right="-1"/>
              <w:jc w:val="left"/>
              <w:rPr>
                <w:rFonts w:cs="Arial"/>
                <w:szCs w:val="18"/>
                <w:lang w:val="en-GB"/>
              </w:rPr>
            </w:pPr>
            <w:r>
              <w:rPr>
                <w:rFonts w:cs="Arial"/>
                <w:szCs w:val="18"/>
                <w:lang w:val="en-GB"/>
              </w:rPr>
              <w:t>Duration Error</w:t>
            </w:r>
            <w:r w:rsidR="00E84C81">
              <w:rPr>
                <w:rFonts w:cs="Arial"/>
                <w:szCs w:val="18"/>
                <w:lang w:val="en-GB"/>
              </w:rPr>
              <w:t xml:space="preserve"> </w:t>
            </w:r>
            <w:r>
              <w:rPr>
                <w:rFonts w:cs="Arial"/>
                <w:szCs w:val="18"/>
                <w:lang w:val="en-GB"/>
              </w:rPr>
              <w:t>[%]</w:t>
            </w:r>
          </w:p>
        </w:tc>
      </w:tr>
      <w:tr w:rsidR="00E84C81" w:rsidRPr="00B57B36" w14:paraId="29EAB918" w14:textId="6FB4EAD3" w:rsidTr="008F0CC3">
        <w:tc>
          <w:tcPr>
            <w:tcW w:w="993" w:type="dxa"/>
            <w:shd w:val="clear" w:color="auto" w:fill="FFFFFF"/>
          </w:tcPr>
          <w:p w14:paraId="3B2AAB7D" w14:textId="77777777" w:rsidR="00607342" w:rsidRPr="00B57B36" w:rsidRDefault="00607342" w:rsidP="00607342">
            <w:pPr>
              <w:pStyle w:val="CETBodytext"/>
              <w:rPr>
                <w:lang w:val="en-GB"/>
              </w:rPr>
            </w:pPr>
            <w:r>
              <w:rPr>
                <w:lang w:val="en-GB"/>
              </w:rPr>
              <w:t xml:space="preserve">BMW </w:t>
            </w:r>
          </w:p>
        </w:tc>
        <w:tc>
          <w:tcPr>
            <w:tcW w:w="1134" w:type="dxa"/>
            <w:shd w:val="clear" w:color="auto" w:fill="FFFFFF"/>
          </w:tcPr>
          <w:p w14:paraId="65606BFE" w14:textId="77777777" w:rsidR="00607342" w:rsidRPr="00B57B36" w:rsidRDefault="00607342" w:rsidP="00607342">
            <w:pPr>
              <w:pStyle w:val="CETBodytext"/>
              <w:ind w:right="-1"/>
              <w:rPr>
                <w:rFonts w:cs="Arial"/>
                <w:szCs w:val="18"/>
                <w:lang w:val="en-GB"/>
              </w:rPr>
            </w:pPr>
            <w:r>
              <w:rPr>
                <w:rFonts w:cs="Arial"/>
                <w:szCs w:val="18"/>
                <w:lang w:val="en-GB"/>
              </w:rPr>
              <w:t>20</w:t>
            </w:r>
          </w:p>
        </w:tc>
        <w:tc>
          <w:tcPr>
            <w:tcW w:w="1134" w:type="dxa"/>
            <w:shd w:val="clear" w:color="auto" w:fill="FFFFFF"/>
          </w:tcPr>
          <w:p w14:paraId="3F1BD5ED" w14:textId="77777777" w:rsidR="00607342" w:rsidRPr="00B57B36" w:rsidRDefault="00607342" w:rsidP="00607342">
            <w:pPr>
              <w:pStyle w:val="CETBodytext"/>
              <w:ind w:right="-1"/>
              <w:rPr>
                <w:rFonts w:cs="Arial"/>
                <w:szCs w:val="18"/>
                <w:lang w:val="en-GB"/>
              </w:rPr>
            </w:pPr>
            <w:r>
              <w:rPr>
                <w:rFonts w:cs="Arial"/>
                <w:szCs w:val="18"/>
                <w:lang w:val="en-GB"/>
              </w:rPr>
              <w:t>4.0</w:t>
            </w:r>
          </w:p>
        </w:tc>
        <w:tc>
          <w:tcPr>
            <w:tcW w:w="1134" w:type="dxa"/>
            <w:shd w:val="clear" w:color="auto" w:fill="FFFFFF"/>
          </w:tcPr>
          <w:p w14:paraId="1D978D1D" w14:textId="0359786D" w:rsidR="00607342" w:rsidRDefault="008B19F7" w:rsidP="00607342">
            <w:pPr>
              <w:pStyle w:val="CETBodytext"/>
              <w:ind w:right="-1"/>
              <w:rPr>
                <w:rFonts w:cs="Arial"/>
                <w:szCs w:val="18"/>
                <w:lang w:val="en-GB"/>
              </w:rPr>
            </w:pPr>
            <w:r>
              <w:rPr>
                <w:rFonts w:cs="Arial"/>
                <w:szCs w:val="18"/>
                <w:lang w:val="en-GB"/>
              </w:rPr>
              <w:t>20</w:t>
            </w:r>
          </w:p>
        </w:tc>
        <w:tc>
          <w:tcPr>
            <w:tcW w:w="1275" w:type="dxa"/>
            <w:shd w:val="clear" w:color="auto" w:fill="FFFFFF"/>
          </w:tcPr>
          <w:p w14:paraId="5A0D4383" w14:textId="6BA45C41" w:rsidR="00607342" w:rsidRDefault="008B19F7" w:rsidP="00607342">
            <w:pPr>
              <w:pStyle w:val="CETBodytext"/>
              <w:ind w:right="-1"/>
              <w:rPr>
                <w:rFonts w:cs="Arial"/>
                <w:szCs w:val="18"/>
                <w:lang w:val="en-GB"/>
              </w:rPr>
            </w:pPr>
            <w:r>
              <w:rPr>
                <w:rFonts w:cs="Arial"/>
                <w:szCs w:val="18"/>
                <w:lang w:val="en-GB"/>
              </w:rPr>
              <w:t>4.0</w:t>
            </w:r>
          </w:p>
        </w:tc>
        <w:tc>
          <w:tcPr>
            <w:tcW w:w="1560" w:type="dxa"/>
            <w:shd w:val="clear" w:color="auto" w:fill="FFFFFF"/>
          </w:tcPr>
          <w:p w14:paraId="241D5204" w14:textId="0BD8943F" w:rsidR="00607342" w:rsidRDefault="009B4907" w:rsidP="00607342">
            <w:pPr>
              <w:pStyle w:val="CETBodytext"/>
              <w:ind w:right="-1"/>
              <w:rPr>
                <w:rFonts w:cs="Arial"/>
                <w:szCs w:val="18"/>
                <w:lang w:val="en-GB"/>
              </w:rPr>
            </w:pPr>
            <w:r>
              <w:rPr>
                <w:rFonts w:cs="Arial"/>
                <w:szCs w:val="18"/>
                <w:lang w:val="en-GB"/>
              </w:rPr>
              <w:t>0</w:t>
            </w:r>
          </w:p>
        </w:tc>
        <w:tc>
          <w:tcPr>
            <w:tcW w:w="1559" w:type="dxa"/>
            <w:shd w:val="clear" w:color="auto" w:fill="FFFFFF"/>
          </w:tcPr>
          <w:p w14:paraId="0AA193AC" w14:textId="710657D4" w:rsidR="00607342" w:rsidRDefault="009B4907" w:rsidP="00607342">
            <w:pPr>
              <w:pStyle w:val="CETBodytext"/>
              <w:ind w:right="-1"/>
              <w:rPr>
                <w:rFonts w:cs="Arial"/>
                <w:szCs w:val="18"/>
                <w:lang w:val="en-GB"/>
              </w:rPr>
            </w:pPr>
            <w:r>
              <w:rPr>
                <w:rFonts w:cs="Arial"/>
                <w:szCs w:val="18"/>
                <w:lang w:val="en-GB"/>
              </w:rPr>
              <w:t>0</w:t>
            </w:r>
          </w:p>
        </w:tc>
      </w:tr>
      <w:tr w:rsidR="00E84C81" w:rsidRPr="00B57B36" w14:paraId="60E95548" w14:textId="73AADA10" w:rsidTr="008F0CC3">
        <w:tc>
          <w:tcPr>
            <w:tcW w:w="993" w:type="dxa"/>
            <w:shd w:val="clear" w:color="auto" w:fill="FFFFFF"/>
          </w:tcPr>
          <w:p w14:paraId="2CCB98F3" w14:textId="77777777" w:rsidR="00607342" w:rsidRPr="00ED0110" w:rsidRDefault="00607342" w:rsidP="00607342">
            <w:pPr>
              <w:pStyle w:val="CETBodytext"/>
              <w:ind w:right="-1"/>
              <w:rPr>
                <w:rFonts w:cs="Arial"/>
                <w:szCs w:val="18"/>
                <w:lang w:val="en-GB"/>
              </w:rPr>
            </w:pPr>
            <w:r>
              <w:rPr>
                <w:rFonts w:cs="Arial"/>
                <w:szCs w:val="18"/>
                <w:lang w:val="en-GB"/>
              </w:rPr>
              <w:t>SH</w:t>
            </w:r>
            <w:r>
              <w:rPr>
                <w:rFonts w:cs="Arial"/>
                <w:szCs w:val="18"/>
                <w:vertAlign w:val="subscript"/>
                <w:lang w:val="en-GB"/>
              </w:rPr>
              <w:t>2</w:t>
            </w:r>
            <w:r>
              <w:rPr>
                <w:rFonts w:cs="Arial"/>
                <w:szCs w:val="18"/>
                <w:lang w:val="en-GB"/>
              </w:rPr>
              <w:t>IFT</w:t>
            </w:r>
          </w:p>
        </w:tc>
        <w:tc>
          <w:tcPr>
            <w:tcW w:w="1134" w:type="dxa"/>
            <w:shd w:val="clear" w:color="auto" w:fill="FFFFFF"/>
          </w:tcPr>
          <w:p w14:paraId="714021A2" w14:textId="77777777" w:rsidR="00607342" w:rsidRPr="00B57B36" w:rsidRDefault="00607342" w:rsidP="00607342">
            <w:pPr>
              <w:pStyle w:val="CETBodytext"/>
              <w:ind w:right="-1"/>
              <w:rPr>
                <w:rFonts w:cs="Arial"/>
                <w:szCs w:val="18"/>
                <w:lang w:val="en-GB"/>
              </w:rPr>
            </w:pPr>
            <w:r>
              <w:rPr>
                <w:rFonts w:cs="Arial"/>
                <w:szCs w:val="18"/>
                <w:lang w:val="en-GB"/>
              </w:rPr>
              <w:t>26</w:t>
            </w:r>
          </w:p>
        </w:tc>
        <w:tc>
          <w:tcPr>
            <w:tcW w:w="1134" w:type="dxa"/>
            <w:shd w:val="clear" w:color="auto" w:fill="FFFFFF"/>
          </w:tcPr>
          <w:p w14:paraId="44573717" w14:textId="77777777" w:rsidR="00607342" w:rsidRPr="00B57B36" w:rsidRDefault="00607342" w:rsidP="00607342">
            <w:pPr>
              <w:pStyle w:val="CETBodytext"/>
              <w:ind w:right="-1"/>
              <w:rPr>
                <w:rFonts w:cs="Arial"/>
                <w:szCs w:val="18"/>
                <w:lang w:val="en-GB"/>
              </w:rPr>
            </w:pPr>
            <w:r>
              <w:rPr>
                <w:rFonts w:cs="Arial"/>
                <w:szCs w:val="18"/>
                <w:lang w:val="en-GB"/>
              </w:rPr>
              <w:t>5.0</w:t>
            </w:r>
          </w:p>
        </w:tc>
        <w:tc>
          <w:tcPr>
            <w:tcW w:w="1134" w:type="dxa"/>
            <w:shd w:val="clear" w:color="auto" w:fill="FFFFFF"/>
          </w:tcPr>
          <w:p w14:paraId="44EFAD6B" w14:textId="78D7576F" w:rsidR="00607342" w:rsidRDefault="00607342" w:rsidP="00607342">
            <w:pPr>
              <w:pStyle w:val="CETBodytext"/>
              <w:ind w:right="-1"/>
              <w:rPr>
                <w:rFonts w:cs="Arial"/>
                <w:szCs w:val="18"/>
                <w:lang w:val="en-GB"/>
              </w:rPr>
            </w:pPr>
            <w:r>
              <w:rPr>
                <w:rFonts w:cs="Arial"/>
                <w:szCs w:val="18"/>
                <w:lang w:val="en-GB"/>
              </w:rPr>
              <w:t>38</w:t>
            </w:r>
          </w:p>
        </w:tc>
        <w:tc>
          <w:tcPr>
            <w:tcW w:w="1275" w:type="dxa"/>
            <w:shd w:val="clear" w:color="auto" w:fill="FFFFFF"/>
          </w:tcPr>
          <w:p w14:paraId="39DCA89B" w14:textId="44C4857B" w:rsidR="00607342" w:rsidRDefault="00607342" w:rsidP="00607342">
            <w:pPr>
              <w:pStyle w:val="CETBodytext"/>
              <w:ind w:right="-1"/>
              <w:rPr>
                <w:rFonts w:cs="Arial"/>
                <w:szCs w:val="18"/>
                <w:lang w:val="en-GB"/>
              </w:rPr>
            </w:pPr>
            <w:r>
              <w:rPr>
                <w:rFonts w:cs="Arial"/>
                <w:szCs w:val="18"/>
                <w:lang w:val="en-GB"/>
              </w:rPr>
              <w:t>5.5</w:t>
            </w:r>
          </w:p>
        </w:tc>
        <w:tc>
          <w:tcPr>
            <w:tcW w:w="1560" w:type="dxa"/>
            <w:shd w:val="clear" w:color="auto" w:fill="FFFFFF"/>
          </w:tcPr>
          <w:p w14:paraId="19C4F8A4" w14:textId="653D37CD" w:rsidR="00607342" w:rsidRDefault="00C24165" w:rsidP="00607342">
            <w:pPr>
              <w:pStyle w:val="CETBodytext"/>
              <w:ind w:right="-1"/>
              <w:rPr>
                <w:rFonts w:cs="Arial"/>
                <w:szCs w:val="18"/>
                <w:lang w:val="en-GB"/>
              </w:rPr>
            </w:pPr>
            <w:r>
              <w:rPr>
                <w:rFonts w:cs="Arial"/>
                <w:szCs w:val="18"/>
                <w:lang w:val="en-GB"/>
              </w:rPr>
              <w:t>46</w:t>
            </w:r>
          </w:p>
        </w:tc>
        <w:tc>
          <w:tcPr>
            <w:tcW w:w="1559" w:type="dxa"/>
            <w:shd w:val="clear" w:color="auto" w:fill="FFFFFF"/>
          </w:tcPr>
          <w:p w14:paraId="7C7C9AEF" w14:textId="45779E06" w:rsidR="00607342" w:rsidRDefault="00C24165" w:rsidP="00607342">
            <w:pPr>
              <w:pStyle w:val="CETBodytext"/>
              <w:ind w:right="-1"/>
              <w:rPr>
                <w:rFonts w:cs="Arial"/>
                <w:szCs w:val="18"/>
                <w:lang w:val="en-GB"/>
              </w:rPr>
            </w:pPr>
            <w:r>
              <w:rPr>
                <w:rFonts w:cs="Arial"/>
                <w:szCs w:val="18"/>
                <w:lang w:val="en-GB"/>
              </w:rPr>
              <w:t>11</w:t>
            </w:r>
          </w:p>
        </w:tc>
      </w:tr>
      <w:tr w:rsidR="00E84C81" w:rsidRPr="00ED0110" w14:paraId="2FD3BFC5" w14:textId="5350BE3B" w:rsidTr="008F0CC3">
        <w:tc>
          <w:tcPr>
            <w:tcW w:w="993" w:type="dxa"/>
            <w:shd w:val="clear" w:color="auto" w:fill="FFFFFF"/>
          </w:tcPr>
          <w:p w14:paraId="72798285" w14:textId="77777777" w:rsidR="00607342" w:rsidRPr="00ED0110" w:rsidRDefault="00607342" w:rsidP="00607342">
            <w:pPr>
              <w:pStyle w:val="CETBodytext"/>
              <w:ind w:right="-1"/>
              <w:rPr>
                <w:rFonts w:cs="Arial"/>
                <w:szCs w:val="18"/>
                <w:lang w:val="es-ES"/>
              </w:rPr>
            </w:pPr>
            <w:r w:rsidRPr="00ED0110">
              <w:rPr>
                <w:rFonts w:cs="Arial"/>
                <w:szCs w:val="18"/>
                <w:lang w:val="es-ES"/>
              </w:rPr>
              <w:t>Zalosh</w:t>
            </w:r>
            <w:r>
              <w:rPr>
                <w:rFonts w:cs="Arial"/>
                <w:szCs w:val="18"/>
                <w:lang w:val="es-ES"/>
              </w:rPr>
              <w:t>-1</w:t>
            </w:r>
          </w:p>
        </w:tc>
        <w:tc>
          <w:tcPr>
            <w:tcW w:w="1134" w:type="dxa"/>
            <w:shd w:val="clear" w:color="auto" w:fill="FFFFFF"/>
          </w:tcPr>
          <w:p w14:paraId="67F7095E" w14:textId="77777777" w:rsidR="00607342" w:rsidRPr="00ED0110" w:rsidRDefault="00607342" w:rsidP="00607342">
            <w:pPr>
              <w:pStyle w:val="CETBodytext"/>
              <w:ind w:right="-1"/>
              <w:rPr>
                <w:rFonts w:cs="Arial"/>
                <w:szCs w:val="18"/>
                <w:lang w:val="es-ES"/>
              </w:rPr>
            </w:pPr>
            <w:r>
              <w:rPr>
                <w:rFonts w:cs="Arial"/>
                <w:szCs w:val="18"/>
                <w:lang w:val="es-ES"/>
              </w:rPr>
              <w:t>8</w:t>
            </w:r>
          </w:p>
        </w:tc>
        <w:tc>
          <w:tcPr>
            <w:tcW w:w="1134" w:type="dxa"/>
            <w:shd w:val="clear" w:color="auto" w:fill="FFFFFF"/>
          </w:tcPr>
          <w:p w14:paraId="0B2F476C" w14:textId="77777777" w:rsidR="00607342" w:rsidRPr="00ED0110" w:rsidRDefault="00607342" w:rsidP="00607342">
            <w:pPr>
              <w:pStyle w:val="CETBodytext"/>
              <w:ind w:right="-1"/>
              <w:rPr>
                <w:rFonts w:cs="Arial"/>
                <w:szCs w:val="18"/>
                <w:lang w:val="es-ES"/>
              </w:rPr>
            </w:pPr>
            <w:r>
              <w:rPr>
                <w:rFonts w:cs="Arial"/>
                <w:szCs w:val="18"/>
                <w:lang w:val="es-ES"/>
              </w:rPr>
              <w:t>2.0</w:t>
            </w:r>
          </w:p>
        </w:tc>
        <w:tc>
          <w:tcPr>
            <w:tcW w:w="1134" w:type="dxa"/>
            <w:shd w:val="clear" w:color="auto" w:fill="FFFFFF"/>
          </w:tcPr>
          <w:p w14:paraId="7D5FD2A6" w14:textId="48C594D1" w:rsidR="00607342" w:rsidRDefault="0099048E" w:rsidP="00607342">
            <w:pPr>
              <w:pStyle w:val="CETBodytext"/>
              <w:ind w:right="-1"/>
              <w:rPr>
                <w:rFonts w:cs="Arial"/>
                <w:szCs w:val="18"/>
                <w:lang w:val="es-ES"/>
              </w:rPr>
            </w:pPr>
            <w:r>
              <w:rPr>
                <w:rFonts w:cs="Arial"/>
                <w:szCs w:val="18"/>
                <w:lang w:val="es-ES"/>
              </w:rPr>
              <w:t>23</w:t>
            </w:r>
          </w:p>
        </w:tc>
        <w:tc>
          <w:tcPr>
            <w:tcW w:w="1275" w:type="dxa"/>
            <w:shd w:val="clear" w:color="auto" w:fill="FFFFFF"/>
          </w:tcPr>
          <w:p w14:paraId="60213273" w14:textId="686601B8" w:rsidR="00607342" w:rsidRDefault="00607342" w:rsidP="00607342">
            <w:pPr>
              <w:pStyle w:val="CETBodytext"/>
              <w:ind w:right="-1"/>
              <w:rPr>
                <w:rFonts w:cs="Arial"/>
                <w:szCs w:val="18"/>
                <w:lang w:val="es-ES"/>
              </w:rPr>
            </w:pPr>
            <w:r>
              <w:rPr>
                <w:rFonts w:cs="Arial"/>
                <w:szCs w:val="18"/>
                <w:lang w:val="es-ES"/>
              </w:rPr>
              <w:t>3.9</w:t>
            </w:r>
          </w:p>
        </w:tc>
        <w:tc>
          <w:tcPr>
            <w:tcW w:w="1560" w:type="dxa"/>
            <w:shd w:val="clear" w:color="auto" w:fill="FFFFFF"/>
          </w:tcPr>
          <w:p w14:paraId="2FD6C2C4" w14:textId="0FA5C78D" w:rsidR="00607342" w:rsidRDefault="0099048E" w:rsidP="00607342">
            <w:pPr>
              <w:pStyle w:val="CETBodytext"/>
              <w:ind w:right="-1"/>
              <w:rPr>
                <w:rFonts w:cs="Arial"/>
                <w:szCs w:val="18"/>
                <w:lang w:val="es-ES"/>
              </w:rPr>
            </w:pPr>
            <w:r>
              <w:rPr>
                <w:rFonts w:cs="Arial"/>
                <w:szCs w:val="18"/>
                <w:lang w:val="es-ES"/>
              </w:rPr>
              <w:t>188</w:t>
            </w:r>
          </w:p>
        </w:tc>
        <w:tc>
          <w:tcPr>
            <w:tcW w:w="1559" w:type="dxa"/>
            <w:shd w:val="clear" w:color="auto" w:fill="FFFFFF"/>
          </w:tcPr>
          <w:p w14:paraId="5B9EBD91" w14:textId="35992570" w:rsidR="00607342" w:rsidRDefault="00C24165" w:rsidP="00607342">
            <w:pPr>
              <w:pStyle w:val="CETBodytext"/>
              <w:ind w:right="-1"/>
              <w:rPr>
                <w:rFonts w:cs="Arial"/>
                <w:szCs w:val="18"/>
                <w:lang w:val="es-ES"/>
              </w:rPr>
            </w:pPr>
            <w:r>
              <w:rPr>
                <w:rFonts w:cs="Arial"/>
                <w:szCs w:val="18"/>
                <w:lang w:val="es-ES"/>
              </w:rPr>
              <w:t>96</w:t>
            </w:r>
          </w:p>
        </w:tc>
      </w:tr>
      <w:tr w:rsidR="00E84C81" w:rsidRPr="00ED0110" w14:paraId="7A76E93C" w14:textId="73DB3F3C" w:rsidTr="008F0CC3">
        <w:tc>
          <w:tcPr>
            <w:tcW w:w="993" w:type="dxa"/>
            <w:shd w:val="clear" w:color="auto" w:fill="FFFFFF"/>
          </w:tcPr>
          <w:p w14:paraId="6970B19F" w14:textId="77777777" w:rsidR="00607342" w:rsidRPr="00ED0110" w:rsidRDefault="00607342" w:rsidP="00607342">
            <w:pPr>
              <w:pStyle w:val="CETBodytext"/>
              <w:ind w:right="-1"/>
              <w:rPr>
                <w:rFonts w:cs="Arial"/>
                <w:szCs w:val="18"/>
                <w:lang w:val="es-ES"/>
              </w:rPr>
            </w:pPr>
            <w:r>
              <w:rPr>
                <w:rFonts w:cs="Arial"/>
                <w:szCs w:val="18"/>
                <w:lang w:val="es-ES"/>
              </w:rPr>
              <w:t>Zalosh-2</w:t>
            </w:r>
          </w:p>
        </w:tc>
        <w:tc>
          <w:tcPr>
            <w:tcW w:w="1134" w:type="dxa"/>
            <w:shd w:val="clear" w:color="auto" w:fill="FFFFFF"/>
          </w:tcPr>
          <w:p w14:paraId="7AB9C43D" w14:textId="77777777" w:rsidR="00607342" w:rsidRDefault="00607342" w:rsidP="00607342">
            <w:pPr>
              <w:pStyle w:val="CETBodytext"/>
              <w:ind w:right="-1"/>
              <w:rPr>
                <w:rFonts w:cs="Arial"/>
                <w:szCs w:val="18"/>
                <w:lang w:val="es-ES"/>
              </w:rPr>
            </w:pPr>
            <w:r>
              <w:rPr>
                <w:rFonts w:cs="Arial"/>
                <w:szCs w:val="18"/>
                <w:lang w:val="es-ES"/>
              </w:rPr>
              <w:t>24</w:t>
            </w:r>
          </w:p>
        </w:tc>
        <w:tc>
          <w:tcPr>
            <w:tcW w:w="1134" w:type="dxa"/>
            <w:shd w:val="clear" w:color="auto" w:fill="FFFFFF"/>
          </w:tcPr>
          <w:p w14:paraId="43AA61CE" w14:textId="77777777" w:rsidR="00607342" w:rsidRDefault="00607342" w:rsidP="00607342">
            <w:pPr>
              <w:pStyle w:val="CETBodytext"/>
              <w:ind w:right="-1"/>
              <w:rPr>
                <w:rFonts w:cs="Arial"/>
                <w:szCs w:val="18"/>
                <w:lang w:val="es-ES"/>
              </w:rPr>
            </w:pPr>
            <w:r>
              <w:rPr>
                <w:rFonts w:cs="Arial"/>
                <w:szCs w:val="18"/>
                <w:lang w:val="es-ES"/>
              </w:rPr>
              <w:t>2.0</w:t>
            </w:r>
          </w:p>
        </w:tc>
        <w:tc>
          <w:tcPr>
            <w:tcW w:w="1134" w:type="dxa"/>
            <w:shd w:val="clear" w:color="auto" w:fill="FFFFFF"/>
          </w:tcPr>
          <w:p w14:paraId="36699F3A" w14:textId="4F723FFA" w:rsidR="00607342" w:rsidRDefault="00607342" w:rsidP="00607342">
            <w:pPr>
              <w:pStyle w:val="CETBodytext"/>
              <w:ind w:right="-1"/>
              <w:rPr>
                <w:rFonts w:cs="Arial"/>
                <w:szCs w:val="18"/>
                <w:lang w:val="es-ES"/>
              </w:rPr>
            </w:pPr>
            <w:r>
              <w:rPr>
                <w:rFonts w:cs="Arial"/>
                <w:szCs w:val="18"/>
                <w:lang w:val="es-ES"/>
              </w:rPr>
              <w:t>20</w:t>
            </w:r>
          </w:p>
        </w:tc>
        <w:tc>
          <w:tcPr>
            <w:tcW w:w="1275" w:type="dxa"/>
            <w:shd w:val="clear" w:color="auto" w:fill="FFFFFF"/>
          </w:tcPr>
          <w:p w14:paraId="0D0E3F87" w14:textId="35CC277F" w:rsidR="00607342" w:rsidRDefault="00607342" w:rsidP="00607342">
            <w:pPr>
              <w:pStyle w:val="CETBodytext"/>
              <w:ind w:right="-1"/>
              <w:rPr>
                <w:rFonts w:cs="Arial"/>
                <w:szCs w:val="18"/>
                <w:lang w:val="es-ES"/>
              </w:rPr>
            </w:pPr>
            <w:r>
              <w:rPr>
                <w:rFonts w:cs="Arial"/>
                <w:szCs w:val="18"/>
                <w:lang w:val="es-ES"/>
              </w:rPr>
              <w:t>4.0</w:t>
            </w:r>
          </w:p>
        </w:tc>
        <w:tc>
          <w:tcPr>
            <w:tcW w:w="1560" w:type="dxa"/>
            <w:shd w:val="clear" w:color="auto" w:fill="FFFFFF"/>
          </w:tcPr>
          <w:p w14:paraId="17E1A81D" w14:textId="121A1D8A" w:rsidR="00607342" w:rsidRDefault="00C24165" w:rsidP="00607342">
            <w:pPr>
              <w:pStyle w:val="CETBodytext"/>
              <w:ind w:right="-1"/>
              <w:rPr>
                <w:rFonts w:cs="Arial"/>
                <w:szCs w:val="18"/>
                <w:lang w:val="es-ES"/>
              </w:rPr>
            </w:pPr>
            <w:r>
              <w:rPr>
                <w:rFonts w:cs="Arial"/>
                <w:szCs w:val="18"/>
                <w:lang w:val="es-ES"/>
              </w:rPr>
              <w:t>-15</w:t>
            </w:r>
          </w:p>
        </w:tc>
        <w:tc>
          <w:tcPr>
            <w:tcW w:w="1559" w:type="dxa"/>
            <w:shd w:val="clear" w:color="auto" w:fill="FFFFFF"/>
          </w:tcPr>
          <w:p w14:paraId="3D15DFA7" w14:textId="14CEA8CF" w:rsidR="00607342" w:rsidRDefault="00C24165" w:rsidP="00607342">
            <w:pPr>
              <w:pStyle w:val="CETBodytext"/>
              <w:ind w:right="-1"/>
              <w:rPr>
                <w:rFonts w:cs="Arial"/>
                <w:szCs w:val="18"/>
                <w:lang w:val="es-ES"/>
              </w:rPr>
            </w:pPr>
            <w:r>
              <w:rPr>
                <w:rFonts w:cs="Arial"/>
                <w:szCs w:val="18"/>
                <w:lang w:val="es-ES"/>
              </w:rPr>
              <w:t>103</w:t>
            </w:r>
          </w:p>
        </w:tc>
      </w:tr>
      <w:tr w:rsidR="00E84C81" w:rsidRPr="00ED0110" w14:paraId="4BDBBE4E" w14:textId="0B31D114" w:rsidTr="008F0CC3">
        <w:tc>
          <w:tcPr>
            <w:tcW w:w="993" w:type="dxa"/>
            <w:shd w:val="clear" w:color="auto" w:fill="FFFFFF"/>
          </w:tcPr>
          <w:p w14:paraId="3EDE94FD" w14:textId="77777777" w:rsidR="00607342" w:rsidRPr="00ED0110" w:rsidRDefault="00607342" w:rsidP="00607342">
            <w:pPr>
              <w:pStyle w:val="CETBodytext"/>
              <w:ind w:right="-1"/>
              <w:rPr>
                <w:rFonts w:cs="Arial"/>
                <w:szCs w:val="18"/>
                <w:lang w:val="es-ES"/>
              </w:rPr>
            </w:pPr>
            <w:r w:rsidRPr="00ED0110">
              <w:rPr>
                <w:rFonts w:cs="Arial"/>
                <w:szCs w:val="18"/>
                <w:lang w:val="es-ES"/>
              </w:rPr>
              <w:t>Tamura</w:t>
            </w:r>
            <w:r>
              <w:rPr>
                <w:rFonts w:cs="Arial"/>
                <w:szCs w:val="18"/>
                <w:lang w:val="es-ES"/>
              </w:rPr>
              <w:t>-1</w:t>
            </w:r>
          </w:p>
        </w:tc>
        <w:tc>
          <w:tcPr>
            <w:tcW w:w="1134" w:type="dxa"/>
            <w:shd w:val="clear" w:color="auto" w:fill="FFFFFF"/>
          </w:tcPr>
          <w:p w14:paraId="5506D06E" w14:textId="77777777" w:rsidR="00607342" w:rsidRPr="00ED0110" w:rsidRDefault="00607342" w:rsidP="00607342">
            <w:pPr>
              <w:pStyle w:val="CETBodytext"/>
              <w:ind w:right="-1"/>
              <w:rPr>
                <w:rFonts w:cs="Arial"/>
                <w:szCs w:val="18"/>
                <w:lang w:val="es-ES"/>
              </w:rPr>
            </w:pPr>
            <w:r>
              <w:rPr>
                <w:rFonts w:cs="Arial"/>
                <w:szCs w:val="18"/>
                <w:lang w:val="es-ES"/>
              </w:rPr>
              <w:t>18</w:t>
            </w:r>
          </w:p>
        </w:tc>
        <w:tc>
          <w:tcPr>
            <w:tcW w:w="1134" w:type="dxa"/>
            <w:shd w:val="clear" w:color="auto" w:fill="FFFFFF"/>
          </w:tcPr>
          <w:p w14:paraId="0176F683" w14:textId="77777777" w:rsidR="00607342" w:rsidRPr="00ED0110" w:rsidRDefault="00607342" w:rsidP="00607342">
            <w:pPr>
              <w:pStyle w:val="CETBodytext"/>
              <w:ind w:right="-1"/>
              <w:rPr>
                <w:rFonts w:cs="Arial"/>
                <w:szCs w:val="18"/>
                <w:lang w:val="es-ES"/>
              </w:rPr>
            </w:pPr>
            <w:r>
              <w:rPr>
                <w:rFonts w:cs="Arial"/>
                <w:szCs w:val="18"/>
                <w:lang w:val="es-ES"/>
              </w:rPr>
              <w:t>2.0</w:t>
            </w:r>
          </w:p>
        </w:tc>
        <w:tc>
          <w:tcPr>
            <w:tcW w:w="1134" w:type="dxa"/>
            <w:shd w:val="clear" w:color="auto" w:fill="FFFFFF"/>
          </w:tcPr>
          <w:p w14:paraId="1E9C52CF" w14:textId="0BC4D8E4" w:rsidR="00607342" w:rsidRDefault="00607342" w:rsidP="00607342">
            <w:pPr>
              <w:pStyle w:val="CETBodytext"/>
              <w:ind w:right="-1"/>
              <w:rPr>
                <w:rFonts w:cs="Arial"/>
                <w:szCs w:val="18"/>
                <w:lang w:val="es-ES"/>
              </w:rPr>
            </w:pPr>
            <w:r>
              <w:rPr>
                <w:rFonts w:cs="Arial"/>
                <w:szCs w:val="18"/>
                <w:lang w:val="es-ES"/>
              </w:rPr>
              <w:t>18</w:t>
            </w:r>
          </w:p>
        </w:tc>
        <w:tc>
          <w:tcPr>
            <w:tcW w:w="1275" w:type="dxa"/>
            <w:shd w:val="clear" w:color="auto" w:fill="FFFFFF"/>
          </w:tcPr>
          <w:p w14:paraId="6E21A24B" w14:textId="369A8BF5" w:rsidR="00607342" w:rsidRDefault="00607342" w:rsidP="00607342">
            <w:pPr>
              <w:pStyle w:val="CETBodytext"/>
              <w:ind w:right="-1"/>
              <w:rPr>
                <w:rFonts w:cs="Arial"/>
                <w:szCs w:val="18"/>
                <w:lang w:val="es-ES"/>
              </w:rPr>
            </w:pPr>
            <w:r>
              <w:rPr>
                <w:rFonts w:cs="Arial"/>
                <w:szCs w:val="18"/>
                <w:lang w:val="es-ES"/>
              </w:rPr>
              <w:t>3.8</w:t>
            </w:r>
          </w:p>
        </w:tc>
        <w:tc>
          <w:tcPr>
            <w:tcW w:w="1560" w:type="dxa"/>
            <w:shd w:val="clear" w:color="auto" w:fill="FFFFFF"/>
          </w:tcPr>
          <w:p w14:paraId="28417404" w14:textId="0C29AD9F" w:rsidR="00607342" w:rsidRDefault="00C24165" w:rsidP="00607342">
            <w:pPr>
              <w:pStyle w:val="CETBodytext"/>
              <w:ind w:right="-1"/>
              <w:rPr>
                <w:rFonts w:cs="Arial"/>
                <w:szCs w:val="18"/>
                <w:lang w:val="es-ES"/>
              </w:rPr>
            </w:pPr>
            <w:r>
              <w:rPr>
                <w:rFonts w:cs="Arial"/>
                <w:szCs w:val="18"/>
                <w:lang w:val="es-ES"/>
              </w:rPr>
              <w:t>2</w:t>
            </w:r>
          </w:p>
        </w:tc>
        <w:tc>
          <w:tcPr>
            <w:tcW w:w="1559" w:type="dxa"/>
            <w:shd w:val="clear" w:color="auto" w:fill="FFFFFF"/>
          </w:tcPr>
          <w:p w14:paraId="112EA3B7" w14:textId="399F47A1" w:rsidR="00607342" w:rsidRDefault="00C24165" w:rsidP="00607342">
            <w:pPr>
              <w:pStyle w:val="CETBodytext"/>
              <w:ind w:right="-1"/>
              <w:rPr>
                <w:rFonts w:cs="Arial"/>
                <w:szCs w:val="18"/>
                <w:lang w:val="es-ES"/>
              </w:rPr>
            </w:pPr>
            <w:r>
              <w:rPr>
                <w:rFonts w:cs="Arial"/>
                <w:szCs w:val="18"/>
                <w:lang w:val="es-ES"/>
              </w:rPr>
              <w:t>92</w:t>
            </w:r>
          </w:p>
        </w:tc>
      </w:tr>
      <w:tr w:rsidR="00E84C81" w:rsidRPr="00ED0110" w14:paraId="280B376C" w14:textId="454B66D7" w:rsidTr="008F0CC3">
        <w:tc>
          <w:tcPr>
            <w:tcW w:w="993" w:type="dxa"/>
            <w:shd w:val="clear" w:color="auto" w:fill="FFFFFF"/>
          </w:tcPr>
          <w:p w14:paraId="48209173" w14:textId="77777777" w:rsidR="00607342" w:rsidRPr="00ED0110" w:rsidRDefault="00607342" w:rsidP="00607342">
            <w:pPr>
              <w:pStyle w:val="CETBodytext"/>
              <w:ind w:right="-1"/>
              <w:rPr>
                <w:rFonts w:cs="Arial"/>
                <w:szCs w:val="18"/>
                <w:lang w:val="es-ES"/>
              </w:rPr>
            </w:pPr>
            <w:r w:rsidRPr="00ED0110">
              <w:rPr>
                <w:rFonts w:cs="Arial"/>
                <w:szCs w:val="18"/>
                <w:lang w:val="es-ES"/>
              </w:rPr>
              <w:t>Tamura</w:t>
            </w:r>
            <w:r>
              <w:rPr>
                <w:rFonts w:cs="Arial"/>
                <w:szCs w:val="18"/>
                <w:lang w:val="es-ES"/>
              </w:rPr>
              <w:t>-2</w:t>
            </w:r>
          </w:p>
        </w:tc>
        <w:tc>
          <w:tcPr>
            <w:tcW w:w="1134" w:type="dxa"/>
            <w:shd w:val="clear" w:color="auto" w:fill="FFFFFF"/>
          </w:tcPr>
          <w:p w14:paraId="3DE3A388" w14:textId="77777777" w:rsidR="00607342" w:rsidRPr="00ED0110" w:rsidRDefault="00607342" w:rsidP="00607342">
            <w:pPr>
              <w:pStyle w:val="CETBodytext"/>
              <w:ind w:right="-1"/>
              <w:rPr>
                <w:rFonts w:cs="Arial"/>
                <w:szCs w:val="18"/>
                <w:lang w:val="es-ES"/>
              </w:rPr>
            </w:pPr>
            <w:r>
              <w:rPr>
                <w:rFonts w:cs="Arial"/>
                <w:szCs w:val="18"/>
                <w:lang w:val="es-ES"/>
              </w:rPr>
              <w:t>18</w:t>
            </w:r>
          </w:p>
        </w:tc>
        <w:tc>
          <w:tcPr>
            <w:tcW w:w="1134" w:type="dxa"/>
            <w:shd w:val="clear" w:color="auto" w:fill="FFFFFF"/>
          </w:tcPr>
          <w:p w14:paraId="61056BF3" w14:textId="77777777" w:rsidR="00607342" w:rsidRPr="00ED0110" w:rsidRDefault="00607342" w:rsidP="00607342">
            <w:pPr>
              <w:pStyle w:val="CETBodytext"/>
              <w:ind w:right="-1"/>
              <w:rPr>
                <w:rFonts w:cs="Arial"/>
                <w:szCs w:val="18"/>
                <w:lang w:val="es-ES"/>
              </w:rPr>
            </w:pPr>
            <w:r>
              <w:rPr>
                <w:rFonts w:cs="Arial"/>
                <w:szCs w:val="18"/>
                <w:lang w:val="es-ES"/>
              </w:rPr>
              <w:t>2.0</w:t>
            </w:r>
          </w:p>
        </w:tc>
        <w:tc>
          <w:tcPr>
            <w:tcW w:w="1134" w:type="dxa"/>
            <w:shd w:val="clear" w:color="auto" w:fill="FFFFFF"/>
          </w:tcPr>
          <w:p w14:paraId="33C36D91" w14:textId="56EEB2A5" w:rsidR="00607342" w:rsidRDefault="00607342" w:rsidP="00607342">
            <w:pPr>
              <w:pStyle w:val="CETBodytext"/>
              <w:ind w:right="-1"/>
              <w:rPr>
                <w:rFonts w:cs="Arial"/>
                <w:szCs w:val="18"/>
                <w:lang w:val="es-ES"/>
              </w:rPr>
            </w:pPr>
            <w:r>
              <w:rPr>
                <w:rFonts w:cs="Arial"/>
                <w:szCs w:val="18"/>
                <w:lang w:val="es-ES"/>
              </w:rPr>
              <w:t>18</w:t>
            </w:r>
          </w:p>
        </w:tc>
        <w:tc>
          <w:tcPr>
            <w:tcW w:w="1275" w:type="dxa"/>
            <w:shd w:val="clear" w:color="auto" w:fill="FFFFFF"/>
          </w:tcPr>
          <w:p w14:paraId="6B4F268B" w14:textId="76F5399D" w:rsidR="00607342" w:rsidRDefault="00607342" w:rsidP="00607342">
            <w:pPr>
              <w:pStyle w:val="CETBodytext"/>
              <w:ind w:right="-1"/>
              <w:rPr>
                <w:rFonts w:cs="Arial"/>
                <w:szCs w:val="18"/>
                <w:lang w:val="es-ES"/>
              </w:rPr>
            </w:pPr>
            <w:r>
              <w:rPr>
                <w:rFonts w:cs="Arial"/>
                <w:szCs w:val="18"/>
                <w:lang w:val="es-ES"/>
              </w:rPr>
              <w:t>3.8</w:t>
            </w:r>
          </w:p>
        </w:tc>
        <w:tc>
          <w:tcPr>
            <w:tcW w:w="1560" w:type="dxa"/>
            <w:shd w:val="clear" w:color="auto" w:fill="FFFFFF"/>
          </w:tcPr>
          <w:p w14:paraId="6440B604" w14:textId="35F66FAC" w:rsidR="00607342" w:rsidRDefault="00C24165" w:rsidP="00607342">
            <w:pPr>
              <w:pStyle w:val="CETBodytext"/>
              <w:ind w:right="-1"/>
              <w:rPr>
                <w:rFonts w:cs="Arial"/>
                <w:szCs w:val="18"/>
                <w:lang w:val="es-ES"/>
              </w:rPr>
            </w:pPr>
            <w:r>
              <w:rPr>
                <w:rFonts w:cs="Arial"/>
                <w:szCs w:val="18"/>
                <w:lang w:val="es-ES"/>
              </w:rPr>
              <w:t>2</w:t>
            </w:r>
          </w:p>
        </w:tc>
        <w:tc>
          <w:tcPr>
            <w:tcW w:w="1559" w:type="dxa"/>
            <w:shd w:val="clear" w:color="auto" w:fill="FFFFFF"/>
          </w:tcPr>
          <w:p w14:paraId="78B52B41" w14:textId="42F89ADE" w:rsidR="00607342" w:rsidRDefault="00C24165" w:rsidP="00607342">
            <w:pPr>
              <w:pStyle w:val="CETBodytext"/>
              <w:ind w:right="-1"/>
              <w:rPr>
                <w:rFonts w:cs="Arial"/>
                <w:szCs w:val="18"/>
                <w:lang w:val="es-ES"/>
              </w:rPr>
            </w:pPr>
            <w:r>
              <w:rPr>
                <w:rFonts w:cs="Arial"/>
                <w:szCs w:val="18"/>
                <w:lang w:val="es-ES"/>
              </w:rPr>
              <w:t>89</w:t>
            </w:r>
          </w:p>
        </w:tc>
      </w:tr>
      <w:tr w:rsidR="00E84C81" w:rsidRPr="00ED0110" w14:paraId="24726D81" w14:textId="5949650E" w:rsidTr="008F0CC3">
        <w:tc>
          <w:tcPr>
            <w:tcW w:w="993" w:type="dxa"/>
            <w:shd w:val="clear" w:color="auto" w:fill="FFFFFF"/>
          </w:tcPr>
          <w:p w14:paraId="515A0486" w14:textId="77777777" w:rsidR="00607342" w:rsidRPr="00ED0110" w:rsidRDefault="00607342" w:rsidP="00607342">
            <w:pPr>
              <w:pStyle w:val="CETBodytext"/>
              <w:ind w:right="-1"/>
              <w:rPr>
                <w:rFonts w:cs="Arial"/>
                <w:szCs w:val="18"/>
                <w:lang w:val="es-ES"/>
              </w:rPr>
            </w:pPr>
            <w:r w:rsidRPr="00ED0110">
              <w:rPr>
                <w:rFonts w:cs="Arial"/>
                <w:szCs w:val="18"/>
                <w:lang w:val="es-ES"/>
              </w:rPr>
              <w:t>S</w:t>
            </w:r>
            <w:r>
              <w:rPr>
                <w:rFonts w:cs="Arial"/>
                <w:szCs w:val="18"/>
                <w:lang w:val="es-ES"/>
              </w:rPr>
              <w:t>hen</w:t>
            </w:r>
          </w:p>
        </w:tc>
        <w:tc>
          <w:tcPr>
            <w:tcW w:w="1134" w:type="dxa"/>
            <w:shd w:val="clear" w:color="auto" w:fill="FFFFFF"/>
          </w:tcPr>
          <w:p w14:paraId="12FF4009" w14:textId="77777777" w:rsidR="00607342" w:rsidRPr="00ED0110" w:rsidRDefault="00607342" w:rsidP="00607342">
            <w:pPr>
              <w:pStyle w:val="CETBodytext"/>
              <w:ind w:right="-1"/>
              <w:rPr>
                <w:rFonts w:cs="Arial"/>
                <w:szCs w:val="18"/>
                <w:lang w:val="es-ES"/>
              </w:rPr>
            </w:pPr>
            <w:r>
              <w:rPr>
                <w:rFonts w:cs="Arial"/>
                <w:szCs w:val="18"/>
                <w:lang w:val="es-ES"/>
              </w:rPr>
              <w:t>7 ÷ 8</w:t>
            </w:r>
          </w:p>
        </w:tc>
        <w:tc>
          <w:tcPr>
            <w:tcW w:w="1134" w:type="dxa"/>
            <w:shd w:val="clear" w:color="auto" w:fill="FFFFFF"/>
          </w:tcPr>
          <w:p w14:paraId="65485F07" w14:textId="77777777" w:rsidR="00607342" w:rsidRPr="00ED0110" w:rsidRDefault="00607342" w:rsidP="00607342">
            <w:pPr>
              <w:pStyle w:val="CETBodytext"/>
              <w:ind w:right="-1"/>
              <w:rPr>
                <w:rFonts w:cs="Arial"/>
                <w:szCs w:val="18"/>
                <w:lang w:val="es-ES"/>
              </w:rPr>
            </w:pPr>
            <w:r>
              <w:rPr>
                <w:rFonts w:cs="Arial"/>
                <w:szCs w:val="18"/>
                <w:lang w:val="es-ES"/>
              </w:rPr>
              <w:t>1.5</w:t>
            </w:r>
          </w:p>
        </w:tc>
        <w:tc>
          <w:tcPr>
            <w:tcW w:w="1134" w:type="dxa"/>
            <w:shd w:val="clear" w:color="auto" w:fill="FFFFFF"/>
          </w:tcPr>
          <w:p w14:paraId="058145C3" w14:textId="00C6B836" w:rsidR="00607342" w:rsidRDefault="0099048E" w:rsidP="00607342">
            <w:pPr>
              <w:pStyle w:val="CETBodytext"/>
              <w:ind w:right="-1"/>
              <w:rPr>
                <w:rFonts w:cs="Arial"/>
                <w:szCs w:val="18"/>
                <w:lang w:val="es-ES"/>
              </w:rPr>
            </w:pPr>
            <w:r>
              <w:rPr>
                <w:rFonts w:cs="Arial"/>
                <w:szCs w:val="18"/>
                <w:lang w:val="es-ES"/>
              </w:rPr>
              <w:t>30</w:t>
            </w:r>
          </w:p>
        </w:tc>
        <w:tc>
          <w:tcPr>
            <w:tcW w:w="1275" w:type="dxa"/>
            <w:shd w:val="clear" w:color="auto" w:fill="FFFFFF"/>
          </w:tcPr>
          <w:p w14:paraId="4B5DFC31" w14:textId="59C40BD9" w:rsidR="00607342" w:rsidRDefault="00607342" w:rsidP="00607342">
            <w:pPr>
              <w:pStyle w:val="CETBodytext"/>
              <w:ind w:right="-1"/>
              <w:rPr>
                <w:rFonts w:cs="Arial"/>
                <w:szCs w:val="18"/>
                <w:lang w:val="es-ES"/>
              </w:rPr>
            </w:pPr>
            <w:r>
              <w:rPr>
                <w:rFonts w:cs="Arial"/>
                <w:szCs w:val="18"/>
                <w:lang w:val="es-ES"/>
              </w:rPr>
              <w:t>3.9</w:t>
            </w:r>
          </w:p>
        </w:tc>
        <w:tc>
          <w:tcPr>
            <w:tcW w:w="1560" w:type="dxa"/>
            <w:shd w:val="clear" w:color="auto" w:fill="FFFFFF"/>
          </w:tcPr>
          <w:p w14:paraId="38CBD2CB" w14:textId="2D06C8F5" w:rsidR="00607342" w:rsidRDefault="0099048E" w:rsidP="00607342">
            <w:pPr>
              <w:pStyle w:val="CETBodytext"/>
              <w:ind w:right="-1"/>
              <w:rPr>
                <w:rFonts w:cs="Arial"/>
                <w:szCs w:val="18"/>
                <w:lang w:val="es-ES"/>
              </w:rPr>
            </w:pPr>
            <w:r>
              <w:rPr>
                <w:rFonts w:cs="Arial"/>
                <w:szCs w:val="18"/>
                <w:lang w:val="es-ES"/>
              </w:rPr>
              <w:t>275</w:t>
            </w:r>
          </w:p>
        </w:tc>
        <w:tc>
          <w:tcPr>
            <w:tcW w:w="1559" w:type="dxa"/>
            <w:shd w:val="clear" w:color="auto" w:fill="FFFFFF"/>
          </w:tcPr>
          <w:p w14:paraId="6FB6C172" w14:textId="3B2A447B" w:rsidR="00607342" w:rsidRDefault="00C24165" w:rsidP="00607342">
            <w:pPr>
              <w:pStyle w:val="CETBodytext"/>
              <w:ind w:right="-1"/>
              <w:rPr>
                <w:rFonts w:cs="Arial"/>
                <w:szCs w:val="18"/>
                <w:lang w:val="es-ES"/>
              </w:rPr>
            </w:pPr>
            <w:r>
              <w:rPr>
                <w:rFonts w:cs="Arial"/>
                <w:szCs w:val="18"/>
                <w:lang w:val="es-ES"/>
              </w:rPr>
              <w:t>160</w:t>
            </w:r>
          </w:p>
        </w:tc>
      </w:tr>
    </w:tbl>
    <w:p w14:paraId="73E64DBB" w14:textId="77777777" w:rsidR="002039F6" w:rsidRPr="002039F6" w:rsidRDefault="002039F6" w:rsidP="002039F6">
      <w:pPr>
        <w:rPr>
          <w:lang w:val="en-US"/>
        </w:rPr>
      </w:pPr>
    </w:p>
    <w:p w14:paraId="59DC96FC" w14:textId="43C5EB1E" w:rsidR="00606C83" w:rsidRDefault="00E4262E" w:rsidP="00606C83">
      <w:pPr>
        <w:pStyle w:val="CETBodytext"/>
      </w:pPr>
      <w:r>
        <w:t>As mentioned, t</w:t>
      </w:r>
      <w:r w:rsidR="006E43C5">
        <w:t>he obtained results</w:t>
      </w:r>
      <w:r w:rsidR="00606C83">
        <w:t xml:space="preserve"> could be </w:t>
      </w:r>
      <w:r w:rsidR="002370F9">
        <w:t xml:space="preserve">a </w:t>
      </w:r>
      <w:r w:rsidR="00606C83">
        <w:t xml:space="preserve">hint indicating that the hydrogen fireballs are more likely to behave in a more buoyancy-driven manner, given the hydrogen extremely low density, and therefore high </w:t>
      </w:r>
      <w:r w:rsidR="0038598E">
        <w:t>buoyancy in air. However, Eq. 3 seem</w:t>
      </w:r>
      <w:r w:rsidR="006A4908">
        <w:t>s</w:t>
      </w:r>
      <w:r w:rsidR="0038598E">
        <w:t xml:space="preserve"> to underestimate the duration of the BLEVE fireballs, which could affect the </w:t>
      </w:r>
      <w:r w:rsidR="00BF3F0B">
        <w:t>predictions</w:t>
      </w:r>
      <w:r w:rsidR="0038598E">
        <w:t xml:space="preserve"> on the </w:t>
      </w:r>
      <w:r w:rsidR="00BF3F0B">
        <w:t xml:space="preserve">overall </w:t>
      </w:r>
      <w:r w:rsidR="0038598E">
        <w:t xml:space="preserve">thermal dose, ultimately leading to an underestimation of the related hazard. Hence, the </w:t>
      </w:r>
      <w:r w:rsidR="008F0CC3">
        <w:t xml:space="preserve">models </w:t>
      </w:r>
      <w:r w:rsidR="0038598E">
        <w:t xml:space="preserve">proposed </w:t>
      </w:r>
      <w:r w:rsidR="008F0CC3">
        <w:t xml:space="preserve">with this work </w:t>
      </w:r>
      <w:r w:rsidR="00BF3F0B">
        <w:t xml:space="preserve">seem to </w:t>
      </w:r>
      <w:r w:rsidR="0099204B">
        <w:t>overestimate the fireball</w:t>
      </w:r>
      <w:r w:rsidR="00BF3F0B">
        <w:t xml:space="preserve"> durations, but further experimental evidence is needed to investigate the</w:t>
      </w:r>
      <w:r w:rsidR="008F0CC3">
        <w:t>ir</w:t>
      </w:r>
      <w:r w:rsidR="00BF3F0B">
        <w:t xml:space="preserve"> suitability.</w:t>
      </w:r>
      <w:r w:rsidR="00B83004">
        <w:t xml:space="preserve"> </w:t>
      </w:r>
      <w:r w:rsidR="00EA0292">
        <w:t>Furthermore</w:t>
      </w:r>
      <w:r w:rsidR="00DD0C41">
        <w:t xml:space="preserve">, the effect of hydrogen </w:t>
      </w:r>
      <w:r w:rsidR="00387789">
        <w:t>elevated</w:t>
      </w:r>
      <w:r w:rsidR="00DD0C41">
        <w:t xml:space="preserve"> buoyancy should be investigated with respect to the fireball duration, since it appears that the buoyancy-driven model might </w:t>
      </w:r>
      <w:r w:rsidR="0099204B">
        <w:t xml:space="preserve">be </w:t>
      </w:r>
      <w:r w:rsidR="00DD0C41">
        <w:t xml:space="preserve">more suitable than the momentum-driven one, even if </w:t>
      </w:r>
      <w:r w:rsidR="00EA0292">
        <w:t xml:space="preserve">CCPS (2010) </w:t>
      </w:r>
      <w:r w:rsidR="00DD0C41">
        <w:t>suggests applying Eq. 3 to masses higher than 30</w:t>
      </w:r>
      <w:r w:rsidR="00DB5F56">
        <w:t>,</w:t>
      </w:r>
      <w:r w:rsidR="00DD0C41">
        <w:t>000 kg</w:t>
      </w:r>
      <w:r w:rsidR="006A4908">
        <w:t>,</w:t>
      </w:r>
      <w:r w:rsidR="00DF3AF7">
        <w:t xml:space="preserve"> which are </w:t>
      </w:r>
      <w:r w:rsidR="006907E0">
        <w:t xml:space="preserve">three orders of magnitude higher than the </w:t>
      </w:r>
      <w:r w:rsidR="002E7435">
        <w:t xml:space="preserve">ones </w:t>
      </w:r>
      <w:r w:rsidR="006907E0">
        <w:t>considered in this work</w:t>
      </w:r>
      <w:r w:rsidR="00C55F83">
        <w:t>.</w:t>
      </w:r>
      <w:r w:rsidR="002E7435">
        <w:t xml:space="preserve"> One may </w:t>
      </w:r>
      <w:r w:rsidR="0090541A">
        <w:t xml:space="preserve">recommend </w:t>
      </w:r>
      <w:r w:rsidR="00B17166">
        <w:t>estimating</w:t>
      </w:r>
      <w:r w:rsidR="00DA2788">
        <w:t xml:space="preserve"> the fireball duration by means of</w:t>
      </w:r>
      <w:r w:rsidR="0090541A">
        <w:t xml:space="preserve"> the</w:t>
      </w:r>
      <w:r w:rsidR="00DA2788">
        <w:t xml:space="preserve"> buoyancy-driven model for the PVB</w:t>
      </w:r>
      <w:r w:rsidR="008D0A35">
        <w:t>s</w:t>
      </w:r>
      <w:r w:rsidR="00DA2788">
        <w:t>, and the correlation</w:t>
      </w:r>
      <w:r w:rsidR="008D0A35">
        <w:t>s</w:t>
      </w:r>
      <w:r w:rsidR="00DA2788">
        <w:t xml:space="preserve"> developed in this work</w:t>
      </w:r>
      <w:r w:rsidR="008D0A35">
        <w:t xml:space="preserve"> for BLEVEs.</w:t>
      </w:r>
      <w:r w:rsidR="00C55F83">
        <w:t xml:space="preserve"> Finally, the building of an ad-hoc model to estimate both LH</w:t>
      </w:r>
      <w:r w:rsidR="00C55F83">
        <w:rPr>
          <w:vertAlign w:val="subscript"/>
        </w:rPr>
        <w:t>2</w:t>
      </w:r>
      <w:r w:rsidR="00C55F83">
        <w:t xml:space="preserve"> fireballs diameter and duration is deemed </w:t>
      </w:r>
      <w:r w:rsidR="00387789">
        <w:t xml:space="preserve">as </w:t>
      </w:r>
      <w:r w:rsidR="00C55F83">
        <w:t>necessary, since conventional models s</w:t>
      </w:r>
      <w:r w:rsidR="00387789">
        <w:t>eem</w:t>
      </w:r>
      <w:r w:rsidR="00C55F83">
        <w:t xml:space="preserve"> to provide possible hazardous underestimations. Hence, </w:t>
      </w:r>
      <w:r w:rsidR="00A0229B">
        <w:t>additional</w:t>
      </w:r>
      <w:r w:rsidR="00C55F83">
        <w:t xml:space="preserve"> experimental data </w:t>
      </w:r>
      <w:r w:rsidR="000F2A39">
        <w:t>is</w:t>
      </w:r>
      <w:r w:rsidR="00C55F83">
        <w:t xml:space="preserve"> need</w:t>
      </w:r>
      <w:r w:rsidR="00387789">
        <w:t>ed</w:t>
      </w:r>
      <w:r w:rsidR="00A0229B">
        <w:t xml:space="preserve"> to validate the new </w:t>
      </w:r>
      <w:r w:rsidR="008F0CC3">
        <w:t>models and</w:t>
      </w:r>
      <w:r w:rsidR="00B17166">
        <w:t xml:space="preserve"> provide </w:t>
      </w:r>
      <w:r w:rsidR="00C55F83">
        <w:t xml:space="preserve">reliable </w:t>
      </w:r>
      <w:r w:rsidR="00387789">
        <w:t>evidence</w:t>
      </w:r>
      <w:r w:rsidR="00133086">
        <w:t xml:space="preserve"> concerning the mass involved</w:t>
      </w:r>
      <w:r w:rsidR="00387789">
        <w:t xml:space="preserve"> in the explosion</w:t>
      </w:r>
      <w:r w:rsidR="00133086">
        <w:t xml:space="preserve">, which seems to be the </w:t>
      </w:r>
      <w:r w:rsidR="00952741">
        <w:t>main</w:t>
      </w:r>
      <w:r w:rsidR="00133086">
        <w:t xml:space="preserve"> parameter </w:t>
      </w:r>
      <w:r w:rsidR="00387789">
        <w:t>in</w:t>
      </w:r>
      <w:r w:rsidR="00133086">
        <w:t xml:space="preserve"> the hydrogen fireball development.</w:t>
      </w:r>
      <w:r w:rsidR="009B53C2">
        <w:t xml:space="preserve"> </w:t>
      </w:r>
    </w:p>
    <w:p w14:paraId="254393DE" w14:textId="77777777" w:rsidR="0011092D" w:rsidRPr="00876E6F" w:rsidRDefault="0011092D" w:rsidP="00606C83">
      <w:pPr>
        <w:pStyle w:val="CETBodytext"/>
        <w:rPr>
          <w:lang w:val="en-GB"/>
        </w:rPr>
      </w:pPr>
    </w:p>
    <w:p w14:paraId="68D26B83" w14:textId="77777777" w:rsidR="00600535" w:rsidRPr="00B57B36" w:rsidRDefault="00600535" w:rsidP="00751883">
      <w:pPr>
        <w:pStyle w:val="CETHeading1"/>
        <w:spacing w:before="120"/>
        <w:rPr>
          <w:lang w:val="en-GB"/>
        </w:rPr>
      </w:pPr>
      <w:r w:rsidRPr="00B57B36">
        <w:rPr>
          <w:lang w:val="en-GB"/>
        </w:rPr>
        <w:t>Conclusions</w:t>
      </w:r>
    </w:p>
    <w:p w14:paraId="637F67EB" w14:textId="2F3291D3" w:rsidR="0011092D" w:rsidRDefault="00AB2E43" w:rsidP="00A952D5">
      <w:pPr>
        <w:pStyle w:val="CETBodytext"/>
        <w:rPr>
          <w:lang w:val="en-GB"/>
        </w:rPr>
      </w:pPr>
      <w:r>
        <w:rPr>
          <w:lang w:val="en-GB"/>
        </w:rPr>
        <w:t xml:space="preserve">Conventional models aimed at the prediction of fireballs behaviour and generated by vessels loss of integrity have proven </w:t>
      </w:r>
      <w:r w:rsidR="002228F5">
        <w:rPr>
          <w:lang w:val="en-GB"/>
        </w:rPr>
        <w:t>not</w:t>
      </w:r>
      <w:r>
        <w:rPr>
          <w:lang w:val="en-GB"/>
        </w:rPr>
        <w:t xml:space="preserve"> </w:t>
      </w:r>
      <w:r w:rsidR="002228F5">
        <w:rPr>
          <w:lang w:val="en-GB"/>
        </w:rPr>
        <w:t>to</w:t>
      </w:r>
      <w:r>
        <w:rPr>
          <w:lang w:val="en-GB"/>
        </w:rPr>
        <w:t xml:space="preserve"> be suitable for hydrogen</w:t>
      </w:r>
      <w:r w:rsidR="002228F5">
        <w:rPr>
          <w:lang w:val="en-GB"/>
        </w:rPr>
        <w:t xml:space="preserve"> accidental scenarios</w:t>
      </w:r>
      <w:r>
        <w:rPr>
          <w:lang w:val="en-GB"/>
        </w:rPr>
        <w:t>. In fact, a</w:t>
      </w:r>
      <w:r w:rsidR="007A3E5E">
        <w:rPr>
          <w:lang w:val="en-GB"/>
        </w:rPr>
        <w:t>n overall</w:t>
      </w:r>
      <w:r>
        <w:rPr>
          <w:lang w:val="en-GB"/>
        </w:rPr>
        <w:t xml:space="preserve"> underestimation of both the fireball dimension and duration was obtained with respect to experimental hydrogen BLEVEs.</w:t>
      </w:r>
      <w:r w:rsidR="007A3E5E">
        <w:rPr>
          <w:lang w:val="en-GB"/>
        </w:rPr>
        <w:t xml:space="preserve"> Hence, new models were built based on experimental data of LH</w:t>
      </w:r>
      <w:r w:rsidR="007A3E5E">
        <w:rPr>
          <w:vertAlign w:val="subscript"/>
          <w:lang w:val="en-GB"/>
        </w:rPr>
        <w:t>2</w:t>
      </w:r>
      <w:r w:rsidR="007A3E5E">
        <w:rPr>
          <w:lang w:val="en-GB"/>
        </w:rPr>
        <w:t xml:space="preserve"> BLEVEs</w:t>
      </w:r>
      <w:r w:rsidR="002228F5">
        <w:rPr>
          <w:lang w:val="en-GB"/>
        </w:rPr>
        <w:t xml:space="preserve"> obtained during the BMW tests and the SH</w:t>
      </w:r>
      <w:r w:rsidR="002228F5">
        <w:rPr>
          <w:vertAlign w:val="subscript"/>
          <w:lang w:val="en-GB"/>
        </w:rPr>
        <w:t>2</w:t>
      </w:r>
      <w:r w:rsidR="002228F5">
        <w:rPr>
          <w:lang w:val="en-GB"/>
        </w:rPr>
        <w:t>IFT project</w:t>
      </w:r>
      <w:r w:rsidR="007A3E5E">
        <w:rPr>
          <w:lang w:val="en-GB"/>
        </w:rPr>
        <w:t>, which seem to achieve more conservative predictions</w:t>
      </w:r>
      <w:r w:rsidR="002228F5">
        <w:rPr>
          <w:lang w:val="en-GB"/>
        </w:rPr>
        <w:t xml:space="preserve">. In addition, </w:t>
      </w:r>
      <w:r w:rsidR="007A3E5E">
        <w:rPr>
          <w:lang w:val="en-GB"/>
        </w:rPr>
        <w:t xml:space="preserve">the necessity of </w:t>
      </w:r>
      <w:r w:rsidR="002228F5">
        <w:rPr>
          <w:lang w:val="en-GB"/>
        </w:rPr>
        <w:t>new</w:t>
      </w:r>
      <w:r w:rsidR="007A3E5E">
        <w:rPr>
          <w:lang w:val="en-GB"/>
        </w:rPr>
        <w:t xml:space="preserve"> experiment</w:t>
      </w:r>
      <w:r w:rsidR="002228F5">
        <w:rPr>
          <w:lang w:val="en-GB"/>
        </w:rPr>
        <w:t>al evidence</w:t>
      </w:r>
      <w:r w:rsidR="007A3E5E">
        <w:rPr>
          <w:lang w:val="en-GB"/>
        </w:rPr>
        <w:t xml:space="preserve"> concerning this </w:t>
      </w:r>
      <w:r w:rsidR="002228F5">
        <w:rPr>
          <w:lang w:val="en-GB"/>
        </w:rPr>
        <w:t>hazardous scenario</w:t>
      </w:r>
      <w:r w:rsidR="007A3E5E">
        <w:rPr>
          <w:lang w:val="en-GB"/>
        </w:rPr>
        <w:t xml:space="preserve"> </w:t>
      </w:r>
      <w:r w:rsidR="00573664">
        <w:rPr>
          <w:lang w:val="en-GB"/>
        </w:rPr>
        <w:t>was</w:t>
      </w:r>
      <w:r w:rsidR="007A3E5E">
        <w:rPr>
          <w:lang w:val="en-GB"/>
        </w:rPr>
        <w:t xml:space="preserve"> underlined. Moreover, the implications of the lack of specific models describing the consequences of LH</w:t>
      </w:r>
      <w:r w:rsidR="007A3E5E">
        <w:rPr>
          <w:vertAlign w:val="subscript"/>
          <w:lang w:val="en-GB"/>
        </w:rPr>
        <w:t>2</w:t>
      </w:r>
      <w:r w:rsidR="007A3E5E">
        <w:rPr>
          <w:lang w:val="en-GB"/>
        </w:rPr>
        <w:t xml:space="preserve"> ignited releases (e.g., liquid hydrogen fireballs) is deemed to potentially affect the safety of hydrogen equipment in general, </w:t>
      </w:r>
      <w:r w:rsidR="002228F5">
        <w:rPr>
          <w:lang w:val="en-GB"/>
        </w:rPr>
        <w:t xml:space="preserve">thus </w:t>
      </w:r>
      <w:r w:rsidR="007A3E5E">
        <w:rPr>
          <w:lang w:val="en-GB"/>
        </w:rPr>
        <w:t>ultimately inhibiting the spread of hydrogen technologies.</w:t>
      </w:r>
    </w:p>
    <w:p w14:paraId="59EE4803" w14:textId="77777777" w:rsidR="00F33992" w:rsidRDefault="00F33992" w:rsidP="00A952D5">
      <w:pPr>
        <w:pStyle w:val="CETBodytext"/>
        <w:rPr>
          <w:lang w:val="en-GB"/>
        </w:rPr>
        <w:sectPr w:rsidR="00F33992" w:rsidSect="00EF06D9">
          <w:type w:val="continuous"/>
          <w:pgSz w:w="11906" w:h="16838" w:code="9"/>
          <w:pgMar w:top="1701" w:right="1418" w:bottom="1701" w:left="1701" w:header="1701" w:footer="0" w:gutter="0"/>
          <w:cols w:space="708"/>
          <w:formProt w:val="0"/>
          <w:titlePg/>
          <w:docGrid w:linePitch="360"/>
        </w:sectPr>
      </w:pPr>
    </w:p>
    <w:p w14:paraId="782170DD" w14:textId="11862D2A" w:rsidR="0011092D" w:rsidRPr="00A952D5" w:rsidRDefault="0011092D" w:rsidP="00A952D5">
      <w:pPr>
        <w:pStyle w:val="CETBodytext"/>
        <w:rPr>
          <w:lang w:val="en-GB"/>
        </w:rPr>
        <w:sectPr w:rsidR="0011092D" w:rsidRPr="00A952D5" w:rsidSect="00F33992">
          <w:type w:val="continuous"/>
          <w:pgSz w:w="11906" w:h="16838" w:code="9"/>
          <w:pgMar w:top="1701" w:right="1418" w:bottom="1701" w:left="1701" w:header="1701" w:footer="0" w:gutter="0"/>
          <w:cols w:space="708"/>
          <w:formProt w:val="0"/>
          <w:titlePg/>
          <w:docGrid w:linePitch="360"/>
        </w:sectPr>
      </w:pPr>
    </w:p>
    <w:p w14:paraId="613FFBC0" w14:textId="61D933AF" w:rsidR="005927D9" w:rsidRPr="00751883" w:rsidRDefault="005927D9" w:rsidP="00751883">
      <w:pPr>
        <w:pStyle w:val="CETAcknowledgementstitle"/>
        <w:spacing w:before="120"/>
        <w:rPr>
          <w:lang w:val="en-US"/>
        </w:rPr>
      </w:pPr>
      <w:r w:rsidRPr="00424BFD">
        <w:rPr>
          <w:lang w:val="en-US"/>
        </w:rPr>
        <w:t>Nomenclature</w:t>
      </w:r>
    </w:p>
    <w:p w14:paraId="2F3D1730" w14:textId="1AD10F2D" w:rsidR="00751883" w:rsidRPr="00424BFD" w:rsidRDefault="00751883" w:rsidP="005927D9">
      <w:pPr>
        <w:pStyle w:val="CETBodytext"/>
        <w:sectPr w:rsidR="00751883" w:rsidRPr="00424BFD" w:rsidSect="00F33992">
          <w:type w:val="continuous"/>
          <w:pgSz w:w="11906" w:h="16838" w:code="9"/>
          <w:pgMar w:top="1701" w:right="1418" w:bottom="1701" w:left="1701" w:header="1701" w:footer="0" w:gutter="0"/>
          <w:cols w:space="708"/>
          <w:formProt w:val="0"/>
          <w:titlePg/>
          <w:docGrid w:linePitch="360"/>
        </w:sectPr>
      </w:pPr>
    </w:p>
    <w:p w14:paraId="66B9C34E" w14:textId="263C2972" w:rsidR="005927D9" w:rsidRPr="00A11347" w:rsidRDefault="00A11347" w:rsidP="005927D9">
      <w:pPr>
        <w:pStyle w:val="CETBodytext"/>
        <w:rPr>
          <w:rFonts w:cs="Arial"/>
        </w:rPr>
      </w:pPr>
      <w:r w:rsidRPr="00A11347">
        <w:rPr>
          <w:rFonts w:cs="Arial"/>
        </w:rPr>
        <w:t>BLEVEs – boiling liquid expanding v</w:t>
      </w:r>
      <w:r>
        <w:rPr>
          <w:rFonts w:cs="Arial"/>
        </w:rPr>
        <w:t>apor explosion</w:t>
      </w:r>
      <w:r w:rsidR="00424BFD">
        <w:rPr>
          <w:rFonts w:cs="Arial"/>
        </w:rPr>
        <w:t>.</w:t>
      </w:r>
    </w:p>
    <w:p w14:paraId="7F866870" w14:textId="6D0EC3EB" w:rsidR="005927D9" w:rsidRDefault="00A11347" w:rsidP="005927D9">
      <w:pPr>
        <w:pStyle w:val="CETBodytext"/>
        <w:rPr>
          <w:rFonts w:cs="Arial"/>
          <w:lang w:val="en-GB"/>
        </w:rPr>
      </w:pPr>
      <w:r>
        <w:rPr>
          <w:rFonts w:cs="Arial"/>
          <w:lang w:val="en-GB"/>
        </w:rPr>
        <w:t>D – fireball diameter</w:t>
      </w:r>
      <w:r w:rsidR="00424BFD">
        <w:rPr>
          <w:rFonts w:cs="Arial"/>
          <w:lang w:val="en-GB"/>
        </w:rPr>
        <w:t>.</w:t>
      </w:r>
    </w:p>
    <w:p w14:paraId="6261A079" w14:textId="6A7EEF7A" w:rsidR="005927D9" w:rsidRPr="00A11347" w:rsidRDefault="00A11347" w:rsidP="005927D9">
      <w:pPr>
        <w:pStyle w:val="CETBodytext"/>
        <w:rPr>
          <w:lang w:val="en-GB"/>
        </w:rPr>
      </w:pPr>
      <w:proofErr w:type="spellStart"/>
      <w:r>
        <w:rPr>
          <w:lang w:val="en-GB"/>
        </w:rPr>
        <w:t>D</w:t>
      </w:r>
      <w:r>
        <w:rPr>
          <w:vertAlign w:val="subscript"/>
          <w:lang w:val="en-GB"/>
        </w:rPr>
        <w:t>hms</w:t>
      </w:r>
      <w:proofErr w:type="spellEnd"/>
      <w:r>
        <w:rPr>
          <w:vertAlign w:val="subscript"/>
          <w:lang w:val="en-GB"/>
        </w:rPr>
        <w:t xml:space="preserve"> </w:t>
      </w:r>
      <w:r>
        <w:rPr>
          <w:lang w:val="en-GB"/>
        </w:rPr>
        <w:t>– hemispherical fireball diameter</w:t>
      </w:r>
      <w:r w:rsidR="00424BFD">
        <w:rPr>
          <w:lang w:val="en-GB"/>
        </w:rPr>
        <w:t>.</w:t>
      </w:r>
    </w:p>
    <w:p w14:paraId="565631AD" w14:textId="3E052D8B" w:rsidR="005927D9" w:rsidRDefault="00A11347" w:rsidP="001D1712">
      <w:pPr>
        <w:pStyle w:val="CETBodytext"/>
        <w:jc w:val="left"/>
        <w:rPr>
          <w:rFonts w:cs="Arial"/>
          <w:lang w:val="en-GB"/>
        </w:rPr>
      </w:pPr>
      <w:proofErr w:type="spellStart"/>
      <w:r>
        <w:rPr>
          <w:rFonts w:cs="Arial"/>
          <w:lang w:val="en-GB"/>
        </w:rPr>
        <w:t>D</w:t>
      </w:r>
      <w:r>
        <w:rPr>
          <w:rFonts w:cs="Arial"/>
          <w:vertAlign w:val="subscript"/>
          <w:lang w:val="en-GB"/>
        </w:rPr>
        <w:t>hmsc</w:t>
      </w:r>
      <w:proofErr w:type="spellEnd"/>
      <w:r>
        <w:rPr>
          <w:rFonts w:cs="Arial"/>
          <w:vertAlign w:val="subscript"/>
          <w:lang w:val="en-GB"/>
        </w:rPr>
        <w:t xml:space="preserve"> </w:t>
      </w:r>
      <w:r>
        <w:rPr>
          <w:rFonts w:cs="Arial"/>
          <w:lang w:val="en-GB"/>
        </w:rPr>
        <w:t xml:space="preserve">– </w:t>
      </w:r>
      <w:r w:rsidR="001D1712">
        <w:rPr>
          <w:rFonts w:cs="Arial"/>
          <w:lang w:val="en-GB"/>
        </w:rPr>
        <w:t>hemispherical</w:t>
      </w:r>
      <w:r>
        <w:rPr>
          <w:rFonts w:cs="Arial"/>
          <w:lang w:val="en-GB"/>
        </w:rPr>
        <w:t xml:space="preserve"> conserv</w:t>
      </w:r>
      <w:r w:rsidR="001D1712">
        <w:rPr>
          <w:rFonts w:cs="Arial"/>
          <w:lang w:val="en-GB"/>
        </w:rPr>
        <w:t>a</w:t>
      </w:r>
      <w:r>
        <w:rPr>
          <w:rFonts w:cs="Arial"/>
          <w:lang w:val="en-GB"/>
        </w:rPr>
        <w:t>tive fireball diameter</w:t>
      </w:r>
      <w:r w:rsidR="00424BFD">
        <w:rPr>
          <w:rFonts w:cs="Arial"/>
          <w:lang w:val="en-GB"/>
        </w:rPr>
        <w:t>.</w:t>
      </w:r>
    </w:p>
    <w:p w14:paraId="67B10F6D" w14:textId="7A662A8C" w:rsidR="000F2A39" w:rsidRDefault="000F2A39" w:rsidP="001D1712">
      <w:pPr>
        <w:pStyle w:val="CETBodytext"/>
        <w:jc w:val="left"/>
        <w:rPr>
          <w:rFonts w:cs="Arial"/>
          <w:lang w:val="en-GB"/>
        </w:rPr>
      </w:pPr>
      <w:r>
        <w:rPr>
          <w:rFonts w:cs="Arial"/>
          <w:lang w:val="en-GB"/>
        </w:rPr>
        <w:t>FB – fireball.</w:t>
      </w:r>
    </w:p>
    <w:p w14:paraId="30C9AFFC" w14:textId="69C41279" w:rsidR="008F0CC3" w:rsidRPr="00073B9C" w:rsidRDefault="008F0CC3" w:rsidP="008F0CC3">
      <w:pPr>
        <w:pStyle w:val="CETBodytext"/>
      </w:pPr>
      <w:r w:rsidRPr="00073B9C">
        <w:t>LH</w:t>
      </w:r>
      <w:r w:rsidRPr="00073B9C">
        <w:rPr>
          <w:vertAlign w:val="subscript"/>
        </w:rPr>
        <w:t xml:space="preserve">2 </w:t>
      </w:r>
      <w:r w:rsidRPr="00073B9C">
        <w:t>– liquid hydrogen.</w:t>
      </w:r>
    </w:p>
    <w:p w14:paraId="22058FD7" w14:textId="2801A365" w:rsidR="008F0CC3" w:rsidRPr="00073B9C" w:rsidRDefault="008F0CC3" w:rsidP="008F0CC3">
      <w:pPr>
        <w:pStyle w:val="CETBodytext"/>
        <w:rPr>
          <w:rFonts w:cs="Arial"/>
        </w:rPr>
      </w:pPr>
      <w:r w:rsidRPr="00073B9C">
        <w:rPr>
          <w:rFonts w:cs="Arial"/>
        </w:rPr>
        <w:t>PVBs – pressure vessel bursts.</w:t>
      </w:r>
    </w:p>
    <w:p w14:paraId="347DE1B3" w14:textId="5A88F64D" w:rsidR="008F0CC3" w:rsidRDefault="00A11347" w:rsidP="00DC437B">
      <w:pPr>
        <w:pStyle w:val="CETBodytext"/>
      </w:pPr>
      <w:r w:rsidRPr="004147AB">
        <w:t>t – fireball duration</w:t>
      </w:r>
      <w:r w:rsidR="00424BFD">
        <w:t>.</w:t>
      </w:r>
    </w:p>
    <w:p w14:paraId="27A2F94E" w14:textId="61E633C1" w:rsidR="008F0CC3" w:rsidRDefault="008F0CC3" w:rsidP="00DC437B">
      <w:pPr>
        <w:pStyle w:val="CETBodytext"/>
        <w:sectPr w:rsidR="008F0CC3" w:rsidSect="00F33992">
          <w:type w:val="continuous"/>
          <w:pgSz w:w="11906" w:h="16838" w:code="9"/>
          <w:pgMar w:top="1701" w:right="1418" w:bottom="1701" w:left="1701" w:header="1701" w:footer="0" w:gutter="0"/>
          <w:cols w:space="708"/>
          <w:formProt w:val="0"/>
          <w:titlePg/>
          <w:docGrid w:linePitch="360"/>
        </w:sectPr>
      </w:pPr>
    </w:p>
    <w:p w14:paraId="5EBBD898" w14:textId="77777777" w:rsidR="00F40350" w:rsidRDefault="00F40350" w:rsidP="00A952D5">
      <w:pPr>
        <w:pStyle w:val="CETAcknowledgementstitle"/>
        <w:spacing w:before="0" w:after="0"/>
      </w:pPr>
    </w:p>
    <w:p w14:paraId="0F01A951" w14:textId="6771251F" w:rsidR="00A952D5" w:rsidRDefault="00A952D5" w:rsidP="00751883">
      <w:pPr>
        <w:pStyle w:val="CETAcknowledgementstitle"/>
        <w:spacing w:before="120"/>
      </w:pPr>
      <w:r w:rsidRPr="00B57B36">
        <w:t>Acknowledgments</w:t>
      </w:r>
    </w:p>
    <w:p w14:paraId="7AA9F14C" w14:textId="77777777" w:rsidR="00F40350" w:rsidRPr="00F40350" w:rsidRDefault="00F40350" w:rsidP="00F40350">
      <w:pPr>
        <w:pStyle w:val="CETBodytext"/>
        <w:rPr>
          <w:lang w:val="en-GB"/>
        </w:rPr>
      </w:pPr>
    </w:p>
    <w:p w14:paraId="4DC934A2" w14:textId="4FB034E2" w:rsidR="00A952D5" w:rsidRDefault="00A952D5" w:rsidP="00A952D5">
      <w:pPr>
        <w:pStyle w:val="CETBodytext"/>
        <w:rPr>
          <w:lang w:val="en-GB"/>
        </w:rPr>
      </w:pPr>
      <w:r w:rsidRPr="005927D9">
        <w:rPr>
          <w:lang w:val="en-GB"/>
        </w:rPr>
        <w:t>This work was undertaken as part of the research project Safe Hydrogen Fuel Handling and Use for Efficient Implementation (</w:t>
      </w:r>
      <w:r w:rsidRPr="001D1712">
        <w:rPr>
          <w:lang w:val="en-GB"/>
        </w:rPr>
        <w:t>SH</w:t>
      </w:r>
      <w:r w:rsidR="001D1712">
        <w:rPr>
          <w:vertAlign w:val="subscript"/>
          <w:lang w:val="en-GB"/>
        </w:rPr>
        <w:t>2</w:t>
      </w:r>
      <w:r w:rsidRPr="001D1712">
        <w:rPr>
          <w:lang w:val="en-GB"/>
        </w:rPr>
        <w:t>IFT</w:t>
      </w:r>
      <w:r w:rsidRPr="005927D9">
        <w:rPr>
          <w:lang w:val="en-GB"/>
        </w:rPr>
        <w:t>), and the authors would like to acknowledge the financial support of the Research Council of Norway under the ENERGIX programme (Grant No. 280964).</w:t>
      </w:r>
      <w:r w:rsidR="00307FCE">
        <w:rPr>
          <w:lang w:val="en-GB"/>
        </w:rPr>
        <w:t xml:space="preserve"> </w:t>
      </w:r>
      <w:r w:rsidR="00377BCF">
        <w:rPr>
          <w:lang w:val="en-GB"/>
        </w:rPr>
        <w:t xml:space="preserve">This work was undertaken as part of the </w:t>
      </w:r>
      <w:r w:rsidR="00377BCF" w:rsidRPr="00377BCF">
        <w:rPr>
          <w:lang w:val="en-GB"/>
        </w:rPr>
        <w:t>ELVHYS project No. 101101381 supported by the Clean Hydrogen Partnership and its members and the European Union. UK participants in Horizon Europe Project ELVHYS are supported by UKRI grant numbers 10063519 (University of Ulster) and 10070592 (Health and Safety Executive).</w:t>
      </w:r>
    </w:p>
    <w:p w14:paraId="70B00BDB" w14:textId="77777777" w:rsidR="0011092D" w:rsidRDefault="0011092D" w:rsidP="00751883">
      <w:pPr>
        <w:pStyle w:val="CETReference"/>
        <w:spacing w:before="0" w:after="0"/>
      </w:pPr>
    </w:p>
    <w:p w14:paraId="3AF50B23" w14:textId="15984314" w:rsidR="00A952D5" w:rsidRDefault="00A952D5" w:rsidP="00751883">
      <w:pPr>
        <w:pStyle w:val="CETReference"/>
        <w:spacing w:before="120"/>
      </w:pPr>
      <w:r w:rsidRPr="00B57B36">
        <w:t>Re</w:t>
      </w:r>
      <w:r w:rsidR="00751883">
        <w:t>f</w:t>
      </w:r>
      <w:r w:rsidRPr="00B57B36">
        <w:t>erences</w:t>
      </w:r>
    </w:p>
    <w:p w14:paraId="05869017" w14:textId="77777777" w:rsidR="00751883" w:rsidRDefault="00751883" w:rsidP="00751883">
      <w:pPr>
        <w:pStyle w:val="CETReference"/>
        <w:spacing w:before="0" w:after="0"/>
      </w:pPr>
    </w:p>
    <w:p w14:paraId="772FA004" w14:textId="77777777" w:rsidR="004E656A" w:rsidRDefault="004E656A" w:rsidP="004E656A">
      <w:pPr>
        <w:pStyle w:val="CETReferencetext"/>
        <w:rPr>
          <w:lang w:val="en-US"/>
        </w:rPr>
      </w:pPr>
      <w:r w:rsidRPr="001D1712">
        <w:rPr>
          <w:lang w:val="en-US"/>
        </w:rPr>
        <w:t xml:space="preserve">Campari A., Akel A., </w:t>
      </w:r>
      <w:proofErr w:type="spellStart"/>
      <w:r w:rsidRPr="001D1712">
        <w:rPr>
          <w:lang w:val="en-US"/>
        </w:rPr>
        <w:t>Ustolin</w:t>
      </w:r>
      <w:proofErr w:type="spellEnd"/>
      <w:r w:rsidRPr="001D1712">
        <w:rPr>
          <w:lang w:val="en-US"/>
        </w:rPr>
        <w:t xml:space="preserve"> F., Alvaro A., Ledda A., Agnello P., Moretto P., Patriarca </w:t>
      </w:r>
      <w:proofErr w:type="gramStart"/>
      <w:r w:rsidRPr="001D1712">
        <w:rPr>
          <w:lang w:val="en-US"/>
        </w:rPr>
        <w:t>R.</w:t>
      </w:r>
      <w:proofErr w:type="gramEnd"/>
      <w:r w:rsidRPr="001D1712">
        <w:rPr>
          <w:lang w:val="en-US"/>
        </w:rPr>
        <w:t xml:space="preserve"> an</w:t>
      </w:r>
      <w:r>
        <w:rPr>
          <w:lang w:val="en-US"/>
        </w:rPr>
        <w:t>d</w:t>
      </w:r>
      <w:r w:rsidRPr="001D1712">
        <w:rPr>
          <w:lang w:val="en-US"/>
        </w:rPr>
        <w:t xml:space="preserve"> </w:t>
      </w:r>
      <w:r w:rsidRPr="00586EA1">
        <w:rPr>
          <w:lang w:val="en-US"/>
        </w:rPr>
        <w:t xml:space="preserve">Paltrinieri </w:t>
      </w:r>
      <w:r>
        <w:rPr>
          <w:lang w:val="en-US"/>
        </w:rPr>
        <w:t>N.</w:t>
      </w:r>
      <w:r w:rsidRPr="00586EA1">
        <w:rPr>
          <w:lang w:val="en-US"/>
        </w:rPr>
        <w:t xml:space="preserve">, </w:t>
      </w:r>
      <w:r>
        <w:rPr>
          <w:lang w:val="en-US"/>
        </w:rPr>
        <w:t xml:space="preserve">2023, </w:t>
      </w:r>
      <w:r w:rsidRPr="00586EA1">
        <w:rPr>
          <w:lang w:val="en-US"/>
        </w:rPr>
        <w:t>Lessons Learned from HIAD 2.0: Inspection and Maintenance to Avoid</w:t>
      </w:r>
      <w:r>
        <w:rPr>
          <w:lang w:val="en-US"/>
        </w:rPr>
        <w:t xml:space="preserve"> </w:t>
      </w:r>
      <w:r w:rsidRPr="00586EA1">
        <w:rPr>
          <w:lang w:val="en-US"/>
        </w:rPr>
        <w:t xml:space="preserve">Hydrogen-Induced Material Failures, Computers and Chemical Engineering, </w:t>
      </w:r>
      <w:r>
        <w:rPr>
          <w:lang w:val="en-US"/>
        </w:rPr>
        <w:t xml:space="preserve">DOI: </w:t>
      </w:r>
      <w:r w:rsidRPr="00586EA1">
        <w:rPr>
          <w:lang w:val="en-US"/>
        </w:rPr>
        <w:t>10.1016/j.compchemeng.2023.108199</w:t>
      </w:r>
      <w:r>
        <w:rPr>
          <w:lang w:val="en-US"/>
        </w:rPr>
        <w:t>.</w:t>
      </w:r>
    </w:p>
    <w:p w14:paraId="791ABDA0" w14:textId="77777777" w:rsidR="004E656A" w:rsidRDefault="004E656A" w:rsidP="004E656A">
      <w:pPr>
        <w:pStyle w:val="CETReferencetext"/>
        <w:rPr>
          <w:lang w:val="en-US"/>
        </w:rPr>
      </w:pPr>
      <w:r w:rsidRPr="00492F93">
        <w:rPr>
          <w:lang w:val="en-US"/>
        </w:rPr>
        <w:t>CCPS</w:t>
      </w:r>
      <w:r>
        <w:rPr>
          <w:lang w:val="en-US"/>
        </w:rPr>
        <w:t>, 2010,</w:t>
      </w:r>
      <w:r w:rsidRPr="00492F93">
        <w:rPr>
          <w:lang w:val="en-US"/>
        </w:rPr>
        <w:t xml:space="preserve"> Guidelines for Vapor Cloud Explosion, Pressure Vessel Burst, BLEVE,</w:t>
      </w:r>
      <w:r>
        <w:rPr>
          <w:lang w:val="en-US"/>
        </w:rPr>
        <w:t xml:space="preserve"> </w:t>
      </w:r>
      <w:r w:rsidRPr="00492F93">
        <w:rPr>
          <w:lang w:val="en-US"/>
        </w:rPr>
        <w:t>and Flash Fire Hazards</w:t>
      </w:r>
      <w:r>
        <w:rPr>
          <w:lang w:val="en-US"/>
        </w:rPr>
        <w:t>,</w:t>
      </w:r>
      <w:r w:rsidRPr="00492F93">
        <w:rPr>
          <w:lang w:val="en-US"/>
        </w:rPr>
        <w:t xml:space="preserve"> JOHN WILEY SONS &amp; American Institute of Chemical</w:t>
      </w:r>
      <w:r>
        <w:rPr>
          <w:lang w:val="en-US"/>
        </w:rPr>
        <w:t xml:space="preserve"> </w:t>
      </w:r>
      <w:r w:rsidRPr="00492F93">
        <w:rPr>
          <w:lang w:val="en-US"/>
        </w:rPr>
        <w:t>Engineers,</w:t>
      </w:r>
      <w:r>
        <w:rPr>
          <w:lang w:val="en-US"/>
        </w:rPr>
        <w:t xml:space="preserve"> ISBN</w:t>
      </w:r>
      <w:r w:rsidRPr="00492F93">
        <w:rPr>
          <w:lang w:val="en-US"/>
        </w:rPr>
        <w:t>: 9780470251478.</w:t>
      </w:r>
    </w:p>
    <w:p w14:paraId="11E98CDA" w14:textId="672BEF3C" w:rsidR="004E656A" w:rsidRDefault="004E656A" w:rsidP="004E656A">
      <w:pPr>
        <w:pStyle w:val="CETReferencetext"/>
      </w:pPr>
      <w:r>
        <w:t xml:space="preserve">European Commission, 2022, </w:t>
      </w:r>
      <w:proofErr w:type="spellStart"/>
      <w:r w:rsidRPr="00C56DF1">
        <w:t>REPowerEU</w:t>
      </w:r>
      <w:proofErr w:type="spellEnd"/>
      <w:r w:rsidRPr="00C56DF1">
        <w:t>: A plan to rapidly reduce dependence on Russian fossil fuels and fast forward the green transition</w:t>
      </w:r>
      <w:r>
        <w:t xml:space="preserve">, </w:t>
      </w:r>
      <w:r w:rsidRPr="00C56DF1">
        <w:t>ec.europa.eu/commission/</w:t>
      </w:r>
      <w:proofErr w:type="spellStart"/>
      <w:r w:rsidRPr="00C56DF1">
        <w:t>presscorner</w:t>
      </w:r>
      <w:proofErr w:type="spellEnd"/>
      <w:r w:rsidRPr="00C56DF1">
        <w:t>/detail/</w:t>
      </w:r>
      <w:proofErr w:type="spellStart"/>
      <w:r w:rsidRPr="00C56DF1">
        <w:t>en</w:t>
      </w:r>
      <w:proofErr w:type="spellEnd"/>
      <w:r w:rsidRPr="00C56DF1">
        <w:t>/ip_22_3131</w:t>
      </w:r>
      <w:r>
        <w:t>.</w:t>
      </w:r>
    </w:p>
    <w:p w14:paraId="1B85CD55" w14:textId="30910334" w:rsidR="009B53C2" w:rsidRDefault="009B53C2" w:rsidP="004E656A">
      <w:pPr>
        <w:pStyle w:val="CETReferencetext"/>
      </w:pPr>
      <w:r w:rsidRPr="009B53C2">
        <w:t>Hord, J., 1972, Explosion criteria for liquid hydrogen test facilities</w:t>
      </w:r>
      <w:r>
        <w:t>,</w:t>
      </w:r>
      <w:r w:rsidRPr="009B53C2">
        <w:t xml:space="preserve"> NBS Report.</w:t>
      </w:r>
    </w:p>
    <w:p w14:paraId="47CD460F" w14:textId="77777777" w:rsidR="004E656A" w:rsidRDefault="004E656A" w:rsidP="004E656A">
      <w:pPr>
        <w:pStyle w:val="CETReferencetext"/>
        <w:rPr>
          <w:lang w:val="en-US"/>
        </w:rPr>
      </w:pPr>
      <w:proofErr w:type="spellStart"/>
      <w:r w:rsidRPr="007F05F5">
        <w:rPr>
          <w:lang w:val="en-US"/>
        </w:rPr>
        <w:t>Huijts</w:t>
      </w:r>
      <w:proofErr w:type="spellEnd"/>
      <w:r w:rsidRPr="007F05F5">
        <w:rPr>
          <w:lang w:val="en-US"/>
        </w:rPr>
        <w:t xml:space="preserve"> N</w:t>
      </w:r>
      <w:r>
        <w:rPr>
          <w:lang w:val="en-US"/>
        </w:rPr>
        <w:t>.</w:t>
      </w:r>
      <w:r w:rsidRPr="007F05F5">
        <w:rPr>
          <w:lang w:val="en-US"/>
        </w:rPr>
        <w:t xml:space="preserve">, de Vries </w:t>
      </w:r>
      <w:proofErr w:type="gramStart"/>
      <w:r w:rsidRPr="007F05F5">
        <w:rPr>
          <w:lang w:val="en-US"/>
        </w:rPr>
        <w:t>G</w:t>
      </w:r>
      <w:r>
        <w:rPr>
          <w:lang w:val="en-US"/>
        </w:rPr>
        <w:t>.</w:t>
      </w:r>
      <w:proofErr w:type="gramEnd"/>
      <w:r w:rsidRPr="007F05F5">
        <w:rPr>
          <w:lang w:val="en-US"/>
        </w:rPr>
        <w:t xml:space="preserve"> and Molin E</w:t>
      </w:r>
      <w:r>
        <w:rPr>
          <w:lang w:val="en-US"/>
        </w:rPr>
        <w:t>.</w:t>
      </w:r>
      <w:r w:rsidRPr="007F05F5">
        <w:rPr>
          <w:lang w:val="en-US"/>
        </w:rPr>
        <w:t>, 2019, A positive Shift in the Public Acceptability of a</w:t>
      </w:r>
      <w:r>
        <w:rPr>
          <w:lang w:val="en-US"/>
        </w:rPr>
        <w:t xml:space="preserve"> </w:t>
      </w:r>
      <w:r w:rsidRPr="007F05F5">
        <w:rPr>
          <w:lang w:val="en-US"/>
        </w:rPr>
        <w:t>Low-Carbon Energy Project After Implementation:</w:t>
      </w:r>
      <w:r>
        <w:rPr>
          <w:lang w:val="en-US"/>
        </w:rPr>
        <w:t xml:space="preserve"> </w:t>
      </w:r>
      <w:r w:rsidRPr="007F05F5">
        <w:rPr>
          <w:lang w:val="en-US"/>
        </w:rPr>
        <w:t>The Case of a Hydrogen Fuel Station</w:t>
      </w:r>
      <w:r>
        <w:rPr>
          <w:lang w:val="en-US"/>
        </w:rPr>
        <w:t>, Sustainability, 11, 2220, DOI</w:t>
      </w:r>
      <w:r w:rsidRPr="007F05F5">
        <w:rPr>
          <w:lang w:val="en-US"/>
        </w:rPr>
        <w:t>:</w:t>
      </w:r>
      <w:r>
        <w:rPr>
          <w:lang w:val="en-US"/>
        </w:rPr>
        <w:t xml:space="preserve"> </w:t>
      </w:r>
      <w:r w:rsidRPr="007F05F5">
        <w:rPr>
          <w:lang w:val="en-US"/>
        </w:rPr>
        <w:t>10.3390/su11082220</w:t>
      </w:r>
      <w:r>
        <w:rPr>
          <w:lang w:val="en-US"/>
        </w:rPr>
        <w:t>.</w:t>
      </w:r>
    </w:p>
    <w:p w14:paraId="29059680" w14:textId="77777777" w:rsidR="004E656A" w:rsidRDefault="004E656A" w:rsidP="004E656A">
      <w:pPr>
        <w:pStyle w:val="CETReferencetext"/>
        <w:rPr>
          <w:lang w:val="en-US"/>
        </w:rPr>
      </w:pPr>
      <w:r w:rsidRPr="00514281">
        <w:rPr>
          <w:lang w:val="en-US"/>
        </w:rPr>
        <w:t>Makarov D</w:t>
      </w:r>
      <w:r>
        <w:rPr>
          <w:lang w:val="en-US"/>
        </w:rPr>
        <w:t>.</w:t>
      </w:r>
      <w:r w:rsidRPr="00514281">
        <w:rPr>
          <w:lang w:val="en-US"/>
        </w:rPr>
        <w:t xml:space="preserve">, </w:t>
      </w:r>
      <w:proofErr w:type="spellStart"/>
      <w:r w:rsidRPr="00514281">
        <w:rPr>
          <w:lang w:val="en-US"/>
        </w:rPr>
        <w:t>Shentsov</w:t>
      </w:r>
      <w:proofErr w:type="spellEnd"/>
      <w:r w:rsidRPr="00514281">
        <w:rPr>
          <w:lang w:val="en-US"/>
        </w:rPr>
        <w:t xml:space="preserve"> V</w:t>
      </w:r>
      <w:r>
        <w:rPr>
          <w:lang w:val="en-US"/>
        </w:rPr>
        <w:t>.</w:t>
      </w:r>
      <w:r w:rsidRPr="00514281">
        <w:rPr>
          <w:lang w:val="en-US"/>
        </w:rPr>
        <w:t xml:space="preserve">, Kuznetsov </w:t>
      </w:r>
      <w:proofErr w:type="gramStart"/>
      <w:r w:rsidRPr="00514281">
        <w:rPr>
          <w:lang w:val="en-US"/>
        </w:rPr>
        <w:t>M</w:t>
      </w:r>
      <w:r>
        <w:rPr>
          <w:lang w:val="en-US"/>
        </w:rPr>
        <w:t>.</w:t>
      </w:r>
      <w:proofErr w:type="gramEnd"/>
      <w:r w:rsidRPr="00514281">
        <w:rPr>
          <w:lang w:val="en-US"/>
        </w:rPr>
        <w:t xml:space="preserve"> and </w:t>
      </w:r>
      <w:proofErr w:type="spellStart"/>
      <w:r w:rsidRPr="00514281">
        <w:rPr>
          <w:lang w:val="en-US"/>
        </w:rPr>
        <w:t>Molkov</w:t>
      </w:r>
      <w:proofErr w:type="spellEnd"/>
      <w:r w:rsidRPr="00514281">
        <w:rPr>
          <w:lang w:val="en-US"/>
        </w:rPr>
        <w:t xml:space="preserve"> V</w:t>
      </w:r>
      <w:r>
        <w:rPr>
          <w:lang w:val="en-US"/>
        </w:rPr>
        <w:t>.</w:t>
      </w:r>
      <w:r w:rsidRPr="00514281">
        <w:rPr>
          <w:lang w:val="en-US"/>
        </w:rPr>
        <w:t>, 2021, Hydrogen Tank Rupture in Fire in the Open Atmosphere:</w:t>
      </w:r>
      <w:r>
        <w:rPr>
          <w:lang w:val="en-US"/>
        </w:rPr>
        <w:t xml:space="preserve"> </w:t>
      </w:r>
      <w:r w:rsidRPr="00514281">
        <w:rPr>
          <w:lang w:val="en-US"/>
        </w:rPr>
        <w:t>Hazard Distance Defined by Fireball</w:t>
      </w:r>
      <w:r>
        <w:rPr>
          <w:lang w:val="en-US"/>
        </w:rPr>
        <w:t xml:space="preserve">, Hydrogen, 2, 134-146, DOI: </w:t>
      </w:r>
      <w:r w:rsidRPr="00514281">
        <w:rPr>
          <w:lang w:val="en-US"/>
        </w:rPr>
        <w:t>10.3390/hydrogen2010008</w:t>
      </w:r>
      <w:r>
        <w:rPr>
          <w:lang w:val="en-US"/>
        </w:rPr>
        <w:t>.</w:t>
      </w:r>
    </w:p>
    <w:p w14:paraId="566B794D" w14:textId="77777777" w:rsidR="004E656A" w:rsidRDefault="004E656A" w:rsidP="004E656A">
      <w:pPr>
        <w:pStyle w:val="CETReferencetext"/>
        <w:rPr>
          <w:lang w:val="en-US"/>
        </w:rPr>
      </w:pPr>
      <w:proofErr w:type="spellStart"/>
      <w:r w:rsidRPr="00AE70D5">
        <w:rPr>
          <w:lang w:val="en-US"/>
        </w:rPr>
        <w:t>Molkov</w:t>
      </w:r>
      <w:proofErr w:type="spellEnd"/>
      <w:r w:rsidRPr="00AE70D5">
        <w:rPr>
          <w:lang w:val="en-US"/>
        </w:rPr>
        <w:t xml:space="preserve"> V</w:t>
      </w:r>
      <w:r>
        <w:rPr>
          <w:lang w:val="en-US"/>
        </w:rPr>
        <w:t>.</w:t>
      </w:r>
      <w:r w:rsidRPr="00AE70D5">
        <w:rPr>
          <w:lang w:val="en-US"/>
        </w:rPr>
        <w:t>, Cirrone D</w:t>
      </w:r>
      <w:r>
        <w:rPr>
          <w:lang w:val="en-US"/>
        </w:rPr>
        <w:t>.</w:t>
      </w:r>
      <w:r w:rsidRPr="00AE70D5">
        <w:rPr>
          <w:lang w:val="en-US"/>
        </w:rPr>
        <w:t xml:space="preserve">, </w:t>
      </w:r>
      <w:proofErr w:type="spellStart"/>
      <w:r w:rsidRPr="00AE70D5">
        <w:rPr>
          <w:lang w:val="en-US"/>
        </w:rPr>
        <w:t>Shentsov</w:t>
      </w:r>
      <w:proofErr w:type="spellEnd"/>
      <w:r w:rsidRPr="00AE70D5">
        <w:rPr>
          <w:lang w:val="en-US"/>
        </w:rPr>
        <w:t xml:space="preserve"> V</w:t>
      </w:r>
      <w:r>
        <w:rPr>
          <w:lang w:val="en-US"/>
        </w:rPr>
        <w:t>.</w:t>
      </w:r>
      <w:r w:rsidRPr="00AE70D5">
        <w:rPr>
          <w:lang w:val="en-US"/>
        </w:rPr>
        <w:t>, Dery W</w:t>
      </w:r>
      <w:r>
        <w:rPr>
          <w:lang w:val="en-US"/>
        </w:rPr>
        <w:t xml:space="preserve">., Kim </w:t>
      </w:r>
      <w:proofErr w:type="gramStart"/>
      <w:r>
        <w:rPr>
          <w:lang w:val="en-US"/>
        </w:rPr>
        <w:t>W.</w:t>
      </w:r>
      <w:proofErr w:type="gramEnd"/>
      <w:r>
        <w:rPr>
          <w:lang w:val="en-US"/>
        </w:rPr>
        <w:t xml:space="preserve"> and Makarov D., 2021, </w:t>
      </w:r>
      <w:r w:rsidRPr="00AE70D5">
        <w:rPr>
          <w:lang w:val="en-US"/>
        </w:rPr>
        <w:t>Dynamics of blast wave and fireball after hydrogen</w:t>
      </w:r>
      <w:r>
        <w:rPr>
          <w:lang w:val="en-US"/>
        </w:rPr>
        <w:t xml:space="preserve"> </w:t>
      </w:r>
      <w:r w:rsidRPr="00AE70D5">
        <w:rPr>
          <w:lang w:val="en-US"/>
        </w:rPr>
        <w:t>tank rupture in a fire in the open atmosphere</w:t>
      </w:r>
      <w:r>
        <w:rPr>
          <w:lang w:val="en-US"/>
        </w:rPr>
        <w:t>, I</w:t>
      </w:r>
      <w:r w:rsidRPr="00AE70D5">
        <w:rPr>
          <w:lang w:val="en-US"/>
        </w:rPr>
        <w:t xml:space="preserve">nternational </w:t>
      </w:r>
      <w:r>
        <w:rPr>
          <w:lang w:val="en-US"/>
        </w:rPr>
        <w:t>J</w:t>
      </w:r>
      <w:r w:rsidRPr="00AE70D5">
        <w:rPr>
          <w:lang w:val="en-US"/>
        </w:rPr>
        <w:t xml:space="preserve">ournal of </w:t>
      </w:r>
      <w:r>
        <w:rPr>
          <w:lang w:val="en-US"/>
        </w:rPr>
        <w:t>H</w:t>
      </w:r>
      <w:r w:rsidRPr="00AE70D5">
        <w:rPr>
          <w:lang w:val="en-US"/>
        </w:rPr>
        <w:t xml:space="preserve">ydrogen </w:t>
      </w:r>
      <w:r>
        <w:rPr>
          <w:lang w:val="en-US"/>
        </w:rPr>
        <w:t>E</w:t>
      </w:r>
      <w:r w:rsidRPr="00AE70D5">
        <w:rPr>
          <w:lang w:val="en-US"/>
        </w:rPr>
        <w:t>nergy</w:t>
      </w:r>
      <w:r>
        <w:rPr>
          <w:lang w:val="en-US"/>
        </w:rPr>
        <w:t>,</w:t>
      </w:r>
      <w:r w:rsidRPr="00AE70D5">
        <w:rPr>
          <w:lang w:val="en-US"/>
        </w:rPr>
        <w:t xml:space="preserve"> 46</w:t>
      </w:r>
      <w:r>
        <w:rPr>
          <w:lang w:val="en-US"/>
        </w:rPr>
        <w:t>,</w:t>
      </w:r>
      <w:r w:rsidRPr="00AE70D5">
        <w:rPr>
          <w:lang w:val="en-US"/>
        </w:rPr>
        <w:t xml:space="preserve"> 4644</w:t>
      </w:r>
      <w:r>
        <w:rPr>
          <w:lang w:val="en-US"/>
        </w:rPr>
        <w:t xml:space="preserve"> – </w:t>
      </w:r>
      <w:r w:rsidRPr="00AE70D5">
        <w:rPr>
          <w:lang w:val="en-US"/>
        </w:rPr>
        <w:t>4665</w:t>
      </w:r>
      <w:r>
        <w:rPr>
          <w:lang w:val="en-US"/>
        </w:rPr>
        <w:t xml:space="preserve">, DOI: </w:t>
      </w:r>
      <w:r w:rsidRPr="00AE70D5">
        <w:rPr>
          <w:lang w:val="en-US"/>
        </w:rPr>
        <w:t>10.1016/j.ijhydene.2020.10.211</w:t>
      </w:r>
      <w:r>
        <w:rPr>
          <w:lang w:val="en-US"/>
        </w:rPr>
        <w:t>.</w:t>
      </w:r>
    </w:p>
    <w:p w14:paraId="0C7C4936" w14:textId="77777777" w:rsidR="004E656A" w:rsidRDefault="004E656A" w:rsidP="004E656A">
      <w:pPr>
        <w:pStyle w:val="CETReferencetext"/>
      </w:pPr>
      <w:r w:rsidRPr="001D1712">
        <w:rPr>
          <w:lang w:val="en-US"/>
        </w:rPr>
        <w:t xml:space="preserve">Ono R., </w:t>
      </w:r>
      <w:proofErr w:type="spellStart"/>
      <w:r w:rsidRPr="001D1712">
        <w:rPr>
          <w:lang w:val="en-US"/>
        </w:rPr>
        <w:t>Nifuku</w:t>
      </w:r>
      <w:proofErr w:type="spellEnd"/>
      <w:r w:rsidRPr="001D1712">
        <w:rPr>
          <w:lang w:val="en-US"/>
        </w:rPr>
        <w:t xml:space="preserve"> M., Fujiwara S., Horiguchi </w:t>
      </w:r>
      <w:proofErr w:type="gramStart"/>
      <w:r w:rsidRPr="001D1712">
        <w:rPr>
          <w:lang w:val="en-US"/>
        </w:rPr>
        <w:t>S.</w:t>
      </w:r>
      <w:proofErr w:type="gramEnd"/>
      <w:r w:rsidRPr="001D1712">
        <w:rPr>
          <w:lang w:val="en-US"/>
        </w:rPr>
        <w:t xml:space="preserve"> an</w:t>
      </w:r>
      <w:r>
        <w:rPr>
          <w:lang w:val="en-US"/>
        </w:rPr>
        <w:t>d</w:t>
      </w:r>
      <w:r w:rsidRPr="001D1712">
        <w:rPr>
          <w:lang w:val="en-US"/>
        </w:rPr>
        <w:t xml:space="preserve"> </w:t>
      </w:r>
      <w:r>
        <w:t xml:space="preserve">Oda T., 2007, Minimum ignition energy of hydrogen–air mixture: Effects of humidity and spark duration, Journal of Electrostatics, 65, 87-93, DOI: </w:t>
      </w:r>
      <w:r w:rsidRPr="007F05F5">
        <w:t>10.1016/j.elstat.2006.07.004</w:t>
      </w:r>
      <w:r>
        <w:t>.</w:t>
      </w:r>
    </w:p>
    <w:p w14:paraId="17115019" w14:textId="77777777" w:rsidR="004E656A" w:rsidRDefault="004E656A" w:rsidP="004E656A">
      <w:pPr>
        <w:pStyle w:val="CETReferencetext"/>
        <w:rPr>
          <w:lang w:val="en-US"/>
        </w:rPr>
      </w:pPr>
      <w:r w:rsidRPr="00FE537C">
        <w:rPr>
          <w:lang w:val="en-US"/>
        </w:rPr>
        <w:t>Pehr</w:t>
      </w:r>
      <w:r>
        <w:rPr>
          <w:lang w:val="en-US"/>
        </w:rPr>
        <w:t xml:space="preserve"> K., 1996,</w:t>
      </w:r>
      <w:r w:rsidRPr="00FE537C">
        <w:rPr>
          <w:lang w:val="en-US"/>
        </w:rPr>
        <w:t xml:space="preserve"> Aspects of safety and acceptance of LH</w:t>
      </w:r>
      <w:r>
        <w:rPr>
          <w:vertAlign w:val="subscript"/>
          <w:lang w:val="en-US"/>
        </w:rPr>
        <w:t>2</w:t>
      </w:r>
      <w:r w:rsidRPr="00FE537C">
        <w:rPr>
          <w:lang w:val="en-US"/>
        </w:rPr>
        <w:t xml:space="preserve"> tank systems in passenger</w:t>
      </w:r>
      <w:r>
        <w:rPr>
          <w:lang w:val="en-US"/>
        </w:rPr>
        <w:t xml:space="preserve"> </w:t>
      </w:r>
      <w:r w:rsidRPr="00FE537C">
        <w:rPr>
          <w:lang w:val="en-US"/>
        </w:rPr>
        <w:t>cars</w:t>
      </w:r>
      <w:r>
        <w:rPr>
          <w:lang w:val="en-US"/>
        </w:rPr>
        <w:t>,</w:t>
      </w:r>
      <w:r w:rsidRPr="00FE537C">
        <w:rPr>
          <w:lang w:val="en-US"/>
        </w:rPr>
        <w:t xml:space="preserve"> International Journal of Hydrogen Energy</w:t>
      </w:r>
      <w:r>
        <w:rPr>
          <w:lang w:val="en-US"/>
        </w:rPr>
        <w:t>,</w:t>
      </w:r>
      <w:r w:rsidRPr="00FE537C">
        <w:rPr>
          <w:lang w:val="en-US"/>
        </w:rPr>
        <w:t xml:space="preserve"> 21.5, 387–395</w:t>
      </w:r>
      <w:r>
        <w:rPr>
          <w:lang w:val="en-US"/>
        </w:rPr>
        <w:t>, DOI</w:t>
      </w:r>
      <w:r w:rsidRPr="00FE537C">
        <w:rPr>
          <w:lang w:val="en-US"/>
        </w:rPr>
        <w:t>: 10.1016/0360-3199(95)00092-5.</w:t>
      </w:r>
    </w:p>
    <w:p w14:paraId="0E3A7A65" w14:textId="77777777" w:rsidR="004E656A" w:rsidRDefault="004E656A" w:rsidP="004E656A">
      <w:pPr>
        <w:pStyle w:val="CETReferencetext"/>
        <w:rPr>
          <w:lang w:val="en-US"/>
        </w:rPr>
      </w:pPr>
      <w:r w:rsidRPr="002C13FA">
        <w:rPr>
          <w:lang w:val="en-US"/>
        </w:rPr>
        <w:t>Roberts</w:t>
      </w:r>
      <w:r>
        <w:rPr>
          <w:lang w:val="en-US"/>
        </w:rPr>
        <w:t xml:space="preserve"> A. F.,</w:t>
      </w:r>
      <w:r w:rsidRPr="002C13FA">
        <w:rPr>
          <w:lang w:val="en-US"/>
        </w:rPr>
        <w:t xml:space="preserve"> </w:t>
      </w:r>
      <w:r>
        <w:rPr>
          <w:lang w:val="en-US"/>
        </w:rPr>
        <w:t xml:space="preserve">1981, </w:t>
      </w:r>
      <w:r w:rsidRPr="002C13FA">
        <w:rPr>
          <w:lang w:val="en-US"/>
        </w:rPr>
        <w:t>Thermal radiation hazards from releases of LPG from pressuri</w:t>
      </w:r>
      <w:r>
        <w:rPr>
          <w:lang w:val="en-US"/>
        </w:rPr>
        <w:t>z</w:t>
      </w:r>
      <w:r w:rsidRPr="002C13FA">
        <w:rPr>
          <w:lang w:val="en-US"/>
        </w:rPr>
        <w:t>ed</w:t>
      </w:r>
      <w:r>
        <w:rPr>
          <w:lang w:val="en-US"/>
        </w:rPr>
        <w:t xml:space="preserve"> </w:t>
      </w:r>
      <w:r w:rsidRPr="002C13FA">
        <w:rPr>
          <w:lang w:val="en-US"/>
        </w:rPr>
        <w:t>storage</w:t>
      </w:r>
      <w:r>
        <w:rPr>
          <w:lang w:val="en-US"/>
        </w:rPr>
        <w:t>,</w:t>
      </w:r>
      <w:r w:rsidRPr="002C13FA">
        <w:rPr>
          <w:lang w:val="en-US"/>
        </w:rPr>
        <w:t xml:space="preserve"> Fire Safety Journal 4.3</w:t>
      </w:r>
      <w:r>
        <w:rPr>
          <w:lang w:val="en-US"/>
        </w:rPr>
        <w:t xml:space="preserve">, </w:t>
      </w:r>
      <w:r w:rsidRPr="002C13FA">
        <w:rPr>
          <w:lang w:val="en-US"/>
        </w:rPr>
        <w:t>197–212</w:t>
      </w:r>
      <w:r>
        <w:rPr>
          <w:lang w:val="en-US"/>
        </w:rPr>
        <w:t>, DOI</w:t>
      </w:r>
      <w:r w:rsidRPr="002C13FA">
        <w:rPr>
          <w:lang w:val="en-US"/>
        </w:rPr>
        <w:t>:</w:t>
      </w:r>
      <w:r>
        <w:rPr>
          <w:lang w:val="en-US"/>
        </w:rPr>
        <w:t xml:space="preserve"> </w:t>
      </w:r>
      <w:r w:rsidRPr="002C13FA">
        <w:rPr>
          <w:lang w:val="en-US"/>
        </w:rPr>
        <w:t>10.1016/0379-7112(81)90018-7.</w:t>
      </w:r>
    </w:p>
    <w:p w14:paraId="3A123A76" w14:textId="71CA4C1A" w:rsidR="004E656A" w:rsidRDefault="004E656A" w:rsidP="004E656A">
      <w:pPr>
        <w:pStyle w:val="CETReferencetext"/>
        <w:rPr>
          <w:lang w:val="en-US"/>
        </w:rPr>
      </w:pPr>
      <w:r>
        <w:rPr>
          <w:lang w:val="en-US"/>
        </w:rPr>
        <w:t xml:space="preserve">SINTEF Industry, 2021, </w:t>
      </w:r>
      <w:r w:rsidRPr="00D11AB8">
        <w:rPr>
          <w:lang w:val="en-US"/>
        </w:rPr>
        <w:t>SH2IFT - Safe Hydrogen Fuel Handling and Use for Efficient Implementation</w:t>
      </w:r>
      <w:r>
        <w:rPr>
          <w:lang w:val="en-US"/>
        </w:rPr>
        <w:t xml:space="preserve"> </w:t>
      </w:r>
      <w:r w:rsidRPr="00B3215E">
        <w:rPr>
          <w:lang w:val="en-US"/>
        </w:rPr>
        <w:t>www.sintef.no/projectweb/sh2ift/sh2ift-partners/</w:t>
      </w:r>
      <w:r>
        <w:rPr>
          <w:lang w:val="en-US"/>
        </w:rPr>
        <w:t>.</w:t>
      </w:r>
    </w:p>
    <w:p w14:paraId="6859916A" w14:textId="77777777" w:rsidR="004E656A" w:rsidRDefault="004E656A" w:rsidP="004E656A">
      <w:pPr>
        <w:pStyle w:val="CETReferencetext"/>
        <w:rPr>
          <w:lang w:val="en-US"/>
        </w:rPr>
      </w:pPr>
      <w:r w:rsidRPr="001D1712">
        <w:rPr>
          <w:lang w:val="en-US"/>
        </w:rPr>
        <w:t xml:space="preserve">Shen C., Ma L., Huang G., Wu Y., Zheng J., Liu </w:t>
      </w:r>
      <w:proofErr w:type="gramStart"/>
      <w:r w:rsidRPr="001D1712">
        <w:rPr>
          <w:lang w:val="en-US"/>
        </w:rPr>
        <w:t>Y.</w:t>
      </w:r>
      <w:proofErr w:type="gramEnd"/>
      <w:r w:rsidRPr="001D1712">
        <w:rPr>
          <w:lang w:val="en-US"/>
        </w:rPr>
        <w:t xml:space="preserve"> an</w:t>
      </w:r>
      <w:r>
        <w:rPr>
          <w:lang w:val="en-US"/>
        </w:rPr>
        <w:t>d</w:t>
      </w:r>
      <w:r w:rsidRPr="001D1712">
        <w:rPr>
          <w:lang w:val="en-US"/>
        </w:rPr>
        <w:t xml:space="preserve"> </w:t>
      </w:r>
      <w:r w:rsidRPr="006D1D10">
        <w:rPr>
          <w:lang w:val="en-US"/>
        </w:rPr>
        <w:t>Hu J</w:t>
      </w:r>
      <w:r>
        <w:rPr>
          <w:lang w:val="en-US"/>
        </w:rPr>
        <w:t xml:space="preserve">., 2018, </w:t>
      </w:r>
      <w:r w:rsidRPr="006D1D10">
        <w:rPr>
          <w:lang w:val="en-US"/>
        </w:rPr>
        <w:t>Consequence assessment of high-pressure hydrogen storage tank rupture</w:t>
      </w:r>
      <w:r>
        <w:rPr>
          <w:lang w:val="en-US"/>
        </w:rPr>
        <w:t xml:space="preserve"> </w:t>
      </w:r>
      <w:r w:rsidRPr="006D1D10">
        <w:rPr>
          <w:lang w:val="en-US"/>
        </w:rPr>
        <w:t>during fire test</w:t>
      </w:r>
      <w:r>
        <w:rPr>
          <w:lang w:val="en-US"/>
        </w:rPr>
        <w:t xml:space="preserve">, </w:t>
      </w:r>
      <w:r w:rsidRPr="006D1D10">
        <w:rPr>
          <w:lang w:val="en-US"/>
        </w:rPr>
        <w:t>Journal of Loss Prevention in the Process Industries</w:t>
      </w:r>
      <w:r>
        <w:rPr>
          <w:lang w:val="en-US"/>
        </w:rPr>
        <w:t xml:space="preserve">, 55, 223-231, DOI: </w:t>
      </w:r>
      <w:r w:rsidRPr="006D1D10">
        <w:rPr>
          <w:lang w:val="en-US"/>
        </w:rPr>
        <w:t>10.1016/j.jlp.2018.06.016</w:t>
      </w:r>
      <w:r>
        <w:rPr>
          <w:lang w:val="en-US"/>
        </w:rPr>
        <w:t>.</w:t>
      </w:r>
    </w:p>
    <w:p w14:paraId="4F2C7376" w14:textId="77777777" w:rsidR="004E656A" w:rsidRDefault="004E656A" w:rsidP="004E656A">
      <w:pPr>
        <w:pStyle w:val="CETReferencetext"/>
        <w:rPr>
          <w:lang w:val="en-US"/>
        </w:rPr>
      </w:pPr>
      <w:proofErr w:type="spellStart"/>
      <w:r w:rsidRPr="00EF7F56">
        <w:rPr>
          <w:lang w:val="en-US"/>
        </w:rPr>
        <w:t>Ustolin</w:t>
      </w:r>
      <w:proofErr w:type="spellEnd"/>
      <w:r w:rsidRPr="00EF7F56">
        <w:rPr>
          <w:lang w:val="en-US"/>
        </w:rPr>
        <w:t xml:space="preserve"> F</w:t>
      </w:r>
      <w:r>
        <w:rPr>
          <w:lang w:val="en-US"/>
        </w:rPr>
        <w:t>.</w:t>
      </w:r>
      <w:r w:rsidRPr="00EF7F56">
        <w:rPr>
          <w:lang w:val="en-US"/>
        </w:rPr>
        <w:t>, Giannini L</w:t>
      </w:r>
      <w:r>
        <w:rPr>
          <w:lang w:val="en-US"/>
        </w:rPr>
        <w:t>.</w:t>
      </w:r>
      <w:r w:rsidRPr="00EF7F56">
        <w:rPr>
          <w:lang w:val="en-US"/>
        </w:rPr>
        <w:t>, Pio G</w:t>
      </w:r>
      <w:r>
        <w:rPr>
          <w:lang w:val="en-US"/>
        </w:rPr>
        <w:t>.</w:t>
      </w:r>
      <w:r w:rsidRPr="00EF7F56">
        <w:rPr>
          <w:lang w:val="en-US"/>
        </w:rPr>
        <w:t xml:space="preserve">, Salzano </w:t>
      </w:r>
      <w:proofErr w:type="gramStart"/>
      <w:r w:rsidRPr="00EF7F56">
        <w:rPr>
          <w:lang w:val="en-US"/>
        </w:rPr>
        <w:t>E</w:t>
      </w:r>
      <w:r>
        <w:rPr>
          <w:lang w:val="en-US"/>
        </w:rPr>
        <w:t>.</w:t>
      </w:r>
      <w:proofErr w:type="gramEnd"/>
      <w:r w:rsidRPr="00EF7F56">
        <w:rPr>
          <w:lang w:val="en-US"/>
        </w:rPr>
        <w:t xml:space="preserve"> and Paltrinieri N</w:t>
      </w:r>
      <w:r>
        <w:rPr>
          <w:lang w:val="en-US"/>
        </w:rPr>
        <w:t>.</w:t>
      </w:r>
      <w:r w:rsidRPr="00EF7F56">
        <w:rPr>
          <w:lang w:val="en-US"/>
        </w:rPr>
        <w:t>, 2022, On the Mechanical Energy Involved in the Catastrophic</w:t>
      </w:r>
      <w:r>
        <w:rPr>
          <w:lang w:val="en-US"/>
        </w:rPr>
        <w:t xml:space="preserve"> </w:t>
      </w:r>
      <w:r w:rsidRPr="00EF7F56">
        <w:rPr>
          <w:lang w:val="en-US"/>
        </w:rPr>
        <w:t>Rupture of Liquid Hydrogen Tanks</w:t>
      </w:r>
      <w:r>
        <w:rPr>
          <w:lang w:val="en-US"/>
        </w:rPr>
        <w:t xml:space="preserve">, </w:t>
      </w:r>
      <w:r w:rsidRPr="00EF7F56">
        <w:rPr>
          <w:lang w:val="en-US"/>
        </w:rPr>
        <w:t>CHEMICAL ENGINEERING TRANSACTIONS</w:t>
      </w:r>
      <w:r>
        <w:rPr>
          <w:lang w:val="en-US"/>
        </w:rPr>
        <w:t xml:space="preserve">, 91, 421-426, DOI: </w:t>
      </w:r>
      <w:r w:rsidRPr="00EF7F56">
        <w:rPr>
          <w:lang w:val="en-US"/>
        </w:rPr>
        <w:t>10.3303/CET2291071</w:t>
      </w:r>
      <w:r>
        <w:rPr>
          <w:lang w:val="en-US"/>
        </w:rPr>
        <w:t>.</w:t>
      </w:r>
    </w:p>
    <w:p w14:paraId="77565B8B" w14:textId="77777777" w:rsidR="004E656A" w:rsidRDefault="004E656A" w:rsidP="004E656A">
      <w:pPr>
        <w:pStyle w:val="CETReferencetext"/>
        <w:rPr>
          <w:lang w:val="en-US"/>
        </w:rPr>
      </w:pPr>
      <w:proofErr w:type="spellStart"/>
      <w:r w:rsidRPr="00B3215E">
        <w:rPr>
          <w:lang w:val="en-US"/>
        </w:rPr>
        <w:t>Ustolin</w:t>
      </w:r>
      <w:proofErr w:type="spellEnd"/>
      <w:r w:rsidRPr="00B3215E">
        <w:rPr>
          <w:lang w:val="en-US"/>
        </w:rPr>
        <w:t xml:space="preserve"> F</w:t>
      </w:r>
      <w:r>
        <w:rPr>
          <w:lang w:val="en-US"/>
        </w:rPr>
        <w:t>.</w:t>
      </w:r>
      <w:r w:rsidRPr="00B3215E">
        <w:rPr>
          <w:lang w:val="en-US"/>
        </w:rPr>
        <w:t xml:space="preserve">, Landucci </w:t>
      </w:r>
      <w:proofErr w:type="gramStart"/>
      <w:r w:rsidRPr="00B3215E">
        <w:rPr>
          <w:lang w:val="en-US"/>
        </w:rPr>
        <w:t>G</w:t>
      </w:r>
      <w:r>
        <w:rPr>
          <w:lang w:val="en-US"/>
        </w:rPr>
        <w:t>.</w:t>
      </w:r>
      <w:proofErr w:type="gramEnd"/>
      <w:r>
        <w:rPr>
          <w:lang w:val="en-US"/>
        </w:rPr>
        <w:t xml:space="preserve"> and</w:t>
      </w:r>
      <w:r w:rsidRPr="00B3215E">
        <w:rPr>
          <w:lang w:val="en-US"/>
        </w:rPr>
        <w:t xml:space="preserve"> Paltrinieri N</w:t>
      </w:r>
      <w:r>
        <w:rPr>
          <w:lang w:val="en-US"/>
        </w:rPr>
        <w:t>.</w:t>
      </w:r>
      <w:r w:rsidRPr="00B3215E">
        <w:rPr>
          <w:lang w:val="en-US"/>
        </w:rPr>
        <w:t>, 2020, An innovative and comprehensive approach for the consequence analysis of</w:t>
      </w:r>
      <w:r>
        <w:rPr>
          <w:lang w:val="en-US"/>
        </w:rPr>
        <w:t xml:space="preserve"> </w:t>
      </w:r>
      <w:r w:rsidRPr="00B3215E">
        <w:rPr>
          <w:lang w:val="en-US"/>
        </w:rPr>
        <w:t>liquid hydrogen vessel explosions</w:t>
      </w:r>
      <w:r>
        <w:rPr>
          <w:lang w:val="en-US"/>
        </w:rPr>
        <w:t xml:space="preserve">, </w:t>
      </w:r>
      <w:r w:rsidRPr="00B3215E">
        <w:rPr>
          <w:lang w:val="en-US"/>
        </w:rPr>
        <w:t>Journal of Loss Prevention in the Process Industries</w:t>
      </w:r>
      <w:r>
        <w:rPr>
          <w:lang w:val="en-US"/>
        </w:rPr>
        <w:t xml:space="preserve">, 68, 104323, DOI: </w:t>
      </w:r>
      <w:r w:rsidRPr="00B3215E">
        <w:rPr>
          <w:lang w:val="en-US"/>
        </w:rPr>
        <w:t>10.1016/j.jlp.2020.104323</w:t>
      </w:r>
      <w:r>
        <w:rPr>
          <w:lang w:val="en-US"/>
        </w:rPr>
        <w:t>.</w:t>
      </w:r>
    </w:p>
    <w:p w14:paraId="4702CFFE" w14:textId="77777777" w:rsidR="004E656A" w:rsidRDefault="004E656A" w:rsidP="004E656A">
      <w:pPr>
        <w:pStyle w:val="CETReferencetext"/>
      </w:pPr>
      <w:proofErr w:type="spellStart"/>
      <w:r w:rsidRPr="00004B99">
        <w:t>Ustolin</w:t>
      </w:r>
      <w:proofErr w:type="spellEnd"/>
      <w:r w:rsidRPr="00004B99">
        <w:t xml:space="preserve"> F</w:t>
      </w:r>
      <w:r>
        <w:t>.</w:t>
      </w:r>
      <w:r w:rsidRPr="00004B99">
        <w:t xml:space="preserve"> </w:t>
      </w:r>
      <w:r>
        <w:t xml:space="preserve">and </w:t>
      </w:r>
      <w:r w:rsidRPr="00004B99">
        <w:t>Paltrinieri N</w:t>
      </w:r>
      <w:r>
        <w:t>.</w:t>
      </w:r>
      <w:r w:rsidRPr="00004B99">
        <w:t>, 2020, Hydrogen fireball consequence analysis</w:t>
      </w:r>
      <w:r>
        <w:t>,</w:t>
      </w:r>
      <w:r w:rsidRPr="00004B99">
        <w:t xml:space="preserve"> Chemical Engineering Transaction, 82, 211–216</w:t>
      </w:r>
      <w:r>
        <w:t xml:space="preserve">, DOI: </w:t>
      </w:r>
      <w:r w:rsidRPr="00E7654A">
        <w:t>10.3303/CET2082036</w:t>
      </w:r>
      <w:r>
        <w:t>.</w:t>
      </w:r>
    </w:p>
    <w:p w14:paraId="51F21DB6" w14:textId="77777777" w:rsidR="004E656A" w:rsidRDefault="004E656A" w:rsidP="004E656A">
      <w:pPr>
        <w:pStyle w:val="CETReferencetext"/>
        <w:rPr>
          <w:lang w:val="en-US"/>
        </w:rPr>
      </w:pPr>
      <w:proofErr w:type="spellStart"/>
      <w:r w:rsidRPr="00074FBC">
        <w:rPr>
          <w:lang w:val="en-US"/>
        </w:rPr>
        <w:t>Zalosh</w:t>
      </w:r>
      <w:proofErr w:type="spellEnd"/>
      <w:r w:rsidRPr="00074FBC">
        <w:rPr>
          <w:lang w:val="en-US"/>
        </w:rPr>
        <w:t xml:space="preserve"> </w:t>
      </w:r>
      <w:r>
        <w:rPr>
          <w:lang w:val="en-US"/>
        </w:rPr>
        <w:t xml:space="preserve">R. </w:t>
      </w:r>
      <w:r w:rsidRPr="00074FBC">
        <w:rPr>
          <w:lang w:val="en-US"/>
        </w:rPr>
        <w:t>and Weyandt</w:t>
      </w:r>
      <w:r>
        <w:rPr>
          <w:lang w:val="en-US"/>
        </w:rPr>
        <w:t xml:space="preserve"> N., 2005, </w:t>
      </w:r>
      <w:r w:rsidRPr="00074FBC">
        <w:rPr>
          <w:lang w:val="en-US"/>
        </w:rPr>
        <w:t>Hydrogen fuel tank fire exposure burst</w:t>
      </w:r>
      <w:r>
        <w:rPr>
          <w:lang w:val="en-US"/>
        </w:rPr>
        <w:t xml:space="preserve"> </w:t>
      </w:r>
      <w:r w:rsidRPr="00074FBC">
        <w:rPr>
          <w:lang w:val="en-US"/>
        </w:rPr>
        <w:t>test</w:t>
      </w:r>
      <w:r>
        <w:rPr>
          <w:lang w:val="en-US"/>
        </w:rPr>
        <w:t>,</w:t>
      </w:r>
      <w:r w:rsidRPr="00074FBC">
        <w:rPr>
          <w:lang w:val="en-US"/>
        </w:rPr>
        <w:t xml:space="preserve"> SAE Technical Papers</w:t>
      </w:r>
      <w:r>
        <w:rPr>
          <w:lang w:val="en-US"/>
        </w:rPr>
        <w:t>,</w:t>
      </w:r>
      <w:r w:rsidRPr="00074FBC">
        <w:rPr>
          <w:lang w:val="en-US"/>
        </w:rPr>
        <w:t xml:space="preserve"> </w:t>
      </w:r>
      <w:r>
        <w:rPr>
          <w:lang w:val="en-US"/>
        </w:rPr>
        <w:t>DOI</w:t>
      </w:r>
      <w:r w:rsidRPr="00074FBC">
        <w:rPr>
          <w:lang w:val="en-US"/>
        </w:rPr>
        <w:t>: 10.4271/2005-01-1886</w:t>
      </w:r>
      <w:r>
        <w:rPr>
          <w:lang w:val="en-US"/>
        </w:rPr>
        <w:t>.</w:t>
      </w:r>
    </w:p>
    <w:p w14:paraId="19052512" w14:textId="06328BDF" w:rsidR="003906CC" w:rsidRPr="003906CC" w:rsidRDefault="004E656A" w:rsidP="003906CC">
      <w:pPr>
        <w:pStyle w:val="CETReferencetext"/>
        <w:rPr>
          <w:lang w:val="en-US"/>
        </w:rPr>
      </w:pPr>
      <w:proofErr w:type="spellStart"/>
      <w:r w:rsidRPr="00AE70D5">
        <w:rPr>
          <w:lang w:val="en-US"/>
        </w:rPr>
        <w:t>Zalosh</w:t>
      </w:r>
      <w:proofErr w:type="spellEnd"/>
      <w:r>
        <w:rPr>
          <w:lang w:val="en-US"/>
        </w:rPr>
        <w:t xml:space="preserve"> R., 2007</w:t>
      </w:r>
      <w:r w:rsidRPr="00AE70D5">
        <w:rPr>
          <w:lang w:val="en-US"/>
        </w:rPr>
        <w:t xml:space="preserve"> Blast Waves and Fireballs Generated by Hydrogen Fuel Tank</w:t>
      </w:r>
      <w:r>
        <w:rPr>
          <w:lang w:val="en-US"/>
        </w:rPr>
        <w:t xml:space="preserve"> </w:t>
      </w:r>
      <w:r w:rsidRPr="00AE70D5">
        <w:rPr>
          <w:lang w:val="en-US"/>
        </w:rPr>
        <w:t>Rupture During Fire Exposure</w:t>
      </w:r>
      <w:r>
        <w:rPr>
          <w:lang w:val="en-US"/>
        </w:rPr>
        <w:t>,</w:t>
      </w:r>
      <w:r w:rsidRPr="00AE70D5">
        <w:rPr>
          <w:lang w:val="en-US"/>
        </w:rPr>
        <w:t xml:space="preserve"> </w:t>
      </w:r>
      <w:proofErr w:type="spellStart"/>
      <w:r w:rsidRPr="00AE70D5">
        <w:rPr>
          <w:lang w:val="en-US"/>
        </w:rPr>
        <w:t>F</w:t>
      </w:r>
      <w:r>
        <w:rPr>
          <w:lang w:val="en-US"/>
        </w:rPr>
        <w:t>irexplo</w:t>
      </w:r>
      <w:proofErr w:type="spellEnd"/>
      <w:r>
        <w:rPr>
          <w:lang w:val="en-US"/>
        </w:rPr>
        <w:t>,</w:t>
      </w:r>
      <w:r w:rsidRPr="00AE70D5">
        <w:rPr>
          <w:lang w:val="en-US"/>
        </w:rPr>
        <w:t xml:space="preserve"> 23–27.</w:t>
      </w:r>
    </w:p>
    <w:sectPr w:rsidR="003906CC" w:rsidRPr="003906C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C414" w14:textId="77777777" w:rsidR="0076497B" w:rsidRDefault="0076497B" w:rsidP="004F5E36">
      <w:r>
        <w:separator/>
      </w:r>
    </w:p>
  </w:endnote>
  <w:endnote w:type="continuationSeparator" w:id="0">
    <w:p w14:paraId="7CB33C3D" w14:textId="77777777" w:rsidR="0076497B" w:rsidRDefault="0076497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F719" w14:textId="77777777" w:rsidR="0076497B" w:rsidRDefault="0076497B" w:rsidP="004F5E36">
      <w:r>
        <w:separator/>
      </w:r>
    </w:p>
  </w:footnote>
  <w:footnote w:type="continuationSeparator" w:id="0">
    <w:p w14:paraId="172F534E" w14:textId="77777777" w:rsidR="0076497B" w:rsidRDefault="0076497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975C6B"/>
    <w:multiLevelType w:val="hybridMultilevel"/>
    <w:tmpl w:val="8A9E30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423352">
    <w:abstractNumId w:val="10"/>
  </w:num>
  <w:num w:numId="2" w16cid:durableId="322437159">
    <w:abstractNumId w:val="8"/>
  </w:num>
  <w:num w:numId="3" w16cid:durableId="834492678">
    <w:abstractNumId w:val="3"/>
  </w:num>
  <w:num w:numId="4" w16cid:durableId="694386076">
    <w:abstractNumId w:val="2"/>
  </w:num>
  <w:num w:numId="5" w16cid:durableId="973676887">
    <w:abstractNumId w:val="1"/>
  </w:num>
  <w:num w:numId="6" w16cid:durableId="1618176024">
    <w:abstractNumId w:val="0"/>
  </w:num>
  <w:num w:numId="7" w16cid:durableId="970134955">
    <w:abstractNumId w:val="9"/>
  </w:num>
  <w:num w:numId="8" w16cid:durableId="1404445691">
    <w:abstractNumId w:val="7"/>
  </w:num>
  <w:num w:numId="9" w16cid:durableId="977610226">
    <w:abstractNumId w:val="6"/>
  </w:num>
  <w:num w:numId="10" w16cid:durableId="1509439027">
    <w:abstractNumId w:val="5"/>
  </w:num>
  <w:num w:numId="11" w16cid:durableId="766465540">
    <w:abstractNumId w:val="4"/>
  </w:num>
  <w:num w:numId="12" w16cid:durableId="1315724144">
    <w:abstractNumId w:val="16"/>
  </w:num>
  <w:num w:numId="13" w16cid:durableId="1350059530">
    <w:abstractNumId w:val="12"/>
  </w:num>
  <w:num w:numId="14" w16cid:durableId="1919091623">
    <w:abstractNumId w:val="17"/>
  </w:num>
  <w:num w:numId="15" w16cid:durableId="189300202">
    <w:abstractNumId w:val="20"/>
  </w:num>
  <w:num w:numId="16" w16cid:durableId="723021461">
    <w:abstractNumId w:val="19"/>
  </w:num>
  <w:num w:numId="17" w16cid:durableId="732965888">
    <w:abstractNumId w:val="11"/>
  </w:num>
  <w:num w:numId="18" w16cid:durableId="1792744392">
    <w:abstractNumId w:val="12"/>
    <w:lvlOverride w:ilvl="0">
      <w:startOverride w:val="1"/>
    </w:lvlOverride>
  </w:num>
  <w:num w:numId="19" w16cid:durableId="400713613">
    <w:abstractNumId w:val="15"/>
  </w:num>
  <w:num w:numId="20" w16cid:durableId="1478034465">
    <w:abstractNumId w:val="14"/>
  </w:num>
  <w:num w:numId="21" w16cid:durableId="1441560384">
    <w:abstractNumId w:val="13"/>
  </w:num>
  <w:num w:numId="22" w16cid:durableId="1103698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B99"/>
    <w:rsid w:val="000052FB"/>
    <w:rsid w:val="000117CB"/>
    <w:rsid w:val="00016B72"/>
    <w:rsid w:val="00030B6B"/>
    <w:rsid w:val="0003148D"/>
    <w:rsid w:val="00031C87"/>
    <w:rsid w:val="000353A9"/>
    <w:rsid w:val="000370CE"/>
    <w:rsid w:val="00051566"/>
    <w:rsid w:val="00062A9A"/>
    <w:rsid w:val="000645F4"/>
    <w:rsid w:val="00065058"/>
    <w:rsid w:val="000717DE"/>
    <w:rsid w:val="00073B9C"/>
    <w:rsid w:val="00074FBC"/>
    <w:rsid w:val="0007529C"/>
    <w:rsid w:val="00075FA1"/>
    <w:rsid w:val="00082F24"/>
    <w:rsid w:val="00086C39"/>
    <w:rsid w:val="0009087A"/>
    <w:rsid w:val="00093586"/>
    <w:rsid w:val="00094FD0"/>
    <w:rsid w:val="000A03B2"/>
    <w:rsid w:val="000A7BBE"/>
    <w:rsid w:val="000B2CF5"/>
    <w:rsid w:val="000B6F0B"/>
    <w:rsid w:val="000D0268"/>
    <w:rsid w:val="000D0776"/>
    <w:rsid w:val="000D34BE"/>
    <w:rsid w:val="000D7192"/>
    <w:rsid w:val="000E007F"/>
    <w:rsid w:val="000E102F"/>
    <w:rsid w:val="000E164B"/>
    <w:rsid w:val="000E3543"/>
    <w:rsid w:val="000E36F1"/>
    <w:rsid w:val="000E3A73"/>
    <w:rsid w:val="000E414A"/>
    <w:rsid w:val="000F093C"/>
    <w:rsid w:val="000F16B8"/>
    <w:rsid w:val="000F2A39"/>
    <w:rsid w:val="000F787B"/>
    <w:rsid w:val="00100365"/>
    <w:rsid w:val="0011092D"/>
    <w:rsid w:val="00112240"/>
    <w:rsid w:val="00116756"/>
    <w:rsid w:val="0012091F"/>
    <w:rsid w:val="001217D1"/>
    <w:rsid w:val="00126BC2"/>
    <w:rsid w:val="001308B6"/>
    <w:rsid w:val="0013121F"/>
    <w:rsid w:val="00131FE6"/>
    <w:rsid w:val="0013263F"/>
    <w:rsid w:val="00133086"/>
    <w:rsid w:val="00134DE4"/>
    <w:rsid w:val="001351CE"/>
    <w:rsid w:val="00137258"/>
    <w:rsid w:val="0014034D"/>
    <w:rsid w:val="0014068E"/>
    <w:rsid w:val="0014503F"/>
    <w:rsid w:val="00150E59"/>
    <w:rsid w:val="00151663"/>
    <w:rsid w:val="00152DE3"/>
    <w:rsid w:val="00164CF9"/>
    <w:rsid w:val="001667A6"/>
    <w:rsid w:val="00167737"/>
    <w:rsid w:val="001708B8"/>
    <w:rsid w:val="0017321F"/>
    <w:rsid w:val="00173F09"/>
    <w:rsid w:val="0017588A"/>
    <w:rsid w:val="001759E4"/>
    <w:rsid w:val="00184AD6"/>
    <w:rsid w:val="00194DDB"/>
    <w:rsid w:val="001A1721"/>
    <w:rsid w:val="001A23BF"/>
    <w:rsid w:val="001A2F96"/>
    <w:rsid w:val="001A4AF7"/>
    <w:rsid w:val="001A7A6F"/>
    <w:rsid w:val="001A7CCD"/>
    <w:rsid w:val="001B0349"/>
    <w:rsid w:val="001B470D"/>
    <w:rsid w:val="001B5E3C"/>
    <w:rsid w:val="001B65C1"/>
    <w:rsid w:val="001C4C42"/>
    <w:rsid w:val="001C684B"/>
    <w:rsid w:val="001D1712"/>
    <w:rsid w:val="001D53FC"/>
    <w:rsid w:val="001F42A5"/>
    <w:rsid w:val="001F5B6B"/>
    <w:rsid w:val="001F6A84"/>
    <w:rsid w:val="001F7B9D"/>
    <w:rsid w:val="002039F6"/>
    <w:rsid w:val="00204031"/>
    <w:rsid w:val="00204652"/>
    <w:rsid w:val="00207A53"/>
    <w:rsid w:val="002224B4"/>
    <w:rsid w:val="00222609"/>
    <w:rsid w:val="002228F5"/>
    <w:rsid w:val="0023108F"/>
    <w:rsid w:val="002370F9"/>
    <w:rsid w:val="00237A34"/>
    <w:rsid w:val="002447EF"/>
    <w:rsid w:val="00251550"/>
    <w:rsid w:val="00253DEB"/>
    <w:rsid w:val="00260F83"/>
    <w:rsid w:val="00263B05"/>
    <w:rsid w:val="002653F9"/>
    <w:rsid w:val="002665FC"/>
    <w:rsid w:val="00270EB4"/>
    <w:rsid w:val="0027221A"/>
    <w:rsid w:val="002747F0"/>
    <w:rsid w:val="00275B61"/>
    <w:rsid w:val="00282656"/>
    <w:rsid w:val="00296765"/>
    <w:rsid w:val="00296B83"/>
    <w:rsid w:val="002A4A70"/>
    <w:rsid w:val="002A5FDE"/>
    <w:rsid w:val="002B4CB8"/>
    <w:rsid w:val="002B78CE"/>
    <w:rsid w:val="002C0533"/>
    <w:rsid w:val="002C13FA"/>
    <w:rsid w:val="002C2FB6"/>
    <w:rsid w:val="002C3139"/>
    <w:rsid w:val="002D2A75"/>
    <w:rsid w:val="002D4B81"/>
    <w:rsid w:val="002D7C5F"/>
    <w:rsid w:val="002E1C76"/>
    <w:rsid w:val="002E2DB6"/>
    <w:rsid w:val="002E360D"/>
    <w:rsid w:val="002E7435"/>
    <w:rsid w:val="002F17EB"/>
    <w:rsid w:val="002F3309"/>
    <w:rsid w:val="003002BD"/>
    <w:rsid w:val="003009B7"/>
    <w:rsid w:val="00300E56"/>
    <w:rsid w:val="0030469C"/>
    <w:rsid w:val="00307FCE"/>
    <w:rsid w:val="00311051"/>
    <w:rsid w:val="00315300"/>
    <w:rsid w:val="00321CA6"/>
    <w:rsid w:val="00323763"/>
    <w:rsid w:val="003265F8"/>
    <w:rsid w:val="0032709E"/>
    <w:rsid w:val="00334C09"/>
    <w:rsid w:val="003477F5"/>
    <w:rsid w:val="00350036"/>
    <w:rsid w:val="003505F5"/>
    <w:rsid w:val="0035201C"/>
    <w:rsid w:val="0035204F"/>
    <w:rsid w:val="0037225F"/>
    <w:rsid w:val="003723D4"/>
    <w:rsid w:val="0037280E"/>
    <w:rsid w:val="00373AB2"/>
    <w:rsid w:val="00377BCF"/>
    <w:rsid w:val="00381905"/>
    <w:rsid w:val="00384CC8"/>
    <w:rsid w:val="0038598E"/>
    <w:rsid w:val="003871FD"/>
    <w:rsid w:val="00387789"/>
    <w:rsid w:val="00390582"/>
    <w:rsid w:val="003906CC"/>
    <w:rsid w:val="00390BC7"/>
    <w:rsid w:val="00395319"/>
    <w:rsid w:val="003A1E30"/>
    <w:rsid w:val="003A642A"/>
    <w:rsid w:val="003A7D1C"/>
    <w:rsid w:val="003B304B"/>
    <w:rsid w:val="003B3146"/>
    <w:rsid w:val="003C08E1"/>
    <w:rsid w:val="003C3355"/>
    <w:rsid w:val="003C4951"/>
    <w:rsid w:val="003C6767"/>
    <w:rsid w:val="003D32C4"/>
    <w:rsid w:val="003E0E63"/>
    <w:rsid w:val="003E404C"/>
    <w:rsid w:val="003F015E"/>
    <w:rsid w:val="00400414"/>
    <w:rsid w:val="00401B8E"/>
    <w:rsid w:val="0041446B"/>
    <w:rsid w:val="004147AB"/>
    <w:rsid w:val="00424BFD"/>
    <w:rsid w:val="004253C3"/>
    <w:rsid w:val="00434BC0"/>
    <w:rsid w:val="004360F2"/>
    <w:rsid w:val="004416F2"/>
    <w:rsid w:val="0044329C"/>
    <w:rsid w:val="00443655"/>
    <w:rsid w:val="00444CD6"/>
    <w:rsid w:val="00447AA5"/>
    <w:rsid w:val="004540E2"/>
    <w:rsid w:val="0045721C"/>
    <w:rsid w:val="004577FE"/>
    <w:rsid w:val="00457B9C"/>
    <w:rsid w:val="0046164A"/>
    <w:rsid w:val="004628D2"/>
    <w:rsid w:val="00462DCD"/>
    <w:rsid w:val="004648AD"/>
    <w:rsid w:val="0046602A"/>
    <w:rsid w:val="004670F0"/>
    <w:rsid w:val="004703A9"/>
    <w:rsid w:val="004715B1"/>
    <w:rsid w:val="0047490D"/>
    <w:rsid w:val="00475EC2"/>
    <w:rsid w:val="004760DE"/>
    <w:rsid w:val="004763D7"/>
    <w:rsid w:val="00492F93"/>
    <w:rsid w:val="004A004E"/>
    <w:rsid w:val="004A24CF"/>
    <w:rsid w:val="004A407D"/>
    <w:rsid w:val="004A4C22"/>
    <w:rsid w:val="004B6595"/>
    <w:rsid w:val="004C3D1D"/>
    <w:rsid w:val="004C7913"/>
    <w:rsid w:val="004D0909"/>
    <w:rsid w:val="004D3EB2"/>
    <w:rsid w:val="004E4DD6"/>
    <w:rsid w:val="004E4E39"/>
    <w:rsid w:val="004E656A"/>
    <w:rsid w:val="004F5E36"/>
    <w:rsid w:val="004F7B18"/>
    <w:rsid w:val="00506C3D"/>
    <w:rsid w:val="00507B47"/>
    <w:rsid w:val="00507BEF"/>
    <w:rsid w:val="00507CC9"/>
    <w:rsid w:val="005119A5"/>
    <w:rsid w:val="00514281"/>
    <w:rsid w:val="005278B7"/>
    <w:rsid w:val="00532016"/>
    <w:rsid w:val="005346C8"/>
    <w:rsid w:val="00540C95"/>
    <w:rsid w:val="00543E7D"/>
    <w:rsid w:val="00543FE0"/>
    <w:rsid w:val="00546BE1"/>
    <w:rsid w:val="00547A68"/>
    <w:rsid w:val="005531C9"/>
    <w:rsid w:val="00553487"/>
    <w:rsid w:val="005572E9"/>
    <w:rsid w:val="005642F7"/>
    <w:rsid w:val="00570C43"/>
    <w:rsid w:val="00573664"/>
    <w:rsid w:val="00573B3C"/>
    <w:rsid w:val="005764CA"/>
    <w:rsid w:val="0058091B"/>
    <w:rsid w:val="00586A1B"/>
    <w:rsid w:val="00586EA1"/>
    <w:rsid w:val="00591897"/>
    <w:rsid w:val="005927D9"/>
    <w:rsid w:val="00593A7D"/>
    <w:rsid w:val="005A33D5"/>
    <w:rsid w:val="005A431A"/>
    <w:rsid w:val="005B2110"/>
    <w:rsid w:val="005B61E6"/>
    <w:rsid w:val="005C1097"/>
    <w:rsid w:val="005C23F2"/>
    <w:rsid w:val="005C6132"/>
    <w:rsid w:val="005C77E1"/>
    <w:rsid w:val="005D320D"/>
    <w:rsid w:val="005D3331"/>
    <w:rsid w:val="005D34ED"/>
    <w:rsid w:val="005D3774"/>
    <w:rsid w:val="005D668A"/>
    <w:rsid w:val="005D6A2F"/>
    <w:rsid w:val="005D707C"/>
    <w:rsid w:val="005E1944"/>
    <w:rsid w:val="005E1A82"/>
    <w:rsid w:val="005E794C"/>
    <w:rsid w:val="005F0A28"/>
    <w:rsid w:val="005F0E5E"/>
    <w:rsid w:val="005F4C78"/>
    <w:rsid w:val="005F52B5"/>
    <w:rsid w:val="005F5BEE"/>
    <w:rsid w:val="00600535"/>
    <w:rsid w:val="006019D3"/>
    <w:rsid w:val="006037ED"/>
    <w:rsid w:val="00606C83"/>
    <w:rsid w:val="00607342"/>
    <w:rsid w:val="00610CD6"/>
    <w:rsid w:val="00616334"/>
    <w:rsid w:val="00620DEE"/>
    <w:rsid w:val="00621615"/>
    <w:rsid w:val="00621D18"/>
    <w:rsid w:val="00621F92"/>
    <w:rsid w:val="0062280A"/>
    <w:rsid w:val="00625258"/>
    <w:rsid w:val="00625639"/>
    <w:rsid w:val="00631B33"/>
    <w:rsid w:val="0064184D"/>
    <w:rsid w:val="006422CC"/>
    <w:rsid w:val="00642D98"/>
    <w:rsid w:val="00650FE4"/>
    <w:rsid w:val="006528EB"/>
    <w:rsid w:val="00660090"/>
    <w:rsid w:val="00660E3E"/>
    <w:rsid w:val="00662E74"/>
    <w:rsid w:val="006679DD"/>
    <w:rsid w:val="00680C23"/>
    <w:rsid w:val="006907E0"/>
    <w:rsid w:val="00693766"/>
    <w:rsid w:val="006A3281"/>
    <w:rsid w:val="006A4908"/>
    <w:rsid w:val="006A7332"/>
    <w:rsid w:val="006B4888"/>
    <w:rsid w:val="006C2E45"/>
    <w:rsid w:val="006C359C"/>
    <w:rsid w:val="006C5579"/>
    <w:rsid w:val="006D1D10"/>
    <w:rsid w:val="006D5512"/>
    <w:rsid w:val="006D6E8B"/>
    <w:rsid w:val="006E43C5"/>
    <w:rsid w:val="006E4909"/>
    <w:rsid w:val="006E737D"/>
    <w:rsid w:val="006F747C"/>
    <w:rsid w:val="00712C04"/>
    <w:rsid w:val="00713F16"/>
    <w:rsid w:val="00720A24"/>
    <w:rsid w:val="0072341C"/>
    <w:rsid w:val="00732386"/>
    <w:rsid w:val="00733413"/>
    <w:rsid w:val="0073514D"/>
    <w:rsid w:val="007447F3"/>
    <w:rsid w:val="00745F43"/>
    <w:rsid w:val="00751883"/>
    <w:rsid w:val="0075499F"/>
    <w:rsid w:val="00754C9B"/>
    <w:rsid w:val="00762800"/>
    <w:rsid w:val="0076497B"/>
    <w:rsid w:val="00765850"/>
    <w:rsid w:val="007661C8"/>
    <w:rsid w:val="0077098D"/>
    <w:rsid w:val="007814D9"/>
    <w:rsid w:val="00781F1F"/>
    <w:rsid w:val="007844BD"/>
    <w:rsid w:val="007931FA"/>
    <w:rsid w:val="0079413B"/>
    <w:rsid w:val="0079774B"/>
    <w:rsid w:val="007A213E"/>
    <w:rsid w:val="007A3E5E"/>
    <w:rsid w:val="007A4861"/>
    <w:rsid w:val="007A7BBA"/>
    <w:rsid w:val="007B0C50"/>
    <w:rsid w:val="007C027C"/>
    <w:rsid w:val="007C1A43"/>
    <w:rsid w:val="007C2E5E"/>
    <w:rsid w:val="007C597C"/>
    <w:rsid w:val="007F05F5"/>
    <w:rsid w:val="007F0ACB"/>
    <w:rsid w:val="007F6AD2"/>
    <w:rsid w:val="0080013E"/>
    <w:rsid w:val="00800144"/>
    <w:rsid w:val="00806CC6"/>
    <w:rsid w:val="00813288"/>
    <w:rsid w:val="008168FC"/>
    <w:rsid w:val="00817D40"/>
    <w:rsid w:val="008273E9"/>
    <w:rsid w:val="00830996"/>
    <w:rsid w:val="00833892"/>
    <w:rsid w:val="008345F1"/>
    <w:rsid w:val="00837352"/>
    <w:rsid w:val="00844C14"/>
    <w:rsid w:val="00852301"/>
    <w:rsid w:val="008540EA"/>
    <w:rsid w:val="00854666"/>
    <w:rsid w:val="00854F36"/>
    <w:rsid w:val="00865B07"/>
    <w:rsid w:val="008667EA"/>
    <w:rsid w:val="00866CD1"/>
    <w:rsid w:val="0087296C"/>
    <w:rsid w:val="0087637F"/>
    <w:rsid w:val="00876E6F"/>
    <w:rsid w:val="00880B31"/>
    <w:rsid w:val="00883331"/>
    <w:rsid w:val="008838A2"/>
    <w:rsid w:val="00892AD5"/>
    <w:rsid w:val="008A1512"/>
    <w:rsid w:val="008B19F7"/>
    <w:rsid w:val="008B1F4F"/>
    <w:rsid w:val="008B2BE5"/>
    <w:rsid w:val="008C21BE"/>
    <w:rsid w:val="008D09D3"/>
    <w:rsid w:val="008D0A35"/>
    <w:rsid w:val="008D1B36"/>
    <w:rsid w:val="008D1B92"/>
    <w:rsid w:val="008D32B9"/>
    <w:rsid w:val="008D433B"/>
    <w:rsid w:val="008D7C3D"/>
    <w:rsid w:val="008E1BA0"/>
    <w:rsid w:val="008E26E6"/>
    <w:rsid w:val="008E566E"/>
    <w:rsid w:val="008F0CC3"/>
    <w:rsid w:val="0090161A"/>
    <w:rsid w:val="00901EB6"/>
    <w:rsid w:val="00904C62"/>
    <w:rsid w:val="00904E55"/>
    <w:rsid w:val="0090541A"/>
    <w:rsid w:val="00912EDC"/>
    <w:rsid w:val="0091724C"/>
    <w:rsid w:val="009207C3"/>
    <w:rsid w:val="00922BA8"/>
    <w:rsid w:val="00924361"/>
    <w:rsid w:val="00924DAC"/>
    <w:rsid w:val="00926140"/>
    <w:rsid w:val="00927058"/>
    <w:rsid w:val="00932C4C"/>
    <w:rsid w:val="00933E4A"/>
    <w:rsid w:val="009349FB"/>
    <w:rsid w:val="00942750"/>
    <w:rsid w:val="00943533"/>
    <w:rsid w:val="0094388A"/>
    <w:rsid w:val="009450CE"/>
    <w:rsid w:val="00947179"/>
    <w:rsid w:val="009479D3"/>
    <w:rsid w:val="00947A9D"/>
    <w:rsid w:val="0095164B"/>
    <w:rsid w:val="00952741"/>
    <w:rsid w:val="00952804"/>
    <w:rsid w:val="00954090"/>
    <w:rsid w:val="009573E7"/>
    <w:rsid w:val="009604DC"/>
    <w:rsid w:val="00963E05"/>
    <w:rsid w:val="009675A6"/>
    <w:rsid w:val="00967843"/>
    <w:rsid w:val="00967D54"/>
    <w:rsid w:val="00967D77"/>
    <w:rsid w:val="00971028"/>
    <w:rsid w:val="0098294E"/>
    <w:rsid w:val="009843E1"/>
    <w:rsid w:val="00984568"/>
    <w:rsid w:val="0099048E"/>
    <w:rsid w:val="00990FCB"/>
    <w:rsid w:val="0099204B"/>
    <w:rsid w:val="00996483"/>
    <w:rsid w:val="00996F5A"/>
    <w:rsid w:val="009B041A"/>
    <w:rsid w:val="009B23DB"/>
    <w:rsid w:val="009B4907"/>
    <w:rsid w:val="009B53C2"/>
    <w:rsid w:val="009B6BD7"/>
    <w:rsid w:val="009C1FF9"/>
    <w:rsid w:val="009C37C3"/>
    <w:rsid w:val="009C50BB"/>
    <w:rsid w:val="009C7022"/>
    <w:rsid w:val="009C7C86"/>
    <w:rsid w:val="009D1588"/>
    <w:rsid w:val="009D2FF7"/>
    <w:rsid w:val="009E2031"/>
    <w:rsid w:val="009E3244"/>
    <w:rsid w:val="009E7884"/>
    <w:rsid w:val="009E788A"/>
    <w:rsid w:val="009F0E08"/>
    <w:rsid w:val="009F24A1"/>
    <w:rsid w:val="00A0229B"/>
    <w:rsid w:val="00A061FA"/>
    <w:rsid w:val="00A07B3D"/>
    <w:rsid w:val="00A11347"/>
    <w:rsid w:val="00A132BB"/>
    <w:rsid w:val="00A17067"/>
    <w:rsid w:val="00A1763D"/>
    <w:rsid w:val="00A17CEC"/>
    <w:rsid w:val="00A25B07"/>
    <w:rsid w:val="00A27EF0"/>
    <w:rsid w:val="00A3468F"/>
    <w:rsid w:val="00A35563"/>
    <w:rsid w:val="00A42361"/>
    <w:rsid w:val="00A450DD"/>
    <w:rsid w:val="00A50B20"/>
    <w:rsid w:val="00A51390"/>
    <w:rsid w:val="00A51D69"/>
    <w:rsid w:val="00A52C09"/>
    <w:rsid w:val="00A54FE1"/>
    <w:rsid w:val="00A56216"/>
    <w:rsid w:val="00A56658"/>
    <w:rsid w:val="00A60D13"/>
    <w:rsid w:val="00A63289"/>
    <w:rsid w:val="00A67C92"/>
    <w:rsid w:val="00A72745"/>
    <w:rsid w:val="00A76EFC"/>
    <w:rsid w:val="00A91010"/>
    <w:rsid w:val="00A931A2"/>
    <w:rsid w:val="00A952D5"/>
    <w:rsid w:val="00A97F29"/>
    <w:rsid w:val="00AA15C3"/>
    <w:rsid w:val="00AA2B95"/>
    <w:rsid w:val="00AA5A25"/>
    <w:rsid w:val="00AA702E"/>
    <w:rsid w:val="00AB0964"/>
    <w:rsid w:val="00AB2E43"/>
    <w:rsid w:val="00AB42E3"/>
    <w:rsid w:val="00AB5011"/>
    <w:rsid w:val="00AB75C4"/>
    <w:rsid w:val="00AC0A2F"/>
    <w:rsid w:val="00AC7368"/>
    <w:rsid w:val="00AD16B9"/>
    <w:rsid w:val="00AD758B"/>
    <w:rsid w:val="00AD790E"/>
    <w:rsid w:val="00AE00E5"/>
    <w:rsid w:val="00AE126E"/>
    <w:rsid w:val="00AE377D"/>
    <w:rsid w:val="00AE3F9A"/>
    <w:rsid w:val="00AE51C1"/>
    <w:rsid w:val="00AE70D5"/>
    <w:rsid w:val="00AF0EBA"/>
    <w:rsid w:val="00AF58F5"/>
    <w:rsid w:val="00B02C8A"/>
    <w:rsid w:val="00B17166"/>
    <w:rsid w:val="00B17FBD"/>
    <w:rsid w:val="00B241D1"/>
    <w:rsid w:val="00B26D9F"/>
    <w:rsid w:val="00B315A6"/>
    <w:rsid w:val="00B31813"/>
    <w:rsid w:val="00B3215E"/>
    <w:rsid w:val="00B33365"/>
    <w:rsid w:val="00B565F2"/>
    <w:rsid w:val="00B57B36"/>
    <w:rsid w:val="00B73F29"/>
    <w:rsid w:val="00B82837"/>
    <w:rsid w:val="00B83004"/>
    <w:rsid w:val="00B84978"/>
    <w:rsid w:val="00B8584D"/>
    <w:rsid w:val="00B85A40"/>
    <w:rsid w:val="00B8686D"/>
    <w:rsid w:val="00B91840"/>
    <w:rsid w:val="00B939C0"/>
    <w:rsid w:val="00BA0388"/>
    <w:rsid w:val="00BA08CE"/>
    <w:rsid w:val="00BB1DDC"/>
    <w:rsid w:val="00BC30C9"/>
    <w:rsid w:val="00BC5689"/>
    <w:rsid w:val="00BC5730"/>
    <w:rsid w:val="00BC7BD2"/>
    <w:rsid w:val="00BD79E2"/>
    <w:rsid w:val="00BE0FD3"/>
    <w:rsid w:val="00BE3E58"/>
    <w:rsid w:val="00BF0FED"/>
    <w:rsid w:val="00BF3DE5"/>
    <w:rsid w:val="00BF3F0B"/>
    <w:rsid w:val="00BF4604"/>
    <w:rsid w:val="00C01616"/>
    <w:rsid w:val="00C0162B"/>
    <w:rsid w:val="00C01C97"/>
    <w:rsid w:val="00C068ED"/>
    <w:rsid w:val="00C24165"/>
    <w:rsid w:val="00C3369C"/>
    <w:rsid w:val="00C33BC5"/>
    <w:rsid w:val="00C345B1"/>
    <w:rsid w:val="00C348AB"/>
    <w:rsid w:val="00C35885"/>
    <w:rsid w:val="00C37D8B"/>
    <w:rsid w:val="00C40142"/>
    <w:rsid w:val="00C426E8"/>
    <w:rsid w:val="00C45669"/>
    <w:rsid w:val="00C47556"/>
    <w:rsid w:val="00C506B1"/>
    <w:rsid w:val="00C54784"/>
    <w:rsid w:val="00C54A7F"/>
    <w:rsid w:val="00C55F83"/>
    <w:rsid w:val="00C56DF1"/>
    <w:rsid w:val="00C57182"/>
    <w:rsid w:val="00C57863"/>
    <w:rsid w:val="00C655FD"/>
    <w:rsid w:val="00C66843"/>
    <w:rsid w:val="00C711D0"/>
    <w:rsid w:val="00C73E15"/>
    <w:rsid w:val="00C75407"/>
    <w:rsid w:val="00C8118B"/>
    <w:rsid w:val="00C860AA"/>
    <w:rsid w:val="00C870A8"/>
    <w:rsid w:val="00C906EF"/>
    <w:rsid w:val="00C93189"/>
    <w:rsid w:val="00C94434"/>
    <w:rsid w:val="00CA0D75"/>
    <w:rsid w:val="00CA1C95"/>
    <w:rsid w:val="00CA5A9C"/>
    <w:rsid w:val="00CA7244"/>
    <w:rsid w:val="00CA7DD8"/>
    <w:rsid w:val="00CB2876"/>
    <w:rsid w:val="00CB2FC2"/>
    <w:rsid w:val="00CC0D3D"/>
    <w:rsid w:val="00CC157E"/>
    <w:rsid w:val="00CC2E2A"/>
    <w:rsid w:val="00CC4C20"/>
    <w:rsid w:val="00CD2361"/>
    <w:rsid w:val="00CD3517"/>
    <w:rsid w:val="00CD5FE2"/>
    <w:rsid w:val="00CD6276"/>
    <w:rsid w:val="00CD793E"/>
    <w:rsid w:val="00CE5BFD"/>
    <w:rsid w:val="00CE695D"/>
    <w:rsid w:val="00CE7C68"/>
    <w:rsid w:val="00CF7E2B"/>
    <w:rsid w:val="00D02B4C"/>
    <w:rsid w:val="00D040C4"/>
    <w:rsid w:val="00D10C85"/>
    <w:rsid w:val="00D11539"/>
    <w:rsid w:val="00D11AB8"/>
    <w:rsid w:val="00D13367"/>
    <w:rsid w:val="00D14439"/>
    <w:rsid w:val="00D15213"/>
    <w:rsid w:val="00D217A8"/>
    <w:rsid w:val="00D24353"/>
    <w:rsid w:val="00D24492"/>
    <w:rsid w:val="00D43BC9"/>
    <w:rsid w:val="00D45409"/>
    <w:rsid w:val="00D4781B"/>
    <w:rsid w:val="00D569B4"/>
    <w:rsid w:val="00D57C84"/>
    <w:rsid w:val="00D6057D"/>
    <w:rsid w:val="00D70259"/>
    <w:rsid w:val="00D7211D"/>
    <w:rsid w:val="00D81FA1"/>
    <w:rsid w:val="00D8211D"/>
    <w:rsid w:val="00D82B64"/>
    <w:rsid w:val="00D836C5"/>
    <w:rsid w:val="00D84576"/>
    <w:rsid w:val="00D95268"/>
    <w:rsid w:val="00DA1399"/>
    <w:rsid w:val="00DA24C6"/>
    <w:rsid w:val="00DA2788"/>
    <w:rsid w:val="00DA4D7B"/>
    <w:rsid w:val="00DB03F4"/>
    <w:rsid w:val="00DB5F56"/>
    <w:rsid w:val="00DC437B"/>
    <w:rsid w:val="00DD072B"/>
    <w:rsid w:val="00DD0C41"/>
    <w:rsid w:val="00DD25FC"/>
    <w:rsid w:val="00DD61E2"/>
    <w:rsid w:val="00DE264A"/>
    <w:rsid w:val="00DE3147"/>
    <w:rsid w:val="00DE451B"/>
    <w:rsid w:val="00DF03AA"/>
    <w:rsid w:val="00DF3072"/>
    <w:rsid w:val="00DF3AF7"/>
    <w:rsid w:val="00DF4068"/>
    <w:rsid w:val="00DF5072"/>
    <w:rsid w:val="00DF5774"/>
    <w:rsid w:val="00DF5863"/>
    <w:rsid w:val="00E02D18"/>
    <w:rsid w:val="00E041E7"/>
    <w:rsid w:val="00E11776"/>
    <w:rsid w:val="00E23CA1"/>
    <w:rsid w:val="00E409A8"/>
    <w:rsid w:val="00E4262E"/>
    <w:rsid w:val="00E4295F"/>
    <w:rsid w:val="00E50C12"/>
    <w:rsid w:val="00E5712B"/>
    <w:rsid w:val="00E6229A"/>
    <w:rsid w:val="00E6289E"/>
    <w:rsid w:val="00E65514"/>
    <w:rsid w:val="00E65B91"/>
    <w:rsid w:val="00E7209D"/>
    <w:rsid w:val="00E7654A"/>
    <w:rsid w:val="00E77223"/>
    <w:rsid w:val="00E77E6A"/>
    <w:rsid w:val="00E84C81"/>
    <w:rsid w:val="00E8528B"/>
    <w:rsid w:val="00E85B94"/>
    <w:rsid w:val="00E939C7"/>
    <w:rsid w:val="00E978D0"/>
    <w:rsid w:val="00EA0292"/>
    <w:rsid w:val="00EA1EEC"/>
    <w:rsid w:val="00EA3B81"/>
    <w:rsid w:val="00EA4613"/>
    <w:rsid w:val="00EA7F91"/>
    <w:rsid w:val="00EB106F"/>
    <w:rsid w:val="00EB1523"/>
    <w:rsid w:val="00EB52B3"/>
    <w:rsid w:val="00EC0E49"/>
    <w:rsid w:val="00EC101F"/>
    <w:rsid w:val="00EC1D9F"/>
    <w:rsid w:val="00EC2013"/>
    <w:rsid w:val="00EC2B72"/>
    <w:rsid w:val="00EC75CC"/>
    <w:rsid w:val="00ED0110"/>
    <w:rsid w:val="00EE0131"/>
    <w:rsid w:val="00EE17B0"/>
    <w:rsid w:val="00EF06D9"/>
    <w:rsid w:val="00EF7F56"/>
    <w:rsid w:val="00F010C4"/>
    <w:rsid w:val="00F02A0D"/>
    <w:rsid w:val="00F039F3"/>
    <w:rsid w:val="00F065D5"/>
    <w:rsid w:val="00F15662"/>
    <w:rsid w:val="00F30C64"/>
    <w:rsid w:val="00F32CDB"/>
    <w:rsid w:val="00F33992"/>
    <w:rsid w:val="00F40350"/>
    <w:rsid w:val="00F41681"/>
    <w:rsid w:val="00F565FE"/>
    <w:rsid w:val="00F6199E"/>
    <w:rsid w:val="00F62592"/>
    <w:rsid w:val="00F63A70"/>
    <w:rsid w:val="00F63B6E"/>
    <w:rsid w:val="00F65415"/>
    <w:rsid w:val="00F67EF8"/>
    <w:rsid w:val="00F74822"/>
    <w:rsid w:val="00F8069B"/>
    <w:rsid w:val="00FA21D0"/>
    <w:rsid w:val="00FA5F5F"/>
    <w:rsid w:val="00FB1C5E"/>
    <w:rsid w:val="00FB730C"/>
    <w:rsid w:val="00FC2695"/>
    <w:rsid w:val="00FC3C2B"/>
    <w:rsid w:val="00FC3E03"/>
    <w:rsid w:val="00FC3FC1"/>
    <w:rsid w:val="00FD16B8"/>
    <w:rsid w:val="00FD5F1B"/>
    <w:rsid w:val="00FD75D2"/>
    <w:rsid w:val="00FD7D83"/>
    <w:rsid w:val="00FE2CCE"/>
    <w:rsid w:val="00FE537C"/>
    <w:rsid w:val="00FF4834"/>
    <w:rsid w:val="00FF4AC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5642F7"/>
    <w:rPr>
      <w:color w:val="808080"/>
    </w:rPr>
  </w:style>
  <w:style w:type="character" w:styleId="Menzionenonrisolta">
    <w:name w:val="Unresolved Mention"/>
    <w:basedOn w:val="Carpredefinitoparagrafo"/>
    <w:uiPriority w:val="99"/>
    <w:semiHidden/>
    <w:unhideWhenUsed/>
    <w:rsid w:val="00D11AB8"/>
    <w:rPr>
      <w:color w:val="605E5C"/>
      <w:shd w:val="clear" w:color="auto" w:fill="E1DFDD"/>
    </w:rPr>
  </w:style>
  <w:style w:type="paragraph" w:styleId="Revisione">
    <w:name w:val="Revision"/>
    <w:hidden/>
    <w:uiPriority w:val="99"/>
    <w:semiHidden/>
    <w:rsid w:val="001B470D"/>
    <w:pPr>
      <w:spacing w:after="0" w:line="240" w:lineRule="auto"/>
    </w:pPr>
    <w:rPr>
      <w:rFonts w:ascii="Arial" w:eastAsia="Times New Roman" w:hAnsi="Arial" w:cs="Times New Roman"/>
      <w:sz w:val="18"/>
      <w:szCs w:val="20"/>
      <w:lang w:val="en-GB"/>
    </w:rPr>
  </w:style>
  <w:style w:type="paragraph" w:styleId="Paragrafoelenco">
    <w:name w:val="List Paragraph"/>
    <w:basedOn w:val="Normale"/>
    <w:uiPriority w:val="34"/>
    <w:rsid w:val="002E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11AA-7E38-4948-8F02-68CA4B56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3447</Words>
  <Characters>19649</Characters>
  <Application>Microsoft Office Word</Application>
  <DocSecurity>0</DocSecurity>
  <Lines>163</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2023-03-14T09:27:00Z</cp:lastPrinted>
  <dcterms:created xsi:type="dcterms:W3CDTF">2023-09-05T07:37:00Z</dcterms:created>
  <dcterms:modified xsi:type="dcterms:W3CDTF">2023-09-05T07:37:00Z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