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33411880"/>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 xml:space="preserve">Sabrina </w:t>
            </w:r>
            <w:proofErr w:type="spellStart"/>
            <w:r w:rsidR="00225738" w:rsidRPr="00225738">
              <w:rPr>
                <w:rFonts w:ascii="Tahoma" w:hAnsi="Tahoma" w:cs="Tahoma"/>
                <w:iCs/>
                <w:color w:val="333333"/>
                <w:sz w:val="14"/>
                <w:szCs w:val="14"/>
                <w:lang w:val="en-US" w:eastAsia="it-IT"/>
              </w:rPr>
              <w:t>Copelli</w:t>
            </w:r>
            <w:proofErr w:type="spellEnd"/>
            <w:r w:rsidR="00225738" w:rsidRPr="00225738">
              <w:rPr>
                <w:rFonts w:ascii="Tahoma" w:hAnsi="Tahoma" w:cs="Tahoma"/>
                <w:iCs/>
                <w:color w:val="333333"/>
                <w:sz w:val="14"/>
                <w:szCs w:val="14"/>
                <w:lang w:val="en-US" w:eastAsia="it-IT"/>
              </w:rPr>
              <w:t xml:space="preserve">, Richard </w:t>
            </w:r>
            <w:proofErr w:type="spellStart"/>
            <w:r w:rsidR="00225738" w:rsidRPr="00225738">
              <w:rPr>
                <w:rFonts w:ascii="Tahoma" w:hAnsi="Tahoma" w:cs="Tahoma"/>
                <w:iCs/>
                <w:color w:val="333333"/>
                <w:sz w:val="14"/>
                <w:szCs w:val="14"/>
                <w:lang w:val="en-US" w:eastAsia="it-IT"/>
              </w:rPr>
              <w:t>Siw</w:t>
            </w:r>
            <w:r w:rsidR="00225738">
              <w:rPr>
                <w:rFonts w:ascii="Tahoma" w:hAnsi="Tahoma" w:cs="Tahoma"/>
                <w:iCs/>
                <w:color w:val="333333"/>
                <w:sz w:val="14"/>
                <w:szCs w:val="14"/>
                <w:lang w:val="en-US" w:eastAsia="it-IT"/>
              </w:rPr>
              <w:t>ek</w:t>
            </w:r>
            <w:proofErr w:type="spellEnd"/>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7AC84168" w14:textId="5B5BF2E1" w:rsidR="00C53ECA" w:rsidRPr="00C53ECA" w:rsidRDefault="00C53ECA" w:rsidP="00C53ECA">
      <w:pPr>
        <w:pStyle w:val="CETTitle"/>
      </w:pPr>
      <w:r w:rsidRPr="00C53ECA">
        <w:t>ANALYSIS OF RISKS ASSOCIATED WITH HAZARDOUS MATERIALS TRANSPORTATION IN THE FRENCH CHEMICAL INDUSTRY</w:t>
      </w:r>
    </w:p>
    <w:p w14:paraId="2B3CA35C" w14:textId="25E49827" w:rsidR="00E978D0" w:rsidRPr="002F3400" w:rsidRDefault="00452B81" w:rsidP="00AB5011">
      <w:pPr>
        <w:pStyle w:val="CETAuthors"/>
        <w:rPr>
          <w:vertAlign w:val="superscript"/>
        </w:rPr>
      </w:pPr>
      <w:r>
        <w:t>Aissa Kerroum</w:t>
      </w:r>
      <w:r w:rsidR="00600535" w:rsidRPr="00B57B36">
        <w:rPr>
          <w:vertAlign w:val="superscript"/>
        </w:rPr>
        <w:t>a</w:t>
      </w:r>
      <w:r w:rsidR="00600535" w:rsidRPr="00B57B36">
        <w:t xml:space="preserve">, </w:t>
      </w:r>
      <w:r w:rsidR="00EF1AC1">
        <w:t>Dawry J</w:t>
      </w:r>
      <w:r w:rsidR="00600535" w:rsidRPr="00B57B36">
        <w:t xml:space="preserve">. </w:t>
      </w:r>
      <w:r w:rsidR="00EF1AC1">
        <w:t>Capellàn-Baista</w:t>
      </w:r>
      <w:r w:rsidR="00600535" w:rsidRPr="00B57B36">
        <w:rPr>
          <w:vertAlign w:val="superscript"/>
        </w:rPr>
        <w:t>b</w:t>
      </w:r>
      <w:r w:rsidR="00600535" w:rsidRPr="00B57B36">
        <w:t xml:space="preserve">, </w:t>
      </w:r>
      <w:r w:rsidR="00EF1AC1" w:rsidRPr="00EF1AC1">
        <w:rPr>
          <w:rFonts w:cs="Arial"/>
        </w:rPr>
        <w:t>Lionel</w:t>
      </w:r>
      <w:r w:rsidR="00EF1AC1">
        <w:rPr>
          <w:rFonts w:ascii="Times New Roman" w:hAnsi="Times New Roman"/>
          <w:i/>
          <w:spacing w:val="-6"/>
        </w:rPr>
        <w:t xml:space="preserve"> </w:t>
      </w:r>
      <w:r w:rsidR="00EF1AC1" w:rsidRPr="00EF1AC1">
        <w:rPr>
          <w:rFonts w:cs="Arial"/>
        </w:rPr>
        <w:t>Estel</w:t>
      </w:r>
      <w:r w:rsidR="00EF1AC1" w:rsidRPr="00EF1AC1">
        <w:rPr>
          <w:rFonts w:cs="Arial"/>
          <w:vertAlign w:val="superscript"/>
        </w:rPr>
        <w:t>a</w:t>
      </w:r>
      <w:r w:rsidR="00EF1AC1">
        <w:t xml:space="preserve">, </w:t>
      </w:r>
      <w:r w:rsidR="00EF1AC1" w:rsidRPr="00EF1AC1">
        <w:rPr>
          <w:rFonts w:cs="Arial"/>
        </w:rPr>
        <w:t>Lamiae</w:t>
      </w:r>
      <w:r w:rsidR="00EF1AC1">
        <w:rPr>
          <w:rFonts w:ascii="Times New Roman" w:hAnsi="Times New Roman"/>
          <w:i/>
          <w:spacing w:val="-4"/>
        </w:rPr>
        <w:t xml:space="preserve"> </w:t>
      </w:r>
      <w:r w:rsidR="00EF1AC1" w:rsidRPr="00EF1AC1">
        <w:rPr>
          <w:rFonts w:cs="Arial"/>
          <w:i/>
        </w:rPr>
        <w:t>Vernières</w:t>
      </w:r>
      <w:r w:rsidR="00EF1AC1">
        <w:rPr>
          <w:rFonts w:ascii="Times New Roman" w:hAnsi="Times New Roman"/>
          <w:i/>
        </w:rPr>
        <w:t>-</w:t>
      </w:r>
      <w:r w:rsidR="00EF1AC1" w:rsidRPr="00EF1AC1">
        <w:rPr>
          <w:rFonts w:cs="Arial"/>
          <w:i/>
        </w:rPr>
        <w:t>Hassimi</w:t>
      </w:r>
      <w:r w:rsidR="002F3400">
        <w:rPr>
          <w:rFonts w:cs="Arial"/>
          <w:vertAlign w:val="superscript"/>
        </w:rPr>
        <w:t>a</w:t>
      </w:r>
      <w:r w:rsidR="007412A2" w:rsidRPr="00B57B36">
        <w:rPr>
          <w:vertAlign w:val="superscript"/>
        </w:rPr>
        <w:t>,</w:t>
      </w:r>
      <w:r w:rsidR="007412A2" w:rsidRPr="00B57B36">
        <w:t>*</w:t>
      </w:r>
    </w:p>
    <w:p w14:paraId="5053C5A8" w14:textId="18AEB199" w:rsidR="00E978D0" w:rsidRPr="00B57B36" w:rsidRDefault="00E978D0" w:rsidP="00E978D0">
      <w:pPr>
        <w:pStyle w:val="CETAddress"/>
      </w:pPr>
      <w:r w:rsidRPr="00B57B36">
        <w:rPr>
          <w:vertAlign w:val="superscript"/>
        </w:rPr>
        <w:t>a</w:t>
      </w:r>
      <w:r w:rsidR="002F3400">
        <w:t>Normandie Univ, INSA Rouen, UNIROUEN, LSPC, EA4704, 76000 Rouen, France</w:t>
      </w:r>
    </w:p>
    <w:p w14:paraId="38D29194" w14:textId="7842593D" w:rsidR="00E978D0" w:rsidRPr="00B57B36" w:rsidRDefault="00E978D0" w:rsidP="00E978D0">
      <w:pPr>
        <w:pStyle w:val="CETAddress"/>
      </w:pPr>
      <w:r w:rsidRPr="00B57B36">
        <w:rPr>
          <w:vertAlign w:val="superscript"/>
        </w:rPr>
        <w:t>b</w:t>
      </w:r>
      <w:hyperlink r:id="rId10" w:history="1">
        <w:r w:rsidR="002F3400" w:rsidRPr="00504671">
          <w:t>Université de Rennes</w:t>
        </w:r>
      </w:hyperlink>
      <w:r w:rsidR="002F3400">
        <w:t xml:space="preserve">1 </w:t>
      </w:r>
      <w:r w:rsidR="002F3400" w:rsidRPr="00504671">
        <w:t>Rue du Thabor, 35000 Rennes</w:t>
      </w:r>
      <w:r w:rsidR="002F3400">
        <w:t>, France</w:t>
      </w:r>
    </w:p>
    <w:p w14:paraId="5D80B229" w14:textId="5CCB83DF" w:rsidR="007846AF" w:rsidRDefault="007412A2" w:rsidP="007846AF">
      <w:pPr>
        <w:pStyle w:val="CETemail"/>
        <w:rPr>
          <w:lang w:val="fr-FR"/>
        </w:rPr>
      </w:pPr>
      <w:r w:rsidRPr="00B57B36">
        <w:t>*</w:t>
      </w:r>
      <w:r>
        <w:t xml:space="preserve">lamiae.vernieres@insa-rouen.fr </w:t>
      </w:r>
    </w:p>
    <w:p w14:paraId="50A4108C" w14:textId="45B99B5F" w:rsidR="007846AF" w:rsidRPr="007846AF" w:rsidRDefault="007846AF" w:rsidP="007846AF">
      <w:pPr>
        <w:spacing w:line="240" w:lineRule="auto"/>
        <w:rPr>
          <w:rFonts w:cs="Arial"/>
          <w:szCs w:val="18"/>
        </w:rPr>
      </w:pPr>
      <w:r w:rsidRPr="007846AF">
        <w:rPr>
          <w:rFonts w:cs="Arial"/>
          <w:szCs w:val="18"/>
        </w:rPr>
        <w:t xml:space="preserve">This article focuses on the risks associated with </w:t>
      </w:r>
      <w:r>
        <w:rPr>
          <w:rFonts w:cs="Arial"/>
          <w:szCs w:val="18"/>
        </w:rPr>
        <w:t>H</w:t>
      </w:r>
      <w:r w:rsidRPr="007846AF">
        <w:rPr>
          <w:rFonts w:cs="Arial"/>
          <w:szCs w:val="18"/>
        </w:rPr>
        <w:t xml:space="preserve">azardous </w:t>
      </w:r>
      <w:r>
        <w:rPr>
          <w:rFonts w:cs="Arial"/>
          <w:szCs w:val="18"/>
        </w:rPr>
        <w:t>M</w:t>
      </w:r>
      <w:r w:rsidRPr="007846AF">
        <w:rPr>
          <w:rFonts w:cs="Arial"/>
          <w:szCs w:val="18"/>
        </w:rPr>
        <w:t xml:space="preserve">aterials </w:t>
      </w:r>
      <w:r>
        <w:rPr>
          <w:rFonts w:cs="Arial"/>
          <w:szCs w:val="18"/>
        </w:rPr>
        <w:t>T</w:t>
      </w:r>
      <w:r w:rsidRPr="007846AF">
        <w:rPr>
          <w:rFonts w:cs="Arial"/>
          <w:szCs w:val="18"/>
        </w:rPr>
        <w:t>ransportation (</w:t>
      </w:r>
      <w:proofErr w:type="spellStart"/>
      <w:r w:rsidRPr="007846AF">
        <w:rPr>
          <w:rFonts w:cs="Arial"/>
          <w:szCs w:val="18"/>
        </w:rPr>
        <w:t>HazMaT</w:t>
      </w:r>
      <w:proofErr w:type="spellEnd"/>
      <w:r w:rsidRPr="007846AF">
        <w:rPr>
          <w:rFonts w:cs="Arial"/>
          <w:szCs w:val="18"/>
        </w:rPr>
        <w:t xml:space="preserve">) events in the French chemical industry between 1981 and 2022. The study aims to analyze and assess the causes and consequences of past events using the ARIA database, which lists over 54,000 </w:t>
      </w:r>
      <w:r w:rsidR="00207F28">
        <w:rPr>
          <w:rFonts w:cs="Arial"/>
          <w:szCs w:val="18"/>
        </w:rPr>
        <w:t>events</w:t>
      </w:r>
      <w:r w:rsidRPr="007846AF">
        <w:rPr>
          <w:rFonts w:cs="Arial"/>
          <w:szCs w:val="18"/>
        </w:rPr>
        <w:t xml:space="preserve"> that have taken place in France and abroad. The severity of events is classified into five categories, from near misses to catastrophic events. The study highlights the importance of risk analysis/assessment and lessons learned from past events in managing natural and technological risks.</w:t>
      </w:r>
    </w:p>
    <w:p w14:paraId="476B2F2E" w14:textId="23B0139B" w:rsidR="00600535" w:rsidRDefault="00600535" w:rsidP="00600535">
      <w:pPr>
        <w:pStyle w:val="CETHeading1"/>
        <w:rPr>
          <w:lang w:val="en-GB"/>
        </w:rPr>
      </w:pPr>
      <w:r w:rsidRPr="00B57B36">
        <w:rPr>
          <w:lang w:val="en-GB"/>
        </w:rPr>
        <w:t>Introduction</w:t>
      </w:r>
    </w:p>
    <w:p w14:paraId="56ECE812" w14:textId="77777777" w:rsidR="005206CE" w:rsidRDefault="00F21B56" w:rsidP="00F21B56">
      <w:pPr>
        <w:spacing w:line="240" w:lineRule="auto"/>
        <w:rPr>
          <w:rFonts w:cs="Arial"/>
          <w:szCs w:val="18"/>
        </w:rPr>
      </w:pPr>
      <w:bookmarkStart w:id="1" w:name="_Hlk133400942"/>
      <w:r w:rsidRPr="00F21B56">
        <w:rPr>
          <w:rFonts w:cs="Arial"/>
          <w:szCs w:val="18"/>
        </w:rPr>
        <w:t>Chemical industries are subject to significant debate because of the human, environmental, and economic risks they may pose (</w:t>
      </w:r>
      <w:proofErr w:type="spellStart"/>
      <w:r w:rsidR="00EB5C52" w:rsidRPr="00F21B56">
        <w:rPr>
          <w:rFonts w:cs="Arial"/>
          <w:szCs w:val="18"/>
        </w:rPr>
        <w:t>Dakkoune</w:t>
      </w:r>
      <w:proofErr w:type="spellEnd"/>
      <w:r w:rsidR="00EB5C52" w:rsidRPr="00F21B56">
        <w:rPr>
          <w:rFonts w:cs="Arial"/>
          <w:szCs w:val="18"/>
        </w:rPr>
        <w:t xml:space="preserve"> et al., 2018</w:t>
      </w:r>
      <w:r w:rsidR="00FE1BCA">
        <w:rPr>
          <w:rFonts w:cs="Arial"/>
          <w:szCs w:val="18"/>
        </w:rPr>
        <w:t>a</w:t>
      </w:r>
      <w:r w:rsidRPr="00F21B56">
        <w:rPr>
          <w:rFonts w:cs="Arial"/>
          <w:szCs w:val="18"/>
        </w:rPr>
        <w:t>).</w:t>
      </w:r>
      <w:r w:rsidR="000437BA">
        <w:rPr>
          <w:rFonts w:cs="Arial"/>
          <w:szCs w:val="18"/>
        </w:rPr>
        <w:t xml:space="preserve"> </w:t>
      </w:r>
      <w:r w:rsidRPr="00F21B56">
        <w:rPr>
          <w:rFonts w:cs="Arial"/>
          <w:szCs w:val="18"/>
        </w:rPr>
        <w:t xml:space="preserve">Due to the severity of the consequences of these events, regulatory authorities have developed regulations to mitigate the adverse effects of industrial </w:t>
      </w:r>
      <w:r w:rsidR="00C2017E" w:rsidRPr="00F21B56">
        <w:rPr>
          <w:rFonts w:cs="Arial"/>
          <w:szCs w:val="18"/>
        </w:rPr>
        <w:t>accidents.</w:t>
      </w:r>
      <w:r w:rsidR="00354B5C">
        <w:rPr>
          <w:rFonts w:cs="Arial"/>
          <w:szCs w:val="18"/>
        </w:rPr>
        <w:t xml:space="preserve"> </w:t>
      </w:r>
    </w:p>
    <w:p w14:paraId="1E35797A" w14:textId="77777777" w:rsidR="00521600" w:rsidRDefault="00C2017E" w:rsidP="00F21B56">
      <w:pPr>
        <w:spacing w:line="240" w:lineRule="auto"/>
        <w:rPr>
          <w:rFonts w:cs="Arial"/>
          <w:szCs w:val="18"/>
        </w:rPr>
      </w:pPr>
      <w:r>
        <w:rPr>
          <w:rFonts w:cs="Arial"/>
          <w:szCs w:val="18"/>
        </w:rPr>
        <w:t>T</w:t>
      </w:r>
      <w:r w:rsidRPr="00354B5C">
        <w:rPr>
          <w:rFonts w:cs="Arial"/>
          <w:szCs w:val="18"/>
        </w:rPr>
        <w:t>he</w:t>
      </w:r>
      <w:r w:rsidR="00013164" w:rsidRPr="00354B5C">
        <w:rPr>
          <w:rFonts w:cs="Arial"/>
          <w:szCs w:val="18"/>
        </w:rPr>
        <w:t xml:space="preserve"> Seveso directive stands as the most widely recognized European directive addressing risks related to industrial installations. However, regulations can differ across EU member states. In France, for example, the Environmental Code (</w:t>
      </w:r>
      <w:proofErr w:type="spellStart"/>
      <w:r w:rsidR="00013164" w:rsidRPr="00354B5C">
        <w:rPr>
          <w:rFonts w:cs="Arial"/>
          <w:szCs w:val="18"/>
        </w:rPr>
        <w:t>Légifrance</w:t>
      </w:r>
      <w:proofErr w:type="spellEnd"/>
      <w:r w:rsidR="00013164" w:rsidRPr="00354B5C">
        <w:rPr>
          <w:rFonts w:cs="Arial"/>
          <w:szCs w:val="18"/>
        </w:rPr>
        <w:t>, 2022) which is a law that defines the obligations to be followed when reporting an industrial accident.</w:t>
      </w:r>
      <w:r w:rsidR="000437BA">
        <w:rPr>
          <w:rFonts w:cs="Arial"/>
          <w:szCs w:val="18"/>
        </w:rPr>
        <w:t xml:space="preserve"> </w:t>
      </w:r>
    </w:p>
    <w:p w14:paraId="07617AE6" w14:textId="77777777" w:rsidR="00521600" w:rsidRDefault="00F21B56" w:rsidP="00F21B56">
      <w:pPr>
        <w:spacing w:line="240" w:lineRule="auto"/>
        <w:rPr>
          <w:rFonts w:cs="Arial"/>
          <w:szCs w:val="18"/>
        </w:rPr>
      </w:pPr>
      <w:r w:rsidRPr="00F21B56">
        <w:rPr>
          <w:rFonts w:cs="Arial"/>
          <w:szCs w:val="18"/>
        </w:rPr>
        <w:t>Moreove</w:t>
      </w:r>
      <w:r w:rsidRPr="000437BA">
        <w:rPr>
          <w:rFonts w:cs="Arial"/>
          <w:szCs w:val="18"/>
        </w:rPr>
        <w:t>r</w:t>
      </w:r>
      <w:r w:rsidR="000437BA" w:rsidRPr="000437BA">
        <w:rPr>
          <w:rFonts w:cs="Arial"/>
          <w:szCs w:val="18"/>
        </w:rPr>
        <w:t>,</w:t>
      </w:r>
      <w:r w:rsidR="000437BA" w:rsidRPr="00354B5C">
        <w:rPr>
          <w:rFonts w:cs="Arial"/>
          <w:szCs w:val="18"/>
        </w:rPr>
        <w:t xml:space="preserve"> t</w:t>
      </w:r>
      <w:r w:rsidR="003B0C4A" w:rsidRPr="00354B5C">
        <w:rPr>
          <w:rFonts w:cs="Arial"/>
          <w:szCs w:val="18"/>
        </w:rPr>
        <w:t>he academic community has also shown interest in these concerns regarding industrial risk.</w:t>
      </w:r>
      <w:r w:rsidR="000437BA">
        <w:rPr>
          <w:rFonts w:cs="Arial"/>
          <w:szCs w:val="18"/>
        </w:rPr>
        <w:t xml:space="preserve"> </w:t>
      </w:r>
      <w:r w:rsidRPr="00F21B56">
        <w:rPr>
          <w:rFonts w:cs="Arial"/>
          <w:szCs w:val="18"/>
        </w:rPr>
        <w:t xml:space="preserve">Among the methodologies </w:t>
      </w:r>
      <w:r w:rsidR="00C045D1" w:rsidRPr="00F21B56">
        <w:rPr>
          <w:rFonts w:cs="Arial"/>
          <w:szCs w:val="18"/>
        </w:rPr>
        <w:t>developed:</w:t>
      </w:r>
      <w:r w:rsidRPr="00F21B56">
        <w:rPr>
          <w:rFonts w:cs="Arial"/>
          <w:szCs w:val="18"/>
        </w:rPr>
        <w:t xml:space="preserve"> risk analysis/assessment (Khan and Abbasi</w:t>
      </w:r>
      <w:r>
        <w:rPr>
          <w:rFonts w:cs="Arial"/>
          <w:szCs w:val="18"/>
        </w:rPr>
        <w:t>.</w:t>
      </w:r>
      <w:r w:rsidRPr="00F21B56">
        <w:rPr>
          <w:rFonts w:cs="Arial"/>
          <w:szCs w:val="18"/>
        </w:rPr>
        <w:t xml:space="preserve">, 1998) and lessons </w:t>
      </w:r>
      <w:r w:rsidR="001373C4" w:rsidRPr="00F21B56">
        <w:rPr>
          <w:rFonts w:cs="Arial"/>
          <w:szCs w:val="18"/>
        </w:rPr>
        <w:t>learned from</w:t>
      </w:r>
      <w:r w:rsidRPr="00F21B56">
        <w:rPr>
          <w:rFonts w:cs="Arial"/>
          <w:szCs w:val="18"/>
        </w:rPr>
        <w:t xml:space="preserve"> past events (Elliott et al., 2003, </w:t>
      </w:r>
      <w:proofErr w:type="spellStart"/>
      <w:r w:rsidRPr="00F21B56">
        <w:rPr>
          <w:rFonts w:cs="Arial"/>
          <w:szCs w:val="18"/>
        </w:rPr>
        <w:t>Dakkoune</w:t>
      </w:r>
      <w:proofErr w:type="spellEnd"/>
      <w:r w:rsidRPr="00F21B56">
        <w:rPr>
          <w:rFonts w:cs="Arial"/>
          <w:szCs w:val="18"/>
        </w:rPr>
        <w:t xml:space="preserve"> et al., 2018</w:t>
      </w:r>
      <w:r w:rsidR="00FE1BCA">
        <w:rPr>
          <w:rFonts w:cs="Arial"/>
          <w:szCs w:val="18"/>
        </w:rPr>
        <w:t>b</w:t>
      </w:r>
      <w:r w:rsidRPr="00F21B56">
        <w:rPr>
          <w:rFonts w:cs="Arial"/>
          <w:szCs w:val="18"/>
        </w:rPr>
        <w:t>) have been prominent. Numerous studies have focused on the lessons learned approach regarding the Hazardous Materials Transportation (</w:t>
      </w:r>
      <w:proofErr w:type="spellStart"/>
      <w:r w:rsidR="00AC0A63">
        <w:rPr>
          <w:rFonts w:cs="Arial"/>
          <w:szCs w:val="18"/>
        </w:rPr>
        <w:t>HazMaT</w:t>
      </w:r>
      <w:proofErr w:type="spellEnd"/>
      <w:r w:rsidRPr="00F21B56">
        <w:rPr>
          <w:rFonts w:cs="Arial"/>
          <w:szCs w:val="18"/>
        </w:rPr>
        <w:t>), drawing on scientific articles (</w:t>
      </w:r>
      <w:proofErr w:type="spellStart"/>
      <w:r w:rsidRPr="00F21B56">
        <w:rPr>
          <w:rFonts w:cs="Arial"/>
          <w:szCs w:val="18"/>
        </w:rPr>
        <w:t>Ekut</w:t>
      </w:r>
      <w:proofErr w:type="spellEnd"/>
      <w:r w:rsidRPr="00F21B56">
        <w:rPr>
          <w:rFonts w:cs="Arial"/>
          <w:szCs w:val="18"/>
        </w:rPr>
        <w:t xml:space="preserve"> et al., 2007; </w:t>
      </w:r>
      <w:proofErr w:type="spellStart"/>
      <w:r w:rsidRPr="00F21B56">
        <w:rPr>
          <w:rFonts w:cs="Arial"/>
          <w:szCs w:val="18"/>
        </w:rPr>
        <w:t>Dita</w:t>
      </w:r>
      <w:proofErr w:type="spellEnd"/>
      <w:r w:rsidRPr="00F21B56">
        <w:rPr>
          <w:rFonts w:cs="Arial"/>
          <w:szCs w:val="18"/>
        </w:rPr>
        <w:t xml:space="preserve"> et al., 2016).</w:t>
      </w:r>
      <w:r w:rsidR="000437BA">
        <w:rPr>
          <w:rFonts w:cs="Arial"/>
          <w:szCs w:val="18"/>
        </w:rPr>
        <w:t xml:space="preserve"> </w:t>
      </w:r>
    </w:p>
    <w:p w14:paraId="4395146F" w14:textId="77777777" w:rsidR="00521600" w:rsidRDefault="00F21B56" w:rsidP="00F21B56">
      <w:pPr>
        <w:spacing w:line="240" w:lineRule="auto"/>
        <w:rPr>
          <w:rFonts w:cs="Arial"/>
          <w:szCs w:val="18"/>
        </w:rPr>
      </w:pPr>
      <w:r w:rsidRPr="00F21B56">
        <w:rPr>
          <w:rFonts w:cs="Arial"/>
          <w:szCs w:val="18"/>
        </w:rPr>
        <w:t xml:space="preserve">Despite several scientific studies having been conducted, </w:t>
      </w:r>
      <w:r w:rsidR="00C045D1">
        <w:rPr>
          <w:rFonts w:cs="Arial"/>
          <w:szCs w:val="18"/>
        </w:rPr>
        <w:t>no</w:t>
      </w:r>
      <w:r w:rsidRPr="00F21B56">
        <w:rPr>
          <w:rFonts w:cs="Arial"/>
          <w:szCs w:val="18"/>
        </w:rPr>
        <w:t xml:space="preserve"> study </w:t>
      </w:r>
      <w:r>
        <w:rPr>
          <w:rFonts w:cs="Arial"/>
          <w:szCs w:val="18"/>
        </w:rPr>
        <w:t xml:space="preserve">has been found </w:t>
      </w:r>
      <w:r w:rsidRPr="00F21B56">
        <w:rPr>
          <w:rFonts w:cs="Arial"/>
          <w:szCs w:val="18"/>
        </w:rPr>
        <w:t xml:space="preserve">that specifically focuses on </w:t>
      </w:r>
      <w:proofErr w:type="spellStart"/>
      <w:r w:rsidRPr="00F21B56">
        <w:rPr>
          <w:rFonts w:cs="Arial"/>
          <w:szCs w:val="18"/>
        </w:rPr>
        <w:t>analyzing</w:t>
      </w:r>
      <w:proofErr w:type="spellEnd"/>
      <w:r w:rsidRPr="00F21B56">
        <w:rPr>
          <w:rFonts w:cs="Arial"/>
          <w:szCs w:val="18"/>
        </w:rPr>
        <w:t xml:space="preserve"> and assessing the risks associated with past </w:t>
      </w:r>
      <w:proofErr w:type="spellStart"/>
      <w:r w:rsidR="006C6C5F">
        <w:rPr>
          <w:rFonts w:cs="Arial"/>
          <w:szCs w:val="18"/>
        </w:rPr>
        <w:t>HazMaT</w:t>
      </w:r>
      <w:proofErr w:type="spellEnd"/>
      <w:r w:rsidR="006C6C5F" w:rsidRPr="00F21B56">
        <w:rPr>
          <w:rFonts w:cs="Arial"/>
          <w:szCs w:val="18"/>
        </w:rPr>
        <w:t xml:space="preserve"> </w:t>
      </w:r>
      <w:r w:rsidR="006C6C5F">
        <w:rPr>
          <w:rFonts w:cs="Arial"/>
          <w:szCs w:val="18"/>
        </w:rPr>
        <w:t xml:space="preserve">events </w:t>
      </w:r>
      <w:r w:rsidR="00961339" w:rsidRPr="00354B5C">
        <w:rPr>
          <w:rFonts w:cs="Arial"/>
          <w:szCs w:val="18"/>
        </w:rPr>
        <w:t>in relation with the</w:t>
      </w:r>
      <w:r w:rsidR="000437BA">
        <w:rPr>
          <w:rFonts w:cs="Arial"/>
          <w:szCs w:val="18"/>
        </w:rPr>
        <w:t xml:space="preserve"> </w:t>
      </w:r>
      <w:r w:rsidR="00961339" w:rsidRPr="00354B5C">
        <w:rPr>
          <w:rFonts w:cs="Arial"/>
          <w:szCs w:val="18"/>
        </w:rPr>
        <w:t xml:space="preserve">number of chemical establishments </w:t>
      </w:r>
      <w:r w:rsidRPr="00354B5C">
        <w:rPr>
          <w:rFonts w:cs="Arial"/>
          <w:szCs w:val="18"/>
        </w:rPr>
        <w:t>in France</w:t>
      </w:r>
      <w:r w:rsidRPr="00F21B56">
        <w:rPr>
          <w:rFonts w:cs="Arial"/>
          <w:szCs w:val="18"/>
        </w:rPr>
        <w:t>. The importance of the French chemical industry to its economy cannot be overstated. It currently ranks sixth globally in terms of chemical production and was the second-largest producer in Europe in 2021 (</w:t>
      </w:r>
      <w:proofErr w:type="spellStart"/>
      <w:r w:rsidRPr="00F21B56">
        <w:rPr>
          <w:rFonts w:cs="Arial"/>
          <w:szCs w:val="18"/>
        </w:rPr>
        <w:t>FranceChimie</w:t>
      </w:r>
      <w:proofErr w:type="spellEnd"/>
      <w:r w:rsidRPr="00F21B56">
        <w:rPr>
          <w:rFonts w:cs="Arial"/>
          <w:szCs w:val="18"/>
        </w:rPr>
        <w:t>, 2023).</w:t>
      </w:r>
      <w:r w:rsidR="000437BA">
        <w:rPr>
          <w:rFonts w:cs="Arial"/>
          <w:szCs w:val="18"/>
        </w:rPr>
        <w:t xml:space="preserve"> </w:t>
      </w:r>
      <w:r w:rsidR="00C045D1" w:rsidRPr="00C045D1">
        <w:rPr>
          <w:rFonts w:cs="Arial"/>
          <w:szCs w:val="18"/>
        </w:rPr>
        <w:t xml:space="preserve">This study aims to </w:t>
      </w:r>
      <w:proofErr w:type="spellStart"/>
      <w:r w:rsidR="00C045D1" w:rsidRPr="00C045D1">
        <w:rPr>
          <w:rFonts w:cs="Arial"/>
          <w:szCs w:val="18"/>
        </w:rPr>
        <w:t>analyze</w:t>
      </w:r>
      <w:proofErr w:type="spellEnd"/>
      <w:r w:rsidR="00C045D1" w:rsidRPr="00C045D1">
        <w:rPr>
          <w:rFonts w:cs="Arial"/>
          <w:szCs w:val="18"/>
        </w:rPr>
        <w:t xml:space="preserve"> and assess the risks associated with Hazardous Materials Transportation (</w:t>
      </w:r>
      <w:proofErr w:type="spellStart"/>
      <w:r w:rsidR="00AC0A63">
        <w:rPr>
          <w:rFonts w:cs="Arial"/>
          <w:szCs w:val="18"/>
        </w:rPr>
        <w:t>HazMaT</w:t>
      </w:r>
      <w:proofErr w:type="spellEnd"/>
      <w:r w:rsidR="00C045D1" w:rsidRPr="00C045D1">
        <w:rPr>
          <w:rFonts w:cs="Arial"/>
          <w:szCs w:val="18"/>
        </w:rPr>
        <w:t xml:space="preserve">) events in France. </w:t>
      </w:r>
    </w:p>
    <w:p w14:paraId="6747CE90" w14:textId="41B4790F" w:rsidR="00C045D1" w:rsidRPr="00F21B56" w:rsidRDefault="00C045D1" w:rsidP="00F21B56">
      <w:pPr>
        <w:spacing w:line="240" w:lineRule="auto"/>
        <w:rPr>
          <w:rFonts w:cs="Arial"/>
          <w:szCs w:val="18"/>
        </w:rPr>
      </w:pPr>
      <w:r w:rsidRPr="00C045D1">
        <w:rPr>
          <w:rFonts w:cs="Arial"/>
          <w:szCs w:val="18"/>
        </w:rPr>
        <w:t>To achieve this, a comprehensive analysis and evaluation of the causes and consequences of events that took place in the French chemical industry between 1981 and 2022 was conducted, using data from the ARIA database.</w:t>
      </w:r>
    </w:p>
    <w:bookmarkEnd w:id="1"/>
    <w:p w14:paraId="22CBEE79" w14:textId="256A3EA9" w:rsidR="00C045D1" w:rsidRDefault="00C045D1" w:rsidP="00C045D1">
      <w:pPr>
        <w:pStyle w:val="CETHeading1"/>
        <w:rPr>
          <w:lang w:val="en-GB"/>
        </w:rPr>
      </w:pPr>
      <w:r w:rsidRPr="00C045D1">
        <w:rPr>
          <w:lang w:val="en-GB"/>
        </w:rPr>
        <w:t>Methodology</w:t>
      </w:r>
    </w:p>
    <w:p w14:paraId="3066496D" w14:textId="5F575AED" w:rsidR="00C045D1" w:rsidRPr="00B57B36" w:rsidRDefault="00C045D1" w:rsidP="00C045D1">
      <w:pPr>
        <w:pStyle w:val="CETheadingx"/>
      </w:pPr>
      <w:r w:rsidRPr="00A27370">
        <w:t>Description of ARIA database</w:t>
      </w:r>
    </w:p>
    <w:p w14:paraId="639782E2" w14:textId="3F86BD95" w:rsidR="000437BA" w:rsidRDefault="00C045D1" w:rsidP="00C045D1">
      <w:pPr>
        <w:pStyle w:val="CETBodytext"/>
        <w:rPr>
          <w:lang w:val="en-GB"/>
        </w:rPr>
      </w:pPr>
      <w:r w:rsidRPr="00C045D1">
        <w:rPr>
          <w:lang w:val="en-GB"/>
        </w:rPr>
        <w:t>The ARIA database has been used in many scientific studies, showing its relevance and usefulness in the field of chemical safety (</w:t>
      </w:r>
      <w:proofErr w:type="spellStart"/>
      <w:r w:rsidRPr="00C045D1">
        <w:rPr>
          <w:lang w:val="en-GB"/>
        </w:rPr>
        <w:t>Dakkoune</w:t>
      </w:r>
      <w:proofErr w:type="spellEnd"/>
      <w:r w:rsidRPr="00C045D1">
        <w:rPr>
          <w:lang w:val="en-GB"/>
        </w:rPr>
        <w:t xml:space="preserve"> et al., 2018</w:t>
      </w:r>
      <w:r w:rsidR="00FE1BCA">
        <w:rPr>
          <w:lang w:val="en-GB"/>
        </w:rPr>
        <w:t>b</w:t>
      </w:r>
      <w:r w:rsidRPr="00C045D1">
        <w:rPr>
          <w:lang w:val="en-GB"/>
        </w:rPr>
        <w:t xml:space="preserve">; </w:t>
      </w:r>
      <w:proofErr w:type="spellStart"/>
      <w:r w:rsidRPr="00C045D1">
        <w:rPr>
          <w:lang w:val="en-GB"/>
        </w:rPr>
        <w:t>Casson</w:t>
      </w:r>
      <w:proofErr w:type="spellEnd"/>
      <w:r w:rsidRPr="00C045D1">
        <w:rPr>
          <w:lang w:val="en-GB"/>
        </w:rPr>
        <w:t xml:space="preserve"> Moreno and </w:t>
      </w:r>
      <w:proofErr w:type="spellStart"/>
      <w:r w:rsidRPr="00C045D1">
        <w:rPr>
          <w:lang w:val="en-GB"/>
        </w:rPr>
        <w:t>Cozzani</w:t>
      </w:r>
      <w:proofErr w:type="spellEnd"/>
      <w:r>
        <w:rPr>
          <w:lang w:val="en-GB"/>
        </w:rPr>
        <w:t>.,</w:t>
      </w:r>
      <w:r w:rsidRPr="00C045D1">
        <w:rPr>
          <w:lang w:val="en-GB"/>
        </w:rPr>
        <w:t xml:space="preserve"> 2015</w:t>
      </w:r>
      <w:r w:rsidR="00316251">
        <w:rPr>
          <w:lang w:val="en-GB"/>
        </w:rPr>
        <w:t>)</w:t>
      </w:r>
      <w:r w:rsidR="0069631F">
        <w:rPr>
          <w:lang w:val="en-GB"/>
        </w:rPr>
        <w:t>.</w:t>
      </w:r>
      <w:r w:rsidR="000437BA">
        <w:rPr>
          <w:lang w:val="en-GB"/>
        </w:rPr>
        <w:t xml:space="preserve"> </w:t>
      </w:r>
      <w:r w:rsidRPr="00C045D1">
        <w:rPr>
          <w:lang w:val="en-GB"/>
        </w:rPr>
        <w:t xml:space="preserve">The ARIA database records </w:t>
      </w:r>
      <w:r w:rsidRPr="00C045D1">
        <w:rPr>
          <w:lang w:val="en-GB"/>
        </w:rPr>
        <w:lastRenderedPageBreak/>
        <w:t xml:space="preserve">events that have caused or have the potential to cause harm to public health, safety, or the environment. These events are mainly related to industrial activities that fall under the legislation on classified facilities. </w:t>
      </w:r>
    </w:p>
    <w:p w14:paraId="1068961B" w14:textId="3CFA262E" w:rsidR="00C045D1" w:rsidRDefault="00C045D1" w:rsidP="00C045D1">
      <w:pPr>
        <w:pStyle w:val="CETBodytext"/>
        <w:rPr>
          <w:lang w:val="en-GB"/>
        </w:rPr>
      </w:pPr>
      <w:r w:rsidRPr="00C045D1">
        <w:rPr>
          <w:lang w:val="en-GB"/>
        </w:rPr>
        <w:t xml:space="preserve">The database lists over 54,000 </w:t>
      </w:r>
      <w:r w:rsidR="006C6C5F">
        <w:rPr>
          <w:lang w:val="en-GB"/>
        </w:rPr>
        <w:t>events</w:t>
      </w:r>
      <w:r w:rsidRPr="00C045D1">
        <w:rPr>
          <w:lang w:val="en-GB"/>
        </w:rPr>
        <w:t xml:space="preserve"> that have taken place in France and abroad, which amounts to roughly 1,900 new events each year as of now.</w:t>
      </w:r>
    </w:p>
    <w:p w14:paraId="15286228" w14:textId="216F1613" w:rsidR="00C045D1" w:rsidRPr="00B57B36" w:rsidRDefault="00C045D1" w:rsidP="00C045D1">
      <w:pPr>
        <w:pStyle w:val="CETheadingx"/>
      </w:pPr>
      <w:r w:rsidRPr="00A27370">
        <w:t>Data Selection</w:t>
      </w:r>
    </w:p>
    <w:p w14:paraId="69EE15BD" w14:textId="77777777" w:rsidR="00C045D1" w:rsidRPr="00C045D1" w:rsidRDefault="00C045D1" w:rsidP="00C045D1">
      <w:pPr>
        <w:pStyle w:val="CETBodytext"/>
        <w:rPr>
          <w:lang w:val="en-GB"/>
        </w:rPr>
      </w:pPr>
      <w:r w:rsidRPr="00C045D1">
        <w:rPr>
          <w:lang w:val="en-GB"/>
        </w:rPr>
        <w:t xml:space="preserve">To </w:t>
      </w:r>
      <w:proofErr w:type="spellStart"/>
      <w:r w:rsidRPr="00C045D1">
        <w:rPr>
          <w:lang w:val="en-GB"/>
        </w:rPr>
        <w:t>analyze</w:t>
      </w:r>
      <w:proofErr w:type="spellEnd"/>
      <w:r w:rsidRPr="00C045D1">
        <w:rPr>
          <w:lang w:val="en-GB"/>
        </w:rPr>
        <w:t xml:space="preserve"> information contained in the ARIA database, the official website provides "Advanced Search" and "Simple Search" tools. The "Advanced Search" tool categorizes filters into two groups of criteria: "General Criteria" and "Event-specific Criteria". By combining these criteria, information within the platform can be segmented and refined for a more comprehensive analysis of the data published in the database. On the other hand, the "Simple Search" tool is a quick filtering option for information, using keywords to obtain reports of events where the word appears.</w:t>
      </w:r>
    </w:p>
    <w:p w14:paraId="3505B1D3" w14:textId="6287777B" w:rsidR="00DE3713" w:rsidRPr="00B57B36" w:rsidRDefault="00DE3713" w:rsidP="00DE3713">
      <w:pPr>
        <w:pStyle w:val="CETheadingx"/>
      </w:pPr>
      <w:r>
        <w:t>Trends of events</w:t>
      </w:r>
    </w:p>
    <w:p w14:paraId="4099A36E" w14:textId="1AA33877" w:rsidR="00DE3713" w:rsidRPr="00C045D1" w:rsidRDefault="00DE3713" w:rsidP="00C045D1">
      <w:pPr>
        <w:pStyle w:val="CETBodytext"/>
        <w:rPr>
          <w:lang w:val="en-GB"/>
        </w:rPr>
      </w:pPr>
      <w:r w:rsidRPr="00DE3713">
        <w:rPr>
          <w:lang w:val="en-GB"/>
        </w:rPr>
        <w:t>Between 1981 and 2022, the ARIA database has recorded a total of 55,932 events worldwide, with 49,209 occurring in France</w:t>
      </w:r>
      <w:r w:rsidR="00047E05">
        <w:rPr>
          <w:lang w:val="en-GB"/>
        </w:rPr>
        <w:t>, o</w:t>
      </w:r>
      <w:r w:rsidRPr="00DE3713">
        <w:rPr>
          <w:lang w:val="en-GB"/>
        </w:rPr>
        <w:t>ut of the 49,209 events that occurred in French chemical facilities, 180 were linked to the (</w:t>
      </w:r>
      <w:proofErr w:type="spellStart"/>
      <w:r w:rsidR="00AC0A63">
        <w:rPr>
          <w:lang w:val="en-GB"/>
        </w:rPr>
        <w:t>HazMaT</w:t>
      </w:r>
      <w:proofErr w:type="spellEnd"/>
      <w:r w:rsidRPr="00DE3713">
        <w:rPr>
          <w:lang w:val="en-GB"/>
        </w:rPr>
        <w:t>)</w:t>
      </w:r>
      <w:r>
        <w:rPr>
          <w:lang w:val="en-GB"/>
        </w:rPr>
        <w:t>.</w:t>
      </w:r>
    </w:p>
    <w:p w14:paraId="7235ACB7" w14:textId="312F5687" w:rsidR="00DE3713" w:rsidRDefault="00DE3713" w:rsidP="00DE3713">
      <w:pPr>
        <w:pStyle w:val="CETheadingx"/>
      </w:pPr>
      <w:r>
        <w:t>Definitions</w:t>
      </w:r>
    </w:p>
    <w:p w14:paraId="755AD67D" w14:textId="2F23D997" w:rsidR="00DE3713" w:rsidRPr="00DE3713" w:rsidRDefault="00DE3713" w:rsidP="00DE3713">
      <w:pPr>
        <w:pStyle w:val="CETBodytext"/>
        <w:rPr>
          <w:lang w:val="en-GB"/>
        </w:rPr>
      </w:pPr>
      <w:r w:rsidRPr="00DE3713">
        <w:rPr>
          <w:lang w:val="en-GB"/>
        </w:rPr>
        <w:t>The severity of events can be classified into five categories based on the definition proposed by (</w:t>
      </w:r>
      <w:proofErr w:type="spellStart"/>
      <w:r w:rsidRPr="00DE3713">
        <w:rPr>
          <w:lang w:val="en-GB"/>
        </w:rPr>
        <w:t>Rathnayaka</w:t>
      </w:r>
      <w:proofErr w:type="spellEnd"/>
      <w:r w:rsidRPr="00DE3713">
        <w:rPr>
          <w:lang w:val="en-GB"/>
        </w:rPr>
        <w:t xml:space="preserve"> et al.</w:t>
      </w:r>
      <w:r>
        <w:rPr>
          <w:lang w:val="en-GB"/>
        </w:rPr>
        <w:t>,</w:t>
      </w:r>
      <w:r w:rsidRPr="00DE3713">
        <w:rPr>
          <w:lang w:val="en-GB"/>
        </w:rPr>
        <w:t xml:space="preserve"> 2011), which was later adopted by (</w:t>
      </w:r>
      <w:proofErr w:type="spellStart"/>
      <w:r w:rsidRPr="00DE3713">
        <w:rPr>
          <w:lang w:val="en-GB"/>
        </w:rPr>
        <w:t>Dakkoune</w:t>
      </w:r>
      <w:proofErr w:type="spellEnd"/>
      <w:r w:rsidRPr="00DE3713">
        <w:rPr>
          <w:lang w:val="en-GB"/>
        </w:rPr>
        <w:t xml:space="preserve"> et al.</w:t>
      </w:r>
      <w:r>
        <w:rPr>
          <w:lang w:val="en-GB"/>
        </w:rPr>
        <w:t>,</w:t>
      </w:r>
      <w:r w:rsidRPr="00DE3713">
        <w:rPr>
          <w:lang w:val="en-GB"/>
        </w:rPr>
        <w:t xml:space="preserve"> 2018</w:t>
      </w:r>
      <w:r w:rsidR="00FE1BCA">
        <w:rPr>
          <w:lang w:val="en-GB"/>
        </w:rPr>
        <w:t>b</w:t>
      </w:r>
      <w:r w:rsidRPr="00DE3713">
        <w:rPr>
          <w:lang w:val="en-GB"/>
        </w:rPr>
        <w:t>). However, in this study, the criteria used to classify events into each category were refined by specifying the number of serious injuries and fatalities in each category according to (Mannan</w:t>
      </w:r>
      <w:r>
        <w:rPr>
          <w:lang w:val="en-GB"/>
        </w:rPr>
        <w:t xml:space="preserve">., </w:t>
      </w:r>
      <w:r w:rsidRPr="00DE3713">
        <w:rPr>
          <w:lang w:val="en-GB"/>
        </w:rPr>
        <w:t>2005).</w:t>
      </w:r>
    </w:p>
    <w:p w14:paraId="4CBFB2BB" w14:textId="36446FCA" w:rsidR="00DE3713" w:rsidRDefault="00DE3713" w:rsidP="00FC1A57">
      <w:pPr>
        <w:pStyle w:val="CETBodytext"/>
        <w:rPr>
          <w:lang w:val="en-GB"/>
        </w:rPr>
      </w:pPr>
      <w:r w:rsidRPr="00DE3713">
        <w:rPr>
          <w:lang w:val="en-GB"/>
        </w:rPr>
        <w:t>This severity classification is essential because it allows events to be grouped according to their severity, from the most severe to the least severe. Table 1 presents the five different severity categories (C1 to C5) that are ranked in ascending order, so that an event's severity increases as one moves down the first column. Each category is directly linked to five types of consequences: human, environmental, production, property, and business reputation. These types of consequences are placed in the appropriate severity category.</w:t>
      </w:r>
    </w:p>
    <w:p w14:paraId="06F7E96A" w14:textId="1D55E7C5" w:rsidR="00FC1A57" w:rsidRDefault="00FC1A57" w:rsidP="00FC1A57">
      <w:pPr>
        <w:pStyle w:val="CETTabletitle"/>
      </w:pPr>
      <w:r>
        <w:t xml:space="preserve">Table </w:t>
      </w:r>
      <w:r>
        <w:fldChar w:fldCharType="begin"/>
      </w:r>
      <w:r>
        <w:instrText xml:space="preserve"> SEQ Tableau \* ARABIC </w:instrText>
      </w:r>
      <w:r>
        <w:fldChar w:fldCharType="separate"/>
      </w:r>
      <w:r w:rsidR="00207F28">
        <w:rPr>
          <w:noProof/>
        </w:rPr>
        <w:t>1</w:t>
      </w:r>
      <w:r>
        <w:fldChar w:fldCharType="end"/>
      </w:r>
      <w:r>
        <w:t>:</w:t>
      </w:r>
      <w:r w:rsidRPr="00C81F8F">
        <w:t>Consequence class for each event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559"/>
        <w:gridCol w:w="1418"/>
        <w:gridCol w:w="1984"/>
        <w:gridCol w:w="1135"/>
        <w:gridCol w:w="708"/>
        <w:gridCol w:w="426"/>
        <w:gridCol w:w="425"/>
      </w:tblGrid>
      <w:tr w:rsidR="003714FE" w:rsidRPr="00B57B36" w14:paraId="7A6406F7" w14:textId="77777777" w:rsidTr="003714FE">
        <w:trPr>
          <w:trHeight w:val="366"/>
        </w:trPr>
        <w:tc>
          <w:tcPr>
            <w:tcW w:w="1134" w:type="dxa"/>
            <w:tcBorders>
              <w:top w:val="single" w:sz="12" w:space="0" w:color="008000"/>
              <w:bottom w:val="single" w:sz="6" w:space="0" w:color="008000"/>
            </w:tcBorders>
            <w:shd w:val="clear" w:color="auto" w:fill="FFFFFF"/>
          </w:tcPr>
          <w:p w14:paraId="0E3AA35A" w14:textId="77777777" w:rsidR="003714FE" w:rsidRPr="00B57B36" w:rsidRDefault="003714FE" w:rsidP="00300F3E">
            <w:pPr>
              <w:pStyle w:val="CETBodytext"/>
              <w:rPr>
                <w:lang w:val="en-GB"/>
              </w:rPr>
            </w:pPr>
            <w:r>
              <w:rPr>
                <w:lang w:val="en-GB"/>
              </w:rPr>
              <w:t>Event</w:t>
            </w:r>
            <w:r w:rsidRPr="00B57B36">
              <w:rPr>
                <w:lang w:val="en-GB"/>
              </w:rPr>
              <w:t xml:space="preserve"> </w:t>
            </w:r>
          </w:p>
        </w:tc>
        <w:tc>
          <w:tcPr>
            <w:tcW w:w="1559" w:type="dxa"/>
            <w:tcBorders>
              <w:top w:val="single" w:sz="12" w:space="0" w:color="008000"/>
              <w:bottom w:val="single" w:sz="6" w:space="0" w:color="008000"/>
            </w:tcBorders>
            <w:shd w:val="clear" w:color="auto" w:fill="FFFFFF"/>
          </w:tcPr>
          <w:p w14:paraId="7A997CBF" w14:textId="77777777" w:rsidR="003714FE" w:rsidRPr="00B57B36" w:rsidRDefault="003714FE" w:rsidP="00300F3E">
            <w:pPr>
              <w:pStyle w:val="CETBodytext"/>
              <w:rPr>
                <w:lang w:val="en-GB"/>
              </w:rPr>
            </w:pPr>
            <w:r>
              <w:rPr>
                <w:lang w:val="en-GB"/>
              </w:rPr>
              <w:t xml:space="preserve">Consequences  </w:t>
            </w:r>
          </w:p>
        </w:tc>
        <w:tc>
          <w:tcPr>
            <w:tcW w:w="1418" w:type="dxa"/>
            <w:tcBorders>
              <w:top w:val="single" w:sz="12" w:space="0" w:color="008000"/>
              <w:bottom w:val="single" w:sz="6" w:space="0" w:color="008000"/>
            </w:tcBorders>
            <w:shd w:val="clear" w:color="auto" w:fill="FFFFFF"/>
          </w:tcPr>
          <w:p w14:paraId="6D53AF68" w14:textId="77777777" w:rsidR="003714FE" w:rsidRPr="00B57B36" w:rsidRDefault="003714FE" w:rsidP="00300F3E">
            <w:pPr>
              <w:pStyle w:val="CETBodytext"/>
              <w:rPr>
                <w:lang w:val="en-GB"/>
              </w:rPr>
            </w:pPr>
          </w:p>
        </w:tc>
        <w:tc>
          <w:tcPr>
            <w:tcW w:w="1984" w:type="dxa"/>
            <w:tcBorders>
              <w:top w:val="single" w:sz="12" w:space="0" w:color="008000"/>
              <w:bottom w:val="single" w:sz="6" w:space="0" w:color="008000"/>
            </w:tcBorders>
            <w:shd w:val="clear" w:color="auto" w:fill="FFFFFF"/>
          </w:tcPr>
          <w:p w14:paraId="3E7D2B15" w14:textId="77777777" w:rsidR="003714FE" w:rsidRPr="00B57B36" w:rsidRDefault="003714FE" w:rsidP="00300F3E">
            <w:pPr>
              <w:pStyle w:val="CETBodytext"/>
              <w:rPr>
                <w:lang w:val="en-GB"/>
              </w:rPr>
            </w:pPr>
          </w:p>
        </w:tc>
        <w:tc>
          <w:tcPr>
            <w:tcW w:w="1135" w:type="dxa"/>
            <w:tcBorders>
              <w:top w:val="single" w:sz="12" w:space="0" w:color="008000"/>
              <w:bottom w:val="single" w:sz="6" w:space="0" w:color="008000"/>
            </w:tcBorders>
            <w:shd w:val="clear" w:color="auto" w:fill="FFFFFF"/>
          </w:tcPr>
          <w:p w14:paraId="62EA99AC" w14:textId="77777777" w:rsidR="003714FE" w:rsidRPr="00B57B36" w:rsidRDefault="003714FE" w:rsidP="00300F3E">
            <w:pPr>
              <w:pStyle w:val="CETBodytext"/>
              <w:ind w:right="-1"/>
              <w:rPr>
                <w:rFonts w:cs="Arial"/>
                <w:szCs w:val="18"/>
                <w:lang w:val="en-GB"/>
              </w:rPr>
            </w:pPr>
          </w:p>
        </w:tc>
        <w:tc>
          <w:tcPr>
            <w:tcW w:w="708" w:type="dxa"/>
            <w:tcBorders>
              <w:top w:val="single" w:sz="12" w:space="0" w:color="008000"/>
              <w:bottom w:val="single" w:sz="6" w:space="0" w:color="008000"/>
            </w:tcBorders>
            <w:shd w:val="clear" w:color="auto" w:fill="FFFFFF"/>
          </w:tcPr>
          <w:p w14:paraId="5D163B8A" w14:textId="77777777" w:rsidR="003714FE" w:rsidRPr="00B57B36" w:rsidRDefault="003714FE" w:rsidP="00300F3E">
            <w:pPr>
              <w:pStyle w:val="CETBodytext"/>
              <w:ind w:right="-1"/>
              <w:rPr>
                <w:rFonts w:cs="Arial"/>
                <w:szCs w:val="18"/>
                <w:lang w:val="en-GB"/>
              </w:rPr>
            </w:pPr>
          </w:p>
        </w:tc>
        <w:tc>
          <w:tcPr>
            <w:tcW w:w="851" w:type="dxa"/>
            <w:gridSpan w:val="2"/>
            <w:tcBorders>
              <w:top w:val="single" w:sz="12" w:space="0" w:color="008000"/>
              <w:bottom w:val="single" w:sz="6" w:space="0" w:color="008000"/>
            </w:tcBorders>
            <w:shd w:val="clear" w:color="auto" w:fill="FFFFFF"/>
          </w:tcPr>
          <w:p w14:paraId="38F71817" w14:textId="77777777" w:rsidR="003714FE" w:rsidRPr="00B57B36" w:rsidRDefault="003714FE" w:rsidP="003714FE">
            <w:pPr>
              <w:pStyle w:val="CETBodytext"/>
              <w:ind w:right="-1"/>
              <w:jc w:val="right"/>
              <w:rPr>
                <w:rFonts w:cs="Arial"/>
                <w:szCs w:val="18"/>
                <w:lang w:val="en-GB"/>
              </w:rPr>
            </w:pPr>
            <w:r>
              <w:rPr>
                <w:lang w:val="en-GB"/>
              </w:rPr>
              <w:t>Severity class</w:t>
            </w:r>
          </w:p>
        </w:tc>
      </w:tr>
      <w:tr w:rsidR="003714FE" w:rsidRPr="00B57B36" w14:paraId="4E5F8E8B" w14:textId="77777777" w:rsidTr="003714FE">
        <w:trPr>
          <w:trHeight w:val="195"/>
        </w:trPr>
        <w:tc>
          <w:tcPr>
            <w:tcW w:w="1134" w:type="dxa"/>
            <w:tcBorders>
              <w:top w:val="single" w:sz="12" w:space="0" w:color="008000"/>
              <w:bottom w:val="single" w:sz="6" w:space="0" w:color="008000"/>
            </w:tcBorders>
            <w:shd w:val="clear" w:color="auto" w:fill="FFFFFF"/>
          </w:tcPr>
          <w:p w14:paraId="6A6C1F0C" w14:textId="77777777" w:rsidR="003714FE" w:rsidRDefault="003714FE" w:rsidP="00300F3E">
            <w:pPr>
              <w:pStyle w:val="CETBodytext"/>
              <w:rPr>
                <w:lang w:val="en-GB"/>
              </w:rPr>
            </w:pPr>
          </w:p>
        </w:tc>
        <w:tc>
          <w:tcPr>
            <w:tcW w:w="1559" w:type="dxa"/>
            <w:tcBorders>
              <w:top w:val="single" w:sz="12" w:space="0" w:color="008000"/>
              <w:bottom w:val="single" w:sz="6" w:space="0" w:color="008000"/>
            </w:tcBorders>
            <w:shd w:val="clear" w:color="auto" w:fill="FFFFFF"/>
          </w:tcPr>
          <w:p w14:paraId="50F01029" w14:textId="77777777" w:rsidR="003714FE" w:rsidRDefault="003714FE" w:rsidP="003714FE">
            <w:pPr>
              <w:pStyle w:val="CETBodytext"/>
              <w:jc w:val="left"/>
              <w:rPr>
                <w:lang w:val="en-GB"/>
              </w:rPr>
            </w:pPr>
            <w:r>
              <w:rPr>
                <w:lang w:val="en-GB"/>
              </w:rPr>
              <w:t xml:space="preserve">Human                      </w:t>
            </w:r>
          </w:p>
        </w:tc>
        <w:tc>
          <w:tcPr>
            <w:tcW w:w="1418" w:type="dxa"/>
            <w:tcBorders>
              <w:top w:val="single" w:sz="12" w:space="0" w:color="008000"/>
              <w:bottom w:val="single" w:sz="6" w:space="0" w:color="008000"/>
            </w:tcBorders>
            <w:shd w:val="clear" w:color="auto" w:fill="FFFFFF"/>
          </w:tcPr>
          <w:p w14:paraId="24A8D7F4" w14:textId="77777777" w:rsidR="003714FE" w:rsidRPr="00B57B36" w:rsidRDefault="003714FE" w:rsidP="003714FE">
            <w:pPr>
              <w:pStyle w:val="CETBodytext"/>
              <w:jc w:val="left"/>
              <w:rPr>
                <w:lang w:val="en-GB"/>
              </w:rPr>
            </w:pPr>
            <w:r>
              <w:rPr>
                <w:lang w:val="en-GB"/>
              </w:rPr>
              <w:t xml:space="preserve">Environment </w:t>
            </w:r>
          </w:p>
        </w:tc>
        <w:tc>
          <w:tcPr>
            <w:tcW w:w="1984" w:type="dxa"/>
            <w:tcBorders>
              <w:top w:val="single" w:sz="12" w:space="0" w:color="008000"/>
              <w:bottom w:val="single" w:sz="6" w:space="0" w:color="008000"/>
            </w:tcBorders>
            <w:shd w:val="clear" w:color="auto" w:fill="FFFFFF"/>
          </w:tcPr>
          <w:p w14:paraId="7C71640F" w14:textId="77777777" w:rsidR="003714FE" w:rsidRPr="00B57B36" w:rsidRDefault="003714FE" w:rsidP="003714FE">
            <w:pPr>
              <w:pStyle w:val="CETBodytext"/>
              <w:jc w:val="left"/>
              <w:rPr>
                <w:lang w:val="en-GB"/>
              </w:rPr>
            </w:pPr>
            <w:r>
              <w:rPr>
                <w:lang w:val="en-GB"/>
              </w:rPr>
              <w:t xml:space="preserve">Production </w:t>
            </w:r>
          </w:p>
        </w:tc>
        <w:tc>
          <w:tcPr>
            <w:tcW w:w="1135" w:type="dxa"/>
            <w:tcBorders>
              <w:top w:val="single" w:sz="12" w:space="0" w:color="008000"/>
              <w:bottom w:val="single" w:sz="6" w:space="0" w:color="008000"/>
            </w:tcBorders>
            <w:shd w:val="clear" w:color="auto" w:fill="FFFFFF"/>
          </w:tcPr>
          <w:p w14:paraId="25188B09" w14:textId="14EDD15E" w:rsidR="003714FE" w:rsidRDefault="003714FE" w:rsidP="003714FE">
            <w:pPr>
              <w:pStyle w:val="CETBodytext"/>
              <w:ind w:right="-1"/>
              <w:jc w:val="center"/>
              <w:rPr>
                <w:rFonts w:cs="Arial"/>
                <w:szCs w:val="18"/>
                <w:lang w:val="en-GB"/>
              </w:rPr>
            </w:pPr>
            <w:r>
              <w:rPr>
                <w:rFonts w:cs="Arial"/>
                <w:szCs w:val="18"/>
                <w:lang w:val="en-GB"/>
              </w:rPr>
              <w:t>Property</w:t>
            </w:r>
          </w:p>
        </w:tc>
        <w:tc>
          <w:tcPr>
            <w:tcW w:w="1134" w:type="dxa"/>
            <w:gridSpan w:val="2"/>
            <w:tcBorders>
              <w:top w:val="single" w:sz="12" w:space="0" w:color="008000"/>
              <w:bottom w:val="single" w:sz="6" w:space="0" w:color="008000"/>
            </w:tcBorders>
            <w:shd w:val="clear" w:color="auto" w:fill="FFFFFF"/>
          </w:tcPr>
          <w:p w14:paraId="399AAE37" w14:textId="50422763" w:rsidR="003714FE" w:rsidRPr="00B57B36" w:rsidRDefault="003714FE" w:rsidP="003714FE">
            <w:pPr>
              <w:pStyle w:val="CETBodytext"/>
              <w:ind w:right="-1"/>
              <w:jc w:val="left"/>
              <w:rPr>
                <w:rFonts w:cs="Arial"/>
                <w:szCs w:val="18"/>
                <w:lang w:val="en-GB"/>
              </w:rPr>
            </w:pPr>
            <w:r>
              <w:rPr>
                <w:rFonts w:cs="Arial"/>
                <w:szCs w:val="18"/>
                <w:lang w:val="en-GB"/>
              </w:rPr>
              <w:t>Reputation</w:t>
            </w:r>
          </w:p>
        </w:tc>
        <w:tc>
          <w:tcPr>
            <w:tcW w:w="425" w:type="dxa"/>
            <w:tcBorders>
              <w:top w:val="single" w:sz="12" w:space="0" w:color="008000"/>
              <w:bottom w:val="single" w:sz="6" w:space="0" w:color="008000"/>
            </w:tcBorders>
            <w:shd w:val="clear" w:color="auto" w:fill="FFFFFF"/>
          </w:tcPr>
          <w:p w14:paraId="7E1A3491" w14:textId="77777777" w:rsidR="003714FE" w:rsidRDefault="003714FE" w:rsidP="00300F3E">
            <w:pPr>
              <w:pStyle w:val="CETBodytext"/>
              <w:ind w:right="-1"/>
              <w:jc w:val="right"/>
              <w:rPr>
                <w:lang w:val="en-GB"/>
              </w:rPr>
            </w:pPr>
          </w:p>
        </w:tc>
      </w:tr>
      <w:tr w:rsidR="003714FE" w:rsidRPr="00B57B36" w14:paraId="74095C4A" w14:textId="77777777" w:rsidTr="003714FE">
        <w:trPr>
          <w:trHeight w:val="304"/>
        </w:trPr>
        <w:tc>
          <w:tcPr>
            <w:tcW w:w="1134" w:type="dxa"/>
            <w:shd w:val="clear" w:color="auto" w:fill="FFFFFF"/>
          </w:tcPr>
          <w:p w14:paraId="42EC4BAE" w14:textId="77777777" w:rsidR="003714FE" w:rsidRPr="00B57B36" w:rsidRDefault="003714FE" w:rsidP="00300F3E">
            <w:pPr>
              <w:pStyle w:val="CETBodytext"/>
              <w:jc w:val="left"/>
              <w:rPr>
                <w:lang w:val="en-GB"/>
              </w:rPr>
            </w:pPr>
            <w:r>
              <w:rPr>
                <w:lang w:val="en-GB"/>
              </w:rPr>
              <w:t>Near miss</w:t>
            </w:r>
          </w:p>
        </w:tc>
        <w:tc>
          <w:tcPr>
            <w:tcW w:w="1559" w:type="dxa"/>
            <w:shd w:val="clear" w:color="auto" w:fill="FFFFFF"/>
          </w:tcPr>
          <w:p w14:paraId="7E201C3D" w14:textId="77777777" w:rsidR="003714FE" w:rsidRPr="00B57B36" w:rsidRDefault="003714FE" w:rsidP="003714FE">
            <w:pPr>
              <w:pStyle w:val="CETBodytext"/>
              <w:jc w:val="left"/>
              <w:rPr>
                <w:lang w:val="en-GB"/>
              </w:rPr>
            </w:pPr>
            <w:r>
              <w:rPr>
                <w:lang w:val="en-GB"/>
              </w:rPr>
              <w:t>No injuries</w:t>
            </w:r>
          </w:p>
        </w:tc>
        <w:tc>
          <w:tcPr>
            <w:tcW w:w="1418" w:type="dxa"/>
            <w:shd w:val="clear" w:color="auto" w:fill="FFFFFF"/>
          </w:tcPr>
          <w:p w14:paraId="30E83BAF" w14:textId="77777777" w:rsidR="003714FE" w:rsidRPr="00B57B36" w:rsidRDefault="003714FE" w:rsidP="003714FE">
            <w:pPr>
              <w:pStyle w:val="CETBodytext"/>
              <w:jc w:val="left"/>
              <w:rPr>
                <w:lang w:val="en-GB"/>
              </w:rPr>
            </w:pPr>
            <w:r>
              <w:rPr>
                <w:lang w:val="en-GB"/>
              </w:rPr>
              <w:t>No impact</w:t>
            </w:r>
          </w:p>
        </w:tc>
        <w:tc>
          <w:tcPr>
            <w:tcW w:w="1984" w:type="dxa"/>
            <w:shd w:val="clear" w:color="auto" w:fill="FFFFFF"/>
          </w:tcPr>
          <w:p w14:paraId="5846753A" w14:textId="77777777" w:rsidR="003714FE" w:rsidRPr="00B57B36" w:rsidRDefault="003714FE" w:rsidP="003714FE">
            <w:pPr>
              <w:pStyle w:val="CETBodytext"/>
              <w:jc w:val="left"/>
              <w:rPr>
                <w:lang w:val="en-GB"/>
              </w:rPr>
            </w:pPr>
            <w:r>
              <w:rPr>
                <w:lang w:val="en-GB"/>
              </w:rPr>
              <w:t>No loss</w:t>
            </w:r>
          </w:p>
        </w:tc>
        <w:tc>
          <w:tcPr>
            <w:tcW w:w="1135" w:type="dxa"/>
            <w:shd w:val="clear" w:color="auto" w:fill="FFFFFF"/>
          </w:tcPr>
          <w:p w14:paraId="220C04F1" w14:textId="4807B206" w:rsidR="003714FE" w:rsidRPr="00B57B36" w:rsidRDefault="003714FE" w:rsidP="003714FE">
            <w:pPr>
              <w:pStyle w:val="CETBodytext"/>
              <w:ind w:right="-1"/>
              <w:jc w:val="center"/>
              <w:rPr>
                <w:rFonts w:cs="Arial"/>
                <w:szCs w:val="18"/>
                <w:lang w:val="en-GB"/>
              </w:rPr>
            </w:pPr>
            <w:r>
              <w:rPr>
                <w:rFonts w:cs="Arial"/>
                <w:szCs w:val="18"/>
                <w:lang w:val="en-GB"/>
              </w:rPr>
              <w:t>No effect</w:t>
            </w:r>
          </w:p>
        </w:tc>
        <w:tc>
          <w:tcPr>
            <w:tcW w:w="1134" w:type="dxa"/>
            <w:gridSpan w:val="2"/>
            <w:shd w:val="clear" w:color="auto" w:fill="FFFFFF"/>
          </w:tcPr>
          <w:p w14:paraId="42266758" w14:textId="77777777" w:rsidR="003714FE" w:rsidRPr="00B57B36" w:rsidRDefault="003714FE" w:rsidP="003714FE">
            <w:pPr>
              <w:pStyle w:val="CETBodytext"/>
              <w:ind w:right="-1"/>
              <w:jc w:val="left"/>
              <w:rPr>
                <w:rFonts w:cs="Arial"/>
                <w:szCs w:val="18"/>
                <w:lang w:val="en-GB"/>
              </w:rPr>
            </w:pPr>
            <w:r>
              <w:rPr>
                <w:rFonts w:cs="Arial"/>
                <w:szCs w:val="18"/>
                <w:lang w:val="en-GB"/>
              </w:rPr>
              <w:t>No impact</w:t>
            </w:r>
          </w:p>
        </w:tc>
        <w:tc>
          <w:tcPr>
            <w:tcW w:w="425" w:type="dxa"/>
            <w:shd w:val="clear" w:color="auto" w:fill="FFFFFF"/>
          </w:tcPr>
          <w:p w14:paraId="565773FC" w14:textId="4BF8A8D4" w:rsidR="003714FE" w:rsidRPr="00B57B36" w:rsidRDefault="003714FE" w:rsidP="003714FE">
            <w:pPr>
              <w:pStyle w:val="CETBodytext"/>
              <w:ind w:right="-1"/>
              <w:jc w:val="center"/>
              <w:rPr>
                <w:rFonts w:cs="Arial"/>
                <w:szCs w:val="18"/>
                <w:lang w:val="en-GB"/>
              </w:rPr>
            </w:pPr>
            <w:r>
              <w:rPr>
                <w:rFonts w:cs="Arial"/>
                <w:szCs w:val="18"/>
                <w:lang w:val="en-GB"/>
              </w:rPr>
              <w:t>C1</w:t>
            </w:r>
          </w:p>
        </w:tc>
      </w:tr>
      <w:tr w:rsidR="003714FE" w:rsidRPr="00B57B36" w14:paraId="2E05F248" w14:textId="77777777" w:rsidTr="003714FE">
        <w:trPr>
          <w:trHeight w:val="565"/>
        </w:trPr>
        <w:tc>
          <w:tcPr>
            <w:tcW w:w="1134" w:type="dxa"/>
            <w:shd w:val="clear" w:color="auto" w:fill="FFFFFF"/>
          </w:tcPr>
          <w:p w14:paraId="2626899B" w14:textId="77777777" w:rsidR="003714FE" w:rsidRPr="00B57B36" w:rsidRDefault="003714FE" w:rsidP="00300F3E">
            <w:pPr>
              <w:pStyle w:val="CETBodytext"/>
              <w:ind w:right="-1"/>
              <w:jc w:val="left"/>
              <w:rPr>
                <w:rFonts w:cs="Arial"/>
                <w:szCs w:val="18"/>
                <w:lang w:val="en-GB"/>
              </w:rPr>
            </w:pPr>
            <w:r>
              <w:rPr>
                <w:rFonts w:cs="Arial"/>
                <w:szCs w:val="18"/>
                <w:lang w:val="en-GB"/>
              </w:rPr>
              <w:t>Mishap</w:t>
            </w:r>
          </w:p>
        </w:tc>
        <w:tc>
          <w:tcPr>
            <w:tcW w:w="1559" w:type="dxa"/>
            <w:shd w:val="clear" w:color="auto" w:fill="FFFFFF"/>
          </w:tcPr>
          <w:p w14:paraId="2F79C990" w14:textId="6A457122" w:rsidR="003714FE" w:rsidRPr="00B57B36" w:rsidRDefault="003714FE" w:rsidP="003714FE">
            <w:pPr>
              <w:pStyle w:val="CETBodytext"/>
              <w:ind w:right="-1"/>
              <w:jc w:val="left"/>
              <w:rPr>
                <w:rFonts w:cs="Arial"/>
                <w:szCs w:val="18"/>
                <w:lang w:val="en-GB"/>
              </w:rPr>
            </w:pPr>
            <w:r>
              <w:rPr>
                <w:rFonts w:cs="Arial"/>
                <w:szCs w:val="18"/>
                <w:lang w:val="en-GB"/>
              </w:rPr>
              <w:t>Minor health effects</w:t>
            </w:r>
          </w:p>
        </w:tc>
        <w:tc>
          <w:tcPr>
            <w:tcW w:w="1418" w:type="dxa"/>
            <w:shd w:val="clear" w:color="auto" w:fill="FFFFFF"/>
          </w:tcPr>
          <w:p w14:paraId="6E367360" w14:textId="038D971B" w:rsidR="003714FE" w:rsidRPr="00B57B36" w:rsidRDefault="003714FE" w:rsidP="00026177">
            <w:pPr>
              <w:pStyle w:val="CETBodytext"/>
              <w:ind w:right="-1"/>
              <w:jc w:val="left"/>
              <w:rPr>
                <w:rFonts w:cs="Arial"/>
                <w:szCs w:val="18"/>
                <w:lang w:val="en-GB"/>
              </w:rPr>
            </w:pPr>
            <w:r>
              <w:rPr>
                <w:rFonts w:cs="Arial"/>
                <w:szCs w:val="18"/>
                <w:lang w:val="en-GB"/>
              </w:rPr>
              <w:t>Minor damage</w:t>
            </w:r>
          </w:p>
        </w:tc>
        <w:tc>
          <w:tcPr>
            <w:tcW w:w="1984" w:type="dxa"/>
            <w:shd w:val="clear" w:color="auto" w:fill="FFFFFF"/>
          </w:tcPr>
          <w:p w14:paraId="39F51074" w14:textId="77777777" w:rsidR="003714FE" w:rsidRDefault="003714FE" w:rsidP="003714FE">
            <w:pPr>
              <w:pStyle w:val="CETBodytext"/>
              <w:ind w:right="-1"/>
              <w:jc w:val="left"/>
              <w:rPr>
                <w:rFonts w:cs="Arial"/>
                <w:szCs w:val="18"/>
                <w:lang w:val="en-GB"/>
              </w:rPr>
            </w:pPr>
            <w:r>
              <w:rPr>
                <w:rFonts w:cs="Arial"/>
                <w:szCs w:val="18"/>
                <w:lang w:val="en-GB"/>
              </w:rPr>
              <w:t>Production loss</w:t>
            </w:r>
          </w:p>
          <w:p w14:paraId="0984FF3F" w14:textId="77777777" w:rsidR="003714FE" w:rsidRPr="00B57B36" w:rsidRDefault="003714FE" w:rsidP="003714FE">
            <w:pPr>
              <w:pStyle w:val="CETBodytext"/>
              <w:ind w:right="-1"/>
              <w:jc w:val="left"/>
              <w:rPr>
                <w:rFonts w:cs="Arial"/>
                <w:szCs w:val="18"/>
                <w:lang w:val="en-GB"/>
              </w:rPr>
            </w:pPr>
            <w:r>
              <w:rPr>
                <w:rFonts w:cs="Arial"/>
                <w:szCs w:val="18"/>
                <w:lang w:val="en-GB"/>
              </w:rPr>
              <w:t>Work hours loss</w:t>
            </w:r>
          </w:p>
        </w:tc>
        <w:tc>
          <w:tcPr>
            <w:tcW w:w="1135" w:type="dxa"/>
            <w:shd w:val="clear" w:color="auto" w:fill="FFFFFF"/>
          </w:tcPr>
          <w:p w14:paraId="4E40C3D7" w14:textId="77777777" w:rsidR="003714FE" w:rsidRPr="00B57B36" w:rsidRDefault="003714FE" w:rsidP="003714FE">
            <w:pPr>
              <w:pStyle w:val="CETBodytext"/>
              <w:ind w:right="-1"/>
              <w:jc w:val="center"/>
              <w:rPr>
                <w:rFonts w:cs="Arial"/>
                <w:szCs w:val="18"/>
                <w:lang w:val="en-GB"/>
              </w:rPr>
            </w:pPr>
            <w:r w:rsidRPr="00CA5D04">
              <w:rPr>
                <w:rFonts w:cs="Arial"/>
                <w:szCs w:val="18"/>
                <w:lang w:val="en-GB"/>
              </w:rPr>
              <w:t>Minor damage</w:t>
            </w:r>
          </w:p>
          <w:p w14:paraId="25A5F28A" w14:textId="77777777" w:rsidR="003714FE" w:rsidRPr="00B57B36" w:rsidRDefault="003714FE" w:rsidP="003714FE">
            <w:pPr>
              <w:pStyle w:val="CETBodytext"/>
              <w:ind w:right="-1"/>
              <w:jc w:val="center"/>
              <w:rPr>
                <w:rFonts w:cs="Arial"/>
                <w:szCs w:val="18"/>
                <w:lang w:val="en-GB"/>
              </w:rPr>
            </w:pPr>
          </w:p>
        </w:tc>
        <w:tc>
          <w:tcPr>
            <w:tcW w:w="1134" w:type="dxa"/>
            <w:gridSpan w:val="2"/>
            <w:shd w:val="clear" w:color="auto" w:fill="FFFFFF"/>
          </w:tcPr>
          <w:p w14:paraId="6A564D08" w14:textId="77777777" w:rsidR="003714FE" w:rsidRPr="00B57B36" w:rsidRDefault="003714FE" w:rsidP="003714FE">
            <w:pPr>
              <w:pStyle w:val="CETBodytext"/>
              <w:ind w:right="-1"/>
              <w:jc w:val="left"/>
              <w:rPr>
                <w:rFonts w:cs="Arial"/>
                <w:szCs w:val="18"/>
                <w:lang w:val="en-GB"/>
              </w:rPr>
            </w:pPr>
            <w:r w:rsidRPr="00CA5D04">
              <w:rPr>
                <w:rFonts w:cs="Arial"/>
                <w:szCs w:val="18"/>
                <w:lang w:val="en-GB"/>
              </w:rPr>
              <w:t>Minor</w:t>
            </w:r>
            <w:r>
              <w:rPr>
                <w:rFonts w:cs="Arial"/>
                <w:szCs w:val="18"/>
                <w:lang w:val="en-GB"/>
              </w:rPr>
              <w:t xml:space="preserve"> impact</w:t>
            </w:r>
          </w:p>
        </w:tc>
        <w:tc>
          <w:tcPr>
            <w:tcW w:w="425" w:type="dxa"/>
            <w:shd w:val="clear" w:color="auto" w:fill="FFFFFF"/>
          </w:tcPr>
          <w:p w14:paraId="0BD60EE4" w14:textId="1D719E51" w:rsidR="003714FE" w:rsidRPr="00B57B36" w:rsidRDefault="003714FE" w:rsidP="003714FE">
            <w:pPr>
              <w:pStyle w:val="CETBodytext"/>
              <w:ind w:right="-1"/>
              <w:jc w:val="center"/>
              <w:rPr>
                <w:rFonts w:cs="Arial"/>
                <w:szCs w:val="18"/>
                <w:lang w:val="en-GB"/>
              </w:rPr>
            </w:pPr>
            <w:r>
              <w:rPr>
                <w:rFonts w:cs="Arial"/>
                <w:szCs w:val="18"/>
                <w:lang w:val="en-GB"/>
              </w:rPr>
              <w:t>C2</w:t>
            </w:r>
          </w:p>
        </w:tc>
      </w:tr>
      <w:tr w:rsidR="003714FE" w:rsidRPr="00B57B36" w14:paraId="7FC05DEC" w14:textId="77777777" w:rsidTr="003714FE">
        <w:trPr>
          <w:trHeight w:val="990"/>
        </w:trPr>
        <w:tc>
          <w:tcPr>
            <w:tcW w:w="1134" w:type="dxa"/>
            <w:shd w:val="clear" w:color="auto" w:fill="FFFFFF"/>
          </w:tcPr>
          <w:p w14:paraId="352C8980" w14:textId="77777777" w:rsidR="003714FE" w:rsidRPr="00B57B36" w:rsidRDefault="003714FE" w:rsidP="00300F3E">
            <w:pPr>
              <w:pStyle w:val="CETBodytext"/>
              <w:ind w:right="-1"/>
              <w:jc w:val="left"/>
              <w:rPr>
                <w:rFonts w:cs="Arial"/>
                <w:szCs w:val="18"/>
                <w:lang w:val="en-GB"/>
              </w:rPr>
            </w:pPr>
            <w:r>
              <w:rPr>
                <w:rFonts w:cs="Arial"/>
                <w:szCs w:val="18"/>
                <w:lang w:val="en-GB"/>
              </w:rPr>
              <w:t>Incident</w:t>
            </w:r>
          </w:p>
        </w:tc>
        <w:tc>
          <w:tcPr>
            <w:tcW w:w="1559" w:type="dxa"/>
            <w:shd w:val="clear" w:color="auto" w:fill="FFFFFF"/>
          </w:tcPr>
          <w:p w14:paraId="08A3C912" w14:textId="77777777" w:rsidR="003714FE" w:rsidRPr="00B57B36" w:rsidRDefault="003714FE" w:rsidP="003714FE">
            <w:pPr>
              <w:pStyle w:val="CETBodytext"/>
              <w:ind w:right="-1"/>
              <w:jc w:val="left"/>
              <w:rPr>
                <w:rFonts w:cs="Arial"/>
                <w:szCs w:val="18"/>
                <w:lang w:val="en-GB"/>
              </w:rPr>
            </w:pPr>
            <w:r w:rsidRPr="005805BF">
              <w:rPr>
                <w:rFonts w:cs="Arial"/>
                <w:szCs w:val="18"/>
                <w:lang w:val="en-GB"/>
              </w:rPr>
              <w:t>Injuries (&lt;5 employees) with public hospitalization</w:t>
            </w:r>
          </w:p>
        </w:tc>
        <w:tc>
          <w:tcPr>
            <w:tcW w:w="1418" w:type="dxa"/>
            <w:shd w:val="clear" w:color="auto" w:fill="FFFFFF"/>
          </w:tcPr>
          <w:p w14:paraId="0E657BA7" w14:textId="4D8DB669" w:rsidR="003714FE" w:rsidRPr="00B57B36" w:rsidRDefault="003714FE" w:rsidP="00026177">
            <w:pPr>
              <w:pStyle w:val="CETBodytext"/>
              <w:ind w:right="-1"/>
              <w:jc w:val="left"/>
              <w:rPr>
                <w:rFonts w:cs="Arial"/>
                <w:szCs w:val="18"/>
                <w:lang w:val="en-GB"/>
              </w:rPr>
            </w:pPr>
            <w:r>
              <w:rPr>
                <w:rFonts w:cs="Arial"/>
                <w:szCs w:val="18"/>
                <w:lang w:val="en-GB"/>
              </w:rPr>
              <w:t>Localized damage</w:t>
            </w:r>
          </w:p>
        </w:tc>
        <w:tc>
          <w:tcPr>
            <w:tcW w:w="1984" w:type="dxa"/>
            <w:shd w:val="clear" w:color="auto" w:fill="FFFFFF"/>
          </w:tcPr>
          <w:p w14:paraId="66456D6A" w14:textId="77777777" w:rsidR="003714FE" w:rsidRDefault="003714FE" w:rsidP="003714FE">
            <w:pPr>
              <w:pStyle w:val="CETBodytext"/>
              <w:ind w:right="-1"/>
              <w:jc w:val="left"/>
              <w:rPr>
                <w:rFonts w:cs="Arial"/>
                <w:szCs w:val="18"/>
                <w:lang w:val="en-GB"/>
              </w:rPr>
            </w:pPr>
            <w:r>
              <w:rPr>
                <w:rFonts w:cs="Arial"/>
                <w:szCs w:val="18"/>
                <w:lang w:val="en-GB"/>
              </w:rPr>
              <w:t>Significant work days</w:t>
            </w:r>
          </w:p>
          <w:p w14:paraId="10835ABF" w14:textId="77777777" w:rsidR="003714FE" w:rsidRPr="00B57B36" w:rsidRDefault="003714FE" w:rsidP="003714FE">
            <w:pPr>
              <w:pStyle w:val="CETBodytext"/>
              <w:ind w:right="-1"/>
              <w:jc w:val="left"/>
              <w:rPr>
                <w:rFonts w:cs="Arial"/>
                <w:szCs w:val="18"/>
                <w:lang w:val="en-GB"/>
              </w:rPr>
            </w:pPr>
            <w:r>
              <w:rPr>
                <w:rFonts w:cs="Arial"/>
                <w:szCs w:val="18"/>
                <w:lang w:val="en-GB"/>
              </w:rPr>
              <w:t>loss</w:t>
            </w:r>
          </w:p>
        </w:tc>
        <w:tc>
          <w:tcPr>
            <w:tcW w:w="1135" w:type="dxa"/>
            <w:shd w:val="clear" w:color="auto" w:fill="FFFFFF"/>
          </w:tcPr>
          <w:p w14:paraId="1A3CFFB2" w14:textId="77777777" w:rsidR="003714FE" w:rsidRPr="00B57B36" w:rsidRDefault="003714FE" w:rsidP="003714FE">
            <w:pPr>
              <w:pStyle w:val="CETBodytext"/>
              <w:ind w:right="-1"/>
              <w:jc w:val="center"/>
              <w:rPr>
                <w:rFonts w:cs="Arial"/>
                <w:szCs w:val="18"/>
                <w:lang w:val="en-GB"/>
              </w:rPr>
            </w:pPr>
            <w:r>
              <w:rPr>
                <w:rFonts w:cs="Arial"/>
                <w:szCs w:val="18"/>
                <w:lang w:val="en-GB"/>
              </w:rPr>
              <w:t>Major damage</w:t>
            </w:r>
          </w:p>
        </w:tc>
        <w:tc>
          <w:tcPr>
            <w:tcW w:w="1134" w:type="dxa"/>
            <w:gridSpan w:val="2"/>
            <w:shd w:val="clear" w:color="auto" w:fill="FFFFFF"/>
          </w:tcPr>
          <w:p w14:paraId="312A0CE2" w14:textId="67169098" w:rsidR="003714FE" w:rsidRPr="00B57B36" w:rsidRDefault="003714FE" w:rsidP="003714FE">
            <w:pPr>
              <w:pStyle w:val="CETBodytext"/>
              <w:ind w:right="-1"/>
              <w:jc w:val="left"/>
              <w:rPr>
                <w:rFonts w:cs="Arial"/>
                <w:szCs w:val="18"/>
                <w:lang w:val="en-GB"/>
              </w:rPr>
            </w:pPr>
            <w:r>
              <w:rPr>
                <w:rFonts w:cs="Arial"/>
                <w:szCs w:val="18"/>
                <w:lang w:val="en-GB"/>
              </w:rPr>
              <w:t>Considerable media reaction</w:t>
            </w:r>
          </w:p>
        </w:tc>
        <w:tc>
          <w:tcPr>
            <w:tcW w:w="425" w:type="dxa"/>
            <w:shd w:val="clear" w:color="auto" w:fill="FFFFFF"/>
          </w:tcPr>
          <w:p w14:paraId="353CFCF0" w14:textId="2AD33FFA" w:rsidR="003714FE" w:rsidRPr="00B57B36" w:rsidRDefault="003714FE" w:rsidP="003714FE">
            <w:pPr>
              <w:pStyle w:val="CETBodytext"/>
              <w:ind w:right="-1"/>
              <w:jc w:val="center"/>
              <w:rPr>
                <w:rFonts w:cs="Arial"/>
                <w:szCs w:val="18"/>
                <w:lang w:val="en-GB"/>
              </w:rPr>
            </w:pPr>
            <w:r>
              <w:rPr>
                <w:rFonts w:cs="Arial"/>
                <w:szCs w:val="18"/>
                <w:lang w:val="en-GB"/>
              </w:rPr>
              <w:t>C3</w:t>
            </w:r>
          </w:p>
        </w:tc>
      </w:tr>
      <w:tr w:rsidR="003714FE" w:rsidRPr="00B57B36" w14:paraId="5E41D8A5" w14:textId="77777777" w:rsidTr="003714FE">
        <w:trPr>
          <w:trHeight w:val="1074"/>
        </w:trPr>
        <w:tc>
          <w:tcPr>
            <w:tcW w:w="1134" w:type="dxa"/>
            <w:shd w:val="clear" w:color="auto" w:fill="FFFFFF"/>
          </w:tcPr>
          <w:p w14:paraId="11E025AB" w14:textId="77777777" w:rsidR="003714FE" w:rsidRPr="00B57B36" w:rsidRDefault="003714FE" w:rsidP="00300F3E">
            <w:pPr>
              <w:pStyle w:val="CETBodytext"/>
              <w:ind w:right="-1"/>
              <w:jc w:val="left"/>
              <w:rPr>
                <w:rFonts w:cs="Arial"/>
                <w:szCs w:val="18"/>
                <w:lang w:val="en-GB"/>
              </w:rPr>
            </w:pPr>
            <w:r>
              <w:rPr>
                <w:rFonts w:cs="Arial"/>
                <w:szCs w:val="18"/>
                <w:lang w:val="en-GB"/>
              </w:rPr>
              <w:t>Accident</w:t>
            </w:r>
          </w:p>
        </w:tc>
        <w:tc>
          <w:tcPr>
            <w:tcW w:w="1559" w:type="dxa"/>
            <w:shd w:val="clear" w:color="auto" w:fill="FFFFFF"/>
          </w:tcPr>
          <w:p w14:paraId="5F11B935" w14:textId="77777777" w:rsidR="003714FE" w:rsidRDefault="003714FE" w:rsidP="003714FE">
            <w:pPr>
              <w:pStyle w:val="CETBodytext"/>
              <w:ind w:right="-1"/>
              <w:jc w:val="left"/>
              <w:rPr>
                <w:rFonts w:cs="Arial"/>
                <w:szCs w:val="18"/>
                <w:lang w:val="en-GB"/>
              </w:rPr>
            </w:pPr>
            <w:r>
              <w:rPr>
                <w:rFonts w:cs="Arial"/>
                <w:szCs w:val="18"/>
                <w:lang w:val="en-GB"/>
              </w:rPr>
              <w:t>Death (1 or 2 employees)/ serious injury</w:t>
            </w:r>
          </w:p>
          <w:p w14:paraId="45FB06E9" w14:textId="77777777" w:rsidR="003714FE" w:rsidRPr="00B57B36" w:rsidRDefault="003714FE" w:rsidP="003714FE">
            <w:pPr>
              <w:pStyle w:val="CETBodytext"/>
              <w:ind w:right="-1"/>
              <w:jc w:val="left"/>
              <w:rPr>
                <w:rFonts w:cs="Arial"/>
                <w:szCs w:val="18"/>
                <w:lang w:val="en-GB"/>
              </w:rPr>
            </w:pPr>
            <w:r>
              <w:rPr>
                <w:rFonts w:cs="Arial"/>
                <w:szCs w:val="18"/>
                <w:lang w:val="en-GB"/>
              </w:rPr>
              <w:t>(&gt;5 employees)</w:t>
            </w:r>
          </w:p>
        </w:tc>
        <w:tc>
          <w:tcPr>
            <w:tcW w:w="1418" w:type="dxa"/>
            <w:shd w:val="clear" w:color="auto" w:fill="FFFFFF"/>
          </w:tcPr>
          <w:p w14:paraId="4A44FE9F" w14:textId="77777777" w:rsidR="003714FE" w:rsidRPr="00B57B36" w:rsidRDefault="003714FE" w:rsidP="003714FE">
            <w:pPr>
              <w:pStyle w:val="CETBodytext"/>
              <w:ind w:right="-1"/>
              <w:jc w:val="left"/>
              <w:rPr>
                <w:rFonts w:cs="Arial"/>
                <w:szCs w:val="18"/>
                <w:lang w:val="en-GB"/>
              </w:rPr>
            </w:pPr>
            <w:r>
              <w:rPr>
                <w:rFonts w:cs="Arial"/>
                <w:szCs w:val="18"/>
                <w:lang w:val="en-GB"/>
              </w:rPr>
              <w:t xml:space="preserve">Short-term environmental damage </w:t>
            </w:r>
          </w:p>
        </w:tc>
        <w:tc>
          <w:tcPr>
            <w:tcW w:w="1984" w:type="dxa"/>
            <w:shd w:val="clear" w:color="auto" w:fill="FFFFFF"/>
          </w:tcPr>
          <w:p w14:paraId="53E8FBC4" w14:textId="77777777" w:rsidR="003714FE" w:rsidRPr="00B57B36" w:rsidRDefault="003714FE" w:rsidP="003714FE">
            <w:pPr>
              <w:pStyle w:val="CETBodytext"/>
              <w:ind w:right="-1"/>
              <w:jc w:val="left"/>
              <w:rPr>
                <w:rFonts w:cs="Arial"/>
                <w:szCs w:val="18"/>
                <w:lang w:val="en-GB"/>
              </w:rPr>
            </w:pPr>
            <w:r>
              <w:rPr>
                <w:rFonts w:cs="Arial"/>
                <w:szCs w:val="18"/>
                <w:lang w:val="en-GB"/>
              </w:rPr>
              <w:t>W</w:t>
            </w:r>
            <w:r w:rsidRPr="005805BF">
              <w:rPr>
                <w:rFonts w:cs="Arial"/>
                <w:szCs w:val="18"/>
                <w:lang w:val="en-GB"/>
              </w:rPr>
              <w:t>ork lost</w:t>
            </w:r>
            <w:r>
              <w:rPr>
                <w:rFonts w:cs="Arial"/>
                <w:szCs w:val="18"/>
                <w:lang w:val="en-GB"/>
              </w:rPr>
              <w:t xml:space="preserve"> (between 1 and 3 months)</w:t>
            </w:r>
          </w:p>
        </w:tc>
        <w:tc>
          <w:tcPr>
            <w:tcW w:w="1135" w:type="dxa"/>
            <w:shd w:val="clear" w:color="auto" w:fill="FFFFFF"/>
          </w:tcPr>
          <w:p w14:paraId="2C0F7E86" w14:textId="77777777" w:rsidR="003714FE" w:rsidRPr="00B57B36" w:rsidRDefault="003714FE" w:rsidP="003714FE">
            <w:pPr>
              <w:pStyle w:val="CETBodytext"/>
              <w:ind w:right="-1"/>
              <w:jc w:val="center"/>
              <w:rPr>
                <w:rFonts w:cs="Arial"/>
                <w:szCs w:val="18"/>
                <w:lang w:val="en-GB"/>
              </w:rPr>
            </w:pPr>
            <w:r>
              <w:rPr>
                <w:rFonts w:cs="Arial"/>
                <w:szCs w:val="18"/>
                <w:lang w:val="en-GB"/>
              </w:rPr>
              <w:t>Serious damage</w:t>
            </w:r>
          </w:p>
        </w:tc>
        <w:tc>
          <w:tcPr>
            <w:tcW w:w="1134" w:type="dxa"/>
            <w:gridSpan w:val="2"/>
            <w:shd w:val="clear" w:color="auto" w:fill="FFFFFF"/>
          </w:tcPr>
          <w:p w14:paraId="697598DE" w14:textId="77777777" w:rsidR="003714FE" w:rsidRPr="00B57B36" w:rsidRDefault="003714FE" w:rsidP="003714FE">
            <w:pPr>
              <w:pStyle w:val="CETBodytext"/>
              <w:ind w:right="-1"/>
              <w:jc w:val="left"/>
              <w:rPr>
                <w:rFonts w:cs="Arial"/>
                <w:szCs w:val="18"/>
                <w:lang w:val="en-GB"/>
              </w:rPr>
            </w:pPr>
            <w:r>
              <w:rPr>
                <w:rFonts w:cs="Arial"/>
                <w:szCs w:val="18"/>
                <w:lang w:val="en-GB"/>
              </w:rPr>
              <w:t>Report in the national media</w:t>
            </w:r>
          </w:p>
        </w:tc>
        <w:tc>
          <w:tcPr>
            <w:tcW w:w="425" w:type="dxa"/>
            <w:shd w:val="clear" w:color="auto" w:fill="FFFFFF"/>
          </w:tcPr>
          <w:p w14:paraId="5F7673B5" w14:textId="054A164B" w:rsidR="003714FE" w:rsidRPr="00B57B36" w:rsidRDefault="003714FE" w:rsidP="003714FE">
            <w:pPr>
              <w:pStyle w:val="CETBodytext"/>
              <w:ind w:right="-1"/>
              <w:jc w:val="center"/>
              <w:rPr>
                <w:rFonts w:cs="Arial"/>
                <w:szCs w:val="18"/>
                <w:lang w:val="en-GB"/>
              </w:rPr>
            </w:pPr>
            <w:r>
              <w:rPr>
                <w:rFonts w:cs="Arial"/>
                <w:szCs w:val="18"/>
                <w:lang w:val="en-GB"/>
              </w:rPr>
              <w:t>C4</w:t>
            </w:r>
          </w:p>
        </w:tc>
      </w:tr>
      <w:tr w:rsidR="003714FE" w:rsidRPr="00B57B36" w14:paraId="490353B4" w14:textId="77777777" w:rsidTr="003714FE">
        <w:trPr>
          <w:trHeight w:val="183"/>
        </w:trPr>
        <w:tc>
          <w:tcPr>
            <w:tcW w:w="1134" w:type="dxa"/>
            <w:shd w:val="clear" w:color="auto" w:fill="FFFFFF"/>
          </w:tcPr>
          <w:p w14:paraId="1F210F61" w14:textId="77777777" w:rsidR="003714FE" w:rsidRPr="00B57B36" w:rsidRDefault="003714FE" w:rsidP="00300F3E">
            <w:pPr>
              <w:pStyle w:val="CETBodytext"/>
              <w:ind w:right="-1"/>
              <w:jc w:val="left"/>
              <w:rPr>
                <w:rFonts w:cs="Arial"/>
                <w:szCs w:val="18"/>
                <w:lang w:val="en-GB"/>
              </w:rPr>
            </w:pPr>
            <w:r>
              <w:rPr>
                <w:rFonts w:cs="Arial"/>
                <w:szCs w:val="18"/>
                <w:lang w:val="en-GB"/>
              </w:rPr>
              <w:t>Catastrophic</w:t>
            </w:r>
          </w:p>
        </w:tc>
        <w:tc>
          <w:tcPr>
            <w:tcW w:w="1559" w:type="dxa"/>
            <w:shd w:val="clear" w:color="auto" w:fill="FFFFFF"/>
          </w:tcPr>
          <w:p w14:paraId="5257C31F" w14:textId="77777777" w:rsidR="003714FE" w:rsidRDefault="003714FE" w:rsidP="003714FE">
            <w:pPr>
              <w:pStyle w:val="CETBodytext"/>
              <w:ind w:right="-1"/>
              <w:jc w:val="left"/>
              <w:rPr>
                <w:rFonts w:cs="Arial"/>
                <w:szCs w:val="18"/>
                <w:lang w:val="en-GB"/>
              </w:rPr>
            </w:pPr>
            <w:r>
              <w:rPr>
                <w:rFonts w:cs="Arial"/>
                <w:szCs w:val="18"/>
                <w:lang w:val="en-GB"/>
              </w:rPr>
              <w:t>Deaths (&gt;3 employees)/</w:t>
            </w:r>
          </w:p>
          <w:p w14:paraId="0BE54FA9" w14:textId="77777777" w:rsidR="003714FE" w:rsidRPr="00B57B36" w:rsidRDefault="003714FE" w:rsidP="003714FE">
            <w:pPr>
              <w:pStyle w:val="CETBodytext"/>
              <w:ind w:right="-1"/>
              <w:jc w:val="left"/>
              <w:rPr>
                <w:rFonts w:cs="Arial"/>
                <w:szCs w:val="18"/>
                <w:lang w:val="en-GB"/>
              </w:rPr>
            </w:pPr>
            <w:r w:rsidRPr="00953A2E">
              <w:rPr>
                <w:rFonts w:cs="Arial"/>
                <w:szCs w:val="18"/>
                <w:lang w:val="en-GB"/>
              </w:rPr>
              <w:t>Public fatality and injuries (&gt;5)</w:t>
            </w:r>
          </w:p>
        </w:tc>
        <w:tc>
          <w:tcPr>
            <w:tcW w:w="1418" w:type="dxa"/>
            <w:shd w:val="clear" w:color="auto" w:fill="FFFFFF"/>
          </w:tcPr>
          <w:p w14:paraId="772DC03C" w14:textId="77777777" w:rsidR="003714FE" w:rsidRPr="00B57B36" w:rsidRDefault="003714FE" w:rsidP="003714FE">
            <w:pPr>
              <w:pStyle w:val="CETBodytext"/>
              <w:ind w:right="-1"/>
              <w:jc w:val="left"/>
              <w:rPr>
                <w:rFonts w:cs="Arial"/>
                <w:szCs w:val="18"/>
                <w:lang w:val="en-GB"/>
              </w:rPr>
            </w:pPr>
            <w:r>
              <w:rPr>
                <w:rFonts w:cs="Arial"/>
                <w:szCs w:val="18"/>
                <w:lang w:val="en-GB"/>
              </w:rPr>
              <w:t xml:space="preserve">Environmental damage </w:t>
            </w:r>
          </w:p>
        </w:tc>
        <w:tc>
          <w:tcPr>
            <w:tcW w:w="1984" w:type="dxa"/>
            <w:shd w:val="clear" w:color="auto" w:fill="FFFFFF"/>
          </w:tcPr>
          <w:p w14:paraId="3134C6B1" w14:textId="77777777" w:rsidR="003714FE" w:rsidRPr="00B57B36" w:rsidRDefault="003714FE" w:rsidP="003714FE">
            <w:pPr>
              <w:pStyle w:val="CETBodytext"/>
              <w:ind w:right="-1"/>
              <w:jc w:val="left"/>
              <w:rPr>
                <w:rFonts w:cs="Arial"/>
                <w:szCs w:val="18"/>
                <w:lang w:val="en-GB"/>
              </w:rPr>
            </w:pPr>
            <w:r>
              <w:rPr>
                <w:rFonts w:cs="Arial"/>
                <w:szCs w:val="18"/>
                <w:lang w:val="en-GB"/>
              </w:rPr>
              <w:t xml:space="preserve">Work Lost (&gt;3 months) or </w:t>
            </w:r>
            <w:r w:rsidRPr="00CA5D04">
              <w:rPr>
                <w:rFonts w:cs="Arial"/>
                <w:szCs w:val="18"/>
                <w:lang w:val="en-GB"/>
              </w:rPr>
              <w:t>permanent shut down of the plant</w:t>
            </w:r>
          </w:p>
        </w:tc>
        <w:tc>
          <w:tcPr>
            <w:tcW w:w="1135" w:type="dxa"/>
            <w:shd w:val="clear" w:color="auto" w:fill="FFFFFF"/>
          </w:tcPr>
          <w:p w14:paraId="50B748BF" w14:textId="77777777" w:rsidR="003714FE" w:rsidRPr="00B57B36" w:rsidRDefault="003714FE" w:rsidP="003714FE">
            <w:pPr>
              <w:pStyle w:val="CETBodytext"/>
              <w:ind w:right="-1"/>
              <w:jc w:val="center"/>
              <w:rPr>
                <w:rFonts w:cs="Arial"/>
                <w:szCs w:val="18"/>
                <w:lang w:val="en-GB"/>
              </w:rPr>
            </w:pPr>
            <w:r>
              <w:rPr>
                <w:rFonts w:cs="Arial"/>
                <w:szCs w:val="18"/>
                <w:lang w:val="en-GB"/>
              </w:rPr>
              <w:t>Catastrophic damages</w:t>
            </w:r>
          </w:p>
        </w:tc>
        <w:tc>
          <w:tcPr>
            <w:tcW w:w="1134" w:type="dxa"/>
            <w:gridSpan w:val="2"/>
            <w:shd w:val="clear" w:color="auto" w:fill="FFFFFF"/>
          </w:tcPr>
          <w:p w14:paraId="226E9610" w14:textId="77777777" w:rsidR="003714FE" w:rsidRPr="00B57B36" w:rsidRDefault="003714FE" w:rsidP="003714FE">
            <w:pPr>
              <w:pStyle w:val="CETBodytext"/>
              <w:ind w:right="-1"/>
              <w:jc w:val="left"/>
              <w:rPr>
                <w:rFonts w:cs="Arial"/>
                <w:szCs w:val="18"/>
                <w:lang w:val="en-GB"/>
              </w:rPr>
            </w:pPr>
            <w:r>
              <w:rPr>
                <w:rFonts w:cs="Arial"/>
                <w:szCs w:val="18"/>
                <w:lang w:val="en-GB"/>
              </w:rPr>
              <w:t>Intense international media reaction</w:t>
            </w:r>
          </w:p>
        </w:tc>
        <w:tc>
          <w:tcPr>
            <w:tcW w:w="425" w:type="dxa"/>
            <w:shd w:val="clear" w:color="auto" w:fill="FFFFFF"/>
          </w:tcPr>
          <w:p w14:paraId="077FB304" w14:textId="0645DEC4" w:rsidR="003714FE" w:rsidRPr="00B57B36" w:rsidRDefault="003714FE" w:rsidP="003714FE">
            <w:pPr>
              <w:pStyle w:val="CETBodytext"/>
              <w:ind w:right="-1"/>
              <w:jc w:val="center"/>
              <w:rPr>
                <w:rFonts w:cs="Arial"/>
                <w:szCs w:val="18"/>
                <w:lang w:val="en-GB"/>
              </w:rPr>
            </w:pPr>
            <w:r>
              <w:rPr>
                <w:rFonts w:cs="Arial"/>
                <w:szCs w:val="18"/>
                <w:lang w:val="en-GB"/>
              </w:rPr>
              <w:t>C5</w:t>
            </w:r>
          </w:p>
        </w:tc>
      </w:tr>
      <w:tr w:rsidR="003714FE" w:rsidRPr="00B57B36" w14:paraId="5E9AABB5" w14:textId="77777777" w:rsidTr="003714FE">
        <w:trPr>
          <w:trHeight w:val="183"/>
        </w:trPr>
        <w:tc>
          <w:tcPr>
            <w:tcW w:w="1134" w:type="dxa"/>
            <w:shd w:val="clear" w:color="auto" w:fill="FFFFFF"/>
          </w:tcPr>
          <w:p w14:paraId="1FAF0386" w14:textId="77777777" w:rsidR="003714FE" w:rsidRPr="00B57B36" w:rsidRDefault="003714FE" w:rsidP="00300F3E">
            <w:pPr>
              <w:pStyle w:val="CETBodytext"/>
              <w:ind w:right="-1"/>
              <w:rPr>
                <w:rFonts w:cs="Arial"/>
                <w:szCs w:val="18"/>
                <w:lang w:val="en-GB"/>
              </w:rPr>
            </w:pPr>
          </w:p>
        </w:tc>
        <w:tc>
          <w:tcPr>
            <w:tcW w:w="1559" w:type="dxa"/>
            <w:shd w:val="clear" w:color="auto" w:fill="FFFFFF"/>
          </w:tcPr>
          <w:p w14:paraId="1826EB12" w14:textId="77777777" w:rsidR="003714FE" w:rsidRPr="00B57B36" w:rsidRDefault="003714FE" w:rsidP="00300F3E">
            <w:pPr>
              <w:pStyle w:val="CETBodytext"/>
              <w:ind w:right="-1"/>
              <w:rPr>
                <w:rFonts w:cs="Arial"/>
                <w:szCs w:val="18"/>
                <w:lang w:val="en-GB"/>
              </w:rPr>
            </w:pPr>
          </w:p>
        </w:tc>
        <w:tc>
          <w:tcPr>
            <w:tcW w:w="1418" w:type="dxa"/>
            <w:shd w:val="clear" w:color="auto" w:fill="FFFFFF"/>
          </w:tcPr>
          <w:p w14:paraId="2814DEA4" w14:textId="77777777" w:rsidR="003714FE" w:rsidRPr="00B57B36" w:rsidRDefault="003714FE" w:rsidP="00300F3E">
            <w:pPr>
              <w:pStyle w:val="CETBodytext"/>
              <w:ind w:right="-1"/>
              <w:rPr>
                <w:rFonts w:cs="Arial"/>
                <w:szCs w:val="18"/>
                <w:lang w:val="en-GB"/>
              </w:rPr>
            </w:pPr>
          </w:p>
        </w:tc>
        <w:tc>
          <w:tcPr>
            <w:tcW w:w="1984" w:type="dxa"/>
            <w:shd w:val="clear" w:color="auto" w:fill="FFFFFF"/>
          </w:tcPr>
          <w:p w14:paraId="43AE0FE5" w14:textId="77777777" w:rsidR="003714FE" w:rsidRPr="00B57B36" w:rsidRDefault="003714FE" w:rsidP="00300F3E">
            <w:pPr>
              <w:pStyle w:val="CETBodytext"/>
              <w:ind w:right="-1"/>
              <w:rPr>
                <w:rFonts w:cs="Arial"/>
                <w:szCs w:val="18"/>
                <w:lang w:val="en-GB"/>
              </w:rPr>
            </w:pPr>
          </w:p>
        </w:tc>
        <w:tc>
          <w:tcPr>
            <w:tcW w:w="1135" w:type="dxa"/>
            <w:shd w:val="clear" w:color="auto" w:fill="FFFFFF"/>
          </w:tcPr>
          <w:p w14:paraId="07A4A7A0" w14:textId="77777777" w:rsidR="003714FE" w:rsidRPr="00B57B36" w:rsidRDefault="003714FE" w:rsidP="00300F3E">
            <w:pPr>
              <w:pStyle w:val="CETBodytext"/>
              <w:ind w:right="-1"/>
              <w:rPr>
                <w:rFonts w:cs="Arial"/>
                <w:szCs w:val="18"/>
                <w:lang w:val="en-GB"/>
              </w:rPr>
            </w:pPr>
          </w:p>
        </w:tc>
        <w:tc>
          <w:tcPr>
            <w:tcW w:w="708" w:type="dxa"/>
            <w:shd w:val="clear" w:color="auto" w:fill="FFFFFF"/>
          </w:tcPr>
          <w:p w14:paraId="52BF5A06" w14:textId="77777777" w:rsidR="003714FE" w:rsidRPr="00B57B36" w:rsidRDefault="003714FE" w:rsidP="00300F3E">
            <w:pPr>
              <w:pStyle w:val="CETBodytext"/>
              <w:ind w:right="-1"/>
              <w:rPr>
                <w:rFonts w:cs="Arial"/>
                <w:szCs w:val="18"/>
                <w:lang w:val="en-GB"/>
              </w:rPr>
            </w:pPr>
          </w:p>
        </w:tc>
        <w:tc>
          <w:tcPr>
            <w:tcW w:w="851" w:type="dxa"/>
            <w:gridSpan w:val="2"/>
            <w:shd w:val="clear" w:color="auto" w:fill="FFFFFF"/>
          </w:tcPr>
          <w:p w14:paraId="11ED7B2A" w14:textId="77777777" w:rsidR="003714FE" w:rsidRPr="00B57B36" w:rsidRDefault="003714FE" w:rsidP="00300F3E">
            <w:pPr>
              <w:pStyle w:val="CETBodytext"/>
              <w:ind w:right="-1"/>
              <w:rPr>
                <w:rFonts w:cs="Arial"/>
                <w:szCs w:val="18"/>
                <w:lang w:val="en-GB"/>
              </w:rPr>
            </w:pPr>
          </w:p>
        </w:tc>
      </w:tr>
    </w:tbl>
    <w:p w14:paraId="6933B78C" w14:textId="1EE87BA5" w:rsidR="00DE3713" w:rsidRPr="00DE3713" w:rsidRDefault="00DE3713" w:rsidP="00DE3713">
      <w:pPr>
        <w:pStyle w:val="CETBodytext"/>
        <w:rPr>
          <w:lang w:val="en-GB"/>
        </w:rPr>
      </w:pPr>
    </w:p>
    <w:p w14:paraId="0E38A4A9" w14:textId="32151A24" w:rsidR="005206CE" w:rsidRPr="00521600" w:rsidRDefault="00FC1A57" w:rsidP="005206CE">
      <w:pPr>
        <w:pStyle w:val="CETHeading1"/>
        <w:spacing w:before="0"/>
        <w:rPr>
          <w:lang w:val="en-GB"/>
        </w:rPr>
      </w:pPr>
      <w:r w:rsidRPr="00FC1A57">
        <w:rPr>
          <w:lang w:val="en-GB"/>
        </w:rPr>
        <w:t>Results and Discussion</w:t>
      </w:r>
      <w:bookmarkStart w:id="2" w:name="_GoBack"/>
      <w:bookmarkEnd w:id="2"/>
    </w:p>
    <w:p w14:paraId="282BA6BD" w14:textId="2C28BD80" w:rsidR="00FC1A57" w:rsidRDefault="00FC1A57" w:rsidP="00FC1A57">
      <w:pPr>
        <w:pStyle w:val="CETBodytext"/>
        <w:rPr>
          <w:lang w:val="en-GB"/>
        </w:rPr>
      </w:pPr>
      <w:r w:rsidRPr="00FC1A57">
        <w:rPr>
          <w:lang w:val="en-GB"/>
        </w:rPr>
        <w:t xml:space="preserve">Figure </w:t>
      </w:r>
      <w:r w:rsidR="00B563A4">
        <w:rPr>
          <w:lang w:val="en-GB"/>
        </w:rPr>
        <w:t>1</w:t>
      </w:r>
      <w:r w:rsidRPr="00FC1A57">
        <w:rPr>
          <w:lang w:val="en-GB"/>
        </w:rPr>
        <w:t xml:space="preserve"> presents the distribution of events related to the Hazardous </w:t>
      </w:r>
      <w:r w:rsidRPr="008F126F">
        <w:rPr>
          <w:lang w:val="en-GB"/>
        </w:rPr>
        <w:t>Materi</w:t>
      </w:r>
      <w:r w:rsidR="00B50F67" w:rsidRPr="008F126F">
        <w:rPr>
          <w:lang w:val="en-GB"/>
        </w:rPr>
        <w:t>a</w:t>
      </w:r>
      <w:r w:rsidRPr="008F126F">
        <w:rPr>
          <w:lang w:val="en-GB"/>
        </w:rPr>
        <w:t xml:space="preserve">l </w:t>
      </w:r>
      <w:r w:rsidRPr="00FC1A57">
        <w:rPr>
          <w:lang w:val="en-GB"/>
        </w:rPr>
        <w:t>Transportation (</w:t>
      </w:r>
      <w:proofErr w:type="spellStart"/>
      <w:r w:rsidR="00AC0A63">
        <w:rPr>
          <w:lang w:val="en-GB"/>
        </w:rPr>
        <w:t>HazMaT</w:t>
      </w:r>
      <w:proofErr w:type="spellEnd"/>
      <w:r w:rsidRPr="00FC1A57">
        <w:rPr>
          <w:lang w:val="en-GB"/>
        </w:rPr>
        <w:t xml:space="preserve">) according to their severity, based on the ARIA database. The events were classified according to the criteria outlined in Table 1. It should be noted that no events were identified in the near-miss category (C1) (near-misses </w:t>
      </w:r>
      <w:r w:rsidRPr="00FC1A57">
        <w:rPr>
          <w:lang w:val="en-GB"/>
        </w:rPr>
        <w:lastRenderedPageBreak/>
        <w:t>are not recorded in the ARIA database). Mishap category events (C2) represent the highest percentage (60%), followed by incidents (C3) (28%), accidents (C4) (11%), and finally catastrophes (C5) (1%).</w:t>
      </w:r>
    </w:p>
    <w:p w14:paraId="456AD200" w14:textId="70397016" w:rsidR="00FC1A57" w:rsidRDefault="001373C4" w:rsidP="00FC1A57">
      <w:pPr>
        <w:pStyle w:val="CETBodytext"/>
        <w:rPr>
          <w:lang w:val="en-GB"/>
        </w:rPr>
      </w:pPr>
      <w:r>
        <w:rPr>
          <w:noProof/>
        </w:rPr>
        <w:drawing>
          <wp:anchor distT="0" distB="0" distL="114300" distR="114300" simplePos="0" relativeHeight="251650560" behindDoc="0" locked="0" layoutInCell="1" allowOverlap="1" wp14:anchorId="54BBE169" wp14:editId="58000BDA">
            <wp:simplePos x="0" y="0"/>
            <wp:positionH relativeFrom="column">
              <wp:posOffset>-635</wp:posOffset>
            </wp:positionH>
            <wp:positionV relativeFrom="paragraph">
              <wp:posOffset>10795</wp:posOffset>
            </wp:positionV>
            <wp:extent cx="2692400" cy="1492250"/>
            <wp:effectExtent l="0" t="0" r="0" b="0"/>
            <wp:wrapNone/>
            <wp:docPr id="19" name="Graphique 19">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869CE07" w14:textId="32A6FFFD" w:rsidR="00FC1A57" w:rsidRDefault="00FC1A57" w:rsidP="00FC1A57">
      <w:pPr>
        <w:pStyle w:val="CETBodytext"/>
        <w:rPr>
          <w:lang w:val="en-GB"/>
        </w:rPr>
      </w:pPr>
    </w:p>
    <w:p w14:paraId="199482DB" w14:textId="60FC669A" w:rsidR="00FC1A57" w:rsidRDefault="00FC1A57" w:rsidP="00FC1A57">
      <w:pPr>
        <w:pStyle w:val="CETBodytext"/>
        <w:rPr>
          <w:lang w:val="en-GB"/>
        </w:rPr>
      </w:pPr>
    </w:p>
    <w:p w14:paraId="7730E82D" w14:textId="5898EA25" w:rsidR="00FC1A57" w:rsidRDefault="00FC1A57" w:rsidP="00FC1A57">
      <w:pPr>
        <w:pStyle w:val="CETBodytext"/>
        <w:rPr>
          <w:lang w:val="en-GB"/>
        </w:rPr>
      </w:pPr>
    </w:p>
    <w:p w14:paraId="260839CD" w14:textId="62BAB5D3" w:rsidR="00FC1A57" w:rsidRDefault="00FC1A57" w:rsidP="00FC1A57">
      <w:pPr>
        <w:pStyle w:val="CETBodytext"/>
        <w:rPr>
          <w:lang w:val="en-GB"/>
        </w:rPr>
      </w:pPr>
    </w:p>
    <w:p w14:paraId="6355D550" w14:textId="366C655E" w:rsidR="00FC1A57" w:rsidRDefault="00FC1A57" w:rsidP="00FC1A57">
      <w:pPr>
        <w:spacing w:line="240" w:lineRule="auto"/>
        <w:jc w:val="center"/>
        <w:rPr>
          <w:rFonts w:ascii="Times New Roman" w:hAnsi="Times New Roman"/>
          <w:sz w:val="20"/>
        </w:rPr>
      </w:pPr>
    </w:p>
    <w:p w14:paraId="6EE53EA4" w14:textId="7804C45C" w:rsidR="00FC1A57" w:rsidRDefault="00FC1A57" w:rsidP="00FC1A57"/>
    <w:p w14:paraId="6BA11EF3" w14:textId="3049FA84" w:rsidR="00FC1A57" w:rsidRDefault="00FC1A57" w:rsidP="00FC1A57">
      <w:pPr>
        <w:spacing w:line="240" w:lineRule="auto"/>
        <w:rPr>
          <w:rFonts w:ascii="Times New Roman" w:hAnsi="Times New Roman"/>
          <w:sz w:val="20"/>
        </w:rPr>
      </w:pPr>
    </w:p>
    <w:p w14:paraId="65F4C750" w14:textId="211C596B" w:rsidR="00FC1A57" w:rsidRDefault="00B65487" w:rsidP="00B563A4">
      <w:pPr>
        <w:tabs>
          <w:tab w:val="clear" w:pos="7100"/>
          <w:tab w:val="left" w:pos="5893"/>
        </w:tabs>
        <w:spacing w:line="240" w:lineRule="auto"/>
        <w:rPr>
          <w:rFonts w:ascii="Times New Roman" w:hAnsi="Times New Roman"/>
          <w:sz w:val="20"/>
        </w:rPr>
      </w:pPr>
      <w:r>
        <w:rPr>
          <w:noProof/>
        </w:rPr>
        <mc:AlternateContent>
          <mc:Choice Requires="wps">
            <w:drawing>
              <wp:anchor distT="0" distB="0" distL="114300" distR="114300" simplePos="0" relativeHeight="251687424" behindDoc="0" locked="0" layoutInCell="1" allowOverlap="1" wp14:anchorId="7909CE9A" wp14:editId="21BB3DAA">
                <wp:simplePos x="0" y="0"/>
                <wp:positionH relativeFrom="margin">
                  <wp:align>left</wp:align>
                </wp:positionH>
                <wp:positionV relativeFrom="paragraph">
                  <wp:posOffset>129844</wp:posOffset>
                </wp:positionV>
                <wp:extent cx="5239910" cy="397565"/>
                <wp:effectExtent l="0" t="0" r="0" b="2540"/>
                <wp:wrapNone/>
                <wp:docPr id="13" name="Zone de texte 13"/>
                <wp:cNvGraphicFramePr/>
                <a:graphic xmlns:a="http://schemas.openxmlformats.org/drawingml/2006/main">
                  <a:graphicData uri="http://schemas.microsoft.com/office/word/2010/wordprocessingShape">
                    <wps:wsp>
                      <wps:cNvSpPr txBox="1"/>
                      <wps:spPr>
                        <a:xfrm>
                          <a:off x="0" y="0"/>
                          <a:ext cx="5239910" cy="397565"/>
                        </a:xfrm>
                        <a:prstGeom prst="rect">
                          <a:avLst/>
                        </a:prstGeom>
                        <a:solidFill>
                          <a:prstClr val="white"/>
                        </a:solidFill>
                        <a:ln>
                          <a:noFill/>
                        </a:ln>
                      </wps:spPr>
                      <wps:txbx>
                        <w:txbxContent>
                          <w:p w14:paraId="7BDF289B" w14:textId="1A980BC9" w:rsidR="008F126F" w:rsidRPr="00FC1A57" w:rsidRDefault="008F126F" w:rsidP="0026743D">
                            <w:pPr>
                              <w:pStyle w:val="CETCaption"/>
                            </w:pPr>
                            <w:r>
                              <w:t xml:space="preserve">Figure 1: </w:t>
                            </w:r>
                            <w:r w:rsidRPr="00B61B41">
                              <w:t xml:space="preserve">Distribution of </w:t>
                            </w:r>
                            <w:proofErr w:type="spellStart"/>
                            <w:r>
                              <w:t>HazMaT</w:t>
                            </w:r>
                            <w:proofErr w:type="spellEnd"/>
                            <w:r w:rsidRPr="00B61B41">
                              <w:t xml:space="preserve"> events by </w:t>
                            </w:r>
                            <w:r>
                              <w:t>consequences</w:t>
                            </w:r>
                            <w:r w:rsidRPr="00B61B41">
                              <w:t xml:space="preserve"> in France: ARIA database (1981-2022)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9CE9A" id="_x0000_t202" coordsize="21600,21600" o:spt="202" path="m,l,21600r21600,l21600,xe">
                <v:stroke joinstyle="miter"/>
                <v:path gradientshapeok="t" o:connecttype="rect"/>
              </v:shapetype>
              <v:shape id="Zone de texte 13" o:spid="_x0000_s1026" type="#_x0000_t202" style="position:absolute;left:0;text-align:left;margin-left:0;margin-top:10.2pt;width:412.6pt;height:31.3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" stroked="f">
                <v:textbox inset="0,0,0,0">
                  <w:txbxContent>
                    <w:p w14:paraId="7BDF289B" w14:textId="1A980BC9" w:rsidR="008F126F" w:rsidRPr="00FC1A57" w:rsidRDefault="008F126F" w:rsidP="0026743D">
                      <w:pPr>
                        <w:pStyle w:val="CETCaption"/>
                      </w:pPr>
                      <w:r>
                        <w:t xml:space="preserve">Figure 1: </w:t>
                      </w:r>
                      <w:r w:rsidRPr="00B61B41">
                        <w:t xml:space="preserve">Distribution of </w:t>
                      </w:r>
                      <w:proofErr w:type="spellStart"/>
                      <w:r>
                        <w:t>HazMaT</w:t>
                      </w:r>
                      <w:proofErr w:type="spellEnd"/>
                      <w:r w:rsidRPr="00B61B41">
                        <w:t xml:space="preserve"> events by </w:t>
                      </w:r>
                      <w:r>
                        <w:t>consequences</w:t>
                      </w:r>
                      <w:r w:rsidRPr="00B61B41">
                        <w:t xml:space="preserve"> in France: ARIA database (1981-2022)</w:t>
                      </w:r>
                    </w:p>
                  </w:txbxContent>
                </v:textbox>
                <w10:wrap anchorx="margin"/>
              </v:shape>
            </w:pict>
          </mc:Fallback>
        </mc:AlternateContent>
      </w:r>
      <w:r w:rsidR="00B563A4">
        <w:rPr>
          <w:rFonts w:ascii="Times New Roman" w:hAnsi="Times New Roman"/>
          <w:sz w:val="20"/>
        </w:rPr>
        <w:tab/>
      </w:r>
    </w:p>
    <w:p w14:paraId="0F6D15E4" w14:textId="6D003012" w:rsidR="00B563A4" w:rsidRDefault="00B563A4" w:rsidP="00B563A4">
      <w:pPr>
        <w:tabs>
          <w:tab w:val="clear" w:pos="7100"/>
          <w:tab w:val="left" w:pos="5893"/>
        </w:tabs>
        <w:spacing w:line="240" w:lineRule="auto"/>
        <w:rPr>
          <w:rFonts w:ascii="Times New Roman" w:hAnsi="Times New Roman"/>
          <w:sz w:val="20"/>
        </w:rPr>
      </w:pPr>
    </w:p>
    <w:p w14:paraId="1B088E59" w14:textId="3249B8FC" w:rsidR="00B563A4" w:rsidRDefault="00B563A4" w:rsidP="00B563A4">
      <w:pPr>
        <w:tabs>
          <w:tab w:val="clear" w:pos="7100"/>
          <w:tab w:val="left" w:pos="5893"/>
        </w:tabs>
        <w:spacing w:line="240" w:lineRule="auto"/>
        <w:rPr>
          <w:rFonts w:ascii="Times New Roman" w:hAnsi="Times New Roman"/>
          <w:sz w:val="20"/>
        </w:rPr>
      </w:pPr>
    </w:p>
    <w:p w14:paraId="5395A47D" w14:textId="73F5A73A" w:rsidR="00B563A4" w:rsidRPr="00037097" w:rsidRDefault="00B563A4" w:rsidP="00B563A4">
      <w:pPr>
        <w:pStyle w:val="CETheadingx"/>
      </w:pPr>
      <w:r w:rsidRPr="00037097">
        <w:t>Hazardous Phenomenon</w:t>
      </w:r>
    </w:p>
    <w:p w14:paraId="2691A128" w14:textId="752819AD" w:rsidR="00B563A4" w:rsidRDefault="00B563A4" w:rsidP="00B563A4">
      <w:pPr>
        <w:pStyle w:val="CETBodytext"/>
        <w:rPr>
          <w:lang w:val="en-GB"/>
        </w:rPr>
      </w:pPr>
      <w:r w:rsidRPr="00037097">
        <w:rPr>
          <w:lang w:val="en-GB"/>
        </w:rPr>
        <w:t xml:space="preserve">Figure </w:t>
      </w:r>
      <w:r>
        <w:rPr>
          <w:lang w:val="en-GB"/>
        </w:rPr>
        <w:t>2</w:t>
      </w:r>
      <w:r w:rsidRPr="00037097">
        <w:rPr>
          <w:lang w:val="en-GB"/>
        </w:rPr>
        <w:t xml:space="preserve"> shows the distribution of </w:t>
      </w:r>
      <w:proofErr w:type="spellStart"/>
      <w:r>
        <w:rPr>
          <w:lang w:val="en-GB"/>
        </w:rPr>
        <w:t>HazMaT</w:t>
      </w:r>
      <w:proofErr w:type="spellEnd"/>
      <w:r w:rsidRPr="00037097">
        <w:rPr>
          <w:lang w:val="en-GB"/>
        </w:rPr>
        <w:t xml:space="preserve"> events by hazardous phenomenon, based on reports published in the ARIA database. The release of hazardous materials was the most frequent hazardous phenomenon, accounting for 61% of events, followed by fires (22%) and explosions (9%)</w:t>
      </w:r>
      <w:r>
        <w:rPr>
          <w:lang w:val="en-GB"/>
        </w:rPr>
        <w:t>.</w:t>
      </w:r>
    </w:p>
    <w:p w14:paraId="514A6E6B" w14:textId="2F7AD4AA" w:rsidR="00B563A4" w:rsidRDefault="00B563A4" w:rsidP="00B563A4">
      <w:pPr>
        <w:tabs>
          <w:tab w:val="clear" w:pos="7100"/>
          <w:tab w:val="left" w:pos="5893"/>
        </w:tabs>
        <w:spacing w:line="240" w:lineRule="auto"/>
        <w:rPr>
          <w:rFonts w:ascii="Times New Roman" w:hAnsi="Times New Roman"/>
          <w:sz w:val="20"/>
        </w:rPr>
      </w:pPr>
    </w:p>
    <w:p w14:paraId="163D56C7" w14:textId="20E482D1" w:rsidR="00B563A4" w:rsidRDefault="00B563A4" w:rsidP="00B563A4">
      <w:pPr>
        <w:tabs>
          <w:tab w:val="clear" w:pos="7100"/>
          <w:tab w:val="left" w:pos="5893"/>
        </w:tabs>
        <w:spacing w:line="240" w:lineRule="auto"/>
        <w:rPr>
          <w:rFonts w:ascii="Times New Roman" w:hAnsi="Times New Roman"/>
          <w:sz w:val="20"/>
        </w:rPr>
      </w:pPr>
      <w:r>
        <w:rPr>
          <w:noProof/>
        </w:rPr>
        <w:drawing>
          <wp:anchor distT="0" distB="0" distL="114300" distR="114300" simplePos="0" relativeHeight="251667968" behindDoc="0" locked="0" layoutInCell="1" allowOverlap="1" wp14:anchorId="253C0BE9" wp14:editId="114BBCC0">
            <wp:simplePos x="0" y="0"/>
            <wp:positionH relativeFrom="margin">
              <wp:align>left</wp:align>
            </wp:positionH>
            <wp:positionV relativeFrom="paragraph">
              <wp:posOffset>6985</wp:posOffset>
            </wp:positionV>
            <wp:extent cx="2869809" cy="1441450"/>
            <wp:effectExtent l="0" t="0" r="6985" b="6350"/>
            <wp:wrapNone/>
            <wp:docPr id="20" name="Graphique 20">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4CD4266" w14:textId="77777777" w:rsidR="00B563A4" w:rsidRDefault="00B563A4" w:rsidP="00FC1A57">
      <w:pPr>
        <w:pStyle w:val="CETBodytext"/>
        <w:rPr>
          <w:lang w:val="en-GB"/>
        </w:rPr>
      </w:pPr>
    </w:p>
    <w:p w14:paraId="5BAFED62" w14:textId="77777777" w:rsidR="00B563A4" w:rsidRDefault="00B563A4" w:rsidP="00FC1A57">
      <w:pPr>
        <w:pStyle w:val="CETBodytext"/>
        <w:rPr>
          <w:lang w:val="en-GB"/>
        </w:rPr>
      </w:pPr>
    </w:p>
    <w:p w14:paraId="3E82C438" w14:textId="158328E6" w:rsidR="00B563A4" w:rsidRDefault="00B563A4" w:rsidP="00FC1A57">
      <w:pPr>
        <w:pStyle w:val="CETBodytext"/>
        <w:rPr>
          <w:lang w:val="en-GB"/>
        </w:rPr>
      </w:pPr>
    </w:p>
    <w:p w14:paraId="76143316" w14:textId="77777777" w:rsidR="00B563A4" w:rsidRDefault="00B563A4" w:rsidP="00FC1A57">
      <w:pPr>
        <w:pStyle w:val="CETBodytext"/>
        <w:rPr>
          <w:lang w:val="en-GB"/>
        </w:rPr>
      </w:pPr>
    </w:p>
    <w:p w14:paraId="05D6CD6B" w14:textId="57AEF5E1" w:rsidR="00B563A4" w:rsidRDefault="00B563A4" w:rsidP="00FC1A57">
      <w:pPr>
        <w:pStyle w:val="CETBodytext"/>
        <w:rPr>
          <w:lang w:val="en-GB"/>
        </w:rPr>
      </w:pPr>
    </w:p>
    <w:p w14:paraId="55A9320E" w14:textId="77777777" w:rsidR="00B563A4" w:rsidRDefault="00B563A4" w:rsidP="00FC1A57">
      <w:pPr>
        <w:pStyle w:val="CETBodytext"/>
        <w:rPr>
          <w:lang w:val="en-GB"/>
        </w:rPr>
      </w:pPr>
    </w:p>
    <w:p w14:paraId="2437E026" w14:textId="69EDF947" w:rsidR="00B563A4" w:rsidRDefault="00B563A4" w:rsidP="00FC1A57">
      <w:pPr>
        <w:pStyle w:val="CETBodytext"/>
        <w:rPr>
          <w:lang w:val="en-GB"/>
        </w:rPr>
      </w:pPr>
      <w:r>
        <w:rPr>
          <w:noProof/>
        </w:rPr>
        <mc:AlternateContent>
          <mc:Choice Requires="wps">
            <w:drawing>
              <wp:anchor distT="0" distB="0" distL="114300" distR="114300" simplePos="0" relativeHeight="251689472" behindDoc="0" locked="0" layoutInCell="1" allowOverlap="1" wp14:anchorId="285C47FA" wp14:editId="2A592BD5">
                <wp:simplePos x="0" y="0"/>
                <wp:positionH relativeFrom="margin">
                  <wp:align>right</wp:align>
                </wp:positionH>
                <wp:positionV relativeFrom="paragraph">
                  <wp:posOffset>285164</wp:posOffset>
                </wp:positionV>
                <wp:extent cx="5577205" cy="520065"/>
                <wp:effectExtent l="0" t="0" r="4445" b="0"/>
                <wp:wrapTopAndBottom/>
                <wp:docPr id="16" name="Zone de texte 16"/>
                <wp:cNvGraphicFramePr/>
                <a:graphic xmlns:a="http://schemas.openxmlformats.org/drawingml/2006/main">
                  <a:graphicData uri="http://schemas.microsoft.com/office/word/2010/wordprocessingShape">
                    <wps:wsp>
                      <wps:cNvSpPr txBox="1"/>
                      <wps:spPr>
                        <a:xfrm>
                          <a:off x="0" y="0"/>
                          <a:ext cx="5577205" cy="520065"/>
                        </a:xfrm>
                        <a:prstGeom prst="rect">
                          <a:avLst/>
                        </a:prstGeom>
                        <a:solidFill>
                          <a:prstClr val="white"/>
                        </a:solidFill>
                        <a:ln>
                          <a:noFill/>
                        </a:ln>
                      </wps:spPr>
                      <wps:txbx>
                        <w:txbxContent>
                          <w:p w14:paraId="7F1D840A" w14:textId="7D73FCEA" w:rsidR="008F126F" w:rsidRPr="00DE3713" w:rsidRDefault="008F126F" w:rsidP="0026743D">
                            <w:pPr>
                              <w:pStyle w:val="CETCaption"/>
                            </w:pPr>
                            <w:r>
                              <w:t>Figure 2:</w:t>
                            </w:r>
                            <w:r w:rsidRPr="00037097">
                              <w:t xml:space="preserve"> Distribution of </w:t>
                            </w:r>
                            <w:proofErr w:type="spellStart"/>
                            <w:r>
                              <w:t>HazMaT</w:t>
                            </w:r>
                            <w:proofErr w:type="spellEnd"/>
                            <w:r w:rsidRPr="00037097">
                              <w:t xml:space="preserve"> events by hazardous phenomenon: ARIA database.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C47FA" id="Zone de texte 16" o:spid="_x0000_s1027" type="#_x0000_t202" style="position:absolute;left:0;text-align:left;margin-left:387.95pt;margin-top:22.45pt;width:439.15pt;height:40.9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" stroked="f">
                <v:textbox inset="0,0,0,0">
                  <w:txbxContent>
                    <w:p w14:paraId="7F1D840A" w14:textId="7D73FCEA" w:rsidR="008F126F" w:rsidRPr="00DE3713" w:rsidRDefault="008F126F" w:rsidP="0026743D">
                      <w:pPr>
                        <w:pStyle w:val="CETCaption"/>
                      </w:pPr>
                      <w:r>
                        <w:t>Figure 2:</w:t>
                      </w:r>
                      <w:r w:rsidRPr="00037097">
                        <w:t xml:space="preserve"> Distribution of </w:t>
                      </w:r>
                      <w:proofErr w:type="spellStart"/>
                      <w:r>
                        <w:t>HazMaT</w:t>
                      </w:r>
                      <w:proofErr w:type="spellEnd"/>
                      <w:r w:rsidRPr="00037097">
                        <w:t xml:space="preserve"> events by hazardous phenomenon: ARIA database.</w:t>
                      </w:r>
                    </w:p>
                  </w:txbxContent>
                </v:textbox>
                <w10:wrap type="topAndBottom" anchorx="margin"/>
              </v:shape>
            </w:pict>
          </mc:Fallback>
        </mc:AlternateContent>
      </w:r>
    </w:p>
    <w:p w14:paraId="796E0BB9" w14:textId="5E2FB4A6" w:rsidR="00FC1A57" w:rsidRDefault="00165542" w:rsidP="00FC1A57">
      <w:pPr>
        <w:pStyle w:val="CETBodytext"/>
        <w:rPr>
          <w:lang w:val="en-GB"/>
        </w:rPr>
      </w:pPr>
      <w:r>
        <w:rPr>
          <w:noProof/>
        </w:rPr>
        <w:drawing>
          <wp:inline distT="0" distB="0" distL="0" distR="0" wp14:anchorId="485CFFD8" wp14:editId="7F951392">
            <wp:extent cx="5727700" cy="1651000"/>
            <wp:effectExtent l="0" t="0" r="6350" b="6350"/>
            <wp:docPr id="1" name="Graphique 1">
              <a:extLst xmlns:a="http://schemas.openxmlformats.org/drawingml/2006/main">
                <a:ext uri="{FF2B5EF4-FFF2-40B4-BE49-F238E27FC236}">
                  <a16:creationId xmlns:a16="http://schemas.microsoft.com/office/drawing/2014/main" id="{17A8BE91-16BC-4A87-9DEA-74DC3A5D03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3FBF52" w14:textId="77777777" w:rsidR="008F126F" w:rsidRDefault="00037097" w:rsidP="008F126F">
      <w:pPr>
        <w:pStyle w:val="CETCaption"/>
        <w:spacing w:line="240" w:lineRule="auto"/>
      </w:pPr>
      <w:r w:rsidRPr="00037097">
        <w:t xml:space="preserve">Figure </w:t>
      </w:r>
      <w:r w:rsidR="00B563A4">
        <w:t>3</w:t>
      </w:r>
      <w:r w:rsidRPr="00037097">
        <w:t>:</w:t>
      </w:r>
      <w:r w:rsidR="006C6C5F">
        <w:t xml:space="preserve"> </w:t>
      </w:r>
      <w:r w:rsidRPr="00037097">
        <w:t xml:space="preserve">Distribution of </w:t>
      </w:r>
      <w:proofErr w:type="spellStart"/>
      <w:r w:rsidR="00AC0A63">
        <w:t>HazMaT</w:t>
      </w:r>
      <w:proofErr w:type="spellEnd"/>
      <w:r w:rsidRPr="00037097">
        <w:t xml:space="preserve"> events by period: ARIA database.</w:t>
      </w:r>
    </w:p>
    <w:p w14:paraId="0B7BA3BE" w14:textId="11071866" w:rsidR="00037097" w:rsidRPr="008F126F" w:rsidRDefault="00165542" w:rsidP="008F126F">
      <w:pPr>
        <w:pStyle w:val="CETCaption"/>
        <w:spacing w:after="0" w:line="240" w:lineRule="auto"/>
        <w:rPr>
          <w:i w:val="0"/>
        </w:rPr>
      </w:pPr>
      <w:r w:rsidRPr="008F126F">
        <w:rPr>
          <w:i w:val="0"/>
        </w:rPr>
        <w:t xml:space="preserve">Figure </w:t>
      </w:r>
      <w:r w:rsidR="00B563A4" w:rsidRPr="008F126F">
        <w:rPr>
          <w:i w:val="0"/>
        </w:rPr>
        <w:t>3</w:t>
      </w:r>
      <w:r w:rsidRPr="008F126F">
        <w:rPr>
          <w:i w:val="0"/>
        </w:rPr>
        <w:t xml:space="preserve"> presents the temporal evolution of events associated with Hazardous Material Transportation (</w:t>
      </w:r>
      <w:proofErr w:type="spellStart"/>
      <w:r w:rsidR="00AC0A63" w:rsidRPr="008F126F">
        <w:rPr>
          <w:i w:val="0"/>
        </w:rPr>
        <w:t>HazMaT</w:t>
      </w:r>
      <w:proofErr w:type="spellEnd"/>
      <w:r w:rsidRPr="008F126F">
        <w:rPr>
          <w:i w:val="0"/>
        </w:rPr>
        <w:t xml:space="preserve">) recorded in the ARIA database. No </w:t>
      </w:r>
      <w:proofErr w:type="spellStart"/>
      <w:r w:rsidR="00AC0A63" w:rsidRPr="008F126F">
        <w:rPr>
          <w:i w:val="0"/>
        </w:rPr>
        <w:t>HazMaT</w:t>
      </w:r>
      <w:proofErr w:type="spellEnd"/>
      <w:r w:rsidRPr="008F126F">
        <w:rPr>
          <w:i w:val="0"/>
        </w:rPr>
        <w:t xml:space="preserve"> event was reported between 1981 and 1987, but their number increased significantly from 1988 to 2015. Then, a decrease was observed from 2016 to 2022. This decrease may be due to some events not yet being recorded in the ARIA database, but it could also be attributed to the confinement period imposed by the Covid-19 pandemic, which led to a significant decrease in industrial activity</w:t>
      </w:r>
      <w:r w:rsidR="00026177" w:rsidRPr="008F126F">
        <w:rPr>
          <w:i w:val="0"/>
        </w:rPr>
        <w:t xml:space="preserve"> (</w:t>
      </w:r>
      <w:proofErr w:type="spellStart"/>
      <w:r w:rsidR="00026177" w:rsidRPr="008F126F">
        <w:rPr>
          <w:i w:val="0"/>
        </w:rPr>
        <w:t>Guerini</w:t>
      </w:r>
      <w:proofErr w:type="spellEnd"/>
      <w:r w:rsidR="00026177" w:rsidRPr="008F126F">
        <w:rPr>
          <w:i w:val="0"/>
        </w:rPr>
        <w:t xml:space="preserve"> et al., 2020)</w:t>
      </w:r>
      <w:r w:rsidR="00983918" w:rsidRPr="008F126F">
        <w:rPr>
          <w:i w:val="0"/>
        </w:rPr>
        <w:t>.</w:t>
      </w:r>
    </w:p>
    <w:p w14:paraId="0248CF79" w14:textId="135472F1" w:rsidR="008F126F" w:rsidRDefault="008F126F" w:rsidP="008F126F">
      <w:pPr>
        <w:pStyle w:val="CETBodytext"/>
        <w:rPr>
          <w:lang w:val="en-GB"/>
        </w:rPr>
      </w:pPr>
      <w:r w:rsidRPr="00037097">
        <w:rPr>
          <w:lang w:val="en-GB"/>
        </w:rPr>
        <w:t xml:space="preserve">Figure </w:t>
      </w:r>
      <w:r>
        <w:rPr>
          <w:lang w:val="en-GB"/>
        </w:rPr>
        <w:t>4</w:t>
      </w:r>
      <w:r w:rsidRPr="00037097">
        <w:rPr>
          <w:lang w:val="en-GB"/>
        </w:rPr>
        <w:t xml:space="preserve"> depicts the distribution of hazardous material transportation (</w:t>
      </w:r>
      <w:proofErr w:type="spellStart"/>
      <w:r>
        <w:rPr>
          <w:lang w:val="en-GB"/>
        </w:rPr>
        <w:t>HazMaT</w:t>
      </w:r>
      <w:proofErr w:type="spellEnd"/>
      <w:r w:rsidRPr="00037097">
        <w:rPr>
          <w:lang w:val="en-GB"/>
        </w:rPr>
        <w:t xml:space="preserve">) accidents by chemical industry sector between 1981 and 2022. The transportation sector (rail/road/water, pipeline) was the most affected, accounting for 76.11% of </w:t>
      </w:r>
      <w:proofErr w:type="spellStart"/>
      <w:r>
        <w:rPr>
          <w:lang w:val="en-GB"/>
        </w:rPr>
        <w:t>HazMaT</w:t>
      </w:r>
      <w:proofErr w:type="spellEnd"/>
      <w:r w:rsidRPr="00037097">
        <w:rPr>
          <w:lang w:val="en-GB"/>
        </w:rPr>
        <w:t xml:space="preserve"> accidents (137 events). The second largest sector affected was handling and storage </w:t>
      </w:r>
      <w:proofErr w:type="spellStart"/>
      <w:r w:rsidRPr="00037097">
        <w:rPr>
          <w:lang w:val="en-GB"/>
        </w:rPr>
        <w:t>centers</w:t>
      </w:r>
      <w:proofErr w:type="spellEnd"/>
      <w:r w:rsidRPr="00037097">
        <w:rPr>
          <w:lang w:val="en-GB"/>
        </w:rPr>
        <w:t xml:space="preserve"> with 8% of </w:t>
      </w:r>
      <w:proofErr w:type="spellStart"/>
      <w:r>
        <w:rPr>
          <w:lang w:val="en-GB"/>
        </w:rPr>
        <w:t>HazMaT</w:t>
      </w:r>
      <w:proofErr w:type="spellEnd"/>
      <w:r w:rsidRPr="00037097">
        <w:rPr>
          <w:lang w:val="en-GB"/>
        </w:rPr>
        <w:t xml:space="preserve"> events (16 events). Together, these two sectors represent 84.11% of </w:t>
      </w:r>
      <w:proofErr w:type="spellStart"/>
      <w:r>
        <w:rPr>
          <w:lang w:val="en-GB"/>
        </w:rPr>
        <w:t>HazMaT</w:t>
      </w:r>
      <w:proofErr w:type="spellEnd"/>
      <w:r w:rsidRPr="00037097">
        <w:rPr>
          <w:lang w:val="en-GB"/>
        </w:rPr>
        <w:t xml:space="preserve"> </w:t>
      </w:r>
      <w:r>
        <w:rPr>
          <w:lang w:val="en-GB"/>
        </w:rPr>
        <w:t>events</w:t>
      </w:r>
      <w:r w:rsidRPr="00037097">
        <w:rPr>
          <w:lang w:val="en-GB"/>
        </w:rPr>
        <w:t xml:space="preserve"> during the period from 1981 to 2022.</w:t>
      </w:r>
    </w:p>
    <w:p w14:paraId="51CB04BC" w14:textId="77777777" w:rsidR="008F126F" w:rsidRPr="00037097" w:rsidRDefault="008F126F" w:rsidP="008F126F">
      <w:pPr>
        <w:pStyle w:val="CETBodytext"/>
        <w:rPr>
          <w:lang w:val="en-GB"/>
        </w:rPr>
      </w:pPr>
      <w:r w:rsidRPr="00037097">
        <w:rPr>
          <w:lang w:val="en-GB"/>
        </w:rPr>
        <w:lastRenderedPageBreak/>
        <w:t xml:space="preserve">Figure </w:t>
      </w:r>
      <w:r>
        <w:rPr>
          <w:lang w:val="en-GB"/>
        </w:rPr>
        <w:t>5</w:t>
      </w:r>
      <w:r w:rsidRPr="00037097">
        <w:rPr>
          <w:lang w:val="en-GB"/>
        </w:rPr>
        <w:t xml:space="preserve"> presents the human consequences of events involving the transport of hazardous materials in the chemical industry sector between 198</w:t>
      </w:r>
      <w:r>
        <w:rPr>
          <w:lang w:val="en-GB"/>
        </w:rPr>
        <w:t>1</w:t>
      </w:r>
      <w:r w:rsidRPr="00037097">
        <w:rPr>
          <w:lang w:val="en-GB"/>
        </w:rPr>
        <w:t xml:space="preserve"> and 2022. Out of the 180 recorded events, 71 resulted in injuries and fatalities, totalling 164 injuries and 33 deaths.</w:t>
      </w:r>
    </w:p>
    <w:p w14:paraId="74818825" w14:textId="77777777" w:rsidR="008F126F" w:rsidRPr="00037097" w:rsidRDefault="008F126F" w:rsidP="008F126F">
      <w:pPr>
        <w:pStyle w:val="CETBodytext"/>
        <w:rPr>
          <w:lang w:val="en-GB"/>
        </w:rPr>
      </w:pPr>
      <w:r w:rsidRPr="00037097">
        <w:rPr>
          <w:lang w:val="en-GB"/>
        </w:rPr>
        <w:t xml:space="preserve">The transportation sector (rail/road/water, pipeline transport) recorded the highest number of deaths with 29, followed by the </w:t>
      </w:r>
      <w:r>
        <w:rPr>
          <w:lang w:val="en-GB"/>
        </w:rPr>
        <w:t>(</w:t>
      </w:r>
      <w:r w:rsidRPr="00037097">
        <w:rPr>
          <w:lang w:val="en-GB"/>
        </w:rPr>
        <w:t>sanitation/waste management</w:t>
      </w:r>
      <w:r>
        <w:rPr>
          <w:lang w:val="en-GB"/>
        </w:rPr>
        <w:t>)</w:t>
      </w:r>
      <w:r w:rsidRPr="00037097">
        <w:rPr>
          <w:lang w:val="en-GB"/>
        </w:rPr>
        <w:t xml:space="preserve"> sector with 2 deaths.</w:t>
      </w:r>
    </w:p>
    <w:p w14:paraId="2FF23D14" w14:textId="4335A2FC" w:rsidR="008F126F" w:rsidRDefault="008F126F" w:rsidP="008F126F">
      <w:pPr>
        <w:pStyle w:val="CETBodytext"/>
        <w:spacing w:after="240"/>
        <w:rPr>
          <w:lang w:val="en-GB"/>
        </w:rPr>
      </w:pPr>
      <w:r w:rsidRPr="00037097">
        <w:rPr>
          <w:lang w:val="en-GB"/>
        </w:rPr>
        <w:t xml:space="preserve">The most affected sectors in terms </w:t>
      </w:r>
      <w:r>
        <w:rPr>
          <w:lang w:val="en-GB"/>
        </w:rPr>
        <w:t xml:space="preserve">of </w:t>
      </w:r>
      <w:r w:rsidRPr="00037097">
        <w:rPr>
          <w:lang w:val="en-GB"/>
        </w:rPr>
        <w:t>injuries are transportation (rail/road/water, pipeline transport), with 117 injuries, handling and storage with 23 injuries, and sanitation/waste management with 10 injuries.</w:t>
      </w:r>
    </w:p>
    <w:p w14:paraId="13E4CC73" w14:textId="671E429E" w:rsidR="00037097" w:rsidRDefault="00037097" w:rsidP="008F126F">
      <w:pPr>
        <w:pStyle w:val="CETBodytext"/>
        <w:spacing w:before="240" w:after="240"/>
        <w:rPr>
          <w:i/>
        </w:rPr>
      </w:pPr>
      <w:r w:rsidRPr="00C242C3">
        <w:rPr>
          <w:noProof/>
          <w:sz w:val="20"/>
        </w:rPr>
        <w:drawing>
          <wp:inline distT="0" distB="0" distL="0" distR="0" wp14:anchorId="50912A30" wp14:editId="78713AF5">
            <wp:extent cx="5613400" cy="1511300"/>
            <wp:effectExtent l="0" t="0" r="6350" b="12700"/>
            <wp:docPr id="21" name="Graphique 21">
              <a:extLst xmlns:a="http://schemas.openxmlformats.org/drawingml/2006/main">
                <a:ext uri="{FF2B5EF4-FFF2-40B4-BE49-F238E27FC236}">
                  <a16:creationId xmlns:a16="http://schemas.microsoft.com/office/drawing/2014/main" id="{3F05D698-D7F8-420B-B52E-686DBD4A4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37097">
        <w:rPr>
          <w:i/>
        </w:rPr>
        <w:t xml:space="preserve">Figure </w:t>
      </w:r>
      <w:r w:rsidR="00B563A4">
        <w:rPr>
          <w:i/>
        </w:rPr>
        <w:t xml:space="preserve">4: </w:t>
      </w:r>
      <w:r w:rsidRPr="00037097">
        <w:rPr>
          <w:i/>
        </w:rPr>
        <w:t xml:space="preserve">Distribution of </w:t>
      </w:r>
      <w:proofErr w:type="spellStart"/>
      <w:r w:rsidR="00AC0A63">
        <w:rPr>
          <w:i/>
        </w:rPr>
        <w:t>HazMaT</w:t>
      </w:r>
      <w:proofErr w:type="spellEnd"/>
      <w:r w:rsidRPr="00037097">
        <w:rPr>
          <w:i/>
        </w:rPr>
        <w:t xml:space="preserve"> events by industrial sectors</w:t>
      </w:r>
    </w:p>
    <w:p w14:paraId="7FA89CA8" w14:textId="028EE1B4" w:rsidR="00037097" w:rsidRPr="00037097" w:rsidRDefault="00037097" w:rsidP="00037097">
      <w:pPr>
        <w:pStyle w:val="CETBodytext"/>
        <w:rPr>
          <w:lang w:val="en-GB"/>
        </w:rPr>
      </w:pPr>
      <w:r w:rsidRPr="00C242C3">
        <w:rPr>
          <w:noProof/>
          <w:sz w:val="20"/>
        </w:rPr>
        <w:drawing>
          <wp:inline distT="0" distB="0" distL="0" distR="0" wp14:anchorId="3E7575DB" wp14:editId="3630EEA2">
            <wp:extent cx="5575300" cy="1752600"/>
            <wp:effectExtent l="0" t="0" r="6350" b="0"/>
            <wp:docPr id="14" name="Graphique 14">
              <a:extLst xmlns:a="http://schemas.openxmlformats.org/drawingml/2006/main">
                <a:ext uri="{FF2B5EF4-FFF2-40B4-BE49-F238E27FC236}">
                  <a16:creationId xmlns:a16="http://schemas.microsoft.com/office/drawing/2014/main" id="{8862D940-3C57-4644-9710-729B356C0A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173597" w14:textId="594E0E6B" w:rsidR="00DE3713" w:rsidRPr="004A2A17" w:rsidRDefault="00037097" w:rsidP="0026743D">
      <w:pPr>
        <w:pStyle w:val="CETBodytext"/>
        <w:rPr>
          <w:i/>
        </w:rPr>
      </w:pPr>
      <w:r w:rsidRPr="00037097">
        <w:rPr>
          <w:i/>
        </w:rPr>
        <w:t xml:space="preserve">Figure </w:t>
      </w:r>
      <w:r w:rsidR="00B563A4">
        <w:rPr>
          <w:i/>
        </w:rPr>
        <w:t>5</w:t>
      </w:r>
      <w:r w:rsidRPr="00037097">
        <w:rPr>
          <w:i/>
        </w:rPr>
        <w:t>:</w:t>
      </w:r>
      <w:r w:rsidR="00B563A4">
        <w:rPr>
          <w:i/>
        </w:rPr>
        <w:t xml:space="preserve"> </w:t>
      </w:r>
      <w:r w:rsidRPr="00037097">
        <w:rPr>
          <w:i/>
        </w:rPr>
        <w:t>Number of injuries and fatalities by type of French chemical industry for the period 1981-2022</w:t>
      </w:r>
    </w:p>
    <w:p w14:paraId="27E09B76" w14:textId="4DC43C92" w:rsidR="00037097" w:rsidRPr="00B57B36" w:rsidRDefault="00037097" w:rsidP="00037097">
      <w:pPr>
        <w:pStyle w:val="CETheadingx"/>
      </w:pPr>
      <w:r w:rsidRPr="00037097">
        <w:t>Causes of Events</w:t>
      </w:r>
    </w:p>
    <w:p w14:paraId="01E20667" w14:textId="2054DD40" w:rsidR="00734F4B" w:rsidRPr="00734F4B" w:rsidRDefault="00734F4B" w:rsidP="00037097">
      <w:pPr>
        <w:pStyle w:val="CETBodytext"/>
        <w:rPr>
          <w:lang w:val="en-GB"/>
        </w:rPr>
      </w:pPr>
      <w:r w:rsidRPr="00734F4B">
        <w:rPr>
          <w:lang w:val="en-GB"/>
        </w:rPr>
        <w:t xml:space="preserve">The understanding of the root causes of such events is crucial in order to prevent them in the future, as highlighted by us. The same event can be contributed by several scenarios. In this work, the initial causes will be classified into 5 distinct categories: causes related to installation and equipment, human causes, external causes, </w:t>
      </w:r>
      <w:proofErr w:type="spellStart"/>
      <w:r>
        <w:rPr>
          <w:lang w:val="en-GB"/>
        </w:rPr>
        <w:t>HazMaT</w:t>
      </w:r>
      <w:proofErr w:type="spellEnd"/>
      <w:r w:rsidRPr="00600211">
        <w:rPr>
          <w:lang w:val="en-GB"/>
        </w:rPr>
        <w:t xml:space="preserve"> by vehicles</w:t>
      </w:r>
      <w:r w:rsidRPr="00734F4B">
        <w:rPr>
          <w:lang w:val="en-GB"/>
        </w:rPr>
        <w:t>, and Chemical reactivity. These five categories represent the different factors that can lead to the observed issues.</w:t>
      </w:r>
    </w:p>
    <w:p w14:paraId="6C03D33A" w14:textId="77777777" w:rsidR="00734F4B" w:rsidRDefault="00734F4B" w:rsidP="00037097">
      <w:pPr>
        <w:pStyle w:val="CETBodytext"/>
        <w:rPr>
          <w:lang w:val="en-GB"/>
        </w:rPr>
      </w:pPr>
      <w:r w:rsidRPr="00734F4B">
        <w:rPr>
          <w:lang w:val="en-GB"/>
        </w:rPr>
        <w:t xml:space="preserve">Table 2 presents an analysis of the root causes behind </w:t>
      </w:r>
      <w:proofErr w:type="spellStart"/>
      <w:r w:rsidRPr="00734F4B">
        <w:rPr>
          <w:lang w:val="en-GB"/>
        </w:rPr>
        <w:t>HazMaT</w:t>
      </w:r>
      <w:proofErr w:type="spellEnd"/>
      <w:r w:rsidRPr="00734F4B">
        <w:rPr>
          <w:lang w:val="en-GB"/>
        </w:rPr>
        <w:t xml:space="preserve">-related events in France between 1981 and 2022. The total number of </w:t>
      </w:r>
      <w:proofErr w:type="spellStart"/>
      <w:r w:rsidRPr="00734F4B">
        <w:rPr>
          <w:lang w:val="en-GB"/>
        </w:rPr>
        <w:t>HazMaT</w:t>
      </w:r>
      <w:proofErr w:type="spellEnd"/>
      <w:r w:rsidRPr="00734F4B">
        <w:rPr>
          <w:lang w:val="en-GB"/>
        </w:rPr>
        <w:t xml:space="preserve">-related events recorded in ARIA is over 180, owing to the fact that some </w:t>
      </w:r>
      <w:r>
        <w:rPr>
          <w:lang w:val="en-GB"/>
        </w:rPr>
        <w:t>events</w:t>
      </w:r>
      <w:r w:rsidRPr="00734F4B">
        <w:rPr>
          <w:lang w:val="en-GB"/>
        </w:rPr>
        <w:t xml:space="preserve"> were triggered by multiple root causes, thereby accounting for the high number of causes.</w:t>
      </w:r>
      <w:r w:rsidR="00037097" w:rsidRPr="00037097">
        <w:rPr>
          <w:lang w:val="en-GB"/>
        </w:rPr>
        <w:t xml:space="preserve"> </w:t>
      </w:r>
    </w:p>
    <w:p w14:paraId="57154D08" w14:textId="24A52718" w:rsidR="00037097" w:rsidRDefault="00734F4B" w:rsidP="00037097">
      <w:pPr>
        <w:pStyle w:val="CETBodytext"/>
        <w:rPr>
          <w:lang w:val="en-GB"/>
        </w:rPr>
      </w:pPr>
      <w:r>
        <w:rPr>
          <w:lang w:val="en-GB"/>
        </w:rPr>
        <w:t>Table 2</w:t>
      </w:r>
      <w:r w:rsidR="00037097" w:rsidRPr="00037097">
        <w:rPr>
          <w:lang w:val="en-GB"/>
        </w:rPr>
        <w:t xml:space="preserve"> indicates that out of all the events recorded, 38% are due to</w:t>
      </w:r>
      <w:r w:rsidRPr="00734F4B">
        <w:rPr>
          <w:lang w:val="en-GB"/>
        </w:rPr>
        <w:t xml:space="preserve"> </w:t>
      </w:r>
      <w:proofErr w:type="spellStart"/>
      <w:r>
        <w:rPr>
          <w:lang w:val="en-GB"/>
        </w:rPr>
        <w:t>HazMaT</w:t>
      </w:r>
      <w:proofErr w:type="spellEnd"/>
      <w:r>
        <w:rPr>
          <w:lang w:val="en-GB"/>
        </w:rPr>
        <w:t xml:space="preserve"> by</w:t>
      </w:r>
      <w:r w:rsidR="00037097" w:rsidRPr="00037097">
        <w:rPr>
          <w:lang w:val="en-GB"/>
        </w:rPr>
        <w:t xml:space="preserve"> vehicles. Equipment failure is the second most frequent cause of events, accounting for 35% of recorded events, while human interventions are responsible for 21% of </w:t>
      </w:r>
      <w:proofErr w:type="spellStart"/>
      <w:r w:rsidR="00AC0A63">
        <w:rPr>
          <w:lang w:val="en-GB"/>
        </w:rPr>
        <w:t>HazMaT</w:t>
      </w:r>
      <w:proofErr w:type="spellEnd"/>
      <w:r w:rsidR="00037097" w:rsidRPr="00037097">
        <w:rPr>
          <w:lang w:val="en-GB"/>
        </w:rPr>
        <w:t xml:space="preserve"> -related accidents.</w:t>
      </w:r>
    </w:p>
    <w:p w14:paraId="29EE71A4" w14:textId="30BFB8F2" w:rsidR="002F3BDC" w:rsidRDefault="002F3BDC" w:rsidP="00EF007C">
      <w:pPr>
        <w:pStyle w:val="CETTabletitle"/>
      </w:pPr>
      <w:r>
        <w:t xml:space="preserve">Table </w:t>
      </w:r>
      <w:r>
        <w:fldChar w:fldCharType="begin"/>
      </w:r>
      <w:r>
        <w:instrText xml:space="preserve"> SEQ Tableau \* ARABIC </w:instrText>
      </w:r>
      <w:r>
        <w:fldChar w:fldCharType="separate"/>
      </w:r>
      <w:r w:rsidR="00207F28">
        <w:rPr>
          <w:noProof/>
        </w:rPr>
        <w:t>2</w:t>
      </w:r>
      <w:r>
        <w:fldChar w:fldCharType="end"/>
      </w:r>
      <w:r w:rsidR="00477696">
        <w:t>:</w:t>
      </w:r>
      <w:r w:rsidRPr="002523F8">
        <w:t xml:space="preserve">  </w:t>
      </w:r>
      <w:r w:rsidR="00477696">
        <w:t>P</w:t>
      </w:r>
      <w:r w:rsidRPr="002523F8">
        <w:t xml:space="preserve">rimary </w:t>
      </w:r>
      <w:r w:rsidR="00477696">
        <w:t xml:space="preserve">and specific causes </w:t>
      </w:r>
      <w:r w:rsidRPr="002523F8">
        <w:t>according to the ARIA database</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68"/>
        <w:gridCol w:w="3544"/>
        <w:gridCol w:w="992"/>
        <w:gridCol w:w="1293"/>
        <w:gridCol w:w="20"/>
      </w:tblGrid>
      <w:tr w:rsidR="00B65487" w:rsidRPr="00B57B36" w14:paraId="047AAAB9" w14:textId="77777777" w:rsidTr="007A2A13">
        <w:trPr>
          <w:gridAfter w:val="1"/>
          <w:wAfter w:w="20" w:type="dxa"/>
        </w:trPr>
        <w:tc>
          <w:tcPr>
            <w:tcW w:w="2268" w:type="dxa"/>
            <w:tcBorders>
              <w:top w:val="single" w:sz="12" w:space="0" w:color="008000"/>
              <w:bottom w:val="single" w:sz="6" w:space="0" w:color="008000"/>
            </w:tcBorders>
            <w:shd w:val="clear" w:color="auto" w:fill="FFFFFF"/>
          </w:tcPr>
          <w:p w14:paraId="1D43A4E7" w14:textId="77777777" w:rsidR="00B65487" w:rsidRPr="00B57B36" w:rsidRDefault="00B65487" w:rsidP="00B65487">
            <w:pPr>
              <w:pStyle w:val="CETBodytext"/>
              <w:rPr>
                <w:lang w:val="en-GB"/>
              </w:rPr>
            </w:pPr>
            <w:bookmarkStart w:id="3" w:name="_Hlk138684559"/>
            <w:r>
              <w:rPr>
                <w:lang w:val="en-GB"/>
              </w:rPr>
              <w:t>Primary causes</w:t>
            </w:r>
          </w:p>
        </w:tc>
        <w:tc>
          <w:tcPr>
            <w:tcW w:w="3544" w:type="dxa"/>
            <w:tcBorders>
              <w:top w:val="single" w:sz="12" w:space="0" w:color="008000"/>
              <w:bottom w:val="single" w:sz="6" w:space="0" w:color="008000"/>
            </w:tcBorders>
            <w:shd w:val="clear" w:color="auto" w:fill="FFFFFF"/>
          </w:tcPr>
          <w:p w14:paraId="4719E3F8" w14:textId="77777777" w:rsidR="00B65487" w:rsidRPr="00B57B36" w:rsidRDefault="00B65487" w:rsidP="00B65487">
            <w:pPr>
              <w:pStyle w:val="CETBodytext"/>
              <w:rPr>
                <w:lang w:val="en-GB"/>
              </w:rPr>
            </w:pPr>
            <w:r>
              <w:rPr>
                <w:lang w:val="en-GB"/>
              </w:rPr>
              <w:t>Specific causes</w:t>
            </w:r>
          </w:p>
        </w:tc>
        <w:tc>
          <w:tcPr>
            <w:tcW w:w="992" w:type="dxa"/>
            <w:tcBorders>
              <w:top w:val="single" w:sz="12" w:space="0" w:color="008000"/>
              <w:bottom w:val="single" w:sz="6" w:space="0" w:color="008000"/>
            </w:tcBorders>
            <w:shd w:val="clear" w:color="auto" w:fill="FFFFFF"/>
          </w:tcPr>
          <w:p w14:paraId="474B87D2" w14:textId="6F6BFF17" w:rsidR="00B65487" w:rsidRPr="00B57B36" w:rsidRDefault="00B65487" w:rsidP="00B65487">
            <w:pPr>
              <w:pStyle w:val="CETBodytext"/>
              <w:jc w:val="center"/>
              <w:rPr>
                <w:lang w:val="en-GB"/>
              </w:rPr>
            </w:pPr>
            <w:r w:rsidRPr="00600211">
              <w:rPr>
                <w:lang w:val="en-GB"/>
              </w:rPr>
              <w:t xml:space="preserve">No. </w:t>
            </w:r>
            <w:r w:rsidR="002F6443">
              <w:rPr>
                <w:lang w:val="en-GB"/>
              </w:rPr>
              <w:t>o</w:t>
            </w:r>
            <w:r w:rsidRPr="00600211">
              <w:rPr>
                <w:lang w:val="en-GB"/>
              </w:rPr>
              <w:t xml:space="preserve">f </w:t>
            </w:r>
            <w:r>
              <w:rPr>
                <w:lang w:val="en-GB"/>
              </w:rPr>
              <w:t>events</w:t>
            </w:r>
          </w:p>
        </w:tc>
        <w:tc>
          <w:tcPr>
            <w:tcW w:w="1293" w:type="dxa"/>
            <w:tcBorders>
              <w:top w:val="single" w:sz="12" w:space="0" w:color="008000"/>
              <w:bottom w:val="single" w:sz="6" w:space="0" w:color="008000"/>
            </w:tcBorders>
            <w:shd w:val="clear" w:color="auto" w:fill="FFFFFF"/>
          </w:tcPr>
          <w:p w14:paraId="37A65E41" w14:textId="77777777" w:rsidR="00B65487" w:rsidRPr="00B57B36" w:rsidRDefault="00B65487" w:rsidP="002F6443">
            <w:pPr>
              <w:pStyle w:val="CETBodytext"/>
              <w:ind w:right="-1"/>
              <w:jc w:val="right"/>
              <w:rPr>
                <w:rFonts w:cs="Arial"/>
                <w:szCs w:val="18"/>
                <w:lang w:val="en-GB"/>
              </w:rPr>
            </w:pPr>
            <w:r w:rsidRPr="00600211">
              <w:rPr>
                <w:lang w:val="en-GB"/>
              </w:rPr>
              <w:t>% of category</w:t>
            </w:r>
          </w:p>
        </w:tc>
      </w:tr>
      <w:tr w:rsidR="00B65487" w:rsidRPr="00B57B36" w14:paraId="040A723E" w14:textId="77777777" w:rsidTr="002F6443">
        <w:trPr>
          <w:trHeight w:val="367"/>
        </w:trPr>
        <w:tc>
          <w:tcPr>
            <w:tcW w:w="2268" w:type="dxa"/>
            <w:shd w:val="clear" w:color="auto" w:fill="FFFFFF"/>
          </w:tcPr>
          <w:p w14:paraId="70F43D24" w14:textId="77777777" w:rsidR="00B65487" w:rsidRPr="00B57B36" w:rsidRDefault="00B65487" w:rsidP="00B65487">
            <w:pPr>
              <w:pStyle w:val="CETBodytext"/>
              <w:rPr>
                <w:lang w:val="en-GB"/>
              </w:rPr>
            </w:pPr>
            <w:proofErr w:type="spellStart"/>
            <w:r>
              <w:rPr>
                <w:lang w:val="en-GB"/>
              </w:rPr>
              <w:t>HazMaT</w:t>
            </w:r>
            <w:proofErr w:type="spellEnd"/>
            <w:r w:rsidRPr="00600211">
              <w:rPr>
                <w:lang w:val="en-GB"/>
              </w:rPr>
              <w:t xml:space="preserve"> by vehicles (129)</w:t>
            </w:r>
          </w:p>
        </w:tc>
        <w:tc>
          <w:tcPr>
            <w:tcW w:w="3544" w:type="dxa"/>
            <w:shd w:val="clear" w:color="auto" w:fill="FFFFFF"/>
          </w:tcPr>
          <w:p w14:paraId="64DA8849" w14:textId="77777777" w:rsidR="00B65487" w:rsidRPr="00B57B36" w:rsidRDefault="00B65487" w:rsidP="00B65487">
            <w:pPr>
              <w:pStyle w:val="CETBodytext"/>
              <w:rPr>
                <w:lang w:val="en-GB"/>
              </w:rPr>
            </w:pPr>
            <w:r w:rsidRPr="00600211">
              <w:rPr>
                <w:lang w:val="en-GB"/>
              </w:rPr>
              <w:t>Traffic accident</w:t>
            </w:r>
          </w:p>
        </w:tc>
        <w:tc>
          <w:tcPr>
            <w:tcW w:w="992" w:type="dxa"/>
            <w:shd w:val="clear" w:color="auto" w:fill="FFFFFF"/>
          </w:tcPr>
          <w:p w14:paraId="2EAB3C40" w14:textId="77777777" w:rsidR="00B65487" w:rsidRPr="00B57B36" w:rsidRDefault="00B65487" w:rsidP="00B65487">
            <w:pPr>
              <w:pStyle w:val="CETBodytext"/>
              <w:jc w:val="center"/>
              <w:rPr>
                <w:lang w:val="en-GB"/>
              </w:rPr>
            </w:pPr>
            <w:r w:rsidRPr="00600211">
              <w:rPr>
                <w:lang w:val="en-GB"/>
              </w:rPr>
              <w:t>129</w:t>
            </w:r>
          </w:p>
        </w:tc>
        <w:tc>
          <w:tcPr>
            <w:tcW w:w="1293" w:type="dxa"/>
            <w:shd w:val="clear" w:color="auto" w:fill="FFFFFF"/>
          </w:tcPr>
          <w:p w14:paraId="7A333405" w14:textId="77777777" w:rsidR="00B65487" w:rsidRPr="00B57B36" w:rsidRDefault="00B65487" w:rsidP="00B65487">
            <w:pPr>
              <w:pStyle w:val="CETBodytext"/>
              <w:ind w:right="-1"/>
              <w:jc w:val="center"/>
              <w:rPr>
                <w:rFonts w:cs="Arial"/>
                <w:szCs w:val="18"/>
                <w:lang w:val="en-GB"/>
              </w:rPr>
            </w:pPr>
            <w:r w:rsidRPr="00600211">
              <w:rPr>
                <w:lang w:val="en-GB"/>
              </w:rPr>
              <w:t>100</w:t>
            </w:r>
          </w:p>
        </w:tc>
        <w:tc>
          <w:tcPr>
            <w:tcW w:w="20" w:type="dxa"/>
            <w:shd w:val="clear" w:color="auto" w:fill="FFFFFF"/>
          </w:tcPr>
          <w:p w14:paraId="195F9CAE" w14:textId="77777777" w:rsidR="00B65487" w:rsidRPr="00B57B36" w:rsidRDefault="00B65487" w:rsidP="00B65487">
            <w:pPr>
              <w:pStyle w:val="CETBodytext"/>
              <w:ind w:right="-1"/>
              <w:rPr>
                <w:rFonts w:cs="Arial"/>
                <w:szCs w:val="18"/>
                <w:lang w:val="en-GB"/>
              </w:rPr>
            </w:pPr>
          </w:p>
        </w:tc>
      </w:tr>
      <w:tr w:rsidR="00B65487" w:rsidRPr="00B57B36" w14:paraId="00FABA83" w14:textId="77777777" w:rsidTr="007A2A13">
        <w:tc>
          <w:tcPr>
            <w:tcW w:w="2268" w:type="dxa"/>
            <w:shd w:val="clear" w:color="auto" w:fill="FFFFFF"/>
          </w:tcPr>
          <w:p w14:paraId="1FCD5C63" w14:textId="77777777" w:rsidR="00B65487" w:rsidRPr="00B57B36" w:rsidRDefault="00B65487" w:rsidP="00B65487">
            <w:pPr>
              <w:pStyle w:val="CETBodytext"/>
              <w:rPr>
                <w:lang w:val="en-GB"/>
              </w:rPr>
            </w:pPr>
          </w:p>
        </w:tc>
        <w:tc>
          <w:tcPr>
            <w:tcW w:w="3544" w:type="dxa"/>
            <w:shd w:val="clear" w:color="auto" w:fill="FFFFFF"/>
          </w:tcPr>
          <w:p w14:paraId="245E0DB8" w14:textId="77777777" w:rsidR="00B65487" w:rsidRPr="00B57B36" w:rsidRDefault="00B65487" w:rsidP="00B65487">
            <w:pPr>
              <w:pStyle w:val="CETBodytext"/>
              <w:rPr>
                <w:lang w:val="en-GB"/>
              </w:rPr>
            </w:pPr>
            <w:r w:rsidRPr="00600211">
              <w:rPr>
                <w:lang w:val="en-GB"/>
              </w:rPr>
              <w:t>Loss of containment</w:t>
            </w:r>
          </w:p>
        </w:tc>
        <w:tc>
          <w:tcPr>
            <w:tcW w:w="992" w:type="dxa"/>
            <w:shd w:val="clear" w:color="auto" w:fill="FFFFFF"/>
          </w:tcPr>
          <w:p w14:paraId="474117D2" w14:textId="77777777" w:rsidR="00B65487" w:rsidRPr="00B57B36" w:rsidRDefault="00B65487" w:rsidP="00B65487">
            <w:pPr>
              <w:pStyle w:val="CETBodytext"/>
              <w:jc w:val="center"/>
              <w:rPr>
                <w:lang w:val="en-GB"/>
              </w:rPr>
            </w:pPr>
            <w:r w:rsidRPr="00600211">
              <w:rPr>
                <w:lang w:val="en-GB"/>
              </w:rPr>
              <w:t>70</w:t>
            </w:r>
          </w:p>
        </w:tc>
        <w:tc>
          <w:tcPr>
            <w:tcW w:w="1293" w:type="dxa"/>
            <w:shd w:val="clear" w:color="auto" w:fill="FFFFFF"/>
          </w:tcPr>
          <w:p w14:paraId="273BB42C" w14:textId="77777777" w:rsidR="00B65487" w:rsidRPr="00B57B36" w:rsidRDefault="00B65487" w:rsidP="00B65487">
            <w:pPr>
              <w:pStyle w:val="CETBodytext"/>
              <w:ind w:right="-1"/>
              <w:jc w:val="center"/>
              <w:rPr>
                <w:rFonts w:cs="Arial"/>
                <w:szCs w:val="18"/>
                <w:lang w:val="en-GB"/>
              </w:rPr>
            </w:pPr>
            <w:r w:rsidRPr="00600211">
              <w:rPr>
                <w:lang w:val="en-GB"/>
              </w:rPr>
              <w:t>5</w:t>
            </w:r>
            <w:r>
              <w:rPr>
                <w:lang w:val="en-GB"/>
              </w:rPr>
              <w:t>9</w:t>
            </w:r>
          </w:p>
        </w:tc>
        <w:tc>
          <w:tcPr>
            <w:tcW w:w="20" w:type="dxa"/>
            <w:shd w:val="clear" w:color="auto" w:fill="FFFFFF"/>
          </w:tcPr>
          <w:p w14:paraId="387BD081" w14:textId="77777777" w:rsidR="00B65487" w:rsidRPr="00B57B36" w:rsidRDefault="00B65487" w:rsidP="00B65487">
            <w:pPr>
              <w:pStyle w:val="CETBodytext"/>
              <w:ind w:right="-1"/>
              <w:rPr>
                <w:rFonts w:cs="Arial"/>
                <w:szCs w:val="18"/>
                <w:lang w:val="en-GB"/>
              </w:rPr>
            </w:pPr>
          </w:p>
        </w:tc>
      </w:tr>
      <w:tr w:rsidR="00B65487" w:rsidRPr="00B57B36" w14:paraId="195AC16E" w14:textId="77777777" w:rsidTr="007A2A13">
        <w:tc>
          <w:tcPr>
            <w:tcW w:w="2268" w:type="dxa"/>
            <w:shd w:val="clear" w:color="auto" w:fill="FFFFFF"/>
          </w:tcPr>
          <w:p w14:paraId="2DD1D84E" w14:textId="77777777" w:rsidR="00B65487" w:rsidRPr="00B57B36" w:rsidRDefault="00B65487" w:rsidP="00B65487">
            <w:pPr>
              <w:pStyle w:val="CETBodytext"/>
              <w:ind w:right="-1"/>
              <w:rPr>
                <w:rFonts w:cs="Arial"/>
                <w:szCs w:val="18"/>
                <w:lang w:val="en-GB"/>
              </w:rPr>
            </w:pPr>
          </w:p>
        </w:tc>
        <w:tc>
          <w:tcPr>
            <w:tcW w:w="3544" w:type="dxa"/>
            <w:shd w:val="clear" w:color="auto" w:fill="FFFFFF"/>
          </w:tcPr>
          <w:p w14:paraId="66640253" w14:textId="77777777" w:rsidR="00B65487" w:rsidRPr="00B57B36" w:rsidRDefault="00B65487" w:rsidP="00B65487">
            <w:pPr>
              <w:pStyle w:val="CETBodytext"/>
              <w:ind w:right="-1"/>
              <w:rPr>
                <w:rFonts w:cs="Arial"/>
                <w:szCs w:val="18"/>
                <w:lang w:val="en-GB"/>
              </w:rPr>
            </w:pPr>
            <w:r w:rsidRPr="00600211">
              <w:rPr>
                <w:lang w:val="en-GB"/>
              </w:rPr>
              <w:t>Rupture</w:t>
            </w:r>
          </w:p>
        </w:tc>
        <w:tc>
          <w:tcPr>
            <w:tcW w:w="992" w:type="dxa"/>
            <w:shd w:val="clear" w:color="auto" w:fill="FFFFFF"/>
          </w:tcPr>
          <w:p w14:paraId="25BA1544" w14:textId="77777777" w:rsidR="00B65487" w:rsidRPr="00B57B36" w:rsidRDefault="00B65487" w:rsidP="00B65487">
            <w:pPr>
              <w:pStyle w:val="CETBodytext"/>
              <w:ind w:right="-1"/>
              <w:jc w:val="center"/>
              <w:rPr>
                <w:rFonts w:cs="Arial"/>
                <w:szCs w:val="18"/>
                <w:lang w:val="en-GB"/>
              </w:rPr>
            </w:pPr>
            <w:r w:rsidRPr="00600211">
              <w:rPr>
                <w:lang w:val="en-GB"/>
              </w:rPr>
              <w:t>26</w:t>
            </w:r>
          </w:p>
        </w:tc>
        <w:tc>
          <w:tcPr>
            <w:tcW w:w="1293" w:type="dxa"/>
            <w:shd w:val="clear" w:color="auto" w:fill="FFFFFF"/>
          </w:tcPr>
          <w:p w14:paraId="6ECE8B18" w14:textId="77777777" w:rsidR="00B65487" w:rsidRPr="00B57B36" w:rsidRDefault="00B65487" w:rsidP="00B65487">
            <w:pPr>
              <w:pStyle w:val="CETBodytext"/>
              <w:ind w:right="-1"/>
              <w:jc w:val="center"/>
              <w:rPr>
                <w:rFonts w:cs="Arial"/>
                <w:szCs w:val="18"/>
                <w:lang w:val="en-GB"/>
              </w:rPr>
            </w:pPr>
            <w:r w:rsidRPr="00600211">
              <w:rPr>
                <w:lang w:val="en-GB"/>
              </w:rPr>
              <w:t>2</w:t>
            </w:r>
            <w:r>
              <w:rPr>
                <w:lang w:val="en-GB"/>
              </w:rPr>
              <w:t>2</w:t>
            </w:r>
          </w:p>
        </w:tc>
        <w:tc>
          <w:tcPr>
            <w:tcW w:w="20" w:type="dxa"/>
            <w:shd w:val="clear" w:color="auto" w:fill="FFFFFF"/>
          </w:tcPr>
          <w:p w14:paraId="04BB1D2C" w14:textId="77777777" w:rsidR="00B65487" w:rsidRPr="00B57B36" w:rsidRDefault="00B65487" w:rsidP="00B65487">
            <w:pPr>
              <w:pStyle w:val="CETBodytext"/>
              <w:ind w:right="-1"/>
              <w:rPr>
                <w:rFonts w:cs="Arial"/>
                <w:szCs w:val="18"/>
                <w:lang w:val="en-GB"/>
              </w:rPr>
            </w:pPr>
          </w:p>
        </w:tc>
      </w:tr>
      <w:tr w:rsidR="00B65487" w:rsidRPr="00B57B36" w14:paraId="3D09008A" w14:textId="77777777" w:rsidTr="007A2A13">
        <w:tc>
          <w:tcPr>
            <w:tcW w:w="2268" w:type="dxa"/>
            <w:shd w:val="clear" w:color="auto" w:fill="FFFFFF"/>
          </w:tcPr>
          <w:p w14:paraId="49BB6563" w14:textId="77777777" w:rsidR="00B65487" w:rsidRDefault="00B65487" w:rsidP="00B65487">
            <w:pPr>
              <w:pStyle w:val="CETBodytext"/>
              <w:ind w:right="-1"/>
              <w:rPr>
                <w:rFonts w:cs="Arial"/>
                <w:szCs w:val="18"/>
                <w:lang w:val="en-GB"/>
              </w:rPr>
            </w:pPr>
          </w:p>
        </w:tc>
        <w:tc>
          <w:tcPr>
            <w:tcW w:w="3544" w:type="dxa"/>
            <w:shd w:val="clear" w:color="auto" w:fill="FFFFFF"/>
          </w:tcPr>
          <w:p w14:paraId="352D6B4B" w14:textId="77777777" w:rsidR="00B65487" w:rsidRPr="00B57B36" w:rsidRDefault="00B65487" w:rsidP="00B65487">
            <w:pPr>
              <w:pStyle w:val="CETBodytext"/>
              <w:ind w:right="-1"/>
              <w:rPr>
                <w:rFonts w:cs="Arial"/>
                <w:szCs w:val="18"/>
                <w:lang w:val="en-GB"/>
              </w:rPr>
            </w:pPr>
            <w:r>
              <w:rPr>
                <w:lang w:val="en-GB"/>
              </w:rPr>
              <w:t>F</w:t>
            </w:r>
            <w:r w:rsidRPr="00600211">
              <w:rPr>
                <w:lang w:val="en-GB"/>
              </w:rPr>
              <w:t>ailure</w:t>
            </w:r>
          </w:p>
        </w:tc>
        <w:tc>
          <w:tcPr>
            <w:tcW w:w="992" w:type="dxa"/>
            <w:shd w:val="clear" w:color="auto" w:fill="FFFFFF"/>
          </w:tcPr>
          <w:p w14:paraId="2A79FE67" w14:textId="77777777" w:rsidR="00B65487" w:rsidRPr="00B57B36" w:rsidRDefault="00B65487" w:rsidP="00B65487">
            <w:pPr>
              <w:pStyle w:val="CETBodytext"/>
              <w:ind w:right="-1"/>
              <w:jc w:val="center"/>
              <w:rPr>
                <w:rFonts w:cs="Arial"/>
                <w:szCs w:val="18"/>
                <w:lang w:val="en-GB"/>
              </w:rPr>
            </w:pPr>
            <w:r w:rsidRPr="00600211">
              <w:rPr>
                <w:lang w:val="en-GB"/>
              </w:rPr>
              <w:t>5</w:t>
            </w:r>
          </w:p>
        </w:tc>
        <w:tc>
          <w:tcPr>
            <w:tcW w:w="1293" w:type="dxa"/>
            <w:shd w:val="clear" w:color="auto" w:fill="FFFFFF"/>
          </w:tcPr>
          <w:p w14:paraId="25218D50" w14:textId="77777777" w:rsidR="00B65487" w:rsidRPr="00B57B36" w:rsidRDefault="00B65487" w:rsidP="00B65487">
            <w:pPr>
              <w:pStyle w:val="CETBodytext"/>
              <w:ind w:right="-1"/>
              <w:jc w:val="center"/>
              <w:rPr>
                <w:rFonts w:cs="Arial"/>
                <w:szCs w:val="18"/>
                <w:lang w:val="en-GB"/>
              </w:rPr>
            </w:pPr>
            <w:r w:rsidRPr="00600211">
              <w:rPr>
                <w:lang w:val="en-GB"/>
              </w:rPr>
              <w:t>4</w:t>
            </w:r>
          </w:p>
        </w:tc>
        <w:tc>
          <w:tcPr>
            <w:tcW w:w="20" w:type="dxa"/>
            <w:shd w:val="clear" w:color="auto" w:fill="FFFFFF"/>
          </w:tcPr>
          <w:p w14:paraId="1336EC04" w14:textId="77777777" w:rsidR="00B65487" w:rsidRPr="00B57B36" w:rsidRDefault="00B65487" w:rsidP="00B65487">
            <w:pPr>
              <w:pStyle w:val="CETBodytext"/>
              <w:ind w:right="-1"/>
              <w:rPr>
                <w:rFonts w:cs="Arial"/>
                <w:szCs w:val="18"/>
                <w:lang w:val="en-GB"/>
              </w:rPr>
            </w:pPr>
          </w:p>
        </w:tc>
      </w:tr>
      <w:tr w:rsidR="00B65487" w:rsidRPr="00B57B36" w14:paraId="6B883630" w14:textId="77777777" w:rsidTr="007A2A13">
        <w:tc>
          <w:tcPr>
            <w:tcW w:w="2268" w:type="dxa"/>
            <w:shd w:val="clear" w:color="auto" w:fill="FFFFFF"/>
          </w:tcPr>
          <w:p w14:paraId="1D66729F" w14:textId="77777777" w:rsidR="00B65487" w:rsidRDefault="00B65487" w:rsidP="00B65487">
            <w:pPr>
              <w:pStyle w:val="CETBodytext"/>
              <w:ind w:right="-1"/>
              <w:rPr>
                <w:rFonts w:cs="Arial"/>
                <w:szCs w:val="18"/>
                <w:lang w:val="en-GB"/>
              </w:rPr>
            </w:pPr>
            <w:r w:rsidRPr="00037097">
              <w:rPr>
                <w:lang w:val="en-GB"/>
              </w:rPr>
              <w:t xml:space="preserve">Equipment failure </w:t>
            </w:r>
            <w:r w:rsidRPr="00600211">
              <w:rPr>
                <w:lang w:val="en-GB"/>
              </w:rPr>
              <w:t>(119)</w:t>
            </w:r>
          </w:p>
        </w:tc>
        <w:tc>
          <w:tcPr>
            <w:tcW w:w="3544" w:type="dxa"/>
            <w:shd w:val="clear" w:color="auto" w:fill="FFFFFF"/>
          </w:tcPr>
          <w:p w14:paraId="7E47F1FC" w14:textId="77777777" w:rsidR="00B65487" w:rsidRDefault="00B65487" w:rsidP="00B65487">
            <w:pPr>
              <w:pStyle w:val="CETBodytext"/>
              <w:ind w:right="-1"/>
              <w:rPr>
                <w:lang w:val="en-GB"/>
              </w:rPr>
            </w:pPr>
            <w:r w:rsidRPr="00600211">
              <w:rPr>
                <w:lang w:val="en-GB"/>
              </w:rPr>
              <w:t>Deformation, weakening</w:t>
            </w:r>
          </w:p>
        </w:tc>
        <w:tc>
          <w:tcPr>
            <w:tcW w:w="992" w:type="dxa"/>
            <w:shd w:val="clear" w:color="auto" w:fill="FFFFFF"/>
          </w:tcPr>
          <w:p w14:paraId="291B418A" w14:textId="77777777" w:rsidR="00B65487" w:rsidRPr="00B57B36" w:rsidRDefault="00B65487" w:rsidP="00B65487">
            <w:pPr>
              <w:pStyle w:val="CETBodytext"/>
              <w:ind w:right="-1"/>
              <w:jc w:val="center"/>
              <w:rPr>
                <w:rFonts w:cs="Arial"/>
                <w:szCs w:val="18"/>
                <w:lang w:val="en-GB"/>
              </w:rPr>
            </w:pPr>
            <w:r w:rsidRPr="00600211">
              <w:rPr>
                <w:lang w:val="en-GB"/>
              </w:rPr>
              <w:t>3</w:t>
            </w:r>
          </w:p>
        </w:tc>
        <w:tc>
          <w:tcPr>
            <w:tcW w:w="1293" w:type="dxa"/>
            <w:shd w:val="clear" w:color="auto" w:fill="FFFFFF"/>
          </w:tcPr>
          <w:p w14:paraId="15AE21AE" w14:textId="77777777" w:rsidR="00B65487" w:rsidRPr="00B57B36" w:rsidRDefault="00B65487" w:rsidP="00B65487">
            <w:pPr>
              <w:pStyle w:val="CETBodytext"/>
              <w:ind w:right="-1"/>
              <w:jc w:val="center"/>
              <w:rPr>
                <w:rFonts w:cs="Arial"/>
                <w:szCs w:val="18"/>
                <w:lang w:val="en-GB"/>
              </w:rPr>
            </w:pPr>
            <w:r>
              <w:rPr>
                <w:lang w:val="en-GB"/>
              </w:rPr>
              <w:t>2</w:t>
            </w:r>
          </w:p>
        </w:tc>
        <w:tc>
          <w:tcPr>
            <w:tcW w:w="20" w:type="dxa"/>
            <w:shd w:val="clear" w:color="auto" w:fill="FFFFFF"/>
          </w:tcPr>
          <w:p w14:paraId="544EBBD1" w14:textId="77777777" w:rsidR="00B65487" w:rsidRPr="00B57B36" w:rsidRDefault="00B65487" w:rsidP="00B65487">
            <w:pPr>
              <w:pStyle w:val="CETBodytext"/>
              <w:ind w:right="-1"/>
              <w:rPr>
                <w:rFonts w:cs="Arial"/>
                <w:szCs w:val="18"/>
                <w:lang w:val="en-GB"/>
              </w:rPr>
            </w:pPr>
          </w:p>
        </w:tc>
      </w:tr>
      <w:tr w:rsidR="00B65487" w:rsidRPr="00B57B36" w14:paraId="515B9DEB" w14:textId="77777777" w:rsidTr="007A2A13">
        <w:tc>
          <w:tcPr>
            <w:tcW w:w="2268" w:type="dxa"/>
            <w:shd w:val="clear" w:color="auto" w:fill="FFFFFF"/>
          </w:tcPr>
          <w:p w14:paraId="6393B38A" w14:textId="77777777" w:rsidR="00B65487" w:rsidRDefault="00B65487" w:rsidP="00B65487">
            <w:pPr>
              <w:pStyle w:val="CETBodytext"/>
              <w:ind w:right="-1"/>
              <w:rPr>
                <w:rFonts w:cs="Arial"/>
                <w:szCs w:val="18"/>
                <w:lang w:val="en-GB"/>
              </w:rPr>
            </w:pPr>
          </w:p>
        </w:tc>
        <w:tc>
          <w:tcPr>
            <w:tcW w:w="3544" w:type="dxa"/>
            <w:shd w:val="clear" w:color="auto" w:fill="FFFFFF"/>
          </w:tcPr>
          <w:p w14:paraId="345BA8C0" w14:textId="77777777" w:rsidR="00B65487" w:rsidRPr="00600211" w:rsidRDefault="00B65487" w:rsidP="00B65487">
            <w:pPr>
              <w:pStyle w:val="CETBodytext"/>
              <w:ind w:right="-1"/>
              <w:rPr>
                <w:lang w:val="en-GB"/>
              </w:rPr>
            </w:pPr>
            <w:r>
              <w:rPr>
                <w:lang w:val="en-GB"/>
              </w:rPr>
              <w:t>D</w:t>
            </w:r>
            <w:r w:rsidRPr="00600211">
              <w:rPr>
                <w:lang w:val="en-GB"/>
              </w:rPr>
              <w:t>amaged seal</w:t>
            </w:r>
          </w:p>
        </w:tc>
        <w:tc>
          <w:tcPr>
            <w:tcW w:w="992" w:type="dxa"/>
            <w:shd w:val="clear" w:color="auto" w:fill="FFFFFF"/>
          </w:tcPr>
          <w:p w14:paraId="3B658BA4" w14:textId="77777777" w:rsidR="00B65487" w:rsidRPr="00B57B36" w:rsidRDefault="00B65487" w:rsidP="00B65487">
            <w:pPr>
              <w:pStyle w:val="CETBodytext"/>
              <w:ind w:right="-1"/>
              <w:jc w:val="center"/>
              <w:rPr>
                <w:rFonts w:cs="Arial"/>
                <w:szCs w:val="18"/>
                <w:lang w:val="en-GB"/>
              </w:rPr>
            </w:pPr>
            <w:r w:rsidRPr="00600211">
              <w:rPr>
                <w:lang w:val="en-GB"/>
              </w:rPr>
              <w:t>2</w:t>
            </w:r>
          </w:p>
        </w:tc>
        <w:tc>
          <w:tcPr>
            <w:tcW w:w="1293" w:type="dxa"/>
            <w:shd w:val="clear" w:color="auto" w:fill="FFFFFF"/>
          </w:tcPr>
          <w:p w14:paraId="41AAEDC4" w14:textId="77777777" w:rsidR="00B65487" w:rsidRPr="00B57B36" w:rsidRDefault="00B65487" w:rsidP="00B65487">
            <w:pPr>
              <w:pStyle w:val="CETBodytext"/>
              <w:ind w:right="-1"/>
              <w:jc w:val="center"/>
              <w:rPr>
                <w:rFonts w:cs="Arial"/>
                <w:szCs w:val="18"/>
                <w:lang w:val="en-GB"/>
              </w:rPr>
            </w:pPr>
            <w:r>
              <w:rPr>
                <w:lang w:val="en-GB"/>
              </w:rPr>
              <w:t>2</w:t>
            </w:r>
          </w:p>
        </w:tc>
        <w:tc>
          <w:tcPr>
            <w:tcW w:w="20" w:type="dxa"/>
            <w:shd w:val="clear" w:color="auto" w:fill="FFFFFF"/>
          </w:tcPr>
          <w:p w14:paraId="55705437" w14:textId="77777777" w:rsidR="00B65487" w:rsidRPr="00B57B36" w:rsidRDefault="00B65487" w:rsidP="00B65487">
            <w:pPr>
              <w:pStyle w:val="CETBodytext"/>
              <w:ind w:right="-1"/>
              <w:rPr>
                <w:rFonts w:cs="Arial"/>
                <w:szCs w:val="18"/>
                <w:lang w:val="en-GB"/>
              </w:rPr>
            </w:pPr>
          </w:p>
        </w:tc>
      </w:tr>
      <w:tr w:rsidR="00B65487" w:rsidRPr="00B57B36" w14:paraId="4EBEE414" w14:textId="77777777" w:rsidTr="007A2A13">
        <w:tc>
          <w:tcPr>
            <w:tcW w:w="2268" w:type="dxa"/>
            <w:shd w:val="clear" w:color="auto" w:fill="FFFFFF"/>
          </w:tcPr>
          <w:p w14:paraId="42C61557" w14:textId="77777777" w:rsidR="00B65487" w:rsidRDefault="00B65487" w:rsidP="00B65487">
            <w:pPr>
              <w:pStyle w:val="CETBodytext"/>
              <w:ind w:right="-1"/>
              <w:rPr>
                <w:rFonts w:cs="Arial"/>
                <w:szCs w:val="18"/>
                <w:lang w:val="en-GB"/>
              </w:rPr>
            </w:pPr>
          </w:p>
        </w:tc>
        <w:tc>
          <w:tcPr>
            <w:tcW w:w="3544" w:type="dxa"/>
            <w:shd w:val="clear" w:color="auto" w:fill="FFFFFF"/>
          </w:tcPr>
          <w:p w14:paraId="442D83B2" w14:textId="77777777" w:rsidR="00B65487" w:rsidRDefault="00B65487" w:rsidP="00B65487">
            <w:pPr>
              <w:pStyle w:val="CETBodytext"/>
              <w:ind w:right="-1"/>
              <w:rPr>
                <w:lang w:val="en-GB"/>
              </w:rPr>
            </w:pPr>
            <w:r w:rsidRPr="00600211">
              <w:rPr>
                <w:lang w:val="en-GB"/>
              </w:rPr>
              <w:t>Clogging</w:t>
            </w:r>
          </w:p>
        </w:tc>
        <w:tc>
          <w:tcPr>
            <w:tcW w:w="992" w:type="dxa"/>
            <w:shd w:val="clear" w:color="auto" w:fill="FFFFFF"/>
          </w:tcPr>
          <w:p w14:paraId="21221C62" w14:textId="77777777" w:rsidR="00B65487" w:rsidRPr="00B57B36" w:rsidRDefault="00B65487" w:rsidP="00B65487">
            <w:pPr>
              <w:pStyle w:val="CETBodytext"/>
              <w:ind w:right="-1"/>
              <w:jc w:val="center"/>
              <w:rPr>
                <w:rFonts w:cs="Arial"/>
                <w:szCs w:val="18"/>
                <w:lang w:val="en-GB"/>
              </w:rPr>
            </w:pPr>
            <w:r w:rsidRPr="00600211">
              <w:rPr>
                <w:lang w:val="en-GB"/>
              </w:rPr>
              <w:t>1</w:t>
            </w:r>
          </w:p>
        </w:tc>
        <w:tc>
          <w:tcPr>
            <w:tcW w:w="1293" w:type="dxa"/>
            <w:shd w:val="clear" w:color="auto" w:fill="FFFFFF"/>
          </w:tcPr>
          <w:p w14:paraId="34A7917A" w14:textId="77777777" w:rsidR="00B65487" w:rsidRPr="00B57B36" w:rsidRDefault="00B65487" w:rsidP="00B65487">
            <w:pPr>
              <w:pStyle w:val="CETBodytext"/>
              <w:ind w:right="-1"/>
              <w:jc w:val="center"/>
              <w:rPr>
                <w:rFonts w:cs="Arial"/>
                <w:szCs w:val="18"/>
                <w:lang w:val="en-GB"/>
              </w:rPr>
            </w:pPr>
            <w:r>
              <w:rPr>
                <w:lang w:val="en-GB"/>
              </w:rPr>
              <w:t>1</w:t>
            </w:r>
          </w:p>
        </w:tc>
        <w:tc>
          <w:tcPr>
            <w:tcW w:w="20" w:type="dxa"/>
            <w:shd w:val="clear" w:color="auto" w:fill="FFFFFF"/>
          </w:tcPr>
          <w:p w14:paraId="1B84BFCD" w14:textId="77777777" w:rsidR="00B65487" w:rsidRPr="00B57B36" w:rsidRDefault="00B65487" w:rsidP="00B65487">
            <w:pPr>
              <w:pStyle w:val="CETBodytext"/>
              <w:ind w:right="-1"/>
              <w:rPr>
                <w:rFonts w:cs="Arial"/>
                <w:szCs w:val="18"/>
                <w:lang w:val="en-GB"/>
              </w:rPr>
            </w:pPr>
          </w:p>
        </w:tc>
      </w:tr>
      <w:tr w:rsidR="00B65487" w:rsidRPr="00B57B36" w14:paraId="00CBB397" w14:textId="77777777" w:rsidTr="007A2A13">
        <w:trPr>
          <w:gridAfter w:val="1"/>
          <w:wAfter w:w="20" w:type="dxa"/>
          <w:trHeight w:val="329"/>
        </w:trPr>
        <w:tc>
          <w:tcPr>
            <w:tcW w:w="2268" w:type="dxa"/>
            <w:shd w:val="clear" w:color="auto" w:fill="FFFFFF"/>
          </w:tcPr>
          <w:p w14:paraId="0C40AD7C" w14:textId="77777777" w:rsidR="00B65487" w:rsidRDefault="00B65487" w:rsidP="00B65487">
            <w:pPr>
              <w:pStyle w:val="CETBodytext"/>
              <w:ind w:right="-1"/>
              <w:rPr>
                <w:rFonts w:cs="Arial"/>
                <w:szCs w:val="18"/>
                <w:lang w:val="en-GB"/>
              </w:rPr>
            </w:pPr>
          </w:p>
        </w:tc>
        <w:tc>
          <w:tcPr>
            <w:tcW w:w="3544" w:type="dxa"/>
            <w:shd w:val="clear" w:color="auto" w:fill="FFFFFF"/>
          </w:tcPr>
          <w:p w14:paraId="284C15D6" w14:textId="77777777" w:rsidR="00B65487" w:rsidRPr="00600211" w:rsidRDefault="00B65487" w:rsidP="00B65487">
            <w:pPr>
              <w:pStyle w:val="CETBodytext"/>
              <w:ind w:right="-1"/>
              <w:rPr>
                <w:lang w:val="en-GB"/>
              </w:rPr>
            </w:pPr>
            <w:r>
              <w:rPr>
                <w:lang w:val="en-GB"/>
              </w:rPr>
              <w:t>O</w:t>
            </w:r>
            <w:r w:rsidRPr="00600211">
              <w:rPr>
                <w:lang w:val="en-GB"/>
              </w:rPr>
              <w:t>ther</w:t>
            </w:r>
          </w:p>
        </w:tc>
        <w:tc>
          <w:tcPr>
            <w:tcW w:w="992" w:type="dxa"/>
            <w:shd w:val="clear" w:color="auto" w:fill="FFFFFF"/>
          </w:tcPr>
          <w:p w14:paraId="09EE7788" w14:textId="77777777" w:rsidR="00B65487" w:rsidRPr="00B57B36" w:rsidRDefault="00B65487" w:rsidP="00B65487">
            <w:pPr>
              <w:pStyle w:val="CETBodytext"/>
              <w:ind w:right="-1"/>
              <w:jc w:val="center"/>
              <w:rPr>
                <w:rFonts w:cs="Arial"/>
                <w:szCs w:val="18"/>
                <w:lang w:val="en-GB"/>
              </w:rPr>
            </w:pPr>
            <w:r w:rsidRPr="00600211">
              <w:rPr>
                <w:lang w:val="en-GB"/>
              </w:rPr>
              <w:t>12</w:t>
            </w:r>
          </w:p>
        </w:tc>
        <w:tc>
          <w:tcPr>
            <w:tcW w:w="1293" w:type="dxa"/>
            <w:shd w:val="clear" w:color="auto" w:fill="FFFFFF"/>
          </w:tcPr>
          <w:p w14:paraId="1C6C4625" w14:textId="77777777" w:rsidR="00B65487" w:rsidRPr="00B57B36" w:rsidRDefault="00B65487" w:rsidP="00B65487">
            <w:pPr>
              <w:pStyle w:val="CETBodytext"/>
              <w:ind w:right="-1"/>
              <w:jc w:val="center"/>
              <w:rPr>
                <w:rFonts w:cs="Arial"/>
                <w:szCs w:val="18"/>
                <w:lang w:val="en-GB"/>
              </w:rPr>
            </w:pPr>
            <w:r w:rsidRPr="00600211">
              <w:rPr>
                <w:lang w:val="en-GB"/>
              </w:rPr>
              <w:t>10</w:t>
            </w:r>
          </w:p>
        </w:tc>
      </w:tr>
      <w:tr w:rsidR="00B65487" w:rsidRPr="00B57B36" w14:paraId="2A68CF64" w14:textId="77777777" w:rsidTr="007A2A13">
        <w:trPr>
          <w:gridAfter w:val="1"/>
          <w:wAfter w:w="20" w:type="dxa"/>
        </w:trPr>
        <w:tc>
          <w:tcPr>
            <w:tcW w:w="2268" w:type="dxa"/>
            <w:shd w:val="clear" w:color="auto" w:fill="FFFFFF"/>
          </w:tcPr>
          <w:p w14:paraId="21B55989" w14:textId="77777777" w:rsidR="00B65487" w:rsidRPr="008C459D" w:rsidRDefault="00B65487" w:rsidP="00B65487">
            <w:pPr>
              <w:pStyle w:val="CETBodytext"/>
              <w:ind w:right="-1"/>
              <w:rPr>
                <w:lang w:val="en-GB"/>
              </w:rPr>
            </w:pPr>
          </w:p>
        </w:tc>
        <w:tc>
          <w:tcPr>
            <w:tcW w:w="3544" w:type="dxa"/>
            <w:shd w:val="clear" w:color="auto" w:fill="FFFFFF"/>
          </w:tcPr>
          <w:p w14:paraId="4538A0A8" w14:textId="77777777" w:rsidR="00B65487" w:rsidRDefault="00B65487" w:rsidP="00B65487">
            <w:pPr>
              <w:pStyle w:val="CETBodytext"/>
              <w:ind w:right="-1"/>
              <w:rPr>
                <w:lang w:val="en-GB"/>
              </w:rPr>
            </w:pPr>
            <w:r w:rsidRPr="00600211">
              <w:rPr>
                <w:lang w:val="en-GB"/>
              </w:rPr>
              <w:t>Action not required</w:t>
            </w:r>
          </w:p>
        </w:tc>
        <w:tc>
          <w:tcPr>
            <w:tcW w:w="992" w:type="dxa"/>
            <w:shd w:val="clear" w:color="auto" w:fill="FFFFFF"/>
          </w:tcPr>
          <w:p w14:paraId="287821BD" w14:textId="77777777" w:rsidR="00B65487" w:rsidRPr="00600211" w:rsidRDefault="00B65487" w:rsidP="00B65487">
            <w:pPr>
              <w:pStyle w:val="CETBodytext"/>
              <w:ind w:right="-1"/>
              <w:jc w:val="center"/>
              <w:rPr>
                <w:lang w:val="en-GB"/>
              </w:rPr>
            </w:pPr>
            <w:r>
              <w:rPr>
                <w:lang w:val="en-GB"/>
              </w:rPr>
              <w:t>44</w:t>
            </w:r>
          </w:p>
        </w:tc>
        <w:tc>
          <w:tcPr>
            <w:tcW w:w="1293" w:type="dxa"/>
            <w:shd w:val="clear" w:color="auto" w:fill="FFFFFF"/>
          </w:tcPr>
          <w:p w14:paraId="23B32395" w14:textId="77777777" w:rsidR="00B65487" w:rsidRPr="00600211" w:rsidRDefault="00B65487" w:rsidP="00B65487">
            <w:pPr>
              <w:pStyle w:val="CETBodytext"/>
              <w:ind w:right="-1"/>
              <w:jc w:val="center"/>
              <w:rPr>
                <w:lang w:val="en-GB"/>
              </w:rPr>
            </w:pPr>
            <w:r>
              <w:rPr>
                <w:lang w:val="en-GB"/>
              </w:rPr>
              <w:t>61</w:t>
            </w:r>
          </w:p>
        </w:tc>
      </w:tr>
      <w:tr w:rsidR="00B65487" w:rsidRPr="00B57B36" w14:paraId="4E22C98B" w14:textId="77777777" w:rsidTr="007A2A13">
        <w:trPr>
          <w:gridAfter w:val="1"/>
          <w:wAfter w:w="20" w:type="dxa"/>
        </w:trPr>
        <w:tc>
          <w:tcPr>
            <w:tcW w:w="2268" w:type="dxa"/>
            <w:shd w:val="clear" w:color="auto" w:fill="FFFFFF"/>
          </w:tcPr>
          <w:p w14:paraId="11E8F504" w14:textId="77777777" w:rsidR="00B65487" w:rsidRPr="008C459D" w:rsidRDefault="00B65487" w:rsidP="00B65487">
            <w:pPr>
              <w:pStyle w:val="CETBodytext"/>
              <w:ind w:right="-1"/>
              <w:rPr>
                <w:lang w:val="en-GB"/>
              </w:rPr>
            </w:pPr>
            <w:r w:rsidRPr="008C459D">
              <w:rPr>
                <w:lang w:val="en-GB"/>
              </w:rPr>
              <w:t>Human (72)</w:t>
            </w:r>
          </w:p>
        </w:tc>
        <w:tc>
          <w:tcPr>
            <w:tcW w:w="3544" w:type="dxa"/>
            <w:shd w:val="clear" w:color="auto" w:fill="FFFFFF"/>
          </w:tcPr>
          <w:p w14:paraId="310C4B15" w14:textId="77777777" w:rsidR="00B65487" w:rsidRPr="00600211" w:rsidRDefault="00B65487" w:rsidP="00B65487">
            <w:pPr>
              <w:pStyle w:val="CETBodytext"/>
              <w:ind w:right="-1"/>
              <w:rPr>
                <w:lang w:val="en-GB"/>
              </w:rPr>
            </w:pPr>
            <w:r>
              <w:rPr>
                <w:lang w:val="en-GB"/>
              </w:rPr>
              <w:t>Wrong action</w:t>
            </w:r>
          </w:p>
        </w:tc>
        <w:tc>
          <w:tcPr>
            <w:tcW w:w="992" w:type="dxa"/>
            <w:shd w:val="clear" w:color="auto" w:fill="FFFFFF"/>
          </w:tcPr>
          <w:p w14:paraId="3FA93A0C" w14:textId="77777777" w:rsidR="00B65487" w:rsidRDefault="00B65487" w:rsidP="00B65487">
            <w:pPr>
              <w:pStyle w:val="CETBodytext"/>
              <w:ind w:right="-1"/>
              <w:jc w:val="center"/>
              <w:rPr>
                <w:lang w:val="en-GB"/>
              </w:rPr>
            </w:pPr>
            <w:r>
              <w:rPr>
                <w:lang w:val="en-GB"/>
              </w:rPr>
              <w:t>24</w:t>
            </w:r>
          </w:p>
        </w:tc>
        <w:tc>
          <w:tcPr>
            <w:tcW w:w="1293" w:type="dxa"/>
            <w:shd w:val="clear" w:color="auto" w:fill="FFFFFF"/>
          </w:tcPr>
          <w:p w14:paraId="5A24BAE5" w14:textId="77777777" w:rsidR="00B65487" w:rsidRDefault="00B65487" w:rsidP="00B65487">
            <w:pPr>
              <w:pStyle w:val="CETBodytext"/>
              <w:ind w:right="-1"/>
              <w:jc w:val="center"/>
              <w:rPr>
                <w:lang w:val="en-GB"/>
              </w:rPr>
            </w:pPr>
            <w:r>
              <w:rPr>
                <w:lang w:val="en-GB"/>
              </w:rPr>
              <w:t>33</w:t>
            </w:r>
          </w:p>
        </w:tc>
      </w:tr>
      <w:tr w:rsidR="00B65487" w:rsidRPr="00B57B36" w14:paraId="747F5AA7" w14:textId="77777777" w:rsidTr="007A2A13">
        <w:trPr>
          <w:gridAfter w:val="1"/>
          <w:wAfter w:w="20" w:type="dxa"/>
          <w:trHeight w:val="496"/>
        </w:trPr>
        <w:tc>
          <w:tcPr>
            <w:tcW w:w="2268" w:type="dxa"/>
            <w:shd w:val="clear" w:color="auto" w:fill="FFFFFF"/>
          </w:tcPr>
          <w:p w14:paraId="279AB7FC" w14:textId="77777777" w:rsidR="00B65487" w:rsidRPr="008C459D" w:rsidRDefault="00B65487" w:rsidP="00B65487">
            <w:pPr>
              <w:pStyle w:val="CETBodytext"/>
              <w:ind w:right="-1"/>
              <w:rPr>
                <w:lang w:val="en-GB"/>
              </w:rPr>
            </w:pPr>
          </w:p>
        </w:tc>
        <w:tc>
          <w:tcPr>
            <w:tcW w:w="3544" w:type="dxa"/>
            <w:shd w:val="clear" w:color="auto" w:fill="FFFFFF"/>
          </w:tcPr>
          <w:p w14:paraId="7590F3E5" w14:textId="77777777" w:rsidR="00B65487" w:rsidRDefault="00B65487" w:rsidP="00B65487">
            <w:pPr>
              <w:pStyle w:val="CETBodytext"/>
              <w:ind w:right="-1"/>
              <w:rPr>
                <w:lang w:val="en-GB"/>
              </w:rPr>
            </w:pPr>
            <w:r>
              <w:rPr>
                <w:lang w:val="en-GB"/>
              </w:rPr>
              <w:t>Action not performed</w:t>
            </w:r>
          </w:p>
        </w:tc>
        <w:tc>
          <w:tcPr>
            <w:tcW w:w="992" w:type="dxa"/>
            <w:shd w:val="clear" w:color="auto" w:fill="FFFFFF"/>
          </w:tcPr>
          <w:p w14:paraId="54E97E9E" w14:textId="77777777" w:rsidR="00B65487" w:rsidRDefault="00B65487" w:rsidP="00B65487">
            <w:pPr>
              <w:pStyle w:val="CETBodytext"/>
              <w:ind w:right="-1"/>
              <w:jc w:val="center"/>
              <w:rPr>
                <w:lang w:val="en-GB"/>
              </w:rPr>
            </w:pPr>
            <w:r>
              <w:rPr>
                <w:lang w:val="en-GB"/>
              </w:rPr>
              <w:t>4</w:t>
            </w:r>
          </w:p>
        </w:tc>
        <w:tc>
          <w:tcPr>
            <w:tcW w:w="1293" w:type="dxa"/>
            <w:shd w:val="clear" w:color="auto" w:fill="FFFFFF"/>
          </w:tcPr>
          <w:p w14:paraId="1CAB58EE" w14:textId="77777777" w:rsidR="00B65487" w:rsidRDefault="00B65487" w:rsidP="00B65487">
            <w:pPr>
              <w:pStyle w:val="CETBodytext"/>
              <w:ind w:right="-1"/>
              <w:jc w:val="center"/>
              <w:rPr>
                <w:lang w:val="en-GB"/>
              </w:rPr>
            </w:pPr>
            <w:r>
              <w:rPr>
                <w:lang w:val="en-GB"/>
              </w:rPr>
              <w:t>6</w:t>
            </w:r>
          </w:p>
        </w:tc>
      </w:tr>
      <w:tr w:rsidR="002F6443" w:rsidRPr="00B57B36" w14:paraId="1524A7B9" w14:textId="77777777" w:rsidTr="002F6443">
        <w:trPr>
          <w:gridAfter w:val="1"/>
          <w:wAfter w:w="20" w:type="dxa"/>
          <w:trHeight w:val="191"/>
        </w:trPr>
        <w:tc>
          <w:tcPr>
            <w:tcW w:w="2268" w:type="dxa"/>
            <w:shd w:val="clear" w:color="auto" w:fill="FFFFFF"/>
          </w:tcPr>
          <w:p w14:paraId="33AF29FC" w14:textId="6D5CB3E2" w:rsidR="002F6443" w:rsidRPr="008C459D" w:rsidRDefault="002F6443" w:rsidP="002F6443">
            <w:pPr>
              <w:pStyle w:val="CETBodytext"/>
              <w:ind w:right="-1"/>
              <w:rPr>
                <w:lang w:val="en-GB"/>
              </w:rPr>
            </w:pPr>
            <w:r>
              <w:rPr>
                <w:lang w:val="en-GB"/>
              </w:rPr>
              <w:t>External causes (11)</w:t>
            </w:r>
          </w:p>
        </w:tc>
        <w:tc>
          <w:tcPr>
            <w:tcW w:w="3544" w:type="dxa"/>
            <w:shd w:val="clear" w:color="auto" w:fill="FFFFFF"/>
          </w:tcPr>
          <w:p w14:paraId="61EA8562" w14:textId="31EAD411" w:rsidR="002F6443" w:rsidRDefault="002F6443" w:rsidP="002F6443">
            <w:pPr>
              <w:pStyle w:val="CETBodytext"/>
              <w:ind w:right="-1"/>
              <w:rPr>
                <w:lang w:val="en-GB"/>
              </w:rPr>
            </w:pPr>
            <w:r w:rsidRPr="00600211">
              <w:rPr>
                <w:lang w:val="en-GB"/>
              </w:rPr>
              <w:t>Weather phenomenon</w:t>
            </w:r>
          </w:p>
        </w:tc>
        <w:tc>
          <w:tcPr>
            <w:tcW w:w="992" w:type="dxa"/>
            <w:shd w:val="clear" w:color="auto" w:fill="FFFFFF"/>
          </w:tcPr>
          <w:p w14:paraId="7D0BDC76" w14:textId="250A8E3D" w:rsidR="002F6443" w:rsidRDefault="002F6443" w:rsidP="002F6443">
            <w:pPr>
              <w:pStyle w:val="CETBodytext"/>
              <w:ind w:right="-1"/>
              <w:jc w:val="center"/>
              <w:rPr>
                <w:lang w:val="en-GB"/>
              </w:rPr>
            </w:pPr>
            <w:r>
              <w:rPr>
                <w:lang w:val="en-GB"/>
              </w:rPr>
              <w:t>10</w:t>
            </w:r>
          </w:p>
        </w:tc>
        <w:tc>
          <w:tcPr>
            <w:tcW w:w="1293" w:type="dxa"/>
            <w:shd w:val="clear" w:color="auto" w:fill="FFFFFF"/>
          </w:tcPr>
          <w:p w14:paraId="4B158F3B" w14:textId="78417E4A" w:rsidR="002F6443" w:rsidRDefault="002F6443" w:rsidP="002F6443">
            <w:pPr>
              <w:pStyle w:val="CETBodytext"/>
              <w:ind w:right="-1"/>
              <w:jc w:val="center"/>
              <w:rPr>
                <w:lang w:val="en-GB"/>
              </w:rPr>
            </w:pPr>
            <w:r>
              <w:rPr>
                <w:lang w:val="en-GB"/>
              </w:rPr>
              <w:t>91</w:t>
            </w:r>
          </w:p>
        </w:tc>
      </w:tr>
      <w:tr w:rsidR="002F6443" w:rsidRPr="00B57B36" w14:paraId="3995C146" w14:textId="77777777" w:rsidTr="007A2A13">
        <w:trPr>
          <w:gridAfter w:val="1"/>
          <w:wAfter w:w="20" w:type="dxa"/>
          <w:trHeight w:val="496"/>
        </w:trPr>
        <w:tc>
          <w:tcPr>
            <w:tcW w:w="2268" w:type="dxa"/>
            <w:shd w:val="clear" w:color="auto" w:fill="FFFFFF"/>
          </w:tcPr>
          <w:p w14:paraId="4D980790" w14:textId="77777777" w:rsidR="002F6443" w:rsidRPr="008C459D" w:rsidRDefault="002F6443" w:rsidP="002F6443">
            <w:pPr>
              <w:pStyle w:val="CETBodytext"/>
              <w:ind w:right="-1"/>
              <w:rPr>
                <w:lang w:val="en-GB"/>
              </w:rPr>
            </w:pPr>
          </w:p>
        </w:tc>
        <w:tc>
          <w:tcPr>
            <w:tcW w:w="3544" w:type="dxa"/>
            <w:shd w:val="clear" w:color="auto" w:fill="FFFFFF"/>
          </w:tcPr>
          <w:p w14:paraId="5C66ED3D" w14:textId="18D66D8A" w:rsidR="002F6443" w:rsidRDefault="002F6443" w:rsidP="002F6443">
            <w:pPr>
              <w:pStyle w:val="CETBodytext"/>
              <w:ind w:right="-1"/>
              <w:rPr>
                <w:lang w:val="en-GB"/>
              </w:rPr>
            </w:pPr>
            <w:r w:rsidRPr="00600211">
              <w:rPr>
                <w:lang w:val="en-GB"/>
              </w:rPr>
              <w:t>flooding, submersion</w:t>
            </w:r>
          </w:p>
        </w:tc>
        <w:tc>
          <w:tcPr>
            <w:tcW w:w="992" w:type="dxa"/>
            <w:shd w:val="clear" w:color="auto" w:fill="FFFFFF"/>
          </w:tcPr>
          <w:p w14:paraId="73A81366" w14:textId="2FDBA65D" w:rsidR="002F6443" w:rsidRDefault="002F6443" w:rsidP="002F6443">
            <w:pPr>
              <w:pStyle w:val="CETBodytext"/>
              <w:ind w:right="-1"/>
              <w:jc w:val="center"/>
              <w:rPr>
                <w:lang w:val="en-GB"/>
              </w:rPr>
            </w:pPr>
            <w:r>
              <w:rPr>
                <w:lang w:val="en-GB"/>
              </w:rPr>
              <w:t>1</w:t>
            </w:r>
          </w:p>
        </w:tc>
        <w:tc>
          <w:tcPr>
            <w:tcW w:w="1293" w:type="dxa"/>
            <w:shd w:val="clear" w:color="auto" w:fill="FFFFFF"/>
          </w:tcPr>
          <w:p w14:paraId="11FD32E2" w14:textId="188A01D3" w:rsidR="002F6443" w:rsidRDefault="002F6443" w:rsidP="002F6443">
            <w:pPr>
              <w:pStyle w:val="CETBodytext"/>
              <w:ind w:right="-1"/>
              <w:jc w:val="center"/>
              <w:rPr>
                <w:lang w:val="en-GB"/>
              </w:rPr>
            </w:pPr>
            <w:r>
              <w:rPr>
                <w:lang w:val="en-GB"/>
              </w:rPr>
              <w:t>9</w:t>
            </w:r>
          </w:p>
        </w:tc>
      </w:tr>
      <w:tr w:rsidR="002F6443" w:rsidRPr="00B57B36" w14:paraId="1200DA5E" w14:textId="77777777" w:rsidTr="007A2A13">
        <w:trPr>
          <w:gridAfter w:val="1"/>
          <w:wAfter w:w="20" w:type="dxa"/>
        </w:trPr>
        <w:tc>
          <w:tcPr>
            <w:tcW w:w="2268" w:type="dxa"/>
            <w:shd w:val="clear" w:color="auto" w:fill="FFFFFF"/>
          </w:tcPr>
          <w:p w14:paraId="36AB29F3" w14:textId="77777777" w:rsidR="002F6443" w:rsidRDefault="002F6443" w:rsidP="002F6443">
            <w:pPr>
              <w:pStyle w:val="CETBodytext"/>
              <w:rPr>
                <w:lang w:val="en-GB"/>
              </w:rPr>
            </w:pPr>
            <w:r w:rsidRPr="00734F4B">
              <w:rPr>
                <w:lang w:val="en-GB"/>
              </w:rPr>
              <w:t>Chemical reactivity</w:t>
            </w:r>
            <w:r w:rsidRPr="00600211">
              <w:rPr>
                <w:lang w:val="en-GB"/>
              </w:rPr>
              <w:t xml:space="preserve"> (10)</w:t>
            </w:r>
          </w:p>
        </w:tc>
        <w:tc>
          <w:tcPr>
            <w:tcW w:w="3544" w:type="dxa"/>
            <w:shd w:val="clear" w:color="auto" w:fill="FFFFFF"/>
          </w:tcPr>
          <w:p w14:paraId="5F751DBA" w14:textId="77777777" w:rsidR="002F6443" w:rsidRDefault="002F6443" w:rsidP="002F6443">
            <w:pPr>
              <w:pStyle w:val="CETBodytext"/>
              <w:ind w:right="-1"/>
              <w:rPr>
                <w:lang w:val="en-GB"/>
              </w:rPr>
            </w:pPr>
            <w:r w:rsidRPr="00600211">
              <w:rPr>
                <w:lang w:val="en-GB"/>
              </w:rPr>
              <w:t>Product decomposition, parasitic reactions</w:t>
            </w:r>
          </w:p>
        </w:tc>
        <w:tc>
          <w:tcPr>
            <w:tcW w:w="992" w:type="dxa"/>
            <w:shd w:val="clear" w:color="auto" w:fill="FFFFFF"/>
          </w:tcPr>
          <w:p w14:paraId="2B02493B" w14:textId="77777777" w:rsidR="002F6443" w:rsidRPr="00600211" w:rsidRDefault="002F6443" w:rsidP="002F6443">
            <w:pPr>
              <w:pStyle w:val="CETBodytext"/>
              <w:ind w:right="-1"/>
              <w:jc w:val="center"/>
              <w:rPr>
                <w:lang w:val="en-GB"/>
              </w:rPr>
            </w:pPr>
            <w:r w:rsidRPr="00600211">
              <w:rPr>
                <w:lang w:val="en-GB"/>
              </w:rPr>
              <w:t>5</w:t>
            </w:r>
          </w:p>
        </w:tc>
        <w:tc>
          <w:tcPr>
            <w:tcW w:w="1293" w:type="dxa"/>
            <w:shd w:val="clear" w:color="auto" w:fill="FFFFFF"/>
          </w:tcPr>
          <w:p w14:paraId="11C01C0D" w14:textId="77777777" w:rsidR="002F6443" w:rsidRPr="00600211" w:rsidRDefault="002F6443" w:rsidP="002F6443">
            <w:pPr>
              <w:pStyle w:val="CETBodytext"/>
              <w:ind w:right="-1"/>
              <w:jc w:val="center"/>
              <w:rPr>
                <w:lang w:val="en-GB"/>
              </w:rPr>
            </w:pPr>
            <w:r w:rsidRPr="00600211">
              <w:rPr>
                <w:lang w:val="en-GB"/>
              </w:rPr>
              <w:t>50</w:t>
            </w:r>
          </w:p>
        </w:tc>
      </w:tr>
      <w:tr w:rsidR="002F6443" w:rsidRPr="00B57B36" w14:paraId="47B07F05" w14:textId="77777777" w:rsidTr="007A2A13">
        <w:trPr>
          <w:gridAfter w:val="1"/>
          <w:wAfter w:w="20" w:type="dxa"/>
        </w:trPr>
        <w:tc>
          <w:tcPr>
            <w:tcW w:w="2268" w:type="dxa"/>
            <w:shd w:val="clear" w:color="auto" w:fill="FFFFFF"/>
          </w:tcPr>
          <w:p w14:paraId="45C6121A" w14:textId="77777777" w:rsidR="002F6443" w:rsidRPr="00734F4B" w:rsidRDefault="002F6443" w:rsidP="002F6443">
            <w:pPr>
              <w:pStyle w:val="CETBodytext"/>
              <w:rPr>
                <w:lang w:val="en-GB"/>
              </w:rPr>
            </w:pPr>
          </w:p>
        </w:tc>
        <w:tc>
          <w:tcPr>
            <w:tcW w:w="3544" w:type="dxa"/>
            <w:shd w:val="clear" w:color="auto" w:fill="FFFFFF"/>
          </w:tcPr>
          <w:p w14:paraId="5AB153FF" w14:textId="77777777" w:rsidR="002F6443" w:rsidRPr="00600211" w:rsidRDefault="002F6443" w:rsidP="002F6443">
            <w:pPr>
              <w:pStyle w:val="CETBodytext"/>
              <w:ind w:right="-1"/>
              <w:rPr>
                <w:lang w:val="en-GB"/>
              </w:rPr>
            </w:pPr>
            <w:r w:rsidRPr="00600211">
              <w:rPr>
                <w:lang w:val="en-GB"/>
              </w:rPr>
              <w:t>Mixing of incompatible products</w:t>
            </w:r>
          </w:p>
        </w:tc>
        <w:tc>
          <w:tcPr>
            <w:tcW w:w="992" w:type="dxa"/>
            <w:shd w:val="clear" w:color="auto" w:fill="FFFFFF"/>
          </w:tcPr>
          <w:p w14:paraId="5FF054B2" w14:textId="77777777" w:rsidR="002F6443" w:rsidRPr="00600211" w:rsidRDefault="002F6443" w:rsidP="002F6443">
            <w:pPr>
              <w:pStyle w:val="CETBodytext"/>
              <w:ind w:right="-1"/>
              <w:jc w:val="center"/>
              <w:rPr>
                <w:lang w:val="en-GB"/>
              </w:rPr>
            </w:pPr>
            <w:r w:rsidRPr="00600211">
              <w:rPr>
                <w:lang w:val="en-GB"/>
              </w:rPr>
              <w:t>3</w:t>
            </w:r>
          </w:p>
        </w:tc>
        <w:tc>
          <w:tcPr>
            <w:tcW w:w="1293" w:type="dxa"/>
            <w:shd w:val="clear" w:color="auto" w:fill="FFFFFF"/>
          </w:tcPr>
          <w:p w14:paraId="21EE228F" w14:textId="77777777" w:rsidR="002F6443" w:rsidRPr="00600211" w:rsidRDefault="002F6443" w:rsidP="002F6443">
            <w:pPr>
              <w:pStyle w:val="CETBodytext"/>
              <w:ind w:right="-1"/>
              <w:jc w:val="center"/>
              <w:rPr>
                <w:lang w:val="en-GB"/>
              </w:rPr>
            </w:pPr>
            <w:r w:rsidRPr="00600211">
              <w:rPr>
                <w:lang w:val="en-GB"/>
              </w:rPr>
              <w:t>30</w:t>
            </w:r>
          </w:p>
        </w:tc>
      </w:tr>
      <w:tr w:rsidR="002F6443" w:rsidRPr="00B57B36" w14:paraId="7AA4D06C" w14:textId="77777777" w:rsidTr="007A2A13">
        <w:trPr>
          <w:gridAfter w:val="1"/>
          <w:wAfter w:w="20" w:type="dxa"/>
        </w:trPr>
        <w:tc>
          <w:tcPr>
            <w:tcW w:w="2268" w:type="dxa"/>
            <w:shd w:val="clear" w:color="auto" w:fill="FFFFFF"/>
          </w:tcPr>
          <w:p w14:paraId="5905D010" w14:textId="77777777" w:rsidR="002F6443" w:rsidRPr="00734F4B" w:rsidRDefault="002F6443" w:rsidP="002F6443">
            <w:pPr>
              <w:pStyle w:val="CETBodytext"/>
              <w:rPr>
                <w:lang w:val="en-GB"/>
              </w:rPr>
            </w:pPr>
          </w:p>
        </w:tc>
        <w:tc>
          <w:tcPr>
            <w:tcW w:w="3544" w:type="dxa"/>
            <w:shd w:val="clear" w:color="auto" w:fill="FFFFFF"/>
          </w:tcPr>
          <w:p w14:paraId="4F0BC935" w14:textId="77777777" w:rsidR="002F6443" w:rsidRPr="00600211" w:rsidRDefault="002F6443" w:rsidP="002F6443">
            <w:pPr>
              <w:pStyle w:val="CETBodytext"/>
              <w:ind w:right="-1"/>
              <w:rPr>
                <w:lang w:val="en-GB"/>
              </w:rPr>
            </w:pPr>
            <w:r w:rsidRPr="00600211">
              <w:rPr>
                <w:lang w:val="en-GB"/>
              </w:rPr>
              <w:t>Other</w:t>
            </w:r>
          </w:p>
        </w:tc>
        <w:tc>
          <w:tcPr>
            <w:tcW w:w="992" w:type="dxa"/>
            <w:shd w:val="clear" w:color="auto" w:fill="FFFFFF"/>
          </w:tcPr>
          <w:p w14:paraId="1232D677" w14:textId="77777777" w:rsidR="002F6443" w:rsidRPr="00600211" w:rsidRDefault="002F6443" w:rsidP="002F6443">
            <w:pPr>
              <w:pStyle w:val="CETBodytext"/>
              <w:ind w:right="-1"/>
              <w:jc w:val="center"/>
              <w:rPr>
                <w:lang w:val="en-GB"/>
              </w:rPr>
            </w:pPr>
            <w:r w:rsidRPr="00600211">
              <w:rPr>
                <w:lang w:val="en-GB"/>
              </w:rPr>
              <w:t>2</w:t>
            </w:r>
          </w:p>
        </w:tc>
        <w:tc>
          <w:tcPr>
            <w:tcW w:w="1293" w:type="dxa"/>
            <w:shd w:val="clear" w:color="auto" w:fill="FFFFFF"/>
          </w:tcPr>
          <w:p w14:paraId="435A4F66" w14:textId="77777777" w:rsidR="002F6443" w:rsidRPr="00600211" w:rsidRDefault="002F6443" w:rsidP="002F6443">
            <w:pPr>
              <w:pStyle w:val="CETBodytext"/>
              <w:ind w:right="-1"/>
              <w:jc w:val="center"/>
              <w:rPr>
                <w:lang w:val="en-GB"/>
              </w:rPr>
            </w:pPr>
            <w:r w:rsidRPr="00600211">
              <w:rPr>
                <w:lang w:val="en-GB"/>
              </w:rPr>
              <w:t>20</w:t>
            </w:r>
          </w:p>
        </w:tc>
      </w:tr>
      <w:bookmarkEnd w:id="3"/>
    </w:tbl>
    <w:p w14:paraId="73EB6E2C" w14:textId="77777777" w:rsidR="002F3BDC" w:rsidRDefault="002F3BDC" w:rsidP="00037097">
      <w:pPr>
        <w:pStyle w:val="CETBodytext"/>
        <w:rPr>
          <w:lang w:val="en-GB"/>
        </w:rPr>
      </w:pPr>
    </w:p>
    <w:p w14:paraId="587F906A" w14:textId="40E84D7C" w:rsidR="00037097" w:rsidRDefault="00037097" w:rsidP="00037097">
      <w:pPr>
        <w:pStyle w:val="CETheadingx"/>
      </w:pPr>
      <w:r w:rsidRPr="00037097">
        <w:t>Specific Causes</w:t>
      </w:r>
    </w:p>
    <w:p w14:paraId="0BEBACF7" w14:textId="77777777" w:rsidR="00037097" w:rsidRPr="00037097" w:rsidRDefault="00037097" w:rsidP="00037097">
      <w:pPr>
        <w:pStyle w:val="CETBodytext"/>
        <w:rPr>
          <w:lang w:val="en-GB"/>
        </w:rPr>
      </w:pPr>
      <w:r w:rsidRPr="00037097">
        <w:rPr>
          <w:lang w:val="en-GB"/>
        </w:rPr>
        <w:t xml:space="preserve">Table 2 shows that the specific causes of events are related to their corresponding root causes. </w:t>
      </w:r>
      <w:proofErr w:type="spellStart"/>
      <w:r w:rsidRPr="00037097">
        <w:rPr>
          <w:lang w:val="en-GB"/>
        </w:rPr>
        <w:t>Analyzing</w:t>
      </w:r>
      <w:proofErr w:type="spellEnd"/>
      <w:r w:rsidRPr="00037097">
        <w:rPr>
          <w:lang w:val="en-GB"/>
        </w:rPr>
        <w:t xml:space="preserve"> these specific causes allows for a precise determination of the origin of each event, thus providing a better understanding of their nature.</w:t>
      </w:r>
    </w:p>
    <w:p w14:paraId="2AF17394" w14:textId="401BD3E5" w:rsidR="00037097" w:rsidRPr="00026177" w:rsidRDefault="00037097" w:rsidP="00037097">
      <w:pPr>
        <w:pStyle w:val="CETBodytext"/>
        <w:rPr>
          <w:lang w:val="en-GB"/>
        </w:rPr>
      </w:pPr>
      <w:r w:rsidRPr="00037097">
        <w:rPr>
          <w:lang w:val="en-GB"/>
        </w:rPr>
        <w:t xml:space="preserve">Traffic accidents represent the most frequent specific cause of </w:t>
      </w:r>
      <w:proofErr w:type="spellStart"/>
      <w:r w:rsidR="00AC0A63">
        <w:rPr>
          <w:lang w:val="en-GB"/>
        </w:rPr>
        <w:t>HazMaT</w:t>
      </w:r>
      <w:proofErr w:type="spellEnd"/>
      <w:r w:rsidRPr="00037097">
        <w:rPr>
          <w:lang w:val="en-GB"/>
        </w:rPr>
        <w:t xml:space="preserve"> </w:t>
      </w:r>
      <w:r w:rsidR="00DC6F07">
        <w:rPr>
          <w:lang w:val="en-GB"/>
        </w:rPr>
        <w:t>events</w:t>
      </w:r>
      <w:r w:rsidRPr="00037097">
        <w:rPr>
          <w:lang w:val="en-GB"/>
        </w:rPr>
        <w:t xml:space="preserve"> by vehicle, accounting for approximately 100% of this category. On the other hand, for </w:t>
      </w:r>
      <w:r w:rsidR="00DC6F07" w:rsidRPr="00037097">
        <w:rPr>
          <w:lang w:val="en-GB"/>
        </w:rPr>
        <w:t>Equipment failure</w:t>
      </w:r>
      <w:r w:rsidRPr="00037097">
        <w:rPr>
          <w:lang w:val="en-GB"/>
        </w:rPr>
        <w:t xml:space="preserve">, loss of containment (58.82%) and rupture (21.84%) are the most common specific causes. Regarding chemical reactivity, decomposition of products and parasitic reactions are the most frequent specific cause, accounting for approximately 50%. </w:t>
      </w:r>
      <w:proofErr w:type="spellStart"/>
      <w:r w:rsidRPr="00037097">
        <w:rPr>
          <w:lang w:val="en-GB"/>
        </w:rPr>
        <w:t>Analyzing</w:t>
      </w:r>
      <w:proofErr w:type="spellEnd"/>
      <w:r w:rsidRPr="00037097">
        <w:rPr>
          <w:lang w:val="en-GB"/>
        </w:rPr>
        <w:t xml:space="preserve"> this data provides a better understanding of the root causes of each </w:t>
      </w:r>
      <w:proofErr w:type="spellStart"/>
      <w:r w:rsidR="00AC0A63">
        <w:rPr>
          <w:lang w:val="en-GB"/>
        </w:rPr>
        <w:t>HazMaT</w:t>
      </w:r>
      <w:proofErr w:type="spellEnd"/>
      <w:r w:rsidRPr="00037097">
        <w:rPr>
          <w:lang w:val="en-GB"/>
        </w:rPr>
        <w:t xml:space="preserve"> -related event, thus enabling effective prevention measures to be implemented.</w:t>
      </w:r>
    </w:p>
    <w:p w14:paraId="0F4AAF32" w14:textId="1989EB95" w:rsidR="00600211" w:rsidRDefault="00600211" w:rsidP="00600211">
      <w:pPr>
        <w:pStyle w:val="CETheadingx"/>
      </w:pPr>
      <w:bookmarkStart w:id="4" w:name="_Hlk133404092"/>
      <w:r w:rsidRPr="00600211">
        <w:t>Risk Assessment</w:t>
      </w:r>
      <w:bookmarkEnd w:id="4"/>
    </w:p>
    <w:p w14:paraId="5E262030" w14:textId="08243371" w:rsidR="00600211" w:rsidRPr="00600211" w:rsidRDefault="00600211" w:rsidP="00600211">
      <w:pPr>
        <w:pStyle w:val="CETBodytext"/>
        <w:rPr>
          <w:lang w:val="en-GB"/>
        </w:rPr>
      </w:pPr>
      <w:r w:rsidRPr="00600211">
        <w:rPr>
          <w:lang w:val="en-GB"/>
        </w:rPr>
        <w:t xml:space="preserve">The risk assessment in this study was conducted using a risk matrix, which allowed classifying the risks associated with </w:t>
      </w:r>
      <w:proofErr w:type="spellStart"/>
      <w:r w:rsidR="00DC6F07">
        <w:rPr>
          <w:lang w:val="en-GB"/>
        </w:rPr>
        <w:t>HazMaT</w:t>
      </w:r>
      <w:proofErr w:type="spellEnd"/>
      <w:r w:rsidRPr="00600211">
        <w:rPr>
          <w:lang w:val="en-GB"/>
        </w:rPr>
        <w:t xml:space="preserve"> between 1981 and 2022 according to their severity. The methodology used for this classification is semi-quantitative and based on (Di Padova et al.</w:t>
      </w:r>
      <w:r w:rsidR="00316251">
        <w:rPr>
          <w:lang w:val="en-GB"/>
        </w:rPr>
        <w:t>,</w:t>
      </w:r>
      <w:r w:rsidRPr="00600211">
        <w:rPr>
          <w:lang w:val="en-GB"/>
        </w:rPr>
        <w:t xml:space="preserve"> 2011</w:t>
      </w:r>
      <w:r w:rsidR="00B65487" w:rsidRPr="00600211">
        <w:rPr>
          <w:lang w:val="en-GB"/>
        </w:rPr>
        <w:t>) methodology</w:t>
      </w:r>
      <w:r w:rsidRPr="00600211">
        <w:rPr>
          <w:lang w:val="en-GB"/>
        </w:rPr>
        <w:t xml:space="preserve"> adapted from the ISO 17776 (International Organization for Standardization (ISO), 2000) methodology. The risk matrix made it possible to calculate the probability and consequences levels of risks in order to classify them in order of importance.</w:t>
      </w:r>
    </w:p>
    <w:p w14:paraId="77ADB0D1" w14:textId="39D0D62A" w:rsidR="00600211" w:rsidRPr="00600211" w:rsidRDefault="00600211" w:rsidP="00600211">
      <w:pPr>
        <w:pStyle w:val="CETBodytext"/>
        <w:rPr>
          <w:lang w:val="en-GB"/>
        </w:rPr>
      </w:pPr>
      <w:r w:rsidRPr="00600211">
        <w:rPr>
          <w:lang w:val="en-GB"/>
        </w:rPr>
        <w:t>As shown in Table 1, the severity of risks was divided into five categories: Near miss (C1), Mishap (C2), Incident (C3), Accident (C4), and Catastrophic (C5). The frequency of events for each category</w:t>
      </w:r>
      <w:r w:rsidR="008437D5">
        <w:rPr>
          <w:lang w:val="en-GB"/>
        </w:rPr>
        <w:t xml:space="preserve"> </w:t>
      </w:r>
      <w:r w:rsidR="008437D5" w:rsidRPr="008F126F">
        <w:rPr>
          <w:lang w:val="en-GB"/>
        </w:rPr>
        <w:t>(frequency</w:t>
      </w:r>
      <w:r w:rsidR="008437D5">
        <w:rPr>
          <w:lang w:val="en-GB"/>
        </w:rPr>
        <w:t>)</w:t>
      </w:r>
      <w:r w:rsidRPr="00600211">
        <w:rPr>
          <w:lang w:val="en-GB"/>
        </w:rPr>
        <w:t xml:space="preserve"> was estimated based on the works of (</w:t>
      </w:r>
      <w:proofErr w:type="spellStart"/>
      <w:r w:rsidRPr="00600211">
        <w:rPr>
          <w:lang w:val="en-GB"/>
        </w:rPr>
        <w:t>Casson</w:t>
      </w:r>
      <w:proofErr w:type="spellEnd"/>
      <w:r w:rsidRPr="00600211">
        <w:rPr>
          <w:lang w:val="en-GB"/>
        </w:rPr>
        <w:t xml:space="preserve"> Moreno and </w:t>
      </w:r>
      <w:proofErr w:type="spellStart"/>
      <w:r w:rsidRPr="00600211">
        <w:rPr>
          <w:lang w:val="en-GB"/>
        </w:rPr>
        <w:t>Cozzani</w:t>
      </w:r>
      <w:proofErr w:type="spellEnd"/>
      <w:r w:rsidRPr="00600211">
        <w:rPr>
          <w:lang w:val="en-GB"/>
        </w:rPr>
        <w:t xml:space="preserve"> 2015), </w:t>
      </w:r>
      <w:r w:rsidR="00316251">
        <w:rPr>
          <w:lang w:val="en-GB"/>
        </w:rPr>
        <w:t xml:space="preserve">and </w:t>
      </w:r>
      <w:r w:rsidR="00316251" w:rsidRPr="00600211">
        <w:rPr>
          <w:lang w:val="en-GB"/>
        </w:rPr>
        <w:t>(</w:t>
      </w:r>
      <w:proofErr w:type="spellStart"/>
      <w:r w:rsidR="00CB0E85">
        <w:rPr>
          <w:lang w:val="en-GB"/>
        </w:rPr>
        <w:t>Casson</w:t>
      </w:r>
      <w:proofErr w:type="spellEnd"/>
      <w:r w:rsidR="00CB0E85">
        <w:rPr>
          <w:lang w:val="en-GB"/>
        </w:rPr>
        <w:t xml:space="preserve"> Moreno et al., 2016</w:t>
      </w:r>
      <w:r w:rsidR="00316251" w:rsidRPr="00600211">
        <w:rPr>
          <w:lang w:val="en-GB"/>
        </w:rPr>
        <w:t>)</w:t>
      </w:r>
      <w:r w:rsidRPr="00600211">
        <w:rPr>
          <w:lang w:val="en-GB"/>
        </w:rPr>
        <w:t xml:space="preserve">, and calculated using equation (1), by dividing </w:t>
      </w:r>
      <w:r w:rsidRPr="008F126F">
        <w:rPr>
          <w:lang w:val="en-GB"/>
        </w:rPr>
        <w:t xml:space="preserve">the number of </w:t>
      </w:r>
      <w:r w:rsidR="008437D5" w:rsidRPr="008F126F">
        <w:rPr>
          <w:lang w:val="en-GB"/>
        </w:rPr>
        <w:t xml:space="preserve">each </w:t>
      </w:r>
      <w:r w:rsidRPr="008F126F">
        <w:rPr>
          <w:lang w:val="en-GB"/>
        </w:rPr>
        <w:t xml:space="preserve">event </w:t>
      </w:r>
      <w:r w:rsidRPr="00600211">
        <w:rPr>
          <w:lang w:val="en-GB"/>
        </w:rPr>
        <w:t xml:space="preserve">by the </w:t>
      </w:r>
      <w:r w:rsidR="008437D5" w:rsidRPr="008F126F">
        <w:rPr>
          <w:lang w:val="en-GB"/>
        </w:rPr>
        <w:t xml:space="preserve">total duration of the study </w:t>
      </w:r>
      <w:r w:rsidRPr="00600211">
        <w:rPr>
          <w:lang w:val="en-GB"/>
        </w:rPr>
        <w:t>(41 years) and the estimated</w:t>
      </w:r>
      <w:r w:rsidR="008F126F">
        <w:rPr>
          <w:lang w:val="en-GB"/>
        </w:rPr>
        <w:t xml:space="preserve"> </w:t>
      </w:r>
      <w:r w:rsidR="001D655E">
        <w:rPr>
          <w:lang w:val="en-GB"/>
        </w:rPr>
        <w:t>(</w:t>
      </w:r>
      <w:r w:rsidRPr="008F126F">
        <w:rPr>
          <w:lang w:val="en-GB"/>
        </w:rPr>
        <w:t xml:space="preserve">number of chemical industries in France </w:t>
      </w:r>
      <w:r w:rsidRPr="00600211">
        <w:rPr>
          <w:lang w:val="en-GB"/>
        </w:rPr>
        <w:t>(3,300 according to the Ministry of Economy, Finance, and Industrial and Digital Sovereignty).</w:t>
      </w:r>
    </w:p>
    <w:p w14:paraId="3CF8A573" w14:textId="18CD6211" w:rsidR="00600211" w:rsidRPr="00916F4E" w:rsidRDefault="00600211" w:rsidP="00916F4E">
      <w:pPr>
        <w:pStyle w:val="CETEquation"/>
        <w:rPr>
          <w:rFonts w:eastAsiaTheme="minorEastAsia"/>
          <w:sz w:val="20"/>
        </w:rPr>
      </w:pPr>
      <m:oMath>
        <m:r>
          <w:rPr>
            <w:rFonts w:ascii="Cambria Math" w:hAnsi="Cambria Math" w:cs="Arial"/>
            <w:sz w:val="20"/>
          </w:rPr>
          <m:t>frequency</m:t>
        </m:r>
        <m:r>
          <m:rPr>
            <m:sty m:val="p"/>
          </m:rPr>
          <w:rPr>
            <w:rFonts w:ascii="Cambria Math" w:hAnsi="Cambria Math" w:cs="Arial"/>
            <w:sz w:val="20"/>
          </w:rPr>
          <m:t xml:space="preserve">= </m:t>
        </m:r>
        <m:f>
          <m:fPr>
            <m:ctrlPr>
              <w:rPr>
                <w:rFonts w:ascii="Cambria Math" w:eastAsia="Calibri" w:hAnsi="Cambria Math" w:cs="Arial"/>
                <w:sz w:val="20"/>
              </w:rPr>
            </m:ctrlPr>
          </m:fPr>
          <m:num>
            <m:f>
              <m:fPr>
                <m:ctrlPr>
                  <w:rPr>
                    <w:rFonts w:ascii="Cambria Math" w:hAnsi="Cambria Math" w:cs="Arial"/>
                    <w:sz w:val="20"/>
                  </w:rPr>
                </m:ctrlPr>
              </m:fPr>
              <m:num>
                <m:r>
                  <w:rPr>
                    <w:rFonts w:ascii="Cambria Math" w:hAnsi="Cambria Math" w:cs="Arial"/>
                    <w:sz w:val="20"/>
                  </w:rPr>
                  <m:t>Number</m:t>
                </m:r>
                <m:r>
                  <m:rPr>
                    <m:sty m:val="p"/>
                  </m:rPr>
                  <w:rPr>
                    <w:rFonts w:ascii="Cambria Math" w:hAnsi="Cambria Math" w:cs="Arial"/>
                    <w:sz w:val="20"/>
                  </w:rPr>
                  <m:t xml:space="preserve"> </m:t>
                </m:r>
                <m:r>
                  <w:rPr>
                    <w:rFonts w:ascii="Cambria Math" w:hAnsi="Cambria Math" w:cs="Arial"/>
                    <w:sz w:val="20"/>
                  </w:rPr>
                  <m:t>of</m:t>
                </m:r>
                <m:r>
                  <m:rPr>
                    <m:sty m:val="p"/>
                  </m:rPr>
                  <w:rPr>
                    <w:rFonts w:ascii="Cambria Math" w:hAnsi="Cambria Math" w:cs="Arial"/>
                    <w:sz w:val="20"/>
                  </w:rPr>
                  <m:t xml:space="preserve"> </m:t>
                </m:r>
                <m:r>
                  <w:rPr>
                    <w:rFonts w:ascii="Cambria Math" w:hAnsi="Cambria Math" w:cs="Arial"/>
                    <w:sz w:val="20"/>
                  </w:rPr>
                  <m:t>each</m:t>
                </m:r>
                <m:r>
                  <m:rPr>
                    <m:sty m:val="p"/>
                  </m:rPr>
                  <w:rPr>
                    <w:rFonts w:ascii="Cambria Math" w:hAnsi="Cambria Math" w:cs="Arial"/>
                    <w:sz w:val="20"/>
                  </w:rPr>
                  <m:t xml:space="preserve"> </m:t>
                </m:r>
                <m:r>
                  <w:rPr>
                    <w:rFonts w:ascii="Cambria Math" w:hAnsi="Cambria Math" w:cs="Arial"/>
                    <w:sz w:val="20"/>
                  </w:rPr>
                  <m:t>event</m:t>
                </m:r>
              </m:num>
              <m:den>
                <m:r>
                  <w:rPr>
                    <w:rFonts w:ascii="Cambria Math" w:hAnsi="Cambria Math" w:cs="Arial"/>
                    <w:sz w:val="20"/>
                  </w:rPr>
                  <m:t>Total</m:t>
                </m:r>
                <m:r>
                  <m:rPr>
                    <m:sty m:val="p"/>
                  </m:rPr>
                  <w:rPr>
                    <w:rFonts w:ascii="Cambria Math" w:hAnsi="Cambria Math" w:cs="Arial"/>
                    <w:sz w:val="20"/>
                  </w:rPr>
                  <m:t xml:space="preserve"> </m:t>
                </m:r>
                <m:r>
                  <w:rPr>
                    <w:rFonts w:ascii="Cambria Math" w:hAnsi="Cambria Math" w:cs="Arial"/>
                    <w:sz w:val="20"/>
                  </w:rPr>
                  <m:t>duration</m:t>
                </m:r>
                <m:r>
                  <m:rPr>
                    <m:sty m:val="p"/>
                  </m:rPr>
                  <w:rPr>
                    <w:rFonts w:ascii="Cambria Math" w:hAnsi="Cambria Math" w:cs="Arial"/>
                    <w:sz w:val="20"/>
                  </w:rPr>
                  <m:t xml:space="preserve"> </m:t>
                </m:r>
                <m:r>
                  <w:rPr>
                    <w:rFonts w:ascii="Cambria Math" w:hAnsi="Cambria Math" w:cs="Arial"/>
                    <w:sz w:val="20"/>
                  </w:rPr>
                  <m:t>of</m:t>
                </m:r>
                <m:r>
                  <m:rPr>
                    <m:sty m:val="p"/>
                  </m:rPr>
                  <w:rPr>
                    <w:rFonts w:ascii="Cambria Math" w:hAnsi="Cambria Math" w:cs="Arial"/>
                    <w:sz w:val="20"/>
                  </w:rPr>
                  <m:t xml:space="preserve"> </m:t>
                </m:r>
                <m:r>
                  <w:rPr>
                    <w:rFonts w:ascii="Cambria Math" w:hAnsi="Cambria Math" w:cs="Arial"/>
                    <w:sz w:val="20"/>
                  </w:rPr>
                  <m:t>the</m:t>
                </m:r>
                <m:r>
                  <m:rPr>
                    <m:sty m:val="p"/>
                  </m:rPr>
                  <w:rPr>
                    <w:rFonts w:ascii="Cambria Math" w:hAnsi="Cambria Math" w:cs="Arial"/>
                    <w:sz w:val="20"/>
                  </w:rPr>
                  <m:t xml:space="preserve"> </m:t>
                </m:r>
                <m:r>
                  <w:rPr>
                    <w:rFonts w:ascii="Cambria Math" w:hAnsi="Cambria Math" w:cs="Arial"/>
                    <w:sz w:val="20"/>
                  </w:rPr>
                  <m:t>study</m:t>
                </m:r>
              </m:den>
            </m:f>
          </m:num>
          <m:den>
            <m:r>
              <w:rPr>
                <w:rFonts w:ascii="Cambria Math" w:hAnsi="Cambria Math" w:cs="Arial"/>
                <w:sz w:val="20"/>
              </w:rPr>
              <m:t>estimated</m:t>
            </m:r>
            <m:r>
              <m:rPr>
                <m:sty m:val="p"/>
              </m:rPr>
              <w:rPr>
                <w:rFonts w:ascii="Cambria Math" w:hAnsi="Cambria Math" w:cs="Arial"/>
                <w:sz w:val="20"/>
              </w:rPr>
              <m:t xml:space="preserve"> </m:t>
            </m:r>
            <m:r>
              <w:rPr>
                <w:rFonts w:ascii="Cambria Math" w:hAnsi="Cambria Math" w:cs="Arial"/>
                <w:sz w:val="20"/>
              </w:rPr>
              <m:t>number</m:t>
            </m:r>
            <m:r>
              <m:rPr>
                <m:sty m:val="p"/>
              </m:rPr>
              <w:rPr>
                <w:rFonts w:ascii="Cambria Math" w:hAnsi="Cambria Math" w:cs="Arial"/>
                <w:sz w:val="20"/>
              </w:rPr>
              <m:t xml:space="preserve"> </m:t>
            </m:r>
            <m:r>
              <w:rPr>
                <w:rFonts w:ascii="Cambria Math" w:hAnsi="Cambria Math" w:cs="Arial"/>
                <w:sz w:val="20"/>
              </w:rPr>
              <m:t>of</m:t>
            </m:r>
            <m:r>
              <m:rPr>
                <m:sty m:val="p"/>
              </m:rPr>
              <w:rPr>
                <w:rFonts w:ascii="Cambria Math" w:hAnsi="Cambria Math" w:cs="Arial"/>
                <w:sz w:val="20"/>
              </w:rPr>
              <m:t xml:space="preserve"> </m:t>
            </m:r>
            <m:r>
              <w:rPr>
                <w:rFonts w:ascii="Cambria Math" w:hAnsi="Cambria Math" w:cs="Arial"/>
                <w:sz w:val="20"/>
              </w:rPr>
              <m:t>chemical</m:t>
            </m:r>
            <m:r>
              <m:rPr>
                <m:sty m:val="p"/>
              </m:rPr>
              <w:rPr>
                <w:rFonts w:ascii="Cambria Math" w:hAnsi="Cambria Math" w:cs="Arial"/>
                <w:sz w:val="20"/>
              </w:rPr>
              <m:t xml:space="preserve"> </m:t>
            </m:r>
            <m:r>
              <w:rPr>
                <w:rFonts w:ascii="Cambria Math" w:hAnsi="Cambria Math" w:cs="Arial"/>
                <w:sz w:val="20"/>
              </w:rPr>
              <m:t>industry</m:t>
            </m:r>
            <m:r>
              <m:rPr>
                <m:sty m:val="p"/>
              </m:rPr>
              <w:rPr>
                <w:rFonts w:ascii="Cambria Math" w:hAnsi="Cambria Math" w:cs="Arial"/>
                <w:sz w:val="20"/>
              </w:rPr>
              <m:t xml:space="preserve"> </m:t>
            </m:r>
            <m:r>
              <w:rPr>
                <w:rFonts w:ascii="Cambria Math" w:hAnsi="Cambria Math" w:cs="Arial"/>
                <w:sz w:val="20"/>
              </w:rPr>
              <m:t>in</m:t>
            </m:r>
            <m:r>
              <m:rPr>
                <m:sty m:val="p"/>
              </m:rPr>
              <w:rPr>
                <w:rFonts w:ascii="Cambria Math" w:hAnsi="Cambria Math" w:cs="Arial"/>
                <w:sz w:val="20"/>
              </w:rPr>
              <m:t xml:space="preserve"> </m:t>
            </m:r>
            <m:r>
              <w:rPr>
                <w:rFonts w:ascii="Cambria Math" w:hAnsi="Cambria Math" w:cs="Arial"/>
                <w:sz w:val="20"/>
              </w:rPr>
              <m:t>France</m:t>
            </m:r>
          </m:den>
        </m:f>
      </m:oMath>
      <w:r w:rsidRPr="00916F4E">
        <w:rPr>
          <w:rFonts w:eastAsiaTheme="minorEastAsia"/>
          <w:sz w:val="20"/>
        </w:rPr>
        <w:t xml:space="preserve">                                                        </w:t>
      </w:r>
      <w:proofErr w:type="spellStart"/>
      <w:r w:rsidR="00916F4E" w:rsidRPr="00916F4E">
        <w:rPr>
          <w:rFonts w:eastAsiaTheme="minorEastAsia"/>
          <w:szCs w:val="18"/>
        </w:rPr>
        <w:t>Eq</w:t>
      </w:r>
      <w:proofErr w:type="spellEnd"/>
      <w:r w:rsidRPr="00916F4E">
        <w:rPr>
          <w:rFonts w:eastAsiaTheme="minorEastAsia"/>
          <w:szCs w:val="18"/>
        </w:rPr>
        <w:t xml:space="preserve"> (1)</w:t>
      </w:r>
      <w:r w:rsidRPr="00916F4E">
        <w:rPr>
          <w:rFonts w:eastAsiaTheme="minorEastAsia"/>
        </w:rPr>
        <w:t xml:space="preserve"> </w:t>
      </w:r>
      <w:r w:rsidRPr="00916F4E">
        <w:rPr>
          <w:rFonts w:eastAsiaTheme="minorEastAsia"/>
          <w:sz w:val="20"/>
        </w:rPr>
        <w:t xml:space="preserve">          </w:t>
      </w:r>
    </w:p>
    <w:p w14:paraId="5B1F6302" w14:textId="2C9715E8" w:rsidR="00600211" w:rsidRPr="00477696" w:rsidRDefault="00600211" w:rsidP="008F126F">
      <w:pPr>
        <w:pStyle w:val="CETBodytext"/>
        <w:spacing w:after="240"/>
        <w:rPr>
          <w:lang w:val="en-GB"/>
        </w:rPr>
      </w:pPr>
      <w:r w:rsidRPr="00600211">
        <w:rPr>
          <w:lang w:val="en-GB"/>
        </w:rPr>
        <w:t xml:space="preserve">The results of the frequency calculation are summarized in Figure </w:t>
      </w:r>
      <w:r w:rsidR="008153ED">
        <w:rPr>
          <w:lang w:val="en-GB"/>
        </w:rPr>
        <w:t>6</w:t>
      </w:r>
      <w:r w:rsidRPr="00600211">
        <w:rPr>
          <w:lang w:val="en-GB"/>
        </w:rPr>
        <w:t>, and are divided into five categories ranging from the lowest to the highest frequencies.</w:t>
      </w:r>
    </w:p>
    <w:p w14:paraId="5FD06355" w14:textId="6085D55F" w:rsidR="00037097" w:rsidRPr="00C045D1" w:rsidRDefault="009D2DEC" w:rsidP="00011016">
      <w:pPr>
        <w:pStyle w:val="CETBodytext"/>
        <w:jc w:val="left"/>
        <w:rPr>
          <w:lang w:val="en-GB"/>
        </w:rPr>
      </w:pPr>
      <w:r>
        <w:rPr>
          <w:noProof/>
          <w:lang w:val="en-GB"/>
        </w:rPr>
        <w:drawing>
          <wp:inline distT="0" distB="0" distL="0" distR="0" wp14:anchorId="0957952D" wp14:editId="5243C595">
            <wp:extent cx="4516341" cy="1478206"/>
            <wp:effectExtent l="0" t="0" r="0" b="825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pture.PNG"/>
                    <pic:cNvPicPr/>
                  </pic:nvPicPr>
                  <pic:blipFill>
                    <a:blip r:embed="rId16"/>
                    <a:stretch>
                      <a:fillRect/>
                    </a:stretch>
                  </pic:blipFill>
                  <pic:spPr>
                    <a:xfrm>
                      <a:off x="0" y="0"/>
                      <a:ext cx="4664536" cy="1526710"/>
                    </a:xfrm>
                    <a:prstGeom prst="rect">
                      <a:avLst/>
                    </a:prstGeom>
                  </pic:spPr>
                </pic:pic>
              </a:graphicData>
            </a:graphic>
          </wp:inline>
        </w:drawing>
      </w:r>
    </w:p>
    <w:p w14:paraId="2224689A" w14:textId="7080DC3B" w:rsidR="00600211" w:rsidRDefault="00600211" w:rsidP="008F126F">
      <w:pPr>
        <w:pStyle w:val="Lgende"/>
        <w:spacing w:after="240"/>
        <w:rPr>
          <w:b w:val="0"/>
          <w:bCs w:val="0"/>
          <w:i/>
          <w:color w:val="auto"/>
          <w:szCs w:val="20"/>
          <w:lang w:val="en-US"/>
        </w:rPr>
      </w:pPr>
      <w:r w:rsidRPr="00600211">
        <w:rPr>
          <w:b w:val="0"/>
          <w:bCs w:val="0"/>
          <w:i/>
          <w:color w:val="auto"/>
          <w:szCs w:val="20"/>
          <w:lang w:val="en-US"/>
        </w:rPr>
        <w:t xml:space="preserve">Figure </w:t>
      </w:r>
      <w:r w:rsidR="00B563A4">
        <w:rPr>
          <w:b w:val="0"/>
          <w:bCs w:val="0"/>
          <w:i/>
          <w:color w:val="auto"/>
          <w:szCs w:val="20"/>
          <w:lang w:val="en-US"/>
        </w:rPr>
        <w:t>6</w:t>
      </w:r>
      <w:r w:rsidR="00FA70AF" w:rsidRPr="00600211">
        <w:rPr>
          <w:b w:val="0"/>
          <w:bCs w:val="0"/>
          <w:i/>
          <w:color w:val="auto"/>
          <w:szCs w:val="20"/>
          <w:lang w:val="en-US"/>
        </w:rPr>
        <w:t>: risk</w:t>
      </w:r>
      <w:r w:rsidRPr="00600211">
        <w:rPr>
          <w:b w:val="0"/>
          <w:bCs w:val="0"/>
          <w:i/>
          <w:color w:val="auto"/>
          <w:szCs w:val="20"/>
          <w:lang w:val="en-US"/>
        </w:rPr>
        <w:t xml:space="preserve"> matrix</w:t>
      </w:r>
    </w:p>
    <w:p w14:paraId="01E01C9A" w14:textId="4A2A0650" w:rsidR="00600211" w:rsidRPr="00600211" w:rsidRDefault="00600211" w:rsidP="00600211">
      <w:pPr>
        <w:pStyle w:val="CETBodytext"/>
        <w:rPr>
          <w:lang w:val="en-GB"/>
        </w:rPr>
      </w:pPr>
      <w:r w:rsidRPr="00600211">
        <w:rPr>
          <w:lang w:val="en-GB"/>
        </w:rPr>
        <w:lastRenderedPageBreak/>
        <w:t xml:space="preserve">The Figure </w:t>
      </w:r>
      <w:r w:rsidR="00B563A4">
        <w:rPr>
          <w:lang w:val="en-GB"/>
        </w:rPr>
        <w:t>6</w:t>
      </w:r>
      <w:r w:rsidRPr="00600211">
        <w:rPr>
          <w:lang w:val="en-GB"/>
        </w:rPr>
        <w:t xml:space="preserve"> illustrates the risk matrix, a key tool for assessing the level of risk associated with </w:t>
      </w:r>
      <w:proofErr w:type="spellStart"/>
      <w:r w:rsidR="00DC6F07">
        <w:rPr>
          <w:lang w:val="en-GB"/>
        </w:rPr>
        <w:t>HazMaT</w:t>
      </w:r>
      <w:proofErr w:type="spellEnd"/>
      <w:r w:rsidRPr="00600211">
        <w:rPr>
          <w:lang w:val="en-GB"/>
        </w:rPr>
        <w:t xml:space="preserve"> by combining frequency and severity indices (ranging from C1 (low severity) to C5 (very high severity)). It is composed of three </w:t>
      </w:r>
      <w:proofErr w:type="spellStart"/>
      <w:r w:rsidRPr="00600211">
        <w:rPr>
          <w:lang w:val="en-GB"/>
        </w:rPr>
        <w:t>colors</w:t>
      </w:r>
      <w:proofErr w:type="spellEnd"/>
      <w:r w:rsidRPr="00600211">
        <w:rPr>
          <w:lang w:val="en-GB"/>
        </w:rPr>
        <w:t>: green for normal situations, yellow for situations requiring increased vigilance and implementation of safety barriers, and red for unacceptable or degraded situations requiring immediate intervention. Events identified in the yellow and red zones should be prioritized for risk minimization.</w:t>
      </w:r>
    </w:p>
    <w:p w14:paraId="21AE4263" w14:textId="2AF2C2CC" w:rsidR="00F71012" w:rsidRPr="008F126F" w:rsidRDefault="00F71012" w:rsidP="00600211">
      <w:pPr>
        <w:pStyle w:val="CETBodytext"/>
        <w:rPr>
          <w:lang w:val="en-GB"/>
        </w:rPr>
      </w:pPr>
      <w:r w:rsidRPr="008F126F">
        <w:rPr>
          <w:lang w:val="en-GB"/>
        </w:rPr>
        <w:t>The risk matrix displays events categorized within the yellow and red zones, 72 events, indicating risks of moderate and high severity.</w:t>
      </w:r>
    </w:p>
    <w:p w14:paraId="1A2E120E" w14:textId="1314B3EC" w:rsidR="00600211" w:rsidRPr="00600211" w:rsidRDefault="00600211" w:rsidP="00600211">
      <w:pPr>
        <w:pStyle w:val="CETBodytext"/>
        <w:rPr>
          <w:lang w:val="en-GB"/>
        </w:rPr>
      </w:pPr>
      <w:r w:rsidRPr="00600211">
        <w:rPr>
          <w:lang w:val="en-GB"/>
        </w:rPr>
        <w:t>It is important to note that risks located in the yellow zone should be closely monitored and appropriate risk reduction measures should be put in place to minimize their potential impact. Although these risks are not considered the most critical, they can still cause significant damage if not managed adequately</w:t>
      </w:r>
      <w:r w:rsidR="00983918">
        <w:rPr>
          <w:lang w:val="en-GB"/>
        </w:rPr>
        <w:t>.</w:t>
      </w:r>
    </w:p>
    <w:p w14:paraId="74776731" w14:textId="5723080F" w:rsidR="00600211" w:rsidRPr="00600211" w:rsidRDefault="00600211" w:rsidP="00600211">
      <w:pPr>
        <w:pStyle w:val="CETHeading1"/>
        <w:tabs>
          <w:tab w:val="num" w:pos="360"/>
        </w:tabs>
        <w:rPr>
          <w:lang w:val="en-GB"/>
        </w:rPr>
      </w:pPr>
      <w:r>
        <w:rPr>
          <w:lang w:val="en-GB"/>
        </w:rPr>
        <w:t>C</w:t>
      </w:r>
      <w:r w:rsidRPr="00600211">
        <w:rPr>
          <w:lang w:val="en-GB"/>
        </w:rPr>
        <w:t>onclusion</w:t>
      </w:r>
    </w:p>
    <w:p w14:paraId="0C184C5A" w14:textId="1FDCAD4E" w:rsidR="00E13BB1" w:rsidRPr="008F126F" w:rsidRDefault="00600211" w:rsidP="00600211">
      <w:pPr>
        <w:pStyle w:val="CETBodytext"/>
        <w:rPr>
          <w:lang w:val="en-GB"/>
        </w:rPr>
      </w:pPr>
      <w:r w:rsidRPr="00600211">
        <w:rPr>
          <w:lang w:val="en-GB"/>
        </w:rPr>
        <w:t xml:space="preserve">This article presents an analysis of hazardous materials transportation events in France from 1981 to 2022 using the ARIA database. Events were classified based on their severity, hazardous phenomenon, industrial sector, and human consequences. The distribution of events by severity shows that the majority of them are mishaps (C2). Releases of hazardous materials were the most frequent hazardous phenomenon, representing 61% of the events, followed by fires and explosions. The transportation sector (rail/road/water, pipeline) was the most affected, accounting for 76.11% of </w:t>
      </w:r>
      <w:proofErr w:type="spellStart"/>
      <w:r w:rsidR="00AC0A63">
        <w:rPr>
          <w:lang w:val="en-GB"/>
        </w:rPr>
        <w:t>HazMaT</w:t>
      </w:r>
      <w:proofErr w:type="spellEnd"/>
      <w:r w:rsidRPr="00600211">
        <w:rPr>
          <w:lang w:val="en-GB"/>
        </w:rPr>
        <w:t xml:space="preserve"> </w:t>
      </w:r>
      <w:r w:rsidR="00DC6F07">
        <w:rPr>
          <w:lang w:val="en-GB"/>
        </w:rPr>
        <w:t>events</w:t>
      </w:r>
      <w:r w:rsidRPr="00600211">
        <w:rPr>
          <w:lang w:val="en-GB"/>
        </w:rPr>
        <w:t xml:space="preserve">. In terms of human consequences, 71 events resulted in injuries and fatalities, </w:t>
      </w:r>
      <w:proofErr w:type="spellStart"/>
      <w:r w:rsidRPr="00600211">
        <w:rPr>
          <w:lang w:val="en-GB"/>
        </w:rPr>
        <w:t>totaling</w:t>
      </w:r>
      <w:proofErr w:type="spellEnd"/>
      <w:r w:rsidRPr="00600211">
        <w:rPr>
          <w:lang w:val="en-GB"/>
        </w:rPr>
        <w:t xml:space="preserve"> 164 injuries and 33 deaths. The causes of these events are diverse, ranging from technical and physical causes to human and organizational factors. </w:t>
      </w:r>
      <w:r w:rsidR="002F3186" w:rsidRPr="008F126F">
        <w:rPr>
          <w:lang w:val="en-GB"/>
        </w:rPr>
        <w:t xml:space="preserve">This study highlights the imperative need to enhance transportation safety, given that it is one of the vulnerable sectors prone to severe accidents involving </w:t>
      </w:r>
      <w:proofErr w:type="spellStart"/>
      <w:r w:rsidR="002F3186" w:rsidRPr="008F126F">
        <w:rPr>
          <w:lang w:val="en-GB"/>
        </w:rPr>
        <w:t>HazMaT</w:t>
      </w:r>
      <w:proofErr w:type="spellEnd"/>
      <w:r w:rsidR="002F3186" w:rsidRPr="008F126F">
        <w:rPr>
          <w:lang w:val="en-GB"/>
        </w:rPr>
        <w:t>.</w:t>
      </w:r>
    </w:p>
    <w:p w14:paraId="7CFD0217" w14:textId="420E2FBD" w:rsidR="00E13BB1" w:rsidRPr="008F126F" w:rsidRDefault="00E13BB1" w:rsidP="00600211">
      <w:pPr>
        <w:pStyle w:val="CETBodytext"/>
        <w:rPr>
          <w:lang w:val="en-GB"/>
        </w:rPr>
      </w:pPr>
      <w:r w:rsidRPr="008F126F">
        <w:rPr>
          <w:lang w:val="en-GB"/>
        </w:rPr>
        <w:t xml:space="preserve">It is </w:t>
      </w:r>
      <w:r w:rsidR="00316A3B" w:rsidRPr="008F126F">
        <w:rPr>
          <w:lang w:val="en-GB"/>
        </w:rPr>
        <w:t>crucial</w:t>
      </w:r>
      <w:r w:rsidRPr="008F126F">
        <w:rPr>
          <w:lang w:val="en-GB"/>
        </w:rPr>
        <w:t xml:space="preserve"> to understand the causes </w:t>
      </w:r>
      <w:r w:rsidR="00316A3B" w:rsidRPr="008F126F">
        <w:rPr>
          <w:lang w:val="en-GB"/>
        </w:rPr>
        <w:t xml:space="preserve">behind these events </w:t>
      </w:r>
      <w:r w:rsidRPr="008F126F">
        <w:rPr>
          <w:lang w:val="en-GB"/>
        </w:rPr>
        <w:t>in order to prevent them or mitigate their consequences effectively. Indeed, identifying potential vulnerabilities, systemic problems or human factors that contribute to such events can contribute to the development of targeted preventive measures, improved safety protocols and sound contingency plans, in order to minimize the occurrence and impact of future incidents.</w:t>
      </w:r>
    </w:p>
    <w:p w14:paraId="07559DAF" w14:textId="3A0A85D1" w:rsidR="00F40AAE" w:rsidRDefault="007846AF" w:rsidP="00F40AAE">
      <w:pPr>
        <w:pStyle w:val="CETheadingx"/>
        <w:numPr>
          <w:ilvl w:val="0"/>
          <w:numId w:val="0"/>
        </w:numPr>
      </w:pPr>
      <w:r>
        <w:t xml:space="preserve">References </w:t>
      </w:r>
    </w:p>
    <w:p w14:paraId="4791694A" w14:textId="77777777" w:rsidR="00587F28" w:rsidRDefault="00587F28" w:rsidP="00587F28">
      <w:pPr>
        <w:pStyle w:val="CETReferencetext"/>
      </w:pPr>
      <w:bookmarkStart w:id="5" w:name="_Hlk133410433"/>
      <w:bookmarkStart w:id="6" w:name="_Hlk133411590"/>
      <w:proofErr w:type="spellStart"/>
      <w:r w:rsidRPr="00CD567B">
        <w:t>Casson</w:t>
      </w:r>
      <w:proofErr w:type="spellEnd"/>
      <w:r w:rsidRPr="00CD567B">
        <w:t xml:space="preserve"> Moreno, V., </w:t>
      </w:r>
      <w:proofErr w:type="spellStart"/>
      <w:r w:rsidRPr="00CD567B">
        <w:t>Papasidero</w:t>
      </w:r>
      <w:proofErr w:type="spellEnd"/>
      <w:r w:rsidRPr="00CD567B">
        <w:t xml:space="preserve">, S., </w:t>
      </w:r>
      <w:proofErr w:type="spellStart"/>
      <w:r w:rsidRPr="00CD567B">
        <w:t>Scarponi</w:t>
      </w:r>
      <w:proofErr w:type="spellEnd"/>
      <w:r w:rsidRPr="00CD567B">
        <w:t xml:space="preserve">, G.E., </w:t>
      </w:r>
      <w:proofErr w:type="spellStart"/>
      <w:r w:rsidRPr="00CD567B">
        <w:t>Guglielmi</w:t>
      </w:r>
      <w:proofErr w:type="spellEnd"/>
      <w:r w:rsidRPr="00CD567B">
        <w:t xml:space="preserve">, D., </w:t>
      </w:r>
      <w:proofErr w:type="spellStart"/>
      <w:r w:rsidRPr="00CD567B">
        <w:t>Cozzani</w:t>
      </w:r>
      <w:proofErr w:type="spellEnd"/>
      <w:r w:rsidRPr="00CD567B">
        <w:t>, V., 2016</w:t>
      </w:r>
      <w:r>
        <w:t>,</w:t>
      </w:r>
      <w:r w:rsidRPr="00CD567B">
        <w:t xml:space="preserve"> Analysis of accidents in biogas production and upgrading. Renew. Energy 96, 1127–1134</w:t>
      </w:r>
      <w:r>
        <w:t>.</w:t>
      </w:r>
    </w:p>
    <w:p w14:paraId="308129BB" w14:textId="77777777" w:rsidR="00587F28" w:rsidRDefault="00587F28" w:rsidP="00587F28">
      <w:pPr>
        <w:pStyle w:val="CETReferencetext"/>
      </w:pPr>
      <w:proofErr w:type="spellStart"/>
      <w:r w:rsidRPr="00646CA5">
        <w:t>Casson</w:t>
      </w:r>
      <w:proofErr w:type="spellEnd"/>
      <w:r w:rsidRPr="00646CA5">
        <w:t xml:space="preserve"> Moreno, V., </w:t>
      </w:r>
      <w:proofErr w:type="spellStart"/>
      <w:r w:rsidRPr="00646CA5">
        <w:t>Cozzani</w:t>
      </w:r>
      <w:proofErr w:type="spellEnd"/>
      <w:r w:rsidRPr="00646CA5">
        <w:t>, V., 2015</w:t>
      </w:r>
      <w:r>
        <w:t>,</w:t>
      </w:r>
      <w:r w:rsidRPr="00646CA5">
        <w:t xml:space="preserve"> Major accident hazard in bioenergy production. J. Loss Prev. Process Ind. 35, 135–144.</w:t>
      </w:r>
    </w:p>
    <w:p w14:paraId="662AA959" w14:textId="77777777" w:rsidR="00587F28" w:rsidRPr="00646CA5" w:rsidRDefault="00587F28" w:rsidP="00587F28">
      <w:pPr>
        <w:pStyle w:val="CETReferencetext"/>
      </w:pPr>
      <w:proofErr w:type="spellStart"/>
      <w:r>
        <w:t>Dakkoune</w:t>
      </w:r>
      <w:proofErr w:type="spellEnd"/>
      <w:r>
        <w:t xml:space="preserve"> A., </w:t>
      </w:r>
      <w:proofErr w:type="spellStart"/>
      <w:r>
        <w:t>Vernieres-Hassimi</w:t>
      </w:r>
      <w:proofErr w:type="spellEnd"/>
      <w:r>
        <w:t xml:space="preserve"> L., </w:t>
      </w:r>
      <w:proofErr w:type="spellStart"/>
      <w:r>
        <w:t>Leveneur</w:t>
      </w:r>
      <w:proofErr w:type="spellEnd"/>
      <w:r>
        <w:t xml:space="preserve"> S., Lefebvre D., </w:t>
      </w:r>
      <w:proofErr w:type="spellStart"/>
      <w:r>
        <w:t>Estel</w:t>
      </w:r>
      <w:proofErr w:type="spellEnd"/>
      <w:r>
        <w:t xml:space="preserve"> L., 2018a, Fault detection in the green chemical process: application to an exothermic reaction, Chemical Engineering Transactions, 67, 43-48.</w:t>
      </w:r>
    </w:p>
    <w:p w14:paraId="0DAFA0F0" w14:textId="77777777" w:rsidR="00587F28" w:rsidRPr="00646CA5" w:rsidRDefault="00587F28" w:rsidP="00587F28">
      <w:pPr>
        <w:pStyle w:val="CETReferencetext"/>
      </w:pPr>
      <w:proofErr w:type="spellStart"/>
      <w:r w:rsidRPr="00646CA5">
        <w:t>Dakkoune</w:t>
      </w:r>
      <w:proofErr w:type="spellEnd"/>
      <w:r w:rsidRPr="00646CA5">
        <w:t xml:space="preserve">, A., </w:t>
      </w:r>
      <w:proofErr w:type="spellStart"/>
      <w:r w:rsidRPr="00646CA5">
        <w:t>Vernières-Hassimi</w:t>
      </w:r>
      <w:proofErr w:type="spellEnd"/>
      <w:r w:rsidRPr="00646CA5">
        <w:t xml:space="preserve">, L., </w:t>
      </w:r>
      <w:proofErr w:type="spellStart"/>
      <w:r w:rsidRPr="00646CA5">
        <w:t>Leveneur</w:t>
      </w:r>
      <w:proofErr w:type="spellEnd"/>
      <w:r w:rsidRPr="00646CA5">
        <w:t xml:space="preserve">, S., Lefebvre, D., </w:t>
      </w:r>
      <w:proofErr w:type="spellStart"/>
      <w:r w:rsidRPr="00646CA5">
        <w:t>Estel</w:t>
      </w:r>
      <w:proofErr w:type="spellEnd"/>
      <w:r w:rsidRPr="00646CA5">
        <w:t>, L., 2018</w:t>
      </w:r>
      <w:r>
        <w:t>b</w:t>
      </w:r>
      <w:r w:rsidRPr="00646CA5">
        <w:t xml:space="preserve">, Risk analysis of French chemical industry. </w:t>
      </w:r>
      <w:proofErr w:type="spellStart"/>
      <w:r w:rsidRPr="00646CA5">
        <w:t>Saf</w:t>
      </w:r>
      <w:proofErr w:type="spellEnd"/>
      <w:r w:rsidRPr="00646CA5">
        <w:t>. Sci. 105, 77–85.</w:t>
      </w:r>
    </w:p>
    <w:p w14:paraId="25BDD65B" w14:textId="77777777" w:rsidR="00587F28" w:rsidRPr="00646CA5" w:rsidRDefault="00587F28" w:rsidP="00587F28">
      <w:pPr>
        <w:pStyle w:val="CETReferencetext"/>
      </w:pPr>
      <w:r w:rsidRPr="00646CA5">
        <w:t xml:space="preserve">Di Padova, A., </w:t>
      </w:r>
      <w:proofErr w:type="spellStart"/>
      <w:r w:rsidRPr="00646CA5">
        <w:t>Tugnoli</w:t>
      </w:r>
      <w:proofErr w:type="spellEnd"/>
      <w:r w:rsidRPr="00646CA5">
        <w:t xml:space="preserve">, A., </w:t>
      </w:r>
      <w:proofErr w:type="spellStart"/>
      <w:r w:rsidRPr="00646CA5">
        <w:t>Cozzani</w:t>
      </w:r>
      <w:proofErr w:type="spellEnd"/>
      <w:r w:rsidRPr="00646CA5">
        <w:t xml:space="preserve">, V., </w:t>
      </w:r>
      <w:proofErr w:type="spellStart"/>
      <w:r w:rsidRPr="00646CA5">
        <w:t>Barbaresi</w:t>
      </w:r>
      <w:proofErr w:type="spellEnd"/>
      <w:r w:rsidRPr="00646CA5">
        <w:t xml:space="preserve">, T., </w:t>
      </w:r>
      <w:proofErr w:type="spellStart"/>
      <w:r w:rsidRPr="00646CA5">
        <w:t>Tallone</w:t>
      </w:r>
      <w:proofErr w:type="spellEnd"/>
      <w:r w:rsidRPr="00646CA5">
        <w:t>, F., 2011</w:t>
      </w:r>
      <w:r>
        <w:t>,</w:t>
      </w:r>
      <w:r w:rsidRPr="00646CA5">
        <w:t xml:space="preserve"> Identification of fireproofing zones in </w:t>
      </w:r>
      <w:proofErr w:type="spellStart"/>
      <w:r w:rsidRPr="00646CA5">
        <w:t>Oil&amp;Gas</w:t>
      </w:r>
      <w:proofErr w:type="spellEnd"/>
      <w:r w:rsidRPr="00646CA5">
        <w:t xml:space="preserve"> facilities by a risk-based procedure. J. Hazard. Mater. 191, 83–93.</w:t>
      </w:r>
    </w:p>
    <w:p w14:paraId="7ED51940" w14:textId="77777777" w:rsidR="00587F28" w:rsidRPr="00646CA5" w:rsidRDefault="00587F28" w:rsidP="00587F28">
      <w:pPr>
        <w:pStyle w:val="CETReferencetext"/>
      </w:pPr>
      <w:proofErr w:type="spellStart"/>
      <w:r w:rsidRPr="00646CA5">
        <w:t>Ditta</w:t>
      </w:r>
      <w:proofErr w:type="spellEnd"/>
      <w:r w:rsidRPr="00646CA5">
        <w:t xml:space="preserve">, A., Figueroa, O., Galindo, G., </w:t>
      </w:r>
      <w:proofErr w:type="spellStart"/>
      <w:r w:rsidRPr="00646CA5">
        <w:t>Yie-Pinedo</w:t>
      </w:r>
      <w:proofErr w:type="spellEnd"/>
      <w:r w:rsidRPr="00646CA5">
        <w:t>, R., 2019</w:t>
      </w:r>
      <w:r>
        <w:t>,</w:t>
      </w:r>
      <w:r w:rsidRPr="00646CA5">
        <w:t xml:space="preserve"> A review on research in transportation of hazardous materials. </w:t>
      </w:r>
      <w:proofErr w:type="spellStart"/>
      <w:r w:rsidRPr="00646CA5">
        <w:t>Socioecon</w:t>
      </w:r>
      <w:proofErr w:type="spellEnd"/>
      <w:r w:rsidRPr="00646CA5">
        <w:t xml:space="preserve">. </w:t>
      </w:r>
      <w:proofErr w:type="spellStart"/>
      <w:r w:rsidRPr="00646CA5">
        <w:t>Plann</w:t>
      </w:r>
      <w:proofErr w:type="spellEnd"/>
      <w:r w:rsidRPr="00646CA5">
        <w:t>. Sci. 68, 100665.</w:t>
      </w:r>
    </w:p>
    <w:p w14:paraId="5036B54B" w14:textId="77777777" w:rsidR="00587F28" w:rsidRPr="00646CA5" w:rsidRDefault="00587F28" w:rsidP="00587F28">
      <w:pPr>
        <w:pStyle w:val="CETReferencetext"/>
      </w:pPr>
      <w:r w:rsidRPr="00646CA5">
        <w:t xml:space="preserve">Elliott, M.R., </w:t>
      </w:r>
      <w:proofErr w:type="spellStart"/>
      <w:r w:rsidRPr="00646CA5">
        <w:t>Keindorfer</w:t>
      </w:r>
      <w:proofErr w:type="spellEnd"/>
      <w:r w:rsidRPr="00646CA5">
        <w:t>, P.R., Lowe, R.A., 2003</w:t>
      </w:r>
      <w:r>
        <w:t>,</w:t>
      </w:r>
      <w:r w:rsidRPr="00646CA5">
        <w:t xml:space="preserve"> The role of hazardousness and regulatory practice in the accidental release of chemicals at U.S. industrial facilities. Risk Anal. 23, 883–896.</w:t>
      </w:r>
    </w:p>
    <w:p w14:paraId="5DD5E0A0" w14:textId="13306681" w:rsidR="00587F28" w:rsidRDefault="00587F28" w:rsidP="00587F28">
      <w:pPr>
        <w:pStyle w:val="CETReferencetext"/>
      </w:pPr>
      <w:proofErr w:type="spellStart"/>
      <w:r w:rsidRPr="008F1DF4">
        <w:t>Erkut</w:t>
      </w:r>
      <w:proofErr w:type="spellEnd"/>
      <w:r w:rsidRPr="008F1DF4">
        <w:t xml:space="preserve">, E., </w:t>
      </w:r>
      <w:proofErr w:type="spellStart"/>
      <w:r w:rsidRPr="008F1DF4">
        <w:t>Tjandra</w:t>
      </w:r>
      <w:proofErr w:type="spellEnd"/>
      <w:r w:rsidRPr="008F1DF4">
        <w:t xml:space="preserve">, S.A., </w:t>
      </w:r>
      <w:proofErr w:type="spellStart"/>
      <w:r w:rsidRPr="008F1DF4">
        <w:t>Verter</w:t>
      </w:r>
      <w:proofErr w:type="spellEnd"/>
      <w:r w:rsidRPr="008F1DF4">
        <w:t>, V., 2007</w:t>
      </w:r>
      <w:r>
        <w:t>,</w:t>
      </w:r>
      <w:r w:rsidRPr="008F1DF4">
        <w:t xml:space="preserve"> Chapter 9 hazardous materials transportation, in: Transportation. Elsevier, </w:t>
      </w:r>
      <w:r>
        <w:t xml:space="preserve">Ankara, Turkey, </w:t>
      </w:r>
      <w:r w:rsidRPr="008F1DF4">
        <w:t>539–621.</w:t>
      </w:r>
    </w:p>
    <w:p w14:paraId="42D9112B" w14:textId="57C81C15" w:rsidR="00026177" w:rsidRPr="008F1DF4" w:rsidRDefault="00026177" w:rsidP="00916F4E">
      <w:pPr>
        <w:pStyle w:val="CETReferencetext"/>
      </w:pPr>
      <w:bookmarkStart w:id="7" w:name="_Hlk138930001"/>
      <w:proofErr w:type="spellStart"/>
      <w:r w:rsidRPr="009C7185">
        <w:t>Guerini</w:t>
      </w:r>
      <w:proofErr w:type="spellEnd"/>
      <w:r w:rsidRPr="009C7185">
        <w:t xml:space="preserve">, M., Nesta, L., </w:t>
      </w:r>
      <w:proofErr w:type="spellStart"/>
      <w:r w:rsidRPr="009C7185">
        <w:t>Ragot</w:t>
      </w:r>
      <w:proofErr w:type="spellEnd"/>
      <w:r w:rsidRPr="009C7185">
        <w:t xml:space="preserve">, X., Schiavo, S., </w:t>
      </w:r>
      <w:proofErr w:type="spellStart"/>
      <w:r w:rsidRPr="009C7185">
        <w:t>n.d</w:t>
      </w:r>
      <w:proofErr w:type="spellEnd"/>
      <w:r>
        <w:t>,</w:t>
      </w:r>
      <w:r w:rsidRPr="009C7185">
        <w:t xml:space="preserve"> </w:t>
      </w:r>
      <w:proofErr w:type="spellStart"/>
      <w:r w:rsidRPr="009C7185">
        <w:t>Dynamique</w:t>
      </w:r>
      <w:proofErr w:type="spellEnd"/>
      <w:r w:rsidRPr="009C7185">
        <w:t xml:space="preserve"> des </w:t>
      </w:r>
      <w:proofErr w:type="spellStart"/>
      <w:r w:rsidRPr="009C7185">
        <w:t>défaillances</w:t>
      </w:r>
      <w:proofErr w:type="spellEnd"/>
      <w:r w:rsidRPr="009C7185">
        <w:t xml:space="preserve"> </w:t>
      </w:r>
      <w:proofErr w:type="spellStart"/>
      <w:r w:rsidRPr="009C7185">
        <w:t>d’entreprises</w:t>
      </w:r>
      <w:proofErr w:type="spellEnd"/>
      <w:r w:rsidRPr="009C7185">
        <w:t xml:space="preserve"> </w:t>
      </w:r>
      <w:proofErr w:type="spellStart"/>
      <w:r w:rsidRPr="009C7185">
        <w:t>en</w:t>
      </w:r>
      <w:proofErr w:type="spellEnd"/>
      <w:r w:rsidRPr="009C7185">
        <w:t xml:space="preserve"> France et </w:t>
      </w:r>
      <w:proofErr w:type="spellStart"/>
      <w:r w:rsidRPr="009C7185">
        <w:t>crise</w:t>
      </w:r>
      <w:proofErr w:type="spellEnd"/>
      <w:r w:rsidRPr="009C7185">
        <w:t xml:space="preserve"> de la Covid-19 </w:t>
      </w:r>
      <w:r>
        <w:t>&lt;</w:t>
      </w:r>
      <w:r w:rsidRPr="009C7185">
        <w:t>ofce.sciences-po.fr/pdf/</w:t>
      </w:r>
      <w:proofErr w:type="spellStart"/>
      <w:r w:rsidRPr="009C7185">
        <w:t>pbrief</w:t>
      </w:r>
      <w:proofErr w:type="spellEnd"/>
      <w:r w:rsidRPr="009C7185">
        <w:t>/2020/OFCEpbrief73.pdf</w:t>
      </w:r>
      <w:r>
        <w:t>&gt;</w:t>
      </w:r>
      <w:r w:rsidRPr="009C7185">
        <w:t xml:space="preserve"> accessed 06.29.2023.</w:t>
      </w:r>
      <w:bookmarkEnd w:id="7"/>
    </w:p>
    <w:p w14:paraId="25089BAF" w14:textId="77777777" w:rsidR="00587F28" w:rsidRDefault="00587F28" w:rsidP="00587F28">
      <w:pPr>
        <w:pStyle w:val="CETReferencetext"/>
      </w:pPr>
      <w:r>
        <w:t>International Organization for Standardization (ISO), International Standard ISO 17776, Petroleum and Natural Gas Industries – Offshore Production Installations – Guidelines on Tools and Techniques for Hazard Identification and Risk Assessment, first ed., 2000.</w:t>
      </w:r>
    </w:p>
    <w:p w14:paraId="56495B38" w14:textId="77777777" w:rsidR="00587F28" w:rsidRPr="008F1DF4" w:rsidRDefault="00587F28" w:rsidP="00587F28">
      <w:pPr>
        <w:pStyle w:val="CETReferencetext"/>
      </w:pPr>
      <w:r w:rsidRPr="008F1DF4">
        <w:t>Khan, F.I., Abbasi, S.A., 1998</w:t>
      </w:r>
      <w:r>
        <w:t>,</w:t>
      </w:r>
      <w:r w:rsidRPr="008F1DF4">
        <w:t xml:space="preserve"> Techniques and methodologies for risk analysis in chemical process industries. J. Loss Prev. Process Ind. 11, 261–277</w:t>
      </w:r>
      <w:r>
        <w:t>.</w:t>
      </w:r>
    </w:p>
    <w:p w14:paraId="573D5A98" w14:textId="77777777" w:rsidR="00587F28" w:rsidRPr="008F1DF4" w:rsidRDefault="00587F28" w:rsidP="00587F28">
      <w:pPr>
        <w:pStyle w:val="CETReferencetext"/>
      </w:pPr>
      <w:proofErr w:type="spellStart"/>
      <w:r w:rsidRPr="008F1DF4">
        <w:t>L’industrie</w:t>
      </w:r>
      <w:proofErr w:type="spellEnd"/>
      <w:r w:rsidRPr="008F1DF4">
        <w:t xml:space="preserve"> de la </w:t>
      </w:r>
      <w:proofErr w:type="spellStart"/>
      <w:r w:rsidRPr="008F1DF4">
        <w:t>Chimie</w:t>
      </w:r>
      <w:proofErr w:type="spellEnd"/>
      <w:r w:rsidRPr="008F1DF4">
        <w:t xml:space="preserve">, 2018. </w:t>
      </w:r>
      <w:proofErr w:type="spellStart"/>
      <w:r w:rsidRPr="008F1DF4">
        <w:t>francechimie</w:t>
      </w:r>
      <w:proofErr w:type="spellEnd"/>
      <w:r w:rsidRPr="008F1DF4">
        <w:t>. &lt;www.francechimie.fr/l-industrie-de-la-chimie&gt; accessed 06.29.2023.</w:t>
      </w:r>
    </w:p>
    <w:p w14:paraId="67C95E98" w14:textId="77777777" w:rsidR="00587F28" w:rsidRPr="008F1DF4" w:rsidRDefault="00587F28" w:rsidP="00587F28">
      <w:pPr>
        <w:pStyle w:val="CETReferencetext"/>
      </w:pPr>
      <w:r>
        <w:t>Mannan, S., 2013. Lees’ Process Safety Essentials: Hazard Identification. Butterworth-Heinemann, Assessment and Control, Oxford, UK.</w:t>
      </w:r>
    </w:p>
    <w:p w14:paraId="333EE435" w14:textId="77DCF86C" w:rsidR="00587F28" w:rsidRDefault="00587F28" w:rsidP="00587F28">
      <w:pPr>
        <w:pStyle w:val="CETReferencetext"/>
      </w:pPr>
      <w:proofErr w:type="spellStart"/>
      <w:r w:rsidRPr="008F1DF4">
        <w:t>Rathnayaka</w:t>
      </w:r>
      <w:proofErr w:type="spellEnd"/>
      <w:r w:rsidRPr="008F1DF4">
        <w:t xml:space="preserve">, S., Khan, F., </w:t>
      </w:r>
      <w:proofErr w:type="spellStart"/>
      <w:r w:rsidRPr="008F1DF4">
        <w:t>Amyotte</w:t>
      </w:r>
      <w:proofErr w:type="spellEnd"/>
      <w:r w:rsidRPr="008F1DF4">
        <w:t>, P., 2011</w:t>
      </w:r>
      <w:r>
        <w:t>,</w:t>
      </w:r>
      <w:r w:rsidRPr="008F1DF4">
        <w:t xml:space="preserve"> SHIPP methodology: Predictive accident </w:t>
      </w:r>
      <w:proofErr w:type="spellStart"/>
      <w:r w:rsidRPr="008F1DF4">
        <w:t>modeling</w:t>
      </w:r>
      <w:proofErr w:type="spellEnd"/>
      <w:r w:rsidRPr="008F1DF4">
        <w:t xml:space="preserve"> approach. Part I: Methodology and model description. Process </w:t>
      </w:r>
      <w:proofErr w:type="spellStart"/>
      <w:r w:rsidRPr="008F1DF4">
        <w:t>Saf</w:t>
      </w:r>
      <w:proofErr w:type="spellEnd"/>
      <w:r w:rsidRPr="008F1DF4">
        <w:t>. Environ. Prot. 89, 151–164. </w:t>
      </w:r>
    </w:p>
    <w:bookmarkEnd w:id="5"/>
    <w:bookmarkEnd w:id="6"/>
    <w:p w14:paraId="499A82B4" w14:textId="69EAA05A" w:rsidR="007846AF" w:rsidRPr="007846AF" w:rsidRDefault="007846AF" w:rsidP="00026177">
      <w:pPr>
        <w:pStyle w:val="CETReferencetext"/>
        <w:ind w:left="0" w:firstLine="0"/>
      </w:pPr>
    </w:p>
    <w:sectPr w:rsidR="007846AF" w:rsidRPr="007846A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15EB6" w14:textId="77777777" w:rsidR="008F126F" w:rsidRDefault="008F126F" w:rsidP="004F5E36">
      <w:r>
        <w:separator/>
      </w:r>
    </w:p>
  </w:endnote>
  <w:endnote w:type="continuationSeparator" w:id="0">
    <w:p w14:paraId="6A931928" w14:textId="77777777" w:rsidR="008F126F" w:rsidRDefault="008F126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9BD0C" w14:textId="77777777" w:rsidR="008F126F" w:rsidRDefault="008F126F" w:rsidP="004F5E36">
      <w:r>
        <w:separator/>
      </w:r>
    </w:p>
  </w:footnote>
  <w:footnote w:type="continuationSeparator" w:id="0">
    <w:p w14:paraId="08E15296" w14:textId="77777777" w:rsidR="008F126F" w:rsidRDefault="008F126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016"/>
    <w:rsid w:val="000117CB"/>
    <w:rsid w:val="00013164"/>
    <w:rsid w:val="00026177"/>
    <w:rsid w:val="0003148D"/>
    <w:rsid w:val="000360EE"/>
    <w:rsid w:val="00037097"/>
    <w:rsid w:val="000437BA"/>
    <w:rsid w:val="00047E05"/>
    <w:rsid w:val="00051566"/>
    <w:rsid w:val="00062A9A"/>
    <w:rsid w:val="00065058"/>
    <w:rsid w:val="00085D60"/>
    <w:rsid w:val="00086C39"/>
    <w:rsid w:val="000A03B2"/>
    <w:rsid w:val="000D0268"/>
    <w:rsid w:val="000D34BE"/>
    <w:rsid w:val="000E102F"/>
    <w:rsid w:val="000E15B5"/>
    <w:rsid w:val="000E36F1"/>
    <w:rsid w:val="000E3A73"/>
    <w:rsid w:val="000E414A"/>
    <w:rsid w:val="000F093C"/>
    <w:rsid w:val="000F6AC8"/>
    <w:rsid w:val="000F787B"/>
    <w:rsid w:val="0012091F"/>
    <w:rsid w:val="00126BC2"/>
    <w:rsid w:val="00127591"/>
    <w:rsid w:val="001308B6"/>
    <w:rsid w:val="0013121F"/>
    <w:rsid w:val="00131FE6"/>
    <w:rsid w:val="0013263F"/>
    <w:rsid w:val="00132814"/>
    <w:rsid w:val="00134DE4"/>
    <w:rsid w:val="001373C4"/>
    <w:rsid w:val="0014034D"/>
    <w:rsid w:val="00150E59"/>
    <w:rsid w:val="00152DE3"/>
    <w:rsid w:val="00164CF9"/>
    <w:rsid w:val="00165542"/>
    <w:rsid w:val="001667A6"/>
    <w:rsid w:val="001754D9"/>
    <w:rsid w:val="00184AD6"/>
    <w:rsid w:val="00197F6C"/>
    <w:rsid w:val="001A4AF7"/>
    <w:rsid w:val="001B0349"/>
    <w:rsid w:val="001B65C1"/>
    <w:rsid w:val="001C684B"/>
    <w:rsid w:val="001D3838"/>
    <w:rsid w:val="001D53FC"/>
    <w:rsid w:val="001D655E"/>
    <w:rsid w:val="001F42A5"/>
    <w:rsid w:val="001F460C"/>
    <w:rsid w:val="001F7B9D"/>
    <w:rsid w:val="00207F28"/>
    <w:rsid w:val="002224B4"/>
    <w:rsid w:val="00225738"/>
    <w:rsid w:val="002431EA"/>
    <w:rsid w:val="002447EF"/>
    <w:rsid w:val="00251550"/>
    <w:rsid w:val="00263B05"/>
    <w:rsid w:val="0026743D"/>
    <w:rsid w:val="0027221A"/>
    <w:rsid w:val="00275B61"/>
    <w:rsid w:val="00282656"/>
    <w:rsid w:val="00286207"/>
    <w:rsid w:val="00296B83"/>
    <w:rsid w:val="002B78CE"/>
    <w:rsid w:val="002C2FB6"/>
    <w:rsid w:val="002D7C5F"/>
    <w:rsid w:val="002E68E1"/>
    <w:rsid w:val="002F3186"/>
    <w:rsid w:val="002F3309"/>
    <w:rsid w:val="002F3400"/>
    <w:rsid w:val="002F3BDC"/>
    <w:rsid w:val="002F6443"/>
    <w:rsid w:val="003009B7"/>
    <w:rsid w:val="00300E56"/>
    <w:rsid w:val="00300F3E"/>
    <w:rsid w:val="0030469C"/>
    <w:rsid w:val="00316251"/>
    <w:rsid w:val="00316A3B"/>
    <w:rsid w:val="00321CA6"/>
    <w:rsid w:val="00323763"/>
    <w:rsid w:val="00334C09"/>
    <w:rsid w:val="00354B5C"/>
    <w:rsid w:val="0036040B"/>
    <w:rsid w:val="003714FE"/>
    <w:rsid w:val="003723D4"/>
    <w:rsid w:val="00381905"/>
    <w:rsid w:val="00384CC8"/>
    <w:rsid w:val="003871FD"/>
    <w:rsid w:val="003A1E30"/>
    <w:rsid w:val="003A7D1C"/>
    <w:rsid w:val="003B0C4A"/>
    <w:rsid w:val="003B304B"/>
    <w:rsid w:val="003B3146"/>
    <w:rsid w:val="003E1A7D"/>
    <w:rsid w:val="003F015E"/>
    <w:rsid w:val="00400414"/>
    <w:rsid w:val="0041446B"/>
    <w:rsid w:val="0044329C"/>
    <w:rsid w:val="00452B81"/>
    <w:rsid w:val="004577FE"/>
    <w:rsid w:val="00457B9C"/>
    <w:rsid w:val="0046164A"/>
    <w:rsid w:val="004628D2"/>
    <w:rsid w:val="00462DCD"/>
    <w:rsid w:val="004648AD"/>
    <w:rsid w:val="004703A9"/>
    <w:rsid w:val="004760DE"/>
    <w:rsid w:val="004763D7"/>
    <w:rsid w:val="00477696"/>
    <w:rsid w:val="004A004E"/>
    <w:rsid w:val="004A24CF"/>
    <w:rsid w:val="004A2A17"/>
    <w:rsid w:val="004C3D1D"/>
    <w:rsid w:val="004C7913"/>
    <w:rsid w:val="004E4DD6"/>
    <w:rsid w:val="004F5E36"/>
    <w:rsid w:val="005057D5"/>
    <w:rsid w:val="0050707E"/>
    <w:rsid w:val="00507B47"/>
    <w:rsid w:val="00507BEF"/>
    <w:rsid w:val="00507CC9"/>
    <w:rsid w:val="005119A5"/>
    <w:rsid w:val="005206CE"/>
    <w:rsid w:val="00521600"/>
    <w:rsid w:val="005278B7"/>
    <w:rsid w:val="00532016"/>
    <w:rsid w:val="005346C8"/>
    <w:rsid w:val="00543E7D"/>
    <w:rsid w:val="00543FE0"/>
    <w:rsid w:val="00547A68"/>
    <w:rsid w:val="005531C9"/>
    <w:rsid w:val="00570C43"/>
    <w:rsid w:val="00587BCD"/>
    <w:rsid w:val="00587F28"/>
    <w:rsid w:val="005B18EE"/>
    <w:rsid w:val="005B2110"/>
    <w:rsid w:val="005B61E6"/>
    <w:rsid w:val="005C77E1"/>
    <w:rsid w:val="005D668A"/>
    <w:rsid w:val="005D6A2F"/>
    <w:rsid w:val="005E06C1"/>
    <w:rsid w:val="005E1A82"/>
    <w:rsid w:val="005E6082"/>
    <w:rsid w:val="005E794C"/>
    <w:rsid w:val="005F0A28"/>
    <w:rsid w:val="005F0E5E"/>
    <w:rsid w:val="005F5BEE"/>
    <w:rsid w:val="00600211"/>
    <w:rsid w:val="00600535"/>
    <w:rsid w:val="00610CD6"/>
    <w:rsid w:val="00620DEE"/>
    <w:rsid w:val="00621F92"/>
    <w:rsid w:val="0062280A"/>
    <w:rsid w:val="00625639"/>
    <w:rsid w:val="00631B33"/>
    <w:rsid w:val="0064184D"/>
    <w:rsid w:val="006422CC"/>
    <w:rsid w:val="00660E3E"/>
    <w:rsid w:val="00662DD8"/>
    <w:rsid w:val="00662E74"/>
    <w:rsid w:val="00680C23"/>
    <w:rsid w:val="00693766"/>
    <w:rsid w:val="0069631F"/>
    <w:rsid w:val="006A3281"/>
    <w:rsid w:val="006B4888"/>
    <w:rsid w:val="006C2E45"/>
    <w:rsid w:val="006C359C"/>
    <w:rsid w:val="006C5579"/>
    <w:rsid w:val="006C6C5F"/>
    <w:rsid w:val="006D6E8B"/>
    <w:rsid w:val="006E737D"/>
    <w:rsid w:val="00702DEC"/>
    <w:rsid w:val="00720A24"/>
    <w:rsid w:val="00732386"/>
    <w:rsid w:val="00734F4B"/>
    <w:rsid w:val="0073514D"/>
    <w:rsid w:val="007412A2"/>
    <w:rsid w:val="007447F3"/>
    <w:rsid w:val="0075499F"/>
    <w:rsid w:val="007661C8"/>
    <w:rsid w:val="0077098D"/>
    <w:rsid w:val="007846AF"/>
    <w:rsid w:val="007931FA"/>
    <w:rsid w:val="007A2A13"/>
    <w:rsid w:val="007A4861"/>
    <w:rsid w:val="007A7BBA"/>
    <w:rsid w:val="007B0C50"/>
    <w:rsid w:val="007C1A43"/>
    <w:rsid w:val="007F4994"/>
    <w:rsid w:val="008000FD"/>
    <w:rsid w:val="0080013E"/>
    <w:rsid w:val="00813288"/>
    <w:rsid w:val="008153ED"/>
    <w:rsid w:val="008168FC"/>
    <w:rsid w:val="00830996"/>
    <w:rsid w:val="008345F1"/>
    <w:rsid w:val="00843677"/>
    <w:rsid w:val="008437D5"/>
    <w:rsid w:val="00865B07"/>
    <w:rsid w:val="008667EA"/>
    <w:rsid w:val="0087637F"/>
    <w:rsid w:val="00892AD5"/>
    <w:rsid w:val="008A1512"/>
    <w:rsid w:val="008D32B9"/>
    <w:rsid w:val="008D433B"/>
    <w:rsid w:val="008E566E"/>
    <w:rsid w:val="008F126F"/>
    <w:rsid w:val="0090161A"/>
    <w:rsid w:val="00901EB6"/>
    <w:rsid w:val="00904C62"/>
    <w:rsid w:val="009079D8"/>
    <w:rsid w:val="00916F4E"/>
    <w:rsid w:val="00922BA8"/>
    <w:rsid w:val="00924DAC"/>
    <w:rsid w:val="00926056"/>
    <w:rsid w:val="00927058"/>
    <w:rsid w:val="00942750"/>
    <w:rsid w:val="009450CE"/>
    <w:rsid w:val="00947179"/>
    <w:rsid w:val="0095164B"/>
    <w:rsid w:val="00954090"/>
    <w:rsid w:val="009573E7"/>
    <w:rsid w:val="00961339"/>
    <w:rsid w:val="00963E05"/>
    <w:rsid w:val="00967843"/>
    <w:rsid w:val="00967D54"/>
    <w:rsid w:val="00971028"/>
    <w:rsid w:val="00977545"/>
    <w:rsid w:val="00983918"/>
    <w:rsid w:val="00996483"/>
    <w:rsid w:val="00996F5A"/>
    <w:rsid w:val="009B041A"/>
    <w:rsid w:val="009C2C85"/>
    <w:rsid w:val="009C37C3"/>
    <w:rsid w:val="009C7C86"/>
    <w:rsid w:val="009D2DEC"/>
    <w:rsid w:val="009D2FF7"/>
    <w:rsid w:val="009E7884"/>
    <w:rsid w:val="009E788A"/>
    <w:rsid w:val="009F0E08"/>
    <w:rsid w:val="00A1763D"/>
    <w:rsid w:val="00A17CEC"/>
    <w:rsid w:val="00A27EF0"/>
    <w:rsid w:val="00A42361"/>
    <w:rsid w:val="00A50B20"/>
    <w:rsid w:val="00A51390"/>
    <w:rsid w:val="00A60D13"/>
    <w:rsid w:val="00A61DD4"/>
    <w:rsid w:val="00A72745"/>
    <w:rsid w:val="00A76EFC"/>
    <w:rsid w:val="00A91010"/>
    <w:rsid w:val="00A97F29"/>
    <w:rsid w:val="00AA702E"/>
    <w:rsid w:val="00AB0964"/>
    <w:rsid w:val="00AB5011"/>
    <w:rsid w:val="00AC0A63"/>
    <w:rsid w:val="00AC7368"/>
    <w:rsid w:val="00AD16B9"/>
    <w:rsid w:val="00AE377D"/>
    <w:rsid w:val="00AF0EBA"/>
    <w:rsid w:val="00B02C8A"/>
    <w:rsid w:val="00B17FBD"/>
    <w:rsid w:val="00B315A6"/>
    <w:rsid w:val="00B31813"/>
    <w:rsid w:val="00B33365"/>
    <w:rsid w:val="00B46D0C"/>
    <w:rsid w:val="00B50F67"/>
    <w:rsid w:val="00B563A4"/>
    <w:rsid w:val="00B57B36"/>
    <w:rsid w:val="00B65487"/>
    <w:rsid w:val="00B8686D"/>
    <w:rsid w:val="00BB1DDC"/>
    <w:rsid w:val="00BC30C9"/>
    <w:rsid w:val="00BE3E58"/>
    <w:rsid w:val="00C01616"/>
    <w:rsid w:val="00C0162B"/>
    <w:rsid w:val="00C045D1"/>
    <w:rsid w:val="00C068ED"/>
    <w:rsid w:val="00C2017E"/>
    <w:rsid w:val="00C345B1"/>
    <w:rsid w:val="00C40142"/>
    <w:rsid w:val="00C53ECA"/>
    <w:rsid w:val="00C57182"/>
    <w:rsid w:val="00C57863"/>
    <w:rsid w:val="00C655FD"/>
    <w:rsid w:val="00C75407"/>
    <w:rsid w:val="00C870A8"/>
    <w:rsid w:val="00C94434"/>
    <w:rsid w:val="00CA0D75"/>
    <w:rsid w:val="00CA1C95"/>
    <w:rsid w:val="00CA5A9C"/>
    <w:rsid w:val="00CB0E85"/>
    <w:rsid w:val="00CC4C20"/>
    <w:rsid w:val="00CD3517"/>
    <w:rsid w:val="00CD5FE2"/>
    <w:rsid w:val="00CE7C68"/>
    <w:rsid w:val="00D02B4C"/>
    <w:rsid w:val="00D040C4"/>
    <w:rsid w:val="00D57C84"/>
    <w:rsid w:val="00D6057D"/>
    <w:rsid w:val="00D836C5"/>
    <w:rsid w:val="00D84576"/>
    <w:rsid w:val="00D87343"/>
    <w:rsid w:val="00DA1399"/>
    <w:rsid w:val="00DA24C6"/>
    <w:rsid w:val="00DA4D7B"/>
    <w:rsid w:val="00DC6F07"/>
    <w:rsid w:val="00DE264A"/>
    <w:rsid w:val="00DE3713"/>
    <w:rsid w:val="00DF5072"/>
    <w:rsid w:val="00E02D18"/>
    <w:rsid w:val="00E041E7"/>
    <w:rsid w:val="00E13BB1"/>
    <w:rsid w:val="00E23CA1"/>
    <w:rsid w:val="00E409A8"/>
    <w:rsid w:val="00E50C12"/>
    <w:rsid w:val="00E65B91"/>
    <w:rsid w:val="00E7209D"/>
    <w:rsid w:val="00E77223"/>
    <w:rsid w:val="00E839FF"/>
    <w:rsid w:val="00E8528B"/>
    <w:rsid w:val="00E85B94"/>
    <w:rsid w:val="00E978D0"/>
    <w:rsid w:val="00EA4613"/>
    <w:rsid w:val="00EA7F91"/>
    <w:rsid w:val="00EB1523"/>
    <w:rsid w:val="00EB5C52"/>
    <w:rsid w:val="00EC0E49"/>
    <w:rsid w:val="00EC101F"/>
    <w:rsid w:val="00EC1D9F"/>
    <w:rsid w:val="00EE0131"/>
    <w:rsid w:val="00EE17B0"/>
    <w:rsid w:val="00EE2EBE"/>
    <w:rsid w:val="00EF007C"/>
    <w:rsid w:val="00EF06D9"/>
    <w:rsid w:val="00EF1AC1"/>
    <w:rsid w:val="00F21B56"/>
    <w:rsid w:val="00F30C64"/>
    <w:rsid w:val="00F32CDB"/>
    <w:rsid w:val="00F351E5"/>
    <w:rsid w:val="00F40AAE"/>
    <w:rsid w:val="00F565FE"/>
    <w:rsid w:val="00F63A70"/>
    <w:rsid w:val="00F71012"/>
    <w:rsid w:val="00FA21D0"/>
    <w:rsid w:val="00FA5F5F"/>
    <w:rsid w:val="00FA70AF"/>
    <w:rsid w:val="00FB730C"/>
    <w:rsid w:val="00FC1A57"/>
    <w:rsid w:val="00FC2695"/>
    <w:rsid w:val="00FC3E03"/>
    <w:rsid w:val="00FC3FC1"/>
    <w:rsid w:val="00FE1BC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C045D1"/>
    <w:pPr>
      <w:ind w:left="720"/>
      <w:contextualSpacing/>
    </w:pPr>
  </w:style>
  <w:style w:type="paragraph" w:customStyle="1" w:styleId="TableParagraph">
    <w:name w:val="Table Paragraph"/>
    <w:basedOn w:val="Normal"/>
    <w:uiPriority w:val="1"/>
    <w:qFormat/>
    <w:rsid w:val="00DE3713"/>
    <w:pPr>
      <w:widowControl w:val="0"/>
      <w:tabs>
        <w:tab w:val="clear" w:pos="7100"/>
      </w:tabs>
      <w:autoSpaceDE w:val="0"/>
      <w:autoSpaceDN w:val="0"/>
      <w:spacing w:line="240" w:lineRule="auto"/>
      <w:jc w:val="left"/>
    </w:pPr>
    <w:rPr>
      <w:rFonts w:ascii="Calibri" w:eastAsia="Calibri" w:hAnsi="Calibri" w:cs="Calibri"/>
      <w:sz w:val="22"/>
      <w:szCs w:val="22"/>
      <w:lang w:val="fr-FR"/>
    </w:rPr>
  </w:style>
  <w:style w:type="table" w:customStyle="1" w:styleId="TableNormal">
    <w:name w:val="Table Normal"/>
    <w:uiPriority w:val="2"/>
    <w:semiHidden/>
    <w:qFormat/>
    <w:rsid w:val="0060021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FA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www.google.com/search?cs=0&amp;output=search&amp;q=Universit%C3%A9+de+Rennes+-+Campus+Beaulieu&amp;ludocid=392083757073127356&amp;gsas=1&amp;lsig=AB86z5UyyGByHTdmNNvnMvoKI31_&amp;sa=X&amp;ved=2ahUKEwjtqZrz0sf-AhVRQ6QEHbDJC6EQ8G0oAHoECBMQA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srv-file-02.etu.insa-rouen.fr\predirdoss$\akerroum\Bureau\R&#233;sultat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srv-file-02.etu.insa-rouen.fr\predirdoss$\akerroum\Bureau\R&#233;sultat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srv-file-02.etu.insa-rouen.fr\predirdoss$\akerroum\Bureau\R&#233;sultats.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srv-file-02.etu.insa-rouen.fr\predirdoss$\akerroum\Bureau\R&#233;sultat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srv-file-02.etu.insa-rouen.fr\predirdoss$\akerroum\Bureau\R&#233;sulta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77-4AE9-8190-BFA263D95C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77-4AE9-8190-BFA263D95C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77-4AE9-8190-BFA263D95C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77-4AE9-8190-BFA263D95CF7}"/>
              </c:ext>
            </c:extLst>
          </c:dPt>
          <c:dLbls>
            <c:dLbl>
              <c:idx val="0"/>
              <c:layout>
                <c:manualLayout>
                  <c:x val="6.603773584905652E-2"/>
                  <c:y val="5.9574468085106302E-2"/>
                </c:manualLayout>
              </c:layout>
              <c:tx>
                <c:rich>
                  <a:bodyPr/>
                  <a:lstStyle/>
                  <a:p>
                    <a:fld id="{F20D9AC9-A2E6-4AEF-AE64-20EE32CA32B1}" type="CATEGORYNAME">
                      <a:rPr lang="en-US" sz="900" b="1">
                        <a:latin typeface="Arial" panose="020B0604020202020204" pitchFamily="34" charset="0"/>
                        <a:cs typeface="Arial" panose="020B0604020202020204" pitchFamily="34" charset="0"/>
                      </a:rPr>
                      <a:pPr/>
                      <a:t>[NOM DE CATÉGORIE]</a:t>
                    </a:fld>
                    <a:r>
                      <a:rPr lang="en-US" baseline="0" dirty="0"/>
                      <a:t>
</a:t>
                    </a:r>
                    <a:fld id="{1415852B-9834-4BEC-A40B-0FF92018B793}" type="PERCENTAGE">
                      <a:rPr lang="en-US" baseline="0"/>
                      <a:pPr/>
                      <a:t>[POURCENTAGE]</a:t>
                    </a:fld>
                    <a:endParaRPr lang="en-US" baseline="0" dirty="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77-4AE9-8190-BFA263D95CF7}"/>
                </c:ext>
              </c:extLst>
            </c:dLbl>
            <c:dLbl>
              <c:idx val="1"/>
              <c:layout>
                <c:manualLayout>
                  <c:x val="-9.9056603773584911E-2"/>
                  <c:y val="0.14468085106382977"/>
                </c:manualLayout>
              </c:layout>
              <c:tx>
                <c:rich>
                  <a:bodyPr/>
                  <a:lstStyle/>
                  <a:p>
                    <a:r>
                      <a:rPr lang="en-US" sz="900" b="1">
                        <a:latin typeface="Arial" panose="020B0604020202020204" pitchFamily="34" charset="0"/>
                        <a:cs typeface="Arial" panose="020B0604020202020204" pitchFamily="34" charset="0"/>
                      </a:rPr>
                      <a:t>Incident</a:t>
                    </a:r>
                    <a:r>
                      <a:rPr lang="en-US" sz="900" baseline="0" dirty="0">
                        <a:latin typeface="Arial" panose="020B0604020202020204" pitchFamily="34" charset="0"/>
                        <a:cs typeface="Arial" panose="020B0604020202020204" pitchFamily="34" charset="0"/>
                      </a:rPr>
                      <a:t>
</a:t>
                    </a:r>
                    <a:fld id="{B7470C53-652D-4B63-9009-36D14A316FBE}" type="PERCENTAGE">
                      <a:rPr lang="en-US" sz="900" baseline="0">
                        <a:latin typeface="Arial" panose="020B0604020202020204" pitchFamily="34" charset="0"/>
                        <a:cs typeface="Arial" panose="020B0604020202020204" pitchFamily="34" charset="0"/>
                      </a:rPr>
                      <a:pPr/>
                      <a:t>[POURCENTAGE]</a:t>
                    </a:fld>
                    <a:endParaRPr lang="en-US" sz="900" baseline="0" dirty="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77-4AE9-8190-BFA263D95CF7}"/>
                </c:ext>
              </c:extLst>
            </c:dLbl>
            <c:dLbl>
              <c:idx val="2"/>
              <c:layout>
                <c:manualLayout>
                  <c:x val="-0.1178702827526934"/>
                  <c:y val="1.263778369956034E-2"/>
                </c:manualLayout>
              </c:layout>
              <c:tx>
                <c:rich>
                  <a:bodyPr/>
                  <a:lstStyle/>
                  <a:p>
                    <a:r>
                      <a:rPr lang="en-US" sz="900" b="1">
                        <a:latin typeface="Arial" panose="020B0604020202020204" pitchFamily="34" charset="0"/>
                        <a:cs typeface="Arial" panose="020B0604020202020204" pitchFamily="34" charset="0"/>
                      </a:rPr>
                      <a:t>Accident</a:t>
                    </a:r>
                    <a:r>
                      <a:rPr lang="en-US" baseline="0" dirty="0"/>
                      <a:t>
</a:t>
                    </a:r>
                    <a:fld id="{70CA68BB-3357-40E6-BE15-95CDEA97CA2D}" type="PERCENTAGE">
                      <a:rPr lang="en-US" baseline="0"/>
                      <a:pPr/>
                      <a:t>[POURCENTAGE]</a:t>
                    </a:fld>
                    <a:endParaRPr lang="en-US" baseline="0" dirty="0"/>
                  </a:p>
                </c:rich>
              </c:tx>
              <c:dLblPos val="bestFit"/>
              <c:showLegendKey val="0"/>
              <c:showVal val="0"/>
              <c:showCatName val="1"/>
              <c:showSerName val="0"/>
              <c:showPercent val="1"/>
              <c:showBubbleSize val="0"/>
              <c:extLst>
                <c:ext xmlns:c15="http://schemas.microsoft.com/office/drawing/2012/chart" uri="{CE6537A1-D6FC-4f65-9D91-7224C49458BB}">
                  <c15:layout>
                    <c:manualLayout>
                      <c:w val="0.26503259859882455"/>
                      <c:h val="0.24693431991980128"/>
                    </c:manualLayout>
                  </c15:layout>
                  <c15:dlblFieldTable/>
                  <c15:showDataLabelsRange val="0"/>
                </c:ext>
                <c:ext xmlns:c16="http://schemas.microsoft.com/office/drawing/2014/chart" uri="{C3380CC4-5D6E-409C-BE32-E72D297353CC}">
                  <c16:uniqueId val="{00000005-8877-4AE9-8190-BFA263D95CF7}"/>
                </c:ext>
              </c:extLst>
            </c:dLbl>
            <c:dLbl>
              <c:idx val="3"/>
              <c:layout>
                <c:manualLayout>
                  <c:x val="0.33784095973852324"/>
                  <c:y val="3.553962137711509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sz="900" b="1" baseline="0">
                        <a:latin typeface="Arial" panose="020B0604020202020204" pitchFamily="34" charset="0"/>
                        <a:cs typeface="Arial" panose="020B0604020202020204" pitchFamily="34" charset="0"/>
                      </a:rPr>
                      <a:t>Catastrophic</a:t>
                    </a:r>
                    <a:r>
                      <a:rPr lang="en-US" baseline="0" dirty="0"/>
                      <a:t>
</a:t>
                    </a:r>
                    <a:fld id="{75EF0E41-CF5E-42FE-9332-DF8E0CE3F850}" type="PERCENTAGE">
                      <a:rPr lang="en-US" baseline="0"/>
                      <a:pPr>
                        <a:defRPr sz="900" b="0" i="0" u="none" strike="noStrike" kern="1200" baseline="0">
                          <a:solidFill>
                            <a:schemeClr val="dk1">
                              <a:lumMod val="65000"/>
                              <a:lumOff val="35000"/>
                            </a:schemeClr>
                          </a:solidFill>
                          <a:latin typeface="+mn-lt"/>
                          <a:ea typeface="+mn-ea"/>
                          <a:cs typeface="+mn-cs"/>
                        </a:defRPr>
                      </a:pPr>
                      <a:t>[POURCENTAGE]</a:t>
                    </a:fld>
                    <a:endParaRPr lang="en-US" baseline="0" dirty="0"/>
                  </a:p>
                </c:rich>
              </c:tx>
              <c:spPr>
                <a:solidFill>
                  <a:sysClr val="window" lastClr="FFFFFF"/>
                </a:solidFill>
                <a:ln>
                  <a:solidFill>
                    <a:sysClr val="windowText" lastClr="000000">
                      <a:lumMod val="25000"/>
                      <a:lumOff val="7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34299435447927501"/>
                      <c:h val="0.21799162338750208"/>
                    </c:manualLayout>
                  </c15:layout>
                  <c15:dlblFieldTable/>
                  <c15:showDataLabelsRange val="0"/>
                </c:ext>
                <c:ext xmlns:c16="http://schemas.microsoft.com/office/drawing/2014/chart" uri="{C3380CC4-5D6E-409C-BE32-E72D297353CC}">
                  <c16:uniqueId val="{00000007-8877-4AE9-8190-BFA263D95CF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Feuil1!$A$1:$A$4</c:f>
              <c:strCache>
                <c:ptCount val="4"/>
                <c:pt idx="0">
                  <c:v>Mishap</c:v>
                </c:pt>
                <c:pt idx="1">
                  <c:v>incident</c:v>
                </c:pt>
                <c:pt idx="2">
                  <c:v>accident</c:v>
                </c:pt>
                <c:pt idx="3">
                  <c:v>catastrophic</c:v>
                </c:pt>
              </c:strCache>
            </c:strRef>
          </c:cat>
          <c:val>
            <c:numRef>
              <c:f>Feuil1!$B$1:$B$4</c:f>
              <c:numCache>
                <c:formatCode>General</c:formatCode>
                <c:ptCount val="4"/>
                <c:pt idx="0">
                  <c:v>108</c:v>
                </c:pt>
                <c:pt idx="1">
                  <c:v>51</c:v>
                </c:pt>
                <c:pt idx="2">
                  <c:v>20</c:v>
                </c:pt>
                <c:pt idx="3">
                  <c:v>1</c:v>
                </c:pt>
              </c:numCache>
            </c:numRef>
          </c:val>
          <c:extLst>
            <c:ext xmlns:c16="http://schemas.microsoft.com/office/drawing/2014/chart" uri="{C3380CC4-5D6E-409C-BE32-E72D297353CC}">
              <c16:uniqueId val="{00000008-8877-4AE9-8190-BFA263D95CF7}"/>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8877-4AE9-8190-BFA263D95C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8877-4AE9-8190-BFA263D95C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8877-4AE9-8190-BFA263D95C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8877-4AE9-8190-BFA263D95CF7}"/>
              </c:ext>
            </c:extLst>
          </c:dPt>
          <c:cat>
            <c:strRef>
              <c:f>Feuil1!$A$1:$A$4</c:f>
              <c:strCache>
                <c:ptCount val="4"/>
                <c:pt idx="0">
                  <c:v>Mishap</c:v>
                </c:pt>
                <c:pt idx="1">
                  <c:v>incident</c:v>
                </c:pt>
                <c:pt idx="2">
                  <c:v>accident</c:v>
                </c:pt>
                <c:pt idx="3">
                  <c:v>catastrophic</c:v>
                </c:pt>
              </c:strCache>
            </c:strRef>
          </c:cat>
          <c:val>
            <c:numRef>
              <c:f>Feuil1!$C$1:$C$4</c:f>
              <c:numCache>
                <c:formatCode>General</c:formatCode>
                <c:ptCount val="4"/>
                <c:pt idx="0">
                  <c:v>0.6</c:v>
                </c:pt>
                <c:pt idx="1">
                  <c:v>0.28333333333333333</c:v>
                </c:pt>
                <c:pt idx="2">
                  <c:v>0.1111111111111111</c:v>
                </c:pt>
                <c:pt idx="3">
                  <c:v>5.5555555555555558E-3</c:v>
                </c:pt>
              </c:numCache>
            </c:numRef>
          </c:val>
          <c:extLst>
            <c:ext xmlns:c16="http://schemas.microsoft.com/office/drawing/2014/chart" uri="{C3380CC4-5D6E-409C-BE32-E72D297353CC}">
              <c16:uniqueId val="{00000011-8877-4AE9-8190-BFA263D95CF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05120280582348"/>
          <c:y val="0.13306739333266965"/>
          <c:w val="0.55917874102561882"/>
          <c:h val="0.7456264600268101"/>
        </c:manualLayout>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515E-44FB-B84B-B9A5E4B1B0A2}"/>
              </c:ext>
            </c:extLst>
          </c:dPt>
          <c:dPt>
            <c:idx val="1"/>
            <c:bubble3D val="0"/>
            <c:spPr>
              <a:solidFill>
                <a:schemeClr val="accent2"/>
              </a:solidFill>
              <a:ln w="19050">
                <a:noFill/>
              </a:ln>
              <a:effectLst/>
            </c:spPr>
            <c:extLst>
              <c:ext xmlns:c16="http://schemas.microsoft.com/office/drawing/2014/chart" uri="{C3380CC4-5D6E-409C-BE32-E72D297353CC}">
                <c16:uniqueId val="{00000003-515E-44FB-B84B-B9A5E4B1B0A2}"/>
              </c:ext>
            </c:extLst>
          </c:dPt>
          <c:dPt>
            <c:idx val="2"/>
            <c:bubble3D val="0"/>
            <c:spPr>
              <a:solidFill>
                <a:schemeClr val="accent3"/>
              </a:solidFill>
              <a:ln w="19050">
                <a:noFill/>
              </a:ln>
              <a:effectLst/>
            </c:spPr>
            <c:extLst>
              <c:ext xmlns:c16="http://schemas.microsoft.com/office/drawing/2014/chart" uri="{C3380CC4-5D6E-409C-BE32-E72D297353CC}">
                <c16:uniqueId val="{00000005-515E-44FB-B84B-B9A5E4B1B0A2}"/>
              </c:ext>
            </c:extLst>
          </c:dPt>
          <c:dPt>
            <c:idx val="3"/>
            <c:bubble3D val="0"/>
            <c:spPr>
              <a:solidFill>
                <a:schemeClr val="accent4"/>
              </a:solidFill>
              <a:ln w="19050">
                <a:noFill/>
              </a:ln>
              <a:effectLst/>
            </c:spPr>
            <c:extLst>
              <c:ext xmlns:c16="http://schemas.microsoft.com/office/drawing/2014/chart" uri="{C3380CC4-5D6E-409C-BE32-E72D297353CC}">
                <c16:uniqueId val="{00000007-515E-44FB-B84B-B9A5E4B1B0A2}"/>
              </c:ext>
            </c:extLst>
          </c:dPt>
          <c:dLbls>
            <c:dLbl>
              <c:idx val="0"/>
              <c:layout>
                <c:manualLayout>
                  <c:x val="0.10238485624127706"/>
                  <c:y val="1.2834645669291336E-2"/>
                </c:manualLayout>
              </c:layout>
              <c:tx>
                <c:rich>
                  <a:bodyPr rot="0" spcFirstLastPara="1" vertOverflow="clip" horzOverflow="clip" vert="horz" wrap="square" lIns="38100" tIns="19050" rIns="38100" bIns="19050" anchor="ctr" anchorCtr="0">
                    <a:spAutoFit/>
                  </a:bodyPr>
                  <a:lstStyle/>
                  <a:p>
                    <a:pPr algn="ctr">
                      <a:defRPr sz="900" b="0" i="0" u="none" strike="noStrike" kern="1200" baseline="0">
                        <a:solidFill>
                          <a:schemeClr val="dk1">
                            <a:lumMod val="65000"/>
                            <a:lumOff val="35000"/>
                          </a:schemeClr>
                        </a:solidFill>
                        <a:latin typeface="+mn-lt"/>
                        <a:ea typeface="+mn-ea"/>
                        <a:cs typeface="+mn-cs"/>
                      </a:defRPr>
                    </a:pPr>
                    <a:r>
                      <a:rPr lang="en-US" sz="900" b="1">
                        <a:latin typeface="Arial" panose="020B0604020202020204" pitchFamily="34" charset="0"/>
                        <a:cs typeface="Arial" panose="020B0604020202020204" pitchFamily="34" charset="0"/>
                      </a:rPr>
                      <a:t>Explosion</a:t>
                    </a:r>
                    <a:r>
                      <a:rPr lang="en-US" sz="900" baseline="0" dirty="0">
                        <a:latin typeface="Arial" panose="020B0604020202020204" pitchFamily="34" charset="0"/>
                        <a:cs typeface="Arial" panose="020B0604020202020204" pitchFamily="34" charset="0"/>
                      </a:rPr>
                      <a:t>
</a:t>
                    </a:r>
                    <a:fld id="{F2C1D8E0-1042-4C4B-9DBC-BDAE3FEDA3BF}" type="PERCENTAGE">
                      <a:rPr lang="en-US" sz="900" baseline="0">
                        <a:latin typeface="Arial" panose="020B0604020202020204" pitchFamily="34" charset="0"/>
                        <a:cs typeface="Arial" panose="020B0604020202020204" pitchFamily="34" charset="0"/>
                      </a:rPr>
                      <a:pPr algn="ctr">
                        <a:defRPr/>
                      </a:pPr>
                      <a:t>[POURCENTAGE]</a:t>
                    </a:fld>
                    <a:endParaRPr lang="en-US" sz="900" baseline="0" dirty="0">
                      <a:latin typeface="Arial" panose="020B0604020202020204" pitchFamily="34" charset="0"/>
                      <a:cs typeface="Arial" panose="020B0604020202020204" pitchFamily="34"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ctr">
                    <a:defRPr sz="900" b="0" i="0" u="none" strike="noStrike" kern="1200" baseline="0">
                      <a:solidFill>
                        <a:schemeClr val="dk1">
                          <a:lumMod val="65000"/>
                          <a:lumOff val="35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2871503481764991"/>
                      <c:h val="0.25720625830862054"/>
                    </c:manualLayout>
                  </c15:layout>
                  <c15:dlblFieldTable/>
                  <c15:showDataLabelsRange val="0"/>
                </c:ext>
                <c:ext xmlns:c16="http://schemas.microsoft.com/office/drawing/2014/chart" uri="{C3380CC4-5D6E-409C-BE32-E72D297353CC}">
                  <c16:uniqueId val="{00000001-515E-44FB-B84B-B9A5E4B1B0A2}"/>
                </c:ext>
              </c:extLst>
            </c:dLbl>
            <c:dLbl>
              <c:idx val="1"/>
              <c:layout>
                <c:manualLayout>
                  <c:x val="0.10272582822075552"/>
                  <c:y val="0.29803392417357522"/>
                </c:manualLayout>
              </c:layout>
              <c:tx>
                <c:rich>
                  <a:bodyPr/>
                  <a:lstStyle/>
                  <a:p>
                    <a:r>
                      <a:rPr lang="en-US" sz="900" b="1">
                        <a:latin typeface="Arial" panose="020B0604020202020204" pitchFamily="34" charset="0"/>
                        <a:cs typeface="Arial" panose="020B0604020202020204" pitchFamily="34" charset="0"/>
                      </a:rPr>
                      <a:t>Fire</a:t>
                    </a:r>
                    <a:r>
                      <a:rPr lang="en-US" baseline="0" dirty="0"/>
                      <a:t>
</a:t>
                    </a:r>
                    <a:fld id="{20E1D9C3-90B6-42E0-A908-0E7C1396B0C5}" type="PERCENTAGE">
                      <a:rPr lang="en-US" baseline="0"/>
                      <a:pPr/>
                      <a:t>[POURCENTAGE]</a:t>
                    </a:fld>
                    <a:endParaRPr lang="en-US" baseline="0" dirty="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15E-44FB-B84B-B9A5E4B1B0A2}"/>
                </c:ext>
              </c:extLst>
            </c:dLbl>
            <c:dLbl>
              <c:idx val="2"/>
              <c:layout>
                <c:manualLayout>
                  <c:x val="-0.10699764605178685"/>
                  <c:y val="-0.26431718061674025"/>
                </c:manualLayout>
              </c:layout>
              <c:tx>
                <c:rich>
                  <a:bodyPr/>
                  <a:lstStyle/>
                  <a:p>
                    <a:r>
                      <a:rPr lang="en-US" sz="900" b="1">
                        <a:latin typeface="Arial" panose="020B0604020202020204" pitchFamily="34" charset="0"/>
                        <a:cs typeface="Arial" panose="020B0604020202020204" pitchFamily="34" charset="0"/>
                      </a:rPr>
                      <a:t>Release</a:t>
                    </a:r>
                    <a:r>
                      <a:rPr lang="en-US" baseline="0" dirty="0"/>
                      <a:t>
</a:t>
                    </a:r>
                    <a:fld id="{A94294A6-CAF6-49A8-8544-CDD146A3BB8B}" type="PERCENTAGE">
                      <a:rPr lang="en-US" baseline="0"/>
                      <a:pPr/>
                      <a:t>[POURCENTAGE]</a:t>
                    </a:fld>
                    <a:endParaRPr lang="en-US" baseline="0" dirty="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15E-44FB-B84B-B9A5E4B1B0A2}"/>
                </c:ext>
              </c:extLst>
            </c:dLbl>
            <c:dLbl>
              <c:idx val="3"/>
              <c:layout>
                <c:manualLayout>
                  <c:x val="-0.17751819526652995"/>
                  <c:y val="2.643171806167401E-2"/>
                </c:manualLayout>
              </c:layout>
              <c:tx>
                <c:rich>
                  <a:bodyPr/>
                  <a:lstStyle/>
                  <a:p>
                    <a:r>
                      <a:rPr lang="en-US" sz="900" b="1">
                        <a:latin typeface="Arial" panose="020B0604020202020204" pitchFamily="34" charset="0"/>
                        <a:cs typeface="Arial" panose="020B0604020202020204" pitchFamily="34" charset="0"/>
                      </a:rPr>
                      <a:t>Other</a:t>
                    </a:r>
                    <a:r>
                      <a:rPr lang="en-US" sz="900" baseline="0" dirty="0">
                        <a:latin typeface="Arial" panose="020B0604020202020204" pitchFamily="34" charset="0"/>
                        <a:cs typeface="Arial" panose="020B0604020202020204" pitchFamily="34" charset="0"/>
                      </a:rPr>
                      <a:t>
</a:t>
                    </a:r>
                    <a:fld id="{88CD0C90-C8B8-4049-BBFF-39DF7E9995B8}" type="PERCENTAGE">
                      <a:rPr lang="en-US" sz="900" baseline="0">
                        <a:latin typeface="Arial" panose="020B0604020202020204" pitchFamily="34" charset="0"/>
                        <a:cs typeface="Arial" panose="020B0604020202020204" pitchFamily="34" charset="0"/>
                      </a:rPr>
                      <a:pPr/>
                      <a:t>[POURCENTAGE]</a:t>
                    </a:fld>
                    <a:endParaRPr lang="en-US" sz="900" baseline="0" dirty="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15E-44FB-B84B-B9A5E4B1B0A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Feuil3!$A$1:$A$4</c:f>
              <c:strCache>
                <c:ptCount val="4"/>
                <c:pt idx="0">
                  <c:v>explosion</c:v>
                </c:pt>
                <c:pt idx="1">
                  <c:v>fire</c:v>
                </c:pt>
                <c:pt idx="2">
                  <c:v>release </c:v>
                </c:pt>
                <c:pt idx="3">
                  <c:v>autre </c:v>
                </c:pt>
              </c:strCache>
            </c:strRef>
          </c:cat>
          <c:val>
            <c:numRef>
              <c:f>Feuil3!$B$1:$B$4</c:f>
              <c:numCache>
                <c:formatCode>General</c:formatCode>
                <c:ptCount val="4"/>
                <c:pt idx="0">
                  <c:v>21</c:v>
                </c:pt>
                <c:pt idx="1">
                  <c:v>50</c:v>
                </c:pt>
                <c:pt idx="2">
                  <c:v>139</c:v>
                </c:pt>
                <c:pt idx="3">
                  <c:v>17</c:v>
                </c:pt>
              </c:numCache>
            </c:numRef>
          </c:val>
          <c:extLst>
            <c:ext xmlns:c16="http://schemas.microsoft.com/office/drawing/2014/chart" uri="{C3380CC4-5D6E-409C-BE32-E72D297353CC}">
              <c16:uniqueId val="{00000008-515E-44FB-B84B-B9A5E4B1B0A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Feuil2!$C$2</c:f>
              <c:strCache>
                <c:ptCount val="1"/>
                <c:pt idx="0">
                  <c:v>Mishap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Feuil2!$D$1:$I$1</c:f>
              <c:strCache>
                <c:ptCount val="6"/>
                <c:pt idx="0">
                  <c:v>1981-1987</c:v>
                </c:pt>
                <c:pt idx="1">
                  <c:v>1988-1994</c:v>
                </c:pt>
                <c:pt idx="2">
                  <c:v>1995-2001</c:v>
                </c:pt>
                <c:pt idx="3">
                  <c:v>2002-2008</c:v>
                </c:pt>
                <c:pt idx="4">
                  <c:v>2009-2015</c:v>
                </c:pt>
                <c:pt idx="5">
                  <c:v>2016-2022</c:v>
                </c:pt>
              </c:strCache>
            </c:strRef>
          </c:cat>
          <c:val>
            <c:numRef>
              <c:f>Feuil2!$D$2:$I$2</c:f>
              <c:numCache>
                <c:formatCode>General</c:formatCode>
                <c:ptCount val="6"/>
                <c:pt idx="0">
                  <c:v>0</c:v>
                </c:pt>
                <c:pt idx="1">
                  <c:v>6</c:v>
                </c:pt>
                <c:pt idx="2">
                  <c:v>7</c:v>
                </c:pt>
                <c:pt idx="3">
                  <c:v>20</c:v>
                </c:pt>
                <c:pt idx="4">
                  <c:v>48</c:v>
                </c:pt>
                <c:pt idx="5">
                  <c:v>27</c:v>
                </c:pt>
              </c:numCache>
            </c:numRef>
          </c:val>
          <c:extLst>
            <c:ext xmlns:c16="http://schemas.microsoft.com/office/drawing/2014/chart" uri="{C3380CC4-5D6E-409C-BE32-E72D297353CC}">
              <c16:uniqueId val="{00000000-3DB2-4957-85D3-75734EE879BC}"/>
            </c:ext>
          </c:extLst>
        </c:ser>
        <c:ser>
          <c:idx val="1"/>
          <c:order val="1"/>
          <c:tx>
            <c:strRef>
              <c:f>Feuil2!$C$3</c:f>
              <c:strCache>
                <c:ptCount val="1"/>
                <c:pt idx="0">
                  <c:v>incident</c:v>
                </c:pt>
              </c:strCache>
            </c:strRef>
          </c:tx>
          <c:spPr>
            <a:solidFill>
              <a:schemeClr val="accent2"/>
            </a:solidFill>
            <a:ln>
              <a:noFill/>
            </a:ln>
            <a:effectLst/>
          </c:spPr>
          <c:invertIfNegative val="0"/>
          <c:dLbls>
            <c:dLbl>
              <c:idx val="4"/>
              <c:layout>
                <c:manualLayout>
                  <c:x val="0"/>
                  <c:y val="-2.30769230769230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B2-4957-85D3-75734EE879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Feuil2!$D$1:$I$1</c:f>
              <c:strCache>
                <c:ptCount val="6"/>
                <c:pt idx="0">
                  <c:v>1981-1987</c:v>
                </c:pt>
                <c:pt idx="1">
                  <c:v>1988-1994</c:v>
                </c:pt>
                <c:pt idx="2">
                  <c:v>1995-2001</c:v>
                </c:pt>
                <c:pt idx="3">
                  <c:v>2002-2008</c:v>
                </c:pt>
                <c:pt idx="4">
                  <c:v>2009-2015</c:v>
                </c:pt>
                <c:pt idx="5">
                  <c:v>2016-2022</c:v>
                </c:pt>
              </c:strCache>
            </c:strRef>
          </c:cat>
          <c:val>
            <c:numRef>
              <c:f>Feuil2!$D$3:$I$3</c:f>
              <c:numCache>
                <c:formatCode>General</c:formatCode>
                <c:ptCount val="6"/>
                <c:pt idx="1">
                  <c:v>2</c:v>
                </c:pt>
                <c:pt idx="2">
                  <c:v>2</c:v>
                </c:pt>
                <c:pt idx="3">
                  <c:v>12</c:v>
                </c:pt>
                <c:pt idx="4">
                  <c:v>29</c:v>
                </c:pt>
                <c:pt idx="5">
                  <c:v>6</c:v>
                </c:pt>
              </c:numCache>
            </c:numRef>
          </c:val>
          <c:extLst>
            <c:ext xmlns:c16="http://schemas.microsoft.com/office/drawing/2014/chart" uri="{C3380CC4-5D6E-409C-BE32-E72D297353CC}">
              <c16:uniqueId val="{00000001-3DB2-4957-85D3-75734EE879BC}"/>
            </c:ext>
          </c:extLst>
        </c:ser>
        <c:ser>
          <c:idx val="2"/>
          <c:order val="2"/>
          <c:tx>
            <c:strRef>
              <c:f>Feuil2!$C$4</c:f>
              <c:strCache>
                <c:ptCount val="1"/>
                <c:pt idx="0">
                  <c:v>accident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Feuil2!$D$1:$I$1</c:f>
              <c:strCache>
                <c:ptCount val="6"/>
                <c:pt idx="0">
                  <c:v>1981-1987</c:v>
                </c:pt>
                <c:pt idx="1">
                  <c:v>1988-1994</c:v>
                </c:pt>
                <c:pt idx="2">
                  <c:v>1995-2001</c:v>
                </c:pt>
                <c:pt idx="3">
                  <c:v>2002-2008</c:v>
                </c:pt>
                <c:pt idx="4">
                  <c:v>2009-2015</c:v>
                </c:pt>
                <c:pt idx="5">
                  <c:v>2016-2022</c:v>
                </c:pt>
              </c:strCache>
            </c:strRef>
          </c:cat>
          <c:val>
            <c:numRef>
              <c:f>Feuil2!$D$4:$I$4</c:f>
              <c:numCache>
                <c:formatCode>General</c:formatCode>
                <c:ptCount val="6"/>
                <c:pt idx="1">
                  <c:v>1</c:v>
                </c:pt>
                <c:pt idx="2">
                  <c:v>1</c:v>
                </c:pt>
                <c:pt idx="3">
                  <c:v>5</c:v>
                </c:pt>
                <c:pt idx="4">
                  <c:v>11</c:v>
                </c:pt>
                <c:pt idx="5">
                  <c:v>2</c:v>
                </c:pt>
              </c:numCache>
            </c:numRef>
          </c:val>
          <c:extLst>
            <c:ext xmlns:c16="http://schemas.microsoft.com/office/drawing/2014/chart" uri="{C3380CC4-5D6E-409C-BE32-E72D297353CC}">
              <c16:uniqueId val="{00000002-3DB2-4957-85D3-75734EE879BC}"/>
            </c:ext>
          </c:extLst>
        </c:ser>
        <c:ser>
          <c:idx val="3"/>
          <c:order val="3"/>
          <c:tx>
            <c:strRef>
              <c:f>Feuil2!$C$5</c:f>
              <c:strCache>
                <c:ptCount val="1"/>
                <c:pt idx="0">
                  <c:v>catastrophic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Feuil2!$D$1:$I$1</c:f>
              <c:strCache>
                <c:ptCount val="6"/>
                <c:pt idx="0">
                  <c:v>1981-1987</c:v>
                </c:pt>
                <c:pt idx="1">
                  <c:v>1988-1994</c:v>
                </c:pt>
                <c:pt idx="2">
                  <c:v>1995-2001</c:v>
                </c:pt>
                <c:pt idx="3">
                  <c:v>2002-2008</c:v>
                </c:pt>
                <c:pt idx="4">
                  <c:v>2009-2015</c:v>
                </c:pt>
                <c:pt idx="5">
                  <c:v>2016-2022</c:v>
                </c:pt>
              </c:strCache>
            </c:strRef>
          </c:cat>
          <c:val>
            <c:numRef>
              <c:f>Feuil2!$D$5:$I$5</c:f>
              <c:numCache>
                <c:formatCode>General</c:formatCode>
                <c:ptCount val="6"/>
                <c:pt idx="4">
                  <c:v>1</c:v>
                </c:pt>
              </c:numCache>
            </c:numRef>
          </c:val>
          <c:extLst>
            <c:ext xmlns:c16="http://schemas.microsoft.com/office/drawing/2014/chart" uri="{C3380CC4-5D6E-409C-BE32-E72D297353CC}">
              <c16:uniqueId val="{00000003-3DB2-4957-85D3-75734EE879BC}"/>
            </c:ext>
          </c:extLst>
        </c:ser>
        <c:dLbls>
          <c:dLblPos val="outEnd"/>
          <c:showLegendKey val="0"/>
          <c:showVal val="1"/>
          <c:showCatName val="0"/>
          <c:showSerName val="0"/>
          <c:showPercent val="0"/>
          <c:showBubbleSize val="0"/>
        </c:dLbls>
        <c:gapWidth val="182"/>
        <c:axId val="975039823"/>
        <c:axId val="1142524703"/>
      </c:barChart>
      <c:catAx>
        <c:axId val="975039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2524703"/>
        <c:crosses val="autoZero"/>
        <c:auto val="1"/>
        <c:lblAlgn val="ctr"/>
        <c:lblOffset val="100"/>
        <c:noMultiLvlLbl val="0"/>
      </c:catAx>
      <c:valAx>
        <c:axId val="11425247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5039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Feuil6!$A$1:$A$7</c:f>
              <c:strCache>
                <c:ptCount val="7"/>
                <c:pt idx="0">
                  <c:v>Refining of petroleum / storage and distribution of petroleum products</c:v>
                </c:pt>
                <c:pt idx="1">
                  <c:v>Farm, forestry, and agri-food activities</c:v>
                </c:pt>
                <c:pt idx="2">
                  <c:v>Steel industry / Metallurgy / Surface treatment / Mechanics</c:v>
                </c:pt>
                <c:pt idx="3">
                  <c:v>Chemistry</c:v>
                </c:pt>
                <c:pt idx="4">
                  <c:v>Sanitation/waste management</c:v>
                </c:pt>
                <c:pt idx="5">
                  <c:v>Handling and Warehousing</c:v>
                </c:pt>
                <c:pt idx="6">
                  <c:v>Transport (rail/road/water, transportation pipelines)</c:v>
                </c:pt>
              </c:strCache>
            </c:strRef>
          </c:cat>
          <c:val>
            <c:numRef>
              <c:f>Feuil6!$B$1:$B$7</c:f>
              <c:numCache>
                <c:formatCode>General</c:formatCode>
                <c:ptCount val="7"/>
                <c:pt idx="0">
                  <c:v>2</c:v>
                </c:pt>
                <c:pt idx="1">
                  <c:v>2</c:v>
                </c:pt>
                <c:pt idx="2">
                  <c:v>4</c:v>
                </c:pt>
                <c:pt idx="3">
                  <c:v>7</c:v>
                </c:pt>
                <c:pt idx="4">
                  <c:v>12</c:v>
                </c:pt>
                <c:pt idx="5">
                  <c:v>16</c:v>
                </c:pt>
                <c:pt idx="6">
                  <c:v>137</c:v>
                </c:pt>
              </c:numCache>
            </c:numRef>
          </c:val>
          <c:extLst>
            <c:ext xmlns:c16="http://schemas.microsoft.com/office/drawing/2014/chart" uri="{C3380CC4-5D6E-409C-BE32-E72D297353CC}">
              <c16:uniqueId val="{00000000-1502-430A-945C-4BEFBCDC55D9}"/>
            </c:ext>
          </c:extLst>
        </c:ser>
        <c:dLbls>
          <c:dLblPos val="outEnd"/>
          <c:showLegendKey val="0"/>
          <c:showVal val="1"/>
          <c:showCatName val="0"/>
          <c:showSerName val="0"/>
          <c:showPercent val="0"/>
          <c:showBubbleSize val="0"/>
        </c:dLbls>
        <c:gapWidth val="182"/>
        <c:axId val="1908516272"/>
        <c:axId val="1843032624"/>
      </c:barChart>
      <c:catAx>
        <c:axId val="1908516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43032624"/>
        <c:crosses val="autoZero"/>
        <c:auto val="1"/>
        <c:lblAlgn val="ctr"/>
        <c:lblOffset val="100"/>
        <c:noMultiLvlLbl val="0"/>
      </c:catAx>
      <c:valAx>
        <c:axId val="1843032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908516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Feuil5!$B$1</c:f>
              <c:strCache>
                <c:ptCount val="1"/>
                <c:pt idx="0">
                  <c:v>injuries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Feuil5!$A$2:$A$8</c:f>
              <c:strCache>
                <c:ptCount val="7"/>
                <c:pt idx="0">
                  <c:v>Transport (rail/road/water, transportation pipelines)</c:v>
                </c:pt>
                <c:pt idx="1">
                  <c:v>Sanitation/waste management</c:v>
                </c:pt>
                <c:pt idx="2">
                  <c:v>Handling and Warehousing</c:v>
                </c:pt>
                <c:pt idx="3">
                  <c:v>Refining of petroleum / storage and distribution of petroleum products</c:v>
                </c:pt>
                <c:pt idx="4">
                  <c:v>Farm, forestry, and agri-food activities</c:v>
                </c:pt>
                <c:pt idx="5">
                  <c:v>Chemsitry</c:v>
                </c:pt>
                <c:pt idx="6">
                  <c:v>Steel industry / Metallurgy / Surface treatment / Mechanics</c:v>
                </c:pt>
              </c:strCache>
            </c:strRef>
          </c:cat>
          <c:val>
            <c:numRef>
              <c:f>Feuil5!$B$2:$B$8</c:f>
              <c:numCache>
                <c:formatCode>General</c:formatCode>
                <c:ptCount val="7"/>
                <c:pt idx="0">
                  <c:v>117</c:v>
                </c:pt>
                <c:pt idx="1">
                  <c:v>10</c:v>
                </c:pt>
                <c:pt idx="2">
                  <c:v>23</c:v>
                </c:pt>
                <c:pt idx="3">
                  <c:v>1</c:v>
                </c:pt>
                <c:pt idx="4">
                  <c:v>3</c:v>
                </c:pt>
                <c:pt idx="5">
                  <c:v>6</c:v>
                </c:pt>
                <c:pt idx="6">
                  <c:v>4</c:v>
                </c:pt>
              </c:numCache>
            </c:numRef>
          </c:val>
          <c:extLst>
            <c:ext xmlns:c16="http://schemas.microsoft.com/office/drawing/2014/chart" uri="{C3380CC4-5D6E-409C-BE32-E72D297353CC}">
              <c16:uniqueId val="{00000000-9748-45AA-B01D-7C803146DB86}"/>
            </c:ext>
          </c:extLst>
        </c:ser>
        <c:ser>
          <c:idx val="1"/>
          <c:order val="1"/>
          <c:tx>
            <c:strRef>
              <c:f>Feuil5!$C$1</c:f>
              <c:strCache>
                <c:ptCount val="1"/>
                <c:pt idx="0">
                  <c:v>fatalities</c:v>
                </c:pt>
              </c:strCache>
            </c:strRef>
          </c:tx>
          <c:spPr>
            <a:solidFill>
              <a:schemeClr val="accent2"/>
            </a:solidFill>
            <a:ln>
              <a:noFill/>
            </a:ln>
            <a:effectLst/>
          </c:spPr>
          <c:invertIfNegative val="0"/>
          <c:dLbls>
            <c:dLbl>
              <c:idx val="3"/>
              <c:layout>
                <c:manualLayout>
                  <c:x val="9.9058940069341253E-3"/>
                  <c:y val="-6.90846286701208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48-45AA-B01D-7C803146DB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Feuil5!$A$2:$A$8</c:f>
              <c:strCache>
                <c:ptCount val="7"/>
                <c:pt idx="0">
                  <c:v>Transport (rail/road/water, transportation pipelines)</c:v>
                </c:pt>
                <c:pt idx="1">
                  <c:v>Sanitation/waste management</c:v>
                </c:pt>
                <c:pt idx="2">
                  <c:v>Handling and Warehousing</c:v>
                </c:pt>
                <c:pt idx="3">
                  <c:v>Refining of petroleum / storage and distribution of petroleum products</c:v>
                </c:pt>
                <c:pt idx="4">
                  <c:v>Farm, forestry, and agri-food activities</c:v>
                </c:pt>
                <c:pt idx="5">
                  <c:v>Chemsitry</c:v>
                </c:pt>
                <c:pt idx="6">
                  <c:v>Steel industry / Metallurgy / Surface treatment / Mechanics</c:v>
                </c:pt>
              </c:strCache>
            </c:strRef>
          </c:cat>
          <c:val>
            <c:numRef>
              <c:f>Feuil5!$C$2:$C$8</c:f>
              <c:numCache>
                <c:formatCode>General</c:formatCode>
                <c:ptCount val="7"/>
                <c:pt idx="0">
                  <c:v>29</c:v>
                </c:pt>
                <c:pt idx="1">
                  <c:v>2</c:v>
                </c:pt>
                <c:pt idx="2">
                  <c:v>1</c:v>
                </c:pt>
                <c:pt idx="3">
                  <c:v>1</c:v>
                </c:pt>
              </c:numCache>
            </c:numRef>
          </c:val>
          <c:extLst>
            <c:ext xmlns:c16="http://schemas.microsoft.com/office/drawing/2014/chart" uri="{C3380CC4-5D6E-409C-BE32-E72D297353CC}">
              <c16:uniqueId val="{00000002-9748-45AA-B01D-7C803146DB86}"/>
            </c:ext>
          </c:extLst>
        </c:ser>
        <c:dLbls>
          <c:dLblPos val="outEnd"/>
          <c:showLegendKey val="0"/>
          <c:showVal val="1"/>
          <c:showCatName val="0"/>
          <c:showSerName val="0"/>
          <c:showPercent val="0"/>
          <c:showBubbleSize val="0"/>
        </c:dLbls>
        <c:gapWidth val="182"/>
        <c:axId val="91786080"/>
        <c:axId val="1966796656"/>
      </c:barChart>
      <c:catAx>
        <c:axId val="91786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966796656"/>
        <c:crosses val="autoZero"/>
        <c:auto val="1"/>
        <c:lblAlgn val="ctr"/>
        <c:lblOffset val="100"/>
        <c:noMultiLvlLbl val="0"/>
      </c:catAx>
      <c:valAx>
        <c:axId val="1966796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178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9183-878D-4586-977D-522E79CA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2850</Words>
  <Characters>15677</Characters>
  <Application>Microsoft Office Word</Application>
  <DocSecurity>0</DocSecurity>
  <Lines>130</Lines>
  <Paragraphs>36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Aissa Kerroum</cp:lastModifiedBy>
  <cp:revision>4</cp:revision>
  <cp:lastPrinted>2023-04-26T13:32:00Z</cp:lastPrinted>
  <dcterms:created xsi:type="dcterms:W3CDTF">2023-06-30T08:42:00Z</dcterms:created>
  <dcterms:modified xsi:type="dcterms:W3CDTF">2023-06-30T08:50:00Z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