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6A1BA5B6" w:rsidR="000A03B2" w:rsidRPr="00B57B36" w:rsidRDefault="00A76EFC" w:rsidP="005D668A">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FA5F5F">
              <w:rPr>
                <w:rFonts w:cs="Arial"/>
                <w:b/>
                <w:bCs/>
                <w:i/>
                <w:iCs/>
                <w:color w:val="000066"/>
                <w:sz w:val="22"/>
                <w:szCs w:val="22"/>
                <w:lang w:eastAsia="it-IT"/>
              </w:rPr>
              <w:t>, 20</w:t>
            </w:r>
            <w:r w:rsidR="00DF5072">
              <w:rPr>
                <w:rFonts w:cs="Arial"/>
                <w:b/>
                <w:bCs/>
                <w:i/>
                <w:iCs/>
                <w:color w:val="000066"/>
                <w:sz w:val="22"/>
                <w:szCs w:val="22"/>
                <w:lang w:eastAsia="it-IT"/>
              </w:rPr>
              <w:t>2</w:t>
            </w:r>
            <w:r w:rsidR="00543FE0">
              <w:rPr>
                <w:rFonts w:cs="Arial"/>
                <w:b/>
                <w:bCs/>
                <w:i/>
                <w:iCs/>
                <w:color w:val="000066"/>
                <w:sz w:val="22"/>
                <w:szCs w:val="22"/>
                <w:lang w:eastAsia="it-IT"/>
              </w:rPr>
              <w:t>3</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0CD871F8" w:rsidR="00300E56" w:rsidRPr="00225738" w:rsidRDefault="00300E56" w:rsidP="007931FA">
            <w:pPr>
              <w:ind w:left="-107"/>
              <w:rPr>
                <w:rFonts w:ascii="Times New Roman" w:hAnsi="Times New Roman"/>
                <w:sz w:val="24"/>
                <w:szCs w:val="24"/>
                <w:lang w:val="en-US" w:eastAsia="it-IT"/>
              </w:rPr>
            </w:pPr>
            <w:r w:rsidRPr="00225738">
              <w:rPr>
                <w:rFonts w:ascii="Tahoma" w:hAnsi="Tahoma" w:cs="Tahoma"/>
                <w:iCs/>
                <w:color w:val="333333"/>
                <w:sz w:val="14"/>
                <w:szCs w:val="14"/>
                <w:lang w:val="en-US" w:eastAsia="it-IT"/>
              </w:rPr>
              <w:t>Guest Editors:</w:t>
            </w:r>
            <w:r w:rsidR="00904C62" w:rsidRPr="00225738">
              <w:rPr>
                <w:rFonts w:ascii="Tahoma" w:hAnsi="Tahoma" w:cs="Tahoma"/>
                <w:iCs/>
                <w:color w:val="333333"/>
                <w:sz w:val="14"/>
                <w:szCs w:val="14"/>
                <w:lang w:val="en-US" w:eastAsia="it-IT"/>
              </w:rPr>
              <w:t xml:space="preserve"> </w:t>
            </w:r>
            <w:r w:rsidR="00225738" w:rsidRPr="00225738">
              <w:rPr>
                <w:rFonts w:ascii="Tahoma" w:hAnsi="Tahoma" w:cs="Tahoma"/>
                <w:iCs/>
                <w:color w:val="333333"/>
                <w:sz w:val="14"/>
                <w:szCs w:val="14"/>
                <w:lang w:val="en-US" w:eastAsia="it-IT"/>
              </w:rPr>
              <w:t xml:space="preserve">Sabrina </w:t>
            </w:r>
            <w:proofErr w:type="spellStart"/>
            <w:r w:rsidR="00225738" w:rsidRPr="00225738">
              <w:rPr>
                <w:rFonts w:ascii="Tahoma" w:hAnsi="Tahoma" w:cs="Tahoma"/>
                <w:iCs/>
                <w:color w:val="333333"/>
                <w:sz w:val="14"/>
                <w:szCs w:val="14"/>
                <w:lang w:val="en-US" w:eastAsia="it-IT"/>
              </w:rPr>
              <w:t>Copelli</w:t>
            </w:r>
            <w:proofErr w:type="spellEnd"/>
            <w:r w:rsidR="00225738" w:rsidRPr="00225738">
              <w:rPr>
                <w:rFonts w:ascii="Tahoma" w:hAnsi="Tahoma" w:cs="Tahoma"/>
                <w:iCs/>
                <w:color w:val="333333"/>
                <w:sz w:val="14"/>
                <w:szCs w:val="14"/>
                <w:lang w:val="en-US" w:eastAsia="it-IT"/>
              </w:rPr>
              <w:t>, Richard Siw</w:t>
            </w:r>
            <w:r w:rsidR="00225738">
              <w:rPr>
                <w:rFonts w:ascii="Tahoma" w:hAnsi="Tahoma" w:cs="Tahoma"/>
                <w:iCs/>
                <w:color w:val="333333"/>
                <w:sz w:val="14"/>
                <w:szCs w:val="14"/>
                <w:lang w:val="en-US" w:eastAsia="it-IT"/>
              </w:rPr>
              <w:t>ek</w:t>
            </w:r>
          </w:p>
          <w:p w14:paraId="1B0F1814" w14:textId="3BBD1B69" w:rsidR="000A03B2" w:rsidRPr="00B57B36" w:rsidRDefault="00FA5F5F" w:rsidP="005D668A">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543FE0">
              <w:rPr>
                <w:rFonts w:ascii="Tahoma" w:hAnsi="Tahoma" w:cs="Tahoma"/>
                <w:iCs/>
                <w:color w:val="333333"/>
                <w:sz w:val="14"/>
                <w:szCs w:val="14"/>
                <w:lang w:eastAsia="it-IT"/>
              </w:rPr>
              <w:t>3</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300E56"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2E667253" w14:textId="4596E3A3" w:rsidR="00E978D0" w:rsidRPr="00B57B36" w:rsidRDefault="00E1648B" w:rsidP="00E978D0">
      <w:pPr>
        <w:pStyle w:val="CETTitle"/>
      </w:pPr>
      <w:r w:rsidRPr="00E1648B">
        <w:t>Experimental Parameter Study and Inherent Scattering of Safety Characteristics of Dusts</w:t>
      </w:r>
    </w:p>
    <w:p w14:paraId="2B3CA35C" w14:textId="641691D1" w:rsidR="00E978D0" w:rsidRPr="00E1648B" w:rsidRDefault="00E1648B" w:rsidP="00AB5011">
      <w:pPr>
        <w:pStyle w:val="CETAuthors"/>
        <w:rPr>
          <w:vertAlign w:val="superscript"/>
          <w:lang w:val="de-DE"/>
        </w:rPr>
      </w:pPr>
      <w:r w:rsidRPr="00E1648B">
        <w:rPr>
          <w:lang w:val="de-DE"/>
        </w:rPr>
        <w:t>Stefan H. Spitzer*</w:t>
      </w:r>
      <w:r w:rsidR="00600535" w:rsidRPr="00E1648B">
        <w:rPr>
          <w:vertAlign w:val="superscript"/>
          <w:lang w:val="de-DE"/>
        </w:rPr>
        <w:t>a</w:t>
      </w:r>
      <w:r w:rsidR="00C2506F">
        <w:rPr>
          <w:vertAlign w:val="superscript"/>
          <w:lang w:val="de-DE"/>
        </w:rPr>
        <w:t>,b</w:t>
      </w:r>
      <w:r w:rsidR="00600535" w:rsidRPr="00E1648B">
        <w:rPr>
          <w:lang w:val="de-DE"/>
        </w:rPr>
        <w:t xml:space="preserve">, </w:t>
      </w:r>
      <w:r w:rsidRPr="00E1648B">
        <w:rPr>
          <w:lang w:val="de-DE"/>
        </w:rPr>
        <w:t>Arne Krietsch</w:t>
      </w:r>
      <w:r w:rsidR="00DF43F3">
        <w:rPr>
          <w:vertAlign w:val="superscript"/>
          <w:lang w:val="de-DE"/>
        </w:rPr>
        <w:t>a</w:t>
      </w:r>
      <w:r w:rsidR="00600535" w:rsidRPr="00E1648B">
        <w:rPr>
          <w:lang w:val="de-DE"/>
        </w:rPr>
        <w:t xml:space="preserve">, </w:t>
      </w:r>
      <w:r>
        <w:rPr>
          <w:lang w:val="de-DE"/>
        </w:rPr>
        <w:t>Vojtech Jankuj</w:t>
      </w:r>
      <w:r>
        <w:rPr>
          <w:vertAlign w:val="superscript"/>
          <w:lang w:val="de-DE"/>
        </w:rPr>
        <w:t>c</w:t>
      </w:r>
    </w:p>
    <w:tbl>
      <w:tblPr>
        <w:tblStyle w:val="Tabellenraster"/>
        <w:tblW w:w="88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40" w:type="dxa"/>
        </w:tblCellMar>
        <w:tblLook w:val="04A0" w:firstRow="1" w:lastRow="0" w:firstColumn="1" w:lastColumn="0" w:noHBand="0" w:noVBand="1"/>
      </w:tblPr>
      <w:tblGrid>
        <w:gridCol w:w="96"/>
        <w:gridCol w:w="8738"/>
      </w:tblGrid>
      <w:tr w:rsidR="00E1648B" w:rsidRPr="00C2506F" w14:paraId="69A7DA5B" w14:textId="77777777" w:rsidTr="00382E90">
        <w:tc>
          <w:tcPr>
            <w:tcW w:w="96" w:type="dxa"/>
          </w:tcPr>
          <w:p w14:paraId="17743325" w14:textId="77777777" w:rsidR="00E1648B" w:rsidRPr="00E26A24" w:rsidRDefault="00E1648B" w:rsidP="00382E90">
            <w:pPr>
              <w:pStyle w:val="CETAddress"/>
              <w:rPr>
                <w:vertAlign w:val="superscript"/>
              </w:rPr>
            </w:pPr>
            <w:r w:rsidRPr="00E26A24">
              <w:rPr>
                <w:vertAlign w:val="superscript"/>
              </w:rPr>
              <w:t>a</w:t>
            </w:r>
          </w:p>
        </w:tc>
        <w:tc>
          <w:tcPr>
            <w:tcW w:w="8738" w:type="dxa"/>
          </w:tcPr>
          <w:p w14:paraId="5FDAD846" w14:textId="77777777" w:rsidR="00E1648B" w:rsidRPr="00794BA7" w:rsidRDefault="00E1648B" w:rsidP="00382E90">
            <w:pPr>
              <w:pStyle w:val="CETAddress"/>
              <w:rPr>
                <w:lang w:val="de-DE"/>
              </w:rPr>
            </w:pPr>
            <w:r w:rsidRPr="00794BA7">
              <w:rPr>
                <w:lang w:val="de-DE"/>
              </w:rPr>
              <w:t>Physikalisch Technische Bundesanstalt, Bundesallee 100,</w:t>
            </w:r>
            <w:r>
              <w:rPr>
                <w:lang w:val="de-DE"/>
              </w:rPr>
              <w:t xml:space="preserve"> 38116</w:t>
            </w:r>
            <w:r w:rsidRPr="00794BA7">
              <w:rPr>
                <w:lang w:val="de-DE"/>
              </w:rPr>
              <w:t xml:space="preserve"> B</w:t>
            </w:r>
            <w:r>
              <w:rPr>
                <w:lang w:val="de-DE"/>
              </w:rPr>
              <w:t>raunschweig, Germany</w:t>
            </w:r>
          </w:p>
        </w:tc>
      </w:tr>
      <w:tr w:rsidR="00E1648B" w:rsidRPr="00C2506F" w14:paraId="7A5F8DF4" w14:textId="77777777" w:rsidTr="00382E90">
        <w:tc>
          <w:tcPr>
            <w:tcW w:w="96" w:type="dxa"/>
          </w:tcPr>
          <w:p w14:paraId="6770C899" w14:textId="77777777" w:rsidR="00E1648B" w:rsidRPr="00E26A24" w:rsidRDefault="00E1648B" w:rsidP="00382E90">
            <w:pPr>
              <w:pStyle w:val="CETAddress"/>
              <w:rPr>
                <w:vertAlign w:val="superscript"/>
              </w:rPr>
            </w:pPr>
            <w:r w:rsidRPr="00E26A24">
              <w:rPr>
                <w:vertAlign w:val="superscript"/>
              </w:rPr>
              <w:t>b</w:t>
            </w:r>
          </w:p>
        </w:tc>
        <w:tc>
          <w:tcPr>
            <w:tcW w:w="8738" w:type="dxa"/>
          </w:tcPr>
          <w:p w14:paraId="6CCC72DE" w14:textId="77777777" w:rsidR="00E1648B" w:rsidRPr="00794BA7" w:rsidRDefault="00E1648B" w:rsidP="00382E90">
            <w:pPr>
              <w:pStyle w:val="CETAddress"/>
              <w:rPr>
                <w:lang w:val="de-DE"/>
              </w:rPr>
            </w:pPr>
            <w:r w:rsidRPr="00794BA7">
              <w:rPr>
                <w:lang w:val="de-DE"/>
              </w:rPr>
              <w:t>Bundesanstalt fuer Materialforschung und -p</w:t>
            </w:r>
            <w:r>
              <w:rPr>
                <w:lang w:val="de-DE"/>
              </w:rPr>
              <w:t>ruefung, Unter den Eichen 87, 12205 Berlin, Germany</w:t>
            </w:r>
          </w:p>
        </w:tc>
      </w:tr>
      <w:tr w:rsidR="00E1648B" w:rsidRPr="00E26A24" w14:paraId="28794CB7" w14:textId="77777777" w:rsidTr="00382E90">
        <w:tc>
          <w:tcPr>
            <w:tcW w:w="96" w:type="dxa"/>
          </w:tcPr>
          <w:p w14:paraId="3ED5CBA4" w14:textId="77777777" w:rsidR="00E1648B" w:rsidRPr="00E26A24" w:rsidRDefault="00E1648B" w:rsidP="00382E90">
            <w:pPr>
              <w:pStyle w:val="CETAddress"/>
              <w:rPr>
                <w:vertAlign w:val="superscript"/>
              </w:rPr>
            </w:pPr>
            <w:r w:rsidRPr="00E26A24">
              <w:rPr>
                <w:vertAlign w:val="superscript"/>
              </w:rPr>
              <w:t>c</w:t>
            </w:r>
          </w:p>
        </w:tc>
        <w:tc>
          <w:tcPr>
            <w:tcW w:w="8738" w:type="dxa"/>
          </w:tcPr>
          <w:p w14:paraId="2AF2321D" w14:textId="77777777" w:rsidR="00E1648B" w:rsidRPr="00E26A24" w:rsidRDefault="00E1648B" w:rsidP="00382E90">
            <w:pPr>
              <w:pStyle w:val="CETAddress"/>
            </w:pPr>
            <w:r>
              <w:t>FBI</w:t>
            </w:r>
            <w:r w:rsidRPr="00807A90">
              <w:t xml:space="preserve"> - Technical University of Ostrava, 17. listopadu 2172/15, 708 00 Ostrava, Czech Republic</w:t>
            </w:r>
          </w:p>
        </w:tc>
      </w:tr>
      <w:tr w:rsidR="00E1648B" w:rsidRPr="00E26A24" w14:paraId="62898F18" w14:textId="77777777" w:rsidTr="00382E90">
        <w:tc>
          <w:tcPr>
            <w:tcW w:w="96" w:type="dxa"/>
          </w:tcPr>
          <w:p w14:paraId="5080DB93" w14:textId="77777777" w:rsidR="00E1648B" w:rsidRPr="00E26A24" w:rsidRDefault="00E1648B" w:rsidP="00382E90">
            <w:pPr>
              <w:pStyle w:val="CETemail"/>
              <w:rPr>
                <w:vertAlign w:val="superscript"/>
              </w:rPr>
            </w:pPr>
          </w:p>
        </w:tc>
        <w:tc>
          <w:tcPr>
            <w:tcW w:w="8738" w:type="dxa"/>
          </w:tcPr>
          <w:p w14:paraId="7A748119" w14:textId="152C522F" w:rsidR="00E1648B" w:rsidRPr="00E26A24" w:rsidRDefault="00A763A6" w:rsidP="00382E90">
            <w:pPr>
              <w:pStyle w:val="CETemail"/>
            </w:pPr>
            <w:r w:rsidRPr="00A763A6">
              <w:t>*</w:t>
            </w:r>
            <w:hyperlink r:id="rId10" w:history="1">
              <w:r w:rsidRPr="00F72803">
                <w:rPr>
                  <w:rStyle w:val="Hyperlink"/>
                </w:rPr>
                <w:t>Stefan.spitzer@ptb.de</w:t>
              </w:r>
            </w:hyperlink>
          </w:p>
        </w:tc>
      </w:tr>
    </w:tbl>
    <w:p w14:paraId="3D15FF46" w14:textId="77777777" w:rsidR="00E1648B" w:rsidRPr="00B57B36" w:rsidRDefault="00E1648B" w:rsidP="00E1648B">
      <w:pPr>
        <w:pStyle w:val="CETHeading1"/>
        <w:numPr>
          <w:ilvl w:val="0"/>
          <w:numId w:val="0"/>
        </w:numPr>
        <w:rPr>
          <w:lang w:val="en-GB"/>
        </w:rPr>
      </w:pPr>
      <w:r>
        <w:rPr>
          <w:lang w:val="en-GB"/>
        </w:rPr>
        <w:t>Abstract</w:t>
      </w:r>
    </w:p>
    <w:p w14:paraId="5B9716AC" w14:textId="17D0AD74" w:rsidR="00E1648B" w:rsidRDefault="00E1648B" w:rsidP="00E1648B">
      <w:pPr>
        <w:pStyle w:val="CETBodytext"/>
        <w:rPr>
          <w:lang w:val="en-GB"/>
        </w:rPr>
      </w:pPr>
      <w:r>
        <w:rPr>
          <w:lang w:val="en-GB"/>
        </w:rPr>
        <w:t xml:space="preserve">Safety characteristics are widely used in industrial processes to avoid explosive atmospheres (primary explosion protection) or to mitigate the consequences of an explosion (constructive explosion protection). </w:t>
      </w:r>
    </w:p>
    <w:p w14:paraId="13D95B27" w14:textId="01163BE7" w:rsidR="00E1648B" w:rsidRDefault="00E1648B" w:rsidP="00E1648B">
      <w:pPr>
        <w:pStyle w:val="CETBodytext"/>
        <w:rPr>
          <w:lang w:val="en-GB"/>
        </w:rPr>
      </w:pPr>
      <w:r>
        <w:rPr>
          <w:lang w:val="en-GB"/>
        </w:rPr>
        <w:t>Several laboratory parameters influence the determined values when performing the test series such as the</w:t>
      </w:r>
      <w:r w:rsidR="001E636E">
        <w:rPr>
          <w:lang w:val="en-GB"/>
        </w:rPr>
        <w:t xml:space="preserve"> beginning</w:t>
      </w:r>
      <w:r>
        <w:rPr>
          <w:lang w:val="en-GB"/>
        </w:rPr>
        <w:t xml:space="preserve"> pressure</w:t>
      </w:r>
      <w:r w:rsidR="001E636E">
        <w:rPr>
          <w:lang w:val="en-GB"/>
        </w:rPr>
        <w:t xml:space="preserve"> and the pre-ignition pressure rise</w:t>
      </w:r>
      <w:r>
        <w:rPr>
          <w:lang w:val="en-GB"/>
        </w:rPr>
        <w:t>, the ignition source, the ignition energy, the burning duration and volume or the concentration of the combustible substance.</w:t>
      </w:r>
    </w:p>
    <w:p w14:paraId="2701DF18" w14:textId="4D04CABC" w:rsidR="00E1648B" w:rsidRDefault="00E1648B" w:rsidP="00E1648B">
      <w:pPr>
        <w:pStyle w:val="CETBodytext"/>
        <w:rPr>
          <w:lang w:val="en-GB"/>
        </w:rPr>
      </w:pPr>
      <w:r>
        <w:rPr>
          <w:lang w:val="en-GB"/>
        </w:rPr>
        <w:t>In the different standards for the determination of safety characteristics of dusts there is no statement about the scattering or the deviation when parameters are chosen or occur on the borders of their allowed range. Thus, two laboratories might determine values that are hardly comparable for the same given substance.</w:t>
      </w:r>
    </w:p>
    <w:p w14:paraId="420C18AD" w14:textId="4BE26284" w:rsidR="00E1648B" w:rsidRDefault="00E1648B" w:rsidP="00E1648B">
      <w:pPr>
        <w:pStyle w:val="CETBodytext"/>
        <w:rPr>
          <w:lang w:val="en-GB"/>
        </w:rPr>
      </w:pPr>
      <w:r>
        <w:rPr>
          <w:lang w:val="en-GB"/>
        </w:rPr>
        <w:t xml:space="preserve">This article summarizes some of the influential factors that cause a deviation and shows the inherent scattering of dust tests when all other parameters are kept constant. </w:t>
      </w:r>
    </w:p>
    <w:p w14:paraId="651B7D7C" w14:textId="433F363D" w:rsidR="00E1648B" w:rsidRDefault="00E1648B" w:rsidP="00E1648B">
      <w:pPr>
        <w:pStyle w:val="CETBodytext"/>
      </w:pPr>
      <w:r>
        <w:rPr>
          <w:lang w:val="en-GB"/>
        </w:rPr>
        <w:t>It also provides some advice how to minimize the deviation and the scattering with little effort.</w:t>
      </w:r>
    </w:p>
    <w:p w14:paraId="2918F259" w14:textId="089C108C" w:rsidR="00E1648B" w:rsidRDefault="00E1648B" w:rsidP="00600535">
      <w:pPr>
        <w:pStyle w:val="CETBodytext"/>
      </w:pPr>
    </w:p>
    <w:p w14:paraId="698C88C1" w14:textId="77777777" w:rsidR="00E1648B" w:rsidRPr="00B57B36" w:rsidRDefault="00E1648B" w:rsidP="00E1648B">
      <w:pPr>
        <w:pStyle w:val="CETHeading1"/>
        <w:rPr>
          <w:lang w:val="en-GB"/>
        </w:rPr>
      </w:pPr>
      <w:r w:rsidRPr="00B57B36">
        <w:rPr>
          <w:lang w:val="en-GB"/>
        </w:rPr>
        <w:t>Introduction</w:t>
      </w:r>
    </w:p>
    <w:p w14:paraId="663387D9" w14:textId="735B4868" w:rsidR="00E1648B" w:rsidRDefault="00E1648B" w:rsidP="00600535">
      <w:pPr>
        <w:pStyle w:val="CETBodytext"/>
      </w:pPr>
      <w:r>
        <w:t>The determination of safety characteristics is one crucial step in the</w:t>
      </w:r>
      <w:r w:rsidR="001E636E">
        <w:t xml:space="preserve"> safe</w:t>
      </w:r>
      <w:r>
        <w:t xml:space="preserve"> design of process plants. Whether the substances used are combustible or not</w:t>
      </w:r>
      <w:r w:rsidR="00306F1F">
        <w:t>, it</w:t>
      </w:r>
      <w:r>
        <w:t xml:space="preserve"> is the first step to determine the danger that arises from any process. If one of the substances is combustible</w:t>
      </w:r>
      <w:r w:rsidR="00C2506F">
        <w:t>,</w:t>
      </w:r>
      <w:r>
        <w:t xml:space="preserve"> the next steps are to try </w:t>
      </w:r>
      <w:r w:rsidR="00C2506F">
        <w:t>avoiding</w:t>
      </w:r>
      <w:r>
        <w:t xml:space="preserve"> combustible atmospheres</w:t>
      </w:r>
      <w:r w:rsidR="00A755A1">
        <w:t xml:space="preserve"> by keeping the process atmospheres outside the explosive region</w:t>
      </w:r>
      <w:r>
        <w:t>, avoiding possible ignition sources or to mitigate their impact in case of an explosion.</w:t>
      </w:r>
    </w:p>
    <w:p w14:paraId="0E86D284" w14:textId="6546D53D" w:rsidR="00E1648B" w:rsidRDefault="00E1648B" w:rsidP="00600535">
      <w:pPr>
        <w:pStyle w:val="CETBodytext"/>
      </w:pPr>
    </w:p>
    <w:p w14:paraId="696F6358" w14:textId="4A10FC5C" w:rsidR="00E1648B" w:rsidRDefault="00E1648B" w:rsidP="00600535">
      <w:pPr>
        <w:pStyle w:val="CETBodytext"/>
      </w:pPr>
      <w:r>
        <w:t>For gases and vapors the determination is rather easy because they mix perfectly and can be determined under quiescent conditions. For dusts</w:t>
      </w:r>
      <w:r w:rsidR="00306F1F">
        <w:t>,</w:t>
      </w:r>
      <w:r>
        <w:t xml:space="preserve"> the mixing is a complex task since dusts settle in gravity and this process is depending on many factors like time, </w:t>
      </w:r>
      <w:r w:rsidR="006C6DAA">
        <w:t>density</w:t>
      </w:r>
      <w:r w:rsidR="00A755A1">
        <w:t xml:space="preserve"> of the tested substance</w:t>
      </w:r>
      <w:r w:rsidR="006C6DAA">
        <w:t xml:space="preserve">, mean </w:t>
      </w:r>
      <w:r>
        <w:t xml:space="preserve">particle diameter, </w:t>
      </w:r>
      <w:r w:rsidR="006C6DAA">
        <w:t>particle size distribution</w:t>
      </w:r>
      <w:r w:rsidR="008740DD">
        <w:t xml:space="preserve">, </w:t>
      </w:r>
      <w:r w:rsidR="006C6DAA">
        <w:t>and the endeavor to agglomerate.</w:t>
      </w:r>
      <w:r w:rsidR="00F21198">
        <w:t xml:space="preserve"> Other parameters are also influencing the determined safety characteristics of dusts like the humidity (</w:t>
      </w:r>
      <w:proofErr w:type="spellStart"/>
      <w:r w:rsidR="00F21198">
        <w:t>Traoré</w:t>
      </w:r>
      <w:proofErr w:type="spellEnd"/>
      <w:r w:rsidR="00F21198">
        <w:t xml:space="preserve"> et. al. </w:t>
      </w:r>
      <w:r w:rsidR="009F69F4">
        <w:t>(</w:t>
      </w:r>
      <w:r w:rsidR="00F21198">
        <w:t>2009</w:t>
      </w:r>
      <w:r w:rsidR="009F69F4">
        <w:t>)</w:t>
      </w:r>
      <w:r w:rsidR="00F21198">
        <w:t xml:space="preserve">), temperature (Lepik et. al. </w:t>
      </w:r>
      <w:r w:rsidR="009F69F4">
        <w:t>(</w:t>
      </w:r>
      <w:r w:rsidR="00F21198">
        <w:t>2014</w:t>
      </w:r>
      <w:r w:rsidR="009F69F4">
        <w:t>)</w:t>
      </w:r>
      <w:r w:rsidR="00F21198">
        <w:t xml:space="preserve">) and the dispersion system (Zhang et. al. </w:t>
      </w:r>
      <w:r w:rsidR="009F69F4">
        <w:t>(</w:t>
      </w:r>
      <w:r w:rsidR="00F21198">
        <w:t>2020</w:t>
      </w:r>
      <w:r w:rsidR="009F69F4">
        <w:t>)</w:t>
      </w:r>
      <w:r w:rsidR="00F21198">
        <w:t xml:space="preserve">). The experimental parameter that got investigated intensively is the turbulence decay by igniting at different ignition delay times (Skjold </w:t>
      </w:r>
      <w:r w:rsidR="009F69F4">
        <w:t>(</w:t>
      </w:r>
      <w:r w:rsidR="00F21198">
        <w:t>2003</w:t>
      </w:r>
      <w:r w:rsidR="009F69F4">
        <w:t>)</w:t>
      </w:r>
      <w:r w:rsidR="00F21198">
        <w:t xml:space="preserve">, Chang et. al. </w:t>
      </w:r>
      <w:r w:rsidR="009F69F4">
        <w:t>(</w:t>
      </w:r>
      <w:r w:rsidR="00F21198">
        <w:t>2022</w:t>
      </w:r>
      <w:r w:rsidR="009F69F4">
        <w:t>)</w:t>
      </w:r>
      <w:r w:rsidR="00F21198">
        <w:t xml:space="preserve">, </w:t>
      </w:r>
      <w:r w:rsidR="009F69F4">
        <w:t>Chen and Chang (2015), Garcia-</w:t>
      </w:r>
      <w:proofErr w:type="spellStart"/>
      <w:r w:rsidR="009F69F4">
        <w:t>Agreda</w:t>
      </w:r>
      <w:proofErr w:type="spellEnd"/>
      <w:r w:rsidR="009F69F4">
        <w:t xml:space="preserve"> et. al (2010)).</w:t>
      </w:r>
      <w:r w:rsidR="001E636E">
        <w:t xml:space="preserve"> Unfortunately, this was not investigated yet within the small variation allowed according to the standard</w:t>
      </w:r>
      <w:r w:rsidR="00A755A1">
        <w:t>s</w:t>
      </w:r>
      <w:r w:rsidR="001E636E">
        <w:t>.</w:t>
      </w:r>
    </w:p>
    <w:p w14:paraId="07F3DE35" w14:textId="31A056DF" w:rsidR="006C6DAA" w:rsidRDefault="006C6DAA" w:rsidP="00600535">
      <w:pPr>
        <w:pStyle w:val="CETBodytext"/>
      </w:pPr>
    </w:p>
    <w:p w14:paraId="2A33E917" w14:textId="1CED93CD" w:rsidR="006C6DAA" w:rsidRDefault="006C6DAA" w:rsidP="00600535">
      <w:pPr>
        <w:pStyle w:val="CETBodytext"/>
      </w:pPr>
      <w:r>
        <w:t>There are standardized test methods to determine the safety characteristics of dusts in which the experimental parameters and apparatuses are described and stated. However, varying these parameters within the allowed range causes the determined safety characteristic to change.</w:t>
      </w:r>
    </w:p>
    <w:p w14:paraId="22CD995D" w14:textId="381F7EE3" w:rsidR="006C6DAA" w:rsidRDefault="006C6DAA" w:rsidP="00600535">
      <w:pPr>
        <w:pStyle w:val="CETBodytext"/>
      </w:pPr>
      <w:r>
        <w:lastRenderedPageBreak/>
        <w:t>Whe</w:t>
      </w:r>
      <w:r w:rsidR="00D66E13">
        <w:t>n</w:t>
      </w:r>
      <w:r>
        <w:t xml:space="preserve"> all the single parameters are fixed </w:t>
      </w:r>
      <w:proofErr w:type="gramStart"/>
      <w:r>
        <w:t>in a given</w:t>
      </w:r>
      <w:proofErr w:type="gramEnd"/>
      <w:r>
        <w:t xml:space="preserve"> range, their sole variation </w:t>
      </w:r>
      <w:r w:rsidR="001E636E">
        <w:t>has a small impact on</w:t>
      </w:r>
      <w:r>
        <w:t xml:space="preserve"> the determined values but varying many of them leads to subsequent errors where comparability from one laboratory to the other may not be provided anymore. Another topic is the scattering of these test methods. In the standards a minimum number of </w:t>
      </w:r>
      <w:r w:rsidR="001E636E">
        <w:t xml:space="preserve">three </w:t>
      </w:r>
      <w:r>
        <w:t xml:space="preserve">tests with the same chosen parameters and concentration of </w:t>
      </w:r>
      <w:r w:rsidR="00A755A1">
        <w:t xml:space="preserve">the </w:t>
      </w:r>
      <w:r>
        <w:t xml:space="preserve">dust </w:t>
      </w:r>
      <w:r w:rsidR="00A755A1">
        <w:t xml:space="preserve">sample </w:t>
      </w:r>
      <w:r>
        <w:t xml:space="preserve">is stated and their average value is passed on as the safety characteristic. But there has been little investigation on this scattering and the </w:t>
      </w:r>
      <w:r w:rsidR="00CB29B0">
        <w:t>likelihood of the method to fail with only three tests.</w:t>
      </w:r>
    </w:p>
    <w:p w14:paraId="1BF36F92" w14:textId="2B5391E0" w:rsidR="00D66E13" w:rsidRDefault="00D66E13" w:rsidP="00600535">
      <w:pPr>
        <w:pStyle w:val="CETBodytext"/>
      </w:pPr>
      <w:r>
        <w:t>The following parameters are stated in the standards for the determination of safety characteristics of dusts</w:t>
      </w:r>
      <w:r w:rsidR="00A755A1">
        <w:t>:</w:t>
      </w:r>
    </w:p>
    <w:p w14:paraId="214DCA6A" w14:textId="1B15ADBD" w:rsidR="00D66E13" w:rsidRPr="008B4560" w:rsidRDefault="00A755A1" w:rsidP="008B4560">
      <w:pPr>
        <w:pStyle w:val="CETBodytext"/>
        <w:numPr>
          <w:ilvl w:val="0"/>
          <w:numId w:val="22"/>
        </w:numPr>
        <w:rPr>
          <w:lang w:val="en-GB"/>
        </w:rPr>
      </w:pPr>
      <w:r>
        <w:rPr>
          <w:lang w:val="en-GB"/>
        </w:rPr>
        <w:t>The i</w:t>
      </w:r>
      <w:r w:rsidR="00D66E13">
        <w:rPr>
          <w:lang w:val="en-GB"/>
        </w:rPr>
        <w:t>gnition delay time</w:t>
      </w:r>
      <w:r w:rsidR="008B4560">
        <w:rPr>
          <w:lang w:val="en-GB"/>
        </w:rPr>
        <w:t xml:space="preserve"> with 60 ms, no variation (EN 14034</w:t>
      </w:r>
      <w:r w:rsidR="008B4560">
        <w:rPr>
          <w:lang w:val="en-GB"/>
        </w:rPr>
        <w:noBreakHyphen/>
        <w:t>1 to 14034-4 and ASTM1226a)</w:t>
      </w:r>
    </w:p>
    <w:p w14:paraId="405B0745" w14:textId="323EA6CF" w:rsidR="00D66E13" w:rsidRDefault="00A755A1" w:rsidP="00D66E13">
      <w:pPr>
        <w:pStyle w:val="CETBodytext"/>
        <w:numPr>
          <w:ilvl w:val="0"/>
          <w:numId w:val="22"/>
        </w:numPr>
        <w:rPr>
          <w:lang w:val="en-GB"/>
        </w:rPr>
      </w:pPr>
      <w:r>
        <w:rPr>
          <w:lang w:val="en-GB"/>
        </w:rPr>
        <w:t>The b</w:t>
      </w:r>
      <w:r w:rsidR="00D66E13">
        <w:rPr>
          <w:lang w:val="en-GB"/>
        </w:rPr>
        <w:t>eginning pressure before injection of the dust</w:t>
      </w:r>
      <w:r w:rsidR="008B4560">
        <w:rPr>
          <w:lang w:val="en-GB"/>
        </w:rPr>
        <w:t xml:space="preserve"> with 0.4 bar</w:t>
      </w:r>
      <w:r>
        <w:rPr>
          <w:lang w:val="en-GB"/>
        </w:rPr>
        <w:t>. The</w:t>
      </w:r>
      <w:r w:rsidR="008B4560">
        <w:rPr>
          <w:lang w:val="en-GB"/>
        </w:rPr>
        <w:t xml:space="preserve"> variation </w:t>
      </w:r>
      <w:r>
        <w:rPr>
          <w:lang w:val="en-GB"/>
        </w:rPr>
        <w:t xml:space="preserve">is </w:t>
      </w:r>
      <w:r w:rsidR="008B4560">
        <w:rPr>
          <w:lang w:val="en-GB"/>
        </w:rPr>
        <w:t>indirectly specified with a pressure measurement system that should have an “…a</w:t>
      </w:r>
      <w:r w:rsidR="008B4560" w:rsidRPr="008B4560">
        <w:rPr>
          <w:lang w:val="en-GB"/>
        </w:rPr>
        <w:t>ccuracy of ± 0.1 bar or better</w:t>
      </w:r>
      <w:r w:rsidR="008B4560">
        <w:rPr>
          <w:lang w:val="en-GB"/>
        </w:rPr>
        <w:t>…” (EN 14034</w:t>
      </w:r>
      <w:r w:rsidR="008B4560">
        <w:rPr>
          <w:lang w:val="en-GB"/>
        </w:rPr>
        <w:noBreakHyphen/>
        <w:t>1 to 14034-4)</w:t>
      </w:r>
      <w:r>
        <w:rPr>
          <w:lang w:val="en-GB"/>
        </w:rPr>
        <w:t>. It is</w:t>
      </w:r>
      <w:r w:rsidR="008B4560">
        <w:rPr>
          <w:lang w:val="en-GB"/>
        </w:rPr>
        <w:t xml:space="preserve"> not specified in the American standard (ASTM1226a)</w:t>
      </w:r>
    </w:p>
    <w:p w14:paraId="7F32B5D5" w14:textId="4134062D" w:rsidR="00D66E13" w:rsidRDefault="00A755A1" w:rsidP="00D66E13">
      <w:pPr>
        <w:pStyle w:val="CETBodytext"/>
        <w:numPr>
          <w:ilvl w:val="0"/>
          <w:numId w:val="22"/>
        </w:numPr>
        <w:rPr>
          <w:lang w:val="en-GB"/>
        </w:rPr>
      </w:pPr>
      <w:r>
        <w:rPr>
          <w:lang w:val="en-GB"/>
        </w:rPr>
        <w:t>The p</w:t>
      </w:r>
      <w:r w:rsidR="00D66E13">
        <w:rPr>
          <w:lang w:val="en-GB"/>
        </w:rPr>
        <w:t>re-Ignition pressure rise</w:t>
      </w:r>
      <w:r>
        <w:rPr>
          <w:lang w:val="en-GB"/>
        </w:rPr>
        <w:t xml:space="preserve"> is</w:t>
      </w:r>
      <w:r w:rsidR="008B4560">
        <w:rPr>
          <w:lang w:val="en-GB"/>
        </w:rPr>
        <w:t xml:space="preserve"> indirectly</w:t>
      </w:r>
      <w:r>
        <w:rPr>
          <w:lang w:val="en-GB"/>
        </w:rPr>
        <w:t xml:space="preserve"> stated</w:t>
      </w:r>
      <w:r w:rsidR="008B4560">
        <w:rPr>
          <w:lang w:val="en-GB"/>
        </w:rPr>
        <w:t xml:space="preserve"> with 1013 mbar at ignition minus the before stated 0.4 bar in (EN 14034-1 to 14034-4)</w:t>
      </w:r>
      <w:r>
        <w:rPr>
          <w:lang w:val="en-GB"/>
        </w:rPr>
        <w:t>. It is</w:t>
      </w:r>
      <w:r w:rsidR="008B4560">
        <w:rPr>
          <w:lang w:val="en-GB"/>
        </w:rPr>
        <w:t xml:space="preserve"> not specified in the American standard (ASTM1226a)</w:t>
      </w:r>
    </w:p>
    <w:p w14:paraId="5776AF6D" w14:textId="6DD95570" w:rsidR="00D66E13" w:rsidRDefault="00A755A1" w:rsidP="00D66E13">
      <w:pPr>
        <w:pStyle w:val="CETBodytext"/>
        <w:numPr>
          <w:ilvl w:val="0"/>
          <w:numId w:val="22"/>
        </w:numPr>
        <w:rPr>
          <w:lang w:val="en-GB"/>
        </w:rPr>
      </w:pPr>
      <w:r>
        <w:rPr>
          <w:lang w:val="en-GB"/>
        </w:rPr>
        <w:t>The b</w:t>
      </w:r>
      <w:r w:rsidR="00D66E13">
        <w:rPr>
          <w:lang w:val="en-GB"/>
        </w:rPr>
        <w:t>eginning temperature</w:t>
      </w:r>
      <w:r>
        <w:rPr>
          <w:lang w:val="en-GB"/>
        </w:rPr>
        <w:t xml:space="preserve"> is stated</w:t>
      </w:r>
      <w:r w:rsidR="008B4560">
        <w:rPr>
          <w:lang w:val="en-GB"/>
        </w:rPr>
        <w:t xml:space="preserve"> with 20</w:t>
      </w:r>
      <w:r w:rsidR="001D2C0A">
        <w:rPr>
          <w:lang w:val="en-GB"/>
        </w:rPr>
        <w:t xml:space="preserve"> </w:t>
      </w:r>
      <w:r w:rsidR="008B4560">
        <w:rPr>
          <w:lang w:val="en-GB"/>
        </w:rPr>
        <w:t>°C</w:t>
      </w:r>
      <w:r>
        <w:rPr>
          <w:lang w:val="en-GB"/>
        </w:rPr>
        <w:t xml:space="preserve"> but no range is </w:t>
      </w:r>
      <w:r w:rsidR="00107653">
        <w:rPr>
          <w:lang w:val="en-GB"/>
        </w:rPr>
        <w:t xml:space="preserve">stated </w:t>
      </w:r>
      <w:r w:rsidR="00107653">
        <w:rPr>
          <w:lang w:val="en-GB"/>
        </w:rPr>
        <w:t>(EN 14034-1 to 14034-4)</w:t>
      </w:r>
      <w:r w:rsidR="00107653">
        <w:rPr>
          <w:lang w:val="en-GB"/>
        </w:rPr>
        <w:t>.</w:t>
      </w:r>
      <w:r w:rsidR="008B4560">
        <w:rPr>
          <w:lang w:val="en-GB"/>
        </w:rPr>
        <w:t xml:space="preserve"> </w:t>
      </w:r>
      <w:r w:rsidR="00107653">
        <w:rPr>
          <w:lang w:val="en-GB"/>
        </w:rPr>
        <w:t>T</w:t>
      </w:r>
      <w:r w:rsidR="008B4560">
        <w:rPr>
          <w:lang w:val="en-GB"/>
        </w:rPr>
        <w:t xml:space="preserve">he American standard has a note, that the value for </w:t>
      </w:r>
      <w:proofErr w:type="spellStart"/>
      <w:r w:rsidR="008B4560">
        <w:rPr>
          <w:lang w:val="en-GB"/>
        </w:rPr>
        <w:t>p</w:t>
      </w:r>
      <w:r w:rsidR="008B4560" w:rsidRPr="008B4560">
        <w:rPr>
          <w:vertAlign w:val="subscript"/>
          <w:lang w:val="en-GB"/>
        </w:rPr>
        <w:t>max</w:t>
      </w:r>
      <w:proofErr w:type="spellEnd"/>
      <w:r w:rsidR="008B4560">
        <w:rPr>
          <w:lang w:val="en-GB"/>
        </w:rPr>
        <w:t xml:space="preserve"> decreases by 15</w:t>
      </w:r>
      <w:r w:rsidR="001D2C0A">
        <w:rPr>
          <w:lang w:val="en-GB"/>
        </w:rPr>
        <w:t xml:space="preserve"> </w:t>
      </w:r>
      <w:r w:rsidR="008B4560">
        <w:rPr>
          <w:lang w:val="en-GB"/>
        </w:rPr>
        <w:t>% if the temperature rises to 40</w:t>
      </w:r>
      <w:r w:rsidR="00107653">
        <w:rPr>
          <w:lang w:val="en-GB"/>
        </w:rPr>
        <w:t> </w:t>
      </w:r>
      <w:r w:rsidR="008B4560">
        <w:rPr>
          <w:lang w:val="en-GB"/>
        </w:rPr>
        <w:t>°C or 50</w:t>
      </w:r>
      <w:r w:rsidR="001D2C0A">
        <w:rPr>
          <w:lang w:val="en-GB"/>
        </w:rPr>
        <w:t xml:space="preserve"> </w:t>
      </w:r>
      <w:r w:rsidR="008B4560">
        <w:rPr>
          <w:lang w:val="en-GB"/>
        </w:rPr>
        <w:t>°C (ASTM1226a)</w:t>
      </w:r>
    </w:p>
    <w:p w14:paraId="7F34DCF5" w14:textId="210CC3DC" w:rsidR="00D66E13" w:rsidRPr="008B4560" w:rsidRDefault="00107653" w:rsidP="008B4560">
      <w:pPr>
        <w:pStyle w:val="CETBodytext"/>
        <w:numPr>
          <w:ilvl w:val="0"/>
          <w:numId w:val="22"/>
        </w:numPr>
        <w:rPr>
          <w:lang w:val="en-GB"/>
        </w:rPr>
      </w:pPr>
      <w:r>
        <w:rPr>
          <w:lang w:val="en-GB"/>
        </w:rPr>
        <w:t>The i</w:t>
      </w:r>
      <w:r w:rsidR="00D66E13">
        <w:rPr>
          <w:lang w:val="en-GB"/>
        </w:rPr>
        <w:t xml:space="preserve">gnition </w:t>
      </w:r>
      <w:r>
        <w:rPr>
          <w:lang w:val="en-GB"/>
        </w:rPr>
        <w:t>e</w:t>
      </w:r>
      <w:r w:rsidR="00D66E13">
        <w:rPr>
          <w:lang w:val="en-GB"/>
        </w:rPr>
        <w:t>nergy</w:t>
      </w:r>
      <w:r>
        <w:rPr>
          <w:lang w:val="en-GB"/>
        </w:rPr>
        <w:t xml:space="preserve"> is</w:t>
      </w:r>
      <w:r w:rsidR="008B4560">
        <w:rPr>
          <w:lang w:val="en-GB"/>
        </w:rPr>
        <w:t xml:space="preserve"> specified with two chemical igniters each having an energy of 5 kJ </w:t>
      </w:r>
      <w:r>
        <w:rPr>
          <w:lang w:val="en-GB"/>
        </w:rPr>
        <w:t xml:space="preserve">in the European standard </w:t>
      </w:r>
      <w:r>
        <w:rPr>
          <w:lang w:val="en-GB"/>
        </w:rPr>
        <w:t>(EN 14034</w:t>
      </w:r>
      <w:r>
        <w:rPr>
          <w:lang w:val="en-GB"/>
        </w:rPr>
        <w:noBreakHyphen/>
        <w:t>1 and 14034-2)</w:t>
      </w:r>
      <w:r w:rsidRPr="008B4560">
        <w:rPr>
          <w:lang w:val="en-GB"/>
        </w:rPr>
        <w:t xml:space="preserve"> </w:t>
      </w:r>
      <w:r w:rsidR="008B4560" w:rsidRPr="008B4560">
        <w:rPr>
          <w:lang w:val="en-GB"/>
        </w:rPr>
        <w:t xml:space="preserve">and </w:t>
      </w:r>
      <w:r w:rsidR="00A150A3">
        <w:rPr>
          <w:lang w:val="en-GB"/>
        </w:rPr>
        <w:t>in the American standard, though there is a note, that this might be decreased (</w:t>
      </w:r>
      <w:r w:rsidR="008B4560" w:rsidRPr="008B4560">
        <w:rPr>
          <w:lang w:val="en-GB"/>
        </w:rPr>
        <w:t>ASTM1226a)</w:t>
      </w:r>
    </w:p>
    <w:p w14:paraId="506DD9EA" w14:textId="59206C8D" w:rsidR="00D66E13" w:rsidRPr="00A150A3" w:rsidRDefault="001E636E" w:rsidP="00600535">
      <w:pPr>
        <w:pStyle w:val="CETBodytext"/>
        <w:numPr>
          <w:ilvl w:val="0"/>
          <w:numId w:val="22"/>
        </w:numPr>
        <w:rPr>
          <w:lang w:val="en-GB"/>
        </w:rPr>
      </w:pPr>
      <w:r>
        <w:rPr>
          <w:lang w:val="en-GB"/>
        </w:rPr>
        <w:t>The dust c</w:t>
      </w:r>
      <w:r w:rsidR="00D66E13">
        <w:rPr>
          <w:lang w:val="en-GB"/>
        </w:rPr>
        <w:t>oncentration</w:t>
      </w:r>
      <w:r>
        <w:rPr>
          <w:lang w:val="en-GB"/>
        </w:rPr>
        <w:t>s</w:t>
      </w:r>
      <w:r w:rsidR="00A150A3">
        <w:rPr>
          <w:lang w:val="en-GB"/>
        </w:rPr>
        <w:t xml:space="preserve"> are stated but </w:t>
      </w:r>
      <w:r>
        <w:rPr>
          <w:lang w:val="en-GB"/>
        </w:rPr>
        <w:t xml:space="preserve">there is </w:t>
      </w:r>
      <w:r w:rsidR="00A150A3">
        <w:rPr>
          <w:lang w:val="en-GB"/>
        </w:rPr>
        <w:t>no statement about the accuracy or resolution of the scale</w:t>
      </w:r>
    </w:p>
    <w:p w14:paraId="7A3A3D3D" w14:textId="274C5754" w:rsidR="00CB29B0" w:rsidRDefault="00CB29B0" w:rsidP="00600535">
      <w:pPr>
        <w:pStyle w:val="CETBodytext"/>
      </w:pPr>
    </w:p>
    <w:p w14:paraId="686C7C5A" w14:textId="543A3596" w:rsidR="00CB29B0" w:rsidRDefault="00CB29B0" w:rsidP="00600535">
      <w:pPr>
        <w:pStyle w:val="CETBodytext"/>
      </w:pPr>
      <w:r>
        <w:t>In this paper</w:t>
      </w:r>
      <w:r w:rsidR="00306F1F">
        <w:t>,</w:t>
      </w:r>
      <w:r>
        <w:t xml:space="preserve"> </w:t>
      </w:r>
      <w:r w:rsidR="00A150A3">
        <w:t>several</w:t>
      </w:r>
      <w:r>
        <w:t xml:space="preserve"> parameters </w:t>
      </w:r>
      <w:r w:rsidR="00A150A3">
        <w:t>are</w:t>
      </w:r>
      <w:r>
        <w:t xml:space="preserve"> presented and their impact on the safety characteristics with a visualization, what impact the subsequent errors may lead to. </w:t>
      </w:r>
      <w:r w:rsidR="001E636E">
        <w:t xml:space="preserve">The impact of a small variation of 10 ms for the ignition delay time was investigated for three dust samples. </w:t>
      </w:r>
      <w:r>
        <w:t>Additionally</w:t>
      </w:r>
      <w:r w:rsidR="005631DE">
        <w:t>,</w:t>
      </w:r>
      <w:r>
        <w:t xml:space="preserve"> the inherent scattering of </w:t>
      </w:r>
      <w:r w:rsidR="001E636E">
        <w:t xml:space="preserve">the safety characteristics </w:t>
      </w:r>
      <w:proofErr w:type="spellStart"/>
      <w:r w:rsidR="001E636E">
        <w:t>p</w:t>
      </w:r>
      <w:r w:rsidR="001E636E" w:rsidRPr="001E636E">
        <w:rPr>
          <w:vertAlign w:val="subscript"/>
        </w:rPr>
        <w:t>max</w:t>
      </w:r>
      <w:proofErr w:type="spellEnd"/>
      <w:r w:rsidR="001E636E">
        <w:t xml:space="preserve"> and (</w:t>
      </w:r>
      <w:proofErr w:type="spellStart"/>
      <w:r w:rsidR="001E636E">
        <w:t>dp</w:t>
      </w:r>
      <w:proofErr w:type="spellEnd"/>
      <w:r w:rsidR="001E636E">
        <w:t>/dt)</w:t>
      </w:r>
      <w:r w:rsidR="001E636E" w:rsidRPr="001E636E">
        <w:rPr>
          <w:vertAlign w:val="subscript"/>
        </w:rPr>
        <w:t>max</w:t>
      </w:r>
      <w:r w:rsidR="001E636E">
        <w:t xml:space="preserve"> for </w:t>
      </w:r>
      <w:r>
        <w:t>one dust</w:t>
      </w:r>
      <w:r w:rsidR="001E636E">
        <w:t xml:space="preserve"> sample</w:t>
      </w:r>
      <w:r>
        <w:t xml:space="preserve"> was investigated.</w:t>
      </w:r>
    </w:p>
    <w:p w14:paraId="59D256BB" w14:textId="0F00C0D7" w:rsidR="00604C54" w:rsidRDefault="00604C54" w:rsidP="00604C54">
      <w:pPr>
        <w:pStyle w:val="CETHeading1"/>
        <w:tabs>
          <w:tab w:val="clear" w:pos="360"/>
          <w:tab w:val="right" w:pos="7100"/>
        </w:tabs>
        <w:jc w:val="both"/>
        <w:rPr>
          <w:lang w:val="en-GB"/>
        </w:rPr>
      </w:pPr>
      <w:r>
        <w:rPr>
          <w:lang w:val="en-GB"/>
        </w:rPr>
        <w:t>Materials and Methods</w:t>
      </w:r>
    </w:p>
    <w:p w14:paraId="2AF2AD9B" w14:textId="5BF91A40" w:rsidR="00604C54" w:rsidRDefault="002E19FD" w:rsidP="00604C54">
      <w:pPr>
        <w:pStyle w:val="CETBodytext"/>
        <w:rPr>
          <w:lang w:val="en-GB"/>
        </w:rPr>
      </w:pPr>
      <w:r>
        <w:rPr>
          <w:lang w:val="en-GB"/>
        </w:rPr>
        <w:t>Several</w:t>
      </w:r>
      <w:r w:rsidR="00604C54">
        <w:rPr>
          <w:lang w:val="en-GB"/>
        </w:rPr>
        <w:t xml:space="preserve"> influencing parameters cause a deviation in the determined safety characteristics. The following were </w:t>
      </w:r>
      <w:r>
        <w:rPr>
          <w:lang w:val="en-GB"/>
        </w:rPr>
        <w:t>chosen,</w:t>
      </w:r>
      <w:r w:rsidR="00CC3BE5">
        <w:rPr>
          <w:lang w:val="en-GB"/>
        </w:rPr>
        <w:t xml:space="preserve"> and their data was taken from other publications</w:t>
      </w:r>
      <w:r w:rsidR="00604C54">
        <w:rPr>
          <w:lang w:val="en-GB"/>
        </w:rPr>
        <w:t xml:space="preserve"> to display their influence</w:t>
      </w:r>
      <w:r w:rsidR="00A150A3">
        <w:rPr>
          <w:lang w:val="en-GB"/>
        </w:rPr>
        <w:t xml:space="preserve"> or calculated</w:t>
      </w:r>
      <w:r w:rsidR="00604C54">
        <w:rPr>
          <w:lang w:val="en-GB"/>
        </w:rPr>
        <w:t>:</w:t>
      </w:r>
    </w:p>
    <w:p w14:paraId="6FC6E76A" w14:textId="0305DAE4" w:rsidR="00604C54" w:rsidRDefault="00604C54" w:rsidP="00604C54">
      <w:pPr>
        <w:pStyle w:val="CETBodytext"/>
        <w:numPr>
          <w:ilvl w:val="0"/>
          <w:numId w:val="22"/>
        </w:numPr>
        <w:rPr>
          <w:lang w:val="en-GB"/>
        </w:rPr>
      </w:pPr>
      <w:r>
        <w:rPr>
          <w:lang w:val="en-GB"/>
        </w:rPr>
        <w:t>Beginning pressure before injection of the dust</w:t>
      </w:r>
    </w:p>
    <w:p w14:paraId="12AAFE79" w14:textId="41A1C3D2" w:rsidR="00A150A3" w:rsidRPr="00A150A3" w:rsidRDefault="00A150A3" w:rsidP="00A150A3">
      <w:pPr>
        <w:pStyle w:val="CETBodytext"/>
        <w:numPr>
          <w:ilvl w:val="0"/>
          <w:numId w:val="22"/>
        </w:numPr>
        <w:rPr>
          <w:lang w:val="en-GB"/>
        </w:rPr>
      </w:pPr>
      <w:r>
        <w:rPr>
          <w:lang w:val="en-GB"/>
        </w:rPr>
        <w:t>Beginning temperature</w:t>
      </w:r>
    </w:p>
    <w:p w14:paraId="18A2D19E" w14:textId="209C860C" w:rsidR="00604C54" w:rsidRDefault="00604C54" w:rsidP="00604C54">
      <w:pPr>
        <w:pStyle w:val="CETBodytext"/>
        <w:numPr>
          <w:ilvl w:val="0"/>
          <w:numId w:val="22"/>
        </w:numPr>
        <w:rPr>
          <w:lang w:val="en-GB"/>
        </w:rPr>
      </w:pPr>
      <w:r>
        <w:rPr>
          <w:lang w:val="en-GB"/>
        </w:rPr>
        <w:t>Pre-Ignition pressure rise</w:t>
      </w:r>
    </w:p>
    <w:p w14:paraId="46E7ACE2" w14:textId="343B3173" w:rsidR="00F25031" w:rsidRDefault="00917722" w:rsidP="00604C54">
      <w:pPr>
        <w:pStyle w:val="CETBodytext"/>
        <w:rPr>
          <w:lang w:val="en-GB"/>
        </w:rPr>
      </w:pPr>
      <w:r>
        <w:rPr>
          <w:lang w:val="en-GB"/>
        </w:rPr>
        <w:t>No data was found for a very fine variation of the ignition delay time that may be caused by the igniters, so three dusts</w:t>
      </w:r>
      <w:r w:rsidR="00F766A5">
        <w:rPr>
          <w:lang w:val="en-GB"/>
        </w:rPr>
        <w:t xml:space="preserve">, lycopodium, </w:t>
      </w:r>
      <w:proofErr w:type="gramStart"/>
      <w:r w:rsidR="00F766A5">
        <w:rPr>
          <w:lang w:val="en-GB"/>
        </w:rPr>
        <w:t>niacin</w:t>
      </w:r>
      <w:proofErr w:type="gramEnd"/>
      <w:r w:rsidR="00F766A5">
        <w:rPr>
          <w:lang w:val="en-GB"/>
        </w:rPr>
        <w:t xml:space="preserve"> and corn starch</w:t>
      </w:r>
      <w:r>
        <w:rPr>
          <w:lang w:val="en-GB"/>
        </w:rPr>
        <w:t xml:space="preserve"> were investigated varying the ignition delay time in steps of 10 ms. </w:t>
      </w:r>
      <w:r w:rsidR="00F25031">
        <w:rPr>
          <w:lang w:val="en-GB"/>
        </w:rPr>
        <w:t xml:space="preserve">Each test was performed twice, and the results were averaged. </w:t>
      </w:r>
    </w:p>
    <w:p w14:paraId="2F8C7701" w14:textId="59AB2BD4" w:rsidR="00F25031" w:rsidRDefault="00917722" w:rsidP="00604C54">
      <w:pPr>
        <w:pStyle w:val="CETBodytext"/>
        <w:rPr>
          <w:lang w:val="en-GB"/>
        </w:rPr>
      </w:pPr>
      <w:r>
        <w:rPr>
          <w:lang w:val="en-GB"/>
        </w:rPr>
        <w:t>Also,</w:t>
      </w:r>
      <w:r w:rsidR="00CC3BE5">
        <w:rPr>
          <w:lang w:val="en-GB"/>
        </w:rPr>
        <w:t xml:space="preserve"> no data was found on the inherent scattering of the dust procedures</w:t>
      </w:r>
      <w:r w:rsidR="001E636E">
        <w:rPr>
          <w:lang w:val="en-GB"/>
        </w:rPr>
        <w:t>.</w:t>
      </w:r>
      <w:r w:rsidR="00CC3BE5">
        <w:rPr>
          <w:lang w:val="en-GB"/>
        </w:rPr>
        <w:t xml:space="preserve"> </w:t>
      </w:r>
      <w:r w:rsidR="00F25031">
        <w:rPr>
          <w:lang w:val="en-GB"/>
        </w:rPr>
        <w:t>2</w:t>
      </w:r>
      <w:r w:rsidR="00CC3BE5">
        <w:rPr>
          <w:lang w:val="en-GB"/>
        </w:rPr>
        <w:t>0 tests were performed</w:t>
      </w:r>
      <w:r w:rsidR="00F25031">
        <w:rPr>
          <w:lang w:val="en-GB"/>
        </w:rPr>
        <w:t xml:space="preserve"> at two concentrations</w:t>
      </w:r>
      <w:r w:rsidR="00CC3BE5">
        <w:rPr>
          <w:lang w:val="en-GB"/>
        </w:rPr>
        <w:t xml:space="preserve"> with </w:t>
      </w:r>
      <w:r w:rsidR="00F766A5">
        <w:rPr>
          <w:lang w:val="en-GB"/>
        </w:rPr>
        <w:t>the</w:t>
      </w:r>
      <w:r w:rsidR="00CC3BE5">
        <w:rPr>
          <w:lang w:val="en-GB"/>
        </w:rPr>
        <w:t xml:space="preserve"> corn starch and two chemical igniters having 1 kJ each. </w:t>
      </w:r>
    </w:p>
    <w:p w14:paraId="2E1A3506" w14:textId="7AAB9EC2" w:rsidR="00604C54" w:rsidRDefault="00917722" w:rsidP="00604C54">
      <w:pPr>
        <w:pStyle w:val="CETBodytext"/>
        <w:rPr>
          <w:lang w:val="en-GB"/>
        </w:rPr>
      </w:pPr>
      <w:r>
        <w:rPr>
          <w:lang w:val="en-GB"/>
        </w:rPr>
        <w:t xml:space="preserve">For these test series </w:t>
      </w:r>
      <w:r w:rsidR="00F766A5">
        <w:rPr>
          <w:lang w:val="en-GB"/>
        </w:rPr>
        <w:t xml:space="preserve">a standard 20L-sphere was used, and </w:t>
      </w:r>
      <w:r>
        <w:rPr>
          <w:lang w:val="en-GB"/>
        </w:rPr>
        <w:t>all other</w:t>
      </w:r>
      <w:r w:rsidR="00CC3BE5">
        <w:rPr>
          <w:lang w:val="en-GB"/>
        </w:rPr>
        <w:t xml:space="preserve"> parameters </w:t>
      </w:r>
      <w:r>
        <w:rPr>
          <w:lang w:val="en-GB"/>
        </w:rPr>
        <w:t xml:space="preserve">were </w:t>
      </w:r>
      <w:r w:rsidR="00CC3BE5">
        <w:rPr>
          <w:lang w:val="en-GB"/>
        </w:rPr>
        <w:t>kept in very narrow ranges with:</w:t>
      </w:r>
    </w:p>
    <w:p w14:paraId="0A41C6FA" w14:textId="3BF1F94B" w:rsidR="00CC3BE5" w:rsidRDefault="00917722" w:rsidP="00CC3BE5">
      <w:pPr>
        <w:pStyle w:val="CETBodytext"/>
        <w:numPr>
          <w:ilvl w:val="0"/>
          <w:numId w:val="25"/>
        </w:numPr>
        <w:rPr>
          <w:lang w:val="en-GB"/>
        </w:rPr>
      </w:pPr>
      <w:r>
        <w:rPr>
          <w:lang w:val="en-GB"/>
        </w:rPr>
        <w:t xml:space="preserve">Beginning pressure before injection of the dust at 400 </w:t>
      </w:r>
      <w:r>
        <w:rPr>
          <w:rFonts w:cs="Arial"/>
          <w:lang w:val="en-GB"/>
        </w:rPr>
        <w:t>±</w:t>
      </w:r>
      <w:r>
        <w:rPr>
          <w:lang w:val="en-GB"/>
        </w:rPr>
        <w:t xml:space="preserve"> 1 mbar</w:t>
      </w:r>
    </w:p>
    <w:p w14:paraId="4CF58A83" w14:textId="3472F1CF" w:rsidR="00917722" w:rsidRPr="00917722" w:rsidRDefault="00917722" w:rsidP="00CC3BE5">
      <w:pPr>
        <w:pStyle w:val="CETBodytext"/>
        <w:numPr>
          <w:ilvl w:val="0"/>
          <w:numId w:val="25"/>
        </w:numPr>
        <w:rPr>
          <w:lang w:val="en-GB"/>
        </w:rPr>
      </w:pPr>
      <w:r>
        <w:rPr>
          <w:lang w:val="en-GB"/>
        </w:rPr>
        <w:t xml:space="preserve">Pre-ignition pressure rise at 0.64 bar </w:t>
      </w:r>
      <w:r>
        <w:rPr>
          <w:rFonts w:cs="Arial"/>
          <w:lang w:val="en-GB"/>
        </w:rPr>
        <w:t>± 0.01 bar</w:t>
      </w:r>
    </w:p>
    <w:p w14:paraId="38B36A3E" w14:textId="3D3A62D3" w:rsidR="00917722" w:rsidRPr="00917722" w:rsidRDefault="00917722" w:rsidP="00CC3BE5">
      <w:pPr>
        <w:pStyle w:val="CETBodytext"/>
        <w:numPr>
          <w:ilvl w:val="0"/>
          <w:numId w:val="25"/>
        </w:numPr>
        <w:rPr>
          <w:lang w:val="en-GB"/>
        </w:rPr>
      </w:pPr>
      <w:r>
        <w:rPr>
          <w:rFonts w:cs="Arial"/>
          <w:lang w:val="en-GB"/>
        </w:rPr>
        <w:t>Beginning temperature at 20 °C (water jacket)</w:t>
      </w:r>
    </w:p>
    <w:p w14:paraId="03EE1365" w14:textId="624DE373" w:rsidR="00917722" w:rsidRPr="00917722" w:rsidRDefault="00917722" w:rsidP="00CC3BE5">
      <w:pPr>
        <w:pStyle w:val="CETBodytext"/>
        <w:numPr>
          <w:ilvl w:val="0"/>
          <w:numId w:val="25"/>
        </w:numPr>
        <w:rPr>
          <w:lang w:val="en-GB"/>
        </w:rPr>
      </w:pPr>
      <w:r>
        <w:rPr>
          <w:rFonts w:cs="Arial"/>
          <w:lang w:val="en-GB"/>
        </w:rPr>
        <w:t>Ignition energy of 2 kJ (2 x 1 kJ)</w:t>
      </w:r>
    </w:p>
    <w:p w14:paraId="39284B02" w14:textId="01C28CD1" w:rsidR="00604C54" w:rsidRPr="00107653" w:rsidRDefault="00917722" w:rsidP="00600535">
      <w:pPr>
        <w:pStyle w:val="CETBodytext"/>
        <w:numPr>
          <w:ilvl w:val="0"/>
          <w:numId w:val="25"/>
        </w:numPr>
        <w:rPr>
          <w:lang w:val="en-GB"/>
        </w:rPr>
      </w:pPr>
      <w:r>
        <w:rPr>
          <w:rFonts w:cs="Arial"/>
          <w:lang w:val="en-GB"/>
        </w:rPr>
        <w:t>Weighted dust mass of 10 g ± 10 mg (500 g/m³) or rather 15 g ± 10 mg (750 g/m³)</w:t>
      </w:r>
    </w:p>
    <w:p w14:paraId="1FA0E2C1" w14:textId="7A27BBC3" w:rsidR="00107653" w:rsidRDefault="00107653" w:rsidP="00107653">
      <w:pPr>
        <w:pStyle w:val="CETBodytext"/>
        <w:rPr>
          <w:rFonts w:cs="Arial"/>
          <w:lang w:val="en-GB"/>
        </w:rPr>
      </w:pPr>
    </w:p>
    <w:p w14:paraId="615B1AC7" w14:textId="7F1F36B4" w:rsidR="00107653" w:rsidRDefault="00107653" w:rsidP="00107653">
      <w:pPr>
        <w:pStyle w:val="CETBodytext"/>
        <w:rPr>
          <w:rFonts w:cs="Arial"/>
          <w:lang w:val="en-GB"/>
        </w:rPr>
      </w:pPr>
    </w:p>
    <w:p w14:paraId="6B82A59A" w14:textId="0E17FBDC" w:rsidR="00107653" w:rsidRDefault="00107653" w:rsidP="00107653">
      <w:pPr>
        <w:pStyle w:val="CETBodytext"/>
        <w:rPr>
          <w:rFonts w:cs="Arial"/>
          <w:lang w:val="en-GB"/>
        </w:rPr>
      </w:pPr>
    </w:p>
    <w:p w14:paraId="4925E496" w14:textId="4DBF3B23" w:rsidR="00107653" w:rsidRDefault="00107653" w:rsidP="00107653">
      <w:pPr>
        <w:pStyle w:val="CETBodytext"/>
        <w:rPr>
          <w:rFonts w:cs="Arial"/>
          <w:lang w:val="en-GB"/>
        </w:rPr>
      </w:pPr>
    </w:p>
    <w:p w14:paraId="3C4C9617" w14:textId="6126CB2B" w:rsidR="00107653" w:rsidRDefault="00107653" w:rsidP="00107653">
      <w:pPr>
        <w:pStyle w:val="CETBodytext"/>
        <w:rPr>
          <w:rFonts w:cs="Arial"/>
          <w:lang w:val="en-GB"/>
        </w:rPr>
      </w:pPr>
    </w:p>
    <w:p w14:paraId="284D1028" w14:textId="2F7198B6" w:rsidR="00107653" w:rsidRDefault="00107653" w:rsidP="00107653">
      <w:pPr>
        <w:pStyle w:val="CETBodytext"/>
        <w:rPr>
          <w:rFonts w:cs="Arial"/>
          <w:lang w:val="en-GB"/>
        </w:rPr>
      </w:pPr>
    </w:p>
    <w:p w14:paraId="33FC5137" w14:textId="71C46F50" w:rsidR="00107653" w:rsidRDefault="00107653" w:rsidP="00107653">
      <w:pPr>
        <w:pStyle w:val="CETBodytext"/>
        <w:rPr>
          <w:rFonts w:cs="Arial"/>
          <w:lang w:val="en-GB"/>
        </w:rPr>
      </w:pPr>
    </w:p>
    <w:p w14:paraId="17EF4315" w14:textId="50ED2936" w:rsidR="00107653" w:rsidRDefault="00107653" w:rsidP="00107653">
      <w:pPr>
        <w:pStyle w:val="CETBodytext"/>
        <w:rPr>
          <w:rFonts w:cs="Arial"/>
          <w:lang w:val="en-GB"/>
        </w:rPr>
      </w:pPr>
    </w:p>
    <w:p w14:paraId="3552D961" w14:textId="77777777" w:rsidR="00107653" w:rsidRPr="00AD0AA0" w:rsidRDefault="00107653" w:rsidP="00107653">
      <w:pPr>
        <w:pStyle w:val="CETBodytext"/>
        <w:rPr>
          <w:lang w:val="en-GB"/>
        </w:rPr>
      </w:pPr>
    </w:p>
    <w:p w14:paraId="138D4634" w14:textId="5765DEF6" w:rsidR="00604C54" w:rsidRDefault="00604C54" w:rsidP="00604C54">
      <w:pPr>
        <w:pStyle w:val="CETHeading1"/>
        <w:tabs>
          <w:tab w:val="clear" w:pos="360"/>
          <w:tab w:val="right" w:pos="7100"/>
        </w:tabs>
        <w:jc w:val="both"/>
        <w:rPr>
          <w:lang w:val="en-GB"/>
        </w:rPr>
      </w:pPr>
      <w:r>
        <w:rPr>
          <w:lang w:val="en-GB"/>
        </w:rPr>
        <w:lastRenderedPageBreak/>
        <w:t>Results and Discussion</w:t>
      </w:r>
    </w:p>
    <w:p w14:paraId="04C4A763" w14:textId="3E18FB80" w:rsidR="00CC3BE5" w:rsidRDefault="008009E5" w:rsidP="00CC3BE5">
      <w:pPr>
        <w:pStyle w:val="CETBodytext"/>
        <w:rPr>
          <w:lang w:val="en-GB"/>
        </w:rPr>
      </w:pPr>
      <w:r>
        <w:rPr>
          <w:lang w:val="en-GB"/>
        </w:rPr>
        <w:t>Figure 1</w:t>
      </w:r>
      <w:r w:rsidR="00604C54">
        <w:rPr>
          <w:lang w:val="en-GB"/>
        </w:rPr>
        <w:t xml:space="preserve"> displays the values of the maximum explosion pressure for </w:t>
      </w:r>
      <w:r w:rsidR="00917722">
        <w:rPr>
          <w:lang w:val="en-GB"/>
        </w:rPr>
        <w:t>the</w:t>
      </w:r>
      <w:r w:rsidR="00604C54">
        <w:rPr>
          <w:lang w:val="en-GB"/>
        </w:rPr>
        <w:t xml:space="preserve"> corn starch dust, tested at concentrations of 500 g/m³ (oxygen in excess) and 750 g/m³, the concentration where the highest values were observed. </w:t>
      </w:r>
    </w:p>
    <w:p w14:paraId="60FF7ADC" w14:textId="08ECF020" w:rsidR="00604C54" w:rsidRDefault="00F06C8A" w:rsidP="00CC3BE5">
      <w:pPr>
        <w:pStyle w:val="CETBodytext"/>
      </w:pPr>
      <w:r>
        <w:rPr>
          <w:noProof/>
        </w:rPr>
        <w:drawing>
          <wp:inline distT="0" distB="0" distL="0" distR="0" wp14:anchorId="3DC56392" wp14:editId="1373ADE5">
            <wp:extent cx="3600000" cy="2166459"/>
            <wp:effectExtent l="0" t="0" r="635" b="571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00000" cy="2166459"/>
                    </a:xfrm>
                    <a:prstGeom prst="rect">
                      <a:avLst/>
                    </a:prstGeom>
                  </pic:spPr>
                </pic:pic>
              </a:graphicData>
            </a:graphic>
          </wp:inline>
        </w:drawing>
      </w:r>
    </w:p>
    <w:p w14:paraId="40B0B86A" w14:textId="07563771" w:rsidR="00604C54" w:rsidRDefault="00F06C8A" w:rsidP="00F06C8A">
      <w:pPr>
        <w:pStyle w:val="CETCaption"/>
        <w:rPr>
          <w:color w:val="000000"/>
        </w:rPr>
      </w:pPr>
      <w:r w:rsidRPr="00B57B36">
        <w:t xml:space="preserve">Figure 1: </w:t>
      </w:r>
      <w:r>
        <w:rPr>
          <w:color w:val="000000"/>
        </w:rPr>
        <w:t>Distribution of the explosion pressures of corn starch for two different concentrations</w:t>
      </w:r>
    </w:p>
    <w:p w14:paraId="11999F8E" w14:textId="5826ABF5" w:rsidR="00CC3BE5" w:rsidRDefault="00CC3BE5" w:rsidP="00CC3BE5">
      <w:pPr>
        <w:pStyle w:val="CETBodytext"/>
      </w:pPr>
      <w:r>
        <w:t>Except for one outlier with 750 g/m³</w:t>
      </w:r>
      <w:r w:rsidR="00306F1F">
        <w:t>,</w:t>
      </w:r>
      <w:r>
        <w:t xml:space="preserve"> the values </w:t>
      </w:r>
      <w:r w:rsidR="001E636E">
        <w:t>were</w:t>
      </w:r>
      <w:r>
        <w:t xml:space="preserve"> with 8.9 bar g to 9.2 bar g less than 2 % apart from each other. The inherent scattering for this dust seem</w:t>
      </w:r>
      <w:r w:rsidR="001E636E">
        <w:t>ed</w:t>
      </w:r>
      <w:r>
        <w:t xml:space="preserve"> to be rather small.</w:t>
      </w:r>
    </w:p>
    <w:p w14:paraId="551B21F4" w14:textId="7E765DA6" w:rsidR="008009E5" w:rsidRDefault="008009E5" w:rsidP="00600535">
      <w:pPr>
        <w:pStyle w:val="CETBodytext"/>
        <w:rPr>
          <w:lang w:val="en-GB"/>
        </w:rPr>
      </w:pPr>
      <w:r>
        <w:rPr>
          <w:noProof/>
        </w:rPr>
        <w:drawing>
          <wp:inline distT="0" distB="0" distL="0" distR="0" wp14:anchorId="47CA165D" wp14:editId="209B3CC0">
            <wp:extent cx="3600000" cy="2171799"/>
            <wp:effectExtent l="0" t="0" r="63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00000" cy="2171799"/>
                    </a:xfrm>
                    <a:prstGeom prst="rect">
                      <a:avLst/>
                    </a:prstGeom>
                  </pic:spPr>
                </pic:pic>
              </a:graphicData>
            </a:graphic>
          </wp:inline>
        </w:drawing>
      </w:r>
    </w:p>
    <w:p w14:paraId="1DF3A996" w14:textId="6993E32B" w:rsidR="008009E5" w:rsidRDefault="008009E5" w:rsidP="008009E5">
      <w:pPr>
        <w:pStyle w:val="CETCaption"/>
      </w:pPr>
      <w:r>
        <w:rPr>
          <w:color w:val="000000"/>
        </w:rPr>
        <w:t>Figure 2: Distribution of the rates of pressure rise of corn starch for two different concentrations</w:t>
      </w:r>
    </w:p>
    <w:p w14:paraId="4E443FA5" w14:textId="0461B997" w:rsidR="008009E5" w:rsidRDefault="00F91429" w:rsidP="00600535">
      <w:pPr>
        <w:pStyle w:val="CETBodytext"/>
        <w:rPr>
          <w:lang w:val="en-GB"/>
        </w:rPr>
      </w:pPr>
      <w:r>
        <w:rPr>
          <w:lang w:val="en-GB"/>
        </w:rPr>
        <w:t xml:space="preserve">The </w:t>
      </w:r>
      <w:r w:rsidR="00930E27">
        <w:rPr>
          <w:lang w:val="en-GB"/>
        </w:rPr>
        <w:t>(</w:t>
      </w:r>
      <w:proofErr w:type="spellStart"/>
      <w:r w:rsidR="005631DE">
        <w:rPr>
          <w:lang w:val="en-GB"/>
        </w:rPr>
        <w:t>dp</w:t>
      </w:r>
      <w:proofErr w:type="spellEnd"/>
      <w:r w:rsidR="005631DE">
        <w:rPr>
          <w:lang w:val="en-GB"/>
        </w:rPr>
        <w:t>/dt</w:t>
      </w:r>
      <w:r w:rsidR="00930E27">
        <w:rPr>
          <w:lang w:val="en-GB"/>
        </w:rPr>
        <w:t>)</w:t>
      </w:r>
      <w:r w:rsidR="005631DE">
        <w:rPr>
          <w:lang w:val="en-GB"/>
        </w:rPr>
        <w:t>-</w:t>
      </w:r>
      <w:r>
        <w:rPr>
          <w:lang w:val="en-GB"/>
        </w:rPr>
        <w:t>values showed a higher scattering from 475 bar/s to 725 bar/s</w:t>
      </w:r>
      <w:r w:rsidR="005631DE">
        <w:rPr>
          <w:lang w:val="en-GB"/>
        </w:rPr>
        <w:t xml:space="preserve"> for a concentration of 750 g/m³</w:t>
      </w:r>
      <w:r w:rsidR="00F34B4D">
        <w:rPr>
          <w:lang w:val="en-GB"/>
        </w:rPr>
        <w:t xml:space="preserve"> (see figure 2)</w:t>
      </w:r>
      <w:r>
        <w:rPr>
          <w:lang w:val="en-GB"/>
        </w:rPr>
        <w:t>. Because of the rather flat and symmetric histogram the values at the end can</w:t>
      </w:r>
      <w:r w:rsidR="00107653">
        <w:rPr>
          <w:lang w:val="en-GB"/>
        </w:rPr>
        <w:t>’</w:t>
      </w:r>
      <w:r>
        <w:rPr>
          <w:lang w:val="en-GB"/>
        </w:rPr>
        <w:t>t be seen as outliers and they lay 21 % apart from the average value of 600 bar/s.</w:t>
      </w:r>
    </w:p>
    <w:p w14:paraId="19AD1017" w14:textId="34A247D1" w:rsidR="00F91429" w:rsidRDefault="00F91429" w:rsidP="00600535">
      <w:pPr>
        <w:pStyle w:val="CETBodytext"/>
        <w:rPr>
          <w:lang w:val="en-GB"/>
        </w:rPr>
      </w:pPr>
    </w:p>
    <w:p w14:paraId="50A9DA11" w14:textId="27422E43" w:rsidR="00F25031" w:rsidRDefault="00F25031" w:rsidP="00600535">
      <w:pPr>
        <w:pStyle w:val="CETBodytext"/>
        <w:rPr>
          <w:lang w:val="en-GB"/>
        </w:rPr>
      </w:pPr>
      <w:r>
        <w:rPr>
          <w:lang w:val="en-GB"/>
        </w:rPr>
        <w:t xml:space="preserve">In Table 1 the </w:t>
      </w:r>
      <w:r w:rsidR="008740DD">
        <w:rPr>
          <w:lang w:val="en-GB"/>
        </w:rPr>
        <w:t>(</w:t>
      </w:r>
      <w:proofErr w:type="spellStart"/>
      <w:r w:rsidR="008740DD">
        <w:rPr>
          <w:lang w:val="en-GB"/>
        </w:rPr>
        <w:t>dp</w:t>
      </w:r>
      <w:proofErr w:type="spellEnd"/>
      <w:r w:rsidR="008740DD">
        <w:rPr>
          <w:lang w:val="en-GB"/>
        </w:rPr>
        <w:t>/dt)-</w:t>
      </w:r>
      <w:r>
        <w:rPr>
          <w:lang w:val="en-GB"/>
        </w:rPr>
        <w:t xml:space="preserve">values for the variation of the ignition delay time </w:t>
      </w:r>
      <w:r w:rsidR="008740DD">
        <w:rPr>
          <w:lang w:val="en-GB"/>
        </w:rPr>
        <w:t xml:space="preserve">for three different dusts </w:t>
      </w:r>
      <w:r>
        <w:rPr>
          <w:lang w:val="en-GB"/>
        </w:rPr>
        <w:t xml:space="preserve">are displayed. It seems to be dust-dependent </w:t>
      </w:r>
      <w:r w:rsidR="00107653">
        <w:rPr>
          <w:lang w:val="en-GB"/>
        </w:rPr>
        <w:t>whether</w:t>
      </w:r>
      <w:r>
        <w:rPr>
          <w:lang w:val="en-GB"/>
        </w:rPr>
        <w:t xml:space="preserve"> the influence of a slight variation is</w:t>
      </w:r>
      <w:r w:rsidR="00306F1F">
        <w:rPr>
          <w:lang w:val="en-GB"/>
        </w:rPr>
        <w:t xml:space="preserve"> big</w:t>
      </w:r>
      <w:r w:rsidR="00107653">
        <w:rPr>
          <w:lang w:val="en-GB"/>
        </w:rPr>
        <w:t xml:space="preserve"> or small. W</w:t>
      </w:r>
      <w:r>
        <w:rPr>
          <w:lang w:val="en-GB"/>
        </w:rPr>
        <w:t>hile the decrease for niacin is the lowest from 60 ms to 70 ms with only 4 % decrease of the value</w:t>
      </w:r>
      <w:r w:rsidR="00107653">
        <w:rPr>
          <w:lang w:val="en-GB"/>
        </w:rPr>
        <w:t>,</w:t>
      </w:r>
      <w:r>
        <w:rPr>
          <w:lang w:val="en-GB"/>
        </w:rPr>
        <w:t xml:space="preserve"> the value for corn starch </w:t>
      </w:r>
      <w:r w:rsidR="00306F1F">
        <w:rPr>
          <w:lang w:val="en-GB"/>
        </w:rPr>
        <w:t>dropped</w:t>
      </w:r>
      <w:r>
        <w:rPr>
          <w:lang w:val="en-GB"/>
        </w:rPr>
        <w:t xml:space="preserve"> by 10 %. Increasing the ignition delay time more</w:t>
      </w:r>
      <w:r w:rsidR="00107653">
        <w:rPr>
          <w:lang w:val="en-GB"/>
        </w:rPr>
        <w:t>,</w:t>
      </w:r>
      <w:r>
        <w:rPr>
          <w:lang w:val="en-GB"/>
        </w:rPr>
        <w:t xml:space="preserve"> from 70 ms to 80 ms</w:t>
      </w:r>
      <w:r w:rsidR="00107653">
        <w:rPr>
          <w:lang w:val="en-GB"/>
        </w:rPr>
        <w:t>,</w:t>
      </w:r>
      <w:r>
        <w:rPr>
          <w:lang w:val="en-GB"/>
        </w:rPr>
        <w:t xml:space="preserve"> these trends swap</w:t>
      </w:r>
      <w:r w:rsidR="00930AD2">
        <w:rPr>
          <w:lang w:val="en-GB"/>
        </w:rPr>
        <w:t>ped</w:t>
      </w:r>
      <w:r>
        <w:rPr>
          <w:lang w:val="en-GB"/>
        </w:rPr>
        <w:t xml:space="preserve"> and </w:t>
      </w:r>
      <w:r w:rsidR="00612711">
        <w:rPr>
          <w:lang w:val="en-GB"/>
        </w:rPr>
        <w:t xml:space="preserve">the value for niacin dropped by 25 % while the one for corn starch decreased only by 16 %. </w:t>
      </w:r>
    </w:p>
    <w:p w14:paraId="544471A3" w14:textId="60C86B78" w:rsidR="00107653" w:rsidRDefault="00107653" w:rsidP="00600535">
      <w:pPr>
        <w:pStyle w:val="CETBodytext"/>
        <w:rPr>
          <w:lang w:val="en-GB"/>
        </w:rPr>
      </w:pPr>
    </w:p>
    <w:p w14:paraId="03CFB64F" w14:textId="77777777" w:rsidR="00107653" w:rsidRDefault="00107653" w:rsidP="00600535">
      <w:pPr>
        <w:pStyle w:val="CETBodytext"/>
        <w:rPr>
          <w:lang w:val="en-GB"/>
        </w:rPr>
      </w:pPr>
    </w:p>
    <w:p w14:paraId="17ABAE4E" w14:textId="723FA634" w:rsidR="00F34B4D" w:rsidRDefault="00F34B4D" w:rsidP="00F25031">
      <w:pPr>
        <w:pStyle w:val="CETTabletitle"/>
      </w:pPr>
      <w:r w:rsidRPr="00B57B36">
        <w:lastRenderedPageBreak/>
        <w:t xml:space="preserve">Table 1: </w:t>
      </w:r>
      <w:r w:rsidR="00930AD2">
        <w:t>Determined (</w:t>
      </w:r>
      <w:proofErr w:type="spellStart"/>
      <w:r w:rsidR="00930AD2">
        <w:t>dp</w:t>
      </w:r>
      <w:proofErr w:type="spellEnd"/>
      <w:r w:rsidR="00930AD2">
        <w:t>/dt)-v</w:t>
      </w:r>
      <w:r>
        <w:t xml:space="preserve">alues </w:t>
      </w:r>
      <w:r w:rsidR="00930AD2">
        <w:t xml:space="preserve">of the three dust samples </w:t>
      </w:r>
      <w:r>
        <w:t xml:space="preserve">and </w:t>
      </w:r>
      <w:r w:rsidR="00930AD2">
        <w:t>r</w:t>
      </w:r>
      <w:r>
        <w:t>atios</w:t>
      </w:r>
      <w:r w:rsidR="00930AD2">
        <w:t xml:space="preserve"> compared to the 60 ms-value</w:t>
      </w:r>
      <w:r>
        <w:t xml:space="preserve"> for the variation of the ignition delay time of three different dusts</w:t>
      </w:r>
    </w:p>
    <w:tbl>
      <w:tblPr>
        <w:tblpPr w:leftFromText="141" w:rightFromText="141" w:vertAnchor="text" w:horzAnchor="margin" w:tblpY="98"/>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134"/>
        <w:gridCol w:w="1134"/>
        <w:gridCol w:w="1134"/>
        <w:gridCol w:w="1134"/>
        <w:gridCol w:w="1134"/>
      </w:tblGrid>
      <w:tr w:rsidR="00612711" w:rsidRPr="00B57B36" w14:paraId="23F4D0FA" w14:textId="64FFE0D6" w:rsidTr="00930C84">
        <w:tc>
          <w:tcPr>
            <w:tcW w:w="1134" w:type="dxa"/>
            <w:tcBorders>
              <w:top w:val="single" w:sz="12" w:space="0" w:color="008000"/>
              <w:bottom w:val="single" w:sz="6" w:space="0" w:color="008000"/>
            </w:tcBorders>
            <w:shd w:val="clear" w:color="auto" w:fill="FFFFFF"/>
          </w:tcPr>
          <w:p w14:paraId="7FC7C151" w14:textId="02E0C0D9" w:rsidR="00612711" w:rsidRPr="00B57B36" w:rsidRDefault="00612711" w:rsidP="00F34B4D">
            <w:pPr>
              <w:pStyle w:val="CETBodytext"/>
              <w:rPr>
                <w:lang w:val="en-GB"/>
              </w:rPr>
            </w:pPr>
            <w:r>
              <w:rPr>
                <w:lang w:val="en-GB"/>
              </w:rPr>
              <w:t>Dust</w:t>
            </w:r>
          </w:p>
        </w:tc>
        <w:tc>
          <w:tcPr>
            <w:tcW w:w="1134" w:type="dxa"/>
            <w:tcBorders>
              <w:top w:val="single" w:sz="12" w:space="0" w:color="008000"/>
              <w:bottom w:val="single" w:sz="6" w:space="0" w:color="008000"/>
            </w:tcBorders>
            <w:shd w:val="clear" w:color="auto" w:fill="FFFFFF"/>
          </w:tcPr>
          <w:p w14:paraId="2D50316B" w14:textId="7D361218" w:rsidR="00612711" w:rsidRPr="00B57B36" w:rsidRDefault="00612711" w:rsidP="00F34B4D">
            <w:pPr>
              <w:pStyle w:val="CETBodytext"/>
              <w:rPr>
                <w:lang w:val="en-GB"/>
              </w:rPr>
            </w:pPr>
            <w:r>
              <w:rPr>
                <w:lang w:val="en-GB"/>
              </w:rPr>
              <w:t>50 ms</w:t>
            </w:r>
          </w:p>
        </w:tc>
        <w:tc>
          <w:tcPr>
            <w:tcW w:w="1134" w:type="dxa"/>
            <w:tcBorders>
              <w:top w:val="single" w:sz="12" w:space="0" w:color="008000"/>
              <w:bottom w:val="single" w:sz="6" w:space="0" w:color="008000"/>
            </w:tcBorders>
            <w:shd w:val="clear" w:color="auto" w:fill="FFFFFF"/>
          </w:tcPr>
          <w:p w14:paraId="7884AC69" w14:textId="5293EFFF" w:rsidR="00612711" w:rsidRPr="00B57B36" w:rsidRDefault="00612711" w:rsidP="00F34B4D">
            <w:pPr>
              <w:pStyle w:val="CETBodytext"/>
              <w:rPr>
                <w:lang w:val="en-GB"/>
              </w:rPr>
            </w:pPr>
            <w:r>
              <w:rPr>
                <w:lang w:val="en-GB"/>
              </w:rPr>
              <w:t>60 ms</w:t>
            </w:r>
          </w:p>
        </w:tc>
        <w:tc>
          <w:tcPr>
            <w:tcW w:w="1134" w:type="dxa"/>
            <w:tcBorders>
              <w:top w:val="single" w:sz="12" w:space="0" w:color="008000"/>
              <w:bottom w:val="single" w:sz="6" w:space="0" w:color="008000"/>
            </w:tcBorders>
            <w:shd w:val="clear" w:color="auto" w:fill="FFFFFF"/>
          </w:tcPr>
          <w:p w14:paraId="14D7307B" w14:textId="79ECB261" w:rsidR="00612711" w:rsidRPr="00B57B36" w:rsidRDefault="00612711" w:rsidP="00F34B4D">
            <w:pPr>
              <w:pStyle w:val="CETBodytext"/>
              <w:ind w:right="-1"/>
              <w:rPr>
                <w:rFonts w:cs="Arial"/>
                <w:szCs w:val="18"/>
                <w:lang w:val="en-GB"/>
              </w:rPr>
            </w:pPr>
            <w:r>
              <w:rPr>
                <w:rFonts w:cs="Arial"/>
                <w:szCs w:val="18"/>
                <w:lang w:val="en-GB"/>
              </w:rPr>
              <w:t>70 ms</w:t>
            </w:r>
          </w:p>
        </w:tc>
        <w:tc>
          <w:tcPr>
            <w:tcW w:w="1134" w:type="dxa"/>
            <w:tcBorders>
              <w:top w:val="single" w:sz="12" w:space="0" w:color="008000"/>
              <w:bottom w:val="single" w:sz="6" w:space="0" w:color="008000"/>
            </w:tcBorders>
            <w:shd w:val="clear" w:color="auto" w:fill="FFFFFF"/>
          </w:tcPr>
          <w:p w14:paraId="1E6BADBC" w14:textId="72E2A7E0" w:rsidR="00612711" w:rsidRPr="00B57B36" w:rsidRDefault="00612711" w:rsidP="00F34B4D">
            <w:pPr>
              <w:pStyle w:val="CETBodytext"/>
              <w:ind w:right="-1"/>
              <w:rPr>
                <w:rFonts w:cs="Arial"/>
                <w:szCs w:val="18"/>
                <w:lang w:val="en-GB"/>
              </w:rPr>
            </w:pPr>
            <w:r>
              <w:rPr>
                <w:rFonts w:cs="Arial"/>
                <w:szCs w:val="18"/>
                <w:lang w:val="en-GB"/>
              </w:rPr>
              <w:t>80 ms</w:t>
            </w:r>
          </w:p>
        </w:tc>
        <w:tc>
          <w:tcPr>
            <w:tcW w:w="1134" w:type="dxa"/>
            <w:tcBorders>
              <w:top w:val="single" w:sz="12" w:space="0" w:color="008000"/>
              <w:bottom w:val="single" w:sz="6" w:space="0" w:color="008000"/>
            </w:tcBorders>
            <w:shd w:val="clear" w:color="auto" w:fill="FFFFFF"/>
          </w:tcPr>
          <w:p w14:paraId="4761710C" w14:textId="4646178A" w:rsidR="00612711" w:rsidRDefault="00612711" w:rsidP="00F34B4D">
            <w:pPr>
              <w:pStyle w:val="CETBodytext"/>
              <w:ind w:right="-1"/>
              <w:rPr>
                <w:rFonts w:cs="Arial"/>
                <w:szCs w:val="18"/>
                <w:lang w:val="en-GB"/>
              </w:rPr>
            </w:pPr>
            <w:r>
              <w:rPr>
                <w:rFonts w:cs="Arial"/>
                <w:szCs w:val="18"/>
                <w:lang w:val="en-GB"/>
              </w:rPr>
              <w:t>90 ms</w:t>
            </w:r>
          </w:p>
        </w:tc>
      </w:tr>
      <w:tr w:rsidR="00612711" w:rsidRPr="00B57B36" w14:paraId="555A41C6" w14:textId="003AA424" w:rsidTr="00930C84">
        <w:tc>
          <w:tcPr>
            <w:tcW w:w="1134" w:type="dxa"/>
            <w:shd w:val="clear" w:color="auto" w:fill="FFFFFF"/>
          </w:tcPr>
          <w:p w14:paraId="0201CBD5" w14:textId="7B9F8A40" w:rsidR="00612711" w:rsidRPr="00B57B36" w:rsidRDefault="00612711" w:rsidP="00F34B4D">
            <w:pPr>
              <w:pStyle w:val="CETBodytext"/>
              <w:rPr>
                <w:lang w:val="en-GB"/>
              </w:rPr>
            </w:pPr>
            <w:r>
              <w:rPr>
                <w:lang w:val="en-GB"/>
              </w:rPr>
              <w:t>Corn Starch</w:t>
            </w:r>
          </w:p>
        </w:tc>
        <w:tc>
          <w:tcPr>
            <w:tcW w:w="1134" w:type="dxa"/>
            <w:shd w:val="clear" w:color="auto" w:fill="FFFFFF"/>
          </w:tcPr>
          <w:p w14:paraId="19F56906" w14:textId="0F5205D5" w:rsidR="00612711" w:rsidRPr="00B57B36" w:rsidRDefault="00612711" w:rsidP="00F34B4D">
            <w:pPr>
              <w:pStyle w:val="CETBodytext"/>
              <w:rPr>
                <w:lang w:val="en-GB"/>
              </w:rPr>
            </w:pPr>
            <w:r>
              <w:rPr>
                <w:lang w:val="en-GB"/>
              </w:rPr>
              <w:t>614</w:t>
            </w:r>
            <w:r w:rsidR="00930AD2">
              <w:rPr>
                <w:lang w:val="en-GB"/>
              </w:rPr>
              <w:t xml:space="preserve"> bar/s</w:t>
            </w:r>
          </w:p>
        </w:tc>
        <w:tc>
          <w:tcPr>
            <w:tcW w:w="1134" w:type="dxa"/>
            <w:shd w:val="clear" w:color="auto" w:fill="FFFFFF"/>
          </w:tcPr>
          <w:p w14:paraId="76CAB8F6" w14:textId="0DE51362" w:rsidR="00612711" w:rsidRPr="00B57B36" w:rsidRDefault="00612711" w:rsidP="00F34B4D">
            <w:pPr>
              <w:pStyle w:val="CETBodytext"/>
              <w:rPr>
                <w:lang w:val="en-GB"/>
              </w:rPr>
            </w:pPr>
            <w:r>
              <w:rPr>
                <w:lang w:val="en-GB"/>
              </w:rPr>
              <w:t>505</w:t>
            </w:r>
            <w:r w:rsidR="00930AD2">
              <w:rPr>
                <w:lang w:val="en-GB"/>
              </w:rPr>
              <w:t xml:space="preserve"> bar/s</w:t>
            </w:r>
          </w:p>
        </w:tc>
        <w:tc>
          <w:tcPr>
            <w:tcW w:w="1134" w:type="dxa"/>
            <w:shd w:val="clear" w:color="auto" w:fill="FFFFFF"/>
          </w:tcPr>
          <w:p w14:paraId="5A26A589" w14:textId="5FE88B35" w:rsidR="00612711" w:rsidRPr="00B57B36" w:rsidRDefault="00612711" w:rsidP="00F34B4D">
            <w:pPr>
              <w:pStyle w:val="CETBodytext"/>
              <w:ind w:right="-1"/>
              <w:rPr>
                <w:rFonts w:cs="Arial"/>
                <w:szCs w:val="18"/>
                <w:lang w:val="en-GB"/>
              </w:rPr>
            </w:pPr>
            <w:r>
              <w:rPr>
                <w:rFonts w:cs="Arial"/>
                <w:szCs w:val="18"/>
                <w:lang w:val="en-GB"/>
              </w:rPr>
              <w:t>452</w:t>
            </w:r>
            <w:r w:rsidR="00930AD2">
              <w:rPr>
                <w:lang w:val="en-GB"/>
              </w:rPr>
              <w:t xml:space="preserve"> bar/s</w:t>
            </w:r>
          </w:p>
        </w:tc>
        <w:tc>
          <w:tcPr>
            <w:tcW w:w="1134" w:type="dxa"/>
            <w:shd w:val="clear" w:color="auto" w:fill="FFFFFF"/>
          </w:tcPr>
          <w:p w14:paraId="17A94F77" w14:textId="7117C58F" w:rsidR="00612711" w:rsidRPr="00B57B36" w:rsidRDefault="00612711" w:rsidP="00F34B4D">
            <w:pPr>
              <w:pStyle w:val="CETBodytext"/>
              <w:ind w:right="-1"/>
              <w:rPr>
                <w:rFonts w:cs="Arial"/>
                <w:szCs w:val="18"/>
                <w:lang w:val="en-GB"/>
              </w:rPr>
            </w:pPr>
            <w:r>
              <w:rPr>
                <w:rFonts w:cs="Arial"/>
                <w:szCs w:val="18"/>
                <w:lang w:val="en-GB"/>
              </w:rPr>
              <w:t>424</w:t>
            </w:r>
            <w:r w:rsidR="00930AD2">
              <w:rPr>
                <w:lang w:val="en-GB"/>
              </w:rPr>
              <w:t xml:space="preserve"> bar/s</w:t>
            </w:r>
          </w:p>
        </w:tc>
        <w:tc>
          <w:tcPr>
            <w:tcW w:w="1134" w:type="dxa"/>
            <w:shd w:val="clear" w:color="auto" w:fill="FFFFFF"/>
          </w:tcPr>
          <w:p w14:paraId="64B7B731" w14:textId="71A70A69" w:rsidR="00612711" w:rsidRDefault="00612711" w:rsidP="00F34B4D">
            <w:pPr>
              <w:pStyle w:val="CETBodytext"/>
              <w:ind w:right="-1"/>
              <w:rPr>
                <w:rFonts w:cs="Arial"/>
                <w:szCs w:val="18"/>
                <w:lang w:val="en-GB"/>
              </w:rPr>
            </w:pPr>
            <w:r>
              <w:rPr>
                <w:rFonts w:cs="Arial"/>
                <w:szCs w:val="18"/>
                <w:lang w:val="en-GB"/>
              </w:rPr>
              <w:t>347</w:t>
            </w:r>
            <w:r w:rsidR="00930AD2">
              <w:rPr>
                <w:lang w:val="en-GB"/>
              </w:rPr>
              <w:t xml:space="preserve"> bar/s</w:t>
            </w:r>
          </w:p>
        </w:tc>
      </w:tr>
      <w:tr w:rsidR="00930AD2" w:rsidRPr="00B57B36" w14:paraId="5A735624" w14:textId="77777777" w:rsidTr="00930C84">
        <w:tc>
          <w:tcPr>
            <w:tcW w:w="1134" w:type="dxa"/>
            <w:shd w:val="clear" w:color="auto" w:fill="FFFFFF"/>
          </w:tcPr>
          <w:p w14:paraId="45911D5F" w14:textId="77777777" w:rsidR="00930AD2" w:rsidRDefault="00930AD2" w:rsidP="00F34B4D">
            <w:pPr>
              <w:pStyle w:val="CETBodytext"/>
              <w:rPr>
                <w:lang w:val="en-GB"/>
              </w:rPr>
            </w:pPr>
          </w:p>
        </w:tc>
        <w:tc>
          <w:tcPr>
            <w:tcW w:w="1134" w:type="dxa"/>
            <w:shd w:val="clear" w:color="auto" w:fill="FFFFFF"/>
          </w:tcPr>
          <w:p w14:paraId="6B20AD6F" w14:textId="2874A260" w:rsidR="00930AD2" w:rsidRDefault="00930AD2" w:rsidP="00F34B4D">
            <w:pPr>
              <w:pStyle w:val="CETBodytext"/>
              <w:rPr>
                <w:lang w:val="en-GB"/>
              </w:rPr>
            </w:pPr>
            <w:r>
              <w:rPr>
                <w:lang w:val="en-GB"/>
              </w:rPr>
              <w:t>1.22</w:t>
            </w:r>
          </w:p>
        </w:tc>
        <w:tc>
          <w:tcPr>
            <w:tcW w:w="1134" w:type="dxa"/>
            <w:shd w:val="clear" w:color="auto" w:fill="FFFFFF"/>
          </w:tcPr>
          <w:p w14:paraId="5FAA790D" w14:textId="0ED80444" w:rsidR="00930AD2" w:rsidRDefault="00930AD2" w:rsidP="00F34B4D">
            <w:pPr>
              <w:pStyle w:val="CETBodytext"/>
              <w:rPr>
                <w:lang w:val="en-GB"/>
              </w:rPr>
            </w:pPr>
            <w:r>
              <w:rPr>
                <w:lang w:val="en-GB"/>
              </w:rPr>
              <w:t>1</w:t>
            </w:r>
          </w:p>
        </w:tc>
        <w:tc>
          <w:tcPr>
            <w:tcW w:w="1134" w:type="dxa"/>
            <w:shd w:val="clear" w:color="auto" w:fill="FFFFFF"/>
          </w:tcPr>
          <w:p w14:paraId="29F2E022" w14:textId="73D298F1" w:rsidR="00930AD2" w:rsidRDefault="00930AD2" w:rsidP="00F34B4D">
            <w:pPr>
              <w:pStyle w:val="CETBodytext"/>
              <w:ind w:right="-1"/>
              <w:rPr>
                <w:rFonts w:cs="Arial"/>
                <w:szCs w:val="18"/>
                <w:lang w:val="en-GB"/>
              </w:rPr>
            </w:pPr>
            <w:r>
              <w:rPr>
                <w:rFonts w:cs="Arial"/>
                <w:szCs w:val="18"/>
                <w:lang w:val="en-GB"/>
              </w:rPr>
              <w:t>0.90</w:t>
            </w:r>
          </w:p>
        </w:tc>
        <w:tc>
          <w:tcPr>
            <w:tcW w:w="1134" w:type="dxa"/>
            <w:shd w:val="clear" w:color="auto" w:fill="FFFFFF"/>
          </w:tcPr>
          <w:p w14:paraId="658D4E38" w14:textId="547F0A16" w:rsidR="00930AD2" w:rsidRDefault="00930AD2" w:rsidP="00F34B4D">
            <w:pPr>
              <w:pStyle w:val="CETBodytext"/>
              <w:ind w:right="-1"/>
              <w:rPr>
                <w:rFonts w:cs="Arial"/>
                <w:szCs w:val="18"/>
                <w:lang w:val="en-GB"/>
              </w:rPr>
            </w:pPr>
            <w:r>
              <w:rPr>
                <w:rFonts w:cs="Arial"/>
                <w:szCs w:val="18"/>
                <w:lang w:val="en-GB"/>
              </w:rPr>
              <w:t>0.84</w:t>
            </w:r>
          </w:p>
        </w:tc>
        <w:tc>
          <w:tcPr>
            <w:tcW w:w="1134" w:type="dxa"/>
            <w:shd w:val="clear" w:color="auto" w:fill="FFFFFF"/>
          </w:tcPr>
          <w:p w14:paraId="78FE9A53" w14:textId="46E76F4C" w:rsidR="00930AD2" w:rsidRDefault="00930AD2" w:rsidP="00F34B4D">
            <w:pPr>
              <w:pStyle w:val="CETBodytext"/>
              <w:ind w:right="-1"/>
              <w:rPr>
                <w:rFonts w:cs="Arial"/>
                <w:szCs w:val="18"/>
                <w:lang w:val="en-GB"/>
              </w:rPr>
            </w:pPr>
            <w:r>
              <w:rPr>
                <w:rFonts w:cs="Arial"/>
                <w:szCs w:val="18"/>
                <w:lang w:val="en-GB"/>
              </w:rPr>
              <w:t>0.69</w:t>
            </w:r>
          </w:p>
        </w:tc>
      </w:tr>
      <w:tr w:rsidR="00612711" w:rsidRPr="00B57B36" w14:paraId="4330B604" w14:textId="76FBC2E4" w:rsidTr="00930C84">
        <w:tc>
          <w:tcPr>
            <w:tcW w:w="1134" w:type="dxa"/>
            <w:shd w:val="clear" w:color="auto" w:fill="FFFFFF"/>
          </w:tcPr>
          <w:p w14:paraId="04D9E247" w14:textId="77777777" w:rsidR="00612711" w:rsidRDefault="00612711" w:rsidP="00F34B4D">
            <w:pPr>
              <w:pStyle w:val="CETBodytext"/>
              <w:ind w:right="-1"/>
              <w:rPr>
                <w:rFonts w:cs="Arial"/>
                <w:szCs w:val="18"/>
                <w:lang w:val="en-GB"/>
              </w:rPr>
            </w:pPr>
            <w:r>
              <w:rPr>
                <w:rFonts w:cs="Arial"/>
                <w:szCs w:val="18"/>
                <w:lang w:val="en-GB"/>
              </w:rPr>
              <w:t>Lycopodium</w:t>
            </w:r>
          </w:p>
          <w:p w14:paraId="029A35F4" w14:textId="32DD72D7" w:rsidR="00612711" w:rsidRPr="00B57B36" w:rsidRDefault="00612711" w:rsidP="00F34B4D">
            <w:pPr>
              <w:pStyle w:val="CETBodytext"/>
              <w:ind w:right="-1"/>
              <w:rPr>
                <w:rFonts w:cs="Arial"/>
                <w:szCs w:val="18"/>
                <w:lang w:val="en-GB"/>
              </w:rPr>
            </w:pPr>
          </w:p>
        </w:tc>
        <w:tc>
          <w:tcPr>
            <w:tcW w:w="1134" w:type="dxa"/>
            <w:shd w:val="clear" w:color="auto" w:fill="FFFFFF"/>
          </w:tcPr>
          <w:p w14:paraId="3650B9F2" w14:textId="534B6015" w:rsidR="00612711" w:rsidRDefault="00612711" w:rsidP="00F34B4D">
            <w:pPr>
              <w:pStyle w:val="CETBodytext"/>
              <w:ind w:right="-1"/>
              <w:rPr>
                <w:rFonts w:cs="Arial"/>
                <w:szCs w:val="18"/>
                <w:lang w:val="en-GB"/>
              </w:rPr>
            </w:pPr>
            <w:r>
              <w:rPr>
                <w:rFonts w:cs="Arial"/>
                <w:szCs w:val="18"/>
                <w:lang w:val="en-GB"/>
              </w:rPr>
              <w:t>548</w:t>
            </w:r>
            <w:r w:rsidR="00930AD2">
              <w:rPr>
                <w:rFonts w:cs="Arial"/>
                <w:szCs w:val="18"/>
                <w:lang w:val="en-GB"/>
              </w:rPr>
              <w:t xml:space="preserve"> </w:t>
            </w:r>
            <w:r w:rsidR="00930AD2">
              <w:rPr>
                <w:lang w:val="en-GB"/>
              </w:rPr>
              <w:t>bar/s</w:t>
            </w:r>
          </w:p>
          <w:p w14:paraId="71149021" w14:textId="1C2FFCFE" w:rsidR="00612711" w:rsidRPr="00B57B36" w:rsidRDefault="00930AD2" w:rsidP="00F34B4D">
            <w:pPr>
              <w:pStyle w:val="CETBodytext"/>
              <w:ind w:right="-1"/>
              <w:rPr>
                <w:rFonts w:cs="Arial"/>
                <w:szCs w:val="18"/>
                <w:lang w:val="en-GB"/>
              </w:rPr>
            </w:pPr>
            <w:r>
              <w:rPr>
                <w:rFonts w:cs="Arial"/>
                <w:szCs w:val="18"/>
                <w:lang w:val="en-GB"/>
              </w:rPr>
              <w:t>1.01</w:t>
            </w:r>
          </w:p>
        </w:tc>
        <w:tc>
          <w:tcPr>
            <w:tcW w:w="1134" w:type="dxa"/>
            <w:shd w:val="clear" w:color="auto" w:fill="FFFFFF"/>
          </w:tcPr>
          <w:p w14:paraId="32CD7A09" w14:textId="38EB3AB3" w:rsidR="00612711" w:rsidRDefault="00612711" w:rsidP="00F34B4D">
            <w:pPr>
              <w:pStyle w:val="CETBodytext"/>
              <w:ind w:right="-1"/>
              <w:rPr>
                <w:rFonts w:cs="Arial"/>
                <w:szCs w:val="18"/>
                <w:lang w:val="en-GB"/>
              </w:rPr>
            </w:pPr>
            <w:r>
              <w:rPr>
                <w:rFonts w:cs="Arial"/>
                <w:szCs w:val="18"/>
                <w:lang w:val="en-GB"/>
              </w:rPr>
              <w:t>541</w:t>
            </w:r>
            <w:r w:rsidR="00930AD2">
              <w:rPr>
                <w:lang w:val="en-GB"/>
              </w:rPr>
              <w:t xml:space="preserve"> bar/s</w:t>
            </w:r>
          </w:p>
          <w:p w14:paraId="3CEA2E90" w14:textId="1028636C" w:rsidR="00612711" w:rsidRPr="00B57B36" w:rsidRDefault="00930AD2" w:rsidP="00F34B4D">
            <w:pPr>
              <w:pStyle w:val="CETBodytext"/>
              <w:ind w:right="-1"/>
              <w:rPr>
                <w:rFonts w:cs="Arial"/>
                <w:szCs w:val="18"/>
                <w:lang w:val="en-GB"/>
              </w:rPr>
            </w:pPr>
            <w:r>
              <w:rPr>
                <w:rFonts w:cs="Arial"/>
                <w:szCs w:val="18"/>
                <w:lang w:val="en-GB"/>
              </w:rPr>
              <w:t>1</w:t>
            </w:r>
          </w:p>
        </w:tc>
        <w:tc>
          <w:tcPr>
            <w:tcW w:w="1134" w:type="dxa"/>
            <w:shd w:val="clear" w:color="auto" w:fill="FFFFFF"/>
          </w:tcPr>
          <w:p w14:paraId="33193655" w14:textId="3B754F8D" w:rsidR="00612711" w:rsidRDefault="00612711" w:rsidP="00F34B4D">
            <w:pPr>
              <w:pStyle w:val="CETBodytext"/>
              <w:ind w:right="-1"/>
              <w:rPr>
                <w:rFonts w:cs="Arial"/>
                <w:szCs w:val="18"/>
                <w:lang w:val="en-GB"/>
              </w:rPr>
            </w:pPr>
            <w:r>
              <w:rPr>
                <w:rFonts w:cs="Arial"/>
                <w:szCs w:val="18"/>
                <w:lang w:val="en-GB"/>
              </w:rPr>
              <w:t>516</w:t>
            </w:r>
            <w:r w:rsidR="00930AD2">
              <w:rPr>
                <w:lang w:val="en-GB"/>
              </w:rPr>
              <w:t xml:space="preserve"> bar/s</w:t>
            </w:r>
          </w:p>
          <w:p w14:paraId="7F091C5B" w14:textId="0E56BBFA" w:rsidR="00612711" w:rsidRPr="00B57B36" w:rsidRDefault="00930AD2" w:rsidP="00F34B4D">
            <w:pPr>
              <w:pStyle w:val="CETBodytext"/>
              <w:ind w:right="-1"/>
              <w:rPr>
                <w:rFonts w:cs="Arial"/>
                <w:szCs w:val="18"/>
                <w:lang w:val="en-GB"/>
              </w:rPr>
            </w:pPr>
            <w:r>
              <w:rPr>
                <w:rFonts w:cs="Arial"/>
                <w:szCs w:val="18"/>
                <w:lang w:val="en-GB"/>
              </w:rPr>
              <w:t>0.95</w:t>
            </w:r>
          </w:p>
        </w:tc>
        <w:tc>
          <w:tcPr>
            <w:tcW w:w="1134" w:type="dxa"/>
            <w:shd w:val="clear" w:color="auto" w:fill="FFFFFF"/>
          </w:tcPr>
          <w:p w14:paraId="7379AA33" w14:textId="65E68E35" w:rsidR="00612711" w:rsidRDefault="00612711" w:rsidP="00F34B4D">
            <w:pPr>
              <w:pStyle w:val="CETBodytext"/>
              <w:ind w:right="-1"/>
              <w:rPr>
                <w:rFonts w:cs="Arial"/>
                <w:szCs w:val="18"/>
                <w:lang w:val="en-GB"/>
              </w:rPr>
            </w:pPr>
            <w:r>
              <w:rPr>
                <w:rFonts w:cs="Arial"/>
                <w:szCs w:val="18"/>
                <w:lang w:val="en-GB"/>
              </w:rPr>
              <w:t>466</w:t>
            </w:r>
            <w:r w:rsidR="00930AD2">
              <w:rPr>
                <w:lang w:val="en-GB"/>
              </w:rPr>
              <w:t xml:space="preserve"> bar/s</w:t>
            </w:r>
          </w:p>
          <w:p w14:paraId="1B91CB4B" w14:textId="6D1360A0" w:rsidR="00612711" w:rsidRPr="00B57B36" w:rsidRDefault="00930AD2" w:rsidP="00F34B4D">
            <w:pPr>
              <w:pStyle w:val="CETBodytext"/>
              <w:ind w:right="-1"/>
              <w:rPr>
                <w:rFonts w:cs="Arial"/>
                <w:szCs w:val="18"/>
                <w:lang w:val="en-GB"/>
              </w:rPr>
            </w:pPr>
            <w:r>
              <w:rPr>
                <w:rFonts w:cs="Arial"/>
                <w:szCs w:val="18"/>
                <w:lang w:val="en-GB"/>
              </w:rPr>
              <w:t>0.86</w:t>
            </w:r>
          </w:p>
        </w:tc>
        <w:tc>
          <w:tcPr>
            <w:tcW w:w="1134" w:type="dxa"/>
            <w:shd w:val="clear" w:color="auto" w:fill="FFFFFF"/>
          </w:tcPr>
          <w:p w14:paraId="4B935AD6" w14:textId="3DE70379" w:rsidR="00612711" w:rsidRDefault="00612711" w:rsidP="00F34B4D">
            <w:pPr>
              <w:pStyle w:val="CETBodytext"/>
              <w:ind w:right="-1"/>
              <w:rPr>
                <w:rFonts w:cs="Arial"/>
                <w:szCs w:val="18"/>
                <w:lang w:val="en-GB"/>
              </w:rPr>
            </w:pPr>
            <w:r>
              <w:rPr>
                <w:rFonts w:cs="Arial"/>
                <w:szCs w:val="18"/>
                <w:lang w:val="en-GB"/>
              </w:rPr>
              <w:t>423</w:t>
            </w:r>
            <w:r w:rsidR="00930AD2">
              <w:rPr>
                <w:lang w:val="en-GB"/>
              </w:rPr>
              <w:t xml:space="preserve"> bar/s</w:t>
            </w:r>
          </w:p>
          <w:p w14:paraId="3370A93A" w14:textId="76E768F4" w:rsidR="00612711" w:rsidRDefault="00930AD2" w:rsidP="00F34B4D">
            <w:pPr>
              <w:pStyle w:val="CETBodytext"/>
              <w:ind w:right="-1"/>
              <w:rPr>
                <w:rFonts w:cs="Arial"/>
                <w:szCs w:val="18"/>
                <w:lang w:val="en-GB"/>
              </w:rPr>
            </w:pPr>
            <w:r>
              <w:rPr>
                <w:rFonts w:cs="Arial"/>
                <w:szCs w:val="18"/>
                <w:lang w:val="en-GB"/>
              </w:rPr>
              <w:t>0.78</w:t>
            </w:r>
          </w:p>
        </w:tc>
      </w:tr>
      <w:tr w:rsidR="00930AD2" w:rsidRPr="00B57B36" w14:paraId="02022CEC" w14:textId="77777777" w:rsidTr="00930C84">
        <w:tc>
          <w:tcPr>
            <w:tcW w:w="1134" w:type="dxa"/>
            <w:shd w:val="clear" w:color="auto" w:fill="FFFFFF"/>
          </w:tcPr>
          <w:p w14:paraId="7AEF6702" w14:textId="687CA1D0" w:rsidR="00930AD2" w:rsidRDefault="00930AD2" w:rsidP="00F34B4D">
            <w:pPr>
              <w:pStyle w:val="CETBodytext"/>
              <w:ind w:right="-1"/>
              <w:rPr>
                <w:rFonts w:cs="Arial"/>
                <w:szCs w:val="18"/>
                <w:lang w:val="en-GB"/>
              </w:rPr>
            </w:pPr>
            <w:r>
              <w:rPr>
                <w:rFonts w:cs="Arial"/>
                <w:szCs w:val="18"/>
                <w:lang w:val="en-GB"/>
              </w:rPr>
              <w:t>Niacin</w:t>
            </w:r>
          </w:p>
          <w:p w14:paraId="3B3B5487" w14:textId="5286080B" w:rsidR="00930AD2" w:rsidRDefault="00930AD2" w:rsidP="00F34B4D">
            <w:pPr>
              <w:pStyle w:val="CETBodytext"/>
              <w:ind w:right="-1"/>
              <w:rPr>
                <w:rFonts w:cs="Arial"/>
                <w:szCs w:val="18"/>
                <w:lang w:val="en-GB"/>
              </w:rPr>
            </w:pPr>
          </w:p>
        </w:tc>
        <w:tc>
          <w:tcPr>
            <w:tcW w:w="1134" w:type="dxa"/>
            <w:shd w:val="clear" w:color="auto" w:fill="FFFFFF"/>
          </w:tcPr>
          <w:p w14:paraId="2007AAAC" w14:textId="7D4C7F73" w:rsidR="00930AD2" w:rsidRDefault="00930AD2" w:rsidP="00F34B4D">
            <w:pPr>
              <w:pStyle w:val="CETBodytext"/>
              <w:ind w:right="-1"/>
              <w:rPr>
                <w:rFonts w:cs="Arial"/>
                <w:szCs w:val="18"/>
                <w:lang w:val="en-GB"/>
              </w:rPr>
            </w:pPr>
            <w:r>
              <w:rPr>
                <w:rFonts w:cs="Arial"/>
                <w:szCs w:val="18"/>
                <w:lang w:val="en-GB"/>
              </w:rPr>
              <w:t>1009</w:t>
            </w:r>
            <w:r>
              <w:rPr>
                <w:lang w:val="en-GB"/>
              </w:rPr>
              <w:t xml:space="preserve"> bar/s</w:t>
            </w:r>
          </w:p>
          <w:p w14:paraId="6E268613" w14:textId="61DF0CF4" w:rsidR="00930AD2" w:rsidRDefault="00930AD2" w:rsidP="00F34B4D">
            <w:pPr>
              <w:pStyle w:val="CETBodytext"/>
              <w:ind w:right="-1"/>
              <w:rPr>
                <w:rFonts w:cs="Arial"/>
                <w:szCs w:val="18"/>
                <w:lang w:val="en-GB"/>
              </w:rPr>
            </w:pPr>
            <w:r>
              <w:rPr>
                <w:rFonts w:cs="Arial"/>
                <w:szCs w:val="18"/>
                <w:lang w:val="en-GB"/>
              </w:rPr>
              <w:t>1.24</w:t>
            </w:r>
          </w:p>
        </w:tc>
        <w:tc>
          <w:tcPr>
            <w:tcW w:w="1134" w:type="dxa"/>
            <w:shd w:val="clear" w:color="auto" w:fill="FFFFFF"/>
          </w:tcPr>
          <w:p w14:paraId="1C2FCA98" w14:textId="796081D2" w:rsidR="00930AD2" w:rsidRDefault="00930AD2" w:rsidP="00F34B4D">
            <w:pPr>
              <w:pStyle w:val="CETBodytext"/>
              <w:ind w:right="-1"/>
              <w:rPr>
                <w:rFonts w:cs="Arial"/>
                <w:szCs w:val="18"/>
                <w:lang w:val="en-GB"/>
              </w:rPr>
            </w:pPr>
            <w:r>
              <w:rPr>
                <w:rFonts w:cs="Arial"/>
                <w:szCs w:val="18"/>
                <w:lang w:val="en-GB"/>
              </w:rPr>
              <w:t>810</w:t>
            </w:r>
            <w:r>
              <w:rPr>
                <w:lang w:val="en-GB"/>
              </w:rPr>
              <w:t xml:space="preserve"> bar/s</w:t>
            </w:r>
          </w:p>
          <w:p w14:paraId="56F2683C" w14:textId="707BE2FC" w:rsidR="00930AD2" w:rsidRDefault="00930AD2" w:rsidP="00F34B4D">
            <w:pPr>
              <w:pStyle w:val="CETBodytext"/>
              <w:ind w:right="-1"/>
              <w:rPr>
                <w:rFonts w:cs="Arial"/>
                <w:szCs w:val="18"/>
                <w:lang w:val="en-GB"/>
              </w:rPr>
            </w:pPr>
            <w:r>
              <w:rPr>
                <w:rFonts w:cs="Arial"/>
                <w:szCs w:val="18"/>
                <w:lang w:val="en-GB"/>
              </w:rPr>
              <w:t>1</w:t>
            </w:r>
          </w:p>
        </w:tc>
        <w:tc>
          <w:tcPr>
            <w:tcW w:w="1134" w:type="dxa"/>
            <w:shd w:val="clear" w:color="auto" w:fill="FFFFFF"/>
          </w:tcPr>
          <w:p w14:paraId="4AA2C4A8" w14:textId="3D4B2B28" w:rsidR="00930AD2" w:rsidRDefault="00930AD2" w:rsidP="00F34B4D">
            <w:pPr>
              <w:pStyle w:val="CETBodytext"/>
              <w:ind w:right="-1"/>
              <w:rPr>
                <w:rFonts w:cs="Arial"/>
                <w:szCs w:val="18"/>
                <w:lang w:val="en-GB"/>
              </w:rPr>
            </w:pPr>
            <w:r>
              <w:rPr>
                <w:rFonts w:cs="Arial"/>
                <w:szCs w:val="18"/>
                <w:lang w:val="en-GB"/>
              </w:rPr>
              <w:t>777</w:t>
            </w:r>
            <w:r>
              <w:rPr>
                <w:lang w:val="en-GB"/>
              </w:rPr>
              <w:t xml:space="preserve"> bar/s</w:t>
            </w:r>
          </w:p>
          <w:p w14:paraId="2C959DD7" w14:textId="2965A2DC" w:rsidR="00930AD2" w:rsidRDefault="00930AD2" w:rsidP="00F34B4D">
            <w:pPr>
              <w:pStyle w:val="CETBodytext"/>
              <w:ind w:right="-1"/>
              <w:rPr>
                <w:rFonts w:cs="Arial"/>
                <w:szCs w:val="18"/>
                <w:lang w:val="en-GB"/>
              </w:rPr>
            </w:pPr>
            <w:r>
              <w:rPr>
                <w:rFonts w:cs="Arial"/>
                <w:szCs w:val="18"/>
                <w:lang w:val="en-GB"/>
              </w:rPr>
              <w:t>0.96</w:t>
            </w:r>
          </w:p>
        </w:tc>
        <w:tc>
          <w:tcPr>
            <w:tcW w:w="1134" w:type="dxa"/>
            <w:shd w:val="clear" w:color="auto" w:fill="FFFFFF"/>
          </w:tcPr>
          <w:p w14:paraId="2E5813BB" w14:textId="3402F73A" w:rsidR="00930AD2" w:rsidRDefault="00930AD2" w:rsidP="00F34B4D">
            <w:pPr>
              <w:pStyle w:val="CETBodytext"/>
              <w:ind w:right="-1"/>
              <w:rPr>
                <w:rFonts w:cs="Arial"/>
                <w:szCs w:val="18"/>
                <w:lang w:val="en-GB"/>
              </w:rPr>
            </w:pPr>
            <w:r>
              <w:rPr>
                <w:rFonts w:cs="Arial"/>
                <w:szCs w:val="18"/>
                <w:lang w:val="en-GB"/>
              </w:rPr>
              <w:t>604</w:t>
            </w:r>
            <w:r>
              <w:rPr>
                <w:lang w:val="en-GB"/>
              </w:rPr>
              <w:t xml:space="preserve"> bar/s</w:t>
            </w:r>
          </w:p>
          <w:p w14:paraId="02D504FF" w14:textId="335A86ED" w:rsidR="00930AD2" w:rsidRDefault="00930AD2" w:rsidP="00F34B4D">
            <w:pPr>
              <w:pStyle w:val="CETBodytext"/>
              <w:ind w:right="-1"/>
              <w:rPr>
                <w:rFonts w:cs="Arial"/>
                <w:szCs w:val="18"/>
                <w:lang w:val="en-GB"/>
              </w:rPr>
            </w:pPr>
            <w:r>
              <w:rPr>
                <w:rFonts w:cs="Arial"/>
                <w:szCs w:val="18"/>
                <w:lang w:val="en-GB"/>
              </w:rPr>
              <w:t>0.74</w:t>
            </w:r>
          </w:p>
        </w:tc>
        <w:tc>
          <w:tcPr>
            <w:tcW w:w="1134" w:type="dxa"/>
            <w:shd w:val="clear" w:color="auto" w:fill="FFFFFF"/>
          </w:tcPr>
          <w:p w14:paraId="46B2147A" w14:textId="755AB5DA" w:rsidR="00930AD2" w:rsidRDefault="00930AD2" w:rsidP="00F34B4D">
            <w:pPr>
              <w:pStyle w:val="CETBodytext"/>
              <w:ind w:right="-1"/>
              <w:rPr>
                <w:rFonts w:cs="Arial"/>
                <w:szCs w:val="18"/>
                <w:lang w:val="en-GB"/>
              </w:rPr>
            </w:pPr>
            <w:r>
              <w:rPr>
                <w:rFonts w:cs="Arial"/>
                <w:szCs w:val="18"/>
                <w:lang w:val="en-GB"/>
              </w:rPr>
              <w:t>481</w:t>
            </w:r>
            <w:r>
              <w:rPr>
                <w:lang w:val="en-GB"/>
              </w:rPr>
              <w:t xml:space="preserve"> bar/s</w:t>
            </w:r>
          </w:p>
          <w:p w14:paraId="412D4D7B" w14:textId="7426179E" w:rsidR="00930AD2" w:rsidRDefault="00930AD2" w:rsidP="00F34B4D">
            <w:pPr>
              <w:pStyle w:val="CETBodytext"/>
              <w:ind w:right="-1"/>
              <w:rPr>
                <w:rFonts w:cs="Arial"/>
                <w:szCs w:val="18"/>
                <w:lang w:val="en-GB"/>
              </w:rPr>
            </w:pPr>
            <w:r>
              <w:rPr>
                <w:rFonts w:cs="Arial"/>
                <w:szCs w:val="18"/>
                <w:lang w:val="en-GB"/>
              </w:rPr>
              <w:t>0.59</w:t>
            </w:r>
          </w:p>
        </w:tc>
      </w:tr>
    </w:tbl>
    <w:p w14:paraId="3947BB7B" w14:textId="0FF03F52" w:rsidR="003B34BD" w:rsidRDefault="003B34BD" w:rsidP="00600535">
      <w:pPr>
        <w:pStyle w:val="CETBodytext"/>
        <w:rPr>
          <w:lang w:val="en-GB"/>
        </w:rPr>
      </w:pPr>
    </w:p>
    <w:p w14:paraId="0EB9EAE8" w14:textId="77777777" w:rsidR="003B34BD" w:rsidRDefault="003B34BD" w:rsidP="00600535">
      <w:pPr>
        <w:pStyle w:val="CETBodytext"/>
        <w:rPr>
          <w:lang w:val="en-GB"/>
        </w:rPr>
      </w:pPr>
    </w:p>
    <w:p w14:paraId="5888AA01" w14:textId="0DEEBE62" w:rsidR="00604C54" w:rsidRDefault="00604C54" w:rsidP="00600535">
      <w:pPr>
        <w:pStyle w:val="CETBodytext"/>
        <w:rPr>
          <w:lang w:val="en-GB"/>
        </w:rPr>
      </w:pPr>
    </w:p>
    <w:p w14:paraId="1B0A7D29" w14:textId="6EF7F8AA" w:rsidR="00604C54" w:rsidRDefault="00604C54" w:rsidP="00600535">
      <w:pPr>
        <w:pStyle w:val="CETBodytext"/>
        <w:rPr>
          <w:lang w:val="en-GB"/>
        </w:rPr>
      </w:pPr>
    </w:p>
    <w:p w14:paraId="3A0B86DF" w14:textId="6741EF41" w:rsidR="00F34B4D" w:rsidRDefault="00F34B4D" w:rsidP="00600535">
      <w:pPr>
        <w:pStyle w:val="CETBodytext"/>
        <w:rPr>
          <w:lang w:val="en-GB"/>
        </w:rPr>
      </w:pPr>
    </w:p>
    <w:p w14:paraId="67846D13" w14:textId="5E595149" w:rsidR="00F34B4D" w:rsidRDefault="00F34B4D" w:rsidP="00600535">
      <w:pPr>
        <w:pStyle w:val="CETBodytext"/>
        <w:rPr>
          <w:lang w:val="en-GB"/>
        </w:rPr>
      </w:pPr>
    </w:p>
    <w:p w14:paraId="3C1DE68C" w14:textId="77777777" w:rsidR="00930AD2" w:rsidRDefault="00930AD2" w:rsidP="00600535">
      <w:pPr>
        <w:pStyle w:val="CETBodytext"/>
        <w:rPr>
          <w:lang w:val="en-GB"/>
        </w:rPr>
      </w:pPr>
    </w:p>
    <w:p w14:paraId="23904021" w14:textId="4F6A4D22" w:rsidR="00F34B4D" w:rsidRDefault="00612711" w:rsidP="00600535">
      <w:pPr>
        <w:pStyle w:val="CETBodytext"/>
        <w:rPr>
          <w:lang w:val="en-GB"/>
        </w:rPr>
      </w:pPr>
      <w:r>
        <w:rPr>
          <w:lang w:val="en-GB"/>
        </w:rPr>
        <w:t xml:space="preserve">This </w:t>
      </w:r>
      <w:r w:rsidR="009F69F4">
        <w:rPr>
          <w:lang w:val="en-GB"/>
        </w:rPr>
        <w:t>shows</w:t>
      </w:r>
      <w:r>
        <w:rPr>
          <w:lang w:val="en-GB"/>
        </w:rPr>
        <w:t xml:space="preserve"> that the ignition delay time should not be altered</w:t>
      </w:r>
      <w:r w:rsidR="00594178">
        <w:rPr>
          <w:lang w:val="en-GB"/>
        </w:rPr>
        <w:t>, that even small variations from the igniters may cause a big difference</w:t>
      </w:r>
      <w:r>
        <w:rPr>
          <w:lang w:val="en-GB"/>
        </w:rPr>
        <w:t xml:space="preserve"> and </w:t>
      </w:r>
      <w:r w:rsidR="00594178">
        <w:rPr>
          <w:lang w:val="en-GB"/>
        </w:rPr>
        <w:t>that there is no simple way to estimate the behaviour for different dusts.</w:t>
      </w:r>
    </w:p>
    <w:p w14:paraId="3AC15551" w14:textId="25F2D846" w:rsidR="00F34B4D" w:rsidRDefault="00F34B4D" w:rsidP="00600535">
      <w:pPr>
        <w:pStyle w:val="CETBodytext"/>
        <w:rPr>
          <w:lang w:val="en-GB"/>
        </w:rPr>
      </w:pPr>
    </w:p>
    <w:p w14:paraId="025B78D8" w14:textId="2715DDAB" w:rsidR="0033478F" w:rsidRDefault="00F25031" w:rsidP="0033478F">
      <w:pPr>
        <w:pStyle w:val="CETBodytext"/>
        <w:rPr>
          <w:lang w:val="en-GB"/>
        </w:rPr>
      </w:pPr>
      <w:r>
        <w:rPr>
          <w:lang w:val="en-GB"/>
        </w:rPr>
        <w:t>Since the inherent scattering can</w:t>
      </w:r>
      <w:r w:rsidR="00107653">
        <w:rPr>
          <w:lang w:val="en-GB"/>
        </w:rPr>
        <w:t>’</w:t>
      </w:r>
      <w:r>
        <w:rPr>
          <w:lang w:val="en-GB"/>
        </w:rPr>
        <w:t>t be avoided this was used as the starting point for the following visualization of the influence for the parameters.</w:t>
      </w:r>
      <w:r w:rsidR="00594178">
        <w:rPr>
          <w:lang w:val="en-GB"/>
        </w:rPr>
        <w:t xml:space="preserve"> </w:t>
      </w:r>
      <w:r w:rsidR="004747DA">
        <w:rPr>
          <w:lang w:val="en-GB"/>
        </w:rPr>
        <w:t xml:space="preserve">The influence for the pressure before injection was calculated with the ideal gas law and varied by 100 mbar, which is the accuracy of the pressure measurement system according to the standards. </w:t>
      </w:r>
      <w:r w:rsidR="00594178">
        <w:rPr>
          <w:lang w:val="en-GB"/>
        </w:rPr>
        <w:t>The decrease/increase for the variation of the pre-ignition pressure rise is taken from Spitzer et. al. (2022)</w:t>
      </w:r>
      <w:r w:rsidR="004747DA">
        <w:rPr>
          <w:lang w:val="en-GB"/>
        </w:rPr>
        <w:t xml:space="preserve">. The influence of the beginning temperature was also calculated with the ideal gas law and, since the range is not defined at all, a range of </w:t>
      </w:r>
      <w:r w:rsidR="004747DA">
        <w:rPr>
          <w:rFonts w:cs="Arial"/>
          <w:lang w:val="en-GB"/>
        </w:rPr>
        <w:t>±</w:t>
      </w:r>
      <w:r w:rsidR="004747DA">
        <w:rPr>
          <w:lang w:val="en-GB"/>
        </w:rPr>
        <w:t xml:space="preserve"> 10 K was chosen.</w:t>
      </w:r>
      <w:r w:rsidR="0033478F" w:rsidRPr="0033478F">
        <w:rPr>
          <w:lang w:val="en-GB"/>
        </w:rPr>
        <w:t xml:space="preserve"> </w:t>
      </w:r>
    </w:p>
    <w:p w14:paraId="16CF9FF3" w14:textId="77777777" w:rsidR="0033478F" w:rsidRDefault="0033478F" w:rsidP="0033478F">
      <w:pPr>
        <w:pStyle w:val="CETBodytext"/>
        <w:rPr>
          <w:lang w:val="en-GB"/>
        </w:rPr>
      </w:pPr>
    </w:p>
    <w:p w14:paraId="4A02EFEE" w14:textId="5E62B9F7" w:rsidR="0033478F" w:rsidRDefault="0033478F" w:rsidP="0033478F">
      <w:pPr>
        <w:pStyle w:val="CETBodytext"/>
        <w:rPr>
          <w:lang w:val="en-GB"/>
        </w:rPr>
      </w:pPr>
      <w:r>
        <w:rPr>
          <w:lang w:val="en-GB"/>
        </w:rPr>
        <w:t xml:space="preserve">Figure 3 </w:t>
      </w:r>
      <w:r w:rsidR="00DA0511">
        <w:rPr>
          <w:lang w:val="en-GB"/>
        </w:rPr>
        <w:t xml:space="preserve">illustrates how much the </w:t>
      </w:r>
      <w:r>
        <w:rPr>
          <w:lang w:val="en-GB"/>
        </w:rPr>
        <w:t xml:space="preserve">value for </w:t>
      </w:r>
      <w:proofErr w:type="spellStart"/>
      <w:r>
        <w:rPr>
          <w:lang w:val="en-GB"/>
        </w:rPr>
        <w:t>p</w:t>
      </w:r>
      <w:r w:rsidRPr="004747DA">
        <w:rPr>
          <w:vertAlign w:val="subscript"/>
          <w:lang w:val="en-GB"/>
        </w:rPr>
        <w:t>max</w:t>
      </w:r>
      <w:proofErr w:type="spellEnd"/>
      <w:r>
        <w:rPr>
          <w:lang w:val="en-GB"/>
        </w:rPr>
        <w:t xml:space="preserve"> might deviate </w:t>
      </w:r>
      <w:r w:rsidR="00DA0511">
        <w:rPr>
          <w:lang w:val="en-GB"/>
        </w:rPr>
        <w:t>with a variation of the</w:t>
      </w:r>
      <w:r>
        <w:rPr>
          <w:lang w:val="en-GB"/>
        </w:rPr>
        <w:t xml:space="preserve"> five </w:t>
      </w:r>
      <w:r w:rsidR="00DA0511">
        <w:rPr>
          <w:lang w:val="en-GB"/>
        </w:rPr>
        <w:t xml:space="preserve">chosen </w:t>
      </w:r>
      <w:r>
        <w:rPr>
          <w:lang w:val="en-GB"/>
        </w:rPr>
        <w:t xml:space="preserve">factors. All the factors are still within the allowed range </w:t>
      </w:r>
      <w:r w:rsidR="00DA0511">
        <w:rPr>
          <w:lang w:val="en-GB"/>
        </w:rPr>
        <w:t>according to</w:t>
      </w:r>
      <w:r>
        <w:rPr>
          <w:lang w:val="en-GB"/>
        </w:rPr>
        <w:t xml:space="preserve"> the standard</w:t>
      </w:r>
      <w:r w:rsidR="00DA0511">
        <w:rPr>
          <w:lang w:val="en-GB"/>
        </w:rPr>
        <w:t>s</w:t>
      </w:r>
      <w:r>
        <w:rPr>
          <w:lang w:val="en-GB"/>
        </w:rPr>
        <w:t xml:space="preserve">. It should be </w:t>
      </w:r>
      <w:r w:rsidR="002E19FD">
        <w:rPr>
          <w:lang w:val="en-GB"/>
        </w:rPr>
        <w:t>mentioned</w:t>
      </w:r>
      <w:r>
        <w:rPr>
          <w:lang w:val="en-GB"/>
        </w:rPr>
        <w:t xml:space="preserve"> that it is very unlikely, that one </w:t>
      </w:r>
      <w:r w:rsidR="00DA0511">
        <w:rPr>
          <w:lang w:val="en-GB"/>
        </w:rPr>
        <w:t>testing institute</w:t>
      </w:r>
      <w:r>
        <w:rPr>
          <w:lang w:val="en-GB"/>
        </w:rPr>
        <w:t xml:space="preserve"> ends up at the maximum or minimum value for all experimental </w:t>
      </w:r>
      <w:r w:rsidR="009F69F4">
        <w:rPr>
          <w:lang w:val="en-GB"/>
        </w:rPr>
        <w:t>parameters</w:t>
      </w:r>
      <w:r w:rsidR="00DA0511">
        <w:rPr>
          <w:lang w:val="en-GB"/>
        </w:rPr>
        <w:t>.</w:t>
      </w:r>
      <w:r w:rsidR="00DA0511" w:rsidRPr="00DA0511">
        <w:t xml:space="preserve"> </w:t>
      </w:r>
      <w:r w:rsidR="00DA0511" w:rsidRPr="00DA0511">
        <w:rPr>
          <w:lang w:val="en-GB"/>
        </w:rPr>
        <w:t>Nevertheless, this unlikely event can occur.</w:t>
      </w:r>
      <w:r w:rsidR="00DA0511">
        <w:rPr>
          <w:lang w:val="en-GB"/>
        </w:rPr>
        <w:t xml:space="preserve"> Especially the blue line would lead to the unsafe design of safety measures</w:t>
      </w:r>
      <w:r w:rsidR="00107653">
        <w:rPr>
          <w:lang w:val="en-GB"/>
        </w:rPr>
        <w:t xml:space="preserve"> while the red line might lead to overpriced safety measures</w:t>
      </w:r>
      <w:r w:rsidR="00DA0511">
        <w:rPr>
          <w:lang w:val="en-GB"/>
        </w:rPr>
        <w:t>.</w:t>
      </w:r>
      <w:r>
        <w:rPr>
          <w:lang w:val="en-GB"/>
        </w:rPr>
        <w:t xml:space="preserve"> Also, in this </w:t>
      </w:r>
      <w:r w:rsidR="002E19FD">
        <w:rPr>
          <w:lang w:val="en-GB"/>
        </w:rPr>
        <w:t>worst-case</w:t>
      </w:r>
      <w:r>
        <w:rPr>
          <w:lang w:val="en-GB"/>
        </w:rPr>
        <w:t xml:space="preserve"> scenario, the stated value from a facility at the lower end would be only 57</w:t>
      </w:r>
      <w:r w:rsidR="009370F1">
        <w:rPr>
          <w:lang w:val="en-GB"/>
        </w:rPr>
        <w:t xml:space="preserve"> </w:t>
      </w:r>
      <w:r>
        <w:rPr>
          <w:lang w:val="en-GB"/>
        </w:rPr>
        <w:t xml:space="preserve">% compared to one from the high end. Adjusting the </w:t>
      </w:r>
      <w:r w:rsidR="009370F1">
        <w:rPr>
          <w:lang w:val="en-GB"/>
        </w:rPr>
        <w:t>b</w:t>
      </w:r>
      <w:r>
        <w:rPr>
          <w:lang w:val="en-GB"/>
        </w:rPr>
        <w:t xml:space="preserve">eginning pressure within 20 </w:t>
      </w:r>
      <w:proofErr w:type="spellStart"/>
      <w:r>
        <w:rPr>
          <w:lang w:val="en-GB"/>
        </w:rPr>
        <w:t>mbars</w:t>
      </w:r>
      <w:proofErr w:type="spellEnd"/>
      <w:r>
        <w:rPr>
          <w:lang w:val="en-GB"/>
        </w:rPr>
        <w:t xml:space="preserve">, the </w:t>
      </w:r>
      <w:r w:rsidR="00107653">
        <w:rPr>
          <w:lang w:val="en-GB"/>
        </w:rPr>
        <w:t>p</w:t>
      </w:r>
      <w:r>
        <w:rPr>
          <w:lang w:val="en-GB"/>
        </w:rPr>
        <w:t xml:space="preserve">re-Ignition </w:t>
      </w:r>
      <w:r w:rsidR="00107653">
        <w:rPr>
          <w:lang w:val="en-GB"/>
        </w:rPr>
        <w:t>p</w:t>
      </w:r>
      <w:r>
        <w:rPr>
          <w:lang w:val="en-GB"/>
        </w:rPr>
        <w:t xml:space="preserve">ressure rise from 0.62 bar to 0.68 bar and the beginning temperature with 5 K would lead to a maximum difference of 19 % in a </w:t>
      </w:r>
      <w:r w:rsidR="002E19FD">
        <w:rPr>
          <w:lang w:val="en-GB"/>
        </w:rPr>
        <w:t>worst-case</w:t>
      </w:r>
      <w:r>
        <w:rPr>
          <w:lang w:val="en-GB"/>
        </w:rPr>
        <w:t xml:space="preserve"> scenario.</w:t>
      </w:r>
    </w:p>
    <w:p w14:paraId="71925D4B" w14:textId="6DBB695B" w:rsidR="004747DA" w:rsidRDefault="004747DA" w:rsidP="00F25031">
      <w:pPr>
        <w:pStyle w:val="CETBodytext"/>
        <w:rPr>
          <w:lang w:val="en-GB"/>
        </w:rPr>
      </w:pPr>
    </w:p>
    <w:p w14:paraId="4FAE3637" w14:textId="5740D11A" w:rsidR="004747DA" w:rsidRDefault="0033478F" w:rsidP="00F25031">
      <w:pPr>
        <w:pStyle w:val="CETBodytext"/>
        <w:rPr>
          <w:lang w:val="en-GB"/>
        </w:rPr>
      </w:pPr>
      <w:r>
        <w:rPr>
          <w:noProof/>
        </w:rPr>
        <w:drawing>
          <wp:inline distT="0" distB="0" distL="0" distR="0" wp14:anchorId="6CA2AE15" wp14:editId="52C33B21">
            <wp:extent cx="3960000" cy="3390810"/>
            <wp:effectExtent l="0" t="0" r="2540"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960000" cy="3390810"/>
                    </a:xfrm>
                    <a:prstGeom prst="rect">
                      <a:avLst/>
                    </a:prstGeom>
                  </pic:spPr>
                </pic:pic>
              </a:graphicData>
            </a:graphic>
          </wp:inline>
        </w:drawing>
      </w:r>
    </w:p>
    <w:p w14:paraId="5B2E8679" w14:textId="71EF4EF5" w:rsidR="004747DA" w:rsidRDefault="004747DA" w:rsidP="004747DA">
      <w:pPr>
        <w:pStyle w:val="CETCaption"/>
      </w:pPr>
      <w:r>
        <w:rPr>
          <w:color w:val="000000"/>
        </w:rPr>
        <w:t xml:space="preserve">Figure 3: Factor for the determined value of </w:t>
      </w:r>
      <w:proofErr w:type="spellStart"/>
      <w:r>
        <w:rPr>
          <w:color w:val="000000"/>
        </w:rPr>
        <w:t>p</w:t>
      </w:r>
      <w:r w:rsidRPr="004747DA">
        <w:rPr>
          <w:color w:val="000000"/>
          <w:vertAlign w:val="subscript"/>
        </w:rPr>
        <w:t>max</w:t>
      </w:r>
      <w:proofErr w:type="spellEnd"/>
    </w:p>
    <w:p w14:paraId="705FB2B8" w14:textId="4C8EE0EC" w:rsidR="00F34B4D" w:rsidRPr="00780220" w:rsidRDefault="00780220" w:rsidP="00600535">
      <w:pPr>
        <w:pStyle w:val="CETBodytext"/>
        <w:rPr>
          <w:lang w:val="en-GB"/>
        </w:rPr>
      </w:pPr>
      <w:r>
        <w:rPr>
          <w:lang w:val="en-GB"/>
        </w:rPr>
        <w:t>In Figure 4 it is displayed how the experimental parameters influence the values of (</w:t>
      </w:r>
      <w:proofErr w:type="spellStart"/>
      <w:r>
        <w:rPr>
          <w:lang w:val="en-GB"/>
        </w:rPr>
        <w:t>dp</w:t>
      </w:r>
      <w:proofErr w:type="spellEnd"/>
      <w:r>
        <w:rPr>
          <w:lang w:val="en-GB"/>
        </w:rPr>
        <w:t>/dt)</w:t>
      </w:r>
      <w:r w:rsidRPr="00780220">
        <w:rPr>
          <w:vertAlign w:val="subscript"/>
          <w:lang w:val="en-GB"/>
        </w:rPr>
        <w:t>max</w:t>
      </w:r>
      <w:r>
        <w:rPr>
          <w:lang w:val="en-GB"/>
        </w:rPr>
        <w:t xml:space="preserve">. Again, it should be mentioned that this shows the outcome of a </w:t>
      </w:r>
      <w:r w:rsidR="00551E1A">
        <w:rPr>
          <w:lang w:val="en-GB"/>
        </w:rPr>
        <w:t>worst-case</w:t>
      </w:r>
      <w:r>
        <w:rPr>
          <w:lang w:val="en-GB"/>
        </w:rPr>
        <w:t xml:space="preserve"> scenario of two facilities varying all parameters to </w:t>
      </w:r>
      <w:r>
        <w:rPr>
          <w:lang w:val="en-GB"/>
        </w:rPr>
        <w:lastRenderedPageBreak/>
        <w:t xml:space="preserve">one </w:t>
      </w:r>
      <w:r w:rsidR="009370F1">
        <w:rPr>
          <w:lang w:val="en-GB"/>
        </w:rPr>
        <w:t>side,</w:t>
      </w:r>
      <w:r>
        <w:rPr>
          <w:lang w:val="en-GB"/>
        </w:rPr>
        <w:t xml:space="preserve"> but the outcome is rather terrifying with the lowest stated value being only 29 % of the highest one. Even when all parameters are narrowed like before</w:t>
      </w:r>
      <w:r w:rsidR="009370F1">
        <w:rPr>
          <w:lang w:val="en-GB"/>
        </w:rPr>
        <w:t>,</w:t>
      </w:r>
      <w:r>
        <w:rPr>
          <w:lang w:val="en-GB"/>
        </w:rPr>
        <w:t xml:space="preserve"> the lowest value is with 41 % from the highest still far from comparability</w:t>
      </w:r>
      <w:r w:rsidR="00016C62">
        <w:rPr>
          <w:lang w:val="en-GB"/>
        </w:rPr>
        <w:t>.</w:t>
      </w:r>
    </w:p>
    <w:p w14:paraId="2BC3A2C9" w14:textId="5B0C5811" w:rsidR="00F34B4D" w:rsidRDefault="00780220" w:rsidP="00600535">
      <w:pPr>
        <w:pStyle w:val="CETBodytext"/>
        <w:rPr>
          <w:lang w:val="en-GB"/>
        </w:rPr>
      </w:pPr>
      <w:r>
        <w:rPr>
          <w:noProof/>
        </w:rPr>
        <w:drawing>
          <wp:inline distT="0" distB="0" distL="0" distR="0" wp14:anchorId="039B5DB8" wp14:editId="1F108EAB">
            <wp:extent cx="4320000" cy="3238894"/>
            <wp:effectExtent l="0" t="0" r="4445"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20000" cy="3238894"/>
                    </a:xfrm>
                    <a:prstGeom prst="rect">
                      <a:avLst/>
                    </a:prstGeom>
                  </pic:spPr>
                </pic:pic>
              </a:graphicData>
            </a:graphic>
          </wp:inline>
        </w:drawing>
      </w:r>
    </w:p>
    <w:p w14:paraId="50F6FD92" w14:textId="7024F902" w:rsidR="00780220" w:rsidRDefault="00780220" w:rsidP="00780220">
      <w:pPr>
        <w:pStyle w:val="CETCaption"/>
      </w:pPr>
      <w:r>
        <w:rPr>
          <w:color w:val="000000"/>
        </w:rPr>
        <w:t>Figure 4: Factor for the determined value of (</w:t>
      </w:r>
      <w:proofErr w:type="spellStart"/>
      <w:r>
        <w:rPr>
          <w:color w:val="000000"/>
        </w:rPr>
        <w:t>dp</w:t>
      </w:r>
      <w:proofErr w:type="spellEnd"/>
      <w:r>
        <w:rPr>
          <w:color w:val="000000"/>
        </w:rPr>
        <w:t>/dt)</w:t>
      </w:r>
      <w:r w:rsidRPr="004747DA">
        <w:rPr>
          <w:color w:val="000000"/>
          <w:vertAlign w:val="subscript"/>
        </w:rPr>
        <w:t>max</w:t>
      </w:r>
    </w:p>
    <w:p w14:paraId="2E4875D7" w14:textId="5D97DA77" w:rsidR="0033478F" w:rsidRDefault="00016C62" w:rsidP="00600535">
      <w:pPr>
        <w:pStyle w:val="CETBodytext"/>
        <w:rPr>
          <w:lang w:val="en-GB"/>
        </w:rPr>
      </w:pPr>
      <w:r>
        <w:rPr>
          <w:lang w:val="en-GB"/>
        </w:rPr>
        <w:t xml:space="preserve">Expecting the scattering to totally vanish with three tests, assuming, that the ignition delay time is not varied and narrowing all the other parameters in the suggested range leads to a </w:t>
      </w:r>
      <w:r w:rsidR="00F05D31">
        <w:rPr>
          <w:lang w:val="en-GB"/>
        </w:rPr>
        <w:t xml:space="preserve">min to max difference of 14 % which seems to be </w:t>
      </w:r>
      <w:r w:rsidR="00DA0511">
        <w:rPr>
          <w:lang w:val="en-GB"/>
        </w:rPr>
        <w:t>with</w:t>
      </w:r>
      <w:r w:rsidR="00F05D31">
        <w:rPr>
          <w:lang w:val="en-GB"/>
        </w:rPr>
        <w:t xml:space="preserve">in a reasonable range. This should be </w:t>
      </w:r>
      <w:r w:rsidR="009370F1">
        <w:rPr>
          <w:lang w:val="en-GB"/>
        </w:rPr>
        <w:t>considered</w:t>
      </w:r>
      <w:r w:rsidR="00F05D31">
        <w:rPr>
          <w:lang w:val="en-GB"/>
        </w:rPr>
        <w:t xml:space="preserve"> when </w:t>
      </w:r>
      <w:r w:rsidR="00551E1A">
        <w:rPr>
          <w:lang w:val="en-GB"/>
        </w:rPr>
        <w:t>varying the experimental parameters or when they are implemented loosely.</w:t>
      </w:r>
    </w:p>
    <w:p w14:paraId="43D49238" w14:textId="77777777" w:rsidR="00551E1A" w:rsidRDefault="00551E1A" w:rsidP="00600535">
      <w:pPr>
        <w:pStyle w:val="CETBodytext"/>
        <w:rPr>
          <w:lang w:val="en-GB"/>
        </w:rPr>
      </w:pPr>
    </w:p>
    <w:p w14:paraId="1A4FCA29" w14:textId="7F44F547" w:rsidR="00551E1A" w:rsidRDefault="00551E1A" w:rsidP="00600535">
      <w:pPr>
        <w:pStyle w:val="CETBodytext"/>
        <w:rPr>
          <w:lang w:val="en-GB"/>
        </w:rPr>
      </w:pPr>
      <w:r>
        <w:rPr>
          <w:lang w:val="en-GB"/>
        </w:rPr>
        <w:t xml:space="preserve">Table 2 gives an overview of the influence of the single parameters for </w:t>
      </w:r>
      <w:proofErr w:type="spellStart"/>
      <w:r>
        <w:rPr>
          <w:lang w:val="en-GB"/>
        </w:rPr>
        <w:t>p</w:t>
      </w:r>
      <w:r w:rsidRPr="00551E1A">
        <w:rPr>
          <w:vertAlign w:val="subscript"/>
          <w:lang w:val="en-GB"/>
        </w:rPr>
        <w:t>max</w:t>
      </w:r>
      <w:proofErr w:type="spellEnd"/>
      <w:r>
        <w:rPr>
          <w:lang w:val="en-GB"/>
        </w:rPr>
        <w:t xml:space="preserve"> and (</w:t>
      </w:r>
      <w:proofErr w:type="spellStart"/>
      <w:r>
        <w:rPr>
          <w:lang w:val="en-GB"/>
        </w:rPr>
        <w:t>dp</w:t>
      </w:r>
      <w:proofErr w:type="spellEnd"/>
      <w:r>
        <w:rPr>
          <w:lang w:val="en-GB"/>
        </w:rPr>
        <w:t>/dt)</w:t>
      </w:r>
      <w:r w:rsidRPr="00551E1A">
        <w:rPr>
          <w:vertAlign w:val="subscript"/>
          <w:lang w:val="en-GB"/>
        </w:rPr>
        <w:t>max</w:t>
      </w:r>
      <w:r>
        <w:rPr>
          <w:lang w:val="en-GB"/>
        </w:rPr>
        <w:t>.</w:t>
      </w:r>
    </w:p>
    <w:p w14:paraId="3A0CC6C5" w14:textId="36B956D5" w:rsidR="00551E1A" w:rsidRDefault="00551E1A" w:rsidP="00551E1A">
      <w:pPr>
        <w:pStyle w:val="CETTabletitle"/>
      </w:pPr>
      <w:r w:rsidRPr="00B57B36">
        <w:t xml:space="preserve">Table </w:t>
      </w:r>
      <w:r>
        <w:t>2</w:t>
      </w:r>
      <w:r w:rsidRPr="00B57B36">
        <w:t xml:space="preserve">: </w:t>
      </w:r>
      <w:r>
        <w:t xml:space="preserve">Upper and lower </w:t>
      </w:r>
      <w:r w:rsidR="00692492">
        <w:t>factor</w:t>
      </w:r>
      <w:r>
        <w:t xml:space="preserve"> for experimental parameters determining </w:t>
      </w:r>
      <w:proofErr w:type="spellStart"/>
      <w:r>
        <w:t>p</w:t>
      </w:r>
      <w:r w:rsidRPr="00551E1A">
        <w:rPr>
          <w:vertAlign w:val="subscript"/>
        </w:rPr>
        <w:t>max</w:t>
      </w:r>
      <w:proofErr w:type="spellEnd"/>
      <w:r>
        <w:t xml:space="preserve"> and (</w:t>
      </w:r>
      <w:proofErr w:type="spellStart"/>
      <w:r>
        <w:t>dp</w:t>
      </w:r>
      <w:proofErr w:type="spellEnd"/>
      <w:r>
        <w:t>/dt)</w:t>
      </w:r>
      <w:r w:rsidRPr="00551E1A">
        <w:rPr>
          <w:vertAlign w:val="subscript"/>
        </w:rPr>
        <w:t>max</w:t>
      </w:r>
      <w:r>
        <w:t xml:space="preserve"> of dusts</w:t>
      </w:r>
    </w:p>
    <w:tbl>
      <w:tblPr>
        <w:tblpPr w:leftFromText="141" w:rightFromText="141" w:vertAnchor="text" w:horzAnchor="margin" w:tblpY="98"/>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544"/>
        <w:gridCol w:w="1021"/>
        <w:gridCol w:w="1018"/>
        <w:gridCol w:w="1080"/>
        <w:gridCol w:w="721"/>
      </w:tblGrid>
      <w:tr w:rsidR="00692492" w:rsidRPr="00B57B36" w14:paraId="2F6349CB" w14:textId="77777777" w:rsidTr="00F766A5">
        <w:tc>
          <w:tcPr>
            <w:tcW w:w="3544" w:type="dxa"/>
            <w:tcBorders>
              <w:top w:val="single" w:sz="12" w:space="0" w:color="008000"/>
              <w:bottom w:val="single" w:sz="6" w:space="0" w:color="008000"/>
            </w:tcBorders>
            <w:shd w:val="clear" w:color="auto" w:fill="FFFFFF"/>
          </w:tcPr>
          <w:p w14:paraId="57CBA73F" w14:textId="6915A269" w:rsidR="00692492" w:rsidRPr="00B57B36" w:rsidRDefault="00692492" w:rsidP="00955A9F">
            <w:pPr>
              <w:pStyle w:val="CETBodytext"/>
              <w:rPr>
                <w:lang w:val="en-GB"/>
              </w:rPr>
            </w:pPr>
          </w:p>
        </w:tc>
        <w:tc>
          <w:tcPr>
            <w:tcW w:w="2039" w:type="dxa"/>
            <w:gridSpan w:val="2"/>
            <w:tcBorders>
              <w:top w:val="single" w:sz="12" w:space="0" w:color="008000"/>
              <w:bottom w:val="single" w:sz="6" w:space="0" w:color="008000"/>
            </w:tcBorders>
            <w:shd w:val="clear" w:color="auto" w:fill="FFFFFF"/>
          </w:tcPr>
          <w:p w14:paraId="25295E54" w14:textId="73FB05F7" w:rsidR="00692492" w:rsidRPr="00B57B36" w:rsidRDefault="00692492" w:rsidP="00692492">
            <w:pPr>
              <w:pStyle w:val="CETBodytext"/>
              <w:jc w:val="center"/>
              <w:rPr>
                <w:lang w:val="en-GB"/>
              </w:rPr>
            </w:pPr>
            <w:proofErr w:type="spellStart"/>
            <w:r>
              <w:rPr>
                <w:lang w:val="en-GB"/>
              </w:rPr>
              <w:t>p</w:t>
            </w:r>
            <w:r w:rsidRPr="00692492">
              <w:rPr>
                <w:vertAlign w:val="subscript"/>
                <w:lang w:val="en-GB"/>
              </w:rPr>
              <w:t>max</w:t>
            </w:r>
            <w:proofErr w:type="spellEnd"/>
          </w:p>
        </w:tc>
        <w:tc>
          <w:tcPr>
            <w:tcW w:w="1464" w:type="dxa"/>
            <w:gridSpan w:val="2"/>
            <w:tcBorders>
              <w:top w:val="single" w:sz="12" w:space="0" w:color="008000"/>
              <w:bottom w:val="single" w:sz="6" w:space="0" w:color="008000"/>
            </w:tcBorders>
            <w:shd w:val="clear" w:color="auto" w:fill="FFFFFF"/>
          </w:tcPr>
          <w:p w14:paraId="10A89776" w14:textId="04690C22" w:rsidR="00692492" w:rsidRPr="00B57B36" w:rsidRDefault="00692492" w:rsidP="00692492">
            <w:pPr>
              <w:pStyle w:val="CETBodytext"/>
              <w:ind w:right="-1"/>
              <w:jc w:val="center"/>
              <w:rPr>
                <w:rFonts w:cs="Arial"/>
                <w:szCs w:val="18"/>
                <w:lang w:val="en-GB"/>
              </w:rPr>
            </w:pPr>
            <w:r>
              <w:t>(</w:t>
            </w:r>
            <w:proofErr w:type="spellStart"/>
            <w:r>
              <w:t>dp</w:t>
            </w:r>
            <w:proofErr w:type="spellEnd"/>
            <w:r>
              <w:t>/dt)</w:t>
            </w:r>
            <w:r w:rsidRPr="00551E1A">
              <w:rPr>
                <w:vertAlign w:val="subscript"/>
              </w:rPr>
              <w:t>max</w:t>
            </w:r>
          </w:p>
        </w:tc>
      </w:tr>
      <w:tr w:rsidR="00551E1A" w:rsidRPr="00B57B36" w14:paraId="41CF138B" w14:textId="77777777" w:rsidTr="00F766A5">
        <w:tc>
          <w:tcPr>
            <w:tcW w:w="3544" w:type="dxa"/>
            <w:tcBorders>
              <w:top w:val="single" w:sz="12" w:space="0" w:color="008000"/>
              <w:bottom w:val="single" w:sz="6" w:space="0" w:color="008000"/>
            </w:tcBorders>
            <w:shd w:val="clear" w:color="auto" w:fill="FFFFFF"/>
          </w:tcPr>
          <w:p w14:paraId="2FDB47AE" w14:textId="77777777" w:rsidR="00551E1A" w:rsidRPr="00B57B36" w:rsidRDefault="00551E1A" w:rsidP="00955A9F">
            <w:pPr>
              <w:pStyle w:val="CETBodytext"/>
              <w:rPr>
                <w:lang w:val="en-GB"/>
              </w:rPr>
            </w:pPr>
          </w:p>
        </w:tc>
        <w:tc>
          <w:tcPr>
            <w:tcW w:w="1021" w:type="dxa"/>
            <w:tcBorders>
              <w:top w:val="single" w:sz="12" w:space="0" w:color="008000"/>
              <w:bottom w:val="single" w:sz="6" w:space="0" w:color="008000"/>
            </w:tcBorders>
            <w:shd w:val="clear" w:color="auto" w:fill="FFFFFF"/>
          </w:tcPr>
          <w:p w14:paraId="0A59B941" w14:textId="5F1422B0" w:rsidR="00551E1A" w:rsidRDefault="00551E1A" w:rsidP="00955A9F">
            <w:pPr>
              <w:pStyle w:val="CETBodytext"/>
              <w:rPr>
                <w:lang w:val="en-GB"/>
              </w:rPr>
            </w:pPr>
            <w:r>
              <w:rPr>
                <w:lang w:val="en-GB"/>
              </w:rPr>
              <w:t>Lower</w:t>
            </w:r>
          </w:p>
        </w:tc>
        <w:tc>
          <w:tcPr>
            <w:tcW w:w="1018" w:type="dxa"/>
            <w:tcBorders>
              <w:top w:val="single" w:sz="12" w:space="0" w:color="008000"/>
              <w:bottom w:val="single" w:sz="6" w:space="0" w:color="008000"/>
            </w:tcBorders>
            <w:shd w:val="clear" w:color="auto" w:fill="FFFFFF"/>
          </w:tcPr>
          <w:p w14:paraId="2F249A54" w14:textId="697FC7F8" w:rsidR="00551E1A" w:rsidRDefault="00551E1A" w:rsidP="00955A9F">
            <w:pPr>
              <w:pStyle w:val="CETBodytext"/>
              <w:rPr>
                <w:lang w:val="en-GB"/>
              </w:rPr>
            </w:pPr>
            <w:r>
              <w:rPr>
                <w:lang w:val="en-GB"/>
              </w:rPr>
              <w:t>Higher</w:t>
            </w:r>
          </w:p>
        </w:tc>
        <w:tc>
          <w:tcPr>
            <w:tcW w:w="1080" w:type="dxa"/>
            <w:tcBorders>
              <w:top w:val="single" w:sz="12" w:space="0" w:color="008000"/>
              <w:bottom w:val="single" w:sz="6" w:space="0" w:color="008000"/>
            </w:tcBorders>
            <w:shd w:val="clear" w:color="auto" w:fill="FFFFFF"/>
          </w:tcPr>
          <w:p w14:paraId="2A414655" w14:textId="11E43812" w:rsidR="00551E1A" w:rsidRDefault="00551E1A" w:rsidP="00955A9F">
            <w:pPr>
              <w:pStyle w:val="CETBodytext"/>
              <w:ind w:right="-1"/>
              <w:rPr>
                <w:rFonts w:cs="Arial"/>
                <w:szCs w:val="18"/>
                <w:lang w:val="en-GB"/>
              </w:rPr>
            </w:pPr>
            <w:r>
              <w:rPr>
                <w:rFonts w:cs="Arial"/>
                <w:szCs w:val="18"/>
                <w:lang w:val="en-GB"/>
              </w:rPr>
              <w:t>Lower</w:t>
            </w:r>
          </w:p>
        </w:tc>
        <w:tc>
          <w:tcPr>
            <w:tcW w:w="384" w:type="dxa"/>
            <w:tcBorders>
              <w:top w:val="single" w:sz="12" w:space="0" w:color="008000"/>
              <w:bottom w:val="single" w:sz="6" w:space="0" w:color="008000"/>
            </w:tcBorders>
            <w:shd w:val="clear" w:color="auto" w:fill="FFFFFF"/>
          </w:tcPr>
          <w:p w14:paraId="2533FF1A" w14:textId="17B04C79" w:rsidR="00551E1A" w:rsidRDefault="00551E1A" w:rsidP="00955A9F">
            <w:pPr>
              <w:pStyle w:val="CETBodytext"/>
              <w:ind w:right="-1"/>
              <w:rPr>
                <w:rFonts w:cs="Arial"/>
                <w:szCs w:val="18"/>
                <w:lang w:val="en-GB"/>
              </w:rPr>
            </w:pPr>
            <w:r>
              <w:rPr>
                <w:rFonts w:cs="Arial"/>
                <w:szCs w:val="18"/>
                <w:lang w:val="en-GB"/>
              </w:rPr>
              <w:t>Higher</w:t>
            </w:r>
          </w:p>
        </w:tc>
      </w:tr>
      <w:tr w:rsidR="00551E1A" w:rsidRPr="00B57B36" w14:paraId="1CDE996B" w14:textId="77777777" w:rsidTr="00F766A5">
        <w:tc>
          <w:tcPr>
            <w:tcW w:w="3544" w:type="dxa"/>
            <w:tcBorders>
              <w:top w:val="single" w:sz="6" w:space="0" w:color="008000"/>
              <w:bottom w:val="single" w:sz="4" w:space="0" w:color="auto"/>
            </w:tcBorders>
            <w:shd w:val="clear" w:color="auto" w:fill="FFFFFF"/>
          </w:tcPr>
          <w:p w14:paraId="0F12BF33" w14:textId="01ED4D97" w:rsidR="00551E1A" w:rsidRPr="00B57B36" w:rsidRDefault="00692492" w:rsidP="00955A9F">
            <w:pPr>
              <w:pStyle w:val="CETBodytext"/>
              <w:rPr>
                <w:lang w:val="en-GB"/>
              </w:rPr>
            </w:pPr>
            <w:r>
              <w:rPr>
                <w:lang w:val="en-GB"/>
              </w:rPr>
              <w:t>Scattering (determined with corn starch)</w:t>
            </w:r>
          </w:p>
        </w:tc>
        <w:tc>
          <w:tcPr>
            <w:tcW w:w="1021" w:type="dxa"/>
            <w:tcBorders>
              <w:top w:val="single" w:sz="6" w:space="0" w:color="008000"/>
              <w:bottom w:val="single" w:sz="4" w:space="0" w:color="auto"/>
            </w:tcBorders>
            <w:shd w:val="clear" w:color="auto" w:fill="FFFFFF"/>
          </w:tcPr>
          <w:p w14:paraId="5D3DC1D2" w14:textId="239AF48F" w:rsidR="00551E1A" w:rsidRPr="00B57B36" w:rsidRDefault="00692492" w:rsidP="00955A9F">
            <w:pPr>
              <w:pStyle w:val="CETBodytext"/>
              <w:rPr>
                <w:lang w:val="en-GB"/>
              </w:rPr>
            </w:pPr>
            <w:r>
              <w:rPr>
                <w:lang w:val="en-GB"/>
              </w:rPr>
              <w:t>0.98</w:t>
            </w:r>
          </w:p>
        </w:tc>
        <w:tc>
          <w:tcPr>
            <w:tcW w:w="1018" w:type="dxa"/>
            <w:tcBorders>
              <w:top w:val="single" w:sz="6" w:space="0" w:color="008000"/>
              <w:bottom w:val="single" w:sz="4" w:space="0" w:color="auto"/>
            </w:tcBorders>
            <w:shd w:val="clear" w:color="auto" w:fill="FFFFFF"/>
          </w:tcPr>
          <w:p w14:paraId="25417B45" w14:textId="65113388" w:rsidR="00551E1A" w:rsidRPr="00B57B36" w:rsidRDefault="00692492" w:rsidP="00955A9F">
            <w:pPr>
              <w:pStyle w:val="CETBodytext"/>
              <w:rPr>
                <w:lang w:val="en-GB"/>
              </w:rPr>
            </w:pPr>
            <w:r>
              <w:rPr>
                <w:lang w:val="en-GB"/>
              </w:rPr>
              <w:t>1.02</w:t>
            </w:r>
          </w:p>
        </w:tc>
        <w:tc>
          <w:tcPr>
            <w:tcW w:w="1080" w:type="dxa"/>
            <w:tcBorders>
              <w:top w:val="single" w:sz="6" w:space="0" w:color="008000"/>
              <w:bottom w:val="single" w:sz="4" w:space="0" w:color="auto"/>
            </w:tcBorders>
            <w:shd w:val="clear" w:color="auto" w:fill="FFFFFF"/>
          </w:tcPr>
          <w:p w14:paraId="5C22C1B5" w14:textId="27866114" w:rsidR="00551E1A" w:rsidRPr="00B57B36" w:rsidRDefault="00692492" w:rsidP="00955A9F">
            <w:pPr>
              <w:pStyle w:val="CETBodytext"/>
              <w:ind w:right="-1"/>
              <w:rPr>
                <w:rFonts w:cs="Arial"/>
                <w:szCs w:val="18"/>
                <w:lang w:val="en-GB"/>
              </w:rPr>
            </w:pPr>
            <w:r>
              <w:rPr>
                <w:rFonts w:cs="Arial"/>
                <w:szCs w:val="18"/>
                <w:lang w:val="en-GB"/>
              </w:rPr>
              <w:t>0.79</w:t>
            </w:r>
          </w:p>
        </w:tc>
        <w:tc>
          <w:tcPr>
            <w:tcW w:w="384" w:type="dxa"/>
            <w:tcBorders>
              <w:top w:val="single" w:sz="6" w:space="0" w:color="008000"/>
              <w:bottom w:val="single" w:sz="4" w:space="0" w:color="auto"/>
            </w:tcBorders>
            <w:shd w:val="clear" w:color="auto" w:fill="FFFFFF"/>
          </w:tcPr>
          <w:p w14:paraId="3C6E2D12" w14:textId="11E71B43" w:rsidR="00551E1A" w:rsidRPr="00B57B36" w:rsidRDefault="00692492" w:rsidP="00955A9F">
            <w:pPr>
              <w:pStyle w:val="CETBodytext"/>
              <w:ind w:right="-1"/>
              <w:rPr>
                <w:rFonts w:cs="Arial"/>
                <w:szCs w:val="18"/>
                <w:lang w:val="en-GB"/>
              </w:rPr>
            </w:pPr>
            <w:r>
              <w:rPr>
                <w:rFonts w:cs="Arial"/>
                <w:szCs w:val="18"/>
                <w:lang w:val="en-GB"/>
              </w:rPr>
              <w:t>1.21</w:t>
            </w:r>
          </w:p>
        </w:tc>
      </w:tr>
      <w:tr w:rsidR="00551E1A" w:rsidRPr="00D66E13" w14:paraId="26670B7B" w14:textId="77777777" w:rsidTr="00F766A5">
        <w:tc>
          <w:tcPr>
            <w:tcW w:w="3544" w:type="dxa"/>
            <w:tcBorders>
              <w:top w:val="single" w:sz="4" w:space="0" w:color="auto"/>
              <w:bottom w:val="single" w:sz="4" w:space="0" w:color="auto"/>
            </w:tcBorders>
            <w:shd w:val="clear" w:color="auto" w:fill="FFFFFF"/>
          </w:tcPr>
          <w:p w14:paraId="24DB8934" w14:textId="1589EA86" w:rsidR="00692492" w:rsidRPr="00D66E13" w:rsidRDefault="00692492" w:rsidP="00955A9F">
            <w:pPr>
              <w:pStyle w:val="CETBodytext"/>
              <w:ind w:right="-1"/>
              <w:rPr>
                <w:rFonts w:cs="Arial"/>
                <w:szCs w:val="18"/>
                <w:lang w:val="en-GB"/>
              </w:rPr>
            </w:pPr>
            <w:r w:rsidRPr="00D66E13">
              <w:rPr>
                <w:rFonts w:cs="Arial"/>
                <w:szCs w:val="18"/>
                <w:lang w:val="en-GB"/>
              </w:rPr>
              <w:t>Delay Time ± 10 ms  -      Corn starch</w:t>
            </w:r>
          </w:p>
          <w:p w14:paraId="5EE78610" w14:textId="2ADD557E" w:rsidR="00692492" w:rsidRPr="00D66E13" w:rsidRDefault="00692492" w:rsidP="00692492">
            <w:pPr>
              <w:pStyle w:val="CETBodytext"/>
              <w:numPr>
                <w:ilvl w:val="0"/>
                <w:numId w:val="27"/>
              </w:numPr>
              <w:ind w:right="-1"/>
              <w:rPr>
                <w:rFonts w:cs="Arial"/>
                <w:szCs w:val="18"/>
                <w:lang w:val="en-GB"/>
              </w:rPr>
            </w:pPr>
            <w:r w:rsidRPr="00D66E13">
              <w:rPr>
                <w:rFonts w:cs="Arial"/>
                <w:szCs w:val="18"/>
                <w:lang w:val="en-GB"/>
              </w:rPr>
              <w:t>Lycopodium</w:t>
            </w:r>
          </w:p>
          <w:p w14:paraId="64C84B7D" w14:textId="1BB2AF0F" w:rsidR="00551E1A" w:rsidRPr="00D66E13" w:rsidRDefault="00692492" w:rsidP="00955A9F">
            <w:pPr>
              <w:pStyle w:val="CETBodytext"/>
              <w:numPr>
                <w:ilvl w:val="0"/>
                <w:numId w:val="27"/>
              </w:numPr>
              <w:ind w:right="-1"/>
              <w:rPr>
                <w:rFonts w:cs="Arial"/>
                <w:szCs w:val="18"/>
                <w:lang w:val="en-GB"/>
              </w:rPr>
            </w:pPr>
            <w:r w:rsidRPr="00D66E13">
              <w:rPr>
                <w:rFonts w:cs="Arial"/>
                <w:szCs w:val="18"/>
                <w:lang w:val="en-GB"/>
              </w:rPr>
              <w:t>Niacin</w:t>
            </w:r>
          </w:p>
        </w:tc>
        <w:tc>
          <w:tcPr>
            <w:tcW w:w="1021" w:type="dxa"/>
            <w:tcBorders>
              <w:top w:val="single" w:sz="4" w:space="0" w:color="auto"/>
              <w:bottom w:val="single" w:sz="4" w:space="0" w:color="auto"/>
            </w:tcBorders>
            <w:shd w:val="clear" w:color="auto" w:fill="FFFFFF"/>
          </w:tcPr>
          <w:p w14:paraId="498BF534" w14:textId="6015C5D4" w:rsidR="00692492" w:rsidRPr="00D66E13" w:rsidRDefault="00F766A5" w:rsidP="00955A9F">
            <w:pPr>
              <w:pStyle w:val="CETBodytext"/>
              <w:ind w:right="-1"/>
              <w:rPr>
                <w:rFonts w:cs="Arial"/>
                <w:szCs w:val="18"/>
                <w:lang w:val="en-GB"/>
              </w:rPr>
            </w:pPr>
            <w:r>
              <w:rPr>
                <w:rFonts w:cs="Arial"/>
                <w:szCs w:val="18"/>
                <w:lang w:val="en-GB"/>
              </w:rPr>
              <w:t>0.97</w:t>
            </w:r>
          </w:p>
          <w:p w14:paraId="5F322F33" w14:textId="65775D53" w:rsidR="00692492" w:rsidRPr="00D66E13" w:rsidRDefault="00F766A5" w:rsidP="00955A9F">
            <w:pPr>
              <w:pStyle w:val="CETBodytext"/>
              <w:ind w:right="-1"/>
              <w:rPr>
                <w:rFonts w:cs="Arial"/>
                <w:szCs w:val="18"/>
                <w:lang w:val="en-GB"/>
              </w:rPr>
            </w:pPr>
            <w:r>
              <w:rPr>
                <w:rFonts w:cs="Arial"/>
                <w:szCs w:val="18"/>
                <w:lang w:val="en-GB"/>
              </w:rPr>
              <w:t>0.97</w:t>
            </w:r>
          </w:p>
          <w:p w14:paraId="1E37EB6E" w14:textId="101E804C" w:rsidR="00692492" w:rsidRPr="00D66E13" w:rsidRDefault="00F766A5" w:rsidP="00955A9F">
            <w:pPr>
              <w:pStyle w:val="CETBodytext"/>
              <w:ind w:right="-1"/>
              <w:rPr>
                <w:rFonts w:cs="Arial"/>
                <w:szCs w:val="18"/>
                <w:lang w:val="en-GB"/>
              </w:rPr>
            </w:pPr>
            <w:r>
              <w:rPr>
                <w:rFonts w:cs="Arial"/>
                <w:szCs w:val="18"/>
                <w:lang w:val="en-GB"/>
              </w:rPr>
              <w:t>0.98</w:t>
            </w:r>
          </w:p>
        </w:tc>
        <w:tc>
          <w:tcPr>
            <w:tcW w:w="1018" w:type="dxa"/>
            <w:tcBorders>
              <w:top w:val="single" w:sz="4" w:space="0" w:color="auto"/>
              <w:bottom w:val="single" w:sz="4" w:space="0" w:color="auto"/>
            </w:tcBorders>
            <w:shd w:val="clear" w:color="auto" w:fill="FFFFFF"/>
          </w:tcPr>
          <w:p w14:paraId="3A53FF57" w14:textId="307D7872" w:rsidR="00551E1A" w:rsidRPr="00D66E13" w:rsidRDefault="00F766A5" w:rsidP="00692492">
            <w:pPr>
              <w:pStyle w:val="CETBodytext"/>
              <w:ind w:right="-1"/>
              <w:rPr>
                <w:rFonts w:cs="Arial"/>
                <w:szCs w:val="18"/>
                <w:lang w:val="en-GB"/>
              </w:rPr>
            </w:pPr>
            <w:r>
              <w:rPr>
                <w:rFonts w:cs="Arial"/>
                <w:szCs w:val="18"/>
                <w:lang w:val="en-GB"/>
              </w:rPr>
              <w:t>1.03</w:t>
            </w:r>
          </w:p>
          <w:p w14:paraId="5C5F0A39" w14:textId="2F442294" w:rsidR="00692492" w:rsidRPr="00D66E13" w:rsidRDefault="00F766A5" w:rsidP="00692492">
            <w:pPr>
              <w:pStyle w:val="CETBodytext"/>
              <w:ind w:right="-1"/>
              <w:rPr>
                <w:rFonts w:cs="Arial"/>
                <w:szCs w:val="18"/>
                <w:lang w:val="en-GB"/>
              </w:rPr>
            </w:pPr>
            <w:r>
              <w:rPr>
                <w:rFonts w:cs="Arial"/>
                <w:szCs w:val="18"/>
                <w:lang w:val="en-GB"/>
              </w:rPr>
              <w:t>1</w:t>
            </w:r>
          </w:p>
          <w:p w14:paraId="220F653D" w14:textId="7D2C9E20" w:rsidR="00692492" w:rsidRPr="00D66E13" w:rsidRDefault="00F766A5" w:rsidP="00692492">
            <w:pPr>
              <w:pStyle w:val="CETBodytext"/>
              <w:ind w:right="-1"/>
              <w:rPr>
                <w:rFonts w:cs="Arial"/>
                <w:szCs w:val="18"/>
                <w:lang w:val="en-GB"/>
              </w:rPr>
            </w:pPr>
            <w:r>
              <w:rPr>
                <w:rFonts w:cs="Arial"/>
                <w:szCs w:val="18"/>
                <w:lang w:val="en-GB"/>
              </w:rPr>
              <w:t>1</w:t>
            </w:r>
          </w:p>
        </w:tc>
        <w:tc>
          <w:tcPr>
            <w:tcW w:w="1080" w:type="dxa"/>
            <w:tcBorders>
              <w:top w:val="single" w:sz="4" w:space="0" w:color="auto"/>
              <w:bottom w:val="single" w:sz="4" w:space="0" w:color="auto"/>
            </w:tcBorders>
            <w:shd w:val="clear" w:color="auto" w:fill="FFFFFF"/>
          </w:tcPr>
          <w:p w14:paraId="358EC106" w14:textId="77777777" w:rsidR="00692492" w:rsidRPr="00D66E13" w:rsidRDefault="00692492" w:rsidP="00692492">
            <w:pPr>
              <w:pStyle w:val="CETBodytext"/>
              <w:ind w:right="-1"/>
              <w:rPr>
                <w:rFonts w:cs="Arial"/>
                <w:szCs w:val="18"/>
                <w:lang w:val="en-GB"/>
              </w:rPr>
            </w:pPr>
            <w:r w:rsidRPr="00D66E13">
              <w:rPr>
                <w:rFonts w:cs="Arial"/>
                <w:szCs w:val="18"/>
                <w:lang w:val="en-GB"/>
              </w:rPr>
              <w:t>0.9</w:t>
            </w:r>
          </w:p>
          <w:p w14:paraId="408FCDA9" w14:textId="77777777" w:rsidR="00692492" w:rsidRPr="00D66E13" w:rsidRDefault="00692492" w:rsidP="00692492">
            <w:pPr>
              <w:pStyle w:val="CETBodytext"/>
              <w:ind w:right="-1"/>
              <w:rPr>
                <w:rFonts w:cs="Arial"/>
                <w:szCs w:val="18"/>
                <w:lang w:val="en-GB"/>
              </w:rPr>
            </w:pPr>
            <w:r w:rsidRPr="00D66E13">
              <w:rPr>
                <w:rFonts w:cs="Arial"/>
                <w:szCs w:val="18"/>
                <w:lang w:val="en-GB"/>
              </w:rPr>
              <w:t>0.95</w:t>
            </w:r>
          </w:p>
          <w:p w14:paraId="2AF5753A" w14:textId="602F8C8A" w:rsidR="00692492" w:rsidRPr="00D66E13" w:rsidRDefault="00692492" w:rsidP="00692492">
            <w:pPr>
              <w:pStyle w:val="CETBodytext"/>
              <w:ind w:right="-1"/>
              <w:rPr>
                <w:rFonts w:cs="Arial"/>
                <w:szCs w:val="18"/>
                <w:lang w:val="en-GB"/>
              </w:rPr>
            </w:pPr>
            <w:r w:rsidRPr="00D66E13">
              <w:rPr>
                <w:rFonts w:cs="Arial"/>
                <w:szCs w:val="18"/>
                <w:lang w:val="en-GB"/>
              </w:rPr>
              <w:t>0.96</w:t>
            </w:r>
          </w:p>
        </w:tc>
        <w:tc>
          <w:tcPr>
            <w:tcW w:w="384" w:type="dxa"/>
            <w:tcBorders>
              <w:top w:val="single" w:sz="4" w:space="0" w:color="auto"/>
              <w:bottom w:val="single" w:sz="4" w:space="0" w:color="auto"/>
            </w:tcBorders>
            <w:shd w:val="clear" w:color="auto" w:fill="FFFFFF"/>
          </w:tcPr>
          <w:p w14:paraId="056D1676" w14:textId="77777777" w:rsidR="00692492" w:rsidRPr="00D66E13" w:rsidRDefault="00692492" w:rsidP="00692492">
            <w:pPr>
              <w:pStyle w:val="CETBodytext"/>
              <w:ind w:right="-1"/>
              <w:rPr>
                <w:rFonts w:cs="Arial"/>
                <w:szCs w:val="18"/>
                <w:lang w:val="en-GB"/>
              </w:rPr>
            </w:pPr>
            <w:r w:rsidRPr="00D66E13">
              <w:rPr>
                <w:rFonts w:cs="Arial"/>
                <w:szCs w:val="18"/>
                <w:lang w:val="en-GB"/>
              </w:rPr>
              <w:t>1.22</w:t>
            </w:r>
          </w:p>
          <w:p w14:paraId="45036AFC" w14:textId="77777777" w:rsidR="00692492" w:rsidRPr="00D66E13" w:rsidRDefault="00692492" w:rsidP="00692492">
            <w:pPr>
              <w:pStyle w:val="CETBodytext"/>
              <w:ind w:right="-1"/>
              <w:rPr>
                <w:rFonts w:cs="Arial"/>
                <w:szCs w:val="18"/>
                <w:lang w:val="en-GB"/>
              </w:rPr>
            </w:pPr>
            <w:r w:rsidRPr="00D66E13">
              <w:rPr>
                <w:rFonts w:cs="Arial"/>
                <w:szCs w:val="18"/>
                <w:lang w:val="en-GB"/>
              </w:rPr>
              <w:t>1.01</w:t>
            </w:r>
          </w:p>
          <w:p w14:paraId="60178CA5" w14:textId="6F5E80E9" w:rsidR="0058537A" w:rsidRPr="00D66E13" w:rsidRDefault="00692492" w:rsidP="00692492">
            <w:pPr>
              <w:pStyle w:val="CETBodytext"/>
              <w:ind w:right="-1"/>
              <w:rPr>
                <w:rFonts w:cs="Arial"/>
                <w:szCs w:val="18"/>
                <w:lang w:val="en-GB"/>
              </w:rPr>
            </w:pPr>
            <w:r w:rsidRPr="00D66E13">
              <w:rPr>
                <w:rFonts w:cs="Arial"/>
                <w:szCs w:val="18"/>
                <w:lang w:val="en-GB"/>
              </w:rPr>
              <w:t>1.25</w:t>
            </w:r>
          </w:p>
        </w:tc>
      </w:tr>
      <w:tr w:rsidR="00D66E13" w:rsidRPr="00D66E13" w14:paraId="06F9A81F" w14:textId="77777777" w:rsidTr="00F766A5">
        <w:tc>
          <w:tcPr>
            <w:tcW w:w="3544" w:type="dxa"/>
            <w:tcBorders>
              <w:bottom w:val="single" w:sz="4" w:space="0" w:color="auto"/>
            </w:tcBorders>
            <w:shd w:val="clear" w:color="auto" w:fill="FFFFFF"/>
          </w:tcPr>
          <w:p w14:paraId="5DB4CA1B" w14:textId="2ECC5F67" w:rsidR="00D66E13" w:rsidRPr="00D66E13" w:rsidRDefault="00D66E13" w:rsidP="00955A9F">
            <w:pPr>
              <w:pStyle w:val="CETBodytext"/>
              <w:ind w:right="-1"/>
              <w:rPr>
                <w:rFonts w:cs="Arial"/>
                <w:szCs w:val="18"/>
                <w:lang w:val="en-GB"/>
              </w:rPr>
            </w:pPr>
            <w:r w:rsidRPr="00D66E13">
              <w:rPr>
                <w:rFonts w:cs="Arial"/>
                <w:szCs w:val="18"/>
                <w:lang w:val="en-GB"/>
              </w:rPr>
              <w:t>Beginning pressure ± 100 mbar</w:t>
            </w:r>
          </w:p>
        </w:tc>
        <w:tc>
          <w:tcPr>
            <w:tcW w:w="1021" w:type="dxa"/>
            <w:tcBorders>
              <w:bottom w:val="single" w:sz="4" w:space="0" w:color="auto"/>
            </w:tcBorders>
            <w:shd w:val="clear" w:color="auto" w:fill="FFFFFF"/>
          </w:tcPr>
          <w:p w14:paraId="7BBA4F5D" w14:textId="2965CD31" w:rsidR="00D66E13" w:rsidRPr="00D66E13" w:rsidRDefault="00D66E13" w:rsidP="00955A9F">
            <w:pPr>
              <w:pStyle w:val="CETBodytext"/>
              <w:ind w:right="-1"/>
              <w:rPr>
                <w:rFonts w:cs="Arial"/>
                <w:szCs w:val="18"/>
                <w:lang w:val="en-GB"/>
              </w:rPr>
            </w:pPr>
            <w:r>
              <w:rPr>
                <w:rFonts w:cs="Arial"/>
                <w:szCs w:val="18"/>
                <w:lang w:val="en-GB"/>
              </w:rPr>
              <w:t>0.9</w:t>
            </w:r>
          </w:p>
        </w:tc>
        <w:tc>
          <w:tcPr>
            <w:tcW w:w="1018" w:type="dxa"/>
            <w:tcBorders>
              <w:bottom w:val="single" w:sz="4" w:space="0" w:color="auto"/>
            </w:tcBorders>
            <w:shd w:val="clear" w:color="auto" w:fill="FFFFFF"/>
          </w:tcPr>
          <w:p w14:paraId="35838FA8" w14:textId="7FE3B682" w:rsidR="00D66E13" w:rsidRPr="00D66E13" w:rsidRDefault="00D66E13" w:rsidP="00692492">
            <w:pPr>
              <w:pStyle w:val="CETBodytext"/>
              <w:ind w:right="-1"/>
              <w:rPr>
                <w:rFonts w:cs="Arial"/>
                <w:szCs w:val="18"/>
                <w:lang w:val="en-GB"/>
              </w:rPr>
            </w:pPr>
            <w:r>
              <w:rPr>
                <w:rFonts w:cs="Arial"/>
                <w:szCs w:val="18"/>
                <w:lang w:val="en-GB"/>
              </w:rPr>
              <w:t>1.1</w:t>
            </w:r>
          </w:p>
        </w:tc>
        <w:tc>
          <w:tcPr>
            <w:tcW w:w="1080" w:type="dxa"/>
            <w:tcBorders>
              <w:bottom w:val="single" w:sz="4" w:space="0" w:color="auto"/>
            </w:tcBorders>
            <w:shd w:val="clear" w:color="auto" w:fill="FFFFFF"/>
          </w:tcPr>
          <w:p w14:paraId="132AF707" w14:textId="7CEF6B85" w:rsidR="00D66E13" w:rsidRPr="00D66E13" w:rsidRDefault="00D66E13" w:rsidP="00692492">
            <w:pPr>
              <w:pStyle w:val="CETBodytext"/>
              <w:ind w:right="-1"/>
              <w:rPr>
                <w:rFonts w:cs="Arial"/>
                <w:szCs w:val="18"/>
                <w:lang w:val="en-GB"/>
              </w:rPr>
            </w:pPr>
            <w:r>
              <w:rPr>
                <w:rFonts w:cs="Arial"/>
                <w:szCs w:val="18"/>
                <w:lang w:val="en-GB"/>
              </w:rPr>
              <w:t>0.9</w:t>
            </w:r>
          </w:p>
        </w:tc>
        <w:tc>
          <w:tcPr>
            <w:tcW w:w="384" w:type="dxa"/>
            <w:tcBorders>
              <w:bottom w:val="single" w:sz="4" w:space="0" w:color="auto"/>
            </w:tcBorders>
            <w:shd w:val="clear" w:color="auto" w:fill="FFFFFF"/>
          </w:tcPr>
          <w:p w14:paraId="72537698" w14:textId="517FED2D" w:rsidR="00D66E13" w:rsidRPr="00D66E13" w:rsidRDefault="00D66E13" w:rsidP="00692492">
            <w:pPr>
              <w:pStyle w:val="CETBodytext"/>
              <w:ind w:right="-1"/>
              <w:rPr>
                <w:rFonts w:cs="Arial"/>
                <w:szCs w:val="18"/>
                <w:lang w:val="en-GB"/>
              </w:rPr>
            </w:pPr>
            <w:r>
              <w:rPr>
                <w:rFonts w:cs="Arial"/>
                <w:szCs w:val="18"/>
                <w:lang w:val="en-GB"/>
              </w:rPr>
              <w:t>1.1</w:t>
            </w:r>
          </w:p>
        </w:tc>
      </w:tr>
      <w:tr w:rsidR="0058537A" w:rsidRPr="00D66E13" w14:paraId="70F7BEBE" w14:textId="77777777" w:rsidTr="00F766A5">
        <w:tc>
          <w:tcPr>
            <w:tcW w:w="3544" w:type="dxa"/>
            <w:tcBorders>
              <w:top w:val="single" w:sz="4" w:space="0" w:color="auto"/>
              <w:bottom w:val="single" w:sz="4" w:space="0" w:color="auto"/>
            </w:tcBorders>
            <w:shd w:val="clear" w:color="auto" w:fill="FFFFFF"/>
          </w:tcPr>
          <w:p w14:paraId="3501F843" w14:textId="11426BC8" w:rsidR="0058537A" w:rsidRPr="00D66E13" w:rsidRDefault="0058537A" w:rsidP="00955A9F">
            <w:pPr>
              <w:pStyle w:val="CETBodytext"/>
              <w:ind w:right="-1"/>
              <w:rPr>
                <w:rFonts w:cs="Arial"/>
                <w:szCs w:val="18"/>
                <w:lang w:val="en-GB"/>
              </w:rPr>
            </w:pPr>
            <w:r w:rsidRPr="00D66E13">
              <w:rPr>
                <w:rFonts w:cs="Arial"/>
                <w:szCs w:val="18"/>
                <w:lang w:val="en-GB"/>
              </w:rPr>
              <w:t>Pre-ignition pressure rise ± 100 mbar</w:t>
            </w:r>
          </w:p>
        </w:tc>
        <w:tc>
          <w:tcPr>
            <w:tcW w:w="1021" w:type="dxa"/>
            <w:tcBorders>
              <w:top w:val="single" w:sz="4" w:space="0" w:color="auto"/>
              <w:bottom w:val="single" w:sz="4" w:space="0" w:color="auto"/>
            </w:tcBorders>
            <w:shd w:val="clear" w:color="auto" w:fill="FFFFFF"/>
          </w:tcPr>
          <w:p w14:paraId="279DFAAF" w14:textId="7A47E932" w:rsidR="0058537A" w:rsidRPr="00D66E13" w:rsidRDefault="0058537A" w:rsidP="00955A9F">
            <w:pPr>
              <w:pStyle w:val="CETBodytext"/>
              <w:ind w:right="-1"/>
              <w:rPr>
                <w:rFonts w:cs="Arial"/>
                <w:szCs w:val="18"/>
                <w:lang w:val="en-GB"/>
              </w:rPr>
            </w:pPr>
            <w:r w:rsidRPr="00D66E13">
              <w:rPr>
                <w:rFonts w:cs="Arial"/>
                <w:szCs w:val="18"/>
                <w:lang w:val="en-GB"/>
              </w:rPr>
              <w:t>0.9</w:t>
            </w:r>
          </w:p>
        </w:tc>
        <w:tc>
          <w:tcPr>
            <w:tcW w:w="1018" w:type="dxa"/>
            <w:tcBorders>
              <w:top w:val="single" w:sz="4" w:space="0" w:color="auto"/>
              <w:bottom w:val="single" w:sz="4" w:space="0" w:color="auto"/>
            </w:tcBorders>
            <w:shd w:val="clear" w:color="auto" w:fill="FFFFFF"/>
          </w:tcPr>
          <w:p w14:paraId="72A6C4F7" w14:textId="2259E9C1" w:rsidR="0058537A" w:rsidRPr="00D66E13" w:rsidRDefault="0058537A" w:rsidP="00692492">
            <w:pPr>
              <w:pStyle w:val="CETBodytext"/>
              <w:ind w:right="-1"/>
              <w:rPr>
                <w:rFonts w:cs="Arial"/>
                <w:szCs w:val="18"/>
                <w:lang w:val="en-GB"/>
              </w:rPr>
            </w:pPr>
            <w:r w:rsidRPr="00D66E13">
              <w:rPr>
                <w:rFonts w:cs="Arial"/>
                <w:szCs w:val="18"/>
                <w:lang w:val="en-GB"/>
              </w:rPr>
              <w:t>1.1</w:t>
            </w:r>
          </w:p>
        </w:tc>
        <w:tc>
          <w:tcPr>
            <w:tcW w:w="1080" w:type="dxa"/>
            <w:tcBorders>
              <w:top w:val="single" w:sz="4" w:space="0" w:color="auto"/>
              <w:bottom w:val="single" w:sz="4" w:space="0" w:color="auto"/>
            </w:tcBorders>
            <w:shd w:val="clear" w:color="auto" w:fill="FFFFFF"/>
          </w:tcPr>
          <w:p w14:paraId="02DF3D2F" w14:textId="733023B6" w:rsidR="0058537A" w:rsidRPr="00D66E13" w:rsidRDefault="0058537A" w:rsidP="00692492">
            <w:pPr>
              <w:pStyle w:val="CETBodytext"/>
              <w:ind w:right="-1"/>
              <w:rPr>
                <w:rFonts w:cs="Arial"/>
                <w:szCs w:val="18"/>
                <w:lang w:val="en-GB"/>
              </w:rPr>
            </w:pPr>
            <w:r w:rsidRPr="00D66E13">
              <w:rPr>
                <w:rFonts w:cs="Arial"/>
                <w:szCs w:val="18"/>
                <w:lang w:val="en-GB"/>
              </w:rPr>
              <w:t>0.9</w:t>
            </w:r>
          </w:p>
        </w:tc>
        <w:tc>
          <w:tcPr>
            <w:tcW w:w="384" w:type="dxa"/>
            <w:tcBorders>
              <w:top w:val="single" w:sz="4" w:space="0" w:color="auto"/>
              <w:bottom w:val="single" w:sz="4" w:space="0" w:color="auto"/>
            </w:tcBorders>
            <w:shd w:val="clear" w:color="auto" w:fill="FFFFFF"/>
          </w:tcPr>
          <w:p w14:paraId="493AD485" w14:textId="55C34438" w:rsidR="0058537A" w:rsidRPr="00D66E13" w:rsidRDefault="0058537A" w:rsidP="00692492">
            <w:pPr>
              <w:pStyle w:val="CETBodytext"/>
              <w:ind w:right="-1"/>
              <w:rPr>
                <w:rFonts w:cs="Arial"/>
                <w:szCs w:val="18"/>
                <w:lang w:val="en-GB"/>
              </w:rPr>
            </w:pPr>
            <w:r w:rsidRPr="00D66E13">
              <w:rPr>
                <w:rFonts w:cs="Arial"/>
                <w:szCs w:val="18"/>
                <w:lang w:val="en-GB"/>
              </w:rPr>
              <w:t>1.1</w:t>
            </w:r>
          </w:p>
        </w:tc>
      </w:tr>
      <w:tr w:rsidR="0068402A" w:rsidRPr="00D66E13" w14:paraId="222B7042" w14:textId="77777777" w:rsidTr="00F766A5">
        <w:tc>
          <w:tcPr>
            <w:tcW w:w="3544" w:type="dxa"/>
            <w:tcBorders>
              <w:top w:val="single" w:sz="4" w:space="0" w:color="auto"/>
              <w:bottom w:val="single" w:sz="4" w:space="0" w:color="auto"/>
            </w:tcBorders>
            <w:shd w:val="clear" w:color="auto" w:fill="FFFFFF"/>
          </w:tcPr>
          <w:p w14:paraId="1FFD97E6" w14:textId="1B57DC61" w:rsidR="0068402A" w:rsidRPr="00D66E13" w:rsidRDefault="0068402A" w:rsidP="0068402A">
            <w:pPr>
              <w:pStyle w:val="CETBodytext"/>
              <w:ind w:right="-1"/>
              <w:rPr>
                <w:rFonts w:cs="Arial"/>
                <w:szCs w:val="18"/>
                <w:lang w:val="en-GB"/>
              </w:rPr>
            </w:pPr>
            <w:r w:rsidRPr="00D66E13">
              <w:rPr>
                <w:rFonts w:cs="Arial"/>
                <w:szCs w:val="18"/>
                <w:lang w:val="en-GB"/>
              </w:rPr>
              <w:t>Beginning Temperature + (30 – 40) K</w:t>
            </w:r>
          </w:p>
        </w:tc>
        <w:tc>
          <w:tcPr>
            <w:tcW w:w="2039" w:type="dxa"/>
            <w:gridSpan w:val="2"/>
            <w:tcBorders>
              <w:top w:val="single" w:sz="4" w:space="0" w:color="auto"/>
              <w:bottom w:val="single" w:sz="4" w:space="0" w:color="auto"/>
            </w:tcBorders>
            <w:shd w:val="clear" w:color="auto" w:fill="FFFFFF"/>
          </w:tcPr>
          <w:p w14:paraId="7D345B0A" w14:textId="391AF3EF" w:rsidR="0068402A" w:rsidRPr="00D66E13" w:rsidRDefault="0068402A" w:rsidP="0068402A">
            <w:pPr>
              <w:pStyle w:val="CETBodytext"/>
              <w:ind w:right="-1"/>
              <w:rPr>
                <w:rFonts w:cs="Arial"/>
                <w:szCs w:val="18"/>
                <w:lang w:val="en-GB"/>
              </w:rPr>
            </w:pPr>
            <w:r w:rsidRPr="00D66E13">
              <w:rPr>
                <w:rFonts w:cs="Arial"/>
                <w:szCs w:val="18"/>
                <w:lang w:val="en-GB"/>
              </w:rPr>
              <w:t>0.85 (ASTM1226)</w:t>
            </w:r>
          </w:p>
        </w:tc>
        <w:tc>
          <w:tcPr>
            <w:tcW w:w="1080" w:type="dxa"/>
            <w:tcBorders>
              <w:top w:val="single" w:sz="4" w:space="0" w:color="auto"/>
              <w:bottom w:val="single" w:sz="4" w:space="0" w:color="auto"/>
            </w:tcBorders>
            <w:shd w:val="clear" w:color="auto" w:fill="FFFFFF"/>
          </w:tcPr>
          <w:p w14:paraId="5C957941" w14:textId="5BA6F0DB" w:rsidR="0068402A" w:rsidRPr="00D66E13" w:rsidRDefault="00F766A5" w:rsidP="0068402A">
            <w:pPr>
              <w:pStyle w:val="CETBodytext"/>
              <w:ind w:right="-1"/>
              <w:rPr>
                <w:rFonts w:cs="Arial"/>
                <w:szCs w:val="18"/>
                <w:lang w:val="en-GB"/>
              </w:rPr>
            </w:pPr>
            <w:r>
              <w:rPr>
                <w:rFonts w:cs="Arial"/>
                <w:szCs w:val="18"/>
                <w:lang w:val="en-GB"/>
              </w:rPr>
              <w:t>unknown</w:t>
            </w:r>
          </w:p>
        </w:tc>
        <w:tc>
          <w:tcPr>
            <w:tcW w:w="384" w:type="dxa"/>
            <w:tcBorders>
              <w:top w:val="single" w:sz="4" w:space="0" w:color="auto"/>
              <w:bottom w:val="single" w:sz="4" w:space="0" w:color="auto"/>
            </w:tcBorders>
            <w:shd w:val="clear" w:color="auto" w:fill="FFFFFF"/>
          </w:tcPr>
          <w:p w14:paraId="6D599EBB" w14:textId="052B7BD7" w:rsidR="0068402A" w:rsidRPr="00D66E13" w:rsidRDefault="00F766A5" w:rsidP="0068402A">
            <w:pPr>
              <w:pStyle w:val="CETBodytext"/>
              <w:ind w:right="-1"/>
              <w:rPr>
                <w:rFonts w:cs="Arial"/>
                <w:szCs w:val="18"/>
                <w:lang w:val="en-GB"/>
              </w:rPr>
            </w:pPr>
            <w:r>
              <w:rPr>
                <w:rFonts w:cs="Arial"/>
                <w:szCs w:val="18"/>
                <w:lang w:val="en-GB"/>
              </w:rPr>
              <w:t>unknown</w:t>
            </w:r>
          </w:p>
        </w:tc>
      </w:tr>
      <w:tr w:rsidR="0068402A" w:rsidRPr="00D66E13" w14:paraId="435009AD" w14:textId="77777777" w:rsidTr="00F766A5">
        <w:tc>
          <w:tcPr>
            <w:tcW w:w="3544" w:type="dxa"/>
            <w:tcBorders>
              <w:top w:val="single" w:sz="4" w:space="0" w:color="auto"/>
              <w:bottom w:val="single" w:sz="4" w:space="0" w:color="auto"/>
            </w:tcBorders>
            <w:shd w:val="clear" w:color="auto" w:fill="FFFFFF"/>
          </w:tcPr>
          <w:p w14:paraId="0BD0C10E" w14:textId="5FE5EF7F" w:rsidR="0068402A" w:rsidRPr="00D66E13" w:rsidRDefault="0068402A" w:rsidP="0068402A">
            <w:pPr>
              <w:pStyle w:val="CETBodytext"/>
              <w:ind w:right="-1"/>
              <w:rPr>
                <w:rFonts w:cs="Arial"/>
                <w:szCs w:val="18"/>
                <w:lang w:val="en-GB"/>
              </w:rPr>
            </w:pPr>
            <w:r w:rsidRPr="00D66E13">
              <w:rPr>
                <w:rFonts w:cs="Arial"/>
                <w:szCs w:val="18"/>
                <w:lang w:val="en-GB"/>
              </w:rPr>
              <w:t>Beginning Temperature ± 10 K</w:t>
            </w:r>
          </w:p>
        </w:tc>
        <w:tc>
          <w:tcPr>
            <w:tcW w:w="1021" w:type="dxa"/>
            <w:tcBorders>
              <w:top w:val="single" w:sz="4" w:space="0" w:color="auto"/>
              <w:bottom w:val="single" w:sz="4" w:space="0" w:color="auto"/>
            </w:tcBorders>
            <w:shd w:val="clear" w:color="auto" w:fill="FFFFFF"/>
          </w:tcPr>
          <w:p w14:paraId="628AE909" w14:textId="591E75D0" w:rsidR="0068402A" w:rsidRPr="00D66E13" w:rsidRDefault="0068402A" w:rsidP="0068402A">
            <w:pPr>
              <w:pStyle w:val="CETBodytext"/>
              <w:ind w:right="-1"/>
              <w:rPr>
                <w:rFonts w:cs="Arial"/>
                <w:szCs w:val="18"/>
                <w:lang w:val="en-GB"/>
              </w:rPr>
            </w:pPr>
            <w:r w:rsidRPr="00D66E13">
              <w:rPr>
                <w:rFonts w:cs="Arial"/>
                <w:szCs w:val="18"/>
                <w:lang w:val="en-GB"/>
              </w:rPr>
              <w:t>0.97</w:t>
            </w:r>
          </w:p>
        </w:tc>
        <w:tc>
          <w:tcPr>
            <w:tcW w:w="1018" w:type="dxa"/>
            <w:tcBorders>
              <w:top w:val="single" w:sz="4" w:space="0" w:color="auto"/>
              <w:bottom w:val="single" w:sz="4" w:space="0" w:color="auto"/>
            </w:tcBorders>
            <w:shd w:val="clear" w:color="auto" w:fill="FFFFFF"/>
          </w:tcPr>
          <w:p w14:paraId="061AEBE5" w14:textId="7D5D3D12" w:rsidR="0068402A" w:rsidRPr="00D66E13" w:rsidRDefault="0068402A" w:rsidP="0068402A">
            <w:pPr>
              <w:pStyle w:val="CETBodytext"/>
              <w:ind w:right="-1"/>
              <w:rPr>
                <w:rFonts w:cs="Arial"/>
                <w:szCs w:val="18"/>
                <w:lang w:val="en-GB"/>
              </w:rPr>
            </w:pPr>
            <w:r w:rsidRPr="00D66E13">
              <w:rPr>
                <w:rFonts w:cs="Arial"/>
                <w:szCs w:val="18"/>
                <w:lang w:val="en-GB"/>
              </w:rPr>
              <w:t>1.04</w:t>
            </w:r>
          </w:p>
        </w:tc>
        <w:tc>
          <w:tcPr>
            <w:tcW w:w="1080" w:type="dxa"/>
            <w:tcBorders>
              <w:top w:val="single" w:sz="4" w:space="0" w:color="auto"/>
              <w:bottom w:val="single" w:sz="4" w:space="0" w:color="auto"/>
            </w:tcBorders>
            <w:shd w:val="clear" w:color="auto" w:fill="FFFFFF"/>
          </w:tcPr>
          <w:p w14:paraId="51D859B3" w14:textId="1D638607" w:rsidR="0068402A" w:rsidRPr="00D66E13" w:rsidRDefault="0068402A" w:rsidP="0068402A">
            <w:pPr>
              <w:pStyle w:val="CETBodytext"/>
              <w:ind w:right="-1"/>
              <w:rPr>
                <w:rFonts w:cs="Arial"/>
                <w:szCs w:val="18"/>
                <w:lang w:val="en-GB"/>
              </w:rPr>
            </w:pPr>
            <w:r w:rsidRPr="00D66E13">
              <w:rPr>
                <w:rFonts w:cs="Arial"/>
                <w:szCs w:val="18"/>
                <w:lang w:val="en-GB"/>
              </w:rPr>
              <w:t>0.97</w:t>
            </w:r>
          </w:p>
        </w:tc>
        <w:tc>
          <w:tcPr>
            <w:tcW w:w="384" w:type="dxa"/>
            <w:tcBorders>
              <w:top w:val="single" w:sz="4" w:space="0" w:color="auto"/>
              <w:bottom w:val="single" w:sz="4" w:space="0" w:color="auto"/>
            </w:tcBorders>
            <w:shd w:val="clear" w:color="auto" w:fill="FFFFFF"/>
          </w:tcPr>
          <w:p w14:paraId="73F619FE" w14:textId="0E198626" w:rsidR="0068402A" w:rsidRPr="00D66E13" w:rsidRDefault="0068402A" w:rsidP="0068402A">
            <w:pPr>
              <w:pStyle w:val="CETBodytext"/>
              <w:ind w:right="-1"/>
              <w:rPr>
                <w:rFonts w:cs="Arial"/>
                <w:szCs w:val="18"/>
                <w:lang w:val="en-GB"/>
              </w:rPr>
            </w:pPr>
            <w:r w:rsidRPr="00D66E13">
              <w:rPr>
                <w:rFonts w:cs="Arial"/>
                <w:szCs w:val="18"/>
                <w:lang w:val="en-GB"/>
              </w:rPr>
              <w:t>1.04</w:t>
            </w:r>
          </w:p>
        </w:tc>
      </w:tr>
      <w:tr w:rsidR="0068402A" w:rsidRPr="00D66E13" w14:paraId="6C63F9C4" w14:textId="77777777" w:rsidTr="00F766A5">
        <w:tc>
          <w:tcPr>
            <w:tcW w:w="3544" w:type="dxa"/>
            <w:tcBorders>
              <w:top w:val="single" w:sz="4" w:space="0" w:color="auto"/>
              <w:bottom w:val="single" w:sz="4" w:space="0" w:color="auto"/>
            </w:tcBorders>
            <w:shd w:val="clear" w:color="auto" w:fill="FFFFFF"/>
          </w:tcPr>
          <w:p w14:paraId="41B77FB0" w14:textId="1BFB4B29" w:rsidR="0068402A" w:rsidRPr="00D66E13" w:rsidRDefault="0068402A" w:rsidP="0068402A">
            <w:pPr>
              <w:pStyle w:val="CETBodytext"/>
              <w:ind w:right="-1"/>
              <w:rPr>
                <w:rFonts w:cs="Arial"/>
                <w:szCs w:val="18"/>
                <w:lang w:val="en-GB"/>
              </w:rPr>
            </w:pPr>
            <w:r w:rsidRPr="00D66E13">
              <w:rPr>
                <w:rFonts w:cs="Arial"/>
                <w:szCs w:val="18"/>
                <w:lang w:val="en-GB"/>
              </w:rPr>
              <w:t>Beginning Temperature ± 5 K</w:t>
            </w:r>
          </w:p>
        </w:tc>
        <w:tc>
          <w:tcPr>
            <w:tcW w:w="1021" w:type="dxa"/>
            <w:tcBorders>
              <w:top w:val="single" w:sz="4" w:space="0" w:color="auto"/>
              <w:bottom w:val="single" w:sz="4" w:space="0" w:color="auto"/>
            </w:tcBorders>
            <w:shd w:val="clear" w:color="auto" w:fill="FFFFFF"/>
          </w:tcPr>
          <w:p w14:paraId="37AA6026" w14:textId="3486CB7A" w:rsidR="0068402A" w:rsidRPr="00D66E13" w:rsidRDefault="0068402A" w:rsidP="0068402A">
            <w:pPr>
              <w:pStyle w:val="CETBodytext"/>
              <w:ind w:right="-1"/>
              <w:rPr>
                <w:rFonts w:cs="Arial"/>
                <w:szCs w:val="18"/>
                <w:lang w:val="en-GB"/>
              </w:rPr>
            </w:pPr>
            <w:r w:rsidRPr="00D66E13">
              <w:rPr>
                <w:rFonts w:cs="Arial"/>
                <w:szCs w:val="18"/>
                <w:lang w:val="en-GB"/>
              </w:rPr>
              <w:t>0.98</w:t>
            </w:r>
          </w:p>
        </w:tc>
        <w:tc>
          <w:tcPr>
            <w:tcW w:w="1018" w:type="dxa"/>
            <w:tcBorders>
              <w:top w:val="single" w:sz="4" w:space="0" w:color="auto"/>
              <w:bottom w:val="single" w:sz="4" w:space="0" w:color="auto"/>
            </w:tcBorders>
            <w:shd w:val="clear" w:color="auto" w:fill="FFFFFF"/>
          </w:tcPr>
          <w:p w14:paraId="1E376A26" w14:textId="6699DA24" w:rsidR="0068402A" w:rsidRPr="00D66E13" w:rsidRDefault="0068402A" w:rsidP="0068402A">
            <w:pPr>
              <w:pStyle w:val="CETBodytext"/>
              <w:ind w:right="-1"/>
              <w:rPr>
                <w:rFonts w:cs="Arial"/>
                <w:szCs w:val="18"/>
                <w:lang w:val="en-GB"/>
              </w:rPr>
            </w:pPr>
            <w:r w:rsidRPr="00D66E13">
              <w:rPr>
                <w:rFonts w:cs="Arial"/>
                <w:szCs w:val="18"/>
                <w:lang w:val="en-GB"/>
              </w:rPr>
              <w:t>1.02</w:t>
            </w:r>
          </w:p>
        </w:tc>
        <w:tc>
          <w:tcPr>
            <w:tcW w:w="1080" w:type="dxa"/>
            <w:tcBorders>
              <w:top w:val="single" w:sz="4" w:space="0" w:color="auto"/>
              <w:bottom w:val="single" w:sz="4" w:space="0" w:color="auto"/>
            </w:tcBorders>
            <w:shd w:val="clear" w:color="auto" w:fill="FFFFFF"/>
          </w:tcPr>
          <w:p w14:paraId="4EEFED33" w14:textId="043C1DD9" w:rsidR="0068402A" w:rsidRPr="00D66E13" w:rsidRDefault="0068402A" w:rsidP="0068402A">
            <w:pPr>
              <w:pStyle w:val="CETBodytext"/>
              <w:ind w:right="-1"/>
              <w:rPr>
                <w:rFonts w:cs="Arial"/>
                <w:szCs w:val="18"/>
                <w:lang w:val="en-GB"/>
              </w:rPr>
            </w:pPr>
            <w:r w:rsidRPr="00D66E13">
              <w:rPr>
                <w:rFonts w:cs="Arial"/>
                <w:szCs w:val="18"/>
                <w:lang w:val="en-GB"/>
              </w:rPr>
              <w:t>0.98</w:t>
            </w:r>
          </w:p>
        </w:tc>
        <w:tc>
          <w:tcPr>
            <w:tcW w:w="384" w:type="dxa"/>
            <w:tcBorders>
              <w:top w:val="single" w:sz="4" w:space="0" w:color="auto"/>
              <w:bottom w:val="single" w:sz="4" w:space="0" w:color="auto"/>
            </w:tcBorders>
            <w:shd w:val="clear" w:color="auto" w:fill="FFFFFF"/>
          </w:tcPr>
          <w:p w14:paraId="656B9C9C" w14:textId="1151D099" w:rsidR="0068402A" w:rsidRPr="00D66E13" w:rsidRDefault="0068402A" w:rsidP="0068402A">
            <w:pPr>
              <w:pStyle w:val="CETBodytext"/>
              <w:ind w:right="-1"/>
              <w:rPr>
                <w:rFonts w:cs="Arial"/>
                <w:szCs w:val="18"/>
                <w:lang w:val="en-GB"/>
              </w:rPr>
            </w:pPr>
            <w:r w:rsidRPr="00D66E13">
              <w:rPr>
                <w:rFonts w:cs="Arial"/>
                <w:szCs w:val="18"/>
                <w:lang w:val="en-GB"/>
              </w:rPr>
              <w:t>1.02</w:t>
            </w:r>
          </w:p>
        </w:tc>
      </w:tr>
    </w:tbl>
    <w:p w14:paraId="3A6BE20C" w14:textId="7C71BC05" w:rsidR="00551E1A" w:rsidRPr="00D66E13" w:rsidRDefault="00551E1A" w:rsidP="00600535">
      <w:pPr>
        <w:pStyle w:val="CETBodytext"/>
        <w:rPr>
          <w:lang w:val="en-GB"/>
        </w:rPr>
      </w:pPr>
    </w:p>
    <w:p w14:paraId="3246FDDC" w14:textId="6885A614" w:rsidR="00551E1A" w:rsidRPr="00D66E13" w:rsidRDefault="00551E1A" w:rsidP="00600535">
      <w:pPr>
        <w:pStyle w:val="CETBodytext"/>
        <w:rPr>
          <w:lang w:val="en-GB"/>
        </w:rPr>
      </w:pPr>
    </w:p>
    <w:p w14:paraId="6A414034" w14:textId="6448FD28" w:rsidR="00551E1A" w:rsidRPr="00D66E13" w:rsidRDefault="00551E1A" w:rsidP="00600535">
      <w:pPr>
        <w:pStyle w:val="CETBodytext"/>
        <w:rPr>
          <w:lang w:val="en-GB"/>
        </w:rPr>
      </w:pPr>
    </w:p>
    <w:p w14:paraId="5F24C172" w14:textId="201E0B0E" w:rsidR="00551E1A" w:rsidRPr="00D66E13" w:rsidRDefault="00551E1A" w:rsidP="00600535">
      <w:pPr>
        <w:pStyle w:val="CETBodytext"/>
        <w:rPr>
          <w:lang w:val="en-GB"/>
        </w:rPr>
      </w:pPr>
    </w:p>
    <w:p w14:paraId="3B9AED5B" w14:textId="41908AA9" w:rsidR="00551E1A" w:rsidRPr="00D66E13" w:rsidRDefault="00551E1A" w:rsidP="00600535">
      <w:pPr>
        <w:pStyle w:val="CETBodytext"/>
        <w:rPr>
          <w:lang w:val="en-GB"/>
        </w:rPr>
      </w:pPr>
    </w:p>
    <w:p w14:paraId="61243DA0" w14:textId="465D00DC" w:rsidR="00551E1A" w:rsidRPr="00D66E13" w:rsidRDefault="00551E1A" w:rsidP="00600535">
      <w:pPr>
        <w:pStyle w:val="CETBodytext"/>
        <w:rPr>
          <w:lang w:val="en-GB"/>
        </w:rPr>
      </w:pPr>
    </w:p>
    <w:p w14:paraId="78F6DAAD" w14:textId="31300820" w:rsidR="00551E1A" w:rsidRPr="00D66E13" w:rsidRDefault="00551E1A" w:rsidP="00600535">
      <w:pPr>
        <w:pStyle w:val="CETBodytext"/>
        <w:rPr>
          <w:lang w:val="en-GB"/>
        </w:rPr>
      </w:pPr>
    </w:p>
    <w:p w14:paraId="1AB46F0C" w14:textId="2F96D3CE" w:rsidR="00551E1A" w:rsidRDefault="00551E1A" w:rsidP="00600535">
      <w:pPr>
        <w:pStyle w:val="CETBodytext"/>
        <w:rPr>
          <w:lang w:val="en-GB"/>
        </w:rPr>
      </w:pPr>
    </w:p>
    <w:p w14:paraId="48484D51" w14:textId="18CB0135" w:rsidR="00D66E13" w:rsidRDefault="00D66E13" w:rsidP="00600535">
      <w:pPr>
        <w:pStyle w:val="CETBodytext"/>
        <w:rPr>
          <w:lang w:val="en-GB"/>
        </w:rPr>
      </w:pPr>
    </w:p>
    <w:p w14:paraId="3EFA0D7E" w14:textId="19E4804E" w:rsidR="00D66E13" w:rsidRDefault="00D66E13" w:rsidP="00600535">
      <w:pPr>
        <w:pStyle w:val="CETBodytext"/>
        <w:rPr>
          <w:lang w:val="en-GB"/>
        </w:rPr>
      </w:pPr>
    </w:p>
    <w:p w14:paraId="6E1AE888" w14:textId="19578C17" w:rsidR="00D66E13" w:rsidRDefault="00D66E13" w:rsidP="00600535">
      <w:pPr>
        <w:pStyle w:val="CETBodytext"/>
        <w:rPr>
          <w:lang w:val="en-GB"/>
        </w:rPr>
      </w:pPr>
    </w:p>
    <w:p w14:paraId="4EA60A5F" w14:textId="77777777" w:rsidR="00D66E13" w:rsidRPr="00D66E13" w:rsidRDefault="00D66E13" w:rsidP="00600535">
      <w:pPr>
        <w:pStyle w:val="CETBodytext"/>
        <w:rPr>
          <w:lang w:val="en-GB"/>
        </w:rPr>
      </w:pPr>
    </w:p>
    <w:p w14:paraId="21F11E0A" w14:textId="77777777" w:rsidR="00551E1A" w:rsidRPr="00D66E13" w:rsidRDefault="00551E1A" w:rsidP="00600535">
      <w:pPr>
        <w:pStyle w:val="CETBodytext"/>
        <w:rPr>
          <w:lang w:val="en-GB"/>
        </w:rPr>
      </w:pPr>
    </w:p>
    <w:p w14:paraId="68D26B83" w14:textId="77777777" w:rsidR="00600535" w:rsidRPr="00D66E13" w:rsidRDefault="00600535" w:rsidP="00600535">
      <w:pPr>
        <w:pStyle w:val="CETHeading1"/>
        <w:rPr>
          <w:lang w:val="en-GB"/>
        </w:rPr>
      </w:pPr>
      <w:r w:rsidRPr="00D66E13">
        <w:rPr>
          <w:lang w:val="en-GB"/>
        </w:rPr>
        <w:t>Conclusions</w:t>
      </w:r>
    </w:p>
    <w:p w14:paraId="5FDA2465" w14:textId="3527C884" w:rsidR="007F2E0C" w:rsidRDefault="00600535" w:rsidP="00600535">
      <w:pPr>
        <w:pStyle w:val="CETBodytext"/>
        <w:rPr>
          <w:lang w:val="en-GB"/>
        </w:rPr>
      </w:pPr>
      <w:r w:rsidRPr="00B57B36">
        <w:rPr>
          <w:lang w:val="en-GB"/>
        </w:rPr>
        <w:t xml:space="preserve">It </w:t>
      </w:r>
      <w:r w:rsidR="008009E5">
        <w:rPr>
          <w:lang w:val="en-GB"/>
        </w:rPr>
        <w:t xml:space="preserve">was </w:t>
      </w:r>
      <w:r w:rsidR="007F2E0C">
        <w:rPr>
          <w:lang w:val="en-GB"/>
        </w:rPr>
        <w:t>shown</w:t>
      </w:r>
      <w:r w:rsidR="008009E5">
        <w:rPr>
          <w:lang w:val="en-GB"/>
        </w:rPr>
        <w:t xml:space="preserve"> that there are many parameters that influence the safety characteristics </w:t>
      </w:r>
      <w:proofErr w:type="spellStart"/>
      <w:r w:rsidR="008009E5">
        <w:rPr>
          <w:lang w:val="en-GB"/>
        </w:rPr>
        <w:t>p</w:t>
      </w:r>
      <w:r w:rsidR="008009E5" w:rsidRPr="00C5491B">
        <w:rPr>
          <w:vertAlign w:val="subscript"/>
          <w:lang w:val="en-GB"/>
        </w:rPr>
        <w:t>max</w:t>
      </w:r>
      <w:proofErr w:type="spellEnd"/>
      <w:r w:rsidR="008009E5">
        <w:rPr>
          <w:lang w:val="en-GB"/>
        </w:rPr>
        <w:t xml:space="preserve"> and (</w:t>
      </w:r>
      <w:proofErr w:type="spellStart"/>
      <w:r w:rsidR="008009E5">
        <w:rPr>
          <w:lang w:val="en-GB"/>
        </w:rPr>
        <w:t>dp</w:t>
      </w:r>
      <w:proofErr w:type="spellEnd"/>
      <w:r w:rsidR="008009E5">
        <w:rPr>
          <w:lang w:val="en-GB"/>
        </w:rPr>
        <w:t>/dt)</w:t>
      </w:r>
      <w:r w:rsidR="008009E5" w:rsidRPr="00C5491B">
        <w:rPr>
          <w:vertAlign w:val="subscript"/>
          <w:lang w:val="en-GB"/>
        </w:rPr>
        <w:t>max</w:t>
      </w:r>
      <w:r w:rsidR="008009E5">
        <w:rPr>
          <w:lang w:val="en-GB"/>
        </w:rPr>
        <w:t xml:space="preserve"> of dusts. Some parameters can be left unaltered since their variation doesn’t affect the determined values linearly. Other</w:t>
      </w:r>
      <w:r w:rsidRPr="00B57B36">
        <w:rPr>
          <w:lang w:val="en-GB"/>
        </w:rPr>
        <w:t>s</w:t>
      </w:r>
      <w:r w:rsidR="008009E5">
        <w:rPr>
          <w:lang w:val="en-GB"/>
        </w:rPr>
        <w:t xml:space="preserve"> should be implemented in a narrower range to avoid </w:t>
      </w:r>
      <w:r w:rsidR="007F2E0C">
        <w:rPr>
          <w:lang w:val="en-GB"/>
        </w:rPr>
        <w:t>high discrepancies between different test laboratories.</w:t>
      </w:r>
    </w:p>
    <w:p w14:paraId="77964A90" w14:textId="7372CFA7" w:rsidR="007F2E0C" w:rsidRDefault="0068402A" w:rsidP="0068402A">
      <w:pPr>
        <w:pStyle w:val="CETBodytext"/>
        <w:rPr>
          <w:lang w:val="en-GB"/>
        </w:rPr>
      </w:pPr>
      <w:proofErr w:type="gramStart"/>
      <w:r>
        <w:rPr>
          <w:lang w:val="en-GB"/>
        </w:rPr>
        <w:t>First of all</w:t>
      </w:r>
      <w:proofErr w:type="gramEnd"/>
      <w:r w:rsidR="009370F1">
        <w:rPr>
          <w:lang w:val="en-GB"/>
        </w:rPr>
        <w:t>,</w:t>
      </w:r>
      <w:r>
        <w:rPr>
          <w:lang w:val="en-GB"/>
        </w:rPr>
        <w:t xml:space="preserve"> a range for the</w:t>
      </w:r>
      <w:r w:rsidR="007F2E0C">
        <w:rPr>
          <w:lang w:val="en-GB"/>
        </w:rPr>
        <w:t xml:space="preserve"> </w:t>
      </w:r>
      <w:r>
        <w:rPr>
          <w:lang w:val="en-GB"/>
        </w:rPr>
        <w:t>beginning temperature should be inserted in the standards and the measured value should be stated in the report which is already mandatory in the European standard</w:t>
      </w:r>
      <w:r w:rsidR="00D30167">
        <w:rPr>
          <w:lang w:val="en-GB"/>
        </w:rPr>
        <w:t>,</w:t>
      </w:r>
      <w:r>
        <w:rPr>
          <w:lang w:val="en-GB"/>
        </w:rPr>
        <w:t xml:space="preserve"> but </w:t>
      </w:r>
      <w:r w:rsidR="00CD033E">
        <w:rPr>
          <w:lang w:val="en-GB"/>
        </w:rPr>
        <w:t xml:space="preserve">often </w:t>
      </w:r>
      <w:r w:rsidR="00D30167">
        <w:rPr>
          <w:lang w:val="en-GB"/>
        </w:rPr>
        <w:t xml:space="preserve">this is </w:t>
      </w:r>
      <w:r w:rsidR="00CD033E">
        <w:rPr>
          <w:lang w:val="en-GB"/>
        </w:rPr>
        <w:t>not done</w:t>
      </w:r>
      <w:r>
        <w:rPr>
          <w:lang w:val="en-GB"/>
        </w:rPr>
        <w:t>.</w:t>
      </w:r>
    </w:p>
    <w:p w14:paraId="5A7BA2CE" w14:textId="77777777" w:rsidR="00414DAC" w:rsidRDefault="007F2E0C" w:rsidP="007F2E0C">
      <w:pPr>
        <w:pStyle w:val="CETBodytext"/>
        <w:rPr>
          <w:lang w:val="en-GB"/>
        </w:rPr>
      </w:pPr>
      <w:r>
        <w:rPr>
          <w:lang w:val="en-GB"/>
        </w:rPr>
        <w:lastRenderedPageBreak/>
        <w:t>The</w:t>
      </w:r>
      <w:r w:rsidR="00414DAC">
        <w:rPr>
          <w:lang w:val="en-GB"/>
        </w:rPr>
        <w:t xml:space="preserve"> allowed range for the</w:t>
      </w:r>
      <w:r>
        <w:rPr>
          <w:lang w:val="en-GB"/>
        </w:rPr>
        <w:t xml:space="preserve"> </w:t>
      </w:r>
      <w:r w:rsidR="00414DAC">
        <w:rPr>
          <w:lang w:val="en-GB"/>
        </w:rPr>
        <w:t>beginning pressure and the pre-ignition pressure rise</w:t>
      </w:r>
      <w:r>
        <w:rPr>
          <w:lang w:val="en-GB"/>
        </w:rPr>
        <w:t xml:space="preserve"> should be narrowed in the standards since their variation causes at least a linear correlation </w:t>
      </w:r>
      <w:r w:rsidR="00414DAC">
        <w:rPr>
          <w:lang w:val="en-GB"/>
        </w:rPr>
        <w:t>for</w:t>
      </w:r>
      <w:r>
        <w:rPr>
          <w:lang w:val="en-GB"/>
        </w:rPr>
        <w:t xml:space="preserve"> the determined values</w:t>
      </w:r>
      <w:r w:rsidR="00414DAC">
        <w:rPr>
          <w:lang w:val="en-GB"/>
        </w:rPr>
        <w:t>.</w:t>
      </w:r>
    </w:p>
    <w:p w14:paraId="1078C87B" w14:textId="0718B8F1" w:rsidR="007F2E0C" w:rsidRDefault="007F2E0C" w:rsidP="007F2E0C">
      <w:pPr>
        <w:pStyle w:val="CETBodytext"/>
        <w:rPr>
          <w:lang w:val="en-GB"/>
        </w:rPr>
      </w:pPr>
      <w:r>
        <w:rPr>
          <w:lang w:val="en-GB"/>
        </w:rPr>
        <w:t xml:space="preserve">The scattering should always be kept in mind when determining safety characteristics and </w:t>
      </w:r>
      <w:r w:rsidR="00B67B81">
        <w:rPr>
          <w:lang w:val="en-GB"/>
        </w:rPr>
        <w:t xml:space="preserve">it </w:t>
      </w:r>
      <w:r>
        <w:rPr>
          <w:lang w:val="en-GB"/>
        </w:rPr>
        <w:t>may also be stated for a better comparison between different facilities.</w:t>
      </w:r>
    </w:p>
    <w:p w14:paraId="6F7A9604" w14:textId="00D799A9" w:rsidR="00C5491B" w:rsidRDefault="00C5491B" w:rsidP="007F2E0C">
      <w:pPr>
        <w:pStyle w:val="CETBodytext"/>
        <w:rPr>
          <w:lang w:val="en-GB"/>
        </w:rPr>
      </w:pPr>
      <w:r>
        <w:rPr>
          <w:lang w:val="en-GB"/>
        </w:rPr>
        <w:t>Since the igniters have a scattering on the ignition delay time</w:t>
      </w:r>
      <w:r w:rsidR="00654400">
        <w:rPr>
          <w:lang w:val="en-GB"/>
        </w:rPr>
        <w:t>,</w:t>
      </w:r>
      <w:r>
        <w:rPr>
          <w:lang w:val="en-GB"/>
        </w:rPr>
        <w:t xml:space="preserve"> it might be beneficial to replace the chemical igniters by two exploding wires since their behaviour is predictable.</w:t>
      </w:r>
    </w:p>
    <w:p w14:paraId="6A2E9786" w14:textId="217F7577" w:rsidR="00414DAC" w:rsidRDefault="00414DAC" w:rsidP="007F2E0C">
      <w:pPr>
        <w:pStyle w:val="CETBodytext"/>
        <w:rPr>
          <w:lang w:val="en-GB"/>
        </w:rPr>
      </w:pPr>
      <w:r>
        <w:rPr>
          <w:lang w:val="en-GB"/>
        </w:rPr>
        <w:t xml:space="preserve">By implementing all these changes, the comparison of several values from different facilities will be easier. </w:t>
      </w:r>
    </w:p>
    <w:p w14:paraId="459D05E6" w14:textId="77777777" w:rsidR="00600535" w:rsidRPr="00B57B36" w:rsidRDefault="00600535" w:rsidP="00600535">
      <w:pPr>
        <w:pStyle w:val="CETAcknowledgementstitle"/>
      </w:pPr>
      <w:r w:rsidRPr="00B57B36">
        <w:t>Acknowledgments</w:t>
      </w:r>
    </w:p>
    <w:p w14:paraId="33F8138F" w14:textId="0D2A0173" w:rsidR="00600535" w:rsidRPr="00B57B36" w:rsidRDefault="007F2E0C" w:rsidP="00600535">
      <w:pPr>
        <w:pStyle w:val="CETBodytext"/>
        <w:rPr>
          <w:lang w:val="en-GB"/>
        </w:rPr>
      </w:pPr>
      <w:r>
        <w:rPr>
          <w:lang w:val="en-GB"/>
        </w:rPr>
        <w:t xml:space="preserve">The authors would like to thank </w:t>
      </w:r>
      <w:proofErr w:type="spellStart"/>
      <w:r>
        <w:rPr>
          <w:lang w:val="en-GB"/>
        </w:rPr>
        <w:t>Dr.</w:t>
      </w:r>
      <w:proofErr w:type="spellEnd"/>
      <w:r>
        <w:rPr>
          <w:lang w:val="en-GB"/>
        </w:rPr>
        <w:t xml:space="preserve"> Martin Schmidt for providing the dusts and the chemical igniters</w:t>
      </w:r>
      <w:r w:rsidR="00F438D2">
        <w:rPr>
          <w:lang w:val="en-GB"/>
        </w:rPr>
        <w:t>,</w:t>
      </w:r>
      <w:r>
        <w:rPr>
          <w:lang w:val="en-GB"/>
        </w:rPr>
        <w:t xml:space="preserve"> and Sara Salih and Dorian Tempier for conducting the dust tests.</w:t>
      </w:r>
    </w:p>
    <w:p w14:paraId="428B022A" w14:textId="01C70CD7" w:rsidR="00E65B91" w:rsidRPr="0058537A" w:rsidRDefault="00600535" w:rsidP="0058537A">
      <w:pPr>
        <w:pStyle w:val="CETReference"/>
      </w:pPr>
      <w:r w:rsidRPr="00B57B36">
        <w:t>References</w:t>
      </w:r>
    </w:p>
    <w:p w14:paraId="0619AC6E" w14:textId="29B4A45B" w:rsidR="006419D1" w:rsidRDefault="00551E1A" w:rsidP="006419D1">
      <w:pPr>
        <w:pStyle w:val="CETReferencetext"/>
      </w:pPr>
      <w:r>
        <w:t>ASTM 1226 – 12a - Standard Test Method for Explosibility of Dust Clouds, ASTM International, West Conshohocken</w:t>
      </w:r>
      <w:r w:rsidR="006419D1">
        <w:t xml:space="preserve">, </w:t>
      </w:r>
      <w:r w:rsidR="006419D1" w:rsidRPr="0058537A">
        <w:t>10.1520/E1226-12A</w:t>
      </w:r>
    </w:p>
    <w:p w14:paraId="54FA2BBB" w14:textId="0C984346" w:rsidR="00551E1A" w:rsidRDefault="00551E1A" w:rsidP="00551E1A">
      <w:pPr>
        <w:pStyle w:val="CETReferencetext"/>
      </w:pPr>
      <w:r>
        <w:t>ASTM E1515 – 2007 - Standard Test Method for Minimum Explosible Concentration of Combustible Dusts, ASTM International, West Conshohocken</w:t>
      </w:r>
      <w:r w:rsidR="0058537A">
        <w:t xml:space="preserve">, </w:t>
      </w:r>
      <w:r w:rsidR="0058537A" w:rsidRPr="0058537A">
        <w:t>10.1520/E1515-07</w:t>
      </w:r>
    </w:p>
    <w:p w14:paraId="485984D5" w14:textId="18D03BD9" w:rsidR="00F21198" w:rsidRDefault="00F21198" w:rsidP="00F21198">
      <w:pPr>
        <w:pStyle w:val="CETReferencetext"/>
        <w:rPr>
          <w:color w:val="000000" w:themeColor="text1"/>
          <w:lang w:val="cs-CZ"/>
        </w:rPr>
      </w:pPr>
      <w:r w:rsidRPr="00F21198">
        <w:rPr>
          <w:color w:val="000000" w:themeColor="text1"/>
          <w:lang w:val="cs-CZ"/>
        </w:rPr>
        <w:t>Chang, X., Bai, C., Zhang, B., and Sun, B. The effect of ignition delay time on the</w:t>
      </w:r>
      <w:r>
        <w:rPr>
          <w:color w:val="000000" w:themeColor="text1"/>
          <w:lang w:val="cs-CZ"/>
        </w:rPr>
        <w:t xml:space="preserve"> </w:t>
      </w:r>
      <w:r w:rsidRPr="00F21198">
        <w:rPr>
          <w:color w:val="000000" w:themeColor="text1"/>
          <w:lang w:val="cs-CZ"/>
        </w:rPr>
        <w:t>explosion behavior in non-uniform hydrogen-air mixtures. International Journal of</w:t>
      </w:r>
      <w:r>
        <w:rPr>
          <w:color w:val="000000" w:themeColor="text1"/>
          <w:lang w:val="cs-CZ"/>
        </w:rPr>
        <w:t xml:space="preserve"> </w:t>
      </w:r>
      <w:r w:rsidRPr="00F21198">
        <w:rPr>
          <w:color w:val="000000" w:themeColor="text1"/>
          <w:lang w:val="cs-CZ"/>
        </w:rPr>
        <w:t>Hydrogen Energy, 2022.</w:t>
      </w:r>
      <w:r>
        <w:rPr>
          <w:color w:val="000000" w:themeColor="text1"/>
          <w:lang w:val="cs-CZ"/>
        </w:rPr>
        <w:t xml:space="preserve"> </w:t>
      </w:r>
      <w:r w:rsidRPr="00F21198">
        <w:rPr>
          <w:color w:val="000000" w:themeColor="text1"/>
          <w:lang w:val="cs-CZ"/>
        </w:rPr>
        <w:t>10.1016/j.ijhydene.2022.01.026</w:t>
      </w:r>
    </w:p>
    <w:p w14:paraId="438EF035" w14:textId="14DE8880" w:rsidR="009F69F4" w:rsidRPr="00F21198" w:rsidRDefault="009F69F4" w:rsidP="009F69F4">
      <w:pPr>
        <w:pStyle w:val="CETReferencetext"/>
        <w:rPr>
          <w:color w:val="000000" w:themeColor="text1"/>
          <w:lang w:val="cs-CZ"/>
        </w:rPr>
      </w:pPr>
      <w:r w:rsidRPr="00F21198">
        <w:rPr>
          <w:color w:val="000000" w:themeColor="text1"/>
          <w:lang w:val="cs-CZ"/>
        </w:rPr>
        <w:t>Chen, J. and Zhang, Q. Flow characteristics of dusts dispersed by high-pressure air</w:t>
      </w:r>
      <w:r>
        <w:rPr>
          <w:color w:val="000000" w:themeColor="text1"/>
          <w:lang w:val="cs-CZ"/>
        </w:rPr>
        <w:t xml:space="preserve"> </w:t>
      </w:r>
      <w:r w:rsidRPr="00F21198">
        <w:rPr>
          <w:color w:val="000000" w:themeColor="text1"/>
          <w:lang w:val="cs-CZ"/>
        </w:rPr>
        <w:t>blast in 20 L chamber. Engineering Computations, 2015. 10.1108/EC-12-2013-0298</w:t>
      </w:r>
    </w:p>
    <w:p w14:paraId="2BD0DA1D" w14:textId="08370594" w:rsidR="00692492" w:rsidRDefault="00551E1A" w:rsidP="006419D1">
      <w:pPr>
        <w:pStyle w:val="CETReferencetext"/>
      </w:pPr>
      <w:r>
        <w:t xml:space="preserve">DIN EN 14034-1:2011 - </w:t>
      </w:r>
      <w:r w:rsidR="006419D1">
        <w:t xml:space="preserve">Determination of explosion characteristics of dust clouds – Part 1: Determination of the maximum explosion pressure </w:t>
      </w:r>
      <w:proofErr w:type="spellStart"/>
      <w:r w:rsidR="006419D1">
        <w:t>p</w:t>
      </w:r>
      <w:r w:rsidR="006419D1" w:rsidRPr="006419D1">
        <w:rPr>
          <w:vertAlign w:val="subscript"/>
        </w:rPr>
        <w:t>max</w:t>
      </w:r>
      <w:proofErr w:type="spellEnd"/>
      <w:r w:rsidR="006419D1">
        <w:t xml:space="preserve"> of dust clouds</w:t>
      </w:r>
      <w:r>
        <w:t xml:space="preserve">, </w:t>
      </w:r>
      <w:proofErr w:type="spellStart"/>
      <w:r>
        <w:t>Beuth</w:t>
      </w:r>
      <w:proofErr w:type="spellEnd"/>
      <w:r>
        <w:t>-Verlag, Berlin</w:t>
      </w:r>
      <w:r w:rsidR="006419D1">
        <w:t xml:space="preserve">, </w:t>
      </w:r>
      <w:r w:rsidR="006419D1" w:rsidRPr="0058537A">
        <w:t>10.31030/1709463</w:t>
      </w:r>
    </w:p>
    <w:p w14:paraId="3303A6D9" w14:textId="7302139F" w:rsidR="006419D1" w:rsidRDefault="00551E1A" w:rsidP="006419D1">
      <w:pPr>
        <w:pStyle w:val="CETReferencetext"/>
      </w:pPr>
      <w:r>
        <w:t xml:space="preserve">DIN EN 14034-1:2011 - </w:t>
      </w:r>
      <w:r w:rsidR="006419D1">
        <w:t>Determination of explosion characteristics of dust clouds – Part 2: Determination of the maximum rate of explosion pressure rise (</w:t>
      </w:r>
      <w:proofErr w:type="spellStart"/>
      <w:r w:rsidR="006419D1">
        <w:t>dp</w:t>
      </w:r>
      <w:proofErr w:type="spellEnd"/>
      <w:r w:rsidR="006419D1">
        <w:t>/dt)</w:t>
      </w:r>
      <w:r w:rsidR="006419D1" w:rsidRPr="00FB16BF">
        <w:rPr>
          <w:vertAlign w:val="subscript"/>
        </w:rPr>
        <w:t>max</w:t>
      </w:r>
      <w:r w:rsidR="006419D1">
        <w:t xml:space="preserve"> of dust clouds</w:t>
      </w:r>
      <w:r>
        <w:t xml:space="preserve">, </w:t>
      </w:r>
      <w:proofErr w:type="spellStart"/>
      <w:r>
        <w:t>Beuth</w:t>
      </w:r>
      <w:proofErr w:type="spellEnd"/>
      <w:r>
        <w:t>-Verlag, Berlin</w:t>
      </w:r>
      <w:r w:rsidR="006419D1">
        <w:t xml:space="preserve">, </w:t>
      </w:r>
      <w:r w:rsidR="006419D1" w:rsidRPr="0058537A">
        <w:t>10.31030/1709464</w:t>
      </w:r>
    </w:p>
    <w:p w14:paraId="248CF7E1" w14:textId="1EA03885" w:rsidR="006419D1" w:rsidRDefault="00551E1A" w:rsidP="006419D1">
      <w:pPr>
        <w:pStyle w:val="CETReferencetext"/>
      </w:pPr>
      <w:r>
        <w:t xml:space="preserve">DIN EN 14034-1:2011 - </w:t>
      </w:r>
      <w:r w:rsidR="006419D1">
        <w:t>Determination of explosion characteristics of dust clouds – Part 3: Determination of the lower explosion limit LEL of dust clouds</w:t>
      </w:r>
      <w:r>
        <w:t xml:space="preserve">, </w:t>
      </w:r>
      <w:proofErr w:type="spellStart"/>
      <w:r>
        <w:t>Beuth</w:t>
      </w:r>
      <w:proofErr w:type="spellEnd"/>
      <w:r>
        <w:t>-Verlag, Berlin</w:t>
      </w:r>
      <w:r w:rsidR="006419D1">
        <w:t xml:space="preserve">, </w:t>
      </w:r>
      <w:r w:rsidR="006419D1" w:rsidRPr="0058537A">
        <w:t>10.31030/1709465</w:t>
      </w:r>
    </w:p>
    <w:p w14:paraId="23352B9D" w14:textId="31147AA9" w:rsidR="0058537A" w:rsidRDefault="00551E1A" w:rsidP="0058537A">
      <w:pPr>
        <w:pStyle w:val="CETReferencetext"/>
      </w:pPr>
      <w:r>
        <w:t xml:space="preserve">DIN EN 14034-1:2011 - </w:t>
      </w:r>
      <w:r w:rsidR="006419D1">
        <w:t>Determination of explosion characteristics of dust clouds – Part 4: Determination of the limiting oxygen concentration LOC of dust clouds</w:t>
      </w:r>
      <w:r>
        <w:t xml:space="preserve">, </w:t>
      </w:r>
      <w:proofErr w:type="spellStart"/>
      <w:r>
        <w:t>Beuth</w:t>
      </w:r>
      <w:proofErr w:type="spellEnd"/>
      <w:r>
        <w:t>-Verlag, Berlin</w:t>
      </w:r>
      <w:r w:rsidR="006419D1">
        <w:t xml:space="preserve">, </w:t>
      </w:r>
      <w:r w:rsidR="006419D1" w:rsidRPr="0058537A">
        <w:t>10.31030/1709466</w:t>
      </w:r>
    </w:p>
    <w:p w14:paraId="79B26C33" w14:textId="0794C608" w:rsidR="009F69F4" w:rsidRPr="009F69F4" w:rsidRDefault="009F69F4" w:rsidP="009F69F4">
      <w:pPr>
        <w:pStyle w:val="CETReferencetext"/>
        <w:rPr>
          <w:color w:val="000000" w:themeColor="text1"/>
          <w:lang w:val="cs-CZ"/>
        </w:rPr>
      </w:pPr>
      <w:r w:rsidRPr="00F21198">
        <w:rPr>
          <w:color w:val="000000" w:themeColor="text1"/>
          <w:lang w:val="cs-CZ"/>
        </w:rPr>
        <w:t>Garcia Agreda, A., Di Benedetto, A., Russo, P., Salzano, E., and Sanchirico, R. The</w:t>
      </w:r>
      <w:r>
        <w:rPr>
          <w:color w:val="000000" w:themeColor="text1"/>
          <w:lang w:val="cs-CZ"/>
        </w:rPr>
        <w:t xml:space="preserve"> </w:t>
      </w:r>
      <w:r w:rsidRPr="00F21198">
        <w:rPr>
          <w:color w:val="000000" w:themeColor="text1"/>
          <w:lang w:val="cs-CZ"/>
        </w:rPr>
        <w:t>role of ignition delay time on the deflagration index in a 20l bomb. 6th International</w:t>
      </w:r>
      <w:r>
        <w:rPr>
          <w:color w:val="000000" w:themeColor="text1"/>
          <w:lang w:val="cs-CZ"/>
        </w:rPr>
        <w:t xml:space="preserve"> </w:t>
      </w:r>
      <w:r w:rsidRPr="00F21198">
        <w:rPr>
          <w:color w:val="000000" w:themeColor="text1"/>
          <w:lang w:val="cs-CZ"/>
        </w:rPr>
        <w:t>Seminar on Fire and Explosion Hazard (ISFEH6), 2010</w:t>
      </w:r>
    </w:p>
    <w:p w14:paraId="23BEFDAF" w14:textId="2F9FA5FC" w:rsidR="008740DD" w:rsidRDefault="008740DD" w:rsidP="008740DD">
      <w:pPr>
        <w:pStyle w:val="CETReferencetext"/>
        <w:rPr>
          <w:lang w:val="cs-CZ"/>
        </w:rPr>
      </w:pPr>
      <w:r w:rsidRPr="00400497">
        <w:rPr>
          <w:lang w:val="cs-CZ"/>
        </w:rPr>
        <w:t>Lepik, P., Mynarz, M., Serafin, J., &amp; Bernatik, A.</w:t>
      </w:r>
      <w:r>
        <w:rPr>
          <w:lang w:val="cs-CZ"/>
        </w:rPr>
        <w:t xml:space="preserve">, </w:t>
      </w:r>
      <w:r w:rsidRPr="00400497">
        <w:rPr>
          <w:lang w:val="cs-CZ"/>
        </w:rPr>
        <w:t>2014</w:t>
      </w:r>
      <w:r>
        <w:rPr>
          <w:lang w:val="cs-CZ"/>
        </w:rPr>
        <w:t>,</w:t>
      </w:r>
      <w:r w:rsidRPr="00400497">
        <w:rPr>
          <w:lang w:val="cs-CZ"/>
        </w:rPr>
        <w:t xml:space="preserve"> Explosion limits of industrial spirit and their affecting by temperature. </w:t>
      </w:r>
      <w:r w:rsidRPr="00400497">
        <w:rPr>
          <w:i/>
          <w:iCs/>
          <w:lang w:val="cs-CZ"/>
        </w:rPr>
        <w:t>Process Safety Progress</w:t>
      </w:r>
      <w:r w:rsidRPr="00400497">
        <w:rPr>
          <w:lang w:val="cs-CZ"/>
        </w:rPr>
        <w:t xml:space="preserve">, </w:t>
      </w:r>
      <w:r w:rsidRPr="00400497">
        <w:rPr>
          <w:i/>
          <w:iCs/>
          <w:lang w:val="cs-CZ"/>
        </w:rPr>
        <w:t>33</w:t>
      </w:r>
      <w:r w:rsidRPr="00400497">
        <w:rPr>
          <w:lang w:val="cs-CZ"/>
        </w:rPr>
        <w:t xml:space="preserve">(4), 380–384. </w:t>
      </w:r>
      <w:r w:rsidRPr="008740DD">
        <w:rPr>
          <w:lang w:val="cs-CZ"/>
        </w:rPr>
        <w:t>10.1002/PRS.11675</w:t>
      </w:r>
    </w:p>
    <w:p w14:paraId="1E93B622" w14:textId="717DDE58" w:rsidR="008740DD" w:rsidRDefault="00F21198" w:rsidP="00F21198">
      <w:pPr>
        <w:pStyle w:val="CETReferencetext"/>
      </w:pPr>
      <w:r>
        <w:t>Skjold, T. Selected aspects of turbulence and combustion in 20-litre explosion vessels. Master’s thesis, University of Bergen, 2003. URL: https://hdl.handle.net/1956/1631</w:t>
      </w:r>
    </w:p>
    <w:p w14:paraId="1E947C5B" w14:textId="4270EF83" w:rsidR="006419D1" w:rsidRDefault="0058537A" w:rsidP="0058537A">
      <w:pPr>
        <w:pStyle w:val="CETReferencetext"/>
        <w:rPr>
          <w:rStyle w:val="anchor-text"/>
          <w:color w:val="000000" w:themeColor="text1"/>
        </w:rPr>
      </w:pPr>
      <w:r w:rsidRPr="00336C3B">
        <w:t>Stefan S. H., Askar E., Benke A., Janovsky B., Krause U., Krietsch A.</w:t>
      </w:r>
      <w:r>
        <w:t>,</w:t>
      </w:r>
      <w:r w:rsidRPr="00336C3B">
        <w:t xml:space="preserve"> 2</w:t>
      </w:r>
      <w:r>
        <w:t>022,</w:t>
      </w:r>
      <w:r w:rsidRPr="00336C3B">
        <w:t xml:space="preserve"> Influence of pre-ignition pressure rise on safety characteristics of dusts and hybrid mixtures</w:t>
      </w:r>
      <w:r>
        <w:t>, FUEL</w:t>
      </w:r>
      <w:r w:rsidRPr="0058537A">
        <w:rPr>
          <w:color w:val="000000" w:themeColor="text1"/>
        </w:rPr>
        <w:t xml:space="preserve">, </w:t>
      </w:r>
      <w:r w:rsidRPr="0058537A">
        <w:rPr>
          <w:rStyle w:val="anchor-text"/>
          <w:color w:val="000000" w:themeColor="text1"/>
        </w:rPr>
        <w:t>10.1016/j.fuel.2021.122495</w:t>
      </w:r>
    </w:p>
    <w:p w14:paraId="2456231E" w14:textId="5E392DC4" w:rsidR="008740DD" w:rsidRDefault="008740DD" w:rsidP="008740DD">
      <w:pPr>
        <w:pStyle w:val="CETReferencetext"/>
        <w:rPr>
          <w:color w:val="000000" w:themeColor="text1"/>
          <w:lang w:val="cs-CZ"/>
        </w:rPr>
      </w:pPr>
      <w:r w:rsidRPr="009E64E0">
        <w:rPr>
          <w:color w:val="000000" w:themeColor="text1"/>
          <w:lang w:val="cs-CZ"/>
        </w:rPr>
        <w:t>Traoré, M., Dufaud, O., Perrin, L., Chazelet, S., &amp; Thomas, D.</w:t>
      </w:r>
      <w:r>
        <w:rPr>
          <w:color w:val="000000" w:themeColor="text1"/>
          <w:lang w:val="cs-CZ"/>
        </w:rPr>
        <w:t>,</w:t>
      </w:r>
      <w:r w:rsidRPr="009E64E0">
        <w:rPr>
          <w:color w:val="000000" w:themeColor="text1"/>
          <w:lang w:val="cs-CZ"/>
        </w:rPr>
        <w:t xml:space="preserve"> 2009</w:t>
      </w:r>
      <w:r>
        <w:rPr>
          <w:color w:val="000000" w:themeColor="text1"/>
          <w:lang w:val="cs-CZ"/>
        </w:rPr>
        <w:t>,</w:t>
      </w:r>
      <w:r w:rsidRPr="009E64E0">
        <w:rPr>
          <w:color w:val="000000" w:themeColor="text1"/>
          <w:lang w:val="cs-CZ"/>
        </w:rPr>
        <w:t xml:space="preserve"> Dust explosions: How should the influence of humidity be taken into account? </w:t>
      </w:r>
      <w:r w:rsidRPr="009E64E0">
        <w:rPr>
          <w:i/>
          <w:iCs/>
          <w:color w:val="000000" w:themeColor="text1"/>
          <w:lang w:val="cs-CZ"/>
        </w:rPr>
        <w:t>Process Safety and Environmental Protection</w:t>
      </w:r>
      <w:r w:rsidRPr="009E64E0">
        <w:rPr>
          <w:color w:val="000000" w:themeColor="text1"/>
          <w:lang w:val="cs-CZ"/>
        </w:rPr>
        <w:t xml:space="preserve">, </w:t>
      </w:r>
      <w:r w:rsidRPr="009E64E0">
        <w:rPr>
          <w:i/>
          <w:iCs/>
          <w:color w:val="000000" w:themeColor="text1"/>
          <w:lang w:val="cs-CZ"/>
        </w:rPr>
        <w:t>87</w:t>
      </w:r>
      <w:r w:rsidRPr="009E64E0">
        <w:rPr>
          <w:color w:val="000000" w:themeColor="text1"/>
          <w:lang w:val="cs-CZ"/>
        </w:rPr>
        <w:t xml:space="preserve">(1), 14–20. </w:t>
      </w:r>
      <w:r w:rsidRPr="008740DD">
        <w:rPr>
          <w:color w:val="000000" w:themeColor="text1"/>
          <w:lang w:val="cs-CZ"/>
        </w:rPr>
        <w:t>10.1016/J.PSEP.2008.08.001</w:t>
      </w:r>
    </w:p>
    <w:p w14:paraId="529D9DBB" w14:textId="45F0D1C1" w:rsidR="00F21198" w:rsidRDefault="00F21198" w:rsidP="008740DD">
      <w:pPr>
        <w:pStyle w:val="CETReferencetext"/>
        <w:rPr>
          <w:color w:val="000000" w:themeColor="text1"/>
          <w:lang w:val="cs-CZ"/>
        </w:rPr>
      </w:pPr>
      <w:r w:rsidRPr="00F21198">
        <w:rPr>
          <w:color w:val="000000" w:themeColor="text1"/>
          <w:lang w:val="cs-CZ"/>
        </w:rPr>
        <w:t>Zhang, J., Sun, L., Sun, T., &amp; Zhou, H., 2020, Study on explosion risk of aluminum powder under different dispersions. Journal of Loss Prevention in the Process Industries, 64, 104042. 10.1016/J.JLP.2019.104042</w:t>
      </w:r>
    </w:p>
    <w:p w14:paraId="4CEDD351" w14:textId="77777777" w:rsidR="009F69F4" w:rsidRPr="008740DD" w:rsidRDefault="009F69F4">
      <w:pPr>
        <w:pStyle w:val="CETReferencetext"/>
        <w:rPr>
          <w:color w:val="000000" w:themeColor="text1"/>
          <w:lang w:val="cs-CZ"/>
        </w:rPr>
      </w:pPr>
    </w:p>
    <w:sectPr w:rsidR="009F69F4" w:rsidRPr="008740DD"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751FE" w14:textId="77777777" w:rsidR="00552F1D" w:rsidRDefault="00552F1D" w:rsidP="004F5E36">
      <w:r>
        <w:separator/>
      </w:r>
    </w:p>
  </w:endnote>
  <w:endnote w:type="continuationSeparator" w:id="0">
    <w:p w14:paraId="7273958E" w14:textId="77777777" w:rsidR="00552F1D" w:rsidRDefault="00552F1D"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A57E2" w14:textId="77777777" w:rsidR="00552F1D" w:rsidRDefault="00552F1D" w:rsidP="004F5E36">
      <w:r>
        <w:separator/>
      </w:r>
    </w:p>
  </w:footnote>
  <w:footnote w:type="continuationSeparator" w:id="0">
    <w:p w14:paraId="185756A8" w14:textId="77777777" w:rsidR="00552F1D" w:rsidRDefault="00552F1D"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4124E96"/>
    <w:multiLevelType w:val="hybridMultilevel"/>
    <w:tmpl w:val="150CD0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8220C38"/>
    <w:multiLevelType w:val="hybridMultilevel"/>
    <w:tmpl w:val="FE4EAC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eEinfach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3FA61147"/>
    <w:multiLevelType w:val="hybridMultilevel"/>
    <w:tmpl w:val="4D0C4A2A"/>
    <w:lvl w:ilvl="0" w:tplc="F874162E">
      <w:start w:val="1"/>
      <w:numFmt w:val="bullet"/>
      <w:lvlText w:val="-"/>
      <w:lvlJc w:val="left"/>
      <w:pPr>
        <w:ind w:left="2010" w:hanging="360"/>
      </w:pPr>
      <w:rPr>
        <w:rFonts w:ascii="Arial" w:eastAsia="Times New Roman" w:hAnsi="Arial" w:cs="Arial" w:hint="default"/>
      </w:rPr>
    </w:lvl>
    <w:lvl w:ilvl="1" w:tplc="04070003" w:tentative="1">
      <w:start w:val="1"/>
      <w:numFmt w:val="bullet"/>
      <w:lvlText w:val="o"/>
      <w:lvlJc w:val="left"/>
      <w:pPr>
        <w:ind w:left="2730" w:hanging="360"/>
      </w:pPr>
      <w:rPr>
        <w:rFonts w:ascii="Courier New" w:hAnsi="Courier New" w:cs="Courier New" w:hint="default"/>
      </w:rPr>
    </w:lvl>
    <w:lvl w:ilvl="2" w:tplc="04070005" w:tentative="1">
      <w:start w:val="1"/>
      <w:numFmt w:val="bullet"/>
      <w:lvlText w:val=""/>
      <w:lvlJc w:val="left"/>
      <w:pPr>
        <w:ind w:left="3450" w:hanging="360"/>
      </w:pPr>
      <w:rPr>
        <w:rFonts w:ascii="Wingdings" w:hAnsi="Wingdings" w:hint="default"/>
      </w:rPr>
    </w:lvl>
    <w:lvl w:ilvl="3" w:tplc="04070001" w:tentative="1">
      <w:start w:val="1"/>
      <w:numFmt w:val="bullet"/>
      <w:lvlText w:val=""/>
      <w:lvlJc w:val="left"/>
      <w:pPr>
        <w:ind w:left="4170" w:hanging="360"/>
      </w:pPr>
      <w:rPr>
        <w:rFonts w:ascii="Symbol" w:hAnsi="Symbol" w:hint="default"/>
      </w:rPr>
    </w:lvl>
    <w:lvl w:ilvl="4" w:tplc="04070003" w:tentative="1">
      <w:start w:val="1"/>
      <w:numFmt w:val="bullet"/>
      <w:lvlText w:val="o"/>
      <w:lvlJc w:val="left"/>
      <w:pPr>
        <w:ind w:left="4890" w:hanging="360"/>
      </w:pPr>
      <w:rPr>
        <w:rFonts w:ascii="Courier New" w:hAnsi="Courier New" w:cs="Courier New" w:hint="default"/>
      </w:rPr>
    </w:lvl>
    <w:lvl w:ilvl="5" w:tplc="04070005" w:tentative="1">
      <w:start w:val="1"/>
      <w:numFmt w:val="bullet"/>
      <w:lvlText w:val=""/>
      <w:lvlJc w:val="left"/>
      <w:pPr>
        <w:ind w:left="5610" w:hanging="360"/>
      </w:pPr>
      <w:rPr>
        <w:rFonts w:ascii="Wingdings" w:hAnsi="Wingdings" w:hint="default"/>
      </w:rPr>
    </w:lvl>
    <w:lvl w:ilvl="6" w:tplc="04070001" w:tentative="1">
      <w:start w:val="1"/>
      <w:numFmt w:val="bullet"/>
      <w:lvlText w:val=""/>
      <w:lvlJc w:val="left"/>
      <w:pPr>
        <w:ind w:left="6330" w:hanging="360"/>
      </w:pPr>
      <w:rPr>
        <w:rFonts w:ascii="Symbol" w:hAnsi="Symbol" w:hint="default"/>
      </w:rPr>
    </w:lvl>
    <w:lvl w:ilvl="7" w:tplc="04070003" w:tentative="1">
      <w:start w:val="1"/>
      <w:numFmt w:val="bullet"/>
      <w:lvlText w:val="o"/>
      <w:lvlJc w:val="left"/>
      <w:pPr>
        <w:ind w:left="7050" w:hanging="360"/>
      </w:pPr>
      <w:rPr>
        <w:rFonts w:ascii="Courier New" w:hAnsi="Courier New" w:cs="Courier New" w:hint="default"/>
      </w:rPr>
    </w:lvl>
    <w:lvl w:ilvl="8" w:tplc="04070005" w:tentative="1">
      <w:start w:val="1"/>
      <w:numFmt w:val="bullet"/>
      <w:lvlText w:val=""/>
      <w:lvlJc w:val="left"/>
      <w:pPr>
        <w:ind w:left="7770" w:hanging="360"/>
      </w:pPr>
      <w:rPr>
        <w:rFonts w:ascii="Wingdings" w:hAnsi="Wingdings" w:hint="default"/>
      </w:r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9C87617"/>
    <w:multiLevelType w:val="hybridMultilevel"/>
    <w:tmpl w:val="2BF0FE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0A66294"/>
    <w:multiLevelType w:val="hybridMultilevel"/>
    <w:tmpl w:val="12FC9E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4EE0F38"/>
    <w:multiLevelType w:val="hybridMultilevel"/>
    <w:tmpl w:val="8268799E"/>
    <w:lvl w:ilvl="0" w:tplc="DD382CAE">
      <w:start w:val="1"/>
      <w:numFmt w:val="bullet"/>
      <w:lvlText w:val="-"/>
      <w:lvlJc w:val="left"/>
      <w:pPr>
        <w:ind w:left="2060" w:hanging="360"/>
      </w:pPr>
      <w:rPr>
        <w:rFonts w:ascii="Arial" w:eastAsia="Times New Roman" w:hAnsi="Arial" w:cs="Arial" w:hint="default"/>
      </w:rPr>
    </w:lvl>
    <w:lvl w:ilvl="1" w:tplc="04070003" w:tentative="1">
      <w:start w:val="1"/>
      <w:numFmt w:val="bullet"/>
      <w:lvlText w:val="o"/>
      <w:lvlJc w:val="left"/>
      <w:pPr>
        <w:ind w:left="2780" w:hanging="360"/>
      </w:pPr>
      <w:rPr>
        <w:rFonts w:ascii="Courier New" w:hAnsi="Courier New" w:cs="Courier New" w:hint="default"/>
      </w:rPr>
    </w:lvl>
    <w:lvl w:ilvl="2" w:tplc="04070005" w:tentative="1">
      <w:start w:val="1"/>
      <w:numFmt w:val="bullet"/>
      <w:lvlText w:val=""/>
      <w:lvlJc w:val="left"/>
      <w:pPr>
        <w:ind w:left="3500" w:hanging="360"/>
      </w:pPr>
      <w:rPr>
        <w:rFonts w:ascii="Wingdings" w:hAnsi="Wingdings" w:hint="default"/>
      </w:rPr>
    </w:lvl>
    <w:lvl w:ilvl="3" w:tplc="04070001" w:tentative="1">
      <w:start w:val="1"/>
      <w:numFmt w:val="bullet"/>
      <w:lvlText w:val=""/>
      <w:lvlJc w:val="left"/>
      <w:pPr>
        <w:ind w:left="4220" w:hanging="360"/>
      </w:pPr>
      <w:rPr>
        <w:rFonts w:ascii="Symbol" w:hAnsi="Symbol" w:hint="default"/>
      </w:rPr>
    </w:lvl>
    <w:lvl w:ilvl="4" w:tplc="04070003" w:tentative="1">
      <w:start w:val="1"/>
      <w:numFmt w:val="bullet"/>
      <w:lvlText w:val="o"/>
      <w:lvlJc w:val="left"/>
      <w:pPr>
        <w:ind w:left="4940" w:hanging="360"/>
      </w:pPr>
      <w:rPr>
        <w:rFonts w:ascii="Courier New" w:hAnsi="Courier New" w:cs="Courier New" w:hint="default"/>
      </w:rPr>
    </w:lvl>
    <w:lvl w:ilvl="5" w:tplc="04070005" w:tentative="1">
      <w:start w:val="1"/>
      <w:numFmt w:val="bullet"/>
      <w:lvlText w:val=""/>
      <w:lvlJc w:val="left"/>
      <w:pPr>
        <w:ind w:left="5660" w:hanging="360"/>
      </w:pPr>
      <w:rPr>
        <w:rFonts w:ascii="Wingdings" w:hAnsi="Wingdings" w:hint="default"/>
      </w:rPr>
    </w:lvl>
    <w:lvl w:ilvl="6" w:tplc="04070001" w:tentative="1">
      <w:start w:val="1"/>
      <w:numFmt w:val="bullet"/>
      <w:lvlText w:val=""/>
      <w:lvlJc w:val="left"/>
      <w:pPr>
        <w:ind w:left="6380" w:hanging="360"/>
      </w:pPr>
      <w:rPr>
        <w:rFonts w:ascii="Symbol" w:hAnsi="Symbol" w:hint="default"/>
      </w:rPr>
    </w:lvl>
    <w:lvl w:ilvl="7" w:tplc="04070003" w:tentative="1">
      <w:start w:val="1"/>
      <w:numFmt w:val="bullet"/>
      <w:lvlText w:val="o"/>
      <w:lvlJc w:val="left"/>
      <w:pPr>
        <w:ind w:left="7100" w:hanging="360"/>
      </w:pPr>
      <w:rPr>
        <w:rFonts w:ascii="Courier New" w:hAnsi="Courier New" w:cs="Courier New" w:hint="default"/>
      </w:rPr>
    </w:lvl>
    <w:lvl w:ilvl="8" w:tplc="04070005" w:tentative="1">
      <w:start w:val="1"/>
      <w:numFmt w:val="bullet"/>
      <w:lvlText w:val=""/>
      <w:lvlJc w:val="left"/>
      <w:pPr>
        <w:ind w:left="7820" w:hanging="360"/>
      </w:pPr>
      <w:rPr>
        <w:rFonts w:ascii="Wingdings" w:hAnsi="Wingdings" w:hint="default"/>
      </w:rPr>
    </w:lvl>
  </w:abstractNum>
  <w:num w:numId="1" w16cid:durableId="1681423352">
    <w:abstractNumId w:val="12"/>
  </w:num>
  <w:num w:numId="2" w16cid:durableId="322437159">
    <w:abstractNumId w:val="8"/>
  </w:num>
  <w:num w:numId="3" w16cid:durableId="834492678">
    <w:abstractNumId w:val="3"/>
  </w:num>
  <w:num w:numId="4" w16cid:durableId="694386076">
    <w:abstractNumId w:val="2"/>
  </w:num>
  <w:num w:numId="5" w16cid:durableId="973676887">
    <w:abstractNumId w:val="1"/>
  </w:num>
  <w:num w:numId="6" w16cid:durableId="1618176024">
    <w:abstractNumId w:val="0"/>
  </w:num>
  <w:num w:numId="7" w16cid:durableId="970134955">
    <w:abstractNumId w:val="9"/>
  </w:num>
  <w:num w:numId="8" w16cid:durableId="1404445691">
    <w:abstractNumId w:val="7"/>
  </w:num>
  <w:num w:numId="9" w16cid:durableId="977610226">
    <w:abstractNumId w:val="6"/>
  </w:num>
  <w:num w:numId="10" w16cid:durableId="1509439027">
    <w:abstractNumId w:val="5"/>
  </w:num>
  <w:num w:numId="11" w16cid:durableId="766465540">
    <w:abstractNumId w:val="4"/>
  </w:num>
  <w:num w:numId="12" w16cid:durableId="1315724144">
    <w:abstractNumId w:val="19"/>
  </w:num>
  <w:num w:numId="13" w16cid:durableId="1350059530">
    <w:abstractNumId w:val="14"/>
  </w:num>
  <w:num w:numId="14" w16cid:durableId="1919091623">
    <w:abstractNumId w:val="20"/>
  </w:num>
  <w:num w:numId="15" w16cid:durableId="189300202">
    <w:abstractNumId w:val="22"/>
  </w:num>
  <w:num w:numId="16" w16cid:durableId="723021461">
    <w:abstractNumId w:val="21"/>
  </w:num>
  <w:num w:numId="17" w16cid:durableId="732965888">
    <w:abstractNumId w:val="13"/>
  </w:num>
  <w:num w:numId="18" w16cid:durableId="1792744392">
    <w:abstractNumId w:val="14"/>
    <w:lvlOverride w:ilvl="0">
      <w:startOverride w:val="1"/>
    </w:lvlOverride>
  </w:num>
  <w:num w:numId="19" w16cid:durableId="400713613">
    <w:abstractNumId w:val="18"/>
  </w:num>
  <w:num w:numId="20" w16cid:durableId="1478034465">
    <w:abstractNumId w:val="17"/>
  </w:num>
  <w:num w:numId="21" w16cid:durableId="1441560384">
    <w:abstractNumId w:val="15"/>
  </w:num>
  <w:num w:numId="22" w16cid:durableId="1472481607">
    <w:abstractNumId w:val="23"/>
  </w:num>
  <w:num w:numId="23" w16cid:durableId="1498765641">
    <w:abstractNumId w:val="10"/>
  </w:num>
  <w:num w:numId="24" w16cid:durableId="1092046990">
    <w:abstractNumId w:val="11"/>
  </w:num>
  <w:num w:numId="25" w16cid:durableId="2119373677">
    <w:abstractNumId w:val="24"/>
  </w:num>
  <w:num w:numId="26" w16cid:durableId="277104777">
    <w:abstractNumId w:val="16"/>
  </w:num>
  <w:num w:numId="27" w16cid:durableId="321933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16C62"/>
    <w:rsid w:val="0003148D"/>
    <w:rsid w:val="00051566"/>
    <w:rsid w:val="00062A9A"/>
    <w:rsid w:val="00065058"/>
    <w:rsid w:val="00086C39"/>
    <w:rsid w:val="000A03B2"/>
    <w:rsid w:val="000D0268"/>
    <w:rsid w:val="000D34BE"/>
    <w:rsid w:val="000E102F"/>
    <w:rsid w:val="000E36F1"/>
    <w:rsid w:val="000E3A73"/>
    <w:rsid w:val="000E414A"/>
    <w:rsid w:val="000F093C"/>
    <w:rsid w:val="000F787B"/>
    <w:rsid w:val="00107653"/>
    <w:rsid w:val="0012091F"/>
    <w:rsid w:val="00126BC2"/>
    <w:rsid w:val="001308B6"/>
    <w:rsid w:val="0013121F"/>
    <w:rsid w:val="00131FE6"/>
    <w:rsid w:val="0013263F"/>
    <w:rsid w:val="00134DE4"/>
    <w:rsid w:val="0014034D"/>
    <w:rsid w:val="00150E59"/>
    <w:rsid w:val="0015260F"/>
    <w:rsid w:val="00152DE3"/>
    <w:rsid w:val="00164CF9"/>
    <w:rsid w:val="001667A6"/>
    <w:rsid w:val="00184AD6"/>
    <w:rsid w:val="00197F6C"/>
    <w:rsid w:val="001A4AF7"/>
    <w:rsid w:val="001B0349"/>
    <w:rsid w:val="001B65C1"/>
    <w:rsid w:val="001C0361"/>
    <w:rsid w:val="001C684B"/>
    <w:rsid w:val="001D2C0A"/>
    <w:rsid w:val="001D53FC"/>
    <w:rsid w:val="001D784A"/>
    <w:rsid w:val="001E636E"/>
    <w:rsid w:val="001F42A5"/>
    <w:rsid w:val="001F7B9D"/>
    <w:rsid w:val="002224B4"/>
    <w:rsid w:val="00225738"/>
    <w:rsid w:val="002447EF"/>
    <w:rsid w:val="00251550"/>
    <w:rsid w:val="00263B05"/>
    <w:rsid w:val="0027221A"/>
    <w:rsid w:val="00275B61"/>
    <w:rsid w:val="00282656"/>
    <w:rsid w:val="0029477F"/>
    <w:rsid w:val="00296B83"/>
    <w:rsid w:val="002B78CE"/>
    <w:rsid w:val="002C2FB6"/>
    <w:rsid w:val="002D7C5F"/>
    <w:rsid w:val="002E19FD"/>
    <w:rsid w:val="002F3309"/>
    <w:rsid w:val="003009B7"/>
    <w:rsid w:val="00300E56"/>
    <w:rsid w:val="0030469C"/>
    <w:rsid w:val="00306F1F"/>
    <w:rsid w:val="00321CA6"/>
    <w:rsid w:val="00323763"/>
    <w:rsid w:val="0033478F"/>
    <w:rsid w:val="00334C09"/>
    <w:rsid w:val="00336C3B"/>
    <w:rsid w:val="003723D4"/>
    <w:rsid w:val="00381905"/>
    <w:rsid w:val="00384CC8"/>
    <w:rsid w:val="003871FD"/>
    <w:rsid w:val="003A1E30"/>
    <w:rsid w:val="003A7D1C"/>
    <w:rsid w:val="003B304B"/>
    <w:rsid w:val="003B3146"/>
    <w:rsid w:val="003B34BD"/>
    <w:rsid w:val="003F015E"/>
    <w:rsid w:val="00400414"/>
    <w:rsid w:val="0041446B"/>
    <w:rsid w:val="00414DAC"/>
    <w:rsid w:val="0044329C"/>
    <w:rsid w:val="004577FE"/>
    <w:rsid w:val="00457B9C"/>
    <w:rsid w:val="0046164A"/>
    <w:rsid w:val="004628D2"/>
    <w:rsid w:val="00462DCD"/>
    <w:rsid w:val="004648AD"/>
    <w:rsid w:val="004703A9"/>
    <w:rsid w:val="004747DA"/>
    <w:rsid w:val="004760DE"/>
    <w:rsid w:val="004763D7"/>
    <w:rsid w:val="004A004E"/>
    <w:rsid w:val="004A24CF"/>
    <w:rsid w:val="004C3D1D"/>
    <w:rsid w:val="004C7913"/>
    <w:rsid w:val="004E4AF6"/>
    <w:rsid w:val="004E4DD6"/>
    <w:rsid w:val="004F5E36"/>
    <w:rsid w:val="00507B47"/>
    <w:rsid w:val="00507BEF"/>
    <w:rsid w:val="00507CC9"/>
    <w:rsid w:val="005119A5"/>
    <w:rsid w:val="005278B7"/>
    <w:rsid w:val="00532016"/>
    <w:rsid w:val="005346C8"/>
    <w:rsid w:val="00543E7D"/>
    <w:rsid w:val="00543FE0"/>
    <w:rsid w:val="00547A68"/>
    <w:rsid w:val="00551E1A"/>
    <w:rsid w:val="00552F1D"/>
    <w:rsid w:val="005531C9"/>
    <w:rsid w:val="005631DE"/>
    <w:rsid w:val="00570C43"/>
    <w:rsid w:val="005733F8"/>
    <w:rsid w:val="0058537A"/>
    <w:rsid w:val="00594178"/>
    <w:rsid w:val="005B2110"/>
    <w:rsid w:val="005B61E6"/>
    <w:rsid w:val="005C77E1"/>
    <w:rsid w:val="005D668A"/>
    <w:rsid w:val="005D6A2F"/>
    <w:rsid w:val="005E1A82"/>
    <w:rsid w:val="005E794C"/>
    <w:rsid w:val="005F0A28"/>
    <w:rsid w:val="005F0E5E"/>
    <w:rsid w:val="005F5BEE"/>
    <w:rsid w:val="00600535"/>
    <w:rsid w:val="00604C54"/>
    <w:rsid w:val="00610CD6"/>
    <w:rsid w:val="00612711"/>
    <w:rsid w:val="00620DEE"/>
    <w:rsid w:val="00621F92"/>
    <w:rsid w:val="0062280A"/>
    <w:rsid w:val="00625639"/>
    <w:rsid w:val="00631B33"/>
    <w:rsid w:val="0064184D"/>
    <w:rsid w:val="006419D1"/>
    <w:rsid w:val="006422CC"/>
    <w:rsid w:val="00654400"/>
    <w:rsid w:val="00660E3E"/>
    <w:rsid w:val="00662E74"/>
    <w:rsid w:val="00680C23"/>
    <w:rsid w:val="0068402A"/>
    <w:rsid w:val="00692492"/>
    <w:rsid w:val="00693766"/>
    <w:rsid w:val="006A3281"/>
    <w:rsid w:val="006A5646"/>
    <w:rsid w:val="006B4888"/>
    <w:rsid w:val="006C2E45"/>
    <w:rsid w:val="006C359C"/>
    <w:rsid w:val="006C5579"/>
    <w:rsid w:val="006C6DAA"/>
    <w:rsid w:val="006D6E8B"/>
    <w:rsid w:val="006E737D"/>
    <w:rsid w:val="0070146A"/>
    <w:rsid w:val="00720A24"/>
    <w:rsid w:val="00732386"/>
    <w:rsid w:val="0073514D"/>
    <w:rsid w:val="00736056"/>
    <w:rsid w:val="007447F3"/>
    <w:rsid w:val="0075499F"/>
    <w:rsid w:val="007661C8"/>
    <w:rsid w:val="0077098D"/>
    <w:rsid w:val="00780220"/>
    <w:rsid w:val="007931FA"/>
    <w:rsid w:val="007A4861"/>
    <w:rsid w:val="007A7BBA"/>
    <w:rsid w:val="007B0C50"/>
    <w:rsid w:val="007C1A43"/>
    <w:rsid w:val="007C32AA"/>
    <w:rsid w:val="007F2E0C"/>
    <w:rsid w:val="0080013E"/>
    <w:rsid w:val="008009E5"/>
    <w:rsid w:val="00810E74"/>
    <w:rsid w:val="00813288"/>
    <w:rsid w:val="008168FC"/>
    <w:rsid w:val="00830996"/>
    <w:rsid w:val="008345F1"/>
    <w:rsid w:val="00865B07"/>
    <w:rsid w:val="008667EA"/>
    <w:rsid w:val="008740DD"/>
    <w:rsid w:val="0087637F"/>
    <w:rsid w:val="00892AD5"/>
    <w:rsid w:val="008A1512"/>
    <w:rsid w:val="008B4560"/>
    <w:rsid w:val="008D32B9"/>
    <w:rsid w:val="008D433B"/>
    <w:rsid w:val="008E566E"/>
    <w:rsid w:val="0090161A"/>
    <w:rsid w:val="00901EB6"/>
    <w:rsid w:val="00904C62"/>
    <w:rsid w:val="00917722"/>
    <w:rsid w:val="00922BA8"/>
    <w:rsid w:val="00924DAC"/>
    <w:rsid w:val="00927058"/>
    <w:rsid w:val="00930AD2"/>
    <w:rsid w:val="00930E27"/>
    <w:rsid w:val="009370F1"/>
    <w:rsid w:val="00942750"/>
    <w:rsid w:val="009450CE"/>
    <w:rsid w:val="00947179"/>
    <w:rsid w:val="0095164B"/>
    <w:rsid w:val="00954090"/>
    <w:rsid w:val="009573E7"/>
    <w:rsid w:val="00963E05"/>
    <w:rsid w:val="00967843"/>
    <w:rsid w:val="00967D54"/>
    <w:rsid w:val="00971028"/>
    <w:rsid w:val="00996483"/>
    <w:rsid w:val="00996F5A"/>
    <w:rsid w:val="009B041A"/>
    <w:rsid w:val="009C37C3"/>
    <w:rsid w:val="009C7C86"/>
    <w:rsid w:val="009D2FF7"/>
    <w:rsid w:val="009E7884"/>
    <w:rsid w:val="009E788A"/>
    <w:rsid w:val="009F0E08"/>
    <w:rsid w:val="009F69F4"/>
    <w:rsid w:val="00A150A3"/>
    <w:rsid w:val="00A1763D"/>
    <w:rsid w:val="00A17CEC"/>
    <w:rsid w:val="00A27EF0"/>
    <w:rsid w:val="00A42361"/>
    <w:rsid w:val="00A50B20"/>
    <w:rsid w:val="00A51390"/>
    <w:rsid w:val="00A5429F"/>
    <w:rsid w:val="00A60D13"/>
    <w:rsid w:val="00A72745"/>
    <w:rsid w:val="00A755A1"/>
    <w:rsid w:val="00A763A6"/>
    <w:rsid w:val="00A76EFC"/>
    <w:rsid w:val="00A91010"/>
    <w:rsid w:val="00A97F29"/>
    <w:rsid w:val="00AA702E"/>
    <w:rsid w:val="00AB0964"/>
    <w:rsid w:val="00AB5011"/>
    <w:rsid w:val="00AC7368"/>
    <w:rsid w:val="00AD0AA0"/>
    <w:rsid w:val="00AD16B9"/>
    <w:rsid w:val="00AE240C"/>
    <w:rsid w:val="00AE377D"/>
    <w:rsid w:val="00AF0EBA"/>
    <w:rsid w:val="00B02C8A"/>
    <w:rsid w:val="00B17FBD"/>
    <w:rsid w:val="00B315A6"/>
    <w:rsid w:val="00B31813"/>
    <w:rsid w:val="00B33365"/>
    <w:rsid w:val="00B57B36"/>
    <w:rsid w:val="00B67B81"/>
    <w:rsid w:val="00B8686D"/>
    <w:rsid w:val="00BB1DDC"/>
    <w:rsid w:val="00BC30C9"/>
    <w:rsid w:val="00BE3E58"/>
    <w:rsid w:val="00C01616"/>
    <w:rsid w:val="00C0162B"/>
    <w:rsid w:val="00C068ED"/>
    <w:rsid w:val="00C2506F"/>
    <w:rsid w:val="00C345B1"/>
    <w:rsid w:val="00C40142"/>
    <w:rsid w:val="00C5491B"/>
    <w:rsid w:val="00C57182"/>
    <w:rsid w:val="00C57863"/>
    <w:rsid w:val="00C655FD"/>
    <w:rsid w:val="00C75407"/>
    <w:rsid w:val="00C85E92"/>
    <w:rsid w:val="00C870A8"/>
    <w:rsid w:val="00C94434"/>
    <w:rsid w:val="00CA0D75"/>
    <w:rsid w:val="00CA1C95"/>
    <w:rsid w:val="00CA5A9C"/>
    <w:rsid w:val="00CB29B0"/>
    <w:rsid w:val="00CC3BE5"/>
    <w:rsid w:val="00CC4C20"/>
    <w:rsid w:val="00CD033E"/>
    <w:rsid w:val="00CD3517"/>
    <w:rsid w:val="00CD5FE2"/>
    <w:rsid w:val="00CE7C68"/>
    <w:rsid w:val="00D02B4C"/>
    <w:rsid w:val="00D040C4"/>
    <w:rsid w:val="00D30167"/>
    <w:rsid w:val="00D42FA8"/>
    <w:rsid w:val="00D57C84"/>
    <w:rsid w:val="00D6057D"/>
    <w:rsid w:val="00D66E13"/>
    <w:rsid w:val="00D836C5"/>
    <w:rsid w:val="00D84576"/>
    <w:rsid w:val="00DA0511"/>
    <w:rsid w:val="00DA1399"/>
    <w:rsid w:val="00DA24C6"/>
    <w:rsid w:val="00DA4D7B"/>
    <w:rsid w:val="00DE264A"/>
    <w:rsid w:val="00DF43F3"/>
    <w:rsid w:val="00DF5072"/>
    <w:rsid w:val="00E02D18"/>
    <w:rsid w:val="00E041E7"/>
    <w:rsid w:val="00E1648B"/>
    <w:rsid w:val="00E23CA1"/>
    <w:rsid w:val="00E409A8"/>
    <w:rsid w:val="00E50C12"/>
    <w:rsid w:val="00E65B91"/>
    <w:rsid w:val="00E7209D"/>
    <w:rsid w:val="00E77223"/>
    <w:rsid w:val="00E8528B"/>
    <w:rsid w:val="00E85B94"/>
    <w:rsid w:val="00E978D0"/>
    <w:rsid w:val="00EA4613"/>
    <w:rsid w:val="00EA7F91"/>
    <w:rsid w:val="00EB1523"/>
    <w:rsid w:val="00EC0E49"/>
    <w:rsid w:val="00EC101F"/>
    <w:rsid w:val="00EC1D9F"/>
    <w:rsid w:val="00EE0131"/>
    <w:rsid w:val="00EE17B0"/>
    <w:rsid w:val="00EF06D9"/>
    <w:rsid w:val="00F05D31"/>
    <w:rsid w:val="00F06C8A"/>
    <w:rsid w:val="00F21198"/>
    <w:rsid w:val="00F25031"/>
    <w:rsid w:val="00F30C64"/>
    <w:rsid w:val="00F32CDB"/>
    <w:rsid w:val="00F34B4D"/>
    <w:rsid w:val="00F438D2"/>
    <w:rsid w:val="00F565FE"/>
    <w:rsid w:val="00F63A70"/>
    <w:rsid w:val="00F766A5"/>
    <w:rsid w:val="00F91429"/>
    <w:rsid w:val="00FA21D0"/>
    <w:rsid w:val="00FA5F5F"/>
    <w:rsid w:val="00FB16BF"/>
    <w:rsid w:val="00FB730C"/>
    <w:rsid w:val="00FC2695"/>
    <w:rsid w:val="00FC3E03"/>
    <w:rsid w:val="00FC3FC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F1C78656-E49D-4D60-ADB2-2C346A517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berschrift1">
    <w:name w:val="heading 1"/>
    <w:basedOn w:val="CETHeading1"/>
    <w:next w:val="Standard"/>
    <w:link w:val="berschrift1Zchn"/>
    <w:uiPriority w:val="9"/>
    <w:rsid w:val="004F5E36"/>
    <w:pPr>
      <w:tabs>
        <w:tab w:val="clear" w:pos="360"/>
        <w:tab w:val="right" w:pos="7100"/>
      </w:tabs>
      <w:jc w:val="both"/>
      <w:outlineLvl w:val="0"/>
    </w:pPr>
    <w:rPr>
      <w:lang w:val="en-GB"/>
    </w:rPr>
  </w:style>
  <w:style w:type="paragraph" w:styleId="berschrift2">
    <w:name w:val="heading 2"/>
    <w:basedOn w:val="Standard"/>
    <w:next w:val="Standard"/>
    <w:link w:val="berschrift2Zchn"/>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eEinfach1">
    <w:name w:val="Table Simple 1"/>
    <w:basedOn w:val="NormaleTabel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Kommentarzeichen">
    <w:name w:val="annotation reference"/>
    <w:basedOn w:val="Absatz-Standardschriftart"/>
    <w:uiPriority w:val="99"/>
    <w:semiHidden/>
    <w:unhideWhenUsed/>
    <w:rsid w:val="004577FE"/>
    <w:rPr>
      <w:sz w:val="16"/>
      <w:szCs w:val="16"/>
    </w:rPr>
  </w:style>
  <w:style w:type="paragraph" w:styleId="Sprechblasentext">
    <w:name w:val="Balloon Text"/>
    <w:basedOn w:val="Standard"/>
    <w:link w:val="SprechblasentextZchn"/>
    <w:uiPriority w:val="99"/>
    <w:semiHidden/>
    <w:unhideWhenUsed/>
    <w:rsid w:val="000D34B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34BE"/>
    <w:rPr>
      <w:rFonts w:ascii="Tahoma" w:hAnsi="Tahoma" w:cs="Tahoma"/>
      <w:sz w:val="16"/>
      <w:szCs w:val="16"/>
    </w:rPr>
  </w:style>
  <w:style w:type="paragraph" w:styleId="Literaturverzeichnis">
    <w:name w:val="Bibliography"/>
    <w:basedOn w:val="CETReferencetext"/>
    <w:uiPriority w:val="37"/>
    <w:unhideWhenUsed/>
    <w:rsid w:val="00631B33"/>
    <w:pPr>
      <w:spacing w:line="240" w:lineRule="auto"/>
      <w:ind w:left="720" w:hanging="720"/>
    </w:pPr>
  </w:style>
  <w:style w:type="paragraph" w:styleId="Textkrper2">
    <w:name w:val="Body Text 2"/>
    <w:basedOn w:val="Standard"/>
    <w:link w:val="Textkrper2Zchn"/>
    <w:uiPriority w:val="99"/>
    <w:semiHidden/>
    <w:unhideWhenUsed/>
    <w:rsid w:val="0003148D"/>
    <w:pPr>
      <w:spacing w:after="120" w:line="480" w:lineRule="auto"/>
    </w:pPr>
  </w:style>
  <w:style w:type="character" w:customStyle="1" w:styleId="Textkrper2Zchn">
    <w:name w:val="Textkörper 2 Zchn"/>
    <w:basedOn w:val="Absatz-Standardschriftart"/>
    <w:link w:val="Textkrper2"/>
    <w:uiPriority w:val="99"/>
    <w:semiHidden/>
    <w:rsid w:val="0003148D"/>
  </w:style>
  <w:style w:type="paragraph" w:styleId="Textkrper3">
    <w:name w:val="Body Text 3"/>
    <w:basedOn w:val="Standard"/>
    <w:link w:val="Textkrper3Zchn"/>
    <w:uiPriority w:val="99"/>
    <w:semiHidden/>
    <w:unhideWhenUsed/>
    <w:rsid w:val="0003148D"/>
    <w:pPr>
      <w:spacing w:after="120"/>
    </w:pPr>
    <w:rPr>
      <w:sz w:val="16"/>
      <w:szCs w:val="16"/>
    </w:rPr>
  </w:style>
  <w:style w:type="character" w:customStyle="1" w:styleId="Textkrper3Zchn">
    <w:name w:val="Textkörper 3 Zchn"/>
    <w:basedOn w:val="Absatz-Standardschriftart"/>
    <w:link w:val="Textkrper3"/>
    <w:uiPriority w:val="99"/>
    <w:semiHidden/>
    <w:rsid w:val="0003148D"/>
    <w:rPr>
      <w:sz w:val="16"/>
      <w:szCs w:val="16"/>
    </w:rPr>
  </w:style>
  <w:style w:type="paragraph" w:styleId="Textkrper">
    <w:name w:val="Body Text"/>
    <w:basedOn w:val="Standard"/>
    <w:link w:val="TextkrperZchn"/>
    <w:uiPriority w:val="99"/>
    <w:semiHidden/>
    <w:unhideWhenUsed/>
    <w:rsid w:val="0003148D"/>
    <w:pPr>
      <w:spacing w:after="120"/>
    </w:pPr>
  </w:style>
  <w:style w:type="character" w:customStyle="1" w:styleId="TextkrperZchn">
    <w:name w:val="Textkörper Zchn"/>
    <w:basedOn w:val="Absatz-Standardschriftart"/>
    <w:link w:val="Textkrper"/>
    <w:uiPriority w:val="99"/>
    <w:semiHidden/>
    <w:rsid w:val="0003148D"/>
  </w:style>
  <w:style w:type="paragraph" w:styleId="Datum">
    <w:name w:val="Date"/>
    <w:basedOn w:val="Standard"/>
    <w:next w:val="Standard"/>
    <w:link w:val="DatumZchn"/>
    <w:uiPriority w:val="99"/>
    <w:semiHidden/>
    <w:unhideWhenUsed/>
    <w:rsid w:val="0003148D"/>
  </w:style>
  <w:style w:type="character" w:customStyle="1" w:styleId="DatumZchn">
    <w:name w:val="Datum Zchn"/>
    <w:basedOn w:val="Absatz-Standardschriftart"/>
    <w:link w:val="Datum"/>
    <w:uiPriority w:val="99"/>
    <w:semiHidden/>
    <w:rsid w:val="0003148D"/>
  </w:style>
  <w:style w:type="paragraph" w:styleId="Beschriftung">
    <w:name w:val="caption"/>
    <w:basedOn w:val="Standard"/>
    <w:next w:val="Standard"/>
    <w:uiPriority w:val="35"/>
    <w:semiHidden/>
    <w:unhideWhenUsed/>
    <w:qFormat/>
    <w:rsid w:val="0003148D"/>
    <w:pPr>
      <w:spacing w:line="240" w:lineRule="auto"/>
    </w:pPr>
    <w:rPr>
      <w:b/>
      <w:bCs/>
      <w:color w:val="4F81BD" w:themeColor="accent1"/>
      <w:szCs w:val="18"/>
    </w:rPr>
  </w:style>
  <w:style w:type="paragraph" w:styleId="Liste">
    <w:name w:val="List"/>
    <w:basedOn w:val="Standard"/>
    <w:uiPriority w:val="99"/>
    <w:semiHidden/>
    <w:unhideWhenUsed/>
    <w:rsid w:val="0003148D"/>
    <w:pPr>
      <w:ind w:left="283" w:hanging="283"/>
      <w:contextualSpacing/>
    </w:pPr>
  </w:style>
  <w:style w:type="paragraph" w:styleId="Liste2">
    <w:name w:val="List 2"/>
    <w:basedOn w:val="Standard"/>
    <w:uiPriority w:val="99"/>
    <w:semiHidden/>
    <w:unhideWhenUsed/>
    <w:rsid w:val="0003148D"/>
    <w:pPr>
      <w:ind w:left="566" w:hanging="283"/>
      <w:contextualSpacing/>
    </w:pPr>
  </w:style>
  <w:style w:type="paragraph" w:styleId="Liste3">
    <w:name w:val="List 3"/>
    <w:basedOn w:val="Standard"/>
    <w:uiPriority w:val="99"/>
    <w:semiHidden/>
    <w:unhideWhenUsed/>
    <w:rsid w:val="0003148D"/>
    <w:pPr>
      <w:ind w:left="849" w:hanging="283"/>
      <w:contextualSpacing/>
    </w:pPr>
  </w:style>
  <w:style w:type="paragraph" w:styleId="Liste4">
    <w:name w:val="List 4"/>
    <w:basedOn w:val="Standard"/>
    <w:uiPriority w:val="99"/>
    <w:semiHidden/>
    <w:unhideWhenUsed/>
    <w:rsid w:val="0003148D"/>
    <w:pPr>
      <w:ind w:left="1132" w:hanging="283"/>
      <w:contextualSpacing/>
    </w:pPr>
  </w:style>
  <w:style w:type="paragraph" w:styleId="Liste5">
    <w:name w:val="List 5"/>
    <w:basedOn w:val="Standard"/>
    <w:uiPriority w:val="99"/>
    <w:semiHidden/>
    <w:unhideWhenUsed/>
    <w:rsid w:val="0003148D"/>
    <w:pPr>
      <w:ind w:left="1415" w:hanging="283"/>
      <w:contextualSpacing/>
    </w:pPr>
  </w:style>
  <w:style w:type="paragraph" w:styleId="Listenfortsetzung">
    <w:name w:val="List Continue"/>
    <w:basedOn w:val="Standard"/>
    <w:uiPriority w:val="99"/>
    <w:semiHidden/>
    <w:unhideWhenUsed/>
    <w:rsid w:val="0003148D"/>
    <w:pPr>
      <w:spacing w:after="120"/>
      <w:ind w:left="283"/>
      <w:contextualSpacing/>
    </w:pPr>
  </w:style>
  <w:style w:type="paragraph" w:styleId="Listenfortsetzung2">
    <w:name w:val="List Continue 2"/>
    <w:basedOn w:val="Standard"/>
    <w:uiPriority w:val="99"/>
    <w:semiHidden/>
    <w:unhideWhenUsed/>
    <w:rsid w:val="0003148D"/>
    <w:pPr>
      <w:spacing w:after="120"/>
      <w:ind w:left="566"/>
      <w:contextualSpacing/>
    </w:pPr>
  </w:style>
  <w:style w:type="paragraph" w:styleId="Listenfortsetzung3">
    <w:name w:val="List Continue 3"/>
    <w:basedOn w:val="Standard"/>
    <w:uiPriority w:val="99"/>
    <w:semiHidden/>
    <w:unhideWhenUsed/>
    <w:rsid w:val="0003148D"/>
    <w:pPr>
      <w:spacing w:after="120"/>
      <w:ind w:left="849"/>
      <w:contextualSpacing/>
    </w:pPr>
  </w:style>
  <w:style w:type="paragraph" w:styleId="Listenfortsetzung4">
    <w:name w:val="List Continue 4"/>
    <w:basedOn w:val="Standard"/>
    <w:uiPriority w:val="99"/>
    <w:semiHidden/>
    <w:unhideWhenUsed/>
    <w:rsid w:val="0003148D"/>
    <w:pPr>
      <w:spacing w:after="120"/>
      <w:ind w:left="1132"/>
      <w:contextualSpacing/>
    </w:pPr>
  </w:style>
  <w:style w:type="paragraph" w:styleId="Listenfortsetzung5">
    <w:name w:val="List Continue 5"/>
    <w:basedOn w:val="Standard"/>
    <w:uiPriority w:val="99"/>
    <w:semiHidden/>
    <w:unhideWhenUsed/>
    <w:rsid w:val="0003148D"/>
    <w:pPr>
      <w:spacing w:after="120"/>
      <w:ind w:left="1415"/>
      <w:contextualSpacing/>
    </w:pPr>
  </w:style>
  <w:style w:type="paragraph" w:styleId="Unterschrift">
    <w:name w:val="Signature"/>
    <w:basedOn w:val="Standard"/>
    <w:link w:val="UnterschriftZchn"/>
    <w:uiPriority w:val="99"/>
    <w:semiHidden/>
    <w:unhideWhenUsed/>
    <w:rsid w:val="0003148D"/>
    <w:pPr>
      <w:spacing w:line="240" w:lineRule="auto"/>
      <w:ind w:left="4252"/>
    </w:pPr>
  </w:style>
  <w:style w:type="character" w:customStyle="1" w:styleId="UnterschriftZchn">
    <w:name w:val="Unterschrift Zchn"/>
    <w:basedOn w:val="Absatz-Standardschriftart"/>
    <w:link w:val="Unterschrift"/>
    <w:uiPriority w:val="99"/>
    <w:semiHidden/>
    <w:rsid w:val="0003148D"/>
  </w:style>
  <w:style w:type="paragraph" w:styleId="E-Mail-Signatur">
    <w:name w:val="E-mail Signature"/>
    <w:basedOn w:val="Standard"/>
    <w:link w:val="E-Mail-SignaturZchn"/>
    <w:uiPriority w:val="99"/>
    <w:semiHidden/>
    <w:unhideWhenUsed/>
    <w:rsid w:val="0003148D"/>
    <w:pPr>
      <w:spacing w:line="240" w:lineRule="auto"/>
    </w:pPr>
  </w:style>
  <w:style w:type="character" w:customStyle="1" w:styleId="E-Mail-SignaturZchn">
    <w:name w:val="E-Mail-Signatur Zchn"/>
    <w:basedOn w:val="Absatz-Standardschriftart"/>
    <w:link w:val="E-Mail-Signatur"/>
    <w:uiPriority w:val="99"/>
    <w:semiHidden/>
    <w:rsid w:val="0003148D"/>
  </w:style>
  <w:style w:type="paragraph" w:styleId="Anrede">
    <w:name w:val="Salutation"/>
    <w:basedOn w:val="Standard"/>
    <w:next w:val="Standard"/>
    <w:link w:val="AnredeZchn"/>
    <w:uiPriority w:val="99"/>
    <w:semiHidden/>
    <w:unhideWhenUsed/>
    <w:rsid w:val="0003148D"/>
  </w:style>
  <w:style w:type="character" w:customStyle="1" w:styleId="AnredeZchn">
    <w:name w:val="Anrede Zchn"/>
    <w:basedOn w:val="Absatz-Standardschriftart"/>
    <w:link w:val="Anrede"/>
    <w:uiPriority w:val="99"/>
    <w:semiHidden/>
    <w:rsid w:val="0003148D"/>
  </w:style>
  <w:style w:type="paragraph" w:styleId="Gruformel">
    <w:name w:val="Closing"/>
    <w:basedOn w:val="Standard"/>
    <w:link w:val="GruformelZchn"/>
    <w:uiPriority w:val="99"/>
    <w:semiHidden/>
    <w:unhideWhenUsed/>
    <w:rsid w:val="0003148D"/>
    <w:pPr>
      <w:spacing w:line="240" w:lineRule="auto"/>
      <w:ind w:left="4252"/>
    </w:pPr>
  </w:style>
  <w:style w:type="character" w:customStyle="1" w:styleId="GruformelZchn">
    <w:name w:val="Grußformel Zchn"/>
    <w:basedOn w:val="Absatz-Standardschriftart"/>
    <w:link w:val="Gruformel"/>
    <w:uiPriority w:val="99"/>
    <w:semiHidden/>
    <w:rsid w:val="0003148D"/>
  </w:style>
  <w:style w:type="paragraph" w:styleId="Index1">
    <w:name w:val="index 1"/>
    <w:basedOn w:val="Standard"/>
    <w:next w:val="Standard"/>
    <w:autoRedefine/>
    <w:uiPriority w:val="99"/>
    <w:semiHidden/>
    <w:unhideWhenUsed/>
    <w:rsid w:val="0003148D"/>
    <w:pPr>
      <w:spacing w:line="240" w:lineRule="auto"/>
      <w:ind w:left="220" w:hanging="220"/>
    </w:pPr>
  </w:style>
  <w:style w:type="paragraph" w:styleId="Index2">
    <w:name w:val="index 2"/>
    <w:basedOn w:val="Standard"/>
    <w:next w:val="Standard"/>
    <w:autoRedefine/>
    <w:uiPriority w:val="99"/>
    <w:semiHidden/>
    <w:unhideWhenUsed/>
    <w:rsid w:val="0003148D"/>
    <w:pPr>
      <w:spacing w:line="240" w:lineRule="auto"/>
      <w:ind w:left="440" w:hanging="220"/>
    </w:pPr>
  </w:style>
  <w:style w:type="paragraph" w:styleId="Index3">
    <w:name w:val="index 3"/>
    <w:basedOn w:val="Standard"/>
    <w:next w:val="Standard"/>
    <w:autoRedefine/>
    <w:uiPriority w:val="99"/>
    <w:semiHidden/>
    <w:unhideWhenUsed/>
    <w:rsid w:val="0003148D"/>
    <w:pPr>
      <w:spacing w:line="240" w:lineRule="auto"/>
      <w:ind w:left="660" w:hanging="220"/>
    </w:pPr>
  </w:style>
  <w:style w:type="paragraph" w:styleId="Index4">
    <w:name w:val="index 4"/>
    <w:basedOn w:val="Standard"/>
    <w:next w:val="Standard"/>
    <w:autoRedefine/>
    <w:uiPriority w:val="99"/>
    <w:semiHidden/>
    <w:unhideWhenUsed/>
    <w:rsid w:val="0003148D"/>
    <w:pPr>
      <w:spacing w:line="240" w:lineRule="auto"/>
      <w:ind w:left="880" w:hanging="220"/>
    </w:pPr>
  </w:style>
  <w:style w:type="paragraph" w:styleId="Index5">
    <w:name w:val="index 5"/>
    <w:basedOn w:val="Standard"/>
    <w:next w:val="Standard"/>
    <w:autoRedefine/>
    <w:uiPriority w:val="99"/>
    <w:semiHidden/>
    <w:unhideWhenUsed/>
    <w:rsid w:val="0003148D"/>
    <w:pPr>
      <w:spacing w:line="240" w:lineRule="auto"/>
      <w:ind w:left="1100" w:hanging="220"/>
    </w:pPr>
  </w:style>
  <w:style w:type="paragraph" w:styleId="Index6">
    <w:name w:val="index 6"/>
    <w:basedOn w:val="Standard"/>
    <w:next w:val="Standard"/>
    <w:autoRedefine/>
    <w:uiPriority w:val="99"/>
    <w:semiHidden/>
    <w:unhideWhenUsed/>
    <w:rsid w:val="0003148D"/>
    <w:pPr>
      <w:spacing w:line="240" w:lineRule="auto"/>
      <w:ind w:left="1320" w:hanging="220"/>
    </w:pPr>
  </w:style>
  <w:style w:type="paragraph" w:styleId="Index7">
    <w:name w:val="index 7"/>
    <w:basedOn w:val="Standard"/>
    <w:next w:val="Standard"/>
    <w:autoRedefine/>
    <w:uiPriority w:val="99"/>
    <w:semiHidden/>
    <w:unhideWhenUsed/>
    <w:rsid w:val="0003148D"/>
    <w:pPr>
      <w:spacing w:line="240" w:lineRule="auto"/>
      <w:ind w:left="1540" w:hanging="220"/>
    </w:pPr>
  </w:style>
  <w:style w:type="paragraph" w:styleId="Index8">
    <w:name w:val="index 8"/>
    <w:basedOn w:val="Standard"/>
    <w:next w:val="Standard"/>
    <w:autoRedefine/>
    <w:uiPriority w:val="99"/>
    <w:semiHidden/>
    <w:unhideWhenUsed/>
    <w:rsid w:val="0003148D"/>
    <w:pPr>
      <w:spacing w:line="240" w:lineRule="auto"/>
      <w:ind w:left="1760" w:hanging="220"/>
    </w:pPr>
  </w:style>
  <w:style w:type="paragraph" w:styleId="Index9">
    <w:name w:val="index 9"/>
    <w:basedOn w:val="Standard"/>
    <w:next w:val="Standard"/>
    <w:autoRedefine/>
    <w:uiPriority w:val="99"/>
    <w:semiHidden/>
    <w:unhideWhenUsed/>
    <w:rsid w:val="0003148D"/>
    <w:pPr>
      <w:spacing w:line="240" w:lineRule="auto"/>
      <w:ind w:left="1980" w:hanging="220"/>
    </w:pPr>
  </w:style>
  <w:style w:type="paragraph" w:styleId="Abbildungsverzeichnis">
    <w:name w:val="table of figures"/>
    <w:basedOn w:val="Standard"/>
    <w:next w:val="Standard"/>
    <w:uiPriority w:val="99"/>
    <w:semiHidden/>
    <w:unhideWhenUsed/>
    <w:rsid w:val="0003148D"/>
  </w:style>
  <w:style w:type="paragraph" w:styleId="Rechtsgrundlagenverzeichnis">
    <w:name w:val="table of authorities"/>
    <w:basedOn w:val="Standard"/>
    <w:next w:val="Standard"/>
    <w:uiPriority w:val="99"/>
    <w:semiHidden/>
    <w:unhideWhenUsed/>
    <w:rsid w:val="0003148D"/>
    <w:pPr>
      <w:ind w:left="220" w:hanging="220"/>
    </w:pPr>
  </w:style>
  <w:style w:type="paragraph" w:styleId="Umschlagadresse">
    <w:name w:val="envelope address"/>
    <w:basedOn w:val="Standard"/>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resse">
    <w:name w:val="HTML Address"/>
    <w:basedOn w:val="Standard"/>
    <w:link w:val="HTMLAdresseZchn"/>
    <w:uiPriority w:val="99"/>
    <w:semiHidden/>
    <w:unhideWhenUsed/>
    <w:rsid w:val="0003148D"/>
    <w:pPr>
      <w:spacing w:line="240" w:lineRule="auto"/>
    </w:pPr>
    <w:rPr>
      <w:i/>
      <w:iCs/>
    </w:rPr>
  </w:style>
  <w:style w:type="character" w:customStyle="1" w:styleId="HTMLAdresseZchn">
    <w:name w:val="HTML Adresse Zchn"/>
    <w:basedOn w:val="Absatz-Standardschriftart"/>
    <w:link w:val="HTMLAdresse"/>
    <w:uiPriority w:val="99"/>
    <w:semiHidden/>
    <w:rsid w:val="0003148D"/>
    <w:rPr>
      <w:i/>
      <w:iCs/>
    </w:rPr>
  </w:style>
  <w:style w:type="paragraph" w:styleId="Umschlagabsenderadresse">
    <w:name w:val="envelope return"/>
    <w:basedOn w:val="Standard"/>
    <w:uiPriority w:val="99"/>
    <w:semiHidden/>
    <w:unhideWhenUsed/>
    <w:rsid w:val="0003148D"/>
    <w:pPr>
      <w:spacing w:line="240" w:lineRule="auto"/>
    </w:pPr>
    <w:rPr>
      <w:rFonts w:asciiTheme="majorHAnsi" w:eastAsiaTheme="majorEastAsia" w:hAnsiTheme="majorHAnsi" w:cstheme="majorBidi"/>
    </w:rPr>
  </w:style>
  <w:style w:type="paragraph" w:styleId="Nachrichtenkopf">
    <w:name w:val="Message Header"/>
    <w:basedOn w:val="Standard"/>
    <w:link w:val="NachrichtenkopfZchn"/>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03148D"/>
    <w:rPr>
      <w:rFonts w:asciiTheme="majorHAnsi" w:eastAsiaTheme="majorEastAsia" w:hAnsiTheme="majorHAnsi" w:cstheme="majorBidi"/>
      <w:sz w:val="24"/>
      <w:szCs w:val="24"/>
      <w:shd w:val="pct20" w:color="auto" w:fill="auto"/>
    </w:rPr>
  </w:style>
  <w:style w:type="paragraph" w:styleId="Fu-Endnotenberschrift">
    <w:name w:val="Note Heading"/>
    <w:basedOn w:val="Standard"/>
    <w:next w:val="Standard"/>
    <w:link w:val="Fu-EndnotenberschriftZchn"/>
    <w:uiPriority w:val="99"/>
    <w:semiHidden/>
    <w:unhideWhenUsed/>
    <w:rsid w:val="0003148D"/>
    <w:pPr>
      <w:spacing w:line="240" w:lineRule="auto"/>
    </w:pPr>
  </w:style>
  <w:style w:type="character" w:customStyle="1" w:styleId="Fu-EndnotenberschriftZchn">
    <w:name w:val="Fuß/-Endnotenüberschrift Zchn"/>
    <w:basedOn w:val="Absatz-Standardschriftart"/>
    <w:link w:val="Fu-Endnotenberschrift"/>
    <w:uiPriority w:val="99"/>
    <w:semiHidden/>
    <w:rsid w:val="0003148D"/>
  </w:style>
  <w:style w:type="paragraph" w:styleId="Dokumentstruktur">
    <w:name w:val="Document Map"/>
    <w:basedOn w:val="Standard"/>
    <w:link w:val="DokumentstrukturZchn"/>
    <w:uiPriority w:val="99"/>
    <w:semiHidden/>
    <w:unhideWhenUsed/>
    <w:rsid w:val="0003148D"/>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03148D"/>
    <w:rPr>
      <w:rFonts w:ascii="Tahoma" w:hAnsi="Tahoma" w:cs="Tahoma"/>
      <w:sz w:val="16"/>
      <w:szCs w:val="16"/>
    </w:rPr>
  </w:style>
  <w:style w:type="paragraph" w:styleId="StandardWeb">
    <w:name w:val="Normal (Web)"/>
    <w:basedOn w:val="Standard"/>
    <w:uiPriority w:val="99"/>
    <w:semiHidden/>
    <w:unhideWhenUsed/>
    <w:rsid w:val="0003148D"/>
    <w:rPr>
      <w:sz w:val="24"/>
      <w:szCs w:val="24"/>
    </w:rPr>
  </w:style>
  <w:style w:type="paragraph" w:styleId="Listennummer">
    <w:name w:val="List Number"/>
    <w:basedOn w:val="Standard"/>
    <w:uiPriority w:val="99"/>
    <w:semiHidden/>
    <w:unhideWhenUsed/>
    <w:rsid w:val="0003148D"/>
    <w:pPr>
      <w:numPr>
        <w:numId w:val="2"/>
      </w:numPr>
      <w:contextualSpacing/>
    </w:pPr>
  </w:style>
  <w:style w:type="paragraph" w:styleId="Listennummer2">
    <w:name w:val="List Number 2"/>
    <w:basedOn w:val="Standard"/>
    <w:uiPriority w:val="99"/>
    <w:semiHidden/>
    <w:unhideWhenUsed/>
    <w:rsid w:val="0003148D"/>
    <w:pPr>
      <w:numPr>
        <w:numId w:val="3"/>
      </w:numPr>
      <w:contextualSpacing/>
    </w:pPr>
  </w:style>
  <w:style w:type="paragraph" w:styleId="Listennummer3">
    <w:name w:val="List Number 3"/>
    <w:basedOn w:val="Standard"/>
    <w:uiPriority w:val="99"/>
    <w:semiHidden/>
    <w:unhideWhenUsed/>
    <w:rsid w:val="0003148D"/>
    <w:pPr>
      <w:numPr>
        <w:numId w:val="4"/>
      </w:numPr>
      <w:contextualSpacing/>
    </w:pPr>
  </w:style>
  <w:style w:type="paragraph" w:styleId="Listennummer4">
    <w:name w:val="List Number 4"/>
    <w:basedOn w:val="Standard"/>
    <w:uiPriority w:val="99"/>
    <w:semiHidden/>
    <w:unhideWhenUsed/>
    <w:rsid w:val="0003148D"/>
    <w:pPr>
      <w:numPr>
        <w:numId w:val="5"/>
      </w:numPr>
      <w:contextualSpacing/>
    </w:pPr>
  </w:style>
  <w:style w:type="paragraph" w:styleId="Listennummer5">
    <w:name w:val="List Number 5"/>
    <w:basedOn w:val="Standard"/>
    <w:uiPriority w:val="99"/>
    <w:semiHidden/>
    <w:unhideWhenUsed/>
    <w:rsid w:val="0003148D"/>
    <w:pPr>
      <w:numPr>
        <w:numId w:val="6"/>
      </w:numPr>
      <w:contextualSpacing/>
    </w:pPr>
  </w:style>
  <w:style w:type="paragraph" w:styleId="HTMLVorformatiert">
    <w:name w:val="HTML Preformatted"/>
    <w:basedOn w:val="Standard"/>
    <w:link w:val="HTMLVorformatiertZchn"/>
    <w:uiPriority w:val="99"/>
    <w:semiHidden/>
    <w:unhideWhenUsed/>
    <w:rsid w:val="0003148D"/>
    <w:pPr>
      <w:spacing w:line="240" w:lineRule="auto"/>
    </w:pPr>
    <w:rPr>
      <w:rFonts w:ascii="Consolas" w:hAnsi="Consolas" w:cs="Consolas"/>
    </w:rPr>
  </w:style>
  <w:style w:type="character" w:customStyle="1" w:styleId="HTMLVorformatiertZchn">
    <w:name w:val="HTML Vorformatiert Zchn"/>
    <w:basedOn w:val="Absatz-Standardschriftart"/>
    <w:link w:val="HTMLVorformatiert"/>
    <w:uiPriority w:val="99"/>
    <w:semiHidden/>
    <w:rsid w:val="0003148D"/>
    <w:rPr>
      <w:rFonts w:ascii="Consolas" w:hAnsi="Consolas" w:cs="Consolas"/>
      <w:sz w:val="20"/>
      <w:szCs w:val="20"/>
    </w:rPr>
  </w:style>
  <w:style w:type="paragraph" w:styleId="Textkrper-Erstzeileneinzug">
    <w:name w:val="Body Text First Indent"/>
    <w:basedOn w:val="Textkrper"/>
    <w:link w:val="Textkrper-ErstzeileneinzugZchn"/>
    <w:uiPriority w:val="99"/>
    <w:semiHidden/>
    <w:unhideWhenUsed/>
    <w:rsid w:val="0003148D"/>
    <w:pPr>
      <w:spacing w:after="200"/>
      <w:ind w:firstLine="360"/>
    </w:pPr>
  </w:style>
  <w:style w:type="character" w:customStyle="1" w:styleId="Textkrper-ErstzeileneinzugZchn">
    <w:name w:val="Textkörper-Erstzeileneinzug Zchn"/>
    <w:basedOn w:val="TextkrperZchn"/>
    <w:link w:val="Textkrper-Erstzeileneinzug"/>
    <w:uiPriority w:val="99"/>
    <w:semiHidden/>
    <w:rsid w:val="0003148D"/>
  </w:style>
  <w:style w:type="paragraph" w:styleId="Textkrper-Zeileneinzug">
    <w:name w:val="Body Text Indent"/>
    <w:basedOn w:val="Standard"/>
    <w:link w:val="Textkrper-ZeileneinzugZchn"/>
    <w:uiPriority w:val="99"/>
    <w:semiHidden/>
    <w:unhideWhenUsed/>
    <w:rsid w:val="0003148D"/>
    <w:pPr>
      <w:spacing w:after="120"/>
      <w:ind w:left="283"/>
    </w:pPr>
  </w:style>
  <w:style w:type="character" w:customStyle="1" w:styleId="Textkrper-ZeileneinzugZchn">
    <w:name w:val="Textkörper-Zeileneinzug Zchn"/>
    <w:basedOn w:val="Absatz-Standardschriftart"/>
    <w:link w:val="Textkrper-Zeileneinzug"/>
    <w:uiPriority w:val="99"/>
    <w:semiHidden/>
    <w:rsid w:val="0003148D"/>
  </w:style>
  <w:style w:type="paragraph" w:styleId="Textkrper-Erstzeileneinzug2">
    <w:name w:val="Body Text First Indent 2"/>
    <w:basedOn w:val="Textkrper-Zeileneinzug"/>
    <w:link w:val="Textkrper-Erstzeileneinzug2Zchn"/>
    <w:uiPriority w:val="99"/>
    <w:semiHidden/>
    <w:unhideWhenUsed/>
    <w:rsid w:val="0003148D"/>
    <w:pPr>
      <w:spacing w:after="20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03148D"/>
  </w:style>
  <w:style w:type="paragraph" w:styleId="Aufzhlungszeichen">
    <w:name w:val="List Bullet"/>
    <w:basedOn w:val="Standard"/>
    <w:uiPriority w:val="99"/>
    <w:semiHidden/>
    <w:unhideWhenUsed/>
    <w:rsid w:val="0003148D"/>
    <w:pPr>
      <w:numPr>
        <w:numId w:val="7"/>
      </w:numPr>
      <w:contextualSpacing/>
    </w:pPr>
  </w:style>
  <w:style w:type="paragraph" w:styleId="Aufzhlungszeichen2">
    <w:name w:val="List Bullet 2"/>
    <w:basedOn w:val="Standard"/>
    <w:uiPriority w:val="99"/>
    <w:semiHidden/>
    <w:unhideWhenUsed/>
    <w:rsid w:val="0003148D"/>
    <w:pPr>
      <w:numPr>
        <w:numId w:val="8"/>
      </w:numPr>
      <w:contextualSpacing/>
    </w:pPr>
  </w:style>
  <w:style w:type="paragraph" w:styleId="Aufzhlungszeichen3">
    <w:name w:val="List Bullet 3"/>
    <w:basedOn w:val="Standard"/>
    <w:uiPriority w:val="99"/>
    <w:semiHidden/>
    <w:unhideWhenUsed/>
    <w:rsid w:val="0003148D"/>
    <w:pPr>
      <w:numPr>
        <w:numId w:val="9"/>
      </w:numPr>
      <w:contextualSpacing/>
    </w:pPr>
  </w:style>
  <w:style w:type="paragraph" w:styleId="Aufzhlungszeichen4">
    <w:name w:val="List Bullet 4"/>
    <w:basedOn w:val="Standard"/>
    <w:uiPriority w:val="99"/>
    <w:semiHidden/>
    <w:unhideWhenUsed/>
    <w:rsid w:val="0003148D"/>
    <w:pPr>
      <w:numPr>
        <w:numId w:val="10"/>
      </w:numPr>
      <w:contextualSpacing/>
    </w:pPr>
  </w:style>
  <w:style w:type="paragraph" w:styleId="Aufzhlungszeichen5">
    <w:name w:val="List Bullet 5"/>
    <w:basedOn w:val="Standard"/>
    <w:uiPriority w:val="99"/>
    <w:semiHidden/>
    <w:unhideWhenUsed/>
    <w:rsid w:val="0003148D"/>
    <w:pPr>
      <w:numPr>
        <w:numId w:val="11"/>
      </w:numPr>
      <w:contextualSpacing/>
    </w:pPr>
  </w:style>
  <w:style w:type="paragraph" w:styleId="Textkrper-Einzug2">
    <w:name w:val="Body Text Indent 2"/>
    <w:basedOn w:val="Standard"/>
    <w:link w:val="Textkrper-Einzug2Zchn"/>
    <w:uiPriority w:val="99"/>
    <w:semiHidden/>
    <w:unhideWhenUsed/>
    <w:rsid w:val="0003148D"/>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3148D"/>
  </w:style>
  <w:style w:type="paragraph" w:styleId="Textkrper-Einzug3">
    <w:name w:val="Body Text Indent 3"/>
    <w:basedOn w:val="Standard"/>
    <w:link w:val="Textkrper-Einzug3Zchn"/>
    <w:uiPriority w:val="99"/>
    <w:semiHidden/>
    <w:unhideWhenUsed/>
    <w:rsid w:val="0003148D"/>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03148D"/>
    <w:rPr>
      <w:sz w:val="16"/>
      <w:szCs w:val="16"/>
    </w:rPr>
  </w:style>
  <w:style w:type="paragraph" w:styleId="Standardeinzug">
    <w:name w:val="Normal Indent"/>
    <w:basedOn w:val="Standard"/>
    <w:uiPriority w:val="99"/>
    <w:semiHidden/>
    <w:unhideWhenUsed/>
    <w:rsid w:val="0003148D"/>
    <w:pPr>
      <w:ind w:left="720"/>
    </w:pPr>
  </w:style>
  <w:style w:type="paragraph" w:styleId="Kommentartext">
    <w:name w:val="annotation text"/>
    <w:basedOn w:val="Standard"/>
    <w:link w:val="KommentartextZchn"/>
    <w:uiPriority w:val="99"/>
    <w:unhideWhenUsed/>
    <w:rsid w:val="0003148D"/>
    <w:pPr>
      <w:spacing w:line="240" w:lineRule="auto"/>
    </w:pPr>
  </w:style>
  <w:style w:type="character" w:customStyle="1" w:styleId="KommentartextZchn">
    <w:name w:val="Kommentartext Zchn"/>
    <w:basedOn w:val="Absatz-Standardschriftart"/>
    <w:link w:val="Kommentartext"/>
    <w:uiPriority w:val="99"/>
    <w:rsid w:val="0003148D"/>
    <w:rPr>
      <w:sz w:val="20"/>
      <w:szCs w:val="20"/>
    </w:rPr>
  </w:style>
  <w:style w:type="paragraph" w:styleId="Kommentarthema">
    <w:name w:val="annotation subject"/>
    <w:basedOn w:val="Kommentartext"/>
    <w:next w:val="Kommentartext"/>
    <w:link w:val="KommentarthemaZchn"/>
    <w:uiPriority w:val="99"/>
    <w:semiHidden/>
    <w:unhideWhenUsed/>
    <w:rsid w:val="0003148D"/>
    <w:rPr>
      <w:b/>
      <w:bCs/>
    </w:rPr>
  </w:style>
  <w:style w:type="character" w:customStyle="1" w:styleId="KommentarthemaZchn">
    <w:name w:val="Kommentarthema Zchn"/>
    <w:basedOn w:val="KommentartextZchn"/>
    <w:link w:val="Kommentarthema"/>
    <w:uiPriority w:val="99"/>
    <w:semiHidden/>
    <w:rsid w:val="0003148D"/>
    <w:rPr>
      <w:b/>
      <w:bCs/>
      <w:sz w:val="20"/>
      <w:szCs w:val="20"/>
    </w:rPr>
  </w:style>
  <w:style w:type="paragraph" w:styleId="Verzeichnis1">
    <w:name w:val="toc 1"/>
    <w:basedOn w:val="Standard"/>
    <w:next w:val="Standard"/>
    <w:autoRedefine/>
    <w:uiPriority w:val="39"/>
    <w:semiHidden/>
    <w:unhideWhenUsed/>
    <w:rsid w:val="0003148D"/>
    <w:pPr>
      <w:spacing w:after="100"/>
    </w:pPr>
  </w:style>
  <w:style w:type="paragraph" w:styleId="Verzeichnis2">
    <w:name w:val="toc 2"/>
    <w:basedOn w:val="Standard"/>
    <w:next w:val="Standard"/>
    <w:autoRedefine/>
    <w:uiPriority w:val="39"/>
    <w:semiHidden/>
    <w:unhideWhenUsed/>
    <w:rsid w:val="0003148D"/>
    <w:pPr>
      <w:spacing w:after="100"/>
      <w:ind w:left="220"/>
    </w:pPr>
  </w:style>
  <w:style w:type="paragraph" w:styleId="Verzeichnis3">
    <w:name w:val="toc 3"/>
    <w:basedOn w:val="Standard"/>
    <w:next w:val="Standard"/>
    <w:autoRedefine/>
    <w:uiPriority w:val="39"/>
    <w:semiHidden/>
    <w:unhideWhenUsed/>
    <w:rsid w:val="0003148D"/>
    <w:pPr>
      <w:spacing w:after="100"/>
      <w:ind w:left="440"/>
    </w:pPr>
  </w:style>
  <w:style w:type="paragraph" w:styleId="Verzeichnis4">
    <w:name w:val="toc 4"/>
    <w:basedOn w:val="Standard"/>
    <w:next w:val="Standard"/>
    <w:autoRedefine/>
    <w:uiPriority w:val="39"/>
    <w:semiHidden/>
    <w:unhideWhenUsed/>
    <w:rsid w:val="0003148D"/>
    <w:pPr>
      <w:spacing w:after="100"/>
      <w:ind w:left="660"/>
    </w:pPr>
  </w:style>
  <w:style w:type="paragraph" w:styleId="Verzeichnis5">
    <w:name w:val="toc 5"/>
    <w:basedOn w:val="Standard"/>
    <w:next w:val="Standard"/>
    <w:autoRedefine/>
    <w:uiPriority w:val="39"/>
    <w:semiHidden/>
    <w:unhideWhenUsed/>
    <w:rsid w:val="0003148D"/>
    <w:pPr>
      <w:spacing w:after="100"/>
      <w:ind w:left="880"/>
    </w:pPr>
  </w:style>
  <w:style w:type="paragraph" w:styleId="Verzeichnis6">
    <w:name w:val="toc 6"/>
    <w:basedOn w:val="Standard"/>
    <w:next w:val="Standard"/>
    <w:autoRedefine/>
    <w:uiPriority w:val="39"/>
    <w:semiHidden/>
    <w:unhideWhenUsed/>
    <w:rsid w:val="0003148D"/>
    <w:pPr>
      <w:spacing w:after="100"/>
      <w:ind w:left="1100"/>
    </w:pPr>
  </w:style>
  <w:style w:type="paragraph" w:styleId="Verzeichnis7">
    <w:name w:val="toc 7"/>
    <w:basedOn w:val="Standard"/>
    <w:next w:val="Standard"/>
    <w:autoRedefine/>
    <w:uiPriority w:val="39"/>
    <w:semiHidden/>
    <w:unhideWhenUsed/>
    <w:rsid w:val="0003148D"/>
    <w:pPr>
      <w:spacing w:after="100"/>
      <w:ind w:left="1320"/>
    </w:pPr>
  </w:style>
  <w:style w:type="paragraph" w:styleId="Verzeichnis8">
    <w:name w:val="toc 8"/>
    <w:basedOn w:val="Standard"/>
    <w:next w:val="Standard"/>
    <w:autoRedefine/>
    <w:uiPriority w:val="39"/>
    <w:semiHidden/>
    <w:unhideWhenUsed/>
    <w:rsid w:val="0003148D"/>
    <w:pPr>
      <w:spacing w:after="100"/>
      <w:ind w:left="1540"/>
    </w:pPr>
  </w:style>
  <w:style w:type="paragraph" w:styleId="Verzeichnis9">
    <w:name w:val="toc 9"/>
    <w:basedOn w:val="Standard"/>
    <w:next w:val="Standard"/>
    <w:autoRedefine/>
    <w:uiPriority w:val="39"/>
    <w:semiHidden/>
    <w:unhideWhenUsed/>
    <w:rsid w:val="0003148D"/>
    <w:pPr>
      <w:spacing w:after="100"/>
      <w:ind w:left="1760"/>
    </w:pPr>
  </w:style>
  <w:style w:type="paragraph" w:styleId="Blocktext">
    <w:name w:val="Block Text"/>
    <w:basedOn w:val="Standard"/>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krotext">
    <w:name w:val="macro"/>
    <w:link w:val="MakrotextZchn"/>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textZchn">
    <w:name w:val="Makrotext Zchn"/>
    <w:basedOn w:val="Absatz-Standardschriftart"/>
    <w:link w:val="Makrotext"/>
    <w:uiPriority w:val="99"/>
    <w:semiHidden/>
    <w:rsid w:val="0003148D"/>
    <w:rPr>
      <w:rFonts w:ascii="Consolas" w:hAnsi="Consolas" w:cs="Consolas"/>
      <w:sz w:val="20"/>
      <w:szCs w:val="20"/>
    </w:rPr>
  </w:style>
  <w:style w:type="paragraph" w:styleId="NurText">
    <w:name w:val="Plain Text"/>
    <w:basedOn w:val="Standard"/>
    <w:link w:val="NurTextZchn"/>
    <w:uiPriority w:val="99"/>
    <w:semiHidden/>
    <w:unhideWhenUsed/>
    <w:rsid w:val="0003148D"/>
    <w:pPr>
      <w:spacing w:line="240" w:lineRule="auto"/>
    </w:pPr>
    <w:rPr>
      <w:rFonts w:ascii="Consolas" w:hAnsi="Consolas" w:cs="Consolas"/>
      <w:sz w:val="21"/>
      <w:szCs w:val="21"/>
    </w:rPr>
  </w:style>
  <w:style w:type="character" w:customStyle="1" w:styleId="NurTextZchn">
    <w:name w:val="Nur Text Zchn"/>
    <w:basedOn w:val="Absatz-Standardschriftart"/>
    <w:link w:val="NurText"/>
    <w:uiPriority w:val="99"/>
    <w:semiHidden/>
    <w:rsid w:val="0003148D"/>
    <w:rPr>
      <w:rFonts w:ascii="Consolas" w:hAnsi="Consolas" w:cs="Consolas"/>
      <w:sz w:val="21"/>
      <w:szCs w:val="21"/>
    </w:rPr>
  </w:style>
  <w:style w:type="paragraph" w:styleId="Funotentext">
    <w:name w:val="footnote text"/>
    <w:basedOn w:val="Standard"/>
    <w:link w:val="FunotentextZchn"/>
    <w:uiPriority w:val="99"/>
    <w:semiHidden/>
    <w:unhideWhenUsed/>
    <w:rsid w:val="0003148D"/>
    <w:pPr>
      <w:spacing w:line="240" w:lineRule="auto"/>
    </w:pPr>
  </w:style>
  <w:style w:type="character" w:customStyle="1" w:styleId="FunotentextZchn">
    <w:name w:val="Fußnotentext Zchn"/>
    <w:basedOn w:val="Absatz-Standardschriftart"/>
    <w:link w:val="Funotentext"/>
    <w:uiPriority w:val="99"/>
    <w:semiHidden/>
    <w:rsid w:val="0003148D"/>
    <w:rPr>
      <w:sz w:val="20"/>
      <w:szCs w:val="20"/>
    </w:rPr>
  </w:style>
  <w:style w:type="paragraph" w:styleId="Endnotentext">
    <w:name w:val="endnote text"/>
    <w:basedOn w:val="Standard"/>
    <w:link w:val="EndnotentextZchn"/>
    <w:uiPriority w:val="99"/>
    <w:semiHidden/>
    <w:unhideWhenUsed/>
    <w:rsid w:val="0003148D"/>
    <w:pPr>
      <w:spacing w:line="240" w:lineRule="auto"/>
    </w:pPr>
  </w:style>
  <w:style w:type="character" w:customStyle="1" w:styleId="EndnotentextZchn">
    <w:name w:val="Endnotentext Zchn"/>
    <w:basedOn w:val="Absatz-Standardschriftart"/>
    <w:link w:val="Endnotentext"/>
    <w:uiPriority w:val="99"/>
    <w:semiHidden/>
    <w:rsid w:val="0003148D"/>
    <w:rPr>
      <w:sz w:val="20"/>
      <w:szCs w:val="20"/>
    </w:rPr>
  </w:style>
  <w:style w:type="character" w:customStyle="1" w:styleId="berschrift1Zchn">
    <w:name w:val="Überschrift 1 Zchn"/>
    <w:basedOn w:val="Absatz-Standardschriftart"/>
    <w:link w:val="berschrift1"/>
    <w:uiPriority w:val="9"/>
    <w:rsid w:val="004F5E36"/>
    <w:rPr>
      <w:rFonts w:ascii="Arial" w:eastAsia="Times New Roman" w:hAnsi="Arial" w:cs="Times New Roman"/>
      <w:b/>
      <w:sz w:val="20"/>
      <w:szCs w:val="20"/>
      <w:lang w:val="en-GB"/>
    </w:rPr>
  </w:style>
  <w:style w:type="character" w:customStyle="1" w:styleId="berschrift2Zchn">
    <w:name w:val="Überschrift 2 Zchn"/>
    <w:basedOn w:val="Absatz-Standardschriftart"/>
    <w:link w:val="berschrift2"/>
    <w:uiPriority w:val="9"/>
    <w:semiHidden/>
    <w:rsid w:val="0003148D"/>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03148D"/>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03148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3148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3148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3148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berschrift">
    <w:name w:val="index heading"/>
    <w:basedOn w:val="Standard"/>
    <w:next w:val="Index1"/>
    <w:uiPriority w:val="99"/>
    <w:semiHidden/>
    <w:unhideWhenUsed/>
    <w:rsid w:val="0003148D"/>
    <w:rPr>
      <w:rFonts w:asciiTheme="majorHAnsi" w:eastAsiaTheme="majorEastAsia" w:hAnsiTheme="majorHAnsi" w:cstheme="majorBidi"/>
      <w:b/>
      <w:bCs/>
    </w:rPr>
  </w:style>
  <w:style w:type="paragraph" w:styleId="RGV-berschrift">
    <w:name w:val="toa heading"/>
    <w:basedOn w:val="Standard"/>
    <w:next w:val="Standard"/>
    <w:uiPriority w:val="99"/>
    <w:semiHidden/>
    <w:unhideWhenUsed/>
    <w:rsid w:val="0003148D"/>
    <w:pPr>
      <w:spacing w:before="120"/>
    </w:pPr>
    <w:rPr>
      <w:rFonts w:asciiTheme="majorHAnsi" w:eastAsiaTheme="majorEastAsia" w:hAnsiTheme="majorHAnsi" w:cstheme="majorBidi"/>
      <w:b/>
      <w:bCs/>
      <w:sz w:val="24"/>
      <w:szCs w:val="24"/>
    </w:rPr>
  </w:style>
  <w:style w:type="paragraph" w:styleId="Inhaltsverzeichnisberschrift">
    <w:name w:val="TOC Heading"/>
    <w:basedOn w:val="berschrift1"/>
    <w:next w:val="Standard"/>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bsatz-Standardschriftar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Kopfzeile">
    <w:name w:val="header"/>
    <w:basedOn w:val="Standard"/>
    <w:link w:val="KopfzeileZchn"/>
    <w:uiPriority w:val="99"/>
    <w:unhideWhenUsed/>
    <w:rsid w:val="005278B7"/>
    <w:pPr>
      <w:tabs>
        <w:tab w:val="clear" w:pos="7100"/>
        <w:tab w:val="center" w:pos="4819"/>
        <w:tab w:val="right" w:pos="9638"/>
      </w:tabs>
      <w:spacing w:line="240" w:lineRule="auto"/>
    </w:pPr>
  </w:style>
  <w:style w:type="character" w:customStyle="1" w:styleId="KopfzeileZchn">
    <w:name w:val="Kopfzeile Zchn"/>
    <w:basedOn w:val="Absatz-Standardschriftart"/>
    <w:link w:val="Kopfzeile"/>
    <w:uiPriority w:val="99"/>
    <w:rsid w:val="005278B7"/>
    <w:rPr>
      <w:rFonts w:ascii="Arial" w:eastAsia="Times New Roman" w:hAnsi="Arial" w:cs="Times New Roman"/>
      <w:sz w:val="18"/>
      <w:szCs w:val="20"/>
      <w:lang w:val="en-GB"/>
    </w:rPr>
  </w:style>
  <w:style w:type="paragraph" w:styleId="Fuzeile">
    <w:name w:val="footer"/>
    <w:basedOn w:val="Standard"/>
    <w:link w:val="FuzeileZchn"/>
    <w:uiPriority w:val="99"/>
    <w:unhideWhenUsed/>
    <w:rsid w:val="005278B7"/>
    <w:pPr>
      <w:tabs>
        <w:tab w:val="clear" w:pos="7100"/>
        <w:tab w:val="center" w:pos="4819"/>
        <w:tab w:val="right" w:pos="9638"/>
      </w:tabs>
      <w:spacing w:line="240" w:lineRule="auto"/>
    </w:pPr>
  </w:style>
  <w:style w:type="character" w:customStyle="1" w:styleId="FuzeileZchn">
    <w:name w:val="Fußzeile Zchn"/>
    <w:basedOn w:val="Absatz-Standardschriftart"/>
    <w:link w:val="Fuzeile"/>
    <w:uiPriority w:val="99"/>
    <w:rsid w:val="005278B7"/>
    <w:rPr>
      <w:rFonts w:ascii="Arial" w:eastAsia="Times New Roman" w:hAnsi="Arial" w:cs="Times New Roman"/>
      <w:sz w:val="18"/>
      <w:szCs w:val="20"/>
      <w:lang w:val="en-GB"/>
    </w:rPr>
  </w:style>
  <w:style w:type="table" w:styleId="Tabellenraster">
    <w:name w:val="Table Grid"/>
    <w:basedOn w:val="NormaleTabel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904C62"/>
    <w:rPr>
      <w:color w:val="0000FF" w:themeColor="hyperlink"/>
      <w:u w:val="single"/>
    </w:rPr>
  </w:style>
  <w:style w:type="character" w:customStyle="1" w:styleId="eudoraheader">
    <w:name w:val="eudoraheader"/>
    <w:basedOn w:val="Absatz-Standardschriftar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character" w:customStyle="1" w:styleId="anchor-text">
    <w:name w:val="anchor-text"/>
    <w:basedOn w:val="Absatz-Standardschriftart"/>
    <w:rsid w:val="00336C3B"/>
  </w:style>
  <w:style w:type="character" w:styleId="NichtaufgelsteErwhnung">
    <w:name w:val="Unresolved Mention"/>
    <w:basedOn w:val="Absatz-Standardschriftart"/>
    <w:uiPriority w:val="99"/>
    <w:semiHidden/>
    <w:unhideWhenUsed/>
    <w:rsid w:val="00641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752959">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5205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519883">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tefan.spitzer@ptb.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A11AA-7E38-4948-8F02-68CA4B563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2248</Words>
  <Characters>14167</Characters>
  <Application>Microsoft Office Word</Application>
  <DocSecurity>0</DocSecurity>
  <Lines>118</Lines>
  <Paragraphs>32</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16383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Spitzer, Stefan</cp:lastModifiedBy>
  <cp:revision>2</cp:revision>
  <cp:lastPrinted>2023-03-07T08:56:00Z</cp:lastPrinted>
  <dcterms:created xsi:type="dcterms:W3CDTF">2023-06-21T11:28:00Z</dcterms:created>
  <dcterms:modified xsi:type="dcterms:W3CDTF">2023-06-21T11:28:00Z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