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DE67F" w14:textId="388092EE" w:rsidR="00DD3D9E" w:rsidRPr="00B4388F" w:rsidRDefault="00C03E25">
      <w:pPr>
        <w:pStyle w:val="Els-Title"/>
        <w:rPr>
          <w:color w:val="000000" w:themeColor="text1"/>
        </w:rPr>
      </w:pPr>
      <w:r>
        <w:rPr>
          <w:color w:val="000000" w:themeColor="text1"/>
        </w:rPr>
        <w:t>Economic resilience evaluation of wastewater resource recovery</w:t>
      </w:r>
      <w:r w:rsidR="0078043A">
        <w:rPr>
          <w:color w:val="000000" w:themeColor="text1"/>
        </w:rPr>
        <w:t xml:space="preserve"> in </w:t>
      </w:r>
      <w:r w:rsidR="00002CF1">
        <w:rPr>
          <w:color w:val="000000" w:themeColor="text1"/>
        </w:rPr>
        <w:t>Qatar’s fertilizer market</w:t>
      </w:r>
    </w:p>
    <w:p w14:paraId="144DE680" w14:textId="12D47473" w:rsidR="00DD3D9E" w:rsidRDefault="00C03E25">
      <w:pPr>
        <w:pStyle w:val="Els-Author"/>
      </w:pPr>
      <w:r>
        <w:t>Fatima-Zahra Lahlou, Ahmed Al-Nouss, Rajesh Govindan, Tareq Al-Ansari*</w:t>
      </w:r>
    </w:p>
    <w:p w14:paraId="09EEEC94" w14:textId="77777777" w:rsidR="00C03E25" w:rsidRDefault="00C03E25" w:rsidP="00C03E25">
      <w:pPr>
        <w:pStyle w:val="Els-Affiliation"/>
        <w:rPr>
          <w:lang w:val="en-US"/>
        </w:rPr>
      </w:pPr>
      <w:r w:rsidRPr="00606B48">
        <w:rPr>
          <w:lang w:val="en-US"/>
        </w:rPr>
        <w:t>Division of Sustainable Development, College of Science and Engineering, Hamad Bin Khalifa University, Qatar foundation, Doha, Qatar</w:t>
      </w:r>
    </w:p>
    <w:p w14:paraId="144DE683" w14:textId="31CEFEEE" w:rsidR="008D2649" w:rsidRPr="00A94774" w:rsidRDefault="00C03E25" w:rsidP="008D2649">
      <w:pPr>
        <w:pStyle w:val="Els-Affiliation"/>
        <w:spacing w:after="120"/>
      </w:pPr>
      <w:r>
        <w:t>talansari@hbku.edu.qa</w:t>
      </w:r>
    </w:p>
    <w:p w14:paraId="144DE684" w14:textId="77777777" w:rsidR="008D2649" w:rsidRDefault="008D2649" w:rsidP="008D2649">
      <w:pPr>
        <w:pStyle w:val="Els-Abstract"/>
      </w:pPr>
      <w:r>
        <w:t>Abstract</w:t>
      </w:r>
    </w:p>
    <w:p w14:paraId="6DD897AA" w14:textId="57F8DF30" w:rsidR="00A21D94" w:rsidRDefault="00002CF1" w:rsidP="00A21D94">
      <w:pPr>
        <w:jc w:val="both"/>
        <w:rPr>
          <w:lang w:val="en-US"/>
        </w:rPr>
      </w:pPr>
      <w:r>
        <w:rPr>
          <w:lang w:val="en-US"/>
        </w:rPr>
        <w:t xml:space="preserve">Commercial fertilizers production represents a substantial contributor to greenhouse gas emissions when it comes to irrigated agriculture, and can, in some instances, hold the biggest share of emissions associated with the practice. With the intensification of climate change, energy intensive Haber-Bosh process, and declining phosphorus reserves, there is a need to adopt alternative and sustainable methods to meet farming nutrient requirements while reducing the burden on the environment, and while maintaining reduced economic costs. Using wastewater treatment plants byproducts, treated </w:t>
      </w:r>
      <w:r w:rsidR="003E5C53">
        <w:rPr>
          <w:lang w:val="en-US"/>
        </w:rPr>
        <w:t>sewage effluent</w:t>
      </w:r>
      <w:r>
        <w:rPr>
          <w:lang w:val="en-US"/>
        </w:rPr>
        <w:t xml:space="preserve"> and sludge, can represent an effective mitigation strategy to reduce these emissions. In addition to that, sludge can be converted into soil amendment which can also substitute for conventional fertilizers. This study aims to evaluate the economic resilience of substituting commercial fertilizers with treated wastewater and sludge produced from wastewater treatment plants. </w:t>
      </w:r>
      <w:r w:rsidR="00A21D94">
        <w:rPr>
          <w:lang w:val="en-US"/>
        </w:rPr>
        <w:t>The economic resilience of directing treated</w:t>
      </w:r>
      <w:r>
        <w:rPr>
          <w:lang w:val="en-US"/>
        </w:rPr>
        <w:t xml:space="preserve"> wastewater to the agricultural sector in the State of Qatar for fertigation purposes</w:t>
      </w:r>
      <w:r w:rsidR="00A21D94">
        <w:rPr>
          <w:lang w:val="en-US"/>
        </w:rPr>
        <w:t xml:space="preserve"> and converting sludge into biochar using pyrolysis modeled in Aspen Plus is compared with that of urea production</w:t>
      </w:r>
      <w:r>
        <w:rPr>
          <w:lang w:val="en-US"/>
        </w:rPr>
        <w:t xml:space="preserve">. The economic resilience is assessed using the redundancy ratio as well as a price comparison </w:t>
      </w:r>
      <w:r w:rsidR="00A21D94">
        <w:rPr>
          <w:lang w:val="en-US"/>
        </w:rPr>
        <w:t xml:space="preserve">under carbon taxation, thus </w:t>
      </w:r>
      <w:r w:rsidR="00A21D94" w:rsidRPr="00A21D94">
        <w:rPr>
          <w:lang w:val="en-US"/>
        </w:rPr>
        <w:t>internalizing the environmental cost of carbon emissions</w:t>
      </w:r>
      <w:r w:rsidR="00A21D94">
        <w:rPr>
          <w:lang w:val="en-US"/>
        </w:rPr>
        <w:t xml:space="preserve">. </w:t>
      </w:r>
      <w:r w:rsidR="00A21D94" w:rsidRPr="00A21D94">
        <w:rPr>
          <w:lang w:val="en-US"/>
        </w:rPr>
        <w:t xml:space="preserve">Results indicate that </w:t>
      </w:r>
      <w:r w:rsidR="003E5C53">
        <w:rPr>
          <w:lang w:val="en-US"/>
        </w:rPr>
        <w:t>treated sewage effluent</w:t>
      </w:r>
      <w:r w:rsidR="00A21D94" w:rsidRPr="00A21D94">
        <w:rPr>
          <w:lang w:val="en-US"/>
        </w:rPr>
        <w:t xml:space="preserve"> and sludge biochar maintain stable </w:t>
      </w:r>
      <w:r w:rsidR="003E5C53">
        <w:rPr>
          <w:lang w:val="en-US"/>
        </w:rPr>
        <w:t>redundancy ratio</w:t>
      </w:r>
      <w:r w:rsidR="00A21D94" w:rsidRPr="00A21D94">
        <w:rPr>
          <w:lang w:val="en-US"/>
        </w:rPr>
        <w:t>s from 2017 to 2021, suggesting a dependable supply that could reduce reliance on traditional fertilizers. The introduction of a carbon tax, ranging from $0.03 to $0.1 per kg of CO2, markedly shifts cost competitiveness in favor of sludge biochar, highlighting its potential as an economically and environmentally superior alternative.</w:t>
      </w:r>
      <w:r w:rsidR="00A21D94">
        <w:rPr>
          <w:lang w:val="en-US"/>
        </w:rPr>
        <w:t xml:space="preserve"> </w:t>
      </w:r>
      <w:r w:rsidR="00A21D94" w:rsidRPr="00A21D94">
        <w:rPr>
          <w:lang w:val="en-US"/>
        </w:rPr>
        <w:t xml:space="preserve">the substitution of conventional fertilizers with </w:t>
      </w:r>
      <w:r w:rsidR="003E5C53">
        <w:rPr>
          <w:lang w:val="en-US"/>
        </w:rPr>
        <w:t>treated sewage effluent</w:t>
      </w:r>
      <w:r w:rsidR="00A21D94" w:rsidRPr="00A21D94">
        <w:rPr>
          <w:lang w:val="en-US"/>
        </w:rPr>
        <w:t xml:space="preserve"> and sludge biochar in Qatar presents a viable pathway to enhance agricultural sustainability. The study emphasizes the need for policy frameworks that support the integration of these practices, ensuring that Qatar's agricultural sector remains resilient in the face of environmental and economic challenges.</w:t>
      </w:r>
    </w:p>
    <w:p w14:paraId="1F482A9B" w14:textId="77777777" w:rsidR="00A21D94" w:rsidRDefault="00A21D94" w:rsidP="00002CF1">
      <w:pPr>
        <w:jc w:val="both"/>
        <w:rPr>
          <w:lang w:val="en-US"/>
        </w:rPr>
      </w:pPr>
    </w:p>
    <w:p w14:paraId="144DE687" w14:textId="3EDF4F9B" w:rsidR="008D2649" w:rsidRDefault="008D2649" w:rsidP="008D2649">
      <w:pPr>
        <w:pStyle w:val="Els-body-text"/>
        <w:spacing w:after="120"/>
        <w:rPr>
          <w:lang w:val="en-GB"/>
        </w:rPr>
      </w:pPr>
      <w:r>
        <w:rPr>
          <w:b/>
          <w:bCs/>
          <w:lang w:val="en-GB"/>
        </w:rPr>
        <w:t>Keywords</w:t>
      </w:r>
      <w:r>
        <w:rPr>
          <w:lang w:val="en-GB"/>
        </w:rPr>
        <w:t xml:space="preserve">: </w:t>
      </w:r>
      <w:r w:rsidR="00A21D94">
        <w:t>Wastewater, sludge, resilience, resource recovery, greenhouse gas emissions</w:t>
      </w:r>
      <w:r>
        <w:rPr>
          <w:lang w:val="en-GB"/>
        </w:rPr>
        <w:t>.</w:t>
      </w:r>
    </w:p>
    <w:p w14:paraId="45FCF705" w14:textId="48D67701" w:rsidR="00C03E25" w:rsidRDefault="00B31935" w:rsidP="008A57EA">
      <w:pPr>
        <w:pStyle w:val="Els-1storder-head"/>
      </w:pPr>
      <w:r>
        <w:t>Introduction</w:t>
      </w:r>
    </w:p>
    <w:p w14:paraId="37236B9A" w14:textId="49114C5D" w:rsidR="008B7D82" w:rsidRPr="007F2CF7" w:rsidRDefault="008B7D82" w:rsidP="008B7D82">
      <w:pPr>
        <w:jc w:val="both"/>
        <w:rPr>
          <w:lang w:val="en-QA"/>
        </w:rPr>
      </w:pPr>
      <w:r w:rsidRPr="007F2CF7">
        <w:rPr>
          <w:lang w:val="en-QA"/>
        </w:rPr>
        <w:t>As the global population continues to rise, the demand for food production intensifies, leading to a parallel increase in the need for commercial fertilizers. These fertilizers, essential for boosting crop yields and ensuring food security, have become a cornerstone of modern agriculture. However, the production of commercial fertilizers is an energy-intensive process, predominantly through the Haber-Bosch method for synthesizing ammonia, contributing significantly to the carbon footprint (CF) of the food sector</w:t>
      </w:r>
      <w:r>
        <w:rPr>
          <w:lang w:val="en-US"/>
        </w:rPr>
        <w:t xml:space="preserve"> </w:t>
      </w:r>
      <w:r>
        <w:rPr>
          <w:lang w:val="en-US"/>
        </w:rPr>
        <w:fldChar w:fldCharType="begin" w:fldLock="1"/>
      </w:r>
      <w:r>
        <w:rPr>
          <w:lang w:val="en-US"/>
        </w:rPr>
        <w:instrText>ADDIN CSL_CITATION {"citationItems":[{"id":"ITEM-1","itemData":{"abstract":"Fertilizers are an important factor in modern-day agriculture. They are responsible for substantial increases in crop yields, and allow crops to be planted in soil that would otherwise be nutrient deficient. The relative significance of fertilizers is increasing as the population grows and as more developing countries increase their fertilization rates. Yield increases from fertilized crops come at a cost; fertilizers are large energy consumers, accounting for about a third of energy consupmtion in US crop production. This article describes whey and how fertilizers are used, worldwide fertilization trends, the energy lifecycle of fertilizers, and measures to improve the energy efficiency of fertilizer production and use.","author":[{"dropping-particle":"","family":"Gellings","given":"CW","non-dropping-particle":"","parse-names":false,"suffix":""},{"dropping-particle":"","family":"Parmenter","given":"KE","non-dropping-particle":"","parse-names":false,"suffix":""}],"id":"ITEM-1","issued":{"date-parts":[["2004"]]},"page":"419-450","title":"production and use. In Knowledge for Sustainable Development—An Insight into the Encyclopedia of Life Support Systems","type":"article-journal","volume":"II"},"uris":["http://www.mendeley.com/documents/?uuid=162f6844-1800-4bdd-9576-24a7c8f4c92c"]}],"mendeley":{"formattedCitation":"(Gellings and Parmenter, 2004)","plainTextFormattedCitation":"(Gellings and Parmenter, 2004)","previouslyFormattedCitation":"(Gellings and Parmenter, 2004)"},"properties":{"noteIndex":0},"schema":"https://github.com/citation-style-language/schema/raw/master/csl-citation.json"}</w:instrText>
      </w:r>
      <w:r>
        <w:rPr>
          <w:lang w:val="en-US"/>
        </w:rPr>
        <w:fldChar w:fldCharType="separate"/>
      </w:r>
      <w:r w:rsidRPr="008B7D82">
        <w:rPr>
          <w:noProof/>
          <w:lang w:val="en-US"/>
        </w:rPr>
        <w:t>(Gellings and Parmenter, 2004)</w:t>
      </w:r>
      <w:r>
        <w:rPr>
          <w:lang w:val="en-US"/>
        </w:rPr>
        <w:fldChar w:fldCharType="end"/>
      </w:r>
      <w:r w:rsidRPr="007F2CF7">
        <w:rPr>
          <w:lang w:val="en-QA"/>
        </w:rPr>
        <w:t xml:space="preserve">. With agriculture accounting for a substantial share of </w:t>
      </w:r>
      <w:r w:rsidRPr="007F2CF7">
        <w:rPr>
          <w:lang w:val="en-QA"/>
        </w:rPr>
        <w:lastRenderedPageBreak/>
        <w:t>global greenhouse gas emissions, there is a pressing need to explore alternative resources that can sustain agricultural productivity while mitigating environmental impacts</w:t>
      </w:r>
      <w:r>
        <w:rPr>
          <w:lang w:val="en-US"/>
        </w:rPr>
        <w:t xml:space="preserve"> </w:t>
      </w:r>
      <w:r>
        <w:rPr>
          <w:lang w:val="en-US"/>
        </w:rPr>
        <w:fldChar w:fldCharType="begin" w:fldLock="1"/>
      </w:r>
      <w:r w:rsidR="008A57EA">
        <w:rPr>
          <w:lang w:val="en-US"/>
        </w:rPr>
        <w:instrText>ADDIN CSL_CITATION {"citationItems":[{"id":"ITEM-1","itemData":{"DOI":"10.1016/B978-0-443-15274-0.50090-1","author":[{"dropping-particle":"","family":"Lahlou","given":"Fatima-Zahra","non-dropping-particle":"","parse-names":false,"suffix":""},{"dropping-particle":"","family":"Govindan","given":"Rajesh","non-dropping-particle":"","parse-names":false,"suffix":""},{"dropping-particle":"","family":"Hazrat","given":"Bilal","non-dropping-particle":"","parse-names":false,"suffix":""},{"dropping-particle":"","family":"Mackey","given":"Hamish R.","non-dropping-particle":"","parse-names":false,"suffix":""},{"dropping-particle":"","family":"Al-Ansari","given":"Tareq","non-dropping-particle":"","parse-names":false,"suffix":""}],"id":"ITEM-1","issued":{"date-parts":[["2023"]]},"page":"569-574","title":"Water resource portfolio design for optimum water productivity in agriculture","type":"chapter"},"uris":["http://www.mendeley.com/documents/?uuid=3332f9d3-f529-4eae-9488-959de6accf0f"]}],"mendeley":{"formattedCitation":"(Lahlou et al., 2023b)","plainTextFormattedCitation":"(Lahlou et al., 2023b)","previouslyFormattedCitation":"(Lahlou et al., 2023b)"},"properties":{"noteIndex":0},"schema":"https://github.com/citation-style-language/schema/raw/master/csl-citation.json"}</w:instrText>
      </w:r>
      <w:r>
        <w:rPr>
          <w:lang w:val="en-US"/>
        </w:rPr>
        <w:fldChar w:fldCharType="separate"/>
      </w:r>
      <w:r w:rsidRPr="008B7D82">
        <w:rPr>
          <w:noProof/>
          <w:lang w:val="en-US"/>
        </w:rPr>
        <w:t>(Lahlou et al., 2023b)</w:t>
      </w:r>
      <w:r>
        <w:rPr>
          <w:lang w:val="en-US"/>
        </w:rPr>
        <w:fldChar w:fldCharType="end"/>
      </w:r>
      <w:r w:rsidRPr="007F2CF7">
        <w:rPr>
          <w:lang w:val="en-QA"/>
        </w:rPr>
        <w:t>.</w:t>
      </w:r>
    </w:p>
    <w:p w14:paraId="12146E1E" w14:textId="491B1208" w:rsidR="008B7D82" w:rsidRPr="007F2CF7" w:rsidRDefault="008B7D82" w:rsidP="00BC4663">
      <w:pPr>
        <w:jc w:val="both"/>
        <w:rPr>
          <w:lang w:val="en-QA"/>
        </w:rPr>
      </w:pPr>
      <w:r w:rsidRPr="007F2CF7">
        <w:rPr>
          <w:lang w:val="en-QA"/>
        </w:rPr>
        <w:t>The State of Qatar, with its arid climate and limited arable land, faces unique challenges in its pursuit of food security. In recent years, Qatar has made significant strides in recycling water, resulting in treated wastewater that is highly purified and enriched with nutrients, including nitrogen. This treated sewage effluent (TSE) is a byproduct of urban water use that, after treatment, could serve as a sustainable irrigation resource. Yet, the potential of TSE as a partial substitute for commercial fertilizers remains largely untapped</w:t>
      </w:r>
      <w:r>
        <w:rPr>
          <w:lang w:val="en-US"/>
        </w:rPr>
        <w:t xml:space="preserve"> </w:t>
      </w:r>
      <w:r>
        <w:rPr>
          <w:lang w:val="en-US"/>
        </w:rPr>
        <w:fldChar w:fldCharType="begin" w:fldLock="1"/>
      </w:r>
      <w:r>
        <w:rPr>
          <w:lang w:val="en-US"/>
        </w:rPr>
        <w:instrText>ADDIN CSL_CITATION {"citationItems":[{"id":"ITEM-1","itemData":{"DOI":"10.1016/j.wri.2021.100159","ISSN":"22123717","author":[{"dropping-particle":"","family":"Lahlou","given":"F.Z.","non-dropping-particle":"","parse-names":false,"suffix":""},{"dropping-particle":"","family":"Mackey","given":"H.R.","non-dropping-particle":"","parse-names":false,"suffix":""},{"dropping-particle":"","family":"McKay","given":"G.","non-dropping-particle":"","parse-names":false,"suffix":""},{"dropping-particle":"","family":"Al-Ansari","given":"T.","non-dropping-particle":"","parse-names":false,"suffix":""}],"container-title":"Water Resources and Industry","id":"ITEM-1","issued":{"date-parts":[["2021","12"]]},"page":"100159","title":"Reuse of treated industrial wastewater and bio-solids from oil and gas industries: Exploring new factors of public acceptance","type":"article-journal","volume":"26"},"uris":["http://www.mendeley.com/documents/?uuid=7cb520c1-b3a0-463d-8deb-c2aba2041ea0"]}],"mendeley":{"formattedCitation":"(Lahlou et al., 2021)","plainTextFormattedCitation":"(Lahlou et al., 2021)","previouslyFormattedCitation":"(Lahlou et al., 2021)"},"properties":{"noteIndex":0},"schema":"https://github.com/citation-style-language/schema/raw/master/csl-citation.json"}</w:instrText>
      </w:r>
      <w:r>
        <w:rPr>
          <w:lang w:val="en-US"/>
        </w:rPr>
        <w:fldChar w:fldCharType="separate"/>
      </w:r>
      <w:r w:rsidRPr="008B7D82">
        <w:rPr>
          <w:noProof/>
          <w:lang w:val="en-US"/>
        </w:rPr>
        <w:t>(Lahlou et al., 2021)</w:t>
      </w:r>
      <w:r>
        <w:rPr>
          <w:lang w:val="en-US"/>
        </w:rPr>
        <w:fldChar w:fldCharType="end"/>
      </w:r>
      <w:r w:rsidRPr="007F2CF7">
        <w:rPr>
          <w:lang w:val="en-QA"/>
        </w:rPr>
        <w:t>.</w:t>
      </w:r>
      <w:r w:rsidR="00BC4663">
        <w:rPr>
          <w:lang w:val="en-US"/>
        </w:rPr>
        <w:t xml:space="preserve"> </w:t>
      </w:r>
      <w:r w:rsidRPr="007F2CF7">
        <w:rPr>
          <w:lang w:val="en-QA"/>
        </w:rPr>
        <w:t>Additionally, Qatar's wastewater treatment plants produce a substantial amount of sludge</w:t>
      </w:r>
      <w:r>
        <w:rPr>
          <w:lang w:val="en-US"/>
        </w:rPr>
        <w:t xml:space="preserve"> which currently represents an</w:t>
      </w:r>
      <w:r w:rsidRPr="007F2CF7">
        <w:rPr>
          <w:lang w:val="en-QA"/>
        </w:rPr>
        <w:t xml:space="preserve"> underexplored resource</w:t>
      </w:r>
      <w:r w:rsidR="008A57EA">
        <w:rPr>
          <w:lang w:val="en-US"/>
        </w:rPr>
        <w:t xml:space="preserve">. </w:t>
      </w:r>
      <w:r w:rsidRPr="007F2CF7">
        <w:rPr>
          <w:lang w:val="en-QA"/>
        </w:rPr>
        <w:t>Through processes such as pyrolysis, sludge can be converted into biochar, a soil amendment known for its nutrient-rich content and carbon sequestration capabilities</w:t>
      </w:r>
      <w:r w:rsidR="008A57EA">
        <w:rPr>
          <w:lang w:val="en-US"/>
        </w:rPr>
        <w:t xml:space="preserve"> </w:t>
      </w:r>
      <w:r w:rsidR="008A57EA">
        <w:rPr>
          <w:lang w:val="en-US"/>
        </w:rPr>
        <w:fldChar w:fldCharType="begin" w:fldLock="1"/>
      </w:r>
      <w:r w:rsidR="008A57EA">
        <w:rPr>
          <w:lang w:val="en-US"/>
        </w:rPr>
        <w:instrText>ADDIN CSL_CITATION {"citationItems":[{"id":"ITEM-1","itemData":{"DOI":"10.1088/1755-1315/463/1/012019","ISSN":"1755-1315","author":[{"dropping-particle":"","family":"Ghiat","given":"Ikhlas","non-dropping-particle":"","parse-names":false,"suffix":""},{"dropping-particle":"","family":"AlNouss","given":"Ahmed","non-dropping-particle":"","parse-names":false,"suffix":""},{"dropping-particle":"","family":"Mckay","given":"Gordon","non-dropping-particle":"","parse-names":false,"suffix":""},{"dropping-particle":"","family":"Al-Ansari","given":"Tareq","non-dropping-particle":"","parse-names":false,"suffix":""}],"container-title":"IOP Conference Series: Earth and Environmental Science","id":"ITEM-1","issued":{"date-parts":[["2020","4","7"]]},"page":"012019","title":"Modelling and simulation of a biomass-based integrated gasification combined cycle with carbon capture: comparison between monoethanolamine and potassium carbonate","type":"article-journal","volume":"463"},"uris":["http://www.mendeley.com/documents/?uuid=65643884-c095-4d08-8002-13cae6c09352"]}],"mendeley":{"formattedCitation":"(Ghiat et al., 2020)","plainTextFormattedCitation":"(Ghiat et al., 2020)","previouslyFormattedCitation":"(Ghiat et al., 2020)"},"properties":{"noteIndex":0},"schema":"https://github.com/citation-style-language/schema/raw/master/csl-citation.json"}</w:instrText>
      </w:r>
      <w:r w:rsidR="008A57EA">
        <w:rPr>
          <w:lang w:val="en-US"/>
        </w:rPr>
        <w:fldChar w:fldCharType="separate"/>
      </w:r>
      <w:r w:rsidR="008A57EA" w:rsidRPr="008A57EA">
        <w:rPr>
          <w:noProof/>
          <w:lang w:val="en-US"/>
        </w:rPr>
        <w:t>(Ghiat et al., 2020)</w:t>
      </w:r>
      <w:r w:rsidR="008A57EA">
        <w:rPr>
          <w:lang w:val="en-US"/>
        </w:rPr>
        <w:fldChar w:fldCharType="end"/>
      </w:r>
      <w:r w:rsidR="008A57EA" w:rsidRPr="007F2CF7">
        <w:rPr>
          <w:lang w:val="en-QA"/>
        </w:rPr>
        <w:t>.</w:t>
      </w:r>
      <w:r w:rsidRPr="007F2CF7">
        <w:rPr>
          <w:lang w:val="en-QA"/>
        </w:rPr>
        <w:t>. Biochar not only offers a way to recycle waste but also provides a means to improve soil health and fertility, presenting an opportunity to enhance the sustainability of Qatar's agricultural practices.</w:t>
      </w:r>
    </w:p>
    <w:p w14:paraId="5800D14B" w14:textId="5BB36F33" w:rsidR="008B7D82" w:rsidRPr="007F2CF7" w:rsidRDefault="008B7D82" w:rsidP="00BC4663">
      <w:pPr>
        <w:jc w:val="both"/>
        <w:rPr>
          <w:lang w:val="en-QA"/>
        </w:rPr>
      </w:pPr>
      <w:r w:rsidRPr="007F2CF7">
        <w:rPr>
          <w:lang w:val="en-QA"/>
        </w:rPr>
        <w:t>The transformation of TSE and sludge into valuable agricultural inputs could significantly reduce the reliance on imported commercial fertilizers, decrease the carbon footprint associated with food production, and align with the broader environmental goals of reducing greenhouse gas emissions</w:t>
      </w:r>
      <w:r w:rsidR="008A57EA">
        <w:rPr>
          <w:lang w:val="en-US"/>
        </w:rPr>
        <w:t xml:space="preserve"> </w:t>
      </w:r>
      <w:r w:rsidR="008A57EA">
        <w:rPr>
          <w:lang w:val="en-QA"/>
        </w:rPr>
        <w:fldChar w:fldCharType="begin" w:fldLock="1"/>
      </w:r>
      <w:r w:rsidR="006D0115">
        <w:rPr>
          <w:lang w:val="en-QA"/>
        </w:rPr>
        <w:instrText>ADDIN CSL_CITATION {"citationItems":[{"id":"ITEM-1","itemData":{"DOI":"10.1016/B978-0-12-823377-1.50304-9","author":[{"dropping-particle":"","family":"Lahlou","given":"Fatima-Zahra","non-dropping-particle":"","parse-names":false,"suffix":""},{"dropping-particle":"","family":"Namany","given":"Sarah","non-dropping-particle":"","parse-names":false,"suffix":""},{"dropping-particle":"","family":"Mackey","given":"Hamish R.","non-dropping-particle":"","parse-names":false,"suffix":""},{"dropping-particle":"","family":"Al-Ansari","given":"Tareq","non-dropping-particle":"","parse-names":false,"suffix":""}],"id":"ITEM-1","issued":{"date-parts":[["2020"]]},"page":"1819-1824","title":"Treated Industrial Wastewater as a Water and Nutrients Source for Tomatoes Cultivation: an Optimisation Approach","type":"chapter"},"uris":["http://www.mendeley.com/documents/?uuid=55923bc7-d883-43ce-bc62-aaf2ba142743"]}],"mendeley":{"formattedCitation":"(Lahlou et al., 2020)","plainTextFormattedCitation":"(Lahlou et al., 2020)","previouslyFormattedCitation":"(Lahlou et al., 2020)"},"properties":{"noteIndex":0},"schema":"https://github.com/citation-style-language/schema/raw/master/csl-citation.json"}</w:instrText>
      </w:r>
      <w:r w:rsidR="008A57EA">
        <w:rPr>
          <w:lang w:val="en-QA"/>
        </w:rPr>
        <w:fldChar w:fldCharType="separate"/>
      </w:r>
      <w:r w:rsidR="008A57EA" w:rsidRPr="008A57EA">
        <w:rPr>
          <w:noProof/>
          <w:lang w:val="en-QA"/>
        </w:rPr>
        <w:t>(Lahlou et al., 2020)</w:t>
      </w:r>
      <w:r w:rsidR="008A57EA">
        <w:rPr>
          <w:lang w:val="en-QA"/>
        </w:rPr>
        <w:fldChar w:fldCharType="end"/>
      </w:r>
      <w:r w:rsidRPr="007F2CF7">
        <w:rPr>
          <w:lang w:val="en-QA"/>
        </w:rPr>
        <w:t>. The integration of these resources into the agricultural sector may serve as a model for sustainable agriculture in arid regions worldwide.</w:t>
      </w:r>
      <w:r w:rsidR="00BC4663">
        <w:rPr>
          <w:lang w:val="en-US"/>
        </w:rPr>
        <w:t xml:space="preserve"> </w:t>
      </w:r>
      <w:r w:rsidRPr="007F2CF7">
        <w:rPr>
          <w:lang w:val="en-QA"/>
        </w:rPr>
        <w:t>In this context, economic resilience becomes a critical factor. It is essential to ensure that the adoption of alternative fertilizers such as TSE and biochar derived from sludge is not only environmentally sustainable but also economically viable. Economic resilience in this framework refers to the agricultural sector's ability to absorb and adapt to economic shocks, such as fluctuations in global fertilizer prices or changes in trade policies, without significant disruption to agricultural output or profitability.</w:t>
      </w:r>
    </w:p>
    <w:p w14:paraId="2F43CB3E" w14:textId="3287917F" w:rsidR="00454268" w:rsidRPr="008B7D82" w:rsidRDefault="008B7D82" w:rsidP="008A57EA">
      <w:pPr>
        <w:jc w:val="both"/>
        <w:rPr>
          <w:lang w:val="en-QA"/>
        </w:rPr>
      </w:pPr>
      <w:r w:rsidRPr="007F2CF7">
        <w:rPr>
          <w:lang w:val="en-QA"/>
        </w:rPr>
        <w:t xml:space="preserve">This study examines the economic resilience of TSE and sludge biochar </w:t>
      </w:r>
      <w:r w:rsidR="008A57EA">
        <w:rPr>
          <w:lang w:val="en-US"/>
        </w:rPr>
        <w:t>in</w:t>
      </w:r>
      <w:r w:rsidRPr="007F2CF7">
        <w:rPr>
          <w:lang w:val="en-QA"/>
        </w:rPr>
        <w:t xml:space="preserve"> Qatar's </w:t>
      </w:r>
      <w:r w:rsidR="008A57EA">
        <w:rPr>
          <w:lang w:val="en-US"/>
        </w:rPr>
        <w:t>fertilizer market</w:t>
      </w:r>
      <w:r w:rsidRPr="007F2CF7">
        <w:rPr>
          <w:lang w:val="en-QA"/>
        </w:rPr>
        <w:t xml:space="preserve">. It evaluates whether these alternatives can provide a stable and reliable supply of nutrients, offset the need for commercial fertilizers, and withstand market and environmental uncertainties. </w:t>
      </w:r>
      <w:r w:rsidR="008A57EA">
        <w:rPr>
          <w:lang w:val="en-US"/>
        </w:rPr>
        <w:t xml:space="preserve">This </w:t>
      </w:r>
      <w:r w:rsidRPr="007F2CF7">
        <w:rPr>
          <w:lang w:val="en-QA"/>
        </w:rPr>
        <w:t>research provides insights into the feasibility of these alternative nutrient sources in supporting Qatar's agricultural sustainability and food security ambitions.</w:t>
      </w:r>
      <w:r w:rsidR="008A57EA">
        <w:rPr>
          <w:lang w:val="en-US"/>
        </w:rPr>
        <w:t xml:space="preserve"> </w:t>
      </w:r>
      <w:r w:rsidRPr="007F2CF7">
        <w:rPr>
          <w:lang w:val="en-QA"/>
        </w:rPr>
        <w:t>The findings of this research aim to contribute to the development of informed policies and practices that balance economic, environmental, and regulatory considerations, paving the way for a more sustainable agricultural future.</w:t>
      </w:r>
    </w:p>
    <w:p w14:paraId="144DE699" w14:textId="45040A6F" w:rsidR="008D2649" w:rsidRDefault="00B31935" w:rsidP="008D2649">
      <w:pPr>
        <w:pStyle w:val="Els-1storder-head"/>
      </w:pPr>
      <w:r>
        <w:t>Methodology</w:t>
      </w:r>
    </w:p>
    <w:p w14:paraId="144DE69A" w14:textId="0C00E0EB" w:rsidR="008D2649" w:rsidRDefault="00B31935" w:rsidP="008D2649">
      <w:pPr>
        <w:pStyle w:val="Els-2ndorder-head"/>
      </w:pPr>
      <w:r>
        <w:t xml:space="preserve">Study </w:t>
      </w:r>
      <w:r w:rsidR="00454268">
        <w:t>a</w:t>
      </w:r>
      <w:r>
        <w:t>rea</w:t>
      </w:r>
      <w:r w:rsidR="00454268">
        <w:t xml:space="preserve"> and scenario description</w:t>
      </w:r>
    </w:p>
    <w:p w14:paraId="144DE69E" w14:textId="3F32C308" w:rsidR="008D2649" w:rsidRDefault="00B31935" w:rsidP="008D2649">
      <w:pPr>
        <w:pStyle w:val="Els-3rdorder-head"/>
      </w:pPr>
      <w:r>
        <w:t>Base scenario</w:t>
      </w:r>
    </w:p>
    <w:p w14:paraId="6D451FAA" w14:textId="00290577" w:rsidR="00454268" w:rsidRPr="00454268" w:rsidRDefault="00B31935" w:rsidP="00431698">
      <w:pPr>
        <w:jc w:val="both"/>
        <w:rPr>
          <w:rFonts w:asciiTheme="majorBidi" w:eastAsiaTheme="minorEastAsia" w:hAnsiTheme="majorBidi" w:cstheme="minorBidi"/>
        </w:rPr>
      </w:pPr>
      <w:r>
        <w:t>The State of Qatar relies heavily on commercial fertilizers. For the existing fodder farms, it is estimated that a range of 382</w:t>
      </w:r>
      <w:r w:rsidR="00E53413">
        <w:t>-</w:t>
      </w:r>
      <w:r>
        <w:t xml:space="preserve">556 kg of N is required every year for optimum fodder yield, of which 89% is supplied through commercial fertilizers while the rest </w:t>
      </w:r>
      <w:r w:rsidR="00E53413">
        <w:t>comes</w:t>
      </w:r>
      <w:r>
        <w:t xml:space="preserve"> from TSE </w:t>
      </w:r>
      <w:r w:rsidR="008A57EA">
        <w:fldChar w:fldCharType="begin" w:fldLock="1"/>
      </w:r>
      <w:r w:rsidR="008A57EA">
        <w:instrText>ADDIN CSL_CITATION {"citationItems":[{"id":"ITEM-1","itemData":{"DOI":"10.1016/j.spc.2023.03.027","ISSN":"23525509","author":[{"dropping-particle":"","family":"Lahlou","given":"Fatima-Zahra","non-dropping-particle":"","parse-names":false,"suffix":""},{"dropping-particle":"","family":"AlNouss","given":"Ahmed","non-dropping-particle":"","parse-names":false,"suffix":""},{"dropping-particle":"","family":"Govindan","given":"Rajesh","non-dropping-particle":"","parse-names":false,"suffix":""},{"dropping-particle":"","family":"Hazrat","given":"Bilal","non-dropping-particle":"","parse-names":false,"suffix":""},{"dropping-particle":"","family":"Mackey","given":"Hamish R.","non-dropping-particle":"","parse-names":false,"suffix":""},{"dropping-particle":"","family":"Al-Ansari","given":"Tareq","non-dropping-particle":"","parse-names":false,"suffix":""}],"container-title":"Sustainable Production and Consumption","id":"ITEM-1","issued":{"date-parts":[["2023","6"]]},"page":"130-148","title":"Water and sludge resource planning for sustainable agriculture: An energy-water-food-waste nexus approach","type":"article-journal","volume":"38"},"uris":["http://www.mendeley.com/documents/?uuid=37cb86b3-4b7f-4ddb-b829-05ec119192e5"]}],"mendeley":{"formattedCitation":"(Lahlou et al., 2023a)","plainTextFormattedCitation":"(Lahlou et al., 2023a)","previouslyFormattedCitation":"(Lahlou et al., 2023a)"},"properties":{"noteIndex":0},"schema":"https://github.com/citation-style-language/schema/raw/master/csl-citation.json"}</w:instrText>
      </w:r>
      <w:r w:rsidR="008A57EA">
        <w:fldChar w:fldCharType="separate"/>
      </w:r>
      <w:r w:rsidR="008A57EA" w:rsidRPr="008A57EA">
        <w:rPr>
          <w:noProof/>
        </w:rPr>
        <w:t>(Lahlou et al., 2023a)</w:t>
      </w:r>
      <w:r w:rsidR="008A57EA">
        <w:fldChar w:fldCharType="end"/>
      </w:r>
      <w:r>
        <w:t>. For this study, it is assumed that urea produced locally is used as commercial fertilizer, and that the total capacity of N sourced from urea can be calculated using Eq. (1)</w:t>
      </w:r>
      <w:r w:rsidR="00454268">
        <w:t xml:space="preserve">, such that </w:t>
      </w:r>
      <m:oMath>
        <m:sSup>
          <m:sSupPr>
            <m:ctrlPr>
              <w:rPr>
                <w:rFonts w:ascii="Cambria Math" w:hAnsi="Cambria Math"/>
                <w:i/>
              </w:rPr>
            </m:ctrlPr>
          </m:sSupPr>
          <m:e>
            <m:r>
              <w:rPr>
                <w:rFonts w:ascii="Cambria Math" w:hAnsi="Cambria Math"/>
              </w:rPr>
              <m:t>TC</m:t>
            </m:r>
          </m:e>
          <m:sup>
            <m:r>
              <w:rPr>
                <w:rFonts w:ascii="Cambria Math" w:hAnsi="Cambria Math"/>
              </w:rPr>
              <m:t>Y</m:t>
            </m:r>
          </m:sup>
        </m:sSup>
      </m:oMath>
      <w:r w:rsidR="00454268" w:rsidRPr="00454268">
        <w:rPr>
          <w:rFonts w:eastAsiaTheme="minorEastAsia"/>
        </w:rPr>
        <w:t xml:space="preserve"> is the total capacity in year </w:t>
      </w:r>
      <m:oMath>
        <m:r>
          <w:rPr>
            <w:rFonts w:ascii="Cambria Math" w:hAnsi="Cambria Math"/>
          </w:rPr>
          <m:t>Y</m:t>
        </m:r>
      </m:oMath>
      <w:r w:rsidR="00454268" w:rsidRPr="00454268">
        <w:rPr>
          <w:rFonts w:eastAsiaTheme="minorEastAsia"/>
        </w:rPr>
        <w:t xml:space="preserve"> [</w:t>
      </w:r>
      <w:r w:rsidR="006D0115">
        <w:rPr>
          <w:rFonts w:eastAsiaTheme="minorEastAsia"/>
        </w:rPr>
        <w:t>t</w:t>
      </w:r>
      <w:r w:rsidR="00E53413">
        <w:rPr>
          <w:rFonts w:eastAsiaTheme="minorEastAsia"/>
        </w:rPr>
        <w:t>.</w:t>
      </w:r>
      <w:r w:rsidR="006D0115">
        <w:rPr>
          <w:rFonts w:eastAsiaTheme="minorEastAsia"/>
        </w:rPr>
        <w:t>y</w:t>
      </w:r>
      <w:r w:rsidR="006D0115">
        <w:rPr>
          <w:rFonts w:eastAsiaTheme="minorEastAsia"/>
          <w:vertAlign w:val="superscript"/>
        </w:rPr>
        <w:t>-1</w:t>
      </w:r>
      <w:r w:rsidR="006D0115">
        <w:rPr>
          <w:rFonts w:eastAsiaTheme="minorEastAsia"/>
        </w:rPr>
        <w:t xml:space="preserve">], </w:t>
      </w:r>
      <w:r w:rsidR="00454268">
        <w:rPr>
          <w:rFonts w:asciiTheme="majorBidi" w:eastAsiaTheme="minorEastAsia" w:hAnsiTheme="majorBidi" w:cstheme="minorBidi"/>
        </w:rPr>
        <w:t xml:space="preserve"> </w:t>
      </w:r>
      <m:oMath>
        <m:sSubSup>
          <m:sSubSupPr>
            <m:ctrlPr>
              <w:rPr>
                <w:rFonts w:ascii="Cambria Math" w:hAnsi="Cambria Math"/>
                <w:i/>
              </w:rPr>
            </m:ctrlPr>
          </m:sSubSupPr>
          <m:e>
            <m:r>
              <w:rPr>
                <w:rFonts w:ascii="Cambria Math" w:hAnsi="Cambria Math"/>
              </w:rPr>
              <m:t>P</m:t>
            </m:r>
          </m:e>
          <m:sub>
            <m:r>
              <w:rPr>
                <w:rFonts w:ascii="Cambria Math" w:hAnsi="Cambria Math"/>
              </w:rPr>
              <m:t>u</m:t>
            </m:r>
          </m:sub>
          <m:sup>
            <m:r>
              <w:rPr>
                <w:rFonts w:ascii="Cambria Math" w:hAnsi="Cambria Math"/>
              </w:rPr>
              <m:t>Y</m:t>
            </m:r>
          </m:sup>
        </m:sSubSup>
      </m:oMath>
      <w:r w:rsidR="00454268" w:rsidRPr="00454268">
        <w:rPr>
          <w:rFonts w:eastAsiaTheme="minorEastAsia"/>
        </w:rPr>
        <w:t xml:space="preserve"> designates the urea production in year </w:t>
      </w:r>
      <m:oMath>
        <m:r>
          <w:rPr>
            <w:rFonts w:ascii="Cambria Math" w:hAnsi="Cambria Math"/>
          </w:rPr>
          <m:t>Y</m:t>
        </m:r>
      </m:oMath>
      <w:r w:rsidR="006D0115">
        <w:rPr>
          <w:rFonts w:eastAsiaTheme="minorEastAsia"/>
        </w:rPr>
        <w:t xml:space="preserve">, retrieved from </w:t>
      </w:r>
      <w:r w:rsidR="006D0115">
        <w:rPr>
          <w:rFonts w:eastAsiaTheme="minorEastAsia"/>
        </w:rPr>
        <w:fldChar w:fldCharType="begin" w:fldLock="1"/>
      </w:r>
      <w:r w:rsidR="006D0115">
        <w:rPr>
          <w:rFonts w:eastAsiaTheme="minorEastAsia"/>
        </w:rPr>
        <w:instrText>ADDIN CSL_CITATION {"citationItems":[{"id":"ITEM-1","itemData":{"abstract":"… the achievement of the Sustainable Development Goals. Among … growth, industry, innovation and infrastructure, sustainable … Especially in 2020, the existence of the Covid-19 pandemic …","author":[{"dropping-particle":"","family":"QAFCO","given":"","non-dropping-particle":"","parse-names":false,"suffix":""}],"id":"ITEM-1","issued":{"date-parts":[["2021"]]},"title":"Sustainability Report","type":"report"},"uris":["http://www.mendeley.com/documents/?uuid=33eb5677-af0c-4abc-b5c5-769ede2000dc"]}],"mendeley":{"formattedCitation":"(QAFCO, 2021)","manualFormatting":"QAFCO (2021)","plainTextFormattedCitation":"(QAFCO, 2021)","previouslyFormattedCitation":"(QAFCO, 2021)"},"properties":{"noteIndex":0},"schema":"https://github.com/citation-style-language/schema/raw/master/csl-citation.json"}</w:instrText>
      </w:r>
      <w:r w:rsidR="006D0115">
        <w:rPr>
          <w:rFonts w:eastAsiaTheme="minorEastAsia"/>
        </w:rPr>
        <w:fldChar w:fldCharType="separate"/>
      </w:r>
      <w:r w:rsidR="006D0115" w:rsidRPr="006D0115">
        <w:rPr>
          <w:rFonts w:eastAsiaTheme="minorEastAsia"/>
          <w:noProof/>
        </w:rPr>
        <w:t xml:space="preserve">QAFCO </w:t>
      </w:r>
      <w:r w:rsidR="006D0115">
        <w:rPr>
          <w:rFonts w:eastAsiaTheme="minorEastAsia"/>
          <w:noProof/>
        </w:rPr>
        <w:t>(</w:t>
      </w:r>
      <w:r w:rsidR="006D0115" w:rsidRPr="006D0115">
        <w:rPr>
          <w:rFonts w:eastAsiaTheme="minorEastAsia"/>
          <w:noProof/>
        </w:rPr>
        <w:t>2021)</w:t>
      </w:r>
      <w:r w:rsidR="006D0115">
        <w:rPr>
          <w:rFonts w:eastAsiaTheme="minorEastAsia"/>
        </w:rPr>
        <w:fldChar w:fldCharType="end"/>
      </w:r>
      <w:r w:rsidR="006D0115">
        <w:rPr>
          <w:rFonts w:eastAsiaTheme="minorEastAsia"/>
        </w:rPr>
        <w:t xml:space="preserve"> [t</w:t>
      </w:r>
      <w:r w:rsidR="00E53413">
        <w:rPr>
          <w:rFonts w:eastAsiaTheme="minorEastAsia"/>
        </w:rPr>
        <w:t>.</w:t>
      </w:r>
      <w:r w:rsidR="006D0115">
        <w:rPr>
          <w:rFonts w:eastAsiaTheme="minorEastAsia"/>
        </w:rPr>
        <w:t>y</w:t>
      </w:r>
      <w:r w:rsidR="006D0115">
        <w:rPr>
          <w:rFonts w:eastAsiaTheme="minorEastAsia"/>
          <w:vertAlign w:val="superscript"/>
        </w:rPr>
        <w:t>-1</w:t>
      </w:r>
      <w:r w:rsidR="006D0115">
        <w:rPr>
          <w:rFonts w:eastAsiaTheme="minorEastAsia"/>
        </w:rPr>
        <w:t>],</w:t>
      </w:r>
      <w:r w:rsidR="00454268">
        <w:rPr>
          <w:rFonts w:asciiTheme="majorBidi" w:eastAsiaTheme="minorEastAsia" w:hAnsiTheme="majorBidi" w:cstheme="minorBidi"/>
        </w:rPr>
        <w:t xml:space="preserve"> </w:t>
      </w:r>
      <m:oMath>
        <m:sSubSup>
          <m:sSubSupPr>
            <m:ctrlPr>
              <w:rPr>
                <w:rFonts w:ascii="Cambria Math" w:hAnsi="Cambria Math"/>
                <w:i/>
              </w:rPr>
            </m:ctrlPr>
          </m:sSubSupPr>
          <m:e>
            <m:r>
              <w:rPr>
                <w:rFonts w:ascii="Cambria Math" w:hAnsi="Cambria Math"/>
              </w:rPr>
              <m:t>E</m:t>
            </m:r>
          </m:e>
          <m:sub>
            <m:r>
              <w:rPr>
                <w:rFonts w:ascii="Cambria Math" w:hAnsi="Cambria Math"/>
              </w:rPr>
              <m:t>u</m:t>
            </m:r>
          </m:sub>
          <m:sup>
            <m:r>
              <w:rPr>
                <w:rFonts w:ascii="Cambria Math" w:hAnsi="Cambria Math"/>
              </w:rPr>
              <m:t>Y</m:t>
            </m:r>
          </m:sup>
        </m:sSubSup>
      </m:oMath>
      <w:r w:rsidR="00454268" w:rsidRPr="00454268">
        <w:rPr>
          <w:rFonts w:eastAsiaTheme="minorEastAsia"/>
        </w:rPr>
        <w:t xml:space="preserve"> is the urea exports in year </w:t>
      </w:r>
      <m:oMath>
        <m:r>
          <w:rPr>
            <w:rFonts w:ascii="Cambria Math" w:hAnsi="Cambria Math"/>
          </w:rPr>
          <m:t>Y</m:t>
        </m:r>
      </m:oMath>
      <w:r w:rsidR="00454268" w:rsidRPr="00454268">
        <w:rPr>
          <w:rFonts w:eastAsiaTheme="minorEastAsia"/>
        </w:rPr>
        <w:t xml:space="preserve"> </w:t>
      </w:r>
      <w:r w:rsidR="006D0115">
        <w:rPr>
          <w:rFonts w:eastAsiaTheme="minorEastAsia"/>
        </w:rPr>
        <w:t xml:space="preserve">retrieved from </w:t>
      </w:r>
      <w:r w:rsidR="006D0115">
        <w:rPr>
          <w:rFonts w:eastAsiaTheme="minorEastAsia"/>
        </w:rPr>
        <w:fldChar w:fldCharType="begin" w:fldLock="1"/>
      </w:r>
      <w:r w:rsidR="00431698">
        <w:rPr>
          <w:rFonts w:eastAsiaTheme="minorEastAsia"/>
        </w:rPr>
        <w:instrText>ADDIN CSL_CITATION {"citationItems":[{"id":"ITEM-1","itemData":{"author":[{"dropping-particle":"","family":"Planning and Statistics Authority","given":"","non-dropping-particle":"","parse-names":false,"suffix":""}],"id":"ITEM-1","issued":{"date-parts":[["2021"]]},"publisher-place":"Doha","title":"Agricultural Statistics","type":"report"},"uris":["http://www.mendeley.com/documents/?uuid=7199685f-30e6-4d89-9b25-1c7dbb2e3e4c"]}],"mendeley":{"formattedCitation":"(Planning and Statistics Authority, 2021)","plainTextFormattedCitation":"(Planning and Statistics Authority, 2021)","previouslyFormattedCitation":"(Planning and Statistics Authority, 2021)"},"properties":{"noteIndex":0},"schema":"https://github.com/citation-style-language/schema/raw/master/csl-citation.json"}</w:instrText>
      </w:r>
      <w:r w:rsidR="006D0115">
        <w:rPr>
          <w:rFonts w:eastAsiaTheme="minorEastAsia"/>
        </w:rPr>
        <w:fldChar w:fldCharType="separate"/>
      </w:r>
      <w:r w:rsidR="006D0115" w:rsidRPr="006D0115">
        <w:rPr>
          <w:rFonts w:eastAsiaTheme="minorEastAsia"/>
          <w:noProof/>
        </w:rPr>
        <w:t>(Planning and Statistics Authority, 2021)</w:t>
      </w:r>
      <w:r w:rsidR="006D0115">
        <w:rPr>
          <w:rFonts w:eastAsiaTheme="minorEastAsia"/>
        </w:rPr>
        <w:fldChar w:fldCharType="end"/>
      </w:r>
      <w:r w:rsidR="00454268">
        <w:rPr>
          <w:rFonts w:asciiTheme="majorBidi" w:eastAsiaTheme="minorEastAsia" w:hAnsiTheme="majorBidi" w:cstheme="minorBidi"/>
        </w:rPr>
        <w:t xml:space="preserve">, </w:t>
      </w:r>
      <m:oMath>
        <m:sSubSup>
          <m:sSubSupPr>
            <m:ctrlPr>
              <w:rPr>
                <w:rFonts w:ascii="Cambria Math" w:hAnsi="Cambria Math"/>
                <w:i/>
              </w:rPr>
            </m:ctrlPr>
          </m:sSubSupPr>
          <m:e>
            <m:r>
              <w:rPr>
                <w:rFonts w:ascii="Cambria Math" w:hAnsi="Cambria Math"/>
              </w:rPr>
              <m:t>Pop</m:t>
            </m:r>
          </m:e>
          <m:sub>
            <m:r>
              <w:rPr>
                <w:rFonts w:ascii="Cambria Math" w:hAnsi="Cambria Math"/>
              </w:rPr>
              <m:t>Q</m:t>
            </m:r>
          </m:sub>
          <m:sup>
            <m:r>
              <w:rPr>
                <w:rFonts w:ascii="Cambria Math" w:hAnsi="Cambria Math"/>
              </w:rPr>
              <m:t>Y</m:t>
            </m:r>
          </m:sup>
        </m:sSubSup>
      </m:oMath>
      <w:r w:rsidR="00454268" w:rsidRPr="00454268">
        <w:rPr>
          <w:rFonts w:eastAsiaTheme="minorEastAsia"/>
        </w:rPr>
        <w:t xml:space="preserve"> designates Qatar population in year </w:t>
      </w:r>
      <m:oMath>
        <m:r>
          <w:rPr>
            <w:rFonts w:ascii="Cambria Math" w:hAnsi="Cambria Math"/>
          </w:rPr>
          <m:t>Y</m:t>
        </m:r>
      </m:oMath>
      <w:r w:rsidR="00454268" w:rsidRPr="00454268">
        <w:rPr>
          <w:rFonts w:eastAsiaTheme="minorEastAsia"/>
        </w:rPr>
        <w:t xml:space="preserve"> </w:t>
      </w:r>
      <w:r w:rsidR="006D0115">
        <w:rPr>
          <w:rFonts w:eastAsiaTheme="minorEastAsia"/>
        </w:rPr>
        <w:t>[capita]</w:t>
      </w:r>
      <w:r w:rsidR="00454268">
        <w:rPr>
          <w:rFonts w:asciiTheme="majorBidi" w:eastAsiaTheme="minorEastAsia" w:hAnsiTheme="majorBidi" w:cstheme="minorBidi"/>
        </w:rPr>
        <w:t xml:space="preserve">, </w:t>
      </w:r>
      <m:oMath>
        <m:sSub>
          <m:sSubPr>
            <m:ctrlPr>
              <w:rPr>
                <w:rFonts w:ascii="Cambria Math" w:hAnsi="Cambria Math"/>
                <w:i/>
              </w:rPr>
            </m:ctrlPr>
          </m:sSubPr>
          <m:e>
            <m:r>
              <w:rPr>
                <w:rFonts w:ascii="Cambria Math" w:hAnsi="Cambria Math"/>
              </w:rPr>
              <m:t>U</m:t>
            </m:r>
          </m:e>
          <m:sub>
            <m:r>
              <w:rPr>
                <w:rFonts w:ascii="Cambria Math" w:hAnsi="Cambria Math"/>
              </w:rPr>
              <m:t>fert-use</m:t>
            </m:r>
          </m:sub>
        </m:sSub>
      </m:oMath>
      <w:r w:rsidR="00454268" w:rsidRPr="00454268">
        <w:rPr>
          <w:rFonts w:eastAsiaTheme="minorEastAsia"/>
        </w:rPr>
        <w:t xml:space="preserve"> is the average urea usage per capita </w:t>
      </w:r>
      <w:r w:rsidR="006D0115">
        <w:rPr>
          <w:rFonts w:eastAsiaTheme="minorEastAsia"/>
        </w:rPr>
        <w:t xml:space="preserve">retrieved from </w:t>
      </w:r>
      <w:r w:rsidR="00431698">
        <w:rPr>
          <w:rFonts w:eastAsiaTheme="minorEastAsia"/>
        </w:rPr>
        <w:fldChar w:fldCharType="begin" w:fldLock="1"/>
      </w:r>
      <w:r w:rsidR="00431698">
        <w:rPr>
          <w:rFonts w:eastAsiaTheme="minorEastAsia"/>
        </w:rPr>
        <w:instrText>ADDIN CSL_CITATION {"citationItems":[{"id":"ITEM-1","itemData":{"DOI":"10.1007/978-1-4020-3995-9_293","author":[{"dropping-particle":"","family":"FAO","given":"","non-dropping-particle":"","parse-names":false,"suffix":""}],"id":"ITEM-1","issued":{"date-parts":[["2023"]]},"title":"FAOSTAT analytical brief 68 - Inorganic fertilizers 2000–2021","type":"report"},"uris":["http://www.mendeley.com/documents/?uuid=0613e91d-9786-40ad-afe6-6b1040f742bb"]}],"mendeley":{"formattedCitation":"(FAO, 2023)","plainTextFormattedCitation":"(FAO, 2023)","previouslyFormattedCitation":"(FAO, 2023)"},"properties":{"noteIndex":0},"schema":"https://github.com/citation-style-language/schema/raw/master/csl-citation.json"}</w:instrText>
      </w:r>
      <w:r w:rsidR="00431698">
        <w:rPr>
          <w:rFonts w:eastAsiaTheme="minorEastAsia"/>
        </w:rPr>
        <w:fldChar w:fldCharType="separate"/>
      </w:r>
      <w:r w:rsidR="00431698" w:rsidRPr="00431698">
        <w:rPr>
          <w:rFonts w:eastAsiaTheme="minorEastAsia"/>
          <w:noProof/>
        </w:rPr>
        <w:t>(FAO, 2023)</w:t>
      </w:r>
      <w:r w:rsidR="00431698">
        <w:rPr>
          <w:rFonts w:eastAsiaTheme="minorEastAsia"/>
        </w:rPr>
        <w:fldChar w:fldCharType="end"/>
      </w:r>
      <w:r w:rsidR="006D0115">
        <w:rPr>
          <w:rFonts w:eastAsiaTheme="minorEastAsia"/>
        </w:rPr>
        <w:t xml:space="preserve"> [t.capita</w:t>
      </w:r>
      <w:r w:rsidR="006D0115">
        <w:rPr>
          <w:rFonts w:eastAsiaTheme="minorEastAsia"/>
          <w:vertAlign w:val="superscript"/>
        </w:rPr>
        <w:t>-1</w:t>
      </w:r>
      <w:r w:rsidR="006D0115">
        <w:rPr>
          <w:rFonts w:eastAsiaTheme="minorEastAsia"/>
        </w:rPr>
        <w:t>.y</w:t>
      </w:r>
      <w:r w:rsidR="006D0115">
        <w:rPr>
          <w:rFonts w:eastAsiaTheme="minorEastAsia"/>
          <w:vertAlign w:val="superscript"/>
        </w:rPr>
        <w:t>-1</w:t>
      </w:r>
      <w:r w:rsidR="006D0115">
        <w:rPr>
          <w:rFonts w:eastAsiaTheme="minorEastAsia"/>
        </w:rPr>
        <w:t>]</w:t>
      </w:r>
      <w:r w:rsidR="00454268">
        <w:rPr>
          <w:rFonts w:eastAsiaTheme="minorEastAsia"/>
        </w:rPr>
        <w:t xml:space="preserve">, </w:t>
      </w:r>
      <m:oMath>
        <m:sSub>
          <m:sSubPr>
            <m:ctrlPr>
              <w:rPr>
                <w:rFonts w:ascii="Cambria Math" w:hAnsi="Cambria Math"/>
                <w:i/>
              </w:rPr>
            </m:ctrlPr>
          </m:sSubPr>
          <m:e>
            <m:r>
              <w:rPr>
                <w:rFonts w:ascii="Cambria Math" w:hAnsi="Cambria Math"/>
              </w:rPr>
              <m:t>%</m:t>
            </m:r>
          </m:e>
          <m:sub>
            <m:r>
              <w:rPr>
                <w:rFonts w:ascii="Cambria Math" w:hAnsi="Cambria Math"/>
              </w:rPr>
              <m:t>N-urea</m:t>
            </m:r>
          </m:sub>
        </m:sSub>
      </m:oMath>
      <w:r w:rsidR="00454268" w:rsidRPr="00BC69C0">
        <w:rPr>
          <w:rFonts w:eastAsiaTheme="minorEastAsia"/>
        </w:rPr>
        <w:t xml:space="preserve"> is the % of N in urea </w:t>
      </w:r>
      <w:r w:rsidR="00431698">
        <w:rPr>
          <w:rFonts w:eastAsiaTheme="minorEastAsia"/>
        </w:rPr>
        <w:fldChar w:fldCharType="begin" w:fldLock="1"/>
      </w:r>
      <w:r w:rsidR="00431698">
        <w:rPr>
          <w:rFonts w:eastAsiaTheme="minorEastAsia"/>
        </w:rPr>
        <w:instrText>ADDIN CSL_CITATION {"citationItems":[{"id":"ITEM-1","itemData":{"abstract":"… the achievement of the Sustainable Development Goals. Among … growth, industry, innovation and infrastructure, sustainable … Especially in 2020, the existence of the Covid-19 pandemic …","author":[{"dropping-particle":"","family":"QAFCO","given":"","non-dropping-particle":"","parse-names":false,"suffix":""}],"id":"ITEM-1","issued":{"date-parts":[["2021"]]},"title":"Sustainability Report","type":"report"},"uris":["http://www.mendeley.com/documents/?uuid=33eb5677-af0c-4abc-b5c5-769ede2000dc"]}],"mendeley":{"formattedCitation":"(QAFCO, 2021)","plainTextFormattedCitation":"(QAFCO, 2021)","previouslyFormattedCitation":"(QAFCO, 2021)"},"properties":{"noteIndex":0},"schema":"https://github.com/citation-style-language/schema/raw/master/csl-citation.json"}</w:instrText>
      </w:r>
      <w:r w:rsidR="00431698">
        <w:rPr>
          <w:rFonts w:eastAsiaTheme="minorEastAsia"/>
        </w:rPr>
        <w:fldChar w:fldCharType="separate"/>
      </w:r>
      <w:r w:rsidR="00431698" w:rsidRPr="00431698">
        <w:rPr>
          <w:rFonts w:eastAsiaTheme="minorEastAsia"/>
          <w:noProof/>
        </w:rPr>
        <w:t>(QAFCO, 2021)</w:t>
      </w:r>
      <w:r w:rsidR="00431698">
        <w:rPr>
          <w:rFonts w:eastAsiaTheme="minorEastAsia"/>
        </w:rPr>
        <w:fldChar w:fldCharType="end"/>
      </w:r>
      <w:r w:rsidR="00431698">
        <w:rPr>
          <w:rFonts w:eastAsiaTheme="minorEastAsia"/>
        </w:rPr>
        <w:t xml:space="preserve">. </w:t>
      </w:r>
    </w:p>
    <w:p w14:paraId="4107312F" w14:textId="0FDCB4F2" w:rsidR="00B31935" w:rsidRPr="00454268" w:rsidRDefault="00B31935" w:rsidP="00B31935">
      <w:pPr>
        <w:jc w:val="both"/>
        <w:rPr>
          <w:lang w:val="en-US"/>
        </w:rPr>
      </w:pPr>
    </w:p>
    <w:p w14:paraId="5E5CCE26" w14:textId="3B4CFE5D" w:rsidR="00431698" w:rsidRPr="00431698" w:rsidRDefault="00431698" w:rsidP="00431698">
      <w:pPr>
        <w:keepNext/>
        <w:spacing w:before="240" w:after="240"/>
        <w:rPr>
          <w:i/>
          <w:lang w:val="en-US"/>
        </w:rPr>
      </w:pPr>
      <m:oMath>
        <m:r>
          <w:rPr>
            <w:rFonts w:ascii="Cambria Math" w:hAnsi="Cambria Math"/>
            <w:lang w:val="en-US"/>
          </w:rPr>
          <m:t xml:space="preserve">     </m:t>
        </m:r>
        <m:sSup>
          <m:sSupPr>
            <m:ctrlPr>
              <w:rPr>
                <w:rFonts w:ascii="Cambria Math" w:hAnsi="Cambria Math"/>
                <w:i/>
              </w:rPr>
            </m:ctrlPr>
          </m:sSupPr>
          <m:e>
            <m:r>
              <w:rPr>
                <w:rFonts w:ascii="Cambria Math" w:hAnsi="Cambria Math"/>
              </w:rPr>
              <m:t>TC</m:t>
            </m:r>
          </m:e>
          <m:sup>
            <m:r>
              <w:rPr>
                <w:rFonts w:ascii="Cambria Math" w:hAnsi="Cambria Math"/>
              </w:rPr>
              <m:t>Y</m:t>
            </m:r>
          </m:sup>
        </m:sSup>
        <m:r>
          <w:rPr>
            <w:rFonts w:ascii="Cambria Math" w:hAnsi="Cambria Math"/>
          </w:rPr>
          <m:t>=</m:t>
        </m:r>
        <m:d>
          <m:dPr>
            <m:ctrlPr>
              <w:rPr>
                <w:rFonts w:ascii="Cambria Math" w:hAnsi="Cambria Math"/>
                <w:i/>
              </w:rPr>
            </m:ctrlPr>
          </m:dPr>
          <m:e>
            <m:sSubSup>
              <m:sSubSupPr>
                <m:ctrlPr>
                  <w:rPr>
                    <w:rFonts w:ascii="Cambria Math" w:hAnsi="Cambria Math"/>
                    <w:i/>
                  </w:rPr>
                </m:ctrlPr>
              </m:sSubSupPr>
              <m:e>
                <m:r>
                  <w:rPr>
                    <w:rFonts w:ascii="Cambria Math" w:hAnsi="Cambria Math"/>
                  </w:rPr>
                  <m:t>P</m:t>
                </m:r>
              </m:e>
              <m:sub>
                <m:r>
                  <w:rPr>
                    <w:rFonts w:ascii="Cambria Math" w:hAnsi="Cambria Math"/>
                  </w:rPr>
                  <m:t>u</m:t>
                </m:r>
              </m:sub>
              <m:sup>
                <m:r>
                  <w:rPr>
                    <w:rFonts w:ascii="Cambria Math" w:hAnsi="Cambria Math"/>
                  </w:rPr>
                  <m:t>Y</m:t>
                </m:r>
              </m:sup>
            </m:sSubSup>
            <m:r>
              <w:rPr>
                <w:rFonts w:ascii="Cambria Math" w:hAnsi="Cambria Math"/>
              </w:rPr>
              <m:t xml:space="preserve">- </m:t>
            </m:r>
            <m:sSubSup>
              <m:sSubSupPr>
                <m:ctrlPr>
                  <w:rPr>
                    <w:rFonts w:ascii="Cambria Math" w:hAnsi="Cambria Math"/>
                    <w:i/>
                  </w:rPr>
                </m:ctrlPr>
              </m:sSubSupPr>
              <m:e>
                <m:r>
                  <w:rPr>
                    <w:rFonts w:ascii="Cambria Math" w:hAnsi="Cambria Math"/>
                  </w:rPr>
                  <m:t>E</m:t>
                </m:r>
              </m:e>
              <m:sub>
                <m:r>
                  <w:rPr>
                    <w:rFonts w:ascii="Cambria Math" w:hAnsi="Cambria Math"/>
                  </w:rPr>
                  <m:t>u</m:t>
                </m:r>
              </m:sub>
              <m:sup>
                <m:r>
                  <w:rPr>
                    <w:rFonts w:ascii="Cambria Math" w:hAnsi="Cambria Math"/>
                  </w:rPr>
                  <m:t>Y</m:t>
                </m:r>
              </m:sup>
            </m:sSubSup>
            <m:r>
              <w:rPr>
                <w:rFonts w:ascii="Cambria Math" w:hAnsi="Cambria Math"/>
              </w:rPr>
              <m:t xml:space="preserve">- </m:t>
            </m:r>
            <m:sSubSup>
              <m:sSubSupPr>
                <m:ctrlPr>
                  <w:rPr>
                    <w:rFonts w:ascii="Cambria Math" w:hAnsi="Cambria Math"/>
                    <w:i/>
                  </w:rPr>
                </m:ctrlPr>
              </m:sSubSupPr>
              <m:e>
                <m:r>
                  <w:rPr>
                    <w:rFonts w:ascii="Cambria Math" w:hAnsi="Cambria Math"/>
                  </w:rPr>
                  <m:t>Pop</m:t>
                </m:r>
              </m:e>
              <m:sub>
                <m:r>
                  <w:rPr>
                    <w:rFonts w:ascii="Cambria Math" w:hAnsi="Cambria Math"/>
                  </w:rPr>
                  <m:t>Q</m:t>
                </m:r>
              </m:sub>
              <m:sup>
                <m:r>
                  <w:rPr>
                    <w:rFonts w:ascii="Cambria Math" w:hAnsi="Cambria Math"/>
                  </w:rPr>
                  <m:t>Y</m:t>
                </m:r>
              </m:sup>
            </m:sSubSup>
            <m:r>
              <w:rPr>
                <w:rFonts w:ascii="Cambria Math" w:hAnsi="Cambria Math"/>
              </w:rPr>
              <m:t xml:space="preserve"> .  </m:t>
            </m:r>
            <m:sSub>
              <m:sSubPr>
                <m:ctrlPr>
                  <w:rPr>
                    <w:rFonts w:ascii="Cambria Math" w:hAnsi="Cambria Math"/>
                    <w:i/>
                  </w:rPr>
                </m:ctrlPr>
              </m:sSubPr>
              <m:e>
                <m:r>
                  <w:rPr>
                    <w:rFonts w:ascii="Cambria Math" w:hAnsi="Cambria Math"/>
                  </w:rPr>
                  <m:t>U</m:t>
                </m:r>
              </m:e>
              <m:sub>
                <m:r>
                  <w:rPr>
                    <w:rFonts w:ascii="Cambria Math" w:hAnsi="Cambria Math"/>
                  </w:rPr>
                  <m:t>fert-use</m:t>
                </m:r>
              </m:sub>
            </m:sSub>
            <m:r>
              <w:rPr>
                <w:rFonts w:ascii="Cambria Math" w:hAnsi="Cambria Math"/>
              </w:rPr>
              <m:t xml:space="preserve"> </m:t>
            </m:r>
          </m:e>
        </m:d>
        <m:r>
          <w:rPr>
            <w:rFonts w:ascii="Cambria Math" w:hAnsi="Cambria Math"/>
          </w:rPr>
          <m:t xml:space="preserve"> .</m:t>
        </m:r>
        <m:sSub>
          <m:sSubPr>
            <m:ctrlPr>
              <w:rPr>
                <w:rFonts w:ascii="Cambria Math" w:hAnsi="Cambria Math"/>
                <w:i/>
              </w:rPr>
            </m:ctrlPr>
          </m:sSubPr>
          <m:e>
            <m:r>
              <w:rPr>
                <w:rFonts w:ascii="Cambria Math" w:hAnsi="Cambria Math"/>
              </w:rPr>
              <m:t>%</m:t>
            </m:r>
          </m:e>
          <m:sub>
            <m:r>
              <w:rPr>
                <w:rFonts w:ascii="Cambria Math" w:hAnsi="Cambria Math"/>
              </w:rPr>
              <m:t>N-urea</m:t>
            </m:r>
          </m:sub>
        </m:sSub>
      </m:oMath>
      <w:r>
        <w:tab/>
      </w:r>
      <w:r>
        <w:tab/>
      </w:r>
      <w:r>
        <w:tab/>
      </w:r>
      <w:r>
        <w:tab/>
        <w:t xml:space="preserve">( </w:t>
      </w:r>
      <w:fldSimple w:instr=" SEQ ( \* ARABIC ">
        <w:r w:rsidR="00926C58">
          <w:rPr>
            <w:noProof/>
          </w:rPr>
          <w:t>1</w:t>
        </w:r>
      </w:fldSimple>
      <w:r>
        <w:t xml:space="preserve"> )</w:t>
      </w:r>
    </w:p>
    <w:p w14:paraId="2788FDFA" w14:textId="059AB12B" w:rsidR="00B31935" w:rsidRPr="00B31935" w:rsidRDefault="00B31935" w:rsidP="00B31935">
      <w:pPr>
        <w:pStyle w:val="Els-3rdorder-head"/>
      </w:pPr>
      <w:r>
        <w:t xml:space="preserve">Treated sewage effluent </w:t>
      </w:r>
      <w:proofErr w:type="gramStart"/>
      <w:r>
        <w:t>scenario</w:t>
      </w:r>
      <w:proofErr w:type="gramEnd"/>
    </w:p>
    <w:p w14:paraId="37EF0C81" w14:textId="0CDDDB0E" w:rsidR="00431698" w:rsidRPr="00431698" w:rsidRDefault="00B31935" w:rsidP="00431698">
      <w:pPr>
        <w:rPr>
          <w:rFonts w:eastAsiaTheme="minorEastAsia"/>
        </w:rPr>
      </w:pPr>
      <w:r>
        <w:t>The State of Qatar has been producing increasingly more TSE over the past few years. While some of the TSE is used for irrigation purposes, important volumes are disposed of, which could, in turn, not only reduce the reliance on the heavily abstracted groundwater resources but also supply Qatar’s irrigated agricultural sector with loads of N</w:t>
      </w:r>
      <w:r w:rsidR="003E5C53">
        <w:t>itrogen (N)</w:t>
      </w:r>
      <w:r>
        <w:t xml:space="preserve"> that can offset the burden associated with commercial fertilizers. With an average N concentration of 6.76 mg.L</w:t>
      </w:r>
      <w:r w:rsidRPr="00431698">
        <w:rPr>
          <w:vertAlign w:val="superscript"/>
        </w:rPr>
        <w:t>-1</w:t>
      </w:r>
      <w:r>
        <w:t>, TSE has the potential to meet the total N fertilization requirement of the agricultural sector in Qatar</w:t>
      </w:r>
      <w:r w:rsidRPr="00431698">
        <w:rPr>
          <w:vertAlign w:val="superscript"/>
        </w:rPr>
        <w:t xml:space="preserve"> </w:t>
      </w:r>
      <w:r w:rsidR="00431698">
        <w:fldChar w:fldCharType="begin" w:fldLock="1"/>
      </w:r>
      <w:r w:rsidR="001529F8">
        <w:instrText>ADDIN CSL_CITATION {"citationItems":[{"id":"ITEM-1","itemData":{"DOI":"10.1016/j.spc.2023.03.027","ISSN":"23525509","author":[{"dropping-particle":"","family":"Lahlou","given":"Fatima-Zahra","non-dropping-particle":"","parse-names":false,"suffix":""},{"dropping-particle":"","family":"AlNouss","given":"Ahmed","non-dropping-particle":"","parse-names":false,"suffix":""},{"dropping-particle":"","family":"Govindan","given":"Rajesh","non-dropping-particle":"","parse-names":false,"suffix":""},{"dropping-particle":"","family":"Hazrat","given":"Bilal","non-dropping-particle":"","parse-names":false,"suffix":""},{"dropping-particle":"","family":"Mackey","given":"Hamish R.","non-dropping-particle":"","parse-names":false,"suffix":""},{"dropping-particle":"","family":"Al-Ansari","given":"Tareq","non-dropping-particle":"","parse-names":false,"suffix":""}],"container-title":"Sustainable Production and Consumption","id":"ITEM-1","issued":{"date-parts":[["2023","6"]]},"page":"130-148","title":"Water and sludge resource planning for sustainable agriculture: An energy-water-food-waste nexus approach","type":"article-journal","volume":"38"},"uris":["http://www.mendeley.com/documents/?uuid=37cb86b3-4b7f-4ddb-b829-05ec119192e5"]}],"mendeley":{"formattedCitation":"(Lahlou et al., 2023a)","plainTextFormattedCitation":"(Lahlou et al., 2023a)","previouslyFormattedCitation":"(Lahlou et al., 2023a)"},"properties":{"noteIndex":0},"schema":"https://github.com/citation-style-language/schema/raw/master/csl-citation.json"}</w:instrText>
      </w:r>
      <w:r w:rsidR="00431698">
        <w:fldChar w:fldCharType="separate"/>
      </w:r>
      <w:r w:rsidR="00431698" w:rsidRPr="00431698">
        <w:rPr>
          <w:noProof/>
        </w:rPr>
        <w:t>(Lahlou et al., 2023a)</w:t>
      </w:r>
      <w:r w:rsidR="00431698">
        <w:fldChar w:fldCharType="end"/>
      </w:r>
      <w:r>
        <w:t xml:space="preserve">. </w:t>
      </w:r>
      <w:r w:rsidR="00431698">
        <w:t xml:space="preserve">The total capacity of N sourced from urea can be calculated using Eq. (2), such that </w:t>
      </w:r>
      <m:oMath>
        <m:sSubSup>
          <m:sSubSupPr>
            <m:ctrlPr>
              <w:rPr>
                <w:rFonts w:ascii="Cambria Math" w:hAnsi="Cambria Math"/>
                <w:i/>
              </w:rPr>
            </m:ctrlPr>
          </m:sSubSupPr>
          <m:e>
            <m:r>
              <m:rPr>
                <m:scr m:val="script"/>
              </m:rPr>
              <w:rPr>
                <w:rFonts w:ascii="Cambria Math" w:eastAsiaTheme="minorEastAsia" w:hAnsi="Cambria Math"/>
                <w:color w:val="000000"/>
                <w:shd w:val="clear" w:color="auto" w:fill="FFFFFF"/>
              </w:rPr>
              <m:t>C</m:t>
            </m:r>
          </m:e>
          <m:sub>
            <m:r>
              <w:rPr>
                <w:rFonts w:ascii="Cambria Math" w:hAnsi="Cambria Math"/>
              </w:rPr>
              <m:t>i</m:t>
            </m:r>
          </m:sub>
          <m:sup>
            <m:r>
              <w:rPr>
                <w:rFonts w:ascii="Cambria Math" w:hAnsi="Cambria Math"/>
              </w:rPr>
              <m:t>Y</m:t>
            </m:r>
          </m:sup>
        </m:sSubSup>
      </m:oMath>
      <w:r w:rsidR="00431698" w:rsidRPr="00431698">
        <w:rPr>
          <w:rFonts w:eastAsiaTheme="minorEastAsia"/>
        </w:rPr>
        <w:t xml:space="preserve"> is the capacity of plant </w:t>
      </w:r>
      <m:oMath>
        <m:r>
          <w:rPr>
            <w:rFonts w:ascii="Cambria Math" w:hAnsi="Cambria Math"/>
          </w:rPr>
          <m:t>i</m:t>
        </m:r>
      </m:oMath>
      <w:r w:rsidR="00431698" w:rsidRPr="00431698">
        <w:rPr>
          <w:rFonts w:eastAsiaTheme="minorEastAsia"/>
        </w:rPr>
        <w:t xml:space="preserve"> in year </w:t>
      </w:r>
      <m:oMath>
        <m:r>
          <w:rPr>
            <w:rFonts w:ascii="Cambria Math" w:hAnsi="Cambria Math"/>
          </w:rPr>
          <m:t>Y</m:t>
        </m:r>
      </m:oMath>
      <w:r w:rsidR="00926C58">
        <w:rPr>
          <w:rFonts w:eastAsiaTheme="minorEastAsia"/>
        </w:rPr>
        <w:t xml:space="preserve"> [million m</w:t>
      </w:r>
      <w:r w:rsidR="00926C58">
        <w:rPr>
          <w:rFonts w:eastAsiaTheme="minorEastAsia"/>
          <w:vertAlign w:val="superscript"/>
        </w:rPr>
        <w:t>3</w:t>
      </w:r>
      <w:r w:rsidR="00926C58">
        <w:rPr>
          <w:rFonts w:eastAsiaTheme="minorEastAsia"/>
        </w:rPr>
        <w:t>.y</w:t>
      </w:r>
      <w:r w:rsidR="00926C58">
        <w:rPr>
          <w:rFonts w:eastAsiaTheme="minorEastAsia"/>
          <w:vertAlign w:val="superscript"/>
        </w:rPr>
        <w:t>-1</w:t>
      </w:r>
      <w:r w:rsidR="00926C58">
        <w:rPr>
          <w:rFonts w:eastAsiaTheme="minorEastAsia"/>
        </w:rPr>
        <w:t>],</w:t>
      </w:r>
      <w:r w:rsidR="00431698" w:rsidRPr="00431698">
        <w:rPr>
          <w:rFonts w:eastAsiaTheme="minorEastAsia"/>
        </w:rPr>
        <w:t xml:space="preserve"> </w:t>
      </w:r>
      <w:r w:rsidR="00431698">
        <w:rPr>
          <w:rFonts w:eastAsiaTheme="minorEastAsia"/>
        </w:rPr>
        <w:t xml:space="preserve">and </w:t>
      </w:r>
      <m:oMath>
        <m:sSubSup>
          <m:sSubSupPr>
            <m:ctrlPr>
              <w:rPr>
                <w:rFonts w:ascii="Cambria Math" w:hAnsi="Cambria Math"/>
                <w:i/>
              </w:rPr>
            </m:ctrlPr>
          </m:sSubSupPr>
          <m:e>
            <m:r>
              <w:rPr>
                <w:rFonts w:ascii="Cambria Math" w:hAnsi="Cambria Math"/>
              </w:rPr>
              <m:t>C</m:t>
            </m:r>
          </m:e>
          <m:sub>
            <m:r>
              <w:rPr>
                <w:rFonts w:ascii="Cambria Math" w:hAnsi="Cambria Math"/>
              </w:rPr>
              <m:t>i</m:t>
            </m:r>
          </m:sub>
          <m:sup>
            <m:r>
              <w:rPr>
                <w:rFonts w:ascii="Cambria Math" w:hAnsi="Cambria Math"/>
              </w:rPr>
              <m:t>N</m:t>
            </m:r>
          </m:sup>
        </m:sSubSup>
      </m:oMath>
      <w:r w:rsidR="00431698" w:rsidRPr="00431698">
        <w:rPr>
          <w:rFonts w:eastAsiaTheme="minorEastAsia"/>
        </w:rPr>
        <w:t xml:space="preserve"> is the N concentration</w:t>
      </w:r>
      <w:r w:rsidR="00431698">
        <w:rPr>
          <w:rFonts w:eastAsiaTheme="minorEastAsia"/>
        </w:rPr>
        <w:t xml:space="preserve"> </w:t>
      </w:r>
      <w:r w:rsidR="00431698" w:rsidRPr="00431698">
        <w:rPr>
          <w:rFonts w:eastAsiaTheme="minorEastAsia"/>
        </w:rPr>
        <w:t xml:space="preserve">in plant </w:t>
      </w:r>
      <m:oMath>
        <m:r>
          <w:rPr>
            <w:rFonts w:ascii="Cambria Math" w:hAnsi="Cambria Math"/>
          </w:rPr>
          <m:t>i</m:t>
        </m:r>
      </m:oMath>
      <w:r w:rsidR="00926C58">
        <w:rPr>
          <w:rFonts w:eastAsiaTheme="minorEastAsia"/>
        </w:rPr>
        <w:t xml:space="preserve"> [mg.L</w:t>
      </w:r>
      <w:r w:rsidR="00926C58">
        <w:rPr>
          <w:rFonts w:eastAsiaTheme="minorEastAsia"/>
          <w:vertAlign w:val="superscript"/>
        </w:rPr>
        <w:t>-1</w:t>
      </w:r>
      <w:r w:rsidR="00926C58">
        <w:rPr>
          <w:rFonts w:eastAsiaTheme="minorEastAsia"/>
        </w:rPr>
        <w:t>]</w:t>
      </w:r>
      <w:r w:rsidR="00431698">
        <w:rPr>
          <w:rFonts w:eastAsiaTheme="minorEastAsia"/>
        </w:rPr>
        <w:t xml:space="preserve"> </w:t>
      </w:r>
    </w:p>
    <w:p w14:paraId="2E85DEE0" w14:textId="68BF7F3C" w:rsidR="00B31935" w:rsidRPr="00431698" w:rsidRDefault="00B31935" w:rsidP="00431698">
      <w:pPr>
        <w:jc w:val="both"/>
        <w:rPr>
          <w:rFonts w:asciiTheme="majorBidi" w:eastAsiaTheme="minorEastAsia" w:hAnsiTheme="majorBidi" w:cstheme="minorBidi"/>
        </w:rPr>
      </w:pPr>
    </w:p>
    <w:p w14:paraId="09A741EE" w14:textId="4A460C2D" w:rsidR="00431698" w:rsidRPr="00431698" w:rsidRDefault="00431698" w:rsidP="00431698">
      <w:pPr>
        <w:keepNext/>
        <w:spacing w:before="240" w:after="240"/>
        <w:rPr>
          <w:rFonts w:eastAsiaTheme="minorEastAsia"/>
        </w:rPr>
      </w:pPr>
      <m:oMath>
        <m:r>
          <w:rPr>
            <w:rFonts w:ascii="Cambria Math" w:hAnsi="Cambria Math"/>
          </w:rPr>
          <m:t xml:space="preserve">   </m:t>
        </m:r>
        <m:sSup>
          <m:sSupPr>
            <m:ctrlPr>
              <w:rPr>
                <w:rFonts w:ascii="Cambria Math" w:hAnsi="Cambria Math"/>
                <w:i/>
              </w:rPr>
            </m:ctrlPr>
          </m:sSupPr>
          <m:e>
            <m:r>
              <w:rPr>
                <w:rFonts w:ascii="Cambria Math" w:hAnsi="Cambria Math"/>
              </w:rPr>
              <m:t>TC</m:t>
            </m:r>
          </m:e>
          <m:sup>
            <m:r>
              <w:rPr>
                <w:rFonts w:ascii="Cambria Math" w:hAnsi="Cambria Math"/>
              </w:rPr>
              <m:t>Y</m:t>
            </m:r>
          </m:sup>
        </m:sSup>
        <m:r>
          <w:rPr>
            <w:rFonts w:ascii="Cambria Math" w:hAnsi="Cambria Math"/>
          </w:rPr>
          <m:t xml:space="preserve">= </m:t>
        </m:r>
        <m:nary>
          <m:naryPr>
            <m:chr m:val="∑"/>
            <m:limLoc m:val="subSup"/>
            <m:ctrlPr>
              <w:rPr>
                <w:rFonts w:ascii="Cambria Math" w:hAnsi="Cambria Math"/>
                <w:i/>
              </w:rPr>
            </m:ctrlPr>
          </m:naryPr>
          <m:sub>
            <m:r>
              <w:rPr>
                <w:rFonts w:ascii="Cambria Math" w:hAnsi="Cambria Math"/>
              </w:rPr>
              <m:t>i</m:t>
            </m:r>
          </m:sub>
          <m:sup>
            <m:r>
              <w:rPr>
                <w:rFonts w:ascii="Cambria Math" w:hAnsi="Cambria Math"/>
              </w:rPr>
              <m:t>n</m:t>
            </m:r>
          </m:sup>
          <m:e>
            <m:sSubSup>
              <m:sSubSupPr>
                <m:ctrlPr>
                  <w:rPr>
                    <w:rFonts w:ascii="Cambria Math" w:hAnsi="Cambria Math"/>
                    <w:i/>
                  </w:rPr>
                </m:ctrlPr>
              </m:sSubSupPr>
              <m:e>
                <m:r>
                  <m:rPr>
                    <m:scr m:val="script"/>
                  </m:rPr>
                  <w:rPr>
                    <w:rFonts w:ascii="Cambria Math" w:eastAsiaTheme="minorEastAsia" w:hAnsi="Cambria Math"/>
                    <w:color w:val="000000"/>
                    <w:shd w:val="clear" w:color="auto" w:fill="FFFFFF"/>
                  </w:rPr>
                  <m:t>C</m:t>
                </m:r>
              </m:e>
              <m:sub>
                <m:r>
                  <w:rPr>
                    <w:rFonts w:ascii="Cambria Math" w:hAnsi="Cambria Math"/>
                  </w:rPr>
                  <m:t>i</m:t>
                </m:r>
              </m:sub>
              <m:sup>
                <m:r>
                  <w:rPr>
                    <w:rFonts w:ascii="Cambria Math" w:hAnsi="Cambria Math"/>
                  </w:rPr>
                  <m:t>Y</m:t>
                </m:r>
              </m:sup>
            </m:sSubSup>
            <m:r>
              <w:rPr>
                <w:rFonts w:ascii="Cambria Math" w:hAnsi="Cambria Math"/>
              </w:rPr>
              <m:t xml:space="preserve"> .  </m:t>
            </m:r>
            <m:sSubSup>
              <m:sSubSupPr>
                <m:ctrlPr>
                  <w:rPr>
                    <w:rFonts w:ascii="Cambria Math" w:hAnsi="Cambria Math"/>
                    <w:i/>
                  </w:rPr>
                </m:ctrlPr>
              </m:sSubSupPr>
              <m:e>
                <m:r>
                  <w:rPr>
                    <w:rFonts w:ascii="Cambria Math" w:hAnsi="Cambria Math"/>
                  </w:rPr>
                  <m:t>C</m:t>
                </m:r>
              </m:e>
              <m:sub>
                <m:r>
                  <w:rPr>
                    <w:rFonts w:ascii="Cambria Math" w:hAnsi="Cambria Math"/>
                  </w:rPr>
                  <m:t>i</m:t>
                </m:r>
              </m:sub>
              <m:sup>
                <m:r>
                  <w:rPr>
                    <w:rFonts w:ascii="Cambria Math" w:hAnsi="Cambria Math"/>
                  </w:rPr>
                  <m:t>N</m:t>
                </m:r>
              </m:sup>
            </m:sSubSup>
          </m:e>
        </m:nary>
      </m:oMath>
      <w:r>
        <w:tab/>
      </w:r>
      <w:r>
        <w:tab/>
      </w:r>
      <w:r>
        <w:tab/>
      </w:r>
      <w:r>
        <w:tab/>
      </w:r>
      <w:r>
        <w:tab/>
      </w:r>
      <w:r>
        <w:tab/>
      </w:r>
      <w:r>
        <w:tab/>
        <w:t xml:space="preserve">( </w:t>
      </w:r>
      <w:fldSimple w:instr=" SEQ ( \* ARABIC ">
        <w:r w:rsidR="00926C58">
          <w:rPr>
            <w:noProof/>
          </w:rPr>
          <w:t>2</w:t>
        </w:r>
      </w:fldSimple>
      <w:r>
        <w:t xml:space="preserve"> )</w:t>
      </w:r>
    </w:p>
    <w:p w14:paraId="144DE6A0" w14:textId="38FE7358" w:rsidR="008D2649" w:rsidRDefault="00B31935" w:rsidP="00B31935">
      <w:pPr>
        <w:pStyle w:val="Els-3rdorder-head"/>
      </w:pPr>
      <w:r>
        <w:t>Sludge scenario</w:t>
      </w:r>
    </w:p>
    <w:p w14:paraId="2296C2F8" w14:textId="74D28D98" w:rsidR="00C30EDD" w:rsidRDefault="00B31935" w:rsidP="00C30EDD">
      <w:pPr>
        <w:pStyle w:val="Els-body-text"/>
      </w:pPr>
      <w:r>
        <w:t xml:space="preserve">Important volumes of sludge are produced every year in the State of Qatar, which can be converted into biochar. When used as soil amendment under the right conditions, biochar can supply a plant’s nutrient requirements </w:t>
      </w:r>
      <w:r>
        <w:fldChar w:fldCharType="begin" w:fldLock="1"/>
      </w:r>
      <w:r w:rsidR="008B7D82">
        <w:instrText>ADDIN CSL_CITATION {"citationItems":[{"id":"ITEM-1","itemData":{"DOI":"10.1038/s41598-020-70586-x","ISSN":"2045-2322","abstract":"Biochar may serve as a tool to sustainably mitigate climate change via carbon sequestration and by improving soil fertility. Biochar has shown to retain nitrate in its pores, which increases with an organic coating of the inner surfaces and residence time in soil (“aging”). Here we investigated the plant accessibility of the captured nitrate in field-aged biochar, as a pre-requisite for developing carbon-based N fertilization techniques with environmental benefits. Based on previous results, we hypothesized that part of the biochar-captured nitrate would remain unavailable for plants. A two-factorial greenhouse experiment was designed, where the N was applied either as Ca(NO 3 ) 2 or as N captured in field-aged biochar at five increasing N doses to quinoa and perennial ryegrass in pots. Interestingly, the biochar-captured N was as plant available as the mineral nitrate, except for the highest dosage. Refuting our hypothesis, no significant amounts of N were extractable at the end of the study from the biochar–soil mixtures with repeated-extraction protocols. Thus, N captured by biochar may improve the N use efficiency in agriculture. Further research should evaluate the role of biochar particle size, root morphology, mycorrhization, and soil moisture (variations) for nitrate retrieval from biochar particles by plants because the captured biochar N was less available in the field as under present controlled conditions.","author":[{"dropping-particle":"","family":"Haider","given":"Ghulam","non-dropping-particle":"","parse-names":false,"suffix":""},{"dropping-particle":"","family":"Joseph","given":"Stephen","non-dropping-particle":"","parse-names":false,"suffix":""},{"dropping-particle":"","family":"Steffens","given":"Diedrich","non-dropping-particle":"","parse-names":false,"suffix":""},{"dropping-particle":"","family":"Müller","given":"Christoph","non-dropping-particle":"","parse-names":false,"suffix":""},{"dropping-particle":"","family":"Taherymoosavi","given":"Sarasadat","non-dropping-particle":"","parse-names":false,"suffix":""},{"dropping-particle":"","family":"Mitchell","given":"David","non-dropping-particle":"","parse-names":false,"suffix":""},{"dropping-particle":"","family":"Kammann","given":"Claudia I.","non-dropping-particle":"","parse-names":false,"suffix":""}],"container-title":"Scientific Reports","id":"ITEM-1","issue":"1","issued":{"date-parts":[["2020","8","14"]]},"page":"13816","title":"Mineral nitrogen captured in field-aged biochar is plant-available","type":"article-journal","volume":"10"},"uris":["http://www.mendeley.com/documents/?uuid=abc761cf-447b-4d81-8bd3-ed3efb1314d8"]}],"mendeley":{"formattedCitation":"(Haider et al., 2020)","plainTextFormattedCitation":"(Haider et al., 2020)","previouslyFormattedCitation":"(Haider et al., 2020)"},"properties":{"noteIndex":0},"schema":"https://github.com/citation-style-language/schema/raw/master/csl-citation.json"}</w:instrText>
      </w:r>
      <w:r>
        <w:fldChar w:fldCharType="separate"/>
      </w:r>
      <w:r w:rsidR="008B7D82" w:rsidRPr="008B7D82">
        <w:rPr>
          <w:noProof/>
        </w:rPr>
        <w:t>(Haider et al., 2020)</w:t>
      </w:r>
      <w:r>
        <w:fldChar w:fldCharType="end"/>
      </w:r>
      <w:r>
        <w:t>. Aspen</w:t>
      </w:r>
      <w:r w:rsidR="003E5C53">
        <w:t xml:space="preserve"> Plus</w:t>
      </w:r>
      <w:r>
        <w:t xml:space="preserve"> is used to simulate the pyrolysis of sludge produced between the year 2017 and 2021</w:t>
      </w:r>
      <w:r w:rsidR="00926C58">
        <w:t xml:space="preserve"> (</w:t>
      </w:r>
      <w:r w:rsidR="00926C58">
        <w:fldChar w:fldCharType="begin"/>
      </w:r>
      <w:r w:rsidR="00926C58">
        <w:instrText xml:space="preserve"> REF _Ref152147513 \h </w:instrText>
      </w:r>
      <w:r w:rsidR="00926C58">
        <w:fldChar w:fldCharType="separate"/>
      </w:r>
      <w:r w:rsidR="00926C58">
        <w:t xml:space="preserve">Figure </w:t>
      </w:r>
      <w:r w:rsidR="00926C58">
        <w:rPr>
          <w:noProof/>
        </w:rPr>
        <w:t>1</w:t>
      </w:r>
      <w:r w:rsidR="00926C58">
        <w:fldChar w:fldCharType="end"/>
      </w:r>
      <w:r w:rsidR="00926C58">
        <w:t>)</w:t>
      </w:r>
      <w:r>
        <w:t xml:space="preserve">. the proximate and ultimate analysis are retrieved from the literature </w:t>
      </w:r>
      <w:r>
        <w:fldChar w:fldCharType="begin" w:fldLock="1"/>
      </w:r>
      <w:r w:rsidR="008B7D82">
        <w:instrText>ADDIN CSL_CITATION {"citationItems":[{"id":"ITEM-1","itemData":{"DOI":"10.1016/B978-0-12-818634-3.50035-7","author":[{"dropping-particle":"","family":"AlNouss","given":"Ahmed","non-dropping-particle":"","parse-names":false,"suffix":""},{"dropping-particle":"","family":"Namany","given":"Sarah","non-dropping-particle":"","parse-names":false,"suffix":""},{"dropping-particle":"","family":"McKay","given":"Gordon","non-dropping-particle":"","parse-names":false,"suffix":""},{"dropping-particle":"","family":"Al-Ansari","given":"Tareq","non-dropping-particle":"","parse-names":false,"suffix":""}],"id":"ITEM-1","issued":{"date-parts":[["2019"]]},"page":"205-210","title":"Applying a Sustainability Metric in Energy, Water and Food Nexus Applications; A Biomass Utilization Case Study to Improve Investment Decisions","type":"chapter"},"uris":["http://www.mendeley.com/documents/?uuid=fc98364a-d7bd-430a-a128-c9a9352dee44"]}],"mendeley":{"formattedCitation":"(AlNouss et al., 2019)","plainTextFormattedCitation":"(AlNouss et al., 2019)","previouslyFormattedCitation":"(AlNouss et al., 2019)"},"properties":{"noteIndex":0},"schema":"https://github.com/citation-style-language/schema/raw/master/csl-citation.json"}</w:instrText>
      </w:r>
      <w:r>
        <w:fldChar w:fldCharType="separate"/>
      </w:r>
      <w:r w:rsidR="008B7D82" w:rsidRPr="008B7D82">
        <w:rPr>
          <w:noProof/>
        </w:rPr>
        <w:t>(AlNouss et al., 2019)</w:t>
      </w:r>
      <w:r>
        <w:fldChar w:fldCharType="end"/>
      </w:r>
      <w:r>
        <w:t>.</w:t>
      </w:r>
    </w:p>
    <w:p w14:paraId="1E74DB72" w14:textId="77777777" w:rsidR="00454268" w:rsidRDefault="00B31935" w:rsidP="00E53413">
      <w:pPr>
        <w:pStyle w:val="Els-body-text"/>
        <w:keepNext/>
        <w:jc w:val="center"/>
      </w:pPr>
      <w:r>
        <w:rPr>
          <w:noProof/>
        </w:rPr>
        <w:drawing>
          <wp:inline distT="0" distB="0" distL="0" distR="0" wp14:anchorId="3640F9A6" wp14:editId="4045A03A">
            <wp:extent cx="4008613" cy="1638520"/>
            <wp:effectExtent l="0" t="0" r="508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8" cstate="print">
                      <a:extLst>
                        <a:ext uri="{28A0092B-C50C-407E-A947-70E740481C1C}">
                          <a14:useLocalDpi xmlns:a14="http://schemas.microsoft.com/office/drawing/2010/main" val="0"/>
                        </a:ext>
                      </a:extLst>
                    </a:blip>
                    <a:stretch>
                      <a:fillRect/>
                    </a:stretch>
                  </pic:blipFill>
                  <pic:spPr>
                    <a:xfrm>
                      <a:off x="0" y="0"/>
                      <a:ext cx="4008613" cy="1638520"/>
                    </a:xfrm>
                    <a:prstGeom prst="rect">
                      <a:avLst/>
                    </a:prstGeom>
                  </pic:spPr>
                </pic:pic>
              </a:graphicData>
            </a:graphic>
          </wp:inline>
        </w:drawing>
      </w:r>
    </w:p>
    <w:p w14:paraId="7E4599D5" w14:textId="474F0A9C" w:rsidR="00B31935" w:rsidRDefault="00454268" w:rsidP="00E53413">
      <w:pPr>
        <w:pStyle w:val="Caption"/>
        <w:tabs>
          <w:tab w:val="left" w:pos="1122"/>
        </w:tabs>
        <w:jc w:val="center"/>
      </w:pPr>
      <w:bookmarkStart w:id="0" w:name="_Ref152147513"/>
      <w:r>
        <w:t xml:space="preserve">Figure </w:t>
      </w:r>
      <w:r>
        <w:fldChar w:fldCharType="begin"/>
      </w:r>
      <w:r>
        <w:instrText xml:space="preserve"> SEQ Figure \* ARABIC </w:instrText>
      </w:r>
      <w:r>
        <w:fldChar w:fldCharType="separate"/>
      </w:r>
      <w:r>
        <w:rPr>
          <w:noProof/>
        </w:rPr>
        <w:t>1</w:t>
      </w:r>
      <w:r>
        <w:fldChar w:fldCharType="end"/>
      </w:r>
      <w:bookmarkEnd w:id="0"/>
      <w:r w:rsidR="00926C58">
        <w:t>: Pyrolysis flowsheet in Aspen Plus.</w:t>
      </w:r>
    </w:p>
    <w:p w14:paraId="21E79054" w14:textId="43A8C6C1" w:rsidR="00B31935" w:rsidRDefault="00B31935" w:rsidP="00B31935">
      <w:pPr>
        <w:pStyle w:val="Els-2ndorder-head"/>
      </w:pPr>
      <w:r>
        <w:t>Economic resilience assessment</w:t>
      </w:r>
    </w:p>
    <w:p w14:paraId="270138F9" w14:textId="36D37603" w:rsidR="0050546A" w:rsidRDefault="00B31935" w:rsidP="0050546A">
      <w:pPr>
        <w:pStyle w:val="Els-body-text"/>
        <w:rPr>
          <w:rFonts w:eastAsiaTheme="minorEastAsia"/>
        </w:rPr>
      </w:pPr>
      <w:r>
        <w:t>The redundancy ratio</w:t>
      </w:r>
      <w:r w:rsidR="003E5C53">
        <w:t xml:space="preserve"> (RR)</w:t>
      </w:r>
      <w:r>
        <w:t xml:space="preserve"> is used as a measure of the economic resilience of the three scenarios from 2017 to 2021 and is calculated using </w:t>
      </w:r>
      <w:r w:rsidR="00926C58">
        <w:t>Eq. (3) and (4)</w:t>
      </w:r>
      <w:r>
        <w:t xml:space="preserve"> such that </w:t>
      </w:r>
      <m:oMath>
        <m:r>
          <w:rPr>
            <w:rFonts w:ascii="Cambria Math" w:hAnsi="Cambria Math"/>
          </w:rPr>
          <m:t>EC</m:t>
        </m:r>
      </m:oMath>
      <w:r w:rsidRPr="002B007D">
        <w:rPr>
          <w:rFonts w:eastAsiaTheme="minorEastAsia"/>
        </w:rPr>
        <w:t xml:space="preserve"> is the excess capacity, </w:t>
      </w:r>
      <m:oMath>
        <m:r>
          <w:rPr>
            <w:rFonts w:ascii="Cambria Math" w:eastAsiaTheme="minorEastAsia" w:hAnsi="Cambria Math"/>
          </w:rPr>
          <m:t>AD</m:t>
        </m:r>
      </m:oMath>
      <w:r w:rsidRPr="002B007D">
        <w:rPr>
          <w:rFonts w:eastAsiaTheme="minorEastAsia"/>
        </w:rPr>
        <w:t xml:space="preserve"> is the average demand, </w:t>
      </w:r>
      <w:r>
        <w:rPr>
          <w:rFonts w:eastAsiaTheme="minorEastAsia"/>
        </w:rPr>
        <w:t xml:space="preserve">and </w:t>
      </w:r>
      <m:oMath>
        <m:r>
          <w:rPr>
            <w:rFonts w:ascii="Cambria Math" w:hAnsi="Cambria Math"/>
          </w:rPr>
          <m:t>TC</m:t>
        </m:r>
      </m:oMath>
      <w:r w:rsidRPr="002B007D">
        <w:rPr>
          <w:rFonts w:eastAsiaTheme="minorEastAsia"/>
        </w:rPr>
        <w:t xml:space="preserve"> is the total capacity</w:t>
      </w:r>
      <w:r w:rsidR="0050546A">
        <w:rPr>
          <w:rFonts w:eastAsiaTheme="minorEastAsia"/>
        </w:rPr>
        <w:t>.</w:t>
      </w:r>
    </w:p>
    <w:p w14:paraId="34A1C339" w14:textId="6C519288" w:rsidR="00926C58" w:rsidRPr="0050546A" w:rsidRDefault="00B31935" w:rsidP="000F3D7A">
      <w:pPr>
        <w:pStyle w:val="Els-body-text"/>
        <w:spacing w:before="240" w:after="240"/>
        <w:ind w:left="160"/>
        <w:rPr>
          <w:rFonts w:eastAsiaTheme="minorEastAsia"/>
        </w:rPr>
      </w:pPr>
      <m:oMath>
        <m:r>
          <w:rPr>
            <w:rFonts w:ascii="Cambria Math" w:hAnsi="Cambria Math"/>
          </w:rPr>
          <m:t xml:space="preserve">RR= </m:t>
        </m:r>
        <m:f>
          <m:fPr>
            <m:ctrlPr>
              <w:rPr>
                <w:rFonts w:ascii="Cambria Math" w:hAnsi="Cambria Math"/>
                <w:i/>
              </w:rPr>
            </m:ctrlPr>
          </m:fPr>
          <m:num>
            <m:r>
              <w:rPr>
                <w:rFonts w:ascii="Cambria Math" w:hAnsi="Cambria Math"/>
              </w:rPr>
              <m:t>EC</m:t>
            </m:r>
          </m:num>
          <m:den>
            <m:r>
              <w:rPr>
                <w:rFonts w:ascii="Cambria Math" w:hAnsi="Cambria Math"/>
              </w:rPr>
              <m:t>AD</m:t>
            </m:r>
          </m:den>
        </m:f>
      </m:oMath>
      <w:r w:rsidR="00926C58">
        <w:tab/>
      </w:r>
      <w:r w:rsidR="00926C58">
        <w:tab/>
      </w:r>
      <w:r w:rsidR="00926C58">
        <w:tab/>
      </w:r>
      <w:r w:rsidR="00926C58">
        <w:tab/>
      </w:r>
      <w:r w:rsidR="00926C58">
        <w:tab/>
      </w:r>
      <w:r w:rsidR="00926C58">
        <w:tab/>
      </w:r>
      <w:r w:rsidR="00926C58">
        <w:tab/>
      </w:r>
      <w:r w:rsidR="00926C58">
        <w:tab/>
        <w:t>(</w:t>
      </w:r>
      <w:r w:rsidR="00926C58">
        <w:fldChar w:fldCharType="begin"/>
      </w:r>
      <w:r w:rsidR="00926C58">
        <w:instrText xml:space="preserve"> SEQ ( \* ARABIC </w:instrText>
      </w:r>
      <w:r w:rsidR="00926C58">
        <w:fldChar w:fldCharType="separate"/>
      </w:r>
      <w:r w:rsidR="00926C58">
        <w:rPr>
          <w:noProof/>
        </w:rPr>
        <w:t>3</w:t>
      </w:r>
      <w:r w:rsidR="00926C58">
        <w:fldChar w:fldCharType="end"/>
      </w:r>
      <w:r w:rsidR="00926C58">
        <w:t>)</w:t>
      </w:r>
      <w:r w:rsidR="00926C58">
        <w:rPr>
          <w:rFonts w:eastAsiaTheme="minorEastAsia"/>
        </w:rPr>
        <w:t xml:space="preserve">   </w:t>
      </w:r>
      <m:oMath>
        <m:r>
          <w:rPr>
            <w:rFonts w:ascii="Cambria Math" w:hAnsi="Cambria Math"/>
          </w:rPr>
          <m:t>EC= TC-AD</m:t>
        </m:r>
      </m:oMath>
      <w:r w:rsidR="00926C58">
        <w:tab/>
      </w:r>
      <w:r w:rsidR="00926C58">
        <w:tab/>
      </w:r>
      <w:r w:rsidR="00926C58">
        <w:tab/>
      </w:r>
      <w:r w:rsidR="00926C58">
        <w:tab/>
      </w:r>
      <w:r w:rsidR="00926C58">
        <w:tab/>
      </w:r>
      <w:r w:rsidR="00926C58">
        <w:tab/>
      </w:r>
      <w:r w:rsidR="00926C58">
        <w:tab/>
        <w:t>(</w:t>
      </w:r>
      <w:r w:rsidR="00926C58">
        <w:fldChar w:fldCharType="begin"/>
      </w:r>
      <w:r w:rsidR="00926C58">
        <w:instrText xml:space="preserve"> SEQ ( \* ARABIC </w:instrText>
      </w:r>
      <w:r w:rsidR="00926C58">
        <w:fldChar w:fldCharType="separate"/>
      </w:r>
      <w:r w:rsidR="00926C58">
        <w:rPr>
          <w:noProof/>
        </w:rPr>
        <w:t>4</w:t>
      </w:r>
      <w:r w:rsidR="00926C58">
        <w:fldChar w:fldCharType="end"/>
      </w:r>
      <w:r w:rsidR="00926C58">
        <w:t>)</w:t>
      </w:r>
    </w:p>
    <w:p w14:paraId="11458146" w14:textId="73745A2D" w:rsidR="00874863" w:rsidRDefault="00874863" w:rsidP="00454268">
      <w:pPr>
        <w:jc w:val="both"/>
        <w:rPr>
          <w:rFonts w:eastAsiaTheme="minorEastAsia"/>
          <w:lang w:val="en-US"/>
        </w:rPr>
      </w:pPr>
      <w:r w:rsidRPr="00626E8E">
        <w:rPr>
          <w:lang w:val="en-QA"/>
        </w:rPr>
        <w:t>To assess the economic impact of environmental taxation on fertilizer choices, the costs of sludge and urea</w:t>
      </w:r>
      <w:r>
        <w:rPr>
          <w:lang w:val="en-US"/>
        </w:rPr>
        <w:t xml:space="preserve"> are compared</w:t>
      </w:r>
      <w:r w:rsidRPr="00626E8E">
        <w:rPr>
          <w:lang w:val="en-QA"/>
        </w:rPr>
        <w:t xml:space="preserve">, incorporating a variable carbon tax. The analysis simulates the introduction of a carbon tax, ranging from $0.03 to $0.1 per kg of CO2, to </w:t>
      </w:r>
      <w:r w:rsidRPr="00626E8E">
        <w:rPr>
          <w:lang w:val="en-QA"/>
        </w:rPr>
        <w:lastRenderedPageBreak/>
        <w:t>the price of urea. This is done to reflect the higher carbon emissions from urea production, compared to the lower emissions from sludge. The carbon tax is applied based on the emissions differential per unit of nitroge</w:t>
      </w:r>
      <w:r>
        <w:rPr>
          <w:lang w:val="en-US"/>
        </w:rPr>
        <w:t xml:space="preserve">n, </w:t>
      </w:r>
      <m:oMath>
        <m:r>
          <w:rPr>
            <w:rFonts w:ascii="Cambria Math" w:hAnsi="Cambria Math"/>
            <w:lang w:val="en-US"/>
          </w:rPr>
          <m:t>∆CO2</m:t>
        </m:r>
      </m:oMath>
      <w:r>
        <w:rPr>
          <w:rFonts w:eastAsiaTheme="minorEastAsia"/>
          <w:lang w:val="en-US"/>
        </w:rPr>
        <w:t xml:space="preserve">, given by </w:t>
      </w:r>
      <w:r w:rsidR="00926C58">
        <w:rPr>
          <w:rFonts w:eastAsiaTheme="minorEastAsia"/>
          <w:lang w:val="en-US"/>
        </w:rPr>
        <w:t>E</w:t>
      </w:r>
      <w:r>
        <w:rPr>
          <w:rFonts w:eastAsiaTheme="minorEastAsia"/>
          <w:lang w:val="en-US"/>
        </w:rPr>
        <w:t>q</w:t>
      </w:r>
      <w:r w:rsidR="00926C58">
        <w:rPr>
          <w:rFonts w:eastAsiaTheme="minorEastAsia"/>
          <w:lang w:val="en-US"/>
        </w:rPr>
        <w:t>.</w:t>
      </w:r>
      <w:r>
        <w:rPr>
          <w:rFonts w:eastAsiaTheme="minorEastAsia"/>
          <w:lang w:val="en-US"/>
        </w:rPr>
        <w:t xml:space="preserve"> (</w:t>
      </w:r>
      <w:r w:rsidR="00926C58">
        <w:rPr>
          <w:rFonts w:eastAsiaTheme="minorEastAsia"/>
          <w:lang w:val="en-US"/>
        </w:rPr>
        <w:t>5</w:t>
      </w:r>
      <w:r>
        <w:rPr>
          <w:rFonts w:eastAsiaTheme="minorEastAsia"/>
          <w:lang w:val="en-US"/>
        </w:rPr>
        <w:t xml:space="preserve">). </w:t>
      </w:r>
      <w:r>
        <w:rPr>
          <w:lang w:val="en-US"/>
        </w:rPr>
        <w:t xml:space="preserve">Where </w:t>
      </w:r>
      <m:oMath>
        <m:sSub>
          <m:sSubPr>
            <m:ctrlPr>
              <w:rPr>
                <w:rFonts w:ascii="Cambria Math" w:eastAsiaTheme="minorHAnsi" w:hAnsi="Cambria Math" w:cstheme="minorBidi"/>
                <w:i/>
                <w:szCs w:val="24"/>
                <w:lang w:val="en-US"/>
              </w:rPr>
            </m:ctrlPr>
          </m:sSubPr>
          <m:e>
            <m:r>
              <w:rPr>
                <w:rFonts w:ascii="Cambria Math" w:hAnsi="Cambria Math"/>
                <w:lang w:val="en-US"/>
              </w:rPr>
              <m:t>E</m:t>
            </m:r>
          </m:e>
          <m:sub>
            <m:r>
              <w:rPr>
                <w:rFonts w:ascii="Cambria Math" w:hAnsi="Cambria Math"/>
                <w:lang w:val="en-US"/>
              </w:rPr>
              <m:t>urea</m:t>
            </m:r>
          </m:sub>
        </m:sSub>
      </m:oMath>
      <w:r>
        <w:rPr>
          <w:rFonts w:eastAsiaTheme="minorEastAsia"/>
          <w:lang w:val="en-US"/>
        </w:rPr>
        <w:t xml:space="preserve"> and </w:t>
      </w:r>
      <m:oMath>
        <m:sSub>
          <m:sSubPr>
            <m:ctrlPr>
              <w:rPr>
                <w:rFonts w:ascii="Cambria Math" w:eastAsiaTheme="minorHAnsi" w:hAnsi="Cambria Math" w:cstheme="minorBidi"/>
                <w:i/>
                <w:szCs w:val="24"/>
                <w:lang w:val="en-US"/>
              </w:rPr>
            </m:ctrlPr>
          </m:sSubPr>
          <m:e>
            <m:r>
              <w:rPr>
                <w:rFonts w:ascii="Cambria Math" w:hAnsi="Cambria Math"/>
                <w:lang w:val="en-US"/>
              </w:rPr>
              <m:t>E</m:t>
            </m:r>
          </m:e>
          <m:sub>
            <m:r>
              <w:rPr>
                <w:rFonts w:ascii="Cambria Math" w:hAnsi="Cambria Math"/>
                <w:lang w:val="en-US"/>
              </w:rPr>
              <m:t>sludge</m:t>
            </m:r>
          </m:sub>
        </m:sSub>
      </m:oMath>
      <w:r>
        <w:rPr>
          <w:rFonts w:eastAsiaTheme="minorEastAsia"/>
          <w:lang w:val="en-US"/>
        </w:rPr>
        <w:t xml:space="preserve">represent the </w:t>
      </w:r>
      <w:r w:rsidR="00926C58">
        <w:rPr>
          <w:rFonts w:eastAsiaTheme="minorEastAsia"/>
          <w:lang w:val="en-US"/>
        </w:rPr>
        <w:t>kg of CO</w:t>
      </w:r>
      <w:r w:rsidR="00926C58">
        <w:rPr>
          <w:rFonts w:eastAsiaTheme="minorEastAsia"/>
          <w:vertAlign w:val="subscript"/>
          <w:lang w:val="en-US"/>
        </w:rPr>
        <w:t>2-eq</w:t>
      </w:r>
      <w:r w:rsidR="00926C58">
        <w:rPr>
          <w:rFonts w:eastAsiaTheme="minorEastAsia"/>
          <w:lang w:val="en-US"/>
        </w:rPr>
        <w:t xml:space="preserve"> </w:t>
      </w:r>
      <w:r>
        <w:rPr>
          <w:rFonts w:eastAsiaTheme="minorEastAsia"/>
          <w:lang w:val="en-US"/>
        </w:rPr>
        <w:t xml:space="preserve">emissions per kg of nitrogen from urea and sludge, respectively. The adjusted cost of urea, </w:t>
      </w:r>
      <m:oMath>
        <m:sSub>
          <m:sSubPr>
            <m:ctrlPr>
              <w:rPr>
                <w:rFonts w:ascii="Cambria Math" w:eastAsiaTheme="minorHAnsi" w:hAnsi="Cambria Math" w:cstheme="minorBidi"/>
                <w:i/>
                <w:szCs w:val="24"/>
                <w:lang w:val="en-US"/>
              </w:rPr>
            </m:ctrlPr>
          </m:sSubPr>
          <m:e>
            <m:r>
              <w:rPr>
                <w:rFonts w:ascii="Cambria Math" w:hAnsi="Cambria Math"/>
                <w:lang w:val="en-US"/>
              </w:rPr>
              <m:t>C</m:t>
            </m:r>
          </m:e>
          <m:sub>
            <m:r>
              <w:rPr>
                <w:rFonts w:ascii="Cambria Math" w:hAnsi="Cambria Math"/>
                <w:lang w:val="en-US"/>
              </w:rPr>
              <m:t>urea,adj</m:t>
            </m:r>
          </m:sub>
        </m:sSub>
      </m:oMath>
      <w:r>
        <w:rPr>
          <w:rFonts w:eastAsiaTheme="minorEastAsia"/>
          <w:lang w:val="en-US"/>
        </w:rPr>
        <w:t xml:space="preserve"> is then calculated using </w:t>
      </w:r>
      <w:r w:rsidR="00926C58">
        <w:rPr>
          <w:rFonts w:eastAsiaTheme="minorEastAsia"/>
          <w:lang w:val="en-US"/>
        </w:rPr>
        <w:t>E</w:t>
      </w:r>
      <w:r>
        <w:rPr>
          <w:rFonts w:eastAsiaTheme="minorEastAsia"/>
          <w:lang w:val="en-US"/>
        </w:rPr>
        <w:t>q.</w:t>
      </w:r>
      <w:r w:rsidR="00926C58">
        <w:rPr>
          <w:rFonts w:eastAsiaTheme="minorEastAsia"/>
          <w:lang w:val="en-US"/>
        </w:rPr>
        <w:t xml:space="preserve"> (6)</w:t>
      </w:r>
      <w:r>
        <w:rPr>
          <w:rFonts w:eastAsiaTheme="minorEastAsia"/>
          <w:lang w:val="en-US"/>
        </w:rPr>
        <w:t xml:space="preserve"> such that </w:t>
      </w:r>
      <m:oMath>
        <m:sSub>
          <m:sSubPr>
            <m:ctrlPr>
              <w:rPr>
                <w:rFonts w:ascii="Cambria Math" w:eastAsiaTheme="minorHAnsi" w:hAnsi="Cambria Math" w:cstheme="minorBidi"/>
                <w:i/>
                <w:szCs w:val="24"/>
                <w:lang w:val="en-US"/>
              </w:rPr>
            </m:ctrlPr>
          </m:sSubPr>
          <m:e>
            <m:r>
              <w:rPr>
                <w:rFonts w:ascii="Cambria Math" w:hAnsi="Cambria Math"/>
                <w:lang w:val="en-US"/>
              </w:rPr>
              <m:t>C</m:t>
            </m:r>
          </m:e>
          <m:sub>
            <m:r>
              <w:rPr>
                <w:rFonts w:ascii="Cambria Math" w:hAnsi="Cambria Math"/>
                <w:lang w:val="en-US"/>
              </w:rPr>
              <m:t>urea</m:t>
            </m:r>
          </m:sub>
        </m:sSub>
      </m:oMath>
      <w:r>
        <w:rPr>
          <w:rFonts w:eastAsiaTheme="minorEastAsia"/>
          <w:lang w:val="en-US"/>
        </w:rPr>
        <w:t xml:space="preserve"> is the initial cost of urea per </w:t>
      </w:r>
      <w:r w:rsidR="00926C58">
        <w:rPr>
          <w:rFonts w:eastAsiaTheme="minorEastAsia"/>
          <w:lang w:val="en-US"/>
        </w:rPr>
        <w:t>kg</w:t>
      </w:r>
      <w:r>
        <w:rPr>
          <w:rFonts w:eastAsiaTheme="minorEastAsia"/>
          <w:lang w:val="en-US"/>
        </w:rPr>
        <w:t xml:space="preserve"> of nitrogen and </w:t>
      </w:r>
      <m:oMath>
        <m:sSub>
          <m:sSubPr>
            <m:ctrlPr>
              <w:rPr>
                <w:rFonts w:ascii="Cambria Math" w:eastAsiaTheme="minorHAnsi" w:hAnsi="Cambria Math" w:cstheme="minorBidi"/>
                <w:i/>
                <w:szCs w:val="24"/>
                <w:lang w:val="en-US"/>
              </w:rPr>
            </m:ctrlPr>
          </m:sSubPr>
          <m:e>
            <m:r>
              <w:rPr>
                <w:rFonts w:ascii="Cambria Math" w:hAnsi="Cambria Math"/>
                <w:lang w:val="en-US"/>
              </w:rPr>
              <m:t>Tax</m:t>
            </m:r>
          </m:e>
          <m:sub>
            <m:r>
              <w:rPr>
                <w:rFonts w:ascii="Cambria Math" w:hAnsi="Cambria Math"/>
                <w:lang w:val="en-US"/>
              </w:rPr>
              <m:t>CO2</m:t>
            </m:r>
          </m:sub>
        </m:sSub>
      </m:oMath>
      <w:r>
        <w:rPr>
          <w:rFonts w:eastAsiaTheme="minorEastAsia"/>
          <w:lang w:val="en-US"/>
        </w:rPr>
        <w:t xml:space="preserve"> is the applied carbon tax per k</w:t>
      </w:r>
      <w:r w:rsidR="00926C58">
        <w:rPr>
          <w:rFonts w:eastAsiaTheme="minorEastAsia"/>
          <w:lang w:val="en-US"/>
        </w:rPr>
        <w:t>g</w:t>
      </w:r>
      <w:r>
        <w:rPr>
          <w:rFonts w:eastAsiaTheme="minorEastAsia"/>
          <w:lang w:val="en-US"/>
        </w:rPr>
        <w:t xml:space="preserve"> of CO</w:t>
      </w:r>
      <w:r w:rsidR="00926C58">
        <w:rPr>
          <w:rFonts w:eastAsiaTheme="minorEastAsia"/>
          <w:vertAlign w:val="subscript"/>
          <w:lang w:val="en-US"/>
        </w:rPr>
        <w:t>2-eq</w:t>
      </w:r>
      <w:r>
        <w:rPr>
          <w:rFonts w:eastAsiaTheme="minorEastAsia"/>
          <w:lang w:val="en-US"/>
        </w:rPr>
        <w:t xml:space="preserve">. To maintain revenue neutrality for urea production, the carbon tax’s financial impact is directly added to its market price. </w:t>
      </w:r>
    </w:p>
    <w:p w14:paraId="79EDFF66" w14:textId="4D9BA722" w:rsidR="00926C58" w:rsidRPr="00926C58" w:rsidRDefault="00926C58" w:rsidP="00926C58">
      <w:pPr>
        <w:keepNext/>
        <w:spacing w:before="240" w:after="240"/>
        <w:jc w:val="both"/>
        <w:rPr>
          <w:lang w:val="en-US"/>
        </w:rPr>
      </w:pPr>
      <w:r>
        <w:rPr>
          <w:rFonts w:eastAsiaTheme="minorEastAsia"/>
          <w:lang w:val="en-US"/>
        </w:rPr>
        <w:t xml:space="preserve">   </w:t>
      </w:r>
      <m:oMath>
        <m:r>
          <w:rPr>
            <w:rFonts w:ascii="Cambria Math" w:hAnsi="Cambria Math"/>
            <w:lang w:val="en-US"/>
          </w:rPr>
          <m:t>∆CO2=</m:t>
        </m:r>
        <m:sSub>
          <m:sSubPr>
            <m:ctrlPr>
              <w:rPr>
                <w:rFonts w:ascii="Cambria Math" w:eastAsiaTheme="minorHAnsi" w:hAnsi="Cambria Math" w:cstheme="minorBidi"/>
                <w:i/>
                <w:szCs w:val="24"/>
                <w:lang w:val="en-US"/>
              </w:rPr>
            </m:ctrlPr>
          </m:sSubPr>
          <m:e>
            <m:r>
              <w:rPr>
                <w:rFonts w:ascii="Cambria Math" w:hAnsi="Cambria Math"/>
                <w:lang w:val="en-US"/>
              </w:rPr>
              <m:t>E</m:t>
            </m:r>
          </m:e>
          <m:sub>
            <m:r>
              <w:rPr>
                <w:rFonts w:ascii="Cambria Math" w:hAnsi="Cambria Math"/>
                <w:lang w:val="en-US"/>
              </w:rPr>
              <m:t>urea</m:t>
            </m:r>
          </m:sub>
        </m:sSub>
        <m:r>
          <w:rPr>
            <w:rFonts w:ascii="Cambria Math" w:hAnsi="Cambria Math"/>
            <w:lang w:val="en-US"/>
          </w:rPr>
          <m:t>-</m:t>
        </m:r>
        <m:sSub>
          <m:sSubPr>
            <m:ctrlPr>
              <w:rPr>
                <w:rFonts w:ascii="Cambria Math" w:eastAsiaTheme="minorHAnsi" w:hAnsi="Cambria Math" w:cstheme="minorBidi"/>
                <w:i/>
                <w:szCs w:val="24"/>
                <w:lang w:val="en-US"/>
              </w:rPr>
            </m:ctrlPr>
          </m:sSubPr>
          <m:e>
            <m:r>
              <w:rPr>
                <w:rFonts w:ascii="Cambria Math" w:hAnsi="Cambria Math"/>
                <w:lang w:val="en-US"/>
              </w:rPr>
              <m:t>E</m:t>
            </m:r>
          </m:e>
          <m:sub>
            <m:r>
              <w:rPr>
                <w:rFonts w:ascii="Cambria Math" w:hAnsi="Cambria Math"/>
                <w:lang w:val="en-US"/>
              </w:rPr>
              <m:t>sludge</m:t>
            </m:r>
          </m:sub>
        </m:sSub>
      </m:oMath>
      <w:r>
        <w:rPr>
          <w:szCs w:val="24"/>
          <w:lang w:val="en-US"/>
        </w:rPr>
        <w:tab/>
      </w:r>
      <w:r>
        <w:rPr>
          <w:szCs w:val="24"/>
          <w:lang w:val="en-US"/>
        </w:rPr>
        <w:tab/>
      </w:r>
      <w:r>
        <w:rPr>
          <w:szCs w:val="24"/>
          <w:lang w:val="en-US"/>
        </w:rPr>
        <w:tab/>
      </w:r>
      <w:r>
        <w:rPr>
          <w:szCs w:val="24"/>
          <w:lang w:val="en-US"/>
        </w:rPr>
        <w:tab/>
      </w:r>
      <w:r>
        <w:rPr>
          <w:szCs w:val="24"/>
          <w:lang w:val="en-US"/>
        </w:rPr>
        <w:tab/>
      </w:r>
      <w:r>
        <w:rPr>
          <w:szCs w:val="24"/>
          <w:lang w:val="en-US"/>
        </w:rPr>
        <w:tab/>
      </w:r>
      <w:r>
        <w:t xml:space="preserve">( </w:t>
      </w:r>
      <w:fldSimple w:instr=" SEQ ( \* ARABIC ">
        <w:r>
          <w:rPr>
            <w:noProof/>
          </w:rPr>
          <w:t>5</w:t>
        </w:r>
      </w:fldSimple>
      <w:r>
        <w:t xml:space="preserve"> )</w:t>
      </w:r>
    </w:p>
    <w:p w14:paraId="6D8F0248" w14:textId="19821561" w:rsidR="00926C58" w:rsidRPr="00926C58" w:rsidRDefault="00926C58" w:rsidP="00926C58">
      <w:pPr>
        <w:keepNext/>
        <w:spacing w:after="240"/>
        <w:jc w:val="both"/>
        <w:rPr>
          <w:rFonts w:eastAsiaTheme="minorEastAsia"/>
          <w:lang w:val="en-US"/>
        </w:rPr>
      </w:pPr>
      <w:r>
        <w:rPr>
          <w:szCs w:val="24"/>
          <w:lang w:val="en-US"/>
        </w:rPr>
        <w:t xml:space="preserve">   </w:t>
      </w:r>
      <m:oMath>
        <m:sSub>
          <m:sSubPr>
            <m:ctrlPr>
              <w:rPr>
                <w:rFonts w:ascii="Cambria Math" w:eastAsiaTheme="minorHAnsi" w:hAnsi="Cambria Math" w:cstheme="minorBidi"/>
                <w:i/>
                <w:szCs w:val="24"/>
                <w:lang w:val="en-US"/>
              </w:rPr>
            </m:ctrlPr>
          </m:sSubPr>
          <m:e>
            <m:r>
              <w:rPr>
                <w:rFonts w:ascii="Cambria Math" w:hAnsi="Cambria Math"/>
                <w:lang w:val="en-US"/>
              </w:rPr>
              <m:t>C</m:t>
            </m:r>
          </m:e>
          <m:sub>
            <m:r>
              <w:rPr>
                <w:rFonts w:ascii="Cambria Math" w:hAnsi="Cambria Math"/>
                <w:lang w:val="en-US"/>
              </w:rPr>
              <m:t>urea,adj</m:t>
            </m:r>
          </m:sub>
        </m:sSub>
        <m:r>
          <w:rPr>
            <w:rFonts w:ascii="Cambria Math" w:hAnsi="Cambria Math"/>
            <w:lang w:val="en-US"/>
          </w:rPr>
          <m:t>=</m:t>
        </m:r>
        <m:sSub>
          <m:sSubPr>
            <m:ctrlPr>
              <w:rPr>
                <w:rFonts w:ascii="Cambria Math" w:eastAsiaTheme="minorHAnsi" w:hAnsi="Cambria Math" w:cstheme="minorBidi"/>
                <w:i/>
                <w:szCs w:val="24"/>
                <w:lang w:val="en-US"/>
              </w:rPr>
            </m:ctrlPr>
          </m:sSubPr>
          <m:e>
            <m:r>
              <w:rPr>
                <w:rFonts w:ascii="Cambria Math" w:hAnsi="Cambria Math"/>
                <w:lang w:val="en-US"/>
              </w:rPr>
              <m:t>C</m:t>
            </m:r>
          </m:e>
          <m:sub>
            <m:r>
              <w:rPr>
                <w:rFonts w:ascii="Cambria Math" w:hAnsi="Cambria Math"/>
                <w:lang w:val="en-US"/>
              </w:rPr>
              <m:t>urea</m:t>
            </m:r>
          </m:sub>
        </m:sSub>
        <m:r>
          <w:rPr>
            <w:rFonts w:ascii="Cambria Math" w:hAnsi="Cambria Math"/>
            <w:lang w:val="en-US"/>
          </w:rPr>
          <m:t xml:space="preserve">+ ∆CO2 . </m:t>
        </m:r>
        <m:sSub>
          <m:sSubPr>
            <m:ctrlPr>
              <w:rPr>
                <w:rFonts w:ascii="Cambria Math" w:eastAsiaTheme="minorHAnsi" w:hAnsi="Cambria Math" w:cstheme="minorBidi"/>
                <w:i/>
                <w:szCs w:val="24"/>
                <w:lang w:val="en-US"/>
              </w:rPr>
            </m:ctrlPr>
          </m:sSubPr>
          <m:e>
            <m:r>
              <w:rPr>
                <w:rFonts w:ascii="Cambria Math" w:hAnsi="Cambria Math"/>
                <w:lang w:val="en-US"/>
              </w:rPr>
              <m:t>Tax</m:t>
            </m:r>
          </m:e>
          <m:sub>
            <m:r>
              <w:rPr>
                <w:rFonts w:ascii="Cambria Math" w:hAnsi="Cambria Math"/>
                <w:lang w:val="en-US"/>
              </w:rPr>
              <m:t>CO2</m:t>
            </m:r>
          </m:sub>
        </m:sSub>
      </m:oMath>
      <w:r>
        <w:rPr>
          <w:szCs w:val="24"/>
          <w:lang w:val="en-US"/>
        </w:rPr>
        <w:tab/>
      </w:r>
      <w:r>
        <w:rPr>
          <w:szCs w:val="24"/>
          <w:lang w:val="en-US"/>
        </w:rPr>
        <w:tab/>
      </w:r>
      <w:r>
        <w:rPr>
          <w:szCs w:val="24"/>
          <w:lang w:val="en-US"/>
        </w:rPr>
        <w:tab/>
      </w:r>
      <w:r>
        <w:rPr>
          <w:szCs w:val="24"/>
          <w:lang w:val="en-US"/>
        </w:rPr>
        <w:tab/>
      </w:r>
      <w:r>
        <w:rPr>
          <w:szCs w:val="24"/>
          <w:lang w:val="en-US"/>
        </w:rPr>
        <w:tab/>
      </w:r>
      <w:r>
        <w:t xml:space="preserve">( </w:t>
      </w:r>
      <w:fldSimple w:instr=" SEQ ( \* ARABIC ">
        <w:r>
          <w:rPr>
            <w:noProof/>
          </w:rPr>
          <w:t>6</w:t>
        </w:r>
      </w:fldSimple>
      <w:r>
        <w:t xml:space="preserve"> )</w:t>
      </w:r>
    </w:p>
    <w:p w14:paraId="2F52C6A4" w14:textId="13396807" w:rsidR="00874863" w:rsidRPr="00954D2A" w:rsidRDefault="00874863" w:rsidP="00454268">
      <w:pPr>
        <w:jc w:val="both"/>
        <w:rPr>
          <w:lang w:val="en-US"/>
        </w:rPr>
      </w:pPr>
      <w:r w:rsidRPr="00626E8E">
        <w:rPr>
          <w:lang w:val="en-QA"/>
        </w:rPr>
        <w:t>The sensitivity of the cost difference to variations in sludge pricing is also analyzed, considering price changes ranging from a 50% decrease to a 50% increase. This comparison provides insights into how environmental policies, such as carbon taxes, could shift economic preferences between traditional and more sustainable nitrogen sources in agriculture.</w:t>
      </w:r>
      <w:r w:rsidR="00926C58">
        <w:rPr>
          <w:lang w:val="en-US"/>
        </w:rPr>
        <w:t xml:space="preserve"> The </w:t>
      </w:r>
      <w:r w:rsidR="00954D2A">
        <w:rPr>
          <w:lang w:val="en-US"/>
        </w:rPr>
        <w:t>price</w:t>
      </w:r>
      <w:r w:rsidR="00926C58">
        <w:rPr>
          <w:lang w:val="en-US"/>
        </w:rPr>
        <w:t xml:space="preserve"> of </w:t>
      </w:r>
      <w:r w:rsidR="00954D2A">
        <w:rPr>
          <w:lang w:val="en-US"/>
        </w:rPr>
        <w:t>u</w:t>
      </w:r>
      <w:r w:rsidR="00926C58">
        <w:rPr>
          <w:lang w:val="en-US"/>
        </w:rPr>
        <w:t xml:space="preserve">rea </w:t>
      </w:r>
      <w:r w:rsidR="00954D2A">
        <w:rPr>
          <w:lang w:val="en-US"/>
        </w:rPr>
        <w:t>ranges averages 1.51 USD.kg</w:t>
      </w:r>
      <w:r w:rsidR="00954D2A">
        <w:rPr>
          <w:vertAlign w:val="superscript"/>
          <w:lang w:val="en-US"/>
        </w:rPr>
        <w:t>-1</w:t>
      </w:r>
      <w:r w:rsidR="00926C58">
        <w:rPr>
          <w:lang w:val="en-US"/>
        </w:rPr>
        <w:t xml:space="preserve">, </w:t>
      </w:r>
      <w:r w:rsidR="00954D2A">
        <w:rPr>
          <w:lang w:val="en-US"/>
        </w:rPr>
        <w:t>while that of biochar is obtained from the Aspen Plus model considering</w:t>
      </w:r>
      <w:r w:rsidR="00926C58">
        <w:rPr>
          <w:lang w:val="en-US"/>
        </w:rPr>
        <w:t xml:space="preserve"> </w:t>
      </w:r>
      <w:r w:rsidR="00954D2A">
        <w:rPr>
          <w:lang w:val="en-US"/>
        </w:rPr>
        <w:t xml:space="preserve">that raw </w:t>
      </w:r>
      <w:r w:rsidR="00926C58">
        <w:rPr>
          <w:lang w:val="en-US"/>
        </w:rPr>
        <w:t>sludge</w:t>
      </w:r>
      <w:r w:rsidR="00954D2A">
        <w:rPr>
          <w:lang w:val="en-US"/>
        </w:rPr>
        <w:t xml:space="preserve"> cost is set to 0.1 USD.t</w:t>
      </w:r>
      <w:r w:rsidR="00954D2A">
        <w:rPr>
          <w:vertAlign w:val="superscript"/>
          <w:lang w:val="en-US"/>
        </w:rPr>
        <w:t>-1</w:t>
      </w:r>
      <w:r w:rsidR="001529F8">
        <w:rPr>
          <w:lang w:val="en-US"/>
        </w:rPr>
        <w:t xml:space="preserve"> </w:t>
      </w:r>
      <w:r w:rsidR="001529F8">
        <w:rPr>
          <w:lang w:val="en-US"/>
        </w:rPr>
        <w:fldChar w:fldCharType="begin" w:fldLock="1"/>
      </w:r>
      <w:r w:rsidR="0078043A">
        <w:rPr>
          <w:lang w:val="en-US"/>
        </w:rPr>
        <w:instrText>ADDIN CSL_CITATION {"citationItems":[{"id":"ITEM-1","itemData":{"author":[{"dropping-particle":"","family":"Quinn","given":"Russ","non-dropping-particle":"","parse-names":false,"suffix":""}],"container-title":"DTN Progressive Farmer","id":"ITEM-1","issued":{"date-parts":[["2023"]]},"title":"DTN Retail Fertilizer Trends","type":"article-magazine"},"uris":["http://www.mendeley.com/documents/?uuid=33e2708e-a9ce-454c-9cdb-960ab1895904"]},{"id":"ITEM-2","itemData":{"DOI":"10.3389/fsufs.2021.604001","ISSN":"2571-581X","abstract":"Large quantities of fruit wastes are generated during the consumption and processing of fruits. The disposal of fruit wastes in an environmentally benign way is a challenging task. The biochar production from fruit wastes by pyrolysis is receiving huge attention because it can alleviate pollution of fruit wastes and provide a supply of biochar sustainably. In this study, five fruit waste types—orange peel, banana peel, mango endocarp, apricot kernel shell, and date pits—are examined. An Aspen Plus simulation tool was employed to develop a steady-state model to predict the pyrolysis product yields of the fruit wastes. The details of the proximate and elemental analyses of the fruit wastes were applied as input parameters in the model, and the simulation was carried out at 300–600°C and 1 atm pressure. Among the fruit wastes, the date pits presented the highest char yield (50.92 wt.%), while the mango endocarp offered the highest syngas yield (54.23 wt.%). From the simulation results, it can be inferred that the date pits are best suited for biochar production, whereas the mango endocarp and orange peel are appropriate for syngas generation. The study is further analyzed by studying the optimization of biomass feedstock blend to yield the highest char relative to bio-oil and syngas. The optimization results demonstrate apricot kernel shell and date pits to dominate the feedstock blend. It is hoped that the current outcomes will be helpful in the selection of appropriate feedstocks for biochar generation through pyrolysis.","author":[{"dropping-particle":"","family":"AlNouss","given":"Ahmed","non-dropping-particle":"","parse-names":false,"suffix":""},{"dropping-particle":"","family":"Parthasarathy","given":"Prakash","non-dropping-particle":"","parse-names":false,"suffix":""},{"dropping-particle":"","family":"Mackey","given":"Hamish R.","non-dropping-particle":"","parse-names":false,"suffix":""},{"dropping-particle":"","family":"Al-Ansari","given":"Tareq","non-dropping-particle":"","parse-names":false,"suffix":""},{"dropping-particle":"","family":"McKay","given":"Gordon","non-dropping-particle":"","parse-names":false,"suffix":""}],"container-title":"Frontiers in Sustainable Food Systems","id":"ITEM-2","issued":{"date-parts":[["2021","2","18"]]},"title":"Pyrolysis Study of Different Fruit Wastes Using an Aspen Plus Model","type":"article-journal","volume":"5"},"uris":["http://www.mendeley.com/documents/?uuid=e133b244-9222-4d63-88d4-fb0e3fb824b2"]}],"mendeley":{"formattedCitation":"(AlNouss et al., 2021; Quinn, 2023)","plainTextFormattedCitation":"(AlNouss et al., 2021; Quinn, 2023)","previouslyFormattedCitation":"(AlNouss et al., 2021; Quinn, 2023)"},"properties":{"noteIndex":0},"schema":"https://github.com/citation-style-language/schema/raw/master/csl-citation.json"}</w:instrText>
      </w:r>
      <w:r w:rsidR="001529F8">
        <w:rPr>
          <w:lang w:val="en-US"/>
        </w:rPr>
        <w:fldChar w:fldCharType="separate"/>
      </w:r>
      <w:r w:rsidR="0078043A" w:rsidRPr="0078043A">
        <w:rPr>
          <w:noProof/>
          <w:lang w:val="en-US"/>
        </w:rPr>
        <w:t>(AlNouss et al., 2021; Quinn, 2023)</w:t>
      </w:r>
      <w:r w:rsidR="001529F8">
        <w:rPr>
          <w:lang w:val="en-US"/>
        </w:rPr>
        <w:fldChar w:fldCharType="end"/>
      </w:r>
      <w:r w:rsidR="00954D2A">
        <w:rPr>
          <w:lang w:val="en-US"/>
        </w:rPr>
        <w:t>.</w:t>
      </w:r>
    </w:p>
    <w:p w14:paraId="54B3C790" w14:textId="4D331739" w:rsidR="00633F36" w:rsidRPr="00C03E25" w:rsidRDefault="00B31935" w:rsidP="00C03E25">
      <w:pPr>
        <w:pStyle w:val="Els-1storder-head"/>
        <w:rPr>
          <w:rFonts w:eastAsiaTheme="minorEastAsia"/>
        </w:rPr>
      </w:pPr>
      <w:r>
        <w:rPr>
          <w:rFonts w:eastAsiaTheme="minorEastAsia"/>
        </w:rPr>
        <w:t>Results</w:t>
      </w:r>
    </w:p>
    <w:p w14:paraId="48A19DD8" w14:textId="5480F297" w:rsidR="00BD09E9" w:rsidRDefault="00874863" w:rsidP="009E2EA7">
      <w:pPr>
        <w:pStyle w:val="Els-2ndorder-head"/>
      </w:pPr>
      <w:r>
        <w:t>Pyrolysis model results</w:t>
      </w:r>
    </w:p>
    <w:p w14:paraId="364B0F18" w14:textId="001B1E84" w:rsidR="00060972" w:rsidRDefault="004B0876" w:rsidP="00060972">
      <w:pPr>
        <w:pStyle w:val="Els-body-text"/>
      </w:pPr>
      <w:r>
        <w:t xml:space="preserve">The </w:t>
      </w:r>
      <w:r w:rsidR="00BC4663">
        <w:t xml:space="preserve">results of the Pyrolysis model are demonstrated in </w:t>
      </w:r>
      <w:r w:rsidR="00BC4663">
        <w:fldChar w:fldCharType="begin"/>
      </w:r>
      <w:r w:rsidR="00BC4663">
        <w:instrText xml:space="preserve"> REF _Ref152163445 \h </w:instrText>
      </w:r>
      <w:r w:rsidR="00BC4663">
        <w:fldChar w:fldCharType="separate"/>
      </w:r>
      <w:r w:rsidR="00BC4663">
        <w:t xml:space="preserve">Table </w:t>
      </w:r>
      <w:r w:rsidR="00BC4663">
        <w:rPr>
          <w:noProof/>
        </w:rPr>
        <w:t>1</w:t>
      </w:r>
      <w:r w:rsidR="00BC4663">
        <w:fldChar w:fldCharType="end"/>
      </w:r>
      <w:r w:rsidR="00BC4663">
        <w:t xml:space="preserve">. The </w:t>
      </w:r>
      <w:r w:rsidR="003E5C53">
        <w:t xml:space="preserve">volumes of </w:t>
      </w:r>
      <w:r w:rsidR="00BC4663">
        <w:t>sludge produced in the state of Qatar ha</w:t>
      </w:r>
      <w:r w:rsidR="003E5C53">
        <w:t>ve</w:t>
      </w:r>
      <w:r w:rsidR="00BC4663">
        <w:t xml:space="preserve"> been relatively stable</w:t>
      </w:r>
      <w:r w:rsidR="003E5C53">
        <w:t xml:space="preserve"> over the past few years</w:t>
      </w:r>
      <w:r w:rsidR="00BC4663">
        <w:t xml:space="preserve">. The N content in the produced biochar represents on average 11.17% of the total mass. </w:t>
      </w:r>
      <w:r w:rsidR="00060972">
        <w:t>The cost of each</w:t>
      </w:r>
      <w:r w:rsidR="00060972" w:rsidRPr="00060972">
        <w:rPr>
          <w:color w:val="000000"/>
          <w:sz w:val="18"/>
          <w:szCs w:val="18"/>
        </w:rPr>
        <w:t xml:space="preserve"> </w:t>
      </w:r>
      <w:proofErr w:type="spellStart"/>
      <w:r w:rsidR="00060972" w:rsidRPr="00060972">
        <w:rPr>
          <w:color w:val="000000"/>
        </w:rPr>
        <w:t>kg</w:t>
      </w:r>
      <w:r w:rsidR="00060972" w:rsidRPr="00060972">
        <w:rPr>
          <w:color w:val="000000"/>
          <w:vertAlign w:val="subscript"/>
        </w:rPr>
        <w:t>N</w:t>
      </w:r>
      <w:proofErr w:type="spellEnd"/>
      <w:r w:rsidR="00060972">
        <w:t xml:space="preserve"> ranges between 4.47 and 4.61 USD. </w:t>
      </w:r>
      <w:r w:rsidR="00BC4663">
        <w:t xml:space="preserve">In the case where raw sludge is free, the cost would </w:t>
      </w:r>
      <w:r w:rsidR="00060972">
        <w:t>reduce to</w:t>
      </w:r>
      <w:r w:rsidR="00BC4663">
        <w:t xml:space="preserve"> 1.39</w:t>
      </w:r>
      <w:r w:rsidR="00060972">
        <w:t>, up to</w:t>
      </w:r>
      <w:r w:rsidR="00BC4663">
        <w:t xml:space="preserve"> 1.53 USD</w:t>
      </w:r>
      <w:r w:rsidR="00060972">
        <w:rPr>
          <w:color w:val="000000"/>
          <w:sz w:val="18"/>
          <w:szCs w:val="18"/>
        </w:rPr>
        <w:t>.</w:t>
      </w:r>
      <w:r w:rsidR="00BC4663" w:rsidRPr="00060972">
        <w:rPr>
          <w:color w:val="000000"/>
        </w:rPr>
        <w:t>kg</w:t>
      </w:r>
      <w:r w:rsidR="00BC4663" w:rsidRPr="00060972">
        <w:rPr>
          <w:color w:val="000000"/>
          <w:vertAlign w:val="subscript"/>
        </w:rPr>
        <w:t>N</w:t>
      </w:r>
      <w:r w:rsidR="00BC4663">
        <w:rPr>
          <w:color w:val="000000"/>
          <w:sz w:val="18"/>
          <w:szCs w:val="18"/>
          <w:vertAlign w:val="superscript"/>
        </w:rPr>
        <w:t>-1</w:t>
      </w:r>
      <w:r w:rsidR="00BC4663">
        <w:rPr>
          <w:color w:val="000000"/>
          <w:sz w:val="18"/>
          <w:szCs w:val="18"/>
        </w:rPr>
        <w:t>.</w:t>
      </w:r>
    </w:p>
    <w:p w14:paraId="27EA4E24" w14:textId="01FB84B2" w:rsidR="004B0876" w:rsidRDefault="004B0876" w:rsidP="004B0876">
      <w:pPr>
        <w:pStyle w:val="Caption"/>
        <w:keepNext/>
      </w:pPr>
      <w:bookmarkStart w:id="1" w:name="_Ref152163445"/>
      <w:r>
        <w:t xml:space="preserve">Table </w:t>
      </w:r>
      <w:r>
        <w:fldChar w:fldCharType="begin"/>
      </w:r>
      <w:r>
        <w:instrText xml:space="preserve"> SEQ Table \* ARABIC </w:instrText>
      </w:r>
      <w:r>
        <w:fldChar w:fldCharType="separate"/>
      </w:r>
      <w:r>
        <w:rPr>
          <w:noProof/>
        </w:rPr>
        <w:t>1</w:t>
      </w:r>
      <w:r>
        <w:fldChar w:fldCharType="end"/>
      </w:r>
      <w:bookmarkEnd w:id="1"/>
      <w:r>
        <w:t>:</w:t>
      </w:r>
      <w:r w:rsidR="00BC4663">
        <w:t xml:space="preserve"> Biochar N content and cost for different sludge inlets for years 2017-2021.</w:t>
      </w:r>
    </w:p>
    <w:tbl>
      <w:tblPr>
        <w:tblStyle w:val="ListTable6Colorful"/>
        <w:tblW w:w="0" w:type="auto"/>
        <w:tblLook w:val="04A0" w:firstRow="1" w:lastRow="0" w:firstColumn="1" w:lastColumn="0" w:noHBand="0" w:noVBand="1"/>
      </w:tblPr>
      <w:tblGrid>
        <w:gridCol w:w="851"/>
        <w:gridCol w:w="2687"/>
        <w:gridCol w:w="1769"/>
        <w:gridCol w:w="1769"/>
      </w:tblGrid>
      <w:tr w:rsidR="004B0876" w:rsidRPr="004B0876" w14:paraId="78E4D7CD" w14:textId="77777777" w:rsidTr="004B08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shd w:val="clear" w:color="auto" w:fill="auto"/>
          </w:tcPr>
          <w:p w14:paraId="50F4971F" w14:textId="6388FE38" w:rsidR="004B0876" w:rsidRPr="004B0876" w:rsidRDefault="004B0876" w:rsidP="004B0876">
            <w:pPr>
              <w:pStyle w:val="Els-body-text"/>
              <w:rPr>
                <w:rFonts w:ascii="Times New Roman" w:hAnsi="Times New Roman" w:cs="Times New Roman"/>
                <w:sz w:val="18"/>
                <w:szCs w:val="18"/>
              </w:rPr>
            </w:pPr>
            <w:r w:rsidRPr="004B0876">
              <w:rPr>
                <w:rFonts w:ascii="Times New Roman" w:hAnsi="Times New Roman" w:cs="Times New Roman"/>
                <w:color w:val="000000"/>
                <w:sz w:val="18"/>
                <w:szCs w:val="18"/>
              </w:rPr>
              <w:t>Year</w:t>
            </w:r>
          </w:p>
        </w:tc>
        <w:tc>
          <w:tcPr>
            <w:tcW w:w="2687" w:type="dxa"/>
            <w:shd w:val="clear" w:color="auto" w:fill="auto"/>
          </w:tcPr>
          <w:p w14:paraId="525651DC" w14:textId="44DC3128" w:rsidR="004B0876" w:rsidRPr="004B0876" w:rsidRDefault="004B0876" w:rsidP="004B0876">
            <w:pPr>
              <w:pStyle w:val="Els-body-t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4B0876">
              <w:rPr>
                <w:rFonts w:ascii="Times New Roman" w:hAnsi="Times New Roman" w:cs="Times New Roman"/>
                <w:color w:val="000000"/>
                <w:sz w:val="18"/>
                <w:szCs w:val="18"/>
              </w:rPr>
              <w:t>Sludge inlet (kg.h</w:t>
            </w:r>
            <w:r>
              <w:rPr>
                <w:rFonts w:ascii="Times New Roman" w:hAnsi="Times New Roman" w:cs="Times New Roman"/>
                <w:color w:val="000000"/>
                <w:sz w:val="18"/>
                <w:szCs w:val="18"/>
                <w:vertAlign w:val="superscript"/>
              </w:rPr>
              <w:t>-1</w:t>
            </w:r>
            <w:r w:rsidRPr="004B0876">
              <w:rPr>
                <w:rFonts w:ascii="Times New Roman" w:hAnsi="Times New Roman" w:cs="Times New Roman"/>
                <w:color w:val="000000"/>
                <w:sz w:val="18"/>
                <w:szCs w:val="18"/>
              </w:rPr>
              <w:t>)</w:t>
            </w:r>
          </w:p>
        </w:tc>
        <w:tc>
          <w:tcPr>
            <w:tcW w:w="1769" w:type="dxa"/>
            <w:shd w:val="clear" w:color="auto" w:fill="auto"/>
          </w:tcPr>
          <w:p w14:paraId="548F3758" w14:textId="40BA45FB" w:rsidR="004B0876" w:rsidRPr="004B0876" w:rsidRDefault="004B0876" w:rsidP="004B0876">
            <w:pPr>
              <w:pStyle w:val="Els-body-t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4B0876">
              <w:rPr>
                <w:rFonts w:ascii="Times New Roman" w:hAnsi="Times New Roman" w:cs="Times New Roman"/>
                <w:color w:val="000000"/>
                <w:sz w:val="18"/>
                <w:szCs w:val="18"/>
              </w:rPr>
              <w:t>N (kg.h</w:t>
            </w:r>
            <w:r>
              <w:rPr>
                <w:rFonts w:ascii="Times New Roman" w:hAnsi="Times New Roman" w:cs="Times New Roman"/>
                <w:color w:val="000000"/>
                <w:sz w:val="18"/>
                <w:szCs w:val="18"/>
                <w:vertAlign w:val="superscript"/>
              </w:rPr>
              <w:t>-1</w:t>
            </w:r>
            <w:r w:rsidRPr="004B0876">
              <w:rPr>
                <w:rFonts w:ascii="Times New Roman" w:hAnsi="Times New Roman" w:cs="Times New Roman"/>
                <w:color w:val="000000"/>
                <w:sz w:val="18"/>
                <w:szCs w:val="18"/>
              </w:rPr>
              <w:t>)</w:t>
            </w:r>
          </w:p>
        </w:tc>
        <w:tc>
          <w:tcPr>
            <w:tcW w:w="1769" w:type="dxa"/>
            <w:shd w:val="clear" w:color="auto" w:fill="auto"/>
          </w:tcPr>
          <w:p w14:paraId="154AFD51" w14:textId="6C8671C8" w:rsidR="004B0876" w:rsidRPr="004B0876" w:rsidRDefault="004B0876" w:rsidP="004B0876">
            <w:pPr>
              <w:pStyle w:val="Els-body-t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4B0876">
              <w:rPr>
                <w:rFonts w:ascii="Times New Roman" w:hAnsi="Times New Roman" w:cs="Times New Roman"/>
                <w:color w:val="000000"/>
                <w:sz w:val="18"/>
                <w:szCs w:val="18"/>
              </w:rPr>
              <w:t>Cost (</w:t>
            </w:r>
            <w:r>
              <w:rPr>
                <w:rFonts w:ascii="Times New Roman" w:hAnsi="Times New Roman" w:cs="Times New Roman"/>
                <w:color w:val="000000"/>
                <w:sz w:val="18"/>
                <w:szCs w:val="18"/>
              </w:rPr>
              <w:t>USD</w:t>
            </w:r>
            <w:r w:rsidRPr="004B0876">
              <w:rPr>
                <w:rFonts w:ascii="Times New Roman" w:hAnsi="Times New Roman" w:cs="Times New Roman"/>
                <w:color w:val="000000"/>
                <w:sz w:val="18"/>
                <w:szCs w:val="18"/>
              </w:rPr>
              <w:t>.kg</w:t>
            </w:r>
            <w:r>
              <w:rPr>
                <w:rFonts w:ascii="Times New Roman" w:hAnsi="Times New Roman" w:cs="Times New Roman"/>
                <w:color w:val="000000"/>
                <w:sz w:val="18"/>
                <w:szCs w:val="18"/>
                <w:vertAlign w:val="subscript"/>
              </w:rPr>
              <w:t>N</w:t>
            </w:r>
            <w:r>
              <w:rPr>
                <w:rFonts w:ascii="Times New Roman" w:hAnsi="Times New Roman" w:cs="Times New Roman"/>
                <w:color w:val="000000"/>
                <w:sz w:val="18"/>
                <w:szCs w:val="18"/>
                <w:vertAlign w:val="superscript"/>
              </w:rPr>
              <w:t>-1</w:t>
            </w:r>
            <w:r w:rsidRPr="004B0876">
              <w:rPr>
                <w:rFonts w:ascii="Times New Roman" w:hAnsi="Times New Roman" w:cs="Times New Roman"/>
                <w:color w:val="000000"/>
                <w:sz w:val="18"/>
                <w:szCs w:val="18"/>
              </w:rPr>
              <w:t>)</w:t>
            </w:r>
          </w:p>
        </w:tc>
      </w:tr>
      <w:tr w:rsidR="004B0876" w:rsidRPr="004B0876" w14:paraId="05115B1D" w14:textId="77777777" w:rsidTr="004B08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shd w:val="clear" w:color="auto" w:fill="auto"/>
          </w:tcPr>
          <w:p w14:paraId="7E37C955" w14:textId="5BDB6078" w:rsidR="004B0876" w:rsidRPr="004B0876" w:rsidRDefault="004B0876" w:rsidP="004B0876">
            <w:pPr>
              <w:pStyle w:val="Els-body-text"/>
              <w:rPr>
                <w:rFonts w:ascii="Times New Roman" w:hAnsi="Times New Roman" w:cs="Times New Roman"/>
                <w:sz w:val="18"/>
                <w:szCs w:val="18"/>
              </w:rPr>
            </w:pPr>
            <w:r w:rsidRPr="004B0876">
              <w:rPr>
                <w:rFonts w:ascii="Times New Roman" w:hAnsi="Times New Roman" w:cs="Times New Roman"/>
                <w:color w:val="000000"/>
                <w:sz w:val="18"/>
                <w:szCs w:val="18"/>
              </w:rPr>
              <w:t>2017</w:t>
            </w:r>
          </w:p>
        </w:tc>
        <w:tc>
          <w:tcPr>
            <w:tcW w:w="2687" w:type="dxa"/>
            <w:shd w:val="clear" w:color="auto" w:fill="auto"/>
          </w:tcPr>
          <w:p w14:paraId="3D33B771" w14:textId="0A31A06C" w:rsidR="004B0876" w:rsidRPr="004B0876" w:rsidRDefault="004B0876" w:rsidP="004B0876">
            <w:pPr>
              <w:pStyle w:val="Els-body-tex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4B0876">
              <w:rPr>
                <w:rFonts w:ascii="Times New Roman" w:hAnsi="Times New Roman" w:cs="Times New Roman"/>
                <w:color w:val="000000"/>
                <w:sz w:val="18"/>
                <w:szCs w:val="18"/>
              </w:rPr>
              <w:t>41</w:t>
            </w:r>
            <w:r w:rsidR="00D34008">
              <w:rPr>
                <w:rFonts w:ascii="Times New Roman" w:hAnsi="Times New Roman" w:cs="Times New Roman"/>
                <w:color w:val="000000"/>
                <w:sz w:val="18"/>
                <w:szCs w:val="18"/>
              </w:rPr>
              <w:t>,</w:t>
            </w:r>
            <w:r w:rsidRPr="004B0876">
              <w:rPr>
                <w:rFonts w:ascii="Times New Roman" w:hAnsi="Times New Roman" w:cs="Times New Roman"/>
                <w:color w:val="000000"/>
                <w:sz w:val="18"/>
                <w:szCs w:val="18"/>
              </w:rPr>
              <w:t>554.00</w:t>
            </w:r>
          </w:p>
        </w:tc>
        <w:tc>
          <w:tcPr>
            <w:tcW w:w="1769" w:type="dxa"/>
            <w:shd w:val="clear" w:color="auto" w:fill="auto"/>
          </w:tcPr>
          <w:p w14:paraId="041143BE" w14:textId="426B62B0" w:rsidR="004B0876" w:rsidRPr="004B0876" w:rsidRDefault="004B0876" w:rsidP="004B0876">
            <w:pPr>
              <w:pStyle w:val="Els-body-tex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4B0876">
              <w:rPr>
                <w:rFonts w:ascii="Times New Roman" w:hAnsi="Times New Roman" w:cs="Times New Roman"/>
                <w:color w:val="000000"/>
                <w:sz w:val="18"/>
                <w:szCs w:val="18"/>
              </w:rPr>
              <w:t>153.87</w:t>
            </w:r>
          </w:p>
        </w:tc>
        <w:tc>
          <w:tcPr>
            <w:tcW w:w="1769" w:type="dxa"/>
            <w:shd w:val="clear" w:color="auto" w:fill="auto"/>
          </w:tcPr>
          <w:p w14:paraId="256093C3" w14:textId="5724418D" w:rsidR="004B0876" w:rsidRPr="004B0876" w:rsidRDefault="004B0876" w:rsidP="004B0876">
            <w:pPr>
              <w:pStyle w:val="Els-body-tex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4B0876">
              <w:rPr>
                <w:rFonts w:ascii="Times New Roman" w:hAnsi="Times New Roman" w:cs="Times New Roman"/>
                <w:color w:val="000000"/>
                <w:sz w:val="18"/>
                <w:szCs w:val="18"/>
              </w:rPr>
              <w:t>4.47</w:t>
            </w:r>
          </w:p>
        </w:tc>
      </w:tr>
      <w:tr w:rsidR="004B0876" w:rsidRPr="004B0876" w14:paraId="632EC143" w14:textId="77777777" w:rsidTr="004B0876">
        <w:tc>
          <w:tcPr>
            <w:cnfStyle w:val="001000000000" w:firstRow="0" w:lastRow="0" w:firstColumn="1" w:lastColumn="0" w:oddVBand="0" w:evenVBand="0" w:oddHBand="0" w:evenHBand="0" w:firstRowFirstColumn="0" w:firstRowLastColumn="0" w:lastRowFirstColumn="0" w:lastRowLastColumn="0"/>
            <w:tcW w:w="851" w:type="dxa"/>
            <w:shd w:val="clear" w:color="auto" w:fill="auto"/>
          </w:tcPr>
          <w:p w14:paraId="05E10EA7" w14:textId="57B25DA5" w:rsidR="004B0876" w:rsidRPr="004B0876" w:rsidRDefault="004B0876" w:rsidP="004B0876">
            <w:pPr>
              <w:pStyle w:val="Els-body-text"/>
              <w:rPr>
                <w:rFonts w:ascii="Times New Roman" w:hAnsi="Times New Roman" w:cs="Times New Roman"/>
                <w:sz w:val="18"/>
                <w:szCs w:val="18"/>
              </w:rPr>
            </w:pPr>
            <w:r w:rsidRPr="004B0876">
              <w:rPr>
                <w:rFonts w:ascii="Times New Roman" w:hAnsi="Times New Roman" w:cs="Times New Roman"/>
                <w:color w:val="000000"/>
                <w:sz w:val="18"/>
                <w:szCs w:val="18"/>
              </w:rPr>
              <w:t>2018</w:t>
            </w:r>
          </w:p>
        </w:tc>
        <w:tc>
          <w:tcPr>
            <w:tcW w:w="2687" w:type="dxa"/>
            <w:shd w:val="clear" w:color="auto" w:fill="auto"/>
          </w:tcPr>
          <w:p w14:paraId="25FBC91A" w14:textId="2CE4045C" w:rsidR="004B0876" w:rsidRPr="004B0876" w:rsidRDefault="004B0876" w:rsidP="004B0876">
            <w:pPr>
              <w:pStyle w:val="Els-body-tex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4B0876">
              <w:rPr>
                <w:rFonts w:ascii="Times New Roman" w:hAnsi="Times New Roman" w:cs="Times New Roman"/>
                <w:color w:val="000000"/>
                <w:sz w:val="18"/>
                <w:szCs w:val="18"/>
              </w:rPr>
              <w:t>37</w:t>
            </w:r>
            <w:r w:rsidR="00D34008">
              <w:rPr>
                <w:rFonts w:ascii="Times New Roman" w:hAnsi="Times New Roman" w:cs="Times New Roman"/>
                <w:color w:val="000000"/>
                <w:sz w:val="18"/>
                <w:szCs w:val="18"/>
              </w:rPr>
              <w:t>,</w:t>
            </w:r>
            <w:r w:rsidRPr="004B0876">
              <w:rPr>
                <w:rFonts w:ascii="Times New Roman" w:hAnsi="Times New Roman" w:cs="Times New Roman"/>
                <w:color w:val="000000"/>
                <w:sz w:val="18"/>
                <w:szCs w:val="18"/>
              </w:rPr>
              <w:t>688.00</w:t>
            </w:r>
          </w:p>
        </w:tc>
        <w:tc>
          <w:tcPr>
            <w:tcW w:w="1769" w:type="dxa"/>
            <w:shd w:val="clear" w:color="auto" w:fill="auto"/>
          </w:tcPr>
          <w:p w14:paraId="475EB945" w14:textId="77E71B5E" w:rsidR="004B0876" w:rsidRPr="004B0876" w:rsidRDefault="004B0876" w:rsidP="004B0876">
            <w:pPr>
              <w:pStyle w:val="Els-body-tex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4B0876">
              <w:rPr>
                <w:rFonts w:ascii="Times New Roman" w:hAnsi="Times New Roman" w:cs="Times New Roman"/>
                <w:color w:val="000000"/>
                <w:sz w:val="18"/>
                <w:szCs w:val="18"/>
              </w:rPr>
              <w:t>139.55</w:t>
            </w:r>
          </w:p>
        </w:tc>
        <w:tc>
          <w:tcPr>
            <w:tcW w:w="1769" w:type="dxa"/>
            <w:shd w:val="clear" w:color="auto" w:fill="auto"/>
          </w:tcPr>
          <w:p w14:paraId="17F66934" w14:textId="24F39F2F" w:rsidR="004B0876" w:rsidRPr="004B0876" w:rsidRDefault="004B0876" w:rsidP="004B0876">
            <w:pPr>
              <w:pStyle w:val="Els-body-tex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4B0876">
              <w:rPr>
                <w:rFonts w:ascii="Times New Roman" w:hAnsi="Times New Roman" w:cs="Times New Roman"/>
                <w:color w:val="000000"/>
                <w:sz w:val="18"/>
                <w:szCs w:val="18"/>
              </w:rPr>
              <w:t>4.61</w:t>
            </w:r>
          </w:p>
        </w:tc>
      </w:tr>
      <w:tr w:rsidR="004B0876" w:rsidRPr="004B0876" w14:paraId="2EC882B3" w14:textId="77777777" w:rsidTr="004B08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shd w:val="clear" w:color="auto" w:fill="auto"/>
          </w:tcPr>
          <w:p w14:paraId="13B90B39" w14:textId="62A0F38B" w:rsidR="004B0876" w:rsidRPr="004B0876" w:rsidRDefault="004B0876" w:rsidP="004B0876">
            <w:pPr>
              <w:pStyle w:val="Els-body-text"/>
              <w:rPr>
                <w:rFonts w:ascii="Times New Roman" w:hAnsi="Times New Roman" w:cs="Times New Roman"/>
                <w:sz w:val="18"/>
                <w:szCs w:val="18"/>
              </w:rPr>
            </w:pPr>
            <w:r w:rsidRPr="004B0876">
              <w:rPr>
                <w:rFonts w:ascii="Times New Roman" w:hAnsi="Times New Roman" w:cs="Times New Roman"/>
                <w:color w:val="000000"/>
                <w:sz w:val="18"/>
                <w:szCs w:val="18"/>
              </w:rPr>
              <w:t>2019</w:t>
            </w:r>
          </w:p>
        </w:tc>
        <w:tc>
          <w:tcPr>
            <w:tcW w:w="2687" w:type="dxa"/>
            <w:shd w:val="clear" w:color="auto" w:fill="auto"/>
          </w:tcPr>
          <w:p w14:paraId="3CF0420E" w14:textId="42880EF2" w:rsidR="004B0876" w:rsidRPr="004B0876" w:rsidRDefault="004B0876" w:rsidP="004B0876">
            <w:pPr>
              <w:pStyle w:val="Els-body-tex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4B0876">
              <w:rPr>
                <w:rFonts w:ascii="Times New Roman" w:hAnsi="Times New Roman" w:cs="Times New Roman"/>
                <w:color w:val="000000"/>
                <w:sz w:val="18"/>
                <w:szCs w:val="18"/>
              </w:rPr>
              <w:t>39</w:t>
            </w:r>
            <w:r w:rsidR="00D34008">
              <w:rPr>
                <w:rFonts w:ascii="Times New Roman" w:hAnsi="Times New Roman" w:cs="Times New Roman"/>
                <w:color w:val="000000"/>
                <w:sz w:val="18"/>
                <w:szCs w:val="18"/>
              </w:rPr>
              <w:t>,</w:t>
            </w:r>
            <w:r w:rsidRPr="004B0876">
              <w:rPr>
                <w:rFonts w:ascii="Times New Roman" w:hAnsi="Times New Roman" w:cs="Times New Roman"/>
                <w:color w:val="000000"/>
                <w:sz w:val="18"/>
                <w:szCs w:val="18"/>
              </w:rPr>
              <w:t>096.00</w:t>
            </w:r>
          </w:p>
        </w:tc>
        <w:tc>
          <w:tcPr>
            <w:tcW w:w="1769" w:type="dxa"/>
            <w:shd w:val="clear" w:color="auto" w:fill="auto"/>
          </w:tcPr>
          <w:p w14:paraId="6822DD56" w14:textId="089922C7" w:rsidR="004B0876" w:rsidRPr="004B0876" w:rsidRDefault="004B0876" w:rsidP="004B0876">
            <w:pPr>
              <w:pStyle w:val="Els-body-tex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4B0876">
              <w:rPr>
                <w:rFonts w:ascii="Times New Roman" w:hAnsi="Times New Roman" w:cs="Times New Roman"/>
                <w:color w:val="000000"/>
                <w:sz w:val="18"/>
                <w:szCs w:val="18"/>
              </w:rPr>
              <w:t>144.77</w:t>
            </w:r>
          </w:p>
        </w:tc>
        <w:tc>
          <w:tcPr>
            <w:tcW w:w="1769" w:type="dxa"/>
            <w:shd w:val="clear" w:color="auto" w:fill="auto"/>
          </w:tcPr>
          <w:p w14:paraId="1C922CAC" w14:textId="2C3D772D" w:rsidR="004B0876" w:rsidRPr="004B0876" w:rsidRDefault="004B0876" w:rsidP="004B0876">
            <w:pPr>
              <w:pStyle w:val="Els-body-tex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4B0876">
              <w:rPr>
                <w:rFonts w:ascii="Times New Roman" w:hAnsi="Times New Roman" w:cs="Times New Roman"/>
                <w:color w:val="000000"/>
                <w:sz w:val="18"/>
                <w:szCs w:val="18"/>
              </w:rPr>
              <w:t>4.5</w:t>
            </w:r>
            <w:r w:rsidR="00D34008">
              <w:rPr>
                <w:rFonts w:ascii="Times New Roman" w:hAnsi="Times New Roman" w:cs="Times New Roman"/>
                <w:color w:val="000000"/>
                <w:sz w:val="18"/>
                <w:szCs w:val="18"/>
              </w:rPr>
              <w:t>6</w:t>
            </w:r>
          </w:p>
        </w:tc>
      </w:tr>
      <w:tr w:rsidR="004B0876" w:rsidRPr="004B0876" w14:paraId="1AAE3FD8" w14:textId="77777777" w:rsidTr="004B0876">
        <w:tc>
          <w:tcPr>
            <w:cnfStyle w:val="001000000000" w:firstRow="0" w:lastRow="0" w:firstColumn="1" w:lastColumn="0" w:oddVBand="0" w:evenVBand="0" w:oddHBand="0" w:evenHBand="0" w:firstRowFirstColumn="0" w:firstRowLastColumn="0" w:lastRowFirstColumn="0" w:lastRowLastColumn="0"/>
            <w:tcW w:w="851" w:type="dxa"/>
            <w:shd w:val="clear" w:color="auto" w:fill="auto"/>
          </w:tcPr>
          <w:p w14:paraId="5D4ADA0D" w14:textId="76349449" w:rsidR="004B0876" w:rsidRPr="004B0876" w:rsidRDefault="004B0876" w:rsidP="004B0876">
            <w:pPr>
              <w:pStyle w:val="Els-body-text"/>
              <w:rPr>
                <w:rFonts w:ascii="Times New Roman" w:hAnsi="Times New Roman" w:cs="Times New Roman"/>
                <w:sz w:val="18"/>
                <w:szCs w:val="18"/>
              </w:rPr>
            </w:pPr>
            <w:r w:rsidRPr="004B0876">
              <w:rPr>
                <w:rFonts w:ascii="Times New Roman" w:hAnsi="Times New Roman" w:cs="Times New Roman"/>
                <w:color w:val="000000"/>
                <w:sz w:val="18"/>
                <w:szCs w:val="18"/>
              </w:rPr>
              <w:t>2020</w:t>
            </w:r>
          </w:p>
        </w:tc>
        <w:tc>
          <w:tcPr>
            <w:tcW w:w="2687" w:type="dxa"/>
            <w:shd w:val="clear" w:color="auto" w:fill="auto"/>
          </w:tcPr>
          <w:p w14:paraId="1B9C1A70" w14:textId="78B2255D" w:rsidR="004B0876" w:rsidRPr="004B0876" w:rsidRDefault="004B0876" w:rsidP="004B0876">
            <w:pPr>
              <w:pStyle w:val="Els-body-tex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4B0876">
              <w:rPr>
                <w:rFonts w:ascii="Times New Roman" w:hAnsi="Times New Roman" w:cs="Times New Roman"/>
                <w:color w:val="000000"/>
                <w:sz w:val="18"/>
                <w:szCs w:val="18"/>
              </w:rPr>
              <w:t>40</w:t>
            </w:r>
            <w:r w:rsidR="00D34008">
              <w:rPr>
                <w:rFonts w:ascii="Times New Roman" w:hAnsi="Times New Roman" w:cs="Times New Roman"/>
                <w:color w:val="000000"/>
                <w:sz w:val="18"/>
                <w:szCs w:val="18"/>
              </w:rPr>
              <w:t>,</w:t>
            </w:r>
            <w:r w:rsidRPr="004B0876">
              <w:rPr>
                <w:rFonts w:ascii="Times New Roman" w:hAnsi="Times New Roman" w:cs="Times New Roman"/>
                <w:color w:val="000000"/>
                <w:sz w:val="18"/>
                <w:szCs w:val="18"/>
              </w:rPr>
              <w:t>960.00</w:t>
            </w:r>
          </w:p>
        </w:tc>
        <w:tc>
          <w:tcPr>
            <w:tcW w:w="1769" w:type="dxa"/>
            <w:shd w:val="clear" w:color="auto" w:fill="auto"/>
          </w:tcPr>
          <w:p w14:paraId="4EAEFBE0" w14:textId="0D4BEBDA" w:rsidR="004B0876" w:rsidRPr="004B0876" w:rsidRDefault="004B0876" w:rsidP="004B0876">
            <w:pPr>
              <w:pStyle w:val="Els-body-tex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4B0876">
              <w:rPr>
                <w:rFonts w:ascii="Times New Roman" w:hAnsi="Times New Roman" w:cs="Times New Roman"/>
                <w:color w:val="000000"/>
                <w:sz w:val="18"/>
                <w:szCs w:val="18"/>
              </w:rPr>
              <w:t>151.67</w:t>
            </w:r>
          </w:p>
        </w:tc>
        <w:tc>
          <w:tcPr>
            <w:tcW w:w="1769" w:type="dxa"/>
            <w:shd w:val="clear" w:color="auto" w:fill="auto"/>
          </w:tcPr>
          <w:p w14:paraId="2A019B44" w14:textId="4D11CFD0" w:rsidR="004B0876" w:rsidRPr="004B0876" w:rsidRDefault="004B0876" w:rsidP="004B0876">
            <w:pPr>
              <w:pStyle w:val="Els-body-tex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4B0876">
              <w:rPr>
                <w:rFonts w:ascii="Times New Roman" w:hAnsi="Times New Roman" w:cs="Times New Roman"/>
                <w:color w:val="000000"/>
                <w:sz w:val="18"/>
                <w:szCs w:val="18"/>
              </w:rPr>
              <w:t>4.49</w:t>
            </w:r>
          </w:p>
        </w:tc>
      </w:tr>
      <w:tr w:rsidR="004B0876" w:rsidRPr="004B0876" w14:paraId="40FD49C8" w14:textId="77777777" w:rsidTr="004B08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shd w:val="clear" w:color="auto" w:fill="auto"/>
          </w:tcPr>
          <w:p w14:paraId="29D40787" w14:textId="0C1739F9" w:rsidR="004B0876" w:rsidRPr="004B0876" w:rsidRDefault="004B0876" w:rsidP="004B0876">
            <w:pPr>
              <w:pStyle w:val="Els-body-text"/>
              <w:rPr>
                <w:rFonts w:ascii="Times New Roman" w:hAnsi="Times New Roman" w:cs="Times New Roman"/>
                <w:sz w:val="18"/>
                <w:szCs w:val="18"/>
              </w:rPr>
            </w:pPr>
            <w:r w:rsidRPr="004B0876">
              <w:rPr>
                <w:rFonts w:ascii="Times New Roman" w:hAnsi="Times New Roman" w:cs="Times New Roman"/>
                <w:color w:val="000000"/>
                <w:sz w:val="18"/>
                <w:szCs w:val="18"/>
              </w:rPr>
              <w:t>2021</w:t>
            </w:r>
          </w:p>
        </w:tc>
        <w:tc>
          <w:tcPr>
            <w:tcW w:w="2687" w:type="dxa"/>
            <w:shd w:val="clear" w:color="auto" w:fill="auto"/>
          </w:tcPr>
          <w:p w14:paraId="46319983" w14:textId="65505D9D" w:rsidR="004B0876" w:rsidRPr="004B0876" w:rsidRDefault="004B0876" w:rsidP="004B0876">
            <w:pPr>
              <w:pStyle w:val="Els-body-tex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4B0876">
              <w:rPr>
                <w:rFonts w:ascii="Times New Roman" w:hAnsi="Times New Roman" w:cs="Times New Roman"/>
                <w:color w:val="000000"/>
                <w:sz w:val="18"/>
                <w:szCs w:val="18"/>
              </w:rPr>
              <w:t>41</w:t>
            </w:r>
            <w:r w:rsidR="00D34008">
              <w:rPr>
                <w:rFonts w:ascii="Times New Roman" w:hAnsi="Times New Roman" w:cs="Times New Roman"/>
                <w:color w:val="000000"/>
                <w:sz w:val="18"/>
                <w:szCs w:val="18"/>
              </w:rPr>
              <w:t>,</w:t>
            </w:r>
            <w:r w:rsidRPr="004B0876">
              <w:rPr>
                <w:rFonts w:ascii="Times New Roman" w:hAnsi="Times New Roman" w:cs="Times New Roman"/>
                <w:color w:val="000000"/>
                <w:sz w:val="18"/>
                <w:szCs w:val="18"/>
              </w:rPr>
              <w:t>349.00</w:t>
            </w:r>
          </w:p>
        </w:tc>
        <w:tc>
          <w:tcPr>
            <w:tcW w:w="1769" w:type="dxa"/>
            <w:shd w:val="clear" w:color="auto" w:fill="auto"/>
          </w:tcPr>
          <w:p w14:paraId="77DB1DC3" w14:textId="15A53D67" w:rsidR="004B0876" w:rsidRPr="004B0876" w:rsidRDefault="004B0876" w:rsidP="004B0876">
            <w:pPr>
              <w:pStyle w:val="Els-body-tex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4B0876">
              <w:rPr>
                <w:rFonts w:ascii="Times New Roman" w:hAnsi="Times New Roman" w:cs="Times New Roman"/>
                <w:color w:val="000000"/>
                <w:sz w:val="18"/>
                <w:szCs w:val="18"/>
              </w:rPr>
              <w:t>153.11</w:t>
            </w:r>
          </w:p>
        </w:tc>
        <w:tc>
          <w:tcPr>
            <w:tcW w:w="1769" w:type="dxa"/>
            <w:shd w:val="clear" w:color="auto" w:fill="auto"/>
          </w:tcPr>
          <w:p w14:paraId="2C11C69D" w14:textId="00A9C26B" w:rsidR="004B0876" w:rsidRPr="004B0876" w:rsidRDefault="004B0876" w:rsidP="004B0876">
            <w:pPr>
              <w:pStyle w:val="Els-body-tex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4B0876">
              <w:rPr>
                <w:rFonts w:ascii="Times New Roman" w:hAnsi="Times New Roman" w:cs="Times New Roman"/>
                <w:color w:val="000000"/>
                <w:sz w:val="18"/>
                <w:szCs w:val="18"/>
              </w:rPr>
              <w:t>4.4</w:t>
            </w:r>
            <w:r w:rsidR="00D34008">
              <w:rPr>
                <w:rFonts w:ascii="Times New Roman" w:hAnsi="Times New Roman" w:cs="Times New Roman"/>
                <w:color w:val="000000"/>
                <w:sz w:val="18"/>
                <w:szCs w:val="18"/>
              </w:rPr>
              <w:t>8</w:t>
            </w:r>
          </w:p>
        </w:tc>
      </w:tr>
    </w:tbl>
    <w:p w14:paraId="7BE77BA1" w14:textId="4C7C5F6C" w:rsidR="0050546A" w:rsidRDefault="0050546A" w:rsidP="0050546A">
      <w:pPr>
        <w:pStyle w:val="Els-body-text"/>
      </w:pPr>
    </w:p>
    <w:p w14:paraId="486FE5C5" w14:textId="25FF1DB4" w:rsidR="00BD09E9" w:rsidRDefault="00874863" w:rsidP="00454268">
      <w:pPr>
        <w:pStyle w:val="Els-2ndorder-head"/>
      </w:pPr>
      <w:r>
        <w:t>Redundancy Ratio</w:t>
      </w:r>
    </w:p>
    <w:p w14:paraId="34DEAD61" w14:textId="3A5DB9C0" w:rsidR="0050546A" w:rsidRDefault="00405B9E" w:rsidP="00E53413">
      <w:pPr>
        <w:jc w:val="both"/>
      </w:pPr>
      <w:r>
        <w:t xml:space="preserve">The RR analysis </w:t>
      </w:r>
      <w:r w:rsidRPr="00405B9E">
        <w:t>reveals</w:t>
      </w:r>
      <w:r>
        <w:t xml:space="preserve"> that</w:t>
      </w:r>
      <w:r w:rsidRPr="00405B9E">
        <w:t xml:space="preserve"> TSE and sludge </w:t>
      </w:r>
      <w:r>
        <w:t>maintain</w:t>
      </w:r>
      <w:r w:rsidRPr="00405B9E">
        <w:t xml:space="preserve"> stable surpluses, indicating robust systems against supply shocks</w:t>
      </w:r>
      <w:r w:rsidR="001D3641">
        <w:t xml:space="preserve"> (</w:t>
      </w:r>
      <w:r w:rsidR="00454268">
        <w:fldChar w:fldCharType="begin"/>
      </w:r>
      <w:r w:rsidR="00454268">
        <w:instrText xml:space="preserve"> REF _Ref151981267 \h </w:instrText>
      </w:r>
      <w:r w:rsidR="00454268">
        <w:fldChar w:fldCharType="separate"/>
      </w:r>
      <w:r w:rsidR="00454268">
        <w:t xml:space="preserve">Figure </w:t>
      </w:r>
      <w:r w:rsidR="00454268">
        <w:rPr>
          <w:noProof/>
        </w:rPr>
        <w:t>2</w:t>
      </w:r>
      <w:r w:rsidR="00454268">
        <w:fldChar w:fldCharType="end"/>
      </w:r>
      <w:r w:rsidR="001D3641">
        <w:t>)</w:t>
      </w:r>
      <w:r w:rsidRPr="00405B9E">
        <w:t xml:space="preserve">. Although TSE's surplus slightly declined in 2021, its overall contribution to resilience remains strong. Conversely, urea's RR displayed volatility, surging in 2017 due to export disruptions from the regional blockade, which suggests a potential for stockpile inefficiency and vulnerability to trade dynamics. The significant RR increase in 2021 for urea might reflect strategic adjustments in response to the Russia-Ukraine conflict's impact on global demands. </w:t>
      </w:r>
      <w:r w:rsidR="001D3641" w:rsidRPr="001D3641">
        <w:t xml:space="preserve">High </w:t>
      </w:r>
      <w:r w:rsidR="001D3641">
        <w:t>RR</w:t>
      </w:r>
      <w:r w:rsidR="001D3641" w:rsidRPr="001D3641">
        <w:t xml:space="preserve"> for urea signal</w:t>
      </w:r>
      <w:r w:rsidR="001D3641">
        <w:t>s</w:t>
      </w:r>
      <w:r w:rsidR="001D3641" w:rsidRPr="001D3641">
        <w:t xml:space="preserve"> management inefficiencies</w:t>
      </w:r>
      <w:r w:rsidR="001D3641">
        <w:t xml:space="preserve">, </w:t>
      </w:r>
      <w:r w:rsidR="001D3641" w:rsidRPr="001D3641">
        <w:t>reflecting potential overproduction or underuse</w:t>
      </w:r>
      <w:r w:rsidR="001D3641">
        <w:t xml:space="preserve">, </w:t>
      </w:r>
      <w:r w:rsidR="001D3641" w:rsidRPr="001D3641">
        <w:t xml:space="preserve">rather than economic strength. These inefficiencies underscore the need for a supply strategy attuned to market demands. Conversely, the stable RRs for TSE and sludge indicate reliable, sustainable alternatives. Policy efforts must, therefore, balance urea's </w:t>
      </w:r>
      <w:r w:rsidR="001D3641" w:rsidRPr="001D3641">
        <w:lastRenderedPageBreak/>
        <w:t>output with actual needs and foster the integration of TSE and sludge to safeguard against urea's market uncertainties.</w:t>
      </w:r>
    </w:p>
    <w:p w14:paraId="3D37C152" w14:textId="77777777" w:rsidR="00454268" w:rsidRDefault="00454268" w:rsidP="00454268">
      <w:pPr>
        <w:keepNext/>
        <w:jc w:val="center"/>
      </w:pPr>
      <w:r>
        <w:rPr>
          <w:noProof/>
        </w:rPr>
        <w:drawing>
          <wp:inline distT="0" distB="0" distL="0" distR="0" wp14:anchorId="64245B8B" wp14:editId="2C02E812">
            <wp:extent cx="3355528" cy="1778050"/>
            <wp:effectExtent l="0" t="0" r="0" b="0"/>
            <wp:docPr id="142718954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7189546"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3355528" cy="1778050"/>
                    </a:xfrm>
                    <a:prstGeom prst="rect">
                      <a:avLst/>
                    </a:prstGeom>
                    <a:noFill/>
                    <a:ln>
                      <a:noFill/>
                    </a:ln>
                  </pic:spPr>
                </pic:pic>
              </a:graphicData>
            </a:graphic>
          </wp:inline>
        </w:drawing>
      </w:r>
    </w:p>
    <w:p w14:paraId="724431CF" w14:textId="0CCF77ED" w:rsidR="00454268" w:rsidRDefault="00454268" w:rsidP="00454268">
      <w:pPr>
        <w:pStyle w:val="Caption"/>
        <w:jc w:val="center"/>
      </w:pPr>
      <w:bookmarkStart w:id="2" w:name="_Ref151981267"/>
      <w:r>
        <w:t xml:space="preserve">Figure </w:t>
      </w:r>
      <w:r>
        <w:fldChar w:fldCharType="begin"/>
      </w:r>
      <w:r>
        <w:instrText xml:space="preserve"> SEQ Figure \* ARABIC </w:instrText>
      </w:r>
      <w:r>
        <w:fldChar w:fldCharType="separate"/>
      </w:r>
      <w:r>
        <w:rPr>
          <w:noProof/>
        </w:rPr>
        <w:t>2</w:t>
      </w:r>
      <w:r>
        <w:fldChar w:fldCharType="end"/>
      </w:r>
      <w:bookmarkEnd w:id="2"/>
      <w:r>
        <w:t>:</w:t>
      </w:r>
      <w:r w:rsidRPr="00454268">
        <w:t xml:space="preserve"> RR</w:t>
      </w:r>
      <w:r>
        <w:t xml:space="preserve"> values</w:t>
      </w:r>
      <w:r w:rsidRPr="00454268">
        <w:t xml:space="preserve"> for TSE, Sludge, and Urea from 2017 to 2021.</w:t>
      </w:r>
    </w:p>
    <w:p w14:paraId="67AD2DD6" w14:textId="2D1B1C20" w:rsidR="009E2EA7" w:rsidRDefault="00874863" w:rsidP="001D3641">
      <w:pPr>
        <w:pStyle w:val="Els-2ndorder-head"/>
      </w:pPr>
      <w:r>
        <w:t>Price comparison under carbon taxation</w:t>
      </w:r>
    </w:p>
    <w:p w14:paraId="4020C313" w14:textId="43E88B17" w:rsidR="00E53413" w:rsidRDefault="00874863" w:rsidP="00E53413">
      <w:pPr>
        <w:jc w:val="both"/>
      </w:pPr>
      <w:r w:rsidRPr="00874863">
        <w:t xml:space="preserve">The introduction of a carbon tax significantly influences the cost competitiveness between sludge and urea-based fertilizers. </w:t>
      </w:r>
      <w:r w:rsidR="00454268">
        <w:rPr>
          <w:highlight w:val="yellow"/>
        </w:rPr>
        <w:fldChar w:fldCharType="begin"/>
      </w:r>
      <w:r w:rsidR="00454268">
        <w:instrText xml:space="preserve"> REF _Ref151981316 \h </w:instrText>
      </w:r>
      <w:r w:rsidR="00454268">
        <w:rPr>
          <w:highlight w:val="yellow"/>
        </w:rPr>
      </w:r>
      <w:r w:rsidR="00454268">
        <w:rPr>
          <w:highlight w:val="yellow"/>
        </w:rPr>
        <w:fldChar w:fldCharType="separate"/>
      </w:r>
      <w:r w:rsidR="00454268">
        <w:t xml:space="preserve">Figure </w:t>
      </w:r>
      <w:r w:rsidR="00454268">
        <w:rPr>
          <w:noProof/>
        </w:rPr>
        <w:t>3</w:t>
      </w:r>
      <w:r w:rsidR="00454268">
        <w:rPr>
          <w:highlight w:val="yellow"/>
        </w:rPr>
        <w:fldChar w:fldCharType="end"/>
      </w:r>
      <w:r w:rsidRPr="00874863">
        <w:t xml:space="preserve"> demonstrates </w:t>
      </w:r>
      <w:r>
        <w:t>that</w:t>
      </w:r>
      <w:r w:rsidRPr="00874863">
        <w:t xml:space="preserve"> as the carbon tax increases from $0.03 to $0.10 per kg of CO</w:t>
      </w:r>
      <w:r w:rsidR="001529F8">
        <w:rPr>
          <w:vertAlign w:val="subscript"/>
        </w:rPr>
        <w:t>2</w:t>
      </w:r>
      <w:r w:rsidRPr="00874863">
        <w:t>, the cost advantage of sludge over urea becomes more pronounced. Each line represents the cost differential between sludge and urea at various levels of carbon taxation, holding the sludge price constant while urea's price adjusts to include the tax, maintaining revenue neutrality. The smallest tax rate</w:t>
      </w:r>
      <w:r>
        <w:t xml:space="preserve">, </w:t>
      </w:r>
      <w:r w:rsidRPr="00874863">
        <w:t>$0.03/kg CO</w:t>
      </w:r>
      <w:r w:rsidR="001529F8">
        <w:rPr>
          <w:vertAlign w:val="subscript"/>
        </w:rPr>
        <w:t>2</w:t>
      </w:r>
      <w:r>
        <w:t>,</w:t>
      </w:r>
      <w:r w:rsidRPr="00874863">
        <w:t xml:space="preserve"> presents a modest difference in cost, but as the tax rate escalates, the gap widens consistently. At the highest carbon tax rate</w:t>
      </w:r>
      <w:r>
        <w:t xml:space="preserve">, </w:t>
      </w:r>
      <w:r w:rsidRPr="00874863">
        <w:t>$0.10/kg CO</w:t>
      </w:r>
      <w:r w:rsidR="001529F8">
        <w:rPr>
          <w:vertAlign w:val="subscript"/>
        </w:rPr>
        <w:t>2</w:t>
      </w:r>
      <w:r w:rsidRPr="00874863">
        <w:t>, the price of urea surpasses that of sludge significantly, indicating a strong economic incentive to shift towards sludge as a more cost-effective and environmentally sustainable nitrogen source. These results suggest that implementing a carbon tax could be an effective policy tool for promoting sustainable agricultural practices through the adoption of lower-emission fertilizers.</w:t>
      </w:r>
    </w:p>
    <w:p w14:paraId="560DFA23" w14:textId="77777777" w:rsidR="00454268" w:rsidRDefault="00576C82" w:rsidP="00454268">
      <w:pPr>
        <w:keepNext/>
        <w:jc w:val="center"/>
      </w:pPr>
      <w:r>
        <w:rPr>
          <w:noProof/>
        </w:rPr>
        <w:drawing>
          <wp:inline distT="0" distB="0" distL="0" distR="0" wp14:anchorId="55F4274A" wp14:editId="75D29DF6">
            <wp:extent cx="3817172" cy="2023411"/>
            <wp:effectExtent l="0" t="0" r="5715" b="0"/>
            <wp:docPr id="100650898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508985"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3817172" cy="2023411"/>
                    </a:xfrm>
                    <a:prstGeom prst="rect">
                      <a:avLst/>
                    </a:prstGeom>
                    <a:noFill/>
                    <a:ln>
                      <a:noFill/>
                    </a:ln>
                  </pic:spPr>
                </pic:pic>
              </a:graphicData>
            </a:graphic>
          </wp:inline>
        </w:drawing>
      </w:r>
    </w:p>
    <w:p w14:paraId="05257532" w14:textId="090DAD8C" w:rsidR="00E53413" w:rsidRPr="00E53413" w:rsidRDefault="00454268" w:rsidP="00E53413">
      <w:pPr>
        <w:pStyle w:val="Caption"/>
        <w:jc w:val="center"/>
      </w:pPr>
      <w:bookmarkStart w:id="3" w:name="_Ref151981316"/>
      <w:r>
        <w:t xml:space="preserve">Figure </w:t>
      </w:r>
      <w:r>
        <w:fldChar w:fldCharType="begin"/>
      </w:r>
      <w:r>
        <w:instrText xml:space="preserve"> SEQ Figure \* ARABIC </w:instrText>
      </w:r>
      <w:r>
        <w:fldChar w:fldCharType="separate"/>
      </w:r>
      <w:r>
        <w:rPr>
          <w:noProof/>
        </w:rPr>
        <w:t>3</w:t>
      </w:r>
      <w:r>
        <w:fldChar w:fldCharType="end"/>
      </w:r>
      <w:bookmarkEnd w:id="3"/>
      <w:r>
        <w:t xml:space="preserve">: </w:t>
      </w:r>
      <w:r w:rsidRPr="00EC17A6">
        <w:t>Price Difference Between Sludge and Urea with Varying Carbon Tax Rates</w:t>
      </w:r>
      <w:r>
        <w:t>.</w:t>
      </w:r>
    </w:p>
    <w:p w14:paraId="144DE6BA" w14:textId="77777777" w:rsidR="008D2649" w:rsidRPr="00A94774" w:rsidRDefault="008D2649" w:rsidP="000F3D7A">
      <w:pPr>
        <w:pStyle w:val="Els-1storder-head"/>
        <w:spacing w:before="0" w:after="0"/>
        <w:rPr>
          <w:lang w:val="en-GB"/>
        </w:rPr>
      </w:pPr>
      <w:r w:rsidRPr="00A94774">
        <w:rPr>
          <w:lang w:val="en-GB"/>
        </w:rPr>
        <w:t>Conclusions</w:t>
      </w:r>
    </w:p>
    <w:p w14:paraId="48552869" w14:textId="0CDF5F87" w:rsidR="00454268" w:rsidRPr="00454268" w:rsidRDefault="00454268" w:rsidP="000F3D7A">
      <w:pPr>
        <w:pStyle w:val="Els-reference-head"/>
        <w:spacing w:before="0"/>
        <w:rPr>
          <w:b w:val="0"/>
          <w:bCs/>
          <w:sz w:val="20"/>
          <w:szCs w:val="20"/>
        </w:rPr>
      </w:pPr>
      <w:r w:rsidRPr="00454268">
        <w:rPr>
          <w:b w:val="0"/>
          <w:bCs/>
          <w:sz w:val="20"/>
          <w:szCs w:val="20"/>
        </w:rPr>
        <w:t xml:space="preserve">The </w:t>
      </w:r>
      <w:r>
        <w:rPr>
          <w:b w:val="0"/>
          <w:bCs/>
          <w:sz w:val="20"/>
          <w:szCs w:val="20"/>
        </w:rPr>
        <w:t>RR</w:t>
      </w:r>
      <w:r w:rsidRPr="00454268">
        <w:rPr>
          <w:b w:val="0"/>
          <w:bCs/>
          <w:sz w:val="20"/>
          <w:szCs w:val="20"/>
        </w:rPr>
        <w:t xml:space="preserve"> for urea displayed considerable volatility over the five-year period, with significant peaks in 2017 and 2021 due to geopolitical events that disrupted exports. In contrast, TSE and sludge demonstrated stable RRs, suggesting they are more resilient to </w:t>
      </w:r>
      <w:r w:rsidRPr="00454268">
        <w:rPr>
          <w:b w:val="0"/>
          <w:bCs/>
          <w:sz w:val="20"/>
          <w:szCs w:val="20"/>
        </w:rPr>
        <w:lastRenderedPageBreak/>
        <w:t>external shocks and could serve as sustainable alternatives within Qatar's agricultural sector. The carbon tax simulation showed that as the tax rate increases, sludge becomes progressively more cost-competitive against urea</w:t>
      </w:r>
      <w:r>
        <w:rPr>
          <w:b w:val="0"/>
          <w:bCs/>
          <w:sz w:val="20"/>
          <w:szCs w:val="20"/>
        </w:rPr>
        <w:t xml:space="preserve">. This </w:t>
      </w:r>
      <w:r w:rsidRPr="00454268">
        <w:rPr>
          <w:b w:val="0"/>
          <w:bCs/>
          <w:sz w:val="20"/>
          <w:szCs w:val="20"/>
        </w:rPr>
        <w:t>reinforc</w:t>
      </w:r>
      <w:r>
        <w:rPr>
          <w:b w:val="0"/>
          <w:bCs/>
          <w:sz w:val="20"/>
          <w:szCs w:val="20"/>
        </w:rPr>
        <w:t>es</w:t>
      </w:r>
      <w:r w:rsidRPr="00454268">
        <w:rPr>
          <w:b w:val="0"/>
          <w:bCs/>
          <w:sz w:val="20"/>
          <w:szCs w:val="20"/>
        </w:rPr>
        <w:t xml:space="preserve"> the potential of environmental taxation to influence the adoption of greener agricultural inputs. </w:t>
      </w:r>
      <w:r>
        <w:rPr>
          <w:b w:val="0"/>
          <w:bCs/>
          <w:sz w:val="20"/>
          <w:szCs w:val="20"/>
        </w:rPr>
        <w:t xml:space="preserve">The limitations of the study include </w:t>
      </w:r>
      <w:r w:rsidRPr="00454268">
        <w:rPr>
          <w:b w:val="0"/>
          <w:bCs/>
          <w:sz w:val="20"/>
          <w:szCs w:val="20"/>
        </w:rPr>
        <w:t xml:space="preserve">the assumption that biochar derived from </w:t>
      </w:r>
      <w:r w:rsidR="00EA05EF" w:rsidRPr="00454268">
        <w:rPr>
          <w:b w:val="0"/>
          <w:bCs/>
          <w:sz w:val="20"/>
          <w:szCs w:val="20"/>
        </w:rPr>
        <w:t>sludge could</w:t>
      </w:r>
      <w:r w:rsidRPr="00454268">
        <w:rPr>
          <w:b w:val="0"/>
          <w:bCs/>
          <w:sz w:val="20"/>
          <w:szCs w:val="20"/>
        </w:rPr>
        <w:t xml:space="preserve"> fully meet a plant's nitrogen requirements. </w:t>
      </w:r>
      <w:proofErr w:type="gramStart"/>
      <w:r w:rsidRPr="00454268">
        <w:rPr>
          <w:b w:val="0"/>
          <w:bCs/>
          <w:sz w:val="20"/>
          <w:szCs w:val="20"/>
        </w:rPr>
        <w:t>In reality, the</w:t>
      </w:r>
      <w:proofErr w:type="gramEnd"/>
      <w:r w:rsidRPr="00454268">
        <w:rPr>
          <w:b w:val="0"/>
          <w:bCs/>
          <w:sz w:val="20"/>
          <w:szCs w:val="20"/>
        </w:rPr>
        <w:t xml:space="preserve"> effic</w:t>
      </w:r>
      <w:r w:rsidR="003E5C53">
        <w:rPr>
          <w:b w:val="0"/>
          <w:bCs/>
          <w:sz w:val="20"/>
          <w:szCs w:val="20"/>
        </w:rPr>
        <w:t>ien</w:t>
      </w:r>
      <w:r w:rsidRPr="00454268">
        <w:rPr>
          <w:b w:val="0"/>
          <w:bCs/>
          <w:sz w:val="20"/>
          <w:szCs w:val="20"/>
        </w:rPr>
        <w:t>cy of biochar as a complete substitute for conventional nitrogen sources is complex and contingent upon multiple variables, such as soil type, crop needs, and biochar properties. The study's model does not account for these agronomic and environmental subtleties, nor does it incorporate potential future changes in production technology, market dynamics, or agricultural methodologies that might alter nitrogen utilization patterns. Despite these constraints, the findings offer valuable insights for policymakers</w:t>
      </w:r>
      <w:r w:rsidR="000F3D7A">
        <w:rPr>
          <w:b w:val="0"/>
          <w:bCs/>
          <w:sz w:val="20"/>
          <w:szCs w:val="20"/>
        </w:rPr>
        <w:t>, and</w:t>
      </w:r>
      <w:r w:rsidRPr="00454268">
        <w:rPr>
          <w:b w:val="0"/>
          <w:bCs/>
          <w:sz w:val="20"/>
          <w:szCs w:val="20"/>
        </w:rPr>
        <w:t xml:space="preserve"> suggest that implementing carbon taxes can effectively incentivize shifts towards more environmentally friendly fertilizers. However, policies should also consider the agronomic suitability of biochar and TSE, promoting research and development to optimize their use in Qatar's unique environmental conditions.</w:t>
      </w:r>
    </w:p>
    <w:p w14:paraId="144DE6BF" w14:textId="2A52DF81" w:rsidR="008D2649" w:rsidRDefault="008D2649" w:rsidP="008D2649">
      <w:pPr>
        <w:pStyle w:val="Els-reference-head"/>
      </w:pPr>
      <w:r>
        <w:t>References</w:t>
      </w:r>
    </w:p>
    <w:p w14:paraId="5B980982" w14:textId="77777777" w:rsidR="0078043A" w:rsidRPr="0078043A" w:rsidRDefault="0078043A" w:rsidP="00437771">
      <w:pPr>
        <w:widowControl w:val="0"/>
        <w:autoSpaceDE w:val="0"/>
        <w:autoSpaceDN w:val="0"/>
        <w:adjustRightInd w:val="0"/>
        <w:ind w:left="480" w:hanging="480"/>
        <w:jc w:val="both"/>
        <w:rPr>
          <w:sz w:val="18"/>
          <w:szCs w:val="18"/>
          <w:lang w:val="en-US"/>
        </w:rPr>
      </w:pPr>
      <w:proofErr w:type="spellStart"/>
      <w:r w:rsidRPr="0078043A">
        <w:rPr>
          <w:sz w:val="18"/>
          <w:szCs w:val="18"/>
          <w:lang w:val="en-US"/>
        </w:rPr>
        <w:t>AlNouss</w:t>
      </w:r>
      <w:proofErr w:type="spellEnd"/>
      <w:r w:rsidRPr="0078043A">
        <w:rPr>
          <w:sz w:val="18"/>
          <w:szCs w:val="18"/>
          <w:lang w:val="en-US"/>
        </w:rPr>
        <w:t xml:space="preserve">, A., </w:t>
      </w:r>
      <w:proofErr w:type="spellStart"/>
      <w:r w:rsidRPr="0078043A">
        <w:rPr>
          <w:sz w:val="18"/>
          <w:szCs w:val="18"/>
          <w:lang w:val="en-US"/>
        </w:rPr>
        <w:t>Namany</w:t>
      </w:r>
      <w:proofErr w:type="spellEnd"/>
      <w:r w:rsidRPr="0078043A">
        <w:rPr>
          <w:sz w:val="18"/>
          <w:szCs w:val="18"/>
          <w:lang w:val="en-US"/>
        </w:rPr>
        <w:t>, S., McKay, G., Al-Ansari, T., 2019. Applying a Sustainability Metric in Energy, Water and Food Nexus Applications; A Biomass Utilization Case Study to Improve Investment Decisions. pp. 205–210. https://doi.org/10.1016/B978-0-12-818634-3.50035-7</w:t>
      </w:r>
    </w:p>
    <w:p w14:paraId="72B1ABBF" w14:textId="77777777" w:rsidR="0078043A" w:rsidRPr="0078043A" w:rsidRDefault="0078043A" w:rsidP="00437771">
      <w:pPr>
        <w:widowControl w:val="0"/>
        <w:autoSpaceDE w:val="0"/>
        <w:autoSpaceDN w:val="0"/>
        <w:adjustRightInd w:val="0"/>
        <w:ind w:left="480" w:hanging="480"/>
        <w:jc w:val="both"/>
        <w:rPr>
          <w:sz w:val="18"/>
          <w:szCs w:val="18"/>
          <w:lang w:val="en-US"/>
        </w:rPr>
      </w:pPr>
      <w:proofErr w:type="spellStart"/>
      <w:r w:rsidRPr="0078043A">
        <w:rPr>
          <w:sz w:val="18"/>
          <w:szCs w:val="18"/>
          <w:lang w:val="en-US"/>
        </w:rPr>
        <w:t>AlNouss</w:t>
      </w:r>
      <w:proofErr w:type="spellEnd"/>
      <w:r w:rsidRPr="0078043A">
        <w:rPr>
          <w:sz w:val="18"/>
          <w:szCs w:val="18"/>
          <w:lang w:val="en-US"/>
        </w:rPr>
        <w:t>, A., Parthasarathy, P., Mackey, H.R., Al-Ansari, T., McKay, G., 2021. Pyrolysis Study of Different Fruit Wastes Using an Aspen Plus Model. Front. Sustain. Food Syst. 5. https://doi.org/10.3389/fsufs.2021.604001</w:t>
      </w:r>
    </w:p>
    <w:p w14:paraId="2516B154" w14:textId="77777777" w:rsidR="0078043A" w:rsidRPr="0078043A" w:rsidRDefault="0078043A" w:rsidP="00437771">
      <w:pPr>
        <w:widowControl w:val="0"/>
        <w:autoSpaceDE w:val="0"/>
        <w:autoSpaceDN w:val="0"/>
        <w:adjustRightInd w:val="0"/>
        <w:ind w:left="480" w:hanging="480"/>
        <w:jc w:val="both"/>
        <w:rPr>
          <w:sz w:val="18"/>
          <w:szCs w:val="18"/>
          <w:lang w:val="en-US"/>
        </w:rPr>
      </w:pPr>
      <w:r w:rsidRPr="0078043A">
        <w:rPr>
          <w:sz w:val="18"/>
          <w:szCs w:val="18"/>
          <w:lang w:val="en-US"/>
        </w:rPr>
        <w:t>FAO, 2023. FAOSTAT analytical brief 68 - Inorganic fertilizers 2000–2021. https://doi.org/10.1007/978-1-4020-3995-9_293</w:t>
      </w:r>
    </w:p>
    <w:p w14:paraId="729DAF91" w14:textId="77777777" w:rsidR="0078043A" w:rsidRPr="0078043A" w:rsidRDefault="0078043A" w:rsidP="00437771">
      <w:pPr>
        <w:widowControl w:val="0"/>
        <w:autoSpaceDE w:val="0"/>
        <w:autoSpaceDN w:val="0"/>
        <w:adjustRightInd w:val="0"/>
        <w:ind w:left="480" w:hanging="480"/>
        <w:jc w:val="both"/>
        <w:rPr>
          <w:sz w:val="18"/>
          <w:szCs w:val="18"/>
          <w:lang w:val="en-US"/>
        </w:rPr>
      </w:pPr>
      <w:proofErr w:type="spellStart"/>
      <w:r w:rsidRPr="0078043A">
        <w:rPr>
          <w:sz w:val="18"/>
          <w:szCs w:val="18"/>
          <w:lang w:val="en-US"/>
        </w:rPr>
        <w:t>Gellings</w:t>
      </w:r>
      <w:proofErr w:type="spellEnd"/>
      <w:r w:rsidRPr="0078043A">
        <w:rPr>
          <w:sz w:val="18"/>
          <w:szCs w:val="18"/>
          <w:lang w:val="en-US"/>
        </w:rPr>
        <w:t>, C., Parmenter, K., 2004. production and use. In Knowledge for Sustainable Development—An Insight into the Encyclopedia of Life Support Systems II, 419–450.</w:t>
      </w:r>
    </w:p>
    <w:p w14:paraId="26653587" w14:textId="77777777" w:rsidR="0078043A" w:rsidRPr="0078043A" w:rsidRDefault="0078043A" w:rsidP="00437771">
      <w:pPr>
        <w:widowControl w:val="0"/>
        <w:autoSpaceDE w:val="0"/>
        <w:autoSpaceDN w:val="0"/>
        <w:adjustRightInd w:val="0"/>
        <w:ind w:left="480" w:hanging="480"/>
        <w:jc w:val="both"/>
        <w:rPr>
          <w:sz w:val="18"/>
          <w:szCs w:val="18"/>
          <w:lang w:val="en-US"/>
        </w:rPr>
      </w:pPr>
      <w:proofErr w:type="spellStart"/>
      <w:r w:rsidRPr="0078043A">
        <w:rPr>
          <w:sz w:val="18"/>
          <w:szCs w:val="18"/>
          <w:lang w:val="en-US"/>
        </w:rPr>
        <w:t>Ghiat</w:t>
      </w:r>
      <w:proofErr w:type="spellEnd"/>
      <w:r w:rsidRPr="0078043A">
        <w:rPr>
          <w:sz w:val="18"/>
          <w:szCs w:val="18"/>
          <w:lang w:val="en-US"/>
        </w:rPr>
        <w:t xml:space="preserve">, I., </w:t>
      </w:r>
      <w:proofErr w:type="spellStart"/>
      <w:r w:rsidRPr="0078043A">
        <w:rPr>
          <w:sz w:val="18"/>
          <w:szCs w:val="18"/>
          <w:lang w:val="en-US"/>
        </w:rPr>
        <w:t>AlNouss</w:t>
      </w:r>
      <w:proofErr w:type="spellEnd"/>
      <w:r w:rsidRPr="0078043A">
        <w:rPr>
          <w:sz w:val="18"/>
          <w:szCs w:val="18"/>
          <w:lang w:val="en-US"/>
        </w:rPr>
        <w:t xml:space="preserve">, A., </w:t>
      </w:r>
      <w:proofErr w:type="spellStart"/>
      <w:r w:rsidRPr="0078043A">
        <w:rPr>
          <w:sz w:val="18"/>
          <w:szCs w:val="18"/>
          <w:lang w:val="en-US"/>
        </w:rPr>
        <w:t>Mckay</w:t>
      </w:r>
      <w:proofErr w:type="spellEnd"/>
      <w:r w:rsidRPr="0078043A">
        <w:rPr>
          <w:sz w:val="18"/>
          <w:szCs w:val="18"/>
          <w:lang w:val="en-US"/>
        </w:rPr>
        <w:t xml:space="preserve">, G., Al-Ansari, T., 2020. Modelling and simulation of a biomass-based integrated gasification combined cycle with carbon capture: comparison between </w:t>
      </w:r>
      <w:proofErr w:type="spellStart"/>
      <w:r w:rsidRPr="0078043A">
        <w:rPr>
          <w:sz w:val="18"/>
          <w:szCs w:val="18"/>
          <w:lang w:val="en-US"/>
        </w:rPr>
        <w:t>monoethanolamine</w:t>
      </w:r>
      <w:proofErr w:type="spellEnd"/>
      <w:r w:rsidRPr="0078043A">
        <w:rPr>
          <w:sz w:val="18"/>
          <w:szCs w:val="18"/>
          <w:lang w:val="en-US"/>
        </w:rPr>
        <w:t xml:space="preserve"> and potassium carbonate. IOP Conf. Ser. Earth Environ. Sci. 463, 012019. https://doi.org/10.1088/1755-1315/463/1/012019</w:t>
      </w:r>
    </w:p>
    <w:p w14:paraId="13C34C98" w14:textId="77777777" w:rsidR="0078043A" w:rsidRPr="0078043A" w:rsidRDefault="0078043A" w:rsidP="00437771">
      <w:pPr>
        <w:widowControl w:val="0"/>
        <w:autoSpaceDE w:val="0"/>
        <w:autoSpaceDN w:val="0"/>
        <w:adjustRightInd w:val="0"/>
        <w:ind w:left="480" w:hanging="480"/>
        <w:jc w:val="both"/>
        <w:rPr>
          <w:sz w:val="18"/>
          <w:szCs w:val="18"/>
          <w:lang w:val="en-US"/>
        </w:rPr>
      </w:pPr>
      <w:r w:rsidRPr="0078043A">
        <w:rPr>
          <w:sz w:val="18"/>
          <w:szCs w:val="18"/>
          <w:lang w:val="en-US"/>
        </w:rPr>
        <w:t xml:space="preserve">Haider, G., Joseph, S., Steffens, D., Müller, C., </w:t>
      </w:r>
      <w:proofErr w:type="spellStart"/>
      <w:r w:rsidRPr="0078043A">
        <w:rPr>
          <w:sz w:val="18"/>
          <w:szCs w:val="18"/>
          <w:lang w:val="en-US"/>
        </w:rPr>
        <w:t>Taherymoosavi</w:t>
      </w:r>
      <w:proofErr w:type="spellEnd"/>
      <w:r w:rsidRPr="0078043A">
        <w:rPr>
          <w:sz w:val="18"/>
          <w:szCs w:val="18"/>
          <w:lang w:val="en-US"/>
        </w:rPr>
        <w:t xml:space="preserve">, S., Mitchell, D., </w:t>
      </w:r>
      <w:proofErr w:type="spellStart"/>
      <w:r w:rsidRPr="0078043A">
        <w:rPr>
          <w:sz w:val="18"/>
          <w:szCs w:val="18"/>
          <w:lang w:val="en-US"/>
        </w:rPr>
        <w:t>Kammann</w:t>
      </w:r>
      <w:proofErr w:type="spellEnd"/>
      <w:r w:rsidRPr="0078043A">
        <w:rPr>
          <w:sz w:val="18"/>
          <w:szCs w:val="18"/>
          <w:lang w:val="en-US"/>
        </w:rPr>
        <w:t>, C.I., 2020. Mineral nitrogen captured in field-aged biochar is plant-available. Sci. Rep. 10, 13816. https://doi.org/10.1038/s41598-020-70586-x</w:t>
      </w:r>
    </w:p>
    <w:p w14:paraId="465E20CF" w14:textId="77777777" w:rsidR="0078043A" w:rsidRPr="0078043A" w:rsidRDefault="0078043A" w:rsidP="00437771">
      <w:pPr>
        <w:widowControl w:val="0"/>
        <w:autoSpaceDE w:val="0"/>
        <w:autoSpaceDN w:val="0"/>
        <w:adjustRightInd w:val="0"/>
        <w:ind w:left="480" w:hanging="480"/>
        <w:jc w:val="both"/>
        <w:rPr>
          <w:sz w:val="18"/>
          <w:szCs w:val="18"/>
          <w:lang w:val="en-US"/>
        </w:rPr>
      </w:pPr>
      <w:proofErr w:type="spellStart"/>
      <w:r w:rsidRPr="0078043A">
        <w:rPr>
          <w:sz w:val="18"/>
          <w:szCs w:val="18"/>
          <w:lang w:val="en-US"/>
        </w:rPr>
        <w:t>Lahlou</w:t>
      </w:r>
      <w:proofErr w:type="spellEnd"/>
      <w:r w:rsidRPr="0078043A">
        <w:rPr>
          <w:sz w:val="18"/>
          <w:szCs w:val="18"/>
          <w:lang w:val="en-US"/>
        </w:rPr>
        <w:t xml:space="preserve">, F.-Z., </w:t>
      </w:r>
      <w:proofErr w:type="spellStart"/>
      <w:r w:rsidRPr="0078043A">
        <w:rPr>
          <w:sz w:val="18"/>
          <w:szCs w:val="18"/>
          <w:lang w:val="en-US"/>
        </w:rPr>
        <w:t>AlNouss</w:t>
      </w:r>
      <w:proofErr w:type="spellEnd"/>
      <w:r w:rsidRPr="0078043A">
        <w:rPr>
          <w:sz w:val="18"/>
          <w:szCs w:val="18"/>
          <w:lang w:val="en-US"/>
        </w:rPr>
        <w:t xml:space="preserve">, A., Govindan, R., </w:t>
      </w:r>
      <w:proofErr w:type="spellStart"/>
      <w:r w:rsidRPr="0078043A">
        <w:rPr>
          <w:sz w:val="18"/>
          <w:szCs w:val="18"/>
          <w:lang w:val="en-US"/>
        </w:rPr>
        <w:t>Hazrat</w:t>
      </w:r>
      <w:proofErr w:type="spellEnd"/>
      <w:r w:rsidRPr="0078043A">
        <w:rPr>
          <w:sz w:val="18"/>
          <w:szCs w:val="18"/>
          <w:lang w:val="en-US"/>
        </w:rPr>
        <w:t xml:space="preserve">, B., Mackey, H.R., Al-Ansari, T., 2023a. Water and sludge resource planning for sustainable agriculture: An energy-water-food-waste nexus approach. Sustain. Prod. </w:t>
      </w:r>
      <w:proofErr w:type="spellStart"/>
      <w:r w:rsidRPr="0078043A">
        <w:rPr>
          <w:sz w:val="18"/>
          <w:szCs w:val="18"/>
          <w:lang w:val="en-US"/>
        </w:rPr>
        <w:t>Consum</w:t>
      </w:r>
      <w:proofErr w:type="spellEnd"/>
      <w:r w:rsidRPr="0078043A">
        <w:rPr>
          <w:sz w:val="18"/>
          <w:szCs w:val="18"/>
          <w:lang w:val="en-US"/>
        </w:rPr>
        <w:t>. 38, 130–148. https://doi.org/10.1016/j.spc.2023.03.027</w:t>
      </w:r>
    </w:p>
    <w:p w14:paraId="241D8AE1" w14:textId="77777777" w:rsidR="0078043A" w:rsidRPr="0078043A" w:rsidRDefault="0078043A" w:rsidP="00437771">
      <w:pPr>
        <w:widowControl w:val="0"/>
        <w:autoSpaceDE w:val="0"/>
        <w:autoSpaceDN w:val="0"/>
        <w:adjustRightInd w:val="0"/>
        <w:ind w:left="480" w:hanging="480"/>
        <w:jc w:val="both"/>
        <w:rPr>
          <w:sz w:val="18"/>
          <w:szCs w:val="18"/>
          <w:lang w:val="en-US"/>
        </w:rPr>
      </w:pPr>
      <w:proofErr w:type="spellStart"/>
      <w:r w:rsidRPr="0078043A">
        <w:rPr>
          <w:sz w:val="18"/>
          <w:szCs w:val="18"/>
          <w:lang w:val="en-US"/>
        </w:rPr>
        <w:t>Lahlou</w:t>
      </w:r>
      <w:proofErr w:type="spellEnd"/>
      <w:r w:rsidRPr="0078043A">
        <w:rPr>
          <w:sz w:val="18"/>
          <w:szCs w:val="18"/>
          <w:lang w:val="en-US"/>
        </w:rPr>
        <w:t xml:space="preserve">, F.-Z., Govindan, R., </w:t>
      </w:r>
      <w:proofErr w:type="spellStart"/>
      <w:r w:rsidRPr="0078043A">
        <w:rPr>
          <w:sz w:val="18"/>
          <w:szCs w:val="18"/>
          <w:lang w:val="en-US"/>
        </w:rPr>
        <w:t>Hazrat</w:t>
      </w:r>
      <w:proofErr w:type="spellEnd"/>
      <w:r w:rsidRPr="0078043A">
        <w:rPr>
          <w:sz w:val="18"/>
          <w:szCs w:val="18"/>
          <w:lang w:val="en-US"/>
        </w:rPr>
        <w:t>, B., Mackey, H.R., Al-Ansari, T., 2023b. Water resource portfolio design for optimum water productivity in agriculture. pp. 569–574. https://doi.org/10.1016/B978-0-443-15274-0.50090-1</w:t>
      </w:r>
    </w:p>
    <w:p w14:paraId="1C659FE0" w14:textId="77777777" w:rsidR="0078043A" w:rsidRPr="0078043A" w:rsidRDefault="0078043A" w:rsidP="00437771">
      <w:pPr>
        <w:widowControl w:val="0"/>
        <w:autoSpaceDE w:val="0"/>
        <w:autoSpaceDN w:val="0"/>
        <w:adjustRightInd w:val="0"/>
        <w:ind w:left="480" w:hanging="480"/>
        <w:jc w:val="both"/>
        <w:rPr>
          <w:sz w:val="18"/>
          <w:szCs w:val="18"/>
          <w:lang w:val="en-US"/>
        </w:rPr>
      </w:pPr>
      <w:proofErr w:type="spellStart"/>
      <w:r w:rsidRPr="0078043A">
        <w:rPr>
          <w:sz w:val="18"/>
          <w:szCs w:val="18"/>
          <w:lang w:val="en-US"/>
        </w:rPr>
        <w:t>Lahlou</w:t>
      </w:r>
      <w:proofErr w:type="spellEnd"/>
      <w:r w:rsidRPr="0078043A">
        <w:rPr>
          <w:sz w:val="18"/>
          <w:szCs w:val="18"/>
          <w:lang w:val="en-US"/>
        </w:rPr>
        <w:t xml:space="preserve">, F.-Z., </w:t>
      </w:r>
      <w:proofErr w:type="spellStart"/>
      <w:r w:rsidRPr="0078043A">
        <w:rPr>
          <w:sz w:val="18"/>
          <w:szCs w:val="18"/>
          <w:lang w:val="en-US"/>
        </w:rPr>
        <w:t>Namany</w:t>
      </w:r>
      <w:proofErr w:type="spellEnd"/>
      <w:r w:rsidRPr="0078043A">
        <w:rPr>
          <w:sz w:val="18"/>
          <w:szCs w:val="18"/>
          <w:lang w:val="en-US"/>
        </w:rPr>
        <w:t xml:space="preserve">, S., Mackey, H.R., Al-Ansari, T., 2020. Treated Industrial Wastewater as a Water and Nutrients Source for Tomatoes Cultivation: an </w:t>
      </w:r>
      <w:proofErr w:type="spellStart"/>
      <w:r w:rsidRPr="0078043A">
        <w:rPr>
          <w:sz w:val="18"/>
          <w:szCs w:val="18"/>
          <w:lang w:val="en-US"/>
        </w:rPr>
        <w:t>Optimisation</w:t>
      </w:r>
      <w:proofErr w:type="spellEnd"/>
      <w:r w:rsidRPr="0078043A">
        <w:rPr>
          <w:sz w:val="18"/>
          <w:szCs w:val="18"/>
          <w:lang w:val="en-US"/>
        </w:rPr>
        <w:t xml:space="preserve"> Approach. pp. 1819–1824. https://doi.org/10.1016/B978-0-12-823377-1.50304-9</w:t>
      </w:r>
    </w:p>
    <w:p w14:paraId="01B30874" w14:textId="77777777" w:rsidR="0078043A" w:rsidRPr="0078043A" w:rsidRDefault="0078043A" w:rsidP="00437771">
      <w:pPr>
        <w:widowControl w:val="0"/>
        <w:autoSpaceDE w:val="0"/>
        <w:autoSpaceDN w:val="0"/>
        <w:adjustRightInd w:val="0"/>
        <w:ind w:left="480" w:hanging="480"/>
        <w:jc w:val="both"/>
        <w:rPr>
          <w:sz w:val="18"/>
          <w:szCs w:val="18"/>
          <w:lang w:val="en-US"/>
        </w:rPr>
      </w:pPr>
      <w:proofErr w:type="spellStart"/>
      <w:r w:rsidRPr="0078043A">
        <w:rPr>
          <w:sz w:val="18"/>
          <w:szCs w:val="18"/>
          <w:lang w:val="en-US"/>
        </w:rPr>
        <w:t>Lahlou</w:t>
      </w:r>
      <w:proofErr w:type="spellEnd"/>
      <w:r w:rsidRPr="0078043A">
        <w:rPr>
          <w:sz w:val="18"/>
          <w:szCs w:val="18"/>
          <w:lang w:val="en-US"/>
        </w:rPr>
        <w:t xml:space="preserve">, F.Z., Mackey, H.R., McKay, G., Al-Ansari, T., 2021. Reuse of treated industrial wastewater and bio-solids from oil and gas industries: Exploring new factors of public acceptance. Water </w:t>
      </w:r>
      <w:proofErr w:type="spellStart"/>
      <w:r w:rsidRPr="0078043A">
        <w:rPr>
          <w:sz w:val="18"/>
          <w:szCs w:val="18"/>
          <w:lang w:val="en-US"/>
        </w:rPr>
        <w:t>Resour</w:t>
      </w:r>
      <w:proofErr w:type="spellEnd"/>
      <w:r w:rsidRPr="0078043A">
        <w:rPr>
          <w:sz w:val="18"/>
          <w:szCs w:val="18"/>
          <w:lang w:val="en-US"/>
        </w:rPr>
        <w:t>. Ind. 26, 100159. https://doi.org/10.1016/j.wri.2021.100159</w:t>
      </w:r>
    </w:p>
    <w:p w14:paraId="4C5806D5" w14:textId="77777777" w:rsidR="0078043A" w:rsidRPr="0078043A" w:rsidRDefault="0078043A" w:rsidP="00437771">
      <w:pPr>
        <w:widowControl w:val="0"/>
        <w:autoSpaceDE w:val="0"/>
        <w:autoSpaceDN w:val="0"/>
        <w:adjustRightInd w:val="0"/>
        <w:ind w:left="480" w:hanging="480"/>
        <w:jc w:val="both"/>
        <w:rPr>
          <w:sz w:val="18"/>
          <w:szCs w:val="18"/>
          <w:lang w:val="en-US"/>
        </w:rPr>
      </w:pPr>
      <w:r w:rsidRPr="0078043A">
        <w:rPr>
          <w:sz w:val="18"/>
          <w:szCs w:val="18"/>
          <w:lang w:val="en-US"/>
        </w:rPr>
        <w:t>Planning and Statistics Authority, 2021. Agricultural Statistics. Doha.</w:t>
      </w:r>
    </w:p>
    <w:p w14:paraId="680AF82A" w14:textId="77777777" w:rsidR="0078043A" w:rsidRPr="0078043A" w:rsidRDefault="0078043A" w:rsidP="00437771">
      <w:pPr>
        <w:widowControl w:val="0"/>
        <w:autoSpaceDE w:val="0"/>
        <w:autoSpaceDN w:val="0"/>
        <w:adjustRightInd w:val="0"/>
        <w:ind w:left="480" w:hanging="480"/>
        <w:jc w:val="both"/>
        <w:rPr>
          <w:sz w:val="18"/>
          <w:szCs w:val="18"/>
          <w:lang w:val="en-US"/>
        </w:rPr>
      </w:pPr>
      <w:r w:rsidRPr="0078043A">
        <w:rPr>
          <w:sz w:val="18"/>
          <w:szCs w:val="18"/>
          <w:lang w:val="en-US"/>
        </w:rPr>
        <w:t>QAFCO, 2021. Sustainability Report.</w:t>
      </w:r>
    </w:p>
    <w:p w14:paraId="2A97106F" w14:textId="233318D1" w:rsidR="00BC4663" w:rsidRPr="000F3D7A" w:rsidRDefault="0078043A" w:rsidP="00BC4663">
      <w:pPr>
        <w:widowControl w:val="0"/>
        <w:autoSpaceDE w:val="0"/>
        <w:autoSpaceDN w:val="0"/>
        <w:adjustRightInd w:val="0"/>
        <w:ind w:left="480" w:hanging="480"/>
        <w:jc w:val="both"/>
        <w:rPr>
          <w:sz w:val="18"/>
          <w:szCs w:val="18"/>
          <w:lang w:val="en-US"/>
        </w:rPr>
      </w:pPr>
      <w:r w:rsidRPr="0078043A">
        <w:rPr>
          <w:sz w:val="18"/>
          <w:szCs w:val="18"/>
          <w:lang w:val="en-US"/>
        </w:rPr>
        <w:t>Quinn, R., 2023. DTN Retail Fertilizer Trends. DTN Progress. Farmer.</w:t>
      </w:r>
    </w:p>
    <w:sectPr w:rsidR="00BC4663" w:rsidRPr="000F3D7A" w:rsidSect="00061059">
      <w:headerReference w:type="even" r:id="rId11"/>
      <w:headerReference w:type="default" r:id="rId12"/>
      <w:headerReference w:type="first" r:id="rId13"/>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38515" w14:textId="77777777" w:rsidR="00061059" w:rsidRDefault="00061059">
      <w:r>
        <w:separator/>
      </w:r>
    </w:p>
  </w:endnote>
  <w:endnote w:type="continuationSeparator" w:id="0">
    <w:p w14:paraId="7CE696BD" w14:textId="77777777" w:rsidR="00061059" w:rsidRDefault="00061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Univers">
    <w:panose1 w:val="020B0503020202020204"/>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3E56DA" w14:textId="77777777" w:rsidR="00061059" w:rsidRDefault="00061059">
      <w:r>
        <w:separator/>
      </w:r>
    </w:p>
  </w:footnote>
  <w:footnote w:type="continuationSeparator" w:id="0">
    <w:p w14:paraId="6F70F7A6" w14:textId="77777777" w:rsidR="00061059" w:rsidRDefault="000610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9" w14:textId="083FE7C9" w:rsidR="00DD3D9E" w:rsidRDefault="00DD3D9E">
    <w:pPr>
      <w:pStyle w:val="Header"/>
      <w:tabs>
        <w:tab w:val="clear" w:pos="7200"/>
        <w:tab w:val="right" w:pos="7088"/>
      </w:tabs>
    </w:pPr>
    <w:r>
      <w:rPr>
        <w:rStyle w:val="PageNumber"/>
      </w:rPr>
      <w:tab/>
    </w:r>
    <w:r>
      <w:rPr>
        <w:rStyle w:val="PageNumber"/>
        <w:i/>
      </w:rPr>
      <w:tab/>
    </w:r>
    <w:r w:rsidR="00C03E25">
      <w:rPr>
        <w:i/>
      </w:rPr>
      <w:t>F. Lahlou et 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A" w14:textId="570A2F31" w:rsidR="00DD3D9E" w:rsidRDefault="0078043A" w:rsidP="0078043A">
    <w:pPr>
      <w:pStyle w:val="Header"/>
      <w:tabs>
        <w:tab w:val="clear" w:pos="7200"/>
        <w:tab w:val="right" w:pos="7088"/>
      </w:tabs>
      <w:rPr>
        <w:sz w:val="24"/>
      </w:rPr>
    </w:pPr>
    <w:r w:rsidRPr="0078043A">
      <w:rPr>
        <w:i/>
      </w:rPr>
      <w:t>Economic resilience evaluation of wastewater resource recovery in Qatar’s fertilizer market</w:t>
    </w:r>
    <w:r w:rsidR="00DD3D9E">
      <w:rPr>
        <w:rStyle w:val="PageNumber"/>
        <w:i/>
        <w:sz w:val="24"/>
      </w:rPr>
      <w:tab/>
    </w:r>
    <w:r w:rsidR="00DD3D9E">
      <w:rPr>
        <w:rStyle w:val="PageNumber"/>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B" w14:textId="77777777" w:rsidR="00F06842" w:rsidRPr="003B50B5" w:rsidRDefault="00F06842" w:rsidP="00F06842">
    <w:pPr>
      <w:pStyle w:val="ElsevierBodyTextCentredNospace"/>
      <w:jc w:val="left"/>
      <w:rPr>
        <w:noProof/>
        <w:sz w:val="18"/>
        <w:szCs w:val="18"/>
      </w:rPr>
    </w:pPr>
    <w:r w:rsidRPr="0068162C">
      <w:rPr>
        <w:color w:val="auto"/>
        <w:sz w:val="18"/>
        <w:szCs w:val="18"/>
      </w:rPr>
      <w:t>Flavio Manenti, Gintaras V. Reklaitis (Eds.),</w:t>
    </w:r>
    <w:r>
      <w:rPr>
        <w:color w:val="auto"/>
      </w:rPr>
      <w:t xml:space="preserve"> </w:t>
    </w:r>
    <w:r w:rsidRPr="003B50B5">
      <w:rPr>
        <w:noProof/>
        <w:sz w:val="18"/>
        <w:szCs w:val="18"/>
      </w:rPr>
      <w:t xml:space="preserve">Proceedings </w:t>
    </w:r>
    <w:r>
      <w:rPr>
        <w:noProof/>
        <w:sz w:val="18"/>
        <w:szCs w:val="18"/>
      </w:rPr>
      <w:t>o</w:t>
    </w:r>
    <w:r w:rsidRPr="003B50B5">
      <w:rPr>
        <w:noProof/>
        <w:sz w:val="18"/>
        <w:szCs w:val="18"/>
      </w:rPr>
      <w:t xml:space="preserve">f </w:t>
    </w:r>
    <w:r w:rsidRPr="00F06842">
      <w:rPr>
        <w:noProof/>
        <w:sz w:val="18"/>
        <w:szCs w:val="18"/>
      </w:rPr>
      <w:t xml:space="preserve">the </w:t>
    </w:r>
    <w:r w:rsidRPr="00F06842">
      <w:rPr>
        <w:rStyle w:val="underline1"/>
        <w:sz w:val="18"/>
        <w:szCs w:val="18"/>
        <w:u w:val="none"/>
      </w:rPr>
      <w:t>34</w:t>
    </w:r>
    <w:r w:rsidRPr="00F06842">
      <w:rPr>
        <w:rStyle w:val="underline1"/>
        <w:sz w:val="18"/>
        <w:szCs w:val="18"/>
        <w:u w:val="none"/>
        <w:vertAlign w:val="superscript"/>
      </w:rPr>
      <w:t>th</w:t>
    </w:r>
    <w:r w:rsidRPr="00F06842">
      <w:rPr>
        <w:rStyle w:val="underline1"/>
        <w:sz w:val="18"/>
        <w:szCs w:val="18"/>
        <w:u w:val="none"/>
      </w:rPr>
      <w:t xml:space="preserve"> European Symposium on Computer Aided Process Engineering / 15</w:t>
    </w:r>
    <w:r w:rsidRPr="00F06842">
      <w:rPr>
        <w:rStyle w:val="underline1"/>
        <w:sz w:val="18"/>
        <w:szCs w:val="18"/>
        <w:u w:val="none"/>
        <w:vertAlign w:val="superscript"/>
      </w:rPr>
      <w:t>th</w:t>
    </w:r>
    <w:r w:rsidRPr="00F06842">
      <w:rPr>
        <w:rStyle w:val="underline1"/>
        <w:sz w:val="18"/>
        <w:szCs w:val="18"/>
        <w:u w:val="none"/>
      </w:rPr>
      <w:t xml:space="preserve"> International Symposium on Process Systems Engineerin</w:t>
    </w:r>
    <w:r w:rsidRPr="003B50B5">
      <w:rPr>
        <w:rStyle w:val="underline1"/>
        <w:sz w:val="18"/>
        <w:szCs w:val="18"/>
      </w:rPr>
      <w:t>g</w:t>
    </w:r>
    <w:r w:rsidRPr="003B50B5">
      <w:rPr>
        <w:noProof/>
        <w:sz w:val="18"/>
        <w:szCs w:val="18"/>
      </w:rPr>
      <w:t xml:space="preserve"> (ESCAPE34/PSE</w:t>
    </w:r>
    <w:r>
      <w:rPr>
        <w:noProof/>
        <w:sz w:val="18"/>
        <w:szCs w:val="18"/>
      </w:rPr>
      <w:t>24</w:t>
    </w:r>
    <w:r w:rsidRPr="003B50B5">
      <w:rPr>
        <w:noProof/>
        <w:sz w:val="18"/>
        <w:szCs w:val="18"/>
      </w:rPr>
      <w:t xml:space="preserve">), June </w:t>
    </w:r>
    <w:r>
      <w:rPr>
        <w:noProof/>
        <w:sz w:val="18"/>
        <w:szCs w:val="18"/>
      </w:rPr>
      <w:t>2-6</w:t>
    </w:r>
    <w:r w:rsidRPr="003B50B5">
      <w:rPr>
        <w:noProof/>
        <w:sz w:val="18"/>
        <w:szCs w:val="18"/>
      </w:rPr>
      <w:t>, 2024,</w:t>
    </w:r>
    <w:r w:rsidRPr="003B50B5">
      <w:rPr>
        <w:sz w:val="18"/>
        <w:szCs w:val="18"/>
      </w:rPr>
      <w:t xml:space="preserve"> Florence</w:t>
    </w:r>
    <w:r w:rsidRPr="003B50B5">
      <w:rPr>
        <w:noProof/>
        <w:sz w:val="18"/>
        <w:szCs w:val="18"/>
      </w:rPr>
      <w:t>, Italy</w:t>
    </w:r>
  </w:p>
  <w:p w14:paraId="144DE6CC" w14:textId="77777777" w:rsidR="00DD3D9E" w:rsidRDefault="00F06842" w:rsidP="00F06842">
    <w:pPr>
      <w:tabs>
        <w:tab w:val="right" w:pos="7086"/>
      </w:tabs>
    </w:pPr>
    <w:r w:rsidRPr="001E6A29">
      <w:rPr>
        <w:sz w:val="18"/>
        <w:szCs w:val="18"/>
      </w:rPr>
      <w:t>© 202</w:t>
    </w:r>
    <w:r>
      <w:rPr>
        <w:sz w:val="18"/>
        <w:szCs w:val="18"/>
      </w:rPr>
      <w:t>4</w:t>
    </w:r>
    <w:r w:rsidRPr="001E6A29">
      <w:rPr>
        <w:sz w:val="18"/>
        <w:szCs w:val="18"/>
      </w:rPr>
      <w:t xml:space="preserve"> Elsevier B.V. All rights reserved.</w:t>
    </w:r>
    <w:r w:rsidR="00DD3D9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16865A12"/>
    <w:multiLevelType w:val="hybridMultilevel"/>
    <w:tmpl w:val="66F8C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3"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4"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5"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6"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7"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8"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E5A003A"/>
    <w:multiLevelType w:val="hybridMultilevel"/>
    <w:tmpl w:val="62BE7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3"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5"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6"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632910568">
    <w:abstractNumId w:val="13"/>
  </w:num>
  <w:num w:numId="2" w16cid:durableId="47382885">
    <w:abstractNumId w:val="13"/>
  </w:num>
  <w:num w:numId="3" w16cid:durableId="967853731">
    <w:abstractNumId w:val="13"/>
  </w:num>
  <w:num w:numId="4" w16cid:durableId="1739282265">
    <w:abstractNumId w:val="13"/>
  </w:num>
  <w:num w:numId="5" w16cid:durableId="698892343">
    <w:abstractNumId w:val="0"/>
  </w:num>
  <w:num w:numId="6" w16cid:durableId="1660883641">
    <w:abstractNumId w:val="7"/>
  </w:num>
  <w:num w:numId="7" w16cid:durableId="1863349795">
    <w:abstractNumId w:val="14"/>
  </w:num>
  <w:num w:numId="8" w16cid:durableId="1750734252">
    <w:abstractNumId w:val="2"/>
  </w:num>
  <w:num w:numId="9" w16cid:durableId="203061615">
    <w:abstractNumId w:val="12"/>
  </w:num>
  <w:num w:numId="10" w16cid:durableId="1478497114">
    <w:abstractNumId w:val="16"/>
  </w:num>
  <w:num w:numId="11" w16cid:durableId="1896693444">
    <w:abstractNumId w:val="15"/>
  </w:num>
  <w:num w:numId="12" w16cid:durableId="774787662">
    <w:abstractNumId w:val="6"/>
  </w:num>
  <w:num w:numId="13" w16cid:durableId="1525900646">
    <w:abstractNumId w:val="10"/>
  </w:num>
  <w:num w:numId="14" w16cid:durableId="1455515963">
    <w:abstractNumId w:val="3"/>
  </w:num>
  <w:num w:numId="15" w16cid:durableId="446657998">
    <w:abstractNumId w:val="8"/>
  </w:num>
  <w:num w:numId="16" w16cid:durableId="322592235">
    <w:abstractNumId w:val="4"/>
  </w:num>
  <w:num w:numId="17" w16cid:durableId="596719075">
    <w:abstractNumId w:val="5"/>
  </w:num>
  <w:num w:numId="18" w16cid:durableId="886648604">
    <w:abstractNumId w:val="11"/>
  </w:num>
  <w:num w:numId="19" w16cid:durableId="522088506">
    <w:abstractNumId w:val="9"/>
  </w:num>
  <w:num w:numId="20" w16cid:durableId="4038363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doNotDisplayPageBoundarie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237"/>
    <w:rsid w:val="00002CF1"/>
    <w:rsid w:val="00060972"/>
    <w:rsid w:val="00061059"/>
    <w:rsid w:val="000B12DA"/>
    <w:rsid w:val="000C4E02"/>
    <w:rsid w:val="000D3D9B"/>
    <w:rsid w:val="000F3D7A"/>
    <w:rsid w:val="001529F8"/>
    <w:rsid w:val="0016032F"/>
    <w:rsid w:val="00185D08"/>
    <w:rsid w:val="001879F6"/>
    <w:rsid w:val="001C0148"/>
    <w:rsid w:val="001C2955"/>
    <w:rsid w:val="001C757E"/>
    <w:rsid w:val="001D3641"/>
    <w:rsid w:val="001E34CD"/>
    <w:rsid w:val="0020390F"/>
    <w:rsid w:val="00264926"/>
    <w:rsid w:val="002E4C62"/>
    <w:rsid w:val="003D1582"/>
    <w:rsid w:val="003D7E4C"/>
    <w:rsid w:val="003E41C2"/>
    <w:rsid w:val="003E5C53"/>
    <w:rsid w:val="00405B9E"/>
    <w:rsid w:val="00431698"/>
    <w:rsid w:val="00437771"/>
    <w:rsid w:val="00454268"/>
    <w:rsid w:val="0049772C"/>
    <w:rsid w:val="004B0876"/>
    <w:rsid w:val="0050546A"/>
    <w:rsid w:val="005445FC"/>
    <w:rsid w:val="00552EEB"/>
    <w:rsid w:val="00576C82"/>
    <w:rsid w:val="00633F36"/>
    <w:rsid w:val="006A5EF3"/>
    <w:rsid w:val="006A69BF"/>
    <w:rsid w:val="006D0115"/>
    <w:rsid w:val="006F4985"/>
    <w:rsid w:val="00711DF4"/>
    <w:rsid w:val="00760F33"/>
    <w:rsid w:val="0078043A"/>
    <w:rsid w:val="007866F1"/>
    <w:rsid w:val="007D70A1"/>
    <w:rsid w:val="008132E8"/>
    <w:rsid w:val="00823407"/>
    <w:rsid w:val="00874863"/>
    <w:rsid w:val="008A07F5"/>
    <w:rsid w:val="008A57EA"/>
    <w:rsid w:val="008B0184"/>
    <w:rsid w:val="008B7D82"/>
    <w:rsid w:val="008C5D02"/>
    <w:rsid w:val="008D2649"/>
    <w:rsid w:val="008D32E1"/>
    <w:rsid w:val="008F52CE"/>
    <w:rsid w:val="0090568D"/>
    <w:rsid w:val="0091078A"/>
    <w:rsid w:val="009125C9"/>
    <w:rsid w:val="00913879"/>
    <w:rsid w:val="00917661"/>
    <w:rsid w:val="00926C58"/>
    <w:rsid w:val="00954D2A"/>
    <w:rsid w:val="00970E5D"/>
    <w:rsid w:val="00971E71"/>
    <w:rsid w:val="0097701C"/>
    <w:rsid w:val="00980A65"/>
    <w:rsid w:val="009E2EA7"/>
    <w:rsid w:val="00A21D94"/>
    <w:rsid w:val="00A25E70"/>
    <w:rsid w:val="00A33765"/>
    <w:rsid w:val="00A63269"/>
    <w:rsid w:val="00A92377"/>
    <w:rsid w:val="00A94401"/>
    <w:rsid w:val="00AB29ED"/>
    <w:rsid w:val="00AC2D79"/>
    <w:rsid w:val="00AE4BD8"/>
    <w:rsid w:val="00B31935"/>
    <w:rsid w:val="00B4388F"/>
    <w:rsid w:val="00B5163D"/>
    <w:rsid w:val="00B6241D"/>
    <w:rsid w:val="00B63237"/>
    <w:rsid w:val="00B67E42"/>
    <w:rsid w:val="00BC4663"/>
    <w:rsid w:val="00BD09E9"/>
    <w:rsid w:val="00C03E25"/>
    <w:rsid w:val="00C2694A"/>
    <w:rsid w:val="00C30EDD"/>
    <w:rsid w:val="00C960DC"/>
    <w:rsid w:val="00D02C75"/>
    <w:rsid w:val="00D02E87"/>
    <w:rsid w:val="00D10E22"/>
    <w:rsid w:val="00D13D2C"/>
    <w:rsid w:val="00D34008"/>
    <w:rsid w:val="00DC2F94"/>
    <w:rsid w:val="00DD3D9E"/>
    <w:rsid w:val="00DD7908"/>
    <w:rsid w:val="00E53413"/>
    <w:rsid w:val="00E67D6C"/>
    <w:rsid w:val="00E82297"/>
    <w:rsid w:val="00EA05EF"/>
    <w:rsid w:val="00EE228B"/>
    <w:rsid w:val="00EF39FD"/>
    <w:rsid w:val="00F06842"/>
    <w:rsid w:val="00F107FD"/>
    <w:rsid w:val="00F1202D"/>
    <w:rsid w:val="00F211AA"/>
    <w:rsid w:val="00FB64A8"/>
    <w:rsid w:val="00FE1C6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4DE67F"/>
  <w15:docId w15:val="{B89D3AFA-8814-4AAB-A339-74180925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0184"/>
    <w:rPr>
      <w:lang w:eastAsia="en-US"/>
    </w:rPr>
  </w:style>
  <w:style w:type="paragraph" w:styleId="Heading3">
    <w:name w:val="heading 3"/>
    <w:basedOn w:val="Normal"/>
    <w:next w:val="Normal"/>
    <w:qFormat/>
    <w:rsid w:val="008B018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Els-caption"/>
    <w:next w:val="Els-caption"/>
    <w:uiPriority w:val="35"/>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EndnoteReference">
    <w:name w:val="endnote reference"/>
    <w:basedOn w:val="DefaultParagraphFont"/>
    <w:semiHidden/>
    <w:rsid w:val="008B0184"/>
    <w:rPr>
      <w:vertAlign w:val="superscript"/>
    </w:rPr>
  </w:style>
  <w:style w:type="paragraph" w:styleId="Header">
    <w:name w:val="header"/>
    <w:rsid w:val="008B0184"/>
    <w:pPr>
      <w:tabs>
        <w:tab w:val="center" w:pos="3600"/>
        <w:tab w:val="right" w:pos="7200"/>
      </w:tabs>
      <w:spacing w:line="200" w:lineRule="atLeast"/>
    </w:pPr>
    <w:rPr>
      <w:noProof/>
      <w:lang w:eastAsia="en-US"/>
    </w:rPr>
  </w:style>
  <w:style w:type="paragraph" w:styleId="Footer">
    <w:name w:val="footer"/>
    <w:basedOn w:val="Header"/>
    <w:rsid w:val="008B0184"/>
  </w:style>
  <w:style w:type="character" w:styleId="FootnoteReference">
    <w:name w:val="footnote reference"/>
    <w:semiHidden/>
    <w:rsid w:val="008B0184"/>
    <w:rPr>
      <w:vertAlign w:val="superscript"/>
    </w:rPr>
  </w:style>
  <w:style w:type="paragraph" w:styleId="FootnoteText">
    <w:name w:val="footnote text"/>
    <w:basedOn w:val="Normal"/>
    <w:semiHidden/>
    <w:rsid w:val="008B0184"/>
    <w:rPr>
      <w:rFonts w:ascii="Univers" w:hAnsi="Univers"/>
    </w:rPr>
  </w:style>
  <w:style w:type="character" w:styleId="Hyperlink">
    <w:name w:val="Hyperlink"/>
    <w:basedOn w:val="DefaultParagraphFont"/>
    <w:rsid w:val="008B0184"/>
    <w:rPr>
      <w:color w:val="0000FF"/>
      <w:u w:val="single"/>
    </w:rPr>
  </w:style>
  <w:style w:type="character" w:customStyle="1" w:styleId="MTEquationSection">
    <w:name w:val="MTEquationSection"/>
    <w:basedOn w:val="DefaultParagraphFont"/>
    <w:rsid w:val="008B0184"/>
    <w:rPr>
      <w:vanish/>
      <w:color w:val="FF0000"/>
    </w:rPr>
  </w:style>
  <w:style w:type="character" w:styleId="PageNumber">
    <w:name w:val="page number"/>
    <w:basedOn w:val="DefaultParagraphFont"/>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DefaultParagraphFont"/>
    <w:rsid w:val="008B0184"/>
    <w:rPr>
      <w:sz w:val="18"/>
      <w:lang w:val="en-US" w:eastAsia="en-US" w:bidi="ar-SA"/>
    </w:rPr>
  </w:style>
  <w:style w:type="character" w:styleId="CommentReference">
    <w:name w:val="annotation reference"/>
    <w:basedOn w:val="DefaultParagraphFont"/>
    <w:semiHidden/>
    <w:rsid w:val="008B0184"/>
    <w:rPr>
      <w:sz w:val="16"/>
      <w:szCs w:val="16"/>
    </w:rPr>
  </w:style>
  <w:style w:type="paragraph" w:styleId="CommentText">
    <w:name w:val="annotation text"/>
    <w:basedOn w:val="Normal"/>
    <w:semiHidden/>
    <w:rsid w:val="008B0184"/>
  </w:style>
  <w:style w:type="paragraph" w:styleId="CommentSubject">
    <w:name w:val="annotation subject"/>
    <w:basedOn w:val="CommentText"/>
    <w:next w:val="CommentText"/>
    <w:semiHidden/>
    <w:rsid w:val="008B0184"/>
    <w:rPr>
      <w:b/>
      <w:bCs/>
    </w:rPr>
  </w:style>
  <w:style w:type="paragraph" w:styleId="BalloonText">
    <w:name w:val="Balloon Text"/>
    <w:basedOn w:val="Normal"/>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ilvl w:val="0"/>
        <w:numId w:val="0"/>
      </w:numPr>
    </w:pPr>
  </w:style>
  <w:style w:type="character" w:customStyle="1" w:styleId="underline1">
    <w:name w:val="underline1"/>
    <w:basedOn w:val="DefaultParagraphFont"/>
    <w:rsid w:val="00F06842"/>
    <w:rPr>
      <w:u w:val="single"/>
    </w:rPr>
  </w:style>
  <w:style w:type="paragraph" w:customStyle="1" w:styleId="ElsevierBodyTextCentredNospace">
    <w:name w:val="Elsevier Body Text Centred No space"/>
    <w:basedOn w:val="Normal"/>
    <w:qFormat/>
    <w:rsid w:val="00F06842"/>
    <w:pPr>
      <w:jc w:val="center"/>
    </w:pPr>
    <w:rPr>
      <w:bCs/>
      <w:iCs/>
      <w:color w:val="000000" w:themeColor="text1"/>
      <w:sz w:val="22"/>
      <w:szCs w:val="24"/>
      <w:lang w:val="en-US"/>
    </w:rPr>
  </w:style>
  <w:style w:type="paragraph" w:styleId="ListParagraph">
    <w:name w:val="List Paragraph"/>
    <w:basedOn w:val="Normal"/>
    <w:uiPriority w:val="34"/>
    <w:qFormat/>
    <w:rsid w:val="00B31935"/>
    <w:pPr>
      <w:ind w:left="720"/>
      <w:contextualSpacing/>
    </w:pPr>
    <w:rPr>
      <w:rFonts w:asciiTheme="majorBidi" w:eastAsiaTheme="minorHAnsi" w:hAnsiTheme="majorBidi" w:cstheme="minorBidi"/>
      <w:szCs w:val="24"/>
    </w:rPr>
  </w:style>
  <w:style w:type="table" w:styleId="ListTable6Colorful">
    <w:name w:val="List Table 6 Colorful"/>
    <w:basedOn w:val="TableNormal"/>
    <w:uiPriority w:val="51"/>
    <w:rsid w:val="00633F36"/>
    <w:rPr>
      <w:rFonts w:asciiTheme="minorHAnsi" w:eastAsiaTheme="minorHAnsi" w:hAnsiTheme="minorHAnsi" w:cstheme="minorBidi"/>
      <w:color w:val="000000" w:themeColor="text1"/>
      <w:sz w:val="24"/>
      <w:szCs w:val="24"/>
      <w:lang w:val="en-QA"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Grid">
    <w:name w:val="Table Grid"/>
    <w:basedOn w:val="TableNormal"/>
    <w:rsid w:val="00B624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1078A"/>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411340">
      <w:bodyDiv w:val="1"/>
      <w:marLeft w:val="0"/>
      <w:marRight w:val="0"/>
      <w:marTop w:val="0"/>
      <w:marBottom w:val="0"/>
      <w:divBdr>
        <w:top w:val="none" w:sz="0" w:space="0" w:color="auto"/>
        <w:left w:val="none" w:sz="0" w:space="0" w:color="auto"/>
        <w:bottom w:val="none" w:sz="0" w:space="0" w:color="auto"/>
        <w:right w:val="none" w:sz="0" w:space="0" w:color="auto"/>
      </w:divBdr>
    </w:div>
    <w:div w:id="561914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3E2F4-26EE-44BD-8E75-3C13B71AC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C:\Users\marinakisk\KOSTAS-10 July 2017\books\book proposals\Computer Aided Chemical Engineering\Instructions\Chapter.dotx</Template>
  <TotalTime>197</TotalTime>
  <Pages>6</Pages>
  <Words>5800</Words>
  <Characters>33066</Characters>
  <Application>Microsoft Office Word</Application>
  <DocSecurity>0</DocSecurity>
  <Lines>275</Lines>
  <Paragraphs>77</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Chapter</vt:lpstr>
      <vt:lpstr>Chapter</vt:lpstr>
    </vt:vector>
  </TitlesOfParts>
  <Company>Elsevier Science</Company>
  <LinksUpToDate>false</LinksUpToDate>
  <CharactersWithSpaces>38789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creator>Kostas</dc:creator>
  <cp:lastModifiedBy>Fatima-Zahra Lahlou</cp:lastModifiedBy>
  <cp:revision>31</cp:revision>
  <cp:lastPrinted>2004-12-17T09:20:00Z</cp:lastPrinted>
  <dcterms:created xsi:type="dcterms:W3CDTF">2023-11-19T08:18:00Z</dcterms:created>
  <dcterms:modified xsi:type="dcterms:W3CDTF">2023-12-28T12:54:00Z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y fmtid="{D5CDD505-2E9C-101B-9397-08002B2CF9AE}" pid="10" name="Mendeley Document_1">
    <vt:lpwstr>True</vt:lpwstr>
  </property>
  <property fmtid="{D5CDD505-2E9C-101B-9397-08002B2CF9AE}" pid="11" name="Mendeley Unique User Id_1">
    <vt:lpwstr>8889660b-1402-3fb1-92dd-adcc371a73c7</vt:lpwstr>
  </property>
  <property fmtid="{D5CDD505-2E9C-101B-9397-08002B2CF9AE}" pid="12" name="Mendeley Citation Style_1">
    <vt:lpwstr>http://www.zotero.org/styles/journal-of-cleaner-production</vt:lpwstr>
  </property>
  <property fmtid="{D5CDD505-2E9C-101B-9397-08002B2CF9AE}" pid="13" name="Mendeley Recent Style Id 0_1">
    <vt:lpwstr>http://www.zotero.org/styles/american-medical-association</vt:lpwstr>
  </property>
  <property fmtid="{D5CDD505-2E9C-101B-9397-08002B2CF9AE}" pid="14" name="Mendeley Recent Style Name 0_1">
    <vt:lpwstr>American Medical Association 11th edition</vt:lpwstr>
  </property>
  <property fmtid="{D5CDD505-2E9C-101B-9397-08002B2CF9AE}" pid="15" name="Mendeley Recent Style Id 1_1">
    <vt:lpwstr>http://www.zotero.org/styles/american-sociological-association</vt:lpwstr>
  </property>
  <property fmtid="{D5CDD505-2E9C-101B-9397-08002B2CF9AE}" pid="16" name="Mendeley Recent Style Name 1_1">
    <vt:lpwstr>American Sociological Association 6th edition</vt:lpwstr>
  </property>
  <property fmtid="{D5CDD505-2E9C-101B-9397-08002B2CF9AE}" pid="17" name="Mendeley Recent Style Id 2_1">
    <vt:lpwstr>http://www.zotero.org/styles/biomolecules</vt:lpwstr>
  </property>
  <property fmtid="{D5CDD505-2E9C-101B-9397-08002B2CF9AE}" pid="18" name="Mendeley Recent Style Name 2_1">
    <vt:lpwstr>Biomolecules</vt:lpwstr>
  </property>
  <property fmtid="{D5CDD505-2E9C-101B-9397-08002B2CF9AE}" pid="19" name="Mendeley Recent Style Id 3_1">
    <vt:lpwstr>http://www.zotero.org/styles/chemosphere</vt:lpwstr>
  </property>
  <property fmtid="{D5CDD505-2E9C-101B-9397-08002B2CF9AE}" pid="20" name="Mendeley Recent Style Name 3_1">
    <vt:lpwstr>Chemosphere</vt:lpwstr>
  </property>
  <property fmtid="{D5CDD505-2E9C-101B-9397-08002B2CF9AE}" pid="21" name="Mendeley Recent Style Id 4_1">
    <vt:lpwstr>http://www.zotero.org/styles/chicago-author-date</vt:lpwstr>
  </property>
  <property fmtid="{D5CDD505-2E9C-101B-9397-08002B2CF9AE}" pid="22" name="Mendeley Recent Style Name 4_1">
    <vt:lpwstr>Chicago Manual of Style 17th edition (author-date)</vt:lpwstr>
  </property>
  <property fmtid="{D5CDD505-2E9C-101B-9397-08002B2CF9AE}" pid="23" name="Mendeley Recent Style Id 5_1">
    <vt:lpwstr>http://www.zotero.org/styles/chicago-note-bibliography</vt:lpwstr>
  </property>
  <property fmtid="{D5CDD505-2E9C-101B-9397-08002B2CF9AE}" pid="24" name="Mendeley Recent Style Name 5_1">
    <vt:lpwstr>Chicago Manual of Style 17th edition (note)</vt:lpwstr>
  </property>
  <property fmtid="{D5CDD505-2E9C-101B-9397-08002B2CF9AE}" pid="25" name="Mendeley Recent Style Id 6_1">
    <vt:lpwstr>http://www.zotero.org/styles/ieee</vt:lpwstr>
  </property>
  <property fmtid="{D5CDD505-2E9C-101B-9397-08002B2CF9AE}" pid="26" name="Mendeley Recent Style Name 6_1">
    <vt:lpwstr>IEEE</vt:lpwstr>
  </property>
  <property fmtid="{D5CDD505-2E9C-101B-9397-08002B2CF9AE}" pid="27" name="Mendeley Recent Style Id 7_1">
    <vt:lpwstr>http://www.zotero.org/styles/iop-conference-series-earth-and-environmental-science</vt:lpwstr>
  </property>
  <property fmtid="{D5CDD505-2E9C-101B-9397-08002B2CF9AE}" pid="28" name="Mendeley Recent Style Name 7_1">
    <vt:lpwstr>IOP Conference Series: Earth and Environmental Science</vt:lpwstr>
  </property>
  <property fmtid="{D5CDD505-2E9C-101B-9397-08002B2CF9AE}" pid="29" name="Mendeley Recent Style Id 8_1">
    <vt:lpwstr>http://www.zotero.org/styles/journal-of-cleaner-production</vt:lpwstr>
  </property>
  <property fmtid="{D5CDD505-2E9C-101B-9397-08002B2CF9AE}" pid="30" name="Mendeley Recent Style Name 8_1">
    <vt:lpwstr>Journal of Cleaner Production</vt:lpwstr>
  </property>
  <property fmtid="{D5CDD505-2E9C-101B-9397-08002B2CF9AE}" pid="31" name="Mendeley Recent Style Id 9_1">
    <vt:lpwstr>http://www.zotero.org/styles/water-resources-research</vt:lpwstr>
  </property>
  <property fmtid="{D5CDD505-2E9C-101B-9397-08002B2CF9AE}" pid="32" name="Mendeley Recent Style Name 9_1">
    <vt:lpwstr>Water Resources Research</vt:lpwstr>
  </property>
</Properties>
</file>