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674239B" w:rsidR="00DD3D9E" w:rsidRPr="003614C5" w:rsidRDefault="005C0FA2">
      <w:pPr>
        <w:pStyle w:val="Els-Title"/>
        <w:rPr>
          <w:color w:val="000000" w:themeColor="text1"/>
        </w:rPr>
      </w:pPr>
      <w:r w:rsidRPr="003614C5">
        <w:rPr>
          <w:color w:val="000000" w:themeColor="text1"/>
        </w:rPr>
        <w:t>Teaching Process Design – Quo Vadis?</w:t>
      </w:r>
    </w:p>
    <w:p w14:paraId="144DE680" w14:textId="6B5CFA71" w:rsidR="00DD3D9E" w:rsidRPr="003614C5" w:rsidRDefault="005C0FA2" w:rsidP="007D1B3D">
      <w:pPr>
        <w:pStyle w:val="Els-Author"/>
        <w:spacing w:after="0" w:line="240" w:lineRule="exact"/>
        <w:jc w:val="both"/>
      </w:pPr>
      <w:r w:rsidRPr="003614C5">
        <w:t>Daniel R. Lewin,</w:t>
      </w:r>
      <w:r w:rsidRPr="003614C5">
        <w:rPr>
          <w:vertAlign w:val="superscript"/>
        </w:rPr>
        <w:t>a</w:t>
      </w:r>
      <w:r w:rsidR="00871D1B" w:rsidRPr="003614C5">
        <w:rPr>
          <w:vertAlign w:val="superscript"/>
        </w:rPr>
        <w:t>*</w:t>
      </w:r>
      <w:r w:rsidRPr="003614C5">
        <w:t xml:space="preserve"> Thomas A. Adams II,</w:t>
      </w:r>
      <w:r w:rsidRPr="003614C5">
        <w:rPr>
          <w:vertAlign w:val="superscript"/>
        </w:rPr>
        <w:t>b</w:t>
      </w:r>
      <w:r w:rsidRPr="003614C5">
        <w:t xml:space="preserve"> Dominik Bongartz,</w:t>
      </w:r>
      <w:r w:rsidRPr="003614C5">
        <w:rPr>
          <w:vertAlign w:val="superscript"/>
        </w:rPr>
        <w:t>c</w:t>
      </w:r>
      <w:r w:rsidRPr="003614C5">
        <w:t xml:space="preserve"> Grégoire Léonard,</w:t>
      </w:r>
      <w:r w:rsidRPr="003614C5">
        <w:rPr>
          <w:vertAlign w:val="superscript"/>
        </w:rPr>
        <w:t>d</w:t>
      </w:r>
      <w:r w:rsidRPr="003614C5">
        <w:t xml:space="preserve"> Seyed Soheil Mansouri,</w:t>
      </w:r>
      <w:r w:rsidRPr="003614C5">
        <w:rPr>
          <w:vertAlign w:val="superscript"/>
        </w:rPr>
        <w:t>e</w:t>
      </w:r>
      <w:r w:rsidRPr="003614C5">
        <w:t xml:space="preserve"> Fernando G. Martins,</w:t>
      </w:r>
      <w:r w:rsidRPr="003614C5">
        <w:rPr>
          <w:vertAlign w:val="superscript"/>
        </w:rPr>
        <w:t>f</w:t>
      </w:r>
      <w:r w:rsidRPr="003614C5">
        <w:t xml:space="preserve"> Iqbal </w:t>
      </w:r>
      <w:r w:rsidR="007D1B3D" w:rsidRPr="003614C5">
        <w:t xml:space="preserve">I. </w:t>
      </w:r>
      <w:r w:rsidRPr="003614C5">
        <w:t>Mujtaba,</w:t>
      </w:r>
      <w:r w:rsidRPr="003614C5">
        <w:rPr>
          <w:vertAlign w:val="superscript"/>
        </w:rPr>
        <w:t>g</w:t>
      </w:r>
      <w:r w:rsidRPr="003614C5">
        <w:t xml:space="preserve"> and Edwin Zondervan</w:t>
      </w:r>
      <w:r w:rsidRPr="003614C5">
        <w:rPr>
          <w:vertAlign w:val="superscript"/>
        </w:rPr>
        <w:t>h</w:t>
      </w:r>
    </w:p>
    <w:p w14:paraId="144DE681" w14:textId="67AFD6B6" w:rsidR="00DD3D9E" w:rsidRPr="003614C5" w:rsidRDefault="005C0FA2">
      <w:pPr>
        <w:pStyle w:val="Els-Affiliation"/>
      </w:pPr>
      <w:r w:rsidRPr="003614C5">
        <w:rPr>
          <w:vertAlign w:val="superscript"/>
        </w:rPr>
        <w:t>a</w:t>
      </w:r>
      <w:r w:rsidRPr="003614C5">
        <w:t>Department of Chemical Engineering, Technion I. I. T., Haifa 32000, Israel</w:t>
      </w:r>
    </w:p>
    <w:p w14:paraId="144DE682" w14:textId="421FB3B2" w:rsidR="00DD3D9E" w:rsidRPr="003614C5" w:rsidRDefault="005C0FA2">
      <w:pPr>
        <w:pStyle w:val="Els-Affiliation"/>
      </w:pPr>
      <w:r w:rsidRPr="003614C5">
        <w:rPr>
          <w:vertAlign w:val="superscript"/>
        </w:rPr>
        <w:t>b</w:t>
      </w:r>
      <w:r w:rsidRPr="003614C5">
        <w:t>Department of Energy and Process Engineering, Norwegian University of Science and Technology, Norway</w:t>
      </w:r>
    </w:p>
    <w:p w14:paraId="0618A8D5" w14:textId="2992C04A" w:rsidR="005C0FA2" w:rsidRPr="003614C5" w:rsidRDefault="005C0FA2">
      <w:pPr>
        <w:pStyle w:val="Els-Affiliation"/>
        <w:rPr>
          <w:rFonts w:asciiTheme="majorBidi" w:hAnsiTheme="majorBidi" w:cstheme="majorBidi"/>
        </w:rPr>
      </w:pPr>
      <w:r w:rsidRPr="003614C5">
        <w:rPr>
          <w:rFonts w:asciiTheme="majorBidi" w:eastAsia="Calibri" w:hAnsiTheme="majorBidi" w:cstheme="majorBidi"/>
          <w:vertAlign w:val="superscript"/>
        </w:rPr>
        <w:t>c</w:t>
      </w:r>
      <w:r w:rsidRPr="003614C5">
        <w:rPr>
          <w:rFonts w:asciiTheme="majorBidi" w:eastAsia="Calibri" w:hAnsiTheme="majorBidi" w:cstheme="majorBidi"/>
        </w:rPr>
        <w:t>Department of Chemical Engineering, KU Leuven, Belgium</w:t>
      </w:r>
    </w:p>
    <w:p w14:paraId="50F89E76" w14:textId="77777777" w:rsidR="005C0FA2" w:rsidRPr="003614C5" w:rsidRDefault="005C0FA2" w:rsidP="005C0FA2">
      <w:pPr>
        <w:rPr>
          <w:rFonts w:asciiTheme="majorBidi" w:eastAsia="Calibri" w:hAnsiTheme="majorBidi" w:cstheme="majorBidi"/>
          <w:i/>
        </w:rPr>
      </w:pPr>
      <w:r w:rsidRPr="003614C5">
        <w:rPr>
          <w:rFonts w:asciiTheme="majorBidi" w:eastAsia="Calibri" w:hAnsiTheme="majorBidi" w:cstheme="majorBidi"/>
          <w:i/>
          <w:vertAlign w:val="superscript"/>
        </w:rPr>
        <w:t>d</w:t>
      </w:r>
      <w:r w:rsidRPr="003614C5">
        <w:rPr>
          <w:rFonts w:asciiTheme="majorBidi" w:eastAsia="Calibri" w:hAnsiTheme="majorBidi" w:cstheme="majorBidi"/>
          <w:i/>
        </w:rPr>
        <w:t>Department of Chemical Engineering, University of Liège, Belgium</w:t>
      </w:r>
    </w:p>
    <w:p w14:paraId="6CE3FF0A" w14:textId="77777777" w:rsidR="005C0FA2" w:rsidRPr="003614C5" w:rsidRDefault="005C0FA2" w:rsidP="005C0FA2">
      <w:pPr>
        <w:rPr>
          <w:rFonts w:asciiTheme="majorBidi" w:eastAsia="Calibri" w:hAnsiTheme="majorBidi" w:cstheme="majorBidi"/>
          <w:i/>
        </w:rPr>
      </w:pPr>
      <w:r w:rsidRPr="003614C5">
        <w:rPr>
          <w:rFonts w:asciiTheme="majorBidi" w:eastAsia="Calibri" w:hAnsiTheme="majorBidi" w:cstheme="majorBidi"/>
          <w:i/>
          <w:vertAlign w:val="superscript"/>
        </w:rPr>
        <w:t>e</w:t>
      </w:r>
      <w:r w:rsidRPr="003614C5">
        <w:rPr>
          <w:rFonts w:asciiTheme="majorBidi" w:eastAsia="Calibri" w:hAnsiTheme="majorBidi" w:cstheme="majorBidi"/>
          <w:i/>
        </w:rPr>
        <w:t>Department of Chemical and Biochemical Engineering, Technical University of Denmark, Denmark</w:t>
      </w:r>
    </w:p>
    <w:p w14:paraId="01BC0B3D" w14:textId="77777777" w:rsidR="005C0FA2" w:rsidRPr="003614C5" w:rsidRDefault="005C0FA2" w:rsidP="005C0FA2">
      <w:pPr>
        <w:rPr>
          <w:rFonts w:asciiTheme="majorBidi" w:eastAsia="Calibri" w:hAnsiTheme="majorBidi" w:cstheme="majorBidi"/>
          <w:i/>
        </w:rPr>
      </w:pPr>
      <w:r w:rsidRPr="003614C5">
        <w:rPr>
          <w:rFonts w:asciiTheme="majorBidi" w:eastAsia="Calibri" w:hAnsiTheme="majorBidi" w:cstheme="majorBidi"/>
          <w:i/>
          <w:vertAlign w:val="superscript"/>
        </w:rPr>
        <w:t>f</w:t>
      </w:r>
      <w:r w:rsidRPr="003614C5">
        <w:rPr>
          <w:rFonts w:asciiTheme="majorBidi" w:eastAsia="Calibri" w:hAnsiTheme="majorBidi" w:cstheme="majorBidi"/>
          <w:i/>
        </w:rPr>
        <w:t>LEPABE, Chemical Engineering Department, University of Porto, Portugal</w:t>
      </w:r>
    </w:p>
    <w:p w14:paraId="2607C627" w14:textId="77777777" w:rsidR="005C0FA2" w:rsidRPr="003614C5" w:rsidRDefault="005C0FA2" w:rsidP="005C0FA2">
      <w:pPr>
        <w:rPr>
          <w:rFonts w:asciiTheme="majorBidi" w:eastAsia="Calibri" w:hAnsiTheme="majorBidi" w:cstheme="majorBidi"/>
          <w:i/>
        </w:rPr>
      </w:pPr>
      <w:r w:rsidRPr="003614C5">
        <w:rPr>
          <w:rFonts w:asciiTheme="majorBidi" w:eastAsia="Calibri" w:hAnsiTheme="majorBidi" w:cstheme="majorBidi"/>
          <w:i/>
          <w:vertAlign w:val="superscript"/>
        </w:rPr>
        <w:t>g</w:t>
      </w:r>
      <w:r w:rsidRPr="003614C5">
        <w:rPr>
          <w:rFonts w:asciiTheme="majorBidi" w:eastAsia="Calibri" w:hAnsiTheme="majorBidi" w:cstheme="majorBidi"/>
          <w:i/>
        </w:rPr>
        <w:t>Chemical Engineering Department, University of Bradford, UK</w:t>
      </w:r>
    </w:p>
    <w:p w14:paraId="13499958" w14:textId="77777777" w:rsidR="005C0FA2" w:rsidRPr="003614C5" w:rsidRDefault="005C0FA2" w:rsidP="005C0FA2">
      <w:pPr>
        <w:rPr>
          <w:rFonts w:asciiTheme="majorBidi" w:eastAsia="Calibri" w:hAnsiTheme="majorBidi" w:cstheme="majorBidi"/>
          <w:i/>
        </w:rPr>
      </w:pPr>
      <w:r w:rsidRPr="003614C5">
        <w:rPr>
          <w:rFonts w:asciiTheme="majorBidi" w:eastAsia="Calibri" w:hAnsiTheme="majorBidi" w:cstheme="majorBidi"/>
          <w:i/>
          <w:vertAlign w:val="superscript"/>
        </w:rPr>
        <w:t>h</w:t>
      </w:r>
      <w:r w:rsidRPr="003614C5">
        <w:rPr>
          <w:rFonts w:asciiTheme="majorBidi" w:eastAsia="Calibri" w:hAnsiTheme="majorBidi" w:cstheme="majorBidi"/>
          <w:i/>
        </w:rPr>
        <w:t>Department of Chemical Engineering, University of Twente, Netherlands</w:t>
      </w:r>
    </w:p>
    <w:p w14:paraId="4D4513BB" w14:textId="77777777" w:rsidR="005C0FA2" w:rsidRPr="003614C5" w:rsidRDefault="005C0FA2">
      <w:pPr>
        <w:pStyle w:val="Els-Affiliation"/>
      </w:pPr>
    </w:p>
    <w:p w14:paraId="144DE683" w14:textId="6900C140" w:rsidR="008D2649" w:rsidRPr="003614C5" w:rsidRDefault="00871D1B" w:rsidP="008D2649">
      <w:pPr>
        <w:pStyle w:val="Els-Affiliation"/>
        <w:spacing w:after="120"/>
      </w:pPr>
      <w:r w:rsidRPr="003614C5">
        <w:rPr>
          <w:i w:val="0"/>
          <w:iCs/>
        </w:rPr>
        <w:t>*</w:t>
      </w:r>
      <w:r w:rsidR="005C0FA2" w:rsidRPr="003614C5">
        <w:rPr>
          <w:i w:val="0"/>
          <w:iCs/>
        </w:rPr>
        <w:t>Email for correspondance:</w:t>
      </w:r>
      <w:r w:rsidR="005C0FA2" w:rsidRPr="003614C5">
        <w:t xml:space="preserve"> dlewin</w:t>
      </w:r>
      <w:r w:rsidR="008D2649" w:rsidRPr="003614C5">
        <w:t>@</w:t>
      </w:r>
      <w:r w:rsidR="005C0FA2" w:rsidRPr="003614C5">
        <w:t>technion.ac.il</w:t>
      </w:r>
    </w:p>
    <w:p w14:paraId="144DE684" w14:textId="77777777" w:rsidR="008D2649" w:rsidRPr="003614C5" w:rsidRDefault="008D2649" w:rsidP="008D2649">
      <w:pPr>
        <w:pStyle w:val="Els-Abstract"/>
      </w:pPr>
      <w:r w:rsidRPr="003614C5">
        <w:t>Abstract</w:t>
      </w:r>
    </w:p>
    <w:p w14:paraId="144DE685" w14:textId="29B295FA" w:rsidR="008D2649" w:rsidRPr="003614C5" w:rsidRDefault="00675B46" w:rsidP="00774EC3">
      <w:pPr>
        <w:pStyle w:val="Els-body-text"/>
        <w:spacing w:after="60"/>
        <w:rPr>
          <w:lang w:val="en-GB"/>
        </w:rPr>
      </w:pPr>
      <w:r w:rsidRPr="003614C5">
        <w:rPr>
          <w:lang w:val="en-GB"/>
        </w:rPr>
        <w:t xml:space="preserve">The capstone course in chemical process design, together with its associated design project is the acid test to gauge the mastery of trainee chemical engineers. There is no other component in the chemical engineering curriculum that performs this function to this degree. </w:t>
      </w:r>
      <w:r w:rsidR="00595C72" w:rsidRPr="003614C5">
        <w:rPr>
          <w:lang w:val="en-GB"/>
        </w:rPr>
        <w:t>This paper presents the results of a</w:t>
      </w:r>
      <w:r w:rsidR="004C2D69" w:rsidRPr="003614C5">
        <w:rPr>
          <w:lang w:val="en-GB"/>
        </w:rPr>
        <w:t>n international</w:t>
      </w:r>
      <w:r w:rsidR="00595C72" w:rsidRPr="003614C5">
        <w:rPr>
          <w:lang w:val="en-GB"/>
        </w:rPr>
        <w:t xml:space="preserve"> survey to investigate the current teaching practice</w:t>
      </w:r>
      <w:r w:rsidR="004C2D69" w:rsidRPr="003614C5">
        <w:rPr>
          <w:lang w:val="en-GB"/>
        </w:rPr>
        <w:t>s</w:t>
      </w:r>
      <w:r w:rsidR="00595C72" w:rsidRPr="003614C5">
        <w:rPr>
          <w:lang w:val="en-GB"/>
        </w:rPr>
        <w:t xml:space="preserve"> with regards to instruction in chemical process design.</w:t>
      </w:r>
      <w:r w:rsidR="003630CD" w:rsidRPr="003614C5">
        <w:rPr>
          <w:lang w:val="en-GB"/>
        </w:rPr>
        <w:t xml:space="preserve"> </w:t>
      </w:r>
      <w:r w:rsidR="00774EC3" w:rsidRPr="003614C5">
        <w:rPr>
          <w:lang w:val="en-GB"/>
        </w:rPr>
        <w:t>The results indicate that virtually all capstone courses have substantial group-based design projects. Process simulation is used extensively, while the targeted technical skills are often still classical design and economic evaluation techniques. Heat integration is also very highly considered (9</w:t>
      </w:r>
      <w:r w:rsidR="00186BC9" w:rsidRPr="003614C5">
        <w:rPr>
          <w:lang w:val="en-GB"/>
        </w:rPr>
        <w:t>3</w:t>
      </w:r>
      <w:r w:rsidR="00774EC3" w:rsidRPr="003614C5">
        <w:rPr>
          <w:lang w:val="en-GB"/>
        </w:rPr>
        <w:t>% of respondents) perhaps reflecting awareness of global energy issues. Interestingly, the way teaching session time is distributed between activities (e.g. lecturing versus active learning techniques) falls into a clear bimodal distribution, reflecting distinct teaching philosophies and styles.</w:t>
      </w:r>
    </w:p>
    <w:p w14:paraId="144DE687" w14:textId="7F7996D2" w:rsidR="008D2649" w:rsidRPr="003614C5" w:rsidRDefault="008D2649" w:rsidP="00774EC3">
      <w:pPr>
        <w:pStyle w:val="Els-body-text"/>
        <w:rPr>
          <w:lang w:val="en-GB"/>
        </w:rPr>
      </w:pPr>
      <w:r w:rsidRPr="003614C5">
        <w:rPr>
          <w:b/>
          <w:bCs/>
          <w:lang w:val="en-GB"/>
        </w:rPr>
        <w:t>Keywords</w:t>
      </w:r>
      <w:r w:rsidRPr="003614C5">
        <w:rPr>
          <w:lang w:val="en-GB"/>
        </w:rPr>
        <w:t xml:space="preserve">: </w:t>
      </w:r>
      <w:r w:rsidR="00595C72" w:rsidRPr="003614C5">
        <w:rPr>
          <w:lang w:val="en-GB"/>
        </w:rPr>
        <w:t xml:space="preserve">Capstone design, Process design instruction, Design project, Active learning.  </w:t>
      </w:r>
    </w:p>
    <w:p w14:paraId="144DE689" w14:textId="298C2B28" w:rsidR="008D2649" w:rsidRPr="003614C5" w:rsidRDefault="007D1B3D" w:rsidP="00774EC3">
      <w:pPr>
        <w:pStyle w:val="Els-1storder-head"/>
        <w:spacing w:before="120" w:line="240" w:lineRule="auto"/>
      </w:pPr>
      <w:r w:rsidRPr="003614C5">
        <w:t>Introduction</w:t>
      </w:r>
    </w:p>
    <w:p w14:paraId="4084010C" w14:textId="1336658A" w:rsidR="00BD4BA0" w:rsidRPr="003614C5" w:rsidRDefault="00BD4BA0" w:rsidP="00BD4BA0">
      <w:pPr>
        <w:pStyle w:val="Els-body-text"/>
        <w:spacing w:before="120"/>
        <w:rPr>
          <w:i/>
          <w:iCs/>
          <w:sz w:val="18"/>
          <w:szCs w:val="18"/>
        </w:rPr>
      </w:pPr>
      <w:r w:rsidRPr="003614C5">
        <w:rPr>
          <w:sz w:val="18"/>
          <w:szCs w:val="18"/>
        </w:rPr>
        <w:t xml:space="preserve">“The design course will become even more important given the challenges posed by increasing relevance of designing sustainable process and energy systems. Chemical Engineering as a discipline should recognize this fact and not treat process design a </w:t>
      </w:r>
      <w:r w:rsidR="004C2D69" w:rsidRPr="003614C5">
        <w:rPr>
          <w:sz w:val="18"/>
          <w:szCs w:val="18"/>
        </w:rPr>
        <w:t>second-class</w:t>
      </w:r>
      <w:r w:rsidRPr="003614C5">
        <w:rPr>
          <w:sz w:val="18"/>
          <w:szCs w:val="18"/>
        </w:rPr>
        <w:t xml:space="preserve"> course as is done by a number of universities.” </w:t>
      </w:r>
      <w:r w:rsidRPr="003614C5">
        <w:rPr>
          <w:i/>
          <w:iCs/>
          <w:sz w:val="18"/>
          <w:szCs w:val="18"/>
        </w:rPr>
        <w:t>Ignacio Grossmann, CMU</w:t>
      </w:r>
    </w:p>
    <w:p w14:paraId="421C65A3" w14:textId="19010E82" w:rsidR="00EB66D4" w:rsidRPr="003614C5" w:rsidRDefault="00EB66D4" w:rsidP="00BD4BA0">
      <w:pPr>
        <w:pStyle w:val="Els-body-text"/>
        <w:spacing w:before="60"/>
        <w:rPr>
          <w:lang w:val="en-GB"/>
        </w:rPr>
      </w:pPr>
      <w:r w:rsidRPr="003614C5">
        <w:rPr>
          <w:lang w:val="en-GB"/>
        </w:rPr>
        <w:t>Process design is a core component of chemical</w:t>
      </w:r>
      <w:r w:rsidR="004C2D69" w:rsidRPr="003614C5">
        <w:rPr>
          <w:lang w:val="en-GB"/>
        </w:rPr>
        <w:t xml:space="preserve"> and biochemical</w:t>
      </w:r>
      <w:r w:rsidRPr="003614C5">
        <w:rPr>
          <w:lang w:val="en-GB"/>
        </w:rPr>
        <w:t xml:space="preserve"> engineering education. In most universities and institutions, the process design course either involves or is followed by an extensive design project. The design project is often considered a core activity in the education of future chemical engineers because it develops their skills in creative</w:t>
      </w:r>
      <w:r w:rsidR="004C2D69" w:rsidRPr="003614C5">
        <w:rPr>
          <w:lang w:val="en-GB"/>
        </w:rPr>
        <w:t>, innovative</w:t>
      </w:r>
      <w:r w:rsidR="000A07AC" w:rsidRPr="003614C5">
        <w:rPr>
          <w:lang w:val="en-GB"/>
        </w:rPr>
        <w:t>,</w:t>
      </w:r>
      <w:r w:rsidRPr="003614C5">
        <w:rPr>
          <w:lang w:val="en-GB"/>
        </w:rPr>
        <w:t xml:space="preserve"> and critical thinking beyond the boundaries of their acquired knowledge, as well as in collaboration in a team. </w:t>
      </w:r>
      <w:r w:rsidR="00C1798E" w:rsidRPr="003614C5">
        <w:rPr>
          <w:lang w:val="en-GB"/>
        </w:rPr>
        <w:t xml:space="preserve">It also integrates the various technical topics into a single project, evidencing the interdependence between classes that are usually taught separately and leading the students to acquire a general overview of chemical engineering activities. </w:t>
      </w:r>
      <w:r w:rsidRPr="003614C5">
        <w:rPr>
          <w:lang w:val="en-GB"/>
        </w:rPr>
        <w:t xml:space="preserve">Such skills are likely </w:t>
      </w:r>
      <w:r w:rsidR="00725BFB" w:rsidRPr="003614C5">
        <w:rPr>
          <w:lang w:val="en-GB"/>
        </w:rPr>
        <w:t xml:space="preserve">to be </w:t>
      </w:r>
      <w:r w:rsidRPr="003614C5">
        <w:rPr>
          <w:lang w:val="en-GB"/>
        </w:rPr>
        <w:t xml:space="preserve">crucial to empower students </w:t>
      </w:r>
      <w:r w:rsidRPr="003614C5">
        <w:rPr>
          <w:lang w:val="en-GB"/>
        </w:rPr>
        <w:lastRenderedPageBreak/>
        <w:t>to develop process technologies that respond to the relevant future challenges in process design</w:t>
      </w:r>
      <w:r w:rsidR="005A0851" w:rsidRPr="003614C5">
        <w:rPr>
          <w:lang w:val="en-GB"/>
        </w:rPr>
        <w:t xml:space="preserve"> and</w:t>
      </w:r>
      <w:r w:rsidR="00C1798E" w:rsidRPr="003614C5">
        <w:rPr>
          <w:lang w:val="en-GB"/>
        </w:rPr>
        <w:t>/</w:t>
      </w:r>
      <w:r w:rsidR="005A0851" w:rsidRPr="003614C5">
        <w:rPr>
          <w:lang w:val="en-GB"/>
        </w:rPr>
        <w:t>or of the world</w:t>
      </w:r>
      <w:r w:rsidRPr="003614C5">
        <w:rPr>
          <w:lang w:val="en-GB"/>
        </w:rPr>
        <w:t xml:space="preserve">. These future challenges include accommodating alternative raw materials and energy resources, </w:t>
      </w:r>
      <w:r w:rsidR="00870834" w:rsidRPr="003614C5">
        <w:rPr>
          <w:lang w:val="en-GB"/>
        </w:rPr>
        <w:t xml:space="preserve">alternative or </w:t>
      </w:r>
      <w:r w:rsidRPr="003614C5">
        <w:rPr>
          <w:lang w:val="en-GB"/>
        </w:rPr>
        <w:t xml:space="preserve">more flexible production schedules, </w:t>
      </w:r>
      <w:r w:rsidR="00080A18" w:rsidRPr="003614C5">
        <w:rPr>
          <w:lang w:val="en-GB"/>
        </w:rPr>
        <w:t>engineering ethics</w:t>
      </w:r>
      <w:r w:rsidR="00CA72DB" w:rsidRPr="003614C5">
        <w:rPr>
          <w:lang w:val="en-GB"/>
        </w:rPr>
        <w:t>,</w:t>
      </w:r>
      <w:r w:rsidR="00C5575A" w:rsidRPr="003614C5">
        <w:rPr>
          <w:lang w:val="en-GB"/>
        </w:rPr>
        <w:t xml:space="preserve"> health </w:t>
      </w:r>
      <w:r w:rsidR="005E2421" w:rsidRPr="003614C5">
        <w:rPr>
          <w:lang w:val="en-GB"/>
        </w:rPr>
        <w:t>and</w:t>
      </w:r>
      <w:r w:rsidR="00C5575A" w:rsidRPr="003614C5">
        <w:rPr>
          <w:lang w:val="en-GB"/>
        </w:rPr>
        <w:t xml:space="preserve"> safety</w:t>
      </w:r>
      <w:r w:rsidR="00CA72DB" w:rsidRPr="003614C5">
        <w:rPr>
          <w:lang w:val="en-GB"/>
        </w:rPr>
        <w:t xml:space="preserve"> </w:t>
      </w:r>
      <w:r w:rsidRPr="003614C5">
        <w:rPr>
          <w:lang w:val="en-GB"/>
        </w:rPr>
        <w:t>and addressing sustainability concerns (Lewin and Zondervan, 2022)</w:t>
      </w:r>
      <w:r w:rsidR="003928BE" w:rsidRPr="003614C5">
        <w:rPr>
          <w:lang w:val="en-GB"/>
        </w:rPr>
        <w:t xml:space="preserve"> </w:t>
      </w:r>
      <w:r w:rsidR="00493B00" w:rsidRPr="003614C5">
        <w:rPr>
          <w:lang w:val="en-GB"/>
        </w:rPr>
        <w:t>including</w:t>
      </w:r>
      <w:r w:rsidR="003928BE" w:rsidRPr="003614C5">
        <w:rPr>
          <w:lang w:val="en-GB"/>
        </w:rPr>
        <w:t xml:space="preserve"> </w:t>
      </w:r>
      <w:r w:rsidR="00493B00" w:rsidRPr="003614C5">
        <w:rPr>
          <w:lang w:val="en-GB"/>
        </w:rPr>
        <w:t xml:space="preserve">UN sustainable </w:t>
      </w:r>
      <w:r w:rsidR="008D5E6D" w:rsidRPr="003614C5">
        <w:rPr>
          <w:lang w:val="en-GB"/>
        </w:rPr>
        <w:t xml:space="preserve">development </w:t>
      </w:r>
      <w:r w:rsidR="00493B00" w:rsidRPr="003614C5">
        <w:rPr>
          <w:lang w:val="en-GB"/>
        </w:rPr>
        <w:t>goals</w:t>
      </w:r>
      <w:r w:rsidRPr="003614C5">
        <w:rPr>
          <w:lang w:val="en-GB"/>
        </w:rPr>
        <w:t xml:space="preserve">. Some schools already integrate </w:t>
      </w:r>
      <w:r w:rsidR="002F32E2">
        <w:rPr>
          <w:lang w:val="en-GB"/>
        </w:rPr>
        <w:t>several</w:t>
      </w:r>
      <w:r w:rsidRPr="003614C5">
        <w:rPr>
          <w:lang w:val="en-GB"/>
        </w:rPr>
        <w:t xml:space="preserve"> of these challenges in process design courses and design projects, e.g., water and energy conservation as well as CO</w:t>
      </w:r>
      <w:r w:rsidRPr="003614C5">
        <w:rPr>
          <w:vertAlign w:val="subscript"/>
          <w:lang w:val="en-GB"/>
        </w:rPr>
        <w:t>2</w:t>
      </w:r>
      <w:r w:rsidRPr="003614C5">
        <w:rPr>
          <w:lang w:val="en-GB"/>
        </w:rPr>
        <w:t xml:space="preserve"> capture, storage and utilization, and biologics manufacturing (El-Halwagi, 2017; Osman et al., 2020</w:t>
      </w:r>
      <w:r w:rsidR="00C1798E" w:rsidRPr="003614C5">
        <w:rPr>
          <w:lang w:val="en-GB"/>
        </w:rPr>
        <w:t>; Léonard et al., 2017</w:t>
      </w:r>
      <w:r w:rsidRPr="003614C5">
        <w:rPr>
          <w:lang w:val="en-GB"/>
        </w:rPr>
        <w:t xml:space="preserve">). At the same time, process design tools are also evolving, including, for example, increased emphasis on combination with data, digital twin concepts, or integration with virtual and augmented reality tools (Wu et al., 2022; Carberry et al., 2023). </w:t>
      </w:r>
    </w:p>
    <w:p w14:paraId="5673FA27" w14:textId="5296F92C" w:rsidR="00EB66D4" w:rsidRPr="003614C5" w:rsidRDefault="00EB66D4" w:rsidP="00BD4BA0">
      <w:pPr>
        <w:pStyle w:val="Els-body-text"/>
        <w:spacing w:after="120"/>
        <w:ind w:firstLine="284"/>
        <w:rPr>
          <w:lang w:val="en-GB"/>
        </w:rPr>
      </w:pPr>
      <w:r w:rsidRPr="003614C5">
        <w:rPr>
          <w:lang w:val="en-GB"/>
        </w:rPr>
        <w:t xml:space="preserve">Given this changing landscape in the field of process design, we present the outcomes of an extensive survey conducted on teachers/instructors of process design around the world to understand the state of the art in teaching process design in chemical and biochemical engineering. Similar surveys were conducted by </w:t>
      </w:r>
      <w:r w:rsidR="00871D1B" w:rsidRPr="003614C5">
        <w:rPr>
          <w:lang w:val="en-GB"/>
        </w:rPr>
        <w:t xml:space="preserve">Silverstein et al. (2013), and by </w:t>
      </w:r>
      <w:r w:rsidRPr="003614C5">
        <w:rPr>
          <w:lang w:val="en-GB"/>
        </w:rPr>
        <w:t>Ford et al. (2023)</w:t>
      </w:r>
      <w:r w:rsidR="00871D1B" w:rsidRPr="003614C5">
        <w:rPr>
          <w:lang w:val="en-GB"/>
        </w:rPr>
        <w:t xml:space="preserve">, with the second of these focussed only on university practice in the USA. </w:t>
      </w:r>
      <w:r w:rsidRPr="003614C5">
        <w:rPr>
          <w:lang w:val="en-GB"/>
        </w:rPr>
        <w:t xml:space="preserve">Changes in subject matter, methodology and teaching strategies in the last decade apparent from the responses of our survey </w:t>
      </w:r>
      <w:r w:rsidR="00A8151D" w:rsidRPr="003614C5">
        <w:rPr>
          <w:lang w:val="en-GB"/>
        </w:rPr>
        <w:t xml:space="preserve">are </w:t>
      </w:r>
      <w:r w:rsidRPr="003614C5">
        <w:rPr>
          <w:lang w:val="en-GB"/>
        </w:rPr>
        <w:t xml:space="preserve">highlighted to understand recent trends, as well as </w:t>
      </w:r>
      <w:r w:rsidR="00BE5937" w:rsidRPr="003614C5">
        <w:rPr>
          <w:lang w:val="en-GB"/>
        </w:rPr>
        <w:t xml:space="preserve">develop </w:t>
      </w:r>
      <w:r w:rsidRPr="003614C5">
        <w:rPr>
          <w:lang w:val="en-GB"/>
        </w:rPr>
        <w:t xml:space="preserve">a vision on how process design could be taught in the future. </w:t>
      </w:r>
    </w:p>
    <w:p w14:paraId="144DE699" w14:textId="198275A9" w:rsidR="008D2649" w:rsidRPr="003614C5" w:rsidRDefault="00527B30" w:rsidP="008D2649">
      <w:pPr>
        <w:pStyle w:val="Els-1storder-head"/>
      </w:pPr>
      <w:r w:rsidRPr="003614C5">
        <w:t xml:space="preserve">The </w:t>
      </w:r>
      <w:r w:rsidR="002E28B6" w:rsidRPr="003614C5">
        <w:t xml:space="preserve">2023 </w:t>
      </w:r>
      <w:r w:rsidRPr="003614C5">
        <w:t>Survey</w:t>
      </w:r>
      <w:r w:rsidR="002E28B6" w:rsidRPr="003614C5">
        <w:t xml:space="preserve"> on</w:t>
      </w:r>
      <w:r w:rsidR="00B85140" w:rsidRPr="003614C5">
        <w:t xml:space="preserve"> Process Design Teaching Practice</w:t>
      </w:r>
    </w:p>
    <w:p w14:paraId="5E5BE142" w14:textId="6575702D" w:rsidR="00141006" w:rsidRPr="003614C5" w:rsidRDefault="00141006" w:rsidP="00141006">
      <w:pPr>
        <w:pStyle w:val="Els-2ndorder-head"/>
      </w:pPr>
      <w:r w:rsidRPr="003614C5">
        <w:t>About the survey</w:t>
      </w:r>
    </w:p>
    <w:p w14:paraId="5B0AF367" w14:textId="2537B451" w:rsidR="00E53E1A" w:rsidRPr="003614C5" w:rsidRDefault="00E53E1A" w:rsidP="00E53E1A">
      <w:pPr>
        <w:pStyle w:val="Els-body-text"/>
      </w:pPr>
      <w:r w:rsidRPr="003614C5">
        <w:t xml:space="preserve">A survey </w:t>
      </w:r>
      <w:r w:rsidR="000E0B13" w:rsidRPr="003614C5">
        <w:t xml:space="preserve">to </w:t>
      </w:r>
      <w:r w:rsidR="00184263" w:rsidRPr="003614C5">
        <w:t>learn about the teaching practice of chemical process design was</w:t>
      </w:r>
      <w:r w:rsidRPr="003614C5">
        <w:t xml:space="preserve"> sent to </w:t>
      </w:r>
      <w:r w:rsidR="004F4772" w:rsidRPr="003614C5">
        <w:t>more than 1</w:t>
      </w:r>
      <w:r w:rsidRPr="003614C5">
        <w:t xml:space="preserve">60 academic colleagues around the world, most of which are known to be associated with their institutions’ efforts in teaching chemical process design. A particular effort was made to reach out to the leading schools teaching chemical engineering in the </w:t>
      </w:r>
      <w:r w:rsidR="00725BFB" w:rsidRPr="003614C5">
        <w:t>highest-ranked universities</w:t>
      </w:r>
      <w:r w:rsidRPr="003614C5">
        <w:t xml:space="preserve"> (e.g., the top 10 schools in the Q</w:t>
      </w:r>
      <w:r w:rsidR="004F4772" w:rsidRPr="003614C5">
        <w:t>S World University</w:t>
      </w:r>
      <w:r w:rsidRPr="003614C5">
        <w:t xml:space="preserve"> Rankings of 2021 and 2023)</w:t>
      </w:r>
      <w:r w:rsidR="004F4772" w:rsidRPr="003614C5">
        <w:t>.</w:t>
      </w:r>
      <w:r w:rsidRPr="003614C5">
        <w:t xml:space="preserve"> </w:t>
      </w:r>
      <w:r w:rsidR="00774EC3" w:rsidRPr="003614C5">
        <w:t>At the time of writing</w:t>
      </w:r>
      <w:r w:rsidR="005C61F2" w:rsidRPr="003614C5">
        <w:t>,</w:t>
      </w:r>
      <w:r w:rsidR="00774EC3" w:rsidRPr="003614C5">
        <w:t xml:space="preserve"> we have received </w:t>
      </w:r>
      <w:r w:rsidR="00186BC9" w:rsidRPr="003614C5">
        <w:t>50</w:t>
      </w:r>
      <w:r w:rsidR="00774EC3" w:rsidRPr="003614C5">
        <w:t xml:space="preserve"> responses to our survey</w:t>
      </w:r>
      <w:r w:rsidR="00186BC9" w:rsidRPr="003614C5">
        <w:t>, including at least 50% of the top 10 schools in the QS World Rankings for 2021 and 2023</w:t>
      </w:r>
      <w:r w:rsidRPr="003614C5">
        <w:t>.</w:t>
      </w:r>
      <w:r w:rsidR="000E0B13" w:rsidRPr="003614C5">
        <w:t xml:space="preserve"> </w:t>
      </w:r>
    </w:p>
    <w:p w14:paraId="11299123" w14:textId="235FF33C" w:rsidR="00B85140" w:rsidRPr="003614C5" w:rsidRDefault="000E0B13" w:rsidP="00430C6E">
      <w:pPr>
        <w:pStyle w:val="Els-body-text"/>
        <w:ind w:firstLine="284"/>
      </w:pPr>
      <w:r w:rsidRPr="003614C5">
        <w:t xml:space="preserve">The </w:t>
      </w:r>
      <w:r w:rsidR="00B85140" w:rsidRPr="003614C5">
        <w:t xml:space="preserve">purpose of the </w:t>
      </w:r>
      <w:r w:rsidRPr="003614C5">
        <w:t xml:space="preserve">survey </w:t>
      </w:r>
      <w:r w:rsidR="00B85140" w:rsidRPr="003614C5">
        <w:t>was to learn how chemical process design is taught in universities around the world. The central question is to determine to what extent design activities are taught in one or two design-specific courses at the end of the degree in chemical engineering (</w:t>
      </w:r>
      <w:r w:rsidR="004C2D69" w:rsidRPr="003614C5">
        <w:t>i.e.</w:t>
      </w:r>
      <w:r w:rsidR="00A96097" w:rsidRPr="003614C5">
        <w:t>,</w:t>
      </w:r>
      <w:r w:rsidR="00B85140" w:rsidRPr="003614C5">
        <w:t xml:space="preserve"> capstone design), rather than exposing students to chemical engineering design during the entire degree. The survey consisted of three parts: I – general questions; II – questions on how process design is taught (specifically in capstone design); III –questions on how the process design project – if there is one – is administered and assessed.</w:t>
      </w:r>
    </w:p>
    <w:p w14:paraId="3A1EF4A8" w14:textId="3B7129E6" w:rsidR="00141006" w:rsidRPr="003614C5" w:rsidRDefault="00141006" w:rsidP="00430C6E">
      <w:pPr>
        <w:pStyle w:val="Els-body-text"/>
        <w:ind w:firstLine="284"/>
      </w:pPr>
      <w:r w:rsidRPr="003614C5">
        <w:t xml:space="preserve">We shall now provide a review of the results extracted from the </w:t>
      </w:r>
      <w:r w:rsidR="00186BC9" w:rsidRPr="003614C5">
        <w:t>5</w:t>
      </w:r>
      <w:r w:rsidRPr="003614C5">
        <w:t>0 responses that we received, of which 5</w:t>
      </w:r>
      <w:r w:rsidR="00186BC9" w:rsidRPr="003614C5">
        <w:t>6</w:t>
      </w:r>
      <w:r w:rsidRPr="003614C5">
        <w:t xml:space="preserve">% were from European universities, </w:t>
      </w:r>
      <w:r w:rsidR="00186BC9" w:rsidRPr="003614C5">
        <w:t>20</w:t>
      </w:r>
      <w:r w:rsidRPr="003614C5">
        <w:t>% from North America, 1</w:t>
      </w:r>
      <w:r w:rsidR="00186BC9" w:rsidRPr="003614C5">
        <w:t>2</w:t>
      </w:r>
      <w:r w:rsidRPr="003614C5">
        <w:t xml:space="preserve">% from South America and the </w:t>
      </w:r>
      <w:r w:rsidR="006C49E5" w:rsidRPr="003614C5">
        <w:t>remaining 1</w:t>
      </w:r>
      <w:r w:rsidR="00186BC9" w:rsidRPr="003614C5">
        <w:t>2</w:t>
      </w:r>
      <w:r w:rsidR="006C49E5" w:rsidRPr="003614C5">
        <w:t xml:space="preserve">% </w:t>
      </w:r>
      <w:r w:rsidRPr="003614C5">
        <w:t>from Asia and Australasia. The responders are on the whole seasoned teachers of process design, with an average teaching experience of 13 years of teaching. The chemical engineering programs lead to either BSc or MSc, with an average degree length of 4.</w:t>
      </w:r>
      <w:r w:rsidR="00186BC9" w:rsidRPr="003614C5">
        <w:t>4</w:t>
      </w:r>
      <w:r w:rsidRPr="003614C5">
        <w:t xml:space="preserve"> years. The average class size taught by the responders is 5</w:t>
      </w:r>
      <w:r w:rsidR="00186BC9" w:rsidRPr="003614C5">
        <w:t>7</w:t>
      </w:r>
      <w:r w:rsidRPr="003614C5">
        <w:t>, but with a large standard deviation (</w:t>
      </w:r>
      <w:r w:rsidR="00186BC9" w:rsidRPr="003614C5">
        <w:t>45</w:t>
      </w:r>
      <w:r w:rsidRPr="003614C5">
        <w:t xml:space="preserve">). </w:t>
      </w:r>
    </w:p>
    <w:p w14:paraId="6576E945" w14:textId="0A190AC7" w:rsidR="00141006" w:rsidRPr="003614C5" w:rsidRDefault="00141006" w:rsidP="00141006">
      <w:pPr>
        <w:pStyle w:val="Els-2ndorder-head"/>
      </w:pPr>
      <w:r w:rsidRPr="003614C5">
        <w:t xml:space="preserve">What is taught in the capstone process design course </w:t>
      </w:r>
    </w:p>
    <w:p w14:paraId="3FAD9C84" w14:textId="77777777" w:rsidR="00C03DB1" w:rsidRPr="003614C5" w:rsidRDefault="00C03DB1" w:rsidP="00C03DB1">
      <w:pPr>
        <w:pStyle w:val="Els-body-text"/>
        <w:spacing w:before="120"/>
        <w:rPr>
          <w:i/>
          <w:iCs/>
          <w:sz w:val="18"/>
          <w:szCs w:val="18"/>
        </w:rPr>
      </w:pPr>
      <w:r w:rsidRPr="003614C5">
        <w:rPr>
          <w:sz w:val="18"/>
          <w:szCs w:val="18"/>
        </w:rPr>
        <w:t xml:space="preserve">“No one thinks the courses are easy and most students are glad they took them after they have graduated but find them challenging when they are taking them.” </w:t>
      </w:r>
      <w:r w:rsidRPr="003614C5">
        <w:rPr>
          <w:i/>
          <w:iCs/>
          <w:sz w:val="18"/>
          <w:szCs w:val="18"/>
        </w:rPr>
        <w:t>Marnie Jamieson, University of Alberta</w:t>
      </w:r>
    </w:p>
    <w:p w14:paraId="7102AB2B" w14:textId="7EE1CF4F" w:rsidR="00430C6E" w:rsidRPr="003614C5" w:rsidRDefault="00430C6E" w:rsidP="00AD5705">
      <w:pPr>
        <w:pStyle w:val="Els-body-text"/>
        <w:spacing w:before="60"/>
      </w:pPr>
      <w:r w:rsidRPr="003614C5">
        <w:lastRenderedPageBreak/>
        <w:t xml:space="preserve">As shown in Table 1, the technical skills taught in the capstone design course are </w:t>
      </w:r>
      <w:r w:rsidR="00AD5705" w:rsidRPr="003614C5">
        <w:t>those</w:t>
      </w:r>
      <w:r w:rsidRPr="003614C5">
        <w:t xml:space="preserve"> one would expect, with most institutions teaching the economic considerations associated with process design (e.g., plant cost estimation and profitability analysis), as well as technical design skills (e.g., heat integration, process synthesis, and design heuristics). Subjects more related to individual unit operations are somewhat less prevalent in the reported curricula, even when including systems of these units (e.g., separation sequencing and reactor selection and reactor network design). The less commonly included subjects are (surprisingly) safety, and to an even lesser extent, plantwide control and LCA. Not shown in the table are the soft skills that are taught in the course.</w:t>
      </w:r>
    </w:p>
    <w:p w14:paraId="75157421" w14:textId="0B38D6AA" w:rsidR="00640309" w:rsidRPr="003614C5" w:rsidRDefault="00640309" w:rsidP="00430C6E">
      <w:pPr>
        <w:pStyle w:val="Els-body-text"/>
        <w:spacing w:before="120"/>
      </w:pPr>
      <w:r w:rsidRPr="003614C5">
        <w:t xml:space="preserve">Table </w:t>
      </w:r>
      <w:r w:rsidR="00430C6E" w:rsidRPr="003614C5">
        <w:t>1</w:t>
      </w:r>
      <w:r w:rsidRPr="003614C5">
        <w:t>. Which technical skills are taught in the capstone design course.</w:t>
      </w:r>
    </w:p>
    <w:tbl>
      <w:tblPr>
        <w:tblW w:w="6110" w:type="dxa"/>
        <w:tblLook w:val="04A0" w:firstRow="1" w:lastRow="0" w:firstColumn="1" w:lastColumn="0" w:noHBand="0" w:noVBand="1"/>
      </w:tblPr>
      <w:tblGrid>
        <w:gridCol w:w="4535"/>
        <w:gridCol w:w="1575"/>
      </w:tblGrid>
      <w:tr w:rsidR="00640309" w:rsidRPr="003614C5" w14:paraId="3A9311ED" w14:textId="77777777" w:rsidTr="004F4772">
        <w:trPr>
          <w:trHeight w:val="57"/>
        </w:trPr>
        <w:tc>
          <w:tcPr>
            <w:tcW w:w="4535" w:type="dxa"/>
            <w:tcBorders>
              <w:top w:val="single" w:sz="4" w:space="0" w:color="auto"/>
              <w:left w:val="nil"/>
              <w:bottom w:val="single" w:sz="4" w:space="0" w:color="auto"/>
              <w:right w:val="nil"/>
            </w:tcBorders>
            <w:shd w:val="clear" w:color="auto" w:fill="auto"/>
            <w:noWrap/>
            <w:vAlign w:val="bottom"/>
          </w:tcPr>
          <w:p w14:paraId="53150076" w14:textId="77777777" w:rsidR="00640309" w:rsidRPr="003614C5" w:rsidRDefault="00640309"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Technical Skill</w:t>
            </w:r>
          </w:p>
        </w:tc>
        <w:tc>
          <w:tcPr>
            <w:tcW w:w="1575" w:type="dxa"/>
            <w:tcBorders>
              <w:top w:val="single" w:sz="4" w:space="0" w:color="auto"/>
              <w:left w:val="nil"/>
              <w:bottom w:val="single" w:sz="4" w:space="0" w:color="auto"/>
              <w:right w:val="nil"/>
            </w:tcBorders>
            <w:shd w:val="clear" w:color="auto" w:fill="auto"/>
            <w:noWrap/>
            <w:vAlign w:val="bottom"/>
          </w:tcPr>
          <w:p w14:paraId="67BF8D0D" w14:textId="77777777" w:rsidR="00640309" w:rsidRPr="003614C5" w:rsidRDefault="00640309"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 Responders</w:t>
            </w:r>
          </w:p>
        </w:tc>
      </w:tr>
      <w:tr w:rsidR="00640309" w:rsidRPr="003614C5" w14:paraId="4D4488DE" w14:textId="77777777" w:rsidTr="004F4772">
        <w:trPr>
          <w:trHeight w:val="57"/>
        </w:trPr>
        <w:tc>
          <w:tcPr>
            <w:tcW w:w="4535" w:type="dxa"/>
            <w:tcBorders>
              <w:top w:val="single" w:sz="4" w:space="0" w:color="auto"/>
              <w:left w:val="nil"/>
              <w:bottom w:val="nil"/>
              <w:right w:val="nil"/>
            </w:tcBorders>
            <w:shd w:val="clear" w:color="auto" w:fill="auto"/>
            <w:noWrap/>
            <w:vAlign w:val="bottom"/>
            <w:hideMark/>
          </w:tcPr>
          <w:p w14:paraId="372381A5" w14:textId="77777777" w:rsidR="00640309" w:rsidRPr="003614C5" w:rsidRDefault="00640309"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Plant cost estimation</w:t>
            </w:r>
          </w:p>
        </w:tc>
        <w:tc>
          <w:tcPr>
            <w:tcW w:w="1575" w:type="dxa"/>
            <w:tcBorders>
              <w:top w:val="single" w:sz="4" w:space="0" w:color="auto"/>
              <w:left w:val="nil"/>
              <w:bottom w:val="nil"/>
              <w:right w:val="nil"/>
            </w:tcBorders>
            <w:shd w:val="clear" w:color="auto" w:fill="auto"/>
            <w:noWrap/>
            <w:vAlign w:val="bottom"/>
            <w:hideMark/>
          </w:tcPr>
          <w:p w14:paraId="68317AE5" w14:textId="4F599366" w:rsidR="00640309" w:rsidRPr="003614C5" w:rsidRDefault="00640309"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9</w:t>
            </w:r>
            <w:r w:rsidR="00186BC9" w:rsidRPr="003614C5">
              <w:rPr>
                <w:rFonts w:asciiTheme="majorBidi" w:hAnsiTheme="majorBidi" w:cstheme="majorBidi"/>
                <w:color w:val="000000"/>
                <w:lang w:val="en-US" w:bidi="he-IL"/>
              </w:rPr>
              <w:t>5</w:t>
            </w:r>
          </w:p>
        </w:tc>
      </w:tr>
      <w:tr w:rsidR="00640309" w:rsidRPr="003614C5" w14:paraId="50E36CCB" w14:textId="77777777" w:rsidTr="004F4772">
        <w:trPr>
          <w:trHeight w:val="57"/>
        </w:trPr>
        <w:tc>
          <w:tcPr>
            <w:tcW w:w="4535" w:type="dxa"/>
            <w:tcBorders>
              <w:top w:val="nil"/>
              <w:left w:val="nil"/>
              <w:bottom w:val="nil"/>
              <w:right w:val="nil"/>
            </w:tcBorders>
            <w:shd w:val="clear" w:color="auto" w:fill="auto"/>
            <w:noWrap/>
            <w:vAlign w:val="bottom"/>
            <w:hideMark/>
          </w:tcPr>
          <w:p w14:paraId="59439925" w14:textId="77777777" w:rsidR="00640309" w:rsidRPr="003614C5" w:rsidRDefault="00640309"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Heat integration</w:t>
            </w:r>
          </w:p>
        </w:tc>
        <w:tc>
          <w:tcPr>
            <w:tcW w:w="1575" w:type="dxa"/>
            <w:tcBorders>
              <w:top w:val="nil"/>
              <w:left w:val="nil"/>
              <w:bottom w:val="nil"/>
              <w:right w:val="nil"/>
            </w:tcBorders>
            <w:shd w:val="clear" w:color="auto" w:fill="auto"/>
            <w:noWrap/>
            <w:vAlign w:val="bottom"/>
            <w:hideMark/>
          </w:tcPr>
          <w:p w14:paraId="1156FAE2" w14:textId="5A3A72FC" w:rsidR="00640309" w:rsidRPr="003614C5" w:rsidRDefault="00186BC9"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93</w:t>
            </w:r>
          </w:p>
        </w:tc>
      </w:tr>
      <w:tr w:rsidR="00640309" w:rsidRPr="003614C5" w14:paraId="2910566F" w14:textId="77777777" w:rsidTr="004F4772">
        <w:trPr>
          <w:trHeight w:val="57"/>
        </w:trPr>
        <w:tc>
          <w:tcPr>
            <w:tcW w:w="4535" w:type="dxa"/>
            <w:tcBorders>
              <w:top w:val="nil"/>
              <w:left w:val="nil"/>
              <w:bottom w:val="nil"/>
              <w:right w:val="nil"/>
            </w:tcBorders>
            <w:shd w:val="clear" w:color="auto" w:fill="auto"/>
            <w:noWrap/>
            <w:vAlign w:val="bottom"/>
            <w:hideMark/>
          </w:tcPr>
          <w:p w14:paraId="3FD18688" w14:textId="77777777" w:rsidR="00640309" w:rsidRPr="003614C5" w:rsidRDefault="00640309"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Process synthesis</w:t>
            </w:r>
          </w:p>
        </w:tc>
        <w:tc>
          <w:tcPr>
            <w:tcW w:w="1575" w:type="dxa"/>
            <w:tcBorders>
              <w:top w:val="nil"/>
              <w:left w:val="nil"/>
              <w:bottom w:val="nil"/>
              <w:right w:val="nil"/>
            </w:tcBorders>
            <w:shd w:val="clear" w:color="auto" w:fill="auto"/>
            <w:noWrap/>
            <w:vAlign w:val="bottom"/>
            <w:hideMark/>
          </w:tcPr>
          <w:p w14:paraId="6422E0A0" w14:textId="6481ED1E" w:rsidR="00640309" w:rsidRPr="003614C5" w:rsidRDefault="00186BC9"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89</w:t>
            </w:r>
          </w:p>
        </w:tc>
      </w:tr>
      <w:tr w:rsidR="00186BC9" w:rsidRPr="003614C5" w14:paraId="05CE4F92" w14:textId="77777777" w:rsidTr="004F4772">
        <w:trPr>
          <w:trHeight w:val="57"/>
        </w:trPr>
        <w:tc>
          <w:tcPr>
            <w:tcW w:w="4535" w:type="dxa"/>
            <w:tcBorders>
              <w:top w:val="nil"/>
              <w:left w:val="nil"/>
              <w:bottom w:val="nil"/>
              <w:right w:val="nil"/>
            </w:tcBorders>
            <w:shd w:val="clear" w:color="auto" w:fill="auto"/>
            <w:noWrap/>
            <w:vAlign w:val="bottom"/>
          </w:tcPr>
          <w:p w14:paraId="4F3B38F4" w14:textId="22AFD415"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Design heuristics</w:t>
            </w:r>
          </w:p>
        </w:tc>
        <w:tc>
          <w:tcPr>
            <w:tcW w:w="1575" w:type="dxa"/>
            <w:tcBorders>
              <w:top w:val="nil"/>
              <w:left w:val="nil"/>
              <w:bottom w:val="nil"/>
              <w:right w:val="nil"/>
            </w:tcBorders>
            <w:shd w:val="clear" w:color="auto" w:fill="auto"/>
            <w:noWrap/>
            <w:vAlign w:val="bottom"/>
          </w:tcPr>
          <w:p w14:paraId="2E04B631" w14:textId="4E67E81E"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89</w:t>
            </w:r>
          </w:p>
        </w:tc>
      </w:tr>
      <w:tr w:rsidR="00186BC9" w:rsidRPr="003614C5" w14:paraId="21CC54C6" w14:textId="77777777" w:rsidTr="004F4772">
        <w:trPr>
          <w:trHeight w:val="57"/>
        </w:trPr>
        <w:tc>
          <w:tcPr>
            <w:tcW w:w="4535" w:type="dxa"/>
            <w:tcBorders>
              <w:top w:val="nil"/>
              <w:left w:val="nil"/>
              <w:bottom w:val="nil"/>
              <w:right w:val="nil"/>
            </w:tcBorders>
            <w:shd w:val="clear" w:color="auto" w:fill="auto"/>
            <w:noWrap/>
            <w:vAlign w:val="bottom"/>
            <w:hideMark/>
          </w:tcPr>
          <w:p w14:paraId="72D0A0E9" w14:textId="77777777"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Profitability analysis</w:t>
            </w:r>
          </w:p>
        </w:tc>
        <w:tc>
          <w:tcPr>
            <w:tcW w:w="1575" w:type="dxa"/>
            <w:tcBorders>
              <w:top w:val="nil"/>
              <w:left w:val="nil"/>
              <w:bottom w:val="nil"/>
              <w:right w:val="nil"/>
            </w:tcBorders>
            <w:shd w:val="clear" w:color="auto" w:fill="auto"/>
            <w:noWrap/>
            <w:vAlign w:val="bottom"/>
            <w:hideMark/>
          </w:tcPr>
          <w:p w14:paraId="48B9FA83" w14:textId="2F39D209"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86</w:t>
            </w:r>
          </w:p>
        </w:tc>
      </w:tr>
      <w:tr w:rsidR="00186BC9" w:rsidRPr="003614C5" w14:paraId="5889629E" w14:textId="77777777" w:rsidTr="00186BC9">
        <w:trPr>
          <w:trHeight w:val="57"/>
        </w:trPr>
        <w:tc>
          <w:tcPr>
            <w:tcW w:w="4535" w:type="dxa"/>
            <w:tcBorders>
              <w:top w:val="nil"/>
              <w:left w:val="nil"/>
              <w:bottom w:val="nil"/>
              <w:right w:val="nil"/>
            </w:tcBorders>
            <w:shd w:val="clear" w:color="auto" w:fill="auto"/>
            <w:noWrap/>
            <w:vAlign w:val="bottom"/>
          </w:tcPr>
          <w:p w14:paraId="36DCF9F6" w14:textId="371EA0E2"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Techno-economic assessment methods</w:t>
            </w:r>
          </w:p>
        </w:tc>
        <w:tc>
          <w:tcPr>
            <w:tcW w:w="1575" w:type="dxa"/>
            <w:tcBorders>
              <w:top w:val="nil"/>
              <w:left w:val="nil"/>
              <w:bottom w:val="nil"/>
              <w:right w:val="nil"/>
            </w:tcBorders>
            <w:shd w:val="clear" w:color="auto" w:fill="auto"/>
            <w:noWrap/>
            <w:vAlign w:val="bottom"/>
          </w:tcPr>
          <w:p w14:paraId="566E1786" w14:textId="2D0EDE03"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80</w:t>
            </w:r>
          </w:p>
        </w:tc>
      </w:tr>
      <w:tr w:rsidR="00186BC9" w:rsidRPr="003614C5" w14:paraId="77C7871F" w14:textId="77777777" w:rsidTr="004F4772">
        <w:trPr>
          <w:trHeight w:val="57"/>
        </w:trPr>
        <w:tc>
          <w:tcPr>
            <w:tcW w:w="4535" w:type="dxa"/>
            <w:tcBorders>
              <w:top w:val="nil"/>
              <w:left w:val="nil"/>
              <w:bottom w:val="nil"/>
              <w:right w:val="nil"/>
            </w:tcBorders>
            <w:shd w:val="clear" w:color="auto" w:fill="auto"/>
            <w:noWrap/>
            <w:vAlign w:val="bottom"/>
            <w:hideMark/>
          </w:tcPr>
          <w:p w14:paraId="299939AA" w14:textId="77777777"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 xml:space="preserve">Equipment sizing </w:t>
            </w:r>
          </w:p>
        </w:tc>
        <w:tc>
          <w:tcPr>
            <w:tcW w:w="1575" w:type="dxa"/>
            <w:tcBorders>
              <w:top w:val="nil"/>
              <w:left w:val="nil"/>
              <w:bottom w:val="nil"/>
              <w:right w:val="nil"/>
            </w:tcBorders>
            <w:shd w:val="clear" w:color="auto" w:fill="auto"/>
            <w:noWrap/>
            <w:vAlign w:val="bottom"/>
            <w:hideMark/>
          </w:tcPr>
          <w:p w14:paraId="764608AB" w14:textId="6904B2EF"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73</w:t>
            </w:r>
          </w:p>
        </w:tc>
      </w:tr>
      <w:tr w:rsidR="00186BC9" w:rsidRPr="003614C5" w14:paraId="11ECE029" w14:textId="77777777" w:rsidTr="004F4772">
        <w:trPr>
          <w:trHeight w:val="57"/>
        </w:trPr>
        <w:tc>
          <w:tcPr>
            <w:tcW w:w="4535" w:type="dxa"/>
            <w:tcBorders>
              <w:top w:val="nil"/>
              <w:left w:val="nil"/>
              <w:bottom w:val="nil"/>
              <w:right w:val="nil"/>
            </w:tcBorders>
            <w:shd w:val="clear" w:color="auto" w:fill="auto"/>
            <w:noWrap/>
            <w:vAlign w:val="bottom"/>
            <w:hideMark/>
          </w:tcPr>
          <w:p w14:paraId="357943A6" w14:textId="15F668FE"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Separation sequence design</w:t>
            </w:r>
          </w:p>
        </w:tc>
        <w:tc>
          <w:tcPr>
            <w:tcW w:w="1575" w:type="dxa"/>
            <w:tcBorders>
              <w:top w:val="nil"/>
              <w:left w:val="nil"/>
              <w:bottom w:val="nil"/>
              <w:right w:val="nil"/>
            </w:tcBorders>
            <w:shd w:val="clear" w:color="auto" w:fill="auto"/>
            <w:noWrap/>
            <w:vAlign w:val="bottom"/>
            <w:hideMark/>
          </w:tcPr>
          <w:p w14:paraId="082516EB" w14:textId="61FF873D"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73</w:t>
            </w:r>
          </w:p>
        </w:tc>
      </w:tr>
      <w:tr w:rsidR="00186BC9" w:rsidRPr="003614C5" w14:paraId="5DFDF851" w14:textId="77777777" w:rsidTr="004F4772">
        <w:trPr>
          <w:trHeight w:val="57"/>
        </w:trPr>
        <w:tc>
          <w:tcPr>
            <w:tcW w:w="4535" w:type="dxa"/>
            <w:tcBorders>
              <w:top w:val="nil"/>
              <w:left w:val="nil"/>
              <w:bottom w:val="nil"/>
              <w:right w:val="nil"/>
            </w:tcBorders>
            <w:shd w:val="clear" w:color="auto" w:fill="auto"/>
            <w:noWrap/>
            <w:vAlign w:val="bottom"/>
            <w:hideMark/>
          </w:tcPr>
          <w:p w14:paraId="47602D81" w14:textId="77777777"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Reactor selection/reactor network design</w:t>
            </w:r>
          </w:p>
        </w:tc>
        <w:tc>
          <w:tcPr>
            <w:tcW w:w="1575" w:type="dxa"/>
            <w:tcBorders>
              <w:top w:val="nil"/>
              <w:left w:val="nil"/>
              <w:bottom w:val="nil"/>
              <w:right w:val="nil"/>
            </w:tcBorders>
            <w:shd w:val="clear" w:color="auto" w:fill="auto"/>
            <w:noWrap/>
            <w:vAlign w:val="bottom"/>
            <w:hideMark/>
          </w:tcPr>
          <w:p w14:paraId="4FBE98EF" w14:textId="09D8B658"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68</w:t>
            </w:r>
          </w:p>
        </w:tc>
      </w:tr>
      <w:tr w:rsidR="00186BC9" w:rsidRPr="003614C5" w14:paraId="1BDBB825" w14:textId="77777777" w:rsidTr="004F4772">
        <w:trPr>
          <w:trHeight w:val="57"/>
        </w:trPr>
        <w:tc>
          <w:tcPr>
            <w:tcW w:w="4535" w:type="dxa"/>
            <w:tcBorders>
              <w:top w:val="nil"/>
              <w:left w:val="nil"/>
              <w:bottom w:val="nil"/>
              <w:right w:val="nil"/>
            </w:tcBorders>
            <w:shd w:val="clear" w:color="auto" w:fill="auto"/>
            <w:noWrap/>
            <w:vAlign w:val="bottom"/>
          </w:tcPr>
          <w:p w14:paraId="5B3B09AB" w14:textId="37D41544"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Flowsheet optimization/superstructure optimization</w:t>
            </w:r>
          </w:p>
        </w:tc>
        <w:tc>
          <w:tcPr>
            <w:tcW w:w="1575" w:type="dxa"/>
            <w:tcBorders>
              <w:top w:val="nil"/>
              <w:left w:val="nil"/>
              <w:bottom w:val="nil"/>
              <w:right w:val="nil"/>
            </w:tcBorders>
            <w:shd w:val="clear" w:color="auto" w:fill="auto"/>
            <w:noWrap/>
            <w:vAlign w:val="bottom"/>
          </w:tcPr>
          <w:p w14:paraId="02EEBD2A" w14:textId="5E409F41"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57</w:t>
            </w:r>
          </w:p>
        </w:tc>
      </w:tr>
      <w:tr w:rsidR="00186BC9" w:rsidRPr="003614C5" w14:paraId="087C03AC" w14:textId="77777777" w:rsidTr="004F4772">
        <w:trPr>
          <w:trHeight w:val="57"/>
        </w:trPr>
        <w:tc>
          <w:tcPr>
            <w:tcW w:w="4535" w:type="dxa"/>
            <w:tcBorders>
              <w:top w:val="nil"/>
              <w:left w:val="nil"/>
              <w:bottom w:val="nil"/>
              <w:right w:val="nil"/>
            </w:tcBorders>
            <w:shd w:val="clear" w:color="auto" w:fill="auto"/>
            <w:noWrap/>
            <w:vAlign w:val="bottom"/>
            <w:hideMark/>
          </w:tcPr>
          <w:p w14:paraId="732C200D" w14:textId="77777777"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Safety</w:t>
            </w:r>
          </w:p>
        </w:tc>
        <w:tc>
          <w:tcPr>
            <w:tcW w:w="1575" w:type="dxa"/>
            <w:tcBorders>
              <w:top w:val="nil"/>
              <w:left w:val="nil"/>
              <w:bottom w:val="nil"/>
              <w:right w:val="nil"/>
            </w:tcBorders>
            <w:shd w:val="clear" w:color="auto" w:fill="auto"/>
            <w:noWrap/>
            <w:vAlign w:val="bottom"/>
            <w:hideMark/>
          </w:tcPr>
          <w:p w14:paraId="7ED690C0" w14:textId="7240F9F2"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55</w:t>
            </w:r>
          </w:p>
        </w:tc>
      </w:tr>
      <w:tr w:rsidR="00186BC9" w:rsidRPr="003614C5" w14:paraId="222A8A4B" w14:textId="77777777" w:rsidTr="004F4772">
        <w:trPr>
          <w:trHeight w:val="57"/>
        </w:trPr>
        <w:tc>
          <w:tcPr>
            <w:tcW w:w="4535" w:type="dxa"/>
            <w:tcBorders>
              <w:top w:val="nil"/>
              <w:left w:val="nil"/>
              <w:right w:val="nil"/>
            </w:tcBorders>
            <w:shd w:val="clear" w:color="auto" w:fill="auto"/>
            <w:noWrap/>
            <w:vAlign w:val="bottom"/>
            <w:hideMark/>
          </w:tcPr>
          <w:p w14:paraId="44F67112" w14:textId="77777777" w:rsidR="00186BC9" w:rsidRPr="003614C5" w:rsidRDefault="00186BC9" w:rsidP="00186BC9">
            <w:pPr>
              <w:rPr>
                <w:rFonts w:asciiTheme="majorBidi" w:hAnsiTheme="majorBidi" w:cstheme="majorBidi"/>
                <w:color w:val="000000"/>
                <w:lang w:val="en-US" w:bidi="he-IL"/>
              </w:rPr>
            </w:pPr>
            <w:r w:rsidRPr="003614C5">
              <w:rPr>
                <w:rFonts w:asciiTheme="majorBidi" w:hAnsiTheme="majorBidi" w:cstheme="majorBidi"/>
                <w:color w:val="000000"/>
                <w:lang w:val="en-US" w:bidi="he-IL"/>
              </w:rPr>
              <w:t>Plantwide control</w:t>
            </w:r>
          </w:p>
        </w:tc>
        <w:tc>
          <w:tcPr>
            <w:tcW w:w="1575" w:type="dxa"/>
            <w:tcBorders>
              <w:top w:val="nil"/>
              <w:left w:val="nil"/>
              <w:right w:val="nil"/>
            </w:tcBorders>
            <w:shd w:val="clear" w:color="auto" w:fill="auto"/>
            <w:noWrap/>
            <w:vAlign w:val="bottom"/>
            <w:hideMark/>
          </w:tcPr>
          <w:p w14:paraId="3D5C8A18" w14:textId="3CD4D6E2" w:rsidR="00186BC9" w:rsidRPr="003614C5" w:rsidRDefault="00186BC9" w:rsidP="00186BC9">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32</w:t>
            </w:r>
          </w:p>
        </w:tc>
      </w:tr>
      <w:tr w:rsidR="00186BC9" w:rsidRPr="003614C5" w14:paraId="2717EE9E" w14:textId="77777777" w:rsidTr="004F4772">
        <w:trPr>
          <w:trHeight w:val="57"/>
        </w:trPr>
        <w:tc>
          <w:tcPr>
            <w:tcW w:w="4535" w:type="dxa"/>
            <w:tcBorders>
              <w:top w:val="nil"/>
              <w:left w:val="nil"/>
              <w:bottom w:val="single" w:sz="4" w:space="0" w:color="auto"/>
              <w:right w:val="nil"/>
            </w:tcBorders>
            <w:shd w:val="clear" w:color="auto" w:fill="auto"/>
            <w:noWrap/>
            <w:vAlign w:val="bottom"/>
            <w:hideMark/>
          </w:tcPr>
          <w:p w14:paraId="55083556" w14:textId="77777777" w:rsidR="00186BC9" w:rsidRPr="003614C5" w:rsidRDefault="00186BC9" w:rsidP="00186BC9">
            <w:pPr>
              <w:spacing w:after="40"/>
              <w:rPr>
                <w:rFonts w:asciiTheme="majorBidi" w:hAnsiTheme="majorBidi" w:cstheme="majorBidi"/>
                <w:color w:val="000000"/>
                <w:lang w:val="en-US" w:bidi="he-IL"/>
              </w:rPr>
            </w:pPr>
            <w:r w:rsidRPr="003614C5">
              <w:rPr>
                <w:rFonts w:asciiTheme="majorBidi" w:hAnsiTheme="majorBidi" w:cstheme="majorBidi"/>
                <w:color w:val="000000"/>
                <w:lang w:val="en-US" w:bidi="he-IL"/>
              </w:rPr>
              <w:t>Life Cycle Analysis (LCA)</w:t>
            </w:r>
          </w:p>
        </w:tc>
        <w:tc>
          <w:tcPr>
            <w:tcW w:w="1575" w:type="dxa"/>
            <w:tcBorders>
              <w:top w:val="nil"/>
              <w:left w:val="nil"/>
              <w:bottom w:val="single" w:sz="4" w:space="0" w:color="auto"/>
              <w:right w:val="nil"/>
            </w:tcBorders>
            <w:shd w:val="clear" w:color="auto" w:fill="auto"/>
            <w:noWrap/>
            <w:vAlign w:val="bottom"/>
            <w:hideMark/>
          </w:tcPr>
          <w:p w14:paraId="36F31922" w14:textId="77777777" w:rsidR="00186BC9" w:rsidRPr="003614C5" w:rsidRDefault="00186BC9" w:rsidP="00186BC9">
            <w:pPr>
              <w:spacing w:after="40"/>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32</w:t>
            </w:r>
          </w:p>
        </w:tc>
      </w:tr>
    </w:tbl>
    <w:p w14:paraId="39BE188E" w14:textId="4BFE352F" w:rsidR="00443EEB" w:rsidRPr="003614C5" w:rsidRDefault="00443EEB" w:rsidP="00430C6E">
      <w:pPr>
        <w:pStyle w:val="Els-body-text"/>
        <w:spacing w:before="120"/>
        <w:ind w:firstLine="284"/>
      </w:pPr>
      <w:r w:rsidRPr="003614C5">
        <w:t xml:space="preserve">Table </w:t>
      </w:r>
      <w:r w:rsidR="00430C6E" w:rsidRPr="003614C5">
        <w:t xml:space="preserve">2 </w:t>
      </w:r>
      <w:r w:rsidRPr="003614C5">
        <w:t>lists the tasks expected to be addressed by students in the design project</w:t>
      </w:r>
      <w:r w:rsidR="00C03DB1" w:rsidRPr="003614C5">
        <w:t xml:space="preserve">. These follow naturally from the skills taught in the capstone design course, with a strong emphasis on equipment sizing, plant cost estimation and profitability analysis. </w:t>
      </w:r>
      <w:r w:rsidRPr="003614C5">
        <w:t xml:space="preserve"> </w:t>
      </w:r>
    </w:p>
    <w:p w14:paraId="5742A89E" w14:textId="724B3A84" w:rsidR="00443EEB" w:rsidRPr="003614C5" w:rsidRDefault="00443EEB" w:rsidP="00430C6E">
      <w:pPr>
        <w:pStyle w:val="Els-body-text"/>
        <w:spacing w:before="60" w:after="60"/>
      </w:pPr>
      <w:r w:rsidRPr="003614C5">
        <w:t xml:space="preserve">Table </w:t>
      </w:r>
      <w:r w:rsidR="00430C6E" w:rsidRPr="003614C5">
        <w:t>2</w:t>
      </w:r>
      <w:r w:rsidRPr="003614C5">
        <w:t>. Which technical skills are addressed by students in the design project.</w:t>
      </w:r>
    </w:p>
    <w:tbl>
      <w:tblPr>
        <w:tblW w:w="5954" w:type="dxa"/>
        <w:tblLook w:val="04A0" w:firstRow="1" w:lastRow="0" w:firstColumn="1" w:lastColumn="0" w:noHBand="0" w:noVBand="1"/>
      </w:tblPr>
      <w:tblGrid>
        <w:gridCol w:w="4535"/>
        <w:gridCol w:w="1419"/>
      </w:tblGrid>
      <w:tr w:rsidR="00443EEB" w:rsidRPr="003614C5" w14:paraId="130110C5" w14:textId="77777777" w:rsidTr="00443EEB">
        <w:trPr>
          <w:trHeight w:val="227"/>
        </w:trPr>
        <w:tc>
          <w:tcPr>
            <w:tcW w:w="4535" w:type="dxa"/>
            <w:tcBorders>
              <w:top w:val="single" w:sz="4" w:space="0" w:color="auto"/>
              <w:left w:val="nil"/>
              <w:bottom w:val="single" w:sz="4" w:space="0" w:color="auto"/>
              <w:right w:val="nil"/>
            </w:tcBorders>
            <w:shd w:val="clear" w:color="auto" w:fill="auto"/>
            <w:noWrap/>
            <w:vAlign w:val="bottom"/>
          </w:tcPr>
          <w:p w14:paraId="233975EF" w14:textId="723A0AF3" w:rsidR="00443EEB" w:rsidRPr="003614C5" w:rsidRDefault="00443EEB" w:rsidP="00443EEB">
            <w:pPr>
              <w:rPr>
                <w:rFonts w:asciiTheme="majorBidi" w:hAnsiTheme="majorBidi" w:cstheme="majorBidi"/>
                <w:color w:val="000000"/>
                <w:lang w:val="en-US" w:bidi="he-IL"/>
              </w:rPr>
            </w:pPr>
            <w:r w:rsidRPr="003614C5">
              <w:rPr>
                <w:rFonts w:asciiTheme="majorBidi" w:hAnsiTheme="majorBidi" w:cstheme="majorBidi"/>
                <w:color w:val="000000"/>
                <w:lang w:val="en-US" w:bidi="he-IL"/>
              </w:rPr>
              <w:t>Technical Skill</w:t>
            </w:r>
          </w:p>
        </w:tc>
        <w:tc>
          <w:tcPr>
            <w:tcW w:w="1419" w:type="dxa"/>
            <w:tcBorders>
              <w:top w:val="single" w:sz="4" w:space="0" w:color="auto"/>
              <w:left w:val="nil"/>
              <w:bottom w:val="single" w:sz="4" w:space="0" w:color="auto"/>
              <w:right w:val="nil"/>
            </w:tcBorders>
            <w:shd w:val="clear" w:color="auto" w:fill="auto"/>
            <w:noWrap/>
            <w:vAlign w:val="bottom"/>
          </w:tcPr>
          <w:p w14:paraId="6E6E27FD" w14:textId="37C2EECF" w:rsidR="00443EEB" w:rsidRPr="003614C5" w:rsidRDefault="00443EEB" w:rsidP="00443EE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 Responders</w:t>
            </w:r>
          </w:p>
        </w:tc>
      </w:tr>
      <w:tr w:rsidR="00443EEB" w:rsidRPr="003614C5" w14:paraId="68CA2162" w14:textId="77777777" w:rsidTr="00443EEB">
        <w:trPr>
          <w:trHeight w:val="227"/>
        </w:trPr>
        <w:tc>
          <w:tcPr>
            <w:tcW w:w="4535" w:type="dxa"/>
            <w:tcBorders>
              <w:top w:val="single" w:sz="4" w:space="0" w:color="auto"/>
              <w:left w:val="nil"/>
              <w:bottom w:val="nil"/>
              <w:right w:val="nil"/>
            </w:tcBorders>
            <w:shd w:val="clear" w:color="auto" w:fill="auto"/>
            <w:noWrap/>
            <w:vAlign w:val="bottom"/>
            <w:hideMark/>
          </w:tcPr>
          <w:p w14:paraId="1CB0A991" w14:textId="05ACFFED" w:rsidR="00443EEB" w:rsidRPr="003614C5" w:rsidRDefault="00443EEB" w:rsidP="00443EEB">
            <w:pPr>
              <w:rPr>
                <w:rFonts w:asciiTheme="majorBidi" w:hAnsiTheme="majorBidi" w:cstheme="majorBidi"/>
                <w:color w:val="000000"/>
                <w:lang w:val="en-US" w:bidi="he-IL"/>
              </w:rPr>
            </w:pPr>
            <w:r w:rsidRPr="003614C5">
              <w:rPr>
                <w:rFonts w:asciiTheme="majorBidi" w:hAnsiTheme="majorBidi" w:cstheme="majorBidi"/>
                <w:color w:val="000000"/>
                <w:lang w:val="en-US" w:bidi="he-IL"/>
              </w:rPr>
              <w:t>Comparing design alternatives</w:t>
            </w:r>
          </w:p>
        </w:tc>
        <w:tc>
          <w:tcPr>
            <w:tcW w:w="1419" w:type="dxa"/>
            <w:tcBorders>
              <w:top w:val="single" w:sz="4" w:space="0" w:color="auto"/>
              <w:left w:val="nil"/>
              <w:bottom w:val="nil"/>
              <w:right w:val="nil"/>
            </w:tcBorders>
            <w:shd w:val="clear" w:color="auto" w:fill="auto"/>
            <w:noWrap/>
            <w:vAlign w:val="bottom"/>
            <w:hideMark/>
          </w:tcPr>
          <w:p w14:paraId="225317F0" w14:textId="77777777" w:rsidR="00443EEB" w:rsidRPr="003614C5" w:rsidRDefault="00443EEB" w:rsidP="00443EE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100</w:t>
            </w:r>
          </w:p>
        </w:tc>
      </w:tr>
      <w:tr w:rsidR="00443EEB" w:rsidRPr="003614C5" w14:paraId="04419B05" w14:textId="77777777" w:rsidTr="00443EEB">
        <w:trPr>
          <w:trHeight w:val="227"/>
        </w:trPr>
        <w:tc>
          <w:tcPr>
            <w:tcW w:w="4535" w:type="dxa"/>
            <w:tcBorders>
              <w:top w:val="nil"/>
              <w:left w:val="nil"/>
              <w:bottom w:val="nil"/>
              <w:right w:val="nil"/>
            </w:tcBorders>
            <w:shd w:val="clear" w:color="auto" w:fill="auto"/>
            <w:noWrap/>
            <w:vAlign w:val="bottom"/>
            <w:hideMark/>
          </w:tcPr>
          <w:p w14:paraId="2D6FAC95" w14:textId="77777777" w:rsidR="00443EEB" w:rsidRPr="003614C5" w:rsidRDefault="00443EEB" w:rsidP="00443EEB">
            <w:pPr>
              <w:rPr>
                <w:rFonts w:asciiTheme="majorBidi" w:hAnsiTheme="majorBidi" w:cstheme="majorBidi"/>
                <w:color w:val="000000"/>
                <w:lang w:val="en-US" w:bidi="he-IL"/>
              </w:rPr>
            </w:pPr>
            <w:r w:rsidRPr="003614C5">
              <w:rPr>
                <w:rFonts w:asciiTheme="majorBidi" w:hAnsiTheme="majorBidi" w:cstheme="majorBidi"/>
                <w:color w:val="000000"/>
                <w:lang w:val="en-US" w:bidi="he-IL"/>
              </w:rPr>
              <w:t>Equipment sizing</w:t>
            </w:r>
          </w:p>
        </w:tc>
        <w:tc>
          <w:tcPr>
            <w:tcW w:w="1419" w:type="dxa"/>
            <w:tcBorders>
              <w:top w:val="nil"/>
              <w:left w:val="nil"/>
              <w:bottom w:val="nil"/>
              <w:right w:val="nil"/>
            </w:tcBorders>
            <w:shd w:val="clear" w:color="auto" w:fill="auto"/>
            <w:noWrap/>
            <w:vAlign w:val="bottom"/>
            <w:hideMark/>
          </w:tcPr>
          <w:p w14:paraId="1DF612F2" w14:textId="23DA05F2" w:rsidR="00443EEB" w:rsidRPr="003614C5" w:rsidRDefault="00443EEB" w:rsidP="00443EE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9</w:t>
            </w:r>
            <w:r w:rsidR="00186BC9" w:rsidRPr="003614C5">
              <w:rPr>
                <w:rFonts w:asciiTheme="majorBidi" w:hAnsiTheme="majorBidi" w:cstheme="majorBidi"/>
                <w:color w:val="000000"/>
                <w:lang w:val="en-US" w:bidi="he-IL"/>
              </w:rPr>
              <w:t>6</w:t>
            </w:r>
          </w:p>
        </w:tc>
      </w:tr>
      <w:tr w:rsidR="00443EEB" w:rsidRPr="003614C5" w14:paraId="0E3DE58A" w14:textId="77777777" w:rsidTr="00443EEB">
        <w:trPr>
          <w:trHeight w:val="227"/>
        </w:trPr>
        <w:tc>
          <w:tcPr>
            <w:tcW w:w="4535" w:type="dxa"/>
            <w:tcBorders>
              <w:top w:val="nil"/>
              <w:left w:val="nil"/>
              <w:bottom w:val="nil"/>
              <w:right w:val="nil"/>
            </w:tcBorders>
            <w:shd w:val="clear" w:color="auto" w:fill="auto"/>
            <w:noWrap/>
            <w:vAlign w:val="bottom"/>
            <w:hideMark/>
          </w:tcPr>
          <w:p w14:paraId="63E4BEC5" w14:textId="77777777" w:rsidR="00443EEB" w:rsidRPr="003614C5" w:rsidRDefault="00443EEB" w:rsidP="00443EEB">
            <w:pPr>
              <w:rPr>
                <w:rFonts w:asciiTheme="majorBidi" w:hAnsiTheme="majorBidi" w:cstheme="majorBidi"/>
                <w:color w:val="000000"/>
                <w:lang w:val="en-US" w:bidi="he-IL"/>
              </w:rPr>
            </w:pPr>
            <w:r w:rsidRPr="003614C5">
              <w:rPr>
                <w:rFonts w:asciiTheme="majorBidi" w:hAnsiTheme="majorBidi" w:cstheme="majorBidi"/>
                <w:color w:val="000000"/>
                <w:lang w:val="en-US" w:bidi="he-IL"/>
              </w:rPr>
              <w:t>Plant cost estimation</w:t>
            </w:r>
          </w:p>
        </w:tc>
        <w:tc>
          <w:tcPr>
            <w:tcW w:w="1419" w:type="dxa"/>
            <w:tcBorders>
              <w:top w:val="nil"/>
              <w:left w:val="nil"/>
              <w:bottom w:val="nil"/>
              <w:right w:val="nil"/>
            </w:tcBorders>
            <w:shd w:val="clear" w:color="auto" w:fill="auto"/>
            <w:noWrap/>
            <w:vAlign w:val="bottom"/>
            <w:hideMark/>
          </w:tcPr>
          <w:p w14:paraId="55EA07E6" w14:textId="17FE2F89" w:rsidR="00443EEB" w:rsidRPr="003614C5" w:rsidRDefault="00443EEB" w:rsidP="00443EE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9</w:t>
            </w:r>
            <w:r w:rsidR="00186BC9" w:rsidRPr="003614C5">
              <w:rPr>
                <w:rFonts w:asciiTheme="majorBidi" w:hAnsiTheme="majorBidi" w:cstheme="majorBidi"/>
                <w:color w:val="000000"/>
                <w:lang w:val="en-US" w:bidi="he-IL"/>
              </w:rPr>
              <w:t>6</w:t>
            </w:r>
          </w:p>
        </w:tc>
      </w:tr>
      <w:tr w:rsidR="00443EEB" w:rsidRPr="003614C5" w14:paraId="044B630C" w14:textId="77777777" w:rsidTr="00443EEB">
        <w:trPr>
          <w:trHeight w:val="227"/>
        </w:trPr>
        <w:tc>
          <w:tcPr>
            <w:tcW w:w="4535" w:type="dxa"/>
            <w:tcBorders>
              <w:top w:val="nil"/>
              <w:left w:val="nil"/>
              <w:bottom w:val="nil"/>
              <w:right w:val="nil"/>
            </w:tcBorders>
            <w:shd w:val="clear" w:color="auto" w:fill="auto"/>
            <w:noWrap/>
            <w:vAlign w:val="bottom"/>
            <w:hideMark/>
          </w:tcPr>
          <w:p w14:paraId="779B9095" w14:textId="77777777" w:rsidR="00443EEB" w:rsidRPr="003614C5" w:rsidRDefault="00443EEB" w:rsidP="00443EEB">
            <w:pPr>
              <w:rPr>
                <w:rFonts w:asciiTheme="majorBidi" w:hAnsiTheme="majorBidi" w:cstheme="majorBidi"/>
                <w:color w:val="000000"/>
                <w:lang w:val="en-US" w:bidi="he-IL"/>
              </w:rPr>
            </w:pPr>
            <w:r w:rsidRPr="003614C5">
              <w:rPr>
                <w:rFonts w:asciiTheme="majorBidi" w:hAnsiTheme="majorBidi" w:cstheme="majorBidi"/>
                <w:color w:val="000000"/>
                <w:lang w:val="en-US" w:bidi="he-IL"/>
              </w:rPr>
              <w:t>Profitability analysis</w:t>
            </w:r>
          </w:p>
        </w:tc>
        <w:tc>
          <w:tcPr>
            <w:tcW w:w="1419" w:type="dxa"/>
            <w:tcBorders>
              <w:top w:val="nil"/>
              <w:left w:val="nil"/>
              <w:bottom w:val="nil"/>
              <w:right w:val="nil"/>
            </w:tcBorders>
            <w:shd w:val="clear" w:color="auto" w:fill="auto"/>
            <w:noWrap/>
            <w:vAlign w:val="bottom"/>
            <w:hideMark/>
          </w:tcPr>
          <w:p w14:paraId="672EAA62" w14:textId="78BCEFB0" w:rsidR="00443EEB" w:rsidRPr="003614C5" w:rsidRDefault="00443EEB" w:rsidP="00443EE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9</w:t>
            </w:r>
            <w:r w:rsidR="00186BC9" w:rsidRPr="003614C5">
              <w:rPr>
                <w:rFonts w:asciiTheme="majorBidi" w:hAnsiTheme="majorBidi" w:cstheme="majorBidi"/>
                <w:color w:val="000000"/>
                <w:lang w:val="en-US" w:bidi="he-IL"/>
              </w:rPr>
              <w:t>4</w:t>
            </w:r>
          </w:p>
        </w:tc>
      </w:tr>
      <w:tr w:rsidR="00443EEB" w:rsidRPr="003614C5" w14:paraId="53B05E42" w14:textId="77777777" w:rsidTr="00443EEB">
        <w:trPr>
          <w:trHeight w:val="227"/>
        </w:trPr>
        <w:tc>
          <w:tcPr>
            <w:tcW w:w="4535" w:type="dxa"/>
            <w:tcBorders>
              <w:top w:val="nil"/>
              <w:left w:val="nil"/>
              <w:bottom w:val="nil"/>
              <w:right w:val="nil"/>
            </w:tcBorders>
            <w:shd w:val="clear" w:color="auto" w:fill="auto"/>
            <w:noWrap/>
            <w:vAlign w:val="bottom"/>
            <w:hideMark/>
          </w:tcPr>
          <w:p w14:paraId="5B2376FC" w14:textId="77777777" w:rsidR="00443EEB" w:rsidRPr="003614C5" w:rsidRDefault="00443EEB" w:rsidP="00443EEB">
            <w:pPr>
              <w:rPr>
                <w:rFonts w:asciiTheme="majorBidi" w:hAnsiTheme="majorBidi" w:cstheme="majorBidi"/>
                <w:color w:val="000000"/>
                <w:lang w:val="en-US" w:bidi="he-IL"/>
              </w:rPr>
            </w:pPr>
            <w:r w:rsidRPr="003614C5">
              <w:rPr>
                <w:rFonts w:asciiTheme="majorBidi" w:hAnsiTheme="majorBidi" w:cstheme="majorBidi"/>
                <w:color w:val="000000"/>
                <w:lang w:val="en-US" w:bidi="he-IL"/>
              </w:rPr>
              <w:t>Flowsheet synthesis</w:t>
            </w:r>
          </w:p>
        </w:tc>
        <w:tc>
          <w:tcPr>
            <w:tcW w:w="1419" w:type="dxa"/>
            <w:tcBorders>
              <w:top w:val="nil"/>
              <w:left w:val="nil"/>
              <w:bottom w:val="nil"/>
              <w:right w:val="nil"/>
            </w:tcBorders>
            <w:shd w:val="clear" w:color="auto" w:fill="auto"/>
            <w:noWrap/>
            <w:vAlign w:val="bottom"/>
            <w:hideMark/>
          </w:tcPr>
          <w:p w14:paraId="479FACAE" w14:textId="160E419C" w:rsidR="00443EEB" w:rsidRPr="003614C5" w:rsidRDefault="00186BC9" w:rsidP="00443EE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89</w:t>
            </w:r>
          </w:p>
        </w:tc>
      </w:tr>
      <w:tr w:rsidR="00443EEB" w:rsidRPr="003614C5" w14:paraId="1345282E" w14:textId="77777777" w:rsidTr="00443EEB">
        <w:trPr>
          <w:trHeight w:val="227"/>
        </w:trPr>
        <w:tc>
          <w:tcPr>
            <w:tcW w:w="4535" w:type="dxa"/>
            <w:tcBorders>
              <w:top w:val="nil"/>
              <w:left w:val="nil"/>
              <w:bottom w:val="nil"/>
              <w:right w:val="nil"/>
            </w:tcBorders>
            <w:shd w:val="clear" w:color="auto" w:fill="auto"/>
            <w:noWrap/>
            <w:vAlign w:val="bottom"/>
            <w:hideMark/>
          </w:tcPr>
          <w:p w14:paraId="301CFC05" w14:textId="77777777" w:rsidR="00443EEB" w:rsidRPr="003614C5" w:rsidRDefault="00443EEB" w:rsidP="00443EEB">
            <w:pPr>
              <w:rPr>
                <w:rFonts w:asciiTheme="majorBidi" w:hAnsiTheme="majorBidi" w:cstheme="majorBidi"/>
                <w:color w:val="000000"/>
                <w:lang w:val="en-US" w:bidi="he-IL"/>
              </w:rPr>
            </w:pPr>
            <w:r w:rsidRPr="003614C5">
              <w:rPr>
                <w:rFonts w:asciiTheme="majorBidi" w:hAnsiTheme="majorBidi" w:cstheme="majorBidi"/>
                <w:color w:val="000000"/>
                <w:lang w:val="en-US" w:bidi="he-IL"/>
              </w:rPr>
              <w:t>Flowsheet simulation</w:t>
            </w:r>
          </w:p>
        </w:tc>
        <w:tc>
          <w:tcPr>
            <w:tcW w:w="1419" w:type="dxa"/>
            <w:tcBorders>
              <w:top w:val="nil"/>
              <w:left w:val="nil"/>
              <w:bottom w:val="nil"/>
              <w:right w:val="nil"/>
            </w:tcBorders>
            <w:shd w:val="clear" w:color="auto" w:fill="auto"/>
            <w:noWrap/>
            <w:vAlign w:val="bottom"/>
            <w:hideMark/>
          </w:tcPr>
          <w:p w14:paraId="217B53A8" w14:textId="2AA6D5B5" w:rsidR="00443EEB" w:rsidRPr="003614C5" w:rsidRDefault="00443EEB" w:rsidP="00443EE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8</w:t>
            </w:r>
            <w:r w:rsidR="00186BC9" w:rsidRPr="003614C5">
              <w:rPr>
                <w:rFonts w:asciiTheme="majorBidi" w:hAnsiTheme="majorBidi" w:cstheme="majorBidi"/>
                <w:color w:val="000000"/>
                <w:lang w:val="en-US" w:bidi="he-IL"/>
              </w:rPr>
              <w:t>9</w:t>
            </w:r>
          </w:p>
        </w:tc>
      </w:tr>
      <w:tr w:rsidR="001177BF" w:rsidRPr="003614C5" w14:paraId="25E85A8A" w14:textId="77777777" w:rsidTr="00443EEB">
        <w:trPr>
          <w:trHeight w:val="227"/>
        </w:trPr>
        <w:tc>
          <w:tcPr>
            <w:tcW w:w="4535" w:type="dxa"/>
            <w:tcBorders>
              <w:top w:val="nil"/>
              <w:left w:val="nil"/>
              <w:bottom w:val="nil"/>
              <w:right w:val="nil"/>
            </w:tcBorders>
            <w:shd w:val="clear" w:color="auto" w:fill="auto"/>
            <w:noWrap/>
            <w:vAlign w:val="bottom"/>
          </w:tcPr>
          <w:p w14:paraId="70E4C70C" w14:textId="354F39B8"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Environmental constraints</w:t>
            </w:r>
          </w:p>
        </w:tc>
        <w:tc>
          <w:tcPr>
            <w:tcW w:w="1419" w:type="dxa"/>
            <w:tcBorders>
              <w:top w:val="nil"/>
              <w:left w:val="nil"/>
              <w:bottom w:val="nil"/>
              <w:right w:val="nil"/>
            </w:tcBorders>
            <w:shd w:val="clear" w:color="auto" w:fill="auto"/>
            <w:noWrap/>
            <w:vAlign w:val="bottom"/>
          </w:tcPr>
          <w:p w14:paraId="13B51B63" w14:textId="3B660BBB"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64</w:t>
            </w:r>
          </w:p>
        </w:tc>
      </w:tr>
      <w:tr w:rsidR="001177BF" w:rsidRPr="003614C5" w14:paraId="4CE38AB6" w14:textId="77777777" w:rsidTr="00443EEB">
        <w:trPr>
          <w:trHeight w:val="227"/>
        </w:trPr>
        <w:tc>
          <w:tcPr>
            <w:tcW w:w="4535" w:type="dxa"/>
            <w:tcBorders>
              <w:top w:val="nil"/>
              <w:left w:val="nil"/>
              <w:bottom w:val="nil"/>
              <w:right w:val="nil"/>
            </w:tcBorders>
            <w:shd w:val="clear" w:color="auto" w:fill="auto"/>
            <w:noWrap/>
            <w:vAlign w:val="bottom"/>
            <w:hideMark/>
          </w:tcPr>
          <w:p w14:paraId="5F231F83"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Pinch analysis</w:t>
            </w:r>
          </w:p>
        </w:tc>
        <w:tc>
          <w:tcPr>
            <w:tcW w:w="1419" w:type="dxa"/>
            <w:tcBorders>
              <w:top w:val="nil"/>
              <w:left w:val="nil"/>
              <w:bottom w:val="nil"/>
              <w:right w:val="nil"/>
            </w:tcBorders>
            <w:shd w:val="clear" w:color="auto" w:fill="auto"/>
            <w:noWrap/>
            <w:vAlign w:val="bottom"/>
            <w:hideMark/>
          </w:tcPr>
          <w:p w14:paraId="0A82898D" w14:textId="79703B50"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62</w:t>
            </w:r>
          </w:p>
        </w:tc>
      </w:tr>
      <w:tr w:rsidR="001177BF" w:rsidRPr="003614C5" w14:paraId="6684EE6E" w14:textId="77777777" w:rsidTr="00443EEB">
        <w:trPr>
          <w:trHeight w:val="227"/>
        </w:trPr>
        <w:tc>
          <w:tcPr>
            <w:tcW w:w="4535" w:type="dxa"/>
            <w:tcBorders>
              <w:top w:val="nil"/>
              <w:left w:val="nil"/>
              <w:bottom w:val="nil"/>
              <w:right w:val="nil"/>
            </w:tcBorders>
            <w:shd w:val="clear" w:color="auto" w:fill="auto"/>
            <w:noWrap/>
            <w:vAlign w:val="bottom"/>
            <w:hideMark/>
          </w:tcPr>
          <w:p w14:paraId="0BB66E6F"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Heat exchanger network design</w:t>
            </w:r>
          </w:p>
        </w:tc>
        <w:tc>
          <w:tcPr>
            <w:tcW w:w="1419" w:type="dxa"/>
            <w:tcBorders>
              <w:top w:val="nil"/>
              <w:left w:val="nil"/>
              <w:bottom w:val="nil"/>
              <w:right w:val="nil"/>
            </w:tcBorders>
            <w:shd w:val="clear" w:color="auto" w:fill="auto"/>
            <w:noWrap/>
            <w:vAlign w:val="bottom"/>
            <w:hideMark/>
          </w:tcPr>
          <w:p w14:paraId="454AED78" w14:textId="552B24AD"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60</w:t>
            </w:r>
          </w:p>
        </w:tc>
      </w:tr>
      <w:tr w:rsidR="001177BF" w:rsidRPr="003614C5" w14:paraId="3C29A052" w14:textId="77777777" w:rsidTr="00443EEB">
        <w:trPr>
          <w:trHeight w:val="227"/>
        </w:trPr>
        <w:tc>
          <w:tcPr>
            <w:tcW w:w="4535" w:type="dxa"/>
            <w:tcBorders>
              <w:top w:val="nil"/>
              <w:left w:val="nil"/>
              <w:bottom w:val="nil"/>
              <w:right w:val="nil"/>
            </w:tcBorders>
            <w:shd w:val="clear" w:color="auto" w:fill="auto"/>
            <w:noWrap/>
            <w:vAlign w:val="bottom"/>
            <w:hideMark/>
          </w:tcPr>
          <w:p w14:paraId="14BBEA00"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Safety analysis</w:t>
            </w:r>
          </w:p>
        </w:tc>
        <w:tc>
          <w:tcPr>
            <w:tcW w:w="1419" w:type="dxa"/>
            <w:tcBorders>
              <w:top w:val="nil"/>
              <w:left w:val="nil"/>
              <w:bottom w:val="nil"/>
              <w:right w:val="nil"/>
            </w:tcBorders>
            <w:shd w:val="clear" w:color="auto" w:fill="auto"/>
            <w:noWrap/>
            <w:vAlign w:val="bottom"/>
            <w:hideMark/>
          </w:tcPr>
          <w:p w14:paraId="6A899BC4" w14:textId="4D342DB2"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55</w:t>
            </w:r>
          </w:p>
        </w:tc>
      </w:tr>
      <w:tr w:rsidR="001177BF" w:rsidRPr="003614C5" w14:paraId="6669603B" w14:textId="77777777" w:rsidTr="00443EEB">
        <w:trPr>
          <w:trHeight w:val="227"/>
        </w:trPr>
        <w:tc>
          <w:tcPr>
            <w:tcW w:w="4535" w:type="dxa"/>
            <w:tcBorders>
              <w:top w:val="nil"/>
              <w:left w:val="nil"/>
              <w:bottom w:val="nil"/>
              <w:right w:val="nil"/>
            </w:tcBorders>
            <w:shd w:val="clear" w:color="auto" w:fill="auto"/>
            <w:noWrap/>
            <w:vAlign w:val="bottom"/>
            <w:hideMark/>
          </w:tcPr>
          <w:p w14:paraId="23F835C5"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Optimization</w:t>
            </w:r>
          </w:p>
        </w:tc>
        <w:tc>
          <w:tcPr>
            <w:tcW w:w="1419" w:type="dxa"/>
            <w:tcBorders>
              <w:top w:val="nil"/>
              <w:left w:val="nil"/>
              <w:bottom w:val="nil"/>
              <w:right w:val="nil"/>
            </w:tcBorders>
            <w:shd w:val="clear" w:color="auto" w:fill="auto"/>
            <w:noWrap/>
            <w:vAlign w:val="bottom"/>
            <w:hideMark/>
          </w:tcPr>
          <w:p w14:paraId="46EBFD83" w14:textId="0EAC913A"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47</w:t>
            </w:r>
          </w:p>
        </w:tc>
      </w:tr>
      <w:tr w:rsidR="001177BF" w:rsidRPr="003614C5" w14:paraId="776FDFA0" w14:textId="77777777" w:rsidTr="00443EEB">
        <w:trPr>
          <w:trHeight w:val="227"/>
        </w:trPr>
        <w:tc>
          <w:tcPr>
            <w:tcW w:w="4535" w:type="dxa"/>
            <w:tcBorders>
              <w:top w:val="nil"/>
              <w:left w:val="nil"/>
              <w:bottom w:val="nil"/>
              <w:right w:val="nil"/>
            </w:tcBorders>
            <w:shd w:val="clear" w:color="auto" w:fill="auto"/>
            <w:noWrap/>
            <w:vAlign w:val="bottom"/>
          </w:tcPr>
          <w:p w14:paraId="00CE3921" w14:textId="68A0DF55"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Carbon footprint analysis</w:t>
            </w:r>
          </w:p>
        </w:tc>
        <w:tc>
          <w:tcPr>
            <w:tcW w:w="1419" w:type="dxa"/>
            <w:tcBorders>
              <w:top w:val="nil"/>
              <w:left w:val="nil"/>
              <w:bottom w:val="nil"/>
              <w:right w:val="nil"/>
            </w:tcBorders>
            <w:shd w:val="clear" w:color="auto" w:fill="auto"/>
            <w:noWrap/>
            <w:vAlign w:val="bottom"/>
          </w:tcPr>
          <w:p w14:paraId="02725692" w14:textId="7EA4BB48"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38</w:t>
            </w:r>
          </w:p>
        </w:tc>
      </w:tr>
      <w:tr w:rsidR="001177BF" w:rsidRPr="003614C5" w14:paraId="528D1494" w14:textId="77777777" w:rsidTr="00443EEB">
        <w:trPr>
          <w:trHeight w:val="227"/>
        </w:trPr>
        <w:tc>
          <w:tcPr>
            <w:tcW w:w="4535" w:type="dxa"/>
            <w:tcBorders>
              <w:top w:val="nil"/>
              <w:left w:val="nil"/>
              <w:bottom w:val="nil"/>
              <w:right w:val="nil"/>
            </w:tcBorders>
            <w:shd w:val="clear" w:color="auto" w:fill="auto"/>
            <w:noWrap/>
            <w:vAlign w:val="bottom"/>
          </w:tcPr>
          <w:p w14:paraId="7A61D09B" w14:textId="3D9B2DFE"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Uncertainty/sensitivity analysis</w:t>
            </w:r>
          </w:p>
        </w:tc>
        <w:tc>
          <w:tcPr>
            <w:tcW w:w="1419" w:type="dxa"/>
            <w:tcBorders>
              <w:top w:val="nil"/>
              <w:left w:val="nil"/>
              <w:bottom w:val="nil"/>
              <w:right w:val="nil"/>
            </w:tcBorders>
            <w:shd w:val="clear" w:color="auto" w:fill="auto"/>
            <w:noWrap/>
            <w:vAlign w:val="bottom"/>
          </w:tcPr>
          <w:p w14:paraId="158CB875" w14:textId="054038DA"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34</w:t>
            </w:r>
          </w:p>
        </w:tc>
      </w:tr>
      <w:tr w:rsidR="001177BF" w:rsidRPr="003614C5" w14:paraId="455B51B6" w14:textId="77777777" w:rsidTr="00443EEB">
        <w:trPr>
          <w:trHeight w:val="227"/>
        </w:trPr>
        <w:tc>
          <w:tcPr>
            <w:tcW w:w="4535" w:type="dxa"/>
            <w:tcBorders>
              <w:top w:val="nil"/>
              <w:left w:val="nil"/>
              <w:bottom w:val="nil"/>
              <w:right w:val="nil"/>
            </w:tcBorders>
            <w:shd w:val="clear" w:color="auto" w:fill="auto"/>
            <w:noWrap/>
            <w:vAlign w:val="bottom"/>
            <w:hideMark/>
          </w:tcPr>
          <w:p w14:paraId="739DA8DF"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Comparing alternative raw materials</w:t>
            </w:r>
          </w:p>
        </w:tc>
        <w:tc>
          <w:tcPr>
            <w:tcW w:w="1419" w:type="dxa"/>
            <w:tcBorders>
              <w:top w:val="nil"/>
              <w:left w:val="nil"/>
              <w:bottom w:val="nil"/>
              <w:right w:val="nil"/>
            </w:tcBorders>
            <w:shd w:val="clear" w:color="auto" w:fill="auto"/>
            <w:noWrap/>
            <w:vAlign w:val="bottom"/>
            <w:hideMark/>
          </w:tcPr>
          <w:p w14:paraId="62AA9677" w14:textId="3919473E"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32</w:t>
            </w:r>
          </w:p>
        </w:tc>
      </w:tr>
      <w:tr w:rsidR="001177BF" w:rsidRPr="003614C5" w14:paraId="781F4AB7" w14:textId="77777777" w:rsidTr="00C03DB1">
        <w:trPr>
          <w:trHeight w:val="227"/>
        </w:trPr>
        <w:tc>
          <w:tcPr>
            <w:tcW w:w="4535" w:type="dxa"/>
            <w:tcBorders>
              <w:top w:val="nil"/>
              <w:left w:val="nil"/>
              <w:bottom w:val="single" w:sz="4" w:space="0" w:color="auto"/>
              <w:right w:val="nil"/>
            </w:tcBorders>
            <w:shd w:val="clear" w:color="auto" w:fill="auto"/>
            <w:noWrap/>
            <w:vAlign w:val="bottom"/>
            <w:hideMark/>
          </w:tcPr>
          <w:p w14:paraId="071ADA07"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Process control</w:t>
            </w:r>
          </w:p>
        </w:tc>
        <w:tc>
          <w:tcPr>
            <w:tcW w:w="1419" w:type="dxa"/>
            <w:tcBorders>
              <w:top w:val="nil"/>
              <w:left w:val="nil"/>
              <w:bottom w:val="single" w:sz="4" w:space="0" w:color="auto"/>
              <w:right w:val="nil"/>
            </w:tcBorders>
            <w:shd w:val="clear" w:color="auto" w:fill="auto"/>
            <w:noWrap/>
            <w:vAlign w:val="bottom"/>
            <w:hideMark/>
          </w:tcPr>
          <w:p w14:paraId="09901917" w14:textId="77777777"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32</w:t>
            </w:r>
          </w:p>
        </w:tc>
      </w:tr>
    </w:tbl>
    <w:p w14:paraId="56CC5CD2" w14:textId="384E5193" w:rsidR="00930946" w:rsidRPr="003614C5" w:rsidRDefault="00930946" w:rsidP="00725BFB">
      <w:pPr>
        <w:pStyle w:val="Els-body-text"/>
        <w:spacing w:before="120" w:after="60"/>
        <w:ind w:firstLine="284"/>
      </w:pPr>
      <w:r w:rsidRPr="003614C5">
        <w:t xml:space="preserve">The respondents were asked to list the textbooks that are used to teach the capstone chemical design course, and as seen in Table </w:t>
      </w:r>
      <w:r w:rsidR="00430C6E" w:rsidRPr="003614C5">
        <w:t>3</w:t>
      </w:r>
      <w:r w:rsidRPr="003614C5">
        <w:t xml:space="preserve">, many schools do not rely on a single book, which makes sense, given the nature of process design. The leading texts that are </w:t>
      </w:r>
      <w:r w:rsidRPr="003614C5">
        <w:lastRenderedPageBreak/>
        <w:t xml:space="preserve">used </w:t>
      </w:r>
      <w:r w:rsidR="00443EEB" w:rsidRPr="003614C5">
        <w:t xml:space="preserve">the </w:t>
      </w:r>
      <w:r w:rsidRPr="003614C5">
        <w:t xml:space="preserve">most are </w:t>
      </w:r>
      <w:r w:rsidR="001177BF" w:rsidRPr="003614C5">
        <w:t xml:space="preserve">Seider et al (2017), </w:t>
      </w:r>
      <w:r w:rsidRPr="003614C5">
        <w:t xml:space="preserve">Sinnot </w:t>
      </w:r>
      <w:r w:rsidR="00443EEB" w:rsidRPr="003614C5">
        <w:t>and Towler</w:t>
      </w:r>
      <w:r w:rsidRPr="003614C5">
        <w:t xml:space="preserve"> (20</w:t>
      </w:r>
      <w:r w:rsidR="00443EEB" w:rsidRPr="003614C5">
        <w:t>20</w:t>
      </w:r>
      <w:r w:rsidRPr="003614C5">
        <w:t>), and Turton et al (20</w:t>
      </w:r>
      <w:r w:rsidR="00443EEB" w:rsidRPr="003614C5">
        <w:t>20</w:t>
      </w:r>
      <w:r w:rsidRPr="003614C5">
        <w:t xml:space="preserve">), in that order. </w:t>
      </w:r>
    </w:p>
    <w:p w14:paraId="3CA5DC66" w14:textId="5F0CD39B" w:rsidR="00930946" w:rsidRPr="003614C5" w:rsidRDefault="00930946" w:rsidP="00930946">
      <w:pPr>
        <w:pStyle w:val="Els-body-text"/>
        <w:spacing w:before="120" w:after="60"/>
      </w:pPr>
      <w:r w:rsidRPr="003614C5">
        <w:t xml:space="preserve"> Table </w:t>
      </w:r>
      <w:r w:rsidR="00430C6E" w:rsidRPr="003614C5">
        <w:t>3</w:t>
      </w:r>
      <w:r w:rsidRPr="003614C5">
        <w:t>. Which textbooks are used in the capstone design course.</w:t>
      </w:r>
    </w:p>
    <w:tbl>
      <w:tblPr>
        <w:tblW w:w="5953" w:type="dxa"/>
        <w:tblLook w:val="04A0" w:firstRow="1" w:lastRow="0" w:firstColumn="1" w:lastColumn="0" w:noHBand="0" w:noVBand="1"/>
      </w:tblPr>
      <w:tblGrid>
        <w:gridCol w:w="4535"/>
        <w:gridCol w:w="1418"/>
      </w:tblGrid>
      <w:tr w:rsidR="004F4772" w:rsidRPr="003614C5" w14:paraId="11A6AED0" w14:textId="77777777" w:rsidTr="004F4772">
        <w:trPr>
          <w:trHeight w:val="227"/>
        </w:trPr>
        <w:tc>
          <w:tcPr>
            <w:tcW w:w="4535" w:type="dxa"/>
            <w:tcBorders>
              <w:top w:val="single" w:sz="4" w:space="0" w:color="auto"/>
              <w:left w:val="nil"/>
              <w:bottom w:val="single" w:sz="4" w:space="0" w:color="auto"/>
              <w:right w:val="nil"/>
            </w:tcBorders>
            <w:shd w:val="clear" w:color="auto" w:fill="auto"/>
            <w:noWrap/>
            <w:vAlign w:val="bottom"/>
          </w:tcPr>
          <w:p w14:paraId="4204F784" w14:textId="77777777" w:rsidR="004F4772" w:rsidRPr="003614C5" w:rsidRDefault="004F4772"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Textbook</w:t>
            </w:r>
          </w:p>
        </w:tc>
        <w:tc>
          <w:tcPr>
            <w:tcW w:w="1418" w:type="dxa"/>
            <w:tcBorders>
              <w:top w:val="single" w:sz="4" w:space="0" w:color="auto"/>
              <w:left w:val="nil"/>
              <w:bottom w:val="single" w:sz="4" w:space="0" w:color="auto"/>
              <w:right w:val="nil"/>
            </w:tcBorders>
            <w:shd w:val="clear" w:color="auto" w:fill="auto"/>
            <w:noWrap/>
            <w:vAlign w:val="bottom"/>
          </w:tcPr>
          <w:p w14:paraId="17D641CA" w14:textId="77777777" w:rsidR="004F4772" w:rsidRPr="003614C5" w:rsidRDefault="004F4772"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 Responders</w:t>
            </w:r>
          </w:p>
        </w:tc>
      </w:tr>
      <w:tr w:rsidR="001177BF" w:rsidRPr="003614C5" w14:paraId="16DE2ACD" w14:textId="77777777" w:rsidTr="001177BF">
        <w:trPr>
          <w:trHeight w:val="227"/>
        </w:trPr>
        <w:tc>
          <w:tcPr>
            <w:tcW w:w="4535" w:type="dxa"/>
            <w:tcBorders>
              <w:top w:val="single" w:sz="4" w:space="0" w:color="auto"/>
              <w:left w:val="nil"/>
              <w:right w:val="nil"/>
            </w:tcBorders>
            <w:shd w:val="clear" w:color="auto" w:fill="auto"/>
            <w:noWrap/>
            <w:vAlign w:val="bottom"/>
          </w:tcPr>
          <w:p w14:paraId="77441934" w14:textId="045D58FA"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Seider et al. (2017)</w:t>
            </w:r>
          </w:p>
        </w:tc>
        <w:tc>
          <w:tcPr>
            <w:tcW w:w="1418" w:type="dxa"/>
            <w:tcBorders>
              <w:top w:val="single" w:sz="4" w:space="0" w:color="auto"/>
              <w:left w:val="nil"/>
              <w:right w:val="nil"/>
            </w:tcBorders>
            <w:shd w:val="clear" w:color="auto" w:fill="auto"/>
            <w:noWrap/>
            <w:vAlign w:val="bottom"/>
          </w:tcPr>
          <w:p w14:paraId="0A87CD5D" w14:textId="0C2B1470"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66</w:t>
            </w:r>
          </w:p>
        </w:tc>
      </w:tr>
      <w:tr w:rsidR="001177BF" w:rsidRPr="003614C5" w14:paraId="7858512E" w14:textId="77777777" w:rsidTr="001177BF">
        <w:trPr>
          <w:trHeight w:val="227"/>
        </w:trPr>
        <w:tc>
          <w:tcPr>
            <w:tcW w:w="4535" w:type="dxa"/>
            <w:tcBorders>
              <w:left w:val="nil"/>
              <w:right w:val="nil"/>
            </w:tcBorders>
            <w:shd w:val="clear" w:color="auto" w:fill="auto"/>
            <w:noWrap/>
            <w:vAlign w:val="bottom"/>
          </w:tcPr>
          <w:p w14:paraId="428D1F87"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Sinnot and Towler (2020)</w:t>
            </w:r>
          </w:p>
        </w:tc>
        <w:tc>
          <w:tcPr>
            <w:tcW w:w="1418" w:type="dxa"/>
            <w:tcBorders>
              <w:left w:val="nil"/>
              <w:right w:val="nil"/>
            </w:tcBorders>
            <w:shd w:val="clear" w:color="auto" w:fill="auto"/>
            <w:noWrap/>
            <w:vAlign w:val="bottom"/>
          </w:tcPr>
          <w:p w14:paraId="721A5C6A" w14:textId="019750EC"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58</w:t>
            </w:r>
          </w:p>
        </w:tc>
      </w:tr>
      <w:tr w:rsidR="001177BF" w:rsidRPr="003614C5" w14:paraId="2D2973B6" w14:textId="77777777" w:rsidTr="004F4772">
        <w:trPr>
          <w:trHeight w:val="227"/>
        </w:trPr>
        <w:tc>
          <w:tcPr>
            <w:tcW w:w="4535" w:type="dxa"/>
            <w:tcBorders>
              <w:left w:val="nil"/>
              <w:bottom w:val="nil"/>
              <w:right w:val="nil"/>
            </w:tcBorders>
            <w:shd w:val="clear" w:color="auto" w:fill="auto"/>
            <w:noWrap/>
            <w:vAlign w:val="bottom"/>
          </w:tcPr>
          <w:p w14:paraId="1D5FD582"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Turton et al. (2020)</w:t>
            </w:r>
          </w:p>
        </w:tc>
        <w:tc>
          <w:tcPr>
            <w:tcW w:w="1418" w:type="dxa"/>
            <w:tcBorders>
              <w:left w:val="nil"/>
              <w:bottom w:val="nil"/>
              <w:right w:val="nil"/>
            </w:tcBorders>
            <w:shd w:val="clear" w:color="auto" w:fill="auto"/>
            <w:noWrap/>
            <w:vAlign w:val="bottom"/>
          </w:tcPr>
          <w:p w14:paraId="79F7A95E" w14:textId="62B6F034"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54</w:t>
            </w:r>
          </w:p>
        </w:tc>
      </w:tr>
      <w:tr w:rsidR="001177BF" w:rsidRPr="003614C5" w14:paraId="1331F8F8" w14:textId="77777777" w:rsidTr="004F4772">
        <w:trPr>
          <w:trHeight w:val="227"/>
        </w:trPr>
        <w:tc>
          <w:tcPr>
            <w:tcW w:w="4535" w:type="dxa"/>
            <w:tcBorders>
              <w:top w:val="nil"/>
              <w:left w:val="nil"/>
              <w:bottom w:val="nil"/>
              <w:right w:val="nil"/>
            </w:tcBorders>
            <w:shd w:val="clear" w:color="auto" w:fill="auto"/>
            <w:noWrap/>
            <w:vAlign w:val="bottom"/>
            <w:hideMark/>
          </w:tcPr>
          <w:p w14:paraId="2A48D62D"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Peters et al. (2003)</w:t>
            </w:r>
          </w:p>
        </w:tc>
        <w:tc>
          <w:tcPr>
            <w:tcW w:w="1418" w:type="dxa"/>
            <w:tcBorders>
              <w:top w:val="nil"/>
              <w:left w:val="nil"/>
              <w:bottom w:val="nil"/>
              <w:right w:val="nil"/>
            </w:tcBorders>
            <w:shd w:val="clear" w:color="auto" w:fill="auto"/>
            <w:noWrap/>
            <w:vAlign w:val="bottom"/>
            <w:hideMark/>
          </w:tcPr>
          <w:p w14:paraId="77C31CBA" w14:textId="03A5286C"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44</w:t>
            </w:r>
          </w:p>
        </w:tc>
      </w:tr>
      <w:tr w:rsidR="001177BF" w:rsidRPr="003614C5" w14:paraId="5AFF2B78" w14:textId="77777777" w:rsidTr="004F4772">
        <w:trPr>
          <w:trHeight w:val="227"/>
        </w:trPr>
        <w:tc>
          <w:tcPr>
            <w:tcW w:w="4535" w:type="dxa"/>
            <w:tcBorders>
              <w:top w:val="nil"/>
              <w:left w:val="nil"/>
              <w:bottom w:val="nil"/>
              <w:right w:val="nil"/>
            </w:tcBorders>
            <w:shd w:val="clear" w:color="auto" w:fill="auto"/>
            <w:noWrap/>
            <w:vAlign w:val="bottom"/>
          </w:tcPr>
          <w:p w14:paraId="7F28FD0F"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Biegler et al. (1997)</w:t>
            </w:r>
          </w:p>
        </w:tc>
        <w:tc>
          <w:tcPr>
            <w:tcW w:w="1418" w:type="dxa"/>
            <w:tcBorders>
              <w:top w:val="nil"/>
              <w:left w:val="nil"/>
              <w:bottom w:val="nil"/>
              <w:right w:val="nil"/>
            </w:tcBorders>
            <w:shd w:val="clear" w:color="auto" w:fill="auto"/>
            <w:noWrap/>
            <w:vAlign w:val="bottom"/>
          </w:tcPr>
          <w:p w14:paraId="0FB983BA" w14:textId="5F66F0CF"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38</w:t>
            </w:r>
          </w:p>
        </w:tc>
      </w:tr>
      <w:tr w:rsidR="001177BF" w:rsidRPr="003614C5" w14:paraId="7A007294" w14:textId="77777777" w:rsidTr="004F4772">
        <w:trPr>
          <w:trHeight w:val="227"/>
        </w:trPr>
        <w:tc>
          <w:tcPr>
            <w:tcW w:w="4535" w:type="dxa"/>
            <w:tcBorders>
              <w:top w:val="nil"/>
              <w:left w:val="nil"/>
              <w:bottom w:val="nil"/>
              <w:right w:val="nil"/>
            </w:tcBorders>
            <w:shd w:val="clear" w:color="auto" w:fill="auto"/>
            <w:noWrap/>
            <w:vAlign w:val="bottom"/>
          </w:tcPr>
          <w:p w14:paraId="0A337D94"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Smith (2005)</w:t>
            </w:r>
          </w:p>
        </w:tc>
        <w:tc>
          <w:tcPr>
            <w:tcW w:w="1418" w:type="dxa"/>
            <w:tcBorders>
              <w:top w:val="nil"/>
              <w:left w:val="nil"/>
              <w:bottom w:val="nil"/>
              <w:right w:val="nil"/>
            </w:tcBorders>
            <w:shd w:val="clear" w:color="auto" w:fill="auto"/>
            <w:noWrap/>
            <w:vAlign w:val="bottom"/>
          </w:tcPr>
          <w:p w14:paraId="6C9061AF" w14:textId="74BBBD0F"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36</w:t>
            </w:r>
          </w:p>
        </w:tc>
      </w:tr>
      <w:tr w:rsidR="001177BF" w:rsidRPr="003614C5" w14:paraId="4D45D576" w14:textId="77777777" w:rsidTr="004F4772">
        <w:trPr>
          <w:trHeight w:val="227"/>
        </w:trPr>
        <w:tc>
          <w:tcPr>
            <w:tcW w:w="4535" w:type="dxa"/>
            <w:tcBorders>
              <w:top w:val="nil"/>
              <w:left w:val="nil"/>
              <w:bottom w:val="nil"/>
              <w:right w:val="nil"/>
            </w:tcBorders>
            <w:shd w:val="clear" w:color="auto" w:fill="auto"/>
            <w:noWrap/>
            <w:vAlign w:val="bottom"/>
          </w:tcPr>
          <w:p w14:paraId="7E388947"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Couper et al. (2012)</w:t>
            </w:r>
          </w:p>
        </w:tc>
        <w:tc>
          <w:tcPr>
            <w:tcW w:w="1418" w:type="dxa"/>
            <w:tcBorders>
              <w:top w:val="nil"/>
              <w:left w:val="nil"/>
              <w:bottom w:val="nil"/>
              <w:right w:val="nil"/>
            </w:tcBorders>
            <w:shd w:val="clear" w:color="auto" w:fill="auto"/>
            <w:noWrap/>
            <w:vAlign w:val="bottom"/>
          </w:tcPr>
          <w:p w14:paraId="0497C3F9" w14:textId="77D1E239"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20</w:t>
            </w:r>
          </w:p>
        </w:tc>
      </w:tr>
      <w:tr w:rsidR="001177BF" w:rsidRPr="003614C5" w14:paraId="2AF4CAE2" w14:textId="77777777" w:rsidTr="004F4772">
        <w:trPr>
          <w:trHeight w:val="47"/>
        </w:trPr>
        <w:tc>
          <w:tcPr>
            <w:tcW w:w="4535" w:type="dxa"/>
            <w:tcBorders>
              <w:top w:val="nil"/>
              <w:left w:val="nil"/>
              <w:right w:val="nil"/>
            </w:tcBorders>
            <w:shd w:val="clear" w:color="auto" w:fill="auto"/>
            <w:noWrap/>
            <w:vAlign w:val="bottom"/>
            <w:hideMark/>
          </w:tcPr>
          <w:p w14:paraId="0B1AFDF1"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Kemp and Lim (2020)</w:t>
            </w:r>
          </w:p>
        </w:tc>
        <w:tc>
          <w:tcPr>
            <w:tcW w:w="1418" w:type="dxa"/>
            <w:tcBorders>
              <w:top w:val="nil"/>
              <w:left w:val="nil"/>
              <w:right w:val="nil"/>
            </w:tcBorders>
            <w:shd w:val="clear" w:color="auto" w:fill="auto"/>
            <w:noWrap/>
            <w:vAlign w:val="bottom"/>
            <w:hideMark/>
          </w:tcPr>
          <w:p w14:paraId="21CF5B78" w14:textId="484345EA"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14</w:t>
            </w:r>
          </w:p>
        </w:tc>
      </w:tr>
      <w:tr w:rsidR="001177BF" w:rsidRPr="003614C5" w14:paraId="134C957F" w14:textId="77777777" w:rsidTr="004F4772">
        <w:trPr>
          <w:trHeight w:val="227"/>
        </w:trPr>
        <w:tc>
          <w:tcPr>
            <w:tcW w:w="4535" w:type="dxa"/>
            <w:tcBorders>
              <w:top w:val="nil"/>
              <w:left w:val="nil"/>
              <w:bottom w:val="single" w:sz="4" w:space="0" w:color="auto"/>
              <w:right w:val="nil"/>
            </w:tcBorders>
            <w:shd w:val="clear" w:color="auto" w:fill="auto"/>
            <w:noWrap/>
            <w:vAlign w:val="bottom"/>
            <w:hideMark/>
          </w:tcPr>
          <w:p w14:paraId="0C18141A" w14:textId="77777777" w:rsidR="001177BF" w:rsidRPr="003614C5" w:rsidRDefault="001177BF" w:rsidP="001177BF">
            <w:pPr>
              <w:rPr>
                <w:rFonts w:asciiTheme="majorBidi" w:hAnsiTheme="majorBidi" w:cstheme="majorBidi"/>
                <w:color w:val="000000"/>
                <w:lang w:val="en-US" w:bidi="he-IL"/>
              </w:rPr>
            </w:pPr>
            <w:r w:rsidRPr="003614C5">
              <w:rPr>
                <w:rFonts w:asciiTheme="majorBidi" w:hAnsiTheme="majorBidi" w:cstheme="majorBidi"/>
                <w:color w:val="000000"/>
                <w:lang w:val="en-US" w:bidi="he-IL"/>
              </w:rPr>
              <w:t>Adams (2022)</w:t>
            </w:r>
          </w:p>
        </w:tc>
        <w:tc>
          <w:tcPr>
            <w:tcW w:w="1418" w:type="dxa"/>
            <w:tcBorders>
              <w:top w:val="nil"/>
              <w:left w:val="nil"/>
              <w:bottom w:val="single" w:sz="4" w:space="0" w:color="auto"/>
              <w:right w:val="nil"/>
            </w:tcBorders>
            <w:shd w:val="clear" w:color="auto" w:fill="auto"/>
            <w:noWrap/>
            <w:vAlign w:val="bottom"/>
            <w:hideMark/>
          </w:tcPr>
          <w:p w14:paraId="164294A1" w14:textId="79A92A49" w:rsidR="001177BF" w:rsidRPr="003614C5" w:rsidRDefault="001177BF" w:rsidP="001177BF">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10</w:t>
            </w:r>
          </w:p>
        </w:tc>
      </w:tr>
    </w:tbl>
    <w:p w14:paraId="1FB991F4" w14:textId="7C26CC3C" w:rsidR="00C75E33" w:rsidRPr="003614C5" w:rsidRDefault="00C75E33" w:rsidP="00C75E33">
      <w:pPr>
        <w:pStyle w:val="Els-body-text"/>
        <w:spacing w:before="120"/>
        <w:rPr>
          <w:i/>
          <w:iCs/>
          <w:sz w:val="18"/>
          <w:szCs w:val="18"/>
        </w:rPr>
      </w:pPr>
      <w:r w:rsidRPr="003614C5">
        <w:rPr>
          <w:sz w:val="18"/>
          <w:szCs w:val="18"/>
        </w:rPr>
        <w:t xml:space="preserve">“The origins of Chemical Engineering lie in Industrial Chemistry, however in the era of digitalization: as an educator, to establish a balance between process simulation and conventional hand or spreadsheet calculation is sometimes a challenge.” </w:t>
      </w:r>
      <w:r w:rsidRPr="003614C5">
        <w:rPr>
          <w:i/>
          <w:iCs/>
          <w:sz w:val="18"/>
          <w:szCs w:val="18"/>
        </w:rPr>
        <w:t>Asad Sahir, IIT Ropar.</w:t>
      </w:r>
    </w:p>
    <w:p w14:paraId="74BFB0B2" w14:textId="0F8AE2F6" w:rsidR="00C03DB1" w:rsidRPr="003614C5" w:rsidRDefault="00C03DB1" w:rsidP="00725BFB">
      <w:pPr>
        <w:pStyle w:val="Els-body-text"/>
        <w:spacing w:before="120" w:after="60"/>
        <w:ind w:firstLine="284"/>
      </w:pPr>
      <w:r w:rsidRPr="003614C5">
        <w:t>Several questions were directed at elucidating which simulation software</w:t>
      </w:r>
      <w:r w:rsidR="00C66DAB" w:rsidRPr="003614C5">
        <w:t xml:space="preserve"> packages are</w:t>
      </w:r>
      <w:r w:rsidRPr="003614C5">
        <w:t xml:space="preserve"> used in the capstone design course, and how </w:t>
      </w:r>
      <w:r w:rsidR="00C66DAB" w:rsidRPr="003614C5">
        <w:t>students are</w:t>
      </w:r>
      <w:r w:rsidRPr="003614C5">
        <w:t xml:space="preserve"> instructed</w:t>
      </w:r>
      <w:r w:rsidR="00C66DAB" w:rsidRPr="003614C5">
        <w:t xml:space="preserve"> in their usage</w:t>
      </w:r>
      <w:r w:rsidRPr="003614C5">
        <w:t>. 78% of the responders indicated that simulation software is used extensively, with a further 1</w:t>
      </w:r>
      <w:r w:rsidR="001177BF" w:rsidRPr="003614C5">
        <w:t>6</w:t>
      </w:r>
      <w:r w:rsidRPr="003614C5">
        <w:t xml:space="preserve">% stating that it is used to a small degree. Table </w:t>
      </w:r>
      <w:r w:rsidR="00430C6E" w:rsidRPr="003614C5">
        <w:t xml:space="preserve">4 </w:t>
      </w:r>
      <w:r w:rsidRPr="003614C5">
        <w:t xml:space="preserve">indicates that </w:t>
      </w:r>
      <w:r w:rsidR="001177BF" w:rsidRPr="003614C5">
        <w:t>58%</w:t>
      </w:r>
      <w:r w:rsidRPr="003614C5">
        <w:t xml:space="preserve"> of the respondents are using ASPEN Plus, with the rest relying on other packages. With regards to training, 5</w:t>
      </w:r>
      <w:r w:rsidR="001177BF" w:rsidRPr="003614C5">
        <w:t>4</w:t>
      </w:r>
      <w:r w:rsidRPr="003614C5">
        <w:t xml:space="preserve">% of the responders indicated that the use of simulation is taught either as part of the capstone course or in a separate course that is taught in parallel. </w:t>
      </w:r>
      <w:r w:rsidR="001177BF" w:rsidRPr="003614C5">
        <w:t>40</w:t>
      </w:r>
      <w:r w:rsidRPr="003614C5">
        <w:t xml:space="preserve">% of the respondents indicate that the use of simulation is taught separately before the capstone design course. Only </w:t>
      </w:r>
      <w:r w:rsidR="001177BF" w:rsidRPr="003614C5">
        <w:t>2</w:t>
      </w:r>
      <w:r w:rsidRPr="003614C5">
        <w:t>% of the respondents report that students are expected to acquire these skills on their own with no support.</w:t>
      </w:r>
    </w:p>
    <w:p w14:paraId="3826E060" w14:textId="54F8161C" w:rsidR="00930946" w:rsidRPr="003614C5" w:rsidRDefault="00930946" w:rsidP="00930946">
      <w:pPr>
        <w:pStyle w:val="Els-body-text"/>
        <w:spacing w:before="120" w:after="60"/>
      </w:pPr>
      <w:r w:rsidRPr="003614C5">
        <w:t xml:space="preserve">Table </w:t>
      </w:r>
      <w:r w:rsidR="00430C6E" w:rsidRPr="003614C5">
        <w:t>4</w:t>
      </w:r>
      <w:r w:rsidRPr="003614C5">
        <w:t>. Which simulation software is used in the capstone design course.</w:t>
      </w:r>
    </w:p>
    <w:tbl>
      <w:tblPr>
        <w:tblW w:w="5954" w:type="dxa"/>
        <w:tblLook w:val="04A0" w:firstRow="1" w:lastRow="0" w:firstColumn="1" w:lastColumn="0" w:noHBand="0" w:noVBand="1"/>
      </w:tblPr>
      <w:tblGrid>
        <w:gridCol w:w="4535"/>
        <w:gridCol w:w="1419"/>
      </w:tblGrid>
      <w:tr w:rsidR="00930946" w:rsidRPr="003614C5" w14:paraId="66A192FE" w14:textId="77777777" w:rsidTr="004F4772">
        <w:trPr>
          <w:trHeight w:val="227"/>
        </w:trPr>
        <w:tc>
          <w:tcPr>
            <w:tcW w:w="4535" w:type="dxa"/>
            <w:tcBorders>
              <w:top w:val="single" w:sz="4" w:space="0" w:color="auto"/>
              <w:left w:val="nil"/>
              <w:bottom w:val="single" w:sz="4" w:space="0" w:color="auto"/>
              <w:right w:val="nil"/>
            </w:tcBorders>
            <w:shd w:val="clear" w:color="auto" w:fill="auto"/>
            <w:noWrap/>
            <w:vAlign w:val="bottom"/>
          </w:tcPr>
          <w:p w14:paraId="467A979E"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Simulation software</w:t>
            </w:r>
          </w:p>
        </w:tc>
        <w:tc>
          <w:tcPr>
            <w:tcW w:w="1419" w:type="dxa"/>
            <w:tcBorders>
              <w:top w:val="single" w:sz="4" w:space="0" w:color="auto"/>
              <w:left w:val="nil"/>
              <w:bottom w:val="single" w:sz="4" w:space="0" w:color="auto"/>
              <w:right w:val="nil"/>
            </w:tcBorders>
            <w:shd w:val="clear" w:color="auto" w:fill="auto"/>
            <w:noWrap/>
            <w:vAlign w:val="bottom"/>
          </w:tcPr>
          <w:p w14:paraId="681772F2" w14:textId="77777777" w:rsidR="00930946" w:rsidRPr="003614C5" w:rsidRDefault="00930946"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 Responders</w:t>
            </w:r>
          </w:p>
        </w:tc>
      </w:tr>
      <w:tr w:rsidR="00930946" w:rsidRPr="003614C5" w14:paraId="682DA8C8" w14:textId="77777777" w:rsidTr="004F4772">
        <w:trPr>
          <w:trHeight w:val="227"/>
        </w:trPr>
        <w:tc>
          <w:tcPr>
            <w:tcW w:w="4535" w:type="dxa"/>
            <w:tcBorders>
              <w:top w:val="nil"/>
              <w:left w:val="nil"/>
              <w:bottom w:val="nil"/>
              <w:right w:val="nil"/>
            </w:tcBorders>
            <w:shd w:val="clear" w:color="auto" w:fill="auto"/>
            <w:noWrap/>
            <w:vAlign w:val="bottom"/>
            <w:hideMark/>
          </w:tcPr>
          <w:p w14:paraId="5F90F562"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Aspen Plus</w:t>
            </w:r>
          </w:p>
        </w:tc>
        <w:tc>
          <w:tcPr>
            <w:tcW w:w="1419" w:type="dxa"/>
            <w:tcBorders>
              <w:top w:val="nil"/>
              <w:left w:val="nil"/>
              <w:bottom w:val="nil"/>
              <w:right w:val="nil"/>
            </w:tcBorders>
            <w:shd w:val="clear" w:color="auto" w:fill="auto"/>
            <w:noWrap/>
            <w:vAlign w:val="bottom"/>
            <w:hideMark/>
          </w:tcPr>
          <w:p w14:paraId="5722AC02" w14:textId="0F14C1BD" w:rsidR="00930946" w:rsidRPr="003614C5" w:rsidRDefault="00930946"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5</w:t>
            </w:r>
            <w:r w:rsidR="001177BF" w:rsidRPr="003614C5">
              <w:rPr>
                <w:rFonts w:asciiTheme="majorBidi" w:hAnsiTheme="majorBidi" w:cstheme="majorBidi"/>
                <w:color w:val="000000"/>
                <w:lang w:val="en-US" w:bidi="he-IL"/>
              </w:rPr>
              <w:t>8</w:t>
            </w:r>
          </w:p>
        </w:tc>
      </w:tr>
      <w:tr w:rsidR="00930946" w:rsidRPr="003614C5" w14:paraId="6153B143" w14:textId="77777777" w:rsidTr="004F4772">
        <w:trPr>
          <w:trHeight w:val="227"/>
        </w:trPr>
        <w:tc>
          <w:tcPr>
            <w:tcW w:w="4535" w:type="dxa"/>
            <w:tcBorders>
              <w:top w:val="nil"/>
              <w:left w:val="nil"/>
              <w:bottom w:val="nil"/>
              <w:right w:val="nil"/>
            </w:tcBorders>
            <w:shd w:val="clear" w:color="auto" w:fill="auto"/>
            <w:noWrap/>
            <w:vAlign w:val="bottom"/>
          </w:tcPr>
          <w:p w14:paraId="3AB0FB9D"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Aspen HYSYS</w:t>
            </w:r>
          </w:p>
        </w:tc>
        <w:tc>
          <w:tcPr>
            <w:tcW w:w="1419" w:type="dxa"/>
            <w:tcBorders>
              <w:top w:val="nil"/>
              <w:left w:val="nil"/>
              <w:bottom w:val="nil"/>
              <w:right w:val="nil"/>
            </w:tcBorders>
            <w:shd w:val="clear" w:color="auto" w:fill="auto"/>
            <w:noWrap/>
            <w:vAlign w:val="bottom"/>
          </w:tcPr>
          <w:p w14:paraId="32B192A6" w14:textId="3BB68415" w:rsidR="00930946" w:rsidRPr="003614C5" w:rsidRDefault="00930946"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w:t>
            </w:r>
            <w:r w:rsidR="001177BF" w:rsidRPr="003614C5">
              <w:rPr>
                <w:rFonts w:asciiTheme="majorBidi" w:hAnsiTheme="majorBidi" w:cstheme="majorBidi"/>
                <w:color w:val="000000"/>
                <w:lang w:val="en-US" w:bidi="he-IL"/>
              </w:rPr>
              <w:t>6</w:t>
            </w:r>
          </w:p>
        </w:tc>
      </w:tr>
      <w:tr w:rsidR="00930946" w:rsidRPr="003614C5" w14:paraId="556D053A" w14:textId="77777777" w:rsidTr="004F4772">
        <w:trPr>
          <w:trHeight w:val="227"/>
        </w:trPr>
        <w:tc>
          <w:tcPr>
            <w:tcW w:w="4535" w:type="dxa"/>
            <w:tcBorders>
              <w:top w:val="nil"/>
              <w:left w:val="nil"/>
              <w:bottom w:val="nil"/>
              <w:right w:val="nil"/>
            </w:tcBorders>
            <w:shd w:val="clear" w:color="auto" w:fill="auto"/>
            <w:noWrap/>
            <w:vAlign w:val="bottom"/>
          </w:tcPr>
          <w:p w14:paraId="62C431B4"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Honeywell UniSim</w:t>
            </w:r>
          </w:p>
        </w:tc>
        <w:tc>
          <w:tcPr>
            <w:tcW w:w="1419" w:type="dxa"/>
            <w:tcBorders>
              <w:top w:val="nil"/>
              <w:left w:val="nil"/>
              <w:bottom w:val="nil"/>
              <w:right w:val="nil"/>
            </w:tcBorders>
            <w:shd w:val="clear" w:color="auto" w:fill="auto"/>
            <w:noWrap/>
            <w:vAlign w:val="bottom"/>
          </w:tcPr>
          <w:p w14:paraId="1BB3A27B" w14:textId="6B98CAA3" w:rsidR="00930946" w:rsidRPr="003614C5" w:rsidRDefault="001177BF"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8</w:t>
            </w:r>
          </w:p>
        </w:tc>
      </w:tr>
      <w:tr w:rsidR="00930946" w:rsidRPr="003614C5" w14:paraId="772B18EF" w14:textId="77777777" w:rsidTr="004F4772">
        <w:trPr>
          <w:trHeight w:val="227"/>
        </w:trPr>
        <w:tc>
          <w:tcPr>
            <w:tcW w:w="4535" w:type="dxa"/>
            <w:tcBorders>
              <w:top w:val="nil"/>
              <w:left w:val="nil"/>
              <w:bottom w:val="nil"/>
              <w:right w:val="nil"/>
            </w:tcBorders>
            <w:shd w:val="clear" w:color="auto" w:fill="auto"/>
            <w:noWrap/>
            <w:vAlign w:val="bottom"/>
            <w:hideMark/>
          </w:tcPr>
          <w:p w14:paraId="526E52EB"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AVEVA PRO/II</w:t>
            </w:r>
          </w:p>
        </w:tc>
        <w:tc>
          <w:tcPr>
            <w:tcW w:w="1419" w:type="dxa"/>
            <w:tcBorders>
              <w:top w:val="nil"/>
              <w:left w:val="nil"/>
              <w:bottom w:val="nil"/>
              <w:right w:val="nil"/>
            </w:tcBorders>
            <w:shd w:val="clear" w:color="auto" w:fill="auto"/>
            <w:noWrap/>
            <w:vAlign w:val="bottom"/>
            <w:hideMark/>
          </w:tcPr>
          <w:p w14:paraId="6D6FDAD5" w14:textId="018689DF" w:rsidR="00930946" w:rsidRPr="003614C5" w:rsidRDefault="001177BF"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6</w:t>
            </w:r>
          </w:p>
        </w:tc>
      </w:tr>
      <w:tr w:rsidR="00930946" w:rsidRPr="003614C5" w14:paraId="58BE14B3" w14:textId="77777777" w:rsidTr="004F4772">
        <w:trPr>
          <w:trHeight w:val="227"/>
        </w:trPr>
        <w:tc>
          <w:tcPr>
            <w:tcW w:w="4535" w:type="dxa"/>
            <w:tcBorders>
              <w:top w:val="nil"/>
              <w:left w:val="nil"/>
              <w:bottom w:val="nil"/>
              <w:right w:val="nil"/>
            </w:tcBorders>
            <w:shd w:val="clear" w:color="auto" w:fill="auto"/>
            <w:noWrap/>
            <w:vAlign w:val="bottom"/>
          </w:tcPr>
          <w:p w14:paraId="4B6876E5"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gPROMS</w:t>
            </w:r>
          </w:p>
        </w:tc>
        <w:tc>
          <w:tcPr>
            <w:tcW w:w="1419" w:type="dxa"/>
            <w:tcBorders>
              <w:top w:val="nil"/>
              <w:left w:val="nil"/>
              <w:bottom w:val="nil"/>
              <w:right w:val="nil"/>
            </w:tcBorders>
            <w:shd w:val="clear" w:color="auto" w:fill="auto"/>
            <w:noWrap/>
            <w:vAlign w:val="bottom"/>
          </w:tcPr>
          <w:p w14:paraId="01A60297" w14:textId="0D4F444A" w:rsidR="00930946" w:rsidRPr="003614C5" w:rsidRDefault="001177BF"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4</w:t>
            </w:r>
          </w:p>
        </w:tc>
      </w:tr>
      <w:tr w:rsidR="00930946" w:rsidRPr="003614C5" w14:paraId="733358B5" w14:textId="77777777" w:rsidTr="004F4772">
        <w:trPr>
          <w:trHeight w:val="227"/>
        </w:trPr>
        <w:tc>
          <w:tcPr>
            <w:tcW w:w="4535" w:type="dxa"/>
            <w:tcBorders>
              <w:top w:val="nil"/>
              <w:left w:val="nil"/>
              <w:bottom w:val="nil"/>
              <w:right w:val="nil"/>
            </w:tcBorders>
            <w:shd w:val="clear" w:color="auto" w:fill="auto"/>
            <w:noWrap/>
            <w:vAlign w:val="bottom"/>
            <w:hideMark/>
          </w:tcPr>
          <w:p w14:paraId="0F2CF990"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CHEMCAD</w:t>
            </w:r>
          </w:p>
        </w:tc>
        <w:tc>
          <w:tcPr>
            <w:tcW w:w="1419" w:type="dxa"/>
            <w:tcBorders>
              <w:top w:val="nil"/>
              <w:left w:val="nil"/>
              <w:bottom w:val="nil"/>
              <w:right w:val="nil"/>
            </w:tcBorders>
            <w:shd w:val="clear" w:color="auto" w:fill="auto"/>
            <w:noWrap/>
            <w:vAlign w:val="bottom"/>
            <w:hideMark/>
          </w:tcPr>
          <w:p w14:paraId="4B6EC2C8" w14:textId="2F608EB4" w:rsidR="00930946" w:rsidRPr="003614C5" w:rsidRDefault="001177BF"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2</w:t>
            </w:r>
          </w:p>
        </w:tc>
      </w:tr>
      <w:tr w:rsidR="00930946" w:rsidRPr="003614C5" w14:paraId="4437E301" w14:textId="77777777" w:rsidTr="004F4772">
        <w:trPr>
          <w:trHeight w:val="227"/>
        </w:trPr>
        <w:tc>
          <w:tcPr>
            <w:tcW w:w="4535" w:type="dxa"/>
            <w:tcBorders>
              <w:top w:val="nil"/>
              <w:left w:val="nil"/>
              <w:bottom w:val="single" w:sz="4" w:space="0" w:color="auto"/>
              <w:right w:val="nil"/>
            </w:tcBorders>
            <w:shd w:val="clear" w:color="auto" w:fill="auto"/>
            <w:noWrap/>
            <w:vAlign w:val="bottom"/>
          </w:tcPr>
          <w:p w14:paraId="13DF00BB" w14:textId="77777777" w:rsidR="00930946" w:rsidRPr="003614C5" w:rsidRDefault="00930946" w:rsidP="009B4CBB">
            <w:pPr>
              <w:rPr>
                <w:rFonts w:asciiTheme="majorBidi" w:hAnsiTheme="majorBidi" w:cstheme="majorBidi"/>
                <w:color w:val="000000"/>
                <w:lang w:val="en-US" w:bidi="he-IL"/>
              </w:rPr>
            </w:pPr>
            <w:r w:rsidRPr="003614C5">
              <w:rPr>
                <w:rFonts w:asciiTheme="majorBidi" w:hAnsiTheme="majorBidi" w:cstheme="majorBidi"/>
                <w:color w:val="000000"/>
                <w:lang w:val="en-US" w:bidi="he-IL"/>
              </w:rPr>
              <w:t>GAMS</w:t>
            </w:r>
          </w:p>
        </w:tc>
        <w:tc>
          <w:tcPr>
            <w:tcW w:w="1419" w:type="dxa"/>
            <w:tcBorders>
              <w:top w:val="nil"/>
              <w:left w:val="nil"/>
              <w:bottom w:val="single" w:sz="4" w:space="0" w:color="auto"/>
              <w:right w:val="nil"/>
            </w:tcBorders>
            <w:shd w:val="clear" w:color="auto" w:fill="auto"/>
            <w:noWrap/>
            <w:vAlign w:val="bottom"/>
          </w:tcPr>
          <w:p w14:paraId="6D2BCBD7" w14:textId="4CA65F26" w:rsidR="00930946" w:rsidRPr="003614C5" w:rsidRDefault="001177BF" w:rsidP="009B4CB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2</w:t>
            </w:r>
          </w:p>
        </w:tc>
      </w:tr>
    </w:tbl>
    <w:p w14:paraId="209021C2" w14:textId="3E916A3D" w:rsidR="00141006" w:rsidRPr="003614C5" w:rsidRDefault="00141006" w:rsidP="00141006">
      <w:pPr>
        <w:pStyle w:val="Els-2ndorder-head"/>
      </w:pPr>
      <w:r w:rsidRPr="003614C5">
        <w:t>How is the capstone process design course taught.</w:t>
      </w:r>
    </w:p>
    <w:p w14:paraId="6EA8858A" w14:textId="62466942" w:rsidR="00430C6E" w:rsidRPr="003614C5" w:rsidRDefault="00675B46" w:rsidP="00430C6E">
      <w:pPr>
        <w:pStyle w:val="Els-body-text"/>
        <w:spacing w:before="60" w:after="60"/>
        <w:rPr>
          <w:rFonts w:asciiTheme="majorBidi" w:hAnsiTheme="majorBidi" w:cstheme="majorBidi"/>
          <w:i/>
          <w:iCs/>
          <w:sz w:val="18"/>
          <w:szCs w:val="18"/>
        </w:rPr>
      </w:pPr>
      <w:bookmarkStart w:id="0" w:name="_Hlk151628428"/>
      <w:r w:rsidRPr="003614C5">
        <w:rPr>
          <w:rFonts w:asciiTheme="majorBidi" w:hAnsiTheme="majorBidi" w:cstheme="majorBidi"/>
          <w:sz w:val="18"/>
          <w:szCs w:val="18"/>
        </w:rPr>
        <w:t xml:space="preserve">“Although most of the students learn how to do the expected tasks/calculations mechanically using process simulation, often they do not achieve ‘junior competencies’ on process design as expected at the end of the course (e.g., why they should do the different tasks as they do them?). The previous background of the students (e.g., lack of emphasis on ‘decision making’ in previous courses), and the time/effort allocated to this topic are real constraints.” </w:t>
      </w:r>
      <w:r w:rsidRPr="003614C5">
        <w:rPr>
          <w:rFonts w:asciiTheme="majorBidi" w:hAnsiTheme="majorBidi" w:cstheme="majorBidi"/>
          <w:i/>
          <w:iCs/>
          <w:sz w:val="18"/>
          <w:szCs w:val="18"/>
        </w:rPr>
        <w:t xml:space="preserve">Antonio Espuña, </w:t>
      </w:r>
      <w:bookmarkStart w:id="1" w:name="_Hlk151628976"/>
      <w:bookmarkEnd w:id="0"/>
      <w:r w:rsidRPr="003614C5">
        <w:rPr>
          <w:rFonts w:asciiTheme="majorBidi" w:hAnsiTheme="majorBidi" w:cstheme="majorBidi"/>
          <w:i/>
          <w:iCs/>
          <w:sz w:val="18"/>
          <w:szCs w:val="18"/>
        </w:rPr>
        <w:t>UPC - Technical University of Catalonia</w:t>
      </w:r>
      <w:bookmarkEnd w:id="1"/>
    </w:p>
    <w:p w14:paraId="222BC5F7" w14:textId="79D4F72B" w:rsidR="00430C6E" w:rsidRPr="003614C5" w:rsidRDefault="00430C6E" w:rsidP="00430C6E">
      <w:pPr>
        <w:pStyle w:val="Els-body-text"/>
      </w:pPr>
      <w:r w:rsidRPr="003614C5">
        <w:t xml:space="preserve">The core skills for process design are taught systematically year-by-year for the entire degree in </w:t>
      </w:r>
      <w:r w:rsidR="008F394D" w:rsidRPr="003614C5">
        <w:t>36</w:t>
      </w:r>
      <w:r w:rsidRPr="003614C5">
        <w:t xml:space="preserve">% of the cases. A capstone design course is taught in the </w:t>
      </w:r>
      <w:r w:rsidR="0029753D" w:rsidRPr="003614C5">
        <w:t>second</w:t>
      </w:r>
      <w:r w:rsidRPr="003614C5">
        <w:t xml:space="preserve"> to last year of the degree in </w:t>
      </w:r>
      <w:r w:rsidR="008B01F6" w:rsidRPr="003614C5">
        <w:t>46</w:t>
      </w:r>
      <w:r w:rsidRPr="003614C5">
        <w:t>% of the cases, and in the last year of the degree in 7</w:t>
      </w:r>
      <w:r w:rsidR="008B01F6" w:rsidRPr="003614C5">
        <w:t>4</w:t>
      </w:r>
      <w:r w:rsidRPr="003614C5">
        <w:t>% of the cases. The capstone design courses are taught by professors and lecturers, with the assistance of TAs in 4</w:t>
      </w:r>
      <w:r w:rsidR="008B01F6" w:rsidRPr="003614C5">
        <w:t>2</w:t>
      </w:r>
      <w:r w:rsidRPr="003614C5">
        <w:t>% of the cases, industrial adjuncts in 4</w:t>
      </w:r>
      <w:r w:rsidR="008B01F6" w:rsidRPr="003614C5">
        <w:t>4</w:t>
      </w:r>
      <w:r w:rsidRPr="003614C5">
        <w:t xml:space="preserve">% of the cases, and some assistance </w:t>
      </w:r>
      <w:r w:rsidRPr="003614C5">
        <w:lastRenderedPageBreak/>
        <w:t xml:space="preserve">from the simulator providers in </w:t>
      </w:r>
      <w:r w:rsidR="008B01F6" w:rsidRPr="003614C5">
        <w:t>8</w:t>
      </w:r>
      <w:r w:rsidRPr="003614C5">
        <w:t>% of the cases. In most cases, the capstone process design class is taught using a weekly combination of lectures (average length of 2</w:t>
      </w:r>
      <w:r w:rsidR="00500AF7" w:rsidRPr="003614C5">
        <w:t>.1</w:t>
      </w:r>
      <w:r w:rsidRPr="003614C5">
        <w:t xml:space="preserve"> hours), recitations/exercises (average length of 1</w:t>
      </w:r>
      <w:r w:rsidR="00500AF7" w:rsidRPr="003614C5">
        <w:t>.1</w:t>
      </w:r>
      <w:r w:rsidRPr="003614C5">
        <w:t xml:space="preserve"> hour</w:t>
      </w:r>
      <w:r w:rsidR="00500AF7" w:rsidRPr="003614C5">
        <w:t>s</w:t>
      </w:r>
      <w:r w:rsidRPr="003614C5">
        <w:t xml:space="preserve">), </w:t>
      </w:r>
      <w:r w:rsidR="00500AF7" w:rsidRPr="003614C5">
        <w:t xml:space="preserve">laboratories (average length of 1.2 hours), </w:t>
      </w:r>
      <w:r w:rsidRPr="003614C5">
        <w:t>meetings with students (average length of 1</w:t>
      </w:r>
      <w:r w:rsidR="00500AF7" w:rsidRPr="003614C5">
        <w:t>.2</w:t>
      </w:r>
      <w:r w:rsidRPr="003614C5">
        <w:t xml:space="preserve"> hour</w:t>
      </w:r>
      <w:r w:rsidR="00500AF7" w:rsidRPr="003614C5">
        <w:t>s</w:t>
      </w:r>
      <w:r w:rsidRPr="003614C5">
        <w:t>), and office hours (average length of 1.</w:t>
      </w:r>
      <w:r w:rsidR="00500AF7" w:rsidRPr="003614C5">
        <w:t>3</w:t>
      </w:r>
      <w:r w:rsidRPr="003614C5">
        <w:t xml:space="preserve"> hours).</w:t>
      </w:r>
    </w:p>
    <w:p w14:paraId="0456649C" w14:textId="696FF312" w:rsidR="00430C6E" w:rsidRPr="003614C5" w:rsidRDefault="00430C6E" w:rsidP="00430C6E">
      <w:pPr>
        <w:pStyle w:val="Els-body-text"/>
        <w:ind w:firstLine="284"/>
      </w:pPr>
      <w:r w:rsidRPr="003614C5">
        <w:t xml:space="preserve">The design project is included as part of the capstone design course by </w:t>
      </w:r>
      <w:r w:rsidR="009A57D3" w:rsidRPr="003614C5">
        <w:t>57</w:t>
      </w:r>
      <w:r w:rsidRPr="003614C5">
        <w:t xml:space="preserve">% of the respondents, another </w:t>
      </w:r>
      <w:r w:rsidR="009A57D3" w:rsidRPr="003614C5">
        <w:t>41</w:t>
      </w:r>
      <w:r w:rsidRPr="003614C5">
        <w:t xml:space="preserve">% having the design project as a separate course, and </w:t>
      </w:r>
      <w:r w:rsidR="009A57D3" w:rsidRPr="003614C5">
        <w:t>only 2</w:t>
      </w:r>
      <w:r w:rsidRPr="003614C5">
        <w:t xml:space="preserve">% having no design project. The average project group size is </w:t>
      </w:r>
      <w:r w:rsidR="009A57D3" w:rsidRPr="003614C5">
        <w:t>5.3</w:t>
      </w:r>
      <w:r w:rsidRPr="003614C5">
        <w:t xml:space="preserve"> students (</w:t>
      </w:r>
      <w:r w:rsidR="0029753D" w:rsidRPr="003614C5">
        <w:t>standard deviation, STD</w:t>
      </w:r>
      <w:r w:rsidR="009A57D3" w:rsidRPr="003614C5">
        <w:t xml:space="preserve"> </w:t>
      </w:r>
      <w:r w:rsidRPr="003614C5">
        <w:t>=</w:t>
      </w:r>
      <w:r w:rsidR="009A57D3" w:rsidRPr="003614C5">
        <w:t xml:space="preserve"> 4</w:t>
      </w:r>
      <w:r w:rsidRPr="003614C5">
        <w:t xml:space="preserve">). The distribution of assessment of student mastery by categories is </w:t>
      </w:r>
      <w:r w:rsidR="0003060A" w:rsidRPr="003614C5">
        <w:t>listed</w:t>
      </w:r>
      <w:r w:rsidRPr="003614C5">
        <w:t xml:space="preserve"> </w:t>
      </w:r>
      <w:r w:rsidR="0003060A" w:rsidRPr="003614C5">
        <w:t>in</w:t>
      </w:r>
      <w:r w:rsidRPr="003614C5">
        <w:t xml:space="preserve"> Table 5, where the average weights and their standard deviations (STD) are presented. The large variance is due to 25% of the responders indicat</w:t>
      </w:r>
      <w:r w:rsidR="005C61F2" w:rsidRPr="003614C5">
        <w:t>ing</w:t>
      </w:r>
      <w:r w:rsidRPr="003614C5">
        <w:t xml:space="preserve"> that students are not examined in their courses, with the project grade being heavily dependent on the project and course performance of the students.</w:t>
      </w:r>
    </w:p>
    <w:p w14:paraId="015E59EA" w14:textId="0C1B6827" w:rsidR="00430C6E" w:rsidRPr="003614C5" w:rsidRDefault="00430C6E" w:rsidP="00430C6E">
      <w:pPr>
        <w:pStyle w:val="Els-body-text"/>
        <w:spacing w:before="60"/>
      </w:pPr>
      <w:r w:rsidRPr="003614C5">
        <w:t>Table 5. How are the students of the capstone design course assessed?</w:t>
      </w:r>
    </w:p>
    <w:tbl>
      <w:tblPr>
        <w:tblW w:w="6131" w:type="dxa"/>
        <w:tblLook w:val="04A0" w:firstRow="1" w:lastRow="0" w:firstColumn="1" w:lastColumn="0" w:noHBand="0" w:noVBand="1"/>
      </w:tblPr>
      <w:tblGrid>
        <w:gridCol w:w="3119"/>
        <w:gridCol w:w="1984"/>
        <w:gridCol w:w="1028"/>
      </w:tblGrid>
      <w:tr w:rsidR="00430C6E" w:rsidRPr="003614C5" w14:paraId="786803B8" w14:textId="77777777" w:rsidTr="00024713">
        <w:trPr>
          <w:trHeight w:val="227"/>
        </w:trPr>
        <w:tc>
          <w:tcPr>
            <w:tcW w:w="3119" w:type="dxa"/>
            <w:tcBorders>
              <w:top w:val="single" w:sz="4" w:space="0" w:color="auto"/>
              <w:left w:val="nil"/>
              <w:bottom w:val="single" w:sz="4" w:space="0" w:color="auto"/>
              <w:right w:val="nil"/>
            </w:tcBorders>
            <w:shd w:val="clear" w:color="auto" w:fill="auto"/>
            <w:noWrap/>
            <w:vAlign w:val="bottom"/>
          </w:tcPr>
          <w:p w14:paraId="1BAC240D"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Category</w:t>
            </w:r>
          </w:p>
        </w:tc>
        <w:tc>
          <w:tcPr>
            <w:tcW w:w="1984" w:type="dxa"/>
            <w:tcBorders>
              <w:top w:val="single" w:sz="4" w:space="0" w:color="auto"/>
              <w:left w:val="nil"/>
              <w:bottom w:val="single" w:sz="4" w:space="0" w:color="auto"/>
              <w:right w:val="nil"/>
            </w:tcBorders>
            <w:shd w:val="clear" w:color="auto" w:fill="auto"/>
            <w:noWrap/>
            <w:vAlign w:val="bottom"/>
          </w:tcPr>
          <w:p w14:paraId="35EFC97C" w14:textId="4A11C2D6" w:rsidR="00430C6E" w:rsidRPr="003614C5" w:rsidRDefault="00024713"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 xml:space="preserve">Average </w:t>
            </w:r>
            <w:r w:rsidR="00430C6E" w:rsidRPr="003614C5">
              <w:rPr>
                <w:rFonts w:asciiTheme="majorBidi" w:hAnsiTheme="majorBidi" w:cstheme="majorBidi"/>
                <w:color w:val="000000"/>
                <w:lang w:val="en-US" w:bidi="he-IL"/>
              </w:rPr>
              <w:t>Weight (%)</w:t>
            </w:r>
          </w:p>
        </w:tc>
        <w:tc>
          <w:tcPr>
            <w:tcW w:w="1028" w:type="dxa"/>
            <w:tcBorders>
              <w:top w:val="single" w:sz="4" w:space="0" w:color="auto"/>
              <w:left w:val="nil"/>
              <w:bottom w:val="single" w:sz="4" w:space="0" w:color="auto"/>
              <w:right w:val="nil"/>
            </w:tcBorders>
          </w:tcPr>
          <w:p w14:paraId="4B117951" w14:textId="77777777"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STD (%)</w:t>
            </w:r>
          </w:p>
        </w:tc>
      </w:tr>
      <w:tr w:rsidR="00430C6E" w:rsidRPr="003614C5" w14:paraId="00D4E316" w14:textId="77777777" w:rsidTr="00024713">
        <w:trPr>
          <w:trHeight w:val="227"/>
        </w:trPr>
        <w:tc>
          <w:tcPr>
            <w:tcW w:w="3119" w:type="dxa"/>
            <w:tcBorders>
              <w:top w:val="single" w:sz="4" w:space="0" w:color="auto"/>
              <w:left w:val="nil"/>
              <w:right w:val="nil"/>
            </w:tcBorders>
            <w:shd w:val="clear" w:color="auto" w:fill="auto"/>
            <w:noWrap/>
            <w:vAlign w:val="bottom"/>
          </w:tcPr>
          <w:p w14:paraId="4963AE3E"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Course progress</w:t>
            </w:r>
          </w:p>
        </w:tc>
        <w:tc>
          <w:tcPr>
            <w:tcW w:w="1984" w:type="dxa"/>
            <w:tcBorders>
              <w:top w:val="single" w:sz="4" w:space="0" w:color="auto"/>
              <w:left w:val="nil"/>
              <w:right w:val="nil"/>
            </w:tcBorders>
            <w:shd w:val="clear" w:color="auto" w:fill="auto"/>
            <w:noWrap/>
            <w:vAlign w:val="bottom"/>
          </w:tcPr>
          <w:p w14:paraId="102058DE" w14:textId="26BACF5D" w:rsidR="00430C6E" w:rsidRPr="003614C5" w:rsidRDefault="008B01F6"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9</w:t>
            </w:r>
          </w:p>
        </w:tc>
        <w:tc>
          <w:tcPr>
            <w:tcW w:w="1028" w:type="dxa"/>
            <w:tcBorders>
              <w:top w:val="single" w:sz="4" w:space="0" w:color="auto"/>
              <w:left w:val="nil"/>
              <w:right w:val="nil"/>
            </w:tcBorders>
          </w:tcPr>
          <w:p w14:paraId="43FDF60B" w14:textId="32771F08" w:rsidR="00430C6E" w:rsidRPr="003614C5" w:rsidRDefault="008B01F6"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10</w:t>
            </w:r>
          </w:p>
        </w:tc>
      </w:tr>
      <w:tr w:rsidR="00430C6E" w:rsidRPr="003614C5" w14:paraId="7AD28D7E" w14:textId="77777777" w:rsidTr="00024713">
        <w:trPr>
          <w:trHeight w:val="227"/>
        </w:trPr>
        <w:tc>
          <w:tcPr>
            <w:tcW w:w="3119" w:type="dxa"/>
            <w:tcBorders>
              <w:left w:val="nil"/>
              <w:bottom w:val="nil"/>
              <w:right w:val="nil"/>
            </w:tcBorders>
            <w:shd w:val="clear" w:color="auto" w:fill="auto"/>
            <w:noWrap/>
            <w:vAlign w:val="bottom"/>
          </w:tcPr>
          <w:p w14:paraId="0218635E"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Project (group assessment)</w:t>
            </w:r>
          </w:p>
        </w:tc>
        <w:tc>
          <w:tcPr>
            <w:tcW w:w="1984" w:type="dxa"/>
            <w:tcBorders>
              <w:left w:val="nil"/>
              <w:bottom w:val="nil"/>
              <w:right w:val="nil"/>
            </w:tcBorders>
            <w:shd w:val="clear" w:color="auto" w:fill="auto"/>
            <w:noWrap/>
            <w:vAlign w:val="bottom"/>
          </w:tcPr>
          <w:p w14:paraId="7CA8AC3E" w14:textId="77777777"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32</w:t>
            </w:r>
          </w:p>
        </w:tc>
        <w:tc>
          <w:tcPr>
            <w:tcW w:w="1028" w:type="dxa"/>
            <w:tcBorders>
              <w:left w:val="nil"/>
              <w:bottom w:val="nil"/>
              <w:right w:val="nil"/>
            </w:tcBorders>
          </w:tcPr>
          <w:p w14:paraId="6DE4BA78" w14:textId="36E0AAC9"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2</w:t>
            </w:r>
            <w:r w:rsidR="008B01F6" w:rsidRPr="003614C5">
              <w:rPr>
                <w:rFonts w:asciiTheme="majorBidi" w:hAnsiTheme="majorBidi" w:cstheme="majorBidi"/>
                <w:color w:val="000000"/>
                <w:lang w:val="en-US" w:bidi="he-IL"/>
              </w:rPr>
              <w:t>1</w:t>
            </w:r>
          </w:p>
        </w:tc>
      </w:tr>
      <w:tr w:rsidR="00430C6E" w:rsidRPr="003614C5" w14:paraId="33D962BC" w14:textId="77777777" w:rsidTr="00024713">
        <w:trPr>
          <w:trHeight w:val="227"/>
        </w:trPr>
        <w:tc>
          <w:tcPr>
            <w:tcW w:w="3119" w:type="dxa"/>
            <w:tcBorders>
              <w:left w:val="nil"/>
              <w:bottom w:val="nil"/>
              <w:right w:val="nil"/>
            </w:tcBorders>
            <w:shd w:val="clear" w:color="auto" w:fill="auto"/>
            <w:noWrap/>
            <w:vAlign w:val="bottom"/>
          </w:tcPr>
          <w:p w14:paraId="7A8B1D5F"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Project (individual assessment)</w:t>
            </w:r>
          </w:p>
        </w:tc>
        <w:tc>
          <w:tcPr>
            <w:tcW w:w="1984" w:type="dxa"/>
            <w:tcBorders>
              <w:left w:val="nil"/>
              <w:bottom w:val="nil"/>
              <w:right w:val="nil"/>
            </w:tcBorders>
            <w:shd w:val="clear" w:color="auto" w:fill="auto"/>
            <w:noWrap/>
            <w:vAlign w:val="bottom"/>
          </w:tcPr>
          <w:p w14:paraId="45F2B66E" w14:textId="220EB7CA"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w:t>
            </w:r>
            <w:r w:rsidR="008B01F6" w:rsidRPr="003614C5">
              <w:rPr>
                <w:rFonts w:asciiTheme="majorBidi" w:hAnsiTheme="majorBidi" w:cstheme="majorBidi"/>
                <w:color w:val="000000"/>
                <w:lang w:val="en-US" w:bidi="he-IL"/>
              </w:rPr>
              <w:t>6</w:t>
            </w:r>
          </w:p>
        </w:tc>
        <w:tc>
          <w:tcPr>
            <w:tcW w:w="1028" w:type="dxa"/>
            <w:tcBorders>
              <w:left w:val="nil"/>
              <w:bottom w:val="nil"/>
              <w:right w:val="nil"/>
            </w:tcBorders>
          </w:tcPr>
          <w:p w14:paraId="0B4D699D" w14:textId="009875B3"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2</w:t>
            </w:r>
            <w:r w:rsidR="008B01F6" w:rsidRPr="003614C5">
              <w:rPr>
                <w:rFonts w:asciiTheme="majorBidi" w:hAnsiTheme="majorBidi" w:cstheme="majorBidi"/>
                <w:color w:val="000000"/>
                <w:lang w:val="en-US" w:bidi="he-IL"/>
              </w:rPr>
              <w:t>1</w:t>
            </w:r>
          </w:p>
        </w:tc>
      </w:tr>
      <w:tr w:rsidR="00430C6E" w:rsidRPr="003614C5" w14:paraId="011D2A85" w14:textId="77777777" w:rsidTr="00024713">
        <w:trPr>
          <w:trHeight w:val="227"/>
        </w:trPr>
        <w:tc>
          <w:tcPr>
            <w:tcW w:w="3119" w:type="dxa"/>
            <w:tcBorders>
              <w:top w:val="nil"/>
              <w:left w:val="nil"/>
              <w:bottom w:val="nil"/>
              <w:right w:val="nil"/>
            </w:tcBorders>
            <w:shd w:val="clear" w:color="auto" w:fill="auto"/>
            <w:noWrap/>
            <w:vAlign w:val="bottom"/>
            <w:hideMark/>
          </w:tcPr>
          <w:p w14:paraId="35AD90B4"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 xml:space="preserve">Project presentation </w:t>
            </w:r>
          </w:p>
        </w:tc>
        <w:tc>
          <w:tcPr>
            <w:tcW w:w="1984" w:type="dxa"/>
            <w:tcBorders>
              <w:top w:val="nil"/>
              <w:left w:val="nil"/>
              <w:bottom w:val="nil"/>
              <w:right w:val="nil"/>
            </w:tcBorders>
            <w:shd w:val="clear" w:color="auto" w:fill="auto"/>
            <w:noWrap/>
            <w:vAlign w:val="bottom"/>
          </w:tcPr>
          <w:p w14:paraId="5E950B07" w14:textId="25698913"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w:t>
            </w:r>
            <w:r w:rsidR="008B01F6" w:rsidRPr="003614C5">
              <w:rPr>
                <w:rFonts w:asciiTheme="majorBidi" w:hAnsiTheme="majorBidi" w:cstheme="majorBidi"/>
                <w:color w:val="000000"/>
                <w:lang w:val="en-US" w:bidi="he-IL"/>
              </w:rPr>
              <w:t>5</w:t>
            </w:r>
          </w:p>
        </w:tc>
        <w:tc>
          <w:tcPr>
            <w:tcW w:w="1028" w:type="dxa"/>
            <w:tcBorders>
              <w:top w:val="nil"/>
              <w:left w:val="nil"/>
              <w:bottom w:val="nil"/>
              <w:right w:val="nil"/>
            </w:tcBorders>
          </w:tcPr>
          <w:p w14:paraId="16D4E9E1" w14:textId="445ED04D"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w:t>
            </w:r>
            <w:r w:rsidR="008B01F6" w:rsidRPr="003614C5">
              <w:rPr>
                <w:rFonts w:asciiTheme="majorBidi" w:hAnsiTheme="majorBidi" w:cstheme="majorBidi"/>
                <w:color w:val="000000"/>
                <w:lang w:val="en-US" w:bidi="he-IL"/>
              </w:rPr>
              <w:t>6</w:t>
            </w:r>
          </w:p>
        </w:tc>
      </w:tr>
      <w:tr w:rsidR="00430C6E" w:rsidRPr="003614C5" w14:paraId="1D33C355" w14:textId="77777777" w:rsidTr="00024713">
        <w:trPr>
          <w:trHeight w:val="227"/>
        </w:trPr>
        <w:tc>
          <w:tcPr>
            <w:tcW w:w="3119" w:type="dxa"/>
            <w:tcBorders>
              <w:top w:val="nil"/>
              <w:left w:val="nil"/>
              <w:bottom w:val="nil"/>
              <w:right w:val="nil"/>
            </w:tcBorders>
            <w:shd w:val="clear" w:color="auto" w:fill="auto"/>
            <w:noWrap/>
            <w:vAlign w:val="bottom"/>
          </w:tcPr>
          <w:p w14:paraId="56F4D242"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Soft skills assessment</w:t>
            </w:r>
          </w:p>
        </w:tc>
        <w:tc>
          <w:tcPr>
            <w:tcW w:w="1984" w:type="dxa"/>
            <w:tcBorders>
              <w:top w:val="nil"/>
              <w:left w:val="nil"/>
              <w:bottom w:val="nil"/>
              <w:right w:val="nil"/>
            </w:tcBorders>
            <w:shd w:val="clear" w:color="auto" w:fill="auto"/>
            <w:noWrap/>
            <w:vAlign w:val="bottom"/>
          </w:tcPr>
          <w:p w14:paraId="093312AF" w14:textId="77777777" w:rsidR="00430C6E" w:rsidRPr="003614C5" w:rsidRDefault="00430C6E"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5</w:t>
            </w:r>
          </w:p>
        </w:tc>
        <w:tc>
          <w:tcPr>
            <w:tcW w:w="1028" w:type="dxa"/>
            <w:tcBorders>
              <w:top w:val="nil"/>
              <w:left w:val="nil"/>
              <w:bottom w:val="nil"/>
              <w:right w:val="nil"/>
            </w:tcBorders>
          </w:tcPr>
          <w:p w14:paraId="07608750" w14:textId="6E9051AF" w:rsidR="00430C6E" w:rsidRPr="003614C5" w:rsidRDefault="008B01F6"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7</w:t>
            </w:r>
          </w:p>
        </w:tc>
      </w:tr>
      <w:tr w:rsidR="00430C6E" w:rsidRPr="003614C5" w14:paraId="1F9C6EBD" w14:textId="77777777" w:rsidTr="00024713">
        <w:trPr>
          <w:trHeight w:val="47"/>
        </w:trPr>
        <w:tc>
          <w:tcPr>
            <w:tcW w:w="3119" w:type="dxa"/>
            <w:tcBorders>
              <w:top w:val="nil"/>
              <w:left w:val="nil"/>
              <w:right w:val="nil"/>
            </w:tcBorders>
            <w:shd w:val="clear" w:color="auto" w:fill="auto"/>
            <w:noWrap/>
            <w:vAlign w:val="bottom"/>
            <w:hideMark/>
          </w:tcPr>
          <w:p w14:paraId="65D9615A"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Midterm exam</w:t>
            </w:r>
          </w:p>
        </w:tc>
        <w:tc>
          <w:tcPr>
            <w:tcW w:w="1984" w:type="dxa"/>
            <w:tcBorders>
              <w:top w:val="nil"/>
              <w:left w:val="nil"/>
              <w:right w:val="nil"/>
            </w:tcBorders>
            <w:shd w:val="clear" w:color="auto" w:fill="auto"/>
            <w:noWrap/>
            <w:vAlign w:val="bottom"/>
          </w:tcPr>
          <w:p w14:paraId="5F78B2DA" w14:textId="1028E9A7" w:rsidR="00430C6E" w:rsidRPr="003614C5" w:rsidRDefault="008B01F6"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7</w:t>
            </w:r>
          </w:p>
        </w:tc>
        <w:tc>
          <w:tcPr>
            <w:tcW w:w="1028" w:type="dxa"/>
            <w:tcBorders>
              <w:top w:val="nil"/>
              <w:left w:val="nil"/>
              <w:right w:val="nil"/>
            </w:tcBorders>
          </w:tcPr>
          <w:p w14:paraId="34724A62" w14:textId="1E3317B3" w:rsidR="00430C6E" w:rsidRPr="003614C5" w:rsidRDefault="008B01F6"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11</w:t>
            </w:r>
          </w:p>
        </w:tc>
      </w:tr>
      <w:tr w:rsidR="00430C6E" w:rsidRPr="003614C5" w14:paraId="40878130" w14:textId="77777777" w:rsidTr="00024713">
        <w:trPr>
          <w:trHeight w:val="227"/>
        </w:trPr>
        <w:tc>
          <w:tcPr>
            <w:tcW w:w="3119" w:type="dxa"/>
            <w:tcBorders>
              <w:top w:val="nil"/>
              <w:left w:val="nil"/>
              <w:bottom w:val="single" w:sz="4" w:space="0" w:color="auto"/>
              <w:right w:val="nil"/>
            </w:tcBorders>
            <w:shd w:val="clear" w:color="auto" w:fill="auto"/>
            <w:noWrap/>
            <w:vAlign w:val="bottom"/>
            <w:hideMark/>
          </w:tcPr>
          <w:p w14:paraId="4F511A08" w14:textId="77777777" w:rsidR="00430C6E" w:rsidRPr="003614C5" w:rsidRDefault="00430C6E" w:rsidP="00894B1B">
            <w:pPr>
              <w:rPr>
                <w:rFonts w:asciiTheme="majorBidi" w:hAnsiTheme="majorBidi" w:cstheme="majorBidi"/>
                <w:color w:val="000000"/>
                <w:lang w:val="en-US" w:bidi="he-IL"/>
              </w:rPr>
            </w:pPr>
            <w:r w:rsidRPr="003614C5">
              <w:rPr>
                <w:rFonts w:asciiTheme="majorBidi" w:hAnsiTheme="majorBidi" w:cstheme="majorBidi"/>
                <w:color w:val="000000"/>
                <w:lang w:val="en-US" w:bidi="he-IL"/>
              </w:rPr>
              <w:t>Final Exam</w:t>
            </w:r>
          </w:p>
        </w:tc>
        <w:tc>
          <w:tcPr>
            <w:tcW w:w="1984" w:type="dxa"/>
            <w:tcBorders>
              <w:top w:val="nil"/>
              <w:left w:val="nil"/>
              <w:bottom w:val="single" w:sz="4" w:space="0" w:color="auto"/>
              <w:right w:val="nil"/>
            </w:tcBorders>
            <w:shd w:val="clear" w:color="auto" w:fill="auto"/>
            <w:noWrap/>
            <w:vAlign w:val="bottom"/>
          </w:tcPr>
          <w:p w14:paraId="756088C8" w14:textId="4E578FF3" w:rsidR="00430C6E" w:rsidRPr="003614C5" w:rsidRDefault="008B01F6"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16</w:t>
            </w:r>
          </w:p>
        </w:tc>
        <w:tc>
          <w:tcPr>
            <w:tcW w:w="1028" w:type="dxa"/>
            <w:tcBorders>
              <w:top w:val="nil"/>
              <w:left w:val="nil"/>
              <w:bottom w:val="single" w:sz="4" w:space="0" w:color="auto"/>
              <w:right w:val="nil"/>
            </w:tcBorders>
          </w:tcPr>
          <w:p w14:paraId="136C65BB" w14:textId="026B4D30" w:rsidR="00430C6E" w:rsidRPr="003614C5" w:rsidRDefault="008B01F6" w:rsidP="00894B1B">
            <w:pPr>
              <w:jc w:val="center"/>
              <w:rPr>
                <w:rFonts w:asciiTheme="majorBidi" w:hAnsiTheme="majorBidi" w:cstheme="majorBidi"/>
                <w:color w:val="000000"/>
                <w:lang w:val="en-US" w:bidi="he-IL"/>
              </w:rPr>
            </w:pPr>
            <w:r w:rsidRPr="003614C5">
              <w:rPr>
                <w:rFonts w:asciiTheme="majorBidi" w:hAnsiTheme="majorBidi" w:cstheme="majorBidi"/>
                <w:color w:val="000000"/>
                <w:lang w:val="en-US" w:bidi="he-IL"/>
              </w:rPr>
              <w:t>19</w:t>
            </w:r>
          </w:p>
        </w:tc>
      </w:tr>
    </w:tbl>
    <w:p w14:paraId="4657857B" w14:textId="4FE5E505" w:rsidR="000E0B13" w:rsidRPr="003614C5" w:rsidRDefault="00640309" w:rsidP="00A90A9E">
      <w:pPr>
        <w:pStyle w:val="Els-body-text"/>
        <w:spacing w:before="60"/>
        <w:ind w:firstLine="284"/>
      </w:pPr>
      <w:r w:rsidRPr="003614C5">
        <w:t>Figure 1</w:t>
      </w:r>
      <w:r w:rsidR="006B50DD" w:rsidRPr="003614C5">
        <w:t xml:space="preserve"> shows the distribution of total meeting time used </w:t>
      </w:r>
      <w:r w:rsidR="00024713" w:rsidRPr="003614C5">
        <w:t xml:space="preserve">in the capstone design course </w:t>
      </w:r>
      <w:r w:rsidR="006B50DD" w:rsidRPr="003614C5">
        <w:t>by lecturers and TAs to present materials, with the rest used for Q&amp;A, and other in-class activities (e.g., problem solving). T</w:t>
      </w:r>
      <w:r w:rsidRPr="003614C5">
        <w:t>he responses received indicate bimodal distributions in the time-utilization for active learning in both lectures</w:t>
      </w:r>
      <w:r w:rsidR="00024713" w:rsidRPr="003614C5">
        <w:t>, shown in</w:t>
      </w:r>
      <w:r w:rsidRPr="003614C5">
        <w:t xml:space="preserve"> Fig. 1(a)</w:t>
      </w:r>
      <w:r w:rsidR="00024713" w:rsidRPr="003614C5">
        <w:t>,</w:t>
      </w:r>
      <w:r w:rsidRPr="003614C5">
        <w:t xml:space="preserve"> and recitations</w:t>
      </w:r>
      <w:r w:rsidR="00024713" w:rsidRPr="003614C5">
        <w:t xml:space="preserve">/exercises, shown in </w:t>
      </w:r>
      <w:r w:rsidRPr="003614C5">
        <w:t xml:space="preserve">Fig. 1(b) – with a close to even split between those who utilize the time in favor of hands-on problem solving by students, and those who favor more traditional usage of the time to transmit information by lecturing. </w:t>
      </w:r>
      <w:r w:rsidR="00C66DAB" w:rsidRPr="003614C5">
        <w:t xml:space="preserve">The positive impact of active learning on learning outcomes in process design education have been reported by Lewin and Barzilai (2021). </w:t>
      </w:r>
      <w:r w:rsidRPr="003614C5">
        <w:t xml:space="preserve">These distributions are closely related to the even split between responders using recorded lectures and those who are not. </w:t>
      </w:r>
    </w:p>
    <w:tbl>
      <w:tblPr>
        <w:tblStyle w:val="TableGrid"/>
        <w:tblW w:w="7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5"/>
      </w:tblGrid>
      <w:tr w:rsidR="009A57D3" w:rsidRPr="003614C5" w14:paraId="4923ADDF" w14:textId="77777777" w:rsidTr="00430C6E">
        <w:tc>
          <w:tcPr>
            <w:tcW w:w="3543" w:type="dxa"/>
          </w:tcPr>
          <w:p w14:paraId="26A8872B" w14:textId="4C94E2D0" w:rsidR="000E0B13" w:rsidRPr="003614C5" w:rsidRDefault="009A57D3" w:rsidP="00551DBA">
            <w:pPr>
              <w:pStyle w:val="Els-body-text"/>
              <w:jc w:val="center"/>
            </w:pPr>
            <w:r w:rsidRPr="003614C5">
              <w:rPr>
                <w:noProof/>
              </w:rPr>
              <w:drawing>
                <wp:inline distT="0" distB="0" distL="0" distR="0" wp14:anchorId="06CE13CB" wp14:editId="4C2922EF">
                  <wp:extent cx="1132943" cy="1947986"/>
                  <wp:effectExtent l="0" t="7303" r="2858" b="2857"/>
                  <wp:docPr id="720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728" name=""/>
                          <pic:cNvPicPr/>
                        </pic:nvPicPr>
                        <pic:blipFill>
                          <a:blip r:embed="rId8"/>
                          <a:stretch>
                            <a:fillRect/>
                          </a:stretch>
                        </pic:blipFill>
                        <pic:spPr>
                          <a:xfrm rot="5400000">
                            <a:off x="0" y="0"/>
                            <a:ext cx="1141286" cy="1962331"/>
                          </a:xfrm>
                          <a:prstGeom prst="rect">
                            <a:avLst/>
                          </a:prstGeom>
                        </pic:spPr>
                      </pic:pic>
                    </a:graphicData>
                  </a:graphic>
                </wp:inline>
              </w:drawing>
            </w:r>
          </w:p>
        </w:tc>
        <w:tc>
          <w:tcPr>
            <w:tcW w:w="3545" w:type="dxa"/>
          </w:tcPr>
          <w:p w14:paraId="2A563B0A" w14:textId="2FC60DD8" w:rsidR="000E0B13" w:rsidRPr="003614C5" w:rsidRDefault="009A57D3" w:rsidP="00551DBA">
            <w:pPr>
              <w:pStyle w:val="Els-body-text"/>
            </w:pPr>
            <w:r w:rsidRPr="003614C5">
              <w:rPr>
                <w:noProof/>
              </w:rPr>
              <w:drawing>
                <wp:inline distT="0" distB="0" distL="0" distR="0" wp14:anchorId="5C0DD56F" wp14:editId="081E6799">
                  <wp:extent cx="1122556" cy="1975982"/>
                  <wp:effectExtent l="0" t="7620" r="0" b="0"/>
                  <wp:docPr id="11768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5478" name=""/>
                          <pic:cNvPicPr/>
                        </pic:nvPicPr>
                        <pic:blipFill>
                          <a:blip r:embed="rId9"/>
                          <a:stretch>
                            <a:fillRect/>
                          </a:stretch>
                        </pic:blipFill>
                        <pic:spPr>
                          <a:xfrm rot="5400000">
                            <a:off x="0" y="0"/>
                            <a:ext cx="1128225" cy="1985960"/>
                          </a:xfrm>
                          <a:prstGeom prst="rect">
                            <a:avLst/>
                          </a:prstGeom>
                        </pic:spPr>
                      </pic:pic>
                    </a:graphicData>
                  </a:graphic>
                </wp:inline>
              </w:drawing>
            </w:r>
          </w:p>
        </w:tc>
      </w:tr>
      <w:tr w:rsidR="009A57D3" w:rsidRPr="003614C5" w14:paraId="0D667622" w14:textId="77777777" w:rsidTr="00430C6E">
        <w:tc>
          <w:tcPr>
            <w:tcW w:w="3543" w:type="dxa"/>
          </w:tcPr>
          <w:p w14:paraId="78D22989" w14:textId="77777777" w:rsidR="000E0B13" w:rsidRPr="003614C5" w:rsidRDefault="000E0B13" w:rsidP="00C03DB1">
            <w:pPr>
              <w:pStyle w:val="Els-body-text"/>
              <w:numPr>
                <w:ilvl w:val="0"/>
                <w:numId w:val="19"/>
              </w:numPr>
              <w:jc w:val="center"/>
              <w:rPr>
                <w:sz w:val="18"/>
                <w:szCs w:val="18"/>
              </w:rPr>
            </w:pPr>
          </w:p>
        </w:tc>
        <w:tc>
          <w:tcPr>
            <w:tcW w:w="3545" w:type="dxa"/>
          </w:tcPr>
          <w:p w14:paraId="319071B2" w14:textId="77777777" w:rsidR="000E0B13" w:rsidRPr="003614C5" w:rsidRDefault="000E0B13" w:rsidP="00C03DB1">
            <w:pPr>
              <w:pStyle w:val="Els-body-text"/>
              <w:numPr>
                <w:ilvl w:val="0"/>
                <w:numId w:val="19"/>
              </w:numPr>
              <w:ind w:left="320" w:hanging="283"/>
              <w:jc w:val="center"/>
              <w:rPr>
                <w:sz w:val="18"/>
                <w:szCs w:val="18"/>
              </w:rPr>
            </w:pPr>
          </w:p>
        </w:tc>
      </w:tr>
    </w:tbl>
    <w:p w14:paraId="4CB17505" w14:textId="7B31A421" w:rsidR="000E0B13" w:rsidRPr="003614C5" w:rsidRDefault="000E0B13" w:rsidP="000E0B13">
      <w:pPr>
        <w:pStyle w:val="Els-body-text"/>
      </w:pPr>
      <w:r w:rsidRPr="003614C5">
        <w:t xml:space="preserve">Figure 1. Percentage of time used to transmit information (AKA “lecturing”) by </w:t>
      </w:r>
      <w:r w:rsidR="00B85140" w:rsidRPr="003614C5">
        <w:t xml:space="preserve">(a) </w:t>
      </w:r>
      <w:r w:rsidRPr="003614C5">
        <w:t>teachers in lectures</w:t>
      </w:r>
      <w:r w:rsidR="00B85140" w:rsidRPr="003614C5">
        <w:t xml:space="preserve">, </w:t>
      </w:r>
      <w:r w:rsidRPr="003614C5">
        <w:t xml:space="preserve">and </w:t>
      </w:r>
      <w:r w:rsidR="00B85140" w:rsidRPr="003614C5">
        <w:t xml:space="preserve">(b) </w:t>
      </w:r>
      <w:r w:rsidRPr="003614C5">
        <w:t>TAs in recitation</w:t>
      </w:r>
      <w:r w:rsidR="00B85140" w:rsidRPr="003614C5">
        <w:t>s</w:t>
      </w:r>
      <w:r w:rsidR="00024713" w:rsidRPr="003614C5">
        <w:t>/exercises</w:t>
      </w:r>
      <w:r w:rsidRPr="003614C5">
        <w:t>.</w:t>
      </w:r>
    </w:p>
    <w:p w14:paraId="144DE6BA" w14:textId="77777777" w:rsidR="008D2649" w:rsidRPr="003614C5" w:rsidRDefault="008D2649" w:rsidP="008D2649">
      <w:pPr>
        <w:pStyle w:val="Els-1storder-head"/>
        <w:spacing w:after="120"/>
        <w:rPr>
          <w:lang w:val="en-GB"/>
        </w:rPr>
      </w:pPr>
      <w:r w:rsidRPr="003614C5">
        <w:rPr>
          <w:lang w:val="en-GB"/>
        </w:rPr>
        <w:t>Conclusions</w:t>
      </w:r>
    </w:p>
    <w:p w14:paraId="0806B33F" w14:textId="4B4641C5" w:rsidR="009A57D3" w:rsidRPr="003614C5" w:rsidRDefault="009A57D3" w:rsidP="009A57D3">
      <w:pPr>
        <w:pStyle w:val="Els-body-text"/>
        <w:contextualSpacing/>
        <w:rPr>
          <w:lang w:val="en-GB"/>
        </w:rPr>
      </w:pPr>
      <w:r w:rsidRPr="003614C5">
        <w:rPr>
          <w:lang w:val="en-GB"/>
        </w:rPr>
        <w:t>From the 50 responses received to our survey,</w:t>
      </w:r>
      <w:r w:rsidR="0008675F" w:rsidRPr="003614C5">
        <w:rPr>
          <w:lang w:val="en-GB"/>
        </w:rPr>
        <w:t xml:space="preserve"> it is clear that process design is perceived as a central activity in chemical engineering, with the focus being on practical process synthesis and the associated techno-economic analysis as applied to industrial-scale problems. This skill set is unmatched by any other activity in the chemical engineering </w:t>
      </w:r>
      <w:r w:rsidR="0008675F" w:rsidRPr="003614C5">
        <w:rPr>
          <w:lang w:val="en-GB"/>
        </w:rPr>
        <w:lastRenderedPageBreak/>
        <w:t>curriculum</w:t>
      </w:r>
      <w:r w:rsidR="00C66DAB" w:rsidRPr="003614C5">
        <w:rPr>
          <w:lang w:val="en-GB"/>
        </w:rPr>
        <w:t xml:space="preserve"> (Kiss and Webb, 2021)</w:t>
      </w:r>
      <w:r w:rsidR="0008675F" w:rsidRPr="003614C5">
        <w:rPr>
          <w:lang w:val="en-GB"/>
        </w:rPr>
        <w:t xml:space="preserve">. </w:t>
      </w:r>
      <w:r w:rsidR="00CE26B2" w:rsidRPr="003614C5">
        <w:rPr>
          <w:lang w:val="en-GB"/>
        </w:rPr>
        <w:t>Results regarding soft skills</w:t>
      </w:r>
      <w:r w:rsidR="007775FB">
        <w:rPr>
          <w:lang w:val="en-GB"/>
        </w:rPr>
        <w:t xml:space="preserve">, which can </w:t>
      </w:r>
      <w:r w:rsidR="007775FB" w:rsidRPr="003614C5">
        <w:rPr>
          <w:lang w:val="en-GB"/>
        </w:rPr>
        <w:t>be ideally trained in the process design education</w:t>
      </w:r>
      <w:r w:rsidR="007775FB">
        <w:rPr>
          <w:lang w:val="en-GB"/>
        </w:rPr>
        <w:t>,</w:t>
      </w:r>
      <w:r w:rsidR="00CE26B2" w:rsidRPr="003614C5">
        <w:rPr>
          <w:lang w:val="en-GB"/>
        </w:rPr>
        <w:t xml:space="preserve"> were not reported </w:t>
      </w:r>
      <w:r w:rsidR="007775FB">
        <w:rPr>
          <w:lang w:val="en-GB"/>
        </w:rPr>
        <w:t xml:space="preserve">here </w:t>
      </w:r>
      <w:r w:rsidR="00CE26B2" w:rsidRPr="003614C5">
        <w:rPr>
          <w:lang w:val="en-GB"/>
        </w:rPr>
        <w:t xml:space="preserve">due to space constraints but will be detailed in a later version </w:t>
      </w:r>
      <w:r w:rsidR="007775FB">
        <w:rPr>
          <w:lang w:val="en-GB"/>
        </w:rPr>
        <w:t>of the paper</w:t>
      </w:r>
      <w:r w:rsidR="00CE26B2" w:rsidRPr="003614C5">
        <w:rPr>
          <w:lang w:val="en-GB"/>
        </w:rPr>
        <w:t xml:space="preserve">. Finally, it appears that </w:t>
      </w:r>
      <w:r w:rsidR="00E71D13" w:rsidRPr="003614C5">
        <w:rPr>
          <w:lang w:val="en-GB"/>
        </w:rPr>
        <w:t xml:space="preserve">carbon footprint analysis, LCA and </w:t>
      </w:r>
      <w:r w:rsidR="00B76CC6" w:rsidRPr="003614C5">
        <w:rPr>
          <w:lang w:val="en-GB"/>
        </w:rPr>
        <w:t>p</w:t>
      </w:r>
      <w:r w:rsidR="00E71D13" w:rsidRPr="003614C5">
        <w:rPr>
          <w:lang w:val="en-GB"/>
        </w:rPr>
        <w:t xml:space="preserve">rocess </w:t>
      </w:r>
      <w:r w:rsidR="00B76CC6" w:rsidRPr="003614C5">
        <w:rPr>
          <w:lang w:val="en-GB"/>
        </w:rPr>
        <w:t>c</w:t>
      </w:r>
      <w:r w:rsidR="00E71D13" w:rsidRPr="003614C5">
        <w:rPr>
          <w:lang w:val="en-GB"/>
        </w:rPr>
        <w:t xml:space="preserve">ontrol </w:t>
      </w:r>
      <w:r w:rsidR="00CE26B2" w:rsidRPr="003614C5">
        <w:rPr>
          <w:lang w:val="en-GB"/>
        </w:rPr>
        <w:t xml:space="preserve">currently </w:t>
      </w:r>
      <w:r w:rsidR="0029753D" w:rsidRPr="003614C5">
        <w:rPr>
          <w:lang w:val="en-GB"/>
        </w:rPr>
        <w:t xml:space="preserve">receive </w:t>
      </w:r>
      <w:r w:rsidR="00B76CC6" w:rsidRPr="003614C5">
        <w:rPr>
          <w:lang w:val="en-GB"/>
        </w:rPr>
        <w:t xml:space="preserve">low priority in the process design and design project. </w:t>
      </w:r>
      <w:r w:rsidR="00CF0C50" w:rsidRPr="003614C5">
        <w:rPr>
          <w:lang w:val="en-GB"/>
        </w:rPr>
        <w:t xml:space="preserve">To </w:t>
      </w:r>
      <w:r w:rsidR="00220503" w:rsidRPr="003614C5">
        <w:rPr>
          <w:lang w:val="en-GB"/>
        </w:rPr>
        <w:t>meet</w:t>
      </w:r>
      <w:r w:rsidR="00CF0C50" w:rsidRPr="003614C5">
        <w:rPr>
          <w:lang w:val="en-GB"/>
        </w:rPr>
        <w:t xml:space="preserve"> </w:t>
      </w:r>
      <w:r w:rsidR="00D23A33" w:rsidRPr="003614C5">
        <w:rPr>
          <w:lang w:val="en-GB"/>
        </w:rPr>
        <w:t xml:space="preserve">the </w:t>
      </w:r>
      <w:r w:rsidR="00CF0C50" w:rsidRPr="003614C5">
        <w:rPr>
          <w:lang w:val="en-GB"/>
        </w:rPr>
        <w:t xml:space="preserve">UN SDG on sustainable production and consumption and </w:t>
      </w:r>
      <w:r w:rsidR="005855C7" w:rsidRPr="003614C5">
        <w:rPr>
          <w:lang w:val="en-GB"/>
        </w:rPr>
        <w:t xml:space="preserve">to be </w:t>
      </w:r>
      <w:r w:rsidR="00CA2CCF" w:rsidRPr="003614C5">
        <w:rPr>
          <w:lang w:val="en-GB"/>
        </w:rPr>
        <w:t>in line</w:t>
      </w:r>
      <w:r w:rsidR="005855C7" w:rsidRPr="003614C5">
        <w:rPr>
          <w:lang w:val="en-GB"/>
        </w:rPr>
        <w:t xml:space="preserve"> with Industry 5.0, these </w:t>
      </w:r>
      <w:r w:rsidR="007775FB">
        <w:rPr>
          <w:lang w:val="en-GB"/>
        </w:rPr>
        <w:t>subjects</w:t>
      </w:r>
      <w:r w:rsidR="00DA6CB2" w:rsidRPr="003614C5">
        <w:rPr>
          <w:lang w:val="en-GB"/>
        </w:rPr>
        <w:t xml:space="preserve"> should be </w:t>
      </w:r>
      <w:r w:rsidR="00CA2CCF" w:rsidRPr="003614C5">
        <w:rPr>
          <w:lang w:val="en-GB"/>
        </w:rPr>
        <w:t xml:space="preserve">taken more </w:t>
      </w:r>
      <w:r w:rsidR="00DA6CB2" w:rsidRPr="003614C5">
        <w:rPr>
          <w:lang w:val="en-GB"/>
        </w:rPr>
        <w:t xml:space="preserve">seriously in future teaching of process design and </w:t>
      </w:r>
      <w:r w:rsidR="0029753D" w:rsidRPr="003614C5">
        <w:rPr>
          <w:lang w:val="en-GB"/>
        </w:rPr>
        <w:t xml:space="preserve">in the </w:t>
      </w:r>
      <w:r w:rsidR="00DA6CB2" w:rsidRPr="003614C5">
        <w:rPr>
          <w:lang w:val="en-GB"/>
        </w:rPr>
        <w:t>design project</w:t>
      </w:r>
      <w:r w:rsidR="00220503" w:rsidRPr="003614C5">
        <w:rPr>
          <w:lang w:val="en-GB"/>
        </w:rPr>
        <w:t>.</w:t>
      </w:r>
      <w:r w:rsidR="00B76CC6" w:rsidRPr="003614C5">
        <w:rPr>
          <w:lang w:val="en-GB"/>
        </w:rPr>
        <w:t xml:space="preserve"> </w:t>
      </w:r>
      <w:r w:rsidR="0008675F" w:rsidRPr="003614C5">
        <w:rPr>
          <w:lang w:val="en-GB"/>
        </w:rPr>
        <w:t xml:space="preserve"> </w:t>
      </w:r>
    </w:p>
    <w:p w14:paraId="144DE6BF" w14:textId="608D0AD6" w:rsidR="008D2649" w:rsidRPr="003614C5" w:rsidRDefault="008D2649" w:rsidP="008D2649">
      <w:pPr>
        <w:pStyle w:val="Els-reference-head"/>
      </w:pPr>
      <w:r w:rsidRPr="003614C5">
        <w:t>References</w:t>
      </w:r>
    </w:p>
    <w:p w14:paraId="4A80D634" w14:textId="4498FB1C" w:rsidR="00D00021" w:rsidRPr="003614C5" w:rsidRDefault="00D00021" w:rsidP="00D00021">
      <w:pPr>
        <w:pStyle w:val="Els-body-text"/>
        <w:ind w:left="284" w:hanging="284"/>
        <w:rPr>
          <w:sz w:val="18"/>
          <w:szCs w:val="18"/>
        </w:rPr>
      </w:pPr>
      <w:r w:rsidRPr="003614C5">
        <w:rPr>
          <w:sz w:val="18"/>
          <w:szCs w:val="18"/>
        </w:rPr>
        <w:t xml:space="preserve">T. A. Adams II, 2022, </w:t>
      </w:r>
      <w:r w:rsidRPr="003614C5">
        <w:rPr>
          <w:i/>
          <w:iCs/>
          <w:sz w:val="18"/>
          <w:szCs w:val="18"/>
        </w:rPr>
        <w:t>Learn Aspen Plus in 24 Hours</w:t>
      </w:r>
      <w:r w:rsidRPr="003614C5">
        <w:rPr>
          <w:sz w:val="18"/>
          <w:szCs w:val="18"/>
        </w:rPr>
        <w:t>, 2</w:t>
      </w:r>
      <w:r w:rsidRPr="003614C5">
        <w:rPr>
          <w:sz w:val="18"/>
          <w:szCs w:val="18"/>
          <w:vertAlign w:val="superscript"/>
        </w:rPr>
        <w:t>nd</w:t>
      </w:r>
      <w:r w:rsidRPr="003614C5">
        <w:rPr>
          <w:sz w:val="18"/>
          <w:szCs w:val="18"/>
        </w:rPr>
        <w:t xml:space="preserve"> </w:t>
      </w:r>
      <w:r w:rsidR="005C68E5" w:rsidRPr="003614C5">
        <w:rPr>
          <w:sz w:val="18"/>
          <w:szCs w:val="18"/>
        </w:rPr>
        <w:t>Ed</w:t>
      </w:r>
      <w:r w:rsidR="0029753D" w:rsidRPr="003614C5">
        <w:rPr>
          <w:sz w:val="18"/>
          <w:szCs w:val="18"/>
        </w:rPr>
        <w:t>ition</w:t>
      </w:r>
      <w:r w:rsidRPr="003614C5">
        <w:rPr>
          <w:sz w:val="18"/>
          <w:szCs w:val="18"/>
        </w:rPr>
        <w:t>, McGraw-Hill.</w:t>
      </w:r>
    </w:p>
    <w:p w14:paraId="0C8BC195" w14:textId="7F2C1596" w:rsidR="00D00021" w:rsidRPr="003614C5" w:rsidRDefault="00D00021" w:rsidP="00D00021">
      <w:pPr>
        <w:pStyle w:val="Els-body-text"/>
        <w:ind w:left="284" w:hanging="284"/>
        <w:rPr>
          <w:sz w:val="18"/>
          <w:szCs w:val="18"/>
        </w:rPr>
      </w:pPr>
      <w:r w:rsidRPr="003614C5">
        <w:rPr>
          <w:sz w:val="18"/>
          <w:szCs w:val="18"/>
        </w:rPr>
        <w:t xml:space="preserve">L. Biegler, I. Grossmann, and A. W. Westerberg, 1997, </w:t>
      </w:r>
      <w:r w:rsidRPr="003614C5">
        <w:rPr>
          <w:i/>
          <w:iCs/>
          <w:sz w:val="18"/>
          <w:szCs w:val="18"/>
        </w:rPr>
        <w:t>Systematic Methods of Chemical Process Design</w:t>
      </w:r>
      <w:r w:rsidRPr="003614C5">
        <w:rPr>
          <w:sz w:val="18"/>
          <w:szCs w:val="18"/>
        </w:rPr>
        <w:t>, Prentice Hall.</w:t>
      </w:r>
    </w:p>
    <w:p w14:paraId="6E424E22" w14:textId="7D46E039" w:rsidR="00D00021" w:rsidRPr="003614C5" w:rsidRDefault="007D1B3D" w:rsidP="00D00021">
      <w:pPr>
        <w:pStyle w:val="Els-body-text"/>
        <w:ind w:left="284" w:hanging="284"/>
        <w:rPr>
          <w:sz w:val="18"/>
          <w:szCs w:val="18"/>
          <w:lang w:val="en-GB"/>
        </w:rPr>
      </w:pPr>
      <w:r w:rsidRPr="003614C5">
        <w:rPr>
          <w:sz w:val="18"/>
          <w:szCs w:val="18"/>
          <w:lang w:val="en-GB"/>
        </w:rPr>
        <w:t>D. E. Carberry, K. Bagherpour, J. M. Woodley, C. Beenfeldt, M. P. Andersson, U. Krühne, and S. S</w:t>
      </w:r>
      <w:r w:rsidR="0003060A" w:rsidRPr="003614C5">
        <w:rPr>
          <w:sz w:val="18"/>
          <w:szCs w:val="18"/>
          <w:lang w:val="en-GB"/>
        </w:rPr>
        <w:t xml:space="preserve">. </w:t>
      </w:r>
      <w:r w:rsidRPr="003614C5">
        <w:rPr>
          <w:sz w:val="18"/>
          <w:szCs w:val="18"/>
          <w:lang w:val="en-GB"/>
        </w:rPr>
        <w:t>Mansouri, 2023</w:t>
      </w:r>
      <w:r w:rsidR="00A90A9E" w:rsidRPr="003614C5">
        <w:rPr>
          <w:sz w:val="18"/>
          <w:szCs w:val="18"/>
          <w:lang w:val="en-GB"/>
        </w:rPr>
        <w:t>,</w:t>
      </w:r>
      <w:r w:rsidRPr="003614C5">
        <w:rPr>
          <w:sz w:val="18"/>
          <w:szCs w:val="18"/>
          <w:lang w:val="en-GB"/>
        </w:rPr>
        <w:t xml:space="preserve"> “A Strategic Plan for Developing eXtended Reality Tools to Teach Unit Operations in Chemical Engineering: Defining Needs, Technology Selection and Project Resources,” </w:t>
      </w:r>
      <w:r w:rsidRPr="003614C5">
        <w:rPr>
          <w:i/>
          <w:iCs/>
          <w:sz w:val="18"/>
          <w:szCs w:val="18"/>
          <w:lang w:val="en-GB"/>
        </w:rPr>
        <w:t>Digital Chemical Engineering</w:t>
      </w:r>
      <w:r w:rsidRPr="003614C5">
        <w:rPr>
          <w:sz w:val="18"/>
          <w:szCs w:val="18"/>
          <w:lang w:val="en-GB"/>
        </w:rPr>
        <w:t xml:space="preserve">, 8, 100104.  </w:t>
      </w:r>
    </w:p>
    <w:p w14:paraId="00BC6C16" w14:textId="745A76C9" w:rsidR="00D00021" w:rsidRPr="003614C5" w:rsidRDefault="00D00021" w:rsidP="00D00021">
      <w:pPr>
        <w:pStyle w:val="Els-body-text"/>
        <w:ind w:left="284" w:hanging="284"/>
        <w:rPr>
          <w:sz w:val="18"/>
          <w:szCs w:val="18"/>
        </w:rPr>
      </w:pPr>
      <w:r w:rsidRPr="003614C5">
        <w:rPr>
          <w:sz w:val="18"/>
          <w:szCs w:val="18"/>
        </w:rPr>
        <w:t xml:space="preserve">J. R. Couper, W. R. Penney, J. R. Fair, 2012, </w:t>
      </w:r>
      <w:r w:rsidRPr="003614C5">
        <w:rPr>
          <w:i/>
          <w:iCs/>
          <w:sz w:val="18"/>
          <w:szCs w:val="18"/>
        </w:rPr>
        <w:t>Chemical Process Equipment Selection and Design</w:t>
      </w:r>
      <w:r w:rsidRPr="003614C5">
        <w:rPr>
          <w:sz w:val="18"/>
          <w:szCs w:val="18"/>
        </w:rPr>
        <w:t>, 3</w:t>
      </w:r>
      <w:r w:rsidRPr="003614C5">
        <w:rPr>
          <w:sz w:val="18"/>
          <w:szCs w:val="18"/>
          <w:vertAlign w:val="superscript"/>
        </w:rPr>
        <w:t>rd</w:t>
      </w:r>
      <w:r w:rsidRPr="003614C5">
        <w:rPr>
          <w:sz w:val="18"/>
          <w:szCs w:val="18"/>
        </w:rPr>
        <w:t xml:space="preserve"> </w:t>
      </w:r>
      <w:r w:rsidR="005C68E5" w:rsidRPr="003614C5">
        <w:rPr>
          <w:sz w:val="18"/>
          <w:szCs w:val="18"/>
        </w:rPr>
        <w:t>Ed</w:t>
      </w:r>
      <w:r w:rsidR="0029753D" w:rsidRPr="003614C5">
        <w:rPr>
          <w:sz w:val="18"/>
          <w:szCs w:val="18"/>
        </w:rPr>
        <w:t>ition</w:t>
      </w:r>
      <w:r w:rsidRPr="003614C5">
        <w:rPr>
          <w:sz w:val="18"/>
          <w:szCs w:val="18"/>
        </w:rPr>
        <w:t>, Elsevier.</w:t>
      </w:r>
    </w:p>
    <w:p w14:paraId="0AF875FE" w14:textId="57B38E32" w:rsidR="007D1B3D" w:rsidRPr="003614C5" w:rsidRDefault="007D1B3D" w:rsidP="00D00021">
      <w:pPr>
        <w:pStyle w:val="Els-body-text"/>
        <w:ind w:left="284" w:hanging="284"/>
        <w:rPr>
          <w:sz w:val="18"/>
          <w:szCs w:val="18"/>
          <w:lang w:val="en-GB"/>
        </w:rPr>
      </w:pPr>
      <w:r w:rsidRPr="003614C5">
        <w:rPr>
          <w:sz w:val="18"/>
          <w:szCs w:val="18"/>
          <w:lang w:val="en-GB"/>
        </w:rPr>
        <w:t xml:space="preserve">M. M. El-Halwagi, 2017, </w:t>
      </w:r>
      <w:r w:rsidRPr="003614C5">
        <w:rPr>
          <w:i/>
          <w:iCs/>
          <w:sz w:val="18"/>
          <w:szCs w:val="18"/>
          <w:lang w:val="en-GB"/>
        </w:rPr>
        <w:t>Sustainable Design Through Process Integration</w:t>
      </w:r>
      <w:r w:rsidRPr="003614C5">
        <w:rPr>
          <w:sz w:val="18"/>
          <w:szCs w:val="18"/>
          <w:lang w:val="en-GB"/>
        </w:rPr>
        <w:t xml:space="preserve">, 2nd Edition, Elsevier. </w:t>
      </w:r>
    </w:p>
    <w:p w14:paraId="41028B6E" w14:textId="419D0086" w:rsidR="00EB66D4" w:rsidRPr="003614C5" w:rsidRDefault="00EB66D4" w:rsidP="00D00021">
      <w:pPr>
        <w:pStyle w:val="Els-body-text"/>
        <w:ind w:left="284" w:hanging="284"/>
        <w:rPr>
          <w:sz w:val="18"/>
          <w:szCs w:val="18"/>
          <w:lang w:val="en-GB"/>
        </w:rPr>
      </w:pPr>
      <w:r w:rsidRPr="003614C5">
        <w:rPr>
          <w:sz w:val="18"/>
          <w:szCs w:val="18"/>
          <w:lang w:val="en-GB"/>
        </w:rPr>
        <w:t xml:space="preserve">L. P. Ford, J. Cole, K. D. Dahm, B. K. Vaughen, M. V. Jamieson, L. J. Landherr, D. L. Silverstein, T. J. Vogel, C. W. West, and S. W. Thiel, 2023, “How We Teach: Capstone Design,” presented at </w:t>
      </w:r>
      <w:r w:rsidRPr="003614C5">
        <w:rPr>
          <w:i/>
          <w:iCs/>
          <w:sz w:val="18"/>
          <w:szCs w:val="18"/>
          <w:lang w:val="en-GB"/>
        </w:rPr>
        <w:t>2023 ASEE Annual Conference &amp; Exposition</w:t>
      </w:r>
      <w:r w:rsidRPr="003614C5">
        <w:rPr>
          <w:sz w:val="18"/>
          <w:szCs w:val="18"/>
          <w:lang w:val="en-GB"/>
        </w:rPr>
        <w:t>, Baltimore, Maryland, Paper 37520.</w:t>
      </w:r>
    </w:p>
    <w:p w14:paraId="0ED09A2C" w14:textId="77777777" w:rsidR="00D00021" w:rsidRPr="003614C5" w:rsidRDefault="00D00021" w:rsidP="00D00021">
      <w:pPr>
        <w:pStyle w:val="Els-body-text"/>
        <w:ind w:left="284" w:hanging="284"/>
        <w:rPr>
          <w:sz w:val="18"/>
          <w:szCs w:val="18"/>
        </w:rPr>
      </w:pPr>
      <w:r w:rsidRPr="003614C5">
        <w:rPr>
          <w:sz w:val="18"/>
          <w:szCs w:val="18"/>
        </w:rPr>
        <w:t xml:space="preserve">I. C. Kemp and J. S. Lim, 2020, Pinch </w:t>
      </w:r>
      <w:r w:rsidRPr="003614C5">
        <w:rPr>
          <w:i/>
          <w:iCs/>
          <w:sz w:val="18"/>
          <w:szCs w:val="18"/>
        </w:rPr>
        <w:t>Analysis and Process Integration – A User Guide in Process Integration for the Efficient Use of Energy</w:t>
      </w:r>
      <w:r w:rsidRPr="003614C5">
        <w:rPr>
          <w:sz w:val="18"/>
          <w:szCs w:val="18"/>
        </w:rPr>
        <w:t>, Butterworth-Heinemann</w:t>
      </w:r>
    </w:p>
    <w:p w14:paraId="7C9E7A89" w14:textId="1302168A" w:rsidR="001339FD" w:rsidRPr="003614C5" w:rsidRDefault="001339FD" w:rsidP="00D00021">
      <w:pPr>
        <w:pStyle w:val="Els-body-text"/>
        <w:ind w:left="284" w:hanging="284"/>
        <w:rPr>
          <w:sz w:val="18"/>
          <w:szCs w:val="18"/>
          <w:lang w:val="en-GB"/>
        </w:rPr>
      </w:pPr>
      <w:r w:rsidRPr="003614C5">
        <w:rPr>
          <w:sz w:val="18"/>
          <w:szCs w:val="18"/>
          <w:lang w:val="en-GB"/>
        </w:rPr>
        <w:t>A. A. Kiss</w:t>
      </w:r>
      <w:r w:rsidR="00313BC1" w:rsidRPr="003614C5">
        <w:rPr>
          <w:sz w:val="18"/>
          <w:szCs w:val="18"/>
          <w:lang w:val="en-GB"/>
        </w:rPr>
        <w:t xml:space="preserve"> and </w:t>
      </w:r>
      <w:r w:rsidRPr="003614C5">
        <w:rPr>
          <w:sz w:val="18"/>
          <w:szCs w:val="18"/>
          <w:lang w:val="en-GB"/>
        </w:rPr>
        <w:t xml:space="preserve">C. Webb, 2021, “The Manchester </w:t>
      </w:r>
      <w:r w:rsidR="00313BC1" w:rsidRPr="003614C5">
        <w:rPr>
          <w:sz w:val="18"/>
          <w:szCs w:val="18"/>
          <w:lang w:val="en-GB"/>
        </w:rPr>
        <w:t>P</w:t>
      </w:r>
      <w:r w:rsidRPr="003614C5">
        <w:rPr>
          <w:sz w:val="18"/>
          <w:szCs w:val="18"/>
          <w:lang w:val="en-GB"/>
        </w:rPr>
        <w:t xml:space="preserve">erspective on using the Design Project to </w:t>
      </w:r>
      <w:r w:rsidR="00313BC1" w:rsidRPr="003614C5">
        <w:rPr>
          <w:sz w:val="18"/>
          <w:szCs w:val="18"/>
          <w:lang w:val="en-GB"/>
        </w:rPr>
        <w:t>E</w:t>
      </w:r>
      <w:r w:rsidRPr="003614C5">
        <w:rPr>
          <w:sz w:val="18"/>
          <w:szCs w:val="18"/>
          <w:lang w:val="en-GB"/>
        </w:rPr>
        <w:t xml:space="preserve">nhance the </w:t>
      </w:r>
      <w:r w:rsidR="00313BC1" w:rsidRPr="003614C5">
        <w:rPr>
          <w:sz w:val="18"/>
          <w:szCs w:val="18"/>
          <w:lang w:val="en-GB"/>
        </w:rPr>
        <w:t>E</w:t>
      </w:r>
      <w:r w:rsidRPr="003614C5">
        <w:rPr>
          <w:sz w:val="18"/>
          <w:szCs w:val="18"/>
          <w:lang w:val="en-GB"/>
        </w:rPr>
        <w:t xml:space="preserve">ducation of </w:t>
      </w:r>
      <w:r w:rsidR="00313BC1" w:rsidRPr="003614C5">
        <w:rPr>
          <w:sz w:val="18"/>
          <w:szCs w:val="18"/>
          <w:lang w:val="en-GB"/>
        </w:rPr>
        <w:t>C</w:t>
      </w:r>
      <w:r w:rsidRPr="003614C5">
        <w:rPr>
          <w:sz w:val="18"/>
          <w:szCs w:val="18"/>
          <w:lang w:val="en-GB"/>
        </w:rPr>
        <w:t xml:space="preserve">hemical </w:t>
      </w:r>
      <w:r w:rsidR="00313BC1" w:rsidRPr="003614C5">
        <w:rPr>
          <w:sz w:val="18"/>
          <w:szCs w:val="18"/>
          <w:lang w:val="en-GB"/>
        </w:rPr>
        <w:t>E</w:t>
      </w:r>
      <w:r w:rsidRPr="003614C5">
        <w:rPr>
          <w:sz w:val="18"/>
          <w:szCs w:val="18"/>
          <w:lang w:val="en-GB"/>
        </w:rPr>
        <w:t xml:space="preserve">ngineering </w:t>
      </w:r>
      <w:r w:rsidR="00313BC1" w:rsidRPr="003614C5">
        <w:rPr>
          <w:sz w:val="18"/>
          <w:szCs w:val="18"/>
          <w:lang w:val="en-GB"/>
        </w:rPr>
        <w:t>S</w:t>
      </w:r>
      <w:r w:rsidRPr="003614C5">
        <w:rPr>
          <w:sz w:val="18"/>
          <w:szCs w:val="18"/>
          <w:lang w:val="en-GB"/>
        </w:rPr>
        <w:t xml:space="preserve">tudents,” </w:t>
      </w:r>
      <w:r w:rsidRPr="003614C5">
        <w:rPr>
          <w:i/>
          <w:iCs/>
          <w:sz w:val="18"/>
          <w:szCs w:val="18"/>
          <w:lang w:val="en-GB"/>
        </w:rPr>
        <w:t>Journal of Chemical Technology and Biotechnology</w:t>
      </w:r>
      <w:r w:rsidRPr="003614C5">
        <w:rPr>
          <w:sz w:val="18"/>
          <w:szCs w:val="18"/>
          <w:lang w:val="en-GB"/>
        </w:rPr>
        <w:t>, 96, 1453-1464.</w:t>
      </w:r>
    </w:p>
    <w:p w14:paraId="2BEB59A7" w14:textId="0F4DFF04" w:rsidR="00C1798E" w:rsidRPr="003614C5" w:rsidRDefault="00C1798E" w:rsidP="00D00021">
      <w:pPr>
        <w:pStyle w:val="Els-body-text"/>
        <w:ind w:left="284" w:hanging="284"/>
        <w:rPr>
          <w:sz w:val="18"/>
          <w:szCs w:val="18"/>
          <w:lang w:val="en-GB"/>
        </w:rPr>
      </w:pPr>
      <w:r w:rsidRPr="003614C5">
        <w:rPr>
          <w:sz w:val="18"/>
          <w:szCs w:val="18"/>
          <w:lang w:val="en-GB"/>
        </w:rPr>
        <w:t xml:space="preserve">G. Léonard, S. Belboom, D. Toye, M-N. Dumont, A. </w:t>
      </w:r>
      <w:r w:rsidR="00A90A9E" w:rsidRPr="003614C5">
        <w:rPr>
          <w:sz w:val="18"/>
          <w:szCs w:val="18"/>
          <w:lang w:val="en-GB"/>
        </w:rPr>
        <w:t>Léonard,</w:t>
      </w:r>
      <w:r w:rsidR="001F785A" w:rsidRPr="003614C5">
        <w:rPr>
          <w:sz w:val="18"/>
          <w:szCs w:val="18"/>
          <w:lang w:val="en-GB"/>
        </w:rPr>
        <w:t xml:space="preserve"> and</w:t>
      </w:r>
      <w:r w:rsidRPr="003614C5">
        <w:rPr>
          <w:sz w:val="18"/>
          <w:szCs w:val="18"/>
          <w:lang w:val="en-GB"/>
        </w:rPr>
        <w:t xml:space="preserve"> G. Heyen, 2017, “Recent Evolutions and Trends in the Use of Computer Aided Chemical Engineering for Educational Purposes at the University of Liège</w:t>
      </w:r>
      <w:r w:rsidR="001F785A" w:rsidRPr="003614C5">
        <w:rPr>
          <w:sz w:val="18"/>
          <w:szCs w:val="18"/>
          <w:lang w:val="en-GB"/>
        </w:rPr>
        <w:t xml:space="preserve">,” </w:t>
      </w:r>
      <w:r w:rsidR="001F785A" w:rsidRPr="003614C5">
        <w:rPr>
          <w:i/>
          <w:iCs/>
          <w:sz w:val="18"/>
          <w:szCs w:val="18"/>
          <w:lang w:val="en-GB"/>
        </w:rPr>
        <w:t>Computer Aided Chemical Engineering</w:t>
      </w:r>
      <w:r w:rsidR="001F785A" w:rsidRPr="003614C5">
        <w:rPr>
          <w:sz w:val="18"/>
          <w:szCs w:val="18"/>
          <w:lang w:val="en-GB"/>
        </w:rPr>
        <w:t xml:space="preserve"> , 40, 2941-2946.</w:t>
      </w:r>
    </w:p>
    <w:p w14:paraId="78D345F2" w14:textId="20B71D4A" w:rsidR="007D1B3D" w:rsidRPr="003614C5" w:rsidRDefault="007D1B3D" w:rsidP="00D00021">
      <w:pPr>
        <w:pStyle w:val="Els-body-text"/>
        <w:ind w:left="284" w:hanging="284"/>
        <w:rPr>
          <w:sz w:val="18"/>
          <w:szCs w:val="18"/>
          <w:lang w:val="en-GB"/>
        </w:rPr>
      </w:pPr>
      <w:r w:rsidRPr="003614C5">
        <w:rPr>
          <w:sz w:val="18"/>
          <w:szCs w:val="18"/>
          <w:lang w:val="en-GB"/>
        </w:rPr>
        <w:t xml:space="preserve">D. R. Lewin and A. Barzilai, 2021, “Teaching Process Design to Chemical Engineering Undergraduates – an Evolution,” </w:t>
      </w:r>
      <w:r w:rsidRPr="003614C5">
        <w:rPr>
          <w:i/>
          <w:iCs/>
          <w:sz w:val="18"/>
          <w:szCs w:val="18"/>
          <w:lang w:val="en-GB"/>
        </w:rPr>
        <w:t>Chem. Eng. Educ</w:t>
      </w:r>
      <w:r w:rsidRPr="003614C5">
        <w:rPr>
          <w:sz w:val="18"/>
          <w:szCs w:val="18"/>
          <w:lang w:val="en-GB"/>
        </w:rPr>
        <w:t>., 55(3), 157-172.</w:t>
      </w:r>
    </w:p>
    <w:p w14:paraId="5C2F495A" w14:textId="4A2F6C6C" w:rsidR="007D1B3D" w:rsidRPr="003614C5" w:rsidRDefault="007D1B3D" w:rsidP="00D00021">
      <w:pPr>
        <w:pStyle w:val="Els-body-text"/>
        <w:ind w:left="284" w:hanging="284"/>
        <w:rPr>
          <w:sz w:val="18"/>
          <w:szCs w:val="18"/>
          <w:lang w:val="en-GB"/>
        </w:rPr>
      </w:pPr>
      <w:r w:rsidRPr="003614C5">
        <w:rPr>
          <w:sz w:val="18"/>
          <w:szCs w:val="18"/>
          <w:lang w:val="en-GB"/>
        </w:rPr>
        <w:t xml:space="preserve">D. R. Lewin and E. Zondervan, 2022, “Motivating Students to Design Emission-free Processes,” </w:t>
      </w:r>
      <w:r w:rsidRPr="003614C5">
        <w:rPr>
          <w:i/>
          <w:iCs/>
          <w:sz w:val="18"/>
          <w:szCs w:val="18"/>
          <w:lang w:val="en-GB"/>
        </w:rPr>
        <w:t>Chem. Eng. Trans</w:t>
      </w:r>
      <w:r w:rsidRPr="003614C5">
        <w:rPr>
          <w:sz w:val="18"/>
          <w:szCs w:val="18"/>
          <w:lang w:val="en-GB"/>
        </w:rPr>
        <w:t xml:space="preserve">., 96, 19-24. </w:t>
      </w:r>
    </w:p>
    <w:p w14:paraId="1D1DE607" w14:textId="006B90AB" w:rsidR="007D1B3D" w:rsidRPr="003614C5" w:rsidRDefault="007D1B3D" w:rsidP="00D00021">
      <w:pPr>
        <w:pStyle w:val="Els-body-text"/>
        <w:ind w:left="284" w:hanging="284"/>
        <w:rPr>
          <w:sz w:val="18"/>
          <w:szCs w:val="18"/>
          <w:lang w:val="en-GB"/>
        </w:rPr>
      </w:pPr>
      <w:r w:rsidRPr="003614C5">
        <w:rPr>
          <w:sz w:val="18"/>
          <w:szCs w:val="18"/>
          <w:lang w:val="en-GB"/>
        </w:rPr>
        <w:t xml:space="preserve">A. I. Osman, M. Hefny, M. I. A. Abdel Maksoud, A. M. Elgarahy, and D. W. Rooney, 2021, “Recent Advances in Carbon Capture Storage and Utilisation Technologies: A Review,” </w:t>
      </w:r>
      <w:r w:rsidRPr="003614C5">
        <w:rPr>
          <w:i/>
          <w:iCs/>
          <w:sz w:val="18"/>
          <w:szCs w:val="18"/>
          <w:lang w:val="en-GB"/>
        </w:rPr>
        <w:t>Environmental Chemistry Letters</w:t>
      </w:r>
      <w:r w:rsidRPr="003614C5">
        <w:rPr>
          <w:sz w:val="18"/>
          <w:szCs w:val="18"/>
          <w:lang w:val="en-GB"/>
        </w:rPr>
        <w:t xml:space="preserve">, 19, 797-849. </w:t>
      </w:r>
    </w:p>
    <w:p w14:paraId="25499823" w14:textId="7987D690" w:rsidR="00D00021" w:rsidRPr="003614C5" w:rsidRDefault="00D00021" w:rsidP="00D00021">
      <w:pPr>
        <w:pStyle w:val="Els-body-text"/>
        <w:ind w:left="284" w:hanging="284"/>
        <w:rPr>
          <w:sz w:val="18"/>
          <w:szCs w:val="18"/>
        </w:rPr>
      </w:pPr>
      <w:r w:rsidRPr="003614C5">
        <w:rPr>
          <w:sz w:val="18"/>
          <w:szCs w:val="18"/>
        </w:rPr>
        <w:t xml:space="preserve">M. S. Peters, K. D. Timmerhaus, and R. E. West, 2003, </w:t>
      </w:r>
      <w:r w:rsidRPr="003614C5">
        <w:rPr>
          <w:i/>
          <w:iCs/>
          <w:sz w:val="18"/>
          <w:szCs w:val="18"/>
        </w:rPr>
        <w:t>Plant Design and Economics for Chemical Engineers</w:t>
      </w:r>
      <w:r w:rsidRPr="003614C5">
        <w:rPr>
          <w:sz w:val="18"/>
          <w:szCs w:val="18"/>
        </w:rPr>
        <w:t>, 5</w:t>
      </w:r>
      <w:r w:rsidRPr="003614C5">
        <w:rPr>
          <w:sz w:val="18"/>
          <w:szCs w:val="18"/>
          <w:vertAlign w:val="superscript"/>
        </w:rPr>
        <w:t>th</w:t>
      </w:r>
      <w:r w:rsidRPr="003614C5">
        <w:rPr>
          <w:sz w:val="18"/>
          <w:szCs w:val="18"/>
        </w:rPr>
        <w:t xml:space="preserve"> </w:t>
      </w:r>
      <w:r w:rsidR="005C68E5" w:rsidRPr="003614C5">
        <w:rPr>
          <w:sz w:val="18"/>
          <w:szCs w:val="18"/>
        </w:rPr>
        <w:t>Ed</w:t>
      </w:r>
      <w:r w:rsidR="0029753D" w:rsidRPr="003614C5">
        <w:rPr>
          <w:sz w:val="18"/>
          <w:szCs w:val="18"/>
        </w:rPr>
        <w:t>ition</w:t>
      </w:r>
      <w:r w:rsidRPr="003614C5">
        <w:rPr>
          <w:sz w:val="18"/>
          <w:szCs w:val="18"/>
        </w:rPr>
        <w:t>, McGraw-Hill.</w:t>
      </w:r>
    </w:p>
    <w:p w14:paraId="3C869AFA" w14:textId="77EF9ED6" w:rsidR="00D00021" w:rsidRPr="003614C5" w:rsidRDefault="00D00021" w:rsidP="00D00021">
      <w:pPr>
        <w:pStyle w:val="Els-body-text"/>
        <w:ind w:left="284" w:hanging="284"/>
        <w:rPr>
          <w:sz w:val="18"/>
          <w:szCs w:val="18"/>
        </w:rPr>
      </w:pPr>
      <w:r w:rsidRPr="003614C5">
        <w:rPr>
          <w:sz w:val="18"/>
          <w:szCs w:val="18"/>
        </w:rPr>
        <w:t xml:space="preserve">W. D. Seider, D. R. Lewin, J. D. Seader, S. Widagdo, R. Gani, and K. M. Ng, 2017, </w:t>
      </w:r>
      <w:r w:rsidRPr="003614C5">
        <w:rPr>
          <w:i/>
          <w:iCs/>
          <w:sz w:val="18"/>
          <w:szCs w:val="18"/>
        </w:rPr>
        <w:t>Product and Process Design Principles: Synthesis, Analysis and Evaluation</w:t>
      </w:r>
      <w:r w:rsidRPr="003614C5">
        <w:rPr>
          <w:sz w:val="18"/>
          <w:szCs w:val="18"/>
        </w:rPr>
        <w:t>, 4</w:t>
      </w:r>
      <w:r w:rsidRPr="003614C5">
        <w:rPr>
          <w:sz w:val="18"/>
          <w:szCs w:val="18"/>
          <w:vertAlign w:val="superscript"/>
        </w:rPr>
        <w:t>th</w:t>
      </w:r>
      <w:r w:rsidRPr="003614C5">
        <w:rPr>
          <w:sz w:val="18"/>
          <w:szCs w:val="18"/>
        </w:rPr>
        <w:t xml:space="preserve"> </w:t>
      </w:r>
      <w:r w:rsidR="005C68E5" w:rsidRPr="003614C5">
        <w:rPr>
          <w:sz w:val="18"/>
          <w:szCs w:val="18"/>
        </w:rPr>
        <w:t>Ed</w:t>
      </w:r>
      <w:r w:rsidR="0029753D" w:rsidRPr="003614C5">
        <w:rPr>
          <w:sz w:val="18"/>
          <w:szCs w:val="18"/>
        </w:rPr>
        <w:t>ition</w:t>
      </w:r>
      <w:r w:rsidRPr="003614C5">
        <w:rPr>
          <w:sz w:val="18"/>
          <w:szCs w:val="18"/>
        </w:rPr>
        <w:t>, John Wiley and Sons.</w:t>
      </w:r>
    </w:p>
    <w:p w14:paraId="1F0E5657" w14:textId="6AFDA220" w:rsidR="007D1B3D" w:rsidRPr="003614C5" w:rsidRDefault="007D1B3D" w:rsidP="00D00021">
      <w:pPr>
        <w:pStyle w:val="Els-body-text"/>
        <w:ind w:left="284" w:hanging="284"/>
        <w:rPr>
          <w:sz w:val="18"/>
          <w:szCs w:val="18"/>
          <w:lang w:val="en-GB"/>
        </w:rPr>
      </w:pPr>
      <w:r w:rsidRPr="003614C5">
        <w:rPr>
          <w:sz w:val="18"/>
          <w:szCs w:val="18"/>
          <w:lang w:val="en-GB"/>
        </w:rPr>
        <w:t xml:space="preserve">D. L. Silverstein, L. G. Bullard L.G., W. D. Seider, and M. A. Vigeant,  2013, “How We Teach: Capstone Design,” presented at </w:t>
      </w:r>
      <w:r w:rsidRPr="003614C5">
        <w:rPr>
          <w:i/>
          <w:iCs/>
          <w:sz w:val="18"/>
          <w:szCs w:val="18"/>
          <w:lang w:val="en-GB"/>
        </w:rPr>
        <w:t>120th ASEE Annual Conference &amp; Exposition</w:t>
      </w:r>
      <w:r w:rsidRPr="003614C5">
        <w:rPr>
          <w:sz w:val="18"/>
          <w:szCs w:val="18"/>
          <w:lang w:val="en-GB"/>
        </w:rPr>
        <w:t>, Atlanta, Georgia.</w:t>
      </w:r>
    </w:p>
    <w:p w14:paraId="3C109B8F" w14:textId="357C4280" w:rsidR="00D00021" w:rsidRPr="003614C5" w:rsidRDefault="00D00021" w:rsidP="00D00021">
      <w:pPr>
        <w:pStyle w:val="Els-body-text"/>
        <w:ind w:left="284" w:hanging="284"/>
        <w:rPr>
          <w:sz w:val="18"/>
          <w:szCs w:val="18"/>
        </w:rPr>
      </w:pPr>
      <w:r w:rsidRPr="003614C5">
        <w:rPr>
          <w:sz w:val="18"/>
          <w:szCs w:val="18"/>
        </w:rPr>
        <w:t xml:space="preserve">R. Sinnot and G. Towler, 2020, </w:t>
      </w:r>
      <w:r w:rsidRPr="003614C5">
        <w:rPr>
          <w:i/>
          <w:iCs/>
          <w:sz w:val="18"/>
          <w:szCs w:val="18"/>
        </w:rPr>
        <w:t>Chemical Engineering Design</w:t>
      </w:r>
      <w:r w:rsidRPr="003614C5">
        <w:rPr>
          <w:sz w:val="18"/>
          <w:szCs w:val="18"/>
        </w:rPr>
        <w:t>, 6</w:t>
      </w:r>
      <w:r w:rsidRPr="003614C5">
        <w:rPr>
          <w:sz w:val="18"/>
          <w:szCs w:val="18"/>
          <w:vertAlign w:val="superscript"/>
        </w:rPr>
        <w:t>th</w:t>
      </w:r>
      <w:r w:rsidRPr="003614C5">
        <w:rPr>
          <w:sz w:val="18"/>
          <w:szCs w:val="18"/>
        </w:rPr>
        <w:t xml:space="preserve"> </w:t>
      </w:r>
      <w:r w:rsidR="005C68E5" w:rsidRPr="003614C5">
        <w:rPr>
          <w:sz w:val="18"/>
          <w:szCs w:val="18"/>
        </w:rPr>
        <w:t>Ed</w:t>
      </w:r>
      <w:r w:rsidR="0029753D" w:rsidRPr="003614C5">
        <w:rPr>
          <w:sz w:val="18"/>
          <w:szCs w:val="18"/>
        </w:rPr>
        <w:t>ition</w:t>
      </w:r>
      <w:r w:rsidRPr="003614C5">
        <w:rPr>
          <w:sz w:val="18"/>
          <w:szCs w:val="18"/>
        </w:rPr>
        <w:t>, Elsevier.</w:t>
      </w:r>
    </w:p>
    <w:p w14:paraId="60AEB818" w14:textId="77777777" w:rsidR="00D00021" w:rsidRPr="003614C5" w:rsidRDefault="00D00021" w:rsidP="00D00021">
      <w:pPr>
        <w:pStyle w:val="Els-body-text"/>
        <w:ind w:left="284" w:hanging="284"/>
        <w:rPr>
          <w:sz w:val="18"/>
          <w:szCs w:val="18"/>
        </w:rPr>
      </w:pPr>
      <w:r w:rsidRPr="003614C5">
        <w:rPr>
          <w:sz w:val="18"/>
          <w:szCs w:val="18"/>
        </w:rPr>
        <w:t xml:space="preserve">R. Smith, 2005, </w:t>
      </w:r>
      <w:r w:rsidRPr="003614C5">
        <w:rPr>
          <w:i/>
          <w:iCs/>
          <w:sz w:val="18"/>
          <w:szCs w:val="18"/>
        </w:rPr>
        <w:t>Chemical Process Design and Integration</w:t>
      </w:r>
      <w:r w:rsidRPr="003614C5">
        <w:rPr>
          <w:sz w:val="18"/>
          <w:szCs w:val="18"/>
        </w:rPr>
        <w:t>, John Wiley and Sons.</w:t>
      </w:r>
    </w:p>
    <w:p w14:paraId="0A19B787" w14:textId="1981095F" w:rsidR="00D00021" w:rsidRPr="003614C5" w:rsidRDefault="00D00021" w:rsidP="00D00021">
      <w:pPr>
        <w:pStyle w:val="Els-body-text"/>
        <w:ind w:left="284" w:hanging="284"/>
        <w:rPr>
          <w:sz w:val="18"/>
          <w:szCs w:val="18"/>
        </w:rPr>
      </w:pPr>
      <w:r w:rsidRPr="003614C5">
        <w:rPr>
          <w:sz w:val="18"/>
          <w:szCs w:val="18"/>
        </w:rPr>
        <w:t xml:space="preserve">R. Turton, J. Shaeiwitz, D. Bhattacharyya, and W. Whiting, 2020, </w:t>
      </w:r>
      <w:r w:rsidRPr="003614C5">
        <w:rPr>
          <w:i/>
          <w:iCs/>
          <w:sz w:val="18"/>
          <w:szCs w:val="18"/>
        </w:rPr>
        <w:t>Analysis, Synthesis, and Design of Chemical Processes</w:t>
      </w:r>
      <w:r w:rsidRPr="003614C5">
        <w:rPr>
          <w:sz w:val="18"/>
          <w:szCs w:val="18"/>
        </w:rPr>
        <w:t>, 5</w:t>
      </w:r>
      <w:r w:rsidRPr="003614C5">
        <w:rPr>
          <w:sz w:val="18"/>
          <w:szCs w:val="18"/>
          <w:vertAlign w:val="superscript"/>
        </w:rPr>
        <w:t>th</w:t>
      </w:r>
      <w:r w:rsidRPr="003614C5">
        <w:rPr>
          <w:sz w:val="18"/>
          <w:szCs w:val="18"/>
        </w:rPr>
        <w:t xml:space="preserve"> </w:t>
      </w:r>
      <w:r w:rsidR="005C68E5" w:rsidRPr="003614C5">
        <w:rPr>
          <w:sz w:val="18"/>
          <w:szCs w:val="18"/>
        </w:rPr>
        <w:t>Ed</w:t>
      </w:r>
      <w:r w:rsidR="0029753D" w:rsidRPr="003614C5">
        <w:rPr>
          <w:sz w:val="18"/>
          <w:szCs w:val="18"/>
        </w:rPr>
        <w:t>ition</w:t>
      </w:r>
      <w:r w:rsidRPr="003614C5">
        <w:rPr>
          <w:sz w:val="18"/>
          <w:szCs w:val="18"/>
        </w:rPr>
        <w:t xml:space="preserve">, Addison-Wesley. </w:t>
      </w:r>
    </w:p>
    <w:p w14:paraId="144DE6C3" w14:textId="25C5F90A" w:rsidR="008D2649" w:rsidRDefault="007D1B3D" w:rsidP="0008675F">
      <w:pPr>
        <w:pStyle w:val="Els-body-text"/>
        <w:ind w:left="284" w:hanging="284"/>
      </w:pPr>
      <w:r w:rsidRPr="003614C5">
        <w:rPr>
          <w:sz w:val="18"/>
          <w:szCs w:val="18"/>
          <w:lang w:val="en-GB"/>
        </w:rPr>
        <w:t xml:space="preserve">F.-Y. Wu W.-S. Lu, X.-Y. Wang, J.-L. Yang, C. Li, L. Cheng, and Z. Xie, 2022, “Enhanced Virtual Reality Plant: Development and Application in Chemical Engineering Education,” </w:t>
      </w:r>
      <w:r w:rsidRPr="003614C5">
        <w:rPr>
          <w:i/>
          <w:iCs/>
          <w:sz w:val="18"/>
          <w:szCs w:val="18"/>
          <w:lang w:val="en-GB"/>
        </w:rPr>
        <w:t>International Journal of Emerging Technologies in Learning</w:t>
      </w:r>
      <w:r w:rsidRPr="003614C5">
        <w:rPr>
          <w:sz w:val="18"/>
          <w:szCs w:val="18"/>
          <w:lang w:val="en-GB"/>
        </w:rPr>
        <w:t>, 17 (14), 205-220.</w:t>
      </w:r>
    </w:p>
    <w:sectPr w:rsidR="008D2649" w:rsidSect="000B60DC">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CD34" w14:textId="77777777" w:rsidR="000B60DC" w:rsidRDefault="000B60DC">
      <w:r>
        <w:separator/>
      </w:r>
    </w:p>
  </w:endnote>
  <w:endnote w:type="continuationSeparator" w:id="0">
    <w:p w14:paraId="3238C1EB" w14:textId="77777777" w:rsidR="000B60DC" w:rsidRDefault="000B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F4F3" w14:textId="77777777" w:rsidR="000B60DC" w:rsidRDefault="000B60DC">
      <w:r>
        <w:separator/>
      </w:r>
    </w:p>
  </w:footnote>
  <w:footnote w:type="continuationSeparator" w:id="0">
    <w:p w14:paraId="776E700C" w14:textId="77777777" w:rsidR="000B60DC" w:rsidRDefault="000B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33EC73F" w:rsidR="00DD3D9E" w:rsidRDefault="00DD3D9E">
    <w:pPr>
      <w:pStyle w:val="Header"/>
      <w:tabs>
        <w:tab w:val="clear" w:pos="7200"/>
        <w:tab w:val="right" w:pos="7088"/>
      </w:tabs>
    </w:pPr>
    <w:r>
      <w:rPr>
        <w:rStyle w:val="PageNumber"/>
      </w:rPr>
      <w:tab/>
    </w:r>
    <w:r>
      <w:rPr>
        <w:rStyle w:val="PageNumber"/>
        <w:i/>
      </w:rPr>
      <w:tab/>
    </w:r>
    <w:r w:rsidR="007D1B3D">
      <w:rPr>
        <w:i/>
      </w:rPr>
      <w:t>D. R. Lewin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D945120" w:rsidR="00DD3D9E" w:rsidRDefault="007D1B3D">
    <w:pPr>
      <w:pStyle w:val="Header"/>
      <w:tabs>
        <w:tab w:val="clear" w:pos="7200"/>
        <w:tab w:val="right" w:pos="7088"/>
      </w:tabs>
      <w:jc w:val="right"/>
      <w:rPr>
        <w:sz w:val="24"/>
      </w:rPr>
    </w:pPr>
    <w:r>
      <w:rPr>
        <w:i/>
      </w:rPr>
      <w:t>Teaching Process Design - Quo Vadis?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538E3"/>
    <w:multiLevelType w:val="hybridMultilevel"/>
    <w:tmpl w:val="21726046"/>
    <w:lvl w:ilvl="0" w:tplc="A334A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56850418">
    <w:abstractNumId w:val="12"/>
  </w:num>
  <w:num w:numId="2" w16cid:durableId="1370958144">
    <w:abstractNumId w:val="12"/>
  </w:num>
  <w:num w:numId="3" w16cid:durableId="1350060498">
    <w:abstractNumId w:val="12"/>
  </w:num>
  <w:num w:numId="4" w16cid:durableId="1058897260">
    <w:abstractNumId w:val="12"/>
  </w:num>
  <w:num w:numId="5" w16cid:durableId="1680277859">
    <w:abstractNumId w:val="0"/>
  </w:num>
  <w:num w:numId="6" w16cid:durableId="1389256202">
    <w:abstractNumId w:val="6"/>
  </w:num>
  <w:num w:numId="7" w16cid:durableId="1837576710">
    <w:abstractNumId w:val="13"/>
  </w:num>
  <w:num w:numId="8" w16cid:durableId="1815180366">
    <w:abstractNumId w:val="1"/>
  </w:num>
  <w:num w:numId="9" w16cid:durableId="1329944067">
    <w:abstractNumId w:val="11"/>
  </w:num>
  <w:num w:numId="10" w16cid:durableId="2099669429">
    <w:abstractNumId w:val="15"/>
  </w:num>
  <w:num w:numId="11" w16cid:durableId="1496264572">
    <w:abstractNumId w:val="14"/>
  </w:num>
  <w:num w:numId="12" w16cid:durableId="1505702458">
    <w:abstractNumId w:val="5"/>
  </w:num>
  <w:num w:numId="13" w16cid:durableId="667102266">
    <w:abstractNumId w:val="9"/>
  </w:num>
  <w:num w:numId="14" w16cid:durableId="1538589065">
    <w:abstractNumId w:val="2"/>
  </w:num>
  <w:num w:numId="15" w16cid:durableId="2055613119">
    <w:abstractNumId w:val="7"/>
  </w:num>
  <w:num w:numId="16" w16cid:durableId="893934360">
    <w:abstractNumId w:val="3"/>
  </w:num>
  <w:num w:numId="17" w16cid:durableId="1445658844">
    <w:abstractNumId w:val="4"/>
  </w:num>
  <w:num w:numId="18" w16cid:durableId="72237454">
    <w:abstractNumId w:val="10"/>
  </w:num>
  <w:num w:numId="19" w16cid:durableId="846677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03A6"/>
    <w:rsid w:val="00014F79"/>
    <w:rsid w:val="00015782"/>
    <w:rsid w:val="00024713"/>
    <w:rsid w:val="0003015D"/>
    <w:rsid w:val="0003060A"/>
    <w:rsid w:val="0005072A"/>
    <w:rsid w:val="00055E64"/>
    <w:rsid w:val="00080A18"/>
    <w:rsid w:val="0008675F"/>
    <w:rsid w:val="000A07AC"/>
    <w:rsid w:val="000B60DC"/>
    <w:rsid w:val="000D3D9B"/>
    <w:rsid w:val="000E0B13"/>
    <w:rsid w:val="000E5EFF"/>
    <w:rsid w:val="000F2B23"/>
    <w:rsid w:val="000F3BBD"/>
    <w:rsid w:val="00111EDF"/>
    <w:rsid w:val="0011721B"/>
    <w:rsid w:val="001177BF"/>
    <w:rsid w:val="001339FD"/>
    <w:rsid w:val="00141006"/>
    <w:rsid w:val="0016032F"/>
    <w:rsid w:val="00167E79"/>
    <w:rsid w:val="0017417D"/>
    <w:rsid w:val="00175DCD"/>
    <w:rsid w:val="0018175D"/>
    <w:rsid w:val="00184263"/>
    <w:rsid w:val="00186BC9"/>
    <w:rsid w:val="001879F6"/>
    <w:rsid w:val="001A37AE"/>
    <w:rsid w:val="001C0148"/>
    <w:rsid w:val="001C757E"/>
    <w:rsid w:val="001D360B"/>
    <w:rsid w:val="001E2D11"/>
    <w:rsid w:val="001F785A"/>
    <w:rsid w:val="00201458"/>
    <w:rsid w:val="0020390F"/>
    <w:rsid w:val="002129DC"/>
    <w:rsid w:val="00220503"/>
    <w:rsid w:val="00264926"/>
    <w:rsid w:val="00283759"/>
    <w:rsid w:val="0029753D"/>
    <w:rsid w:val="002B42FF"/>
    <w:rsid w:val="002E28B6"/>
    <w:rsid w:val="002F32E2"/>
    <w:rsid w:val="00313BC1"/>
    <w:rsid w:val="00325A95"/>
    <w:rsid w:val="003614C5"/>
    <w:rsid w:val="00362007"/>
    <w:rsid w:val="003630CD"/>
    <w:rsid w:val="00386E87"/>
    <w:rsid w:val="003928BE"/>
    <w:rsid w:val="00396909"/>
    <w:rsid w:val="003C0F8A"/>
    <w:rsid w:val="003D1582"/>
    <w:rsid w:val="003D2812"/>
    <w:rsid w:val="003D7E4C"/>
    <w:rsid w:val="003E41C2"/>
    <w:rsid w:val="00430C6E"/>
    <w:rsid w:val="00435EEB"/>
    <w:rsid w:val="00441D28"/>
    <w:rsid w:val="00443EEB"/>
    <w:rsid w:val="00470871"/>
    <w:rsid w:val="004866F3"/>
    <w:rsid w:val="00493B00"/>
    <w:rsid w:val="0049772C"/>
    <w:rsid w:val="004B7DBD"/>
    <w:rsid w:val="004C2D69"/>
    <w:rsid w:val="004F4772"/>
    <w:rsid w:val="00500AF7"/>
    <w:rsid w:val="00527B30"/>
    <w:rsid w:val="00535F29"/>
    <w:rsid w:val="00552EEB"/>
    <w:rsid w:val="005548AF"/>
    <w:rsid w:val="005855C7"/>
    <w:rsid w:val="00586542"/>
    <w:rsid w:val="00595C72"/>
    <w:rsid w:val="00597A7F"/>
    <w:rsid w:val="005A0851"/>
    <w:rsid w:val="005A1BDB"/>
    <w:rsid w:val="005C0FA2"/>
    <w:rsid w:val="005C61F2"/>
    <w:rsid w:val="005C68E5"/>
    <w:rsid w:val="005E2421"/>
    <w:rsid w:val="005F4008"/>
    <w:rsid w:val="006064E1"/>
    <w:rsid w:val="00640309"/>
    <w:rsid w:val="00675B46"/>
    <w:rsid w:val="0068182B"/>
    <w:rsid w:val="006A69BF"/>
    <w:rsid w:val="006B50DD"/>
    <w:rsid w:val="006C4853"/>
    <w:rsid w:val="006C49E5"/>
    <w:rsid w:val="006E6495"/>
    <w:rsid w:val="006F00DD"/>
    <w:rsid w:val="00711DF4"/>
    <w:rsid w:val="00725BFB"/>
    <w:rsid w:val="00733F68"/>
    <w:rsid w:val="00774EC3"/>
    <w:rsid w:val="007775FB"/>
    <w:rsid w:val="007A5F5A"/>
    <w:rsid w:val="007B2538"/>
    <w:rsid w:val="007B758A"/>
    <w:rsid w:val="007D1B3D"/>
    <w:rsid w:val="007D70A1"/>
    <w:rsid w:val="00802D54"/>
    <w:rsid w:val="008132E8"/>
    <w:rsid w:val="00823407"/>
    <w:rsid w:val="00870834"/>
    <w:rsid w:val="00871D1B"/>
    <w:rsid w:val="0088438E"/>
    <w:rsid w:val="008B0184"/>
    <w:rsid w:val="008B01F6"/>
    <w:rsid w:val="008C059B"/>
    <w:rsid w:val="008C5D02"/>
    <w:rsid w:val="008D2649"/>
    <w:rsid w:val="008D5E6D"/>
    <w:rsid w:val="008D7841"/>
    <w:rsid w:val="008F394D"/>
    <w:rsid w:val="0090568D"/>
    <w:rsid w:val="00905FE7"/>
    <w:rsid w:val="009125C9"/>
    <w:rsid w:val="00913879"/>
    <w:rsid w:val="00917661"/>
    <w:rsid w:val="00930946"/>
    <w:rsid w:val="00955F9A"/>
    <w:rsid w:val="00961EE8"/>
    <w:rsid w:val="00970E5D"/>
    <w:rsid w:val="0097701C"/>
    <w:rsid w:val="00980A65"/>
    <w:rsid w:val="009931E3"/>
    <w:rsid w:val="00993773"/>
    <w:rsid w:val="009A57D3"/>
    <w:rsid w:val="009C614A"/>
    <w:rsid w:val="009E15D6"/>
    <w:rsid w:val="00A17482"/>
    <w:rsid w:val="00A2052C"/>
    <w:rsid w:val="00A25E70"/>
    <w:rsid w:val="00A331D4"/>
    <w:rsid w:val="00A33765"/>
    <w:rsid w:val="00A57CD1"/>
    <w:rsid w:val="00A63269"/>
    <w:rsid w:val="00A81106"/>
    <w:rsid w:val="00A8151D"/>
    <w:rsid w:val="00A90A9E"/>
    <w:rsid w:val="00A91352"/>
    <w:rsid w:val="00A92377"/>
    <w:rsid w:val="00A96097"/>
    <w:rsid w:val="00AB0218"/>
    <w:rsid w:val="00AB29ED"/>
    <w:rsid w:val="00AD5705"/>
    <w:rsid w:val="00AE4BD8"/>
    <w:rsid w:val="00B12C80"/>
    <w:rsid w:val="00B27B4B"/>
    <w:rsid w:val="00B4388F"/>
    <w:rsid w:val="00B63237"/>
    <w:rsid w:val="00B76CC6"/>
    <w:rsid w:val="00B81D62"/>
    <w:rsid w:val="00B85140"/>
    <w:rsid w:val="00BA00B7"/>
    <w:rsid w:val="00BB744D"/>
    <w:rsid w:val="00BC6346"/>
    <w:rsid w:val="00BD4BA0"/>
    <w:rsid w:val="00BE5937"/>
    <w:rsid w:val="00C03DB1"/>
    <w:rsid w:val="00C1798E"/>
    <w:rsid w:val="00C5575A"/>
    <w:rsid w:val="00C66DAB"/>
    <w:rsid w:val="00C75E33"/>
    <w:rsid w:val="00C960DC"/>
    <w:rsid w:val="00CA2CCF"/>
    <w:rsid w:val="00CA72DB"/>
    <w:rsid w:val="00CC6F34"/>
    <w:rsid w:val="00CE1285"/>
    <w:rsid w:val="00CE26B2"/>
    <w:rsid w:val="00CF0C50"/>
    <w:rsid w:val="00D00021"/>
    <w:rsid w:val="00D02C75"/>
    <w:rsid w:val="00D10E22"/>
    <w:rsid w:val="00D13D2C"/>
    <w:rsid w:val="00D23A33"/>
    <w:rsid w:val="00DA6CB2"/>
    <w:rsid w:val="00DC2F94"/>
    <w:rsid w:val="00DD3D9E"/>
    <w:rsid w:val="00DD7908"/>
    <w:rsid w:val="00DE034D"/>
    <w:rsid w:val="00DE0EEA"/>
    <w:rsid w:val="00DE2162"/>
    <w:rsid w:val="00E157FA"/>
    <w:rsid w:val="00E53E1A"/>
    <w:rsid w:val="00E65FF6"/>
    <w:rsid w:val="00E71D13"/>
    <w:rsid w:val="00E81830"/>
    <w:rsid w:val="00E82297"/>
    <w:rsid w:val="00EA0653"/>
    <w:rsid w:val="00EB66D4"/>
    <w:rsid w:val="00EC4759"/>
    <w:rsid w:val="00EC5905"/>
    <w:rsid w:val="00ED324E"/>
    <w:rsid w:val="00EE2C30"/>
    <w:rsid w:val="00EF39FD"/>
    <w:rsid w:val="00F06842"/>
    <w:rsid w:val="00F107FD"/>
    <w:rsid w:val="00F12D91"/>
    <w:rsid w:val="00F22032"/>
    <w:rsid w:val="00F718D2"/>
    <w:rsid w:val="00F730DC"/>
    <w:rsid w:val="00F85366"/>
    <w:rsid w:val="00FA7B41"/>
    <w:rsid w:val="00FB64A8"/>
    <w:rsid w:val="00FE5C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EEB"/>
    <w:rPr>
      <w:lang w:eastAsia="en-US"/>
    </w:rPr>
  </w:style>
  <w:style w:type="paragraph" w:styleId="Heading1">
    <w:name w:val="heading 1"/>
    <w:basedOn w:val="Normal"/>
    <w:next w:val="Normal"/>
    <w:link w:val="Heading1Char"/>
    <w:qFormat/>
    <w:rsid w:val="006064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527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64E1"/>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DE2162"/>
    <w:rPr>
      <w:lang w:eastAsia="en-US"/>
    </w:rPr>
  </w:style>
  <w:style w:type="character" w:customStyle="1" w:styleId="CommentTextChar">
    <w:name w:val="Comment Text Char"/>
    <w:basedOn w:val="DefaultParagraphFont"/>
    <w:link w:val="CommentText"/>
    <w:semiHidden/>
    <w:rsid w:val="00C75E3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6986">
      <w:bodyDiv w:val="1"/>
      <w:marLeft w:val="0"/>
      <w:marRight w:val="0"/>
      <w:marTop w:val="0"/>
      <w:marBottom w:val="0"/>
      <w:divBdr>
        <w:top w:val="none" w:sz="0" w:space="0" w:color="auto"/>
        <w:left w:val="none" w:sz="0" w:space="0" w:color="auto"/>
        <w:bottom w:val="none" w:sz="0" w:space="0" w:color="auto"/>
        <w:right w:val="none" w:sz="0" w:space="0" w:color="auto"/>
      </w:divBdr>
    </w:div>
    <w:div w:id="715396807">
      <w:bodyDiv w:val="1"/>
      <w:marLeft w:val="0"/>
      <w:marRight w:val="0"/>
      <w:marTop w:val="0"/>
      <w:marBottom w:val="0"/>
      <w:divBdr>
        <w:top w:val="none" w:sz="0" w:space="0" w:color="auto"/>
        <w:left w:val="none" w:sz="0" w:space="0" w:color="auto"/>
        <w:bottom w:val="none" w:sz="0" w:space="0" w:color="auto"/>
        <w:right w:val="none" w:sz="0" w:space="0" w:color="auto"/>
      </w:divBdr>
    </w:div>
    <w:div w:id="1274829075">
      <w:bodyDiv w:val="1"/>
      <w:marLeft w:val="0"/>
      <w:marRight w:val="0"/>
      <w:marTop w:val="0"/>
      <w:marBottom w:val="0"/>
      <w:divBdr>
        <w:top w:val="none" w:sz="0" w:space="0" w:color="auto"/>
        <w:left w:val="none" w:sz="0" w:space="0" w:color="auto"/>
        <w:bottom w:val="none" w:sz="0" w:space="0" w:color="auto"/>
        <w:right w:val="none" w:sz="0" w:space="0" w:color="auto"/>
      </w:divBdr>
    </w:div>
    <w:div w:id="1301036232">
      <w:bodyDiv w:val="1"/>
      <w:marLeft w:val="0"/>
      <w:marRight w:val="0"/>
      <w:marTop w:val="0"/>
      <w:marBottom w:val="0"/>
      <w:divBdr>
        <w:top w:val="none" w:sz="0" w:space="0" w:color="auto"/>
        <w:left w:val="none" w:sz="0" w:space="0" w:color="auto"/>
        <w:bottom w:val="none" w:sz="0" w:space="0" w:color="auto"/>
        <w:right w:val="none" w:sz="0" w:space="0" w:color="auto"/>
      </w:divBdr>
    </w:div>
    <w:div w:id="1513685669">
      <w:bodyDiv w:val="1"/>
      <w:marLeft w:val="0"/>
      <w:marRight w:val="0"/>
      <w:marTop w:val="0"/>
      <w:marBottom w:val="0"/>
      <w:divBdr>
        <w:top w:val="none" w:sz="0" w:space="0" w:color="auto"/>
        <w:left w:val="none" w:sz="0" w:space="0" w:color="auto"/>
        <w:bottom w:val="none" w:sz="0" w:space="0" w:color="auto"/>
        <w:right w:val="none" w:sz="0" w:space="0" w:color="auto"/>
      </w:divBdr>
    </w:div>
    <w:div w:id="1873686334">
      <w:bodyDiv w:val="1"/>
      <w:marLeft w:val="0"/>
      <w:marRight w:val="0"/>
      <w:marTop w:val="0"/>
      <w:marBottom w:val="0"/>
      <w:divBdr>
        <w:top w:val="none" w:sz="0" w:space="0" w:color="auto"/>
        <w:left w:val="none" w:sz="0" w:space="0" w:color="auto"/>
        <w:bottom w:val="none" w:sz="0" w:space="0" w:color="auto"/>
        <w:right w:val="none" w:sz="0" w:space="0" w:color="auto"/>
      </w:divBdr>
    </w:div>
    <w:div w:id="19500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55FFE-A5F8-4C80-8E6E-10E57E98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13</TotalTime>
  <Pages>6</Pages>
  <Words>2748</Words>
  <Characters>15664</Characters>
  <Application>Microsoft Office Word</Application>
  <DocSecurity>0</DocSecurity>
  <Lines>130</Lines>
  <Paragraphs>36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Daniel Lewin</cp:lastModifiedBy>
  <cp:revision>3</cp:revision>
  <cp:lastPrinted>2004-12-17T09:20:00Z</cp:lastPrinted>
  <dcterms:created xsi:type="dcterms:W3CDTF">2024-01-24T09:55:00Z</dcterms:created>
  <dcterms:modified xsi:type="dcterms:W3CDTF">2024-01-25T10:18:00Z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