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AF2E1" w14:textId="77777777" w:rsidR="00C77C1F" w:rsidRPr="00443FA9" w:rsidRDefault="00C77C1F" w:rsidP="00443FA9">
      <w:pPr>
        <w:pStyle w:val="Els-Title"/>
      </w:pPr>
      <w:r w:rsidRPr="00443FA9">
        <w:t>Optimizing Circular Economy Pathways: Multi-Criteria Decision-Making Tool for Chemical Recycling of Plastic Wastes</w:t>
      </w:r>
    </w:p>
    <w:p w14:paraId="721476A1" w14:textId="77777777" w:rsidR="00C77C1F" w:rsidRPr="00E7429B" w:rsidRDefault="00C77C1F">
      <w:pPr>
        <w:pStyle w:val="Els-Author"/>
        <w:rPr>
          <w:lang w:val="es-ES"/>
        </w:rPr>
      </w:pPr>
      <w:r w:rsidRPr="00E7429B">
        <w:rPr>
          <w:lang w:val="es-ES"/>
        </w:rPr>
        <w:t>Virgil Cabo</w:t>
      </w:r>
      <w:r w:rsidRPr="00E7429B">
        <w:rPr>
          <w:vertAlign w:val="superscript"/>
          <w:lang w:val="es-ES"/>
        </w:rPr>
        <w:t>a,b</w:t>
      </w:r>
      <w:r w:rsidRPr="00E7429B">
        <w:rPr>
          <w:lang w:val="es-ES"/>
        </w:rPr>
        <w:t>, Adrián Pacheco-López</w:t>
      </w:r>
      <w:r w:rsidRPr="00E7429B">
        <w:rPr>
          <w:vertAlign w:val="superscript"/>
          <w:lang w:val="es-ES"/>
        </w:rPr>
        <w:t>b</w:t>
      </w:r>
      <w:r w:rsidRPr="00E7429B">
        <w:rPr>
          <w:lang w:val="es-ES"/>
        </w:rPr>
        <w:t>, Grégoire Léonard</w:t>
      </w:r>
      <w:r w:rsidRPr="00E7429B">
        <w:rPr>
          <w:vertAlign w:val="superscript"/>
          <w:lang w:val="es-ES"/>
        </w:rPr>
        <w:t>a</w:t>
      </w:r>
      <w:r w:rsidRPr="00E7429B">
        <w:rPr>
          <w:lang w:val="es-ES"/>
        </w:rPr>
        <w:t>, Antonio Espuña</w:t>
      </w:r>
      <w:r w:rsidRPr="00E7429B">
        <w:rPr>
          <w:vertAlign w:val="superscript"/>
          <w:lang w:val="es-ES"/>
        </w:rPr>
        <w:t>b</w:t>
      </w:r>
      <w:r w:rsidRPr="00E7429B">
        <w:rPr>
          <w:lang w:val="es-ES"/>
        </w:rPr>
        <w:t>*</w:t>
      </w:r>
    </w:p>
    <w:p w14:paraId="1617F6FA" w14:textId="77777777" w:rsidR="00C77C1F" w:rsidRPr="00FE0A4B" w:rsidRDefault="00C77C1F" w:rsidP="00E7429B">
      <w:pPr>
        <w:pStyle w:val="Els-Affiliation"/>
        <w:rPr>
          <w:lang w:val="en-US"/>
        </w:rPr>
      </w:pPr>
      <w:r w:rsidRPr="00FE0A4B">
        <w:rPr>
          <w:vertAlign w:val="superscript"/>
          <w:lang w:val="en-US"/>
        </w:rPr>
        <w:t>a</w:t>
      </w:r>
      <w:r w:rsidRPr="00FE0A4B">
        <w:rPr>
          <w:lang w:val="en-US"/>
        </w:rPr>
        <w:t>Department of Chemical Engineering, Université de Liège, Allée de la Chimie B6a, Liège Sart Tilman, 4000, Belgium</w:t>
      </w:r>
    </w:p>
    <w:p w14:paraId="306A8B4B" w14:textId="77777777" w:rsidR="00C77C1F" w:rsidRPr="00FE0A4B" w:rsidRDefault="00C77C1F" w:rsidP="00E7429B">
      <w:pPr>
        <w:pStyle w:val="Els-Affiliation"/>
        <w:rPr>
          <w:lang w:val="en-US"/>
        </w:rPr>
      </w:pPr>
      <w:r w:rsidRPr="00FE0A4B">
        <w:rPr>
          <w:vertAlign w:val="superscript"/>
          <w:lang w:val="en-US"/>
        </w:rPr>
        <w:t>b</w:t>
      </w:r>
      <w:r w:rsidRPr="00FE0A4B">
        <w:rPr>
          <w:lang w:val="en-US"/>
        </w:rPr>
        <w:t>Department of Chemical Engineering, Universitat Politècnica de Catalunya, Escola d’Enginyeria de Barcelona Est, C/ Eduard Maristany 16, Barcelona 08019, Spain</w:t>
      </w:r>
    </w:p>
    <w:p w14:paraId="026E981D" w14:textId="77777777" w:rsidR="00C77C1F" w:rsidRPr="00443FA9" w:rsidRDefault="00717E0E" w:rsidP="00443FA9">
      <w:pPr>
        <w:pStyle w:val="Els-Affiliation"/>
        <w:rPr>
          <w:iCs/>
        </w:rPr>
      </w:pPr>
      <w:hyperlink r:id="rId8" w:history="1">
        <w:r w:rsidR="00C77C1F" w:rsidRPr="00443FA9">
          <w:rPr>
            <w:rStyle w:val="Hyperlink"/>
            <w:iCs/>
            <w:color w:val="auto"/>
            <w:u w:val="none"/>
          </w:rPr>
          <w:t>*antonio.espuna@upc.edu</w:t>
        </w:r>
      </w:hyperlink>
    </w:p>
    <w:p w14:paraId="67CE382C" w14:textId="77777777" w:rsidR="00C77C1F" w:rsidRDefault="00C77C1F" w:rsidP="00B82BD6">
      <w:pPr>
        <w:pStyle w:val="Els-Abstract"/>
      </w:pPr>
      <w:r>
        <w:t>Abstract</w:t>
      </w:r>
      <w:bookmarkStart w:id="0" w:name="_GoBack"/>
      <w:bookmarkEnd w:id="0"/>
    </w:p>
    <w:p w14:paraId="6D4DCD32" w14:textId="1A7755C0" w:rsidR="00C77C1F" w:rsidRDefault="00C77C1F" w:rsidP="007A4E6E">
      <w:pPr>
        <w:pStyle w:val="Els-body-text"/>
        <w:rPr>
          <w:lang w:val="en-GB"/>
        </w:rPr>
      </w:pPr>
      <w:r w:rsidRPr="00E7429B">
        <w:rPr>
          <w:lang w:val="en-GB"/>
        </w:rPr>
        <w:t xml:space="preserve">The escalating crisis of waste mismanagement underscores the need for innovative treatment strategies, highlighting the inadequacy of conventional evaluation methods in the face of evolving waste management techniques. This study introduces a robust tool </w:t>
      </w:r>
      <w:r w:rsidR="004526C7">
        <w:rPr>
          <w:lang w:val="en-GB"/>
        </w:rPr>
        <w:t>applying</w:t>
      </w:r>
      <w:r w:rsidR="004526C7" w:rsidRPr="00E7429B">
        <w:rPr>
          <w:lang w:val="en-GB"/>
        </w:rPr>
        <w:t xml:space="preserve"> </w:t>
      </w:r>
      <w:r w:rsidR="00D721F8">
        <w:rPr>
          <w:lang w:val="en-GB"/>
        </w:rPr>
        <w:t>two</w:t>
      </w:r>
      <w:r w:rsidR="004526C7">
        <w:rPr>
          <w:lang w:val="en-GB"/>
        </w:rPr>
        <w:t xml:space="preserve"> decision-making</w:t>
      </w:r>
      <w:r w:rsidRPr="00E7429B">
        <w:rPr>
          <w:lang w:val="en-GB"/>
        </w:rPr>
        <w:t xml:space="preserve"> methodologies</w:t>
      </w:r>
      <w:r>
        <w:rPr>
          <w:lang w:val="en-GB"/>
        </w:rPr>
        <w:t xml:space="preserve"> to </w:t>
      </w:r>
      <w:r w:rsidRPr="00E7429B">
        <w:rPr>
          <w:lang w:val="en-GB"/>
        </w:rPr>
        <w:t xml:space="preserve">an existing </w:t>
      </w:r>
      <w:r>
        <w:rPr>
          <w:lang w:val="en-GB"/>
        </w:rPr>
        <w:t xml:space="preserve">multi-objective optimization </w:t>
      </w:r>
      <w:r w:rsidRPr="00E7429B">
        <w:rPr>
          <w:lang w:val="en-GB"/>
        </w:rPr>
        <w:t>framework</w:t>
      </w:r>
      <w:r>
        <w:rPr>
          <w:lang w:val="en-GB"/>
        </w:rPr>
        <w:t xml:space="preserve">. This framework </w:t>
      </w:r>
      <w:r w:rsidR="00D721F8">
        <w:rPr>
          <w:lang w:val="en-GB"/>
        </w:rPr>
        <w:t>can</w:t>
      </w:r>
      <w:r w:rsidR="004526C7">
        <w:rPr>
          <w:lang w:val="en-GB"/>
        </w:rPr>
        <w:t xml:space="preserve"> assess</w:t>
      </w:r>
      <w:r w:rsidR="004526C7" w:rsidRPr="00E7429B">
        <w:rPr>
          <w:lang w:val="en-GB"/>
        </w:rPr>
        <w:t xml:space="preserve"> </w:t>
      </w:r>
      <w:r w:rsidRPr="00E7429B">
        <w:rPr>
          <w:lang w:val="en-GB"/>
        </w:rPr>
        <w:t xml:space="preserve">various waste-to-resource transformation </w:t>
      </w:r>
      <w:r w:rsidR="00B76181">
        <w:rPr>
          <w:lang w:val="en-GB"/>
        </w:rPr>
        <w:t>processes</w:t>
      </w:r>
      <w:r>
        <w:rPr>
          <w:lang w:val="en-GB"/>
        </w:rPr>
        <w:t xml:space="preserve">, which </w:t>
      </w:r>
      <w:r w:rsidR="007A4E6E">
        <w:rPr>
          <w:lang w:val="en-GB"/>
        </w:rPr>
        <w:t xml:space="preserve">was </w:t>
      </w:r>
      <w:r>
        <w:rPr>
          <w:lang w:val="en-GB"/>
        </w:rPr>
        <w:t>applied to the case of mixed plastic waste management within the circular economy</w:t>
      </w:r>
      <w:r w:rsidR="00DC32F1">
        <w:rPr>
          <w:lang w:val="en-GB"/>
        </w:rPr>
        <w:t>.</w:t>
      </w:r>
      <w:r>
        <w:rPr>
          <w:lang w:val="en-GB"/>
        </w:rPr>
        <w:t xml:space="preserve"> </w:t>
      </w:r>
      <w:r w:rsidR="00DC32F1">
        <w:rPr>
          <w:lang w:val="en-GB"/>
        </w:rPr>
        <w:t xml:space="preserve">It </w:t>
      </w:r>
      <w:r>
        <w:rPr>
          <w:lang w:val="en-GB"/>
        </w:rPr>
        <w:t xml:space="preserve">yielded </w:t>
      </w:r>
      <w:r w:rsidRPr="00E7429B">
        <w:rPr>
          <w:lang w:val="en-GB"/>
        </w:rPr>
        <w:t xml:space="preserve">a set </w:t>
      </w:r>
      <w:r>
        <w:rPr>
          <w:lang w:val="en-GB"/>
        </w:rPr>
        <w:t xml:space="preserve">of </w:t>
      </w:r>
      <w:r w:rsidRPr="00E7429B">
        <w:rPr>
          <w:lang w:val="en-GB"/>
        </w:rPr>
        <w:t>16 Pareto optimal recycling pathways</w:t>
      </w:r>
      <w:r>
        <w:rPr>
          <w:lang w:val="en-GB"/>
        </w:rPr>
        <w:t xml:space="preserve"> according to four competitive objectives.</w:t>
      </w:r>
      <w:r w:rsidRPr="00E7429B">
        <w:rPr>
          <w:lang w:val="en-GB"/>
        </w:rPr>
        <w:t xml:space="preserve"> </w:t>
      </w:r>
      <w:r>
        <w:rPr>
          <w:lang w:val="en-GB"/>
        </w:rPr>
        <w:t xml:space="preserve">Here, </w:t>
      </w:r>
      <w:r w:rsidRPr="00E7429B">
        <w:rPr>
          <w:lang w:val="en-GB"/>
        </w:rPr>
        <w:t>th</w:t>
      </w:r>
      <w:r>
        <w:rPr>
          <w:lang w:val="en-GB"/>
        </w:rPr>
        <w:t>is new</w:t>
      </w:r>
      <w:r w:rsidRPr="00E7429B">
        <w:rPr>
          <w:lang w:val="en-GB"/>
        </w:rPr>
        <w:t xml:space="preserve"> </w:t>
      </w:r>
      <w:r>
        <w:rPr>
          <w:lang w:val="en-GB"/>
        </w:rPr>
        <w:t>decision-making tool</w:t>
      </w:r>
      <w:r w:rsidRPr="00E7429B">
        <w:rPr>
          <w:lang w:val="en-GB"/>
        </w:rPr>
        <w:t xml:space="preserve"> </w:t>
      </w:r>
      <w:r w:rsidR="007A4E6E">
        <w:rPr>
          <w:lang w:val="en-GB"/>
        </w:rPr>
        <w:t xml:space="preserve">is applied </w:t>
      </w:r>
      <w:r>
        <w:rPr>
          <w:lang w:val="en-GB"/>
        </w:rPr>
        <w:t xml:space="preserve">to </w:t>
      </w:r>
      <w:r w:rsidRPr="007A4E6E">
        <w:t>those</w:t>
      </w:r>
      <w:r>
        <w:rPr>
          <w:lang w:val="en-GB"/>
        </w:rPr>
        <w:t xml:space="preserve"> </w:t>
      </w:r>
      <w:r w:rsidR="00DC32F1">
        <w:rPr>
          <w:lang w:val="en-GB"/>
        </w:rPr>
        <w:t xml:space="preserve">Pareto </w:t>
      </w:r>
      <w:r>
        <w:rPr>
          <w:lang w:val="en-GB"/>
        </w:rPr>
        <w:t xml:space="preserve">solutions using </w:t>
      </w:r>
      <w:r w:rsidR="00FF6B0E">
        <w:rPr>
          <w:lang w:val="en-GB"/>
        </w:rPr>
        <w:t xml:space="preserve">user inputs as </w:t>
      </w:r>
      <w:r>
        <w:rPr>
          <w:lang w:val="en-GB"/>
        </w:rPr>
        <w:t>weight parameters</w:t>
      </w:r>
      <w:r w:rsidR="007A4E6E">
        <w:rPr>
          <w:lang w:val="en-GB"/>
        </w:rPr>
        <w:t xml:space="preserve"> to systematically rank them according to criteria weighting</w:t>
      </w:r>
      <w:r w:rsidRPr="00E7429B">
        <w:rPr>
          <w:lang w:val="en-GB"/>
        </w:rPr>
        <w:t xml:space="preserve">. </w:t>
      </w:r>
      <w:r w:rsidR="007A4E6E">
        <w:rPr>
          <w:lang w:val="en-GB"/>
        </w:rPr>
        <w:t>Eventually</w:t>
      </w:r>
      <w:r w:rsidRPr="00E7429B">
        <w:rPr>
          <w:lang w:val="en-GB"/>
        </w:rPr>
        <w:t xml:space="preserve">, its capability is </w:t>
      </w:r>
      <w:r>
        <w:rPr>
          <w:lang w:val="en-GB"/>
        </w:rPr>
        <w:t>test</w:t>
      </w:r>
      <w:r w:rsidRPr="00E7429B">
        <w:rPr>
          <w:lang w:val="en-GB"/>
        </w:rPr>
        <w:t>ed by a sensitivity analysis, assessing the robustness of solutions.</w:t>
      </w:r>
    </w:p>
    <w:p w14:paraId="5CC5E682" w14:textId="217918E9" w:rsidR="00C77C1F" w:rsidRDefault="00C77C1F" w:rsidP="008D2649">
      <w:pPr>
        <w:pStyle w:val="Els-body-text"/>
        <w:spacing w:after="120"/>
        <w:rPr>
          <w:lang w:val="en-GB"/>
        </w:rPr>
      </w:pPr>
      <w:r>
        <w:rPr>
          <w:b/>
          <w:bCs/>
          <w:lang w:val="en-GB"/>
        </w:rPr>
        <w:t>Keywords</w:t>
      </w:r>
      <w:r>
        <w:rPr>
          <w:lang w:val="en-GB"/>
        </w:rPr>
        <w:t xml:space="preserve">: </w:t>
      </w:r>
      <w:r w:rsidRPr="00E7429B">
        <w:rPr>
          <w:lang w:val="en-GB"/>
        </w:rPr>
        <w:t>circular economy, multi-criteria decision-making, sensitivity analysis, TOPSIS, PROMETHEE</w:t>
      </w:r>
      <w:r>
        <w:rPr>
          <w:lang w:val="en-GB"/>
        </w:rPr>
        <w:t>.</w:t>
      </w:r>
    </w:p>
    <w:p w14:paraId="2F28E012" w14:textId="77777777" w:rsidR="00C77C1F" w:rsidRPr="000B226C" w:rsidRDefault="00C77C1F" w:rsidP="00B82BD6">
      <w:pPr>
        <w:pStyle w:val="Els-1storder-head"/>
      </w:pPr>
      <w:r w:rsidRPr="000B226C">
        <w:t>Introduction</w:t>
      </w:r>
    </w:p>
    <w:p w14:paraId="4E28DA05" w14:textId="5C9EB752" w:rsidR="00C77C1F" w:rsidRPr="002D193D" w:rsidRDefault="00C77C1F" w:rsidP="008D2649">
      <w:pPr>
        <w:pStyle w:val="Els-body-text"/>
      </w:pPr>
      <w:r w:rsidRPr="00E7429B">
        <w:t xml:space="preserve">The growing crisis of plastic waste mismanagement presents a complex global challenge characterized by escalating waste accumulation, resource depletion, and extensive environmental degradation. Conventional methods for evaluating the vast array of treatment options for plastic pollution are becoming increasingly insufficient, as highlighted by the continuously evolving landscape of waste management techniques </w:t>
      </w:r>
      <w:sdt>
        <w:sdtPr>
          <w:rPr>
            <w:color w:val="000000"/>
          </w:rPr>
          <w:tag w:val="MENDELEY_CITATION_v3_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"/>
          <w:id w:val="-1273854610"/>
          <w:placeholder>
            <w:docPart w:val="DefaultPlaceholder_-1854013440"/>
          </w:placeholder>
        </w:sdtPr>
        <w:sdtEndPr/>
        <w:sdtContent>
          <w:r w:rsidR="002A20CF" w:rsidRPr="002A20CF">
            <w:rPr>
              <w:color w:val="000000"/>
            </w:rPr>
            <w:t>(Chawla et al., 2022)</w:t>
          </w:r>
        </w:sdtContent>
      </w:sdt>
      <w:r w:rsidRPr="00E7429B">
        <w:t xml:space="preserve">. In response, the circular economy paradigm offers a promising shift, focusing on closing material loops and transforming waste into valuable resources. To facilitate this transition towards more sustainable plastic waste management, a comprehensive ontological framework </w:t>
      </w:r>
      <w:r>
        <w:t>was</w:t>
      </w:r>
      <w:r w:rsidRPr="00E7429B">
        <w:t xml:space="preserve"> developed</w:t>
      </w:r>
      <w:r w:rsidR="00FF6B0E">
        <w:t>.</w:t>
      </w:r>
      <w:r>
        <w:t xml:space="preserve"> </w:t>
      </w:r>
      <w:r w:rsidR="00FF6B0E">
        <w:t>I</w:t>
      </w:r>
      <w:r>
        <w:t>t was</w:t>
      </w:r>
      <w:r w:rsidRPr="00E7429B">
        <w:t xml:space="preserve"> designed to systematically generate and assess various waste-to-resource transformation pathways, optimizing trade-offs between different objectives such as economic viability and environmental impact. Initially, these pathways are </w:t>
      </w:r>
      <w:r w:rsidR="0019514A">
        <w:t>pre-assessed</w:t>
      </w:r>
      <w:r w:rsidR="0019514A" w:rsidRPr="00E7429B">
        <w:t xml:space="preserve"> </w:t>
      </w:r>
      <w:r w:rsidRPr="00E7429B">
        <w:t>based on a global performance indicator,</w:t>
      </w:r>
      <w:r w:rsidR="0019514A">
        <w:t xml:space="preserve"> then a superstructure is </w:t>
      </w:r>
      <w:r w:rsidR="00D721F8">
        <w:t>built,</w:t>
      </w:r>
      <w:r w:rsidR="0019514A">
        <w:t xml:space="preserve"> and multi-objective optimization is solved,</w:t>
      </w:r>
      <w:r w:rsidRPr="00E7429B">
        <w:t xml:space="preserve"> leading to a set of </w:t>
      </w:r>
      <w:r w:rsidR="0019514A">
        <w:t xml:space="preserve">Pareto </w:t>
      </w:r>
      <w:r>
        <w:t xml:space="preserve">optimal </w:t>
      </w:r>
      <w:r w:rsidRPr="00E7429B">
        <w:t xml:space="preserve">solutions </w:t>
      </w:r>
      <w:sdt>
        <w:sdtPr>
          <w:rPr>
            <w:color w:val="000000"/>
          </w:rPr>
          <w:tag w:val="MENDELEY_CITATION_v3_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"/>
          <w:id w:val="1125129016"/>
          <w:placeholder>
            <w:docPart w:val="DefaultPlaceholder_-1854013440"/>
          </w:placeholder>
        </w:sdtPr>
        <w:sdtEndPr/>
        <w:sdtContent>
          <w:r w:rsidR="002A20CF" w:rsidRPr="002A20CF">
            <w:rPr>
              <w:color w:val="000000"/>
            </w:rPr>
            <w:t>(Pacheco-López et al., 2023)</w:t>
          </w:r>
        </w:sdtContent>
      </w:sdt>
      <w:r w:rsidRPr="00E7429B">
        <w:t>. However, the existing framework</w:t>
      </w:r>
      <w:r>
        <w:t xml:space="preserve"> d</w:t>
      </w:r>
      <w:r w:rsidR="0068469E">
        <w:t>id</w:t>
      </w:r>
      <w:r>
        <w:t xml:space="preserve"> not address the decision-making</w:t>
      </w:r>
      <w:r w:rsidR="008F1298">
        <w:t xml:space="preserve"> (DM)</w:t>
      </w:r>
      <w:r>
        <w:t xml:space="preserve"> step</w:t>
      </w:r>
      <w:r w:rsidRPr="00E7429B">
        <w:t xml:space="preserve"> </w:t>
      </w:r>
      <w:r>
        <w:t>and ha</w:t>
      </w:r>
      <w:r w:rsidR="0068469E">
        <w:t>d</w:t>
      </w:r>
      <w:r>
        <w:t xml:space="preserve"> the </w:t>
      </w:r>
      <w:r w:rsidRPr="00E7429B">
        <w:t xml:space="preserve">limitation </w:t>
      </w:r>
      <w:r>
        <w:t xml:space="preserve">of </w:t>
      </w:r>
      <w:r w:rsidRPr="00E7429B">
        <w:t xml:space="preserve">analyzing only two criteria simultaneously. To bridge this gap, the tool introduced in this paper integrates two established multi-criteria </w:t>
      </w:r>
      <w:r>
        <w:t>decision-making</w:t>
      </w:r>
      <w:r w:rsidR="008F1298">
        <w:t xml:space="preserve"> (MCDM)</w:t>
      </w:r>
      <w:r w:rsidRPr="00E7429B">
        <w:t xml:space="preserve"> methods: TOPSIS (Technique for Order Preference by Similarity to Ideal Solution) </w:t>
      </w:r>
      <w:sdt>
        <w:sdtPr>
          <w:rPr>
            <w:color w:val="000000"/>
          </w:rPr>
          <w:tag w:val="MENDELEY_CITATION_v3_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"/>
          <w:id w:val="888307627"/>
          <w:placeholder>
            <w:docPart w:val="DefaultPlaceholder_-1854013440"/>
          </w:placeholder>
        </w:sdtPr>
        <w:sdtEndPr/>
        <w:sdtContent>
          <w:r w:rsidR="002A20CF" w:rsidRPr="002A20CF">
            <w:rPr>
              <w:color w:val="000000"/>
            </w:rPr>
            <w:t>(</w:t>
          </w:r>
          <w:proofErr w:type="spellStart"/>
          <w:r w:rsidR="002A20CF" w:rsidRPr="002A20CF">
            <w:rPr>
              <w:color w:val="000000"/>
            </w:rPr>
            <w:t>Çelikbilek</w:t>
          </w:r>
          <w:proofErr w:type="spellEnd"/>
          <w:r w:rsidR="002A20CF" w:rsidRPr="002A20CF">
            <w:rPr>
              <w:color w:val="000000"/>
            </w:rPr>
            <w:t xml:space="preserve"> and </w:t>
          </w:r>
          <w:proofErr w:type="spellStart"/>
          <w:r w:rsidR="002A20CF" w:rsidRPr="002A20CF">
            <w:rPr>
              <w:color w:val="000000"/>
            </w:rPr>
            <w:t>Tüysüz</w:t>
          </w:r>
          <w:proofErr w:type="spellEnd"/>
          <w:r w:rsidR="002A20CF" w:rsidRPr="002A20CF">
            <w:rPr>
              <w:color w:val="000000"/>
            </w:rPr>
            <w:t>, 2020)</w:t>
          </w:r>
        </w:sdtContent>
      </w:sdt>
      <w:r w:rsidR="00A032C3">
        <w:rPr>
          <w:color w:val="000000"/>
        </w:rPr>
        <w:t xml:space="preserve"> </w:t>
      </w:r>
      <w:r w:rsidRPr="00E7429B">
        <w:t xml:space="preserve">and </w:t>
      </w:r>
      <w:r w:rsidRPr="00E7429B">
        <w:lastRenderedPageBreak/>
        <w:t>PROMETHEE (Preference Ranking Organization Method for Enrichment Evaluations)</w:t>
      </w:r>
      <w:r>
        <w:t xml:space="preserve"> </w:t>
      </w:r>
      <w:sdt>
        <w:sdtPr>
          <w:rPr>
            <w:color w:val="000000"/>
          </w:rPr>
          <w:tag w:val="MENDELEY_CITATION_v3_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"/>
          <w:id w:val="-563494766"/>
          <w:placeholder>
            <w:docPart w:val="DefaultPlaceholder_-1854013440"/>
          </w:placeholder>
        </w:sdtPr>
        <w:sdtEndPr/>
        <w:sdtContent>
          <w:r w:rsidR="002A20CF" w:rsidRPr="002A20CF">
            <w:rPr>
              <w:color w:val="000000"/>
            </w:rPr>
            <w:t>(Maity and Chakraborty, 2015)</w:t>
          </w:r>
        </w:sdtContent>
      </w:sdt>
      <w:r w:rsidRPr="00E7429B">
        <w:t xml:space="preserve">. </w:t>
      </w:r>
      <w:r w:rsidRPr="001A1AFE">
        <w:rPr>
          <w:rFonts w:ascii="Segoe UI" w:hAnsi="Segoe UI" w:cs="Segoe UI"/>
          <w:color w:val="374151"/>
          <w:lang w:val="en-GB"/>
        </w:rPr>
        <w:t xml:space="preserve"> </w:t>
      </w:r>
      <w:r w:rsidRPr="001A1AFE">
        <w:rPr>
          <w:lang w:val="en-GB"/>
        </w:rPr>
        <w:t>By combining TOPSIS's capacity for straightforward comparative analysis with PROMETHEE's depth in pairwise preference evaluation, the tool achieves a balanced and thorough assessment.</w:t>
      </w:r>
      <w:r>
        <w:rPr>
          <w:lang w:val="en-GB"/>
        </w:rPr>
        <w:t xml:space="preserve"> </w:t>
      </w:r>
      <w:r w:rsidRPr="00E7429B">
        <w:t xml:space="preserve">The adoption of these methodologies </w:t>
      </w:r>
      <w:r>
        <w:t xml:space="preserve">also </w:t>
      </w:r>
      <w:r w:rsidRPr="00E7429B">
        <w:t xml:space="preserve">ensures that the tool's evaluations are methodologically sound, reliable, and transparent. </w:t>
      </w:r>
      <w:r>
        <w:t>T</w:t>
      </w:r>
      <w:r w:rsidRPr="00E7429B">
        <w:t>he tool is further enhanced by a sensitivity analysis feature, critically evaluating the robustness of the optimal solutions against uncertainties in</w:t>
      </w:r>
      <w:r w:rsidR="008F1298">
        <w:t xml:space="preserve"> the user’s</w:t>
      </w:r>
      <w:r w:rsidRPr="00E7429B">
        <w:t xml:space="preserve"> criteria weighting. Th</w:t>
      </w:r>
      <w:r w:rsidR="008F1298">
        <w:t>e</w:t>
      </w:r>
      <w:r w:rsidRPr="00E7429B">
        <w:t xml:space="preserve"> integration </w:t>
      </w:r>
      <w:r w:rsidR="008F1298">
        <w:t xml:space="preserve">of these DM methods within the ontological framework </w:t>
      </w:r>
      <w:r w:rsidRPr="00E7429B">
        <w:t>provid</w:t>
      </w:r>
      <w:r w:rsidR="008F1298">
        <w:t>es</w:t>
      </w:r>
      <w:r w:rsidRPr="00E7429B">
        <w:t xml:space="preserve"> decision-makers with a systematic method to navigate the complex landscape of sustainable recycling</w:t>
      </w:r>
      <w:r>
        <w:t xml:space="preserve"> and</w:t>
      </w:r>
      <w:r w:rsidRPr="00E7429B">
        <w:t xml:space="preserve"> fortifying the application of the circular economy.</w:t>
      </w:r>
    </w:p>
    <w:p w14:paraId="1040D699" w14:textId="77777777" w:rsidR="00C77C1F" w:rsidRDefault="00C77C1F">
      <w:pPr>
        <w:pStyle w:val="Els-1storder-head"/>
      </w:pPr>
      <w:r w:rsidRPr="00443FA9">
        <w:t>Methodologies</w:t>
      </w:r>
    </w:p>
    <w:p w14:paraId="22756AD3" w14:textId="77777777" w:rsidR="00C77C1F" w:rsidRPr="000B226C" w:rsidRDefault="00C77C1F" w:rsidP="00E612E1">
      <w:pPr>
        <w:pStyle w:val="Els-2ndorder-head"/>
      </w:pPr>
      <w:r w:rsidRPr="00B82BD6">
        <w:t>Too</w:t>
      </w:r>
      <w:r w:rsidRPr="000B226C">
        <w:t xml:space="preserve">l </w:t>
      </w:r>
      <w:r w:rsidRPr="00443FA9">
        <w:t>description</w:t>
      </w:r>
    </w:p>
    <w:p w14:paraId="0D8FDFD2" w14:textId="70256509" w:rsidR="00C77C1F" w:rsidRPr="00660DC6" w:rsidRDefault="00C77C1F" w:rsidP="00C257E7">
      <w:pPr>
        <w:pStyle w:val="Els-body-text"/>
      </w:pPr>
      <w:r w:rsidRPr="00E7429B">
        <w:t xml:space="preserve">The tool </w:t>
      </w:r>
      <w:r w:rsidR="005572F7">
        <w:t>developed</w:t>
      </w:r>
      <w:r w:rsidR="005572F7" w:rsidRPr="00E7429B">
        <w:t xml:space="preserve"> </w:t>
      </w:r>
      <w:r w:rsidRPr="00E7429B">
        <w:t xml:space="preserve">in this </w:t>
      </w:r>
      <w:r w:rsidR="005572F7">
        <w:t>work</w:t>
      </w:r>
      <w:r w:rsidR="005572F7" w:rsidRPr="00E7429B">
        <w:t xml:space="preserve"> </w:t>
      </w:r>
      <w:r w:rsidRPr="00E7429B">
        <w:t xml:space="preserve">is a Python-based application, </w:t>
      </w:r>
      <w:r>
        <w:t>providing full</w:t>
      </w:r>
      <w:r w:rsidRPr="00E7429B">
        <w:t xml:space="preserve"> compatibility with the existing ontological framework</w:t>
      </w:r>
      <w:r>
        <w:t xml:space="preserve"> that was</w:t>
      </w:r>
      <w:r w:rsidRPr="00E7429B">
        <w:t xml:space="preserve"> partially developed in Python. The </w:t>
      </w:r>
      <w:r w:rsidR="005572F7">
        <w:t>system</w:t>
      </w:r>
      <w:r w:rsidR="005572F7" w:rsidRPr="00E7429B">
        <w:t xml:space="preserve"> </w:t>
      </w:r>
      <w:r w:rsidRPr="00E7429B">
        <w:t xml:space="preserve">is designed to be user-friendly, </w:t>
      </w:r>
      <w:r>
        <w:t xml:space="preserve">efficiently </w:t>
      </w:r>
      <w:r w:rsidRPr="00E7429B">
        <w:t>transforming complex datasets into actionable insights.</w:t>
      </w:r>
      <w:r>
        <w:t xml:space="preserve"> It is</w:t>
      </w:r>
      <w:r w:rsidRPr="00E7429B">
        <w:t xml:space="preserve"> </w:t>
      </w:r>
      <w:r>
        <w:t>s</w:t>
      </w:r>
      <w:r w:rsidRPr="00E7429B">
        <w:t>tructured into three main functional areas:</w:t>
      </w:r>
    </w:p>
    <w:p w14:paraId="638A337C" w14:textId="77777777" w:rsidR="00C77C1F" w:rsidRPr="00E7429B" w:rsidRDefault="00C77C1F" w:rsidP="00E612E1">
      <w:pPr>
        <w:pStyle w:val="Els-bulletlist"/>
        <w:jc w:val="both"/>
        <w:rPr>
          <w:lang w:val="en-GB"/>
        </w:rPr>
      </w:pPr>
      <w:r w:rsidRPr="00E612E1">
        <w:rPr>
          <w:b/>
        </w:rPr>
        <w:t xml:space="preserve">Data gathering: </w:t>
      </w:r>
      <w:r w:rsidRPr="00E7429B">
        <w:rPr>
          <w:lang w:val="en-GB"/>
        </w:rPr>
        <w:t>Th</w:t>
      </w:r>
      <w:r>
        <w:rPr>
          <w:lang w:val="en-GB"/>
        </w:rPr>
        <w:t>is</w:t>
      </w:r>
      <w:r w:rsidRPr="00E7429B">
        <w:rPr>
          <w:lang w:val="en-GB"/>
        </w:rPr>
        <w:t xml:space="preserve"> step involves importing the decision matrix. The tool captures essential user inputs, including the classification of each criterion as beneficial or non-beneficial and the</w:t>
      </w:r>
      <w:r>
        <w:rPr>
          <w:lang w:val="en-GB"/>
        </w:rPr>
        <w:t>ir</w:t>
      </w:r>
      <w:r w:rsidRPr="00E7429B">
        <w:rPr>
          <w:lang w:val="en-GB"/>
        </w:rPr>
        <w:t xml:space="preserve"> corresponding weights</w:t>
      </w:r>
      <w:r>
        <w:rPr>
          <w:lang w:val="en-GB"/>
        </w:rPr>
        <w:t>, and the choice of normalization method</w:t>
      </w:r>
      <w:r w:rsidRPr="00E7429B">
        <w:rPr>
          <w:lang w:val="en-GB"/>
        </w:rPr>
        <w:t>.</w:t>
      </w:r>
    </w:p>
    <w:p w14:paraId="47E5FEBA" w14:textId="65A1F6B0" w:rsidR="00C77C1F" w:rsidRPr="00E7429B" w:rsidRDefault="00C77C1F" w:rsidP="00E612E1">
      <w:pPr>
        <w:pStyle w:val="Els-bulletlist"/>
        <w:jc w:val="both"/>
        <w:rPr>
          <w:lang w:val="en-GB"/>
        </w:rPr>
      </w:pPr>
      <w:r w:rsidRPr="00E612E1">
        <w:rPr>
          <w:b/>
        </w:rPr>
        <w:t xml:space="preserve">Data processing: </w:t>
      </w:r>
      <w:r w:rsidRPr="00E7429B">
        <w:rPr>
          <w:lang w:val="en-GB"/>
        </w:rPr>
        <w:t xml:space="preserve">At the core of the tool's analytical capabilities, this section undertakes the necessary mathematical computations as per the selected </w:t>
      </w:r>
      <w:r w:rsidR="009D3909">
        <w:rPr>
          <w:lang w:val="en-GB"/>
        </w:rPr>
        <w:t>DM</w:t>
      </w:r>
      <w:r w:rsidRPr="00E7429B">
        <w:rPr>
          <w:lang w:val="en-GB"/>
        </w:rPr>
        <w:t xml:space="preserve"> method.</w:t>
      </w:r>
    </w:p>
    <w:p w14:paraId="5D6A07E0" w14:textId="1181B7D9" w:rsidR="00C77C1F" w:rsidRPr="00E7429B" w:rsidRDefault="00C77C1F" w:rsidP="00E612E1">
      <w:pPr>
        <w:pStyle w:val="Els-bulletlist"/>
        <w:jc w:val="both"/>
        <w:rPr>
          <w:lang w:val="en-GB"/>
        </w:rPr>
      </w:pPr>
      <w:r w:rsidRPr="00E612E1">
        <w:rPr>
          <w:b/>
        </w:rPr>
        <w:t xml:space="preserve">Sensitivity analysis: </w:t>
      </w:r>
      <w:r w:rsidRPr="00E7429B">
        <w:rPr>
          <w:lang w:val="en-GB"/>
        </w:rPr>
        <w:t xml:space="preserve">The sensitivity analysis is designed to evaluate the resilience </w:t>
      </w:r>
      <w:r>
        <w:rPr>
          <w:lang w:val="en-GB"/>
        </w:rPr>
        <w:t xml:space="preserve">and reliability </w:t>
      </w:r>
      <w:r w:rsidRPr="00E7429B">
        <w:rPr>
          <w:lang w:val="en-GB"/>
        </w:rPr>
        <w:t xml:space="preserve">of the </w:t>
      </w:r>
      <w:r w:rsidR="009D3909">
        <w:rPr>
          <w:lang w:val="en-GB"/>
        </w:rPr>
        <w:t>DM</w:t>
      </w:r>
      <w:r w:rsidRPr="00E7429B">
        <w:rPr>
          <w:lang w:val="en-GB"/>
        </w:rPr>
        <w:t xml:space="preserve"> outcomes, especially focusing on the stability of the initially top-ranked solution under </w:t>
      </w:r>
      <w:r>
        <w:rPr>
          <w:lang w:val="en-GB"/>
        </w:rPr>
        <w:t>uncertain criteria</w:t>
      </w:r>
      <w:r w:rsidRPr="00E7429B">
        <w:rPr>
          <w:lang w:val="en-GB"/>
        </w:rPr>
        <w:t xml:space="preserve"> weight</w:t>
      </w:r>
      <w:r>
        <w:rPr>
          <w:lang w:val="en-GB"/>
        </w:rPr>
        <w:t>ing</w:t>
      </w:r>
      <w:r w:rsidRPr="00E7429B">
        <w:rPr>
          <w:lang w:val="en-GB"/>
        </w:rPr>
        <w:t xml:space="preserve"> conditions.</w:t>
      </w:r>
    </w:p>
    <w:p w14:paraId="47BD0234" w14:textId="3876C79D" w:rsidR="00C77C1F" w:rsidRPr="00E7429B" w:rsidRDefault="00C77C1F" w:rsidP="00E612E1">
      <w:pPr>
        <w:pStyle w:val="Els-bulletlist"/>
        <w:ind w:left="480"/>
        <w:jc w:val="both"/>
        <w:rPr>
          <w:lang w:val="en-GB"/>
        </w:rPr>
      </w:pPr>
      <w:r>
        <w:tab/>
      </w:r>
      <w:r w:rsidRPr="00E612E1">
        <w:rPr>
          <w:b/>
        </w:rPr>
        <w:t>Generating weight sets from probability distributions:</w:t>
      </w:r>
      <w:r>
        <w:t xml:space="preserve"> </w:t>
      </w:r>
      <w:r w:rsidRPr="00E7429B">
        <w:rPr>
          <w:lang w:val="en-GB"/>
        </w:rPr>
        <w:t xml:space="preserve">The sensitivity analysis component of the tool is tailored to account for the variability inherent in </w:t>
      </w:r>
      <w:r w:rsidR="009D3909">
        <w:rPr>
          <w:lang w:val="en-GB"/>
        </w:rPr>
        <w:t>DM</w:t>
      </w:r>
      <w:r w:rsidRPr="00E7429B">
        <w:rPr>
          <w:lang w:val="en-GB"/>
        </w:rPr>
        <w:t xml:space="preserve">. User inputs determine confidence intervals for each criterion's weight, which are then used to </w:t>
      </w:r>
      <w:r w:rsidRPr="00E612E1">
        <w:t>establish</w:t>
      </w:r>
      <w:r w:rsidRPr="00E7429B">
        <w:rPr>
          <w:lang w:val="en-GB"/>
        </w:rPr>
        <w:t xml:space="preserve"> the standard deviations of the corresponding normal distributions. The tool subsequently creates a multitude of unique weight sets by randomly combining these sampled weights across all criteria</w:t>
      </w:r>
      <w:r>
        <w:rPr>
          <w:lang w:val="en-GB"/>
        </w:rPr>
        <w:t xml:space="preserve"> </w:t>
      </w:r>
      <w:r w:rsidRPr="00E7429B">
        <w:rPr>
          <w:lang w:val="en-GB"/>
        </w:rPr>
        <w:t>allow</w:t>
      </w:r>
      <w:r>
        <w:rPr>
          <w:lang w:val="en-GB"/>
        </w:rPr>
        <w:t>ing</w:t>
      </w:r>
      <w:r w:rsidRPr="00E7429B">
        <w:rPr>
          <w:lang w:val="en-GB"/>
        </w:rPr>
        <w:t xml:space="preserve"> for an extensive exploration of potential weight variations. </w:t>
      </w:r>
    </w:p>
    <w:p w14:paraId="390A58F6" w14:textId="5CE3C145" w:rsidR="00C77C1F" w:rsidRPr="00520082" w:rsidRDefault="00C77C1F" w:rsidP="00E612E1">
      <w:pPr>
        <w:pStyle w:val="Els-bulletlist"/>
        <w:ind w:left="480"/>
        <w:jc w:val="both"/>
        <w:rPr>
          <w:lang w:val="en-GB"/>
        </w:rPr>
      </w:pPr>
      <w:r w:rsidRPr="00E612E1">
        <w:rPr>
          <w:b/>
          <w:lang w:val="en-GB"/>
        </w:rPr>
        <w:t xml:space="preserve">Assessing the stability of the top-ranked solution: </w:t>
      </w:r>
      <w:r w:rsidRPr="00E612E1">
        <w:rPr>
          <w:lang w:val="en-GB"/>
        </w:rPr>
        <w:t xml:space="preserve">Here, </w:t>
      </w:r>
      <w:r w:rsidR="008F1298">
        <w:rPr>
          <w:lang w:val="en-GB"/>
        </w:rPr>
        <w:t xml:space="preserve">the </w:t>
      </w:r>
      <w:r w:rsidRPr="00E612E1">
        <w:rPr>
          <w:lang w:val="en-GB"/>
        </w:rPr>
        <w:t>tool</w:t>
      </w:r>
      <w:r w:rsidRPr="00B82BD6">
        <w:rPr>
          <w:lang w:val="en-GB"/>
        </w:rPr>
        <w:t xml:space="preserve"> determine</w:t>
      </w:r>
      <w:r>
        <w:rPr>
          <w:lang w:val="en-GB"/>
        </w:rPr>
        <w:t>s</w:t>
      </w:r>
      <w:r w:rsidRPr="00B82BD6">
        <w:rPr>
          <w:lang w:val="en-GB"/>
        </w:rPr>
        <w:t xml:space="preserve"> the frequency with which the initially best-ranked solution maintains its </w:t>
      </w:r>
      <w:r>
        <w:rPr>
          <w:lang w:val="en-GB"/>
        </w:rPr>
        <w:t>position</w:t>
      </w:r>
      <w:r w:rsidRPr="00B82BD6">
        <w:rPr>
          <w:lang w:val="en-GB"/>
        </w:rPr>
        <w:t xml:space="preserve"> across various weight scenarios. By applying these diverse weight sets in the </w:t>
      </w:r>
      <w:r w:rsidR="008F1298">
        <w:rPr>
          <w:lang w:val="en-GB"/>
        </w:rPr>
        <w:t xml:space="preserve">DM </w:t>
      </w:r>
      <w:r w:rsidRPr="00B82BD6">
        <w:rPr>
          <w:lang w:val="en-GB"/>
        </w:rPr>
        <w:t>models</w:t>
      </w:r>
      <w:r>
        <w:rPr>
          <w:lang w:val="en-GB"/>
        </w:rPr>
        <w:t xml:space="preserve">, </w:t>
      </w:r>
      <w:r w:rsidRPr="00B82BD6">
        <w:rPr>
          <w:lang w:val="en-GB"/>
        </w:rPr>
        <w:t>the tool tracks the performance of the initial top solution in eac</w:t>
      </w:r>
      <w:r w:rsidRPr="00C257E7">
        <w:rPr>
          <w:lang w:val="en-GB"/>
        </w:rPr>
        <w:t>h scenario, providing a quantitative measure of its stability.</w:t>
      </w:r>
    </w:p>
    <w:p w14:paraId="5D03A790" w14:textId="7A298F49" w:rsidR="00C77C1F" w:rsidRPr="00C257E7" w:rsidRDefault="00C77C1F" w:rsidP="00B82BD6">
      <w:pPr>
        <w:pStyle w:val="Els-body-text"/>
      </w:pPr>
      <w:r w:rsidRPr="00B82BD6">
        <w:t>Th</w:t>
      </w:r>
      <w:r>
        <w:t>e</w:t>
      </w:r>
      <w:r w:rsidRPr="00B82BD6">
        <w:t xml:space="preserve"> sensitivity analysis component is a vital </w:t>
      </w:r>
      <w:r w:rsidR="005572F7">
        <w:t>functionality</w:t>
      </w:r>
      <w:r w:rsidRPr="00B82BD6">
        <w:t xml:space="preserve">, offering a nuanced understanding of the </w:t>
      </w:r>
      <w:r w:rsidR="009D3909">
        <w:t>DM</w:t>
      </w:r>
      <w:r w:rsidRPr="00B82BD6">
        <w:t xml:space="preserve"> outcomes' robustness. It ensures that the tool not only identifies the optimal solution under given parameters but also evaluates </w:t>
      </w:r>
      <w:r w:rsidR="00FF6B0E" w:rsidRPr="00B82BD6">
        <w:t xml:space="preserve">the </w:t>
      </w:r>
      <w:r w:rsidR="00FF6B0E">
        <w:t xml:space="preserve">impact of </w:t>
      </w:r>
      <w:r w:rsidR="00FF6B0E" w:rsidRPr="00B82BD6">
        <w:t>uncertainties</w:t>
      </w:r>
      <w:r w:rsidR="00FF6B0E">
        <w:t xml:space="preserve"> </w:t>
      </w:r>
      <w:r w:rsidR="00FF6B0E" w:rsidRPr="00B82BD6">
        <w:t>inherent</w:t>
      </w:r>
      <w:r w:rsidR="00FF6B0E">
        <w:t xml:space="preserve"> to criteria weighting</w:t>
      </w:r>
      <w:r w:rsidR="00FF6B0E" w:rsidRPr="00B82BD6">
        <w:t xml:space="preserve"> </w:t>
      </w:r>
      <w:r w:rsidR="00FF6B0E">
        <w:t>on</w:t>
      </w:r>
      <w:r w:rsidR="00FF6B0E" w:rsidRPr="00B82BD6">
        <w:t xml:space="preserve"> this </w:t>
      </w:r>
      <w:r w:rsidR="00FF6B0E">
        <w:t>choice</w:t>
      </w:r>
      <w:r w:rsidRPr="00B82BD6">
        <w:t>.</w:t>
      </w:r>
    </w:p>
    <w:p w14:paraId="7040231D" w14:textId="77777777" w:rsidR="00C77C1F" w:rsidRPr="00E7429B" w:rsidRDefault="00C77C1F">
      <w:pPr>
        <w:pStyle w:val="Els-2ndorder-head"/>
      </w:pPr>
      <w:r w:rsidRPr="00E7429B">
        <w:t>Normalization of the dataset</w:t>
      </w:r>
    </w:p>
    <w:p w14:paraId="67900DA3" w14:textId="118D2DA7" w:rsidR="00C77C1F" w:rsidRPr="00E7429B" w:rsidRDefault="00C77C1F">
      <w:pPr>
        <w:pStyle w:val="Els-body-text"/>
        <w:rPr>
          <w:lang w:val="en-GB"/>
        </w:rPr>
      </w:pPr>
      <w:r w:rsidRPr="00E7429B">
        <w:rPr>
          <w:lang w:val="en-GB"/>
        </w:rPr>
        <w:t xml:space="preserve">Normalization in </w:t>
      </w:r>
      <w:r w:rsidR="008F1298">
        <w:rPr>
          <w:lang w:val="en-GB"/>
        </w:rPr>
        <w:t>MCDM</w:t>
      </w:r>
      <w:r w:rsidRPr="00E7429B">
        <w:rPr>
          <w:lang w:val="en-GB"/>
        </w:rPr>
        <w:t xml:space="preserve"> ensures criteria comparability but can introduce biases based on the method used</w:t>
      </w:r>
      <w:r>
        <w:rPr>
          <w:lang w:val="en-GB"/>
        </w:rPr>
        <w:t>, becoming a crucial choice</w:t>
      </w:r>
      <w:r w:rsidR="002A20CF">
        <w:rPr>
          <w:lang w:val="en-GB"/>
        </w:rPr>
        <w:t xml:space="preserve"> </w:t>
      </w:r>
      <w:sdt>
        <w:sdtPr>
          <w:rPr>
            <w:color w:val="000000"/>
            <w:lang w:val="en-GB"/>
          </w:rPr>
          <w:tag w:val="MENDELEY_CITATION_v3_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"/>
          <w:id w:val="-1558696684"/>
          <w:placeholder>
            <w:docPart w:val="DefaultPlaceholder_-1854013440"/>
          </w:placeholder>
        </w:sdtPr>
        <w:sdtEndPr/>
        <w:sdtContent>
          <w:r w:rsidR="002A20CF" w:rsidRPr="002A20CF">
            <w:rPr>
              <w:color w:val="000000"/>
              <w:lang w:val="en-GB"/>
            </w:rPr>
            <w:t>(</w:t>
          </w:r>
          <w:proofErr w:type="spellStart"/>
          <w:r w:rsidR="002A20CF" w:rsidRPr="002A20CF">
            <w:rPr>
              <w:color w:val="000000"/>
              <w:lang w:val="en-GB"/>
            </w:rPr>
            <w:t>Sałabun</w:t>
          </w:r>
          <w:proofErr w:type="spellEnd"/>
          <w:r w:rsidR="002A20CF" w:rsidRPr="002A20CF">
            <w:rPr>
              <w:color w:val="000000"/>
              <w:lang w:val="en-GB"/>
            </w:rPr>
            <w:t xml:space="preserve"> et al., 2020)</w:t>
          </w:r>
        </w:sdtContent>
      </w:sdt>
      <w:r w:rsidRPr="00E7429B">
        <w:rPr>
          <w:lang w:val="en-GB"/>
        </w:rPr>
        <w:t xml:space="preserve">. The tool employs </w:t>
      </w:r>
      <w:r w:rsidR="008F1298">
        <w:rPr>
          <w:lang w:val="en-GB"/>
        </w:rPr>
        <w:t xml:space="preserve">either </w:t>
      </w:r>
      <w:r w:rsidRPr="00E7429B">
        <w:rPr>
          <w:lang w:val="en-GB"/>
        </w:rPr>
        <w:t xml:space="preserve">min-max </w:t>
      </w:r>
      <w:r w:rsidR="008F1298">
        <w:rPr>
          <w:lang w:val="en-GB"/>
        </w:rPr>
        <w:t xml:space="preserve">or </w:t>
      </w:r>
      <w:r w:rsidRPr="00E7429B">
        <w:rPr>
          <w:lang w:val="en-GB"/>
        </w:rPr>
        <w:t>vector normalization</w:t>
      </w:r>
      <w:r w:rsidR="005572F7">
        <w:rPr>
          <w:lang w:val="en-GB"/>
        </w:rPr>
        <w:t xml:space="preserve"> to</w:t>
      </w:r>
      <w:r w:rsidRPr="00E7429B">
        <w:rPr>
          <w:lang w:val="en-GB"/>
        </w:rPr>
        <w:t xml:space="preserve"> scale all criteria to a uniform range</w:t>
      </w:r>
      <w:r w:rsidR="008F1298">
        <w:rPr>
          <w:lang w:val="en-GB"/>
        </w:rPr>
        <w:t xml:space="preserve"> by choice of the user according to data characteristics. The choice of min-max normalization </w:t>
      </w:r>
      <w:r w:rsidRPr="00E7429B">
        <w:rPr>
          <w:lang w:val="en-GB"/>
        </w:rPr>
        <w:t xml:space="preserve">can significantly </w:t>
      </w:r>
      <w:r w:rsidR="008F1298">
        <w:rPr>
          <w:lang w:val="en-GB"/>
        </w:rPr>
        <w:t>affect</w:t>
      </w:r>
      <w:r w:rsidR="008F1298" w:rsidRPr="00E7429B">
        <w:rPr>
          <w:lang w:val="en-GB"/>
        </w:rPr>
        <w:t xml:space="preserve"> </w:t>
      </w:r>
      <w:r w:rsidRPr="00E7429B">
        <w:rPr>
          <w:lang w:val="en-GB"/>
        </w:rPr>
        <w:t xml:space="preserve">the data distribution </w:t>
      </w:r>
      <w:r w:rsidR="00D83497">
        <w:rPr>
          <w:lang w:val="en-GB"/>
        </w:rPr>
        <w:t>in the case of objectives/criteria varying in</w:t>
      </w:r>
      <w:r w:rsidR="00D83497" w:rsidRPr="00E7429B">
        <w:rPr>
          <w:lang w:val="en-GB"/>
        </w:rPr>
        <w:t xml:space="preserve"> </w:t>
      </w:r>
      <w:r w:rsidRPr="00E7429B">
        <w:rPr>
          <w:lang w:val="en-GB"/>
        </w:rPr>
        <w:t xml:space="preserve">small ranges. </w:t>
      </w:r>
      <w:r w:rsidR="00D83497">
        <w:rPr>
          <w:lang w:val="en-GB"/>
        </w:rPr>
        <w:t>Alternatively, v</w:t>
      </w:r>
      <w:r w:rsidRPr="00E7429B">
        <w:rPr>
          <w:lang w:val="en-GB"/>
        </w:rPr>
        <w:t>ector normalization maintains the original data distribution, suitable for preserving relative differences.</w:t>
      </w:r>
    </w:p>
    <w:p w14:paraId="1C681B08" w14:textId="77777777" w:rsidR="00C77C1F" w:rsidRPr="00E7429B" w:rsidRDefault="00C77C1F" w:rsidP="00B82BD6">
      <w:pPr>
        <w:pStyle w:val="Els-2ndorder-head"/>
        <w:rPr>
          <w:lang w:val="en-GB"/>
        </w:rPr>
      </w:pPr>
      <w:r w:rsidRPr="00E7429B">
        <w:lastRenderedPageBreak/>
        <w:t>TOPSIS</w:t>
      </w:r>
    </w:p>
    <w:p w14:paraId="60E1BC33" w14:textId="77777777" w:rsidR="00C77C1F" w:rsidRPr="00E7429B" w:rsidRDefault="00C77C1F" w:rsidP="00E7429B">
      <w:pPr>
        <w:pStyle w:val="Els-body-text"/>
        <w:rPr>
          <w:lang w:val="en-GB"/>
        </w:rPr>
      </w:pPr>
      <w:r w:rsidRPr="00E7429B">
        <w:rPr>
          <w:lang w:val="en-GB"/>
        </w:rPr>
        <w:t>The TOPSIS method is structured to systematically evaluate alternatives based on their similarity to ideal solutions. The steps are as follows:</w:t>
      </w:r>
    </w:p>
    <w:p w14:paraId="4EFDD681" w14:textId="77777777" w:rsidR="00C77C1F" w:rsidRPr="00E7429B" w:rsidRDefault="00C77C1F" w:rsidP="00E612E1">
      <w:pPr>
        <w:pStyle w:val="Els-bulletlist"/>
        <w:jc w:val="both"/>
      </w:pPr>
      <w:r w:rsidRPr="00E7429B">
        <w:rPr>
          <w:b/>
        </w:rPr>
        <w:t>Weight normalized decision matrix</w:t>
      </w:r>
      <w:r w:rsidRPr="00E7429B">
        <w:t>: The process begins by weighting the normalized decision matrix. The values in the normalized matrix are multiplied by the normalized weights for each criterion, reflecting the relative importance as determined by the user.</w:t>
      </w:r>
    </w:p>
    <w:p w14:paraId="7B1AF4DE" w14:textId="77777777" w:rsidR="00C77C1F" w:rsidRPr="00E7429B" w:rsidRDefault="00C77C1F" w:rsidP="00E612E1">
      <w:pPr>
        <w:pStyle w:val="Els-bulletlist"/>
        <w:jc w:val="both"/>
      </w:pPr>
      <w:r w:rsidRPr="00BB62D3">
        <w:rPr>
          <w:b/>
        </w:rPr>
        <w:t>Determine Utopian and Nadir points</w:t>
      </w:r>
      <w:r w:rsidRPr="00E7429B">
        <w:t>: The utopian point is established using the highest values across all criteria, while the Nadir point is based on the lowest values. These hypothetical points represent the most and least desirable outcomes, respectively.</w:t>
      </w:r>
    </w:p>
    <w:p w14:paraId="5430D8F7" w14:textId="77777777" w:rsidR="00C77C1F" w:rsidRPr="00E7429B" w:rsidRDefault="00C77C1F" w:rsidP="00E612E1">
      <w:pPr>
        <w:pStyle w:val="Els-bulletlist"/>
        <w:jc w:val="both"/>
      </w:pPr>
      <w:r w:rsidRPr="00BB62D3">
        <w:rPr>
          <w:b/>
        </w:rPr>
        <w:t>Compute Euclidean distances</w:t>
      </w:r>
      <w:r w:rsidRPr="00E7429B">
        <w:t xml:space="preserve">: </w:t>
      </w:r>
      <w:r>
        <w:t>Here</w:t>
      </w:r>
      <w:r w:rsidRPr="00E7429B">
        <w:t xml:space="preserve"> the Euclidean distances of each alternative from both the utopian and nadir points</w:t>
      </w:r>
      <w:r>
        <w:t xml:space="preserve"> are calculated</w:t>
      </w:r>
      <w:r w:rsidRPr="00E7429B">
        <w:t>. This calculation determines how close or far each alternative is relative to the most and least desirable outcomes.</w:t>
      </w:r>
    </w:p>
    <w:p w14:paraId="7100605B" w14:textId="77777777" w:rsidR="00C77C1F" w:rsidRPr="00E7429B" w:rsidRDefault="00C77C1F" w:rsidP="00E612E1">
      <w:pPr>
        <w:pStyle w:val="Els-bulletlist"/>
        <w:jc w:val="both"/>
      </w:pPr>
      <w:r>
        <w:rPr>
          <w:b/>
        </w:rPr>
        <w:t>E</w:t>
      </w:r>
      <w:r w:rsidRPr="00BB62D3">
        <w:rPr>
          <w:b/>
        </w:rPr>
        <w:t>valuate performance and rank alternatives</w:t>
      </w:r>
      <w:r w:rsidRPr="00E7429B">
        <w:t>: Performance scores for each alternative are derived from these distances, indicating their relative proximity to the ideal solution. The alternatives are then ranked based on these scores, with the highest-scoring alternative considered the most preferable.</w:t>
      </w:r>
    </w:p>
    <w:p w14:paraId="367D8117" w14:textId="77777777" w:rsidR="00C77C1F" w:rsidRPr="00E7429B" w:rsidRDefault="00C77C1F" w:rsidP="00B82BD6">
      <w:pPr>
        <w:pStyle w:val="Els-2ndorder-head"/>
        <w:rPr>
          <w:lang w:val="en-GB"/>
        </w:rPr>
      </w:pPr>
      <w:r w:rsidRPr="00443FA9">
        <w:t>PROMETHEE</w:t>
      </w:r>
    </w:p>
    <w:p w14:paraId="07CE16EA" w14:textId="701D0EA5" w:rsidR="00C77C1F" w:rsidRPr="00E7429B" w:rsidRDefault="00C77C1F" w:rsidP="00C257E7">
      <w:pPr>
        <w:pStyle w:val="Els-body-text"/>
        <w:rPr>
          <w:lang w:val="en-GB"/>
        </w:rPr>
      </w:pPr>
      <w:r w:rsidRPr="00E7429B">
        <w:rPr>
          <w:lang w:val="en-GB"/>
        </w:rPr>
        <w:t xml:space="preserve">PROMETHEE is a </w:t>
      </w:r>
      <w:r w:rsidR="009D3909">
        <w:rPr>
          <w:lang w:val="en-GB"/>
        </w:rPr>
        <w:t>DM</w:t>
      </w:r>
      <w:r w:rsidRPr="00E7429B">
        <w:rPr>
          <w:lang w:val="en-GB"/>
        </w:rPr>
        <w:t xml:space="preserve"> method that is based on pairwise comparisons between alternatives, assessing their relative performances based on a set of criteria. The methodology includes the following steps:</w:t>
      </w:r>
    </w:p>
    <w:p w14:paraId="0851D465" w14:textId="77777777" w:rsidR="00C77C1F" w:rsidRPr="00E7429B" w:rsidRDefault="00C77C1F" w:rsidP="00E612E1">
      <w:pPr>
        <w:pStyle w:val="Els-bulletlist"/>
        <w:jc w:val="both"/>
      </w:pPr>
      <w:r w:rsidRPr="00BB62D3">
        <w:rPr>
          <w:b/>
        </w:rPr>
        <w:t>Define Preference Function</w:t>
      </w:r>
      <w:r w:rsidRPr="00E7429B">
        <w:t xml:space="preserve">: </w:t>
      </w:r>
      <w:r>
        <w:t>P</w:t>
      </w:r>
      <w:r w:rsidRPr="00E7429B">
        <w:t>reference functions are used to determine the degree of preference between two alternatives for each criterion. While various types of preference functions exist, our tool employs the Gaussian preference function.</w:t>
      </w:r>
    </w:p>
    <w:p w14:paraId="464DE1CF" w14:textId="77777777" w:rsidR="00C77C1F" w:rsidRPr="00E7429B" w:rsidRDefault="00C77C1F" w:rsidP="00E612E1">
      <w:pPr>
        <w:pStyle w:val="Els-bulletlist"/>
        <w:jc w:val="both"/>
      </w:pPr>
      <w:r w:rsidRPr="00BB62D3">
        <w:rPr>
          <w:b/>
        </w:rPr>
        <w:t>Calculate differences in evaluations</w:t>
      </w:r>
      <w:r w:rsidRPr="00E7429B">
        <w:t>: For each criterion, the difference in evaluations between each pair of alternatives is computed. These differences form the foundation for assessing preferences between alternatives.</w:t>
      </w:r>
    </w:p>
    <w:p w14:paraId="34DCA81A" w14:textId="77777777" w:rsidR="00C77C1F" w:rsidRPr="00E7429B" w:rsidRDefault="00C77C1F" w:rsidP="00E612E1">
      <w:pPr>
        <w:pStyle w:val="Els-bulletlist"/>
        <w:jc w:val="both"/>
      </w:pPr>
      <w:r w:rsidRPr="00BB62D3">
        <w:rPr>
          <w:b/>
        </w:rPr>
        <w:t>Determine preference values</w:t>
      </w:r>
      <w:r w:rsidRPr="00E7429B">
        <w:t>: By applying the Gaussian preference function to the calculated differences, the preference value for each pair of alternatives is calculated</w:t>
      </w:r>
      <w:r>
        <w:t>.</w:t>
      </w:r>
    </w:p>
    <w:p w14:paraId="1029C87D" w14:textId="77777777" w:rsidR="00C77C1F" w:rsidRPr="00E7429B" w:rsidRDefault="00C77C1F" w:rsidP="00E612E1">
      <w:pPr>
        <w:pStyle w:val="Els-bulletlist"/>
        <w:jc w:val="both"/>
      </w:pPr>
      <w:r w:rsidRPr="00BB62D3">
        <w:rPr>
          <w:b/>
        </w:rPr>
        <w:t>Compute global preference values</w:t>
      </w:r>
      <w:r w:rsidRPr="00E7429B">
        <w:t>: The global preference value for each pair of alternatives is derived by summing the products of the preference values and the weights of the criteria.</w:t>
      </w:r>
    </w:p>
    <w:p w14:paraId="2DFD0B20" w14:textId="77777777" w:rsidR="00C77C1F" w:rsidRPr="00E7429B" w:rsidRDefault="00C77C1F" w:rsidP="00E612E1">
      <w:pPr>
        <w:pStyle w:val="Els-bulletlist"/>
        <w:jc w:val="both"/>
      </w:pPr>
      <w:r w:rsidRPr="00BB62D3">
        <w:rPr>
          <w:b/>
        </w:rPr>
        <w:t>Calculate net outranking flows and rank alternatives</w:t>
      </w:r>
      <w:r w:rsidRPr="00E7429B">
        <w:t>:</w:t>
      </w:r>
    </w:p>
    <w:p w14:paraId="5FA08870" w14:textId="77777777" w:rsidR="00C77C1F" w:rsidRPr="00E7429B" w:rsidRDefault="00C77C1F" w:rsidP="00E612E1">
      <w:pPr>
        <w:pStyle w:val="Els-bulletlist"/>
        <w:ind w:left="480"/>
        <w:jc w:val="both"/>
      </w:pPr>
      <w:r w:rsidRPr="00BB62D3">
        <w:rPr>
          <w:b/>
        </w:rPr>
        <w:t>Positive</w:t>
      </w:r>
      <w:r>
        <w:rPr>
          <w:b/>
        </w:rPr>
        <w:t xml:space="preserve"> and negative</w:t>
      </w:r>
      <w:r w:rsidRPr="00BB62D3">
        <w:rPr>
          <w:b/>
        </w:rPr>
        <w:t xml:space="preserve"> outranking flow</w:t>
      </w:r>
      <w:r>
        <w:rPr>
          <w:b/>
        </w:rPr>
        <w:t>s</w:t>
      </w:r>
      <w:r w:rsidRPr="00E7429B">
        <w:t>: Th</w:t>
      </w:r>
      <w:r>
        <w:t>ese measures</w:t>
      </w:r>
      <w:r w:rsidRPr="00E7429B">
        <w:t xml:space="preserve"> represent the extent to which an alternative is preferred </w:t>
      </w:r>
      <w:r>
        <w:t xml:space="preserve">or not </w:t>
      </w:r>
      <w:r w:rsidRPr="00E7429B">
        <w:t>over all the others.</w:t>
      </w:r>
    </w:p>
    <w:p w14:paraId="2C9F2B46" w14:textId="77777777" w:rsidR="00C77C1F" w:rsidRDefault="00C77C1F" w:rsidP="00E612E1">
      <w:pPr>
        <w:pStyle w:val="Els-bulletlist"/>
        <w:ind w:left="480"/>
        <w:jc w:val="both"/>
      </w:pPr>
      <w:r w:rsidRPr="00BB62D3">
        <w:rPr>
          <w:b/>
        </w:rPr>
        <w:t>Net outranking flow</w:t>
      </w:r>
      <w:r w:rsidRPr="00E7429B">
        <w:t>: Calculated as the difference between the positive and negative outranking flows, this value provides the net preference score for each alternative. Alternatives are then ranked based on their net outranking flows.</w:t>
      </w:r>
    </w:p>
    <w:p w14:paraId="714BD632" w14:textId="77777777" w:rsidR="00C77C1F" w:rsidRDefault="00C77C1F" w:rsidP="00B82BD6">
      <w:pPr>
        <w:pStyle w:val="Els-1storder-head"/>
      </w:pPr>
      <w:r>
        <w:t>Case study</w:t>
      </w:r>
    </w:p>
    <w:p w14:paraId="180BD100" w14:textId="1F7BBDC8" w:rsidR="00C77C1F" w:rsidRPr="00DF758C" w:rsidRDefault="00C77C1F" w:rsidP="00D04ED8">
      <w:pPr>
        <w:pStyle w:val="Els-body-text"/>
      </w:pPr>
      <w:r w:rsidRPr="00BB62D3">
        <w:t>The case study u</w:t>
      </w:r>
      <w:r>
        <w:t>s</w:t>
      </w:r>
      <w:r w:rsidRPr="00BB62D3">
        <w:t xml:space="preserve">es the dataset generated by the ontological framework described in the introduction </w:t>
      </w:r>
      <w:sdt>
        <w:sdtPr>
          <w:rPr>
            <w:color w:val="000000"/>
          </w:rPr>
          <w:tag w:val="MENDELEY_CITATION_v3_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"/>
          <w:id w:val="1111558339"/>
          <w:placeholder>
            <w:docPart w:val="DefaultPlaceholder_-1854013440"/>
          </w:placeholder>
        </w:sdtPr>
        <w:sdtEndPr/>
        <w:sdtContent>
          <w:r w:rsidR="002A20CF" w:rsidRPr="002A20CF">
            <w:rPr>
              <w:color w:val="000000"/>
            </w:rPr>
            <w:t>(Pacheco-López et al., 2023)</w:t>
          </w:r>
        </w:sdtContent>
      </w:sdt>
      <w:r w:rsidRPr="00BB62D3">
        <w:t xml:space="preserve">, </w:t>
      </w:r>
      <w:r>
        <w:t xml:space="preserve">with </w:t>
      </w:r>
      <w:r w:rsidR="007969F2">
        <w:t xml:space="preserve">a </w:t>
      </w:r>
      <w:r>
        <w:t>special focus</w:t>
      </w:r>
      <w:r w:rsidRPr="00BB62D3">
        <w:t xml:space="preserve"> on the chemical recycling of plastic waste. Th</w:t>
      </w:r>
      <w:r>
        <w:t>is</w:t>
      </w:r>
      <w:r w:rsidRPr="00BB62D3">
        <w:t xml:space="preserve"> dataset includes 16 Pareto optimal alternatives, each representing a unique chemical recycling process</w:t>
      </w:r>
      <w:r>
        <w:t xml:space="preserve"> configuration</w:t>
      </w:r>
      <w:r w:rsidRPr="00BB62D3">
        <w:t xml:space="preserve">. These processes include the sorting of plastic wastes, </w:t>
      </w:r>
      <w:r>
        <w:t>several</w:t>
      </w:r>
      <w:r w:rsidRPr="00BB62D3">
        <w:t xml:space="preserve"> types of pyrolysis under different temperature conditions, and several separation steps for </w:t>
      </w:r>
      <w:r>
        <w:t xml:space="preserve">pyrolytic </w:t>
      </w:r>
      <w:r w:rsidRPr="00BB62D3">
        <w:t>gas and oil products. The evaluation of these alternatives based on profit, environmental impact on human health</w:t>
      </w:r>
      <w:r w:rsidR="00FF6B0E">
        <w:t xml:space="preserve"> (HH)</w:t>
      </w:r>
      <w:r w:rsidRPr="00BB62D3">
        <w:t xml:space="preserve">, ecosystems, and resources are presented in Table </w:t>
      </w:r>
      <w:r>
        <w:t>1.</w:t>
      </w:r>
      <w:r w:rsidR="0068469E">
        <w:t xml:space="preserve"> </w:t>
      </w:r>
      <w:r w:rsidRPr="00DF758C">
        <w:t xml:space="preserve">For this study, an objective reduction </w:t>
      </w:r>
      <w:r w:rsidR="00D83497">
        <w:t xml:space="preserve">strategy </w:t>
      </w:r>
      <w:r w:rsidRPr="00DF758C">
        <w:t xml:space="preserve">was applied to the dataset by removing one of the criteria due to </w:t>
      </w:r>
      <w:r w:rsidR="00D83497">
        <w:t>the</w:t>
      </w:r>
      <w:r w:rsidRPr="00DF758C">
        <w:t xml:space="preserve"> </w:t>
      </w:r>
      <w:r w:rsidR="00D83497">
        <w:t>large</w:t>
      </w:r>
      <w:r w:rsidR="00D83497" w:rsidRPr="00DF758C">
        <w:t xml:space="preserve"> </w:t>
      </w:r>
      <w:r w:rsidRPr="00DF758C">
        <w:t xml:space="preserve">correlation observed between the environmental impacts on human health and ecosystems. To avoid double </w:t>
      </w:r>
      <w:r w:rsidRPr="00DF758C">
        <w:lastRenderedPageBreak/>
        <w:t>counting an underlying parameter that governs those criteria, the criterion related to environmental impact on human health was arbitrarily chosen for exclusion. This simplification ensures a more accurate and unbiased analysis of the remaining criteria.</w:t>
      </w:r>
    </w:p>
    <w:p w14:paraId="185D9BE8" w14:textId="352EB9E8" w:rsidR="00C77C1F" w:rsidRPr="00DF758C" w:rsidRDefault="00C77C1F" w:rsidP="00D04ED8">
      <w:pPr>
        <w:pStyle w:val="Els-body-text"/>
      </w:pPr>
      <w:r w:rsidRPr="00DF758C">
        <w:t xml:space="preserve">The analysis was conducted using both the TOPSIS and PROMETHEE </w:t>
      </w:r>
      <w:r w:rsidR="009D3909">
        <w:t>DM</w:t>
      </w:r>
      <w:r w:rsidRPr="00DF758C">
        <w:t xml:space="preserve"> methods, with </w:t>
      </w:r>
      <w:r w:rsidR="007969F2">
        <w:t>the</w:t>
      </w:r>
      <w:r w:rsidR="00FF6B0E">
        <w:t xml:space="preserve"> same</w:t>
      </w:r>
      <w:r w:rsidRPr="00DF758C">
        <w:t xml:space="preserve"> weighting maintained</w:t>
      </w:r>
      <w:r w:rsidR="00FF6B0E">
        <w:t xml:space="preserve"> between both methods</w:t>
      </w:r>
      <w:r w:rsidRPr="00DF758C">
        <w:t xml:space="preserve"> for each criterion to facilitate a consistent comparison. For the same reason, the confidence intervals for the sensitivity analysis were set at ±20% for all criteria and remained constant across the application of both methods.</w:t>
      </w:r>
      <w:r w:rsidR="006A1414">
        <w:t xml:space="preserve"> </w:t>
      </w:r>
      <w:r w:rsidR="006A1414" w:rsidRPr="006A1414">
        <w:rPr>
          <w:lang w:val="en-GB"/>
        </w:rPr>
        <w:t>Additionally,</w:t>
      </w:r>
      <w:r w:rsidR="002D3024">
        <w:rPr>
          <w:lang w:val="en-GB"/>
        </w:rPr>
        <w:t xml:space="preserve"> in this case,</w:t>
      </w:r>
      <w:r w:rsidR="006A1414" w:rsidRPr="006A1414">
        <w:rPr>
          <w:lang w:val="en-GB"/>
        </w:rPr>
        <w:t xml:space="preserve"> </w:t>
      </w:r>
      <w:r w:rsidR="002E170E">
        <w:rPr>
          <w:lang w:val="en-GB"/>
        </w:rPr>
        <w:t>both methods</w:t>
      </w:r>
      <w:r w:rsidR="006A1414" w:rsidRPr="006A1414">
        <w:rPr>
          <w:lang w:val="en-GB"/>
        </w:rPr>
        <w:t xml:space="preserve"> employed min-max normalization.</w:t>
      </w:r>
    </w:p>
    <w:p w14:paraId="5A32E1E1" w14:textId="25A0BF98" w:rsidR="00C77C1F" w:rsidRDefault="00C77C1F" w:rsidP="00443FA9">
      <w:pPr>
        <w:pStyle w:val="Els-caption"/>
      </w:pPr>
      <w:r w:rsidRPr="00C257E7">
        <w:t xml:space="preserve">Table 1. Decision matrix of the chosen Pareto optimal configurations used in the case study </w:t>
      </w:r>
      <w:sdt>
        <w:sdtPr>
          <w:rPr>
            <w:color w:val="000000"/>
          </w:rPr>
          <w:tag w:val="MENDELEY_CITATION_v3_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"/>
          <w:id w:val="-447076535"/>
          <w:placeholder>
            <w:docPart w:val="DefaultPlaceholder_-1854013440"/>
          </w:placeholder>
        </w:sdtPr>
        <w:sdtEndPr/>
        <w:sdtContent>
          <w:r w:rsidR="002A20CF" w:rsidRPr="002A20CF">
            <w:rPr>
              <w:color w:val="000000"/>
            </w:rPr>
            <w:t>(Pacheco-López et al., 2023)</w:t>
          </w:r>
        </w:sdtContent>
      </w:sdt>
      <w:r w:rsidRPr="00C257E7">
        <w:t>.</w:t>
      </w:r>
      <w:r>
        <w:t xml:space="preserve"> HH: Human Health.</w:t>
      </w:r>
      <w:r w:rsidR="00B22FFA">
        <w:t xml:space="preserve"> </w:t>
      </w:r>
    </w:p>
    <w:tbl>
      <w:tblPr>
        <w:tblStyle w:val="PlainTable41"/>
        <w:tblW w:w="5044" w:type="pct"/>
        <w:tblLayout w:type="fixed"/>
        <w:tblLook w:val="04A0" w:firstRow="1" w:lastRow="0" w:firstColumn="1" w:lastColumn="0" w:noHBand="0" w:noVBand="1"/>
      </w:tblPr>
      <w:tblGrid>
        <w:gridCol w:w="1276"/>
        <w:gridCol w:w="841"/>
        <w:gridCol w:w="1285"/>
        <w:gridCol w:w="1946"/>
        <w:gridCol w:w="1800"/>
      </w:tblGrid>
      <w:tr w:rsidR="00C77C1F" w:rsidRPr="00443FA9" w14:paraId="25B41962" w14:textId="77777777" w:rsidTr="00E612E1">
        <w:trPr>
          <w:cnfStyle w:val="100000000000" w:firstRow="1" w:lastRow="0" w:firstColumn="0" w:lastColumn="0" w:oddVBand="0" w:evenVBand="0" w:oddHBand="0" w:evenHBand="0" w:firstRowFirstColumn="0" w:firstRowLastColumn="0" w:lastRowFirstColumn="0" w:lastRowLastColumn="0"/>
          <w:trHeight w:hRule="exact" w:val="518"/>
        </w:trPr>
        <w:tc>
          <w:tcPr>
            <w:cnfStyle w:val="001000000000" w:firstRow="0" w:lastRow="0" w:firstColumn="1" w:lastColumn="0" w:oddVBand="0" w:evenVBand="0" w:oddHBand="0" w:evenHBand="0" w:firstRowFirstColumn="0" w:firstRowLastColumn="0" w:lastRowFirstColumn="0" w:lastRowLastColumn="0"/>
            <w:tcW w:w="893" w:type="pct"/>
            <w:tcBorders>
              <w:top w:val="single" w:sz="4" w:space="0" w:color="auto"/>
              <w:bottom w:val="single" w:sz="4" w:space="0" w:color="auto"/>
            </w:tcBorders>
            <w:hideMark/>
          </w:tcPr>
          <w:p w14:paraId="6D106354" w14:textId="17710D02" w:rsidR="00C77C1F" w:rsidRPr="00E612E1" w:rsidRDefault="00B22FFA" w:rsidP="00B94B49">
            <w:pPr>
              <w:pStyle w:val="Els-table-text"/>
              <w:spacing w:after="0"/>
              <w:jc w:val="center"/>
              <w:rPr>
                <w:b w:val="0"/>
                <w:i/>
              </w:rPr>
            </w:pPr>
            <w:r w:rsidRPr="00E612E1">
              <w:rPr>
                <w:i/>
              </w:rPr>
              <w:t>Config</w:t>
            </w:r>
            <w:r>
              <w:rPr>
                <w:i/>
              </w:rPr>
              <w:t>.</w:t>
            </w:r>
            <w:r w:rsidRPr="00E612E1">
              <w:rPr>
                <w:i/>
              </w:rPr>
              <w:t xml:space="preserve"> </w:t>
            </w:r>
            <w:r w:rsidR="00C77C1F" w:rsidRPr="00E612E1">
              <w:rPr>
                <w:i/>
              </w:rPr>
              <w:t>number</w:t>
            </w:r>
          </w:p>
        </w:tc>
        <w:tc>
          <w:tcPr>
            <w:tcW w:w="588" w:type="pct"/>
            <w:tcBorders>
              <w:top w:val="single" w:sz="4" w:space="0" w:color="auto"/>
              <w:bottom w:val="single" w:sz="4" w:space="0" w:color="auto"/>
            </w:tcBorders>
            <w:hideMark/>
          </w:tcPr>
          <w:p w14:paraId="28BF919E" w14:textId="77777777" w:rsidR="00C77C1F" w:rsidRPr="00E612E1" w:rsidRDefault="00C77C1F" w:rsidP="00B94B49">
            <w:pPr>
              <w:pStyle w:val="Els-table-text"/>
              <w:spacing w:after="0"/>
              <w:jc w:val="center"/>
              <w:cnfStyle w:val="100000000000" w:firstRow="1" w:lastRow="0" w:firstColumn="0" w:lastColumn="0" w:oddVBand="0" w:evenVBand="0" w:oddHBand="0" w:evenHBand="0" w:firstRowFirstColumn="0" w:firstRowLastColumn="0" w:lastRowFirstColumn="0" w:lastRowLastColumn="0"/>
              <w:rPr>
                <w:b w:val="0"/>
                <w:i/>
              </w:rPr>
            </w:pPr>
            <w:r w:rsidRPr="00E612E1">
              <w:rPr>
                <w:i/>
              </w:rPr>
              <w:t>Profit (€/h)</w:t>
            </w:r>
          </w:p>
        </w:tc>
        <w:tc>
          <w:tcPr>
            <w:tcW w:w="899" w:type="pct"/>
            <w:tcBorders>
              <w:top w:val="single" w:sz="4" w:space="0" w:color="auto"/>
              <w:bottom w:val="single" w:sz="4" w:space="0" w:color="auto"/>
            </w:tcBorders>
            <w:hideMark/>
          </w:tcPr>
          <w:p w14:paraId="584216DD" w14:textId="77777777" w:rsidR="00C77C1F" w:rsidRPr="00E612E1" w:rsidRDefault="00C77C1F" w:rsidP="00B94B49">
            <w:pPr>
              <w:pStyle w:val="Els-table-text"/>
              <w:spacing w:after="0"/>
              <w:jc w:val="center"/>
              <w:cnfStyle w:val="100000000000" w:firstRow="1" w:lastRow="0" w:firstColumn="0" w:lastColumn="0" w:oddVBand="0" w:evenVBand="0" w:oddHBand="0" w:evenHBand="0" w:firstRowFirstColumn="0" w:firstRowLastColumn="0" w:lastRowFirstColumn="0" w:lastRowLastColumn="0"/>
              <w:rPr>
                <w:b w:val="0"/>
                <w:i/>
              </w:rPr>
            </w:pPr>
            <w:r w:rsidRPr="00E612E1">
              <w:rPr>
                <w:i/>
              </w:rPr>
              <w:t>Impact on HH (DALY/h) ·10</w:t>
            </w:r>
          </w:p>
        </w:tc>
        <w:tc>
          <w:tcPr>
            <w:tcW w:w="1361" w:type="pct"/>
            <w:tcBorders>
              <w:top w:val="single" w:sz="4" w:space="0" w:color="auto"/>
              <w:bottom w:val="single" w:sz="4" w:space="0" w:color="auto"/>
            </w:tcBorders>
            <w:hideMark/>
          </w:tcPr>
          <w:p w14:paraId="7A740C86" w14:textId="77777777" w:rsidR="00C77C1F" w:rsidRPr="00E612E1" w:rsidRDefault="00C77C1F" w:rsidP="00B94B49">
            <w:pPr>
              <w:pStyle w:val="Els-table-text"/>
              <w:spacing w:after="0"/>
              <w:jc w:val="center"/>
              <w:cnfStyle w:val="100000000000" w:firstRow="1" w:lastRow="0" w:firstColumn="0" w:lastColumn="0" w:oddVBand="0" w:evenVBand="0" w:oddHBand="0" w:evenHBand="0" w:firstRowFirstColumn="0" w:firstRowLastColumn="0" w:lastRowFirstColumn="0" w:lastRowLastColumn="0"/>
              <w:rPr>
                <w:b w:val="0"/>
                <w:i/>
              </w:rPr>
            </w:pPr>
            <w:r w:rsidRPr="00E612E1">
              <w:rPr>
                <w:i/>
              </w:rPr>
              <w:t>Impact on Ecosystems (</w:t>
            </w:r>
            <w:proofErr w:type="spellStart"/>
            <w:r w:rsidRPr="00E612E1">
              <w:rPr>
                <w:i/>
              </w:rPr>
              <w:t>species·yr</w:t>
            </w:r>
            <w:proofErr w:type="spellEnd"/>
            <w:r w:rsidRPr="00E612E1">
              <w:rPr>
                <w:i/>
              </w:rPr>
              <w:t>/h) ·10</w:t>
            </w:r>
            <w:r w:rsidRPr="00E612E1">
              <w:rPr>
                <w:i/>
                <w:vertAlign w:val="superscript"/>
              </w:rPr>
              <w:t>4</w:t>
            </w:r>
          </w:p>
        </w:tc>
        <w:tc>
          <w:tcPr>
            <w:tcW w:w="1259" w:type="pct"/>
            <w:tcBorders>
              <w:top w:val="single" w:sz="4" w:space="0" w:color="auto"/>
              <w:bottom w:val="single" w:sz="4" w:space="0" w:color="auto"/>
            </w:tcBorders>
            <w:hideMark/>
          </w:tcPr>
          <w:p w14:paraId="511174A1" w14:textId="77777777" w:rsidR="00C77C1F" w:rsidRPr="00E612E1" w:rsidRDefault="00C77C1F" w:rsidP="00B94B49">
            <w:pPr>
              <w:pStyle w:val="Els-table-text"/>
              <w:spacing w:after="0"/>
              <w:jc w:val="center"/>
              <w:cnfStyle w:val="100000000000" w:firstRow="1" w:lastRow="0" w:firstColumn="0" w:lastColumn="0" w:oddVBand="0" w:evenVBand="0" w:oddHBand="0" w:evenHBand="0" w:firstRowFirstColumn="0" w:firstRowLastColumn="0" w:lastRowFirstColumn="0" w:lastRowLastColumn="0"/>
              <w:rPr>
                <w:b w:val="0"/>
                <w:i/>
              </w:rPr>
            </w:pPr>
            <w:r w:rsidRPr="00E612E1">
              <w:rPr>
                <w:i/>
              </w:rPr>
              <w:t>Impact on Resources (USD2013/h) ·10</w:t>
            </w:r>
            <w:r w:rsidRPr="00E612E1">
              <w:rPr>
                <w:i/>
                <w:vertAlign w:val="superscript"/>
              </w:rPr>
              <w:t>-4</w:t>
            </w:r>
          </w:p>
        </w:tc>
      </w:tr>
      <w:tr w:rsidR="00C77C1F" w:rsidRPr="00443FA9" w14:paraId="2958B442" w14:textId="77777777" w:rsidTr="00E6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pct"/>
            <w:tcBorders>
              <w:top w:val="single" w:sz="4" w:space="0" w:color="auto"/>
            </w:tcBorders>
            <w:hideMark/>
          </w:tcPr>
          <w:p w14:paraId="093E96BA" w14:textId="77777777" w:rsidR="00C77C1F" w:rsidRPr="00443FA9" w:rsidRDefault="00C77C1F" w:rsidP="00B94B49">
            <w:pPr>
              <w:pStyle w:val="Els-table-text"/>
              <w:spacing w:after="0"/>
              <w:jc w:val="center"/>
            </w:pPr>
            <w:r w:rsidRPr="00443FA9">
              <w:t>1</w:t>
            </w:r>
          </w:p>
        </w:tc>
        <w:tc>
          <w:tcPr>
            <w:tcW w:w="588" w:type="pct"/>
            <w:tcBorders>
              <w:top w:val="single" w:sz="4" w:space="0" w:color="auto"/>
            </w:tcBorders>
            <w:hideMark/>
          </w:tcPr>
          <w:p w14:paraId="4129140B"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566.</w:t>
            </w:r>
            <w:r>
              <w:t>4</w:t>
            </w:r>
          </w:p>
        </w:tc>
        <w:tc>
          <w:tcPr>
            <w:tcW w:w="899" w:type="pct"/>
            <w:tcBorders>
              <w:top w:val="single" w:sz="4" w:space="0" w:color="auto"/>
            </w:tcBorders>
            <w:hideMark/>
          </w:tcPr>
          <w:p w14:paraId="5FF2C5DB"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2.474</w:t>
            </w:r>
          </w:p>
        </w:tc>
        <w:tc>
          <w:tcPr>
            <w:tcW w:w="1361" w:type="pct"/>
            <w:tcBorders>
              <w:top w:val="single" w:sz="4" w:space="0" w:color="auto"/>
            </w:tcBorders>
            <w:hideMark/>
          </w:tcPr>
          <w:p w14:paraId="7F9D56EB"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5.532</w:t>
            </w:r>
          </w:p>
        </w:tc>
        <w:tc>
          <w:tcPr>
            <w:tcW w:w="1259" w:type="pct"/>
            <w:tcBorders>
              <w:top w:val="single" w:sz="4" w:space="0" w:color="auto"/>
            </w:tcBorders>
            <w:hideMark/>
          </w:tcPr>
          <w:p w14:paraId="521C78F2"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4.082</w:t>
            </w:r>
          </w:p>
        </w:tc>
      </w:tr>
      <w:tr w:rsidR="00C77C1F" w:rsidRPr="00443FA9" w14:paraId="64CF9501" w14:textId="77777777" w:rsidTr="00E612E1">
        <w:tc>
          <w:tcPr>
            <w:cnfStyle w:val="001000000000" w:firstRow="0" w:lastRow="0" w:firstColumn="1" w:lastColumn="0" w:oddVBand="0" w:evenVBand="0" w:oddHBand="0" w:evenHBand="0" w:firstRowFirstColumn="0" w:firstRowLastColumn="0" w:lastRowFirstColumn="0" w:lastRowLastColumn="0"/>
            <w:tcW w:w="893" w:type="pct"/>
            <w:hideMark/>
          </w:tcPr>
          <w:p w14:paraId="4B08015F" w14:textId="77777777" w:rsidR="00C77C1F" w:rsidRPr="00443FA9" w:rsidRDefault="00C77C1F" w:rsidP="00B94B49">
            <w:pPr>
              <w:pStyle w:val="Els-table-text"/>
              <w:spacing w:after="0"/>
              <w:jc w:val="center"/>
            </w:pPr>
            <w:r w:rsidRPr="00443FA9">
              <w:t>2</w:t>
            </w:r>
          </w:p>
        </w:tc>
        <w:tc>
          <w:tcPr>
            <w:tcW w:w="588" w:type="pct"/>
            <w:hideMark/>
          </w:tcPr>
          <w:p w14:paraId="0D297899" w14:textId="504B3C81"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2</w:t>
            </w:r>
            <w:r w:rsidR="00D721F8">
              <w:t xml:space="preserve"> </w:t>
            </w:r>
            <w:r w:rsidRPr="00443FA9">
              <w:t>701.8</w:t>
            </w:r>
          </w:p>
        </w:tc>
        <w:tc>
          <w:tcPr>
            <w:tcW w:w="899" w:type="pct"/>
            <w:hideMark/>
          </w:tcPr>
          <w:p w14:paraId="0B044C51"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2.496</w:t>
            </w:r>
          </w:p>
        </w:tc>
        <w:tc>
          <w:tcPr>
            <w:tcW w:w="1361" w:type="pct"/>
            <w:hideMark/>
          </w:tcPr>
          <w:p w14:paraId="3EF084E2"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5.576</w:t>
            </w:r>
          </w:p>
        </w:tc>
        <w:tc>
          <w:tcPr>
            <w:tcW w:w="1259" w:type="pct"/>
            <w:hideMark/>
          </w:tcPr>
          <w:p w14:paraId="2C26BA8E"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4.094</w:t>
            </w:r>
          </w:p>
        </w:tc>
      </w:tr>
      <w:tr w:rsidR="00C77C1F" w:rsidRPr="00443FA9" w14:paraId="032932F7" w14:textId="77777777" w:rsidTr="00E6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pct"/>
            <w:hideMark/>
          </w:tcPr>
          <w:p w14:paraId="0A9422C8" w14:textId="77777777" w:rsidR="00C77C1F" w:rsidRPr="00443FA9" w:rsidRDefault="00C77C1F" w:rsidP="00B94B49">
            <w:pPr>
              <w:pStyle w:val="Els-table-text"/>
              <w:spacing w:after="0"/>
              <w:jc w:val="center"/>
            </w:pPr>
            <w:r w:rsidRPr="00443FA9">
              <w:t>3</w:t>
            </w:r>
          </w:p>
        </w:tc>
        <w:tc>
          <w:tcPr>
            <w:tcW w:w="588" w:type="pct"/>
            <w:hideMark/>
          </w:tcPr>
          <w:p w14:paraId="7006F6D8" w14:textId="0404C2F2"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4</w:t>
            </w:r>
            <w:r w:rsidR="00D721F8">
              <w:t xml:space="preserve"> </w:t>
            </w:r>
            <w:r w:rsidRPr="00443FA9">
              <w:t>223.</w:t>
            </w:r>
            <w:r>
              <w:t>2</w:t>
            </w:r>
          </w:p>
        </w:tc>
        <w:tc>
          <w:tcPr>
            <w:tcW w:w="899" w:type="pct"/>
            <w:hideMark/>
          </w:tcPr>
          <w:p w14:paraId="5638B268"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2.518</w:t>
            </w:r>
          </w:p>
        </w:tc>
        <w:tc>
          <w:tcPr>
            <w:tcW w:w="1361" w:type="pct"/>
            <w:hideMark/>
          </w:tcPr>
          <w:p w14:paraId="58211606"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5.625</w:t>
            </w:r>
          </w:p>
        </w:tc>
        <w:tc>
          <w:tcPr>
            <w:tcW w:w="1259" w:type="pct"/>
            <w:hideMark/>
          </w:tcPr>
          <w:p w14:paraId="0856C0A5"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4.124</w:t>
            </w:r>
          </w:p>
        </w:tc>
      </w:tr>
      <w:tr w:rsidR="00C77C1F" w:rsidRPr="00443FA9" w14:paraId="54DA215F" w14:textId="77777777" w:rsidTr="00E612E1">
        <w:tc>
          <w:tcPr>
            <w:cnfStyle w:val="001000000000" w:firstRow="0" w:lastRow="0" w:firstColumn="1" w:lastColumn="0" w:oddVBand="0" w:evenVBand="0" w:oddHBand="0" w:evenHBand="0" w:firstRowFirstColumn="0" w:firstRowLastColumn="0" w:lastRowFirstColumn="0" w:lastRowLastColumn="0"/>
            <w:tcW w:w="893" w:type="pct"/>
            <w:hideMark/>
          </w:tcPr>
          <w:p w14:paraId="5E94E9F9" w14:textId="77777777" w:rsidR="00C77C1F" w:rsidRPr="00443FA9" w:rsidRDefault="00C77C1F" w:rsidP="00B94B49">
            <w:pPr>
              <w:pStyle w:val="Els-table-text"/>
              <w:spacing w:after="0"/>
              <w:jc w:val="center"/>
            </w:pPr>
            <w:r w:rsidRPr="00443FA9">
              <w:t>4</w:t>
            </w:r>
          </w:p>
        </w:tc>
        <w:tc>
          <w:tcPr>
            <w:tcW w:w="588" w:type="pct"/>
            <w:hideMark/>
          </w:tcPr>
          <w:p w14:paraId="11E0D0CD" w14:textId="4510A354"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5</w:t>
            </w:r>
            <w:r w:rsidR="00D721F8">
              <w:t xml:space="preserve"> </w:t>
            </w:r>
            <w:r w:rsidRPr="00443FA9">
              <w:t>381.</w:t>
            </w:r>
            <w:r>
              <w:t>6</w:t>
            </w:r>
          </w:p>
        </w:tc>
        <w:tc>
          <w:tcPr>
            <w:tcW w:w="899" w:type="pct"/>
            <w:hideMark/>
          </w:tcPr>
          <w:p w14:paraId="78B6FCB2"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2.539</w:t>
            </w:r>
          </w:p>
        </w:tc>
        <w:tc>
          <w:tcPr>
            <w:tcW w:w="1361" w:type="pct"/>
            <w:hideMark/>
          </w:tcPr>
          <w:p w14:paraId="1F0929A9"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5.674</w:t>
            </w:r>
          </w:p>
        </w:tc>
        <w:tc>
          <w:tcPr>
            <w:tcW w:w="1259" w:type="pct"/>
            <w:hideMark/>
          </w:tcPr>
          <w:p w14:paraId="3D8FE893"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4.156</w:t>
            </w:r>
          </w:p>
        </w:tc>
      </w:tr>
      <w:tr w:rsidR="00C77C1F" w:rsidRPr="00443FA9" w14:paraId="105C5ED4" w14:textId="77777777" w:rsidTr="00E6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pct"/>
            <w:hideMark/>
          </w:tcPr>
          <w:p w14:paraId="4F3F2EC6" w14:textId="77777777" w:rsidR="00C77C1F" w:rsidRPr="00443FA9" w:rsidRDefault="00C77C1F" w:rsidP="00B94B49">
            <w:pPr>
              <w:pStyle w:val="Els-table-text"/>
              <w:spacing w:after="0"/>
              <w:jc w:val="center"/>
            </w:pPr>
            <w:r w:rsidRPr="00443FA9">
              <w:t>5</w:t>
            </w:r>
          </w:p>
        </w:tc>
        <w:tc>
          <w:tcPr>
            <w:tcW w:w="588" w:type="pct"/>
            <w:hideMark/>
          </w:tcPr>
          <w:p w14:paraId="45F24609" w14:textId="3C43B3D0"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6</w:t>
            </w:r>
            <w:r w:rsidR="00D721F8">
              <w:t xml:space="preserve"> </w:t>
            </w:r>
            <w:r w:rsidRPr="00443FA9">
              <w:t>091.</w:t>
            </w:r>
            <w:r>
              <w:t>8</w:t>
            </w:r>
          </w:p>
        </w:tc>
        <w:tc>
          <w:tcPr>
            <w:tcW w:w="899" w:type="pct"/>
            <w:hideMark/>
          </w:tcPr>
          <w:p w14:paraId="7A759484"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2.561</w:t>
            </w:r>
          </w:p>
        </w:tc>
        <w:tc>
          <w:tcPr>
            <w:tcW w:w="1361" w:type="pct"/>
            <w:hideMark/>
          </w:tcPr>
          <w:p w14:paraId="0BCF9693"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5.72</w:t>
            </w:r>
            <w:r>
              <w:t>0</w:t>
            </w:r>
          </w:p>
        </w:tc>
        <w:tc>
          <w:tcPr>
            <w:tcW w:w="1259" w:type="pct"/>
            <w:hideMark/>
          </w:tcPr>
          <w:p w14:paraId="35D03A61"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4.192</w:t>
            </w:r>
          </w:p>
        </w:tc>
      </w:tr>
      <w:tr w:rsidR="00C77C1F" w:rsidRPr="00443FA9" w14:paraId="5C518911" w14:textId="77777777" w:rsidTr="00E612E1">
        <w:tc>
          <w:tcPr>
            <w:cnfStyle w:val="001000000000" w:firstRow="0" w:lastRow="0" w:firstColumn="1" w:lastColumn="0" w:oddVBand="0" w:evenVBand="0" w:oddHBand="0" w:evenHBand="0" w:firstRowFirstColumn="0" w:firstRowLastColumn="0" w:lastRowFirstColumn="0" w:lastRowLastColumn="0"/>
            <w:tcW w:w="893" w:type="pct"/>
            <w:hideMark/>
          </w:tcPr>
          <w:p w14:paraId="42AE9859" w14:textId="77777777" w:rsidR="00C77C1F" w:rsidRPr="00443FA9" w:rsidRDefault="00C77C1F" w:rsidP="00B94B49">
            <w:pPr>
              <w:pStyle w:val="Els-table-text"/>
              <w:spacing w:after="0"/>
              <w:jc w:val="center"/>
            </w:pPr>
            <w:r w:rsidRPr="00443FA9">
              <w:t>6</w:t>
            </w:r>
          </w:p>
        </w:tc>
        <w:tc>
          <w:tcPr>
            <w:tcW w:w="588" w:type="pct"/>
            <w:hideMark/>
          </w:tcPr>
          <w:p w14:paraId="3F17640D" w14:textId="6D01E154"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6</w:t>
            </w:r>
            <w:r w:rsidR="00D721F8">
              <w:t xml:space="preserve"> </w:t>
            </w:r>
            <w:r w:rsidRPr="00443FA9">
              <w:t>22</w:t>
            </w:r>
            <w:r>
              <w:t>2</w:t>
            </w:r>
            <w:r w:rsidRPr="00443FA9">
              <w:t>.</w:t>
            </w:r>
            <w:r>
              <w:t>0</w:t>
            </w:r>
          </w:p>
        </w:tc>
        <w:tc>
          <w:tcPr>
            <w:tcW w:w="899" w:type="pct"/>
            <w:hideMark/>
          </w:tcPr>
          <w:p w14:paraId="7F6618C4"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2.583</w:t>
            </w:r>
          </w:p>
        </w:tc>
        <w:tc>
          <w:tcPr>
            <w:tcW w:w="1361" w:type="pct"/>
            <w:hideMark/>
          </w:tcPr>
          <w:p w14:paraId="0AD11370"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5.766</w:t>
            </w:r>
          </w:p>
        </w:tc>
        <w:tc>
          <w:tcPr>
            <w:tcW w:w="1259" w:type="pct"/>
            <w:hideMark/>
          </w:tcPr>
          <w:p w14:paraId="11E36976"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4.214</w:t>
            </w:r>
          </w:p>
        </w:tc>
      </w:tr>
      <w:tr w:rsidR="00C77C1F" w:rsidRPr="00443FA9" w14:paraId="6D560364" w14:textId="77777777" w:rsidTr="00E6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pct"/>
            <w:hideMark/>
          </w:tcPr>
          <w:p w14:paraId="3F0429AB" w14:textId="77777777" w:rsidR="00C77C1F" w:rsidRPr="00443FA9" w:rsidRDefault="00C77C1F" w:rsidP="00B94B49">
            <w:pPr>
              <w:pStyle w:val="Els-table-text"/>
              <w:spacing w:after="0"/>
              <w:jc w:val="center"/>
            </w:pPr>
            <w:r w:rsidRPr="00443FA9">
              <w:t>7</w:t>
            </w:r>
          </w:p>
        </w:tc>
        <w:tc>
          <w:tcPr>
            <w:tcW w:w="588" w:type="pct"/>
            <w:hideMark/>
          </w:tcPr>
          <w:p w14:paraId="1DBF4C75" w14:textId="545B1E66"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6</w:t>
            </w:r>
            <w:r w:rsidR="00D721F8">
              <w:t xml:space="preserve"> </w:t>
            </w:r>
            <w:r w:rsidRPr="00443FA9">
              <w:t>271.</w:t>
            </w:r>
            <w:r>
              <w:t>6</w:t>
            </w:r>
          </w:p>
        </w:tc>
        <w:tc>
          <w:tcPr>
            <w:tcW w:w="899" w:type="pct"/>
            <w:hideMark/>
          </w:tcPr>
          <w:p w14:paraId="4EE4D4FB"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2.605</w:t>
            </w:r>
          </w:p>
        </w:tc>
        <w:tc>
          <w:tcPr>
            <w:tcW w:w="1361" w:type="pct"/>
            <w:hideMark/>
          </w:tcPr>
          <w:p w14:paraId="3BCB8F07"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5.814</w:t>
            </w:r>
          </w:p>
        </w:tc>
        <w:tc>
          <w:tcPr>
            <w:tcW w:w="1259" w:type="pct"/>
            <w:hideMark/>
          </w:tcPr>
          <w:p w14:paraId="0B3AE453"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4.22</w:t>
            </w:r>
            <w:r>
              <w:t>0</w:t>
            </w:r>
          </w:p>
        </w:tc>
      </w:tr>
      <w:tr w:rsidR="00C77C1F" w:rsidRPr="00443FA9" w14:paraId="276AB697" w14:textId="77777777" w:rsidTr="00E612E1">
        <w:tc>
          <w:tcPr>
            <w:cnfStyle w:val="001000000000" w:firstRow="0" w:lastRow="0" w:firstColumn="1" w:lastColumn="0" w:oddVBand="0" w:evenVBand="0" w:oddHBand="0" w:evenHBand="0" w:firstRowFirstColumn="0" w:firstRowLastColumn="0" w:lastRowFirstColumn="0" w:lastRowLastColumn="0"/>
            <w:tcW w:w="893" w:type="pct"/>
            <w:hideMark/>
          </w:tcPr>
          <w:p w14:paraId="17CCF8DC" w14:textId="77777777" w:rsidR="00C77C1F" w:rsidRPr="00443FA9" w:rsidRDefault="00C77C1F" w:rsidP="00B94B49">
            <w:pPr>
              <w:pStyle w:val="Els-table-text"/>
              <w:spacing w:after="0"/>
              <w:jc w:val="center"/>
            </w:pPr>
            <w:r w:rsidRPr="00443FA9">
              <w:t>8</w:t>
            </w:r>
          </w:p>
        </w:tc>
        <w:tc>
          <w:tcPr>
            <w:tcW w:w="588" w:type="pct"/>
            <w:hideMark/>
          </w:tcPr>
          <w:p w14:paraId="2D73C832" w14:textId="5269999F"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6</w:t>
            </w:r>
            <w:r w:rsidR="00D721F8">
              <w:t xml:space="preserve"> </w:t>
            </w:r>
            <w:r w:rsidRPr="00443FA9">
              <w:t>272.</w:t>
            </w:r>
            <w:r>
              <w:t>6</w:t>
            </w:r>
          </w:p>
        </w:tc>
        <w:tc>
          <w:tcPr>
            <w:tcW w:w="899" w:type="pct"/>
            <w:hideMark/>
          </w:tcPr>
          <w:p w14:paraId="4DD3E973"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2.626</w:t>
            </w:r>
          </w:p>
        </w:tc>
        <w:tc>
          <w:tcPr>
            <w:tcW w:w="1361" w:type="pct"/>
            <w:hideMark/>
          </w:tcPr>
          <w:p w14:paraId="55AFBEF6"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5.862</w:t>
            </w:r>
          </w:p>
        </w:tc>
        <w:tc>
          <w:tcPr>
            <w:tcW w:w="1259" w:type="pct"/>
            <w:hideMark/>
          </w:tcPr>
          <w:p w14:paraId="523DC992"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4.213</w:t>
            </w:r>
          </w:p>
        </w:tc>
      </w:tr>
      <w:tr w:rsidR="00C77C1F" w:rsidRPr="00443FA9" w14:paraId="1EFE8211" w14:textId="77777777" w:rsidTr="00E6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pct"/>
            <w:hideMark/>
          </w:tcPr>
          <w:p w14:paraId="43EB7C72" w14:textId="77777777" w:rsidR="00C77C1F" w:rsidRPr="00443FA9" w:rsidRDefault="00C77C1F" w:rsidP="00B94B49">
            <w:pPr>
              <w:pStyle w:val="Els-table-text"/>
              <w:spacing w:after="0"/>
              <w:jc w:val="center"/>
            </w:pPr>
            <w:r w:rsidRPr="00443FA9">
              <w:t>9</w:t>
            </w:r>
          </w:p>
        </w:tc>
        <w:tc>
          <w:tcPr>
            <w:tcW w:w="588" w:type="pct"/>
            <w:hideMark/>
          </w:tcPr>
          <w:p w14:paraId="3C120718" w14:textId="747DF475"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6</w:t>
            </w:r>
            <w:r w:rsidR="00D721F8">
              <w:t xml:space="preserve"> </w:t>
            </w:r>
            <w:r w:rsidRPr="00443FA9">
              <w:t>273.6</w:t>
            </w:r>
          </w:p>
        </w:tc>
        <w:tc>
          <w:tcPr>
            <w:tcW w:w="899" w:type="pct"/>
            <w:hideMark/>
          </w:tcPr>
          <w:p w14:paraId="1AA6E9DB"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2.648</w:t>
            </w:r>
          </w:p>
        </w:tc>
        <w:tc>
          <w:tcPr>
            <w:tcW w:w="1361" w:type="pct"/>
            <w:hideMark/>
          </w:tcPr>
          <w:p w14:paraId="10662AA3"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5.91</w:t>
            </w:r>
            <w:r>
              <w:t>0</w:t>
            </w:r>
          </w:p>
        </w:tc>
        <w:tc>
          <w:tcPr>
            <w:tcW w:w="1259" w:type="pct"/>
            <w:hideMark/>
          </w:tcPr>
          <w:p w14:paraId="3A7E6BE8"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4.205</w:t>
            </w:r>
          </w:p>
        </w:tc>
      </w:tr>
      <w:tr w:rsidR="00C77C1F" w:rsidRPr="00443FA9" w14:paraId="4557CE40" w14:textId="77777777" w:rsidTr="00E612E1">
        <w:tc>
          <w:tcPr>
            <w:cnfStyle w:val="001000000000" w:firstRow="0" w:lastRow="0" w:firstColumn="1" w:lastColumn="0" w:oddVBand="0" w:evenVBand="0" w:oddHBand="0" w:evenHBand="0" w:firstRowFirstColumn="0" w:firstRowLastColumn="0" w:lastRowFirstColumn="0" w:lastRowLastColumn="0"/>
            <w:tcW w:w="893" w:type="pct"/>
            <w:hideMark/>
          </w:tcPr>
          <w:p w14:paraId="24D09766" w14:textId="77777777" w:rsidR="00C77C1F" w:rsidRPr="00443FA9" w:rsidRDefault="00C77C1F" w:rsidP="00B94B49">
            <w:pPr>
              <w:pStyle w:val="Els-table-text"/>
              <w:spacing w:after="0"/>
              <w:jc w:val="center"/>
            </w:pPr>
            <w:r w:rsidRPr="00443FA9">
              <w:t>10</w:t>
            </w:r>
          </w:p>
        </w:tc>
        <w:tc>
          <w:tcPr>
            <w:tcW w:w="588" w:type="pct"/>
            <w:hideMark/>
          </w:tcPr>
          <w:p w14:paraId="714CF9FF" w14:textId="6BBD1E8A"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6</w:t>
            </w:r>
            <w:r w:rsidR="00D721F8">
              <w:t xml:space="preserve"> </w:t>
            </w:r>
            <w:r w:rsidRPr="00443FA9">
              <w:t>274.6</w:t>
            </w:r>
          </w:p>
        </w:tc>
        <w:tc>
          <w:tcPr>
            <w:tcW w:w="899" w:type="pct"/>
            <w:hideMark/>
          </w:tcPr>
          <w:p w14:paraId="311F9297"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2.67</w:t>
            </w:r>
            <w:r>
              <w:t>0</w:t>
            </w:r>
          </w:p>
        </w:tc>
        <w:tc>
          <w:tcPr>
            <w:tcW w:w="1361" w:type="pct"/>
            <w:hideMark/>
          </w:tcPr>
          <w:p w14:paraId="23477483"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5.958</w:t>
            </w:r>
          </w:p>
        </w:tc>
        <w:tc>
          <w:tcPr>
            <w:tcW w:w="1259" w:type="pct"/>
            <w:hideMark/>
          </w:tcPr>
          <w:p w14:paraId="074D8E46"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4.198</w:t>
            </w:r>
          </w:p>
        </w:tc>
      </w:tr>
      <w:tr w:rsidR="00C77C1F" w:rsidRPr="00443FA9" w14:paraId="177B840B" w14:textId="77777777" w:rsidTr="00E6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pct"/>
            <w:hideMark/>
          </w:tcPr>
          <w:p w14:paraId="54903747" w14:textId="77777777" w:rsidR="00C77C1F" w:rsidRPr="00443FA9" w:rsidRDefault="00C77C1F" w:rsidP="00B94B49">
            <w:pPr>
              <w:pStyle w:val="Els-table-text"/>
              <w:spacing w:after="0"/>
              <w:jc w:val="center"/>
            </w:pPr>
            <w:r w:rsidRPr="00443FA9">
              <w:t>11</w:t>
            </w:r>
          </w:p>
        </w:tc>
        <w:tc>
          <w:tcPr>
            <w:tcW w:w="588" w:type="pct"/>
            <w:hideMark/>
          </w:tcPr>
          <w:p w14:paraId="3BA58A51" w14:textId="39F263AA"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5</w:t>
            </w:r>
            <w:r w:rsidR="00D721F8">
              <w:t xml:space="preserve"> </w:t>
            </w:r>
            <w:r w:rsidRPr="00443FA9">
              <w:t>843.</w:t>
            </w:r>
            <w:r>
              <w:t>3</w:t>
            </w:r>
          </w:p>
        </w:tc>
        <w:tc>
          <w:tcPr>
            <w:tcW w:w="899" w:type="pct"/>
            <w:hideMark/>
          </w:tcPr>
          <w:p w14:paraId="58B81200"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2.64</w:t>
            </w:r>
            <w:r>
              <w:t>0</w:t>
            </w:r>
          </w:p>
        </w:tc>
        <w:tc>
          <w:tcPr>
            <w:tcW w:w="1361" w:type="pct"/>
            <w:hideMark/>
          </w:tcPr>
          <w:p w14:paraId="28977C44"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5.89</w:t>
            </w:r>
            <w:r>
              <w:t>0</w:t>
            </w:r>
          </w:p>
        </w:tc>
        <w:tc>
          <w:tcPr>
            <w:tcW w:w="1259" w:type="pct"/>
            <w:hideMark/>
          </w:tcPr>
          <w:p w14:paraId="5687169E"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4.151</w:t>
            </w:r>
          </w:p>
        </w:tc>
      </w:tr>
      <w:tr w:rsidR="00C77C1F" w:rsidRPr="00443FA9" w14:paraId="79D5E8EE" w14:textId="77777777" w:rsidTr="00E612E1">
        <w:tc>
          <w:tcPr>
            <w:cnfStyle w:val="001000000000" w:firstRow="0" w:lastRow="0" w:firstColumn="1" w:lastColumn="0" w:oddVBand="0" w:evenVBand="0" w:oddHBand="0" w:evenHBand="0" w:firstRowFirstColumn="0" w:firstRowLastColumn="0" w:lastRowFirstColumn="0" w:lastRowLastColumn="0"/>
            <w:tcW w:w="893" w:type="pct"/>
            <w:hideMark/>
          </w:tcPr>
          <w:p w14:paraId="788548E6" w14:textId="77777777" w:rsidR="00C77C1F" w:rsidRPr="00443FA9" w:rsidRDefault="00C77C1F" w:rsidP="00B94B49">
            <w:pPr>
              <w:pStyle w:val="Els-table-text"/>
              <w:spacing w:after="0"/>
              <w:jc w:val="center"/>
            </w:pPr>
            <w:r w:rsidRPr="00443FA9">
              <w:t>12</w:t>
            </w:r>
          </w:p>
        </w:tc>
        <w:tc>
          <w:tcPr>
            <w:tcW w:w="588" w:type="pct"/>
            <w:hideMark/>
          </w:tcPr>
          <w:p w14:paraId="2C4A9485" w14:textId="6D46E4BD"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5</w:t>
            </w:r>
            <w:r w:rsidR="00D721F8">
              <w:t xml:space="preserve"> </w:t>
            </w:r>
            <w:r w:rsidRPr="00443FA9">
              <w:t>324.8</w:t>
            </w:r>
          </w:p>
        </w:tc>
        <w:tc>
          <w:tcPr>
            <w:tcW w:w="899" w:type="pct"/>
            <w:hideMark/>
          </w:tcPr>
          <w:p w14:paraId="44307A9F"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2.624</w:t>
            </w:r>
          </w:p>
        </w:tc>
        <w:tc>
          <w:tcPr>
            <w:tcW w:w="1361" w:type="pct"/>
            <w:hideMark/>
          </w:tcPr>
          <w:p w14:paraId="12DD0A78"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5.853</w:t>
            </w:r>
          </w:p>
        </w:tc>
        <w:tc>
          <w:tcPr>
            <w:tcW w:w="1259" w:type="pct"/>
            <w:hideMark/>
          </w:tcPr>
          <w:p w14:paraId="44E755DD"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4.103</w:t>
            </w:r>
          </w:p>
        </w:tc>
      </w:tr>
      <w:tr w:rsidR="00C77C1F" w:rsidRPr="00443FA9" w14:paraId="187D5434" w14:textId="77777777" w:rsidTr="00E6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pct"/>
            <w:hideMark/>
          </w:tcPr>
          <w:p w14:paraId="1E55F703" w14:textId="77777777" w:rsidR="00C77C1F" w:rsidRPr="00443FA9" w:rsidRDefault="00C77C1F" w:rsidP="00B94B49">
            <w:pPr>
              <w:pStyle w:val="Els-table-text"/>
              <w:spacing w:after="0"/>
              <w:jc w:val="center"/>
            </w:pPr>
            <w:r w:rsidRPr="00443FA9">
              <w:t>13</w:t>
            </w:r>
          </w:p>
        </w:tc>
        <w:tc>
          <w:tcPr>
            <w:tcW w:w="588" w:type="pct"/>
            <w:hideMark/>
          </w:tcPr>
          <w:p w14:paraId="62F1EE00" w14:textId="05B86FD3"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4</w:t>
            </w:r>
            <w:r w:rsidR="00D721F8">
              <w:t xml:space="preserve"> </w:t>
            </w:r>
            <w:r w:rsidRPr="00443FA9">
              <w:t>575.</w:t>
            </w:r>
            <w:r>
              <w:t>1</w:t>
            </w:r>
          </w:p>
        </w:tc>
        <w:tc>
          <w:tcPr>
            <w:tcW w:w="899" w:type="pct"/>
            <w:hideMark/>
          </w:tcPr>
          <w:p w14:paraId="764473E0"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2.606</w:t>
            </w:r>
          </w:p>
        </w:tc>
        <w:tc>
          <w:tcPr>
            <w:tcW w:w="1361" w:type="pct"/>
            <w:hideMark/>
          </w:tcPr>
          <w:p w14:paraId="3B1E5E92"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5.811</w:t>
            </w:r>
          </w:p>
        </w:tc>
        <w:tc>
          <w:tcPr>
            <w:tcW w:w="1259" w:type="pct"/>
            <w:hideMark/>
          </w:tcPr>
          <w:p w14:paraId="171EED2B"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4.056</w:t>
            </w:r>
          </w:p>
        </w:tc>
      </w:tr>
      <w:tr w:rsidR="00C77C1F" w:rsidRPr="00443FA9" w14:paraId="44AF4024" w14:textId="77777777" w:rsidTr="00E612E1">
        <w:tc>
          <w:tcPr>
            <w:cnfStyle w:val="001000000000" w:firstRow="0" w:lastRow="0" w:firstColumn="1" w:lastColumn="0" w:oddVBand="0" w:evenVBand="0" w:oddHBand="0" w:evenHBand="0" w:firstRowFirstColumn="0" w:firstRowLastColumn="0" w:lastRowFirstColumn="0" w:lastRowLastColumn="0"/>
            <w:tcW w:w="893" w:type="pct"/>
            <w:hideMark/>
          </w:tcPr>
          <w:p w14:paraId="1B14109B" w14:textId="77777777" w:rsidR="00C77C1F" w:rsidRPr="00443FA9" w:rsidRDefault="00C77C1F" w:rsidP="00B94B49">
            <w:pPr>
              <w:pStyle w:val="Els-table-text"/>
              <w:spacing w:after="0"/>
              <w:jc w:val="center"/>
            </w:pPr>
            <w:r w:rsidRPr="00443FA9">
              <w:t>14</w:t>
            </w:r>
          </w:p>
        </w:tc>
        <w:tc>
          <w:tcPr>
            <w:tcW w:w="588" w:type="pct"/>
            <w:hideMark/>
          </w:tcPr>
          <w:p w14:paraId="6BCDC93F" w14:textId="5CC15F3C"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3</w:t>
            </w:r>
            <w:r w:rsidR="00D721F8">
              <w:t xml:space="preserve"> </w:t>
            </w:r>
            <w:r w:rsidRPr="00443FA9">
              <w:t>815.9</w:t>
            </w:r>
          </w:p>
        </w:tc>
        <w:tc>
          <w:tcPr>
            <w:tcW w:w="899" w:type="pct"/>
            <w:hideMark/>
          </w:tcPr>
          <w:p w14:paraId="50AE65E7"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2.594</w:t>
            </w:r>
          </w:p>
        </w:tc>
        <w:tc>
          <w:tcPr>
            <w:tcW w:w="1361" w:type="pct"/>
            <w:hideMark/>
          </w:tcPr>
          <w:p w14:paraId="4D883E09"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5.785</w:t>
            </w:r>
          </w:p>
        </w:tc>
        <w:tc>
          <w:tcPr>
            <w:tcW w:w="1259" w:type="pct"/>
            <w:hideMark/>
          </w:tcPr>
          <w:p w14:paraId="7EC0C76B"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4.008</w:t>
            </w:r>
          </w:p>
        </w:tc>
      </w:tr>
      <w:tr w:rsidR="00C77C1F" w:rsidRPr="00443FA9" w14:paraId="0BF747ED" w14:textId="77777777" w:rsidTr="00E6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pct"/>
            <w:hideMark/>
          </w:tcPr>
          <w:p w14:paraId="123C910E" w14:textId="77777777" w:rsidR="00C77C1F" w:rsidRPr="00443FA9" w:rsidRDefault="00C77C1F" w:rsidP="00B94B49">
            <w:pPr>
              <w:pStyle w:val="Els-table-text"/>
              <w:spacing w:after="0"/>
              <w:jc w:val="center"/>
            </w:pPr>
            <w:r w:rsidRPr="00443FA9">
              <w:t>15</w:t>
            </w:r>
          </w:p>
        </w:tc>
        <w:tc>
          <w:tcPr>
            <w:tcW w:w="588" w:type="pct"/>
            <w:hideMark/>
          </w:tcPr>
          <w:p w14:paraId="38956FBF" w14:textId="5261683D"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3</w:t>
            </w:r>
            <w:r w:rsidR="00D721F8">
              <w:t xml:space="preserve"> </w:t>
            </w:r>
            <w:r w:rsidRPr="00443FA9">
              <w:t>002.1</w:t>
            </w:r>
          </w:p>
        </w:tc>
        <w:tc>
          <w:tcPr>
            <w:tcW w:w="899" w:type="pct"/>
            <w:hideMark/>
          </w:tcPr>
          <w:p w14:paraId="57ECCBED"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2.582</w:t>
            </w:r>
          </w:p>
        </w:tc>
        <w:tc>
          <w:tcPr>
            <w:tcW w:w="1361" w:type="pct"/>
            <w:hideMark/>
          </w:tcPr>
          <w:p w14:paraId="32581F43"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5.76</w:t>
            </w:r>
            <w:r>
              <w:t>0</w:t>
            </w:r>
          </w:p>
        </w:tc>
        <w:tc>
          <w:tcPr>
            <w:tcW w:w="1259" w:type="pct"/>
            <w:hideMark/>
          </w:tcPr>
          <w:p w14:paraId="79B410D9" w14:textId="77777777" w:rsidR="00C77C1F" w:rsidRPr="00443FA9" w:rsidRDefault="00C77C1F" w:rsidP="00B94B49">
            <w:pPr>
              <w:pStyle w:val="Els-table-text"/>
              <w:spacing w:after="0"/>
              <w:jc w:val="center"/>
              <w:cnfStyle w:val="000000100000" w:firstRow="0" w:lastRow="0" w:firstColumn="0" w:lastColumn="0" w:oddVBand="0" w:evenVBand="0" w:oddHBand="1" w:evenHBand="0" w:firstRowFirstColumn="0" w:firstRowLastColumn="0" w:lastRowFirstColumn="0" w:lastRowLastColumn="0"/>
            </w:pPr>
            <w:r w:rsidRPr="00443FA9">
              <w:t>3.961</w:t>
            </w:r>
          </w:p>
        </w:tc>
      </w:tr>
      <w:tr w:rsidR="00C77C1F" w:rsidRPr="00443FA9" w14:paraId="028F4B19" w14:textId="77777777" w:rsidTr="00E612E1">
        <w:tc>
          <w:tcPr>
            <w:cnfStyle w:val="001000000000" w:firstRow="0" w:lastRow="0" w:firstColumn="1" w:lastColumn="0" w:oddVBand="0" w:evenVBand="0" w:oddHBand="0" w:evenHBand="0" w:firstRowFirstColumn="0" w:firstRowLastColumn="0" w:lastRowFirstColumn="0" w:lastRowLastColumn="0"/>
            <w:tcW w:w="893" w:type="pct"/>
            <w:tcBorders>
              <w:bottom w:val="single" w:sz="4" w:space="0" w:color="auto"/>
            </w:tcBorders>
            <w:hideMark/>
          </w:tcPr>
          <w:p w14:paraId="288F0293" w14:textId="77777777" w:rsidR="00C77C1F" w:rsidRPr="00443FA9" w:rsidRDefault="00C77C1F" w:rsidP="00B94B49">
            <w:pPr>
              <w:pStyle w:val="Els-table-text"/>
              <w:spacing w:after="0"/>
              <w:jc w:val="center"/>
            </w:pPr>
            <w:r w:rsidRPr="00443FA9">
              <w:t>16</w:t>
            </w:r>
          </w:p>
        </w:tc>
        <w:tc>
          <w:tcPr>
            <w:tcW w:w="588" w:type="pct"/>
            <w:tcBorders>
              <w:bottom w:val="single" w:sz="4" w:space="0" w:color="auto"/>
            </w:tcBorders>
            <w:hideMark/>
          </w:tcPr>
          <w:p w14:paraId="11629314" w14:textId="2265182E"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2</w:t>
            </w:r>
            <w:r w:rsidR="00D721F8">
              <w:t xml:space="preserve"> </w:t>
            </w:r>
            <w:r w:rsidRPr="00443FA9">
              <w:t>227.8</w:t>
            </w:r>
          </w:p>
        </w:tc>
        <w:tc>
          <w:tcPr>
            <w:tcW w:w="899" w:type="pct"/>
            <w:tcBorders>
              <w:bottom w:val="single" w:sz="4" w:space="0" w:color="auto"/>
            </w:tcBorders>
            <w:hideMark/>
          </w:tcPr>
          <w:p w14:paraId="0DB1194C"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2.571</w:t>
            </w:r>
          </w:p>
        </w:tc>
        <w:tc>
          <w:tcPr>
            <w:tcW w:w="1361" w:type="pct"/>
            <w:tcBorders>
              <w:bottom w:val="single" w:sz="4" w:space="0" w:color="auto"/>
            </w:tcBorders>
            <w:hideMark/>
          </w:tcPr>
          <w:p w14:paraId="5E242078"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5.734</w:t>
            </w:r>
          </w:p>
        </w:tc>
        <w:tc>
          <w:tcPr>
            <w:tcW w:w="1259" w:type="pct"/>
            <w:tcBorders>
              <w:bottom w:val="single" w:sz="4" w:space="0" w:color="auto"/>
            </w:tcBorders>
            <w:hideMark/>
          </w:tcPr>
          <w:p w14:paraId="2AFE8DB6" w14:textId="77777777" w:rsidR="00C77C1F" w:rsidRPr="00443FA9" w:rsidRDefault="00C77C1F" w:rsidP="00B94B49">
            <w:pPr>
              <w:pStyle w:val="Els-table-text"/>
              <w:spacing w:after="0"/>
              <w:jc w:val="center"/>
              <w:cnfStyle w:val="000000000000" w:firstRow="0" w:lastRow="0" w:firstColumn="0" w:lastColumn="0" w:oddVBand="0" w:evenVBand="0" w:oddHBand="0" w:evenHBand="0" w:firstRowFirstColumn="0" w:firstRowLastColumn="0" w:lastRowFirstColumn="0" w:lastRowLastColumn="0"/>
            </w:pPr>
            <w:r w:rsidRPr="00443FA9">
              <w:t>3.914</w:t>
            </w:r>
          </w:p>
        </w:tc>
      </w:tr>
    </w:tbl>
    <w:p w14:paraId="4E40B89A" w14:textId="77777777" w:rsidR="00C77C1F" w:rsidRDefault="00C77C1F" w:rsidP="00B82BD6">
      <w:pPr>
        <w:pStyle w:val="Els-1storder-head"/>
      </w:pPr>
      <w:r w:rsidRPr="00BB62D3">
        <w:t>Results and discussion</w:t>
      </w:r>
    </w:p>
    <w:p w14:paraId="23F6C078" w14:textId="77777777" w:rsidR="00C77C1F" w:rsidRPr="00BB62D3" w:rsidRDefault="00C77C1F" w:rsidP="00C257E7">
      <w:pPr>
        <w:pStyle w:val="Els-2ndorder-head"/>
      </w:pPr>
      <w:r w:rsidRPr="00BB62D3">
        <w:t xml:space="preserve">Multi-criteria </w:t>
      </w:r>
      <w:r>
        <w:t>decision-making</w:t>
      </w:r>
    </w:p>
    <w:p w14:paraId="4C4281E0" w14:textId="670CB741" w:rsidR="00C77C1F" w:rsidRDefault="00D219EC" w:rsidP="00443FA9">
      <w:pPr>
        <w:pStyle w:val="Els-body-text"/>
      </w:pPr>
      <w:r>
        <w:t>As shown in Figure 1, t</w:t>
      </w:r>
      <w:r w:rsidR="00C77C1F" w:rsidRPr="00BB62D3">
        <w:t>he comparative analysis using TOPSIS and PROMETHEE methodologies yielded a consistent set of least favorable alternatives—7, 11, 8, 9, and 10—across both methods. However, the nuance lies in their performance on the profit criterion; while these alternatives score near the upper bound for profit, they suffer significant trade-offs in the other criteria, illustrating a disproportionate balance. This pattern suggests that the methods are robust, particularly in identifying alternatives where an incremental profit gain is offset by larger compromises elsewhere.</w:t>
      </w:r>
    </w:p>
    <w:p w14:paraId="2E7D56C0" w14:textId="692C57FA" w:rsidR="00C77C1F" w:rsidRPr="00BB62D3" w:rsidRDefault="00C77C1F" w:rsidP="00443FA9">
      <w:pPr>
        <w:pStyle w:val="Els-body-text"/>
        <w:rPr>
          <w:sz w:val="24"/>
          <w:szCs w:val="24"/>
        </w:rPr>
      </w:pPr>
      <w:r w:rsidRPr="00BB62D3">
        <w:t xml:space="preserve">For the most viable alternatives, both TOPSIS and PROMETHEE recognized the same top four options, although in </w:t>
      </w:r>
      <w:r w:rsidR="007969F2">
        <w:t xml:space="preserve">a </w:t>
      </w:r>
      <w:r w:rsidRPr="00BB62D3">
        <w:t>differ</w:t>
      </w:r>
      <w:r>
        <w:t>ent</w:t>
      </w:r>
      <w:r w:rsidRPr="00BB62D3">
        <w:t xml:space="preserve"> order, </w:t>
      </w:r>
      <w:r>
        <w:t>prov</w:t>
      </w:r>
      <w:r w:rsidRPr="00BB62D3">
        <w:t>ing the tool's reliability.</w:t>
      </w:r>
      <w:r>
        <w:t xml:space="preserve"> </w:t>
      </w:r>
      <w:r w:rsidRPr="00BB62D3">
        <w:t>PROMETHEE's preference for alternative 3 over 16, in contrast to TOPSIS, underscores its capacity for identifying more balanced choices that do not necessarily excel in a single criterion at the expense of others. This reflects a key characteristic of PROMETHEE: the emphasis on relative advantage rather than absolute performance, which can lead to different prioritizations of alternatives compared to TOPSIS.</w:t>
      </w:r>
    </w:p>
    <w:p w14:paraId="1975DE91" w14:textId="77777777" w:rsidR="00C77C1F" w:rsidRPr="00BB62D3" w:rsidRDefault="00C77C1F" w:rsidP="00C257E7">
      <w:pPr>
        <w:pStyle w:val="Els-caption"/>
        <w:rPr>
          <w:sz w:val="24"/>
          <w:szCs w:val="24"/>
        </w:rPr>
      </w:pPr>
      <w:r w:rsidRPr="00C257E7">
        <w:rPr>
          <w:noProof/>
        </w:rPr>
        <w:lastRenderedPageBreak/>
        <w:drawing>
          <wp:inline distT="0" distB="0" distL="0" distR="0" wp14:anchorId="1EC04724" wp14:editId="51760113">
            <wp:extent cx="4495800" cy="1781175"/>
            <wp:effectExtent l="0" t="0" r="0" b="9525"/>
            <wp:docPr id="3" name="Picture 3" descr="https://lh7-eu.googleusercontent.com/Q8zN9GvEPV-iZ7cWEynivG02ygtemAvAMWYYk6XGMZWd3uBeUfOAhbV7tdBJZ3SRRqzsvHz0_6rGrBZk4g-N1SQh5kEG-mnYFIeiotoCyrk0voUNyuOnLrOtGAN4JBmFxzYn1ylT01XC4BOzAZ8qT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eu.googleusercontent.com/Q8zN9GvEPV-iZ7cWEynivG02ygtemAvAMWYYk6XGMZWd3uBeUfOAhbV7tdBJZ3SRRqzsvHz0_6rGrBZk4g-N1SQh5kEG-mnYFIeiotoCyrk0voUNyuOnLrOtGAN4JBmFxzYn1ylT01XC4BOzAZ8qT2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0" cy="1781175"/>
                    </a:xfrm>
                    <a:prstGeom prst="rect">
                      <a:avLst/>
                    </a:prstGeom>
                    <a:noFill/>
                    <a:ln>
                      <a:noFill/>
                    </a:ln>
                  </pic:spPr>
                </pic:pic>
              </a:graphicData>
            </a:graphic>
          </wp:inline>
        </w:drawing>
      </w:r>
    </w:p>
    <w:p w14:paraId="59E819D8" w14:textId="77777777" w:rsidR="00C77C1F" w:rsidRPr="00BB62D3" w:rsidRDefault="00C77C1F" w:rsidP="00965202">
      <w:pPr>
        <w:pStyle w:val="Els-caption"/>
        <w:rPr>
          <w:sz w:val="24"/>
          <w:szCs w:val="24"/>
        </w:rPr>
      </w:pPr>
      <w:r w:rsidRPr="00BB62D3">
        <w:t>Figure 1: Comparative outcomes of TOPSIS and PROMETHEE methodologies with uniform weighting for each criterion. </w:t>
      </w:r>
    </w:p>
    <w:p w14:paraId="38346403" w14:textId="77777777" w:rsidR="00C77C1F" w:rsidRPr="00BB62D3" w:rsidRDefault="00C77C1F" w:rsidP="00B82BD6">
      <w:pPr>
        <w:pStyle w:val="Els-2ndorder-head"/>
      </w:pPr>
      <w:r w:rsidRPr="00BB62D3">
        <w:t>Sensitivity analysis</w:t>
      </w:r>
    </w:p>
    <w:p w14:paraId="4CED9A2F" w14:textId="2232998C" w:rsidR="00C77C1F" w:rsidRDefault="00C77C1F" w:rsidP="00443FA9">
      <w:pPr>
        <w:pStyle w:val="Els-body-text"/>
      </w:pPr>
      <w:r w:rsidRPr="00BB62D3">
        <w:t>The sensitivity analysis, conducted with a ±20% uncertainty in the criteria weighting and based on 10</w:t>
      </w:r>
      <w:r w:rsidR="00FF6B0E">
        <w:t xml:space="preserve"> </w:t>
      </w:r>
      <w:r w:rsidRPr="00BB62D3">
        <w:t xml:space="preserve">000 generated weight sets, provides a probabilistic understanding of each alternative's robustness within the </w:t>
      </w:r>
      <w:r w:rsidR="009D3909">
        <w:t>DM</w:t>
      </w:r>
      <w:r w:rsidRPr="00BB62D3">
        <w:t xml:space="preserve"> process. The ridgeline plots showing the density distributions of the results for each alternative and both methods are presented in Figure 2. The width of the peaks in the plots is of particular interest; it directly reflects the stability of the alternatives. Narrow peaks denote a high degree of stability, indicating that an alternative's ranking is less sensitive to weight fluctuations. On the contrary, wider peaks suggest greater instability, with the alternative's ranking likely to vary more significantly with changing weights.</w:t>
      </w:r>
    </w:p>
    <w:p w14:paraId="5240E7C5" w14:textId="77777777" w:rsidR="00C77C1F" w:rsidRPr="00BB62D3" w:rsidRDefault="00C77C1F" w:rsidP="00C257E7">
      <w:pPr>
        <w:pStyle w:val="Els-caption"/>
        <w:rPr>
          <w:sz w:val="24"/>
          <w:szCs w:val="24"/>
        </w:rPr>
      </w:pPr>
      <w:r w:rsidRPr="00C257E7">
        <w:rPr>
          <w:noProof/>
        </w:rPr>
        <w:drawing>
          <wp:inline distT="0" distB="0" distL="0" distR="0" wp14:anchorId="37141D4E" wp14:editId="19B5064A">
            <wp:extent cx="4495800" cy="1457325"/>
            <wp:effectExtent l="0" t="0" r="0" b="9525"/>
            <wp:docPr id="1" name="Picture 1" descr="https://lh7-eu.googleusercontent.com/dzf0xFS7seFIllgBHeRkEU1jBiCs1eWBXC6Rsh5JxX10p_ln_pV6be2OdG4JjNyGBrsgwqU_PZU2isSsCh2C6nkcZYMWW-oYf2V7LpPjz03zsfgHKLxCoiM2EwPUiQsNiYimhk2ROVRn6U6YODfGh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eu.googleusercontent.com/dzf0xFS7seFIllgBHeRkEU1jBiCs1eWBXC6Rsh5JxX10p_ln_pV6be2OdG4JjNyGBrsgwqU_PZU2isSsCh2C6nkcZYMWW-oYf2V7LpPjz03zsfgHKLxCoiM2EwPUiQsNiYimhk2ROVRn6U6YODfGh_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5800" cy="1457325"/>
                    </a:xfrm>
                    <a:prstGeom prst="rect">
                      <a:avLst/>
                    </a:prstGeom>
                    <a:noFill/>
                    <a:ln>
                      <a:noFill/>
                    </a:ln>
                  </pic:spPr>
                </pic:pic>
              </a:graphicData>
            </a:graphic>
          </wp:inline>
        </w:drawing>
      </w:r>
    </w:p>
    <w:p w14:paraId="1F086395" w14:textId="77777777" w:rsidR="00C77C1F" w:rsidRPr="00BB62D3" w:rsidRDefault="00C77C1F" w:rsidP="00965202">
      <w:pPr>
        <w:pStyle w:val="Els-caption"/>
        <w:rPr>
          <w:sz w:val="24"/>
          <w:szCs w:val="24"/>
        </w:rPr>
      </w:pPr>
      <w:r w:rsidRPr="00BB62D3">
        <w:t xml:space="preserve">Figure </w:t>
      </w:r>
      <w:r>
        <w:t>2</w:t>
      </w:r>
      <w:r w:rsidRPr="00BB62D3">
        <w:t>: Comparative results from the sensitivity analysis using TOPSIS and PROMETHEE methods with equal weighting and confidence interval</w:t>
      </w:r>
      <w:r>
        <w:t>s</w:t>
      </w:r>
      <w:r w:rsidRPr="00BB62D3">
        <w:t xml:space="preserve"> for each criterion. </w:t>
      </w:r>
    </w:p>
    <w:p w14:paraId="735933C2" w14:textId="3F5DB7BD" w:rsidR="00C77C1F" w:rsidRPr="00BB62D3" w:rsidRDefault="00C77C1F" w:rsidP="00443FA9">
      <w:pPr>
        <w:pStyle w:val="Els-body-text"/>
        <w:rPr>
          <w:sz w:val="24"/>
          <w:szCs w:val="24"/>
        </w:rPr>
      </w:pPr>
      <w:r w:rsidRPr="00BB62D3">
        <w:t>Numerically, for TOPSIS, the top-ranked alternative 16 maintains its position in 43.23% of the scenarios, signaling a relatively high degree of stability but not complete dominance</w:t>
      </w:r>
      <w:r w:rsidR="007675F9">
        <w:t>, while alternative 3 is top-ranked in 19.43% of them</w:t>
      </w:r>
      <w:r w:rsidRPr="00BB62D3">
        <w:t xml:space="preserve">. Similarly, in PROMETHEE, alternative 3 remains at the top in 17.92% of the cases, </w:t>
      </w:r>
      <w:r>
        <w:t>show</w:t>
      </w:r>
      <w:r w:rsidRPr="00BB62D3">
        <w:t>ing that the best solution is more challenged by the other leading alternatives</w:t>
      </w:r>
      <w:r w:rsidR="0068469E">
        <w:t>.</w:t>
      </w:r>
      <w:r w:rsidR="007675F9">
        <w:t xml:space="preserve"> </w:t>
      </w:r>
      <w:r w:rsidR="0068469E">
        <w:t>F</w:t>
      </w:r>
      <w:r w:rsidR="007675F9">
        <w:t>or instance</w:t>
      </w:r>
      <w:r w:rsidR="0068469E">
        <w:t>, alternative</w:t>
      </w:r>
      <w:r w:rsidR="007675F9">
        <w:t xml:space="preserve"> 16 is preferred in 41.96% of </w:t>
      </w:r>
      <w:r w:rsidR="002E24DB">
        <w:t xml:space="preserve">the scenarios, due to </w:t>
      </w:r>
      <w:r w:rsidR="0068469E">
        <w:t>its</w:t>
      </w:r>
      <w:r w:rsidR="002E24DB">
        <w:t xml:space="preserve"> noticeably wider distribution versus </w:t>
      </w:r>
      <w:r w:rsidR="0068469E">
        <w:t xml:space="preserve">alternative </w:t>
      </w:r>
      <w:r w:rsidR="002E24DB">
        <w:t>3</w:t>
      </w:r>
      <w:r w:rsidRPr="00BB62D3">
        <w:t>.</w:t>
      </w:r>
      <w:r w:rsidR="002E24DB">
        <w:t xml:space="preserve"> </w:t>
      </w:r>
      <w:r w:rsidRPr="00BB62D3">
        <w:t xml:space="preserve">A closer examination of the plots reveals </w:t>
      </w:r>
      <w:r w:rsidR="00CD4E0C">
        <w:t>that</w:t>
      </w:r>
      <w:r w:rsidRPr="00BB62D3">
        <w:t xml:space="preserve"> distributions for alternatives 3 and 4 show clear stability, in contrast to the broader spread for alternatives 15 and 16, suggesting a wider range of performance outcomes for these under varying weights. This difference in variability between the leading solutions, less </w:t>
      </w:r>
      <w:r>
        <w:t>noticeable</w:t>
      </w:r>
      <w:r w:rsidRPr="00BB62D3">
        <w:t xml:space="preserve"> in the TOPSIS plot, corroborates the numerical findings that PROMETHEE's top-ranked alternative faces </w:t>
      </w:r>
      <w:r w:rsidRPr="00BB62D3">
        <w:lastRenderedPageBreak/>
        <w:t>more competition from its contenders.</w:t>
      </w:r>
      <w:r w:rsidR="00CD4E0C">
        <w:t xml:space="preserve"> </w:t>
      </w:r>
      <w:r w:rsidRPr="00BB62D3">
        <w:t>These findings pose a critical decision for stakeholders: choosing an alternative requires a careful assessment between achieving peak performance in certain scenarios at the risk of poor performance in others, versus selecting an option that offers reliable and consistent performance across various scenarios. This decision is guided by the decision-makers risk tolerance, which must balance the pursuit of occasional excellence with the potential cost of underperformance in different circumstances.</w:t>
      </w:r>
    </w:p>
    <w:p w14:paraId="40239196" w14:textId="77777777" w:rsidR="00C77C1F" w:rsidRPr="00443FA9" w:rsidRDefault="00C77C1F" w:rsidP="00B82BD6">
      <w:pPr>
        <w:pStyle w:val="Els-1storder-head"/>
      </w:pPr>
      <w:r w:rsidRPr="00443FA9">
        <w:t>Conclusions</w:t>
      </w:r>
    </w:p>
    <w:p w14:paraId="035DE02D" w14:textId="503FEC6B" w:rsidR="00C77C1F" w:rsidRPr="00443FA9" w:rsidRDefault="00C77C1F" w:rsidP="00443FA9">
      <w:pPr>
        <w:pStyle w:val="Els-body-text"/>
      </w:pPr>
      <w:r w:rsidRPr="00443FA9">
        <w:t>This study has introduced a</w:t>
      </w:r>
      <w:r w:rsidR="007969F2">
        <w:t>n</w:t>
      </w:r>
      <w:r w:rsidRPr="00443FA9">
        <w:t xml:space="preserve"> </w:t>
      </w:r>
      <w:r w:rsidR="009D3909">
        <w:t>MCDM</w:t>
      </w:r>
      <w:r w:rsidRPr="00443FA9">
        <w:t xml:space="preserve"> tool that has been effectively applied to the domain of chemical recycling of plastic wastes. Utilizing the TOPSIS and PROMETHEE methods, the tool has evaluated a dataset of 16 Pareto optimal alternatives, illustrating its capability to systematically assess and rank </w:t>
      </w:r>
      <w:r>
        <w:t xml:space="preserve">them </w:t>
      </w:r>
      <w:r w:rsidR="00FF6B0E">
        <w:t xml:space="preserve">according </w:t>
      </w:r>
      <w:r>
        <w:t>to different criteria preference weights</w:t>
      </w:r>
      <w:r w:rsidRPr="00443FA9">
        <w:t>.</w:t>
      </w:r>
      <w:r>
        <w:t xml:space="preserve"> </w:t>
      </w:r>
      <w:r w:rsidRPr="00443FA9">
        <w:t>The sensitivity analysis conducted has provided valuable insights into the stability of these alternatives, revealing how their rankings resist the variability in criteria weighting.</w:t>
      </w:r>
      <w:r w:rsidR="00CD4E0C">
        <w:t xml:space="preserve"> </w:t>
      </w:r>
      <w:r w:rsidRPr="00443FA9">
        <w:t xml:space="preserve">Looking </w:t>
      </w:r>
      <w:r w:rsidR="009D3909">
        <w:t>ahead</w:t>
      </w:r>
      <w:r w:rsidRPr="00443FA9">
        <w:t xml:space="preserve">, one direction for research lies in determining the </w:t>
      </w:r>
      <w:r w:rsidR="00CD4E0C">
        <w:t>most suitable</w:t>
      </w:r>
      <w:r w:rsidR="00CD4E0C" w:rsidRPr="00443FA9">
        <w:t xml:space="preserve"> </w:t>
      </w:r>
      <w:r w:rsidRPr="00443FA9">
        <w:t>weighting of criteria, potentially guided by local sustainability policies and regulatory frameworks. This could ensure that the chosen recycling pathway aligns with specific environmental objectives and legislative requirements.</w:t>
      </w:r>
      <w:r>
        <w:t xml:space="preserve"> </w:t>
      </w:r>
      <w:r w:rsidRPr="00443FA9">
        <w:t>Another direction for future research is the application of the tool to different datasets, possibly within the broader scope of sustainability. The quality of the dataset is critical; accurate and reliable data supports the tool’s ability to generate credible recommendations.</w:t>
      </w:r>
      <w:r>
        <w:t xml:space="preserve"> Finally, e</w:t>
      </w:r>
      <w:r w:rsidRPr="00443FA9">
        <w:t xml:space="preserve">nhancing the tool with additional </w:t>
      </w:r>
      <w:r w:rsidR="009D3909">
        <w:t>DM</w:t>
      </w:r>
      <w:r w:rsidRPr="00443FA9">
        <w:t xml:space="preserve"> methods could provide a wider range of analytical perspectives, making it an adaptable instrument in the pursuit of sustainable solutions.</w:t>
      </w:r>
    </w:p>
    <w:p w14:paraId="436DBFFE" w14:textId="77777777" w:rsidR="00C77C1F" w:rsidRPr="00443FA9" w:rsidRDefault="00C77C1F" w:rsidP="00B82BD6">
      <w:pPr>
        <w:pStyle w:val="Els-1storder-head"/>
      </w:pPr>
      <w:r w:rsidRPr="00443FA9">
        <w:t>Acknowledgments</w:t>
      </w:r>
    </w:p>
    <w:p w14:paraId="646B3C1A" w14:textId="5852FBC4" w:rsidR="00C77C1F" w:rsidRPr="00BB62D3" w:rsidRDefault="00BF1CBF" w:rsidP="00B22FFA">
      <w:pPr>
        <w:pStyle w:val="Els-body-text"/>
      </w:pPr>
      <w:r w:rsidRPr="00BF1CBF">
        <w:t>Grant CEPI, PID2020-116051RB-I00, funded by MCIN/AEI/10.13039/501100011033 and “ERDF A way of making Europe”, by the “European Union”</w:t>
      </w:r>
      <w:r>
        <w:t>.</w:t>
      </w:r>
    </w:p>
    <w:p w14:paraId="00EDA091" w14:textId="77777777" w:rsidR="00C77C1F" w:rsidRDefault="00C77C1F" w:rsidP="008D2649">
      <w:pPr>
        <w:pStyle w:val="Els-reference-head"/>
      </w:pPr>
      <w:r>
        <w:t>References</w:t>
      </w:r>
    </w:p>
    <w:sdt>
      <w:sdtPr>
        <w:tag w:val="MENDELEY_BIBLIOGRAPHY"/>
        <w:id w:val="648872712"/>
        <w:placeholder>
          <w:docPart w:val="DefaultPlaceholder_-1854013440"/>
        </w:placeholder>
      </w:sdtPr>
      <w:sdtEndPr/>
      <w:sdtContent>
        <w:p w14:paraId="7769A01F" w14:textId="77777777" w:rsidR="002A20CF" w:rsidRDefault="002A20CF">
          <w:pPr>
            <w:autoSpaceDE w:val="0"/>
            <w:autoSpaceDN w:val="0"/>
            <w:ind w:hanging="480"/>
            <w:divId w:val="435058112"/>
            <w:rPr>
              <w:sz w:val="24"/>
              <w:szCs w:val="24"/>
            </w:rPr>
          </w:pPr>
          <w:proofErr w:type="spellStart"/>
          <w:r>
            <w:t>Çelikbilek</w:t>
          </w:r>
          <w:proofErr w:type="spellEnd"/>
          <w:r>
            <w:t xml:space="preserve">, Y., </w:t>
          </w:r>
          <w:proofErr w:type="spellStart"/>
          <w:r>
            <w:t>Tüysüz</w:t>
          </w:r>
          <w:proofErr w:type="spellEnd"/>
          <w:r>
            <w:t>, F., 2020. An in-depth review of theory of the TOPSIS method: An experimental analysis. Journal of Management Analytics 7, 281–300. https://doi.org/10.1080/23270012.2020.1748528</w:t>
          </w:r>
        </w:p>
        <w:p w14:paraId="2A30C1DE" w14:textId="77777777" w:rsidR="002A20CF" w:rsidRDefault="002A20CF">
          <w:pPr>
            <w:autoSpaceDE w:val="0"/>
            <w:autoSpaceDN w:val="0"/>
            <w:ind w:hanging="480"/>
            <w:divId w:val="2124416112"/>
          </w:pPr>
          <w:r>
            <w:t xml:space="preserve">Chawla, S., Varghese, B.S., A, C., Hussain, C.G., </w:t>
          </w:r>
          <w:proofErr w:type="spellStart"/>
          <w:r>
            <w:t>Keçili</w:t>
          </w:r>
          <w:proofErr w:type="spellEnd"/>
          <w:r>
            <w:t>, R., Hussain, C.M., 2022. Environmental impacts of post-consumer plastic wastes: Treatment technologies towards eco-sustainability and circular economy. Chemosphere 308, 135867. https://doi.org/10.1016/J.CHEMOSPHERE.2022.135867</w:t>
          </w:r>
        </w:p>
        <w:p w14:paraId="2B8A3E30" w14:textId="77777777" w:rsidR="002A20CF" w:rsidRDefault="002A20CF">
          <w:pPr>
            <w:autoSpaceDE w:val="0"/>
            <w:autoSpaceDN w:val="0"/>
            <w:ind w:hanging="480"/>
            <w:divId w:val="1399473638"/>
          </w:pPr>
          <w:r>
            <w:t>Maity, S.R., Chakraborty, S., 2015. Tool steel material selection using PROMETHEE II method. International Journal of Advanced Manufacturing Technology 78, 1537–1547. https://doi.org/10.1007/s00170-014-6760-0</w:t>
          </w:r>
        </w:p>
        <w:p w14:paraId="7B0E69D7" w14:textId="0C2AAF42" w:rsidR="00433FFB" w:rsidRDefault="002A20CF" w:rsidP="00433FFB">
          <w:pPr>
            <w:autoSpaceDE w:val="0"/>
            <w:autoSpaceDN w:val="0"/>
            <w:ind w:hanging="480"/>
            <w:divId w:val="622886894"/>
          </w:pPr>
          <w:r w:rsidRPr="00FE0A4B">
            <w:rPr>
              <w:lang w:val="es-ES"/>
            </w:rPr>
            <w:t xml:space="preserve">Pacheco-López, A., Gómez-Reyes, E., Graells, M., Espuña, A., Somoza-Tornos, A., 2023. </w:t>
          </w:r>
          <w:r>
            <w:t xml:space="preserve">Integrated synthesis, </w:t>
          </w:r>
          <w:proofErr w:type="spellStart"/>
          <w:r>
            <w:t>modeling</w:t>
          </w:r>
          <w:proofErr w:type="spellEnd"/>
          <w:r>
            <w:t>, and assessment (</w:t>
          </w:r>
          <w:proofErr w:type="spellStart"/>
          <w:r>
            <w:t>iSMA</w:t>
          </w:r>
          <w:proofErr w:type="spellEnd"/>
          <w:r>
            <w:t xml:space="preserve">) of waste-to-resource alternatives towards a circular economy: The case of the chemical recycling of plastic waste management. </w:t>
          </w:r>
          <w:proofErr w:type="spellStart"/>
          <w:r>
            <w:t>Comput</w:t>
          </w:r>
          <w:proofErr w:type="spellEnd"/>
          <w:r>
            <w:t xml:space="preserve"> Chem </w:t>
          </w:r>
          <w:proofErr w:type="spellStart"/>
          <w:r>
            <w:t>Eng</w:t>
          </w:r>
          <w:proofErr w:type="spellEnd"/>
          <w:r>
            <w:t xml:space="preserve"> 175, 108255. </w:t>
          </w:r>
          <w:r w:rsidR="00433FFB" w:rsidRPr="007969F2">
            <w:t>https://doi.org/10.1016/j.compchemeng.2023.108255</w:t>
          </w:r>
        </w:p>
        <w:p w14:paraId="37359C77" w14:textId="28B9CD87" w:rsidR="00C77C1F" w:rsidRDefault="002A20CF" w:rsidP="00433FFB">
          <w:pPr>
            <w:autoSpaceDE w:val="0"/>
            <w:autoSpaceDN w:val="0"/>
            <w:ind w:hanging="480"/>
            <w:divId w:val="622886894"/>
          </w:pPr>
          <w:proofErr w:type="spellStart"/>
          <w:r>
            <w:t>Sałabun</w:t>
          </w:r>
          <w:proofErr w:type="spellEnd"/>
          <w:r>
            <w:t xml:space="preserve">, W., </w:t>
          </w:r>
          <w:proofErr w:type="spellStart"/>
          <w:r>
            <w:t>Watróbski</w:t>
          </w:r>
          <w:proofErr w:type="spellEnd"/>
          <w:r>
            <w:t xml:space="preserve">, J., </w:t>
          </w:r>
          <w:proofErr w:type="spellStart"/>
          <w:r>
            <w:t>Shekhovtsov</w:t>
          </w:r>
          <w:proofErr w:type="spellEnd"/>
          <w:r>
            <w:t>, A., 2020. Are MCDA methods benchmarkable? A comparative study of TOPSIS, VIKOR, COPRAS, and PROMETHEE II methods. Symmetry (Basel) 12. https://doi.org/10.3390/SYM12091549</w:t>
          </w:r>
        </w:p>
      </w:sdtContent>
    </w:sdt>
    <w:sectPr w:rsidR="00C77C1F"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98D211" w16cex:dateUtc="2023-11-30T21:22:00Z"/>
  <w16cex:commentExtensible w16cex:durableId="6E6018DA" w16cex:dateUtc="2023-11-30T21:23:00Z"/>
  <w16cex:commentExtensible w16cex:durableId="141655DD" w16cex:dateUtc="2023-11-30T22:01:00Z"/>
  <w16cex:commentExtensible w16cex:durableId="48EA7FE5" w16cex:dateUtc="2023-11-30T21:57:00Z"/>
  <w16cex:commentExtensible w16cex:durableId="2E728291" w16cex:dateUtc="2023-11-30T21:30:00Z"/>
  <w16cex:commentExtensible w16cex:durableId="1D96CB69" w16cex:dateUtc="2023-11-30T22:10:00Z"/>
  <w16cex:commentExtensible w16cex:durableId="14BE72AC" w16cex:dateUtc="2023-11-30T22: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14C3C" w14:textId="77777777" w:rsidR="00717E0E" w:rsidRDefault="00717E0E">
      <w:r>
        <w:separator/>
      </w:r>
    </w:p>
  </w:endnote>
  <w:endnote w:type="continuationSeparator" w:id="0">
    <w:p w14:paraId="298872C0" w14:textId="77777777" w:rsidR="00717E0E" w:rsidRDefault="0071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88888" w14:textId="77777777" w:rsidR="00717E0E" w:rsidRDefault="00717E0E">
      <w:r>
        <w:separator/>
      </w:r>
    </w:p>
  </w:footnote>
  <w:footnote w:type="continuationSeparator" w:id="0">
    <w:p w14:paraId="227BB16E" w14:textId="77777777" w:rsidR="00717E0E" w:rsidRDefault="00717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41C545B7" w:rsidR="00DD3D9E" w:rsidRDefault="00DD3D9E">
    <w:pPr>
      <w:pStyle w:val="Header"/>
      <w:tabs>
        <w:tab w:val="clear" w:pos="7200"/>
        <w:tab w:val="right" w:pos="7088"/>
      </w:tabs>
    </w:pPr>
    <w:r>
      <w:rPr>
        <w:rStyle w:val="PageNumber"/>
      </w:rPr>
      <w:tab/>
    </w:r>
    <w:r>
      <w:rPr>
        <w:rStyle w:val="PageNumber"/>
        <w:i/>
      </w:rPr>
      <w:tab/>
    </w:r>
    <w:r w:rsidR="00E7429B" w:rsidRPr="00E7429B">
      <w:rPr>
        <w:i/>
      </w:rPr>
      <w:t>V. Cabo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F263338" w:rsidR="00DD3D9E" w:rsidRDefault="00F94310" w:rsidP="00E7429B">
    <w:pPr>
      <w:pStyle w:val="Header"/>
      <w:tabs>
        <w:tab w:val="clear" w:pos="7200"/>
        <w:tab w:val="right" w:pos="7088"/>
      </w:tabs>
      <w:rPr>
        <w:sz w:val="24"/>
      </w:rPr>
    </w:pPr>
    <w:r>
      <w:rPr>
        <w:i/>
      </w:rPr>
      <w:t>O</w:t>
    </w:r>
    <w:r w:rsidRPr="00E7429B">
      <w:rPr>
        <w:i/>
      </w:rPr>
      <w:t>ptimizing circular economy pathways: multi-criteria decision-making tool for chemical recycling of plastic wastes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34B4AE2"/>
    <w:multiLevelType w:val="multilevel"/>
    <w:tmpl w:val="80B65728"/>
    <w:lvl w:ilvl="0">
      <w:start w:val="1"/>
      <w:numFmt w:val="decimal"/>
      <w:pStyle w:val="Els-1storder-head"/>
      <w:lvlText w:val="%1."/>
      <w:lvlJc w:val="left"/>
      <w:pPr>
        <w:ind w:left="360" w:hanging="360"/>
      </w:pPr>
      <w:rPr>
        <w:rFonts w:hint="default"/>
      </w:rPr>
    </w:lvl>
    <w:lvl w:ilvl="1">
      <w:start w:val="1"/>
      <w:numFmt w:val="decimal"/>
      <w:pStyle w:val="Els-2ndorder-head"/>
      <w:lvlText w:val="%1.%2."/>
      <w:lvlJc w:val="left"/>
      <w:pPr>
        <w:ind w:left="792" w:hanging="432"/>
      </w:pPr>
      <w:rPr>
        <w:rFonts w:hint="default"/>
      </w:rPr>
    </w:lvl>
    <w:lvl w:ilvl="2">
      <w:start w:val="1"/>
      <w:numFmt w:val="decimal"/>
      <w:pStyle w:val="Els-3rdorder-head"/>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22194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276063"/>
    <w:multiLevelType w:val="multilevel"/>
    <w:tmpl w:val="E710F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2438217E"/>
    <w:multiLevelType w:val="multilevel"/>
    <w:tmpl w:val="C8FCDE16"/>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2694"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
      <w:numFmt w:val="decimal"/>
      <w:suff w:val="space"/>
      <w:lvlText w:val="%1.%2.%3."/>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9" w15:restartNumberingAfterBreak="0">
    <w:nsid w:val="272D1990"/>
    <w:multiLevelType w:val="multilevel"/>
    <w:tmpl w:val="DA488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D96DFA"/>
    <w:multiLevelType w:val="multilevel"/>
    <w:tmpl w:val="AC547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69F63F44"/>
    <w:multiLevelType w:val="hybridMultilevel"/>
    <w:tmpl w:val="31F4CE4A"/>
    <w:lvl w:ilvl="0" w:tplc="EC80ABC8">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0"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6"/>
  </w:num>
  <w:num w:numId="3">
    <w:abstractNumId w:val="16"/>
  </w:num>
  <w:num w:numId="4">
    <w:abstractNumId w:val="16"/>
  </w:num>
  <w:num w:numId="5">
    <w:abstractNumId w:val="0"/>
  </w:num>
  <w:num w:numId="6">
    <w:abstractNumId w:val="10"/>
  </w:num>
  <w:num w:numId="7">
    <w:abstractNumId w:val="17"/>
  </w:num>
  <w:num w:numId="8">
    <w:abstractNumId w:val="4"/>
  </w:num>
  <w:num w:numId="9">
    <w:abstractNumId w:val="15"/>
  </w:num>
  <w:num w:numId="10">
    <w:abstractNumId w:val="20"/>
  </w:num>
  <w:num w:numId="11">
    <w:abstractNumId w:val="19"/>
  </w:num>
  <w:num w:numId="12">
    <w:abstractNumId w:val="8"/>
  </w:num>
  <w:num w:numId="13">
    <w:abstractNumId w:val="13"/>
  </w:num>
  <w:num w:numId="14">
    <w:abstractNumId w:val="5"/>
  </w:num>
  <w:num w:numId="15">
    <w:abstractNumId w:val="11"/>
  </w:num>
  <w:num w:numId="16">
    <w:abstractNumId w:val="6"/>
  </w:num>
  <w:num w:numId="17">
    <w:abstractNumId w:val="7"/>
  </w:num>
  <w:num w:numId="18">
    <w:abstractNumId w:val="14"/>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9"/>
  </w:num>
  <w:num w:numId="31">
    <w:abstractNumId w:val="12"/>
    <w:lvlOverride w:ilvl="0">
      <w:lvl w:ilvl="0">
        <w:numFmt w:val="decimal"/>
        <w:lvlText w:val="%1."/>
        <w:lvlJc w:val="left"/>
      </w:lvl>
    </w:lvlOverride>
  </w:num>
  <w:num w:numId="32">
    <w:abstractNumId w:val="1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3sjQzMjE3Mzc3M7VQ0lEKTi0uzszPAykwrQUAzKnpICwAAAA="/>
  </w:docVars>
  <w:rsids>
    <w:rsidRoot w:val="00B63237"/>
    <w:rsid w:val="00012581"/>
    <w:rsid w:val="000413A6"/>
    <w:rsid w:val="000846C9"/>
    <w:rsid w:val="00084790"/>
    <w:rsid w:val="000B226C"/>
    <w:rsid w:val="000D3D9B"/>
    <w:rsid w:val="00113A63"/>
    <w:rsid w:val="00120664"/>
    <w:rsid w:val="00145ECC"/>
    <w:rsid w:val="0016032F"/>
    <w:rsid w:val="001879F6"/>
    <w:rsid w:val="0019514A"/>
    <w:rsid w:val="001A1AFE"/>
    <w:rsid w:val="001C0148"/>
    <w:rsid w:val="001C3A51"/>
    <w:rsid w:val="001C757E"/>
    <w:rsid w:val="00202DF7"/>
    <w:rsid w:val="0020390F"/>
    <w:rsid w:val="00216FA7"/>
    <w:rsid w:val="002301DA"/>
    <w:rsid w:val="002452CF"/>
    <w:rsid w:val="00264926"/>
    <w:rsid w:val="0028744D"/>
    <w:rsid w:val="002A20CF"/>
    <w:rsid w:val="002B09D9"/>
    <w:rsid w:val="002C2C58"/>
    <w:rsid w:val="002D3024"/>
    <w:rsid w:val="002E170E"/>
    <w:rsid w:val="002E24DB"/>
    <w:rsid w:val="002F30F9"/>
    <w:rsid w:val="002F7E72"/>
    <w:rsid w:val="00314A91"/>
    <w:rsid w:val="0039392A"/>
    <w:rsid w:val="003A2F75"/>
    <w:rsid w:val="003B3A93"/>
    <w:rsid w:val="003C6028"/>
    <w:rsid w:val="003C67DA"/>
    <w:rsid w:val="003D1582"/>
    <w:rsid w:val="003D7E4C"/>
    <w:rsid w:val="003E41C2"/>
    <w:rsid w:val="004043A8"/>
    <w:rsid w:val="004170FF"/>
    <w:rsid w:val="00433FFB"/>
    <w:rsid w:val="00443FA9"/>
    <w:rsid w:val="004526C7"/>
    <w:rsid w:val="00454D82"/>
    <w:rsid w:val="00456B8A"/>
    <w:rsid w:val="0049772C"/>
    <w:rsid w:val="004F6172"/>
    <w:rsid w:val="00520082"/>
    <w:rsid w:val="00552EEB"/>
    <w:rsid w:val="005572F7"/>
    <w:rsid w:val="00577022"/>
    <w:rsid w:val="00585EA9"/>
    <w:rsid w:val="00660DC6"/>
    <w:rsid w:val="0068469E"/>
    <w:rsid w:val="006A1414"/>
    <w:rsid w:val="006A69BF"/>
    <w:rsid w:val="006B3AF1"/>
    <w:rsid w:val="006B75C5"/>
    <w:rsid w:val="006C1F52"/>
    <w:rsid w:val="00711DF4"/>
    <w:rsid w:val="00717E0E"/>
    <w:rsid w:val="007675F9"/>
    <w:rsid w:val="0077212D"/>
    <w:rsid w:val="007969F2"/>
    <w:rsid w:val="007A4E6E"/>
    <w:rsid w:val="007B583B"/>
    <w:rsid w:val="007D1F12"/>
    <w:rsid w:val="007D70A1"/>
    <w:rsid w:val="008132E8"/>
    <w:rsid w:val="00823407"/>
    <w:rsid w:val="008444A7"/>
    <w:rsid w:val="008748D1"/>
    <w:rsid w:val="008B0184"/>
    <w:rsid w:val="008C5D02"/>
    <w:rsid w:val="008D2649"/>
    <w:rsid w:val="008D6E8C"/>
    <w:rsid w:val="008F1298"/>
    <w:rsid w:val="0090568D"/>
    <w:rsid w:val="009125C9"/>
    <w:rsid w:val="00913879"/>
    <w:rsid w:val="00917661"/>
    <w:rsid w:val="009229CF"/>
    <w:rsid w:val="00965202"/>
    <w:rsid w:val="00970E5D"/>
    <w:rsid w:val="0097701C"/>
    <w:rsid w:val="0097719B"/>
    <w:rsid w:val="00980A65"/>
    <w:rsid w:val="00985E43"/>
    <w:rsid w:val="009A01CC"/>
    <w:rsid w:val="009C6565"/>
    <w:rsid w:val="009D09C4"/>
    <w:rsid w:val="009D196A"/>
    <w:rsid w:val="009D3909"/>
    <w:rsid w:val="009E0EB8"/>
    <w:rsid w:val="009E294D"/>
    <w:rsid w:val="00A032C3"/>
    <w:rsid w:val="00A13C21"/>
    <w:rsid w:val="00A246D9"/>
    <w:rsid w:val="00A25E70"/>
    <w:rsid w:val="00A33765"/>
    <w:rsid w:val="00A47BFC"/>
    <w:rsid w:val="00A63269"/>
    <w:rsid w:val="00A92377"/>
    <w:rsid w:val="00AA7250"/>
    <w:rsid w:val="00AB29ED"/>
    <w:rsid w:val="00AE4BD8"/>
    <w:rsid w:val="00B22FFA"/>
    <w:rsid w:val="00B4388F"/>
    <w:rsid w:val="00B63237"/>
    <w:rsid w:val="00B71429"/>
    <w:rsid w:val="00B76181"/>
    <w:rsid w:val="00B82BD6"/>
    <w:rsid w:val="00B94B49"/>
    <w:rsid w:val="00B958AA"/>
    <w:rsid w:val="00BB62D3"/>
    <w:rsid w:val="00BF1CBF"/>
    <w:rsid w:val="00C257E7"/>
    <w:rsid w:val="00C62124"/>
    <w:rsid w:val="00C76191"/>
    <w:rsid w:val="00C77C1F"/>
    <w:rsid w:val="00C960DC"/>
    <w:rsid w:val="00CA1F4E"/>
    <w:rsid w:val="00CA7C0C"/>
    <w:rsid w:val="00CD4E0C"/>
    <w:rsid w:val="00CF3731"/>
    <w:rsid w:val="00D02C75"/>
    <w:rsid w:val="00D04ED8"/>
    <w:rsid w:val="00D10E22"/>
    <w:rsid w:val="00D11F4C"/>
    <w:rsid w:val="00D13D2C"/>
    <w:rsid w:val="00D219EC"/>
    <w:rsid w:val="00D61F6B"/>
    <w:rsid w:val="00D721F8"/>
    <w:rsid w:val="00D83497"/>
    <w:rsid w:val="00DA4ECA"/>
    <w:rsid w:val="00DC2F94"/>
    <w:rsid w:val="00DC32F1"/>
    <w:rsid w:val="00DC7DF7"/>
    <w:rsid w:val="00DD3D9E"/>
    <w:rsid w:val="00DD7908"/>
    <w:rsid w:val="00DE679A"/>
    <w:rsid w:val="00E447B4"/>
    <w:rsid w:val="00E612E1"/>
    <w:rsid w:val="00E731E4"/>
    <w:rsid w:val="00E7429B"/>
    <w:rsid w:val="00E81A60"/>
    <w:rsid w:val="00E82297"/>
    <w:rsid w:val="00EA723B"/>
    <w:rsid w:val="00ED36B2"/>
    <w:rsid w:val="00EF3347"/>
    <w:rsid w:val="00EF39FD"/>
    <w:rsid w:val="00F06842"/>
    <w:rsid w:val="00F107FD"/>
    <w:rsid w:val="00F74ED8"/>
    <w:rsid w:val="00F94310"/>
    <w:rsid w:val="00FA6987"/>
    <w:rsid w:val="00FB64A8"/>
    <w:rsid w:val="00FC21A1"/>
    <w:rsid w:val="00FE0A4B"/>
    <w:rsid w:val="00FF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7A21EFCB-A502-4110-8BC0-8E5C6943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uiPriority w:val="9"/>
    <w:qFormat/>
    <w:rsid w:val="00E742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E81A60"/>
    <w:pPr>
      <w:keepNext/>
      <w:numPr>
        <w:numId w:val="38"/>
      </w:numPr>
      <w:tabs>
        <w:tab w:val="left" w:pos="284"/>
      </w:tabs>
      <w:suppressAutoHyphens/>
      <w:spacing w:before="240" w:after="60" w:line="240" w:lineRule="exact"/>
    </w:pPr>
    <w:rPr>
      <w:b/>
      <w:sz w:val="22"/>
      <w:lang w:val="en-GB"/>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E81A60"/>
    <w:pPr>
      <w:keepNext/>
      <w:numPr>
        <w:ilvl w:val="1"/>
        <w:numId w:val="38"/>
      </w:numPr>
      <w:suppressAutoHyphens/>
      <w:spacing w:before="80"/>
      <w:ind w:left="426"/>
    </w:pPr>
    <w:rPr>
      <w:i/>
    </w:rPr>
  </w:style>
  <w:style w:type="paragraph" w:customStyle="1" w:styleId="Els-3rdorder-head">
    <w:name w:val="Els-3rdorder-head"/>
    <w:basedOn w:val="Els-body-text"/>
    <w:next w:val="Els-body-text"/>
    <w:rsid w:val="00E81A60"/>
    <w:pPr>
      <w:keepNext/>
      <w:numPr>
        <w:ilvl w:val="2"/>
        <w:numId w:val="38"/>
      </w:numPr>
      <w:suppressAutoHyphens/>
      <w:spacing w:before="60"/>
      <w:ind w:left="567" w:hanging="567"/>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UnresolvedMention1">
    <w:name w:val="Unresolved Mention1"/>
    <w:basedOn w:val="DefaultParagraphFont"/>
    <w:uiPriority w:val="99"/>
    <w:semiHidden/>
    <w:unhideWhenUsed/>
    <w:rsid w:val="00E7429B"/>
    <w:rPr>
      <w:color w:val="605E5C"/>
      <w:shd w:val="clear" w:color="auto" w:fill="E1DFDD"/>
    </w:rPr>
  </w:style>
  <w:style w:type="character" w:customStyle="1" w:styleId="Heading1Char">
    <w:name w:val="Heading 1 Char"/>
    <w:basedOn w:val="DefaultParagraphFont"/>
    <w:link w:val="Heading1"/>
    <w:uiPriority w:val="9"/>
    <w:rsid w:val="00E7429B"/>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semiHidden/>
    <w:unhideWhenUsed/>
    <w:rsid w:val="00BB62D3"/>
    <w:pPr>
      <w:spacing w:before="100" w:beforeAutospacing="1" w:after="100" w:afterAutospacing="1"/>
    </w:pPr>
    <w:rPr>
      <w:sz w:val="24"/>
      <w:szCs w:val="24"/>
    </w:rPr>
  </w:style>
  <w:style w:type="paragraph" w:styleId="ListParagraph">
    <w:name w:val="List Paragraph"/>
    <w:basedOn w:val="Normal"/>
    <w:uiPriority w:val="34"/>
    <w:qFormat/>
    <w:rsid w:val="00660DC6"/>
    <w:pPr>
      <w:ind w:left="720"/>
      <w:contextualSpacing/>
    </w:pPr>
  </w:style>
  <w:style w:type="table" w:customStyle="1" w:styleId="PlainTable51">
    <w:name w:val="Plain Table 51"/>
    <w:basedOn w:val="TableNormal"/>
    <w:uiPriority w:val="45"/>
    <w:rsid w:val="009D196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9D19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6B3AF1"/>
    <w:rPr>
      <w:lang w:eastAsia="en-US"/>
    </w:rPr>
  </w:style>
  <w:style w:type="character" w:styleId="PlaceholderText">
    <w:name w:val="Placeholder Text"/>
    <w:basedOn w:val="DefaultParagraphFont"/>
    <w:uiPriority w:val="99"/>
    <w:semiHidden/>
    <w:rsid w:val="00C77C1F"/>
    <w:rPr>
      <w:color w:val="666666"/>
    </w:rPr>
  </w:style>
  <w:style w:type="character" w:styleId="UnresolvedMention">
    <w:name w:val="Unresolved Mention"/>
    <w:basedOn w:val="DefaultParagraphFont"/>
    <w:uiPriority w:val="99"/>
    <w:semiHidden/>
    <w:unhideWhenUsed/>
    <w:rsid w:val="00433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7188">
      <w:bodyDiv w:val="1"/>
      <w:marLeft w:val="0"/>
      <w:marRight w:val="0"/>
      <w:marTop w:val="0"/>
      <w:marBottom w:val="0"/>
      <w:divBdr>
        <w:top w:val="none" w:sz="0" w:space="0" w:color="auto"/>
        <w:left w:val="none" w:sz="0" w:space="0" w:color="auto"/>
        <w:bottom w:val="none" w:sz="0" w:space="0" w:color="auto"/>
        <w:right w:val="none" w:sz="0" w:space="0" w:color="auto"/>
      </w:divBdr>
      <w:divsChild>
        <w:div w:id="1970085683">
          <w:marLeft w:val="480"/>
          <w:marRight w:val="0"/>
          <w:marTop w:val="0"/>
          <w:marBottom w:val="0"/>
          <w:divBdr>
            <w:top w:val="none" w:sz="0" w:space="0" w:color="auto"/>
            <w:left w:val="none" w:sz="0" w:space="0" w:color="auto"/>
            <w:bottom w:val="none" w:sz="0" w:space="0" w:color="auto"/>
            <w:right w:val="none" w:sz="0" w:space="0" w:color="auto"/>
          </w:divBdr>
        </w:div>
        <w:div w:id="2089113035">
          <w:marLeft w:val="480"/>
          <w:marRight w:val="0"/>
          <w:marTop w:val="0"/>
          <w:marBottom w:val="0"/>
          <w:divBdr>
            <w:top w:val="none" w:sz="0" w:space="0" w:color="auto"/>
            <w:left w:val="none" w:sz="0" w:space="0" w:color="auto"/>
            <w:bottom w:val="none" w:sz="0" w:space="0" w:color="auto"/>
            <w:right w:val="none" w:sz="0" w:space="0" w:color="auto"/>
          </w:divBdr>
        </w:div>
        <w:div w:id="1891306076">
          <w:marLeft w:val="480"/>
          <w:marRight w:val="0"/>
          <w:marTop w:val="0"/>
          <w:marBottom w:val="0"/>
          <w:divBdr>
            <w:top w:val="none" w:sz="0" w:space="0" w:color="auto"/>
            <w:left w:val="none" w:sz="0" w:space="0" w:color="auto"/>
            <w:bottom w:val="none" w:sz="0" w:space="0" w:color="auto"/>
            <w:right w:val="none" w:sz="0" w:space="0" w:color="auto"/>
          </w:divBdr>
        </w:div>
        <w:div w:id="2050256010">
          <w:marLeft w:val="480"/>
          <w:marRight w:val="0"/>
          <w:marTop w:val="0"/>
          <w:marBottom w:val="0"/>
          <w:divBdr>
            <w:top w:val="none" w:sz="0" w:space="0" w:color="auto"/>
            <w:left w:val="none" w:sz="0" w:space="0" w:color="auto"/>
            <w:bottom w:val="none" w:sz="0" w:space="0" w:color="auto"/>
            <w:right w:val="none" w:sz="0" w:space="0" w:color="auto"/>
          </w:divBdr>
        </w:div>
      </w:divsChild>
    </w:div>
    <w:div w:id="175731298">
      <w:bodyDiv w:val="1"/>
      <w:marLeft w:val="0"/>
      <w:marRight w:val="0"/>
      <w:marTop w:val="0"/>
      <w:marBottom w:val="0"/>
      <w:divBdr>
        <w:top w:val="none" w:sz="0" w:space="0" w:color="auto"/>
        <w:left w:val="none" w:sz="0" w:space="0" w:color="auto"/>
        <w:bottom w:val="none" w:sz="0" w:space="0" w:color="auto"/>
        <w:right w:val="none" w:sz="0" w:space="0" w:color="auto"/>
      </w:divBdr>
      <w:divsChild>
        <w:div w:id="695232299">
          <w:marLeft w:val="480"/>
          <w:marRight w:val="0"/>
          <w:marTop w:val="0"/>
          <w:marBottom w:val="0"/>
          <w:divBdr>
            <w:top w:val="none" w:sz="0" w:space="0" w:color="auto"/>
            <w:left w:val="none" w:sz="0" w:space="0" w:color="auto"/>
            <w:bottom w:val="none" w:sz="0" w:space="0" w:color="auto"/>
            <w:right w:val="none" w:sz="0" w:space="0" w:color="auto"/>
          </w:divBdr>
        </w:div>
        <w:div w:id="137379263">
          <w:marLeft w:val="480"/>
          <w:marRight w:val="0"/>
          <w:marTop w:val="0"/>
          <w:marBottom w:val="0"/>
          <w:divBdr>
            <w:top w:val="none" w:sz="0" w:space="0" w:color="auto"/>
            <w:left w:val="none" w:sz="0" w:space="0" w:color="auto"/>
            <w:bottom w:val="none" w:sz="0" w:space="0" w:color="auto"/>
            <w:right w:val="none" w:sz="0" w:space="0" w:color="auto"/>
          </w:divBdr>
        </w:div>
        <w:div w:id="1467548873">
          <w:marLeft w:val="480"/>
          <w:marRight w:val="0"/>
          <w:marTop w:val="0"/>
          <w:marBottom w:val="0"/>
          <w:divBdr>
            <w:top w:val="none" w:sz="0" w:space="0" w:color="auto"/>
            <w:left w:val="none" w:sz="0" w:space="0" w:color="auto"/>
            <w:bottom w:val="none" w:sz="0" w:space="0" w:color="auto"/>
            <w:right w:val="none" w:sz="0" w:space="0" w:color="auto"/>
          </w:divBdr>
        </w:div>
      </w:divsChild>
    </w:div>
    <w:div w:id="293105410">
      <w:bodyDiv w:val="1"/>
      <w:marLeft w:val="0"/>
      <w:marRight w:val="0"/>
      <w:marTop w:val="0"/>
      <w:marBottom w:val="0"/>
      <w:divBdr>
        <w:top w:val="none" w:sz="0" w:space="0" w:color="auto"/>
        <w:left w:val="none" w:sz="0" w:space="0" w:color="auto"/>
        <w:bottom w:val="none" w:sz="0" w:space="0" w:color="auto"/>
        <w:right w:val="none" w:sz="0" w:space="0" w:color="auto"/>
      </w:divBdr>
      <w:divsChild>
        <w:div w:id="266621795">
          <w:marLeft w:val="480"/>
          <w:marRight w:val="0"/>
          <w:marTop w:val="0"/>
          <w:marBottom w:val="0"/>
          <w:divBdr>
            <w:top w:val="none" w:sz="0" w:space="0" w:color="auto"/>
            <w:left w:val="none" w:sz="0" w:space="0" w:color="auto"/>
            <w:bottom w:val="none" w:sz="0" w:space="0" w:color="auto"/>
            <w:right w:val="none" w:sz="0" w:space="0" w:color="auto"/>
          </w:divBdr>
        </w:div>
        <w:div w:id="526409653">
          <w:marLeft w:val="480"/>
          <w:marRight w:val="0"/>
          <w:marTop w:val="0"/>
          <w:marBottom w:val="0"/>
          <w:divBdr>
            <w:top w:val="none" w:sz="0" w:space="0" w:color="auto"/>
            <w:left w:val="none" w:sz="0" w:space="0" w:color="auto"/>
            <w:bottom w:val="none" w:sz="0" w:space="0" w:color="auto"/>
            <w:right w:val="none" w:sz="0" w:space="0" w:color="auto"/>
          </w:divBdr>
        </w:div>
        <w:div w:id="1489132662">
          <w:marLeft w:val="480"/>
          <w:marRight w:val="0"/>
          <w:marTop w:val="0"/>
          <w:marBottom w:val="0"/>
          <w:divBdr>
            <w:top w:val="none" w:sz="0" w:space="0" w:color="auto"/>
            <w:left w:val="none" w:sz="0" w:space="0" w:color="auto"/>
            <w:bottom w:val="none" w:sz="0" w:space="0" w:color="auto"/>
            <w:right w:val="none" w:sz="0" w:space="0" w:color="auto"/>
          </w:divBdr>
        </w:div>
        <w:div w:id="758912649">
          <w:marLeft w:val="480"/>
          <w:marRight w:val="0"/>
          <w:marTop w:val="0"/>
          <w:marBottom w:val="0"/>
          <w:divBdr>
            <w:top w:val="none" w:sz="0" w:space="0" w:color="auto"/>
            <w:left w:val="none" w:sz="0" w:space="0" w:color="auto"/>
            <w:bottom w:val="none" w:sz="0" w:space="0" w:color="auto"/>
            <w:right w:val="none" w:sz="0" w:space="0" w:color="auto"/>
          </w:divBdr>
        </w:div>
      </w:divsChild>
    </w:div>
    <w:div w:id="465391933">
      <w:bodyDiv w:val="1"/>
      <w:marLeft w:val="0"/>
      <w:marRight w:val="0"/>
      <w:marTop w:val="0"/>
      <w:marBottom w:val="0"/>
      <w:divBdr>
        <w:top w:val="none" w:sz="0" w:space="0" w:color="auto"/>
        <w:left w:val="none" w:sz="0" w:space="0" w:color="auto"/>
        <w:bottom w:val="none" w:sz="0" w:space="0" w:color="auto"/>
        <w:right w:val="none" w:sz="0" w:space="0" w:color="auto"/>
      </w:divBdr>
      <w:divsChild>
        <w:div w:id="1077704038">
          <w:marLeft w:val="480"/>
          <w:marRight w:val="0"/>
          <w:marTop w:val="0"/>
          <w:marBottom w:val="0"/>
          <w:divBdr>
            <w:top w:val="none" w:sz="0" w:space="0" w:color="auto"/>
            <w:left w:val="none" w:sz="0" w:space="0" w:color="auto"/>
            <w:bottom w:val="none" w:sz="0" w:space="0" w:color="auto"/>
            <w:right w:val="none" w:sz="0" w:space="0" w:color="auto"/>
          </w:divBdr>
        </w:div>
        <w:div w:id="2066487674">
          <w:marLeft w:val="480"/>
          <w:marRight w:val="0"/>
          <w:marTop w:val="0"/>
          <w:marBottom w:val="0"/>
          <w:divBdr>
            <w:top w:val="none" w:sz="0" w:space="0" w:color="auto"/>
            <w:left w:val="none" w:sz="0" w:space="0" w:color="auto"/>
            <w:bottom w:val="none" w:sz="0" w:space="0" w:color="auto"/>
            <w:right w:val="none" w:sz="0" w:space="0" w:color="auto"/>
          </w:divBdr>
        </w:div>
        <w:div w:id="1518277811">
          <w:marLeft w:val="480"/>
          <w:marRight w:val="0"/>
          <w:marTop w:val="0"/>
          <w:marBottom w:val="0"/>
          <w:divBdr>
            <w:top w:val="none" w:sz="0" w:space="0" w:color="auto"/>
            <w:left w:val="none" w:sz="0" w:space="0" w:color="auto"/>
            <w:bottom w:val="none" w:sz="0" w:space="0" w:color="auto"/>
            <w:right w:val="none" w:sz="0" w:space="0" w:color="auto"/>
          </w:divBdr>
        </w:div>
      </w:divsChild>
    </w:div>
    <w:div w:id="808286437">
      <w:bodyDiv w:val="1"/>
      <w:marLeft w:val="0"/>
      <w:marRight w:val="0"/>
      <w:marTop w:val="0"/>
      <w:marBottom w:val="0"/>
      <w:divBdr>
        <w:top w:val="none" w:sz="0" w:space="0" w:color="auto"/>
        <w:left w:val="none" w:sz="0" w:space="0" w:color="auto"/>
        <w:bottom w:val="none" w:sz="0" w:space="0" w:color="auto"/>
        <w:right w:val="none" w:sz="0" w:space="0" w:color="auto"/>
      </w:divBdr>
    </w:div>
    <w:div w:id="835998067">
      <w:bodyDiv w:val="1"/>
      <w:marLeft w:val="0"/>
      <w:marRight w:val="0"/>
      <w:marTop w:val="0"/>
      <w:marBottom w:val="0"/>
      <w:divBdr>
        <w:top w:val="none" w:sz="0" w:space="0" w:color="auto"/>
        <w:left w:val="none" w:sz="0" w:space="0" w:color="auto"/>
        <w:bottom w:val="none" w:sz="0" w:space="0" w:color="auto"/>
        <w:right w:val="none" w:sz="0" w:space="0" w:color="auto"/>
      </w:divBdr>
    </w:div>
    <w:div w:id="1036854047">
      <w:bodyDiv w:val="1"/>
      <w:marLeft w:val="0"/>
      <w:marRight w:val="0"/>
      <w:marTop w:val="0"/>
      <w:marBottom w:val="0"/>
      <w:divBdr>
        <w:top w:val="none" w:sz="0" w:space="0" w:color="auto"/>
        <w:left w:val="none" w:sz="0" w:space="0" w:color="auto"/>
        <w:bottom w:val="none" w:sz="0" w:space="0" w:color="auto"/>
        <w:right w:val="none" w:sz="0" w:space="0" w:color="auto"/>
      </w:divBdr>
      <w:divsChild>
        <w:div w:id="973222129">
          <w:marLeft w:val="480"/>
          <w:marRight w:val="0"/>
          <w:marTop w:val="0"/>
          <w:marBottom w:val="0"/>
          <w:divBdr>
            <w:top w:val="none" w:sz="0" w:space="0" w:color="auto"/>
            <w:left w:val="none" w:sz="0" w:space="0" w:color="auto"/>
            <w:bottom w:val="none" w:sz="0" w:space="0" w:color="auto"/>
            <w:right w:val="none" w:sz="0" w:space="0" w:color="auto"/>
          </w:divBdr>
        </w:div>
        <w:div w:id="690491422">
          <w:marLeft w:val="480"/>
          <w:marRight w:val="0"/>
          <w:marTop w:val="0"/>
          <w:marBottom w:val="0"/>
          <w:divBdr>
            <w:top w:val="none" w:sz="0" w:space="0" w:color="auto"/>
            <w:left w:val="none" w:sz="0" w:space="0" w:color="auto"/>
            <w:bottom w:val="none" w:sz="0" w:space="0" w:color="auto"/>
            <w:right w:val="none" w:sz="0" w:space="0" w:color="auto"/>
          </w:divBdr>
        </w:div>
        <w:div w:id="1283654057">
          <w:marLeft w:val="480"/>
          <w:marRight w:val="0"/>
          <w:marTop w:val="0"/>
          <w:marBottom w:val="0"/>
          <w:divBdr>
            <w:top w:val="none" w:sz="0" w:space="0" w:color="auto"/>
            <w:left w:val="none" w:sz="0" w:space="0" w:color="auto"/>
            <w:bottom w:val="none" w:sz="0" w:space="0" w:color="auto"/>
            <w:right w:val="none" w:sz="0" w:space="0" w:color="auto"/>
          </w:divBdr>
        </w:div>
        <w:div w:id="698235449">
          <w:marLeft w:val="480"/>
          <w:marRight w:val="0"/>
          <w:marTop w:val="0"/>
          <w:marBottom w:val="0"/>
          <w:divBdr>
            <w:top w:val="none" w:sz="0" w:space="0" w:color="auto"/>
            <w:left w:val="none" w:sz="0" w:space="0" w:color="auto"/>
            <w:bottom w:val="none" w:sz="0" w:space="0" w:color="auto"/>
            <w:right w:val="none" w:sz="0" w:space="0" w:color="auto"/>
          </w:divBdr>
        </w:div>
      </w:divsChild>
    </w:div>
    <w:div w:id="1118720541">
      <w:bodyDiv w:val="1"/>
      <w:marLeft w:val="0"/>
      <w:marRight w:val="0"/>
      <w:marTop w:val="0"/>
      <w:marBottom w:val="0"/>
      <w:divBdr>
        <w:top w:val="none" w:sz="0" w:space="0" w:color="auto"/>
        <w:left w:val="none" w:sz="0" w:space="0" w:color="auto"/>
        <w:bottom w:val="none" w:sz="0" w:space="0" w:color="auto"/>
        <w:right w:val="none" w:sz="0" w:space="0" w:color="auto"/>
      </w:divBdr>
      <w:divsChild>
        <w:div w:id="1626962075">
          <w:marLeft w:val="480"/>
          <w:marRight w:val="0"/>
          <w:marTop w:val="0"/>
          <w:marBottom w:val="0"/>
          <w:divBdr>
            <w:top w:val="none" w:sz="0" w:space="0" w:color="auto"/>
            <w:left w:val="none" w:sz="0" w:space="0" w:color="auto"/>
            <w:bottom w:val="none" w:sz="0" w:space="0" w:color="auto"/>
            <w:right w:val="none" w:sz="0" w:space="0" w:color="auto"/>
          </w:divBdr>
        </w:div>
        <w:div w:id="1842699476">
          <w:marLeft w:val="480"/>
          <w:marRight w:val="0"/>
          <w:marTop w:val="0"/>
          <w:marBottom w:val="0"/>
          <w:divBdr>
            <w:top w:val="none" w:sz="0" w:space="0" w:color="auto"/>
            <w:left w:val="none" w:sz="0" w:space="0" w:color="auto"/>
            <w:bottom w:val="none" w:sz="0" w:space="0" w:color="auto"/>
            <w:right w:val="none" w:sz="0" w:space="0" w:color="auto"/>
          </w:divBdr>
        </w:div>
      </w:divsChild>
    </w:div>
    <w:div w:id="1358501009">
      <w:bodyDiv w:val="1"/>
      <w:marLeft w:val="0"/>
      <w:marRight w:val="0"/>
      <w:marTop w:val="0"/>
      <w:marBottom w:val="0"/>
      <w:divBdr>
        <w:top w:val="none" w:sz="0" w:space="0" w:color="auto"/>
        <w:left w:val="none" w:sz="0" w:space="0" w:color="auto"/>
        <w:bottom w:val="none" w:sz="0" w:space="0" w:color="auto"/>
        <w:right w:val="none" w:sz="0" w:space="0" w:color="auto"/>
      </w:divBdr>
    </w:div>
    <w:div w:id="1364214596">
      <w:bodyDiv w:val="1"/>
      <w:marLeft w:val="0"/>
      <w:marRight w:val="0"/>
      <w:marTop w:val="0"/>
      <w:marBottom w:val="0"/>
      <w:divBdr>
        <w:top w:val="none" w:sz="0" w:space="0" w:color="auto"/>
        <w:left w:val="none" w:sz="0" w:space="0" w:color="auto"/>
        <w:bottom w:val="none" w:sz="0" w:space="0" w:color="auto"/>
        <w:right w:val="none" w:sz="0" w:space="0" w:color="auto"/>
      </w:divBdr>
      <w:divsChild>
        <w:div w:id="237637856">
          <w:marLeft w:val="480"/>
          <w:marRight w:val="0"/>
          <w:marTop w:val="0"/>
          <w:marBottom w:val="0"/>
          <w:divBdr>
            <w:top w:val="none" w:sz="0" w:space="0" w:color="auto"/>
            <w:left w:val="none" w:sz="0" w:space="0" w:color="auto"/>
            <w:bottom w:val="none" w:sz="0" w:space="0" w:color="auto"/>
            <w:right w:val="none" w:sz="0" w:space="0" w:color="auto"/>
          </w:divBdr>
        </w:div>
        <w:div w:id="2029019164">
          <w:marLeft w:val="480"/>
          <w:marRight w:val="0"/>
          <w:marTop w:val="0"/>
          <w:marBottom w:val="0"/>
          <w:divBdr>
            <w:top w:val="none" w:sz="0" w:space="0" w:color="auto"/>
            <w:left w:val="none" w:sz="0" w:space="0" w:color="auto"/>
            <w:bottom w:val="none" w:sz="0" w:space="0" w:color="auto"/>
            <w:right w:val="none" w:sz="0" w:space="0" w:color="auto"/>
          </w:divBdr>
        </w:div>
        <w:div w:id="841046818">
          <w:marLeft w:val="480"/>
          <w:marRight w:val="0"/>
          <w:marTop w:val="0"/>
          <w:marBottom w:val="0"/>
          <w:divBdr>
            <w:top w:val="none" w:sz="0" w:space="0" w:color="auto"/>
            <w:left w:val="none" w:sz="0" w:space="0" w:color="auto"/>
            <w:bottom w:val="none" w:sz="0" w:space="0" w:color="auto"/>
            <w:right w:val="none" w:sz="0" w:space="0" w:color="auto"/>
          </w:divBdr>
        </w:div>
      </w:divsChild>
    </w:div>
    <w:div w:id="1568876020">
      <w:bodyDiv w:val="1"/>
      <w:marLeft w:val="0"/>
      <w:marRight w:val="0"/>
      <w:marTop w:val="0"/>
      <w:marBottom w:val="0"/>
      <w:divBdr>
        <w:top w:val="none" w:sz="0" w:space="0" w:color="auto"/>
        <w:left w:val="none" w:sz="0" w:space="0" w:color="auto"/>
        <w:bottom w:val="none" w:sz="0" w:space="0" w:color="auto"/>
        <w:right w:val="none" w:sz="0" w:space="0" w:color="auto"/>
      </w:divBdr>
    </w:div>
    <w:div w:id="1720199600">
      <w:bodyDiv w:val="1"/>
      <w:marLeft w:val="0"/>
      <w:marRight w:val="0"/>
      <w:marTop w:val="0"/>
      <w:marBottom w:val="0"/>
      <w:divBdr>
        <w:top w:val="none" w:sz="0" w:space="0" w:color="auto"/>
        <w:left w:val="none" w:sz="0" w:space="0" w:color="auto"/>
        <w:bottom w:val="none" w:sz="0" w:space="0" w:color="auto"/>
        <w:right w:val="none" w:sz="0" w:space="0" w:color="auto"/>
      </w:divBdr>
      <w:divsChild>
        <w:div w:id="57362576">
          <w:marLeft w:val="480"/>
          <w:marRight w:val="0"/>
          <w:marTop w:val="0"/>
          <w:marBottom w:val="0"/>
          <w:divBdr>
            <w:top w:val="none" w:sz="0" w:space="0" w:color="auto"/>
            <w:left w:val="none" w:sz="0" w:space="0" w:color="auto"/>
            <w:bottom w:val="none" w:sz="0" w:space="0" w:color="auto"/>
            <w:right w:val="none" w:sz="0" w:space="0" w:color="auto"/>
          </w:divBdr>
        </w:div>
        <w:div w:id="1616787658">
          <w:marLeft w:val="480"/>
          <w:marRight w:val="0"/>
          <w:marTop w:val="0"/>
          <w:marBottom w:val="0"/>
          <w:divBdr>
            <w:top w:val="none" w:sz="0" w:space="0" w:color="auto"/>
            <w:left w:val="none" w:sz="0" w:space="0" w:color="auto"/>
            <w:bottom w:val="none" w:sz="0" w:space="0" w:color="auto"/>
            <w:right w:val="none" w:sz="0" w:space="0" w:color="auto"/>
          </w:divBdr>
        </w:div>
        <w:div w:id="970868720">
          <w:marLeft w:val="480"/>
          <w:marRight w:val="0"/>
          <w:marTop w:val="0"/>
          <w:marBottom w:val="0"/>
          <w:divBdr>
            <w:top w:val="none" w:sz="0" w:space="0" w:color="auto"/>
            <w:left w:val="none" w:sz="0" w:space="0" w:color="auto"/>
            <w:bottom w:val="none" w:sz="0" w:space="0" w:color="auto"/>
            <w:right w:val="none" w:sz="0" w:space="0" w:color="auto"/>
          </w:divBdr>
        </w:div>
      </w:divsChild>
    </w:div>
    <w:div w:id="1748649206">
      <w:bodyDiv w:val="1"/>
      <w:marLeft w:val="0"/>
      <w:marRight w:val="0"/>
      <w:marTop w:val="0"/>
      <w:marBottom w:val="0"/>
      <w:divBdr>
        <w:top w:val="none" w:sz="0" w:space="0" w:color="auto"/>
        <w:left w:val="none" w:sz="0" w:space="0" w:color="auto"/>
        <w:bottom w:val="none" w:sz="0" w:space="0" w:color="auto"/>
        <w:right w:val="none" w:sz="0" w:space="0" w:color="auto"/>
      </w:divBdr>
      <w:divsChild>
        <w:div w:id="152643943">
          <w:marLeft w:val="480"/>
          <w:marRight w:val="0"/>
          <w:marTop w:val="0"/>
          <w:marBottom w:val="0"/>
          <w:divBdr>
            <w:top w:val="none" w:sz="0" w:space="0" w:color="auto"/>
            <w:left w:val="none" w:sz="0" w:space="0" w:color="auto"/>
            <w:bottom w:val="none" w:sz="0" w:space="0" w:color="auto"/>
            <w:right w:val="none" w:sz="0" w:space="0" w:color="auto"/>
          </w:divBdr>
        </w:div>
        <w:div w:id="1564948816">
          <w:marLeft w:val="480"/>
          <w:marRight w:val="0"/>
          <w:marTop w:val="0"/>
          <w:marBottom w:val="0"/>
          <w:divBdr>
            <w:top w:val="none" w:sz="0" w:space="0" w:color="auto"/>
            <w:left w:val="none" w:sz="0" w:space="0" w:color="auto"/>
            <w:bottom w:val="none" w:sz="0" w:space="0" w:color="auto"/>
            <w:right w:val="none" w:sz="0" w:space="0" w:color="auto"/>
          </w:divBdr>
        </w:div>
        <w:div w:id="954212842">
          <w:marLeft w:val="480"/>
          <w:marRight w:val="0"/>
          <w:marTop w:val="0"/>
          <w:marBottom w:val="0"/>
          <w:divBdr>
            <w:top w:val="none" w:sz="0" w:space="0" w:color="auto"/>
            <w:left w:val="none" w:sz="0" w:space="0" w:color="auto"/>
            <w:bottom w:val="none" w:sz="0" w:space="0" w:color="auto"/>
            <w:right w:val="none" w:sz="0" w:space="0" w:color="auto"/>
          </w:divBdr>
        </w:div>
        <w:div w:id="394669015">
          <w:marLeft w:val="480"/>
          <w:marRight w:val="0"/>
          <w:marTop w:val="0"/>
          <w:marBottom w:val="0"/>
          <w:divBdr>
            <w:top w:val="none" w:sz="0" w:space="0" w:color="auto"/>
            <w:left w:val="none" w:sz="0" w:space="0" w:color="auto"/>
            <w:bottom w:val="none" w:sz="0" w:space="0" w:color="auto"/>
            <w:right w:val="none" w:sz="0" w:space="0" w:color="auto"/>
          </w:divBdr>
        </w:div>
      </w:divsChild>
    </w:div>
    <w:div w:id="1860197348">
      <w:bodyDiv w:val="1"/>
      <w:marLeft w:val="0"/>
      <w:marRight w:val="0"/>
      <w:marTop w:val="0"/>
      <w:marBottom w:val="0"/>
      <w:divBdr>
        <w:top w:val="none" w:sz="0" w:space="0" w:color="auto"/>
        <w:left w:val="none" w:sz="0" w:space="0" w:color="auto"/>
        <w:bottom w:val="none" w:sz="0" w:space="0" w:color="auto"/>
        <w:right w:val="none" w:sz="0" w:space="0" w:color="auto"/>
      </w:divBdr>
      <w:divsChild>
        <w:div w:id="435058112">
          <w:marLeft w:val="480"/>
          <w:marRight w:val="0"/>
          <w:marTop w:val="0"/>
          <w:marBottom w:val="0"/>
          <w:divBdr>
            <w:top w:val="none" w:sz="0" w:space="0" w:color="auto"/>
            <w:left w:val="none" w:sz="0" w:space="0" w:color="auto"/>
            <w:bottom w:val="none" w:sz="0" w:space="0" w:color="auto"/>
            <w:right w:val="none" w:sz="0" w:space="0" w:color="auto"/>
          </w:divBdr>
        </w:div>
        <w:div w:id="2124416112">
          <w:marLeft w:val="480"/>
          <w:marRight w:val="0"/>
          <w:marTop w:val="0"/>
          <w:marBottom w:val="0"/>
          <w:divBdr>
            <w:top w:val="none" w:sz="0" w:space="0" w:color="auto"/>
            <w:left w:val="none" w:sz="0" w:space="0" w:color="auto"/>
            <w:bottom w:val="none" w:sz="0" w:space="0" w:color="auto"/>
            <w:right w:val="none" w:sz="0" w:space="0" w:color="auto"/>
          </w:divBdr>
        </w:div>
        <w:div w:id="1399473638">
          <w:marLeft w:val="480"/>
          <w:marRight w:val="0"/>
          <w:marTop w:val="0"/>
          <w:marBottom w:val="0"/>
          <w:divBdr>
            <w:top w:val="none" w:sz="0" w:space="0" w:color="auto"/>
            <w:left w:val="none" w:sz="0" w:space="0" w:color="auto"/>
            <w:bottom w:val="none" w:sz="0" w:space="0" w:color="auto"/>
            <w:right w:val="none" w:sz="0" w:space="0" w:color="auto"/>
          </w:divBdr>
        </w:div>
        <w:div w:id="622886894">
          <w:marLeft w:val="480"/>
          <w:marRight w:val="0"/>
          <w:marTop w:val="0"/>
          <w:marBottom w:val="0"/>
          <w:divBdr>
            <w:top w:val="none" w:sz="0" w:space="0" w:color="auto"/>
            <w:left w:val="none" w:sz="0" w:space="0" w:color="auto"/>
            <w:bottom w:val="none" w:sz="0" w:space="0" w:color="auto"/>
            <w:right w:val="none" w:sz="0" w:space="0" w:color="auto"/>
          </w:divBdr>
        </w:div>
        <w:div w:id="2004116890">
          <w:marLeft w:val="480"/>
          <w:marRight w:val="0"/>
          <w:marTop w:val="0"/>
          <w:marBottom w:val="0"/>
          <w:divBdr>
            <w:top w:val="none" w:sz="0" w:space="0" w:color="auto"/>
            <w:left w:val="none" w:sz="0" w:space="0" w:color="auto"/>
            <w:bottom w:val="none" w:sz="0" w:space="0" w:color="auto"/>
            <w:right w:val="none" w:sz="0" w:space="0" w:color="auto"/>
          </w:divBdr>
        </w:div>
      </w:divsChild>
    </w:div>
    <w:div w:id="20735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onio.espuna@up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BCB9FDAE-A4CC-4D6D-93AF-8B38D2998459}"/>
      </w:docPartPr>
      <w:docPartBody>
        <w:p w:rsidR="001B4D53" w:rsidRDefault="00E45C19">
          <w:r w:rsidRPr="00CC646C">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C19"/>
    <w:rsid w:val="001B4D53"/>
    <w:rsid w:val="005A1A1A"/>
    <w:rsid w:val="00747D45"/>
    <w:rsid w:val="00A5460B"/>
    <w:rsid w:val="00A607F1"/>
    <w:rsid w:val="00DF20DA"/>
    <w:rsid w:val="00E45C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C1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0EEC54-536D-4663-9309-829E2098DD5E}">
  <we:reference id="wa104382081" version="1.55.1.0" store="fr-BE" storeType="OMEX"/>
  <we:alternateReferences>
    <we:reference id="WA104382081" version="1.55.1.0" store="fr-BE" storeType="OMEX"/>
  </we:alternateReferences>
  <we:properties>
    <we:property name="MENDELEY_CITATIONS" value="[{&quot;citationID&quot;:&quot;MENDELEY_CITATION_b0ebc3b0-7753-4cc4-a89b-770f073c563b&quot;,&quot;properties&quot;:{&quot;noteIndex&quot;:0},&quot;isEdited&quot;:false,&quot;manualOverride&quot;:{&quot;citeprocText&quot;:&quot;(Chawla et al., 2022)&quot;,&quot;isManuallyOverridden&quot;:false,&quot;manualOverrideText&quot;:&quot;&quot;},&quot;citationTag&quot;:&quot;MENDELEY_CITATION_v3_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&quot;,&quot;citationItems&quot;:[{&quot;id&quot;:&quot;c8635ae0-ce00-5185-b2d6-bc969103599e&quot;,&quot;itemData&quot;:{&quot;DOI&quot;:&quot;10.1016/J.CHEMOSPHERE.2022.135867&quot;,&quot;ISSN&quot;:&quot;0045-6535&quot;,&quot;PMID&quot;:&quot;35998732&quot;,&quot;abstract&quot;:&quot;The huge amounts of plastic production (millions of tons) are carried out all around world every year and EU is one of the biggest consumers of these products. In 2021, recycling rate of plastic wastes around 32.5% in the EU and the rest end up on their journey in landfills and oceans that lead to environmental pollution which is a crucial global concern. Thus, it is important to take necessary steps to control the use of such plastic and to sustainably dispose them. One of the solutions to the problem is to use a better alternative to plastics which doesn't degrade land, water or air nor affects living organisms. Circular economy is another answer to this problem, it would ensure prevention of post-consumer plastic waste from getting formed. In addition, sustainable disposal approaches for plastic waste such as pyrolysis, plasma gasification, photocatalytic degradation, and production of value-added products from polymer waste can be explored. These recycling methods has huge potential for research and studies and can play a crucial in eliminating post-consumer plastic waste. This review paper aims to discuss the environmental effects of post-consumer plastic wastes as well as the emerging approaches for the treatment of these environmental wastes towards eco-sustainability and circular economy.&quot;,&quot;author&quot;:[{&quot;dropping-particle&quot;:&quot;&quot;,&quot;family&quot;:&quot;Chawla&quot;,&quot;given&quot;:&quot;Shashi&quot;,&quot;non-dropping-particle&quot;:&quot;&quot;,&quot;parse-names&quot;:false,&quot;suffix&quot;:&quot;&quot;},{&quot;dropping-particle&quot;:&quot;&quot;,&quot;family&quot;:&quot;Varghese&quot;,&quot;given&quot;:&quot;Basil Sajan&quot;,&quot;non-dropping-particle&quot;:&quot;&quot;,&quot;parse-names&quot;:false,&quot;suffix&quot;:&quot;&quot;},{&quot;dropping-particle&quot;:&quot;&quot;,&quot;family&quot;:&quot;A&quot;,&quot;given&quot;:&quot;Chithra&quot;,&quot;non-dropping-particle&quot;:&quot;&quot;,&quot;parse-names&quot;:false,&quot;suffix&quot;:&quot;&quot;},{&quot;dropping-particle&quot;:&quot;&quot;,&quot;family&quot;:&quot;Hussain&quot;,&quot;given&quot;:&quot;Chaudhery Ghazanfar&quot;,&quot;non-dropping-particle&quot;:&quot;&quot;,&quot;parse-names&quot;:false,&quot;suffix&quot;:&quot;&quot;},{&quot;dropping-particle&quot;:&quot;&quot;,&quot;family&quot;:&quot;Keçili&quot;,&quot;given&quot;:&quot;Rüstem&quot;,&quot;non-dropping-particle&quot;:&quot;&quot;,&quot;parse-names&quot;:false,&quot;suffix&quot;:&quot;&quot;},{&quot;dropping-particle&quot;:&quot;&quot;,&quot;family&quot;:&quot;Hussain&quot;,&quot;given&quot;:&quot;Chaudhery Mustansar&quot;,&quot;non-dropping-particle&quot;:&quot;&quot;,&quot;parse-names&quot;:false,&quot;suffix&quot;:&quot;&quot;}],&quot;container-title&quot;:&quot;Chemosphere&quot;,&quot;id&quot;:&quot;c8635ae0-ce00-5185-b2d6-bc969103599e&quot;,&quot;issued&quot;:{&quot;date-parts&quot;:[[&quot;2022&quot;,&quot;12&quot;,&quot;1&quot;]]},&quot;page&quot;:&quot;135867&quot;,&quot;publisher&quot;:&quot;Pergamon&quot;,&quot;title&quot;:&quot;Environmental impacts of post-consumer plastic wastes: Treatment technologies towards eco-sustainability and circular economy&quot;,&quot;type&quot;:&quot;article-journal&quot;,&quot;volume&quot;:&quot;308&quot;,&quot;container-title-short&quot;:&quot;Chemosphere&quot;},&quot;uris&quot;:[&quot;http://www.mendeley.com/documents/?uuid=5c205ad6-b983-3ead-934d-50b3ae03e113&quot;],&quot;isTemporary&quot;:false,&quot;legacyDesktopId&quot;:&quot;5c205ad6-b983-3ead-934d-50b3ae03e113&quot;}]},{&quot;citationID&quot;:&quot;MENDELEY_CITATION_ff79cb72-1b22-48aa-912a-302a58f62291&quot;,&quot;properties&quot;:{&quot;noteIndex&quot;:0},&quot;isEdited&quot;:false,&quot;manualOverride&quot;:{&quot;citeprocText&quot;:&quot;(Pacheco-López et al., 2023)&quot;,&quot;isManuallyOverridden&quot;:false,&quot;manualOverrideText&quot;:&quot;&quot;},&quot;citationTag&quot;:&quot;MENDELEY_CITATION_v3_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&quot;,&quot;citationItems&quot;:[{&quot;id&quot;:&quot;29c571c2-7efd-5ef3-876d-dc95122452ec&quot;,&quot;itemData&quot;:{&quot;DOI&quot;:&quot;10.1016/j.compchemeng.2023.108255&quot;,&quot;ISSN&quot;:&quot;00981354&quot;,&quot;abstract&quot;:&quot;The need to transform economic models to implement a circular use of resources is crucial due to the current waste accumulation crisis. New waste-to-resource alternatives are constantly emerging to close material loops; therefore, tools are needed to identify the best synergies to upcycle waste. An approach has been developed to identify and assess waste-to-resource processing routes not currently implemented at the industrial level to valorize waste. The proposed framework consists of several interconnected modules that include ontologies for knowledge management, graph theory and short-path algorithms for the generation of paths and pre-assessment of processes, a Mixed-Integer Linear Programming (MILP) model for superstructure optimization; and the rigorous design, simulation, and optimization exclusively of those alternatives that show the best performance in previous steps. A case study for the treatment of mixed plastic waste reveals chemical recycling and the production of pyrolytic fuels as tentatively favorable options, both environmentally and economically.&quot;,&quot;author&quot;:[{&quot;dropping-particle&quot;:&quot;&quot;,&quot;family&quot;:&quot;Pacheco-López&quot;,&quot;given&quot;:&quot;Adrián&quot;,&quot;non-dropping-particle&quot;:&quot;&quot;,&quot;parse-names&quot;:false,&quot;suffix&quot;:&quot;&quot;},{&quot;dropping-particle&quot;:&quot;&quot;,&quot;family&quot;:&quot;Gómez-Reyes&quot;,&quot;given&quot;:&quot;Edward&quot;,&quot;non-dropping-particle&quot;:&quot;&quot;,&quot;parse-names&quot;:false,&quot;suffix&quot;:&quot;&quot;},{&quot;dropping-particle&quot;:&quot;&quot;,&quot;family&quot;:&quot;Graells&quot;,&quot;given&quot;:&quot;Moisés&quot;,&quot;non-dropping-particle&quot;:&quot;&quot;,&quot;parse-names&quot;:false,&quot;suffix&quot;:&quot;&quot;},{&quot;dropping-particle&quot;:&quot;&quot;,&quot;family&quot;:&quot;Espuña&quot;,&quot;given&quot;:&quot;Antonio&quot;,&quot;non-dropping-particle&quot;:&quot;&quot;,&quot;parse-names&quot;:false,&quot;suffix&quot;:&quot;&quot;},{&quot;dropping-particle&quot;:&quot;&quot;,&quot;family&quot;:&quot;Somoza-Tornos&quot;,&quot;given&quot;:&quot;Ana&quot;,&quot;non-dropping-particle&quot;:&quot;&quot;,&quot;parse-names&quot;:false,&quot;suffix&quot;:&quot;&quot;}],&quot;container-title&quot;:&quot;Computers and Chemical Engineering&quot;,&quot;id&quot;:&quot;29c571c2-7efd-5ef3-876d-dc95122452ec&quot;,&quot;issued&quot;:{&quot;date-parts&quot;:[[&quot;2023&quot;,&quot;4&quot;,&quot;7&quot;]]},&quot;page&quot;:&quot;108255&quot;,&quot;publisher&quot;:&quot;Pergamon&quot;,&quot;title&quot;:&quot;Integrated synthesis, modeling, and assessment (iSMA) of waste-to-resource alternatives towards a circular economy: The case of the chemical recycling of plastic waste management&quot;,&quot;type&quot;:&quot;article-journal&quot;,&quot;volume&quot;:&quot;175&quot;,&quot;container-title-short&quot;:&quot;Comput Chem Eng&quot;},&quot;uris&quot;:[&quot;http://www.mendeley.com/documents/?uuid=0c16fa4a-25ff-3458-b061-3e697f8f494a&quot;],&quot;isTemporary&quot;:false,&quot;legacyDesktopId&quot;:&quot;0c16fa4a-25ff-3458-b061-3e697f8f494a&quot;}]},{&quot;citationID&quot;:&quot;MENDELEY_CITATION_bbdd4621-2815-45c7-b47f-c06872223a55&quot;,&quot;properties&quot;:{&quot;noteIndex&quot;:0},&quot;isEdited&quot;:false,&quot;manualOverride&quot;:{&quot;isManuallyOverridden&quot;:false,&quot;citeprocText&quot;:&quot;(Çelikbilek and Tüysüz, 2020)&quot;,&quot;manualOverrideText&quot;:&quot;&quot;},&quot;citationTag&quot;:&quot;MENDELEY_CITATION_v3_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&quot;,&quot;citationItems&quot;:[{&quot;id&quot;:&quot;e585038d-fd35-3e64-8570-07e66168efd3&quot;,&quot;itemData&quot;:{&quot;type&quot;:&quot;article-journal&quot;,&quot;id&quot;:&quot;e585038d-fd35-3e64-8570-07e66168efd3&quot;,&quot;title&quot;:&quot;An in-depth review of theory of the TOPSIS method: An experimental analysis&quot;,&quot;author&quot;:[{&quot;family&quot;:&quot;Çelikbilek&quot;,&quot;given&quot;:&quot;Yakup&quot;,&quot;parse-names&quot;:false,&quot;dropping-particle&quot;:&quot;&quot;,&quot;non-dropping-particle&quot;:&quot;&quot;},{&quot;family&quot;:&quot;Tüysüz&quot;,&quot;given&quot;:&quot;Fatih&quot;,&quot;parse-names&quot;:false,&quot;dropping-particle&quot;:&quot;&quot;,&quot;non-dropping-particle&quot;:&quot;&quot;}],&quot;container-title&quot;:&quot;Journal of Management Analytics&quot;,&quot;DOI&quot;:&quot;10.1080/23270012.2020.1748528&quot;,&quot;ISSN&quot;:&quot;23270039&quot;,&quot;issued&quot;:{&quot;date-parts&quot;:[[2020,4,2]]},&quot;page&quot;:&quot;281-300&quot;,&quot;abstract&quot;:&quot;Decision-making is an important part of daily and business life for both individuals and organizations. Although the multi-criteria decision-making methods provide decision makers the necessary tools, they have differences in terms of the assumptions and fundamental theory. Hence, selecting the right decision-making method is at least as important as making the decision. TOPSIS (Technique for Order Performance by Similarity to Ideal Solution) method, which is one of the most widely used multi-criteria decision-making methods, has gained attention of researchers and thus various improved versions of the method have been proposed. This study considers the conventional TOPSIS method and experimentally displays the underlying reasons of the lacks of the conventional TOPSIS method by using a simulation technique. Detailed experimental analysis based on simulation with an application is used to reveal theoretical fundamentals of the TOPSIS method to better understand it and contribute to its improvement.&quot;,&quot;publisher&quot;:&quot;Taylor and Francis Ltd.&quot;,&quot;issue&quot;:&quot;2&quot;,&quot;volume&quot;:&quot;7&quot;,&quot;container-title-short&quot;:&quot;&quot;},&quot;isTemporary&quot;:false}]},{&quot;citationID&quot;:&quot;MENDELEY_CITATION_e1595477-95d1-49a7-8274-ae17fac4b6c6&quot;,&quot;properties&quot;:{&quot;noteIndex&quot;:0},&quot;isEdited&quot;:false,&quot;manualOverride&quot;:{&quot;isManuallyOverridden&quot;:false,&quot;citeprocText&quot;:&quot;(Maity and Chakraborty, 2015)&quot;,&quot;manualOverrideText&quot;:&quot;&quot;},&quot;citationTag&quot;:&quot;MENDELEY_CITATION_v3_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&quot;,&quot;citationItems&quot;:[{&quot;id&quot;:&quot;c97cffaf-d3c4-346a-a377-ee643a2efc9b&quot;,&quot;itemData&quot;:{&quot;type&quot;:&quot;article-journal&quot;,&quot;id&quot;:&quot;c97cffaf-d3c4-346a-a377-ee643a2efc9b&quot;,&quot;title&quot;:&quot;Tool steel material selection using PROMETHEE II method&quot;,&quot;author&quot;:[{&quot;family&quot;:&quot;Maity&quot;,&quot;given&quot;:&quot;Saikat Ranjan&quot;,&quot;parse-names&quot;:false,&quot;dropping-particle&quot;:&quot;&quot;,&quot;non-dropping-particle&quot;:&quot;&quot;},{&quot;family&quot;:&quot;Chakraborty&quot;,&quot;given&quot;:&quot;Shankar&quot;,&quot;parse-names&quot;:false,&quot;dropping-particle&quot;:&quot;&quot;,&quot;non-dropping-particle&quot;:&quot;&quot;}],&quot;container-title&quot;:&quot;International Journal of Advanced Manufacturing Technology&quot;,&quot;DOI&quot;:&quot;10.1007/s00170-014-6760-0&quot;,&quot;ISSN&quot;:&quot;14333015&quot;,&quot;issued&quot;:{&quot;date-parts&quot;:[[2015,6,18]]},&quot;page&quot;:&quot;1537-1547&quot;,&quot;abstract&quot;:&quot;In the recent century, tools for machining, forming, or other types of metalworking industries have consumed several tons of steel materials. Although the earliest tool steels were plain carbon steels, the modern tools contain different alloying elements, like tungsten, vanadium, molybdenum, manganese, and chromium, to provide the properties desired for their wide applications. The presence of a large number of such tool steel materials is a result of the fact that no single material combines the maximum wear resistance, toughness, machinability, safety in hardening, and non-deformability properties. Each tool steel material has its own mechanical and physical characteristics that help it to be suited for a particular application. Also for a specific application, more than one alternative tool steel material may exist, which makes it essential to select the most appropriate tool steel material with the desired properties to meet the manufacturer’s requirements. This paper considers a list of ten tool steel materials whose performances are evaluated based on nine selection criteria. Preference ranking organization method for enrichment evaluation (PROMETHEE II) is then applied to solve this tool steel material selection problem to obtain the full ranking of the considered material alternatives. Molybdenum-type high-speed steel (AISI M2) and tungsten base high-speed tool steel (AISI T1) are the two best choices. Alloy steel (AISI 4140) is the worst preferred tool steel material.&quot;,&quot;publisher&quot;:&quot;Springer-Verlag London Ltd&quot;,&quot;issue&quot;:&quot;9-12&quot;,&quot;volume&quot;:&quot;78&quot;,&quot;container-title-short&quot;:&quot;&quot;},&quot;isTemporary&quot;:false}]},{&quot;citationID&quot;:&quot;MENDELEY_CITATION_385d4467-91ab-40d3-b512-7c261163efa8&quot;,&quot;properties&quot;:{&quot;noteIndex&quot;:0},&quot;isEdited&quot;:false,&quot;manualOverride&quot;:{&quot;isManuallyOverridden&quot;:false,&quot;citeprocText&quot;:&quot;(Sałabun et al., 2020)&quot;,&quot;manualOverrideText&quot;:&quot;&quot;},&quot;citationTag&quot;:&quot;MENDELEY_CITATION_v3_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&quot;,&quot;citationItems&quot;:[{&quot;id&quot;:&quot;3b32ed39-01e4-302f-85f7-f06da8ac6976&quot;,&quot;itemData&quot;:{&quot;type&quot;:&quot;article-journal&quot;,&quot;id&quot;:&quot;3b32ed39-01e4-302f-85f7-f06da8ac6976&quot;,&quot;title&quot;:&quot;Are MCDA methods benchmarkable? A comparative study of TOPSIS, VIKOR, COPRAS, and PROMETHEE II methods&quot;,&quot;author&quot;:[{&quot;family&quot;:&quot;Sałabun&quot;,&quot;given&quot;:&quot;Wojciech&quot;,&quot;parse-names&quot;:false,&quot;dropping-particle&quot;:&quot;&quot;,&quot;non-dropping-particle&quot;:&quot;&quot;},{&quot;family&quot;:&quot;Watróbski&quot;,&quot;given&quot;:&quot;Jarosław&quot;,&quot;parse-names&quot;:false,&quot;dropping-particle&quot;:&quot;&quot;,&quot;non-dropping-particle&quot;:&quot;&quot;},{&quot;family&quot;:&quot;Shekhovtsov&quot;,&quot;given&quot;:&quot;Andrii&quot;,&quot;parse-names&quot;:false,&quot;dropping-particle&quot;:&quot;&quot;,&quot;non-dropping-particle&quot;:&quot;&quot;}],&quot;container-title&quot;:&quot;Symmetry&quot;,&quot;container-title-short&quot;:&quot;Symmetry (Basel)&quot;,&quot;DOI&quot;:&quot;10.3390/SYM12091549&quot;,&quot;ISSN&quot;:&quot;20738994&quot;,&quot;issued&quot;:{&quot;date-parts&quot;:[[2020,9,1]]},&quot;abstract&quot;:&quot;Multi-Criteria Decision-Analysis (MCDA) methods are successfully applied in different fields and disciplines. However, in many studies, the problem of selecting the proper methods and parameters for the decision problems is raised. The paper undertakes an attempt to benchmark selected Multi-Criteria Decision Analysis (MCDA) methods. To achieve that, a set of feasible MCDA methods was identified. Based on reference literature guidelines, a simulation experiment was planned. The formal foundations of the authors' approach provide a reference set of MCDA methods ( Technique for Order Preference by Similarity to Ideal Solution (TOPSIS), VlseKriterijumska Optimizacija I Kompromisno Resenje (VIKOR), Complex Proportional Assessment (COPRAS), and PROMETHEE II: Preference Ranking Organization Method for Enrichment of Evaluations) along with their similarity coefficients (Spearman correlation coefficients and WS coefficient). This allowed the generation of a set of models differentiated by the number of attributes and decision variants, as well as similarity research for the obtained rankings sets. As the authors aim to build a complex benchmarking model, additional dimensions were taken into account during the simulation experiments. The aspects of the performed analysis and benchmarking methods include various weighing methods (results obtained using entropy and standard deviation methods) and varied techniques of normalization of MCDA model input data. Comparative analyses showed the detailed influence of values of particular parameters on the final form and a similarity of the final rankings obtained by different MCDA methods.&quot;,&quot;publisher&quot;:&quot;MDPI AG&quot;,&quot;issue&quot;:&quot;9&quot;,&quot;volume&quot;:&quot;12&quot;},&quot;isTemporary&quot;:false}]},{&quot;citationID&quot;:&quot;MENDELEY_CITATION_ffd43e72-5470-44a8-8a48-1e267719ae8e&quot;,&quot;properties&quot;:{&quot;noteIndex&quot;:0},&quot;isEdited&quot;:false,&quot;manualOverride&quot;:{&quot;citeprocText&quot;:&quot;(Pacheco-López et al., 2023)&quot;,&quot;isManuallyOverridden&quot;:false,&quot;manualOverrideText&quot;:&quot;&quot;},&quot;citationTag&quot;:&quot;MENDELEY_CITATION_v3_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&quot;,&quot;citationItems&quot;:[{&quot;id&quot;:&quot;29c571c2-7efd-5ef3-876d-dc95122452ec&quot;,&quot;itemData&quot;:{&quot;DOI&quot;:&quot;10.1016/j.compchemeng.2023.108255&quot;,&quot;ISSN&quot;:&quot;00981354&quot;,&quot;abstract&quot;:&quot;The need to transform economic models to implement a circular use of resources is crucial due to the current waste accumulation crisis. New waste-to-resource alternatives are constantly emerging to close material loops; therefore, tools are needed to identify the best synergies to upcycle waste. An approach has been developed to identify and assess waste-to-resource processing routes not currently implemented at the industrial level to valorize waste. The proposed framework consists of several interconnected modules that include ontologies for knowledge management, graph theory and short-path algorithms for the generation of paths and pre-assessment of processes, a Mixed-Integer Linear Programming (MILP) model for superstructure optimization; and the rigorous design, simulation, and optimization exclusively of those alternatives that show the best performance in previous steps. A case study for the treatment of mixed plastic waste reveals chemical recycling and the production of pyrolytic fuels as tentatively favorable options, both environmentally and economically.&quot;,&quot;author&quot;:[{&quot;dropping-particle&quot;:&quot;&quot;,&quot;family&quot;:&quot;Pacheco-López&quot;,&quot;given&quot;:&quot;Adrián&quot;,&quot;non-dropping-particle&quot;:&quot;&quot;,&quot;parse-names&quot;:false,&quot;suffix&quot;:&quot;&quot;},{&quot;dropping-particle&quot;:&quot;&quot;,&quot;family&quot;:&quot;Gómez-Reyes&quot;,&quot;given&quot;:&quot;Edward&quot;,&quot;non-dropping-particle&quot;:&quot;&quot;,&quot;parse-names&quot;:false,&quot;suffix&quot;:&quot;&quot;},{&quot;dropping-particle&quot;:&quot;&quot;,&quot;family&quot;:&quot;Graells&quot;,&quot;given&quot;:&quot;Moisés&quot;,&quot;non-dropping-particle&quot;:&quot;&quot;,&quot;parse-names&quot;:false,&quot;suffix&quot;:&quot;&quot;},{&quot;dropping-particle&quot;:&quot;&quot;,&quot;family&quot;:&quot;Espuña&quot;,&quot;given&quot;:&quot;Antonio&quot;,&quot;non-dropping-particle&quot;:&quot;&quot;,&quot;parse-names&quot;:false,&quot;suffix&quot;:&quot;&quot;},{&quot;dropping-particle&quot;:&quot;&quot;,&quot;family&quot;:&quot;Somoza-Tornos&quot;,&quot;given&quot;:&quot;Ana&quot;,&quot;non-dropping-particle&quot;:&quot;&quot;,&quot;parse-names&quot;:false,&quot;suffix&quot;:&quot;&quot;}],&quot;container-title&quot;:&quot;Computers and Chemical Engineering&quot;,&quot;id&quot;:&quot;29c571c2-7efd-5ef3-876d-dc95122452ec&quot;,&quot;issued&quot;:{&quot;date-parts&quot;:[[&quot;2023&quot;,&quot;4&quot;,&quot;7&quot;]]},&quot;page&quot;:&quot;108255&quot;,&quot;publisher&quot;:&quot;Pergamon&quot;,&quot;title&quot;:&quot;Integrated synthesis, modeling, and assessment (iSMA) of waste-to-resource alternatives towards a circular economy: The case of the chemical recycling of plastic waste management&quot;,&quot;type&quot;:&quot;article-journal&quot;,&quot;volume&quot;:&quot;175&quot;,&quot;container-title-short&quot;:&quot;Comput Chem Eng&quot;},&quot;uris&quot;:[&quot;http://www.mendeley.com/documents/?uuid=0c16fa4a-25ff-3458-b061-3e697f8f494a&quot;],&quot;isTemporary&quot;:false,&quot;legacyDesktopId&quot;:&quot;0c16fa4a-25ff-3458-b061-3e697f8f494a&quot;}]},{&quot;citationID&quot;:&quot;MENDELEY_CITATION_0283263c-9ce1-46d1-bbdd-a55faa2bd66a&quot;,&quot;properties&quot;:{&quot;noteIndex&quot;:0},&quot;isEdited&quot;:false,&quot;manualOverride&quot;:{&quot;citeprocText&quot;:&quot;(Pacheco-López et al., 2023)&quot;,&quot;isManuallyOverridden&quot;:false,&quot;manualOverrideText&quot;:&quot;&quot;},&quot;citationTag&quot;:&quot;MENDELEY_CITATION_v3_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&quot;,&quot;citationItems&quot;:[{&quot;id&quot;:&quot;29c571c2-7efd-5ef3-876d-dc95122452ec&quot;,&quot;itemData&quot;:{&quot;DOI&quot;:&quot;10.1016/j.compchemeng.2023.108255&quot;,&quot;ISSN&quot;:&quot;00981354&quot;,&quot;abstract&quot;:&quot;The need to transform economic models to implement a circular use of resources is crucial due to the current waste accumulation crisis. New waste-to-resource alternatives are constantly emerging to close material loops; therefore, tools are needed to identify the best synergies to upcycle waste. An approach has been developed to identify and assess waste-to-resource processing routes not currently implemented at the industrial level to valorize waste. The proposed framework consists of several interconnected modules that include ontologies for knowledge management, graph theory and short-path algorithms for the generation of paths and pre-assessment of processes, a Mixed-Integer Linear Programming (MILP) model for superstructure optimization; and the rigorous design, simulation, and optimization exclusively of those alternatives that show the best performance in previous steps. A case study for the treatment of mixed plastic waste reveals chemical recycling and the production of pyrolytic fuels as tentatively favorable options, both environmentally and economically.&quot;,&quot;author&quot;:[{&quot;dropping-particle&quot;:&quot;&quot;,&quot;family&quot;:&quot;Pacheco-López&quot;,&quot;given&quot;:&quot;Adrián&quot;,&quot;non-dropping-particle&quot;:&quot;&quot;,&quot;parse-names&quot;:false,&quot;suffix&quot;:&quot;&quot;},{&quot;dropping-particle&quot;:&quot;&quot;,&quot;family&quot;:&quot;Gómez-Reyes&quot;,&quot;given&quot;:&quot;Edward&quot;,&quot;non-dropping-particle&quot;:&quot;&quot;,&quot;parse-names&quot;:false,&quot;suffix&quot;:&quot;&quot;},{&quot;dropping-particle&quot;:&quot;&quot;,&quot;family&quot;:&quot;Graells&quot;,&quot;given&quot;:&quot;Moisés&quot;,&quot;non-dropping-particle&quot;:&quot;&quot;,&quot;parse-names&quot;:false,&quot;suffix&quot;:&quot;&quot;},{&quot;dropping-particle&quot;:&quot;&quot;,&quot;family&quot;:&quot;Espuña&quot;,&quot;given&quot;:&quot;Antonio&quot;,&quot;non-dropping-particle&quot;:&quot;&quot;,&quot;parse-names&quot;:false,&quot;suffix&quot;:&quot;&quot;},{&quot;dropping-particle&quot;:&quot;&quot;,&quot;family&quot;:&quot;Somoza-Tornos&quot;,&quot;given&quot;:&quot;Ana&quot;,&quot;non-dropping-particle&quot;:&quot;&quot;,&quot;parse-names&quot;:false,&quot;suffix&quot;:&quot;&quot;}],&quot;container-title&quot;:&quot;Computers and Chemical Engineering&quot;,&quot;id&quot;:&quot;29c571c2-7efd-5ef3-876d-dc95122452ec&quot;,&quot;issued&quot;:{&quot;date-parts&quot;:[[&quot;2023&quot;,&quot;4&quot;,&quot;7&quot;]]},&quot;page&quot;:&quot;108255&quot;,&quot;publisher&quot;:&quot;Pergamon&quot;,&quot;title&quot;:&quot;Integrated synthesis, modeling, and assessment (iSMA) of waste-to-resource alternatives towards a circular economy: The case of the chemical recycling of plastic waste management&quot;,&quot;type&quot;:&quot;article-journal&quot;,&quot;volume&quot;:&quot;175&quot;,&quot;container-title-short&quot;:&quot;Comput Chem Eng&quot;},&quot;uris&quot;:[&quot;http://www.mendeley.com/documents/?uuid=0c16fa4a-25ff-3458-b061-3e697f8f494a&quot;],&quot;isTemporary&quot;:false,&quot;legacyDesktopId&quot;:&quot;0c16fa4a-25ff-3458-b061-3e697f8f494a&quot;}]}]"/>
    <we:property name="MENDELEY_CITATIONS_LOCALE_CODE" value="&quot;en-US&quot;"/>
    <we:property name="MENDELEY_CITATIONS_STYLE" value="{&quot;id&quot;:&quot;https://www.zotero.org/styles/computers-and-chemical-engineering&quot;,&quot;title&quot;:&quot;Computers and Chemical Engineering&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27BD-BDDE-4750-B4B4-EC2BA7B8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2737</Words>
  <Characters>15602</Characters>
  <Application>Microsoft Office Word</Application>
  <DocSecurity>0</DocSecurity>
  <Lines>130</Lines>
  <Paragraphs>36</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Pacheco;Cabo</dc:creator>
  <cp:lastModifiedBy>Adrian</cp:lastModifiedBy>
  <cp:revision>3</cp:revision>
  <cp:lastPrinted>2004-12-17T09:20:00Z</cp:lastPrinted>
  <dcterms:created xsi:type="dcterms:W3CDTF">2023-11-30T22:43:00Z</dcterms:created>
  <dcterms:modified xsi:type="dcterms:W3CDTF">2023-11-30T22:44:00Z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Unique User Id_1">
    <vt:lpwstr>b426eedd-ddf5-3878-933d-e2fc8ed8716b</vt:lpwstr>
  </property>
  <property fmtid="{D5CDD505-2E9C-101B-9397-08002B2CF9AE}" pid="12" name="Mendeley Citation Style_1">
    <vt:lpwstr>http://www.zotero.org/styles/computers-and-chemical-engineering</vt:lpwstr>
  </property>
  <property fmtid="{D5CDD505-2E9C-101B-9397-08002B2CF9AE}" pid="13" name="Mendeley Recent Style Id 0_1">
    <vt:lpwstr>http://www.zotero.org/styles/american-political-science-association</vt:lpwstr>
  </property>
  <property fmtid="{D5CDD505-2E9C-101B-9397-08002B2CF9AE}" pid="14" name="Mendeley Recent Style Name 0_1">
    <vt:lpwstr>American Political Science Association</vt:lpwstr>
  </property>
  <property fmtid="{D5CDD505-2E9C-101B-9397-08002B2CF9AE}" pid="15" name="Mendeley Recent Style Id 1_1">
    <vt:lpwstr>http://www.zotero.org/styles/apa</vt:lpwstr>
  </property>
  <property fmtid="{D5CDD505-2E9C-101B-9397-08002B2CF9AE}" pid="16" name="Mendeley Recent Style Name 1_1">
    <vt:lpwstr>American Psychological Association 7th edition</vt:lpwstr>
  </property>
  <property fmtid="{D5CDD505-2E9C-101B-9397-08002B2CF9AE}" pid="17" name="Mendeley Recent Style Id 2_1">
    <vt:lpwstr>http://www.zotero.org/styles/american-sociological-association</vt:lpwstr>
  </property>
  <property fmtid="{D5CDD505-2E9C-101B-9397-08002B2CF9AE}" pid="18" name="Mendeley Recent Style Name 2_1">
    <vt:lpwstr>American Sociological Association 6th edition</vt:lpwstr>
  </property>
  <property fmtid="{D5CDD505-2E9C-101B-9397-08002B2CF9AE}" pid="19" name="Mendeley Recent Style Id 3_1">
    <vt:lpwstr>http://www.zotero.org/styles/harvard-cite-them-right</vt:lpwstr>
  </property>
  <property fmtid="{D5CDD505-2E9C-101B-9397-08002B2CF9AE}" pid="20" name="Mendeley Recent Style Name 3_1">
    <vt:lpwstr>Cite Them Right 10th edition - Harvard</vt:lpwstr>
  </property>
  <property fmtid="{D5CDD505-2E9C-101B-9397-08002B2CF9AE}" pid="21" name="Mendeley Recent Style Id 4_1">
    <vt:lpwstr>http://www.zotero.org/styles/computers-and-chemical-engineering</vt:lpwstr>
  </property>
  <property fmtid="{D5CDD505-2E9C-101B-9397-08002B2CF9AE}" pid="22" name="Mendeley Recent Style Name 4_1">
    <vt:lpwstr>Computers and Chemical Engineering</vt:lpwstr>
  </property>
  <property fmtid="{D5CDD505-2E9C-101B-9397-08002B2CF9AE}" pid="23" name="Mendeley Recent Style Id 5_1">
    <vt:lpwstr>http://www.zotero.org/styles/ieee</vt:lpwstr>
  </property>
  <property fmtid="{D5CDD505-2E9C-101B-9397-08002B2CF9AE}" pid="24" name="Mendeley Recent Style Name 5_1">
    <vt:lpwstr>IEEE</vt:lpwstr>
  </property>
  <property fmtid="{D5CDD505-2E9C-101B-9397-08002B2CF9AE}" pid="25" name="Mendeley Recent Style Id 6_1">
    <vt:lpwstr>http://www.zotero.org/styles/modern-humanities-research-association</vt:lpwstr>
  </property>
  <property fmtid="{D5CDD505-2E9C-101B-9397-08002B2CF9AE}" pid="26" name="Mendeley Recent Style Name 6_1">
    <vt:lpwstr>Modern Humanities Research Association 3rd edition (note with bibliography)</vt:lpwstr>
  </property>
  <property fmtid="{D5CDD505-2E9C-101B-9397-08002B2CF9AE}" pid="27" name="Mendeley Recent Style Id 7_1">
    <vt:lpwstr>http://www.zotero.org/styles/modern-language-association</vt:lpwstr>
  </property>
  <property fmtid="{D5CDD505-2E9C-101B-9397-08002B2CF9AE}" pid="28" name="Mendeley Recent Style Name 7_1">
    <vt:lpwstr>Modern Language Association 8th edition</vt:lpwstr>
  </property>
  <property fmtid="{D5CDD505-2E9C-101B-9397-08002B2CF9AE}" pid="29" name="Mendeley Recent Style Id 8_1">
    <vt:lpwstr>http://www.zotero.org/styles/nature</vt:lpwstr>
  </property>
  <property fmtid="{D5CDD505-2E9C-101B-9397-08002B2CF9AE}" pid="30" name="Mendeley Recent Style Name 8_1">
    <vt:lpwstr>Nature</vt:lpwstr>
  </property>
  <property fmtid="{D5CDD505-2E9C-101B-9397-08002B2CF9AE}" pid="31" name="Mendeley Recent Style Id 9_1">
    <vt:lpwstr>http://www.zotero.org/styles/resources-conservation-and-recycling</vt:lpwstr>
  </property>
  <property fmtid="{D5CDD505-2E9C-101B-9397-08002B2CF9AE}" pid="32" name="Mendeley Recent Style Name 9_1">
    <vt:lpwstr>Resources, Conservation &amp; Recycling</vt:lpwstr>
  </property>
</Properties>
</file>