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BA2EDFE" w:rsidR="00DD3D9E" w:rsidRPr="00B4388F" w:rsidRDefault="00DC22BE">
      <w:pPr>
        <w:pStyle w:val="Els-Title"/>
        <w:rPr>
          <w:color w:val="000000" w:themeColor="text1"/>
        </w:rPr>
      </w:pPr>
      <w:r>
        <w:rPr>
          <w:color w:val="000000" w:themeColor="text1"/>
        </w:rPr>
        <w:t>Enhanced sustainable natural gas production using biomass biodigestion and gasification integrated with solid oxide electrolysis cell</w:t>
      </w:r>
    </w:p>
    <w:p w14:paraId="144DE680" w14:textId="6863B0C2" w:rsidR="00DD3D9E" w:rsidRPr="00766255" w:rsidRDefault="00DC22BE">
      <w:pPr>
        <w:pStyle w:val="Els-Author"/>
        <w:rPr>
          <w:lang w:val="it-IT"/>
        </w:rPr>
      </w:pPr>
      <w:r w:rsidRPr="00766255">
        <w:rPr>
          <w:color w:val="000000"/>
          <w:szCs w:val="22"/>
          <w:lang w:val="it-IT"/>
        </w:rPr>
        <w:t xml:space="preserve">Meire </w:t>
      </w:r>
      <w:bookmarkStart w:id="0" w:name="_GoBack"/>
      <w:bookmarkEnd w:id="0"/>
      <w:r w:rsidRPr="00766255">
        <w:rPr>
          <w:color w:val="000000"/>
          <w:szCs w:val="22"/>
          <w:lang w:val="it-IT"/>
        </w:rPr>
        <w:t>Ribeiro Domingos</w:t>
      </w:r>
      <w:r w:rsidRPr="00766255">
        <w:rPr>
          <w:color w:val="000000"/>
          <w:szCs w:val="22"/>
          <w:vertAlign w:val="superscript"/>
          <w:lang w:val="it-IT"/>
        </w:rPr>
        <w:t>a</w:t>
      </w:r>
      <w:r w:rsidRPr="00766255">
        <w:rPr>
          <w:color w:val="000000"/>
          <w:szCs w:val="22"/>
          <w:lang w:val="it-IT"/>
        </w:rPr>
        <w:t>, Daniel Flórez-Orrego</w:t>
      </w:r>
      <w:r w:rsidRPr="00766255">
        <w:rPr>
          <w:color w:val="000000"/>
          <w:szCs w:val="22"/>
          <w:vertAlign w:val="superscript"/>
          <w:lang w:val="it-IT"/>
        </w:rPr>
        <w:t>a,b</w:t>
      </w:r>
      <w:r w:rsidRPr="00766255">
        <w:rPr>
          <w:color w:val="000000"/>
          <w:szCs w:val="22"/>
          <w:lang w:val="it-IT"/>
        </w:rPr>
        <w:t>,</w:t>
      </w:r>
      <w:r w:rsidR="002D685A" w:rsidRPr="00766255">
        <w:rPr>
          <w:color w:val="000000"/>
          <w:szCs w:val="22"/>
          <w:lang w:val="it-IT"/>
        </w:rPr>
        <w:t xml:space="preserve"> Dareen Dardor</w:t>
      </w:r>
      <w:r w:rsidR="002D685A" w:rsidRPr="00766255">
        <w:rPr>
          <w:color w:val="000000"/>
          <w:szCs w:val="22"/>
          <w:vertAlign w:val="superscript"/>
          <w:lang w:val="it-IT"/>
        </w:rPr>
        <w:t>a</w:t>
      </w:r>
      <w:r w:rsidR="002D685A" w:rsidRPr="00766255">
        <w:rPr>
          <w:color w:val="000000"/>
          <w:szCs w:val="22"/>
          <w:lang w:val="it-IT"/>
        </w:rPr>
        <w:t>,</w:t>
      </w:r>
      <w:r w:rsidRPr="00766255">
        <w:rPr>
          <w:color w:val="000000"/>
          <w:sz w:val="13"/>
          <w:szCs w:val="13"/>
          <w:vertAlign w:val="superscript"/>
          <w:lang w:val="it-IT"/>
        </w:rPr>
        <w:t xml:space="preserve"> </w:t>
      </w:r>
      <w:r w:rsidRPr="00766255">
        <w:rPr>
          <w:color w:val="000000"/>
          <w:szCs w:val="22"/>
          <w:lang w:val="it-IT"/>
        </w:rPr>
        <w:t>François Maréchal</w:t>
      </w:r>
      <w:r w:rsidRPr="00766255">
        <w:rPr>
          <w:color w:val="000000"/>
          <w:szCs w:val="22"/>
          <w:vertAlign w:val="superscript"/>
          <w:lang w:val="it-IT"/>
        </w:rPr>
        <w:t>a</w:t>
      </w:r>
    </w:p>
    <w:p w14:paraId="0D7950B6" w14:textId="0267C1AC" w:rsidR="00DC22BE" w:rsidRDefault="00DC22BE" w:rsidP="00DC22BE">
      <w:pPr>
        <w:pStyle w:val="Els-Affiliation"/>
      </w:pPr>
      <w:r>
        <w:rPr>
          <w:vertAlign w:val="superscript"/>
        </w:rPr>
        <w:t>a</w:t>
      </w:r>
      <w:r>
        <w:t>Federal Polytechnic School of Lausanne, IPESE group, Sion, Switzerland.</w:t>
      </w:r>
    </w:p>
    <w:p w14:paraId="021A076D" w14:textId="77777777" w:rsidR="00DC22BE" w:rsidRDefault="00DC22BE" w:rsidP="00DC22BE">
      <w:pPr>
        <w:pStyle w:val="Els-Affiliation"/>
      </w:pPr>
      <w:r>
        <w:rPr>
          <w:vertAlign w:val="superscript"/>
        </w:rPr>
        <w:t>b</w:t>
      </w:r>
      <w:r>
        <w:t>Faculty of Minas, National University of Colombia, Medellin, Colombia.</w:t>
      </w:r>
    </w:p>
    <w:p w14:paraId="144DE683" w14:textId="626B4D93" w:rsidR="008D2649" w:rsidRPr="00A94774" w:rsidRDefault="00DC22BE" w:rsidP="008D2649">
      <w:pPr>
        <w:pStyle w:val="Els-Affiliation"/>
        <w:spacing w:after="120"/>
      </w:pPr>
      <w:r>
        <w:t>meire.ribeirodomingos@epfl.ch</w:t>
      </w:r>
    </w:p>
    <w:p w14:paraId="144DE684" w14:textId="77777777" w:rsidR="008D2649" w:rsidRDefault="008D2649" w:rsidP="008D2649">
      <w:pPr>
        <w:pStyle w:val="Els-Abstract"/>
      </w:pPr>
      <w:r>
        <w:t>Abstract</w:t>
      </w:r>
    </w:p>
    <w:p w14:paraId="6BA35743" w14:textId="32C54A60" w:rsidR="002D740F" w:rsidRDefault="002D685A" w:rsidP="002D685A">
      <w:pPr>
        <w:pStyle w:val="Els-body-text"/>
        <w:rPr>
          <w:color w:val="000000"/>
        </w:rPr>
      </w:pPr>
      <w:r>
        <w:rPr>
          <w:color w:val="000000"/>
        </w:rPr>
        <w:t>In this work, a computational approach is used to identify the operating conditions and arrangements that minimize the consumption of energy resources for sustainable natural gas production. The gasification process of the digestate derived from the biodigestion unit as well as the high temperature electrolysis system are modelled using Aspen Plus® software, whereas t</w:t>
      </w:r>
      <w:r w:rsidRPr="006544AB">
        <w:rPr>
          <w:color w:val="000000"/>
        </w:rPr>
        <w:t>he OSMOSE Lua platform</w:t>
      </w:r>
      <w:r>
        <w:rPr>
          <w:color w:val="000000"/>
        </w:rPr>
        <w:t xml:space="preserve"> handles </w:t>
      </w:r>
      <w:r w:rsidRPr="006544AB">
        <w:rPr>
          <w:color w:val="000000"/>
        </w:rPr>
        <w:t xml:space="preserve">the </w:t>
      </w:r>
      <w:r>
        <w:rPr>
          <w:color w:val="000000"/>
        </w:rPr>
        <w:t xml:space="preserve">solution to the optimization </w:t>
      </w:r>
      <w:r w:rsidRPr="006544AB">
        <w:rPr>
          <w:color w:val="000000"/>
        </w:rPr>
        <w:t>problem</w:t>
      </w:r>
      <w:r>
        <w:rPr>
          <w:color w:val="000000"/>
        </w:rPr>
        <w:t xml:space="preserve"> of minimum energy consumption</w:t>
      </w:r>
      <w:r w:rsidRPr="006544AB">
        <w:rPr>
          <w:color w:val="000000"/>
        </w:rPr>
        <w:t xml:space="preserve"> and</w:t>
      </w:r>
      <w:r>
        <w:rPr>
          <w:color w:val="000000"/>
        </w:rPr>
        <w:t xml:space="preserve"> </w:t>
      </w:r>
      <w:r w:rsidRPr="006544AB">
        <w:rPr>
          <w:color w:val="000000"/>
        </w:rPr>
        <w:t xml:space="preserve">the </w:t>
      </w:r>
      <w:r>
        <w:rPr>
          <w:color w:val="000000"/>
        </w:rPr>
        <w:t>total</w:t>
      </w:r>
      <w:r w:rsidRPr="006544AB">
        <w:rPr>
          <w:color w:val="000000"/>
        </w:rPr>
        <w:t xml:space="preserve"> cost of the chemical plant</w:t>
      </w:r>
      <w:r>
        <w:rPr>
          <w:color w:val="000000"/>
        </w:rPr>
        <w:t>.</w:t>
      </w:r>
      <w:r w:rsidRPr="006544AB">
        <w:rPr>
          <w:color w:val="000000"/>
        </w:rPr>
        <w:t xml:space="preserve"> </w:t>
      </w:r>
      <w:r w:rsidR="0021034E">
        <w:rPr>
          <w:color w:val="000000"/>
        </w:rPr>
        <w:t>Breakthrough</w:t>
      </w:r>
      <w:r w:rsidR="002D740F" w:rsidRPr="002D740F">
        <w:rPr>
          <w:color w:val="000000"/>
        </w:rPr>
        <w:t xml:space="preserve"> technologies </w:t>
      </w:r>
      <w:r w:rsidR="0021034E">
        <w:rPr>
          <w:color w:val="000000"/>
        </w:rPr>
        <w:t>played an important role</w:t>
      </w:r>
      <w:r w:rsidR="002D740F" w:rsidRPr="002D740F">
        <w:rPr>
          <w:color w:val="000000"/>
        </w:rPr>
        <w:t xml:space="preserve"> to reduce the </w:t>
      </w:r>
      <w:r w:rsidR="002D740F">
        <w:rPr>
          <w:color w:val="000000"/>
        </w:rPr>
        <w:t>intermittency</w:t>
      </w:r>
      <w:r w:rsidR="002D740F" w:rsidRPr="002D740F">
        <w:rPr>
          <w:color w:val="000000"/>
        </w:rPr>
        <w:t xml:space="preserve"> of renewable energy sources. </w:t>
      </w:r>
      <w:r w:rsidR="0021034E">
        <w:rPr>
          <w:color w:val="000000"/>
        </w:rPr>
        <w:t>The e</w:t>
      </w:r>
      <w:r w:rsidR="002D740F" w:rsidRPr="002D740F">
        <w:rPr>
          <w:color w:val="000000"/>
        </w:rPr>
        <w:t>ffective CO</w:t>
      </w:r>
      <w:r w:rsidR="002D740F" w:rsidRPr="0021034E">
        <w:rPr>
          <w:color w:val="000000"/>
          <w:vertAlign w:val="subscript"/>
        </w:rPr>
        <w:t>2</w:t>
      </w:r>
      <w:r w:rsidR="002D740F" w:rsidRPr="002D740F">
        <w:rPr>
          <w:color w:val="000000"/>
        </w:rPr>
        <w:t xml:space="preserve"> management and storage systems ensure a reliable supply of s</w:t>
      </w:r>
      <w:r w:rsidR="0021034E">
        <w:rPr>
          <w:color w:val="000000"/>
        </w:rPr>
        <w:t>ustainable</w:t>
      </w:r>
      <w:r w:rsidR="002D740F" w:rsidRPr="002D740F">
        <w:rPr>
          <w:color w:val="000000"/>
        </w:rPr>
        <w:t xml:space="preserve"> natural gas, even during times of high electricity demand and market volatility. This can increase plant revenue</w:t>
      </w:r>
      <w:r w:rsidR="0021034E">
        <w:rPr>
          <w:color w:val="000000"/>
        </w:rPr>
        <w:t>s</w:t>
      </w:r>
      <w:r w:rsidR="002D740F" w:rsidRPr="002D740F">
        <w:rPr>
          <w:color w:val="000000"/>
        </w:rPr>
        <w:t>, but indirect emissions from the electricity mix remain a challenge to decarbonizing important commodities.</w:t>
      </w:r>
    </w:p>
    <w:p w14:paraId="144DE686" w14:textId="4906559E" w:rsidR="008D2649" w:rsidRPr="002D685A" w:rsidRDefault="008D2649" w:rsidP="008D2649">
      <w:pPr>
        <w:pStyle w:val="Els-body-text"/>
        <w:spacing w:after="120"/>
      </w:pPr>
    </w:p>
    <w:p w14:paraId="144DE687" w14:textId="4B52C9F2" w:rsidR="008D2649" w:rsidRDefault="008D2649" w:rsidP="008D2649">
      <w:pPr>
        <w:pStyle w:val="Els-body-text"/>
        <w:spacing w:after="120"/>
        <w:rPr>
          <w:lang w:val="en-GB"/>
        </w:rPr>
      </w:pPr>
      <w:r>
        <w:rPr>
          <w:b/>
          <w:bCs/>
          <w:lang w:val="en-GB"/>
        </w:rPr>
        <w:t>Keywords</w:t>
      </w:r>
      <w:r>
        <w:rPr>
          <w:lang w:val="en-GB"/>
        </w:rPr>
        <w:t xml:space="preserve">: </w:t>
      </w:r>
      <w:r w:rsidR="00F13A7E">
        <w:t>process integration, sustainable natural gas, renewable energy, solid oxide electrolysis, gasification</w:t>
      </w:r>
    </w:p>
    <w:p w14:paraId="144DE689" w14:textId="294265CE" w:rsidR="008D2649" w:rsidRDefault="002D685A" w:rsidP="008D2649">
      <w:pPr>
        <w:pStyle w:val="Els-1storder-head"/>
      </w:pPr>
      <w:r>
        <w:t>Introduction</w:t>
      </w:r>
    </w:p>
    <w:p w14:paraId="2866F99D" w14:textId="7CEA29DA" w:rsidR="00B41288" w:rsidRDefault="00B41288" w:rsidP="008D2649">
      <w:pPr>
        <w:pStyle w:val="Els-body-text"/>
      </w:pPr>
      <w:r w:rsidRPr="00B41288">
        <w:t>Biomethane</w:t>
      </w:r>
      <w:r>
        <w:t xml:space="preserve"> is a </w:t>
      </w:r>
      <w:r w:rsidR="00D03DAE">
        <w:t xml:space="preserve">renewable fuel </w:t>
      </w:r>
      <w:r w:rsidRPr="00B41288">
        <w:t>produced</w:t>
      </w:r>
      <w:r>
        <w:t xml:space="preserve"> </w:t>
      </w:r>
      <w:r w:rsidRPr="00B41288">
        <w:t>from</w:t>
      </w:r>
      <w:r>
        <w:t xml:space="preserve"> </w:t>
      </w:r>
      <w:r w:rsidRPr="00B41288">
        <w:t>waste-derived</w:t>
      </w:r>
      <w:r>
        <w:t xml:space="preserve"> </w:t>
      </w:r>
      <w:r w:rsidRPr="00B41288">
        <w:t>biomass</w:t>
      </w:r>
      <w:r>
        <w:t xml:space="preserve"> </w:t>
      </w:r>
      <w:r w:rsidRPr="00B41288">
        <w:t>(biowaste),</w:t>
      </w:r>
      <w:r>
        <w:t xml:space="preserve"> </w:t>
      </w:r>
      <w:r w:rsidRPr="00B41288">
        <w:t>which</w:t>
      </w:r>
      <w:r>
        <w:t xml:space="preserve"> </w:t>
      </w:r>
      <w:r w:rsidRPr="00B41288">
        <w:t xml:space="preserve">offers </w:t>
      </w:r>
      <w:r w:rsidR="00D03DAE">
        <w:t>significant</w:t>
      </w:r>
      <w:r>
        <w:t xml:space="preserve"> </w:t>
      </w:r>
      <w:r w:rsidRPr="00B41288">
        <w:t>reductions</w:t>
      </w:r>
      <w:r>
        <w:t xml:space="preserve"> </w:t>
      </w:r>
      <w:r w:rsidRPr="00B41288">
        <w:t>of</w:t>
      </w:r>
      <w:r>
        <w:t xml:space="preserve"> </w:t>
      </w:r>
      <w:r w:rsidRPr="00B41288">
        <w:t>greenhouse</w:t>
      </w:r>
      <w:r>
        <w:t xml:space="preserve"> </w:t>
      </w:r>
      <w:r w:rsidRPr="00B41288">
        <w:t>gas</w:t>
      </w:r>
      <w:r>
        <w:t xml:space="preserve"> </w:t>
      </w:r>
      <w:r w:rsidRPr="00B41288">
        <w:t>emissions</w:t>
      </w:r>
      <w:r>
        <w:t xml:space="preserve"> </w:t>
      </w:r>
      <w:r w:rsidRPr="00B41288">
        <w:t>and</w:t>
      </w:r>
      <w:r>
        <w:t xml:space="preserve"> </w:t>
      </w:r>
      <w:r w:rsidRPr="00B41288">
        <w:t>resource</w:t>
      </w:r>
      <w:r>
        <w:t xml:space="preserve"> </w:t>
      </w:r>
      <w:r w:rsidRPr="00B41288">
        <w:t>consumption.</w:t>
      </w:r>
      <w:r>
        <w:t xml:space="preserve"> </w:t>
      </w:r>
      <w:r w:rsidRPr="00B41288">
        <w:t>Biomethane</w:t>
      </w:r>
      <w:r>
        <w:t xml:space="preserve"> </w:t>
      </w:r>
      <w:r w:rsidRPr="00B41288">
        <w:t>is</w:t>
      </w:r>
      <w:r>
        <w:t xml:space="preserve"> </w:t>
      </w:r>
      <w:r w:rsidRPr="00B41288">
        <w:t>currently produced</w:t>
      </w:r>
      <w:r>
        <w:t xml:space="preserve"> </w:t>
      </w:r>
      <w:r w:rsidRPr="00B41288">
        <w:t>via</w:t>
      </w:r>
      <w:r>
        <w:t xml:space="preserve"> </w:t>
      </w:r>
      <w:r w:rsidRPr="00B41288">
        <w:t>anaerobic</w:t>
      </w:r>
      <w:r>
        <w:t xml:space="preserve"> </w:t>
      </w:r>
      <w:r w:rsidRPr="00B41288">
        <w:t>digestion</w:t>
      </w:r>
      <w:r>
        <w:t xml:space="preserve"> </w:t>
      </w:r>
      <w:r w:rsidRPr="00B41288">
        <w:t>of</w:t>
      </w:r>
      <w:r>
        <w:t xml:space="preserve"> </w:t>
      </w:r>
      <w:r w:rsidRPr="00B41288">
        <w:t>wet</w:t>
      </w:r>
      <w:r>
        <w:t xml:space="preserve"> </w:t>
      </w:r>
      <w:r w:rsidRPr="00B41288">
        <w:t>biowaste</w:t>
      </w:r>
      <w:r>
        <w:t xml:space="preserve"> </w:t>
      </w:r>
      <w:r w:rsidR="00D03DAE">
        <w:t xml:space="preserve">followed by </w:t>
      </w:r>
      <w:r w:rsidRPr="00B41288">
        <w:t>upgrading</w:t>
      </w:r>
      <w:r>
        <w:t xml:space="preserve"> </w:t>
      </w:r>
      <w:r w:rsidR="00D03DAE">
        <w:t>processes in order to achieve grid specifications</w:t>
      </w:r>
      <w:r w:rsidRPr="00B41288">
        <w:t>.</w:t>
      </w:r>
      <w:r>
        <w:t xml:space="preserve"> </w:t>
      </w:r>
      <w:r w:rsidRPr="00B41288">
        <w:t>An</w:t>
      </w:r>
      <w:r>
        <w:t xml:space="preserve"> </w:t>
      </w:r>
      <w:r w:rsidRPr="00B41288">
        <w:t>alternative</w:t>
      </w:r>
      <w:r>
        <w:t xml:space="preserve"> </w:t>
      </w:r>
      <w:r w:rsidRPr="00B41288">
        <w:t>production</w:t>
      </w:r>
      <w:r>
        <w:t xml:space="preserve"> </w:t>
      </w:r>
      <w:r w:rsidRPr="00B41288">
        <w:t>strategy is</w:t>
      </w:r>
      <w:r>
        <w:t xml:space="preserve"> </w:t>
      </w:r>
      <w:r w:rsidRPr="00B41288">
        <w:t>the</w:t>
      </w:r>
      <w:r>
        <w:t xml:space="preserve"> </w:t>
      </w:r>
      <w:r w:rsidRPr="00B41288">
        <w:t>gasification</w:t>
      </w:r>
      <w:r>
        <w:t xml:space="preserve"> </w:t>
      </w:r>
      <w:r w:rsidRPr="00B41288">
        <w:t>of</w:t>
      </w:r>
      <w:r>
        <w:t xml:space="preserve"> </w:t>
      </w:r>
      <w:r w:rsidR="00D03DAE">
        <w:t>the</w:t>
      </w:r>
      <w:r>
        <w:t xml:space="preserve"> </w:t>
      </w:r>
      <w:r w:rsidRPr="00B41288">
        <w:t>biowaste</w:t>
      </w:r>
      <w:r>
        <w:t xml:space="preserve"> </w:t>
      </w:r>
      <w:r w:rsidR="00D03DAE">
        <w:t>with downstream</w:t>
      </w:r>
      <w:r>
        <w:t xml:space="preserve"> </w:t>
      </w:r>
      <w:r w:rsidRPr="00B41288">
        <w:t>cleaning, conditioning,</w:t>
      </w:r>
      <w:r>
        <w:t xml:space="preserve"> </w:t>
      </w:r>
      <w:r w:rsidRPr="00B41288">
        <w:t>methanation, and</w:t>
      </w:r>
      <w:r>
        <w:t xml:space="preserve"> </w:t>
      </w:r>
      <w:r w:rsidRPr="00B41288">
        <w:t>final</w:t>
      </w:r>
      <w:r>
        <w:t xml:space="preserve"> </w:t>
      </w:r>
      <w:r w:rsidRPr="00B41288">
        <w:t>upgrading</w:t>
      </w:r>
      <w:r>
        <w:t xml:space="preserve"> </w:t>
      </w:r>
      <w:r w:rsidRPr="00B41288">
        <w:t>of</w:t>
      </w:r>
      <w:r>
        <w:t xml:space="preserve"> </w:t>
      </w:r>
      <w:r w:rsidRPr="00B41288">
        <w:t>obtained</w:t>
      </w:r>
      <w:r>
        <w:t xml:space="preserve"> </w:t>
      </w:r>
      <w:r w:rsidRPr="00B41288">
        <w:t>syngas</w:t>
      </w:r>
      <w:r w:rsidR="007811FA">
        <w:t xml:space="preserve"> (</w:t>
      </w:r>
      <w:proofErr w:type="spellStart"/>
      <w:r w:rsidR="007811FA">
        <w:t>Domingos</w:t>
      </w:r>
      <w:proofErr w:type="spellEnd"/>
      <w:r w:rsidR="007811FA">
        <w:t xml:space="preserve"> et al</w:t>
      </w:r>
      <w:r w:rsidR="000F6340">
        <w:t>.,</w:t>
      </w:r>
      <w:r w:rsidR="007811FA">
        <w:t xml:space="preserve"> 2023)</w:t>
      </w:r>
      <w:r w:rsidRPr="00B41288">
        <w:t xml:space="preserve">. </w:t>
      </w:r>
    </w:p>
    <w:p w14:paraId="30942974" w14:textId="5979187A" w:rsidR="002D685A" w:rsidRPr="00E302C5" w:rsidRDefault="004E785D" w:rsidP="008D2649">
      <w:pPr>
        <w:pStyle w:val="Els-body-text"/>
        <w:rPr>
          <w:color w:val="000000"/>
        </w:rPr>
      </w:pPr>
      <w:r>
        <w:t>H</w:t>
      </w:r>
      <w:r w:rsidR="002D685A">
        <w:t xml:space="preserve">ydrogen production from water electrolysis has recently drawn attention as </w:t>
      </w:r>
      <w:r w:rsidR="002D685A" w:rsidRPr="004A5C5B">
        <w:t xml:space="preserve">a versatile solution for balancing </w:t>
      </w:r>
      <w:r w:rsidR="002D685A">
        <w:t xml:space="preserve">intermittent </w:t>
      </w:r>
      <w:r w:rsidR="002D685A" w:rsidRPr="004A5C5B">
        <w:t>renewable electricity generation, particularly from sources like wind and solar</w:t>
      </w:r>
      <w:r w:rsidR="002D685A">
        <w:t>. In addition, i</w:t>
      </w:r>
      <w:r w:rsidR="002D685A" w:rsidRPr="004A5C5B">
        <w:t xml:space="preserve">ntegrating </w:t>
      </w:r>
      <w:r w:rsidR="002D685A">
        <w:t xml:space="preserve">water </w:t>
      </w:r>
      <w:r w:rsidR="002D685A" w:rsidRPr="004A5C5B">
        <w:t xml:space="preserve">electrolysis </w:t>
      </w:r>
      <w:r w:rsidR="002D685A">
        <w:t>to</w:t>
      </w:r>
      <w:r w:rsidR="002D685A" w:rsidRPr="004A5C5B">
        <w:t xml:space="preserve"> biomass </w:t>
      </w:r>
      <w:r w:rsidR="002D685A">
        <w:t>energy conversion processes may</w:t>
      </w:r>
      <w:r w:rsidR="002D685A" w:rsidRPr="004A5C5B">
        <w:t xml:space="preserve"> offers </w:t>
      </w:r>
      <w:r w:rsidR="002D685A">
        <w:t xml:space="preserve">the potential for a </w:t>
      </w:r>
      <w:r w:rsidR="002D685A" w:rsidRPr="004A5C5B">
        <w:t xml:space="preserve">complete </w:t>
      </w:r>
      <w:r w:rsidR="002D685A">
        <w:t>transformation</w:t>
      </w:r>
      <w:r w:rsidR="002D685A" w:rsidRPr="004A5C5B">
        <w:t xml:space="preserve"> of </w:t>
      </w:r>
      <w:r w:rsidR="002D685A">
        <w:t xml:space="preserve">biogenic </w:t>
      </w:r>
      <w:r w:rsidR="002D685A" w:rsidRPr="004A5C5B">
        <w:t xml:space="preserve">carbon into biofuels. </w:t>
      </w:r>
      <w:r w:rsidR="002D685A">
        <w:t xml:space="preserve">In fact, hydrogen could be added to </w:t>
      </w:r>
      <w:r w:rsidR="002D685A" w:rsidRPr="004A5C5B">
        <w:t>biomass</w:t>
      </w:r>
      <w:r w:rsidR="002D685A">
        <w:t xml:space="preserve"> gasification</w:t>
      </w:r>
      <w:r w:rsidR="002D685A" w:rsidRPr="004A5C5B">
        <w:t xml:space="preserve"> syngas </w:t>
      </w:r>
      <w:r w:rsidR="002D685A">
        <w:t xml:space="preserve">in </w:t>
      </w:r>
      <w:r w:rsidR="002D685A">
        <w:lastRenderedPageBreak/>
        <w:t>order to balance the syngas composition before the</w:t>
      </w:r>
      <w:r w:rsidR="002D685A" w:rsidRPr="004A5C5B">
        <w:t xml:space="preserve"> biofuel </w:t>
      </w:r>
      <w:r w:rsidR="002D685A">
        <w:t>production step</w:t>
      </w:r>
      <w:r w:rsidR="002D685A" w:rsidRPr="004A5C5B">
        <w:t xml:space="preserve">. </w:t>
      </w:r>
      <w:r w:rsidR="002D685A">
        <w:rPr>
          <w:color w:val="000000"/>
        </w:rPr>
        <w:t>The biogenic CO</w:t>
      </w:r>
      <w:r w:rsidR="002D685A" w:rsidRPr="003600E3">
        <w:rPr>
          <w:color w:val="000000"/>
          <w:vertAlign w:val="subscript"/>
        </w:rPr>
        <w:t>2</w:t>
      </w:r>
      <w:r w:rsidR="002D685A">
        <w:rPr>
          <w:color w:val="000000"/>
        </w:rPr>
        <w:t xml:space="preserve"> may also come from biodigestion processes, thus further increasing the sustainable natural gas yield.  </w:t>
      </w:r>
      <w:r w:rsidR="00EC6140">
        <w:rPr>
          <w:color w:val="000000"/>
        </w:rPr>
        <w:t>Thus, in this work, a systematic approach that considers time-varying energy demands i</w:t>
      </w:r>
      <w:r w:rsidR="002D685A">
        <w:rPr>
          <w:color w:val="000000"/>
        </w:rPr>
        <w:t>n view of the seasonal energy costs and the intermittency of renewable energy resources</w:t>
      </w:r>
      <w:r w:rsidR="00EC6140">
        <w:rPr>
          <w:color w:val="000000"/>
        </w:rPr>
        <w:t xml:space="preserve"> is addressed aiming </w:t>
      </w:r>
      <w:r w:rsidR="002D685A">
        <w:rPr>
          <w:color w:val="000000"/>
        </w:rPr>
        <w:t>the integration of</w:t>
      </w:r>
      <w:r w:rsidR="00EC6140">
        <w:rPr>
          <w:color w:val="000000"/>
        </w:rPr>
        <w:t xml:space="preserve"> anaerobic digestion, gasification and high temperature electrolysis in order to enhance the </w:t>
      </w:r>
      <w:r w:rsidR="00B94E42">
        <w:rPr>
          <w:color w:val="000000"/>
        </w:rPr>
        <w:t>sustainable natural gas</w:t>
      </w:r>
      <w:r w:rsidR="00EC6140">
        <w:rPr>
          <w:color w:val="000000"/>
        </w:rPr>
        <w:t xml:space="preserve"> production. </w:t>
      </w:r>
      <w:r w:rsidR="002D685A">
        <w:rPr>
          <w:color w:val="000000"/>
        </w:rPr>
        <w:t xml:space="preserve"> </w:t>
      </w:r>
      <w:r w:rsidR="00EC6140">
        <w:rPr>
          <w:color w:val="000000"/>
        </w:rPr>
        <w:t xml:space="preserve">The optimal </w:t>
      </w:r>
      <w:r w:rsidR="002D685A">
        <w:rPr>
          <w:color w:val="000000"/>
        </w:rPr>
        <w:t>CO</w:t>
      </w:r>
      <w:r w:rsidR="002D685A">
        <w:rPr>
          <w:color w:val="000000"/>
          <w:sz w:val="12"/>
          <w:szCs w:val="12"/>
          <w:vertAlign w:val="subscript"/>
        </w:rPr>
        <w:t>2</w:t>
      </w:r>
      <w:r w:rsidR="002D685A">
        <w:rPr>
          <w:color w:val="000000"/>
        </w:rPr>
        <w:t xml:space="preserve"> </w:t>
      </w:r>
      <w:r w:rsidR="00EC6140">
        <w:rPr>
          <w:color w:val="000000"/>
        </w:rPr>
        <w:t xml:space="preserve">management using </w:t>
      </w:r>
      <w:r w:rsidR="002D685A">
        <w:rPr>
          <w:color w:val="000000"/>
        </w:rPr>
        <w:t>storage systems</w:t>
      </w:r>
      <w:r w:rsidR="00EC6140">
        <w:rPr>
          <w:color w:val="000000"/>
        </w:rPr>
        <w:t xml:space="preserve"> is</w:t>
      </w:r>
      <w:r w:rsidR="002D685A">
        <w:rPr>
          <w:color w:val="000000"/>
        </w:rPr>
        <w:t xml:space="preserve"> also assessed</w:t>
      </w:r>
      <w:r w:rsidR="00D47103">
        <w:rPr>
          <w:color w:val="000000"/>
        </w:rPr>
        <w:t xml:space="preserve"> to demonstrate this operating strategy </w:t>
      </w:r>
      <w:r w:rsidR="00D47103" w:rsidRPr="00D47103">
        <w:rPr>
          <w:color w:val="000000"/>
        </w:rPr>
        <w:t>role</w:t>
      </w:r>
      <w:r w:rsidR="00D47103">
        <w:rPr>
          <w:color w:val="000000"/>
        </w:rPr>
        <w:t xml:space="preserve"> </w:t>
      </w:r>
      <w:r w:rsidR="00D47103" w:rsidRPr="00D47103">
        <w:rPr>
          <w:color w:val="000000"/>
        </w:rPr>
        <w:t>in</w:t>
      </w:r>
      <w:r w:rsidR="00D47103">
        <w:rPr>
          <w:color w:val="000000"/>
        </w:rPr>
        <w:t xml:space="preserve"> </w:t>
      </w:r>
      <w:r w:rsidR="00D47103" w:rsidRPr="00D47103">
        <w:rPr>
          <w:color w:val="000000"/>
        </w:rPr>
        <w:t>future</w:t>
      </w:r>
      <w:r w:rsidR="00D47103">
        <w:rPr>
          <w:color w:val="000000"/>
        </w:rPr>
        <w:t xml:space="preserve"> </w:t>
      </w:r>
      <w:r w:rsidR="00D47103" w:rsidRPr="00D47103">
        <w:rPr>
          <w:color w:val="000000"/>
        </w:rPr>
        <w:t>energy</w:t>
      </w:r>
      <w:r w:rsidR="00D47103">
        <w:rPr>
          <w:color w:val="000000"/>
        </w:rPr>
        <w:t xml:space="preserve"> </w:t>
      </w:r>
      <w:r w:rsidR="00D47103" w:rsidRPr="00D47103">
        <w:rPr>
          <w:color w:val="000000"/>
        </w:rPr>
        <w:t>systems.</w:t>
      </w:r>
    </w:p>
    <w:p w14:paraId="144DE699" w14:textId="3D72E4E1" w:rsidR="008D2649" w:rsidRDefault="002D685A" w:rsidP="008D2649">
      <w:pPr>
        <w:pStyle w:val="Els-1storder-head"/>
      </w:pPr>
      <w:r>
        <w:t>Methods</w:t>
      </w:r>
    </w:p>
    <w:p w14:paraId="144DE69A" w14:textId="092D4E72" w:rsidR="008D2649" w:rsidRDefault="004E785D" w:rsidP="008D2649">
      <w:pPr>
        <w:pStyle w:val="Els-2ndorder-head"/>
      </w:pPr>
      <w:r>
        <w:t>Process modeling and simulation</w:t>
      </w:r>
    </w:p>
    <w:p w14:paraId="5CC4F52A" w14:textId="4D0C2C9D" w:rsidR="00404CC3" w:rsidRDefault="0089405D" w:rsidP="007811FA">
      <w:pPr>
        <w:pStyle w:val="Els-body-text"/>
      </w:pPr>
      <w:r w:rsidRPr="002A49FA">
        <w:t xml:space="preserve">Figure 1 illustrates the </w:t>
      </w:r>
      <w:r w:rsidR="0078414A">
        <w:t>proposed integrated sustainable natural gas production using anaerobic digestion, digestate gasification and high temperature electrolysis.</w:t>
      </w:r>
      <w:r w:rsidR="00EC2533">
        <w:t xml:space="preserve"> </w:t>
      </w:r>
      <w:r w:rsidR="00606812">
        <w:t xml:space="preserve">The </w:t>
      </w:r>
      <w:r w:rsidR="00011458">
        <w:t>biodigestion process is modelled considering a biomethane potential of 300 Nm</w:t>
      </w:r>
      <w:r w:rsidR="00011458" w:rsidRPr="00011458">
        <w:rPr>
          <w:vertAlign w:val="superscript"/>
        </w:rPr>
        <w:t xml:space="preserve">3 </w:t>
      </w:r>
      <w:r w:rsidR="00011458">
        <w:t>CH</w:t>
      </w:r>
      <w:r w:rsidR="00011458" w:rsidRPr="00011458">
        <w:rPr>
          <w:vertAlign w:val="subscript"/>
        </w:rPr>
        <w:t>4</w:t>
      </w:r>
      <w:r w:rsidR="00011458">
        <w:t xml:space="preserve"> per t of volatile solids using organic wastes (</w:t>
      </w:r>
      <w:proofErr w:type="spellStart"/>
      <w:r w:rsidR="00011458">
        <w:t>Wellinger</w:t>
      </w:r>
      <w:proofErr w:type="spellEnd"/>
      <w:r w:rsidR="00011458">
        <w:t xml:space="preserve"> et al 2013). </w:t>
      </w:r>
      <w:r w:rsidR="0078414A" w:rsidRPr="00011458">
        <w:rPr>
          <w:lang w:eastAsia="en-GB"/>
        </w:rPr>
        <w:t xml:space="preserve">The DMT </w:t>
      </w:r>
      <w:proofErr w:type="spellStart"/>
      <w:r w:rsidR="0078414A" w:rsidRPr="00011458">
        <w:rPr>
          <w:lang w:eastAsia="en-GB"/>
        </w:rPr>
        <w:t>Carborex</w:t>
      </w:r>
      <w:proofErr w:type="spellEnd"/>
      <w:r w:rsidR="0078414A" w:rsidRPr="00011458">
        <w:rPr>
          <w:lang w:eastAsia="en-GB"/>
        </w:rPr>
        <w:t xml:space="preserve"> MS </w:t>
      </w:r>
      <w:r w:rsidR="007811FA">
        <w:rPr>
          <w:lang w:eastAsia="en-GB"/>
        </w:rPr>
        <w:t xml:space="preserve">technology is considered for the biogas upgrading, since it can obtain </w:t>
      </w:r>
      <w:r w:rsidR="007811FA" w:rsidRPr="00011458">
        <w:rPr>
          <w:lang w:eastAsia="en-GB"/>
        </w:rPr>
        <w:t>methane concentration of &gt;99% CH</w:t>
      </w:r>
      <w:r w:rsidR="007811FA" w:rsidRPr="007811FA">
        <w:rPr>
          <w:vertAlign w:val="subscript"/>
          <w:lang w:eastAsia="en-GB"/>
        </w:rPr>
        <w:t>4</w:t>
      </w:r>
      <w:r w:rsidR="007811FA">
        <w:rPr>
          <w:lang w:eastAsia="en-GB"/>
        </w:rPr>
        <w:t xml:space="preserve">, and has a </w:t>
      </w:r>
      <w:r w:rsidR="007811FA" w:rsidRPr="00011458">
        <w:rPr>
          <w:lang w:eastAsia="en-GB"/>
        </w:rPr>
        <w:t xml:space="preserve">high energy recovery (&gt;98%) </w:t>
      </w:r>
      <w:r w:rsidR="007811FA">
        <w:rPr>
          <w:lang w:eastAsia="en-GB"/>
        </w:rPr>
        <w:t>consuming only</w:t>
      </w:r>
      <w:r w:rsidR="007811FA" w:rsidRPr="00011458">
        <w:rPr>
          <w:lang w:eastAsia="en-GB"/>
        </w:rPr>
        <w:t xml:space="preserve"> 0.18-0.22</w:t>
      </w:r>
      <w:r w:rsidR="007811FA">
        <w:rPr>
          <w:lang w:eastAsia="en-GB"/>
        </w:rPr>
        <w:t xml:space="preserve"> </w:t>
      </w:r>
      <w:r w:rsidR="007811FA" w:rsidRPr="00011458">
        <w:rPr>
          <w:lang w:eastAsia="en-GB"/>
        </w:rPr>
        <w:t>kWh/Nm</w:t>
      </w:r>
      <w:r w:rsidR="007811FA" w:rsidRPr="007811FA">
        <w:rPr>
          <w:vertAlign w:val="superscript"/>
          <w:lang w:eastAsia="en-GB"/>
        </w:rPr>
        <w:t>3</w:t>
      </w:r>
      <w:r w:rsidR="007811FA" w:rsidRPr="00011458">
        <w:rPr>
          <w:lang w:eastAsia="en-GB"/>
        </w:rPr>
        <w:t xml:space="preserve"> and</w:t>
      </w:r>
      <w:r w:rsidR="007811FA">
        <w:rPr>
          <w:lang w:eastAsia="en-GB"/>
        </w:rPr>
        <w:t xml:space="preserve"> presenting </w:t>
      </w:r>
      <w:r w:rsidR="007811FA" w:rsidRPr="00011458">
        <w:rPr>
          <w:lang w:eastAsia="en-GB"/>
        </w:rPr>
        <w:t>&lt;0.5% methane loss</w:t>
      </w:r>
      <w:r w:rsidR="007811FA">
        <w:rPr>
          <w:lang w:eastAsia="en-GB"/>
        </w:rPr>
        <w:t>. The CO</w:t>
      </w:r>
      <w:r w:rsidR="007811FA" w:rsidRPr="007811FA">
        <w:rPr>
          <w:vertAlign w:val="subscript"/>
          <w:lang w:eastAsia="en-GB"/>
        </w:rPr>
        <w:t>2</w:t>
      </w:r>
      <w:r w:rsidR="007811FA">
        <w:rPr>
          <w:lang w:eastAsia="en-GB"/>
        </w:rPr>
        <w:t xml:space="preserve"> is also recovered in the upgrading system with a purity above 99.5% (</w:t>
      </w:r>
      <w:proofErr w:type="spellStart"/>
      <w:r w:rsidR="007811FA">
        <w:rPr>
          <w:lang w:eastAsia="en-GB"/>
        </w:rPr>
        <w:t>Lems</w:t>
      </w:r>
      <w:proofErr w:type="spellEnd"/>
      <w:r w:rsidR="007811FA">
        <w:rPr>
          <w:lang w:eastAsia="en-GB"/>
        </w:rPr>
        <w:t xml:space="preserve"> et al</w:t>
      </w:r>
      <w:r w:rsidR="000F6340">
        <w:rPr>
          <w:lang w:eastAsia="en-GB"/>
        </w:rPr>
        <w:t>.,</w:t>
      </w:r>
      <w:r w:rsidR="007811FA">
        <w:rPr>
          <w:lang w:eastAsia="en-GB"/>
        </w:rPr>
        <w:t xml:space="preserve"> 2008).</w:t>
      </w:r>
      <w:r w:rsidR="00404CC3">
        <w:rPr>
          <w:lang w:eastAsia="en-GB"/>
        </w:rPr>
        <w:t xml:space="preserve"> The upgraded biomethane is marketed and the CO</w:t>
      </w:r>
      <w:r w:rsidR="00404CC3" w:rsidRPr="00404CC3">
        <w:rPr>
          <w:vertAlign w:val="subscript"/>
          <w:lang w:eastAsia="en-GB"/>
        </w:rPr>
        <w:t>2</w:t>
      </w:r>
      <w:r w:rsidR="00404CC3">
        <w:rPr>
          <w:lang w:eastAsia="en-GB"/>
        </w:rPr>
        <w:t xml:space="preserve"> rich stream follows to the biomethane production. </w:t>
      </w:r>
    </w:p>
    <w:p w14:paraId="3F49E0FC" w14:textId="013C7113" w:rsidR="0089405D" w:rsidRDefault="00404CC3" w:rsidP="00EC2533">
      <w:pPr>
        <w:pStyle w:val="Els-body-text"/>
      </w:pPr>
      <w:r>
        <w:rPr>
          <w:lang w:eastAsia="en-GB"/>
        </w:rPr>
        <w:t xml:space="preserve">In addition, the anaerobic digestion process produces the digestate, that can be further gasified to enhance the methane production. </w:t>
      </w:r>
      <w:r w:rsidR="0089405D">
        <w:t xml:space="preserve">The </w:t>
      </w:r>
      <w:r w:rsidR="0089405D" w:rsidRPr="002A49FA">
        <w:t>ultimate</w:t>
      </w:r>
      <w:r w:rsidR="0089405D">
        <w:t xml:space="preserve"> mass-based </w:t>
      </w:r>
      <w:r w:rsidR="0078414A">
        <w:t xml:space="preserve">digestate </w:t>
      </w:r>
      <w:r w:rsidR="0089405D" w:rsidRPr="002A49FA">
        <w:t>c</w:t>
      </w:r>
      <w:r w:rsidR="0089405D">
        <w:t xml:space="preserve">omposition is set to </w:t>
      </w:r>
      <w:r w:rsidR="0042172B" w:rsidRPr="0042172B">
        <w:t>36.04%C, 5.14%H, 31.66%O, 2.28%N, 1.85%S</w:t>
      </w:r>
      <w:r w:rsidR="0042172B">
        <w:t xml:space="preserve"> and</w:t>
      </w:r>
      <w:r w:rsidR="0042172B" w:rsidRPr="0042172B">
        <w:t xml:space="preserve"> 23.03%</w:t>
      </w:r>
      <w:r w:rsidR="0042172B">
        <w:t xml:space="preserve">ash, </w:t>
      </w:r>
      <w:r w:rsidR="0078414A" w:rsidRPr="002A49FA">
        <w:t xml:space="preserve">whereas </w:t>
      </w:r>
      <w:r w:rsidR="0078414A">
        <w:t xml:space="preserve">the mass-based </w:t>
      </w:r>
      <w:r w:rsidR="0078414A" w:rsidRPr="002A49FA">
        <w:t>proximate an</w:t>
      </w:r>
      <w:r w:rsidR="0078414A">
        <w:t xml:space="preserve">alysis is considered as 5.96% moisture (after drying), </w:t>
      </w:r>
      <w:r w:rsidR="0042172B" w:rsidRPr="0042172B">
        <w:t>11.1%</w:t>
      </w:r>
      <w:r w:rsidR="0078414A">
        <w:t xml:space="preserve"> fixed carbon</w:t>
      </w:r>
      <w:r w:rsidR="0042172B" w:rsidRPr="0042172B">
        <w:t>, 59.91%</w:t>
      </w:r>
      <w:r w:rsidR="0078414A">
        <w:t xml:space="preserve"> volatiles</w:t>
      </w:r>
      <w:r w:rsidR="0042172B" w:rsidRPr="0042172B">
        <w:t>, 23.03%</w:t>
      </w:r>
      <w:r w:rsidR="0078414A">
        <w:t xml:space="preserve"> and ash in balance</w:t>
      </w:r>
      <w:r>
        <w:t xml:space="preserve"> (Chen et al</w:t>
      </w:r>
      <w:r w:rsidR="000F6340">
        <w:t>.,</w:t>
      </w:r>
      <w:r>
        <w:t xml:space="preserve"> 2017)</w:t>
      </w:r>
      <w:r w:rsidR="0078414A">
        <w:t xml:space="preserve">. The initial moisture of the digestate is assumed as 50%. </w:t>
      </w:r>
      <w:r w:rsidR="0089405D" w:rsidRPr="002A49FA">
        <w:t xml:space="preserve">The </w:t>
      </w:r>
      <w:r w:rsidR="0021034E">
        <w:t>digestate gasification system shown in Fig. 1</w:t>
      </w:r>
      <w:r w:rsidR="0089405D" w:rsidRPr="002A49FA">
        <w:t xml:space="preserve"> operat</w:t>
      </w:r>
      <w:r w:rsidR="0021034E">
        <w:t>es</w:t>
      </w:r>
      <w:r w:rsidR="0089405D" w:rsidRPr="002A49FA">
        <w:t xml:space="preserve"> at atmospheric pressure</w:t>
      </w:r>
      <w:r w:rsidR="0089405D">
        <w:t xml:space="preserve"> and us</w:t>
      </w:r>
      <w:r w:rsidR="0021034E">
        <w:t>es</w:t>
      </w:r>
      <w:r w:rsidR="0089405D">
        <w:t xml:space="preserve"> steam as gasification medium</w:t>
      </w:r>
      <w:r w:rsidR="0021034E">
        <w:t xml:space="preserve"> (</w:t>
      </w:r>
      <w:proofErr w:type="spellStart"/>
      <w:r w:rsidR="0021034E">
        <w:t>Kinchin</w:t>
      </w:r>
      <w:proofErr w:type="spellEnd"/>
      <w:r w:rsidR="0021034E">
        <w:t xml:space="preserve"> and Bain, 2009)</w:t>
      </w:r>
      <w:r w:rsidR="0089405D">
        <w:t xml:space="preserve">. </w:t>
      </w:r>
      <w:r w:rsidR="0021034E" w:rsidRPr="0021034E">
        <w:t>The combustion and gasification processes occur in separate columns</w:t>
      </w:r>
      <w:r w:rsidR="0021034E">
        <w:t xml:space="preserve">, thus </w:t>
      </w:r>
      <w:r w:rsidR="0089405D" w:rsidRPr="002A49FA">
        <w:t>avoid</w:t>
      </w:r>
      <w:r w:rsidR="0021034E">
        <w:t>ing</w:t>
      </w:r>
      <w:r w:rsidR="0089405D" w:rsidRPr="002A49FA">
        <w:t xml:space="preserve"> the dilution with nitrogen of the syngas produce</w:t>
      </w:r>
      <w:r w:rsidR="0021034E">
        <w:t>d</w:t>
      </w:r>
      <w:r w:rsidR="0089405D" w:rsidRPr="002A49FA">
        <w:t xml:space="preserve">. </w:t>
      </w:r>
      <w:r w:rsidR="0021034E" w:rsidRPr="0021034E">
        <w:t>After leaving the gasifier, the syngas is treated to remove tars and impurities</w:t>
      </w:r>
      <w:r w:rsidR="0089405D">
        <w:t>.</w:t>
      </w:r>
      <w:r w:rsidR="0078414A">
        <w:t xml:space="preserve"> A</w:t>
      </w:r>
      <w:r w:rsidR="0089405D" w:rsidRPr="002A49FA">
        <w:t xml:space="preserve"> fraction of the char produced in the pyrolysis step</w:t>
      </w:r>
      <w:r w:rsidR="0089405D">
        <w:t xml:space="preserve"> is combusted to supply</w:t>
      </w:r>
      <w:r w:rsidR="0089405D" w:rsidRPr="002A49FA">
        <w:t xml:space="preserve"> the heat required by the endothermic drying, pyrolysis and reduction reactions. </w:t>
      </w:r>
      <w:r w:rsidR="00720B06">
        <w:t>The syngas subsequently follows to shift reactors and to a CO</w:t>
      </w:r>
      <w:r w:rsidR="00720B06" w:rsidRPr="005012E2">
        <w:rPr>
          <w:vertAlign w:val="subscript"/>
        </w:rPr>
        <w:t>2</w:t>
      </w:r>
      <w:r w:rsidR="00720B06">
        <w:t xml:space="preserve"> capture unit in order to adjust the composition to be suitable for the methanation reaction (H</w:t>
      </w:r>
      <w:r w:rsidR="00720B06" w:rsidRPr="005012E2">
        <w:rPr>
          <w:vertAlign w:val="subscript"/>
        </w:rPr>
        <w:t>2</w:t>
      </w:r>
      <w:r w:rsidR="005A3C64">
        <w:t>/CO</w:t>
      </w:r>
      <w:r w:rsidR="005A3C64" w:rsidRPr="005012E2">
        <w:rPr>
          <w:vertAlign w:val="subscript"/>
        </w:rPr>
        <w:t>2</w:t>
      </w:r>
      <w:r w:rsidR="005A3C64">
        <w:t xml:space="preserve"> </w:t>
      </w:r>
      <w:r w:rsidR="005012E2">
        <w:t>4:1).</w:t>
      </w:r>
    </w:p>
    <w:p w14:paraId="5CCD7614" w14:textId="250EE930" w:rsidR="001D2BC7" w:rsidRPr="0078414A" w:rsidRDefault="001D2BC7" w:rsidP="00EC2533">
      <w:pPr>
        <w:pStyle w:val="Els-body-text"/>
        <w:rPr>
          <w:lang w:val="en-GB"/>
        </w:rPr>
      </w:pPr>
      <w:r w:rsidRPr="0078414A">
        <w:rPr>
          <w:shd w:val="clear" w:color="auto" w:fill="FFFFFF"/>
        </w:rPr>
        <w:t>The CO</w:t>
      </w:r>
      <w:r w:rsidRPr="0078414A">
        <w:rPr>
          <w:shd w:val="clear" w:color="auto" w:fill="FFFFFF"/>
          <w:vertAlign w:val="subscript"/>
        </w:rPr>
        <w:t>2</w:t>
      </w:r>
      <w:r w:rsidR="0078414A" w:rsidRPr="0078414A">
        <w:rPr>
          <w:shd w:val="clear" w:color="auto" w:fill="FFFFFF"/>
          <w:vertAlign w:val="subscript"/>
        </w:rPr>
        <w:t xml:space="preserve"> </w:t>
      </w:r>
      <w:r w:rsidRPr="0078414A">
        <w:rPr>
          <w:shd w:val="clear" w:color="auto" w:fill="FFFFFF"/>
        </w:rPr>
        <w:t xml:space="preserve">captured in the syngas purification unit could be </w:t>
      </w:r>
      <w:r w:rsidR="005012E2">
        <w:rPr>
          <w:shd w:val="clear" w:color="auto" w:fill="FFFFFF"/>
        </w:rPr>
        <w:t>l</w:t>
      </w:r>
      <w:proofErr w:type="spellStart"/>
      <w:r w:rsidRPr="0078414A">
        <w:rPr>
          <w:lang w:val="en-GB"/>
        </w:rPr>
        <w:t>iquefied</w:t>
      </w:r>
      <w:proofErr w:type="spellEnd"/>
      <w:r w:rsidRPr="0078414A">
        <w:rPr>
          <w:lang w:val="en-GB"/>
        </w:rPr>
        <w:t xml:space="preserve"> and stored in a tank at -50 °C and 7 bar (1,155 kg/m</w:t>
      </w:r>
      <w:r w:rsidRPr="00EC2533">
        <w:rPr>
          <w:vertAlign w:val="superscript"/>
          <w:lang w:val="en-GB"/>
        </w:rPr>
        <w:t>3</w:t>
      </w:r>
      <w:r w:rsidRPr="0078414A">
        <w:rPr>
          <w:lang w:val="en-GB"/>
        </w:rPr>
        <w:t>). Liquefied CO</w:t>
      </w:r>
      <w:r w:rsidRPr="0078414A">
        <w:rPr>
          <w:vertAlign w:val="subscript"/>
          <w:lang w:val="en-GB"/>
        </w:rPr>
        <w:t>2</w:t>
      </w:r>
      <w:r w:rsidRPr="0078414A">
        <w:rPr>
          <w:lang w:val="en-GB"/>
        </w:rPr>
        <w:t xml:space="preserve"> can be later </w:t>
      </w:r>
      <w:proofErr w:type="spellStart"/>
      <w:r w:rsidRPr="0078414A">
        <w:rPr>
          <w:lang w:val="en-GB"/>
        </w:rPr>
        <w:t>regasified</w:t>
      </w:r>
      <w:proofErr w:type="spellEnd"/>
      <w:r w:rsidRPr="0078414A">
        <w:rPr>
          <w:lang w:val="en-GB"/>
        </w:rPr>
        <w:t xml:space="preserve"> and fed to a methanation system, in which the hydrogen necessary is provided by a high temperature solid oxide </w:t>
      </w:r>
      <w:proofErr w:type="spellStart"/>
      <w:r w:rsidRPr="0078414A">
        <w:rPr>
          <w:lang w:val="en-GB"/>
        </w:rPr>
        <w:t>electrolyzer</w:t>
      </w:r>
      <w:proofErr w:type="spellEnd"/>
      <w:r w:rsidR="003578A3">
        <w:rPr>
          <w:lang w:val="en-GB"/>
        </w:rPr>
        <w:t>.</w:t>
      </w:r>
      <w:r w:rsidR="00FC32A2">
        <w:rPr>
          <w:lang w:val="en-GB"/>
        </w:rPr>
        <w:t xml:space="preserve"> The solid oxide </w:t>
      </w:r>
      <w:proofErr w:type="spellStart"/>
      <w:r w:rsidR="00FC32A2">
        <w:rPr>
          <w:lang w:val="en-GB"/>
        </w:rPr>
        <w:t>el</w:t>
      </w:r>
      <w:r w:rsidR="00D60C05">
        <w:rPr>
          <w:lang w:val="en-GB"/>
        </w:rPr>
        <w:t>e</w:t>
      </w:r>
      <w:r w:rsidR="00FC32A2">
        <w:rPr>
          <w:lang w:val="en-GB"/>
        </w:rPr>
        <w:t>ctrolyzer</w:t>
      </w:r>
      <w:proofErr w:type="spellEnd"/>
      <w:r w:rsidR="00CF1D32">
        <w:rPr>
          <w:lang w:val="en-GB"/>
        </w:rPr>
        <w:t xml:space="preserve"> (SOEC)</w:t>
      </w:r>
      <w:r w:rsidR="00FC32A2">
        <w:rPr>
          <w:lang w:val="en-GB"/>
        </w:rPr>
        <w:t xml:space="preserve"> </w:t>
      </w:r>
      <w:r w:rsidR="00CF1D32">
        <w:rPr>
          <w:lang w:val="en-GB"/>
        </w:rPr>
        <w:t>operates at 1 bar</w:t>
      </w:r>
      <w:r w:rsidR="00E32737">
        <w:rPr>
          <w:lang w:val="en-GB"/>
        </w:rPr>
        <w:t xml:space="preserve">, </w:t>
      </w:r>
      <w:r w:rsidR="00CF1D32">
        <w:rPr>
          <w:lang w:val="en-GB"/>
        </w:rPr>
        <w:t>800 °C</w:t>
      </w:r>
      <w:r w:rsidR="00AB68C9">
        <w:rPr>
          <w:lang w:val="en-GB"/>
        </w:rPr>
        <w:t>, steam conversion rate of 81%. The SOEC system</w:t>
      </w:r>
      <w:r w:rsidR="00E32737">
        <w:rPr>
          <w:lang w:val="en-GB"/>
        </w:rPr>
        <w:t xml:space="preserve"> </w:t>
      </w:r>
      <w:r w:rsidR="00FC32A2">
        <w:rPr>
          <w:lang w:val="en-GB"/>
        </w:rPr>
        <w:t>is modelled considering the concentration, ohmic and activation overpotentials (Ni et al 2006).</w:t>
      </w:r>
      <w:r w:rsidR="00CF1D32">
        <w:rPr>
          <w:lang w:val="en-GB"/>
        </w:rPr>
        <w:t xml:space="preserve"> </w:t>
      </w:r>
    </w:p>
    <w:p w14:paraId="1BA0E1FC" w14:textId="77777777" w:rsidR="00EC2533" w:rsidRDefault="001D2BC7" w:rsidP="00EC2533">
      <w:pPr>
        <w:pStyle w:val="Els-body-text"/>
      </w:pPr>
      <w:r w:rsidRPr="0078414A">
        <w:t>The methanation system is based on the TREMP® process (</w:t>
      </w:r>
      <w:proofErr w:type="spellStart"/>
      <w:r w:rsidRPr="0078414A">
        <w:t>Topsøe</w:t>
      </w:r>
      <w:proofErr w:type="spellEnd"/>
      <w:r w:rsidRPr="0078414A">
        <w:t>, 2009), in which a series of methanation beds are intercooled either by recycling or indirect inter-cooling in order to achieve higher reactants conversion.</w:t>
      </w:r>
    </w:p>
    <w:p w14:paraId="0F2043A1" w14:textId="16B6C06E" w:rsidR="00961B08" w:rsidRPr="0078414A" w:rsidRDefault="0078414A" w:rsidP="00B81824">
      <w:pPr>
        <w:pStyle w:val="Els-body-text"/>
      </w:pPr>
      <w:r>
        <w:t xml:space="preserve">The simulations are performed </w:t>
      </w:r>
      <w:r w:rsidRPr="002E477D">
        <w:t>in the Aspen Plus® software</w:t>
      </w:r>
      <w:r>
        <w:t xml:space="preserve"> (</w:t>
      </w:r>
      <w:proofErr w:type="spellStart"/>
      <w:r>
        <w:t>Aspentech</w:t>
      </w:r>
      <w:proofErr w:type="spellEnd"/>
      <w:r>
        <w:t xml:space="preserve">, 2015), using the </w:t>
      </w:r>
      <w:r w:rsidRPr="00BA5F64">
        <w:t xml:space="preserve">Peng-Robinson </w:t>
      </w:r>
      <w:proofErr w:type="spellStart"/>
      <w:r w:rsidRPr="00BA5F64">
        <w:t>EoS</w:t>
      </w:r>
      <w:proofErr w:type="spellEnd"/>
      <w:r w:rsidRPr="00BA5F64">
        <w:t xml:space="preserve"> with Boston-Mathias modifications</w:t>
      </w:r>
      <w:r>
        <w:t xml:space="preserve"> as thermodynamic model. </w:t>
      </w:r>
      <w:r w:rsidRPr="0078414A">
        <w:t>the Perturbed-Chain Statistical Associating Fluid Theory (PC-SAFT) is used to model the physical absorption of CO</w:t>
      </w:r>
      <w:r w:rsidRPr="0078414A">
        <w:rPr>
          <w:vertAlign w:val="subscript"/>
        </w:rPr>
        <w:t>2</w:t>
      </w:r>
      <w:r w:rsidRPr="0078414A">
        <w:t xml:space="preserve"> with dimethyl ethers of polyethylene glycols (DEPG)</w:t>
      </w:r>
      <w:r>
        <w:t>.</w:t>
      </w:r>
    </w:p>
    <w:p w14:paraId="1FB58020" w14:textId="6F242C59" w:rsidR="00961B08" w:rsidRDefault="0042172B" w:rsidP="0089405D">
      <w:pPr>
        <w:pStyle w:val="Els-body-text"/>
      </w:pPr>
      <w:r>
        <w:rPr>
          <w:noProof/>
        </w:rPr>
        <w:lastRenderedPageBreak/>
        <w:drawing>
          <wp:inline distT="0" distB="0" distL="0" distR="0" wp14:anchorId="0412A886" wp14:editId="71F5FDBA">
            <wp:extent cx="4499610" cy="3096895"/>
            <wp:effectExtent l="0" t="0" r="0" b="0"/>
            <wp:docPr id="322428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4501" cy="3100261"/>
                    </a:xfrm>
                    <a:prstGeom prst="rect">
                      <a:avLst/>
                    </a:prstGeom>
                    <a:noFill/>
                    <a:ln>
                      <a:noFill/>
                    </a:ln>
                  </pic:spPr>
                </pic:pic>
              </a:graphicData>
            </a:graphic>
          </wp:inline>
        </w:drawing>
      </w:r>
    </w:p>
    <w:p w14:paraId="139EA499" w14:textId="458A745B" w:rsidR="00623D3C" w:rsidRDefault="00623D3C" w:rsidP="0089405D">
      <w:pPr>
        <w:pStyle w:val="Els-body-text"/>
      </w:pPr>
      <w:r>
        <w:t>Fig</w:t>
      </w:r>
      <w:r w:rsidR="00234753">
        <w:t>ure</w:t>
      </w:r>
      <w:r>
        <w:t xml:space="preserve"> 1. Integrated biomethane production considering anaerobic digestion, gasification and high temperature electrolysis.</w:t>
      </w:r>
    </w:p>
    <w:p w14:paraId="5A08B544" w14:textId="77777777" w:rsidR="0089405D" w:rsidRDefault="0089405D" w:rsidP="008D2649">
      <w:pPr>
        <w:pStyle w:val="Els-body-text"/>
      </w:pPr>
    </w:p>
    <w:p w14:paraId="144DE69D" w14:textId="4355D913" w:rsidR="008D2649" w:rsidRDefault="00F36A13" w:rsidP="008D2649">
      <w:pPr>
        <w:pStyle w:val="Els-2ndorder-head"/>
      </w:pPr>
      <w:r>
        <w:t>Optimization problem definition</w:t>
      </w:r>
    </w:p>
    <w:p w14:paraId="1E69B924" w14:textId="77777777" w:rsidR="00F36A13" w:rsidRDefault="00F36A13" w:rsidP="00F36A13">
      <w:pPr>
        <w:pStyle w:val="Els-body-text"/>
      </w:pPr>
    </w:p>
    <w:p w14:paraId="4F31F883" w14:textId="19210D72" w:rsidR="00F36A13" w:rsidRPr="00F413C7" w:rsidRDefault="00EA4C80" w:rsidP="00060209">
      <w:pPr>
        <w:spacing w:after="120"/>
        <w:jc w:val="both"/>
        <w:rPr>
          <w:color w:val="000000" w:themeColor="text1"/>
        </w:rPr>
      </w:pPr>
      <w:r w:rsidRPr="00EA4C80">
        <w:t>The new energy technologies in Fi</w:t>
      </w:r>
      <w:r>
        <w:t>g.</w:t>
      </w:r>
      <w:r w:rsidRPr="00EA4C80">
        <w:t xml:space="preserve"> 1 require a redefinition of the energy balance for </w:t>
      </w:r>
      <w:r w:rsidRPr="00F413C7">
        <w:rPr>
          <w:color w:val="000000" w:themeColor="text1"/>
        </w:rPr>
        <w:t xml:space="preserve">traditional biomethane plants. A systematic method and computational tool are needed for the complex energy integration and optimization problem. The OSMOSE Lua platform is used to determine the minimum energy requirements (MER) and solve the energy integration problem </w:t>
      </w:r>
      <w:r w:rsidR="00FE5973" w:rsidRPr="00F413C7">
        <w:rPr>
          <w:color w:val="000000" w:themeColor="text1"/>
        </w:rPr>
        <w:t>(</w:t>
      </w:r>
      <w:proofErr w:type="spellStart"/>
      <w:r w:rsidR="00FE5973" w:rsidRPr="00F413C7">
        <w:rPr>
          <w:color w:val="000000" w:themeColor="text1"/>
        </w:rPr>
        <w:t>Domingos</w:t>
      </w:r>
      <w:proofErr w:type="spellEnd"/>
      <w:r w:rsidR="00FE5973" w:rsidRPr="00F413C7">
        <w:rPr>
          <w:color w:val="000000" w:themeColor="text1"/>
        </w:rPr>
        <w:t xml:space="preserve"> </w:t>
      </w:r>
      <w:r w:rsidR="00FE5973" w:rsidRPr="00F413C7">
        <w:rPr>
          <w:i/>
          <w:iCs/>
          <w:color w:val="000000" w:themeColor="text1"/>
        </w:rPr>
        <w:t>et</w:t>
      </w:r>
      <w:r w:rsidR="00FE5973" w:rsidRPr="00F413C7">
        <w:rPr>
          <w:color w:val="000000" w:themeColor="text1"/>
        </w:rPr>
        <w:t xml:space="preserve"> al., 2023)</w:t>
      </w:r>
      <w:r w:rsidR="000D147D" w:rsidRPr="00F413C7">
        <w:rPr>
          <w:color w:val="000000" w:themeColor="text1"/>
        </w:rPr>
        <w:t>.</w:t>
      </w:r>
      <w:r w:rsidR="00F413C7">
        <w:rPr>
          <w:color w:val="000000" w:themeColor="text1"/>
        </w:rPr>
        <w:t xml:space="preserve"> </w:t>
      </w:r>
      <w:r w:rsidR="00BA6042" w:rsidRPr="00F413C7">
        <w:rPr>
          <w:color w:val="000000" w:themeColor="text1"/>
        </w:rPr>
        <w:t>OSMOSE follows a two-st</w:t>
      </w:r>
      <w:r w:rsidR="00413BD7" w:rsidRPr="00F413C7">
        <w:rPr>
          <w:color w:val="000000" w:themeColor="text1"/>
        </w:rPr>
        <w:t>ep</w:t>
      </w:r>
      <w:r w:rsidR="00BA6042" w:rsidRPr="00F413C7">
        <w:rPr>
          <w:color w:val="000000" w:themeColor="text1"/>
        </w:rPr>
        <w:t xml:space="preserve"> approach, </w:t>
      </w:r>
      <w:r w:rsidR="00413BD7" w:rsidRPr="00F413C7">
        <w:rPr>
          <w:color w:val="000000" w:themeColor="text1"/>
        </w:rPr>
        <w:t xml:space="preserve">in which the nonlinearities are limited to </w:t>
      </w:r>
      <w:r w:rsidR="00F413C7" w:rsidRPr="00F413C7">
        <w:rPr>
          <w:color w:val="000000" w:themeColor="text1"/>
        </w:rPr>
        <w:t>the A</w:t>
      </w:r>
      <w:r w:rsidR="00413BD7" w:rsidRPr="00F413C7">
        <w:rPr>
          <w:color w:val="000000" w:themeColor="text1"/>
        </w:rPr>
        <w:t>spen</w:t>
      </w:r>
      <w:r w:rsidR="00F413C7" w:rsidRPr="00F413C7">
        <w:rPr>
          <w:color w:val="000000" w:themeColor="text1"/>
        </w:rPr>
        <w:t xml:space="preserve"> Plus</w:t>
      </w:r>
      <w:r w:rsidR="005E5FC8">
        <w:rPr>
          <w:color w:val="000000"/>
        </w:rPr>
        <w:t>®</w:t>
      </w:r>
      <w:r w:rsidR="00413BD7" w:rsidRPr="00F413C7">
        <w:rPr>
          <w:color w:val="000000" w:themeColor="text1"/>
        </w:rPr>
        <w:t xml:space="preserve"> models and </w:t>
      </w:r>
      <w:r w:rsidR="000062E1" w:rsidRPr="00F413C7">
        <w:rPr>
          <w:color w:val="000000" w:themeColor="text1"/>
        </w:rPr>
        <w:t xml:space="preserve">it </w:t>
      </w:r>
      <w:r w:rsidR="00413BD7" w:rsidRPr="00F413C7">
        <w:rPr>
          <w:color w:val="000000" w:themeColor="text1"/>
        </w:rPr>
        <w:t>is considered that those representative values can be scaled linearly.</w:t>
      </w:r>
      <w:r w:rsidR="002C7EA6" w:rsidRPr="00F413C7">
        <w:rPr>
          <w:color w:val="000000" w:themeColor="text1"/>
        </w:rPr>
        <w:t xml:space="preserve"> T</w:t>
      </w:r>
      <w:r w:rsidR="00BA6042" w:rsidRPr="00F413C7">
        <w:rPr>
          <w:color w:val="000000" w:themeColor="text1"/>
        </w:rPr>
        <w:t xml:space="preserve">he slave problem consists of a mass and energy integration framework </w:t>
      </w:r>
      <w:r w:rsidR="00F413C7" w:rsidRPr="00F413C7">
        <w:rPr>
          <w:color w:val="000000" w:themeColor="text1"/>
        </w:rPr>
        <w:t xml:space="preserve">and it </w:t>
      </w:r>
      <w:r w:rsidR="002C7EA6" w:rsidRPr="00F413C7">
        <w:rPr>
          <w:color w:val="000000" w:themeColor="text1"/>
        </w:rPr>
        <w:t xml:space="preserve">is </w:t>
      </w:r>
      <w:r w:rsidR="00BA6042" w:rsidRPr="00F413C7">
        <w:rPr>
          <w:color w:val="000000" w:themeColor="text1"/>
        </w:rPr>
        <w:t>developed as a mixed-integer linear programming (MILP) problem</w:t>
      </w:r>
      <w:r w:rsidR="002C7EA6" w:rsidRPr="00F413C7">
        <w:rPr>
          <w:color w:val="000000" w:themeColor="text1"/>
        </w:rPr>
        <w:t xml:space="preserve"> </w:t>
      </w:r>
      <w:r w:rsidR="000D147D" w:rsidRPr="00F413C7">
        <w:rPr>
          <w:color w:val="000000" w:themeColor="text1"/>
          <w:lang w:val="en-US"/>
        </w:rPr>
        <w:t xml:space="preserve">described in </w:t>
      </w:r>
      <w:proofErr w:type="spellStart"/>
      <w:r w:rsidR="000D147D" w:rsidRPr="00F413C7">
        <w:rPr>
          <w:color w:val="000000" w:themeColor="text1"/>
          <w:lang w:val="en-US"/>
        </w:rPr>
        <w:t>Eqs</w:t>
      </w:r>
      <w:proofErr w:type="spellEnd"/>
      <w:r w:rsidR="000D147D" w:rsidRPr="00F413C7">
        <w:rPr>
          <w:color w:val="000000" w:themeColor="text1"/>
          <w:lang w:val="en-US"/>
        </w:rPr>
        <w:t>. (</w:t>
      </w:r>
      <w:r w:rsidR="002C03D0" w:rsidRPr="00F413C7">
        <w:rPr>
          <w:color w:val="000000" w:themeColor="text1"/>
          <w:lang w:val="en-US"/>
        </w:rPr>
        <w:t>1</w:t>
      </w:r>
      <w:r w:rsidR="000D147D" w:rsidRPr="00F413C7">
        <w:rPr>
          <w:color w:val="000000" w:themeColor="text1"/>
          <w:lang w:val="en-US"/>
        </w:rPr>
        <w:t>-</w:t>
      </w:r>
      <w:r w:rsidR="002C03D0" w:rsidRPr="00F413C7">
        <w:rPr>
          <w:color w:val="000000" w:themeColor="text1"/>
          <w:lang w:val="en-US"/>
        </w:rPr>
        <w:t>5</w:t>
      </w:r>
      <w:r w:rsidR="000D147D" w:rsidRPr="00F413C7">
        <w:rPr>
          <w:color w:val="000000" w:themeColor="text1"/>
          <w:lang w:val="en-US"/>
        </w:rPr>
        <w:t>)</w:t>
      </w:r>
      <w:r w:rsidR="00F413C7" w:rsidRPr="00F413C7">
        <w:rPr>
          <w:color w:val="000000" w:themeColor="text1"/>
          <w:lang w:val="en-US"/>
        </w:rPr>
        <w:t>. The goal is to</w:t>
      </w:r>
      <w:r w:rsidR="000D147D" w:rsidRPr="00F413C7">
        <w:rPr>
          <w:color w:val="000000" w:themeColor="text1"/>
          <w:lang w:val="en-US"/>
        </w:rPr>
        <w:t xml:space="preserve"> minimize the objective function, Eq. (</w:t>
      </w:r>
      <w:r w:rsidR="002C03D0" w:rsidRPr="00F413C7">
        <w:rPr>
          <w:color w:val="000000" w:themeColor="text1"/>
          <w:lang w:val="en-US"/>
        </w:rPr>
        <w:t>1</w:t>
      </w:r>
      <w:r w:rsidR="000D147D" w:rsidRPr="00F413C7">
        <w:rPr>
          <w:color w:val="000000" w:themeColor="text1"/>
          <w:lang w:val="en-US"/>
        </w:rPr>
        <w:t xml:space="preserve">), and determine the </w:t>
      </w:r>
      <w:r w:rsidR="000D147D" w:rsidRPr="00416B5C">
        <w:rPr>
          <w:lang w:val="en-US"/>
        </w:rPr>
        <w:t xml:space="preserve">binary variables </w:t>
      </w:r>
      <w:proofErr w:type="spellStart"/>
      <w:r w:rsidR="000D147D" w:rsidRPr="00416B5C">
        <w:rPr>
          <w:i/>
          <w:lang w:val="en-US"/>
        </w:rPr>
        <w:t>y</w:t>
      </w:r>
      <w:r w:rsidR="000D147D" w:rsidRPr="00416B5C">
        <w:rPr>
          <w:i/>
          <w:vertAlign w:val="subscript"/>
          <w:lang w:val="en-US"/>
        </w:rPr>
        <w:t>w</w:t>
      </w:r>
      <w:proofErr w:type="spellEnd"/>
      <w:r w:rsidR="000D147D" w:rsidRPr="00416B5C">
        <w:rPr>
          <w:lang w:val="en-US"/>
        </w:rPr>
        <w:t xml:space="preserve"> related to the selection of a given utility unit </w:t>
      </w:r>
      <w:r w:rsidR="000D147D" w:rsidRPr="00416B5C">
        <w:rPr>
          <w:rFonts w:ascii="Symbol" w:hAnsi="Symbol"/>
          <w:lang w:val="en-US"/>
        </w:rPr>
        <w:t></w:t>
      </w:r>
      <w:r w:rsidR="000D147D" w:rsidRPr="00416B5C">
        <w:rPr>
          <w:rFonts w:ascii="Symbol" w:hAnsi="Symbol"/>
          <w:lang w:val="en-US"/>
        </w:rPr>
        <w:t></w:t>
      </w:r>
      <w:r w:rsidR="000D147D" w:rsidRPr="00416B5C">
        <w:rPr>
          <w:rFonts w:ascii="Symbol" w:hAnsi="Symbol"/>
          <w:lang w:val="en-US"/>
        </w:rPr>
        <w:t></w:t>
      </w:r>
      <w:r w:rsidR="000D147D" w:rsidRPr="00416B5C">
        <w:rPr>
          <w:lang w:val="en-US"/>
        </w:rPr>
        <w:t xml:space="preserve">and its corresponding continuous load factor, </w:t>
      </w:r>
      <w:proofErr w:type="spellStart"/>
      <w:r w:rsidR="000D147D" w:rsidRPr="00416B5C">
        <w:rPr>
          <w:i/>
          <w:lang w:val="en-US"/>
        </w:rPr>
        <w:t>f</w:t>
      </w:r>
      <w:r w:rsidR="000D147D" w:rsidRPr="00416B5C">
        <w:rPr>
          <w:i/>
          <w:vertAlign w:val="subscript"/>
          <w:lang w:val="en-US"/>
        </w:rPr>
        <w:t>w</w:t>
      </w:r>
      <w:proofErr w:type="spellEnd"/>
      <w:r w:rsidR="000D147D" w:rsidRPr="00416B5C">
        <w:rPr>
          <w:i/>
          <w:lang w:val="en-US"/>
        </w:rPr>
        <w:t>,</w:t>
      </w:r>
      <w:r w:rsidR="000D147D" w:rsidRPr="00416B5C">
        <w:rPr>
          <w:iCs/>
          <w:lang w:val="en-US"/>
        </w:rPr>
        <w:t xml:space="preserve"> as well as the investment cost associated to the implementation of these technologies.</w:t>
      </w:r>
      <w:r w:rsidR="000D147D">
        <w:rPr>
          <w:iCs/>
          <w:lang w:val="en-US"/>
        </w:rPr>
        <w:t xml:space="preserve"> </w:t>
      </w:r>
      <w:r w:rsidR="000D147D" w:rsidRPr="00416B5C">
        <w:rPr>
          <w:iCs/>
          <w:lang w:val="en-US"/>
        </w:rPr>
        <w:t>In summary, the optimization problem accounts for the trade-off between buying the new technologies and affording the operating costs and revenues that are associated to a certain operating scenario.</w:t>
      </w:r>
    </w:p>
    <w:tbl>
      <w:tblPr>
        <w:tblStyle w:val="Grigliatabella"/>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134"/>
      </w:tblGrid>
      <w:tr w:rsidR="00F36A13" w:rsidRPr="001E709F" w14:paraId="012B2271" w14:textId="77777777" w:rsidTr="001E709F">
        <w:tc>
          <w:tcPr>
            <w:tcW w:w="6237" w:type="dxa"/>
          </w:tcPr>
          <w:p w14:paraId="4B17A51D" w14:textId="5D128725" w:rsidR="00F36A13" w:rsidRPr="001E709F" w:rsidRDefault="00766255" w:rsidP="000D147D">
            <w:pPr>
              <w:spacing w:after="120"/>
              <w:jc w:val="both"/>
              <w:rPr>
                <w:rFonts w:ascii="Times New Roman" w:hAnsi="Times New Roman" w:cs="Times New Roman"/>
              </w:rPr>
            </w:pPr>
            <m:oMathPara>
              <m:oMath>
                <m:func>
                  <m:funcPr>
                    <m:ctrlPr>
                      <w:rPr>
                        <w:rFonts w:ascii="Cambria Math" w:eastAsia="Times New Roman" w:hAnsi="Cambria Math" w:cs="Times New Roman"/>
                        <w:i/>
                        <w:sz w:val="18"/>
                        <w:szCs w:val="18"/>
                        <w:lang w:val="en-GB"/>
                      </w:rPr>
                    </m:ctrlPr>
                  </m:funcPr>
                  <m:fName>
                    <m:limLow>
                      <m:limLowPr>
                        <m:ctrlPr>
                          <w:rPr>
                            <w:rFonts w:ascii="Cambria Math" w:eastAsia="Times New Roman" w:hAnsi="Cambria Math" w:cs="Times New Roman"/>
                            <w:i/>
                            <w:sz w:val="18"/>
                            <w:szCs w:val="18"/>
                            <w:lang w:val="en-GB"/>
                          </w:rPr>
                        </m:ctrlPr>
                      </m:limLowPr>
                      <m:e>
                        <m:r>
                          <m:rPr>
                            <m:sty m:val="p"/>
                          </m:rPr>
                          <w:rPr>
                            <w:rFonts w:ascii="Cambria Math" w:eastAsia="Times New Roman" w:hAnsi="Cambria Math" w:cs="Times New Roman"/>
                            <w:sz w:val="18"/>
                            <w:szCs w:val="18"/>
                            <w:lang w:val="en-GB"/>
                          </w:rPr>
                          <m:t>min</m:t>
                        </m:r>
                      </m:e>
                      <m:lim>
                        <m:eqArr>
                          <m:eqArrPr>
                            <m:ctrlPr>
                              <w:rPr>
                                <w:rFonts w:ascii="Cambria Math" w:hAnsi="Cambria Math" w:cs="Times New Roman"/>
                                <w:i/>
                                <w:sz w:val="18"/>
                                <w:szCs w:val="18"/>
                              </w:rPr>
                            </m:ctrlPr>
                          </m:eqArrPr>
                          <m:e>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f</m:t>
                                </m:r>
                              </m:e>
                              <m:sub>
                                <m:r>
                                  <w:rPr>
                                    <w:rFonts w:ascii="Cambria Math" w:hAnsi="Cambria Math" w:cs="Times New Roman"/>
                                    <w:sz w:val="18"/>
                                    <w:szCs w:val="18"/>
                                  </w:rPr>
                                  <m:t>ω</m:t>
                                </m:r>
                              </m:sub>
                            </m:sSub>
                            <m:r>
                              <w:rPr>
                                <w:rFonts w:ascii="Cambria Math" w:hAnsi="Cambria Math" w:cs="Times New Roman"/>
                                <w:sz w:val="18"/>
                                <w:szCs w:val="18"/>
                              </w:rPr>
                              <m:t>,</m:t>
                            </m:r>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y</m:t>
                                </m:r>
                              </m:e>
                              <m:sub>
                                <m:r>
                                  <w:rPr>
                                    <w:rFonts w:ascii="Cambria Math" w:hAnsi="Cambria Math" w:cs="Times New Roman"/>
                                    <w:sz w:val="18"/>
                                    <w:szCs w:val="18"/>
                                  </w:rPr>
                                  <m:t>ω</m:t>
                                </m:r>
                              </m:sub>
                            </m:sSub>
                          </m:e>
                          <m:e>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R</m:t>
                                </m:r>
                              </m:e>
                              <m:sub>
                                <m:r>
                                  <w:rPr>
                                    <w:rFonts w:ascii="Cambria Math" w:hAnsi="Cambria Math" w:cs="Times New Roman"/>
                                    <w:sz w:val="18"/>
                                    <w:szCs w:val="18"/>
                                  </w:rPr>
                                  <m:t>r</m:t>
                                </m:r>
                              </m:sub>
                            </m:sSub>
                            <m:r>
                              <w:rPr>
                                <w:rFonts w:ascii="Cambria Math" w:hAnsi="Cambria Math" w:cs="Times New Roman"/>
                                <w:sz w:val="18"/>
                                <w:szCs w:val="18"/>
                              </w:rPr>
                              <m:t>,W</m:t>
                            </m:r>
                          </m:e>
                        </m:eqArr>
                      </m:lim>
                    </m:limLow>
                  </m:fName>
                  <m:e>
                    <m:d>
                      <m:dPr>
                        <m:begChr m:val="["/>
                        <m:endChr m:val="]"/>
                        <m:ctrlPr>
                          <w:rPr>
                            <w:rFonts w:ascii="Cambria Math" w:eastAsia="Times New Roman" w:hAnsi="Cambria Math" w:cs="Times New Roman"/>
                            <w:i/>
                            <w:sz w:val="18"/>
                            <w:szCs w:val="18"/>
                            <w:lang w:val="en-GB"/>
                          </w:rPr>
                        </m:ctrlPr>
                      </m:dPr>
                      <m:e>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f</m:t>
                            </m:r>
                          </m:e>
                          <m:sub>
                            <m:r>
                              <w:rPr>
                                <w:rFonts w:ascii="Cambria Math" w:hAnsi="Cambria Math" w:cs="Times New Roman"/>
                                <w:sz w:val="18"/>
                                <w:szCs w:val="18"/>
                              </w:rPr>
                              <m:t>MSW</m:t>
                            </m:r>
                          </m:sub>
                        </m:sSub>
                        <m:r>
                          <w:rPr>
                            <w:rFonts w:ascii="Cambria Math" w:hAnsi="Cambria Math" w:cs="Times New Roman"/>
                            <w:sz w:val="18"/>
                            <w:szCs w:val="18"/>
                          </w:rPr>
                          <m:t>×</m:t>
                        </m:r>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(B.c)</m:t>
                            </m:r>
                          </m:e>
                          <m:sub>
                            <m:r>
                              <w:rPr>
                                <w:rFonts w:ascii="Cambria Math" w:hAnsi="Cambria Math" w:cs="Times New Roman"/>
                                <w:sz w:val="18"/>
                                <w:szCs w:val="18"/>
                              </w:rPr>
                              <m:t>MSW</m:t>
                            </m:r>
                          </m:sub>
                        </m:sSub>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 f</m:t>
                            </m:r>
                          </m:e>
                          <m:sub>
                            <m:eqArr>
                              <m:eqArrPr>
                                <m:ctrlPr>
                                  <w:rPr>
                                    <w:rFonts w:ascii="Cambria Math" w:hAnsi="Cambria Math" w:cs="Times New Roman"/>
                                    <w:i/>
                                    <w:sz w:val="18"/>
                                    <w:szCs w:val="18"/>
                                  </w:rPr>
                                </m:ctrlPr>
                              </m:eqArrPr>
                              <m:e>
                                <m:r>
                                  <w:rPr>
                                    <w:rFonts w:ascii="Cambria Math" w:hAnsi="Cambria Math" w:cs="Times New Roman"/>
                                    <w:sz w:val="18"/>
                                    <w:szCs w:val="18"/>
                                  </w:rPr>
                                  <m:t>power</m:t>
                                </m:r>
                              </m:e>
                              <m:e>
                                <m:r>
                                  <w:rPr>
                                    <w:rFonts w:ascii="Cambria Math" w:hAnsi="Cambria Math" w:cs="Times New Roman"/>
                                    <w:sz w:val="18"/>
                                    <w:szCs w:val="18"/>
                                  </w:rPr>
                                  <m:t>grid</m:t>
                                </m:r>
                              </m:e>
                            </m:eqArr>
                          </m:sub>
                        </m:sSub>
                        <m:r>
                          <w:rPr>
                            <w:rFonts w:ascii="Cambria Math" w:hAnsi="Cambria Math" w:cs="Times New Roman"/>
                            <w:sz w:val="18"/>
                            <w:szCs w:val="18"/>
                          </w:rPr>
                          <m:t>×</m:t>
                        </m:r>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(W.c)</m:t>
                            </m:r>
                          </m:e>
                          <m:sub>
                            <m:eqArr>
                              <m:eqArrPr>
                                <m:ctrlPr>
                                  <w:rPr>
                                    <w:rFonts w:ascii="Cambria Math" w:hAnsi="Cambria Math" w:cs="Times New Roman"/>
                                    <w:i/>
                                    <w:sz w:val="18"/>
                                    <w:szCs w:val="18"/>
                                  </w:rPr>
                                </m:ctrlPr>
                              </m:eqArrPr>
                              <m:e>
                                <m:r>
                                  <w:rPr>
                                    <w:rFonts w:ascii="Cambria Math" w:hAnsi="Cambria Math" w:cs="Times New Roman"/>
                                    <w:sz w:val="18"/>
                                    <w:szCs w:val="18"/>
                                  </w:rPr>
                                  <m:t>power</m:t>
                                </m:r>
                              </m:e>
                              <m:e>
                                <m:r>
                                  <w:rPr>
                                    <w:rFonts w:ascii="Cambria Math" w:hAnsi="Cambria Math" w:cs="Times New Roman"/>
                                    <w:sz w:val="18"/>
                                    <w:szCs w:val="18"/>
                                  </w:rPr>
                                  <m:t>grid</m:t>
                                </m:r>
                              </m:e>
                            </m:eqArr>
                          </m:sub>
                        </m:sSub>
                        <m:r>
                          <w:rPr>
                            <w:rFonts w:ascii="Cambria Math" w:hAnsi="Cambria Math" w:cs="Times New Roman"/>
                            <w:sz w:val="18"/>
                            <w:szCs w:val="18"/>
                          </w:rPr>
                          <m:t>+</m:t>
                        </m:r>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f</m:t>
                            </m:r>
                          </m:e>
                          <m:sub>
                            <m:r>
                              <w:rPr>
                                <w:rFonts w:ascii="Cambria Math" w:hAnsi="Cambria Math" w:cs="Times New Roman"/>
                                <w:sz w:val="18"/>
                                <w:szCs w:val="18"/>
                              </w:rPr>
                              <m:t>envEm</m:t>
                            </m:r>
                          </m:sub>
                        </m:sSub>
                        <m:r>
                          <w:rPr>
                            <w:rFonts w:ascii="Cambria Math" w:hAnsi="Cambria Math" w:cs="Times New Roman"/>
                            <w:sz w:val="18"/>
                            <w:szCs w:val="18"/>
                          </w:rPr>
                          <m:t>×</m:t>
                        </m:r>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(m.tax)</m:t>
                            </m:r>
                          </m:e>
                          <m:sub>
                            <m:r>
                              <w:rPr>
                                <w:rFonts w:ascii="Cambria Math" w:hAnsi="Cambria Math" w:cs="Times New Roman"/>
                                <w:sz w:val="18"/>
                                <w:szCs w:val="18"/>
                              </w:rPr>
                              <m:t>envEm</m:t>
                            </m:r>
                          </m:sub>
                        </m:sSub>
                        <m:r>
                          <w:rPr>
                            <w:rFonts w:ascii="Cambria Math" w:hAnsi="Cambria Math" w:cs="Times New Roman"/>
                            <w:sz w:val="18"/>
                            <w:szCs w:val="18"/>
                          </w:rPr>
                          <m:t>+</m:t>
                        </m:r>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f</m:t>
                            </m:r>
                          </m:e>
                          <m:sub>
                            <m:r>
                              <w:rPr>
                                <w:rFonts w:ascii="Cambria Math" w:hAnsi="Cambria Math" w:cs="Times New Roman"/>
                                <w:sz w:val="18"/>
                                <w:szCs w:val="18"/>
                              </w:rPr>
                              <m:t>water</m:t>
                            </m:r>
                          </m:sub>
                        </m:sSub>
                        <m:r>
                          <w:rPr>
                            <w:rFonts w:ascii="Cambria Math" w:hAnsi="Cambria Math" w:cs="Times New Roman"/>
                            <w:sz w:val="18"/>
                            <w:szCs w:val="18"/>
                          </w:rPr>
                          <m:t>×</m:t>
                        </m:r>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(B.c)</m:t>
                            </m:r>
                          </m:e>
                          <m:sub>
                            <m:r>
                              <w:rPr>
                                <w:rFonts w:ascii="Cambria Math" w:hAnsi="Cambria Math" w:cs="Times New Roman"/>
                                <w:sz w:val="18"/>
                                <w:szCs w:val="18"/>
                              </w:rPr>
                              <m:t>water</m:t>
                            </m:r>
                          </m:sub>
                        </m:sSub>
                        <m:r>
                          <w:rPr>
                            <w:rFonts w:ascii="Cambria Math" w:hAnsi="Cambria Math" w:cs="Times New Roman"/>
                            <w:sz w:val="18"/>
                            <w:szCs w:val="18"/>
                          </w:rPr>
                          <m:t>-</m:t>
                        </m:r>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f</m:t>
                            </m:r>
                          </m:e>
                          <m:sub>
                            <m:r>
                              <w:rPr>
                                <w:rFonts w:ascii="Cambria Math" w:hAnsi="Cambria Math" w:cs="Times New Roman"/>
                                <w:sz w:val="18"/>
                                <w:szCs w:val="18"/>
                              </w:rPr>
                              <m:t>CH4</m:t>
                            </m:r>
                          </m:sub>
                        </m:sSub>
                        <m:r>
                          <w:rPr>
                            <w:rFonts w:ascii="Cambria Math" w:hAnsi="Cambria Math" w:cs="Times New Roman"/>
                            <w:sz w:val="18"/>
                            <w:szCs w:val="18"/>
                          </w:rPr>
                          <m:t>×</m:t>
                        </m:r>
                        <m:sSub>
                          <m:sSubPr>
                            <m:ctrlPr>
                              <w:rPr>
                                <w:rFonts w:ascii="Cambria Math" w:eastAsia="Times New Roman" w:hAnsi="Cambria Math" w:cs="Times New Roman"/>
                                <w:i/>
                                <w:sz w:val="18"/>
                                <w:szCs w:val="18"/>
                                <w:lang w:val="en-GB"/>
                              </w:rPr>
                            </m:ctrlPr>
                          </m:sSubPr>
                          <m:e>
                            <m:d>
                              <m:dPr>
                                <m:ctrlPr>
                                  <w:rPr>
                                    <w:rFonts w:ascii="Cambria Math" w:hAnsi="Cambria Math" w:cs="Times New Roman"/>
                                    <w:i/>
                                    <w:sz w:val="18"/>
                                    <w:szCs w:val="18"/>
                                  </w:rPr>
                                </m:ctrlPr>
                              </m:dPr>
                              <m:e>
                                <m:r>
                                  <w:rPr>
                                    <w:rFonts w:ascii="Cambria Math" w:hAnsi="Cambria Math" w:cs="Times New Roman"/>
                                    <w:sz w:val="18"/>
                                    <w:szCs w:val="18"/>
                                  </w:rPr>
                                  <m:t>B.c</m:t>
                                </m:r>
                              </m:e>
                            </m:d>
                          </m:e>
                          <m:sub>
                            <m:r>
                              <w:rPr>
                                <w:rFonts w:ascii="Cambria Math" w:hAnsi="Cambria Math" w:cs="Times New Roman"/>
                                <w:sz w:val="18"/>
                                <w:szCs w:val="18"/>
                              </w:rPr>
                              <m:t>CH4</m:t>
                            </m:r>
                          </m:sub>
                        </m:sSub>
                        <m:r>
                          <w:rPr>
                            <w:rFonts w:ascii="Cambria Math" w:hAnsi="Cambria Math" w:cs="Times New Roman"/>
                            <w:sz w:val="18"/>
                            <w:szCs w:val="18"/>
                          </w:rPr>
                          <m:t>+</m:t>
                        </m:r>
                        <m:f>
                          <m:fPr>
                            <m:ctrlPr>
                              <w:rPr>
                                <w:rFonts w:ascii="Cambria Math" w:eastAsia="Times New Roman" w:hAnsi="Cambria Math" w:cs="Times New Roman"/>
                                <w:i/>
                                <w:sz w:val="18"/>
                                <w:szCs w:val="18"/>
                                <w:lang w:val="en-GB"/>
                              </w:rPr>
                            </m:ctrlPr>
                          </m:fPr>
                          <m:num>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z</m:t>
                                </m:r>
                              </m:e>
                              <m:sub>
                                <m:r>
                                  <w:rPr>
                                    <w:rFonts w:ascii="Cambria Math" w:hAnsi="Cambria Math" w:cs="Times New Roman"/>
                                    <w:sz w:val="18"/>
                                    <w:szCs w:val="18"/>
                                  </w:rPr>
                                  <m:t>equip</m:t>
                                </m:r>
                              </m:sub>
                            </m:sSub>
                            <m:r>
                              <w:rPr>
                                <w:rFonts w:ascii="Cambria Math" w:hAnsi="Cambria Math" w:cs="Times New Roman"/>
                                <w:sz w:val="18"/>
                                <w:szCs w:val="18"/>
                              </w:rPr>
                              <m:t>*AF</m:t>
                            </m:r>
                          </m:num>
                          <m:den>
                            <m:sSub>
                              <m:sSubPr>
                                <m:ctrlPr>
                                  <w:rPr>
                                    <w:rFonts w:ascii="Cambria Math" w:eastAsia="Times New Roman" w:hAnsi="Cambria Math" w:cs="Times New Roman"/>
                                    <w:i/>
                                    <w:sz w:val="18"/>
                                    <w:szCs w:val="18"/>
                                    <w:lang w:val="en-GB"/>
                                  </w:rPr>
                                </m:ctrlPr>
                              </m:sSubPr>
                              <m:e>
                                <m:r>
                                  <w:rPr>
                                    <w:rFonts w:ascii="Cambria Math" w:hAnsi="Cambria Math" w:cs="Times New Roman"/>
                                    <w:sz w:val="18"/>
                                    <w:szCs w:val="18"/>
                                  </w:rPr>
                                  <m:t>N</m:t>
                                </m:r>
                              </m:e>
                              <m:sub>
                                <m:r>
                                  <w:rPr>
                                    <w:rFonts w:ascii="Cambria Math" w:hAnsi="Cambria Math" w:cs="Times New Roman"/>
                                    <w:sz w:val="18"/>
                                    <w:szCs w:val="18"/>
                                  </w:rPr>
                                  <m:t>hours per year</m:t>
                                </m:r>
                              </m:sub>
                            </m:sSub>
                          </m:den>
                        </m:f>
                      </m:e>
                    </m:d>
                  </m:e>
                </m:func>
              </m:oMath>
            </m:oMathPara>
          </w:p>
        </w:tc>
        <w:tc>
          <w:tcPr>
            <w:tcW w:w="1134" w:type="dxa"/>
            <w:vAlign w:val="center"/>
          </w:tcPr>
          <w:p w14:paraId="6526161C" w14:textId="7A99E57B" w:rsidR="00F36A13" w:rsidRPr="001E709F" w:rsidRDefault="00F36A13" w:rsidP="009D341D">
            <w:pPr>
              <w:spacing w:line="360" w:lineRule="auto"/>
              <w:jc w:val="center"/>
              <w:rPr>
                <w:rFonts w:ascii="Times New Roman" w:hAnsi="Times New Roman" w:cs="Times New Roman"/>
                <w:lang w:val="en-US"/>
              </w:rPr>
            </w:pPr>
            <w:r w:rsidRPr="001E709F">
              <w:rPr>
                <w:rFonts w:ascii="Times New Roman" w:hAnsi="Times New Roman" w:cs="Times New Roman"/>
                <w:lang w:val="en-US"/>
              </w:rPr>
              <w:t xml:space="preserve">     </w:t>
            </w:r>
            <w:r w:rsidRPr="00117445">
              <w:rPr>
                <w:rFonts w:ascii="Times New Roman" w:hAnsi="Times New Roman" w:cs="Times New Roman"/>
                <w:sz w:val="16"/>
                <w:szCs w:val="16"/>
                <w:lang w:val="en-US"/>
              </w:rPr>
              <w:t>(</w:t>
            </w:r>
            <w:r w:rsidR="00060209" w:rsidRPr="00117445">
              <w:rPr>
                <w:rFonts w:ascii="Times New Roman" w:hAnsi="Times New Roman" w:cs="Times New Roman"/>
                <w:sz w:val="16"/>
                <w:szCs w:val="16"/>
                <w:lang w:val="en-US"/>
              </w:rPr>
              <w:t>1</w:t>
            </w:r>
            <w:r w:rsidRPr="00117445">
              <w:rPr>
                <w:rFonts w:ascii="Times New Roman" w:hAnsi="Times New Roman" w:cs="Times New Roman"/>
                <w:sz w:val="16"/>
                <w:szCs w:val="16"/>
                <w:lang w:val="en-US"/>
              </w:rPr>
              <w:t>)</w:t>
            </w:r>
          </w:p>
        </w:tc>
      </w:tr>
    </w:tbl>
    <w:p w14:paraId="6ED4FC99" w14:textId="77777777" w:rsidR="00F36A13" w:rsidRPr="00060209" w:rsidRDefault="00F36A13" w:rsidP="00F36A13">
      <w:pPr>
        <w:spacing w:line="360" w:lineRule="auto"/>
        <w:rPr>
          <w:position w:val="-42"/>
          <w:lang w:val="en-US"/>
        </w:rPr>
      </w:pPr>
      <w:r w:rsidRPr="00060209">
        <w:rPr>
          <w:lang w:val="en-US"/>
        </w:rPr>
        <w:t>Subject to:</w:t>
      </w:r>
    </w:p>
    <w:p w14:paraId="7BEB7895" w14:textId="77777777" w:rsidR="00F36A13" w:rsidRPr="00060209" w:rsidRDefault="00F36A13" w:rsidP="00F36A13">
      <w:pPr>
        <w:spacing w:line="360" w:lineRule="auto"/>
        <w:rPr>
          <w:i/>
          <w:lang w:val="en-US"/>
        </w:rPr>
      </w:pPr>
      <w:r w:rsidRPr="00060209">
        <w:rPr>
          <w:lang w:val="en-US"/>
        </w:rPr>
        <w:lastRenderedPageBreak/>
        <w:t>Heat balance at the temperature interval</w:t>
      </w:r>
      <w:r w:rsidRPr="00060209">
        <w:rPr>
          <w:i/>
          <w:lang w:val="en-US"/>
        </w:rPr>
        <w:t xml:space="preserve"> (r):</w:t>
      </w:r>
    </w:p>
    <w:tbl>
      <w:tblPr>
        <w:tblStyle w:val="Grigliatabell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640"/>
      </w:tblGrid>
      <w:tr w:rsidR="00F36A13" w:rsidRPr="00060209" w14:paraId="38E9CA6D" w14:textId="77777777" w:rsidTr="008458EC">
        <w:trPr>
          <w:trHeight w:val="425"/>
        </w:trPr>
        <w:tc>
          <w:tcPr>
            <w:tcW w:w="4590" w:type="dxa"/>
          </w:tcPr>
          <w:p w14:paraId="137DF33A" w14:textId="77777777" w:rsidR="00F36A13" w:rsidRPr="00060209" w:rsidRDefault="005E5FC8" w:rsidP="009D341D">
            <w:pPr>
              <w:rPr>
                <w:rFonts w:ascii="Times New Roman" w:hAnsi="Times New Roman" w:cs="Times New Roman"/>
                <w:i/>
                <w:sz w:val="20"/>
                <w:szCs w:val="20"/>
                <w:lang w:val="en-US"/>
              </w:rPr>
            </w:pPr>
            <w:r w:rsidRPr="00ED66A8">
              <w:rPr>
                <w:rFonts w:ascii="Times New Roman" w:eastAsia="Times New Roman" w:hAnsi="Times New Roman" w:cs="Times New Roman"/>
                <w:noProof/>
                <w:position w:val="-26"/>
                <w:sz w:val="20"/>
                <w:szCs w:val="20"/>
                <w:lang w:val="en-US"/>
              </w:rPr>
              <w:object w:dxaOrig="4360" w:dyaOrig="660" w14:anchorId="2334F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4pt;height:25.8pt;mso-width-percent:0;mso-height-percent:0;mso-width-percent:0;mso-height-percent:0" o:ole="">
                  <v:imagedata r:id="rId9" o:title=""/>
                </v:shape>
                <o:OLEObject Type="Embed" ProgID="Equation.DSMT4" ShapeID="_x0000_i1025" DrawAspect="Content" ObjectID="_1767360072" r:id="rId10"/>
              </w:object>
            </w:r>
            <w:r w:rsidR="00F36A13" w:rsidRPr="00060209">
              <w:rPr>
                <w:rFonts w:ascii="Times New Roman" w:hAnsi="Times New Roman" w:cs="Times New Roman"/>
                <w:sz w:val="20"/>
                <w:szCs w:val="20"/>
                <w:lang w:val="en-US"/>
              </w:rPr>
              <w:t xml:space="preserve">  </w:t>
            </w:r>
          </w:p>
        </w:tc>
        <w:tc>
          <w:tcPr>
            <w:tcW w:w="2640" w:type="dxa"/>
          </w:tcPr>
          <w:p w14:paraId="61E8BEBA" w14:textId="5CBC6EA9" w:rsidR="00F36A13" w:rsidRPr="00060209" w:rsidRDefault="00F36A13" w:rsidP="009D341D">
            <w:pPr>
              <w:jc w:val="right"/>
              <w:rPr>
                <w:rFonts w:ascii="Times New Roman" w:hAnsi="Times New Roman" w:cs="Times New Roman"/>
                <w:i/>
                <w:sz w:val="20"/>
                <w:szCs w:val="20"/>
                <w:lang w:val="en-US"/>
              </w:rPr>
            </w:pPr>
            <w:r w:rsidRPr="00060209">
              <w:rPr>
                <w:rFonts w:ascii="Times New Roman" w:hAnsi="Times New Roman" w:cs="Times New Roman"/>
                <w:sz w:val="20"/>
                <w:szCs w:val="20"/>
                <w:lang w:val="en-US"/>
              </w:rPr>
              <w:t xml:space="preserve"> </w:t>
            </w:r>
            <w:r w:rsidR="00F41347" w:rsidRPr="00060209">
              <w:rPr>
                <w:rFonts w:ascii="Times New Roman" w:hAnsi="Times New Roman" w:cs="Times New Roman"/>
                <w:sz w:val="20"/>
                <w:szCs w:val="20"/>
                <w:lang w:val="en-US"/>
              </w:rPr>
              <w:t xml:space="preserve">  </w:t>
            </w:r>
            <w:r w:rsidRPr="00060209">
              <w:rPr>
                <w:rFonts w:ascii="Times New Roman" w:hAnsi="Times New Roman" w:cs="Times New Roman"/>
                <w:sz w:val="20"/>
                <w:szCs w:val="20"/>
                <w:lang w:val="en-US"/>
              </w:rPr>
              <w:t>(</w:t>
            </w:r>
            <w:r w:rsidR="00060209">
              <w:rPr>
                <w:rFonts w:ascii="Times New Roman" w:hAnsi="Times New Roman" w:cs="Times New Roman"/>
                <w:sz w:val="20"/>
                <w:szCs w:val="20"/>
                <w:lang w:val="en-US"/>
              </w:rPr>
              <w:t>2</w:t>
            </w:r>
            <w:r w:rsidRPr="00060209">
              <w:rPr>
                <w:rFonts w:ascii="Times New Roman" w:hAnsi="Times New Roman" w:cs="Times New Roman"/>
                <w:sz w:val="20"/>
                <w:szCs w:val="20"/>
                <w:lang w:val="en-US"/>
              </w:rPr>
              <w:t>)</w:t>
            </w:r>
          </w:p>
        </w:tc>
      </w:tr>
    </w:tbl>
    <w:p w14:paraId="7C077DCD" w14:textId="77777777" w:rsidR="00F36A13" w:rsidRPr="00060209" w:rsidRDefault="00F36A13" w:rsidP="00F36A13">
      <w:pPr>
        <w:spacing w:line="360" w:lineRule="auto"/>
        <w:rPr>
          <w:lang w:val="en-US"/>
        </w:rPr>
      </w:pPr>
      <w:r w:rsidRPr="00060209">
        <w:rPr>
          <w:lang w:val="en-US"/>
        </w:rPr>
        <w:t>Balance of produced/consumed power:</w:t>
      </w:r>
    </w:p>
    <w:tbl>
      <w:tblPr>
        <w:tblStyle w:val="Grigliatabell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2627"/>
      </w:tblGrid>
      <w:tr w:rsidR="00F36A13" w:rsidRPr="00060209" w14:paraId="6B287DA9" w14:textId="77777777" w:rsidTr="008458EC">
        <w:trPr>
          <w:trHeight w:val="423"/>
        </w:trPr>
        <w:tc>
          <w:tcPr>
            <w:tcW w:w="4603" w:type="dxa"/>
          </w:tcPr>
          <w:p w14:paraId="4672293E" w14:textId="77777777" w:rsidR="00F36A13" w:rsidRPr="00060209" w:rsidRDefault="005E5FC8" w:rsidP="009D341D">
            <w:pPr>
              <w:rPr>
                <w:rFonts w:ascii="Times New Roman" w:hAnsi="Times New Roman" w:cs="Times New Roman"/>
                <w:sz w:val="20"/>
                <w:szCs w:val="20"/>
                <w:lang w:val="en-US"/>
              </w:rPr>
            </w:pPr>
            <w:r w:rsidRPr="00ED66A8">
              <w:rPr>
                <w:rFonts w:ascii="Times New Roman" w:eastAsia="Times New Roman" w:hAnsi="Times New Roman" w:cs="Times New Roman"/>
                <w:noProof/>
                <w:position w:val="-42"/>
                <w:sz w:val="20"/>
                <w:szCs w:val="20"/>
                <w:lang w:val="en-GB"/>
              </w:rPr>
              <w:object w:dxaOrig="3680" w:dyaOrig="820" w14:anchorId="4D177DDF">
                <v:shape id="_x0000_i1026" type="#_x0000_t75" alt="" style="width:125.4pt;height:30.6pt;mso-width-percent:0;mso-height-percent:0;mso-width-percent:0;mso-height-percent:0" o:ole="">
                  <v:imagedata r:id="rId11" o:title=""/>
                </v:shape>
                <o:OLEObject Type="Embed" ProgID="Equation.DSMT4" ShapeID="_x0000_i1026" DrawAspect="Content" ObjectID="_1767360073" r:id="rId12"/>
              </w:object>
            </w:r>
            <w:r w:rsidR="00F36A13" w:rsidRPr="00060209">
              <w:rPr>
                <w:rFonts w:ascii="Times New Roman" w:hAnsi="Times New Roman" w:cs="Times New Roman"/>
                <w:position w:val="-44"/>
                <w:sz w:val="20"/>
                <w:szCs w:val="20"/>
                <w:lang w:val="en-US"/>
              </w:rPr>
              <w:t xml:space="preserve">    </w:t>
            </w:r>
          </w:p>
        </w:tc>
        <w:tc>
          <w:tcPr>
            <w:tcW w:w="2627" w:type="dxa"/>
          </w:tcPr>
          <w:p w14:paraId="24A50E76" w14:textId="2373F355" w:rsidR="00F36A13" w:rsidRPr="00060209" w:rsidRDefault="00F36A13" w:rsidP="009D341D">
            <w:pPr>
              <w:jc w:val="right"/>
              <w:rPr>
                <w:rFonts w:ascii="Times New Roman" w:hAnsi="Times New Roman" w:cs="Times New Roman"/>
                <w:sz w:val="20"/>
                <w:szCs w:val="20"/>
                <w:lang w:val="en-US"/>
              </w:rPr>
            </w:pPr>
            <w:r w:rsidRPr="00060209">
              <w:rPr>
                <w:rFonts w:ascii="Times New Roman" w:hAnsi="Times New Roman" w:cs="Times New Roman"/>
                <w:sz w:val="20"/>
                <w:szCs w:val="20"/>
                <w:lang w:val="en-US"/>
              </w:rPr>
              <w:t>(</w:t>
            </w:r>
            <w:r w:rsidR="00060209">
              <w:rPr>
                <w:rFonts w:ascii="Times New Roman" w:hAnsi="Times New Roman" w:cs="Times New Roman"/>
                <w:sz w:val="20"/>
                <w:szCs w:val="20"/>
                <w:lang w:val="en-US"/>
              </w:rPr>
              <w:t>3</w:t>
            </w:r>
            <w:r w:rsidRPr="00060209">
              <w:rPr>
                <w:rFonts w:ascii="Times New Roman" w:hAnsi="Times New Roman" w:cs="Times New Roman"/>
                <w:sz w:val="20"/>
                <w:szCs w:val="20"/>
                <w:lang w:val="en-US"/>
              </w:rPr>
              <w:t>)</w:t>
            </w:r>
          </w:p>
        </w:tc>
      </w:tr>
    </w:tbl>
    <w:p w14:paraId="0B69B076" w14:textId="77777777" w:rsidR="00F36A13" w:rsidRPr="00060209" w:rsidRDefault="00F36A13" w:rsidP="00F36A13">
      <w:pPr>
        <w:spacing w:line="360" w:lineRule="auto"/>
        <w:rPr>
          <w:lang w:val="en-US"/>
        </w:rPr>
      </w:pPr>
      <w:r w:rsidRPr="00060209">
        <w:rPr>
          <w:lang w:val="en-US"/>
        </w:rPr>
        <w:t xml:space="preserve">Existence and size of the utility unit: </w:t>
      </w:r>
    </w:p>
    <w:tbl>
      <w:tblPr>
        <w:tblStyle w:val="Grigliatabell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2627"/>
      </w:tblGrid>
      <w:tr w:rsidR="00F36A13" w:rsidRPr="00060209" w14:paraId="20AC1BA2" w14:textId="77777777" w:rsidTr="008458EC">
        <w:trPr>
          <w:trHeight w:val="329"/>
        </w:trPr>
        <w:tc>
          <w:tcPr>
            <w:tcW w:w="4603" w:type="dxa"/>
          </w:tcPr>
          <w:p w14:paraId="70A36047" w14:textId="77777777" w:rsidR="00F36A13" w:rsidRPr="00060209" w:rsidRDefault="005E5FC8" w:rsidP="009D341D">
            <w:pPr>
              <w:rPr>
                <w:rFonts w:ascii="Times New Roman" w:hAnsi="Times New Roman" w:cs="Times New Roman"/>
                <w:sz w:val="20"/>
                <w:szCs w:val="20"/>
                <w:lang w:val="en-US"/>
              </w:rPr>
            </w:pPr>
            <w:r w:rsidRPr="00ED66A8">
              <w:rPr>
                <w:rFonts w:ascii="Times New Roman" w:eastAsia="Times New Roman" w:hAnsi="Times New Roman" w:cs="Times New Roman"/>
                <w:noProof/>
                <w:position w:val="-14"/>
                <w:sz w:val="20"/>
                <w:szCs w:val="20"/>
                <w:lang w:val="en-US"/>
              </w:rPr>
              <w:object w:dxaOrig="3860" w:dyaOrig="360" w14:anchorId="792AA8BF">
                <v:shape id="_x0000_i1027" type="#_x0000_t75" alt="" style="width:149.4pt;height:13.8pt;mso-width-percent:0;mso-height-percent:0;mso-width-percent:0;mso-height-percent:0" o:ole="">
                  <v:imagedata r:id="rId13" o:title=""/>
                </v:shape>
                <o:OLEObject Type="Embed" ProgID="Equation.DSMT4" ShapeID="_x0000_i1027" DrawAspect="Content" ObjectID="_1767360074" r:id="rId14"/>
              </w:object>
            </w:r>
            <w:r w:rsidR="00F36A13" w:rsidRPr="00060209">
              <w:rPr>
                <w:rFonts w:ascii="Times New Roman" w:hAnsi="Times New Roman" w:cs="Times New Roman"/>
                <w:sz w:val="20"/>
                <w:szCs w:val="20"/>
                <w:lang w:val="en-US"/>
              </w:rPr>
              <w:t xml:space="preserve">           </w:t>
            </w:r>
          </w:p>
        </w:tc>
        <w:tc>
          <w:tcPr>
            <w:tcW w:w="2627" w:type="dxa"/>
          </w:tcPr>
          <w:p w14:paraId="46B17396" w14:textId="77ED29C7" w:rsidR="00F36A13" w:rsidRPr="00060209" w:rsidRDefault="00F36A13" w:rsidP="009D341D">
            <w:pPr>
              <w:jc w:val="right"/>
              <w:rPr>
                <w:rFonts w:ascii="Times New Roman" w:hAnsi="Times New Roman" w:cs="Times New Roman"/>
                <w:sz w:val="20"/>
                <w:szCs w:val="20"/>
                <w:lang w:val="en-US"/>
              </w:rPr>
            </w:pPr>
            <w:r w:rsidRPr="00060209">
              <w:rPr>
                <w:rFonts w:ascii="Times New Roman" w:hAnsi="Times New Roman" w:cs="Times New Roman"/>
                <w:sz w:val="20"/>
                <w:szCs w:val="20"/>
                <w:lang w:val="en-US"/>
              </w:rPr>
              <w:t>(</w:t>
            </w:r>
            <w:r w:rsidR="00060209">
              <w:rPr>
                <w:rFonts w:ascii="Times New Roman" w:hAnsi="Times New Roman" w:cs="Times New Roman"/>
                <w:sz w:val="20"/>
                <w:szCs w:val="20"/>
                <w:lang w:val="en-US"/>
              </w:rPr>
              <w:t>4</w:t>
            </w:r>
            <w:r w:rsidRPr="00060209">
              <w:rPr>
                <w:rFonts w:ascii="Times New Roman" w:hAnsi="Times New Roman" w:cs="Times New Roman"/>
                <w:sz w:val="20"/>
                <w:szCs w:val="20"/>
                <w:lang w:val="en-US"/>
              </w:rPr>
              <w:t>)</w:t>
            </w:r>
          </w:p>
        </w:tc>
      </w:tr>
    </w:tbl>
    <w:p w14:paraId="05ACDD0A" w14:textId="77777777" w:rsidR="00F36A13" w:rsidRPr="00060209" w:rsidRDefault="00F36A13" w:rsidP="00F36A13">
      <w:pPr>
        <w:spacing w:line="360" w:lineRule="auto"/>
        <w:rPr>
          <w:lang w:val="en-US"/>
        </w:rPr>
      </w:pPr>
      <w:r w:rsidRPr="00060209">
        <w:rPr>
          <w:lang w:val="en-US"/>
        </w:rPr>
        <w:t xml:space="preserve">Feasibility of the solution (MER):         </w:t>
      </w:r>
    </w:p>
    <w:tbl>
      <w:tblPr>
        <w:tblStyle w:val="Grigliatabell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2"/>
        <w:gridCol w:w="588"/>
      </w:tblGrid>
      <w:tr w:rsidR="00F36A13" w:rsidRPr="00060209" w14:paraId="33792F92" w14:textId="77777777" w:rsidTr="001E709F">
        <w:trPr>
          <w:trHeight w:val="374"/>
        </w:trPr>
        <w:tc>
          <w:tcPr>
            <w:tcW w:w="6642" w:type="dxa"/>
          </w:tcPr>
          <w:p w14:paraId="53A86B2D" w14:textId="77777777" w:rsidR="00F36A13" w:rsidRPr="00060209" w:rsidRDefault="005E5FC8" w:rsidP="009D341D">
            <w:pPr>
              <w:rPr>
                <w:rFonts w:ascii="Times New Roman" w:hAnsi="Times New Roman" w:cs="Times New Roman"/>
                <w:sz w:val="20"/>
                <w:szCs w:val="20"/>
                <w:lang w:val="en-US"/>
              </w:rPr>
            </w:pPr>
            <w:r w:rsidRPr="00ED66A8">
              <w:rPr>
                <w:rFonts w:ascii="Times New Roman" w:eastAsia="Times New Roman" w:hAnsi="Times New Roman" w:cs="Times New Roman"/>
                <w:noProof/>
                <w:position w:val="-14"/>
                <w:sz w:val="20"/>
                <w:szCs w:val="20"/>
                <w:lang w:val="en-US"/>
              </w:rPr>
              <w:object w:dxaOrig="2480" w:dyaOrig="360" w14:anchorId="1D7F3355">
                <v:shape id="_x0000_i1028" type="#_x0000_t75" alt="" style="width:89.4pt;height:12pt;mso-width-percent:0;mso-height-percent:0;mso-width-percent:0;mso-height-percent:0" o:ole="">
                  <v:imagedata r:id="rId15" o:title=""/>
                </v:shape>
                <o:OLEObject Type="Embed" ProgID="Equation.DSMT4" ShapeID="_x0000_i1028" DrawAspect="Content" ObjectID="_1767360075" r:id="rId16"/>
              </w:object>
            </w:r>
            <w:r w:rsidR="00F36A13" w:rsidRPr="00060209">
              <w:rPr>
                <w:rFonts w:ascii="Times New Roman" w:hAnsi="Times New Roman" w:cs="Times New Roman"/>
                <w:position w:val="-14"/>
                <w:sz w:val="20"/>
                <w:szCs w:val="20"/>
                <w:lang w:val="en-US"/>
              </w:rPr>
              <w:t xml:space="preserve"> </w:t>
            </w:r>
            <w:r w:rsidR="00F36A13" w:rsidRPr="00060209">
              <w:rPr>
                <w:rFonts w:ascii="Times New Roman" w:hAnsi="Times New Roman" w:cs="Times New Roman"/>
                <w:sz w:val="20"/>
                <w:szCs w:val="20"/>
                <w:lang w:val="en-US"/>
              </w:rPr>
              <w:t xml:space="preserve">and  </w:t>
            </w:r>
            <w:r w:rsidRPr="00ED66A8">
              <w:rPr>
                <w:rFonts w:ascii="Times New Roman" w:eastAsia="Times New Roman" w:hAnsi="Times New Roman" w:cs="Times New Roman"/>
                <w:noProof/>
                <w:position w:val="-14"/>
                <w:sz w:val="20"/>
                <w:szCs w:val="20"/>
                <w:lang w:val="en-GB"/>
              </w:rPr>
              <w:object w:dxaOrig="1740" w:dyaOrig="360" w14:anchorId="59C0213F">
                <v:shape id="_x0000_i1029" type="#_x0000_t75" alt="" style="width:57pt;height:13.2pt;mso-width-percent:0;mso-height-percent:0;mso-width-percent:0;mso-height-percent:0" o:ole="">
                  <v:imagedata r:id="rId17" o:title=""/>
                </v:shape>
                <o:OLEObject Type="Embed" ProgID="Equation.DSMT4" ShapeID="_x0000_i1029" DrawAspect="Content" ObjectID="_1767360076" r:id="rId18"/>
              </w:object>
            </w:r>
            <w:r w:rsidR="00F36A13" w:rsidRPr="00060209">
              <w:rPr>
                <w:rFonts w:ascii="Times New Roman" w:hAnsi="Times New Roman" w:cs="Times New Roman"/>
                <w:position w:val="-14"/>
                <w:sz w:val="20"/>
                <w:szCs w:val="20"/>
                <w:lang w:val="en-US"/>
              </w:rPr>
              <w:t xml:space="preserve">   </w:t>
            </w:r>
          </w:p>
        </w:tc>
        <w:tc>
          <w:tcPr>
            <w:tcW w:w="588" w:type="dxa"/>
          </w:tcPr>
          <w:p w14:paraId="7F246D11" w14:textId="2C9951C8" w:rsidR="00F36A13" w:rsidRPr="00060209" w:rsidRDefault="00F36A13" w:rsidP="009D341D">
            <w:pPr>
              <w:jc w:val="right"/>
              <w:rPr>
                <w:rFonts w:ascii="Times New Roman" w:hAnsi="Times New Roman" w:cs="Times New Roman"/>
                <w:sz w:val="20"/>
                <w:szCs w:val="20"/>
                <w:lang w:val="en-US"/>
              </w:rPr>
            </w:pPr>
            <w:r w:rsidRPr="00060209">
              <w:rPr>
                <w:rFonts w:ascii="Times New Roman" w:hAnsi="Times New Roman" w:cs="Times New Roman"/>
                <w:sz w:val="20"/>
                <w:szCs w:val="20"/>
                <w:lang w:val="en-US"/>
              </w:rPr>
              <w:t>(</w:t>
            </w:r>
            <w:r w:rsidR="00060209">
              <w:rPr>
                <w:rFonts w:ascii="Times New Roman" w:hAnsi="Times New Roman" w:cs="Times New Roman"/>
                <w:sz w:val="20"/>
                <w:szCs w:val="20"/>
                <w:lang w:val="en-US"/>
              </w:rPr>
              <w:t>5</w:t>
            </w:r>
            <w:r w:rsidRPr="00060209">
              <w:rPr>
                <w:rFonts w:ascii="Times New Roman" w:hAnsi="Times New Roman" w:cs="Times New Roman"/>
                <w:sz w:val="20"/>
                <w:szCs w:val="20"/>
                <w:lang w:val="en-US"/>
              </w:rPr>
              <w:t>)</w:t>
            </w:r>
          </w:p>
        </w:tc>
      </w:tr>
    </w:tbl>
    <w:p w14:paraId="0E55A40A" w14:textId="77777777" w:rsidR="00F36A13" w:rsidRPr="00BE6D82" w:rsidRDefault="00F36A13" w:rsidP="00F36A13">
      <w:pPr>
        <w:spacing w:after="120"/>
        <w:jc w:val="both"/>
        <w:rPr>
          <w:lang w:val="en-US"/>
        </w:rPr>
      </w:pPr>
      <w:r w:rsidRPr="00BE6D82">
        <w:rPr>
          <w:lang w:val="en-US"/>
        </w:rPr>
        <w:t>where:</w:t>
      </w:r>
    </w:p>
    <w:p w14:paraId="2F168BCC" w14:textId="763AE559" w:rsidR="00F36A13" w:rsidRPr="00BE6D82" w:rsidRDefault="00F36A13" w:rsidP="002C03D0">
      <w:pPr>
        <w:jc w:val="both"/>
        <w:rPr>
          <w:lang w:val="en-US"/>
        </w:rPr>
      </w:pPr>
      <w:proofErr w:type="spellStart"/>
      <w:r w:rsidRPr="00BE6D82">
        <w:rPr>
          <w:i/>
          <w:lang w:val="en-US"/>
        </w:rPr>
        <w:t>N</w:t>
      </w:r>
      <w:r w:rsidRPr="00BE6D82">
        <w:rPr>
          <w:i/>
          <w:vertAlign w:val="subscript"/>
          <w:lang w:val="en-US"/>
        </w:rPr>
        <w:t>w</w:t>
      </w:r>
      <w:proofErr w:type="spellEnd"/>
      <w:r w:rsidRPr="00BE6D82">
        <w:rPr>
          <w:lang w:val="en-US"/>
        </w:rPr>
        <w:t xml:space="preserve"> is the number of units in the set of utility systems; </w:t>
      </w:r>
      <w:r w:rsidRPr="00BE6D82">
        <w:rPr>
          <w:i/>
          <w:lang w:val="en-US"/>
        </w:rPr>
        <w:t>B</w:t>
      </w:r>
      <w:r w:rsidRPr="00BE6D82">
        <w:rPr>
          <w:lang w:val="en-US"/>
        </w:rPr>
        <w:t xml:space="preserve"> is the exergy flow rate (kW) of the resources entering or leaving the integrated energy system;</w:t>
      </w:r>
      <w:r w:rsidR="00BE6D82">
        <w:rPr>
          <w:lang w:val="en-US"/>
        </w:rPr>
        <w:t xml:space="preserve"> </w:t>
      </w:r>
      <w:r w:rsidRPr="00BE6D82">
        <w:rPr>
          <w:i/>
          <w:lang w:val="en-US"/>
        </w:rPr>
        <w:t>c</w:t>
      </w:r>
      <w:r w:rsidRPr="00BE6D82">
        <w:rPr>
          <w:lang w:val="en-US"/>
        </w:rPr>
        <w:t xml:space="preserve"> stands for the buying costs of the </w:t>
      </w:r>
      <w:r w:rsidR="002C03D0" w:rsidRPr="00BE6D82">
        <w:rPr>
          <w:lang w:val="en-US"/>
        </w:rPr>
        <w:t>waste</w:t>
      </w:r>
      <w:r w:rsidRPr="00BE6D82">
        <w:rPr>
          <w:lang w:val="en-US"/>
        </w:rPr>
        <w:t xml:space="preserve"> feedstock </w:t>
      </w:r>
      <w:r w:rsidR="00BE6D82" w:rsidRPr="00BE6D82">
        <w:t xml:space="preserve">(0.001 EUR/kWh) </w:t>
      </w:r>
      <w:r w:rsidRPr="00BE6D82">
        <w:rPr>
          <w:lang w:val="en-US"/>
        </w:rPr>
        <w:t>and the electricity consumed</w:t>
      </w:r>
      <w:r w:rsidR="00BE6D82">
        <w:rPr>
          <w:lang w:val="en-US"/>
        </w:rPr>
        <w:t xml:space="preserve"> (for </w:t>
      </w:r>
      <w:r w:rsidR="00BE6D82" w:rsidRPr="00BE6D82">
        <w:rPr>
          <w:lang w:val="en-US"/>
        </w:rPr>
        <w:t xml:space="preserve">March-October </w:t>
      </w:r>
      <w:r w:rsidR="00BE6D82">
        <w:rPr>
          <w:lang w:val="en-US"/>
        </w:rPr>
        <w:t xml:space="preserve">assumed as </w:t>
      </w:r>
      <w:r w:rsidR="00BE6D82" w:rsidRPr="00BE6D82">
        <w:rPr>
          <w:lang w:val="en-US"/>
        </w:rPr>
        <w:t>0.001 EUR/kW</w:t>
      </w:r>
      <w:r w:rsidR="00BE6D82">
        <w:rPr>
          <w:lang w:val="en-US"/>
        </w:rPr>
        <w:t xml:space="preserve">h, and for </w:t>
      </w:r>
      <w:r w:rsidR="00BE6D82" w:rsidRPr="00BE6D82">
        <w:rPr>
          <w:lang w:val="en-US"/>
        </w:rPr>
        <w:t>November-February</w:t>
      </w:r>
      <w:r w:rsidR="00BE6D82">
        <w:rPr>
          <w:lang w:val="en-US"/>
        </w:rPr>
        <w:t xml:space="preserve"> as </w:t>
      </w:r>
      <w:r w:rsidR="00BE6D82" w:rsidRPr="00BE6D82">
        <w:rPr>
          <w:lang w:val="en-US"/>
        </w:rPr>
        <w:t xml:space="preserve"> 0.15 EUR/kWh</w:t>
      </w:r>
      <w:r w:rsidR="00BE6D82">
        <w:rPr>
          <w:lang w:val="en-US"/>
        </w:rPr>
        <w:t>)</w:t>
      </w:r>
      <w:r w:rsidRPr="00BE6D82">
        <w:rPr>
          <w:lang w:val="en-US"/>
        </w:rPr>
        <w:t>, along with the CO</w:t>
      </w:r>
      <w:r w:rsidRPr="00BE6D82">
        <w:rPr>
          <w:vertAlign w:val="subscript"/>
          <w:lang w:val="en-US"/>
        </w:rPr>
        <w:t>2</w:t>
      </w:r>
      <w:r w:rsidRPr="00BE6D82">
        <w:rPr>
          <w:lang w:val="en-US"/>
        </w:rPr>
        <w:t xml:space="preserve"> taxation</w:t>
      </w:r>
      <w:r w:rsidR="00BE6D82">
        <w:rPr>
          <w:lang w:val="en-US"/>
        </w:rPr>
        <w:t xml:space="preserve"> </w:t>
      </w:r>
      <w:r w:rsidR="00BE6D82" w:rsidRPr="00BE6D82">
        <w:rPr>
          <w:lang w:val="en-US"/>
        </w:rPr>
        <w:t>set as 120 EUR/t</w:t>
      </w:r>
      <w:r w:rsidR="00BE6D82" w:rsidRPr="00BE6D82">
        <w:rPr>
          <w:vertAlign w:val="subscript"/>
          <w:lang w:val="en-US"/>
        </w:rPr>
        <w:t>CO2</w:t>
      </w:r>
      <w:r w:rsidR="00BE6D82" w:rsidRPr="00BE6D82">
        <w:rPr>
          <w:lang w:val="en-US"/>
        </w:rPr>
        <w:t xml:space="preserve"> </w:t>
      </w:r>
      <w:r w:rsidR="00BE6D82" w:rsidRPr="00BE6D82">
        <w:rPr>
          <w:shd w:val="clear" w:color="auto" w:fill="FFFFFF"/>
          <w:lang w:val="en-US"/>
        </w:rPr>
        <w:fldChar w:fldCharType="begin"/>
      </w:r>
      <w:r w:rsidR="00BE6D82" w:rsidRPr="00BE6D82">
        <w:rPr>
          <w:shd w:val="clear" w:color="auto" w:fill="FFFFFF"/>
          <w:lang w:val="en-US"/>
        </w:rPr>
        <w:instrText xml:space="preserve"> ADDIN EN.CITE &lt;EndNote&gt;&lt;Cite&gt;&lt;Author&gt;IEA&lt;/Author&gt;&lt;Year&gt;2021&lt;/Year&gt;&lt;RecNum&gt;292&lt;/RecNum&gt;&lt;DisplayText&gt;(IEA, 2021)&lt;/DisplayText&gt;&lt;record&gt;&lt;rec-number&gt;292&lt;/rec-number&gt;&lt;foreign-keys&gt;&lt;key app="EN" db-id="dwwwrt2e2savvmedzf35d0phdtsdzefrpasw" timestamp="1657790965"&gt;292&lt;/key&gt;&lt;/foreign-keys&gt;&lt;ref-type name="Report"&gt;27&lt;/ref-type&gt;&lt;contributors&gt;&lt;authors&gt;&lt;author&gt;IEA&lt;/author&gt;&lt;/authors&gt;&lt;/contributors&gt;&lt;titles&gt;&lt;title&gt;Ammonia Technology Roadmap: Towards more sustainable nitrogen fertiliser production&lt;/title&gt;&lt;/titles&gt;&lt;pages&gt;168&lt;/pages&gt;&lt;dates&gt;&lt;year&gt;2021&lt;/year&gt;&lt;/dates&gt;&lt;urls&gt;&lt;/urls&gt;&lt;/record&gt;&lt;/Cite&gt;&lt;/EndNote&gt;</w:instrText>
      </w:r>
      <w:r w:rsidR="00BE6D82" w:rsidRPr="00BE6D82">
        <w:rPr>
          <w:shd w:val="clear" w:color="auto" w:fill="FFFFFF"/>
          <w:lang w:val="en-US"/>
        </w:rPr>
        <w:fldChar w:fldCharType="separate"/>
      </w:r>
      <w:r w:rsidR="00BE6D82" w:rsidRPr="00BE6D82">
        <w:rPr>
          <w:noProof/>
          <w:shd w:val="clear" w:color="auto" w:fill="FFFFFF"/>
          <w:lang w:val="en-US"/>
        </w:rPr>
        <w:t>(IEA, 2021)</w:t>
      </w:r>
      <w:r w:rsidR="00BE6D82" w:rsidRPr="00BE6D82">
        <w:rPr>
          <w:shd w:val="clear" w:color="auto" w:fill="FFFFFF"/>
          <w:lang w:val="en-US"/>
        </w:rPr>
        <w:fldChar w:fldCharType="end"/>
      </w:r>
      <w:r w:rsidRPr="00BE6D82">
        <w:rPr>
          <w:lang w:val="en-US"/>
        </w:rPr>
        <w:t xml:space="preserve">, as well as for the selling price of the marketable </w:t>
      </w:r>
      <w:r w:rsidR="00922A03" w:rsidRPr="00BE6D82">
        <w:rPr>
          <w:lang w:val="en-US"/>
        </w:rPr>
        <w:t>CH</w:t>
      </w:r>
      <w:r w:rsidR="00922A03" w:rsidRPr="00BE6D82">
        <w:rPr>
          <w:vertAlign w:val="subscript"/>
          <w:lang w:val="en-US"/>
        </w:rPr>
        <w:t>4</w:t>
      </w:r>
      <w:r w:rsidR="00BE6D82">
        <w:rPr>
          <w:vertAlign w:val="subscript"/>
          <w:lang w:val="en-US"/>
        </w:rPr>
        <w:t xml:space="preserve"> </w:t>
      </w:r>
      <w:r w:rsidR="00BE6D82" w:rsidRPr="00BE6D82">
        <w:t>(0.07 EUR/kWh)</w:t>
      </w:r>
      <w:r w:rsidR="002C03D0" w:rsidRPr="00BE6D82">
        <w:rPr>
          <w:lang w:val="en-US"/>
        </w:rPr>
        <w:t>;</w:t>
      </w:r>
      <w:r w:rsidR="00EE580C">
        <w:rPr>
          <w:lang w:val="en-US"/>
        </w:rPr>
        <w:t xml:space="preserve"> </w:t>
      </w:r>
      <w:r w:rsidRPr="00BE6D82">
        <w:rPr>
          <w:i/>
          <w:lang w:val="en-US"/>
        </w:rPr>
        <w:t>q</w:t>
      </w:r>
      <w:r w:rsidRPr="00BE6D82">
        <w:rPr>
          <w:lang w:val="en-US"/>
        </w:rPr>
        <w:t xml:space="preserve"> is the heating/cooling flow rates supplied by the selected utility systems (kW); </w:t>
      </w:r>
      <w:r w:rsidRPr="00BE6D82">
        <w:rPr>
          <w:i/>
          <w:lang w:val="en-US"/>
        </w:rPr>
        <w:t>W</w:t>
      </w:r>
      <w:r w:rsidRPr="00BE6D82">
        <w:rPr>
          <w:lang w:val="en-US"/>
        </w:rPr>
        <w:t xml:space="preserve"> is the power domestically produced by either the utility systems (i.e. steam network) or the chemical processes (e.g. expanders); or imported from/exported to the grid (kW); </w:t>
      </w:r>
      <w:r w:rsidRPr="00BE6D82">
        <w:rPr>
          <w:i/>
          <w:iCs/>
          <w:lang w:val="en-US"/>
        </w:rPr>
        <w:t>AF</w:t>
      </w:r>
      <w:r w:rsidRPr="00BE6D82">
        <w:rPr>
          <w:lang w:val="en-US"/>
        </w:rPr>
        <w:t xml:space="preserve"> is the annualization factor;</w:t>
      </w:r>
      <w:r w:rsidR="00EE580C">
        <w:rPr>
          <w:lang w:val="en-US"/>
        </w:rPr>
        <w:t xml:space="preserve"> </w:t>
      </w:r>
      <w:proofErr w:type="spellStart"/>
      <w:r w:rsidRPr="00BE6D82">
        <w:rPr>
          <w:i/>
          <w:iCs/>
          <w:lang w:val="en-US"/>
        </w:rPr>
        <w:t>N</w:t>
      </w:r>
      <w:r w:rsidRPr="00BE6D82">
        <w:rPr>
          <w:i/>
          <w:iCs/>
          <w:vertAlign w:val="subscript"/>
          <w:lang w:val="en-US"/>
        </w:rPr>
        <w:t>hours</w:t>
      </w:r>
      <w:proofErr w:type="spellEnd"/>
      <w:r w:rsidRPr="00BE6D82">
        <w:rPr>
          <w:i/>
          <w:iCs/>
          <w:vertAlign w:val="subscript"/>
          <w:lang w:val="en-US"/>
        </w:rPr>
        <w:t xml:space="preserve"> per year</w:t>
      </w:r>
      <w:r w:rsidRPr="00BE6D82">
        <w:rPr>
          <w:vertAlign w:val="subscript"/>
          <w:lang w:val="en-US"/>
        </w:rPr>
        <w:t xml:space="preserve"> </w:t>
      </w:r>
      <w:r w:rsidRPr="00BE6D82">
        <w:rPr>
          <w:lang w:val="en-US"/>
        </w:rPr>
        <w:t>is the number of operative hours per year (8760 h);</w:t>
      </w:r>
      <w:r w:rsidR="00EE580C">
        <w:rPr>
          <w:lang w:val="en-US"/>
        </w:rPr>
        <w:t xml:space="preserve"> </w:t>
      </w:r>
      <w:proofErr w:type="spellStart"/>
      <w:r w:rsidRPr="00BE6D82">
        <w:rPr>
          <w:i/>
          <w:iCs/>
          <w:lang w:val="en-US"/>
        </w:rPr>
        <w:t>Z</w:t>
      </w:r>
      <w:r w:rsidRPr="00BE6D82">
        <w:rPr>
          <w:i/>
          <w:iCs/>
          <w:vertAlign w:val="subscript"/>
          <w:lang w:val="en-US"/>
        </w:rPr>
        <w:t>equip</w:t>
      </w:r>
      <w:proofErr w:type="spellEnd"/>
      <w:r w:rsidRPr="00BE6D82">
        <w:rPr>
          <w:lang w:val="en-US"/>
        </w:rPr>
        <w:t xml:space="preserve"> is the investment cost (E</w:t>
      </w:r>
      <w:r w:rsidR="0073791B">
        <w:rPr>
          <w:lang w:val="en-US"/>
        </w:rPr>
        <w:t>UR</w:t>
      </w:r>
      <w:r w:rsidRPr="00BE6D82">
        <w:rPr>
          <w:lang w:val="en-US"/>
        </w:rPr>
        <w:t>)</w:t>
      </w:r>
      <w:r w:rsidR="002C03D0" w:rsidRPr="00BE6D82">
        <w:rPr>
          <w:lang w:val="en-US"/>
        </w:rPr>
        <w:t>.</w:t>
      </w:r>
    </w:p>
    <w:p w14:paraId="5E591A3F" w14:textId="77777777" w:rsidR="00EA4C80" w:rsidRDefault="00EA4C80" w:rsidP="00F36A13">
      <w:pPr>
        <w:jc w:val="both"/>
        <w:rPr>
          <w:lang w:val="en-US"/>
        </w:rPr>
      </w:pPr>
      <w:r w:rsidRPr="00EA4C80">
        <w:rPr>
          <w:lang w:val="en-US"/>
        </w:rPr>
        <w:t>The electricity price assumption allows us to model the seasonal energy costs of intermittent and renewable energy resources, as well as the factors that affect energy and CO</w:t>
      </w:r>
      <w:r w:rsidRPr="00EA4C80">
        <w:rPr>
          <w:vertAlign w:val="subscript"/>
          <w:lang w:val="en-US"/>
        </w:rPr>
        <w:t>2</w:t>
      </w:r>
      <w:r w:rsidRPr="00EA4C80">
        <w:rPr>
          <w:lang w:val="en-US"/>
        </w:rPr>
        <w:t xml:space="preserve"> management in the integrated production system in this case study.</w:t>
      </w:r>
    </w:p>
    <w:p w14:paraId="326878EE" w14:textId="03974C5C" w:rsidR="00922A03" w:rsidRPr="00BE6D82" w:rsidRDefault="00F36A13" w:rsidP="00F36A13">
      <w:pPr>
        <w:jc w:val="both"/>
        <w:rPr>
          <w:lang w:val="en-US"/>
        </w:rPr>
      </w:pPr>
      <w:r w:rsidRPr="00BE6D82">
        <w:rPr>
          <w:lang w:val="en-US"/>
        </w:rPr>
        <w:t>Equations (</w:t>
      </w:r>
      <w:r w:rsidR="00D32374" w:rsidRPr="00BE6D82">
        <w:rPr>
          <w:lang w:val="en-US"/>
        </w:rPr>
        <w:t>6</w:t>
      </w:r>
      <w:r w:rsidRPr="00BE6D82">
        <w:rPr>
          <w:lang w:val="en-US"/>
        </w:rPr>
        <w:t>) and (</w:t>
      </w:r>
      <w:r w:rsidR="00D32374" w:rsidRPr="00BE6D82">
        <w:rPr>
          <w:lang w:val="en-US"/>
        </w:rPr>
        <w:t>7</w:t>
      </w:r>
      <w:r w:rsidRPr="00BE6D82">
        <w:rPr>
          <w:lang w:val="en-US"/>
        </w:rPr>
        <w:t xml:space="preserve">) are the balance equations for the amount of liquefied gas stored in the tanks, being that the continuous variable </w:t>
      </w:r>
      <w:proofErr w:type="spellStart"/>
      <w:r w:rsidRPr="00BE6D82">
        <w:rPr>
          <w:i/>
          <w:lang w:val="en-US"/>
        </w:rPr>
        <w:t>f</w:t>
      </w:r>
      <w:r w:rsidRPr="00BE6D82">
        <w:rPr>
          <w:i/>
          <w:vertAlign w:val="subscript"/>
          <w:lang w:val="en-US"/>
        </w:rPr>
        <w:t>tank</w:t>
      </w:r>
      <w:proofErr w:type="spellEnd"/>
      <w:r w:rsidRPr="00BE6D82">
        <w:rPr>
          <w:lang w:val="en-US"/>
        </w:rPr>
        <w:t xml:space="preserve"> accounts for the optimization variable of the tank capacity, and the mass or energy coming in or out the storage systems depend on the operating capacities of the energy systems (</w:t>
      </w:r>
      <w:r w:rsidRPr="00BE6D82">
        <w:rPr>
          <w:i/>
          <w:lang w:val="en-US"/>
        </w:rPr>
        <w:t>f</w:t>
      </w:r>
      <w:r w:rsidRPr="00BE6D82">
        <w:rPr>
          <w:lang w:val="en-US"/>
        </w:rPr>
        <w:t xml:space="preserve">), which are also optimized for each time step </w:t>
      </w:r>
      <w:r w:rsidRPr="00BE6D82">
        <w:rPr>
          <w:i/>
          <w:lang w:val="en-US"/>
        </w:rPr>
        <w:t>t</w:t>
      </w:r>
      <w:r w:rsidRPr="00BE6D82">
        <w:rPr>
          <w:lang w:val="en-US"/>
        </w:rPr>
        <w:t xml:space="preserve">. </w:t>
      </w:r>
    </w:p>
    <w:p w14:paraId="6D777ABC" w14:textId="023EDC1A" w:rsidR="00F36A13" w:rsidRPr="00BE6D82" w:rsidRDefault="005E5FC8" w:rsidP="001403D2">
      <w:pPr>
        <w:spacing w:line="360" w:lineRule="auto"/>
        <w:rPr>
          <w:lang w:val="en-US"/>
        </w:rPr>
      </w:pPr>
      <w:r w:rsidRPr="00FB4DA9">
        <w:rPr>
          <w:noProof/>
          <w:position w:val="-16"/>
          <w:lang w:val="en-US"/>
        </w:rPr>
        <w:object w:dxaOrig="2140" w:dyaOrig="360" w14:anchorId="30353F17">
          <v:shape id="_x0000_i1030" type="#_x0000_t75" alt="" style="width:95.4pt;height:13.8pt;mso-width-percent:0;mso-height-percent:0;mso-width-percent:0;mso-height-percent:0" o:ole="">
            <v:imagedata r:id="rId19" o:title=""/>
          </v:shape>
          <o:OLEObject Type="Embed" ProgID="Equation.DSMT4" ShapeID="_x0000_i1030" DrawAspect="Content" ObjectID="_1767360077" r:id="rId20"/>
        </w:object>
      </w:r>
      <w:r w:rsidR="00F36A13" w:rsidRPr="00BE6D82">
        <w:rPr>
          <w:lang w:val="en-US"/>
        </w:rPr>
        <w:t xml:space="preserve">                                     </w:t>
      </w:r>
      <w:r w:rsidR="001403D2" w:rsidRPr="00BE6D82">
        <w:rPr>
          <w:lang w:val="en-US"/>
        </w:rPr>
        <w:t xml:space="preserve">  </w:t>
      </w:r>
      <w:r w:rsidR="00F36A13" w:rsidRPr="00BE6D82">
        <w:rPr>
          <w:lang w:val="en-US"/>
        </w:rPr>
        <w:t xml:space="preserve">                              </w:t>
      </w:r>
      <w:r w:rsidR="00BE6D82">
        <w:rPr>
          <w:lang w:val="en-US"/>
        </w:rPr>
        <w:t xml:space="preserve">        </w:t>
      </w:r>
      <w:r w:rsidR="007201DD" w:rsidRPr="00BE6D82">
        <w:rPr>
          <w:lang w:val="en-US"/>
        </w:rPr>
        <w:t xml:space="preserve">      </w:t>
      </w:r>
      <w:r w:rsidR="00F36A13" w:rsidRPr="00BE6D82">
        <w:rPr>
          <w:lang w:val="en-US"/>
        </w:rPr>
        <w:t xml:space="preserve">  </w:t>
      </w:r>
      <w:r w:rsidR="001403D2" w:rsidRPr="00BE6D82">
        <w:rPr>
          <w:lang w:val="en-US"/>
        </w:rPr>
        <w:t xml:space="preserve">     </w:t>
      </w:r>
      <w:r w:rsidR="00D32374" w:rsidRPr="00BE6D82">
        <w:rPr>
          <w:lang w:val="en-US"/>
        </w:rPr>
        <w:t xml:space="preserve">   </w:t>
      </w:r>
      <w:r w:rsidR="00F36A13" w:rsidRPr="00BE6D82">
        <w:rPr>
          <w:lang w:val="en-US"/>
        </w:rPr>
        <w:t xml:space="preserve"> (</w:t>
      </w:r>
      <w:r w:rsidR="00D32374" w:rsidRPr="00BE6D82">
        <w:rPr>
          <w:lang w:val="en-US"/>
        </w:rPr>
        <w:t>6</w:t>
      </w:r>
      <w:r w:rsidR="00F36A13" w:rsidRPr="00BE6D82">
        <w:rPr>
          <w:lang w:val="en-US"/>
        </w:rPr>
        <w:t>)</w:t>
      </w:r>
    </w:p>
    <w:p w14:paraId="627B8BDE" w14:textId="56DBA456" w:rsidR="00234753" w:rsidRPr="00BE6D82" w:rsidRDefault="005E5FC8" w:rsidP="00D32374">
      <w:pPr>
        <w:rPr>
          <w:highlight w:val="yellow"/>
        </w:rPr>
      </w:pPr>
      <w:r w:rsidRPr="00FB4DA9">
        <w:rPr>
          <w:noProof/>
          <w:position w:val="-16"/>
        </w:rPr>
        <w:object w:dxaOrig="7180" w:dyaOrig="360" w14:anchorId="01DF0DC7">
          <v:shape id="_x0000_i1031" type="#_x0000_t75" alt="" style="width:287.4pt;height:13.8pt;mso-width-percent:0;mso-height-percent:0;mso-width-percent:0;mso-height-percent:0" o:ole="">
            <v:imagedata r:id="rId21" o:title=""/>
          </v:shape>
          <o:OLEObject Type="Embed" ProgID="Equation.DSMT4" ShapeID="_x0000_i1031" DrawAspect="Content" ObjectID="_1767360078" r:id="rId22"/>
        </w:object>
      </w:r>
      <w:r w:rsidR="00F36A13" w:rsidRPr="00BE6D82">
        <w:t xml:space="preserve">      </w:t>
      </w:r>
      <w:r w:rsidR="00D32374" w:rsidRPr="00BE6D82">
        <w:t xml:space="preserve"> </w:t>
      </w:r>
      <w:r w:rsidR="00F36A13" w:rsidRPr="00BE6D82">
        <w:t xml:space="preserve">  </w:t>
      </w:r>
      <w:r w:rsidR="00D32374" w:rsidRPr="00BE6D82">
        <w:t xml:space="preserve">  </w:t>
      </w:r>
      <w:r w:rsidR="00453B97">
        <w:t xml:space="preserve">     </w:t>
      </w:r>
      <w:r w:rsidR="00D32374" w:rsidRPr="00BE6D82">
        <w:t xml:space="preserve"> </w:t>
      </w:r>
      <w:r w:rsidR="00F36A13" w:rsidRPr="00BE6D82">
        <w:t>(</w:t>
      </w:r>
      <w:r w:rsidR="00D32374" w:rsidRPr="00BE6D82">
        <w:t>7</w:t>
      </w:r>
      <w:r w:rsidR="00F36A13" w:rsidRPr="00BE6D82">
        <w:t>)</w:t>
      </w:r>
    </w:p>
    <w:p w14:paraId="463A3581" w14:textId="6E24C633" w:rsidR="00E66F7B" w:rsidRPr="00363931" w:rsidRDefault="002D685A" w:rsidP="00234753">
      <w:pPr>
        <w:pStyle w:val="Els-1storder-head"/>
        <w:spacing w:after="120"/>
        <w:rPr>
          <w:lang w:val="en-GB"/>
        </w:rPr>
      </w:pPr>
      <w:r>
        <w:rPr>
          <w:lang w:val="en-GB"/>
        </w:rPr>
        <w:t>Results and discussion</w:t>
      </w:r>
    </w:p>
    <w:p w14:paraId="03B8597F" w14:textId="77777777" w:rsidR="00EA4C80" w:rsidRDefault="00363931" w:rsidP="007854EA">
      <w:pPr>
        <w:pStyle w:val="Els-body-text"/>
      </w:pPr>
      <w:r w:rsidRPr="00EE580C">
        <w:t>The results of the optimal processes parameters for the integrated case are summarized in Table 1.</w:t>
      </w:r>
      <w:r w:rsidR="007854EA">
        <w:t xml:space="preserve"> </w:t>
      </w:r>
      <w:r w:rsidR="00EE580C" w:rsidRPr="00EB1C9E">
        <w:t xml:space="preserve">During the </w:t>
      </w:r>
      <w:r w:rsidR="00EE580C" w:rsidRPr="00EB1C9E">
        <w:rPr>
          <w:szCs w:val="15"/>
        </w:rPr>
        <w:t>March-October</w:t>
      </w:r>
      <w:r w:rsidR="00EE580C" w:rsidRPr="00EB1C9E">
        <w:t xml:space="preserve"> period, the methane production via the SOEC route and using biogenic CO</w:t>
      </w:r>
      <w:r w:rsidR="00EE580C" w:rsidRPr="00EB1C9E">
        <w:rPr>
          <w:vertAlign w:val="subscript"/>
        </w:rPr>
        <w:t>2</w:t>
      </w:r>
      <w:r w:rsidR="00EE580C" w:rsidRPr="00EB1C9E">
        <w:t xml:space="preserve"> coming from either the gasification and from the anerobic digestion, is activated,</w:t>
      </w:r>
      <w:r w:rsidR="000F6340">
        <w:t xml:space="preserve"> as an</w:t>
      </w:r>
      <w:r w:rsidR="00EE580C" w:rsidRPr="00EB1C9E">
        <w:t xml:space="preserve"> </w:t>
      </w:r>
      <w:r w:rsidR="000F6340">
        <w:t>adaption</w:t>
      </w:r>
      <w:r w:rsidR="00EE580C" w:rsidRPr="00EB1C9E">
        <w:t xml:space="preserve"> to lower electricity prices and more affordable renewable energy. This can be also noticed in Fig. 3, where the stored CO</w:t>
      </w:r>
      <w:r w:rsidR="00EE580C" w:rsidRPr="00EB1C9E">
        <w:rPr>
          <w:vertAlign w:val="subscript"/>
        </w:rPr>
        <w:t>2</w:t>
      </w:r>
      <w:r w:rsidR="00EE580C" w:rsidRPr="00EB1C9E">
        <w:t xml:space="preserve"> is preferably used in the months in which the electricity price is low, avoiding a large import of costly electricity from the grid. </w:t>
      </w:r>
      <w:r w:rsidR="000F6340" w:rsidRPr="000F6340">
        <w:t>Carbon abatement units and liquid fuel storage are essential advanced energy conversion technologies that ensure the reliable operation of cogeneration systems, especially for electricity supply</w:t>
      </w:r>
      <w:r w:rsidR="00EE580C" w:rsidRPr="00EB1C9E">
        <w:t>.</w:t>
      </w:r>
      <w:r w:rsidR="00EE580C">
        <w:t xml:space="preserve"> </w:t>
      </w:r>
    </w:p>
    <w:p w14:paraId="7A683E47" w14:textId="1B50BEE7" w:rsidR="00416B5C" w:rsidRDefault="007854EA" w:rsidP="007854EA">
      <w:pPr>
        <w:pStyle w:val="Els-body-text"/>
      </w:pPr>
      <w:r>
        <w:rPr>
          <w:lang w:val="en-GB"/>
        </w:rPr>
        <w:lastRenderedPageBreak/>
        <w:t xml:space="preserve">The integrated setup presented 6.2 MEUR/y </w:t>
      </w:r>
      <w:r w:rsidR="00FE5973">
        <w:rPr>
          <w:lang w:val="en-GB"/>
        </w:rPr>
        <w:t xml:space="preserve">of annualized investments costs </w:t>
      </w:r>
      <w:r>
        <w:rPr>
          <w:lang w:val="en-GB"/>
        </w:rPr>
        <w:t>and -16.4 MEUR/y of operating costs</w:t>
      </w:r>
      <w:r w:rsidR="00B94E42">
        <w:rPr>
          <w:lang w:val="en-GB"/>
        </w:rPr>
        <w:t xml:space="preserve">, which reinforces that </w:t>
      </w:r>
      <w:r w:rsidR="00FE5973">
        <w:rPr>
          <w:lang w:val="en-GB"/>
        </w:rPr>
        <w:t xml:space="preserve">the </w:t>
      </w:r>
      <w:r w:rsidR="00B94E42">
        <w:rPr>
          <w:lang w:val="en-GB"/>
        </w:rPr>
        <w:t>operating strategy can be attractive to increase the operating revenues leading to a lower total cost of the plant</w:t>
      </w:r>
      <w:r>
        <w:rPr>
          <w:lang w:val="en-GB"/>
        </w:rPr>
        <w:t>.</w:t>
      </w:r>
      <w:r w:rsidR="00B94E42">
        <w:rPr>
          <w:lang w:val="en-GB"/>
        </w:rPr>
        <w:t xml:space="preserve"> </w:t>
      </w:r>
      <w:r w:rsidR="00FE5973" w:rsidRPr="00EE580C">
        <w:t>In</w:t>
      </w:r>
      <w:r w:rsidR="00FE5973">
        <w:t xml:space="preserve"> addition, in</w:t>
      </w:r>
      <w:r w:rsidR="00FE5973" w:rsidRPr="00EE580C">
        <w:t xml:space="preserve"> the months where the </w:t>
      </w:r>
      <w:proofErr w:type="spellStart"/>
      <w:r w:rsidR="00FE5973" w:rsidRPr="00EE580C">
        <w:t>electrolyzer</w:t>
      </w:r>
      <w:proofErr w:type="spellEnd"/>
      <w:r w:rsidR="00FE5973" w:rsidRPr="00EE580C">
        <w:t xml:space="preserve"> </w:t>
      </w:r>
      <w:r w:rsidR="00FE5973">
        <w:t>is</w:t>
      </w:r>
      <w:r w:rsidR="00FE5973" w:rsidRPr="00EE580C">
        <w:t xml:space="preserve"> activated, the indirect emissions from the electricity grid can reach 0.54 kg</w:t>
      </w:r>
      <w:r w:rsidR="00FE5973" w:rsidRPr="00EE580C">
        <w:rPr>
          <w:vertAlign w:val="subscript"/>
        </w:rPr>
        <w:t>CO2</w:t>
      </w:r>
      <w:r w:rsidR="00FE5973" w:rsidRPr="00EE580C">
        <w:t>/kg</w:t>
      </w:r>
      <w:r w:rsidR="00FE5973" w:rsidRPr="00EE580C">
        <w:rPr>
          <w:vertAlign w:val="subscript"/>
        </w:rPr>
        <w:t>CH4</w:t>
      </w:r>
      <w:r w:rsidR="00FE5973" w:rsidRPr="00EE580C">
        <w:t>.</w:t>
      </w:r>
      <w:r w:rsidR="00FE5973">
        <w:t xml:space="preserve"> Thus, t</w:t>
      </w:r>
      <w:r w:rsidR="00B94E42" w:rsidRPr="00EE580C">
        <w:t xml:space="preserve">he indirect emissions associated electricity supply chain still represent a challenge for the decarbonization of the extended production process. </w:t>
      </w:r>
    </w:p>
    <w:p w14:paraId="153683DA" w14:textId="77777777" w:rsidR="00B94E42" w:rsidRPr="00B94E42" w:rsidRDefault="00B94E42" w:rsidP="007854EA">
      <w:pPr>
        <w:pStyle w:val="Els-body-text"/>
      </w:pPr>
    </w:p>
    <w:p w14:paraId="49834792" w14:textId="6BEA5CD6" w:rsidR="006171AD" w:rsidRDefault="00416B5C" w:rsidP="007854EA">
      <w:pPr>
        <w:pStyle w:val="Els-body-text"/>
        <w:jc w:val="center"/>
        <w:rPr>
          <w:lang w:val="en-GB"/>
        </w:rPr>
      </w:pPr>
      <w:r>
        <w:rPr>
          <w:lang w:val="en-GB"/>
        </w:rPr>
        <w:t xml:space="preserve">Table 1. </w:t>
      </w:r>
      <w:r w:rsidR="00A84930">
        <w:rPr>
          <w:lang w:val="en-GB"/>
        </w:rPr>
        <w:t>Optimal process parameters for the integrated case.</w:t>
      </w:r>
    </w:p>
    <w:tbl>
      <w:tblPr>
        <w:tblW w:w="5954" w:type="dxa"/>
        <w:jc w:val="center"/>
        <w:tblBorders>
          <w:top w:val="single" w:sz="4" w:space="0" w:color="auto"/>
          <w:bottom w:val="single" w:sz="4" w:space="0" w:color="auto"/>
        </w:tblBorders>
        <w:tblLook w:val="04A0" w:firstRow="1" w:lastRow="0" w:firstColumn="1" w:lastColumn="0" w:noHBand="0" w:noVBand="1"/>
      </w:tblPr>
      <w:tblGrid>
        <w:gridCol w:w="4253"/>
        <w:gridCol w:w="769"/>
        <w:gridCol w:w="932"/>
      </w:tblGrid>
      <w:tr w:rsidR="00D51A68" w:rsidRPr="00D51A68" w14:paraId="3732F354" w14:textId="77777777" w:rsidTr="00E66F7B">
        <w:trPr>
          <w:trHeight w:val="186"/>
          <w:jc w:val="center"/>
        </w:trPr>
        <w:tc>
          <w:tcPr>
            <w:tcW w:w="4253" w:type="dxa"/>
            <w:tcBorders>
              <w:top w:val="single" w:sz="4" w:space="0" w:color="auto"/>
              <w:bottom w:val="single" w:sz="4" w:space="0" w:color="auto"/>
            </w:tcBorders>
            <w:shd w:val="clear" w:color="auto" w:fill="auto"/>
            <w:noWrap/>
            <w:vAlign w:val="bottom"/>
            <w:hideMark/>
          </w:tcPr>
          <w:p w14:paraId="0F319C31" w14:textId="77777777" w:rsidR="00D51A68" w:rsidRPr="006171AD" w:rsidRDefault="00D51A68" w:rsidP="007854EA">
            <w:pPr>
              <w:rPr>
                <w:sz w:val="16"/>
                <w:szCs w:val="16"/>
                <w:lang w:eastAsia="en-GB"/>
              </w:rPr>
            </w:pPr>
          </w:p>
        </w:tc>
        <w:tc>
          <w:tcPr>
            <w:tcW w:w="769" w:type="dxa"/>
            <w:tcBorders>
              <w:top w:val="single" w:sz="4" w:space="0" w:color="auto"/>
              <w:bottom w:val="single" w:sz="4" w:space="0" w:color="auto"/>
            </w:tcBorders>
            <w:shd w:val="clear" w:color="auto" w:fill="auto"/>
            <w:noWrap/>
            <w:vAlign w:val="bottom"/>
            <w:hideMark/>
          </w:tcPr>
          <w:p w14:paraId="0739F72D" w14:textId="04D02A94" w:rsidR="00D51A68" w:rsidRPr="006171AD" w:rsidRDefault="00D51A68" w:rsidP="007854EA">
            <w:pPr>
              <w:jc w:val="center"/>
              <w:rPr>
                <w:color w:val="000000"/>
                <w:sz w:val="16"/>
                <w:szCs w:val="16"/>
                <w:lang w:val="fr-CH" w:eastAsia="en-GB"/>
              </w:rPr>
            </w:pPr>
            <w:r w:rsidRPr="006171AD">
              <w:rPr>
                <w:color w:val="000000"/>
                <w:sz w:val="16"/>
                <w:szCs w:val="16"/>
                <w:lang w:eastAsia="en-GB"/>
              </w:rPr>
              <w:t>Mar</w:t>
            </w:r>
            <w:r w:rsidRPr="00D51A68">
              <w:rPr>
                <w:color w:val="000000"/>
                <w:sz w:val="16"/>
                <w:szCs w:val="16"/>
                <w:lang w:val="fr-CH" w:eastAsia="en-GB"/>
              </w:rPr>
              <w:t>-</w:t>
            </w:r>
            <w:proofErr w:type="spellStart"/>
            <w:r w:rsidRPr="00D51A68">
              <w:rPr>
                <w:color w:val="000000"/>
                <w:sz w:val="16"/>
                <w:szCs w:val="16"/>
                <w:lang w:val="fr-CH" w:eastAsia="en-GB"/>
              </w:rPr>
              <w:t>Oct</w:t>
            </w:r>
            <w:proofErr w:type="spellEnd"/>
          </w:p>
        </w:tc>
        <w:tc>
          <w:tcPr>
            <w:tcW w:w="932" w:type="dxa"/>
            <w:tcBorders>
              <w:top w:val="single" w:sz="4" w:space="0" w:color="auto"/>
              <w:bottom w:val="single" w:sz="4" w:space="0" w:color="auto"/>
            </w:tcBorders>
            <w:shd w:val="clear" w:color="auto" w:fill="auto"/>
            <w:noWrap/>
            <w:vAlign w:val="bottom"/>
            <w:hideMark/>
          </w:tcPr>
          <w:p w14:paraId="682EFFB7" w14:textId="36802365" w:rsidR="00D51A68" w:rsidRPr="006171AD" w:rsidRDefault="00D51A68" w:rsidP="007854EA">
            <w:pPr>
              <w:jc w:val="center"/>
              <w:rPr>
                <w:color w:val="000000"/>
                <w:sz w:val="16"/>
                <w:szCs w:val="16"/>
                <w:lang w:val="fr-CH" w:eastAsia="en-GB"/>
              </w:rPr>
            </w:pPr>
            <w:r w:rsidRPr="006171AD">
              <w:rPr>
                <w:color w:val="000000"/>
                <w:sz w:val="16"/>
                <w:szCs w:val="16"/>
                <w:lang w:eastAsia="en-GB"/>
              </w:rPr>
              <w:t>Nov</w:t>
            </w:r>
            <w:r>
              <w:rPr>
                <w:color w:val="000000"/>
                <w:sz w:val="16"/>
                <w:szCs w:val="16"/>
                <w:lang w:val="fr-CH" w:eastAsia="en-GB"/>
              </w:rPr>
              <w:t>-</w:t>
            </w:r>
            <w:proofErr w:type="spellStart"/>
            <w:r>
              <w:rPr>
                <w:color w:val="000000"/>
                <w:sz w:val="16"/>
                <w:szCs w:val="16"/>
                <w:lang w:val="fr-CH" w:eastAsia="en-GB"/>
              </w:rPr>
              <w:t>Feb</w:t>
            </w:r>
            <w:proofErr w:type="spellEnd"/>
          </w:p>
        </w:tc>
      </w:tr>
      <w:tr w:rsidR="00D51A68" w:rsidRPr="00D51A68" w14:paraId="518FF135" w14:textId="77777777" w:rsidTr="00043431">
        <w:trPr>
          <w:trHeight w:val="181"/>
          <w:jc w:val="center"/>
        </w:trPr>
        <w:tc>
          <w:tcPr>
            <w:tcW w:w="4253" w:type="dxa"/>
            <w:tcBorders>
              <w:top w:val="single" w:sz="4" w:space="0" w:color="auto"/>
            </w:tcBorders>
            <w:shd w:val="clear" w:color="auto" w:fill="auto"/>
            <w:noWrap/>
            <w:vAlign w:val="bottom"/>
            <w:hideMark/>
          </w:tcPr>
          <w:p w14:paraId="38ADA42C" w14:textId="6E3CB57C" w:rsidR="00D51A68" w:rsidRPr="006171AD" w:rsidRDefault="00D51A68" w:rsidP="007854EA">
            <w:pPr>
              <w:rPr>
                <w:color w:val="000000"/>
                <w:sz w:val="16"/>
                <w:szCs w:val="16"/>
                <w:lang w:eastAsia="en-GB"/>
              </w:rPr>
            </w:pPr>
            <w:r w:rsidRPr="006171AD">
              <w:rPr>
                <w:color w:val="000000"/>
                <w:sz w:val="16"/>
                <w:szCs w:val="16"/>
                <w:lang w:eastAsia="en-GB"/>
              </w:rPr>
              <w:t>Feedstock MSW consumption (MJ/kg</w:t>
            </w:r>
            <w:r w:rsidRPr="006171AD">
              <w:rPr>
                <w:color w:val="000000"/>
                <w:sz w:val="16"/>
                <w:szCs w:val="16"/>
                <w:vertAlign w:val="subscript"/>
                <w:lang w:eastAsia="en-GB"/>
              </w:rPr>
              <w:t>CH4</w:t>
            </w:r>
            <w:r w:rsidRPr="006171AD">
              <w:rPr>
                <w:color w:val="000000"/>
                <w:sz w:val="16"/>
                <w:szCs w:val="16"/>
                <w:lang w:eastAsia="en-GB"/>
              </w:rPr>
              <w:t>)</w:t>
            </w:r>
          </w:p>
        </w:tc>
        <w:tc>
          <w:tcPr>
            <w:tcW w:w="769" w:type="dxa"/>
            <w:tcBorders>
              <w:top w:val="single" w:sz="4" w:space="0" w:color="auto"/>
            </w:tcBorders>
            <w:shd w:val="clear" w:color="auto" w:fill="auto"/>
            <w:noWrap/>
            <w:vAlign w:val="bottom"/>
            <w:hideMark/>
          </w:tcPr>
          <w:p w14:paraId="4081B48B" w14:textId="77777777" w:rsidR="00D51A68" w:rsidRPr="006171AD" w:rsidRDefault="00D51A68" w:rsidP="007854EA">
            <w:pPr>
              <w:jc w:val="center"/>
              <w:rPr>
                <w:color w:val="000000"/>
                <w:sz w:val="16"/>
                <w:szCs w:val="16"/>
                <w:lang w:eastAsia="en-GB"/>
              </w:rPr>
            </w:pPr>
            <w:r w:rsidRPr="006171AD">
              <w:rPr>
                <w:color w:val="000000"/>
                <w:sz w:val="16"/>
                <w:szCs w:val="16"/>
                <w:lang w:eastAsia="en-GB"/>
              </w:rPr>
              <w:t>51.69</w:t>
            </w:r>
          </w:p>
        </w:tc>
        <w:tc>
          <w:tcPr>
            <w:tcW w:w="932" w:type="dxa"/>
            <w:tcBorders>
              <w:top w:val="single" w:sz="4" w:space="0" w:color="auto"/>
            </w:tcBorders>
            <w:shd w:val="clear" w:color="auto" w:fill="auto"/>
            <w:noWrap/>
            <w:vAlign w:val="bottom"/>
            <w:hideMark/>
          </w:tcPr>
          <w:p w14:paraId="33CDF915" w14:textId="77777777" w:rsidR="00D51A68" w:rsidRPr="006171AD" w:rsidRDefault="00D51A68" w:rsidP="007854EA">
            <w:pPr>
              <w:jc w:val="center"/>
              <w:rPr>
                <w:color w:val="000000"/>
                <w:sz w:val="16"/>
                <w:szCs w:val="16"/>
                <w:lang w:eastAsia="en-GB"/>
              </w:rPr>
            </w:pPr>
            <w:r w:rsidRPr="006171AD">
              <w:rPr>
                <w:color w:val="000000"/>
                <w:sz w:val="16"/>
                <w:szCs w:val="16"/>
                <w:lang w:eastAsia="en-GB"/>
              </w:rPr>
              <w:t>118.86</w:t>
            </w:r>
          </w:p>
        </w:tc>
      </w:tr>
      <w:tr w:rsidR="00D51A68" w:rsidRPr="00D51A68" w14:paraId="0118D9E8" w14:textId="77777777" w:rsidTr="00043431">
        <w:trPr>
          <w:trHeight w:val="292"/>
          <w:jc w:val="center"/>
        </w:trPr>
        <w:tc>
          <w:tcPr>
            <w:tcW w:w="4253" w:type="dxa"/>
            <w:shd w:val="clear" w:color="auto" w:fill="auto"/>
            <w:noWrap/>
            <w:vAlign w:val="bottom"/>
            <w:hideMark/>
          </w:tcPr>
          <w:p w14:paraId="1A256C2D" w14:textId="2A0B4385" w:rsidR="00D51A68" w:rsidRPr="006171AD" w:rsidRDefault="00D51A68" w:rsidP="007854EA">
            <w:pPr>
              <w:rPr>
                <w:color w:val="000000"/>
                <w:sz w:val="16"/>
                <w:szCs w:val="16"/>
                <w:lang w:eastAsia="en-GB"/>
              </w:rPr>
            </w:pPr>
            <w:r w:rsidRPr="006171AD">
              <w:rPr>
                <w:color w:val="000000"/>
                <w:sz w:val="16"/>
                <w:szCs w:val="16"/>
                <w:lang w:eastAsia="en-GB"/>
              </w:rPr>
              <w:t>Utility electricity cosumption (MJ/kg</w:t>
            </w:r>
            <w:r w:rsidRPr="006171AD">
              <w:rPr>
                <w:color w:val="000000"/>
                <w:sz w:val="16"/>
                <w:szCs w:val="16"/>
                <w:vertAlign w:val="subscript"/>
                <w:lang w:eastAsia="en-GB"/>
              </w:rPr>
              <w:t>CH4</w:t>
            </w:r>
            <w:r w:rsidRPr="006171AD">
              <w:rPr>
                <w:color w:val="000000"/>
                <w:sz w:val="16"/>
                <w:szCs w:val="16"/>
                <w:lang w:eastAsia="en-GB"/>
              </w:rPr>
              <w:t>)</w:t>
            </w:r>
          </w:p>
        </w:tc>
        <w:tc>
          <w:tcPr>
            <w:tcW w:w="769" w:type="dxa"/>
            <w:shd w:val="clear" w:color="auto" w:fill="auto"/>
            <w:noWrap/>
            <w:vAlign w:val="bottom"/>
            <w:hideMark/>
          </w:tcPr>
          <w:p w14:paraId="3566AA69" w14:textId="77777777" w:rsidR="00D51A68" w:rsidRPr="006171AD" w:rsidRDefault="00D51A68" w:rsidP="007854EA">
            <w:pPr>
              <w:jc w:val="center"/>
              <w:rPr>
                <w:color w:val="000000"/>
                <w:sz w:val="16"/>
                <w:szCs w:val="16"/>
                <w:lang w:eastAsia="en-GB"/>
              </w:rPr>
            </w:pPr>
            <w:r w:rsidRPr="006171AD">
              <w:rPr>
                <w:color w:val="000000"/>
                <w:sz w:val="16"/>
                <w:szCs w:val="16"/>
                <w:lang w:eastAsia="en-GB"/>
              </w:rPr>
              <w:t>30.77</w:t>
            </w:r>
          </w:p>
        </w:tc>
        <w:tc>
          <w:tcPr>
            <w:tcW w:w="932" w:type="dxa"/>
            <w:shd w:val="clear" w:color="auto" w:fill="auto"/>
            <w:noWrap/>
            <w:vAlign w:val="bottom"/>
            <w:hideMark/>
          </w:tcPr>
          <w:p w14:paraId="2DD6419C" w14:textId="77777777" w:rsidR="00D51A68" w:rsidRPr="006171AD" w:rsidRDefault="00D51A68" w:rsidP="007854EA">
            <w:pPr>
              <w:jc w:val="center"/>
              <w:rPr>
                <w:color w:val="000000"/>
                <w:sz w:val="16"/>
                <w:szCs w:val="16"/>
                <w:lang w:eastAsia="en-GB"/>
              </w:rPr>
            </w:pPr>
            <w:r w:rsidRPr="006171AD">
              <w:rPr>
                <w:color w:val="000000"/>
                <w:sz w:val="16"/>
                <w:szCs w:val="16"/>
                <w:lang w:eastAsia="en-GB"/>
              </w:rPr>
              <w:t>1.06</w:t>
            </w:r>
          </w:p>
        </w:tc>
      </w:tr>
      <w:tr w:rsidR="00D51A68" w:rsidRPr="00D51A68" w14:paraId="320A511B" w14:textId="77777777" w:rsidTr="00E66F7B">
        <w:trPr>
          <w:trHeight w:val="320"/>
          <w:jc w:val="center"/>
        </w:trPr>
        <w:tc>
          <w:tcPr>
            <w:tcW w:w="4253" w:type="dxa"/>
            <w:shd w:val="clear" w:color="auto" w:fill="auto"/>
            <w:noWrap/>
            <w:vAlign w:val="bottom"/>
          </w:tcPr>
          <w:p w14:paraId="11F04598" w14:textId="2805DF81" w:rsidR="00D51A68" w:rsidRPr="00D51A68" w:rsidRDefault="00D51A68" w:rsidP="007854EA">
            <w:pPr>
              <w:rPr>
                <w:color w:val="000000"/>
                <w:sz w:val="16"/>
                <w:szCs w:val="16"/>
                <w:lang w:eastAsia="en-GB"/>
              </w:rPr>
            </w:pPr>
            <w:r w:rsidRPr="00D51A68">
              <w:rPr>
                <w:color w:val="000000"/>
                <w:sz w:val="16"/>
                <w:szCs w:val="16"/>
              </w:rPr>
              <w:t>Water from market (m</w:t>
            </w:r>
            <w:r w:rsidRPr="00D51A68">
              <w:rPr>
                <w:color w:val="000000"/>
                <w:sz w:val="16"/>
                <w:szCs w:val="16"/>
                <w:vertAlign w:val="superscript"/>
              </w:rPr>
              <w:t>3</w:t>
            </w:r>
            <w:r w:rsidRPr="00D51A68">
              <w:rPr>
                <w:color w:val="000000"/>
                <w:sz w:val="16"/>
                <w:szCs w:val="16"/>
              </w:rPr>
              <w:t>/kg</w:t>
            </w:r>
            <w:r w:rsidRPr="00D51A68">
              <w:rPr>
                <w:color w:val="000000"/>
                <w:sz w:val="16"/>
                <w:szCs w:val="16"/>
                <w:vertAlign w:val="subscript"/>
              </w:rPr>
              <w:t>CH4</w:t>
            </w:r>
            <w:r w:rsidRPr="00D51A68">
              <w:rPr>
                <w:color w:val="000000"/>
                <w:sz w:val="16"/>
                <w:szCs w:val="16"/>
              </w:rPr>
              <w:t>)</w:t>
            </w:r>
          </w:p>
        </w:tc>
        <w:tc>
          <w:tcPr>
            <w:tcW w:w="769" w:type="dxa"/>
            <w:shd w:val="clear" w:color="auto" w:fill="auto"/>
            <w:noWrap/>
            <w:vAlign w:val="bottom"/>
          </w:tcPr>
          <w:p w14:paraId="33C7F013" w14:textId="3D9F7D57" w:rsidR="00D51A68" w:rsidRPr="00D51A68" w:rsidRDefault="00D51A68" w:rsidP="007854EA">
            <w:pPr>
              <w:jc w:val="center"/>
              <w:rPr>
                <w:color w:val="000000"/>
                <w:sz w:val="16"/>
                <w:szCs w:val="16"/>
                <w:lang w:eastAsia="en-GB"/>
              </w:rPr>
            </w:pPr>
            <w:r w:rsidRPr="00D51A68">
              <w:rPr>
                <w:color w:val="000000"/>
                <w:sz w:val="16"/>
                <w:szCs w:val="16"/>
              </w:rPr>
              <w:t>0.001</w:t>
            </w:r>
          </w:p>
        </w:tc>
        <w:tc>
          <w:tcPr>
            <w:tcW w:w="932" w:type="dxa"/>
            <w:shd w:val="clear" w:color="auto" w:fill="auto"/>
            <w:noWrap/>
            <w:vAlign w:val="bottom"/>
          </w:tcPr>
          <w:p w14:paraId="22BFA99C" w14:textId="2397FF9B" w:rsidR="00D51A68" w:rsidRPr="00D51A68" w:rsidRDefault="00D51A68" w:rsidP="007854EA">
            <w:pPr>
              <w:jc w:val="center"/>
              <w:rPr>
                <w:color w:val="000000"/>
                <w:sz w:val="16"/>
                <w:szCs w:val="16"/>
                <w:lang w:eastAsia="en-GB"/>
              </w:rPr>
            </w:pPr>
            <w:r w:rsidRPr="00D51A68">
              <w:rPr>
                <w:color w:val="000000"/>
                <w:sz w:val="16"/>
                <w:szCs w:val="16"/>
              </w:rPr>
              <w:t>0.000</w:t>
            </w:r>
          </w:p>
        </w:tc>
      </w:tr>
      <w:tr w:rsidR="00D51A68" w:rsidRPr="00D51A68" w14:paraId="71EC52DB" w14:textId="77777777" w:rsidTr="00E66F7B">
        <w:trPr>
          <w:trHeight w:val="320"/>
          <w:jc w:val="center"/>
        </w:trPr>
        <w:tc>
          <w:tcPr>
            <w:tcW w:w="4253" w:type="dxa"/>
            <w:shd w:val="clear" w:color="auto" w:fill="auto"/>
            <w:noWrap/>
            <w:vAlign w:val="bottom"/>
          </w:tcPr>
          <w:p w14:paraId="530FA44D" w14:textId="0E61BCDD" w:rsidR="00D51A68" w:rsidRPr="00D51A68" w:rsidRDefault="00D51A68" w:rsidP="007854EA">
            <w:pPr>
              <w:rPr>
                <w:color w:val="000000"/>
                <w:sz w:val="16"/>
                <w:szCs w:val="16"/>
                <w:lang w:eastAsia="en-GB"/>
              </w:rPr>
            </w:pPr>
            <w:r w:rsidRPr="00D51A68">
              <w:rPr>
                <w:color w:val="000000"/>
                <w:sz w:val="16"/>
                <w:szCs w:val="16"/>
              </w:rPr>
              <w:t>Indirect CO</w:t>
            </w:r>
            <w:r w:rsidRPr="00D51A68">
              <w:rPr>
                <w:color w:val="000000"/>
                <w:sz w:val="16"/>
                <w:szCs w:val="16"/>
                <w:vertAlign w:val="subscript"/>
              </w:rPr>
              <w:t>2</w:t>
            </w:r>
            <w:r w:rsidRPr="00D51A68">
              <w:rPr>
                <w:color w:val="000000"/>
                <w:sz w:val="16"/>
                <w:szCs w:val="16"/>
              </w:rPr>
              <w:t xml:space="preserve"> emissions from electricity</w:t>
            </w:r>
            <w:r w:rsidRPr="00E66F7B">
              <w:rPr>
                <w:color w:val="000000"/>
                <w:sz w:val="16"/>
                <w:szCs w:val="16"/>
                <w:vertAlign w:val="superscript"/>
              </w:rPr>
              <w:t>1</w:t>
            </w:r>
            <w:r w:rsidR="00043431">
              <w:rPr>
                <w:color w:val="000000"/>
                <w:sz w:val="16"/>
                <w:szCs w:val="16"/>
                <w:vertAlign w:val="superscript"/>
              </w:rPr>
              <w:t xml:space="preserve"> </w:t>
            </w:r>
            <w:r w:rsidRPr="00D51A68">
              <w:rPr>
                <w:color w:val="000000"/>
                <w:sz w:val="16"/>
                <w:szCs w:val="16"/>
              </w:rPr>
              <w:t>(kg</w:t>
            </w:r>
            <w:r w:rsidRPr="00D51A68">
              <w:rPr>
                <w:color w:val="000000"/>
                <w:sz w:val="16"/>
                <w:szCs w:val="16"/>
                <w:vertAlign w:val="subscript"/>
              </w:rPr>
              <w:t>CO2</w:t>
            </w:r>
            <w:r w:rsidRPr="00D51A68">
              <w:rPr>
                <w:color w:val="000000"/>
                <w:sz w:val="16"/>
                <w:szCs w:val="16"/>
              </w:rPr>
              <w:t>/kg</w:t>
            </w:r>
            <w:r w:rsidRPr="00D51A68">
              <w:rPr>
                <w:color w:val="000000"/>
                <w:sz w:val="16"/>
                <w:szCs w:val="16"/>
                <w:vertAlign w:val="subscript"/>
              </w:rPr>
              <w:t>CH4</w:t>
            </w:r>
            <w:r w:rsidRPr="00D51A68">
              <w:rPr>
                <w:color w:val="000000"/>
                <w:sz w:val="16"/>
                <w:szCs w:val="16"/>
              </w:rPr>
              <w:t>)</w:t>
            </w:r>
          </w:p>
        </w:tc>
        <w:tc>
          <w:tcPr>
            <w:tcW w:w="769" w:type="dxa"/>
            <w:shd w:val="clear" w:color="auto" w:fill="auto"/>
            <w:noWrap/>
            <w:vAlign w:val="bottom"/>
          </w:tcPr>
          <w:p w14:paraId="1326BF6B" w14:textId="65C33BF6" w:rsidR="00D51A68" w:rsidRPr="00D51A68" w:rsidRDefault="00D51A68" w:rsidP="007854EA">
            <w:pPr>
              <w:jc w:val="center"/>
              <w:rPr>
                <w:color w:val="000000"/>
                <w:sz w:val="16"/>
                <w:szCs w:val="16"/>
                <w:lang w:eastAsia="en-GB"/>
              </w:rPr>
            </w:pPr>
            <w:r w:rsidRPr="00D51A68">
              <w:rPr>
                <w:color w:val="000000"/>
                <w:sz w:val="16"/>
                <w:szCs w:val="16"/>
              </w:rPr>
              <w:t>0.54</w:t>
            </w:r>
          </w:p>
        </w:tc>
        <w:tc>
          <w:tcPr>
            <w:tcW w:w="932" w:type="dxa"/>
            <w:shd w:val="clear" w:color="auto" w:fill="auto"/>
            <w:noWrap/>
            <w:vAlign w:val="bottom"/>
          </w:tcPr>
          <w:p w14:paraId="3103AEB6" w14:textId="5090733C" w:rsidR="00D51A68" w:rsidRPr="00D51A68" w:rsidRDefault="00D51A68" w:rsidP="007854EA">
            <w:pPr>
              <w:jc w:val="center"/>
              <w:rPr>
                <w:color w:val="000000"/>
                <w:sz w:val="16"/>
                <w:szCs w:val="16"/>
                <w:lang w:eastAsia="en-GB"/>
              </w:rPr>
            </w:pPr>
            <w:r w:rsidRPr="00D51A68">
              <w:rPr>
                <w:color w:val="000000"/>
                <w:sz w:val="16"/>
                <w:szCs w:val="16"/>
              </w:rPr>
              <w:t>0.02</w:t>
            </w:r>
          </w:p>
        </w:tc>
      </w:tr>
      <w:tr w:rsidR="00D51A68" w:rsidRPr="00D51A68" w14:paraId="754D23F8" w14:textId="77777777" w:rsidTr="00E66F7B">
        <w:trPr>
          <w:trHeight w:val="320"/>
          <w:jc w:val="center"/>
        </w:trPr>
        <w:tc>
          <w:tcPr>
            <w:tcW w:w="4253" w:type="dxa"/>
            <w:shd w:val="clear" w:color="auto" w:fill="auto"/>
            <w:noWrap/>
            <w:vAlign w:val="bottom"/>
            <w:hideMark/>
          </w:tcPr>
          <w:p w14:paraId="316C3F92" w14:textId="0D2A0755" w:rsidR="00D51A68" w:rsidRPr="006171AD" w:rsidRDefault="00D51A68" w:rsidP="007854EA">
            <w:pPr>
              <w:rPr>
                <w:color w:val="000000"/>
                <w:sz w:val="16"/>
                <w:szCs w:val="16"/>
                <w:lang w:eastAsia="en-GB"/>
              </w:rPr>
            </w:pPr>
            <w:r w:rsidRPr="006171AD">
              <w:rPr>
                <w:color w:val="000000"/>
                <w:sz w:val="16"/>
                <w:szCs w:val="16"/>
                <w:lang w:eastAsia="en-GB"/>
              </w:rPr>
              <w:t>Rankine cycle power generation (MJ/kg</w:t>
            </w:r>
            <w:r w:rsidRPr="006171AD">
              <w:rPr>
                <w:color w:val="000000"/>
                <w:sz w:val="16"/>
                <w:szCs w:val="16"/>
                <w:vertAlign w:val="subscript"/>
                <w:lang w:eastAsia="en-GB"/>
              </w:rPr>
              <w:t>CH4</w:t>
            </w:r>
            <w:r w:rsidRPr="006171AD">
              <w:rPr>
                <w:color w:val="000000"/>
                <w:sz w:val="16"/>
                <w:szCs w:val="16"/>
                <w:lang w:eastAsia="en-GB"/>
              </w:rPr>
              <w:t>)</w:t>
            </w:r>
          </w:p>
        </w:tc>
        <w:tc>
          <w:tcPr>
            <w:tcW w:w="769" w:type="dxa"/>
            <w:shd w:val="clear" w:color="auto" w:fill="auto"/>
            <w:noWrap/>
            <w:vAlign w:val="bottom"/>
            <w:hideMark/>
          </w:tcPr>
          <w:p w14:paraId="026A63DB" w14:textId="77777777" w:rsidR="00D51A68" w:rsidRPr="006171AD" w:rsidRDefault="00D51A68" w:rsidP="007854EA">
            <w:pPr>
              <w:jc w:val="center"/>
              <w:rPr>
                <w:color w:val="000000"/>
                <w:sz w:val="16"/>
                <w:szCs w:val="16"/>
                <w:lang w:eastAsia="en-GB"/>
              </w:rPr>
            </w:pPr>
            <w:r w:rsidRPr="006171AD">
              <w:rPr>
                <w:color w:val="000000"/>
                <w:sz w:val="16"/>
                <w:szCs w:val="16"/>
                <w:lang w:eastAsia="en-GB"/>
              </w:rPr>
              <w:t>4.12</w:t>
            </w:r>
          </w:p>
        </w:tc>
        <w:tc>
          <w:tcPr>
            <w:tcW w:w="932" w:type="dxa"/>
            <w:shd w:val="clear" w:color="auto" w:fill="auto"/>
            <w:noWrap/>
            <w:vAlign w:val="bottom"/>
            <w:hideMark/>
          </w:tcPr>
          <w:p w14:paraId="340D7744" w14:textId="77777777" w:rsidR="00D51A68" w:rsidRPr="006171AD" w:rsidRDefault="00D51A68" w:rsidP="007854EA">
            <w:pPr>
              <w:jc w:val="center"/>
              <w:rPr>
                <w:color w:val="000000"/>
                <w:sz w:val="16"/>
                <w:szCs w:val="16"/>
                <w:lang w:eastAsia="en-GB"/>
              </w:rPr>
            </w:pPr>
            <w:r w:rsidRPr="006171AD">
              <w:rPr>
                <w:color w:val="000000"/>
                <w:sz w:val="16"/>
                <w:szCs w:val="16"/>
                <w:lang w:eastAsia="en-GB"/>
              </w:rPr>
              <w:t>4.59</w:t>
            </w:r>
          </w:p>
        </w:tc>
      </w:tr>
      <w:tr w:rsidR="00D51A68" w:rsidRPr="00D51A68" w14:paraId="6673FA6C" w14:textId="77777777" w:rsidTr="00E66F7B">
        <w:trPr>
          <w:trHeight w:val="320"/>
          <w:jc w:val="center"/>
        </w:trPr>
        <w:tc>
          <w:tcPr>
            <w:tcW w:w="4253" w:type="dxa"/>
            <w:shd w:val="clear" w:color="auto" w:fill="auto"/>
            <w:noWrap/>
            <w:vAlign w:val="bottom"/>
            <w:hideMark/>
          </w:tcPr>
          <w:p w14:paraId="2B69D2D6" w14:textId="2067FC55" w:rsidR="00D51A68" w:rsidRPr="006171AD" w:rsidRDefault="00D51A68" w:rsidP="007854EA">
            <w:pPr>
              <w:rPr>
                <w:color w:val="000000"/>
                <w:sz w:val="16"/>
                <w:szCs w:val="16"/>
                <w:lang w:eastAsia="en-GB"/>
              </w:rPr>
            </w:pPr>
            <w:r w:rsidRPr="006171AD">
              <w:rPr>
                <w:color w:val="000000"/>
                <w:sz w:val="16"/>
                <w:szCs w:val="16"/>
                <w:lang w:eastAsia="en-GB"/>
              </w:rPr>
              <w:t>CH</w:t>
            </w:r>
            <w:r w:rsidRPr="006171AD">
              <w:rPr>
                <w:color w:val="000000"/>
                <w:sz w:val="16"/>
                <w:szCs w:val="16"/>
                <w:vertAlign w:val="subscript"/>
                <w:lang w:eastAsia="en-GB"/>
              </w:rPr>
              <w:t>4</w:t>
            </w:r>
            <w:r w:rsidRPr="006171AD">
              <w:rPr>
                <w:color w:val="000000"/>
                <w:sz w:val="16"/>
                <w:szCs w:val="16"/>
                <w:lang w:eastAsia="en-GB"/>
              </w:rPr>
              <w:t xml:space="preserve"> production from biogas (MJ/kg</w:t>
            </w:r>
            <w:r w:rsidRPr="006171AD">
              <w:rPr>
                <w:color w:val="000000"/>
                <w:sz w:val="16"/>
                <w:szCs w:val="16"/>
                <w:vertAlign w:val="subscript"/>
                <w:lang w:eastAsia="en-GB"/>
              </w:rPr>
              <w:t>CH4</w:t>
            </w:r>
            <w:r w:rsidRPr="006171AD">
              <w:rPr>
                <w:color w:val="000000"/>
                <w:sz w:val="16"/>
                <w:szCs w:val="16"/>
                <w:lang w:eastAsia="en-GB"/>
              </w:rPr>
              <w:t>)</w:t>
            </w:r>
          </w:p>
        </w:tc>
        <w:tc>
          <w:tcPr>
            <w:tcW w:w="769" w:type="dxa"/>
            <w:shd w:val="clear" w:color="auto" w:fill="auto"/>
            <w:noWrap/>
            <w:vAlign w:val="bottom"/>
            <w:hideMark/>
          </w:tcPr>
          <w:p w14:paraId="2C5D8AF4" w14:textId="77777777" w:rsidR="00D51A68" w:rsidRPr="006171AD" w:rsidRDefault="00D51A68" w:rsidP="007854EA">
            <w:pPr>
              <w:jc w:val="center"/>
              <w:rPr>
                <w:color w:val="000000"/>
                <w:sz w:val="16"/>
                <w:szCs w:val="16"/>
                <w:lang w:eastAsia="en-GB"/>
              </w:rPr>
            </w:pPr>
            <w:r w:rsidRPr="006171AD">
              <w:rPr>
                <w:color w:val="000000"/>
                <w:sz w:val="16"/>
                <w:szCs w:val="16"/>
                <w:lang w:eastAsia="en-GB"/>
              </w:rPr>
              <w:t>7.65</w:t>
            </w:r>
          </w:p>
        </w:tc>
        <w:tc>
          <w:tcPr>
            <w:tcW w:w="932" w:type="dxa"/>
            <w:shd w:val="clear" w:color="auto" w:fill="auto"/>
            <w:noWrap/>
            <w:vAlign w:val="bottom"/>
            <w:hideMark/>
          </w:tcPr>
          <w:p w14:paraId="6F39B91A" w14:textId="77777777" w:rsidR="00D51A68" w:rsidRPr="006171AD" w:rsidRDefault="00D51A68" w:rsidP="007854EA">
            <w:pPr>
              <w:jc w:val="center"/>
              <w:rPr>
                <w:color w:val="000000"/>
                <w:sz w:val="16"/>
                <w:szCs w:val="16"/>
                <w:lang w:eastAsia="en-GB"/>
              </w:rPr>
            </w:pPr>
            <w:r w:rsidRPr="006171AD">
              <w:rPr>
                <w:color w:val="000000"/>
                <w:sz w:val="16"/>
                <w:szCs w:val="16"/>
                <w:lang w:eastAsia="en-GB"/>
              </w:rPr>
              <w:t>17.58</w:t>
            </w:r>
          </w:p>
        </w:tc>
      </w:tr>
      <w:tr w:rsidR="00D51A68" w:rsidRPr="00D51A68" w14:paraId="2D3315ED" w14:textId="77777777" w:rsidTr="00E66F7B">
        <w:trPr>
          <w:trHeight w:val="320"/>
          <w:jc w:val="center"/>
        </w:trPr>
        <w:tc>
          <w:tcPr>
            <w:tcW w:w="4253" w:type="dxa"/>
            <w:shd w:val="clear" w:color="auto" w:fill="auto"/>
            <w:noWrap/>
            <w:vAlign w:val="bottom"/>
            <w:hideMark/>
          </w:tcPr>
          <w:p w14:paraId="0A5AE33F" w14:textId="73A13F4B" w:rsidR="00D51A68" w:rsidRPr="006171AD" w:rsidRDefault="00D51A68" w:rsidP="007854EA">
            <w:pPr>
              <w:rPr>
                <w:color w:val="000000"/>
                <w:sz w:val="16"/>
                <w:szCs w:val="16"/>
                <w:lang w:eastAsia="en-GB"/>
              </w:rPr>
            </w:pPr>
            <w:r w:rsidRPr="006171AD">
              <w:rPr>
                <w:color w:val="000000"/>
                <w:sz w:val="16"/>
                <w:szCs w:val="16"/>
                <w:lang w:eastAsia="en-GB"/>
              </w:rPr>
              <w:t>CH</w:t>
            </w:r>
            <w:r w:rsidRPr="006171AD">
              <w:rPr>
                <w:color w:val="000000"/>
                <w:sz w:val="16"/>
                <w:szCs w:val="16"/>
                <w:vertAlign w:val="subscript"/>
                <w:lang w:eastAsia="en-GB"/>
              </w:rPr>
              <w:t>4</w:t>
            </w:r>
            <w:r w:rsidRPr="006171AD">
              <w:rPr>
                <w:color w:val="000000"/>
                <w:sz w:val="16"/>
                <w:szCs w:val="16"/>
                <w:lang w:eastAsia="en-GB"/>
              </w:rPr>
              <w:t xml:space="preserve"> production from </w:t>
            </w:r>
            <w:r w:rsidR="00EE580C" w:rsidRPr="00EE580C">
              <w:rPr>
                <w:color w:val="000000"/>
                <w:sz w:val="16"/>
                <w:szCs w:val="16"/>
                <w:lang w:val="en-US" w:eastAsia="en-GB"/>
              </w:rPr>
              <w:t>SOEC</w:t>
            </w:r>
            <w:r w:rsidRPr="006171AD">
              <w:rPr>
                <w:color w:val="000000"/>
                <w:sz w:val="16"/>
                <w:szCs w:val="16"/>
                <w:lang w:eastAsia="en-GB"/>
              </w:rPr>
              <w:t xml:space="preserve"> + bioCO</w:t>
            </w:r>
            <w:r w:rsidRPr="006171AD">
              <w:rPr>
                <w:color w:val="000000"/>
                <w:sz w:val="16"/>
                <w:szCs w:val="16"/>
                <w:vertAlign w:val="subscript"/>
                <w:lang w:eastAsia="en-GB"/>
              </w:rPr>
              <w:t>2</w:t>
            </w:r>
            <w:r w:rsidRPr="006171AD">
              <w:rPr>
                <w:color w:val="000000"/>
                <w:sz w:val="16"/>
                <w:szCs w:val="16"/>
                <w:lang w:eastAsia="en-GB"/>
              </w:rPr>
              <w:t xml:space="preserve"> (MJ/kg</w:t>
            </w:r>
            <w:r w:rsidRPr="006171AD">
              <w:rPr>
                <w:color w:val="000000"/>
                <w:sz w:val="16"/>
                <w:szCs w:val="16"/>
                <w:vertAlign w:val="subscript"/>
                <w:lang w:eastAsia="en-GB"/>
              </w:rPr>
              <w:t>CH4</w:t>
            </w:r>
            <w:r w:rsidRPr="006171AD">
              <w:rPr>
                <w:color w:val="000000"/>
                <w:sz w:val="16"/>
                <w:szCs w:val="16"/>
                <w:lang w:eastAsia="en-GB"/>
              </w:rPr>
              <w:t>)</w:t>
            </w:r>
          </w:p>
        </w:tc>
        <w:tc>
          <w:tcPr>
            <w:tcW w:w="769" w:type="dxa"/>
            <w:shd w:val="clear" w:color="auto" w:fill="auto"/>
            <w:noWrap/>
            <w:vAlign w:val="bottom"/>
            <w:hideMark/>
          </w:tcPr>
          <w:p w14:paraId="61418112" w14:textId="77777777" w:rsidR="00D51A68" w:rsidRPr="006171AD" w:rsidRDefault="00D51A68" w:rsidP="007854EA">
            <w:pPr>
              <w:jc w:val="center"/>
              <w:rPr>
                <w:color w:val="000000"/>
                <w:sz w:val="16"/>
                <w:szCs w:val="16"/>
                <w:lang w:eastAsia="en-GB"/>
              </w:rPr>
            </w:pPr>
            <w:r w:rsidRPr="006171AD">
              <w:rPr>
                <w:color w:val="000000"/>
                <w:sz w:val="16"/>
                <w:szCs w:val="16"/>
                <w:lang w:eastAsia="en-GB"/>
              </w:rPr>
              <w:t>28.25</w:t>
            </w:r>
          </w:p>
        </w:tc>
        <w:tc>
          <w:tcPr>
            <w:tcW w:w="932" w:type="dxa"/>
            <w:shd w:val="clear" w:color="auto" w:fill="auto"/>
            <w:noWrap/>
            <w:vAlign w:val="bottom"/>
            <w:hideMark/>
          </w:tcPr>
          <w:p w14:paraId="7EBD758C" w14:textId="77777777" w:rsidR="00D51A68" w:rsidRPr="006171AD" w:rsidRDefault="00D51A68" w:rsidP="007854EA">
            <w:pPr>
              <w:jc w:val="center"/>
              <w:rPr>
                <w:color w:val="000000"/>
                <w:sz w:val="16"/>
                <w:szCs w:val="16"/>
                <w:lang w:eastAsia="en-GB"/>
              </w:rPr>
            </w:pPr>
            <w:r w:rsidRPr="006171AD">
              <w:rPr>
                <w:color w:val="000000"/>
                <w:sz w:val="16"/>
                <w:szCs w:val="16"/>
                <w:lang w:eastAsia="en-GB"/>
              </w:rPr>
              <w:t>0.00</w:t>
            </w:r>
          </w:p>
        </w:tc>
      </w:tr>
      <w:tr w:rsidR="00D51A68" w:rsidRPr="00D51A68" w14:paraId="28EB0453" w14:textId="77777777" w:rsidTr="00E66F7B">
        <w:trPr>
          <w:trHeight w:val="320"/>
          <w:jc w:val="center"/>
        </w:trPr>
        <w:tc>
          <w:tcPr>
            <w:tcW w:w="4253" w:type="dxa"/>
            <w:shd w:val="clear" w:color="auto" w:fill="auto"/>
            <w:noWrap/>
            <w:vAlign w:val="bottom"/>
            <w:hideMark/>
          </w:tcPr>
          <w:p w14:paraId="1BDCE8D6" w14:textId="626510DC" w:rsidR="00D51A68" w:rsidRPr="006171AD" w:rsidRDefault="00D51A68" w:rsidP="007854EA">
            <w:pPr>
              <w:rPr>
                <w:color w:val="000000"/>
                <w:sz w:val="16"/>
                <w:szCs w:val="16"/>
                <w:lang w:eastAsia="en-GB"/>
              </w:rPr>
            </w:pPr>
            <w:r w:rsidRPr="006171AD">
              <w:rPr>
                <w:color w:val="000000"/>
                <w:sz w:val="16"/>
                <w:szCs w:val="16"/>
                <w:lang w:eastAsia="en-GB"/>
              </w:rPr>
              <w:t>CH</w:t>
            </w:r>
            <w:r w:rsidRPr="006171AD">
              <w:rPr>
                <w:color w:val="000000"/>
                <w:sz w:val="16"/>
                <w:szCs w:val="16"/>
                <w:vertAlign w:val="subscript"/>
                <w:lang w:eastAsia="en-GB"/>
              </w:rPr>
              <w:t>4</w:t>
            </w:r>
            <w:r w:rsidRPr="006171AD">
              <w:rPr>
                <w:color w:val="000000"/>
                <w:sz w:val="16"/>
                <w:szCs w:val="16"/>
                <w:lang w:eastAsia="en-GB"/>
              </w:rPr>
              <w:t xml:space="preserve"> production from</w:t>
            </w:r>
            <w:r w:rsidRPr="00D51A68">
              <w:rPr>
                <w:color w:val="000000"/>
                <w:sz w:val="16"/>
                <w:szCs w:val="16"/>
                <w:lang w:val="en-US" w:eastAsia="en-GB"/>
              </w:rPr>
              <w:t xml:space="preserve"> </w:t>
            </w:r>
            <w:r w:rsidRPr="006171AD">
              <w:rPr>
                <w:color w:val="000000"/>
                <w:sz w:val="16"/>
                <w:szCs w:val="16"/>
                <w:lang w:eastAsia="en-GB"/>
              </w:rPr>
              <w:t>gasification (MJ/kg</w:t>
            </w:r>
            <w:r w:rsidRPr="006171AD">
              <w:rPr>
                <w:color w:val="000000"/>
                <w:sz w:val="16"/>
                <w:szCs w:val="16"/>
                <w:vertAlign w:val="subscript"/>
                <w:lang w:eastAsia="en-GB"/>
              </w:rPr>
              <w:t>CH4</w:t>
            </w:r>
            <w:r w:rsidRPr="006171AD">
              <w:rPr>
                <w:color w:val="000000"/>
                <w:sz w:val="16"/>
                <w:szCs w:val="16"/>
                <w:lang w:eastAsia="en-GB"/>
              </w:rPr>
              <w:t>)</w:t>
            </w:r>
          </w:p>
        </w:tc>
        <w:tc>
          <w:tcPr>
            <w:tcW w:w="769" w:type="dxa"/>
            <w:shd w:val="clear" w:color="auto" w:fill="auto"/>
            <w:noWrap/>
            <w:vAlign w:val="bottom"/>
            <w:hideMark/>
          </w:tcPr>
          <w:p w14:paraId="1B894A79" w14:textId="77777777" w:rsidR="00D51A68" w:rsidRPr="006171AD" w:rsidRDefault="00D51A68" w:rsidP="007854EA">
            <w:pPr>
              <w:jc w:val="center"/>
              <w:rPr>
                <w:color w:val="000000"/>
                <w:sz w:val="16"/>
                <w:szCs w:val="16"/>
                <w:lang w:eastAsia="en-GB"/>
              </w:rPr>
            </w:pPr>
            <w:r w:rsidRPr="006171AD">
              <w:rPr>
                <w:color w:val="000000"/>
                <w:sz w:val="16"/>
                <w:szCs w:val="16"/>
                <w:lang w:eastAsia="en-GB"/>
              </w:rPr>
              <w:t>14.10</w:t>
            </w:r>
          </w:p>
        </w:tc>
        <w:tc>
          <w:tcPr>
            <w:tcW w:w="932" w:type="dxa"/>
            <w:shd w:val="clear" w:color="auto" w:fill="auto"/>
            <w:noWrap/>
            <w:vAlign w:val="bottom"/>
            <w:hideMark/>
          </w:tcPr>
          <w:p w14:paraId="455C4A5A" w14:textId="77777777" w:rsidR="00D51A68" w:rsidRPr="006171AD" w:rsidRDefault="00D51A68" w:rsidP="007854EA">
            <w:pPr>
              <w:jc w:val="center"/>
              <w:rPr>
                <w:color w:val="000000"/>
                <w:sz w:val="16"/>
                <w:szCs w:val="16"/>
                <w:lang w:eastAsia="en-GB"/>
              </w:rPr>
            </w:pPr>
            <w:r w:rsidRPr="006171AD">
              <w:rPr>
                <w:color w:val="000000"/>
                <w:sz w:val="16"/>
                <w:szCs w:val="16"/>
                <w:lang w:eastAsia="en-GB"/>
              </w:rPr>
              <w:t>32.42</w:t>
            </w:r>
          </w:p>
        </w:tc>
      </w:tr>
    </w:tbl>
    <w:p w14:paraId="0AAF5544" w14:textId="21CDF116" w:rsidR="00580ACD" w:rsidRPr="00453B97" w:rsidRDefault="001B79BE" w:rsidP="008D2649">
      <w:pPr>
        <w:pStyle w:val="Paragrafoelenco"/>
        <w:numPr>
          <w:ilvl w:val="0"/>
          <w:numId w:val="19"/>
        </w:numPr>
        <w:ind w:left="426" w:hanging="142"/>
        <w:jc w:val="both"/>
        <w:rPr>
          <w:sz w:val="16"/>
          <w:szCs w:val="16"/>
          <w:lang w:val="en-US"/>
        </w:rPr>
      </w:pPr>
      <w:r w:rsidRPr="00D51A68">
        <w:rPr>
          <w:sz w:val="16"/>
          <w:szCs w:val="16"/>
        </w:rPr>
        <w:t>The indirect CO</w:t>
      </w:r>
      <w:r w:rsidRPr="00D51A68">
        <w:rPr>
          <w:sz w:val="16"/>
          <w:szCs w:val="16"/>
          <w:vertAlign w:val="subscript"/>
        </w:rPr>
        <w:t>2</w:t>
      </w:r>
      <w:r w:rsidRPr="00D51A68">
        <w:rPr>
          <w:sz w:val="16"/>
          <w:szCs w:val="16"/>
        </w:rPr>
        <w:t xml:space="preserve"> emissions associated with the fossil fuel consumption in the upstream supply chains is assumed as 62.63 gCO</w:t>
      </w:r>
      <w:r w:rsidRPr="00D51A68">
        <w:rPr>
          <w:sz w:val="16"/>
          <w:szCs w:val="16"/>
          <w:vertAlign w:val="subscript"/>
        </w:rPr>
        <w:t>2</w:t>
      </w:r>
      <w:r w:rsidRPr="00D51A68">
        <w:rPr>
          <w:sz w:val="16"/>
          <w:szCs w:val="16"/>
        </w:rPr>
        <w:t xml:space="preserve"> per kWh of electricity </w:t>
      </w:r>
      <w:r w:rsidRPr="00D51A68">
        <w:rPr>
          <w:sz w:val="16"/>
          <w:szCs w:val="16"/>
        </w:rPr>
        <w:fldChar w:fldCharType="begin"/>
      </w:r>
      <w:r w:rsidRPr="00D51A68">
        <w:rPr>
          <w:sz w:val="16"/>
          <w:szCs w:val="16"/>
        </w:rPr>
        <w:instrText xml:space="preserve"> ADDIN EN.CITE &lt;EndNote&gt;&lt;Cite&gt;&lt;Author&gt;Flórez-Orrego&lt;/Author&gt;&lt;Year&gt;2015&lt;/Year&gt;&lt;RecNum&gt;53&lt;/RecNum&gt;&lt;DisplayText&gt;(Flórez-Orrego et al., 2015)&lt;/DisplayText&gt;&lt;record&gt;&lt;rec-number&gt;53&lt;/rec-number&gt;&lt;foreign-keys&gt;&lt;key app="EN" db-id="dwwwrt2e2savvmedzf35d0phdtsdzefrpasw" timestamp="1597602297"&gt;53&lt;/key&gt;&lt;/foreign-keys&gt;&lt;ref-type name="Journal Article"&gt;17&lt;/ref-type&gt;&lt;contributors&gt;&lt;authors&gt;&lt;author&gt;Flórez-Orrego, Daniel&lt;/author&gt;&lt;author&gt;Silva, Julio A. M.&lt;/author&gt;&lt;author&gt;Velásquez, Héctor&lt;/author&gt;&lt;author&gt;Oliveira Jr, Silvio&lt;/author&gt;&lt;/authors&gt;&lt;/contributors&gt;&lt;titles&gt;&lt;title&gt;Renewable and non-renewable exergy costs and CO2 emissions in the production of fuels for Brazilian transportation sector&lt;/title&gt;&lt;secondary-title&gt;Energy&lt;/secondary-title&gt;&lt;/titles&gt;&lt;periodical&gt;&lt;full-title&gt;Energy&lt;/full-title&gt;&lt;/periodical&gt;&lt;pages&gt;18-36&lt;/pages&gt;&lt;volume&gt;88&lt;/volume&gt;&lt;keywords&gt;&lt;keyword&gt;Renewable&lt;/keyword&gt;&lt;keyword&gt;Non-renewable&lt;/keyword&gt;&lt;keyword&gt;Exergy cost&lt;/keyword&gt;&lt;keyword&gt;Transportation sector&lt;/keyword&gt;&lt;keyword&gt;CO emissions&lt;/keyword&gt;&lt;/keywords&gt;&lt;dates&gt;&lt;year&gt;2015&lt;/year&gt;&lt;pub-dates&gt;&lt;date&gt;2015/08/01/&lt;/date&gt;&lt;/pub-dates&gt;&lt;/dates&gt;&lt;isbn&gt;0360-5442&lt;/isbn&gt;&lt;urls&gt;&lt;related-urls&gt;&lt;url&gt;http://www.sciencedirect.com/science/article/pii/S036054421500612X&lt;/url&gt;&lt;/related-urls&gt;&lt;/urls&gt;&lt;electronic-resource-num&gt;https://doi.org/10.1016/j.energy.2015.05.031&lt;/electronic-resource-num&gt;&lt;/record&gt;&lt;/Cite&gt;&lt;/EndNote&gt;</w:instrText>
      </w:r>
      <w:r w:rsidRPr="00D51A68">
        <w:rPr>
          <w:sz w:val="16"/>
          <w:szCs w:val="16"/>
        </w:rPr>
        <w:fldChar w:fldCharType="separate"/>
      </w:r>
      <w:r w:rsidRPr="00D51A68">
        <w:rPr>
          <w:noProof/>
          <w:sz w:val="16"/>
          <w:szCs w:val="16"/>
        </w:rPr>
        <w:t>(Flórez-Orrego et al., 2015)</w:t>
      </w:r>
      <w:r w:rsidRPr="00D51A68">
        <w:rPr>
          <w:sz w:val="16"/>
          <w:szCs w:val="16"/>
        </w:rPr>
        <w:fldChar w:fldCharType="end"/>
      </w:r>
      <w:r w:rsidRPr="00D51A68">
        <w:rPr>
          <w:sz w:val="16"/>
          <w:szCs w:val="16"/>
        </w:rPr>
        <w:t xml:space="preserve">. </w:t>
      </w:r>
    </w:p>
    <w:p w14:paraId="345C29C9" w14:textId="77777777" w:rsidR="00453B97" w:rsidRPr="00453B97" w:rsidRDefault="00453B97" w:rsidP="00453B97">
      <w:pPr>
        <w:pStyle w:val="Paragrafoelenco"/>
        <w:ind w:left="426"/>
        <w:jc w:val="both"/>
        <w:rPr>
          <w:sz w:val="16"/>
          <w:szCs w:val="16"/>
          <w:lang w:val="en-US"/>
        </w:rPr>
      </w:pPr>
    </w:p>
    <w:p w14:paraId="6E99C9A9" w14:textId="2E10063D" w:rsidR="005E6A64" w:rsidRDefault="005E6A64" w:rsidP="00B94E42">
      <w:pPr>
        <w:pStyle w:val="Els-body-text"/>
        <w:jc w:val="center"/>
        <w:rPr>
          <w:lang w:val="en-GB"/>
        </w:rPr>
      </w:pPr>
      <w:r>
        <w:rPr>
          <w:noProof/>
        </w:rPr>
        <w:drawing>
          <wp:inline distT="0" distB="0" distL="0" distR="0" wp14:anchorId="37CC12AD" wp14:editId="51DA33E3">
            <wp:extent cx="4130019" cy="1749287"/>
            <wp:effectExtent l="0" t="0" r="0" b="3810"/>
            <wp:docPr id="1390430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30852" name=""/>
                    <pic:cNvPicPr/>
                  </pic:nvPicPr>
                  <pic:blipFill rotWithShape="1">
                    <a:blip r:embed="rId23"/>
                    <a:srcRect l="1409" t="2313" r="1209" b="2854"/>
                    <a:stretch/>
                  </pic:blipFill>
                  <pic:spPr bwMode="auto">
                    <a:xfrm>
                      <a:off x="0" y="0"/>
                      <a:ext cx="4337962" cy="1837362"/>
                    </a:xfrm>
                    <a:prstGeom prst="rect">
                      <a:avLst/>
                    </a:prstGeom>
                    <a:ln>
                      <a:noFill/>
                    </a:ln>
                    <a:extLst>
                      <a:ext uri="{53640926-AAD7-44D8-BBD7-CCE9431645EC}">
                        <a14:shadowObscured xmlns:a14="http://schemas.microsoft.com/office/drawing/2010/main"/>
                      </a:ext>
                    </a:extLst>
                  </pic:spPr>
                </pic:pic>
              </a:graphicData>
            </a:graphic>
          </wp:inline>
        </w:drawing>
      </w:r>
    </w:p>
    <w:p w14:paraId="1DCE1889" w14:textId="06E6595C" w:rsidR="003126A6" w:rsidRDefault="0095323B" w:rsidP="00B94E42">
      <w:pPr>
        <w:pStyle w:val="Els-body-text"/>
        <w:jc w:val="center"/>
        <w:rPr>
          <w:lang w:val="en-GB"/>
        </w:rPr>
      </w:pPr>
      <w:r>
        <w:rPr>
          <w:lang w:val="en-GB"/>
        </w:rPr>
        <w:t>Figure 2. Monthly power consumption</w:t>
      </w:r>
      <w:r w:rsidR="005E6A64">
        <w:rPr>
          <w:lang w:val="en-GB"/>
        </w:rPr>
        <w:t>. During Mar-Oct the SOEC power consumption is 30.7 MW.</w:t>
      </w:r>
    </w:p>
    <w:p w14:paraId="5B8A8886" w14:textId="04FF5998" w:rsidR="003126A6" w:rsidRDefault="005E6A64" w:rsidP="00B94E42">
      <w:pPr>
        <w:pStyle w:val="Els-body-text"/>
        <w:jc w:val="center"/>
        <w:rPr>
          <w:lang w:val="en-GB"/>
        </w:rPr>
      </w:pPr>
      <w:r>
        <w:rPr>
          <w:noProof/>
        </w:rPr>
        <w:drawing>
          <wp:inline distT="0" distB="0" distL="0" distR="0" wp14:anchorId="7ECEF3D2" wp14:editId="33D54E0E">
            <wp:extent cx="2862469" cy="1652174"/>
            <wp:effectExtent l="0" t="0" r="0" b="0"/>
            <wp:docPr id="305031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31154" name=""/>
                    <pic:cNvPicPr/>
                  </pic:nvPicPr>
                  <pic:blipFill rotWithShape="1">
                    <a:blip r:embed="rId24"/>
                    <a:srcRect l="3642" t="3372" r="2167" b="3217"/>
                    <a:stretch/>
                  </pic:blipFill>
                  <pic:spPr bwMode="auto">
                    <a:xfrm>
                      <a:off x="0" y="0"/>
                      <a:ext cx="3059590" cy="1765949"/>
                    </a:xfrm>
                    <a:prstGeom prst="rect">
                      <a:avLst/>
                    </a:prstGeom>
                    <a:ln>
                      <a:noFill/>
                    </a:ln>
                    <a:extLst>
                      <a:ext uri="{53640926-AAD7-44D8-BBD7-CCE9431645EC}">
                        <a14:shadowObscured xmlns:a14="http://schemas.microsoft.com/office/drawing/2010/main"/>
                      </a:ext>
                    </a:extLst>
                  </pic:spPr>
                </pic:pic>
              </a:graphicData>
            </a:graphic>
          </wp:inline>
        </w:drawing>
      </w:r>
    </w:p>
    <w:p w14:paraId="1314DCAB" w14:textId="377E2FD1" w:rsidR="00F106CA" w:rsidRDefault="0095323B" w:rsidP="00B94E42">
      <w:pPr>
        <w:pStyle w:val="Els-body-text"/>
        <w:jc w:val="center"/>
        <w:rPr>
          <w:lang w:val="en-GB"/>
        </w:rPr>
      </w:pPr>
      <w:r>
        <w:rPr>
          <w:lang w:val="en-GB"/>
        </w:rPr>
        <w:t xml:space="preserve">Figure 3. </w:t>
      </w:r>
      <w:r w:rsidR="00A06F5D">
        <w:rPr>
          <w:lang w:val="en-GB"/>
        </w:rPr>
        <w:t xml:space="preserve">Monthly </w:t>
      </w:r>
      <w:r>
        <w:rPr>
          <w:lang w:val="en-GB"/>
        </w:rPr>
        <w:t>CO</w:t>
      </w:r>
      <w:r w:rsidRPr="001B79BE">
        <w:rPr>
          <w:vertAlign w:val="subscript"/>
          <w:lang w:val="en-GB"/>
        </w:rPr>
        <w:t>2</w:t>
      </w:r>
      <w:r>
        <w:rPr>
          <w:lang w:val="en-GB"/>
        </w:rPr>
        <w:t xml:space="preserve"> storage</w:t>
      </w:r>
      <w:r w:rsidR="00A06F5D">
        <w:rPr>
          <w:lang w:val="en-GB"/>
        </w:rPr>
        <w:t>.</w:t>
      </w:r>
    </w:p>
    <w:p w14:paraId="144DE6B5" w14:textId="41A9B4EA" w:rsidR="008D2649" w:rsidRPr="00A94774" w:rsidRDefault="00096BD0" w:rsidP="008D2649">
      <w:pPr>
        <w:pStyle w:val="Els-1storder-head"/>
        <w:spacing w:after="120"/>
        <w:rPr>
          <w:lang w:val="en-GB"/>
        </w:rPr>
      </w:pPr>
      <w:r>
        <w:rPr>
          <w:lang w:val="en-GB"/>
        </w:rPr>
        <w:lastRenderedPageBreak/>
        <w:t>Conclusions</w:t>
      </w:r>
    </w:p>
    <w:p w14:paraId="144DE6B9" w14:textId="5EB7A349" w:rsidR="008D2649" w:rsidRPr="00A94774" w:rsidRDefault="008D2649" w:rsidP="008D2649">
      <w:pPr>
        <w:pStyle w:val="Els-body-text"/>
        <w:spacing w:after="120"/>
        <w:rPr>
          <w:lang w:val="en-GB"/>
        </w:rPr>
      </w:pPr>
      <w:r w:rsidRPr="00A94774">
        <w:rPr>
          <w:lang w:val="en-GB"/>
        </w:rPr>
        <w:t xml:space="preserve">In </w:t>
      </w:r>
      <w:r w:rsidR="00363931">
        <w:rPr>
          <w:lang w:val="en-GB"/>
        </w:rPr>
        <w:t xml:space="preserve">this work a systematic analysis of the integration of a gasification system </w:t>
      </w:r>
      <w:r w:rsidR="00A947E7">
        <w:rPr>
          <w:lang w:val="en-GB"/>
        </w:rPr>
        <w:t xml:space="preserve">and a solid oxide </w:t>
      </w:r>
      <w:proofErr w:type="spellStart"/>
      <w:r w:rsidR="00A947E7">
        <w:rPr>
          <w:lang w:val="en-GB"/>
        </w:rPr>
        <w:t>electrolyzer</w:t>
      </w:r>
      <w:proofErr w:type="spellEnd"/>
      <w:r w:rsidR="00A947E7">
        <w:rPr>
          <w:lang w:val="en-GB"/>
        </w:rPr>
        <w:t xml:space="preserve"> into an anaerobic digestion plant that processes the organic fraction of the municipal solid waste </w:t>
      </w:r>
      <w:r w:rsidR="001C6AC8">
        <w:rPr>
          <w:lang w:val="en-GB"/>
        </w:rPr>
        <w:t>is</w:t>
      </w:r>
      <w:r w:rsidR="00A947E7">
        <w:rPr>
          <w:lang w:val="en-GB"/>
        </w:rPr>
        <w:t xml:space="preserve"> assessed. </w:t>
      </w:r>
      <w:r w:rsidR="00FE5973" w:rsidRPr="00FE5973">
        <w:rPr>
          <w:lang w:val="en-GB"/>
        </w:rPr>
        <w:t>To mitigate the seasonal electricity fluctuations of renewable electricity generation, a strategy involving the storage and utilization of CO</w:t>
      </w:r>
      <w:r w:rsidR="00FE5973" w:rsidRPr="00FE5973">
        <w:rPr>
          <w:vertAlign w:val="subscript"/>
          <w:lang w:val="en-GB"/>
        </w:rPr>
        <w:t>2</w:t>
      </w:r>
      <w:r w:rsidR="00FE5973" w:rsidRPr="00FE5973">
        <w:rPr>
          <w:lang w:val="en-GB"/>
        </w:rPr>
        <w:t xml:space="preserve"> streams is also investigated. This process is employed for the production of methane exclusively during periods of low-cost electricity, utilizing a power-to-gas methodology that capitalizes on surplus electricity generated by prosumers throughout the non-peak months. The integration of power-to-gas systems with liquefied gas storage units has demonstrated its significance as a pivotal strategy, ensuring a synergistic supply for operational needs.</w:t>
      </w:r>
      <w:r w:rsidR="00043431">
        <w:rPr>
          <w:lang w:val="en-GB"/>
        </w:rPr>
        <w:t xml:space="preserve"> B</w:t>
      </w:r>
      <w:r w:rsidR="00043431" w:rsidRPr="00043431">
        <w:rPr>
          <w:lang w:val="en-GB"/>
        </w:rPr>
        <w:t>iogenic</w:t>
      </w:r>
      <w:r w:rsidR="00043431">
        <w:rPr>
          <w:lang w:val="en-GB"/>
        </w:rPr>
        <w:t xml:space="preserve"> </w:t>
      </w:r>
      <w:r w:rsidR="00043431" w:rsidRPr="00043431">
        <w:rPr>
          <w:lang w:val="en-GB"/>
        </w:rPr>
        <w:t>CO</w:t>
      </w:r>
      <w:r w:rsidR="00043431" w:rsidRPr="00043431">
        <w:rPr>
          <w:vertAlign w:val="subscript"/>
          <w:lang w:val="en-GB"/>
        </w:rPr>
        <w:t>2</w:t>
      </w:r>
      <w:r w:rsidR="00043431">
        <w:rPr>
          <w:lang w:val="en-GB"/>
        </w:rPr>
        <w:t xml:space="preserve"> </w:t>
      </w:r>
      <w:r w:rsidR="00043431" w:rsidRPr="00043431">
        <w:rPr>
          <w:lang w:val="en-GB"/>
        </w:rPr>
        <w:t>sources</w:t>
      </w:r>
      <w:r w:rsidR="00043431">
        <w:rPr>
          <w:lang w:val="en-GB"/>
        </w:rPr>
        <w:t xml:space="preserve"> </w:t>
      </w:r>
      <w:r w:rsidR="00043431" w:rsidRPr="00043431">
        <w:rPr>
          <w:lang w:val="en-GB"/>
        </w:rPr>
        <w:t>and</w:t>
      </w:r>
      <w:r w:rsidR="00043431">
        <w:rPr>
          <w:lang w:val="en-GB"/>
        </w:rPr>
        <w:t xml:space="preserve"> </w:t>
      </w:r>
      <w:r w:rsidR="00043431" w:rsidRPr="00043431">
        <w:rPr>
          <w:lang w:val="en-GB"/>
        </w:rPr>
        <w:t>an</w:t>
      </w:r>
      <w:r w:rsidR="00043431">
        <w:rPr>
          <w:lang w:val="en-GB"/>
        </w:rPr>
        <w:t xml:space="preserve"> </w:t>
      </w:r>
      <w:r w:rsidR="00043431" w:rsidRPr="00043431">
        <w:rPr>
          <w:lang w:val="en-GB"/>
        </w:rPr>
        <w:t>electric</w:t>
      </w:r>
      <w:r w:rsidR="00043431">
        <w:rPr>
          <w:lang w:val="en-GB"/>
        </w:rPr>
        <w:t xml:space="preserve"> </w:t>
      </w:r>
      <w:r w:rsidR="00043431" w:rsidRPr="00043431">
        <w:rPr>
          <w:lang w:val="en-GB"/>
        </w:rPr>
        <w:t>input</w:t>
      </w:r>
      <w:r w:rsidR="00043431">
        <w:rPr>
          <w:lang w:val="en-GB"/>
        </w:rPr>
        <w:t xml:space="preserve"> </w:t>
      </w:r>
      <w:r w:rsidR="00043431" w:rsidRPr="00043431">
        <w:rPr>
          <w:lang w:val="en-GB"/>
        </w:rPr>
        <w:t>with</w:t>
      </w:r>
      <w:r w:rsidR="00043431">
        <w:rPr>
          <w:lang w:val="en-GB"/>
        </w:rPr>
        <w:t xml:space="preserve"> </w:t>
      </w:r>
      <w:r w:rsidR="00043431" w:rsidRPr="00043431">
        <w:rPr>
          <w:lang w:val="en-GB"/>
        </w:rPr>
        <w:t>a</w:t>
      </w:r>
      <w:r w:rsidR="00043431">
        <w:rPr>
          <w:lang w:val="en-GB"/>
        </w:rPr>
        <w:t xml:space="preserve"> low </w:t>
      </w:r>
      <w:r w:rsidR="00043431" w:rsidRPr="00043431">
        <w:rPr>
          <w:lang w:val="en-GB"/>
        </w:rPr>
        <w:t>carbon</w:t>
      </w:r>
      <w:r w:rsidR="00043431">
        <w:rPr>
          <w:lang w:val="en-GB"/>
        </w:rPr>
        <w:t xml:space="preserve"> </w:t>
      </w:r>
      <w:r w:rsidR="00043431" w:rsidRPr="00043431">
        <w:rPr>
          <w:lang w:val="en-GB"/>
        </w:rPr>
        <w:t>load</w:t>
      </w:r>
      <w:r w:rsidR="00043431">
        <w:rPr>
          <w:lang w:val="en-GB"/>
        </w:rPr>
        <w:t xml:space="preserve"> can enhance </w:t>
      </w:r>
      <w:r w:rsidR="00043431" w:rsidRPr="00043431">
        <w:rPr>
          <w:lang w:val="en-GB"/>
        </w:rPr>
        <w:t>the</w:t>
      </w:r>
      <w:r w:rsidR="00043431">
        <w:rPr>
          <w:lang w:val="en-GB"/>
        </w:rPr>
        <w:t xml:space="preserve"> potential of power-to-gas </w:t>
      </w:r>
      <w:r w:rsidR="00043431" w:rsidRPr="00043431">
        <w:rPr>
          <w:lang w:val="en-GB"/>
        </w:rPr>
        <w:t>plant</w:t>
      </w:r>
      <w:r w:rsidR="00043431">
        <w:rPr>
          <w:lang w:val="en-GB"/>
        </w:rPr>
        <w:t>s</w:t>
      </w:r>
      <w:r w:rsidR="00043431" w:rsidRPr="00043431">
        <w:rPr>
          <w:lang w:val="en-GB"/>
        </w:rPr>
        <w:t xml:space="preserve"> to</w:t>
      </w:r>
      <w:r w:rsidR="00043431">
        <w:rPr>
          <w:lang w:val="en-GB"/>
        </w:rPr>
        <w:t xml:space="preserve"> </w:t>
      </w:r>
      <w:r w:rsidR="00043431" w:rsidRPr="00043431">
        <w:rPr>
          <w:lang w:val="en-GB"/>
        </w:rPr>
        <w:t>act</w:t>
      </w:r>
      <w:r w:rsidR="00043431">
        <w:rPr>
          <w:lang w:val="en-GB"/>
        </w:rPr>
        <w:t xml:space="preserve"> </w:t>
      </w:r>
      <w:r w:rsidR="00043431" w:rsidRPr="00043431">
        <w:rPr>
          <w:lang w:val="en-GB"/>
        </w:rPr>
        <w:t>as</w:t>
      </w:r>
      <w:r w:rsidR="00043431">
        <w:rPr>
          <w:lang w:val="en-GB"/>
        </w:rPr>
        <w:t xml:space="preserve"> </w:t>
      </w:r>
      <w:r w:rsidR="00043431" w:rsidRPr="00043431">
        <w:rPr>
          <w:lang w:val="en-GB"/>
        </w:rPr>
        <w:t>a</w:t>
      </w:r>
      <w:r w:rsidR="00043431">
        <w:rPr>
          <w:lang w:val="en-GB"/>
        </w:rPr>
        <w:t xml:space="preserve"> </w:t>
      </w:r>
      <w:r w:rsidR="00043431" w:rsidRPr="00043431">
        <w:rPr>
          <w:lang w:val="en-GB"/>
        </w:rPr>
        <w:t>CO</w:t>
      </w:r>
      <w:r w:rsidR="00043431" w:rsidRPr="00043431">
        <w:rPr>
          <w:vertAlign w:val="subscript"/>
          <w:lang w:val="en-GB"/>
        </w:rPr>
        <w:t>2</w:t>
      </w:r>
      <w:r w:rsidR="00043431">
        <w:rPr>
          <w:lang w:val="en-GB"/>
        </w:rPr>
        <w:t xml:space="preserve"> </w:t>
      </w:r>
      <w:r w:rsidR="00043431" w:rsidRPr="00043431">
        <w:rPr>
          <w:lang w:val="en-GB"/>
        </w:rPr>
        <w:t>sink</w:t>
      </w:r>
      <w:r w:rsidR="00043431">
        <w:rPr>
          <w:lang w:val="en-GB"/>
        </w:rPr>
        <w:t xml:space="preserve">, however the indirect contributions of electricity grid emissions are still a challenge for </w:t>
      </w:r>
      <w:r w:rsidR="005C740F">
        <w:rPr>
          <w:lang w:val="en-GB"/>
        </w:rPr>
        <w:t>the decarbonization strategies.</w:t>
      </w:r>
      <w:r w:rsidR="00453B97">
        <w:rPr>
          <w:lang w:val="en-GB"/>
        </w:rPr>
        <w:t xml:space="preserve"> For future works, </w:t>
      </w:r>
      <w:r w:rsidR="00453B97">
        <w:t>an incremental financial analysis that incorporates the uncertainty related to the acquisition and selling costs of the feedstock and fuels produced will be performed through Monte Carlo method, by simulating the stochastic variation of the commodities price profiles.</w:t>
      </w:r>
    </w:p>
    <w:p w14:paraId="144DE6BA" w14:textId="78ED53D6" w:rsidR="008D2649" w:rsidRDefault="00096BD0" w:rsidP="008D2649">
      <w:pPr>
        <w:pStyle w:val="Els-1storder-head"/>
        <w:spacing w:after="120"/>
        <w:rPr>
          <w:lang w:val="en-GB"/>
        </w:rPr>
      </w:pPr>
      <w:r>
        <w:rPr>
          <w:lang w:val="en-GB"/>
        </w:rPr>
        <w:t>Acknowledgments</w:t>
      </w:r>
    </w:p>
    <w:p w14:paraId="3CBFC6AC" w14:textId="6853E379" w:rsidR="0095323B" w:rsidRPr="00453B97" w:rsidRDefault="00096BD0" w:rsidP="007E0E9E">
      <w:pPr>
        <w:pStyle w:val="Els-referenceno-number"/>
        <w:ind w:left="0" w:firstLine="0"/>
        <w:rPr>
          <w:sz w:val="20"/>
          <w:szCs w:val="21"/>
          <w:lang w:val="en-US"/>
        </w:rPr>
      </w:pPr>
      <w:r w:rsidRPr="00453B97">
        <w:rPr>
          <w:sz w:val="20"/>
          <w:szCs w:val="21"/>
        </w:rPr>
        <w:t>MD thank European Union’s Horizon Europe Research and Innovation programme under Grant Agreement No. 101084288.</w:t>
      </w:r>
    </w:p>
    <w:p w14:paraId="51887604" w14:textId="1AA09317" w:rsidR="0042172B" w:rsidRPr="00BA6042" w:rsidRDefault="008D2649" w:rsidP="007854EA">
      <w:pPr>
        <w:pStyle w:val="Els-reference-head"/>
        <w:spacing w:before="120"/>
        <w:rPr>
          <w:lang w:val="fr-CH"/>
        </w:rPr>
      </w:pPr>
      <w:proofErr w:type="spellStart"/>
      <w:r w:rsidRPr="00BA6042">
        <w:rPr>
          <w:lang w:val="fr-CH"/>
        </w:rPr>
        <w:t>References</w:t>
      </w:r>
      <w:proofErr w:type="spellEnd"/>
    </w:p>
    <w:p w14:paraId="258FD100" w14:textId="02409FF7" w:rsidR="007811FA" w:rsidRPr="00DD41D9" w:rsidRDefault="007811FA" w:rsidP="00EE580C">
      <w:pPr>
        <w:pStyle w:val="Els-referenceno-number"/>
        <w:ind w:left="0" w:firstLine="0"/>
        <w:rPr>
          <w:color w:val="000000" w:themeColor="text1"/>
          <w:sz w:val="20"/>
          <w:lang w:val="en-US"/>
        </w:rPr>
      </w:pPr>
      <w:r w:rsidRPr="00DD41D9">
        <w:rPr>
          <w:color w:val="000000" w:themeColor="text1"/>
          <w:sz w:val="20"/>
          <w:shd w:val="clear" w:color="auto" w:fill="FFFFFF"/>
          <w:lang w:val="fr-CH"/>
        </w:rPr>
        <w:t>M.E.G.R.</w:t>
      </w:r>
      <w:r w:rsidR="00EE580C" w:rsidRPr="00DD41D9">
        <w:rPr>
          <w:color w:val="000000" w:themeColor="text1"/>
          <w:sz w:val="20"/>
          <w:shd w:val="clear" w:color="auto" w:fill="FFFFFF"/>
          <w:lang w:val="fr-CH"/>
        </w:rPr>
        <w:t xml:space="preserve"> </w:t>
      </w:r>
      <w:r w:rsidR="00E32737" w:rsidRPr="00DD41D9">
        <w:rPr>
          <w:color w:val="000000" w:themeColor="text1"/>
          <w:sz w:val="20"/>
          <w:shd w:val="clear" w:color="auto" w:fill="FFFFFF"/>
          <w:lang w:val="fr-CH"/>
        </w:rPr>
        <w:t xml:space="preserve">Domingos </w:t>
      </w:r>
      <w:r w:rsidR="00EE580C" w:rsidRPr="00DD41D9">
        <w:rPr>
          <w:color w:val="000000" w:themeColor="text1"/>
          <w:sz w:val="20"/>
          <w:shd w:val="clear" w:color="auto" w:fill="FFFFFF"/>
          <w:lang w:val="fr-CH"/>
        </w:rPr>
        <w:t>et al</w:t>
      </w:r>
      <w:r w:rsidR="00043431" w:rsidRPr="00DD41D9">
        <w:rPr>
          <w:color w:val="000000" w:themeColor="text1"/>
          <w:sz w:val="20"/>
          <w:shd w:val="clear" w:color="auto" w:fill="FFFFFF"/>
          <w:lang w:val="fr-CH"/>
        </w:rPr>
        <w:t>.</w:t>
      </w:r>
      <w:r w:rsidR="00B43E87" w:rsidRPr="00DD41D9">
        <w:rPr>
          <w:color w:val="000000" w:themeColor="text1"/>
          <w:sz w:val="20"/>
          <w:shd w:val="clear" w:color="auto" w:fill="FFFFFF"/>
          <w:lang w:val="fr-CH"/>
        </w:rPr>
        <w:t>,</w:t>
      </w:r>
      <w:r w:rsidR="00EE580C" w:rsidRPr="00DD41D9">
        <w:rPr>
          <w:color w:val="000000" w:themeColor="text1"/>
          <w:sz w:val="20"/>
          <w:shd w:val="clear" w:color="auto" w:fill="FFFFFF"/>
          <w:lang w:val="fr-CH"/>
        </w:rPr>
        <w:t xml:space="preserve"> </w:t>
      </w:r>
      <w:r w:rsidRPr="00DD41D9">
        <w:rPr>
          <w:color w:val="000000" w:themeColor="text1"/>
          <w:sz w:val="20"/>
          <w:shd w:val="clear" w:color="auto" w:fill="FFFFFF"/>
          <w:lang w:val="fr-CH"/>
        </w:rPr>
        <w:t xml:space="preserve">2023. </w:t>
      </w:r>
      <w:r w:rsidRPr="00DD41D9">
        <w:rPr>
          <w:color w:val="000000" w:themeColor="text1"/>
          <w:sz w:val="20"/>
          <w:shd w:val="clear" w:color="auto" w:fill="FFFFFF"/>
        </w:rPr>
        <w:t>Process modeling and integration of hydrogen and synthetic natural gas production in a kraft pulp mill via black liquor gasification. Renewable Energy, 219, p.119396.</w:t>
      </w:r>
    </w:p>
    <w:p w14:paraId="5AA6E6A5" w14:textId="044579FC" w:rsidR="00606812" w:rsidRPr="00DD41D9" w:rsidRDefault="00606812" w:rsidP="00EE580C">
      <w:pPr>
        <w:pStyle w:val="Els-referenceno-number"/>
        <w:ind w:left="0" w:firstLine="0"/>
        <w:rPr>
          <w:color w:val="000000" w:themeColor="text1"/>
          <w:sz w:val="20"/>
          <w:shd w:val="clear" w:color="auto" w:fill="FFFFFF"/>
        </w:rPr>
      </w:pPr>
      <w:r w:rsidRPr="00DD41D9">
        <w:rPr>
          <w:color w:val="000000" w:themeColor="text1"/>
          <w:sz w:val="20"/>
          <w:shd w:val="clear" w:color="auto" w:fill="FFFFFF"/>
        </w:rPr>
        <w:t>A.</w:t>
      </w:r>
      <w:r w:rsidR="00E32737" w:rsidRPr="00DD41D9">
        <w:rPr>
          <w:color w:val="000000" w:themeColor="text1"/>
          <w:sz w:val="20"/>
          <w:shd w:val="clear" w:color="auto" w:fill="FFFFFF"/>
        </w:rPr>
        <w:t xml:space="preserve"> Wellinger</w:t>
      </w:r>
      <w:r w:rsidR="00B43E87" w:rsidRPr="00DD41D9">
        <w:rPr>
          <w:color w:val="000000" w:themeColor="text1"/>
          <w:sz w:val="20"/>
          <w:shd w:val="clear" w:color="auto" w:fill="FFFFFF"/>
        </w:rPr>
        <w:t xml:space="preserve"> et al</w:t>
      </w:r>
      <w:r w:rsidR="00043431" w:rsidRPr="00DD41D9">
        <w:rPr>
          <w:color w:val="000000" w:themeColor="text1"/>
          <w:sz w:val="20"/>
          <w:shd w:val="clear" w:color="auto" w:fill="FFFFFF"/>
        </w:rPr>
        <w:t>.</w:t>
      </w:r>
      <w:r w:rsidR="00B43E87" w:rsidRPr="00DD41D9">
        <w:rPr>
          <w:color w:val="000000" w:themeColor="text1"/>
          <w:sz w:val="20"/>
          <w:shd w:val="clear" w:color="auto" w:fill="FFFFFF"/>
        </w:rPr>
        <w:t>,</w:t>
      </w:r>
      <w:r w:rsidRPr="00DD41D9">
        <w:rPr>
          <w:color w:val="000000" w:themeColor="text1"/>
          <w:sz w:val="20"/>
          <w:shd w:val="clear" w:color="auto" w:fill="FFFFFF"/>
        </w:rPr>
        <w:t xml:space="preserve"> 2013. The biogas handbook: science, production and applications. Elsevier.</w:t>
      </w:r>
    </w:p>
    <w:p w14:paraId="62872AD7" w14:textId="231DD00E" w:rsidR="00606812" w:rsidRPr="00DD41D9" w:rsidRDefault="007811FA" w:rsidP="00EE580C">
      <w:pPr>
        <w:pStyle w:val="Els-referenceno-number"/>
        <w:ind w:left="0" w:firstLine="0"/>
        <w:rPr>
          <w:color w:val="000000" w:themeColor="text1"/>
          <w:sz w:val="20"/>
          <w:shd w:val="clear" w:color="auto" w:fill="FFFFFF"/>
        </w:rPr>
      </w:pPr>
      <w:r w:rsidRPr="00DD41D9">
        <w:rPr>
          <w:color w:val="000000" w:themeColor="text1"/>
          <w:sz w:val="20"/>
          <w:shd w:val="clear" w:color="auto" w:fill="FFFFFF"/>
        </w:rPr>
        <w:t>R.</w:t>
      </w:r>
      <w:r w:rsidR="00E32737" w:rsidRPr="00DD41D9">
        <w:rPr>
          <w:color w:val="000000" w:themeColor="text1"/>
          <w:sz w:val="20"/>
          <w:shd w:val="clear" w:color="auto" w:fill="FFFFFF"/>
        </w:rPr>
        <w:t xml:space="preserve"> Lems et al</w:t>
      </w:r>
      <w:r w:rsidRPr="00DD41D9">
        <w:rPr>
          <w:color w:val="000000" w:themeColor="text1"/>
          <w:sz w:val="20"/>
          <w:shd w:val="clear" w:color="auto" w:fill="FFFFFF"/>
        </w:rPr>
        <w:t>, 2008. “Next generation biogas upgrading using highly selective gas separation membranes” Showcasing the Poundbury project. DMT Environmental Technology: Joure, The Netherlands.</w:t>
      </w:r>
    </w:p>
    <w:p w14:paraId="1DB0A2A4" w14:textId="78657550" w:rsidR="00B43E87" w:rsidRPr="00DD41D9" w:rsidRDefault="0042172B" w:rsidP="00EE580C">
      <w:pPr>
        <w:pStyle w:val="Els-referenceno-number"/>
        <w:ind w:left="0" w:firstLine="0"/>
        <w:rPr>
          <w:color w:val="000000" w:themeColor="text1"/>
          <w:sz w:val="20"/>
          <w:lang w:val="en-US"/>
        </w:rPr>
      </w:pPr>
      <w:r w:rsidRPr="00DD41D9">
        <w:rPr>
          <w:color w:val="000000" w:themeColor="text1"/>
          <w:sz w:val="20"/>
          <w:shd w:val="clear" w:color="auto" w:fill="FFFFFF"/>
          <w:lang w:val="en-US"/>
        </w:rPr>
        <w:t>G.</w:t>
      </w:r>
      <w:r w:rsidR="00E32737" w:rsidRPr="00DD41D9">
        <w:rPr>
          <w:color w:val="000000" w:themeColor="text1"/>
          <w:sz w:val="20"/>
          <w:shd w:val="clear" w:color="auto" w:fill="FFFFFF"/>
          <w:lang w:val="en-US"/>
        </w:rPr>
        <w:t xml:space="preserve"> Chen</w:t>
      </w:r>
      <w:r w:rsidR="00B43E87" w:rsidRPr="00DD41D9">
        <w:rPr>
          <w:color w:val="000000" w:themeColor="text1"/>
          <w:sz w:val="20"/>
          <w:shd w:val="clear" w:color="auto" w:fill="FFFFFF"/>
          <w:lang w:val="en-US"/>
        </w:rPr>
        <w:t xml:space="preserve"> et al</w:t>
      </w:r>
      <w:r w:rsidR="00043431" w:rsidRPr="00DD41D9">
        <w:rPr>
          <w:color w:val="000000" w:themeColor="text1"/>
          <w:sz w:val="20"/>
          <w:shd w:val="clear" w:color="auto" w:fill="FFFFFF"/>
          <w:lang w:val="en-US"/>
        </w:rPr>
        <w:t>.</w:t>
      </w:r>
      <w:r w:rsidR="00B43E87" w:rsidRPr="00DD41D9">
        <w:rPr>
          <w:color w:val="000000" w:themeColor="text1"/>
          <w:sz w:val="20"/>
          <w:shd w:val="clear" w:color="auto" w:fill="FFFFFF"/>
          <w:lang w:val="en-US"/>
        </w:rPr>
        <w:t xml:space="preserve">, </w:t>
      </w:r>
      <w:r w:rsidRPr="00DD41D9">
        <w:rPr>
          <w:color w:val="000000" w:themeColor="text1"/>
          <w:sz w:val="20"/>
          <w:shd w:val="clear" w:color="auto" w:fill="FFFFFF"/>
          <w:lang w:val="en-US"/>
        </w:rPr>
        <w:t xml:space="preserve">2017. </w:t>
      </w:r>
      <w:r w:rsidRPr="00DD41D9">
        <w:rPr>
          <w:color w:val="000000" w:themeColor="text1"/>
          <w:sz w:val="20"/>
          <w:shd w:val="clear" w:color="auto" w:fill="FFFFFF"/>
        </w:rPr>
        <w:t>Air gasification of biogas-derived digestate in a downdraft fixed bed gasifier. Waste management, 69, pp.162-169.</w:t>
      </w:r>
    </w:p>
    <w:p w14:paraId="05B1D625" w14:textId="28F0170A" w:rsidR="00EC2533" w:rsidRPr="00DD41D9" w:rsidRDefault="00404CC3" w:rsidP="00EE580C">
      <w:pPr>
        <w:pStyle w:val="Els-referenceno-number"/>
        <w:ind w:left="0" w:firstLine="0"/>
        <w:rPr>
          <w:color w:val="000000" w:themeColor="text1"/>
          <w:sz w:val="20"/>
          <w:lang w:val="en-US"/>
        </w:rPr>
      </w:pPr>
      <w:r w:rsidRPr="00DD41D9">
        <w:rPr>
          <w:color w:val="000000" w:themeColor="text1"/>
          <w:sz w:val="20"/>
          <w:lang w:val="en-US"/>
        </w:rPr>
        <w:t>C. M. Kinchin, R. L. Bain. 2009. Hydrogen Production from Biomass via Indirect Gasification: The Impact of NREL Process Development Unit Gasifier Correlations, Technical Report NREL/TP-510-44868, May 2009. National Renewable Energy Laboratory.</w:t>
      </w:r>
    </w:p>
    <w:p w14:paraId="152A8375" w14:textId="2ED7E247" w:rsidR="00EC2533" w:rsidRPr="00DD41D9" w:rsidRDefault="00EC2533" w:rsidP="00EE580C">
      <w:pPr>
        <w:pStyle w:val="Els-referenceno-number"/>
        <w:ind w:left="0" w:firstLine="0"/>
        <w:rPr>
          <w:color w:val="000000" w:themeColor="text1"/>
          <w:sz w:val="20"/>
          <w:lang w:val="en-US"/>
        </w:rPr>
      </w:pPr>
      <w:r w:rsidRPr="00DD41D9">
        <w:rPr>
          <w:color w:val="000000" w:themeColor="text1"/>
          <w:sz w:val="20"/>
          <w:lang w:val="en-US"/>
        </w:rPr>
        <w:t>H.</w:t>
      </w:r>
      <w:r w:rsidR="00E32737" w:rsidRPr="00DD41D9">
        <w:rPr>
          <w:color w:val="000000" w:themeColor="text1"/>
          <w:sz w:val="20"/>
          <w:lang w:val="en-US"/>
        </w:rPr>
        <w:t xml:space="preserve"> Topsøe</w:t>
      </w:r>
      <w:r w:rsidRPr="00DD41D9">
        <w:rPr>
          <w:color w:val="000000" w:themeColor="text1"/>
          <w:sz w:val="20"/>
          <w:lang w:val="en-US"/>
        </w:rPr>
        <w:t>, 2009. From solid fuels to substitute natural gas (SNG) using TREMP Topsøe Recycle Energy-efficient Methanation Process.</w:t>
      </w:r>
    </w:p>
    <w:p w14:paraId="4783DC3A" w14:textId="67527AD0" w:rsidR="00FC32A2" w:rsidRPr="00DD41D9" w:rsidRDefault="00FC32A2" w:rsidP="00EE580C">
      <w:pPr>
        <w:pStyle w:val="Els-referenceno-number"/>
        <w:ind w:left="0" w:firstLine="0"/>
        <w:rPr>
          <w:color w:val="000000" w:themeColor="text1"/>
          <w:sz w:val="20"/>
          <w:lang w:val="en-US"/>
        </w:rPr>
      </w:pPr>
      <w:r w:rsidRPr="00DD41D9">
        <w:rPr>
          <w:color w:val="000000" w:themeColor="text1"/>
          <w:sz w:val="20"/>
          <w:shd w:val="clear" w:color="auto" w:fill="FFFFFF"/>
          <w:lang w:val="en-US"/>
        </w:rPr>
        <w:t>M.</w:t>
      </w:r>
      <w:r w:rsidR="00B43E87" w:rsidRPr="00DD41D9">
        <w:rPr>
          <w:color w:val="000000" w:themeColor="text1"/>
          <w:sz w:val="20"/>
          <w:shd w:val="clear" w:color="auto" w:fill="FFFFFF"/>
          <w:lang w:val="en-US"/>
        </w:rPr>
        <w:t xml:space="preserve"> </w:t>
      </w:r>
      <w:r w:rsidR="00E32737" w:rsidRPr="00DD41D9">
        <w:rPr>
          <w:color w:val="000000" w:themeColor="text1"/>
          <w:sz w:val="20"/>
          <w:shd w:val="clear" w:color="auto" w:fill="FFFFFF"/>
          <w:lang w:val="en-US"/>
        </w:rPr>
        <w:t xml:space="preserve">Ni </w:t>
      </w:r>
      <w:r w:rsidR="00B43E87" w:rsidRPr="00DD41D9">
        <w:rPr>
          <w:color w:val="000000" w:themeColor="text1"/>
          <w:sz w:val="20"/>
          <w:shd w:val="clear" w:color="auto" w:fill="FFFFFF"/>
          <w:lang w:val="en-US"/>
        </w:rPr>
        <w:t>et al</w:t>
      </w:r>
      <w:r w:rsidR="00043431" w:rsidRPr="00DD41D9">
        <w:rPr>
          <w:color w:val="000000" w:themeColor="text1"/>
          <w:sz w:val="20"/>
          <w:shd w:val="clear" w:color="auto" w:fill="FFFFFF"/>
          <w:lang w:val="en-US"/>
        </w:rPr>
        <w:t>.</w:t>
      </w:r>
      <w:r w:rsidRPr="00DD41D9">
        <w:rPr>
          <w:color w:val="000000" w:themeColor="text1"/>
          <w:sz w:val="20"/>
          <w:shd w:val="clear" w:color="auto" w:fill="FFFFFF"/>
          <w:lang w:val="en-US"/>
        </w:rPr>
        <w:t xml:space="preserve">, 2006. </w:t>
      </w:r>
      <w:r w:rsidRPr="00DD41D9">
        <w:rPr>
          <w:color w:val="000000" w:themeColor="text1"/>
          <w:sz w:val="20"/>
          <w:shd w:val="clear" w:color="auto" w:fill="FFFFFF"/>
        </w:rPr>
        <w:t>A modeling study on concentration overpotentials of a reversible solid oxide fuel cell. Journal of Power Sources, 163(1), pp.460-466.</w:t>
      </w:r>
    </w:p>
    <w:p w14:paraId="2519C291" w14:textId="570AEB95" w:rsidR="0099663D" w:rsidRPr="00DD41D9" w:rsidRDefault="00EC2533" w:rsidP="00EE580C">
      <w:pPr>
        <w:pStyle w:val="Els-referenceno-number"/>
        <w:ind w:left="0" w:firstLine="0"/>
        <w:rPr>
          <w:color w:val="000000" w:themeColor="text1"/>
          <w:sz w:val="20"/>
          <w:lang w:val="en-US"/>
        </w:rPr>
      </w:pPr>
      <w:r w:rsidRPr="00DD41D9">
        <w:rPr>
          <w:color w:val="000000" w:themeColor="text1"/>
          <w:sz w:val="20"/>
          <w:lang w:val="en-US"/>
        </w:rPr>
        <w:t>Aspentech, 2011. Aspen physical property system - physical property methods V7.3.</w:t>
      </w:r>
    </w:p>
    <w:p w14:paraId="336EF2E2" w14:textId="3D1E8617" w:rsidR="00404CC3" w:rsidRPr="00DD41D9" w:rsidRDefault="0099663D" w:rsidP="00EE580C">
      <w:pPr>
        <w:pStyle w:val="Els-referenceno-number"/>
        <w:ind w:left="0" w:firstLine="0"/>
        <w:rPr>
          <w:color w:val="000000" w:themeColor="text1"/>
          <w:sz w:val="20"/>
          <w:lang w:val="en-US"/>
        </w:rPr>
      </w:pPr>
      <w:r w:rsidRPr="00DD41D9">
        <w:rPr>
          <w:color w:val="000000" w:themeColor="text1"/>
          <w:sz w:val="20"/>
          <w:lang w:val="en-US"/>
        </w:rPr>
        <w:t xml:space="preserve">Statista, </w:t>
      </w:r>
      <w:r w:rsidR="00570AAC" w:rsidRPr="00DD41D9">
        <w:rPr>
          <w:color w:val="000000" w:themeColor="text1"/>
          <w:sz w:val="20"/>
          <w:lang w:val="en-US"/>
        </w:rPr>
        <w:t xml:space="preserve">2023. Natural gas prices for households in the European Union (28 countries) from 2014 to 2022, semi-annually. Available at: </w:t>
      </w:r>
      <w:hyperlink r:id="rId25" w:history="1">
        <w:r w:rsidR="00570AAC" w:rsidRPr="00DD41D9">
          <w:rPr>
            <w:rStyle w:val="Collegamentoipertestuale"/>
            <w:color w:val="000000" w:themeColor="text1"/>
            <w:sz w:val="20"/>
            <w:lang w:val="en-US"/>
          </w:rPr>
          <w:t>https://www.statista.com/statistics/460305/natural-gas-prices-for-households-in-eu-28/</w:t>
        </w:r>
      </w:hyperlink>
      <w:r w:rsidR="00570AAC" w:rsidRPr="00DD41D9">
        <w:rPr>
          <w:color w:val="000000" w:themeColor="text1"/>
          <w:sz w:val="20"/>
          <w:lang w:val="en-US"/>
        </w:rPr>
        <w:t>. Accessed 01 Nov 2023.</w:t>
      </w:r>
    </w:p>
    <w:p w14:paraId="144DE6C3" w14:textId="0E04CC93" w:rsidR="008D2649" w:rsidRPr="00DD41D9" w:rsidRDefault="000878FD" w:rsidP="00EE580C">
      <w:pPr>
        <w:pStyle w:val="Els-referenceno-number"/>
        <w:ind w:left="0" w:firstLine="0"/>
        <w:rPr>
          <w:color w:val="000000" w:themeColor="text1"/>
          <w:sz w:val="20"/>
          <w:lang w:val="en-US"/>
        </w:rPr>
      </w:pPr>
      <w:r w:rsidRPr="00DD41D9">
        <w:rPr>
          <w:color w:val="000000" w:themeColor="text1"/>
          <w:sz w:val="20"/>
          <w:shd w:val="clear" w:color="auto" w:fill="FFFFFF"/>
        </w:rPr>
        <w:t>O.W.</w:t>
      </w:r>
      <w:r w:rsidR="00B43E87" w:rsidRPr="00DD41D9">
        <w:rPr>
          <w:color w:val="000000" w:themeColor="text1"/>
          <w:sz w:val="20"/>
          <w:shd w:val="clear" w:color="auto" w:fill="FFFFFF"/>
        </w:rPr>
        <w:t xml:space="preserve"> </w:t>
      </w:r>
      <w:r w:rsidR="00E32737" w:rsidRPr="00DD41D9">
        <w:rPr>
          <w:color w:val="000000" w:themeColor="text1"/>
          <w:sz w:val="20"/>
          <w:shd w:val="clear" w:color="auto" w:fill="FFFFFF"/>
        </w:rPr>
        <w:t xml:space="preserve">Awe </w:t>
      </w:r>
      <w:r w:rsidR="00B43E87" w:rsidRPr="00DD41D9">
        <w:rPr>
          <w:color w:val="000000" w:themeColor="text1"/>
          <w:sz w:val="20"/>
          <w:shd w:val="clear" w:color="auto" w:fill="FFFFFF"/>
        </w:rPr>
        <w:t>et al</w:t>
      </w:r>
      <w:r w:rsidR="00043431" w:rsidRPr="00DD41D9">
        <w:rPr>
          <w:color w:val="000000" w:themeColor="text1"/>
          <w:sz w:val="20"/>
          <w:shd w:val="clear" w:color="auto" w:fill="FFFFFF"/>
        </w:rPr>
        <w:t>.</w:t>
      </w:r>
      <w:r w:rsidR="00B43E87" w:rsidRPr="00DD41D9">
        <w:rPr>
          <w:color w:val="000000" w:themeColor="text1"/>
          <w:sz w:val="20"/>
          <w:shd w:val="clear" w:color="auto" w:fill="FFFFFF"/>
        </w:rPr>
        <w:t xml:space="preserve">, </w:t>
      </w:r>
      <w:r w:rsidRPr="00DD41D9">
        <w:rPr>
          <w:color w:val="000000" w:themeColor="text1"/>
          <w:sz w:val="20"/>
          <w:shd w:val="clear" w:color="auto" w:fill="FFFFFF"/>
        </w:rPr>
        <w:t>2017. A review of biogas utilisation, purification and upgrading technologies. Waste and Biomass Valorization, 8, pp.267-283.</w:t>
      </w:r>
    </w:p>
    <w:sectPr w:rsidR="008D2649" w:rsidRPr="00DD41D9" w:rsidSect="00CA0473">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9ECB8" w14:textId="77777777" w:rsidR="00CA0473" w:rsidRDefault="00CA0473">
      <w:r>
        <w:separator/>
      </w:r>
    </w:p>
  </w:endnote>
  <w:endnote w:type="continuationSeparator" w:id="0">
    <w:p w14:paraId="5AAF6F17" w14:textId="77777777" w:rsidR="00CA0473" w:rsidRDefault="00CA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FF6043" w:rsidRDefault="00FF6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FF6043" w:rsidRDefault="00FF60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FF6043" w:rsidRDefault="00FF6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A70DD" w14:textId="77777777" w:rsidR="00CA0473" w:rsidRDefault="00CA0473">
      <w:r>
        <w:separator/>
      </w:r>
    </w:p>
  </w:footnote>
  <w:footnote w:type="continuationSeparator" w:id="0">
    <w:p w14:paraId="7B9C4A14" w14:textId="77777777" w:rsidR="00CA0473" w:rsidRDefault="00CA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A94440D"/>
    <w:multiLevelType w:val="hybridMultilevel"/>
    <w:tmpl w:val="F208E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1"/>
  </w:num>
  <w:num w:numId="9">
    <w:abstractNumId w:val="11"/>
  </w:num>
  <w:num w:numId="10">
    <w:abstractNumId w:val="15"/>
  </w:num>
  <w:num w:numId="11">
    <w:abstractNumId w:val="14"/>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2E1"/>
    <w:rsid w:val="00011458"/>
    <w:rsid w:val="00030E2B"/>
    <w:rsid w:val="00043431"/>
    <w:rsid w:val="00060209"/>
    <w:rsid w:val="000878FD"/>
    <w:rsid w:val="00096BD0"/>
    <w:rsid w:val="000D147D"/>
    <w:rsid w:val="000D3D9B"/>
    <w:rsid w:val="000F6340"/>
    <w:rsid w:val="00117445"/>
    <w:rsid w:val="001403D2"/>
    <w:rsid w:val="0016032F"/>
    <w:rsid w:val="001879F6"/>
    <w:rsid w:val="001B1DE3"/>
    <w:rsid w:val="001B79BE"/>
    <w:rsid w:val="001C0148"/>
    <w:rsid w:val="001C6AC8"/>
    <w:rsid w:val="001C757E"/>
    <w:rsid w:val="001D2BC7"/>
    <w:rsid w:val="001E709F"/>
    <w:rsid w:val="001F624A"/>
    <w:rsid w:val="0020390F"/>
    <w:rsid w:val="0021034E"/>
    <w:rsid w:val="00234753"/>
    <w:rsid w:val="0024034C"/>
    <w:rsid w:val="00263C15"/>
    <w:rsid w:val="00264926"/>
    <w:rsid w:val="002A122A"/>
    <w:rsid w:val="002C03D0"/>
    <w:rsid w:val="002C7EA6"/>
    <w:rsid w:val="002D685A"/>
    <w:rsid w:val="002D740F"/>
    <w:rsid w:val="003126A6"/>
    <w:rsid w:val="00331E76"/>
    <w:rsid w:val="00344D01"/>
    <w:rsid w:val="003578A3"/>
    <w:rsid w:val="00363931"/>
    <w:rsid w:val="003818EC"/>
    <w:rsid w:val="003D1582"/>
    <w:rsid w:val="003D1B34"/>
    <w:rsid w:val="003D7E4C"/>
    <w:rsid w:val="003E41C2"/>
    <w:rsid w:val="00404CC3"/>
    <w:rsid w:val="00413BD7"/>
    <w:rsid w:val="00416B5C"/>
    <w:rsid w:val="0042172B"/>
    <w:rsid w:val="00453B97"/>
    <w:rsid w:val="004628E9"/>
    <w:rsid w:val="0049772C"/>
    <w:rsid w:val="004E785D"/>
    <w:rsid w:val="004F0A68"/>
    <w:rsid w:val="005012E2"/>
    <w:rsid w:val="00507CB7"/>
    <w:rsid w:val="00532182"/>
    <w:rsid w:val="00552EEB"/>
    <w:rsid w:val="00567D93"/>
    <w:rsid w:val="00570AAC"/>
    <w:rsid w:val="00580ACD"/>
    <w:rsid w:val="005A3C64"/>
    <w:rsid w:val="005C740F"/>
    <w:rsid w:val="005E5FC8"/>
    <w:rsid w:val="005E6A64"/>
    <w:rsid w:val="00606812"/>
    <w:rsid w:val="006171AD"/>
    <w:rsid w:val="00623D3C"/>
    <w:rsid w:val="00644319"/>
    <w:rsid w:val="006A69BF"/>
    <w:rsid w:val="006C11D1"/>
    <w:rsid w:val="00711DF4"/>
    <w:rsid w:val="007201DD"/>
    <w:rsid w:val="00720B06"/>
    <w:rsid w:val="0073791B"/>
    <w:rsid w:val="0074326B"/>
    <w:rsid w:val="00766255"/>
    <w:rsid w:val="007811FA"/>
    <w:rsid w:val="0078414A"/>
    <w:rsid w:val="007854EA"/>
    <w:rsid w:val="007C79B6"/>
    <w:rsid w:val="007D70A1"/>
    <w:rsid w:val="007E0E9E"/>
    <w:rsid w:val="007E29B0"/>
    <w:rsid w:val="007F0038"/>
    <w:rsid w:val="008132E8"/>
    <w:rsid w:val="00823407"/>
    <w:rsid w:val="008458EC"/>
    <w:rsid w:val="0089405D"/>
    <w:rsid w:val="008B0184"/>
    <w:rsid w:val="008C5D02"/>
    <w:rsid w:val="008D2649"/>
    <w:rsid w:val="0090568D"/>
    <w:rsid w:val="009125C9"/>
    <w:rsid w:val="00913879"/>
    <w:rsid w:val="00917661"/>
    <w:rsid w:val="00922A03"/>
    <w:rsid w:val="0095323B"/>
    <w:rsid w:val="00961B08"/>
    <w:rsid w:val="00970E5D"/>
    <w:rsid w:val="0097701C"/>
    <w:rsid w:val="00980A65"/>
    <w:rsid w:val="0099663D"/>
    <w:rsid w:val="009A75B8"/>
    <w:rsid w:val="00A00CAA"/>
    <w:rsid w:val="00A06F5D"/>
    <w:rsid w:val="00A1734A"/>
    <w:rsid w:val="00A25E70"/>
    <w:rsid w:val="00A33765"/>
    <w:rsid w:val="00A63269"/>
    <w:rsid w:val="00A84930"/>
    <w:rsid w:val="00A92377"/>
    <w:rsid w:val="00A947E7"/>
    <w:rsid w:val="00AB29ED"/>
    <w:rsid w:val="00AB68C9"/>
    <w:rsid w:val="00AE4BD8"/>
    <w:rsid w:val="00B21A04"/>
    <w:rsid w:val="00B41288"/>
    <w:rsid w:val="00B4388F"/>
    <w:rsid w:val="00B43E87"/>
    <w:rsid w:val="00B63237"/>
    <w:rsid w:val="00B81824"/>
    <w:rsid w:val="00B94E42"/>
    <w:rsid w:val="00BA59E7"/>
    <w:rsid w:val="00BA6042"/>
    <w:rsid w:val="00BC4F7F"/>
    <w:rsid w:val="00BD3FEC"/>
    <w:rsid w:val="00BE6D82"/>
    <w:rsid w:val="00C012F0"/>
    <w:rsid w:val="00C10CAB"/>
    <w:rsid w:val="00C5415F"/>
    <w:rsid w:val="00C960DC"/>
    <w:rsid w:val="00CA0473"/>
    <w:rsid w:val="00CB318C"/>
    <w:rsid w:val="00CD0723"/>
    <w:rsid w:val="00CE45BD"/>
    <w:rsid w:val="00CF1D32"/>
    <w:rsid w:val="00D02C75"/>
    <w:rsid w:val="00D03DAE"/>
    <w:rsid w:val="00D07897"/>
    <w:rsid w:val="00D10E22"/>
    <w:rsid w:val="00D13D2C"/>
    <w:rsid w:val="00D25179"/>
    <w:rsid w:val="00D32374"/>
    <w:rsid w:val="00D32F40"/>
    <w:rsid w:val="00D47103"/>
    <w:rsid w:val="00D51A68"/>
    <w:rsid w:val="00D60C05"/>
    <w:rsid w:val="00D81D57"/>
    <w:rsid w:val="00DC22BE"/>
    <w:rsid w:val="00DC2F94"/>
    <w:rsid w:val="00DD3774"/>
    <w:rsid w:val="00DD3D9E"/>
    <w:rsid w:val="00DD41D9"/>
    <w:rsid w:val="00DD7908"/>
    <w:rsid w:val="00E302C5"/>
    <w:rsid w:val="00E32737"/>
    <w:rsid w:val="00E51EBD"/>
    <w:rsid w:val="00E66F7B"/>
    <w:rsid w:val="00E82297"/>
    <w:rsid w:val="00EA4C80"/>
    <w:rsid w:val="00EB1C9E"/>
    <w:rsid w:val="00EC2533"/>
    <w:rsid w:val="00EC6140"/>
    <w:rsid w:val="00ED66A8"/>
    <w:rsid w:val="00EE580C"/>
    <w:rsid w:val="00EF39FD"/>
    <w:rsid w:val="00F06842"/>
    <w:rsid w:val="00F106CA"/>
    <w:rsid w:val="00F107FD"/>
    <w:rsid w:val="00F13A7E"/>
    <w:rsid w:val="00F1683F"/>
    <w:rsid w:val="00F36A13"/>
    <w:rsid w:val="00F41347"/>
    <w:rsid w:val="00F413C7"/>
    <w:rsid w:val="00FB4DA9"/>
    <w:rsid w:val="00FB64A8"/>
    <w:rsid w:val="00FC32A2"/>
    <w:rsid w:val="00FE5973"/>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uiPriority w:val="99"/>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59"/>
    <w:rsid w:val="00F36A13"/>
    <w:rPr>
      <w:rFonts w:asciiTheme="minorHAnsi" w:eastAsiaTheme="minorHAnsi" w:hAnsiTheme="minorHAnsi" w:cstheme="minorBidi"/>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FigureCaption">
    <w:name w:val="PS Figure Caption"/>
    <w:next w:val="Normale"/>
    <w:uiPriority w:val="99"/>
    <w:qFormat/>
    <w:rsid w:val="00F36A13"/>
    <w:pPr>
      <w:spacing w:before="120" w:after="240"/>
      <w:jc w:val="both"/>
    </w:pPr>
    <w:rPr>
      <w:rFonts w:eastAsia="SimSun"/>
      <w:i/>
      <w:sz w:val="24"/>
      <w:szCs w:val="24"/>
      <w:lang w:eastAsia="en-US"/>
    </w:rPr>
  </w:style>
  <w:style w:type="character" w:customStyle="1" w:styleId="Els-body-textChar">
    <w:name w:val="Els-body-text Char"/>
    <w:basedOn w:val="Carpredefinitoparagrafo"/>
    <w:link w:val="Els-body-text"/>
    <w:locked/>
    <w:rsid w:val="00F36A13"/>
    <w:rPr>
      <w:lang w:val="en-US" w:eastAsia="en-US"/>
    </w:rPr>
  </w:style>
  <w:style w:type="character" w:styleId="Menzionenonrisolta">
    <w:name w:val="Unresolved Mention"/>
    <w:basedOn w:val="Carpredefinitoparagrafo"/>
    <w:uiPriority w:val="99"/>
    <w:semiHidden/>
    <w:unhideWhenUsed/>
    <w:rsid w:val="00570AAC"/>
    <w:rPr>
      <w:color w:val="605E5C"/>
      <w:shd w:val="clear" w:color="auto" w:fill="E1DFDD"/>
    </w:rPr>
  </w:style>
  <w:style w:type="character" w:styleId="Testosegnaposto">
    <w:name w:val="Placeholder Text"/>
    <w:basedOn w:val="Carpredefinitoparagrafo"/>
    <w:uiPriority w:val="99"/>
    <w:semiHidden/>
    <w:rsid w:val="0024034C"/>
    <w:rPr>
      <w:color w:val="666666"/>
    </w:rPr>
  </w:style>
  <w:style w:type="paragraph" w:styleId="Paragrafoelenco">
    <w:name w:val="List Paragraph"/>
    <w:basedOn w:val="Normale"/>
    <w:uiPriority w:val="34"/>
    <w:qFormat/>
    <w:rsid w:val="001B7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62849">
      <w:bodyDiv w:val="1"/>
      <w:marLeft w:val="0"/>
      <w:marRight w:val="0"/>
      <w:marTop w:val="0"/>
      <w:marBottom w:val="0"/>
      <w:divBdr>
        <w:top w:val="none" w:sz="0" w:space="0" w:color="auto"/>
        <w:left w:val="none" w:sz="0" w:space="0" w:color="auto"/>
        <w:bottom w:val="none" w:sz="0" w:space="0" w:color="auto"/>
        <w:right w:val="none" w:sz="0" w:space="0" w:color="auto"/>
      </w:divBdr>
    </w:div>
    <w:div w:id="1027491465">
      <w:bodyDiv w:val="1"/>
      <w:marLeft w:val="0"/>
      <w:marRight w:val="0"/>
      <w:marTop w:val="0"/>
      <w:marBottom w:val="0"/>
      <w:divBdr>
        <w:top w:val="none" w:sz="0" w:space="0" w:color="auto"/>
        <w:left w:val="none" w:sz="0" w:space="0" w:color="auto"/>
        <w:bottom w:val="none" w:sz="0" w:space="0" w:color="auto"/>
        <w:right w:val="none" w:sz="0" w:space="0" w:color="auto"/>
      </w:divBdr>
    </w:div>
    <w:div w:id="18864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yperlink" Target="https://www.statista.com/statistics/460305/natural-gas-prices-for-households-in-eu-2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6962-DF3F-422B-B09B-A197419D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TotalTime>
  <Pages>6</Pages>
  <Words>2105</Words>
  <Characters>15002</Characters>
  <Application>Microsoft Office Word</Application>
  <DocSecurity>0</DocSecurity>
  <Lines>125</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cp:revision>
  <cp:lastPrinted>2004-12-17T09:20:00Z</cp:lastPrinted>
  <dcterms:created xsi:type="dcterms:W3CDTF">2023-12-21T15:12:00Z</dcterms:created>
  <dcterms:modified xsi:type="dcterms:W3CDTF">2024-01-21T15:35:00Z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