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29D4AC44" w:rsidR="00DD3D9E" w:rsidRPr="006A45FB" w:rsidRDefault="00A57658">
      <w:pPr>
        <w:pStyle w:val="Els-Title"/>
        <w:rPr>
          <w:color w:val="000000" w:themeColor="text1"/>
        </w:rPr>
      </w:pPr>
      <w:r w:rsidRPr="006A45FB">
        <w:rPr>
          <w:color w:val="000000" w:themeColor="text1"/>
        </w:rPr>
        <w:t>Achieving Flexibility in High Throughput Liquid Handing experimentation by smart System Design</w:t>
      </w:r>
    </w:p>
    <w:p w14:paraId="00228907" w14:textId="4743485A" w:rsidR="00CD483D" w:rsidRPr="006A45FB" w:rsidRDefault="00CD483D">
      <w:pPr>
        <w:pStyle w:val="Els-Affiliation"/>
        <w:rPr>
          <w:i w:val="0"/>
          <w:sz w:val="22"/>
          <w:lang w:val="en-US"/>
        </w:rPr>
      </w:pPr>
      <w:r w:rsidRPr="006A45FB">
        <w:rPr>
          <w:i w:val="0"/>
          <w:sz w:val="22"/>
          <w:lang w:val="en-US"/>
        </w:rPr>
        <w:t>Simon Seidel</w:t>
      </w:r>
      <w:r w:rsidR="00F038C7" w:rsidRPr="006A45FB">
        <w:rPr>
          <w:i w:val="0"/>
          <w:sz w:val="22"/>
          <w:vertAlign w:val="superscript"/>
          <w:lang w:val="en-US"/>
        </w:rPr>
        <w:t>a</w:t>
      </w:r>
      <w:r w:rsidRPr="006A45FB">
        <w:rPr>
          <w:i w:val="0"/>
          <w:sz w:val="22"/>
          <w:lang w:val="en-US"/>
        </w:rPr>
        <w:t xml:space="preserve">, </w:t>
      </w:r>
      <w:r w:rsidR="00C42D13" w:rsidRPr="006A45FB">
        <w:rPr>
          <w:i w:val="0"/>
          <w:sz w:val="22"/>
          <w:lang w:val="en-US"/>
        </w:rPr>
        <w:t>Peter Neubauer</w:t>
      </w:r>
      <w:r w:rsidR="00C42D13" w:rsidRPr="006A45FB">
        <w:rPr>
          <w:i w:val="0"/>
          <w:sz w:val="22"/>
          <w:vertAlign w:val="superscript"/>
          <w:lang w:val="en-US"/>
        </w:rPr>
        <w:t>a</w:t>
      </w:r>
      <w:r w:rsidR="00774725" w:rsidRPr="006A45FB">
        <w:rPr>
          <w:i w:val="0"/>
          <w:sz w:val="22"/>
          <w:lang w:val="en-US"/>
        </w:rPr>
        <w:t>, Mariano Nicolas Cruz-Bournazou</w:t>
      </w:r>
      <w:r w:rsidR="00774725" w:rsidRPr="006A45FB">
        <w:rPr>
          <w:i w:val="0"/>
          <w:sz w:val="22"/>
          <w:vertAlign w:val="superscript"/>
          <w:lang w:val="en-US"/>
        </w:rPr>
        <w:t>a</w:t>
      </w:r>
    </w:p>
    <w:p w14:paraId="144DE682" w14:textId="3328C030" w:rsidR="00DD3D9E" w:rsidRPr="00C42D13" w:rsidRDefault="00045AB6" w:rsidP="00C42D13">
      <w:pPr>
        <w:pStyle w:val="Els-Affiliation"/>
      </w:pPr>
      <w:r w:rsidRPr="00045AB6">
        <w:rPr>
          <w:vertAlign w:val="superscript"/>
        </w:rPr>
        <w:t xml:space="preserve">a </w:t>
      </w:r>
      <w:r w:rsidRPr="00045AB6">
        <w:t>Chair of Bioprocess Engineering, Department of Biotechnology, Faculty III, Technische Universität Berlin, Berlin, Germany</w:t>
      </w:r>
      <w:r w:rsidR="00C42D13">
        <w:t xml:space="preserve"> </w:t>
      </w:r>
    </w:p>
    <w:p w14:paraId="144DE683" w14:textId="7944FDBD" w:rsidR="008D2649" w:rsidRPr="00DE2A12" w:rsidRDefault="00045AB6" w:rsidP="008D2649">
      <w:pPr>
        <w:pStyle w:val="Els-Affiliation"/>
        <w:spacing w:after="120"/>
      </w:pPr>
      <w:r w:rsidRPr="00DE2A12">
        <w:t>simon.seidel@tu-berlin.de</w:t>
      </w:r>
    </w:p>
    <w:p w14:paraId="144DE684" w14:textId="77777777" w:rsidR="008D2649" w:rsidRPr="00DE2A12" w:rsidRDefault="008D2649" w:rsidP="008D2649">
      <w:pPr>
        <w:pStyle w:val="Els-Abstract"/>
        <w:rPr>
          <w:lang w:val="en-GB"/>
        </w:rPr>
      </w:pPr>
      <w:r w:rsidRPr="00DE2A12">
        <w:rPr>
          <w:lang w:val="en-GB"/>
        </w:rPr>
        <w:t>Abstract</w:t>
      </w:r>
    </w:p>
    <w:p w14:paraId="2E20BF35" w14:textId="080E07AF" w:rsidR="005C0C59" w:rsidRPr="006A45FB" w:rsidRDefault="005C0C59" w:rsidP="005C0C59">
      <w:pPr>
        <w:pStyle w:val="Els-body-text"/>
        <w:spacing w:after="120"/>
        <w:rPr>
          <w:lang w:val="en-GB"/>
        </w:rPr>
      </w:pPr>
      <w:r w:rsidRPr="006A45FB">
        <w:rPr>
          <w:lang w:val="en-GB"/>
        </w:rPr>
        <w:t xml:space="preserve">Automation and data handling have become essential in the developments of Laboratory 4.0, liquid and robotic object handling, and laboratory digitalization. However, existing systems seldom offer comprehensive and adaptable integrated platforms, restricting seamless integration and flexible experiments. </w:t>
      </w:r>
      <w:r w:rsidR="00D76CB2">
        <w:rPr>
          <w:lang w:val="en-GB"/>
        </w:rPr>
        <w:t>There is a</w:t>
      </w:r>
      <w:r w:rsidR="00A80F4C">
        <w:rPr>
          <w:lang w:val="en-GB"/>
        </w:rPr>
        <w:t xml:space="preserve"> </w:t>
      </w:r>
      <w:r w:rsidRPr="006A45FB">
        <w:rPr>
          <w:lang w:val="en-GB"/>
        </w:rPr>
        <w:t xml:space="preserve">constant need to synchronize hardware automation with data handling and computational workflows to facilitate development of automated lab processes in </w:t>
      </w:r>
      <w:r w:rsidR="00BC6EBE" w:rsidRPr="006A45FB">
        <w:rPr>
          <w:lang w:val="en-GB"/>
        </w:rPr>
        <w:t>today’s</w:t>
      </w:r>
      <w:r w:rsidRPr="006A45FB">
        <w:rPr>
          <w:lang w:val="en-GB"/>
        </w:rPr>
        <w:t xml:space="preserve"> R&amp;D.</w:t>
      </w:r>
    </w:p>
    <w:p w14:paraId="144DE686" w14:textId="46BFE0AF" w:rsidR="008D2649" w:rsidRPr="006A45FB" w:rsidRDefault="005C0C59" w:rsidP="005C0C59">
      <w:pPr>
        <w:pStyle w:val="Els-body-text"/>
        <w:spacing w:after="120"/>
        <w:rPr>
          <w:lang w:val="en-GB"/>
        </w:rPr>
      </w:pPr>
      <w:r w:rsidRPr="006A45FB">
        <w:rPr>
          <w:lang w:val="en-GB"/>
        </w:rPr>
        <w:t xml:space="preserve">Addressing this, </w:t>
      </w:r>
      <w:r w:rsidR="00A14C8A">
        <w:rPr>
          <w:lang w:val="en-GB"/>
        </w:rPr>
        <w:t>we</w:t>
      </w:r>
      <w:r w:rsidRPr="006A45FB">
        <w:rPr>
          <w:lang w:val="en-GB"/>
        </w:rPr>
        <w:t xml:space="preserve"> introduce a distributed micro-service based robotic control platform for biolabs, designed to simplify system orchestration for high throughput experiments through features such as </w:t>
      </w:r>
      <w:r w:rsidR="000F4C1A" w:rsidRPr="000F4C1A">
        <w:rPr>
          <w:lang w:val="en-GB"/>
        </w:rPr>
        <w:t>easy modifiabilit</w:t>
      </w:r>
      <w:r w:rsidR="00724EC7">
        <w:rPr>
          <w:lang w:val="en-GB"/>
        </w:rPr>
        <w:t>y</w:t>
      </w:r>
      <w:r w:rsidRPr="006A45FB">
        <w:rPr>
          <w:lang w:val="en-GB"/>
        </w:rPr>
        <w:t xml:space="preserve">, alongside efficient hardware integration. This </w:t>
      </w:r>
      <w:r w:rsidR="00AD1B83" w:rsidRPr="006A45FB">
        <w:rPr>
          <w:lang w:val="en-GB"/>
        </w:rPr>
        <w:t>development</w:t>
      </w:r>
      <w:r w:rsidR="00AD1B83">
        <w:rPr>
          <w:lang w:val="en-GB"/>
        </w:rPr>
        <w:t xml:space="preserve"> </w:t>
      </w:r>
      <w:r w:rsidR="00AD1B83" w:rsidRPr="006A45FB">
        <w:rPr>
          <w:lang w:val="en-GB"/>
        </w:rPr>
        <w:t>includes</w:t>
      </w:r>
      <w:r w:rsidRPr="006A45FB">
        <w:rPr>
          <w:lang w:val="en-GB"/>
        </w:rPr>
        <w:t xml:space="preserve"> a hardware-software infrastructure utilizing microservices, digital twins, </w:t>
      </w:r>
      <w:r w:rsidR="00A14C8A">
        <w:rPr>
          <w:lang w:val="en-GB"/>
        </w:rPr>
        <w:t>among others</w:t>
      </w:r>
      <w:r w:rsidRPr="006A45FB">
        <w:rPr>
          <w:lang w:val="en-GB"/>
        </w:rPr>
        <w:t>, and incorporates miniaturized systems developed in-house, steering towards meeting the requisites of Laboratory 4.0 and alleviating longstanding challenges faced in automation and digitalization in this sector</w:t>
      </w:r>
      <w:r w:rsidR="008D2649" w:rsidRPr="006A45FB">
        <w:rPr>
          <w:lang w:val="en-GB"/>
        </w:rPr>
        <w:t>.</w:t>
      </w:r>
    </w:p>
    <w:p w14:paraId="144DE687" w14:textId="47CB4702" w:rsidR="008D2649" w:rsidRPr="006A45FB" w:rsidRDefault="008D2649" w:rsidP="008D2649">
      <w:pPr>
        <w:pStyle w:val="Els-body-text"/>
        <w:spacing w:after="120"/>
        <w:rPr>
          <w:lang w:val="en-GB"/>
        </w:rPr>
      </w:pPr>
      <w:r w:rsidRPr="006A45FB">
        <w:rPr>
          <w:b/>
          <w:bCs/>
          <w:lang w:val="en-GB"/>
        </w:rPr>
        <w:t>Keywords</w:t>
      </w:r>
      <w:r w:rsidRPr="006A45FB">
        <w:rPr>
          <w:lang w:val="en-GB"/>
        </w:rPr>
        <w:t xml:space="preserve">: </w:t>
      </w:r>
      <w:r w:rsidR="007C04D7" w:rsidRPr="006A45FB">
        <w:rPr>
          <w:lang w:val="en-GB"/>
        </w:rPr>
        <w:t xml:space="preserve">Micro-Service Based </w:t>
      </w:r>
      <w:r w:rsidR="000E6D2A">
        <w:rPr>
          <w:lang w:val="en-GB"/>
        </w:rPr>
        <w:t>Infrastructure</w:t>
      </w:r>
      <w:r w:rsidR="007C04D7" w:rsidRPr="006A45FB">
        <w:rPr>
          <w:lang w:val="en-GB"/>
        </w:rPr>
        <w:t>,</w:t>
      </w:r>
      <w:r w:rsidR="009231F9" w:rsidRPr="006A45FB">
        <w:rPr>
          <w:lang w:val="en-GB"/>
        </w:rPr>
        <w:t xml:space="preserve"> </w:t>
      </w:r>
      <w:r w:rsidR="007C04D7" w:rsidRPr="006A45FB">
        <w:rPr>
          <w:lang w:val="en-GB"/>
        </w:rPr>
        <w:t>Laboratory 4.0,</w:t>
      </w:r>
      <w:r w:rsidR="009231F9" w:rsidRPr="006A45FB">
        <w:rPr>
          <w:lang w:val="en-GB"/>
        </w:rPr>
        <w:t xml:space="preserve"> </w:t>
      </w:r>
      <w:r w:rsidR="007C04D7" w:rsidRPr="006A45FB">
        <w:rPr>
          <w:lang w:val="en-GB"/>
        </w:rPr>
        <w:t xml:space="preserve">Digital Twin, Laboratory </w:t>
      </w:r>
      <w:r w:rsidR="00A80F4C" w:rsidRPr="006A45FB">
        <w:rPr>
          <w:lang w:val="en-GB"/>
        </w:rPr>
        <w:t>Digitalization,</w:t>
      </w:r>
      <w:r w:rsidR="007C04D7" w:rsidRPr="006A45FB">
        <w:t xml:space="preserve"> </w:t>
      </w:r>
      <w:r w:rsidR="007C04D7" w:rsidRPr="006A45FB">
        <w:rPr>
          <w:lang w:val="en-GB"/>
        </w:rPr>
        <w:t>and Integration</w:t>
      </w:r>
    </w:p>
    <w:p w14:paraId="452B060C" w14:textId="1F2CD3DE" w:rsidR="00AB29ED" w:rsidRPr="006A45FB" w:rsidRDefault="00A8757D" w:rsidP="008D2649">
      <w:pPr>
        <w:pStyle w:val="Els-body-text"/>
        <w:spacing w:after="120"/>
        <w:rPr>
          <w:color w:val="FF0000"/>
          <w:lang w:val="en-GB"/>
        </w:rPr>
      </w:pPr>
      <w:r w:rsidRPr="006A45FB">
        <w:rPr>
          <w:b/>
          <w:color w:val="FF0000"/>
          <w:lang w:val="en-GB"/>
        </w:rPr>
        <w:t xml:space="preserve"> </w:t>
      </w:r>
    </w:p>
    <w:p w14:paraId="2C78F105" w14:textId="77777777" w:rsidR="00BC561B" w:rsidRPr="006A45FB" w:rsidRDefault="00BC561B" w:rsidP="008D2649">
      <w:pPr>
        <w:pStyle w:val="Els-body-text"/>
        <w:spacing w:after="120"/>
        <w:rPr>
          <w:color w:val="FF0000"/>
          <w:lang w:val="en-GB"/>
        </w:rPr>
      </w:pPr>
    </w:p>
    <w:p w14:paraId="42B6ACD0" w14:textId="77777777" w:rsidR="00BC561B" w:rsidRPr="006A45FB" w:rsidRDefault="00BC561B" w:rsidP="008D2649">
      <w:pPr>
        <w:pStyle w:val="Els-body-text"/>
        <w:spacing w:after="120"/>
        <w:rPr>
          <w:color w:val="FF0000"/>
          <w:lang w:val="en-GB"/>
        </w:rPr>
      </w:pPr>
    </w:p>
    <w:p w14:paraId="14A30535" w14:textId="77777777" w:rsidR="00BC561B" w:rsidRPr="006A45FB" w:rsidRDefault="00BC561B" w:rsidP="008D2649">
      <w:pPr>
        <w:pStyle w:val="Els-body-text"/>
        <w:spacing w:after="120"/>
        <w:rPr>
          <w:color w:val="FF0000"/>
          <w:lang w:val="en-GB"/>
        </w:rPr>
      </w:pPr>
    </w:p>
    <w:p w14:paraId="4B1ADF54" w14:textId="77777777" w:rsidR="00BC561B" w:rsidRPr="006A45FB" w:rsidRDefault="00BC561B" w:rsidP="008D2649">
      <w:pPr>
        <w:pStyle w:val="Els-body-text"/>
        <w:spacing w:after="120"/>
        <w:rPr>
          <w:color w:val="FF0000"/>
          <w:lang w:val="en-GB"/>
        </w:rPr>
      </w:pPr>
    </w:p>
    <w:p w14:paraId="6D0155B5" w14:textId="77777777" w:rsidR="00BC561B" w:rsidRPr="006A45FB" w:rsidRDefault="00BC561B" w:rsidP="008D2649">
      <w:pPr>
        <w:pStyle w:val="Els-body-text"/>
        <w:spacing w:after="120"/>
        <w:rPr>
          <w:color w:val="FF0000"/>
          <w:lang w:val="en-GB"/>
        </w:rPr>
      </w:pPr>
    </w:p>
    <w:p w14:paraId="66C1B010" w14:textId="77777777" w:rsidR="00BC561B" w:rsidRPr="006A45FB" w:rsidRDefault="00BC561B" w:rsidP="008D2649">
      <w:pPr>
        <w:pStyle w:val="Els-body-text"/>
        <w:spacing w:after="120"/>
        <w:rPr>
          <w:color w:val="FF0000"/>
          <w:lang w:val="en-GB"/>
        </w:rPr>
      </w:pPr>
    </w:p>
    <w:p w14:paraId="34CCD4A3" w14:textId="77777777" w:rsidR="00BC561B" w:rsidRPr="006A45FB" w:rsidRDefault="00BC561B" w:rsidP="008D2649">
      <w:pPr>
        <w:pStyle w:val="Els-body-text"/>
        <w:spacing w:after="120"/>
        <w:rPr>
          <w:color w:val="FF0000"/>
          <w:lang w:val="en-GB"/>
        </w:rPr>
      </w:pPr>
    </w:p>
    <w:p w14:paraId="56E227A2" w14:textId="77777777" w:rsidR="00BC561B" w:rsidRPr="006A45FB" w:rsidRDefault="00BC561B" w:rsidP="008D2649">
      <w:pPr>
        <w:pStyle w:val="Els-body-text"/>
        <w:spacing w:after="120"/>
        <w:rPr>
          <w:color w:val="FF0000"/>
          <w:lang w:val="en-GB"/>
        </w:rPr>
      </w:pPr>
    </w:p>
    <w:p w14:paraId="515E88D1" w14:textId="77777777" w:rsidR="00A8757D" w:rsidRPr="006A45FB" w:rsidRDefault="00A8757D" w:rsidP="008D2649">
      <w:pPr>
        <w:pStyle w:val="Els-body-text"/>
        <w:spacing w:after="120"/>
        <w:rPr>
          <w:color w:val="FF0000"/>
          <w:lang w:val="en-GB"/>
        </w:rPr>
      </w:pPr>
    </w:p>
    <w:p w14:paraId="409D4409" w14:textId="77777777" w:rsidR="00BC561B" w:rsidRPr="006A45FB" w:rsidRDefault="00BC561B" w:rsidP="008D2649">
      <w:pPr>
        <w:pStyle w:val="Els-body-text"/>
        <w:spacing w:after="120"/>
        <w:rPr>
          <w:color w:val="FF0000"/>
          <w:lang w:val="en-GB"/>
        </w:rPr>
      </w:pPr>
    </w:p>
    <w:p w14:paraId="1C8B5995" w14:textId="7C72299F" w:rsidR="00BC561B" w:rsidRPr="006A45FB" w:rsidRDefault="00BC561B" w:rsidP="008D2649">
      <w:pPr>
        <w:pStyle w:val="Els-body-text"/>
        <w:spacing w:after="120"/>
        <w:rPr>
          <w:b/>
          <w:color w:val="FF0000"/>
          <w:lang w:val="en-GB"/>
        </w:rPr>
      </w:pPr>
    </w:p>
    <w:p w14:paraId="144DE689" w14:textId="68E34069" w:rsidR="008D2649" w:rsidRPr="006A45FB" w:rsidRDefault="00BC561B" w:rsidP="000F6D03">
      <w:pPr>
        <w:pStyle w:val="Els-1storder-head"/>
        <w:ind w:left="0"/>
      </w:pPr>
      <w:r w:rsidRPr="006A45FB">
        <w:lastRenderedPageBreak/>
        <w:t>Introduction</w:t>
      </w:r>
    </w:p>
    <w:p w14:paraId="15E706DD" w14:textId="1B28C251" w:rsidR="00917A3A" w:rsidRPr="00B44F13" w:rsidRDefault="00917A3A" w:rsidP="00B44F13">
      <w:pPr>
        <w:rPr>
          <w:color w:val="000000" w:themeColor="text1"/>
        </w:rPr>
      </w:pPr>
      <w:r w:rsidRPr="00702686">
        <w:t xml:space="preserve">The advancement of liquid handling stations in biolabs has been complemented by the introduction of various auxiliary devices like filtering stations, pumping units, washers, and cooling/heating units, including compact shakers and specialized microscopes. </w:t>
      </w:r>
      <w:r w:rsidR="00947714" w:rsidRPr="00947714">
        <w:t>While the integration of physically larger equipment can present challenges, such as pipetting issues and reduced parallel processing capability, the trend is shifting towards smaller-scale, distributed systems</w:t>
      </w:r>
      <w:r w:rsidR="00947714" w:rsidRPr="00702686">
        <w:rPr>
          <w:color w:val="000000" w:themeColor="text1"/>
        </w:rPr>
        <w:fldChar w:fldCharType="begin"/>
      </w:r>
      <w:r w:rsidR="00947714">
        <w:rPr>
          <w:color w:val="000000" w:themeColor="text1"/>
        </w:rPr>
        <w:instrText xml:space="preserve"> ADDIN ZOTERO_ITEM CSL_CITATION {"citationID":"W0fNTm6Q","properties":{"formattedCitation":"(Anantanawat et al., 2019; Haby et al., 2019; Hemmerich et al., 2018; Hertzberg &amp; Pope, 2000; Kong et al., 2012; Leung et al., 2022; Pereira &amp; Williams, 2007; Zhu et al., 2013)","plainCitation":"(Anantanawat et al., 2019; Haby et al., 2019; Hemmerich et al., 2018; Hertzberg &amp; Pope, 2000; Kong et al., 2012; Leung et al., 2022; Pereira &amp; Williams, 2007; Zhu et al., 2013)","dontUpdate":true,"noteIndex":0},"citationItems":[{"id":122,"uris":["http://zotero.org/users/11393430/items/QQDJUGXJ"],"itemData":{"id":122,"type":"article-journal","container-title":"Current Opinion in Chemical Biology","DOI":"10.1016/S1367-5931(00)00110-1","ISSN":"13675931","issue":"4","journalAbbreviation":"Current Opinion in Chemical Biology","language":"en","page":"445-451","source":"DOI.org (Crossref)","title":"High-throughput screening: new technology for the 21st century","title-short":"High-throughput screening","volume":"4","author":[{"family":"Hertzberg","given":"Robert P"},{"family":"Pope","given":"Andrew J"}],"issued":{"date-parts":[["2000",8]]}},"label":"page"},{"id":121,"uris":["http://zotero.org/users/11393430/items/RUJCU2H8"],"itemData":{"id":121,"type":"article-journal","container-title":"British Journal of Pharmacology","DOI":"10.1038/sj.bjp.0707373","ISSN":"00071188","issue":"1","language":"en","page":"53-61","source":"DOI.org (Crossref)","title":"Origin and evolution of high throughput screening: Origin and circumscribed history of HTS","title-short":"Origin and evolution of high throughput screening","volume":"152","author":[{"family":"Pereira","given":"D A"},{"family":"Williams","given":"J A"}],"issued":{"date-parts":[["2007",9]]}},"label":"page"},{"id":119,"uris":["http://zotero.org/users/11393430/items/2YQE7TBH"],"itemData":{"id":119,"type":"article-journal","abstract":"Liquid handling plays a pivotal role in life science laboratories. In experiments such as gene sequencing, protein crystallization, antibody testing, and drug screening, liquid biosamples frequently must be transferred between containers of varying sizes and/or dispensed onto substrates of varying types.The sample volumes are usually small, at the micro- or nanoliter level, and the number of transferred samples can be huge when investigating large-scope combinatorial conditions. Under these conditions, liquid handling by hand is tedious, time-consuming, and impractical. Consequently, there is a strong demand for automated liquid-handling methods such as sensor-integrated robotic systems. In this article, we survey the current state of the art in automatic liquid handling, including technologies developed by both industry and research institutions.We focus on methods for dealing with small volumes at high throughput and point out challenges for future advancements.","container-title":"SLAS Technology","DOI":"10.1177/2211068211435302","ISSN":"24726303","issue":"3","journalAbbreviation":"SLAS Technology","language":"en","page":"169-185","source":"DOI.org (Crossref)","title":"Automatic Liquid Handling for Life Science: A Critical Review of the Current State of the Art","title-short":"Automatic Liquid Handling for Life Science","volume":"17","author":[{"family":"Kong","given":"Fanwei"},{"family":"Yuan","given":"Liang"},{"family":"Zheng","given":"Yuan F."},{"family":"Chen","given":"Weidong"}],"issued":{"date-parts":[["2012",6]]}},"label":"page"},{"id":118,"uris":["http://zotero.org/users/11393430/items/MNZL22FZ"],"itemData":{"id":118,"type":"article-journal","abstract":"This contribution describes a sequential operation droplet array (SODA) system, a fully automated dropletbased microﬂuidic system capable of performing picoliter-scale liquid manipulation, analysis, and screening. The SODA system was built using a tapered capillary-syringe pump module and a two-dimensional (2D) oil-covered droplet array installed on an x−y−z translation stage. With the system, we developed a novel picoliter-scale droplet depositing technique for forming a 2D picoliter-droplet array. On this basis, an automated droplet manipulation method with picoliter precision was established using the programmable combination of the capillary-based liquid aspirating−depositing and the moving of the oil-covered droplet array, the so-called “aspirating− depositing−moving” (ADM) method. Diﬀering from the previously reported droplet systems based on microchips, microcapillaries, or digital microﬂuidics, this method can achieve complete and ﬂexible droplet manipulations, including droplet assembling, generation, indexing, transferring, splitting, and fusion in the picoliter range, endowing the present system with ultralow sample/reagent consumptions and substantial versatility in analysis and screening for multiple diﬀerent samples. To demonstrate its feasibility and versatility, we applied the SODA system in multiple experiments required in drug screening, including the screening of inhibitors for capases-1 from a chemical library, the measurement of IC50 values for the identiﬁed inhibitors, and the screening of the synergistic eﬀect of multiple inhibitors. In the experiments, the consumptions of samples and reagents are only 60−180 pL for each droplet microreactor, which are commonly 3−5 orders of magnitude lower than those of conventional multiwell plate systems, and 1−2 orders of magnitude lower than other droplet-based microﬂuidic systems for multiple sample screening. The ability of the SODA system in performing complicated and multistep droplet manipulations was further demonstrated in the serial dilution of nanoliter-scale inhibitor droplets with concentrations spanning 6 orders of magnitude for IC50 proﬁling, which includes droplet generation, indexing, splitting, transferring, and fusion with picoliter precision.","container-title":"Analytical Chemistry","DOI":"10.1021/ac4006414","ISSN":"0003-2700, 1520-6882","issue":"14","journalAbbreviation":"Anal. Chem.","language":"en","page":"6723-6731","source":"DOI.org (Crossref)","title":"Sequential Operation Droplet Array: An Automated Microfluidic Platform for Picoliter-Scale Liquid Handling, Analysis, and Screening","title-short":"Sequential Operation Droplet Array","volume":"85","author":[{"family":"Zhu","given":"Ying"},{"family":"Zhang","given":"Yun-Xia"},{"family":"Cai","given":"Long-Fei"},{"family":"Fang","given":"Qun"}],"issued":{"date-parts":[["2013",7,16]]}},"label":"page"},{"id":109,"uris":["http://zotero.org/users/11393430/items/ANNVHUT6"],"itemData":{"id":109,"type":"article-journal","container-title":"Biotechnology Journal","DOI":"10.1002/biot.201700141","ISSN":"18606768","issue":"4","journalAbbreviation":"Biotechnol. J.","language":"en","page":"1700141","source":"DOI.org (Crossref)","title":"Microbioreactor Systems for Accelerated Bioprocess Development","volume":"13","author":[{"family":"Hemmerich","given":"Johannes"},{"family":"Noack","given":"Stephan"},{"family":"Wiechert","given":"Wolfgang"},{"family":"Oldiges","given":"Marco"}],"issued":{"date-parts":[["2018",4]]}},"label":"page"},{"id":143,"uris":["http://zotero.org/users/11393430/items/CRBXFNNL"],"itemData":{"id":143,"type":"article-journal","abstract":"Workflows in NGS facilities require high-standard practices and highthroughput pipelines to process the large number of samples received in a timely manner. Downstream protocols such as NGS library preparation require accurate estimation of nucleic acid concentrations, which can be achieved using fluorescent dye-based nucleic acid measurement. Here, we report a protocol for preparing a 384-well Quant-iT PicoGreen assay. The protocol allows the concentrations of 184 DNA samples to be measured simultaneously in duplicate in only 1 h using an Eppendorf epMotion 5075 liquid handling system. The advantages of this high-throughput approach include a reduction in both reagents (10x less reagents compared to a standard protocol) and time (3 h for 384 samples compared with 3 days).","container-title":"BioTechniques","DOI":"10.2144/btn-2018-0172","ISSN":"0736-6205, 1940-9818","issue":"6","journalAbbreviation":"BioTechniques","language":"en","page":"290-294","source":"DOI.org (Crossref)","title":"High-throughput Quant-iT PicoGreen assay using an automated liquid handling system","volume":"66","author":[{"family":"Anantanawat","given":"Kay"},{"family":"Pitsch","given":"Nicola"},{"family":"Fromont","given":"Caroline"},{"family":"Janitz","given":"Caroline"}],"issued":{"date-parts":[["2019",6]]}},"label":"page"},{"id":148,"uris":["http://zotero.org/users/11393430/items/NARQB47L"],"itemData":{"id":148,"type":"article-journal","abstract":"During process development, the experimental search space is defined by the number of experiments that can be performed in specific time frames but also by its sophistication (e.g., inputs, sensors, sampling frequency, analytics). High-throughput liquid-handling stations can perform a large number of automated experiments in parallel. Nevertheless, the experimental data sets that are obtained are not always relevant for development of industrial bioprocesses, leading to a high rate of failure during scale-up. We present an automated mini bioreactor platform that enables parallel cultivations in the milliliter scale with online monitoring and control, well-controlled conditions, and advanced feeding strategies similar to industrial processes. The combination of two liquid handlers allows both automated mini bioreactor operation and at-line analysis in parallel. A central database enables end-to-end data exchange and fully integrated device and process control. A model-based operation algorithm allows for the accurate performance of complex cultivations for scale-down studies and strain characterization via optimal experimental redesign, significantly increasing the reliability and transferability of data throughout process development. The platform meets the tradeoff between experimental throughput and process control and monitoring comparable to laboratory-scale bioreactors.","container-title":"SLAS Technology","DOI":"10.1177/2472630319860775","ISSN":"24726303","issue":"6","journalAbbreviation":"SLAS Technology","language":"en","page":"569-582","source":"DOI.org (Crossref)","title":"Integrated Robotic Mini Bioreactor Platform for Automated, Parallel Microbial Cultivation With Online Data Handling and Process Control","volume":"24","author":[{"family":"Haby","given":"Benjamin"},{"family":"Hans","given":"Sebastian"},{"family":"Anane","given":"Emmanuel"},{"family":"Sawatzki","given":"Annina"},{"family":"Krausch","given":"Niels"},{"family":"Neubauer","given":"Peter"},{"family":"Cruz Bournazou","given":"Mariano Nicolas"}],"issued":{"date-parts":[["2019",12]]}},"label":"page"},{"id":120,"uris":["http://zotero.org/users/11393430/items/DC9CC5LC"],"itemData":{"id":120,"type":"article-journal","abstract":"Organs-o n-chips (OoCs) are systems containing engineered or natural miniature tissues grown inside microfluidic chips. To better mimic human physiology, the chips are designed to control cell microenvironments and maintain tissue-s pecific functions. Combining advances in tissue engineering and microfabrication, OoCs have gained interest as a next-g eneration experimental platform to investigate human pathophysiology and the effect of therapeutics in the body. There are as many examples of OoCs as there are applications, making it difficult for new researchers to understand what makes one OoC more suited to an application than another. This Primer is intended to give an introduction to the aspects of OoC that need to be considered when developing an application-s pecific OoC. The Primer covers guiding principles and considerations to design, fabricate and operate an OoC, as well as subsequent assaying techniques to extract biological information from OoC devices. Alongside this is a discussion of current and future applications of OoC technology, to inform design and operational decisions during the implementation of OoC systems.","container-title":"Nature Reviews Methods Primers","DOI":"10.1038/s43586-022-00118-6","ISSN":"2662-8449","issue":"1","journalAbbreviation":"Nat Rev Methods Primers","language":"en","page":"33","source":"DOI.org (Crossref)","title":"A guide to the organ-on-a-chip","volume":"2","author":[{"family":"Leung","given":"Chak Ming"},{"family":"Haan","given":"Pim","non-dropping-particle":"de"},{"family":"Ronaldson-Bouchard","given":"Kacey"},{"family":"Kim","given":"Ge-Ah"},{"family":"Ko","given":"Jihoon"},{"family":"Rho","given":"Hoon Suk"},{"family":"Chen","given":"Zhu"},{"family":"Habibovic","given":"Pamela"},{"family":"Jeon","given":"Noo Li"},{"family":"Takayama","given":"Shuichi"},{"family":"Shuler","given":"Michael L."},{"family":"Vunjak-Novakovic","given":"Gordana"},{"family":"Frey","given":"Olivier"},{"family":"Verpoorte","given":"Elisabeth"},{"family":"Toh","given":"Yi-Chin"}],"issued":{"date-parts":[["2022",5,12]]}},"label":"page"}],"schema":"https://github.com/citation-style-language/schema/raw/master/csl-citation.json"} </w:instrText>
      </w:r>
      <w:r w:rsidR="00947714" w:rsidRPr="00702686">
        <w:rPr>
          <w:color w:val="000000" w:themeColor="text1"/>
        </w:rPr>
        <w:fldChar w:fldCharType="separate"/>
      </w:r>
      <w:r w:rsidR="00947714" w:rsidRPr="007517D4">
        <w:t>(Anantanawat et al., 2019; Haby et al., 2019; Hemmerich et al., 2018; Hertzberg &amp; Pope, 2000; Pereira &amp; Williams, 2007)</w:t>
      </w:r>
      <w:r w:rsidR="00947714" w:rsidRPr="00702686">
        <w:rPr>
          <w:color w:val="000000" w:themeColor="text1"/>
        </w:rPr>
        <w:fldChar w:fldCharType="end"/>
      </w:r>
      <w:r w:rsidR="00947714" w:rsidRPr="00947714">
        <w:t xml:space="preserve">. This trend highlights the need for scalability and flexibility in labs, adopting an edge-focused approach where each device operates semi-independently. </w:t>
      </w:r>
      <w:r w:rsidR="00947714">
        <w:t>Devices such as m</w:t>
      </w:r>
      <w:r w:rsidR="00947714" w:rsidRPr="00947714">
        <w:t xml:space="preserve">ini bioreactors, diverse well plates, organ-on-chip systems, and microfluidic devices </w:t>
      </w:r>
      <w:r w:rsidR="00947714">
        <w:t>are well suited to be integrated in</w:t>
      </w:r>
      <w:r w:rsidR="00947714" w:rsidRPr="00947714">
        <w:t xml:space="preserve"> </w:t>
      </w:r>
      <w:r w:rsidR="00947714">
        <w:t xml:space="preserve">such </w:t>
      </w:r>
      <w:r w:rsidR="00947714" w:rsidRPr="00947714">
        <w:t>distributed framework. Their integration into an automated platform enhances experimental capabilities and overall lab performance.</w:t>
      </w:r>
    </w:p>
    <w:p w14:paraId="5AFF03E1" w14:textId="77777777" w:rsidR="00917A3A" w:rsidRPr="00702686" w:rsidRDefault="00917A3A" w:rsidP="00917A3A">
      <w:pPr>
        <w:pStyle w:val="Els-body-text"/>
      </w:pPr>
    </w:p>
    <w:p w14:paraId="1834F7B2" w14:textId="05BFC148" w:rsidR="00DC4569" w:rsidRPr="006A45FB" w:rsidRDefault="00A14C8A" w:rsidP="00DC4569">
      <w:pPr>
        <w:pStyle w:val="Els-body-text"/>
      </w:pPr>
      <w:r>
        <w:rPr>
          <w:noProof/>
        </w:rPr>
        <w:t>We present</w:t>
      </w:r>
      <w:r w:rsidR="00917A3A" w:rsidRPr="00702686">
        <w:t xml:space="preserve"> a comprehensive system designed for high</w:t>
      </w:r>
      <w:r w:rsidR="00917A3A" w:rsidRPr="006A45FB">
        <w:t>-throughput liquid handling in biolabs</w:t>
      </w:r>
      <w:r w:rsidR="00714AB1">
        <w:t xml:space="preserve">. </w:t>
      </w:r>
      <w:r w:rsidR="00917A3A" w:rsidRPr="006A45FB">
        <w:t>The system integrates diverse technologies and methodologies, including</w:t>
      </w:r>
      <w:r w:rsidR="00B44F13">
        <w:t xml:space="preserve"> </w:t>
      </w:r>
      <w:r w:rsidR="00B44F13" w:rsidRPr="006A45FB">
        <w:t>process orchestration,</w:t>
      </w:r>
      <w:r w:rsidR="00917A3A" w:rsidRPr="006A45FB">
        <w:t xml:space="preserve"> on-demand </w:t>
      </w:r>
      <w:r w:rsidR="001453AD" w:rsidRPr="006A45FB">
        <w:t>simulations,</w:t>
      </w:r>
      <w:r w:rsidR="007517D4">
        <w:t xml:space="preserve"> </w:t>
      </w:r>
      <w:r w:rsidR="00917A3A" w:rsidRPr="006A45FB">
        <w:t>and flexible workflow design</w:t>
      </w:r>
      <w:r w:rsidR="00A80F4C">
        <w:t xml:space="preserve"> in</w:t>
      </w:r>
      <w:r w:rsidR="001453AD">
        <w:t xml:space="preserve"> </w:t>
      </w:r>
      <w:r w:rsidR="00917A3A" w:rsidRPr="006A45FB">
        <w:t>Cylc v8</w:t>
      </w:r>
      <w:r w:rsidR="007517D4">
        <w:t xml:space="preserve"> </w:t>
      </w:r>
      <w:r w:rsidR="00A80F4C">
        <w:t>and Apache</w:t>
      </w:r>
      <w:r w:rsidR="007517D4">
        <w:t xml:space="preserve"> Ni</w:t>
      </w:r>
      <w:r w:rsidR="00A80F4C">
        <w:t>F</w:t>
      </w:r>
      <w:r w:rsidR="007517D4">
        <w:t>i</w:t>
      </w:r>
      <w:r w:rsidR="00917A3A" w:rsidRPr="006A45FB">
        <w:t>. It utiliz</w:t>
      </w:r>
      <w:r w:rsidR="007517D4">
        <w:t>es</w:t>
      </w:r>
      <w:r w:rsidR="00917A3A" w:rsidRPr="006A45FB">
        <w:t xml:space="preserve"> </w:t>
      </w:r>
      <w:r w:rsidR="007517D4">
        <w:t xml:space="preserve">a </w:t>
      </w:r>
      <w:r w:rsidR="00917A3A" w:rsidRPr="006A45FB">
        <w:t>Tecan liquid handler and an array of smart</w:t>
      </w:r>
      <w:r w:rsidR="001453AD">
        <w:t xml:space="preserve"> </w:t>
      </w:r>
      <w:r w:rsidR="00917A3A" w:rsidRPr="006A45FB">
        <w:t xml:space="preserve">devices for enhanced flexibility and efficiency in experimentation. The paper is structured to first describe the </w:t>
      </w:r>
      <w:r w:rsidR="001453AD">
        <w:t>setup</w:t>
      </w:r>
      <w:r w:rsidR="00917A3A" w:rsidRPr="006A45FB">
        <w:t xml:space="preserve"> and concludes with a demonstration of an experimental run using the entire system.</w:t>
      </w:r>
    </w:p>
    <w:p w14:paraId="0A98F539" w14:textId="35008BDD" w:rsidR="00652DA8" w:rsidRPr="006A45FB" w:rsidRDefault="00B27841" w:rsidP="000F6D03">
      <w:pPr>
        <w:pStyle w:val="Els-1storder-head"/>
        <w:ind w:left="0"/>
      </w:pPr>
      <w:bookmarkStart w:id="0" w:name="_Ref152687775"/>
      <w:r w:rsidRPr="006A45FB">
        <w:t>Soft</w:t>
      </w:r>
      <w:r w:rsidR="00A14C8A">
        <w:t>ware</w:t>
      </w:r>
      <w:r w:rsidR="00A80F4C">
        <w:t xml:space="preserve">, </w:t>
      </w:r>
      <w:proofErr w:type="gramStart"/>
      <w:r w:rsidRPr="006A45FB">
        <w:t>Hardware</w:t>
      </w:r>
      <w:bookmarkEnd w:id="0"/>
      <w:proofErr w:type="gramEnd"/>
      <w:r w:rsidR="00A80F4C">
        <w:t xml:space="preserve"> and</w:t>
      </w:r>
      <w:r w:rsidR="00DE2A12">
        <w:t xml:space="preserve"> Methodology</w:t>
      </w:r>
    </w:p>
    <w:p w14:paraId="03DF92DF" w14:textId="2D69BE18" w:rsidR="00652DA8" w:rsidRPr="006A45FB" w:rsidRDefault="00652DA8" w:rsidP="00652DA8">
      <w:pPr>
        <w:pStyle w:val="Els-body-text"/>
      </w:pPr>
      <w:r w:rsidRPr="006A45FB">
        <w:t xml:space="preserve">The comprehensive setup consists of various devices and software which are each described in the following sections. First a hardware description is provided in the section </w:t>
      </w:r>
      <w:r w:rsidRPr="006A45FB">
        <w:fldChar w:fldCharType="begin"/>
      </w:r>
      <w:r w:rsidRPr="006A45FB">
        <w:instrText xml:space="preserve"> REF _Ref152505575 \r \h </w:instrText>
      </w:r>
      <w:r w:rsidR="006A45FB">
        <w:instrText xml:space="preserve"> \* MERGEFORMAT </w:instrText>
      </w:r>
      <w:r w:rsidRPr="006A45FB">
        <w:fldChar w:fldCharType="separate"/>
      </w:r>
      <w:r w:rsidR="00A047F3">
        <w:t>2.1</w:t>
      </w:r>
      <w:r w:rsidRPr="006A45FB">
        <w:fldChar w:fldCharType="end"/>
      </w:r>
      <w:r w:rsidRPr="006A45FB">
        <w:t>, then a software description</w:t>
      </w:r>
      <w:r w:rsidR="00066F25">
        <w:t xml:space="preserve"> and the methodology</w:t>
      </w:r>
      <w:r w:rsidRPr="006A45FB">
        <w:t xml:space="preserve"> is provided in section </w:t>
      </w:r>
      <w:r w:rsidRPr="006A45FB">
        <w:fldChar w:fldCharType="begin"/>
      </w:r>
      <w:r w:rsidRPr="006A45FB">
        <w:instrText xml:space="preserve"> REF _Ref152505602 \r \h </w:instrText>
      </w:r>
      <w:r w:rsidR="006A45FB">
        <w:instrText xml:space="preserve"> \* MERGEFORMAT </w:instrText>
      </w:r>
      <w:r w:rsidRPr="006A45FB">
        <w:fldChar w:fldCharType="separate"/>
      </w:r>
      <w:r w:rsidR="00A047F3">
        <w:t>2.2</w:t>
      </w:r>
      <w:r w:rsidRPr="006A45FB">
        <w:fldChar w:fldCharType="end"/>
      </w:r>
      <w:r w:rsidR="004B7308">
        <w:t>.</w:t>
      </w:r>
    </w:p>
    <w:p w14:paraId="29043C43" w14:textId="0FB84FBB" w:rsidR="00652DA8" w:rsidRPr="006A45FB" w:rsidRDefault="00652DA8" w:rsidP="00652DA8">
      <w:pPr>
        <w:pStyle w:val="Els-2ndorder-head"/>
      </w:pPr>
      <w:bookmarkStart w:id="1" w:name="_Ref152505575"/>
      <w:r w:rsidRPr="006A45FB">
        <w:t>Physical setup description</w:t>
      </w:r>
      <w:bookmarkEnd w:id="1"/>
    </w:p>
    <w:p w14:paraId="0B3A5672" w14:textId="4088C473" w:rsidR="00DC4569" w:rsidRPr="006A45FB" w:rsidRDefault="00171034" w:rsidP="001A042E">
      <w:pPr>
        <w:pStyle w:val="Els-body-text"/>
        <w:keepNext/>
      </w:pPr>
      <w:r w:rsidRPr="006A45FB">
        <w:t xml:space="preserve">The setup is built in and around a Tecan Evo 200 </w:t>
      </w:r>
      <w:r w:rsidR="00BF7B10" w:rsidRPr="006A45FB">
        <w:t>(Tecan</w:t>
      </w:r>
      <w:r w:rsidR="00066F25">
        <w:t xml:space="preserve">, </w:t>
      </w:r>
      <w:r w:rsidR="00066F25" w:rsidRPr="00066F25">
        <w:t>Switzerland</w:t>
      </w:r>
      <w:r w:rsidR="00BF7B10" w:rsidRPr="006A45FB">
        <w:t xml:space="preserve">) </w:t>
      </w:r>
      <w:r w:rsidRPr="006A45FB">
        <w:t>liquid handler</w:t>
      </w:r>
      <w:r w:rsidR="00A047F3">
        <w:t xml:space="preserve"> (</w:t>
      </w:r>
      <w:proofErr w:type="spellStart"/>
      <w:r w:rsidR="00A047F3">
        <w:t>LiHa</w:t>
      </w:r>
      <w:proofErr w:type="spellEnd"/>
      <w:r w:rsidR="00A047F3">
        <w:t>)</w:t>
      </w:r>
      <w:r w:rsidRPr="006A45FB">
        <w:t xml:space="preserve">. </w:t>
      </w:r>
      <w:r w:rsidR="00A14C8A">
        <w:t>It</w:t>
      </w:r>
      <w:r w:rsidRPr="006A45FB">
        <w:t xml:space="preserve"> features a variety of devices, which are physically and virtually integrated. </w:t>
      </w:r>
      <w:r w:rsidR="00A14C8A">
        <w:t>The</w:t>
      </w:r>
      <w:r w:rsidR="00BF7B10" w:rsidRPr="006A45FB">
        <w:t xml:space="preserve"> </w:t>
      </w:r>
      <w:proofErr w:type="spellStart"/>
      <w:r w:rsidR="00A57658" w:rsidRPr="006A45FB">
        <w:t>LiHa</w:t>
      </w:r>
      <w:proofErr w:type="spellEnd"/>
      <w:r w:rsidR="00BF7B10" w:rsidRPr="006A45FB">
        <w:t xml:space="preserve"> pipetting head </w:t>
      </w:r>
      <w:r w:rsidR="00A14C8A">
        <w:t>can pipet</w:t>
      </w:r>
      <w:r w:rsidR="00BF7B10" w:rsidRPr="006A45FB">
        <w:t xml:space="preserve"> </w:t>
      </w:r>
      <w:r w:rsidR="00A57658" w:rsidRPr="006A45FB">
        <w:t>eight liquids</w:t>
      </w:r>
      <w:r w:rsidR="00BF7B10" w:rsidRPr="006A45FB">
        <w:t xml:space="preserve"> </w:t>
      </w:r>
      <w:r w:rsidR="00A57658" w:rsidRPr="006A45FB">
        <w:t>in any configuration</w:t>
      </w:r>
      <w:r w:rsidR="00BF7B10" w:rsidRPr="006A45FB">
        <w:t xml:space="preserve">, while the </w:t>
      </w:r>
      <w:proofErr w:type="gramStart"/>
      <w:r w:rsidR="00BF7B10" w:rsidRPr="006A45FB">
        <w:t>384 needle</w:t>
      </w:r>
      <w:proofErr w:type="gramEnd"/>
      <w:r w:rsidR="00BF7B10" w:rsidRPr="006A45FB">
        <w:t xml:space="preserve"> head </w:t>
      </w:r>
      <w:r w:rsidR="00A80F4C">
        <w:t xml:space="preserve">can </w:t>
      </w:r>
      <w:r w:rsidR="00A14C8A">
        <w:t>pipet</w:t>
      </w:r>
      <w:r w:rsidR="00BF7B10" w:rsidRPr="006A45FB">
        <w:t xml:space="preserve"> a large number of liquid</w:t>
      </w:r>
      <w:r w:rsidR="00A80F4C">
        <w:t>s</w:t>
      </w:r>
      <w:r w:rsidR="00BF7B10" w:rsidRPr="006A45FB">
        <w:t xml:space="preserve"> in parallel. By placing all devices close to each other in and adjacent to the platform, the given setup </w:t>
      </w:r>
      <w:r w:rsidR="00A14C8A">
        <w:t>can perform</w:t>
      </w:r>
      <w:r w:rsidR="00A14C8A" w:rsidRPr="006A45FB">
        <w:t xml:space="preserve"> </w:t>
      </w:r>
      <w:r w:rsidR="00BF7B10" w:rsidRPr="006A45FB">
        <w:t>high throughput</w:t>
      </w:r>
      <w:r w:rsidR="00A80F4C">
        <w:t xml:space="preserve"> </w:t>
      </w:r>
      <w:r w:rsidR="00BF7B10" w:rsidRPr="006A45FB">
        <w:t xml:space="preserve">experimentation. The </w:t>
      </w:r>
      <w:proofErr w:type="gramStart"/>
      <w:r w:rsidR="00BF7B10" w:rsidRPr="006A45FB">
        <w:t>384 needle</w:t>
      </w:r>
      <w:proofErr w:type="gramEnd"/>
      <w:r w:rsidR="00BF7B10" w:rsidRPr="006A45FB">
        <w:t xml:space="preserve"> washing station </w:t>
      </w:r>
      <w:r w:rsidR="00066F25" w:rsidRPr="006A45FB">
        <w:t>(Tecan</w:t>
      </w:r>
      <w:r w:rsidR="00066F25">
        <w:t xml:space="preserve">, </w:t>
      </w:r>
      <w:r w:rsidR="00066F25" w:rsidRPr="00066F25">
        <w:t>Switzerland</w:t>
      </w:r>
      <w:r w:rsidR="00066F25" w:rsidRPr="006A45FB">
        <w:t xml:space="preserve">) </w:t>
      </w:r>
      <w:r w:rsidR="00066F25">
        <w:t>can</w:t>
      </w:r>
      <w:r w:rsidR="00A14C8A">
        <w:t xml:space="preserve"> wash and cool</w:t>
      </w:r>
      <w:r w:rsidR="00BF7B10" w:rsidRPr="006A45FB">
        <w:t xml:space="preserve"> the needles, depending on the used liquid, e.g. washing and cooling liquid. The plate</w:t>
      </w:r>
      <w:r w:rsidR="001A042E">
        <w:t xml:space="preserve"> </w:t>
      </w:r>
      <w:r w:rsidR="00BF7B10" w:rsidRPr="006A45FB">
        <w:t xml:space="preserve">reader M1000 </w:t>
      </w:r>
      <w:r w:rsidR="00066F25" w:rsidRPr="006A45FB">
        <w:t>(Tecan</w:t>
      </w:r>
      <w:r w:rsidR="00066F25">
        <w:t xml:space="preserve">, </w:t>
      </w:r>
      <w:r w:rsidR="00066F25" w:rsidRPr="00066F25">
        <w:t>Switzerland</w:t>
      </w:r>
      <w:r w:rsidR="00066F25" w:rsidRPr="006A45FB">
        <w:t xml:space="preserve">) </w:t>
      </w:r>
      <w:r w:rsidR="00A14C8A">
        <w:t>measures</w:t>
      </w:r>
      <w:r w:rsidR="00BF7B10" w:rsidRPr="006A45FB">
        <w:t xml:space="preserve"> samples with less than one second </w:t>
      </w:r>
      <w:r w:rsidR="00E37333" w:rsidRPr="006A45FB">
        <w:t>per</w:t>
      </w:r>
      <w:r w:rsidR="00E37333">
        <w:t xml:space="preserve"> </w:t>
      </w:r>
      <w:r w:rsidR="00E37333" w:rsidRPr="006A45FB">
        <w:t>well</w:t>
      </w:r>
      <w:r w:rsidR="00BF7B10" w:rsidRPr="006A45FB">
        <w:t>. The thermal device</w:t>
      </w:r>
      <w:r w:rsidR="00A57658" w:rsidRPr="006A45FB">
        <w:t xml:space="preserve"> (inhouse </w:t>
      </w:r>
      <w:r w:rsidR="00765B3F" w:rsidRPr="006A45FB">
        <w:t>development</w:t>
      </w:r>
      <w:r w:rsidR="00A57658" w:rsidRPr="006A45FB">
        <w:t xml:space="preserve">) </w:t>
      </w:r>
      <w:r w:rsidR="00A14C8A">
        <w:t>can reach temperatures from</w:t>
      </w:r>
      <w:r w:rsidR="00BF7B10" w:rsidRPr="006A45FB">
        <w:t xml:space="preserve"> -20 to 100 </w:t>
      </w:r>
      <w:r w:rsidR="00A047F3">
        <w:rPr>
          <w:noProof/>
        </w:rPr>
        <w:lastRenderedPageBreak/>
        <mc:AlternateContent>
          <mc:Choice Requires="wps">
            <w:drawing>
              <wp:anchor distT="0" distB="0" distL="114300" distR="114300" simplePos="0" relativeHeight="251710464" behindDoc="0" locked="0" layoutInCell="1" allowOverlap="1" wp14:anchorId="31691180" wp14:editId="5555C518">
                <wp:simplePos x="0" y="0"/>
                <wp:positionH relativeFrom="margin">
                  <wp:align>right</wp:align>
                </wp:positionH>
                <wp:positionV relativeFrom="paragraph">
                  <wp:posOffset>3740785</wp:posOffset>
                </wp:positionV>
                <wp:extent cx="4499610" cy="635"/>
                <wp:effectExtent l="0" t="0" r="0" b="0"/>
                <wp:wrapTopAndBottom/>
                <wp:docPr id="1671727690" name="Text Box 1"/>
                <wp:cNvGraphicFramePr/>
                <a:graphic xmlns:a="http://schemas.openxmlformats.org/drawingml/2006/main">
                  <a:graphicData uri="http://schemas.microsoft.com/office/word/2010/wordprocessingShape">
                    <wps:wsp>
                      <wps:cNvSpPr txBox="1"/>
                      <wps:spPr>
                        <a:xfrm>
                          <a:off x="0" y="0"/>
                          <a:ext cx="4499610" cy="635"/>
                        </a:xfrm>
                        <a:prstGeom prst="rect">
                          <a:avLst/>
                        </a:prstGeom>
                        <a:solidFill>
                          <a:prstClr val="white"/>
                        </a:solidFill>
                        <a:ln>
                          <a:noFill/>
                        </a:ln>
                      </wps:spPr>
                      <wps:txbx>
                        <w:txbxContent>
                          <w:p w14:paraId="0C8B351F" w14:textId="3357D2F1" w:rsidR="001A042E" w:rsidRPr="001A042E" w:rsidRDefault="001A042E" w:rsidP="001A042E">
                            <w:pPr>
                              <w:pStyle w:val="Caption"/>
                              <w:rPr>
                                <w:b/>
                                <w:bCs/>
                                <w:sz w:val="20"/>
                              </w:rPr>
                            </w:pPr>
                            <w:bookmarkStart w:id="2" w:name="_Ref155731410"/>
                            <w:r>
                              <w:t xml:space="preserve">Figure </w:t>
                            </w:r>
                            <w:r>
                              <w:fldChar w:fldCharType="begin"/>
                            </w:r>
                            <w:r>
                              <w:instrText xml:space="preserve"> SEQ Figure \* ARABIC </w:instrText>
                            </w:r>
                            <w:r>
                              <w:fldChar w:fldCharType="separate"/>
                            </w:r>
                            <w:r>
                              <w:rPr>
                                <w:noProof/>
                              </w:rPr>
                              <w:t>1</w:t>
                            </w:r>
                            <w:r>
                              <w:fldChar w:fldCharType="end"/>
                            </w:r>
                            <w:bookmarkEnd w:id="2"/>
                            <w:r>
                              <w:t>:</w:t>
                            </w:r>
                            <w:r w:rsidRPr="001A042E">
                              <w:t xml:space="preserve"> </w:t>
                            </w:r>
                            <w:r w:rsidRPr="009C070F">
                              <w:t xml:space="preserve">This workflow outlines the procedure for </w:t>
                            </w:r>
                            <w:r>
                              <w:t xml:space="preserve">the </w:t>
                            </w:r>
                            <w:r w:rsidRPr="009C070F">
                              <w:t xml:space="preserve">enzymatic </w:t>
                            </w:r>
                            <w:r>
                              <w:t>characterization</w:t>
                            </w:r>
                            <w:r w:rsidRPr="009C070F">
                              <w:t xml:space="preserve"> process. Initially, all necessary substances are stored within the liquid handling system. The process is then executed according to a predefined workflow implemented in Cylc v8. </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691180" id="_x0000_t202" coordsize="21600,21600" o:spt="202" path="m,l,21600r21600,l21600,xe">
                <v:stroke joinstyle="miter"/>
                <v:path gradientshapeok="t" o:connecttype="rect"/>
              </v:shapetype>
              <v:shape id="Text Box 1" o:spid="_x0000_s1026" type="#_x0000_t202" style="position:absolute;left:0;text-align:left;margin-left:303.1pt;margin-top:294.55pt;width:354.3pt;height:.05pt;z-index:2517104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FgIAADgEAAAOAAAAZHJzL2Uyb0RvYy54bWysU8Fu2zAMvQ/YPwi6L066LliNOEWWIsOA&#10;oi2QDj0rshQbkEWNUmJnXz9KtpOu22nYRaZF6lF872lx2zWGHRX6GmzBZ5MpZ8pKKGu7L/j3582H&#10;z5z5IGwpDFhV8JPy/Hb5/t2idbm6ggpMqZARiPV56wpeheDyLPOyUo3wE3DKUlIDNiLQL+6zEkVL&#10;6I3JrqbTedYClg5BKu9p965P8mXC11rJ8Ki1V4GZgtPdQloxrbu4ZsuFyPcoXFXL4RriH27RiNpS&#10;0zPUnQiCHbD+A6qpJYIHHSYSmgy0rqVKM9A0s+mbabaVcCrNQuR4d6bJ/z9Y+XDcuidkofsCHQkY&#10;CWmdzz1txnk6jU380k0Z5YnC05k21QUmafP6+uZmPqOUpNz846eIkV2OOvThq4KGxaDgSJokqsTx&#10;3oe+dCyJnTyYutzUxsSfmFgbZEdB+rVVHdQA/luVsbHWQjzVA8ad7DJHjEK364bhdlCeaGaE3g7e&#10;yU1Nje6FD08CSX+ahTwdHmnRBtqCwxBxVgH+/Nt+rCdZKMtZS34quP9xEKg4M98sCRbNNwY4Brsx&#10;sIdmDTTijF6LkymkAxjMGGqE5oWsvopdKCWspF4FD2O4Dr2r6alItVqlIrKYE+Hebp2M0COhz92L&#10;QDfIEUjFBxidJvI3qvS1SRe3OgSiOEkWCe1ZHHgmeybRh6cU/f/6P1VdHvzyFwAAAP//AwBQSwME&#10;FAAGAAgAAAAhAKPFxEPgAAAACAEAAA8AAABkcnMvZG93bnJldi54bWxMj8FOwzAQRO9I/IO1lbgg&#10;6rS0IaRxqqqCA1wqQi/c3HgbB+J1ZDtt+HsMF3qcndXMm2I9mo6d0PnWkoDZNAGGVFvVUiNg//58&#10;lwHzQZKSnSUU8I0e1uX1VSFzZc/0hqcqNCyGkM+lAB1Cn3Pua41G+qntkaJ3tM7IEKVruHLyHMNN&#10;x+dJknIjW4oNWva41Vh/VYMRsFt87PTtcHx63Szu3ct+2KafTSXEzWTcrIAFHMP/M/ziR3QoI9PB&#10;DqQ86wTEIUHAMnucAYv2Q5KlwA5/lznwsuCXA8ofAAAA//8DAFBLAQItABQABgAIAAAAIQC2gziS&#10;/gAAAOEBAAATAAAAAAAAAAAAAAAAAAAAAABbQ29udGVudF9UeXBlc10ueG1sUEsBAi0AFAAGAAgA&#10;AAAhADj9If/WAAAAlAEAAAsAAAAAAAAAAAAAAAAALwEAAF9yZWxzLy5yZWxzUEsBAi0AFAAGAAgA&#10;AAAhAAK778oWAgAAOAQAAA4AAAAAAAAAAAAAAAAALgIAAGRycy9lMm9Eb2MueG1sUEsBAi0AFAAG&#10;AAgAAAAhAKPFxEPgAAAACAEAAA8AAAAAAAAAAAAAAAAAcAQAAGRycy9kb3ducmV2LnhtbFBLBQYA&#10;AAAABAAEAPMAAAB9BQAAAAA=&#10;" stroked="f">
                <v:textbox style="mso-fit-shape-to-text:t" inset="0,0,0,0">
                  <w:txbxContent>
                    <w:p w14:paraId="0C8B351F" w14:textId="3357D2F1" w:rsidR="001A042E" w:rsidRPr="001A042E" w:rsidRDefault="001A042E" w:rsidP="001A042E">
                      <w:pPr>
                        <w:pStyle w:val="Caption"/>
                        <w:rPr>
                          <w:b/>
                          <w:bCs/>
                          <w:sz w:val="20"/>
                        </w:rPr>
                      </w:pPr>
                      <w:bookmarkStart w:id="3" w:name="_Ref155731410"/>
                      <w:r>
                        <w:t xml:space="preserve">Figure </w:t>
                      </w:r>
                      <w:r>
                        <w:fldChar w:fldCharType="begin"/>
                      </w:r>
                      <w:r>
                        <w:instrText xml:space="preserve"> SEQ Figure \* ARABIC </w:instrText>
                      </w:r>
                      <w:r>
                        <w:fldChar w:fldCharType="separate"/>
                      </w:r>
                      <w:r>
                        <w:rPr>
                          <w:noProof/>
                        </w:rPr>
                        <w:t>1</w:t>
                      </w:r>
                      <w:r>
                        <w:fldChar w:fldCharType="end"/>
                      </w:r>
                      <w:bookmarkEnd w:id="3"/>
                      <w:r>
                        <w:t>:</w:t>
                      </w:r>
                      <w:r w:rsidRPr="001A042E">
                        <w:t xml:space="preserve"> </w:t>
                      </w:r>
                      <w:r w:rsidRPr="009C070F">
                        <w:t xml:space="preserve">This workflow outlines the procedure for </w:t>
                      </w:r>
                      <w:r>
                        <w:t xml:space="preserve">the </w:t>
                      </w:r>
                      <w:r w:rsidRPr="009C070F">
                        <w:t xml:space="preserve">enzymatic </w:t>
                      </w:r>
                      <w:r>
                        <w:t>characterization</w:t>
                      </w:r>
                      <w:r w:rsidRPr="009C070F">
                        <w:t xml:space="preserve"> process. Initially, all necessary substances are stored within the liquid handling system. The process is then executed according to a predefined workflow implemented in Cylc v8. </w:t>
                      </w:r>
                      <w:r>
                        <w:t xml:space="preserve"> </w:t>
                      </w:r>
                    </w:p>
                  </w:txbxContent>
                </v:textbox>
                <w10:wrap type="topAndBottom" anchorx="margin"/>
              </v:shape>
            </w:pict>
          </mc:Fallback>
        </mc:AlternateContent>
      </w:r>
      <w:r w:rsidR="001A042E">
        <w:rPr>
          <w:noProof/>
        </w:rPr>
        <w:drawing>
          <wp:anchor distT="0" distB="0" distL="114300" distR="114300" simplePos="0" relativeHeight="251712512" behindDoc="0" locked="0" layoutInCell="1" allowOverlap="1" wp14:anchorId="1D895D19" wp14:editId="5C9F813F">
            <wp:simplePos x="0" y="0"/>
            <wp:positionH relativeFrom="margin">
              <wp:posOffset>14605</wp:posOffset>
            </wp:positionH>
            <wp:positionV relativeFrom="paragraph">
              <wp:posOffset>3810</wp:posOffset>
            </wp:positionV>
            <wp:extent cx="4115435" cy="3688715"/>
            <wp:effectExtent l="0" t="0" r="0" b="6985"/>
            <wp:wrapTopAndBottom/>
            <wp:docPr id="194145374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53748" name="Grafik 1" descr="Ein Bild, das Text, Screenshot, Schrift, Design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5435" cy="3688715"/>
                    </a:xfrm>
                    <a:prstGeom prst="rect">
                      <a:avLst/>
                    </a:prstGeom>
                    <a:noFill/>
                  </pic:spPr>
                </pic:pic>
              </a:graphicData>
            </a:graphic>
            <wp14:sizeRelH relativeFrom="margin">
              <wp14:pctWidth>0</wp14:pctWidth>
            </wp14:sizeRelH>
            <wp14:sizeRelV relativeFrom="margin">
              <wp14:pctHeight>0</wp14:pctHeight>
            </wp14:sizeRelV>
          </wp:anchor>
        </w:drawing>
      </w:r>
      <w:r w:rsidR="00BF7B10" w:rsidRPr="006A45FB">
        <w:t xml:space="preserve">degrees Celsius within 12 independent </w:t>
      </w:r>
      <w:r w:rsidR="00E37333" w:rsidRPr="006A45FB">
        <w:t>sections</w:t>
      </w:r>
      <w:r w:rsidR="00BF7B10" w:rsidRPr="006A45FB">
        <w:t xml:space="preserve"> of one 96 well plate. Each section </w:t>
      </w:r>
      <w:r w:rsidR="00E37333" w:rsidRPr="006A45FB">
        <w:t>consists</w:t>
      </w:r>
      <w:r w:rsidR="00BF7B10" w:rsidRPr="006A45FB">
        <w:t xml:space="preserve"> of 4 </w:t>
      </w:r>
      <w:r w:rsidR="00261CC5" w:rsidRPr="006A45FB">
        <w:t>wells, resulting in 48 independently controlled wells.</w:t>
      </w:r>
      <w:r w:rsidR="00BF7B10" w:rsidRPr="006A45FB">
        <w:t xml:space="preserve"> </w:t>
      </w:r>
      <w:r w:rsidR="00606ACE">
        <w:t xml:space="preserve"> </w:t>
      </w:r>
    </w:p>
    <w:p w14:paraId="4E1C6660" w14:textId="78701681" w:rsidR="0018647C" w:rsidRPr="0018647C" w:rsidRDefault="00606ACE" w:rsidP="0018647C">
      <w:pPr>
        <w:pStyle w:val="Els-2ndorder-head"/>
      </w:pPr>
      <w:bookmarkStart w:id="4" w:name="_Ref152505602"/>
      <w:r>
        <w:t>Methodology</w:t>
      </w:r>
      <w:r w:rsidR="00652DA8" w:rsidRPr="006A45FB">
        <w:t xml:space="preserve"> </w:t>
      </w:r>
      <w:r>
        <w:t>and</w:t>
      </w:r>
      <w:r w:rsidR="00A80F4C">
        <w:t xml:space="preserve"> Software</w:t>
      </w:r>
      <w:r>
        <w:t xml:space="preserve"> </w:t>
      </w:r>
      <w:r w:rsidR="00652DA8" w:rsidRPr="006A45FB">
        <w:t>Components</w:t>
      </w:r>
      <w:bookmarkEnd w:id="4"/>
    </w:p>
    <w:p w14:paraId="407D9840" w14:textId="47FE9499" w:rsidR="00EF1FE9" w:rsidRDefault="00913BD3" w:rsidP="00500D32">
      <w:pPr>
        <w:pStyle w:val="Els-caption"/>
        <w:rPr>
          <w:sz w:val="20"/>
        </w:rPr>
      </w:pPr>
      <w:r w:rsidRPr="006A45FB">
        <w:rPr>
          <w:sz w:val="20"/>
        </w:rPr>
        <w:t xml:space="preserve">A variety of systems are necessary for the </w:t>
      </w:r>
      <w:r w:rsidR="00F064FB" w:rsidRPr="006A45FB">
        <w:rPr>
          <w:sz w:val="20"/>
        </w:rPr>
        <w:t>integration of the devices</w:t>
      </w:r>
      <w:r w:rsidR="00606ACE">
        <w:rPr>
          <w:sz w:val="20"/>
        </w:rPr>
        <w:t xml:space="preserve"> </w:t>
      </w:r>
      <w:r w:rsidR="00D0342C">
        <w:rPr>
          <w:sz w:val="20"/>
        </w:rPr>
        <w:t xml:space="preserve">for </w:t>
      </w:r>
      <w:r w:rsidR="00606ACE">
        <w:rPr>
          <w:sz w:val="20"/>
        </w:rPr>
        <w:t xml:space="preserve">the process (ref. section </w:t>
      </w:r>
      <w:r w:rsidR="00606ACE">
        <w:rPr>
          <w:sz w:val="20"/>
        </w:rPr>
        <w:fldChar w:fldCharType="begin"/>
      </w:r>
      <w:r w:rsidR="00606ACE">
        <w:rPr>
          <w:sz w:val="20"/>
        </w:rPr>
        <w:instrText xml:space="preserve"> REF _Ref155714045 \r \h </w:instrText>
      </w:r>
      <w:r w:rsidR="00606ACE">
        <w:rPr>
          <w:sz w:val="20"/>
        </w:rPr>
      </w:r>
      <w:r w:rsidR="00606ACE">
        <w:rPr>
          <w:sz w:val="20"/>
        </w:rPr>
        <w:fldChar w:fldCharType="separate"/>
      </w:r>
      <w:r w:rsidR="00A047F3">
        <w:rPr>
          <w:sz w:val="20"/>
        </w:rPr>
        <w:t>2.2.1</w:t>
      </w:r>
      <w:r w:rsidR="00606ACE">
        <w:rPr>
          <w:sz w:val="20"/>
        </w:rPr>
        <w:fldChar w:fldCharType="end"/>
      </w:r>
      <w:r w:rsidR="00606ACE">
        <w:rPr>
          <w:sz w:val="20"/>
        </w:rPr>
        <w:t>)</w:t>
      </w:r>
      <w:r w:rsidR="00F064FB" w:rsidRPr="006A45FB">
        <w:rPr>
          <w:sz w:val="20"/>
        </w:rPr>
        <w:t>. The main central component is the Laboratory orchestration system</w:t>
      </w:r>
      <w:r w:rsidR="00606ACE">
        <w:rPr>
          <w:sz w:val="20"/>
        </w:rPr>
        <w:t xml:space="preserve"> (</w:t>
      </w:r>
      <w:r w:rsidR="00066F25">
        <w:rPr>
          <w:sz w:val="20"/>
        </w:rPr>
        <w:t xml:space="preserve">ref. section </w:t>
      </w:r>
      <w:r w:rsidR="00606ACE">
        <w:rPr>
          <w:sz w:val="20"/>
        </w:rPr>
        <w:fldChar w:fldCharType="begin"/>
      </w:r>
      <w:r w:rsidR="00606ACE">
        <w:rPr>
          <w:sz w:val="20"/>
        </w:rPr>
        <w:instrText xml:space="preserve"> REF _Ref152580741 \r \h </w:instrText>
      </w:r>
      <w:r w:rsidR="00606ACE">
        <w:rPr>
          <w:sz w:val="20"/>
        </w:rPr>
      </w:r>
      <w:r w:rsidR="00606ACE">
        <w:rPr>
          <w:sz w:val="20"/>
        </w:rPr>
        <w:fldChar w:fldCharType="separate"/>
      </w:r>
      <w:r w:rsidR="00A047F3">
        <w:rPr>
          <w:sz w:val="20"/>
        </w:rPr>
        <w:t>2.2.2</w:t>
      </w:r>
      <w:r w:rsidR="00606ACE">
        <w:rPr>
          <w:sz w:val="20"/>
        </w:rPr>
        <w:fldChar w:fldCharType="end"/>
      </w:r>
      <w:r w:rsidR="00606ACE">
        <w:rPr>
          <w:sz w:val="20"/>
        </w:rPr>
        <w:t>)</w:t>
      </w:r>
      <w:r w:rsidR="00A57658" w:rsidRPr="006A45FB">
        <w:rPr>
          <w:sz w:val="20"/>
        </w:rPr>
        <w:t xml:space="preserve"> </w:t>
      </w:r>
      <w:r w:rsidR="00606ACE">
        <w:rPr>
          <w:sz w:val="20"/>
        </w:rPr>
        <w:t xml:space="preserve">This system uses an Workflow management (ref. section </w:t>
      </w:r>
      <w:r w:rsidR="00606ACE">
        <w:rPr>
          <w:sz w:val="20"/>
        </w:rPr>
        <w:fldChar w:fldCharType="begin"/>
      </w:r>
      <w:r w:rsidR="00606ACE">
        <w:rPr>
          <w:sz w:val="20"/>
        </w:rPr>
        <w:instrText xml:space="preserve"> REF _Ref155714172 \r \h </w:instrText>
      </w:r>
      <w:r w:rsidR="00606ACE">
        <w:rPr>
          <w:sz w:val="20"/>
        </w:rPr>
      </w:r>
      <w:r w:rsidR="00606ACE">
        <w:rPr>
          <w:sz w:val="20"/>
        </w:rPr>
        <w:fldChar w:fldCharType="separate"/>
      </w:r>
      <w:r w:rsidR="00A047F3">
        <w:rPr>
          <w:sz w:val="20"/>
        </w:rPr>
        <w:t>2.2.3</w:t>
      </w:r>
      <w:r w:rsidR="00606ACE">
        <w:rPr>
          <w:sz w:val="20"/>
        </w:rPr>
        <w:fldChar w:fldCharType="end"/>
      </w:r>
      <w:r w:rsidR="00606ACE">
        <w:rPr>
          <w:sz w:val="20"/>
        </w:rPr>
        <w:t xml:space="preserve">) and other subsystems (ref. section </w:t>
      </w:r>
      <w:r w:rsidR="00606ACE">
        <w:rPr>
          <w:sz w:val="20"/>
        </w:rPr>
        <w:fldChar w:fldCharType="begin"/>
      </w:r>
      <w:r w:rsidR="00606ACE">
        <w:rPr>
          <w:sz w:val="20"/>
        </w:rPr>
        <w:instrText xml:space="preserve"> REF _Ref152580747 \r \h </w:instrText>
      </w:r>
      <w:r w:rsidR="00606ACE">
        <w:rPr>
          <w:sz w:val="20"/>
        </w:rPr>
      </w:r>
      <w:r w:rsidR="00606ACE">
        <w:rPr>
          <w:sz w:val="20"/>
        </w:rPr>
        <w:fldChar w:fldCharType="separate"/>
      </w:r>
      <w:r w:rsidR="00A047F3">
        <w:rPr>
          <w:sz w:val="20"/>
        </w:rPr>
        <w:t>2.2.4</w:t>
      </w:r>
      <w:r w:rsidR="00606ACE">
        <w:rPr>
          <w:sz w:val="20"/>
        </w:rPr>
        <w:fldChar w:fldCharType="end"/>
      </w:r>
      <w:r w:rsidR="00606ACE">
        <w:rPr>
          <w:sz w:val="20"/>
        </w:rPr>
        <w:t>).</w:t>
      </w:r>
      <w:r w:rsidR="00F064FB" w:rsidRPr="006A45FB">
        <w:rPr>
          <w:sz w:val="20"/>
        </w:rPr>
        <w:t xml:space="preserve"> </w:t>
      </w:r>
    </w:p>
    <w:p w14:paraId="12976A36" w14:textId="78942662" w:rsidR="00606ACE" w:rsidRPr="00956184" w:rsidRDefault="00606ACE" w:rsidP="00606ACE">
      <w:pPr>
        <w:pStyle w:val="Els-3rdorder-head"/>
      </w:pPr>
      <w:bookmarkStart w:id="5" w:name="_Ref155714045"/>
      <w:r w:rsidRPr="00956184">
        <w:t>Experiment Procedures</w:t>
      </w:r>
      <w:bookmarkEnd w:id="5"/>
      <w:r>
        <w:t xml:space="preserve"> </w:t>
      </w:r>
    </w:p>
    <w:p w14:paraId="5052C68A" w14:textId="1C4C583A" w:rsidR="00606ACE" w:rsidRPr="006A45FB" w:rsidRDefault="0009217B" w:rsidP="00291E82">
      <w:pPr>
        <w:pStyle w:val="Els-body-text"/>
      </w:pPr>
      <w:proofErr w:type="gramStart"/>
      <w:r w:rsidRPr="0009217B">
        <w:t>For the purpose of</w:t>
      </w:r>
      <w:proofErr w:type="gramEnd"/>
      <w:r w:rsidRPr="0009217B">
        <w:t xml:space="preserve"> this study, the authors established an </w:t>
      </w:r>
      <w:r>
        <w:t>enzyme characterization process</w:t>
      </w:r>
      <w:r w:rsidRPr="0009217B">
        <w:t xml:space="preserve"> setup aimed at high-throughput experimentation to </w:t>
      </w:r>
      <w:r>
        <w:t xml:space="preserve">demonstrate the performance of the system. </w:t>
      </w:r>
      <w:r w:rsidR="00606ACE" w:rsidRPr="00A91738">
        <w:t>The initial phase involves preparing the liquid handling station by adding enzymes, substrates, and stock substances</w:t>
      </w:r>
      <w:r>
        <w:t>. The system tests different combination</w:t>
      </w:r>
      <w:r w:rsidR="00066F25">
        <w:t>s</w:t>
      </w:r>
      <w:r>
        <w:t xml:space="preserve"> of initial conditions for </w:t>
      </w:r>
      <w:r w:rsidR="00066F25">
        <w:t>each</w:t>
      </w:r>
      <w:r>
        <w:t xml:space="preserve"> enzymatic reaction</w:t>
      </w:r>
      <w:r w:rsidR="009268EE">
        <w:t xml:space="preserve"> in a 96 well plate</w:t>
      </w:r>
      <w:r>
        <w:t xml:space="preserve"> and </w:t>
      </w:r>
      <w:r w:rsidR="00066F25">
        <w:t xml:space="preserve">samples from </w:t>
      </w:r>
      <w:r w:rsidR="009268EE">
        <w:t>each well</w:t>
      </w:r>
      <w:r w:rsidR="00066F25">
        <w:t xml:space="preserve"> several times. In total 48 reactions are run in parallel.</w:t>
      </w:r>
      <w:r w:rsidR="00606ACE" w:rsidRPr="00A91738">
        <w:t xml:space="preserve"> </w:t>
      </w:r>
      <w:r w:rsidR="00291E82">
        <w:t xml:space="preserve">The </w:t>
      </w:r>
      <w:r>
        <w:t>comprehensive process</w:t>
      </w:r>
      <w:r w:rsidR="00291E82">
        <w:t xml:space="preserve"> is outlined in</w:t>
      </w:r>
      <w:r w:rsidR="001A042E">
        <w:t xml:space="preserve"> </w:t>
      </w:r>
      <w:r w:rsidR="001A042E">
        <w:fldChar w:fldCharType="begin"/>
      </w:r>
      <w:r w:rsidR="001A042E">
        <w:instrText xml:space="preserve"> REF _Ref155731410 \h </w:instrText>
      </w:r>
      <w:r w:rsidR="001A042E">
        <w:fldChar w:fldCharType="separate"/>
      </w:r>
      <w:r w:rsidR="00A047F3">
        <w:t xml:space="preserve">Figure </w:t>
      </w:r>
      <w:r w:rsidR="00A047F3">
        <w:rPr>
          <w:noProof/>
        </w:rPr>
        <w:t>1</w:t>
      </w:r>
      <w:r w:rsidR="001A042E">
        <w:fldChar w:fldCharType="end"/>
      </w:r>
      <w:r w:rsidR="00291E82">
        <w:t>.</w:t>
      </w:r>
      <w:r w:rsidR="00606ACE" w:rsidRPr="00A91738">
        <w:t xml:space="preserve"> </w:t>
      </w:r>
    </w:p>
    <w:p w14:paraId="593F349A" w14:textId="12FFAFAE" w:rsidR="00D76958" w:rsidRPr="006A45FB" w:rsidRDefault="00913BD3" w:rsidP="00DC4569">
      <w:pPr>
        <w:pStyle w:val="Els-3rdorder-head"/>
      </w:pPr>
      <w:bookmarkStart w:id="6" w:name="_Ref152580741"/>
      <w:r w:rsidRPr="006A45FB">
        <w:t>Laboratory Orchestration</w:t>
      </w:r>
      <w:bookmarkEnd w:id="6"/>
    </w:p>
    <w:p w14:paraId="09C4E5DD" w14:textId="5AB8BF5C" w:rsidR="00956184" w:rsidRDefault="00CD4A5D" w:rsidP="00956184">
      <w:pPr>
        <w:pStyle w:val="Els-body-text"/>
      </w:pPr>
      <w:r w:rsidRPr="00CD4A5D">
        <w:rPr>
          <w:iCs/>
        </w:rPr>
        <w:t xml:space="preserve">The orchestrator oversees the liquid handling procedures, coordinating equipment such as the Tecan liquid handler, thermal devices, centrifuges, transfer units, wash stations, </w:t>
      </w:r>
      <w:r w:rsidR="001A042E">
        <w:rPr>
          <w:noProof/>
        </w:rPr>
        <w:lastRenderedPageBreak/>
        <mc:AlternateContent>
          <mc:Choice Requires="wps">
            <w:drawing>
              <wp:anchor distT="0" distB="0" distL="114300" distR="114300" simplePos="0" relativeHeight="251714560" behindDoc="0" locked="0" layoutInCell="1" allowOverlap="1" wp14:anchorId="2D79C209" wp14:editId="0D1142C1">
                <wp:simplePos x="0" y="0"/>
                <wp:positionH relativeFrom="column">
                  <wp:posOffset>0</wp:posOffset>
                </wp:positionH>
                <wp:positionV relativeFrom="paragraph">
                  <wp:posOffset>2312035</wp:posOffset>
                </wp:positionV>
                <wp:extent cx="4055110" cy="635"/>
                <wp:effectExtent l="0" t="0" r="0" b="0"/>
                <wp:wrapTopAndBottom/>
                <wp:docPr id="1709960198" name="Text Box 1"/>
                <wp:cNvGraphicFramePr/>
                <a:graphic xmlns:a="http://schemas.openxmlformats.org/drawingml/2006/main">
                  <a:graphicData uri="http://schemas.microsoft.com/office/word/2010/wordprocessingShape">
                    <wps:wsp>
                      <wps:cNvSpPr txBox="1"/>
                      <wps:spPr>
                        <a:xfrm>
                          <a:off x="0" y="0"/>
                          <a:ext cx="4055110" cy="635"/>
                        </a:xfrm>
                        <a:prstGeom prst="rect">
                          <a:avLst/>
                        </a:prstGeom>
                        <a:solidFill>
                          <a:prstClr val="white"/>
                        </a:solidFill>
                        <a:ln>
                          <a:noFill/>
                        </a:ln>
                      </wps:spPr>
                      <wps:txbx>
                        <w:txbxContent>
                          <w:p w14:paraId="53896DF3" w14:textId="3192D059" w:rsidR="001A042E" w:rsidRPr="00A6794C" w:rsidRDefault="001A042E" w:rsidP="001A042E">
                            <w:pPr>
                              <w:pStyle w:val="Caption"/>
                              <w:rPr>
                                <w:iCs/>
                                <w:sz w:val="20"/>
                              </w:rPr>
                            </w:pPr>
                            <w:bookmarkStart w:id="7" w:name="_Ref155731426"/>
                            <w:r>
                              <w:t xml:space="preserve">Figure </w:t>
                            </w:r>
                            <w:r>
                              <w:fldChar w:fldCharType="begin"/>
                            </w:r>
                            <w:r>
                              <w:instrText xml:space="preserve"> SEQ Figure \* ARABIC </w:instrText>
                            </w:r>
                            <w:r>
                              <w:fldChar w:fldCharType="separate"/>
                            </w:r>
                            <w:r>
                              <w:rPr>
                                <w:noProof/>
                              </w:rPr>
                              <w:t>2</w:t>
                            </w:r>
                            <w:r>
                              <w:fldChar w:fldCharType="end"/>
                            </w:r>
                            <w:bookmarkEnd w:id="7"/>
                            <w:r>
                              <w:t xml:space="preserve">: </w:t>
                            </w:r>
                            <w:r w:rsidRPr="001A042E">
                              <w:t>The complete Apache Nifi based communication Infrastructure condensed into one diagram. The laboratory orchestration is the central element for the used automated setup in the biolab. This scheme shows which Software and devices are included into the system and what type of data is being transferred.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79C209" id="_x0000_s1027" type="#_x0000_t202" style="position:absolute;left:0;text-align:left;margin-left:0;margin-top:182.05pt;width:319.3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lXFwIAAD8EAAAOAAAAZHJzL2Uyb0RvYy54bWysU8Fu2zAMvQ/YPwi6L066pRiMOEWWIsOA&#10;oC2QDj0rshwLkEWNUmJnXz9KtpOu22nYRaZJihTfe1zcdY1hJ4Vegy34bDLlTFkJpbaHgn9/3nz4&#10;zJkPwpbCgFUFPyvP75bv3y1al6sbqMGUChkVsT5vXcHrEFyeZV7WqhF+Ak5ZClaAjQj0i4esRNFS&#10;9cZkN9PpbdYClg5BKu/Je98H+TLVryolw2NVeRWYKTi9LaQT07mPZ7ZciPyAwtVaDs8Q//CKRmhL&#10;TS+l7kUQ7Ij6j1KNlggeqjCR0GRQVVqqNANNM5u+mWZXC6fSLASOdxeY/P8rKx9OO/eELHRfoCMC&#10;IyCt87knZ5ynq7CJX3opozhBeL7AprrAJDk/Tefz2YxCkmK3H+exRna96tCHrwoaFo2CI3GSoBKn&#10;rQ996pgSO3kwutxoY+JPDKwNspMg/tpaBzUU/y3L2JhrId7qC0ZPdp0jWqHbd0yXr2bcQ3mm0RF6&#10;VXgnN5r6bYUPTwJJBjQSSTs80lEZaAsOg8VZDfjzb/6YT+xQlLOWZFVw/+MoUHFmvlniLWpwNHA0&#10;9qNhj80aaNIZLY2TyaQLGMxoVgjNCyl+FbtQSFhJvQoeRnMdenHTxki1WqUkUpoTYWt3TsbSI67P&#10;3YtAN7ASiMwHGAUn8jfk9LmJHrc6BkI6MRdx7VEc4CaVJu6HjYpr8Po/ZV33fvkLAAD//wMAUEsD&#10;BBQABgAIAAAAIQDkq1FP3wAAAAgBAAAPAAAAZHJzL2Rvd25yZXYueG1sTI/BTsMwEETvSPyDtUhc&#10;EHXaRFYV4lRVBQe4VIReuLnxNg7E68h22vD3GC5wnJ3VzJtqM9uBndGH3pGE5SIDhtQ63VMn4fD2&#10;dL8GFqIirQZHKOELA2zq66tKldpd6BXPTexYCqFQKgkmxrHkPLQGrQoLNyIl7+S8VTFJ33Ht1SWF&#10;24Gvskxwq3pKDUaNuDPYfjaTlbAv3vfmbjo9vmyL3D8fpp346Bopb2/m7QOwiHP8e4Yf/IQOdWI6&#10;uol0YIOENCRKyEWxBJZska8FsOPvZQW8rvj/AfU3AAAA//8DAFBLAQItABQABgAIAAAAIQC2gziS&#10;/gAAAOEBAAATAAAAAAAAAAAAAAAAAAAAAABbQ29udGVudF9UeXBlc10ueG1sUEsBAi0AFAAGAAgA&#10;AAAhADj9If/WAAAAlAEAAAsAAAAAAAAAAAAAAAAALwEAAF9yZWxzLy5yZWxzUEsBAi0AFAAGAAgA&#10;AAAhAO21qVcXAgAAPwQAAA4AAAAAAAAAAAAAAAAALgIAAGRycy9lMm9Eb2MueG1sUEsBAi0AFAAG&#10;AAgAAAAhAOSrUU/fAAAACAEAAA8AAAAAAAAAAAAAAAAAcQQAAGRycy9kb3ducmV2LnhtbFBLBQYA&#10;AAAABAAEAPMAAAB9BQAAAAA=&#10;" stroked="f">
                <v:textbox style="mso-fit-shape-to-text:t" inset="0,0,0,0">
                  <w:txbxContent>
                    <w:p w14:paraId="53896DF3" w14:textId="3192D059" w:rsidR="001A042E" w:rsidRPr="00A6794C" w:rsidRDefault="001A042E" w:rsidP="001A042E">
                      <w:pPr>
                        <w:pStyle w:val="Caption"/>
                        <w:rPr>
                          <w:iCs/>
                          <w:sz w:val="20"/>
                        </w:rPr>
                      </w:pPr>
                      <w:bookmarkStart w:id="8" w:name="_Ref155731426"/>
                      <w:r>
                        <w:t xml:space="preserve">Figure </w:t>
                      </w:r>
                      <w:r>
                        <w:fldChar w:fldCharType="begin"/>
                      </w:r>
                      <w:r>
                        <w:instrText xml:space="preserve"> SEQ Figure \* ARABIC </w:instrText>
                      </w:r>
                      <w:r>
                        <w:fldChar w:fldCharType="separate"/>
                      </w:r>
                      <w:r>
                        <w:rPr>
                          <w:noProof/>
                        </w:rPr>
                        <w:t>2</w:t>
                      </w:r>
                      <w:r>
                        <w:fldChar w:fldCharType="end"/>
                      </w:r>
                      <w:bookmarkEnd w:id="8"/>
                      <w:r>
                        <w:t xml:space="preserve">: </w:t>
                      </w:r>
                      <w:r w:rsidRPr="001A042E">
                        <w:t>The complete Apache Nifi based communication Infrastructure condensed into one diagram. The laboratory orchestration is the central element for the used automated setup in the biolab. This scheme shows which Software and devices are included into the system and what type of data is being transferred.</w:t>
                      </w:r>
                    </w:p>
                  </w:txbxContent>
                </v:textbox>
                <w10:wrap type="topAndBottom"/>
              </v:shape>
            </w:pict>
          </mc:Fallback>
        </mc:AlternateContent>
      </w:r>
      <w:r w:rsidR="001B12AE">
        <w:rPr>
          <w:noProof/>
        </w:rPr>
        <w:drawing>
          <wp:anchor distT="0" distB="0" distL="114300" distR="114300" simplePos="0" relativeHeight="251706368" behindDoc="0" locked="0" layoutInCell="1" allowOverlap="1" wp14:anchorId="01B1F3FF" wp14:editId="00FE534C">
            <wp:simplePos x="0" y="0"/>
            <wp:positionH relativeFrom="margin">
              <wp:posOffset>0</wp:posOffset>
            </wp:positionH>
            <wp:positionV relativeFrom="paragraph">
              <wp:posOffset>142875</wp:posOffset>
            </wp:positionV>
            <wp:extent cx="4055110" cy="2112010"/>
            <wp:effectExtent l="0" t="0" r="2540" b="2540"/>
            <wp:wrapTopAndBottom/>
            <wp:docPr id="649604755" name="Grafik 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04755" name="Grafik 3" descr="A diagram of a proces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5110" cy="2112010"/>
                    </a:xfrm>
                    <a:prstGeom prst="rect">
                      <a:avLst/>
                    </a:prstGeom>
                    <a:noFill/>
                  </pic:spPr>
                </pic:pic>
              </a:graphicData>
            </a:graphic>
            <wp14:sizeRelH relativeFrom="margin">
              <wp14:pctWidth>0</wp14:pctWidth>
            </wp14:sizeRelH>
            <wp14:sizeRelV relativeFrom="margin">
              <wp14:pctHeight>0</wp14:pctHeight>
            </wp14:sizeRelV>
          </wp:anchor>
        </w:drawing>
      </w:r>
      <w:r w:rsidRPr="00CD4A5D">
        <w:rPr>
          <w:iCs/>
        </w:rPr>
        <w:t>and plate readers</w:t>
      </w:r>
      <w:r w:rsidR="001B12AE">
        <w:rPr>
          <w:iCs/>
        </w:rPr>
        <w:t xml:space="preserve"> (ref</w:t>
      </w:r>
      <w:r w:rsidR="001A042E">
        <w:rPr>
          <w:iCs/>
        </w:rPr>
        <w:t>.</w:t>
      </w:r>
      <w:r w:rsidR="00A047F3">
        <w:rPr>
          <w:iCs/>
        </w:rPr>
        <w:t xml:space="preserve"> </w:t>
      </w:r>
      <w:r w:rsidR="00A047F3">
        <w:rPr>
          <w:iCs/>
        </w:rPr>
        <w:fldChar w:fldCharType="begin"/>
      </w:r>
      <w:r w:rsidR="00A047F3">
        <w:rPr>
          <w:iCs/>
        </w:rPr>
        <w:instrText xml:space="preserve"> REF _Ref155731426 \h </w:instrText>
      </w:r>
      <w:r w:rsidR="00A047F3">
        <w:rPr>
          <w:iCs/>
        </w:rPr>
      </w:r>
      <w:r w:rsidR="00A047F3">
        <w:rPr>
          <w:iCs/>
        </w:rPr>
        <w:fldChar w:fldCharType="separate"/>
      </w:r>
      <w:r w:rsidR="00A047F3">
        <w:t xml:space="preserve">Figure </w:t>
      </w:r>
      <w:r w:rsidR="00A047F3">
        <w:rPr>
          <w:noProof/>
        </w:rPr>
        <w:t>2</w:t>
      </w:r>
      <w:r w:rsidR="00A047F3">
        <w:rPr>
          <w:iCs/>
        </w:rPr>
        <w:fldChar w:fldCharType="end"/>
      </w:r>
      <w:r w:rsidR="001B12AE">
        <w:rPr>
          <w:iCs/>
        </w:rPr>
        <w:t>)</w:t>
      </w:r>
      <w:r w:rsidRPr="00CD4A5D">
        <w:rPr>
          <w:iCs/>
        </w:rPr>
        <w:t xml:space="preserve">. It tracks the locations </w:t>
      </w:r>
      <w:r w:rsidR="000E3DEA" w:rsidRPr="00CD4A5D">
        <w:rPr>
          <w:iCs/>
        </w:rPr>
        <w:t>and statuses</w:t>
      </w:r>
      <w:r w:rsidRPr="00CD4A5D">
        <w:rPr>
          <w:iCs/>
        </w:rPr>
        <w:t xml:space="preserve"> of components like vials and multi-well </w:t>
      </w:r>
      <w:r w:rsidR="009268EE" w:rsidRPr="00CD4A5D">
        <w:rPr>
          <w:iCs/>
        </w:rPr>
        <w:t>plates and</w:t>
      </w:r>
      <w:r w:rsidRPr="00CD4A5D">
        <w:rPr>
          <w:iCs/>
        </w:rPr>
        <w:t xml:space="preserve"> maintains records of measurement data and sample origins. Additionally, the orchestrator updates information based on pipetting actions and adjusts for changes in liquid levels and well conditions. It ensures procedural consistency, prevents unfeasible command execution, and </w:t>
      </w:r>
      <w:r w:rsidR="0009217B">
        <w:rPr>
          <w:iCs/>
        </w:rPr>
        <w:t xml:space="preserve">handles hard- and software communication </w:t>
      </w:r>
      <w:r w:rsidRPr="00CD4A5D">
        <w:rPr>
          <w:iCs/>
        </w:rPr>
        <w:t xml:space="preserve">through the </w:t>
      </w:r>
      <w:r w:rsidR="000E3DEA">
        <w:rPr>
          <w:iCs/>
        </w:rPr>
        <w:t xml:space="preserve">Apache </w:t>
      </w:r>
      <w:r w:rsidRPr="00CD4A5D">
        <w:rPr>
          <w:iCs/>
        </w:rPr>
        <w:t>Ni</w:t>
      </w:r>
      <w:r w:rsidR="000E3DEA">
        <w:rPr>
          <w:iCs/>
        </w:rPr>
        <w:t>F</w:t>
      </w:r>
      <w:r w:rsidRPr="00CD4A5D">
        <w:rPr>
          <w:iCs/>
        </w:rPr>
        <w:t>i</w:t>
      </w:r>
      <w:r w:rsidR="000E3DEA">
        <w:rPr>
          <w:iCs/>
        </w:rPr>
        <w:t xml:space="preserve"> based</w:t>
      </w:r>
      <w:r w:rsidRPr="00CD4A5D">
        <w:rPr>
          <w:iCs/>
        </w:rPr>
        <w:t xml:space="preserve"> data infrastructure.</w:t>
      </w:r>
    </w:p>
    <w:p w14:paraId="64D158A7" w14:textId="77777777" w:rsidR="00956184" w:rsidRDefault="00956184" w:rsidP="00956184">
      <w:pPr>
        <w:pStyle w:val="Els-3rdorder-head"/>
      </w:pPr>
      <w:bookmarkStart w:id="9" w:name="_Ref155714172"/>
      <w:r w:rsidRPr="00956184">
        <w:t>Workflow Management and Experiment Execution</w:t>
      </w:r>
      <w:bookmarkEnd w:id="9"/>
    </w:p>
    <w:p w14:paraId="409DC95D" w14:textId="35591134" w:rsidR="00A91738" w:rsidRDefault="00A91738" w:rsidP="00CD4A5D">
      <w:pPr>
        <w:pStyle w:val="Els-3rdorder-head"/>
        <w:numPr>
          <w:ilvl w:val="0"/>
          <w:numId w:val="0"/>
        </w:numPr>
        <w:rPr>
          <w:i w:val="0"/>
          <w:iCs/>
        </w:rPr>
      </w:pPr>
      <w:r w:rsidRPr="00A91738">
        <w:rPr>
          <w:i w:val="0"/>
          <w:iCs/>
        </w:rPr>
        <w:t>Cylc</w:t>
      </w:r>
      <w:r w:rsidR="00FE24DF">
        <w:rPr>
          <w:i w:val="0"/>
          <w:iCs/>
        </w:rPr>
        <w:t xml:space="preserve"> v8</w:t>
      </w:r>
      <w:r w:rsidR="009268EE">
        <w:rPr>
          <w:i w:val="0"/>
          <w:iCs/>
        </w:rPr>
        <w:t xml:space="preserve"> </w:t>
      </w:r>
      <w:r w:rsidRPr="00A91738">
        <w:rPr>
          <w:i w:val="0"/>
          <w:iCs/>
        </w:rPr>
        <w:t>is instrumental in creating dynamic, parallel</w:t>
      </w:r>
      <w:r w:rsidR="009268EE">
        <w:rPr>
          <w:i w:val="0"/>
          <w:iCs/>
        </w:rPr>
        <w:t xml:space="preserve"> and cycling</w:t>
      </w:r>
      <w:r w:rsidRPr="00A91738">
        <w:rPr>
          <w:i w:val="0"/>
          <w:iCs/>
        </w:rPr>
        <w:t xml:space="preserve"> workflows that vary in complexity, thereby enhancing the flexibility and integration of the experimental process. Its user interface allows for quick modifications and easy integration of new steps into existing workflows</w:t>
      </w:r>
      <w:r w:rsidR="001A042E">
        <w:rPr>
          <w:i w:val="0"/>
          <w:iCs/>
        </w:rPr>
        <w:t xml:space="preserve"> (</w:t>
      </w:r>
      <w:r w:rsidR="001A042E" w:rsidRPr="00A047F3">
        <w:rPr>
          <w:i w:val="0"/>
          <w:iCs/>
        </w:rPr>
        <w:t xml:space="preserve">ref. </w:t>
      </w:r>
      <w:r w:rsidR="001A042E" w:rsidRPr="00A047F3">
        <w:rPr>
          <w:i w:val="0"/>
          <w:iCs/>
        </w:rPr>
        <w:fldChar w:fldCharType="begin"/>
      </w:r>
      <w:r w:rsidR="001A042E" w:rsidRPr="00A047F3">
        <w:rPr>
          <w:i w:val="0"/>
          <w:iCs/>
        </w:rPr>
        <w:instrText xml:space="preserve"> REF _Ref155731410 \h </w:instrText>
      </w:r>
      <w:r w:rsidR="001A042E" w:rsidRPr="00A047F3">
        <w:rPr>
          <w:i w:val="0"/>
          <w:iCs/>
        </w:rPr>
      </w:r>
      <w:r w:rsidR="00A047F3" w:rsidRPr="00A047F3">
        <w:rPr>
          <w:i w:val="0"/>
          <w:iCs/>
        </w:rPr>
        <w:instrText xml:space="preserve"> \* MERGEFORMAT </w:instrText>
      </w:r>
      <w:r w:rsidR="001A042E" w:rsidRPr="00A047F3">
        <w:rPr>
          <w:i w:val="0"/>
          <w:iCs/>
        </w:rPr>
        <w:fldChar w:fldCharType="separate"/>
      </w:r>
      <w:r w:rsidR="00A047F3" w:rsidRPr="00A047F3">
        <w:rPr>
          <w:i w:val="0"/>
          <w:iCs/>
        </w:rPr>
        <w:t xml:space="preserve">Figure </w:t>
      </w:r>
      <w:r w:rsidR="00A047F3" w:rsidRPr="00A047F3">
        <w:rPr>
          <w:i w:val="0"/>
          <w:iCs/>
          <w:noProof/>
        </w:rPr>
        <w:t>1</w:t>
      </w:r>
      <w:r w:rsidR="001A042E" w:rsidRPr="00A047F3">
        <w:rPr>
          <w:i w:val="0"/>
          <w:iCs/>
        </w:rPr>
        <w:fldChar w:fldCharType="end"/>
      </w:r>
      <w:r w:rsidR="001A042E">
        <w:rPr>
          <w:i w:val="0"/>
          <w:iCs/>
        </w:rPr>
        <w:t>)</w:t>
      </w:r>
    </w:p>
    <w:p w14:paraId="7876FB68" w14:textId="50663CE3" w:rsidR="00932498" w:rsidRPr="000F6D03" w:rsidRDefault="00A047F3" w:rsidP="00932498">
      <w:pPr>
        <w:pStyle w:val="Els-3rdorder-head"/>
      </w:pPr>
      <w:r>
        <w:t>Additional</w:t>
      </w:r>
      <w:r w:rsidRPr="006A45FB">
        <w:t xml:space="preserve"> Software</w:t>
      </w:r>
    </w:p>
    <w:p w14:paraId="64DCE453" w14:textId="2484A347" w:rsidR="00932498" w:rsidRPr="000F6D03" w:rsidRDefault="00932498" w:rsidP="00932498">
      <w:pPr>
        <w:pStyle w:val="Els-3rdorder-head"/>
        <w:numPr>
          <w:ilvl w:val="0"/>
          <w:numId w:val="0"/>
        </w:numPr>
        <w:rPr>
          <w:i w:val="0"/>
        </w:rPr>
      </w:pPr>
      <w:r w:rsidRPr="000F6D03">
        <w:rPr>
          <w:i w:val="0"/>
        </w:rPr>
        <w:t xml:space="preserve">MATLAB is utilized for simulating physical, chemical, and biological processes in experiments, using </w:t>
      </w:r>
      <w:r>
        <w:rPr>
          <w:i w:val="0"/>
        </w:rPr>
        <w:t xml:space="preserve">mechanistic </w:t>
      </w:r>
      <w:r w:rsidRPr="000F6D03">
        <w:rPr>
          <w:i w:val="0"/>
        </w:rPr>
        <w:t xml:space="preserve">models for </w:t>
      </w:r>
      <w:r>
        <w:rPr>
          <w:i w:val="0"/>
        </w:rPr>
        <w:t>an optimal design of experiments</w:t>
      </w:r>
      <w:r w:rsidRPr="000F6D03">
        <w:rPr>
          <w:i w:val="0"/>
        </w:rPr>
        <w:t>. It performs estimations and simulations, which are then fed back into the system for efficient experiment management.</w:t>
      </w:r>
    </w:p>
    <w:p w14:paraId="2D9F3D84" w14:textId="24A8FD8A" w:rsidR="00932498" w:rsidRPr="00932498" w:rsidRDefault="00932498" w:rsidP="00A91738">
      <w:pPr>
        <w:pStyle w:val="Els-3rdorder-head"/>
        <w:numPr>
          <w:ilvl w:val="0"/>
          <w:numId w:val="0"/>
        </w:numPr>
      </w:pPr>
      <w:r w:rsidRPr="000F6D03">
        <w:rPr>
          <w:i w:val="0"/>
        </w:rPr>
        <w:t>Apache Ni</w:t>
      </w:r>
      <w:r w:rsidR="000E3DEA">
        <w:rPr>
          <w:i w:val="0"/>
        </w:rPr>
        <w:t>F</w:t>
      </w:r>
      <w:r w:rsidRPr="000F6D03">
        <w:rPr>
          <w:i w:val="0"/>
        </w:rPr>
        <w:t xml:space="preserve">i </w:t>
      </w:r>
      <w:r>
        <w:rPr>
          <w:i w:val="0"/>
        </w:rPr>
        <w:t>connects</w:t>
      </w:r>
      <w:r w:rsidRPr="000F6D03">
        <w:rPr>
          <w:i w:val="0"/>
        </w:rPr>
        <w:t xml:space="preserve"> the lab's </w:t>
      </w:r>
      <w:r>
        <w:rPr>
          <w:i w:val="0"/>
        </w:rPr>
        <w:t>devices</w:t>
      </w:r>
      <w:r w:rsidR="005134F8">
        <w:rPr>
          <w:i w:val="0"/>
        </w:rPr>
        <w:t xml:space="preserve">, </w:t>
      </w:r>
      <w:r w:rsidRPr="000F6D03">
        <w:rPr>
          <w:i w:val="0"/>
        </w:rPr>
        <w:t>enabl</w:t>
      </w:r>
      <w:r w:rsidR="005134F8">
        <w:rPr>
          <w:i w:val="0"/>
        </w:rPr>
        <w:t xml:space="preserve">es </w:t>
      </w:r>
      <w:r w:rsidRPr="000F6D03">
        <w:rPr>
          <w:i w:val="0"/>
        </w:rPr>
        <w:t>the creation of new device connections</w:t>
      </w:r>
      <w:r w:rsidR="005134F8">
        <w:rPr>
          <w:i w:val="0"/>
        </w:rPr>
        <w:t>,</w:t>
      </w:r>
      <w:r w:rsidRPr="000F6D03">
        <w:rPr>
          <w:i w:val="0"/>
        </w:rPr>
        <w:t xml:space="preserve"> data routing between devices and software</w:t>
      </w:r>
      <w:r>
        <w:rPr>
          <w:i w:val="0"/>
        </w:rPr>
        <w:t xml:space="preserve"> communication within the </w:t>
      </w:r>
      <w:r w:rsidRPr="000F6D03">
        <w:rPr>
          <w:i w:val="0"/>
        </w:rPr>
        <w:t xml:space="preserve">digital infrastructure. It features robust data management, </w:t>
      </w:r>
      <w:r w:rsidR="00FE24DF">
        <w:rPr>
          <w:i w:val="0"/>
        </w:rPr>
        <w:t>data storage</w:t>
      </w:r>
      <w:r w:rsidRPr="000F6D03">
        <w:rPr>
          <w:i w:val="0"/>
        </w:rPr>
        <w:t xml:space="preserve"> during communication failures, and a user interface for troubleshooting</w:t>
      </w:r>
      <w:r w:rsidR="00FE24DF">
        <w:rPr>
          <w:i w:val="0"/>
        </w:rPr>
        <w:t xml:space="preserve"> and visualization</w:t>
      </w:r>
      <w:r w:rsidRPr="000F6D03">
        <w:rPr>
          <w:i w:val="0"/>
        </w:rPr>
        <w:t xml:space="preserve"> in complex setups. </w:t>
      </w:r>
      <w:r w:rsidR="000E3DEA" w:rsidRPr="000F6D03">
        <w:rPr>
          <w:i w:val="0"/>
        </w:rPr>
        <w:t>Apache Ni</w:t>
      </w:r>
      <w:r w:rsidR="000E3DEA">
        <w:rPr>
          <w:i w:val="0"/>
        </w:rPr>
        <w:t>F</w:t>
      </w:r>
      <w:r w:rsidR="000E3DEA" w:rsidRPr="000F6D03">
        <w:rPr>
          <w:i w:val="0"/>
        </w:rPr>
        <w:t>i</w:t>
      </w:r>
      <w:r w:rsidRPr="000F6D03">
        <w:rPr>
          <w:i w:val="0"/>
        </w:rPr>
        <w:t xml:space="preserve"> also facilitates data processing and transformation, ensuring compatibility and seamless communication across various platforms</w:t>
      </w:r>
      <w:r>
        <w:t>.</w:t>
      </w:r>
    </w:p>
    <w:p w14:paraId="2767B879" w14:textId="6385F383" w:rsidR="00774B1B" w:rsidRPr="00B44F13" w:rsidRDefault="00BE5631" w:rsidP="000F6D03">
      <w:pPr>
        <w:pStyle w:val="Els-1storder-head"/>
        <w:spacing w:after="120"/>
        <w:ind w:left="0"/>
        <w:rPr>
          <w:lang w:val="en-GB"/>
        </w:rPr>
      </w:pPr>
      <w:r w:rsidRPr="006A45FB">
        <w:rPr>
          <w:lang w:val="en-GB"/>
        </w:rPr>
        <w:t>Result</w:t>
      </w:r>
      <w:r w:rsidR="00B44F13">
        <w:rPr>
          <w:lang w:val="en-GB"/>
        </w:rPr>
        <w:t>s</w:t>
      </w:r>
    </w:p>
    <w:p w14:paraId="737A6C2E" w14:textId="2D7C562E" w:rsidR="002B45E5" w:rsidRPr="006A45FB" w:rsidRDefault="00BB4CA4" w:rsidP="00BB4CA4">
      <w:pPr>
        <w:pStyle w:val="Els-body-text"/>
      </w:pPr>
      <w:r w:rsidRPr="006A45FB">
        <w:t xml:space="preserve">The performance of the system was evaluated based on its data handling capabilities, flexibility, and the integration of various hardware and software components. The orchestrator efficiently managed real-time data export and analysis, including the </w:t>
      </w:r>
      <w:r w:rsidR="000E3DEA" w:rsidRPr="006A45FB">
        <w:rPr>
          <w:noProof/>
        </w:rPr>
        <w:lastRenderedPageBreak/>
        <mc:AlternateContent>
          <mc:Choice Requires="wps">
            <w:drawing>
              <wp:anchor distT="0" distB="0" distL="114300" distR="114300" simplePos="0" relativeHeight="251701248" behindDoc="0" locked="0" layoutInCell="1" allowOverlap="1" wp14:anchorId="02F8863E" wp14:editId="44FE0DAD">
                <wp:simplePos x="0" y="0"/>
                <wp:positionH relativeFrom="margin">
                  <wp:posOffset>-63974</wp:posOffset>
                </wp:positionH>
                <wp:positionV relativeFrom="margin">
                  <wp:posOffset>-80645</wp:posOffset>
                </wp:positionV>
                <wp:extent cx="4589780" cy="6535420"/>
                <wp:effectExtent l="0" t="0" r="1270" b="0"/>
                <wp:wrapTopAndBottom/>
                <wp:docPr id="1265047408" name="Textfeld 1"/>
                <wp:cNvGraphicFramePr/>
                <a:graphic xmlns:a="http://schemas.openxmlformats.org/drawingml/2006/main">
                  <a:graphicData uri="http://schemas.microsoft.com/office/word/2010/wordprocessingShape">
                    <wps:wsp>
                      <wps:cNvSpPr txBox="1"/>
                      <wps:spPr>
                        <a:xfrm>
                          <a:off x="0" y="0"/>
                          <a:ext cx="4589780" cy="6535420"/>
                        </a:xfrm>
                        <a:prstGeom prst="rect">
                          <a:avLst/>
                        </a:prstGeom>
                        <a:solidFill>
                          <a:prstClr val="white"/>
                        </a:solidFill>
                        <a:ln>
                          <a:noFill/>
                        </a:ln>
                      </wps:spPr>
                      <wps:txbx>
                        <w:txbxContent>
                          <w:p w14:paraId="3D427007" w14:textId="77777777" w:rsidR="00932498" w:rsidRDefault="00932498" w:rsidP="00932498">
                            <w:pPr>
                              <w:pStyle w:val="Els-body-text"/>
                            </w:pPr>
                            <w:r>
                              <w:rPr>
                                <w:noProof/>
                              </w:rPr>
                              <w:drawing>
                                <wp:inline distT="0" distB="0" distL="0" distR="0" wp14:anchorId="7D88CEA4" wp14:editId="046C7121">
                                  <wp:extent cx="2156347" cy="1518971"/>
                                  <wp:effectExtent l="0" t="0" r="0" b="5080"/>
                                  <wp:docPr id="1730196206" name="Picture 173019620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52180" name="Picture 8" descr="A screenshot of a computer scree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6347" cy="1518971"/>
                                          </a:xfrm>
                                          <a:prstGeom prst="rect">
                                            <a:avLst/>
                                          </a:prstGeom>
                                          <a:noFill/>
                                        </pic:spPr>
                                      </pic:pic>
                                    </a:graphicData>
                                  </a:graphic>
                                </wp:inline>
                              </w:drawing>
                            </w:r>
                            <w:r>
                              <w:t xml:space="preserve"> </w:t>
                            </w:r>
                            <w:r>
                              <w:rPr>
                                <w:noProof/>
                              </w:rPr>
                              <w:drawing>
                                <wp:inline distT="0" distB="0" distL="0" distR="0" wp14:anchorId="4F3CA2BA" wp14:editId="643BAC0F">
                                  <wp:extent cx="2183421" cy="1440611"/>
                                  <wp:effectExtent l="0" t="0" r="7620" b="7620"/>
                                  <wp:docPr id="471494658" name="Picture 471494658" descr="A close-up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40711" name="Picture 902840711" descr="A close-up of a test tube&#10;&#10;Description automatically generated"/>
                                          <pic:cNvPicPr/>
                                        </pic:nvPicPr>
                                        <pic:blipFill>
                                          <a:blip r:embed="rId11"/>
                                          <a:stretch>
                                            <a:fillRect/>
                                          </a:stretch>
                                        </pic:blipFill>
                                        <pic:spPr>
                                          <a:xfrm>
                                            <a:off x="0" y="0"/>
                                            <a:ext cx="2183421" cy="1440611"/>
                                          </a:xfrm>
                                          <a:prstGeom prst="rect">
                                            <a:avLst/>
                                          </a:prstGeom>
                                        </pic:spPr>
                                      </pic:pic>
                                    </a:graphicData>
                                  </a:graphic>
                                </wp:inline>
                              </w:drawing>
                            </w:r>
                          </w:p>
                          <w:p w14:paraId="38D08958" w14:textId="77777777" w:rsidR="00932498" w:rsidRDefault="00932498" w:rsidP="00932498">
                            <w:pPr>
                              <w:pStyle w:val="Els-body-text"/>
                            </w:pPr>
                          </w:p>
                          <w:tbl>
                            <w:tblPr>
                              <w:tblStyle w:val="TableGrid"/>
                              <w:tblW w:w="7230" w:type="dxa"/>
                              <w:tblInd w:w="-5" w:type="dxa"/>
                              <w:tblLayout w:type="fixed"/>
                              <w:tblLook w:val="04A0" w:firstRow="1" w:lastRow="0" w:firstColumn="1" w:lastColumn="0" w:noHBand="0" w:noVBand="1"/>
                            </w:tblPr>
                            <w:tblGrid>
                              <w:gridCol w:w="3686"/>
                              <w:gridCol w:w="3544"/>
                            </w:tblGrid>
                            <w:tr w:rsidR="00932498" w14:paraId="34A4383C" w14:textId="77777777" w:rsidTr="008361D5">
                              <w:tc>
                                <w:tcPr>
                                  <w:tcW w:w="3686" w:type="dxa"/>
                                  <w:tcBorders>
                                    <w:top w:val="nil"/>
                                    <w:left w:val="nil"/>
                                    <w:bottom w:val="nil"/>
                                    <w:right w:val="nil"/>
                                  </w:tcBorders>
                                </w:tcPr>
                                <w:p w14:paraId="3331D5C7" w14:textId="77777777" w:rsidR="00932498" w:rsidRDefault="00932498" w:rsidP="008361D5">
                                  <w:pPr>
                                    <w:pStyle w:val="Els-body-text"/>
                                  </w:pPr>
                                  <w:r>
                                    <w:rPr>
                                      <w:noProof/>
                                    </w:rPr>
                                    <w:drawing>
                                      <wp:inline distT="0" distB="0" distL="0" distR="0" wp14:anchorId="6044AA44" wp14:editId="4544E558">
                                        <wp:extent cx="2223365" cy="1815152"/>
                                        <wp:effectExtent l="0" t="0" r="5715" b="0"/>
                                        <wp:docPr id="813583333" name="Picture 813583333" descr="A group of graphs showing different val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2685" name="Picture 3" descr="A group of graphs showing different value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239622" cy="1828424"/>
                                                </a:xfrm>
                                                <a:prstGeom prst="rect">
                                                  <a:avLst/>
                                                </a:prstGeom>
                                              </pic:spPr>
                                            </pic:pic>
                                          </a:graphicData>
                                        </a:graphic>
                                      </wp:inline>
                                    </w:drawing>
                                  </w:r>
                                </w:p>
                              </w:tc>
                              <w:tc>
                                <w:tcPr>
                                  <w:tcW w:w="3544" w:type="dxa"/>
                                  <w:tcBorders>
                                    <w:top w:val="nil"/>
                                    <w:left w:val="nil"/>
                                    <w:bottom w:val="nil"/>
                                    <w:right w:val="nil"/>
                                  </w:tcBorders>
                                </w:tcPr>
                                <w:p w14:paraId="19E300D9" w14:textId="77777777" w:rsidR="00932498" w:rsidRDefault="00932498" w:rsidP="008361D5">
                                  <w:pPr>
                                    <w:pStyle w:val="Els-body-text"/>
                                  </w:pPr>
                                  <w:r>
                                    <w:rPr>
                                      <w:noProof/>
                                    </w:rPr>
                                    <w:drawing>
                                      <wp:inline distT="0" distB="0" distL="0" distR="0" wp14:anchorId="7F1F375C" wp14:editId="6B9BAED1">
                                        <wp:extent cx="2206786" cy="1801617"/>
                                        <wp:effectExtent l="0" t="0" r="3175" b="8255"/>
                                        <wp:docPr id="232496740" name="Picture 232496740" descr="A group of graphs showing the results of a thermal data w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07851" name="Picture 4" descr="A group of graphs showing the results of a thermal data well&#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220994" cy="1813216"/>
                                                </a:xfrm>
                                                <a:prstGeom prst="rect">
                                                  <a:avLst/>
                                                </a:prstGeom>
                                              </pic:spPr>
                                            </pic:pic>
                                          </a:graphicData>
                                        </a:graphic>
                                      </wp:inline>
                                    </w:drawing>
                                  </w:r>
                                </w:p>
                              </w:tc>
                            </w:tr>
                            <w:tr w:rsidR="00932498" w14:paraId="4330BCF1" w14:textId="77777777" w:rsidTr="008361D5">
                              <w:tc>
                                <w:tcPr>
                                  <w:tcW w:w="3686" w:type="dxa"/>
                                  <w:tcBorders>
                                    <w:top w:val="nil"/>
                                    <w:left w:val="nil"/>
                                    <w:bottom w:val="nil"/>
                                    <w:right w:val="nil"/>
                                  </w:tcBorders>
                                </w:tcPr>
                                <w:p w14:paraId="1B0E2081" w14:textId="77777777" w:rsidR="00932498" w:rsidRDefault="00932498" w:rsidP="008361D5">
                                  <w:pPr>
                                    <w:pStyle w:val="Els-body-text"/>
                                    <w:keepNext/>
                                  </w:pPr>
                                  <w:r>
                                    <w:rPr>
                                      <w:noProof/>
                                    </w:rPr>
                                    <w:drawing>
                                      <wp:inline distT="0" distB="0" distL="0" distR="0" wp14:anchorId="4E8E856E" wp14:editId="4CA1B064">
                                        <wp:extent cx="2223135" cy="1814964"/>
                                        <wp:effectExtent l="0" t="0" r="5715" b="0"/>
                                        <wp:docPr id="1629683907" name="Picture 1629683907" descr="A graph of data w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76412" name="Picture 5" descr="A graph of data well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237427" cy="1826632"/>
                                                </a:xfrm>
                                                <a:prstGeom prst="rect">
                                                  <a:avLst/>
                                                </a:prstGeom>
                                              </pic:spPr>
                                            </pic:pic>
                                          </a:graphicData>
                                        </a:graphic>
                                      </wp:inline>
                                    </w:drawing>
                                  </w:r>
                                </w:p>
                              </w:tc>
                              <w:tc>
                                <w:tcPr>
                                  <w:tcW w:w="3544" w:type="dxa"/>
                                  <w:tcBorders>
                                    <w:top w:val="nil"/>
                                    <w:left w:val="nil"/>
                                    <w:bottom w:val="nil"/>
                                    <w:right w:val="nil"/>
                                  </w:tcBorders>
                                </w:tcPr>
                                <w:p w14:paraId="0801AC04" w14:textId="77777777" w:rsidR="00932498" w:rsidRDefault="00932498" w:rsidP="008361D5">
                                  <w:pPr>
                                    <w:pStyle w:val="Els-body-text"/>
                                    <w:keepNext/>
                                  </w:pPr>
                                  <w:r>
                                    <w:rPr>
                                      <w:noProof/>
                                    </w:rPr>
                                    <w:drawing>
                                      <wp:inline distT="0" distB="0" distL="0" distR="0" wp14:anchorId="71F8C797" wp14:editId="700DCED5">
                                        <wp:extent cx="2189931" cy="1787857"/>
                                        <wp:effectExtent l="0" t="0" r="1270" b="3175"/>
                                        <wp:docPr id="2132505109" name="Picture 2132505109" descr="A group of graphs showing the number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47892" name="Picture 6" descr="A group of graphs showing the number of data&#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3085" cy="1806760"/>
                                                </a:xfrm>
                                                <a:prstGeom prst="rect">
                                                  <a:avLst/>
                                                </a:prstGeom>
                                              </pic:spPr>
                                            </pic:pic>
                                          </a:graphicData>
                                        </a:graphic>
                                      </wp:inline>
                                    </w:drawing>
                                  </w:r>
                                </w:p>
                              </w:tc>
                            </w:tr>
                            <w:tr w:rsidR="00932498" w14:paraId="5C397FF6" w14:textId="77777777" w:rsidTr="008361D5">
                              <w:trPr>
                                <w:trHeight w:val="92"/>
                              </w:trPr>
                              <w:tc>
                                <w:tcPr>
                                  <w:tcW w:w="7230" w:type="dxa"/>
                                  <w:gridSpan w:val="2"/>
                                  <w:tcBorders>
                                    <w:top w:val="nil"/>
                                    <w:left w:val="nil"/>
                                    <w:bottom w:val="nil"/>
                                    <w:right w:val="nil"/>
                                  </w:tcBorders>
                                </w:tcPr>
                                <w:p w14:paraId="3FCD38D3" w14:textId="77777777" w:rsidR="00932498" w:rsidRDefault="00932498" w:rsidP="008361D5">
                                  <w:pPr>
                                    <w:pStyle w:val="Els-body-text"/>
                                    <w:keepNext/>
                                  </w:pPr>
                                  <w:r w:rsidRPr="00BF7B10">
                                    <w:rPr>
                                      <w:i/>
                                      <w:sz w:val="2"/>
                                      <w:szCs w:val="2"/>
                                    </w:rPr>
                                    <w:object w:dxaOrig="17908" w:dyaOrig="60" w14:anchorId="2279F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48.3pt;height:4.4pt">
                                        <v:imagedata r:id="rId16" o:title=""/>
                                      </v:shape>
                                      <o:OLEObject Type="Embed" ProgID="PBrush" ShapeID="_x0000_i1031" DrawAspect="Content" ObjectID="_1766345276" r:id="rId17"/>
                                    </w:object>
                                  </w:r>
                                </w:p>
                                <w:p w14:paraId="3F09D73C" w14:textId="6E054910" w:rsidR="00932498" w:rsidRDefault="00932498" w:rsidP="008361D5">
                                  <w:pPr>
                                    <w:pStyle w:val="Caption"/>
                                    <w:jc w:val="both"/>
                                  </w:pPr>
                                  <w:bookmarkStart w:id="10" w:name="_Ref152581831"/>
                                  <w:r>
                                    <w:t xml:space="preserve">Figure </w:t>
                                  </w:r>
                                  <w:r>
                                    <w:fldChar w:fldCharType="begin"/>
                                  </w:r>
                                  <w:r>
                                    <w:instrText xml:space="preserve"> SEQ Figure \* ARABIC </w:instrText>
                                  </w:r>
                                  <w:r>
                                    <w:fldChar w:fldCharType="separate"/>
                                  </w:r>
                                  <w:r w:rsidR="001A042E">
                                    <w:rPr>
                                      <w:noProof/>
                                    </w:rPr>
                                    <w:t>3</w:t>
                                  </w:r>
                                  <w:r>
                                    <w:fldChar w:fldCharType="end"/>
                                  </w:r>
                                  <w:bookmarkEnd w:id="10"/>
                                  <w:r>
                                    <w:t>: Exemplary intermediate result of an ongoing screening as it is represented in Matlab. The data is from a single 96 well plate 4 well segment</w:t>
                                  </w:r>
                                  <w:r w:rsidR="005134F8">
                                    <w:t xml:space="preserve"> is</w:t>
                                  </w:r>
                                  <w:r>
                                    <w:t xml:space="preserve"> displayed in the upper left scheme and upper right picture. The time zero seconds in the plots represents the time of enzyme addition in the main 96 Well plate. The top four plots</w:t>
                                  </w:r>
                                  <w:r w:rsidR="00FE24DF">
                                    <w:t xml:space="preserve"> on the left</w:t>
                                  </w:r>
                                  <w:r>
                                    <w:t xml:space="preserve"> show plate reader measurements from 384 Well measurements plates for samples from the four well block. The upper right four </w:t>
                                  </w:r>
                                  <w:r w:rsidR="00FE24DF">
                                    <w:t>plot</w:t>
                                  </w:r>
                                  <w:r>
                                    <w:t xml:space="preserve">s show the temperature measurements taken during the experiment. The bottom left </w:t>
                                  </w:r>
                                  <w:r w:rsidR="00FE24DF">
                                    <w:t>plots</w:t>
                                  </w:r>
                                  <w:r>
                                    <w:t xml:space="preserve"> </w:t>
                                  </w:r>
                                  <w:r w:rsidR="00FE24DF">
                                    <w:t>show</w:t>
                                  </w:r>
                                  <w:r>
                                    <w:t xml:space="preserve"> calculated concentrations from the four wells and the bottom right graphs show the total volume in each of the four wells. </w:t>
                                  </w:r>
                                </w:p>
                                <w:p w14:paraId="7792F7CE" w14:textId="77777777" w:rsidR="00932498" w:rsidRPr="00BF7B10" w:rsidRDefault="00932498" w:rsidP="008361D5">
                                  <w:pPr>
                                    <w:pStyle w:val="Els-body-text"/>
                                    <w:keepNext/>
                                    <w:rPr>
                                      <w:noProof/>
                                      <w:sz w:val="2"/>
                                      <w:szCs w:val="2"/>
                                    </w:rPr>
                                  </w:pPr>
                                </w:p>
                              </w:tc>
                            </w:tr>
                          </w:tbl>
                          <w:p w14:paraId="24EEF063" w14:textId="77777777" w:rsidR="00932498" w:rsidRPr="006642BA" w:rsidRDefault="00932498" w:rsidP="00932498">
                            <w:pPr>
                              <w:pStyle w:val="Caption"/>
                              <w:jc w:val="both"/>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863E" id="Textfeld 1" o:spid="_x0000_s1028" type="#_x0000_t202" style="position:absolute;left:0;text-align:left;margin-left:-5.05pt;margin-top:-6.35pt;width:361.4pt;height:514.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tuIAIAAEMEAAAOAAAAZHJzL2Uyb0RvYy54bWysU1Fv2jAQfp+0/2D5fQRY6RgiVIyKaRJq&#10;K9Gpz8ZxiCXH550NCfv1OzsEum5P016ci+98d993383v2tqwo0KvweZ8NBhypqyEQtt9zr8/rz9M&#10;OfNB2EIYsCrnJ+X53eL9u3njZmoMFZhCIaMk1s8al/MqBDfLMi8rVQs/AKcsOUvAWgT6xX1WoGgo&#10;e22y8XB4mzWAhUOQynu6ve+cfJHyl6WS4bEsvQrM5Jx6C+nEdO7imS3mYrZH4Sotz22If+iiFtpS&#10;0UuqexEEO6D+I1WtJYKHMgwk1BmUpZYqYSA0o+EbNNtKOJWwEDneXWjy/y+tfDhu3ROy0H6BlgYY&#10;CWmcn3m6jHjaEuv4pU4Z+YnC04U21QYm6fJmMv38aUouSb7bycfJzTgRm12fO/Thq4KaRSPnSHNJ&#10;dInjxgcqSaF9SKzmwehirY2JP9GxMsiOgmbYVDqo2CS9+C3K2BhrIb7q3PEmu2KJVmh3LdNFzsc9&#10;zh0UJ4KP0CnDO7nWVG8jfHgSSFIgWCTv8EhHaaDJOZwtzirAn3+7j/E0IfJy1pC0cu5/HAQqzsw3&#10;S7OLOuwN7I1db9hDvQJCOqLFcTKZ9ACD6c0SoX4h1S9jFXIJK6lWzkNvrkIncNoaqZbLFERqcyJs&#10;7NbJmLrn9bl9EejOUwk00AfoRSdmb4bTxXYsLw8BSp0mF3ntWDzTTUpN4zlvVVyF1/8p6rr7i18A&#10;AAD//wMAUEsDBBQABgAIAAAAIQANIbi23wAAAAwBAAAPAAAAZHJzL2Rvd25yZXYueG1sTI/BTsMw&#10;DIbvSLxDZCQuaEtaiQ6VphNscIPDxrRz1nhttcapknTt3p6My7j9lj/9/lwsJ9OxMzrfWpKQzAUw&#10;pMrqlmoJu5/P2QswHxRp1VlCCRf0sCzv7wqVazvSBs/bULNYQj5XEpoQ+pxzXzVolJ/bHinujtYZ&#10;FeLoaq6dGmO56XgqRMaNaileaFSPqwar03YwErK1G8YNrZ7Wu48v9d3X6f79spfy8WF6ewUWcAo3&#10;GK76UR3K6HSwA2nPOgmzRCQRvYZ0ASwSi79wiKhIsmfgZcH/P1H+AgAA//8DAFBLAQItABQABgAI&#10;AAAAIQC2gziS/gAAAOEBAAATAAAAAAAAAAAAAAAAAAAAAABbQ29udGVudF9UeXBlc10ueG1sUEsB&#10;Ai0AFAAGAAgAAAAhADj9If/WAAAAlAEAAAsAAAAAAAAAAAAAAAAALwEAAF9yZWxzLy5yZWxzUEsB&#10;Ai0AFAAGAAgAAAAhAEP3224gAgAAQwQAAA4AAAAAAAAAAAAAAAAALgIAAGRycy9lMm9Eb2MueG1s&#10;UEsBAi0AFAAGAAgAAAAhAA0huLbfAAAADAEAAA8AAAAAAAAAAAAAAAAAegQAAGRycy9kb3ducmV2&#10;LnhtbFBLBQYAAAAABAAEAPMAAACGBQAAAAA=&#10;" stroked="f">
                <v:textbox inset="0,0,0,0">
                  <w:txbxContent>
                    <w:p w14:paraId="3D427007" w14:textId="77777777" w:rsidR="00932498" w:rsidRDefault="00932498" w:rsidP="00932498">
                      <w:pPr>
                        <w:pStyle w:val="Els-body-text"/>
                      </w:pPr>
                      <w:r>
                        <w:rPr>
                          <w:noProof/>
                        </w:rPr>
                        <w:drawing>
                          <wp:inline distT="0" distB="0" distL="0" distR="0" wp14:anchorId="7D88CEA4" wp14:editId="046C7121">
                            <wp:extent cx="2156347" cy="1518971"/>
                            <wp:effectExtent l="0" t="0" r="0" b="5080"/>
                            <wp:docPr id="1730196206" name="Picture 173019620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52180" name="Picture 8" descr="A screenshot of a computer scree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6347" cy="1518971"/>
                                    </a:xfrm>
                                    <a:prstGeom prst="rect">
                                      <a:avLst/>
                                    </a:prstGeom>
                                    <a:noFill/>
                                  </pic:spPr>
                                </pic:pic>
                              </a:graphicData>
                            </a:graphic>
                          </wp:inline>
                        </w:drawing>
                      </w:r>
                      <w:r>
                        <w:t xml:space="preserve"> </w:t>
                      </w:r>
                      <w:r>
                        <w:rPr>
                          <w:noProof/>
                        </w:rPr>
                        <w:drawing>
                          <wp:inline distT="0" distB="0" distL="0" distR="0" wp14:anchorId="4F3CA2BA" wp14:editId="643BAC0F">
                            <wp:extent cx="2183421" cy="1440611"/>
                            <wp:effectExtent l="0" t="0" r="7620" b="7620"/>
                            <wp:docPr id="471494658" name="Picture 471494658" descr="A close-up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40711" name="Picture 902840711" descr="A close-up of a test tube&#10;&#10;Description automatically generated"/>
                                    <pic:cNvPicPr/>
                                  </pic:nvPicPr>
                                  <pic:blipFill>
                                    <a:blip r:embed="rId11"/>
                                    <a:stretch>
                                      <a:fillRect/>
                                    </a:stretch>
                                  </pic:blipFill>
                                  <pic:spPr>
                                    <a:xfrm>
                                      <a:off x="0" y="0"/>
                                      <a:ext cx="2183421" cy="1440611"/>
                                    </a:xfrm>
                                    <a:prstGeom prst="rect">
                                      <a:avLst/>
                                    </a:prstGeom>
                                  </pic:spPr>
                                </pic:pic>
                              </a:graphicData>
                            </a:graphic>
                          </wp:inline>
                        </w:drawing>
                      </w:r>
                    </w:p>
                    <w:p w14:paraId="38D08958" w14:textId="77777777" w:rsidR="00932498" w:rsidRDefault="00932498" w:rsidP="00932498">
                      <w:pPr>
                        <w:pStyle w:val="Els-body-text"/>
                      </w:pPr>
                    </w:p>
                    <w:tbl>
                      <w:tblPr>
                        <w:tblStyle w:val="TableGrid"/>
                        <w:tblW w:w="7230" w:type="dxa"/>
                        <w:tblInd w:w="-5" w:type="dxa"/>
                        <w:tblLayout w:type="fixed"/>
                        <w:tblLook w:val="04A0" w:firstRow="1" w:lastRow="0" w:firstColumn="1" w:lastColumn="0" w:noHBand="0" w:noVBand="1"/>
                      </w:tblPr>
                      <w:tblGrid>
                        <w:gridCol w:w="3686"/>
                        <w:gridCol w:w="3544"/>
                      </w:tblGrid>
                      <w:tr w:rsidR="00932498" w14:paraId="34A4383C" w14:textId="77777777" w:rsidTr="008361D5">
                        <w:tc>
                          <w:tcPr>
                            <w:tcW w:w="3686" w:type="dxa"/>
                            <w:tcBorders>
                              <w:top w:val="nil"/>
                              <w:left w:val="nil"/>
                              <w:bottom w:val="nil"/>
                              <w:right w:val="nil"/>
                            </w:tcBorders>
                          </w:tcPr>
                          <w:p w14:paraId="3331D5C7" w14:textId="77777777" w:rsidR="00932498" w:rsidRDefault="00932498" w:rsidP="008361D5">
                            <w:pPr>
                              <w:pStyle w:val="Els-body-text"/>
                            </w:pPr>
                            <w:r>
                              <w:rPr>
                                <w:noProof/>
                              </w:rPr>
                              <w:drawing>
                                <wp:inline distT="0" distB="0" distL="0" distR="0" wp14:anchorId="6044AA44" wp14:editId="4544E558">
                                  <wp:extent cx="2223365" cy="1815152"/>
                                  <wp:effectExtent l="0" t="0" r="5715" b="0"/>
                                  <wp:docPr id="813583333" name="Picture 813583333" descr="A group of graphs showing different val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2685" name="Picture 3" descr="A group of graphs showing different value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239622" cy="1828424"/>
                                          </a:xfrm>
                                          <a:prstGeom prst="rect">
                                            <a:avLst/>
                                          </a:prstGeom>
                                        </pic:spPr>
                                      </pic:pic>
                                    </a:graphicData>
                                  </a:graphic>
                                </wp:inline>
                              </w:drawing>
                            </w:r>
                          </w:p>
                        </w:tc>
                        <w:tc>
                          <w:tcPr>
                            <w:tcW w:w="3544" w:type="dxa"/>
                            <w:tcBorders>
                              <w:top w:val="nil"/>
                              <w:left w:val="nil"/>
                              <w:bottom w:val="nil"/>
                              <w:right w:val="nil"/>
                            </w:tcBorders>
                          </w:tcPr>
                          <w:p w14:paraId="19E300D9" w14:textId="77777777" w:rsidR="00932498" w:rsidRDefault="00932498" w:rsidP="008361D5">
                            <w:pPr>
                              <w:pStyle w:val="Els-body-text"/>
                            </w:pPr>
                            <w:r>
                              <w:rPr>
                                <w:noProof/>
                              </w:rPr>
                              <w:drawing>
                                <wp:inline distT="0" distB="0" distL="0" distR="0" wp14:anchorId="7F1F375C" wp14:editId="6B9BAED1">
                                  <wp:extent cx="2206786" cy="1801617"/>
                                  <wp:effectExtent l="0" t="0" r="3175" b="8255"/>
                                  <wp:docPr id="232496740" name="Picture 232496740" descr="A group of graphs showing the results of a thermal data w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07851" name="Picture 4" descr="A group of graphs showing the results of a thermal data well&#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220994" cy="1813216"/>
                                          </a:xfrm>
                                          <a:prstGeom prst="rect">
                                            <a:avLst/>
                                          </a:prstGeom>
                                        </pic:spPr>
                                      </pic:pic>
                                    </a:graphicData>
                                  </a:graphic>
                                </wp:inline>
                              </w:drawing>
                            </w:r>
                          </w:p>
                        </w:tc>
                      </w:tr>
                      <w:tr w:rsidR="00932498" w14:paraId="4330BCF1" w14:textId="77777777" w:rsidTr="008361D5">
                        <w:tc>
                          <w:tcPr>
                            <w:tcW w:w="3686" w:type="dxa"/>
                            <w:tcBorders>
                              <w:top w:val="nil"/>
                              <w:left w:val="nil"/>
                              <w:bottom w:val="nil"/>
                              <w:right w:val="nil"/>
                            </w:tcBorders>
                          </w:tcPr>
                          <w:p w14:paraId="1B0E2081" w14:textId="77777777" w:rsidR="00932498" w:rsidRDefault="00932498" w:rsidP="008361D5">
                            <w:pPr>
                              <w:pStyle w:val="Els-body-text"/>
                              <w:keepNext/>
                            </w:pPr>
                            <w:r>
                              <w:rPr>
                                <w:noProof/>
                              </w:rPr>
                              <w:drawing>
                                <wp:inline distT="0" distB="0" distL="0" distR="0" wp14:anchorId="4E8E856E" wp14:editId="4CA1B064">
                                  <wp:extent cx="2223135" cy="1814964"/>
                                  <wp:effectExtent l="0" t="0" r="5715" b="0"/>
                                  <wp:docPr id="1629683907" name="Picture 1629683907" descr="A graph of data w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76412" name="Picture 5" descr="A graph of data well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237427" cy="1826632"/>
                                          </a:xfrm>
                                          <a:prstGeom prst="rect">
                                            <a:avLst/>
                                          </a:prstGeom>
                                        </pic:spPr>
                                      </pic:pic>
                                    </a:graphicData>
                                  </a:graphic>
                                </wp:inline>
                              </w:drawing>
                            </w:r>
                          </w:p>
                        </w:tc>
                        <w:tc>
                          <w:tcPr>
                            <w:tcW w:w="3544" w:type="dxa"/>
                            <w:tcBorders>
                              <w:top w:val="nil"/>
                              <w:left w:val="nil"/>
                              <w:bottom w:val="nil"/>
                              <w:right w:val="nil"/>
                            </w:tcBorders>
                          </w:tcPr>
                          <w:p w14:paraId="0801AC04" w14:textId="77777777" w:rsidR="00932498" w:rsidRDefault="00932498" w:rsidP="008361D5">
                            <w:pPr>
                              <w:pStyle w:val="Els-body-text"/>
                              <w:keepNext/>
                            </w:pPr>
                            <w:r>
                              <w:rPr>
                                <w:noProof/>
                              </w:rPr>
                              <w:drawing>
                                <wp:inline distT="0" distB="0" distL="0" distR="0" wp14:anchorId="71F8C797" wp14:editId="700DCED5">
                                  <wp:extent cx="2189931" cy="1787857"/>
                                  <wp:effectExtent l="0" t="0" r="1270" b="3175"/>
                                  <wp:docPr id="2132505109" name="Picture 2132505109" descr="A group of graphs showing the number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47892" name="Picture 6" descr="A group of graphs showing the number of data&#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3085" cy="1806760"/>
                                          </a:xfrm>
                                          <a:prstGeom prst="rect">
                                            <a:avLst/>
                                          </a:prstGeom>
                                        </pic:spPr>
                                      </pic:pic>
                                    </a:graphicData>
                                  </a:graphic>
                                </wp:inline>
                              </w:drawing>
                            </w:r>
                          </w:p>
                        </w:tc>
                      </w:tr>
                      <w:tr w:rsidR="00932498" w14:paraId="5C397FF6" w14:textId="77777777" w:rsidTr="008361D5">
                        <w:trPr>
                          <w:trHeight w:val="92"/>
                        </w:trPr>
                        <w:tc>
                          <w:tcPr>
                            <w:tcW w:w="7230" w:type="dxa"/>
                            <w:gridSpan w:val="2"/>
                            <w:tcBorders>
                              <w:top w:val="nil"/>
                              <w:left w:val="nil"/>
                              <w:bottom w:val="nil"/>
                              <w:right w:val="nil"/>
                            </w:tcBorders>
                          </w:tcPr>
                          <w:p w14:paraId="3FCD38D3" w14:textId="77777777" w:rsidR="00932498" w:rsidRDefault="00932498" w:rsidP="008361D5">
                            <w:pPr>
                              <w:pStyle w:val="Els-body-text"/>
                              <w:keepNext/>
                            </w:pPr>
                            <w:r w:rsidRPr="00BF7B10">
                              <w:rPr>
                                <w:i/>
                                <w:sz w:val="2"/>
                                <w:szCs w:val="2"/>
                              </w:rPr>
                              <w:object w:dxaOrig="17908" w:dyaOrig="60" w14:anchorId="2279FF43">
                                <v:shape id="_x0000_i1031" type="#_x0000_t75" style="width:348.3pt;height:4.4pt">
                                  <v:imagedata r:id="rId16" o:title=""/>
                                </v:shape>
                                <o:OLEObject Type="Embed" ProgID="PBrush" ShapeID="_x0000_i1031" DrawAspect="Content" ObjectID="_1766345276" r:id="rId18"/>
                              </w:object>
                            </w:r>
                          </w:p>
                          <w:p w14:paraId="3F09D73C" w14:textId="6E054910" w:rsidR="00932498" w:rsidRDefault="00932498" w:rsidP="008361D5">
                            <w:pPr>
                              <w:pStyle w:val="Caption"/>
                              <w:jc w:val="both"/>
                            </w:pPr>
                            <w:bookmarkStart w:id="11" w:name="_Ref152581831"/>
                            <w:r>
                              <w:t xml:space="preserve">Figure </w:t>
                            </w:r>
                            <w:r>
                              <w:fldChar w:fldCharType="begin"/>
                            </w:r>
                            <w:r>
                              <w:instrText xml:space="preserve"> SEQ Figure \* ARABIC </w:instrText>
                            </w:r>
                            <w:r>
                              <w:fldChar w:fldCharType="separate"/>
                            </w:r>
                            <w:r w:rsidR="001A042E">
                              <w:rPr>
                                <w:noProof/>
                              </w:rPr>
                              <w:t>3</w:t>
                            </w:r>
                            <w:r>
                              <w:fldChar w:fldCharType="end"/>
                            </w:r>
                            <w:bookmarkEnd w:id="11"/>
                            <w:r>
                              <w:t>: Exemplary intermediate result of an ongoing screening as it is represented in Matlab. The data is from a single 96 well plate 4 well segment</w:t>
                            </w:r>
                            <w:r w:rsidR="005134F8">
                              <w:t xml:space="preserve"> is</w:t>
                            </w:r>
                            <w:r>
                              <w:t xml:space="preserve"> displayed in the upper left scheme and upper right picture. The time zero seconds in the plots represents the time of enzyme addition in the main 96 Well plate. The top four plots</w:t>
                            </w:r>
                            <w:r w:rsidR="00FE24DF">
                              <w:t xml:space="preserve"> on the left</w:t>
                            </w:r>
                            <w:r>
                              <w:t xml:space="preserve"> show plate reader measurements from 384 Well measurements plates for samples from the four well block. The upper right four </w:t>
                            </w:r>
                            <w:r w:rsidR="00FE24DF">
                              <w:t>plot</w:t>
                            </w:r>
                            <w:r>
                              <w:t xml:space="preserve">s show the temperature measurements taken during the experiment. The bottom left </w:t>
                            </w:r>
                            <w:r w:rsidR="00FE24DF">
                              <w:t>plots</w:t>
                            </w:r>
                            <w:r>
                              <w:t xml:space="preserve"> </w:t>
                            </w:r>
                            <w:r w:rsidR="00FE24DF">
                              <w:t>show</w:t>
                            </w:r>
                            <w:r>
                              <w:t xml:space="preserve"> calculated concentrations from the four wells and the bottom right graphs show the total volume in each of the four wells. </w:t>
                            </w:r>
                          </w:p>
                          <w:p w14:paraId="7792F7CE" w14:textId="77777777" w:rsidR="00932498" w:rsidRPr="00BF7B10" w:rsidRDefault="00932498" w:rsidP="008361D5">
                            <w:pPr>
                              <w:pStyle w:val="Els-body-text"/>
                              <w:keepNext/>
                              <w:rPr>
                                <w:noProof/>
                                <w:sz w:val="2"/>
                                <w:szCs w:val="2"/>
                              </w:rPr>
                            </w:pPr>
                          </w:p>
                        </w:tc>
                      </w:tr>
                    </w:tbl>
                    <w:p w14:paraId="24EEF063" w14:textId="77777777" w:rsidR="00932498" w:rsidRPr="006642BA" w:rsidRDefault="00932498" w:rsidP="00932498">
                      <w:pPr>
                        <w:pStyle w:val="Caption"/>
                        <w:jc w:val="both"/>
                      </w:pPr>
                      <w:r>
                        <w:t xml:space="preserve"> </w:t>
                      </w:r>
                    </w:p>
                  </w:txbxContent>
                </v:textbox>
                <w10:wrap type="topAndBottom" anchorx="margin" anchory="margin"/>
              </v:shape>
            </w:pict>
          </mc:Fallback>
        </mc:AlternateContent>
      </w:r>
      <w:r w:rsidRPr="006A45FB">
        <w:t>automatic calculation of reaction initiation times. This</w:t>
      </w:r>
      <w:r w:rsidR="00070F06">
        <w:t xml:space="preserve"> was </w:t>
      </w:r>
      <w:r w:rsidR="005134F8">
        <w:t xml:space="preserve">tested </w:t>
      </w:r>
      <w:r w:rsidRPr="006A45FB">
        <w:t xml:space="preserve">in </w:t>
      </w:r>
      <w:r w:rsidR="00070F06">
        <w:t>an</w:t>
      </w:r>
      <w:r w:rsidRPr="006A45FB">
        <w:t xml:space="preserve"> experiment where measurements from three 384-well plates </w:t>
      </w:r>
      <w:r w:rsidR="00070F06">
        <w:t>is</w:t>
      </w:r>
      <w:r w:rsidRPr="006A45FB">
        <w:t xml:space="preserve"> reassigned</w:t>
      </w:r>
      <w:r w:rsidR="00765B3F">
        <w:t xml:space="preserve"> online</w:t>
      </w:r>
      <w:r w:rsidRPr="006A45FB">
        <w:t xml:space="preserve"> to individual wells in a 96-well plat</w:t>
      </w:r>
      <w:r w:rsidR="00070F06">
        <w:t>e (</w:t>
      </w:r>
      <w:r w:rsidR="00A047F3">
        <w:t xml:space="preserve">ref. </w:t>
      </w:r>
      <w:r w:rsidRPr="006A45FB">
        <w:fldChar w:fldCharType="begin"/>
      </w:r>
      <w:r w:rsidRPr="006A45FB">
        <w:instrText xml:space="preserve"> REF _Ref152581831 \h </w:instrText>
      </w:r>
      <w:r w:rsidR="006A45FB">
        <w:instrText xml:space="preserve"> \* MERGEFORMAT </w:instrText>
      </w:r>
      <w:r w:rsidRPr="006A45FB">
        <w:fldChar w:fldCharType="separate"/>
      </w:r>
      <w:r w:rsidR="00A047F3">
        <w:t xml:space="preserve">Figure </w:t>
      </w:r>
      <w:r w:rsidR="00A047F3">
        <w:rPr>
          <w:noProof/>
        </w:rPr>
        <w:t>3</w:t>
      </w:r>
      <w:r w:rsidRPr="006A45FB">
        <w:fldChar w:fldCharType="end"/>
      </w:r>
      <w:r w:rsidRPr="006A45FB">
        <w:t xml:space="preserve">). </w:t>
      </w:r>
      <w:r w:rsidR="00070F06">
        <w:t xml:space="preserve"> </w:t>
      </w:r>
    </w:p>
    <w:p w14:paraId="131ED651" w14:textId="42DB67C8" w:rsidR="00070F06" w:rsidRPr="006A45FB" w:rsidRDefault="00BB4CA4" w:rsidP="00BE5631">
      <w:pPr>
        <w:pStyle w:val="Els-body-text"/>
      </w:pPr>
      <w:r w:rsidRPr="006A45FB">
        <w:t xml:space="preserve">The setup </w:t>
      </w:r>
      <w:r w:rsidR="00070F06">
        <w:t>can</w:t>
      </w:r>
      <w:r w:rsidR="00A14C8A">
        <w:t xml:space="preserve"> overcome</w:t>
      </w:r>
      <w:r w:rsidRPr="006A45FB">
        <w:t xml:space="preserve"> various problems and errors. This adaptability allowed stretching and rerunning of certain steps during the execution</w:t>
      </w:r>
      <w:r w:rsidR="00070F06">
        <w:t>.</w:t>
      </w:r>
    </w:p>
    <w:p w14:paraId="48024387" w14:textId="61EE965E" w:rsidR="00765B3F" w:rsidRPr="00765B3F" w:rsidRDefault="00DC4569" w:rsidP="00765B3F">
      <w:pPr>
        <w:pStyle w:val="Els-1storder-head"/>
        <w:spacing w:after="120"/>
        <w:ind w:left="0"/>
        <w:rPr>
          <w:lang w:val="en-GB"/>
        </w:rPr>
      </w:pPr>
      <w:r w:rsidRPr="006A45FB">
        <w:rPr>
          <w:lang w:val="en-GB"/>
        </w:rPr>
        <w:lastRenderedPageBreak/>
        <w:t xml:space="preserve">Discussion </w:t>
      </w:r>
    </w:p>
    <w:p w14:paraId="09565F1F" w14:textId="2E5886D7" w:rsidR="00F13210" w:rsidRPr="006A45FB" w:rsidRDefault="00765B3F" w:rsidP="00765B3F">
      <w:pPr>
        <w:pStyle w:val="Els-body-text"/>
        <w:rPr>
          <w:lang w:val="en-GB"/>
        </w:rPr>
      </w:pPr>
      <w:r w:rsidRPr="00765B3F">
        <w:rPr>
          <w:lang w:val="en-GB"/>
        </w:rPr>
        <w:t>The integration of hardware and software components in</w:t>
      </w:r>
      <w:r w:rsidR="00700C26">
        <w:rPr>
          <w:lang w:val="en-GB"/>
        </w:rPr>
        <w:t xml:space="preserve"> a</w:t>
      </w:r>
      <w:r w:rsidRPr="00765B3F">
        <w:rPr>
          <w:lang w:val="en-GB"/>
        </w:rPr>
        <w:t xml:space="preserve"> high-throughput screening process, as described is </w:t>
      </w:r>
      <w:r>
        <w:rPr>
          <w:lang w:val="en-GB"/>
        </w:rPr>
        <w:t>enabled</w:t>
      </w:r>
      <w:r w:rsidRPr="00765B3F">
        <w:rPr>
          <w:lang w:val="en-GB"/>
        </w:rPr>
        <w:t xml:space="preserve"> </w:t>
      </w:r>
      <w:r w:rsidR="00070F06" w:rsidRPr="00765B3F">
        <w:rPr>
          <w:lang w:val="en-GB"/>
        </w:rPr>
        <w:t>using</w:t>
      </w:r>
      <w:r w:rsidR="00070F06">
        <w:rPr>
          <w:lang w:val="en-GB"/>
        </w:rPr>
        <w:t xml:space="preserve"> a distributed</w:t>
      </w:r>
      <w:r>
        <w:rPr>
          <w:lang w:val="en-GB"/>
        </w:rPr>
        <w:t xml:space="preserve"> digital infrastructure</w:t>
      </w:r>
      <w:r w:rsidRPr="00765B3F">
        <w:rPr>
          <w:lang w:val="en-GB"/>
        </w:rPr>
        <w:t xml:space="preserve">. </w:t>
      </w:r>
      <w:r w:rsidR="00700C26" w:rsidRPr="00070F06">
        <w:rPr>
          <w:lang w:val="en-GB"/>
        </w:rPr>
        <w:t>The setup has proven</w:t>
      </w:r>
      <w:r w:rsidR="00700C26">
        <w:rPr>
          <w:lang w:val="en-GB"/>
        </w:rPr>
        <w:t xml:space="preserve"> to be</w:t>
      </w:r>
      <w:r w:rsidR="00700C26" w:rsidRPr="00070F06">
        <w:rPr>
          <w:lang w:val="en-GB"/>
        </w:rPr>
        <w:t xml:space="preserve"> effective in </w:t>
      </w:r>
      <w:r w:rsidR="00700C26">
        <w:rPr>
          <w:lang w:val="en-GB"/>
        </w:rPr>
        <w:t>enhancing</w:t>
      </w:r>
      <w:r w:rsidR="00700C26" w:rsidRPr="00070F06">
        <w:rPr>
          <w:lang w:val="en-GB"/>
        </w:rPr>
        <w:t xml:space="preserve"> efficiency</w:t>
      </w:r>
      <w:r w:rsidR="005134F8">
        <w:rPr>
          <w:lang w:val="en-GB"/>
        </w:rPr>
        <w:t>,</w:t>
      </w:r>
      <w:r w:rsidR="00700C26" w:rsidRPr="00070F06">
        <w:rPr>
          <w:lang w:val="en-GB"/>
        </w:rPr>
        <w:t xml:space="preserve"> accuracy</w:t>
      </w:r>
      <w:r w:rsidR="0038459E">
        <w:rPr>
          <w:lang w:val="en-GB"/>
        </w:rPr>
        <w:t xml:space="preserve"> and throughput</w:t>
      </w:r>
      <w:r w:rsidR="00700C26" w:rsidRPr="00070F06">
        <w:rPr>
          <w:lang w:val="en-GB"/>
        </w:rPr>
        <w:t xml:space="preserve"> in high-throughput screenings</w:t>
      </w:r>
      <w:r w:rsidR="0038459E">
        <w:rPr>
          <w:lang w:val="en-GB"/>
        </w:rPr>
        <w:t xml:space="preserve"> or characterisation</w:t>
      </w:r>
      <w:r w:rsidR="00700C26" w:rsidRPr="00070F06">
        <w:rPr>
          <w:lang w:val="en-GB"/>
        </w:rPr>
        <w:t>, precisely processing large</w:t>
      </w:r>
      <w:r w:rsidR="0038459E">
        <w:rPr>
          <w:lang w:val="en-GB"/>
        </w:rPr>
        <w:t>r and diverse</w:t>
      </w:r>
      <w:r w:rsidR="00700C26" w:rsidRPr="00070F06">
        <w:rPr>
          <w:lang w:val="en-GB"/>
        </w:rPr>
        <w:t xml:space="preserve"> data volumes</w:t>
      </w:r>
      <w:r w:rsidR="00700C26">
        <w:rPr>
          <w:lang w:val="en-GB"/>
        </w:rPr>
        <w:t>.</w:t>
      </w:r>
    </w:p>
    <w:p w14:paraId="144DE6A1" w14:textId="3332565C" w:rsidR="008D2649" w:rsidRPr="006A45FB" w:rsidRDefault="00DC4569" w:rsidP="000F6D03">
      <w:pPr>
        <w:pStyle w:val="Els-1storder-head"/>
        <w:spacing w:after="120"/>
        <w:ind w:left="0"/>
        <w:rPr>
          <w:lang w:val="en-GB"/>
        </w:rPr>
      </w:pPr>
      <w:r w:rsidRPr="006A45FB">
        <w:rPr>
          <w:lang w:val="en-GB"/>
        </w:rPr>
        <w:t>Conclusion</w:t>
      </w:r>
    </w:p>
    <w:p w14:paraId="43EAD1A8" w14:textId="50752980" w:rsidR="00932498" w:rsidRDefault="00AC04A7" w:rsidP="00DC4569">
      <w:pPr>
        <w:pStyle w:val="Els-body-text"/>
        <w:rPr>
          <w:lang w:val="en-GB"/>
        </w:rPr>
      </w:pPr>
      <w:r>
        <w:rPr>
          <w:lang w:val="en-GB"/>
        </w:rPr>
        <w:t>T</w:t>
      </w:r>
      <w:r w:rsidR="00070F06">
        <w:rPr>
          <w:lang w:val="en-GB"/>
        </w:rPr>
        <w:t>he setup of</w:t>
      </w:r>
      <w:r w:rsidR="00070F06" w:rsidRPr="00070F06">
        <w:rPr>
          <w:lang w:val="en-GB"/>
        </w:rPr>
        <w:t xml:space="preserve"> laboratory components</w:t>
      </w:r>
      <w:r w:rsidR="00070F06">
        <w:rPr>
          <w:lang w:val="en-GB"/>
        </w:rPr>
        <w:t xml:space="preserve"> and software</w:t>
      </w:r>
      <w:r w:rsidR="00070F06" w:rsidRPr="00070F06">
        <w:rPr>
          <w:lang w:val="en-GB"/>
        </w:rPr>
        <w:t xml:space="preserve"> enhance scalability and flexibility in modern labs. Distributing experimental tasks to specialized agents allows for modular lab design, improves reproducibility in automated experiments, and supports inter-laboratory collaboration.</w:t>
      </w:r>
      <w:r w:rsidR="00700C26" w:rsidRPr="00700C26">
        <w:rPr>
          <w:lang w:val="en-GB"/>
        </w:rPr>
        <w:t xml:space="preserve"> </w:t>
      </w:r>
      <w:r w:rsidR="00700C26" w:rsidRPr="00765B3F">
        <w:rPr>
          <w:lang w:val="en-GB"/>
        </w:rPr>
        <w:t>In fields that rely on high-throughput screening, such as pharmacology, genomics, and biochemistry, the ability to process a vast amount of experiment data quickly and accurately is expedient in the ability to develop biotechnological products.</w:t>
      </w:r>
    </w:p>
    <w:p w14:paraId="2F5144F6" w14:textId="77777777" w:rsidR="00070F06" w:rsidRPr="006A45FB" w:rsidRDefault="00070F06" w:rsidP="00DC4569">
      <w:pPr>
        <w:pStyle w:val="Els-body-text"/>
        <w:rPr>
          <w:lang w:val="en-GB"/>
        </w:rPr>
      </w:pPr>
    </w:p>
    <w:p w14:paraId="39783909" w14:textId="6BD0BDBE" w:rsidR="000E69DA" w:rsidRPr="00B44F13" w:rsidRDefault="00DB1D1B" w:rsidP="00B44F13">
      <w:pPr>
        <w:pStyle w:val="Els-reference-head"/>
      </w:pPr>
      <w:r w:rsidRPr="006A45FB">
        <w:t>References</w:t>
      </w:r>
      <w:r w:rsidR="00521F74">
        <w:t xml:space="preserve"> </w:t>
      </w:r>
    </w:p>
    <w:p w14:paraId="0E3D8851" w14:textId="77777777" w:rsidR="00606ACE" w:rsidRPr="00606ACE" w:rsidRDefault="000E69DA" w:rsidP="00606ACE">
      <w:pPr>
        <w:pStyle w:val="Bibliography"/>
        <w:spacing w:line="240" w:lineRule="auto"/>
      </w:pPr>
      <w:r w:rsidRPr="006A45FB">
        <w:fldChar w:fldCharType="begin"/>
      </w:r>
      <w:r w:rsidR="00606ACE">
        <w:instrText xml:space="preserve"> ADDIN ZOTERO_BIBL {"uncited":[],"omitted":[],"custom":[]} CSL_BIBLIOGRAPHY </w:instrText>
      </w:r>
      <w:r w:rsidRPr="006A45FB">
        <w:fldChar w:fldCharType="separate"/>
      </w:r>
      <w:r w:rsidR="00606ACE" w:rsidRPr="00606ACE">
        <w:t xml:space="preserve">Anantanawat, K., Pitsch, N., Fromont, C., &amp; Janitz, C. (2019). High-throughput Quant-iT PicoGreen assay using an automated liquid handling system. </w:t>
      </w:r>
      <w:r w:rsidR="00606ACE" w:rsidRPr="00606ACE">
        <w:rPr>
          <w:i/>
          <w:iCs/>
        </w:rPr>
        <w:t>BioTechniques</w:t>
      </w:r>
      <w:r w:rsidR="00606ACE" w:rsidRPr="00606ACE">
        <w:t xml:space="preserve">, </w:t>
      </w:r>
      <w:r w:rsidR="00606ACE" w:rsidRPr="00606ACE">
        <w:rPr>
          <w:i/>
          <w:iCs/>
        </w:rPr>
        <w:t>66</w:t>
      </w:r>
      <w:r w:rsidR="00606ACE" w:rsidRPr="00606ACE">
        <w:t>(6), 290–294. https://doi.org/10.2144/btn-2018-0172</w:t>
      </w:r>
    </w:p>
    <w:p w14:paraId="69A34B56" w14:textId="77777777" w:rsidR="00606ACE" w:rsidRPr="00606ACE" w:rsidRDefault="00606ACE" w:rsidP="00606ACE">
      <w:pPr>
        <w:pStyle w:val="Bibliography"/>
        <w:spacing w:line="240" w:lineRule="auto"/>
      </w:pPr>
      <w:r w:rsidRPr="00606ACE">
        <w:t xml:space="preserve">Haby, B., Hans, S., Anane, E., Sawatzki, A., Krausch, N., Neubauer, P., &amp; Cruz Bournazou, M. N. (2019). Integrated Robotic Mini Bioreactor Platform for Automated, Parallel Microbial Cultivation With Online Data Handling and Process Control. </w:t>
      </w:r>
      <w:r w:rsidRPr="00606ACE">
        <w:rPr>
          <w:i/>
          <w:iCs/>
        </w:rPr>
        <w:t>SLAS Technology</w:t>
      </w:r>
      <w:r w:rsidRPr="00606ACE">
        <w:t xml:space="preserve">, </w:t>
      </w:r>
      <w:r w:rsidRPr="00606ACE">
        <w:rPr>
          <w:i/>
          <w:iCs/>
        </w:rPr>
        <w:t>24</w:t>
      </w:r>
      <w:r w:rsidRPr="00606ACE">
        <w:t>(6), 569–582. https://doi.org/10.1177/2472630319860775</w:t>
      </w:r>
    </w:p>
    <w:p w14:paraId="388E201F" w14:textId="77777777" w:rsidR="00606ACE" w:rsidRPr="00606ACE" w:rsidRDefault="00606ACE" w:rsidP="00606ACE">
      <w:pPr>
        <w:pStyle w:val="Bibliography"/>
        <w:spacing w:line="240" w:lineRule="auto"/>
      </w:pPr>
      <w:r w:rsidRPr="00606ACE">
        <w:t xml:space="preserve">Hemmerich, J., Noack, S., Wiechert, W., &amp; Oldiges, M. (2018). Microbioreactor Systems for Accelerated Bioprocess Development. </w:t>
      </w:r>
      <w:r w:rsidRPr="00606ACE">
        <w:rPr>
          <w:i/>
          <w:iCs/>
        </w:rPr>
        <w:t>Biotechnology Journal</w:t>
      </w:r>
      <w:r w:rsidRPr="00606ACE">
        <w:t xml:space="preserve">, </w:t>
      </w:r>
      <w:r w:rsidRPr="00606ACE">
        <w:rPr>
          <w:i/>
          <w:iCs/>
        </w:rPr>
        <w:t>13</w:t>
      </w:r>
      <w:r w:rsidRPr="00606ACE">
        <w:t>(4), 1700141. https://doi.org/10.1002/biot.201700141</w:t>
      </w:r>
    </w:p>
    <w:p w14:paraId="3F732518" w14:textId="77777777" w:rsidR="00606ACE" w:rsidRPr="00606ACE" w:rsidRDefault="00606ACE" w:rsidP="00606ACE">
      <w:pPr>
        <w:pStyle w:val="Bibliography"/>
        <w:spacing w:line="240" w:lineRule="auto"/>
      </w:pPr>
      <w:r w:rsidRPr="00606ACE">
        <w:t xml:space="preserve">Hertzberg, R. P., &amp; Pope, A. J. (2000). High-throughput screening: New technology for the 21st century. </w:t>
      </w:r>
      <w:r w:rsidRPr="00606ACE">
        <w:rPr>
          <w:i/>
          <w:iCs/>
        </w:rPr>
        <w:t>Current Opinion in Chemical Biology</w:t>
      </w:r>
      <w:r w:rsidRPr="00606ACE">
        <w:t xml:space="preserve">, </w:t>
      </w:r>
      <w:r w:rsidRPr="00606ACE">
        <w:rPr>
          <w:i/>
          <w:iCs/>
        </w:rPr>
        <w:t>4</w:t>
      </w:r>
      <w:r w:rsidRPr="00606ACE">
        <w:t>(4), 445–451. https://doi.org/10.1016/S1367-5931(00)00110-1</w:t>
      </w:r>
    </w:p>
    <w:p w14:paraId="3F62EFC5" w14:textId="77777777" w:rsidR="00606ACE" w:rsidRPr="00606ACE" w:rsidRDefault="00606ACE" w:rsidP="00606ACE">
      <w:pPr>
        <w:pStyle w:val="Bibliography"/>
        <w:spacing w:line="240" w:lineRule="auto"/>
      </w:pPr>
      <w:r w:rsidRPr="00606ACE">
        <w:t xml:space="preserve">Kong, F., Yuan, L., Zheng, Y. F., &amp; Chen, W. (2012). Automatic Liquid Handling for Life Science: A Critical Review of the Current State of the Art. </w:t>
      </w:r>
      <w:r w:rsidRPr="00606ACE">
        <w:rPr>
          <w:i/>
          <w:iCs/>
        </w:rPr>
        <w:t>SLAS Technology</w:t>
      </w:r>
      <w:r w:rsidRPr="00606ACE">
        <w:t xml:space="preserve">, </w:t>
      </w:r>
      <w:r w:rsidRPr="00606ACE">
        <w:rPr>
          <w:i/>
          <w:iCs/>
        </w:rPr>
        <w:t>17</w:t>
      </w:r>
      <w:r w:rsidRPr="00606ACE">
        <w:t>(3), 169–185. https://doi.org/10.1177/2211068211435302</w:t>
      </w:r>
    </w:p>
    <w:p w14:paraId="5195418A" w14:textId="77777777" w:rsidR="00606ACE" w:rsidRPr="00606ACE" w:rsidRDefault="00606ACE" w:rsidP="00606ACE">
      <w:pPr>
        <w:pStyle w:val="Bibliography"/>
        <w:spacing w:line="240" w:lineRule="auto"/>
      </w:pPr>
      <w:r w:rsidRPr="00606ACE">
        <w:t xml:space="preserve">Leung, C. M., de Haan, P., Ronaldson-Bouchard, K., Kim, G.-A., Ko, J., Rho, H. S., Chen, Z., Habibovic, P., Jeon, N. L., Takayama, S., Shuler, M. L., Vunjak-Novakovic, G., Frey, O., Verpoorte, E., &amp; Toh, Y.-C. (2022). A guide to the organ-on-a-chip. </w:t>
      </w:r>
      <w:r w:rsidRPr="00606ACE">
        <w:rPr>
          <w:i/>
          <w:iCs/>
        </w:rPr>
        <w:t>Nature Reviews Methods Primers</w:t>
      </w:r>
      <w:r w:rsidRPr="00606ACE">
        <w:t xml:space="preserve">, </w:t>
      </w:r>
      <w:r w:rsidRPr="00606ACE">
        <w:rPr>
          <w:i/>
          <w:iCs/>
        </w:rPr>
        <w:t>2</w:t>
      </w:r>
      <w:r w:rsidRPr="00606ACE">
        <w:t>(1), 33. https://doi.org/10.1038/s43586-022-00118-6</w:t>
      </w:r>
    </w:p>
    <w:p w14:paraId="66003754" w14:textId="77777777" w:rsidR="00606ACE" w:rsidRPr="00606ACE" w:rsidRDefault="00606ACE" w:rsidP="00606ACE">
      <w:pPr>
        <w:pStyle w:val="Bibliography"/>
        <w:spacing w:line="240" w:lineRule="auto"/>
      </w:pPr>
      <w:r w:rsidRPr="00606ACE">
        <w:t xml:space="preserve">Pereira, D. A., &amp; Williams, J. A. (2007). Origin and evolution of high throughput screening: Origin and circumscribed history of HTS. </w:t>
      </w:r>
      <w:r w:rsidRPr="00606ACE">
        <w:rPr>
          <w:i/>
          <w:iCs/>
        </w:rPr>
        <w:t>British Journal of Pharmacology</w:t>
      </w:r>
      <w:r w:rsidRPr="00606ACE">
        <w:t xml:space="preserve">, </w:t>
      </w:r>
      <w:r w:rsidRPr="00606ACE">
        <w:rPr>
          <w:i/>
          <w:iCs/>
        </w:rPr>
        <w:t>152</w:t>
      </w:r>
      <w:r w:rsidRPr="00606ACE">
        <w:t>(1), 53–61. https://doi.org/10.1038/sj.bjp.0707373</w:t>
      </w:r>
    </w:p>
    <w:p w14:paraId="31577672" w14:textId="77777777" w:rsidR="00606ACE" w:rsidRPr="00606ACE" w:rsidRDefault="00606ACE" w:rsidP="00606ACE">
      <w:pPr>
        <w:pStyle w:val="Bibliography"/>
        <w:spacing w:line="240" w:lineRule="auto"/>
      </w:pPr>
      <w:r w:rsidRPr="00606ACE">
        <w:t xml:space="preserve">Zhu, Y., Zhang, Y.-X., Cai, L.-F., &amp; Fang, Q. (2013). Sequential Operation Droplet Array: An Automated Microfluidic Platform for Picoliter-Scale Liquid Handling, Analysis, and Screening. </w:t>
      </w:r>
      <w:r w:rsidRPr="00606ACE">
        <w:rPr>
          <w:i/>
          <w:iCs/>
        </w:rPr>
        <w:t>Analytical Chemistry</w:t>
      </w:r>
      <w:r w:rsidRPr="00606ACE">
        <w:t xml:space="preserve">, </w:t>
      </w:r>
      <w:r w:rsidRPr="00606ACE">
        <w:rPr>
          <w:i/>
          <w:iCs/>
        </w:rPr>
        <w:t>85</w:t>
      </w:r>
      <w:r w:rsidRPr="00606ACE">
        <w:t>(14), 6723–6731. https://doi.org/10.1021/ac4006414</w:t>
      </w:r>
    </w:p>
    <w:p w14:paraId="1156C362" w14:textId="3E543E24" w:rsidR="00C42D13" w:rsidRPr="001453AD" w:rsidRDefault="000E69DA" w:rsidP="00606ACE">
      <w:pPr>
        <w:pStyle w:val="Els-body-text"/>
        <w:rPr>
          <w:lang w:val="en-GB"/>
        </w:rPr>
      </w:pPr>
      <w:r w:rsidRPr="006A45FB">
        <w:rPr>
          <w:lang w:val="en-GB"/>
        </w:rPr>
        <w:fldChar w:fldCharType="end"/>
      </w:r>
    </w:p>
    <w:sectPr w:rsidR="00C42D13" w:rsidRPr="001453AD" w:rsidSect="006A5E56">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55D76" w14:textId="77777777" w:rsidR="006A5E56" w:rsidRDefault="006A5E56">
      <w:r>
        <w:separator/>
      </w:r>
    </w:p>
  </w:endnote>
  <w:endnote w:type="continuationSeparator" w:id="0">
    <w:p w14:paraId="11C2B996" w14:textId="77777777" w:rsidR="006A5E56" w:rsidRDefault="006A5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4004" w14:textId="77777777" w:rsidR="00334D6A" w:rsidRDefault="00334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3D58" w14:textId="77777777" w:rsidR="00334D6A" w:rsidRDefault="00334D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1DA98" w14:textId="77777777" w:rsidR="00334D6A" w:rsidRDefault="00334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B5B33" w14:textId="77777777" w:rsidR="006A5E56" w:rsidRDefault="006A5E56">
      <w:r>
        <w:separator/>
      </w:r>
    </w:p>
  </w:footnote>
  <w:footnote w:type="continuationSeparator" w:id="0">
    <w:p w14:paraId="45A1ED09" w14:textId="77777777" w:rsidR="006A5E56" w:rsidRDefault="006A5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4139DFBA" w:rsidR="00DD3D9E" w:rsidRDefault="00DD3D9E">
    <w:pPr>
      <w:pStyle w:val="Header"/>
      <w:tabs>
        <w:tab w:val="clear" w:pos="7200"/>
        <w:tab w:val="right" w:pos="7088"/>
      </w:tabs>
    </w:pPr>
    <w:r>
      <w:rPr>
        <w:rStyle w:val="PageNumber"/>
      </w:rPr>
      <w:tab/>
    </w:r>
    <w:r>
      <w:rPr>
        <w:rStyle w:val="PageNumber"/>
        <w:i/>
      </w:rPr>
      <w:tab/>
    </w:r>
    <w:r w:rsidR="00B12BA1" w:rsidRPr="006A45FB">
      <w:rPr>
        <w:sz w:val="22"/>
        <w:lang w:val="en-US"/>
      </w:rPr>
      <w:t>Simon Seidel</w:t>
    </w:r>
    <w:r w:rsidR="00B12BA1">
      <w:rPr>
        <w:sz w:val="22"/>
        <w:lang w:val="en-US"/>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6FF998CD" w:rsidR="00DD3D9E" w:rsidRDefault="00B12BA1" w:rsidP="00B12BA1">
    <w:pPr>
      <w:pStyle w:val="Header"/>
      <w:tabs>
        <w:tab w:val="clear" w:pos="7200"/>
        <w:tab w:val="right" w:pos="7088"/>
      </w:tabs>
      <w:rPr>
        <w:sz w:val="24"/>
      </w:rPr>
    </w:pPr>
    <w:r w:rsidRPr="00B12BA1">
      <w:rPr>
        <w:i/>
      </w:rPr>
      <w:t>Achieving Flexibility in High Throughput Liquid Handing experimentation by smart System Design</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4536"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35CC"/>
    <w:rsid w:val="000106EE"/>
    <w:rsid w:val="00042B97"/>
    <w:rsid w:val="00045AB6"/>
    <w:rsid w:val="00066F25"/>
    <w:rsid w:val="00067548"/>
    <w:rsid w:val="00070F06"/>
    <w:rsid w:val="0009217B"/>
    <w:rsid w:val="000A0D24"/>
    <w:rsid w:val="000A3FC2"/>
    <w:rsid w:val="000A5CEF"/>
    <w:rsid w:val="000D3D9B"/>
    <w:rsid w:val="000E3AF5"/>
    <w:rsid w:val="000E3DEA"/>
    <w:rsid w:val="000E5058"/>
    <w:rsid w:val="000E69DA"/>
    <w:rsid w:val="000E6D2A"/>
    <w:rsid w:val="000F4C1A"/>
    <w:rsid w:val="000F6D03"/>
    <w:rsid w:val="00101473"/>
    <w:rsid w:val="00104F4F"/>
    <w:rsid w:val="00105EF4"/>
    <w:rsid w:val="00106961"/>
    <w:rsid w:val="00122BAB"/>
    <w:rsid w:val="001453AD"/>
    <w:rsid w:val="00146156"/>
    <w:rsid w:val="00152FE3"/>
    <w:rsid w:val="0016032F"/>
    <w:rsid w:val="00171034"/>
    <w:rsid w:val="00171E9C"/>
    <w:rsid w:val="001835C0"/>
    <w:rsid w:val="0018647C"/>
    <w:rsid w:val="001879F6"/>
    <w:rsid w:val="001A042E"/>
    <w:rsid w:val="001B12AE"/>
    <w:rsid w:val="001C0148"/>
    <w:rsid w:val="001C757E"/>
    <w:rsid w:val="0020390F"/>
    <w:rsid w:val="00261CC5"/>
    <w:rsid w:val="00264926"/>
    <w:rsid w:val="00291E82"/>
    <w:rsid w:val="002B0AB5"/>
    <w:rsid w:val="002B45E5"/>
    <w:rsid w:val="002E69BE"/>
    <w:rsid w:val="00304E65"/>
    <w:rsid w:val="003057D9"/>
    <w:rsid w:val="00317B57"/>
    <w:rsid w:val="00331CDE"/>
    <w:rsid w:val="00334D6A"/>
    <w:rsid w:val="003560D2"/>
    <w:rsid w:val="0038459E"/>
    <w:rsid w:val="00395397"/>
    <w:rsid w:val="003A3376"/>
    <w:rsid w:val="003C4524"/>
    <w:rsid w:val="003C7518"/>
    <w:rsid w:val="003D1582"/>
    <w:rsid w:val="003D7E4C"/>
    <w:rsid w:val="003E41C2"/>
    <w:rsid w:val="00401FC4"/>
    <w:rsid w:val="0049772C"/>
    <w:rsid w:val="004A378E"/>
    <w:rsid w:val="004B7308"/>
    <w:rsid w:val="004D3BE7"/>
    <w:rsid w:val="004D5C82"/>
    <w:rsid w:val="004F55EB"/>
    <w:rsid w:val="00500D32"/>
    <w:rsid w:val="005134F8"/>
    <w:rsid w:val="00521D46"/>
    <w:rsid w:val="00521F74"/>
    <w:rsid w:val="00530C33"/>
    <w:rsid w:val="00545516"/>
    <w:rsid w:val="00552EEB"/>
    <w:rsid w:val="005536E3"/>
    <w:rsid w:val="00567288"/>
    <w:rsid w:val="005879D4"/>
    <w:rsid w:val="005C0C59"/>
    <w:rsid w:val="005D0A1D"/>
    <w:rsid w:val="005F76C6"/>
    <w:rsid w:val="00606ACE"/>
    <w:rsid w:val="006354F1"/>
    <w:rsid w:val="00652DA8"/>
    <w:rsid w:val="006642BA"/>
    <w:rsid w:val="00672886"/>
    <w:rsid w:val="006745D6"/>
    <w:rsid w:val="0067528D"/>
    <w:rsid w:val="00676F9B"/>
    <w:rsid w:val="0067775E"/>
    <w:rsid w:val="006966A3"/>
    <w:rsid w:val="006A45FB"/>
    <w:rsid w:val="006A5E56"/>
    <w:rsid w:val="006A69BF"/>
    <w:rsid w:val="006C3B0B"/>
    <w:rsid w:val="006C65AC"/>
    <w:rsid w:val="00700C26"/>
    <w:rsid w:val="00702686"/>
    <w:rsid w:val="00711DF4"/>
    <w:rsid w:val="00714AB1"/>
    <w:rsid w:val="00724EC7"/>
    <w:rsid w:val="007517D4"/>
    <w:rsid w:val="0076376F"/>
    <w:rsid w:val="007651C2"/>
    <w:rsid w:val="00765B3F"/>
    <w:rsid w:val="00773F44"/>
    <w:rsid w:val="00774725"/>
    <w:rsid w:val="00774B1B"/>
    <w:rsid w:val="007A0D5F"/>
    <w:rsid w:val="007C04D7"/>
    <w:rsid w:val="007D70A1"/>
    <w:rsid w:val="007F1F20"/>
    <w:rsid w:val="007F36B9"/>
    <w:rsid w:val="007F646E"/>
    <w:rsid w:val="00805DB7"/>
    <w:rsid w:val="008070E3"/>
    <w:rsid w:val="008132E8"/>
    <w:rsid w:val="00815A65"/>
    <w:rsid w:val="00822856"/>
    <w:rsid w:val="00823407"/>
    <w:rsid w:val="008361D5"/>
    <w:rsid w:val="00850D47"/>
    <w:rsid w:val="00870A2E"/>
    <w:rsid w:val="008847D9"/>
    <w:rsid w:val="00895031"/>
    <w:rsid w:val="008B0184"/>
    <w:rsid w:val="008B1698"/>
    <w:rsid w:val="008C5D02"/>
    <w:rsid w:val="008D2649"/>
    <w:rsid w:val="0090568D"/>
    <w:rsid w:val="009125C9"/>
    <w:rsid w:val="00913879"/>
    <w:rsid w:val="00913BD3"/>
    <w:rsid w:val="00917661"/>
    <w:rsid w:val="00917A3A"/>
    <w:rsid w:val="00922AE3"/>
    <w:rsid w:val="009231F9"/>
    <w:rsid w:val="009268EE"/>
    <w:rsid w:val="00931A1B"/>
    <w:rsid w:val="00932498"/>
    <w:rsid w:val="00947714"/>
    <w:rsid w:val="00956184"/>
    <w:rsid w:val="00970E5D"/>
    <w:rsid w:val="0097701C"/>
    <w:rsid w:val="00980A65"/>
    <w:rsid w:val="00983723"/>
    <w:rsid w:val="009A56FD"/>
    <w:rsid w:val="009C070F"/>
    <w:rsid w:val="009D09BC"/>
    <w:rsid w:val="00A047F3"/>
    <w:rsid w:val="00A14C8A"/>
    <w:rsid w:val="00A15158"/>
    <w:rsid w:val="00A25E70"/>
    <w:rsid w:val="00A2736E"/>
    <w:rsid w:val="00A33765"/>
    <w:rsid w:val="00A363B3"/>
    <w:rsid w:val="00A57658"/>
    <w:rsid w:val="00A63269"/>
    <w:rsid w:val="00A652FA"/>
    <w:rsid w:val="00A80F4C"/>
    <w:rsid w:val="00A8757D"/>
    <w:rsid w:val="00A91738"/>
    <w:rsid w:val="00A92377"/>
    <w:rsid w:val="00AB29ED"/>
    <w:rsid w:val="00AC04A7"/>
    <w:rsid w:val="00AC18C1"/>
    <w:rsid w:val="00AD1B83"/>
    <w:rsid w:val="00AE4BD8"/>
    <w:rsid w:val="00AE4D4B"/>
    <w:rsid w:val="00AF20B2"/>
    <w:rsid w:val="00B12BA1"/>
    <w:rsid w:val="00B27841"/>
    <w:rsid w:val="00B3327C"/>
    <w:rsid w:val="00B35436"/>
    <w:rsid w:val="00B4388F"/>
    <w:rsid w:val="00B44F13"/>
    <w:rsid w:val="00B63237"/>
    <w:rsid w:val="00B660E4"/>
    <w:rsid w:val="00BB4CA4"/>
    <w:rsid w:val="00BC2856"/>
    <w:rsid w:val="00BC3FB4"/>
    <w:rsid w:val="00BC561B"/>
    <w:rsid w:val="00BC6EBE"/>
    <w:rsid w:val="00BD1846"/>
    <w:rsid w:val="00BD6954"/>
    <w:rsid w:val="00BE5631"/>
    <w:rsid w:val="00BF37EC"/>
    <w:rsid w:val="00BF3B9D"/>
    <w:rsid w:val="00BF7B10"/>
    <w:rsid w:val="00C35C7A"/>
    <w:rsid w:val="00C42D13"/>
    <w:rsid w:val="00C453A0"/>
    <w:rsid w:val="00C5006B"/>
    <w:rsid w:val="00C66021"/>
    <w:rsid w:val="00C960DC"/>
    <w:rsid w:val="00CA18DD"/>
    <w:rsid w:val="00CA6CB7"/>
    <w:rsid w:val="00CD483D"/>
    <w:rsid w:val="00CD4A5D"/>
    <w:rsid w:val="00CD5093"/>
    <w:rsid w:val="00CF2F68"/>
    <w:rsid w:val="00CF7964"/>
    <w:rsid w:val="00CF7C56"/>
    <w:rsid w:val="00D02C75"/>
    <w:rsid w:val="00D0342C"/>
    <w:rsid w:val="00D03F8E"/>
    <w:rsid w:val="00D10E22"/>
    <w:rsid w:val="00D13D2C"/>
    <w:rsid w:val="00D17E9E"/>
    <w:rsid w:val="00D458AA"/>
    <w:rsid w:val="00D4615D"/>
    <w:rsid w:val="00D76958"/>
    <w:rsid w:val="00D76CB2"/>
    <w:rsid w:val="00D906E3"/>
    <w:rsid w:val="00D94F96"/>
    <w:rsid w:val="00D96C38"/>
    <w:rsid w:val="00DB1D1B"/>
    <w:rsid w:val="00DC2F94"/>
    <w:rsid w:val="00DC4569"/>
    <w:rsid w:val="00DD3D9E"/>
    <w:rsid w:val="00DD7908"/>
    <w:rsid w:val="00DD7911"/>
    <w:rsid w:val="00DE2A12"/>
    <w:rsid w:val="00DF1750"/>
    <w:rsid w:val="00E03CCA"/>
    <w:rsid w:val="00E37333"/>
    <w:rsid w:val="00E5359B"/>
    <w:rsid w:val="00E81CCE"/>
    <w:rsid w:val="00E82297"/>
    <w:rsid w:val="00EB65C6"/>
    <w:rsid w:val="00EF16E0"/>
    <w:rsid w:val="00EF1FE9"/>
    <w:rsid w:val="00EF39FD"/>
    <w:rsid w:val="00F038C7"/>
    <w:rsid w:val="00F064FB"/>
    <w:rsid w:val="00F06842"/>
    <w:rsid w:val="00F107FD"/>
    <w:rsid w:val="00F13210"/>
    <w:rsid w:val="00F542B7"/>
    <w:rsid w:val="00F72F14"/>
    <w:rsid w:val="00F7749E"/>
    <w:rsid w:val="00FB64A8"/>
    <w:rsid w:val="00FC5769"/>
    <w:rsid w:val="00FD49FD"/>
    <w:rsid w:val="00FE24DF"/>
    <w:rsid w:val="00FE6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1">
    <w:name w:val="heading 1"/>
    <w:basedOn w:val="Normal"/>
    <w:next w:val="Normal"/>
    <w:link w:val="Heading1Char"/>
    <w:qFormat/>
    <w:rsid w:val="00B2784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B278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uiPriority w:val="35"/>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ind w:left="5103"/>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TableGrid">
    <w:name w:val="Table Grid"/>
    <w:basedOn w:val="TableNormal"/>
    <w:uiPriority w:val="39"/>
    <w:rsid w:val="00DD7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27841"/>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B27841"/>
    <w:rPr>
      <w:rFonts w:asciiTheme="majorHAnsi" w:eastAsiaTheme="majorEastAsia" w:hAnsiTheme="majorHAnsi" w:cstheme="majorBidi"/>
      <w:color w:val="365F91" w:themeColor="accent1" w:themeShade="BF"/>
      <w:sz w:val="26"/>
      <w:szCs w:val="26"/>
      <w:lang w:eastAsia="en-US"/>
    </w:rPr>
  </w:style>
  <w:style w:type="paragraph" w:styleId="Bibliography">
    <w:name w:val="Bibliography"/>
    <w:basedOn w:val="Normal"/>
    <w:next w:val="Normal"/>
    <w:uiPriority w:val="37"/>
    <w:unhideWhenUsed/>
    <w:rsid w:val="000E69DA"/>
    <w:pPr>
      <w:spacing w:line="480" w:lineRule="auto"/>
      <w:ind w:left="720" w:hanging="720"/>
    </w:pPr>
  </w:style>
  <w:style w:type="paragraph" w:styleId="Revision">
    <w:name w:val="Revision"/>
    <w:hidden/>
    <w:uiPriority w:val="99"/>
    <w:semiHidden/>
    <w:rsid w:val="00A14C8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9254">
      <w:bodyDiv w:val="1"/>
      <w:marLeft w:val="0"/>
      <w:marRight w:val="0"/>
      <w:marTop w:val="0"/>
      <w:marBottom w:val="0"/>
      <w:divBdr>
        <w:top w:val="none" w:sz="0" w:space="0" w:color="auto"/>
        <w:left w:val="none" w:sz="0" w:space="0" w:color="auto"/>
        <w:bottom w:val="none" w:sz="0" w:space="0" w:color="auto"/>
        <w:right w:val="none" w:sz="0" w:space="0" w:color="auto"/>
      </w:divBdr>
    </w:div>
    <w:div w:id="45876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3591</Words>
  <Characters>20471</Characters>
  <Application>Microsoft Office Word</Application>
  <DocSecurity>0</DocSecurity>
  <Lines>170</Lines>
  <Paragraphs>48</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24014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Hans Peter</cp:lastModifiedBy>
  <cp:revision>2</cp:revision>
  <cp:lastPrinted>2004-12-17T09:20:00Z</cp:lastPrinted>
  <dcterms:created xsi:type="dcterms:W3CDTF">2024-01-09T21:41:00Z</dcterms:created>
  <dcterms:modified xsi:type="dcterms:W3CDTF">2024-01-09T21:41:00Z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1">
    <vt:lpwstr>&lt;data data-version="3" zotero-version="6.0.30"&gt;&lt;session id="B0YZnL1j"/&gt;&lt;style id="http://www.zotero.org/styles/apa" locale="en-GB" hasBibliography="1" bibliographyStyleHasBeenSet="1"/&gt;&lt;prefs&gt;&lt;pref name="fieldType" value="Field"/&gt;&lt;/prefs&gt;&lt;/data&gt;</vt:lpwstr>
  </property>
</Properties>
</file>