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88D6E29" w:rsidR="00DD3D9E" w:rsidRPr="006B47AA" w:rsidRDefault="00662320">
      <w:pPr>
        <w:pStyle w:val="Els-Title"/>
        <w:rPr>
          <w:color w:val="000000" w:themeColor="text1"/>
          <w:lang w:val="en-GB"/>
        </w:rPr>
      </w:pPr>
      <w:r w:rsidRPr="006B47AA">
        <w:rPr>
          <w:color w:val="000000" w:themeColor="text1"/>
          <w:lang w:val="en-GB"/>
        </w:rPr>
        <w:t>DoE-integrated Sparse Identification of Nonlinear Dynamics for Automated Model Generation and Parameter Estimation in Kinetic Studies</w:t>
      </w:r>
    </w:p>
    <w:p w14:paraId="144DE680" w14:textId="0560A1F4" w:rsidR="00DD3D9E" w:rsidRPr="006B47AA" w:rsidRDefault="00AB1D69">
      <w:pPr>
        <w:pStyle w:val="Els-Author"/>
      </w:pPr>
      <w:r w:rsidRPr="006B47AA">
        <w:t>Wenyao Lyu</w:t>
      </w:r>
      <w:r w:rsidRPr="006B47AA">
        <w:rPr>
          <w:i/>
          <w:iCs/>
          <w:vertAlign w:val="superscript"/>
        </w:rPr>
        <w:t>a</w:t>
      </w:r>
      <w:r w:rsidRPr="006B47AA">
        <w:t>, Federico Galvanin</w:t>
      </w:r>
      <w:r w:rsidRPr="006B47AA">
        <w:rPr>
          <w:i/>
          <w:iCs/>
          <w:vertAlign w:val="superscript"/>
        </w:rPr>
        <w:t>a</w:t>
      </w:r>
    </w:p>
    <w:p w14:paraId="144DE681" w14:textId="4F177311" w:rsidR="00DD3D9E" w:rsidRPr="006B47AA" w:rsidRDefault="000156CB">
      <w:pPr>
        <w:pStyle w:val="Els-Affiliation"/>
      </w:pPr>
      <w:r w:rsidRPr="006B47AA">
        <w:rPr>
          <w:vertAlign w:val="superscript"/>
        </w:rPr>
        <w:t>a</w:t>
      </w:r>
      <w:r w:rsidR="0059435E" w:rsidRPr="006B47AA">
        <w:t>Department of Chemical Engineering, University College London (UCL), Torrington Place, London, WC1E 7JE, United Kingdom</w:t>
      </w:r>
    </w:p>
    <w:p w14:paraId="144DE683" w14:textId="3D361E5F" w:rsidR="008D2649" w:rsidRPr="006B47AA" w:rsidRDefault="003D5E8D" w:rsidP="008D2649">
      <w:pPr>
        <w:pStyle w:val="Els-Affiliation"/>
        <w:spacing w:after="120"/>
      </w:pPr>
      <w:hyperlink r:id="rId8" w:history="1">
        <w:r w:rsidR="000156CB" w:rsidRPr="006B47AA">
          <w:rPr>
            <w:rStyle w:val="Hyperlink"/>
          </w:rPr>
          <w:t>f.galvanin@ucl.ac.uk</w:t>
        </w:r>
      </w:hyperlink>
      <w:r w:rsidR="000156CB" w:rsidRPr="006B47AA">
        <w:t xml:space="preserve"> </w:t>
      </w:r>
    </w:p>
    <w:p w14:paraId="790C3009" w14:textId="13129EA1" w:rsidR="00FB467E" w:rsidRPr="006B47AA" w:rsidRDefault="008D2649" w:rsidP="00FB467E">
      <w:pPr>
        <w:pStyle w:val="Els-Abstract"/>
        <w:rPr>
          <w:lang w:val="en-GB"/>
        </w:rPr>
      </w:pPr>
      <w:r w:rsidRPr="006B47AA">
        <w:rPr>
          <w:lang w:val="en-GB"/>
        </w:rPr>
        <w:t>Abstract</w:t>
      </w:r>
    </w:p>
    <w:p w14:paraId="68B58DE9" w14:textId="3AD9D805" w:rsidR="00FB467E" w:rsidRPr="006B47AA" w:rsidRDefault="00FB467E" w:rsidP="008D2649">
      <w:pPr>
        <w:pStyle w:val="Els-body-text"/>
        <w:spacing w:after="120"/>
        <w:rPr>
          <w:lang w:val="en-GB"/>
        </w:rPr>
      </w:pPr>
      <w:r w:rsidRPr="006B47AA">
        <w:rPr>
          <w:lang w:val="en-GB"/>
        </w:rPr>
        <w:t>Digital twins have revolutionized manufacturing by utili</w:t>
      </w:r>
      <w:r w:rsidR="00F8431C" w:rsidRPr="006B47AA">
        <w:rPr>
          <w:lang w:val="en-GB"/>
        </w:rPr>
        <w:t>s</w:t>
      </w:r>
      <w:r w:rsidRPr="006B47AA">
        <w:rPr>
          <w:lang w:val="en-GB"/>
        </w:rPr>
        <w:t xml:space="preserve">ing robust kinetic models to predict the </w:t>
      </w:r>
      <w:r w:rsidR="00033C5A" w:rsidRPr="006B47AA">
        <w:rPr>
          <w:lang w:val="en-GB"/>
        </w:rPr>
        <w:t>behaviour</w:t>
      </w:r>
      <w:r w:rsidRPr="006B47AA">
        <w:rPr>
          <w:lang w:val="en-GB"/>
        </w:rPr>
        <w:t xml:space="preserve"> of biochemical reaction systems under vari</w:t>
      </w:r>
      <w:r w:rsidR="00A266B5" w:rsidRPr="006B47AA">
        <w:rPr>
          <w:lang w:val="en-GB"/>
        </w:rPr>
        <w:t>able</w:t>
      </w:r>
      <w:r w:rsidRPr="006B47AA">
        <w:rPr>
          <w:lang w:val="en-GB"/>
        </w:rPr>
        <w:t xml:space="preserve"> operating conditions. </w:t>
      </w:r>
      <w:r w:rsidR="00A266B5" w:rsidRPr="006B47AA">
        <w:rPr>
          <w:lang w:val="en-GB"/>
        </w:rPr>
        <w:t>Identifying accurate expressions for reaction</w:t>
      </w:r>
      <w:r w:rsidR="00BD72C4">
        <w:rPr>
          <w:lang w:val="en-GB"/>
        </w:rPr>
        <w:t xml:space="preserve"> system</w:t>
      </w:r>
      <w:r w:rsidR="00A266B5" w:rsidRPr="006B47AA">
        <w:rPr>
          <w:lang w:val="en-GB"/>
        </w:rPr>
        <w:t xml:space="preserve"> models f</w:t>
      </w:r>
      <w:r w:rsidRPr="006B47AA">
        <w:rPr>
          <w:lang w:val="en-GB"/>
        </w:rPr>
        <w:t>ormulated as sets of differential and algebraic equations (DAEs</w:t>
      </w:r>
      <w:r w:rsidR="00C56167" w:rsidRPr="006B47AA">
        <w:rPr>
          <w:lang w:val="en-GB"/>
        </w:rPr>
        <w:t>) is</w:t>
      </w:r>
      <w:r w:rsidRPr="006B47AA">
        <w:rPr>
          <w:lang w:val="en-GB"/>
        </w:rPr>
        <w:t xml:space="preserve"> challenging due to numerous state variables and kinetic parameters, compounded by limited observations and experimental errors. To enhance reliability, model structure confirmation </w:t>
      </w:r>
      <w:r w:rsidR="00BD72C4">
        <w:rPr>
          <w:lang w:val="en-GB"/>
        </w:rPr>
        <w:t xml:space="preserve">should </w:t>
      </w:r>
      <w:r w:rsidRPr="006B47AA">
        <w:rPr>
          <w:lang w:val="en-GB"/>
        </w:rPr>
        <w:t xml:space="preserve">precede parameter estimation and validation. Traditional </w:t>
      </w:r>
      <w:r w:rsidR="00A266B5" w:rsidRPr="006B47AA">
        <w:rPr>
          <w:lang w:val="en-GB"/>
        </w:rPr>
        <w:t>model</w:t>
      </w:r>
      <w:r w:rsidR="00857B95">
        <w:rPr>
          <w:lang w:val="en-GB"/>
        </w:rPr>
        <w:t>-</w:t>
      </w:r>
      <w:r w:rsidR="00A266B5" w:rsidRPr="006B47AA">
        <w:rPr>
          <w:lang w:val="en-GB"/>
        </w:rPr>
        <w:t xml:space="preserve">building </w:t>
      </w:r>
      <w:r w:rsidRPr="006B47AA">
        <w:rPr>
          <w:lang w:val="en-GB"/>
        </w:rPr>
        <w:t xml:space="preserve">approaches </w:t>
      </w:r>
      <w:r w:rsidR="00A266B5" w:rsidRPr="006B47AA">
        <w:rPr>
          <w:lang w:val="en-GB"/>
        </w:rPr>
        <w:t>require</w:t>
      </w:r>
      <w:r w:rsidRPr="006B47AA">
        <w:rPr>
          <w:lang w:val="en-GB"/>
        </w:rPr>
        <w:t xml:space="preserve"> prior knowledge of candidate models, whereas model generation methods like Sparse Identification of Nonlinear Dynamics (SINDy) only require </w:t>
      </w:r>
      <w:r w:rsidR="00A266B5" w:rsidRPr="006B47AA">
        <w:rPr>
          <w:lang w:val="en-GB"/>
        </w:rPr>
        <w:t>the definition of a</w:t>
      </w:r>
      <w:r w:rsidRPr="006B47AA">
        <w:rPr>
          <w:lang w:val="en-GB"/>
        </w:rPr>
        <w:t xml:space="preserve"> library of function terms. </w:t>
      </w:r>
      <w:r w:rsidR="00BD72C4">
        <w:rPr>
          <w:lang w:val="en-GB"/>
        </w:rPr>
        <w:t>In this paper</w:t>
      </w:r>
      <w:r w:rsidR="00621A18">
        <w:rPr>
          <w:lang w:val="en-GB"/>
        </w:rPr>
        <w:t>,</w:t>
      </w:r>
      <w:r w:rsidR="00BD72C4">
        <w:rPr>
          <w:lang w:val="en-GB"/>
        </w:rPr>
        <w:t xml:space="preserve"> w</w:t>
      </w:r>
      <w:r w:rsidRPr="006B47AA">
        <w:rPr>
          <w:lang w:val="en-GB"/>
        </w:rPr>
        <w:t xml:space="preserve">e propose </w:t>
      </w:r>
      <w:r w:rsidR="00A266B5" w:rsidRPr="006B47AA">
        <w:rPr>
          <w:lang w:val="en-GB"/>
        </w:rPr>
        <w:t>a new model identification framework, named</w:t>
      </w:r>
      <w:r w:rsidRPr="006B47AA">
        <w:rPr>
          <w:lang w:val="en-GB"/>
        </w:rPr>
        <w:t xml:space="preserve"> Design of Experiment</w:t>
      </w:r>
      <w:r w:rsidR="00AE0D13" w:rsidRPr="006B47AA">
        <w:rPr>
          <w:lang w:val="en-GB"/>
        </w:rPr>
        <w:t>-i</w:t>
      </w:r>
      <w:r w:rsidRPr="006B47AA">
        <w:rPr>
          <w:lang w:val="en-GB"/>
        </w:rPr>
        <w:t>ntegrated Sparse Identification of Nonlinear Dynamics (DoE-SINDy)</w:t>
      </w:r>
      <w:r w:rsidR="00A266B5" w:rsidRPr="006B47AA">
        <w:rPr>
          <w:lang w:val="en-GB"/>
        </w:rPr>
        <w:t xml:space="preserve"> </w:t>
      </w:r>
      <w:r w:rsidR="00C56167" w:rsidRPr="006B47AA">
        <w:rPr>
          <w:lang w:val="en-GB"/>
        </w:rPr>
        <w:t>to iteratively</w:t>
      </w:r>
      <w:r w:rsidRPr="006B47AA">
        <w:rPr>
          <w:lang w:val="en-GB"/>
        </w:rPr>
        <w:t xml:space="preserve"> generate, </w:t>
      </w:r>
      <w:r w:rsidR="000D3B16" w:rsidRPr="006B47AA">
        <w:rPr>
          <w:lang w:val="en-GB"/>
        </w:rPr>
        <w:t>evaluate</w:t>
      </w:r>
      <w:r w:rsidRPr="006B47AA">
        <w:rPr>
          <w:lang w:val="en-GB"/>
        </w:rPr>
        <w:t xml:space="preserve">, and select candidate models to </w:t>
      </w:r>
      <w:r w:rsidR="00FF19DA" w:rsidRPr="006B47AA">
        <w:rPr>
          <w:lang w:val="en-GB"/>
        </w:rPr>
        <w:t>represent</w:t>
      </w:r>
      <w:r w:rsidRPr="006B47AA">
        <w:rPr>
          <w:lang w:val="en-GB"/>
        </w:rPr>
        <w:t xml:space="preserve"> systems with minimal training data. Tested on </w:t>
      </w:r>
      <w:r w:rsidR="00C56992" w:rsidRPr="006B47AA">
        <w:rPr>
          <w:lang w:val="en-GB"/>
        </w:rPr>
        <w:t xml:space="preserve">a </w:t>
      </w:r>
      <w:r w:rsidRPr="006B47AA">
        <w:rPr>
          <w:lang w:val="en-GB"/>
        </w:rPr>
        <w:t>simulated case stud</w:t>
      </w:r>
      <w:r w:rsidR="00C56992" w:rsidRPr="006B47AA">
        <w:rPr>
          <w:lang w:val="en-GB"/>
        </w:rPr>
        <w:t>y</w:t>
      </w:r>
      <w:r w:rsidRPr="006B47AA">
        <w:rPr>
          <w:lang w:val="en-GB"/>
        </w:rPr>
        <w:t xml:space="preserve">, DoE-SINDy </w:t>
      </w:r>
      <w:r w:rsidR="00FC630F" w:rsidRPr="006B47AA">
        <w:rPr>
          <w:lang w:val="en-GB"/>
        </w:rPr>
        <w:t xml:space="preserve">succeeds in </w:t>
      </w:r>
      <w:r w:rsidR="00975434" w:rsidRPr="006B47AA">
        <w:rPr>
          <w:lang w:val="en-GB"/>
        </w:rPr>
        <w:t>identifying an</w:t>
      </w:r>
      <w:r w:rsidR="00A266B5" w:rsidRPr="006B47AA">
        <w:rPr>
          <w:lang w:val="en-GB"/>
        </w:rPr>
        <w:t xml:space="preserve"> assumed true</w:t>
      </w:r>
      <w:r w:rsidRPr="006B47AA">
        <w:rPr>
          <w:lang w:val="en-GB"/>
        </w:rPr>
        <w:t xml:space="preserve"> model efficiently with</w:t>
      </w:r>
      <w:r w:rsidR="0099264E">
        <w:rPr>
          <w:lang w:val="en-GB"/>
        </w:rPr>
        <w:t xml:space="preserve"> a</w:t>
      </w:r>
      <w:r w:rsidRPr="006B47AA">
        <w:rPr>
          <w:lang w:val="en-GB"/>
        </w:rPr>
        <w:t xml:space="preserve"> limited experimental budget and noisy data</w:t>
      </w:r>
      <w:r w:rsidR="00BD72C4">
        <w:rPr>
          <w:lang w:val="en-GB"/>
        </w:rPr>
        <w:t>sets</w:t>
      </w:r>
      <w:r w:rsidRPr="006B47AA">
        <w:rPr>
          <w:lang w:val="en-GB"/>
        </w:rPr>
        <w:t>.</w:t>
      </w:r>
    </w:p>
    <w:p w14:paraId="144DE687" w14:textId="10F59041" w:rsidR="008D2649" w:rsidRPr="006B47AA" w:rsidRDefault="008D2649" w:rsidP="008D2649">
      <w:pPr>
        <w:pStyle w:val="Els-body-text"/>
        <w:spacing w:after="120"/>
        <w:rPr>
          <w:lang w:val="en-GB"/>
        </w:rPr>
      </w:pPr>
      <w:r w:rsidRPr="006B47AA">
        <w:rPr>
          <w:b/>
          <w:bCs/>
          <w:lang w:val="en-GB"/>
        </w:rPr>
        <w:t>Keywords</w:t>
      </w:r>
      <w:r w:rsidRPr="006B47AA">
        <w:rPr>
          <w:lang w:val="en-GB"/>
        </w:rPr>
        <w:t xml:space="preserve">: </w:t>
      </w:r>
      <w:r w:rsidR="00410706" w:rsidRPr="006B47AA">
        <w:rPr>
          <w:lang w:val="en-GB"/>
        </w:rPr>
        <w:t xml:space="preserve">model identification, </w:t>
      </w:r>
      <w:r w:rsidR="00244810" w:rsidRPr="006B47AA">
        <w:rPr>
          <w:lang w:val="en-GB"/>
        </w:rPr>
        <w:t xml:space="preserve">model generation, </w:t>
      </w:r>
      <w:r w:rsidR="00053220" w:rsidRPr="006B47AA">
        <w:rPr>
          <w:lang w:val="en-GB"/>
        </w:rPr>
        <w:t xml:space="preserve">kinetic studies, </w:t>
      </w:r>
      <w:r w:rsidR="00366F53" w:rsidRPr="006B47AA">
        <w:rPr>
          <w:lang w:val="en-GB"/>
        </w:rPr>
        <w:t>sparse regression</w:t>
      </w:r>
      <w:r w:rsidR="00E375A4" w:rsidRPr="006B47AA">
        <w:rPr>
          <w:lang w:val="en-GB"/>
        </w:rPr>
        <w:t xml:space="preserve">, </w:t>
      </w:r>
      <w:r w:rsidR="00866CAB" w:rsidRPr="006B47AA">
        <w:rPr>
          <w:lang w:val="en-GB"/>
        </w:rPr>
        <w:t>data-driven modelling</w:t>
      </w:r>
    </w:p>
    <w:p w14:paraId="163C08CB" w14:textId="0002EBFF" w:rsidR="004F00E7" w:rsidRPr="006B47AA" w:rsidRDefault="0063439E" w:rsidP="008D2649">
      <w:pPr>
        <w:pStyle w:val="Els-1storder-head"/>
        <w:rPr>
          <w:lang w:val="en-GB"/>
        </w:rPr>
      </w:pPr>
      <w:r w:rsidRPr="006B47AA">
        <w:rPr>
          <w:lang w:val="en-GB"/>
        </w:rPr>
        <w:t>Introduction</w:t>
      </w:r>
    </w:p>
    <w:p w14:paraId="38F6F323" w14:textId="06C55640" w:rsidR="004F00E7" w:rsidRPr="006B47AA" w:rsidRDefault="004F00E7" w:rsidP="004F00E7">
      <w:pPr>
        <w:pStyle w:val="Els-body-text"/>
        <w:rPr>
          <w:lang w:val="en-GB"/>
        </w:rPr>
      </w:pPr>
      <w:r w:rsidRPr="006B47AA">
        <w:rPr>
          <w:lang w:val="en-GB"/>
        </w:rPr>
        <w:t xml:space="preserve">Digitisation is driving a profound transformation in manufacturing sectors by implementing digital </w:t>
      </w:r>
      <w:r w:rsidR="00937719" w:rsidRPr="006B47AA">
        <w:rPr>
          <w:lang w:val="en-GB"/>
        </w:rPr>
        <w:t>twins</w:t>
      </w:r>
      <w:r w:rsidR="00A266B5" w:rsidRPr="006B47AA">
        <w:rPr>
          <w:lang w:val="en-GB"/>
        </w:rPr>
        <w:t xml:space="preserve"> based</w:t>
      </w:r>
      <w:r w:rsidRPr="006B47AA">
        <w:rPr>
          <w:lang w:val="en-GB"/>
        </w:rPr>
        <w:t xml:space="preserve"> on robust kinetic models</w:t>
      </w:r>
      <w:r w:rsidR="00A266B5" w:rsidRPr="006B47AA">
        <w:rPr>
          <w:lang w:val="en-GB"/>
        </w:rPr>
        <w:t xml:space="preserve"> for</w:t>
      </w:r>
      <w:r w:rsidRPr="006B47AA">
        <w:rPr>
          <w:lang w:val="en-GB"/>
        </w:rPr>
        <w:t xml:space="preserve"> representing the dynamic behaviour of </w:t>
      </w:r>
      <w:r w:rsidR="00A266B5" w:rsidRPr="006B47AA">
        <w:rPr>
          <w:lang w:val="en-GB"/>
        </w:rPr>
        <w:t xml:space="preserve">reaction systems modelled </w:t>
      </w:r>
      <w:r w:rsidR="001C75F3" w:rsidRPr="006B47AA">
        <w:rPr>
          <w:lang w:val="en-GB"/>
        </w:rPr>
        <w:t>as</w:t>
      </w:r>
      <w:r w:rsidRPr="006B47AA">
        <w:rPr>
          <w:lang w:val="en-GB"/>
        </w:rPr>
        <w:t xml:space="preserve"> </w:t>
      </w:r>
      <w:r w:rsidR="00F33D5F">
        <w:rPr>
          <w:lang w:val="en-GB"/>
        </w:rPr>
        <w:t xml:space="preserve">a </w:t>
      </w:r>
      <w:r w:rsidRPr="006B47AA">
        <w:rPr>
          <w:lang w:val="en-GB"/>
        </w:rPr>
        <w:t>set of differential and algebraic equations</w:t>
      </w:r>
      <w:r w:rsidR="00C1142F" w:rsidRPr="006B47AA">
        <w:rPr>
          <w:lang w:val="en-GB"/>
        </w:rPr>
        <w:t xml:space="preserve">. </w:t>
      </w:r>
      <w:r w:rsidRPr="006B47AA">
        <w:rPr>
          <w:lang w:val="en-GB"/>
        </w:rPr>
        <w:t xml:space="preserve">Identifying these kinetic models </w:t>
      </w:r>
      <w:r w:rsidR="00A266B5" w:rsidRPr="006B47AA">
        <w:rPr>
          <w:lang w:val="en-GB"/>
        </w:rPr>
        <w:t xml:space="preserve">from limited observations </w:t>
      </w:r>
      <w:r w:rsidRPr="006B47AA">
        <w:rPr>
          <w:lang w:val="en-GB"/>
        </w:rPr>
        <w:t xml:space="preserve">is very challenging due to their complex model structure, numerous </w:t>
      </w:r>
      <w:r w:rsidR="00723889" w:rsidRPr="006B47AA">
        <w:rPr>
          <w:lang w:val="en-GB"/>
        </w:rPr>
        <w:t>variables,</w:t>
      </w:r>
      <w:r w:rsidRPr="006B47AA">
        <w:rPr>
          <w:lang w:val="en-GB"/>
        </w:rPr>
        <w:t xml:space="preserve"> and </w:t>
      </w:r>
      <w:r w:rsidR="00EF466F" w:rsidRPr="006B47AA">
        <w:rPr>
          <w:lang w:val="en-GB"/>
        </w:rPr>
        <w:t>parameters</w:t>
      </w:r>
      <w:r w:rsidR="00723889" w:rsidRPr="006B47AA">
        <w:rPr>
          <w:lang w:val="en-GB"/>
        </w:rPr>
        <w:t xml:space="preserve"> </w:t>
      </w:r>
      <w:r w:rsidR="00520B8B" w:rsidRPr="006B47AA">
        <w:rPr>
          <w:lang w:val="en-GB"/>
        </w:rPr>
        <w:t>(Quaglio et al.</w:t>
      </w:r>
      <w:r w:rsidR="00D677C3" w:rsidRPr="006B47AA">
        <w:rPr>
          <w:lang w:val="en-GB"/>
        </w:rPr>
        <w:t>, 2020)</w:t>
      </w:r>
      <w:r w:rsidRPr="006B47AA">
        <w:rPr>
          <w:lang w:val="en-GB"/>
        </w:rPr>
        <w:t xml:space="preserve">. Constructing a suitable model for digital twins </w:t>
      </w:r>
      <w:r w:rsidR="00A266B5" w:rsidRPr="006B47AA">
        <w:rPr>
          <w:lang w:val="en-GB"/>
        </w:rPr>
        <w:t>often requir</w:t>
      </w:r>
      <w:r w:rsidRPr="006B47AA">
        <w:rPr>
          <w:lang w:val="en-GB"/>
        </w:rPr>
        <w:t xml:space="preserve">es costly experimentation and a substantial investment of time and analytical resources. Furthermore, the limited observations and inevitable experimental errors further </w:t>
      </w:r>
      <w:r w:rsidR="00A266B5" w:rsidRPr="006B47AA">
        <w:rPr>
          <w:lang w:val="en-GB"/>
        </w:rPr>
        <w:t>hinder</w:t>
      </w:r>
      <w:r w:rsidRPr="006B47AA">
        <w:rPr>
          <w:lang w:val="en-GB"/>
        </w:rPr>
        <w:t xml:space="preserve"> the adequate </w:t>
      </w:r>
      <w:r w:rsidR="00A213AC" w:rsidRPr="006B47AA">
        <w:rPr>
          <w:lang w:val="en-GB"/>
        </w:rPr>
        <w:t>identification.</w:t>
      </w:r>
      <w:r w:rsidRPr="006B47AA">
        <w:rPr>
          <w:lang w:val="en-GB"/>
        </w:rPr>
        <w:t xml:space="preserve"> </w:t>
      </w:r>
    </w:p>
    <w:p w14:paraId="29393988" w14:textId="1C8C111D" w:rsidR="005579D0" w:rsidRPr="006B47AA" w:rsidRDefault="006D1E97" w:rsidP="004F00E7">
      <w:pPr>
        <w:pStyle w:val="Els-body-text"/>
        <w:rPr>
          <w:lang w:val="en-GB"/>
        </w:rPr>
      </w:pPr>
      <w:r w:rsidRPr="006B47AA">
        <w:rPr>
          <w:lang w:val="en-GB"/>
        </w:rPr>
        <w:t>The</w:t>
      </w:r>
      <w:r w:rsidR="004F00E7" w:rsidRPr="006B47AA">
        <w:rPr>
          <w:lang w:val="en-GB"/>
        </w:rPr>
        <w:t xml:space="preserve"> reliability of identified model</w:t>
      </w:r>
      <w:r w:rsidR="00A266B5" w:rsidRPr="006B47AA">
        <w:rPr>
          <w:lang w:val="en-GB"/>
        </w:rPr>
        <w:t>s</w:t>
      </w:r>
      <w:r w:rsidRPr="006B47AA">
        <w:rPr>
          <w:lang w:val="en-GB"/>
        </w:rPr>
        <w:t xml:space="preserve"> is determined</w:t>
      </w:r>
      <w:r w:rsidR="004F00E7" w:rsidRPr="006B47AA">
        <w:rPr>
          <w:lang w:val="en-GB"/>
        </w:rPr>
        <w:t xml:space="preserve"> by </w:t>
      </w:r>
      <w:r w:rsidR="00A266B5" w:rsidRPr="006B47AA">
        <w:rPr>
          <w:lang w:val="en-GB"/>
        </w:rPr>
        <w:t>the adequacy of model structure (</w:t>
      </w:r>
      <w:r w:rsidR="00846D83" w:rsidRPr="006B47AA">
        <w:rPr>
          <w:lang w:val="en-GB"/>
        </w:rPr>
        <w:t>i.e.,</w:t>
      </w:r>
      <w:r w:rsidR="00A266B5" w:rsidRPr="006B47AA">
        <w:rPr>
          <w:lang w:val="en-GB"/>
        </w:rPr>
        <w:t xml:space="preserve"> set of </w:t>
      </w:r>
      <w:r w:rsidR="00A213AC" w:rsidRPr="006B47AA">
        <w:rPr>
          <w:lang w:val="en-GB"/>
        </w:rPr>
        <w:t>equations) and</w:t>
      </w:r>
      <w:r w:rsidR="004F00E7" w:rsidRPr="006B47AA">
        <w:rPr>
          <w:lang w:val="en-GB"/>
        </w:rPr>
        <w:t xml:space="preserve"> parameter precision. Model</w:t>
      </w:r>
      <w:r w:rsidR="009B7E78" w:rsidRPr="006B47AA">
        <w:rPr>
          <w:lang w:val="en-GB"/>
        </w:rPr>
        <w:t xml:space="preserve"> structure</w:t>
      </w:r>
      <w:r w:rsidR="004F00E7" w:rsidRPr="006B47AA">
        <w:rPr>
          <w:lang w:val="en-GB"/>
        </w:rPr>
        <w:t xml:space="preserve"> </w:t>
      </w:r>
      <w:r w:rsidR="00A266B5" w:rsidRPr="006B47AA">
        <w:rPr>
          <w:lang w:val="en-GB"/>
        </w:rPr>
        <w:t xml:space="preserve">adequacy </w:t>
      </w:r>
      <w:r w:rsidR="009B7E78" w:rsidRPr="006B47AA">
        <w:rPr>
          <w:lang w:val="en-GB"/>
        </w:rPr>
        <w:t xml:space="preserve">is a statistical </w:t>
      </w:r>
      <w:r w:rsidR="004F00E7" w:rsidRPr="006B47AA">
        <w:rPr>
          <w:lang w:val="en-GB"/>
        </w:rPr>
        <w:t xml:space="preserve">measure </w:t>
      </w:r>
      <w:r w:rsidR="009B7E78" w:rsidRPr="006B47AA">
        <w:rPr>
          <w:lang w:val="en-GB"/>
        </w:rPr>
        <w:t xml:space="preserve">of </w:t>
      </w:r>
      <w:r w:rsidR="004F00E7" w:rsidRPr="006B47AA">
        <w:rPr>
          <w:lang w:val="en-GB"/>
        </w:rPr>
        <w:t>how well a model</w:t>
      </w:r>
      <w:r w:rsidR="009B7E78" w:rsidRPr="006B47AA">
        <w:rPr>
          <w:lang w:val="en-GB"/>
        </w:rPr>
        <w:t xml:space="preserve"> fits</w:t>
      </w:r>
      <w:r w:rsidR="004F00E7" w:rsidRPr="006B47AA">
        <w:rPr>
          <w:lang w:val="en-GB"/>
        </w:rPr>
        <w:t xml:space="preserve"> the data, while parameter precision </w:t>
      </w:r>
      <w:r w:rsidR="009B7E78" w:rsidRPr="006B47AA">
        <w:rPr>
          <w:lang w:val="en-GB"/>
        </w:rPr>
        <w:t>is related to</w:t>
      </w:r>
      <w:r w:rsidR="004F00E7" w:rsidRPr="006B47AA">
        <w:rPr>
          <w:lang w:val="en-GB"/>
        </w:rPr>
        <w:t xml:space="preserve"> the uncertainty of parameter estimates. </w:t>
      </w:r>
      <w:r w:rsidR="00CA5F52" w:rsidRPr="006B47AA">
        <w:rPr>
          <w:lang w:val="en-GB"/>
        </w:rPr>
        <w:t>Thus</w:t>
      </w:r>
      <w:r w:rsidR="004F00E7" w:rsidRPr="006B47AA">
        <w:rPr>
          <w:lang w:val="en-GB"/>
        </w:rPr>
        <w:t xml:space="preserve">, it is necessary to identify a model with </w:t>
      </w:r>
      <w:r w:rsidR="00CA5F52" w:rsidRPr="006B47AA">
        <w:rPr>
          <w:lang w:val="en-GB"/>
        </w:rPr>
        <w:t>an accurate</w:t>
      </w:r>
      <w:r w:rsidR="004F00E7" w:rsidRPr="006B47AA">
        <w:rPr>
          <w:lang w:val="en-GB"/>
        </w:rPr>
        <w:t xml:space="preserve"> model structure and reduce the uncertainty in the parameters as much as possible. </w:t>
      </w:r>
    </w:p>
    <w:p w14:paraId="144DE68B" w14:textId="233958EA" w:rsidR="008D2649" w:rsidRPr="006B47AA" w:rsidRDefault="004F00E7" w:rsidP="008D2649">
      <w:pPr>
        <w:pStyle w:val="Els-body-text"/>
        <w:rPr>
          <w:lang w:val="en-GB"/>
        </w:rPr>
      </w:pPr>
      <w:r w:rsidRPr="006B47AA">
        <w:rPr>
          <w:lang w:val="en-GB"/>
        </w:rPr>
        <w:t xml:space="preserve">Traditional model-building approaches involve model selection for </w:t>
      </w:r>
      <w:r w:rsidR="00E66D96" w:rsidRPr="006B47AA">
        <w:rPr>
          <w:lang w:val="en-GB"/>
        </w:rPr>
        <w:t>identifying the</w:t>
      </w:r>
      <w:r w:rsidRPr="006B47AA">
        <w:rPr>
          <w:lang w:val="en-GB"/>
        </w:rPr>
        <w:t xml:space="preserve"> most accurate model structure from </w:t>
      </w:r>
      <w:r w:rsidR="009B7E78" w:rsidRPr="006B47AA">
        <w:rPr>
          <w:lang w:val="en-GB"/>
        </w:rPr>
        <w:t xml:space="preserve">a set </w:t>
      </w:r>
      <w:r w:rsidR="00CC2AC6">
        <w:rPr>
          <w:lang w:val="en-GB"/>
        </w:rPr>
        <w:t>of k</w:t>
      </w:r>
      <w:r w:rsidRPr="006B47AA">
        <w:rPr>
          <w:lang w:val="en-GB"/>
        </w:rPr>
        <w:t>nown model structures</w:t>
      </w:r>
      <w:r w:rsidR="009B7E78" w:rsidRPr="006B47AA">
        <w:rPr>
          <w:lang w:val="en-GB"/>
        </w:rPr>
        <w:t xml:space="preserve"> (Asprey and </w:t>
      </w:r>
      <w:proofErr w:type="spellStart"/>
      <w:r w:rsidR="009B7E78" w:rsidRPr="006B47AA">
        <w:rPr>
          <w:lang w:val="en-GB"/>
        </w:rPr>
        <w:t>Macchietto</w:t>
      </w:r>
      <w:proofErr w:type="spellEnd"/>
      <w:r w:rsidR="009B7E78" w:rsidRPr="006B47AA">
        <w:rPr>
          <w:lang w:val="en-GB"/>
        </w:rPr>
        <w:t>,</w:t>
      </w:r>
      <w:r w:rsidR="00F21966" w:rsidRPr="006B47AA">
        <w:rPr>
          <w:lang w:val="en-GB"/>
        </w:rPr>
        <w:t xml:space="preserve"> </w:t>
      </w:r>
      <w:r w:rsidR="00E66D96" w:rsidRPr="006B47AA">
        <w:rPr>
          <w:lang w:val="en-GB"/>
        </w:rPr>
        <w:t>2000</w:t>
      </w:r>
      <w:r w:rsidR="00F21966" w:rsidRPr="006B47AA">
        <w:rPr>
          <w:lang w:val="en-GB"/>
        </w:rPr>
        <w:t>)</w:t>
      </w:r>
      <w:r w:rsidRPr="006B47AA">
        <w:rPr>
          <w:lang w:val="en-GB"/>
        </w:rPr>
        <w:t xml:space="preserve">, and model modification for correcting the unsuitable structure in the selected </w:t>
      </w:r>
      <w:r w:rsidRPr="006B47AA">
        <w:rPr>
          <w:lang w:val="en-GB"/>
        </w:rPr>
        <w:lastRenderedPageBreak/>
        <w:t>model. Challenges may arise when there is insufficient theoretical understanding of the system</w:t>
      </w:r>
      <w:r w:rsidR="009B7E78" w:rsidRPr="006B47AA">
        <w:rPr>
          <w:lang w:val="en-GB"/>
        </w:rPr>
        <w:t xml:space="preserve"> to generate candidate models</w:t>
      </w:r>
      <w:r w:rsidRPr="006B47AA">
        <w:rPr>
          <w:lang w:val="en-GB"/>
        </w:rPr>
        <w:t xml:space="preserve"> or when the 'true' (i.e., most suitable) model is not among the candidate models, a common scenario in chemical and biochemical processes.</w:t>
      </w:r>
      <w:r w:rsidR="0037369E" w:rsidRPr="006B47AA">
        <w:rPr>
          <w:lang w:val="en-GB"/>
        </w:rPr>
        <w:t xml:space="preserve"> Model generation approaches </w:t>
      </w:r>
      <w:r w:rsidR="00F21966" w:rsidRPr="006B47AA">
        <w:rPr>
          <w:lang w:val="en-GB"/>
        </w:rPr>
        <w:t>such as SINDy (</w:t>
      </w:r>
      <w:r w:rsidR="00055996" w:rsidRPr="006B47AA">
        <w:rPr>
          <w:lang w:val="en-GB"/>
        </w:rPr>
        <w:t>Brunton et al.</w:t>
      </w:r>
      <w:r w:rsidR="008A424C">
        <w:rPr>
          <w:lang w:val="en-GB"/>
        </w:rPr>
        <w:t>,</w:t>
      </w:r>
      <w:r w:rsidR="00055996" w:rsidRPr="006B47AA">
        <w:rPr>
          <w:lang w:val="en-GB"/>
        </w:rPr>
        <w:t xml:space="preserve"> 2016)</w:t>
      </w:r>
      <w:r w:rsidR="00513026">
        <w:rPr>
          <w:lang w:val="en-GB" w:eastAsia="zh-CN"/>
        </w:rPr>
        <w:t xml:space="preserve"> </w:t>
      </w:r>
      <w:r w:rsidR="006A3CBF">
        <w:rPr>
          <w:lang w:val="en-GB" w:eastAsia="zh-CN"/>
        </w:rPr>
        <w:t xml:space="preserve">and </w:t>
      </w:r>
      <w:r w:rsidR="00240EFB">
        <w:rPr>
          <w:lang w:val="en-GB" w:eastAsia="zh-CN"/>
        </w:rPr>
        <w:t>AI-DARWIN (</w:t>
      </w:r>
      <w:r w:rsidR="003F2AEC">
        <w:rPr>
          <w:lang w:val="en-GB" w:eastAsia="zh-CN"/>
        </w:rPr>
        <w:t>Chakraborty et al.</w:t>
      </w:r>
      <w:r w:rsidR="008A424C">
        <w:rPr>
          <w:lang w:val="en-GB" w:eastAsia="zh-CN"/>
        </w:rPr>
        <w:t>, 2021</w:t>
      </w:r>
      <w:r w:rsidR="00240EFB">
        <w:rPr>
          <w:lang w:val="en-GB" w:eastAsia="zh-CN"/>
        </w:rPr>
        <w:t>)</w:t>
      </w:r>
      <w:r w:rsidR="00F21966" w:rsidRPr="006B47AA">
        <w:rPr>
          <w:lang w:val="en-GB"/>
        </w:rPr>
        <w:t xml:space="preserve"> </w:t>
      </w:r>
      <w:r w:rsidR="0037369E" w:rsidRPr="006B47AA">
        <w:rPr>
          <w:lang w:val="en-GB"/>
        </w:rPr>
        <w:t>are affected by several limitations: 1) potential generation of unidentifiable models; 2) absence of a rigorous model evaluation stage;</w:t>
      </w:r>
      <w:r w:rsidR="00A414FB">
        <w:rPr>
          <w:lang w:val="en-GB"/>
        </w:rPr>
        <w:t xml:space="preserve"> </w:t>
      </w:r>
      <w:r w:rsidR="0037369E" w:rsidRPr="006B47AA">
        <w:rPr>
          <w:lang w:val="en-GB"/>
        </w:rPr>
        <w:t xml:space="preserve">3) model generation is extremely sensitive to experimental conditions explored in the training set; 4) lack of a model selection stage. Motivated by these challenges, a new systematic model identification framework named DoE-SINDy is proposed in this paper for simultaneously generating model structures and estimating parameters from a small dataset to represent a dynamic system. To realise it, this framework aims to integrate model generation techniques and design of experiments (DoE) to expedite the identification of kinetic models.  </w:t>
      </w:r>
    </w:p>
    <w:p w14:paraId="1679F3A6" w14:textId="7FF070A1" w:rsidR="001B5317" w:rsidRPr="006B47AA" w:rsidRDefault="001B5317" w:rsidP="001B5317">
      <w:pPr>
        <w:pStyle w:val="Els-1storder-head"/>
        <w:rPr>
          <w:lang w:val="en-GB"/>
        </w:rPr>
      </w:pPr>
      <w:r w:rsidRPr="006B47AA">
        <w:rPr>
          <w:lang w:val="en-GB"/>
        </w:rPr>
        <w:t>Methodology</w:t>
      </w:r>
    </w:p>
    <w:p w14:paraId="62594649" w14:textId="73463276" w:rsidR="005E1673" w:rsidRPr="006B47AA" w:rsidRDefault="009B7E78" w:rsidP="001B5317">
      <w:pPr>
        <w:pStyle w:val="Els-body-text"/>
        <w:rPr>
          <w:lang w:val="en-GB" w:eastAsia="zh-CN"/>
        </w:rPr>
      </w:pPr>
      <w:r w:rsidRPr="006B47AA">
        <w:rPr>
          <w:lang w:val="en-GB" w:eastAsia="zh-CN"/>
        </w:rPr>
        <w:t>A</w:t>
      </w:r>
      <w:r w:rsidR="00C02710" w:rsidRPr="006B47AA">
        <w:rPr>
          <w:lang w:val="en-GB" w:eastAsia="zh-CN"/>
        </w:rPr>
        <w:t xml:space="preserve"> dynamic</w:t>
      </w:r>
      <w:r w:rsidR="005E1673" w:rsidRPr="006B47AA">
        <w:rPr>
          <w:lang w:val="en-GB" w:eastAsia="zh-CN"/>
        </w:rPr>
        <w:t xml:space="preserve"> chemical reaction </w:t>
      </w:r>
      <w:r w:rsidRPr="006B47AA">
        <w:rPr>
          <w:lang w:val="en-GB" w:eastAsia="zh-CN"/>
        </w:rPr>
        <w:t>model can be</w:t>
      </w:r>
      <w:r w:rsidR="00C02710" w:rsidRPr="006B47AA">
        <w:rPr>
          <w:lang w:val="en-GB" w:eastAsia="zh-CN"/>
        </w:rPr>
        <w:t xml:space="preserve"> formulated</w:t>
      </w:r>
      <w:r w:rsidRPr="006B47AA">
        <w:rPr>
          <w:lang w:val="en-GB" w:eastAsia="zh-CN"/>
        </w:rPr>
        <w:t xml:space="preserve"> as</w:t>
      </w:r>
      <w:r w:rsidR="005E1673" w:rsidRPr="006B47AA">
        <w:rPr>
          <w:lang w:val="en-GB" w:eastAsia="zh-CN"/>
        </w:rPr>
        <w:t xml:space="preserve"> a set of differential and algebraic equations</w:t>
      </w:r>
      <w:r w:rsidRPr="006B47AA">
        <w:rPr>
          <w:lang w:val="en-GB" w:eastAsia="zh-CN"/>
        </w:rPr>
        <w:t xml:space="preserve"> (DAEs) in the </w:t>
      </w:r>
      <w:proofErr w:type="gramStart"/>
      <w:r w:rsidRPr="006B47AA">
        <w:rPr>
          <w:lang w:val="en-GB" w:eastAsia="zh-CN"/>
        </w:rPr>
        <w:t>form</w:t>
      </w:r>
      <w:proofErr w:type="gramEnd"/>
    </w:p>
    <w:tbl>
      <w:tblPr>
        <w:tblW w:w="7161" w:type="dxa"/>
        <w:tblLook w:val="04A0" w:firstRow="1" w:lastRow="0" w:firstColumn="1" w:lastColumn="0" w:noHBand="0" w:noVBand="1"/>
      </w:tblPr>
      <w:tblGrid>
        <w:gridCol w:w="6187"/>
        <w:gridCol w:w="974"/>
      </w:tblGrid>
      <w:tr w:rsidR="00DD533B" w:rsidRPr="006B47AA" w14:paraId="7E614707" w14:textId="77777777" w:rsidTr="007810BC">
        <w:trPr>
          <w:trHeight w:val="57"/>
        </w:trPr>
        <w:tc>
          <w:tcPr>
            <w:tcW w:w="6187" w:type="dxa"/>
            <w:shd w:val="clear" w:color="auto" w:fill="auto"/>
            <w:vAlign w:val="center"/>
          </w:tcPr>
          <w:p w14:paraId="6506A203" w14:textId="77777777" w:rsidR="00DD533B" w:rsidRPr="006B47AA" w:rsidRDefault="00DD533B" w:rsidP="00B138D8">
            <w:pPr>
              <w:pStyle w:val="Els-body-text"/>
              <w:spacing w:before="120" w:line="264" w:lineRule="auto"/>
              <w:jc w:val="left"/>
              <w:rPr>
                <w:lang w:val="en-GB"/>
              </w:rPr>
            </w:pPr>
            <m:oMath>
              <m:r>
                <m:rPr>
                  <m:sty m:val="b"/>
                </m:rPr>
                <w:rPr>
                  <w:rFonts w:ascii="Cambria Math" w:hAnsi="Cambria Math"/>
                  <w:lang w:val="en-GB"/>
                </w:rPr>
                <m:t>f</m:t>
              </m:r>
              <m:d>
                <m:dPr>
                  <m:ctrlPr>
                    <w:rPr>
                      <w:rFonts w:ascii="Cambria Math" w:hAnsi="Cambria Math"/>
                      <w:i/>
                      <w:lang w:val="en-GB"/>
                    </w:rPr>
                  </m:ctrlPr>
                </m:dPr>
                <m:e>
                  <m:acc>
                    <m:accPr>
                      <m:chr m:val="̇"/>
                      <m:ctrlPr>
                        <w:rPr>
                          <w:rFonts w:ascii="Cambria Math" w:hAnsi="Cambria Math"/>
                          <w:i/>
                          <w:lang w:val="en-GB"/>
                        </w:rPr>
                      </m:ctrlPr>
                    </m:accPr>
                    <m:e>
                      <m:r>
                        <m:rPr>
                          <m:sty m:val="b"/>
                        </m:rPr>
                        <w:rPr>
                          <w:rFonts w:ascii="Cambria Math" w:hAnsi="Cambria Math"/>
                          <w:lang w:val="en-GB"/>
                        </w:rPr>
                        <m:t>x</m:t>
                      </m:r>
                    </m:e>
                  </m:acc>
                  <m:r>
                    <w:rPr>
                      <w:rFonts w:ascii="Cambria Math" w:hAnsi="Cambria Math"/>
                      <w:lang w:val="en-GB"/>
                    </w:rPr>
                    <m:t>,</m:t>
                  </m:r>
                  <m:r>
                    <m:rPr>
                      <m:sty m:val="b"/>
                    </m:rPr>
                    <w:rPr>
                      <w:rFonts w:ascii="Cambria Math" w:hAnsi="Cambria Math"/>
                      <w:lang w:val="en-GB"/>
                    </w:rPr>
                    <m:t>x</m:t>
                  </m:r>
                  <m:r>
                    <w:rPr>
                      <w:rFonts w:ascii="Cambria Math" w:hAnsi="Cambria Math"/>
                      <w:lang w:val="en-GB"/>
                    </w:rPr>
                    <m:t>,</m:t>
                  </m:r>
                  <m:r>
                    <m:rPr>
                      <m:sty m:val="b"/>
                    </m:rPr>
                    <w:rPr>
                      <w:rFonts w:ascii="Cambria Math" w:hAnsi="Cambria Math"/>
                      <w:lang w:val="en-GB"/>
                    </w:rPr>
                    <m:t>u</m:t>
                  </m:r>
                  <m:r>
                    <w:rPr>
                      <w:rFonts w:ascii="Cambria Math" w:hAnsi="Cambria Math"/>
                      <w:lang w:val="en-GB"/>
                    </w:rPr>
                    <m:t>,t,</m:t>
                  </m:r>
                  <m:r>
                    <m:rPr>
                      <m:sty m:val="bi"/>
                    </m:rPr>
                    <w:rPr>
                      <w:rFonts w:ascii="Cambria Math" w:hAnsi="Cambria Math"/>
                      <w:lang w:val="en-GB"/>
                    </w:rPr>
                    <m:t>θ</m:t>
                  </m:r>
                </m:e>
              </m:d>
              <m:r>
                <w:rPr>
                  <w:rFonts w:ascii="Cambria Math" w:hAnsi="Cambria Math"/>
                  <w:lang w:val="en-GB"/>
                </w:rPr>
                <m:t>=0</m:t>
              </m:r>
            </m:oMath>
            <w:r w:rsidRPr="006B47AA">
              <w:rPr>
                <w:lang w:val="en-GB"/>
              </w:rPr>
              <w:t xml:space="preserve"> </w:t>
            </w:r>
          </w:p>
        </w:tc>
        <w:tc>
          <w:tcPr>
            <w:tcW w:w="974" w:type="dxa"/>
            <w:vMerge w:val="restart"/>
            <w:shd w:val="clear" w:color="auto" w:fill="auto"/>
            <w:vAlign w:val="center"/>
          </w:tcPr>
          <w:p w14:paraId="4A8228BA" w14:textId="77777777" w:rsidR="00DD533B" w:rsidRPr="006B47AA" w:rsidRDefault="00DD533B" w:rsidP="007810BC">
            <w:pPr>
              <w:pStyle w:val="Els-body-text"/>
              <w:spacing w:before="120" w:after="120" w:line="264" w:lineRule="auto"/>
              <w:jc w:val="right"/>
              <w:rPr>
                <w:lang w:val="en-GB"/>
              </w:rPr>
            </w:pPr>
            <w:r w:rsidRPr="006B47AA">
              <w:rPr>
                <w:lang w:val="en-GB"/>
              </w:rPr>
              <w:t>(1)</w:t>
            </w:r>
          </w:p>
        </w:tc>
      </w:tr>
      <w:tr w:rsidR="00DD533B" w:rsidRPr="006B47AA" w14:paraId="1616E9CF" w14:textId="77777777" w:rsidTr="007810BC">
        <w:trPr>
          <w:trHeight w:val="113"/>
        </w:trPr>
        <w:tc>
          <w:tcPr>
            <w:tcW w:w="6187" w:type="dxa"/>
            <w:shd w:val="clear" w:color="auto" w:fill="auto"/>
            <w:vAlign w:val="center"/>
          </w:tcPr>
          <w:p w14:paraId="74EEC11D" w14:textId="1B0482B2" w:rsidR="00DD533B" w:rsidRPr="006B47AA" w:rsidRDefault="003D5E8D" w:rsidP="00B138D8">
            <w:pPr>
              <w:pStyle w:val="Els-body-text"/>
              <w:spacing w:after="120" w:line="264" w:lineRule="auto"/>
              <w:jc w:val="left"/>
              <w:rPr>
                <w:b/>
                <w:bCs/>
                <w:lang w:val="en-GB"/>
              </w:rPr>
            </w:pPr>
            <m:oMath>
              <m:acc>
                <m:accPr>
                  <m:ctrlPr>
                    <w:rPr>
                      <w:rFonts w:ascii="Cambria Math" w:hAnsi="Cambria Math"/>
                      <w:b/>
                      <w:bCs/>
                      <w:iCs/>
                      <w:lang w:val="en-GB"/>
                    </w:rPr>
                  </m:ctrlPr>
                </m:accPr>
                <m:e>
                  <m:r>
                    <m:rPr>
                      <m:sty m:val="b"/>
                    </m:rPr>
                    <w:rPr>
                      <w:rFonts w:ascii="Cambria Math" w:hAnsi="Cambria Math"/>
                      <w:lang w:val="en-GB"/>
                    </w:rPr>
                    <m:t>x</m:t>
                  </m:r>
                </m:e>
              </m:acc>
              <m:r>
                <m:rPr>
                  <m:sty m:val="b"/>
                </m:rPr>
                <w:rPr>
                  <w:rFonts w:ascii="Cambria Math" w:hAnsi="Cambria Math"/>
                  <w:lang w:val="en-GB"/>
                </w:rPr>
                <m:t xml:space="preserve">=h(u, </m:t>
              </m:r>
              <m:r>
                <w:rPr>
                  <w:rFonts w:ascii="Cambria Math" w:hAnsi="Cambria Math"/>
                  <w:lang w:val="en-GB"/>
                </w:rPr>
                <m:t>t</m:t>
              </m:r>
              <m:r>
                <m:rPr>
                  <m:sty m:val="b"/>
                </m:rPr>
                <w:rPr>
                  <w:rFonts w:ascii="Cambria Math" w:hAnsi="Cambria Math"/>
                  <w:lang w:val="en-GB"/>
                </w:rPr>
                <m:t xml:space="preserve">, </m:t>
              </m:r>
              <m:r>
                <m:rPr>
                  <m:sty m:val="bi"/>
                </m:rPr>
                <w:rPr>
                  <w:rFonts w:ascii="Cambria Math" w:hAnsi="Cambria Math"/>
                  <w:lang w:val="en-GB"/>
                </w:rPr>
                <m:t>θ</m:t>
              </m:r>
              <m:r>
                <m:rPr>
                  <m:sty m:val="b"/>
                </m:rPr>
                <w:rPr>
                  <w:rFonts w:ascii="Cambria Math" w:hAnsi="Cambria Math"/>
                  <w:lang w:val="en-GB"/>
                </w:rPr>
                <m:t>)</m:t>
              </m:r>
            </m:oMath>
            <w:r w:rsidR="00DD533B" w:rsidRPr="006B47AA">
              <w:rPr>
                <w:b/>
                <w:bCs/>
                <w:lang w:val="en-GB"/>
              </w:rPr>
              <w:t xml:space="preserve"> </w:t>
            </w:r>
          </w:p>
        </w:tc>
        <w:tc>
          <w:tcPr>
            <w:tcW w:w="974" w:type="dxa"/>
            <w:vMerge/>
            <w:shd w:val="clear" w:color="auto" w:fill="auto"/>
            <w:vAlign w:val="center"/>
          </w:tcPr>
          <w:p w14:paraId="06737332" w14:textId="77777777" w:rsidR="00DD533B" w:rsidRPr="006B47AA" w:rsidRDefault="00DD533B" w:rsidP="007810BC">
            <w:pPr>
              <w:pStyle w:val="Els-body-text"/>
              <w:spacing w:before="120" w:after="120" w:line="264" w:lineRule="auto"/>
              <w:jc w:val="right"/>
              <w:rPr>
                <w:lang w:val="en-GB"/>
              </w:rPr>
            </w:pPr>
          </w:p>
        </w:tc>
      </w:tr>
    </w:tbl>
    <w:p w14:paraId="34DD7131" w14:textId="5304DA0C" w:rsidR="00C543B4" w:rsidRDefault="00DD533B" w:rsidP="007A50BD">
      <w:pPr>
        <w:pStyle w:val="Els-body-text"/>
        <w:rPr>
          <w:lang w:val="en-GB"/>
        </w:rPr>
      </w:pPr>
      <w:r w:rsidRPr="006B47AA">
        <w:rPr>
          <w:lang w:val="en-GB"/>
        </w:rPr>
        <w:t xml:space="preserve">where </w:t>
      </w:r>
      <m:oMath>
        <m:r>
          <m:rPr>
            <m:sty m:val="b"/>
          </m:rPr>
          <w:rPr>
            <w:rFonts w:ascii="Cambria Math" w:hAnsi="Cambria Math"/>
            <w:lang w:val="en-GB"/>
          </w:rPr>
          <m:t>f</m:t>
        </m:r>
      </m:oMath>
      <w:r w:rsidRPr="006B47AA">
        <w:rPr>
          <w:lang w:val="en-GB"/>
        </w:rPr>
        <w:t xml:space="preserve"> and </w:t>
      </w:r>
      <m:oMath>
        <m:r>
          <m:rPr>
            <m:sty m:val="b"/>
          </m:rPr>
          <w:rPr>
            <w:rFonts w:ascii="Cambria Math" w:hAnsi="Cambria Math"/>
            <w:lang w:val="en-GB"/>
          </w:rPr>
          <m:t>h</m:t>
        </m:r>
      </m:oMath>
      <w:r w:rsidRPr="006B47AA">
        <w:rPr>
          <w:lang w:val="en-GB"/>
        </w:rPr>
        <w:t xml:space="preserve"> are respectively 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f</m:t>
            </m:r>
          </m:sub>
        </m:sSub>
        <m:r>
          <w:rPr>
            <w:rFonts w:ascii="Cambria Math" w:hAnsi="Cambria Math"/>
            <w:lang w:val="en-GB"/>
          </w:rPr>
          <m:t xml:space="preserve"> </m:t>
        </m:r>
      </m:oMath>
      <w:r w:rsidRPr="006B47AA">
        <w:rPr>
          <w:lang w:val="en-GB"/>
        </w:rPr>
        <w:t xml:space="preserve">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r>
          <w:rPr>
            <w:rFonts w:ascii="Cambria Math" w:hAnsi="Cambria Math"/>
            <w:lang w:val="en-GB"/>
          </w:rPr>
          <m:t xml:space="preserve"> </m:t>
        </m:r>
      </m:oMath>
      <w:r w:rsidRPr="006B47AA">
        <w:rPr>
          <w:lang w:val="en-GB"/>
        </w:rPr>
        <w:t xml:space="preserve">vector of model equations, </w:t>
      </w:r>
      <m:oMath>
        <m:r>
          <m:rPr>
            <m:sty m:val="b"/>
          </m:rPr>
          <w:rPr>
            <w:rFonts w:ascii="Cambria Math" w:hAnsi="Cambria Math"/>
            <w:lang w:val="en-GB"/>
          </w:rPr>
          <m:t>x</m:t>
        </m:r>
      </m:oMath>
      <w:r w:rsidRPr="006B47AA">
        <w:rPr>
          <w:lang w:val="en-GB"/>
        </w:rPr>
        <w:t xml:space="preserve"> is 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r>
          <w:rPr>
            <w:rFonts w:ascii="Cambria Math" w:hAnsi="Cambria Math"/>
            <w:lang w:val="en-GB"/>
          </w:rPr>
          <m:t xml:space="preserve"> </m:t>
        </m:r>
      </m:oMath>
      <w:r w:rsidRPr="006B47AA">
        <w:rPr>
          <w:lang w:val="en-GB"/>
        </w:rPr>
        <w:t xml:space="preserve">vector of state variables,  </w:t>
      </w:r>
      <m:oMath>
        <m:r>
          <m:rPr>
            <m:sty m:val="b"/>
          </m:rPr>
          <w:rPr>
            <w:rFonts w:ascii="Cambria Math" w:hAnsi="Cambria Math"/>
            <w:lang w:val="en-GB"/>
          </w:rPr>
          <m:t>u</m:t>
        </m:r>
        <m:r>
          <w:rPr>
            <w:rFonts w:ascii="Cambria Math" w:hAnsi="Cambria Math"/>
            <w:lang w:val="en-GB"/>
          </w:rPr>
          <m:t>∈</m:t>
        </m:r>
        <m:r>
          <m:rPr>
            <m:sty m:val="p"/>
          </m:rPr>
          <w:rPr>
            <w:rFonts w:ascii="Cambria Math" w:hAnsi="Cambria Math"/>
            <w:lang w:val="en-GB"/>
          </w:rPr>
          <m:t>U</m:t>
        </m:r>
      </m:oMath>
      <w:r w:rsidRPr="006B47AA">
        <w:rPr>
          <w:lang w:val="en-GB"/>
        </w:rPr>
        <w:t xml:space="preserve"> is 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u</m:t>
            </m:r>
          </m:sub>
        </m:sSub>
      </m:oMath>
      <w:r w:rsidRPr="006B47AA">
        <w:rPr>
          <w:lang w:val="en-GB"/>
        </w:rPr>
        <w:t xml:space="preserve"> </w:t>
      </w:r>
      <w:r w:rsidRPr="006B47AA">
        <w:rPr>
          <w:lang w:val="en-GB" w:eastAsia="zh-CN"/>
        </w:rPr>
        <w:t>vector</w:t>
      </w:r>
      <w:r w:rsidRPr="006B47AA">
        <w:rPr>
          <w:lang w:val="en-GB"/>
        </w:rPr>
        <w:t xml:space="preserve"> of control input variables, </w:t>
      </w:r>
      <w:proofErr w:type="spellStart"/>
      <w:r w:rsidRPr="006B47AA">
        <w:rPr>
          <w:i/>
          <w:iCs/>
          <w:lang w:val="en-GB"/>
        </w:rPr>
        <w:t>t</w:t>
      </w:r>
      <w:proofErr w:type="spellEnd"/>
      <w:r w:rsidRPr="006B47AA">
        <w:rPr>
          <w:lang w:val="en-GB"/>
        </w:rPr>
        <w:t xml:space="preserve"> is time and </w:t>
      </w:r>
      <m:oMath>
        <m:r>
          <m:rPr>
            <m:sty m:val="bi"/>
          </m:rPr>
          <w:rPr>
            <w:rFonts w:ascii="Cambria Math" w:hAnsi="Cambria Math"/>
            <w:lang w:val="en-GB"/>
          </w:rPr>
          <m:t>θ</m:t>
        </m:r>
      </m:oMath>
      <w:r w:rsidRPr="006B47AA">
        <w:rPr>
          <w:lang w:val="en-GB"/>
        </w:rPr>
        <w:t xml:space="preserve"> is 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oMath>
      <w:r w:rsidRPr="006B47AA">
        <w:rPr>
          <w:lang w:val="en-GB"/>
        </w:rPr>
        <w:t xml:space="preserve">vector of model parameters, </w:t>
      </w:r>
      <m:oMath>
        <m:acc>
          <m:accPr>
            <m:ctrlPr>
              <w:rPr>
                <w:rFonts w:ascii="Cambria Math" w:hAnsi="Cambria Math"/>
                <w:b/>
                <w:bCs/>
                <w:iCs/>
                <w:lang w:val="en-GB"/>
              </w:rPr>
            </m:ctrlPr>
          </m:accPr>
          <m:e>
            <m:r>
              <m:rPr>
                <m:sty m:val="b"/>
              </m:rPr>
              <w:rPr>
                <w:rFonts w:ascii="Cambria Math" w:hAnsi="Cambria Math"/>
                <w:lang w:val="en-GB"/>
              </w:rPr>
              <m:t>x</m:t>
            </m:r>
          </m:e>
        </m:acc>
      </m:oMath>
      <w:r w:rsidRPr="006B47AA">
        <w:rPr>
          <w:lang w:val="en-GB"/>
        </w:rPr>
        <w:t xml:space="preserve"> represents 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oMath>
      <w:r w:rsidRPr="006B47AA">
        <w:rPr>
          <w:lang w:val="en-GB"/>
        </w:rPr>
        <w:t xml:space="preserve"> vector of model predictions for a measurable set of system state variables </w:t>
      </w:r>
      <m:oMath>
        <m:r>
          <m:rPr>
            <m:sty m:val="b"/>
          </m:rPr>
          <w:rPr>
            <w:rFonts w:ascii="Cambria Math" w:hAnsi="Cambria Math"/>
            <w:lang w:val="en-GB"/>
          </w:rPr>
          <m:t>x</m:t>
        </m:r>
      </m:oMath>
      <w:r w:rsidRPr="006B47AA">
        <w:rPr>
          <w:lang w:val="en-GB"/>
        </w:rPr>
        <w:t xml:space="preserve">. </w:t>
      </w:r>
      <w:r w:rsidR="008E7AC7" w:rsidRPr="006B47AA">
        <w:rPr>
          <w:lang w:val="en-GB"/>
        </w:rPr>
        <w:t xml:space="preserve">This research focuses on </w:t>
      </w:r>
      <w:r w:rsidR="009B7E78" w:rsidRPr="006B47AA">
        <w:rPr>
          <w:lang w:val="en-GB"/>
        </w:rPr>
        <w:t xml:space="preserve">simultaneously </w:t>
      </w:r>
      <w:r w:rsidR="00E82323" w:rsidRPr="006B47AA">
        <w:rPr>
          <w:lang w:val="en-GB"/>
        </w:rPr>
        <w:t>identifying</w:t>
      </w:r>
      <w:r w:rsidR="00FB1C16" w:rsidRPr="006B47AA">
        <w:rPr>
          <w:lang w:val="en-GB"/>
        </w:rPr>
        <w:t xml:space="preserve"> the model structure</w:t>
      </w:r>
      <w:r w:rsidR="0009008B" w:rsidRPr="006B47AA">
        <w:rPr>
          <w:lang w:val="en-GB"/>
        </w:rPr>
        <w:t xml:space="preserve"> </w:t>
      </w:r>
      <m:oMath>
        <m:r>
          <m:rPr>
            <m:sty m:val="b"/>
          </m:rPr>
          <w:rPr>
            <w:rFonts w:ascii="Cambria Math" w:hAnsi="Cambria Math"/>
            <w:lang w:val="en-GB"/>
          </w:rPr>
          <m:t>f</m:t>
        </m:r>
      </m:oMath>
      <w:r w:rsidR="00E82323" w:rsidRPr="006B47AA">
        <w:rPr>
          <w:b/>
          <w:bCs/>
          <w:iCs/>
          <w:lang w:val="en-GB"/>
        </w:rPr>
        <w:t>,</w:t>
      </w:r>
      <w:r w:rsidR="008E7AC7" w:rsidRPr="006B47AA">
        <w:rPr>
          <w:lang w:val="en-GB"/>
        </w:rPr>
        <w:t xml:space="preserve"> </w:t>
      </w:r>
      <w:r w:rsidR="00E82323" w:rsidRPr="006B47AA">
        <w:rPr>
          <w:lang w:val="en-GB"/>
        </w:rPr>
        <w:t xml:space="preserve"> </w:t>
      </w:r>
      <w:r w:rsidR="00FB1C16" w:rsidRPr="006B47AA">
        <w:rPr>
          <w:lang w:val="en-GB"/>
        </w:rPr>
        <w:t>and parameters</w:t>
      </w:r>
      <w:r w:rsidR="0009008B" w:rsidRPr="006B47AA">
        <w:rPr>
          <w:rFonts w:ascii="Cambria Math" w:hAnsi="Cambria Math"/>
          <w:b/>
          <w:bCs/>
          <w:i/>
          <w:iCs/>
          <w:lang w:val="en-GB"/>
        </w:rPr>
        <w:t xml:space="preserve"> </w:t>
      </w:r>
      <m:oMath>
        <m:r>
          <m:rPr>
            <m:sty m:val="bi"/>
          </m:rPr>
          <w:rPr>
            <w:rFonts w:ascii="Cambria Math" w:hAnsi="Cambria Math"/>
            <w:lang w:val="en-GB"/>
          </w:rPr>
          <m:t>θ</m:t>
        </m:r>
      </m:oMath>
      <w:r w:rsidR="00FB1C16" w:rsidRPr="006B47AA">
        <w:rPr>
          <w:lang w:val="en-GB"/>
        </w:rPr>
        <w:t xml:space="preserve">.  </w:t>
      </w:r>
    </w:p>
    <w:p w14:paraId="37329A4A" w14:textId="3C7220E8" w:rsidR="00C266C4" w:rsidRPr="006B47AA" w:rsidRDefault="00E77390" w:rsidP="006159D1">
      <w:pPr>
        <w:pStyle w:val="Els-body-text"/>
        <w:spacing w:before="120"/>
        <w:jc w:val="center"/>
        <w:rPr>
          <w:lang w:val="en-GB"/>
        </w:rPr>
      </w:pPr>
      <w:r>
        <w:rPr>
          <w:noProof/>
          <w:sz w:val="16"/>
          <w:szCs w:val="16"/>
          <w:lang w:val="en-GB"/>
        </w:rPr>
        <w:drawing>
          <wp:inline distT="0" distB="0" distL="0" distR="0" wp14:anchorId="01653056" wp14:editId="5650BB6B">
            <wp:extent cx="4779150" cy="3143250"/>
            <wp:effectExtent l="0" t="0" r="2540" b="0"/>
            <wp:docPr id="713872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72203" name="Picture 1"/>
                    <pic:cNvPicPr/>
                  </pic:nvPicPr>
                  <pic:blipFill rotWithShape="1">
                    <a:blip r:embed="rId9" cstate="print">
                      <a:extLst>
                        <a:ext uri="{28A0092B-C50C-407E-A947-70E740481C1C}">
                          <a14:useLocalDpi xmlns:a14="http://schemas.microsoft.com/office/drawing/2010/main" val="0"/>
                        </a:ext>
                      </a:extLst>
                    </a:blip>
                    <a:srcRect t="1688"/>
                    <a:stretch/>
                  </pic:blipFill>
                  <pic:spPr bwMode="auto">
                    <a:xfrm>
                      <a:off x="0" y="0"/>
                      <a:ext cx="4791683" cy="3151493"/>
                    </a:xfrm>
                    <a:prstGeom prst="rect">
                      <a:avLst/>
                    </a:prstGeom>
                    <a:ln>
                      <a:noFill/>
                    </a:ln>
                    <a:extLst>
                      <a:ext uri="{53640926-AAD7-44D8-BBD7-CCE9431645EC}">
                        <a14:shadowObscured xmlns:a14="http://schemas.microsoft.com/office/drawing/2010/main"/>
                      </a:ext>
                    </a:extLst>
                  </pic:spPr>
                </pic:pic>
              </a:graphicData>
            </a:graphic>
          </wp:inline>
        </w:drawing>
      </w:r>
    </w:p>
    <w:p w14:paraId="42E7B781" w14:textId="573935E9" w:rsidR="00C266C4" w:rsidRPr="006B47AA" w:rsidRDefault="00C266C4" w:rsidP="006159D1">
      <w:pPr>
        <w:pStyle w:val="Els-body-text"/>
        <w:spacing w:after="120"/>
        <w:jc w:val="left"/>
        <w:rPr>
          <w:lang w:val="en-GB"/>
        </w:rPr>
      </w:pPr>
      <w:r w:rsidRPr="006B47AA">
        <w:rPr>
          <w:lang w:val="en-GB"/>
        </w:rPr>
        <w:t xml:space="preserve">Figure 1 Framework of DoE-SINDy </w:t>
      </w:r>
      <w:r w:rsidR="005A2145">
        <w:rPr>
          <w:lang w:val="en-GB"/>
        </w:rPr>
        <w:t>for identifying</w:t>
      </w:r>
      <w:r w:rsidRPr="006B47AA">
        <w:rPr>
          <w:lang w:val="en-GB"/>
        </w:rPr>
        <w:t xml:space="preserve"> the most suitable models from experimental data. </w:t>
      </w:r>
    </w:p>
    <w:p w14:paraId="62788B59" w14:textId="1DA22181" w:rsidR="003930F4" w:rsidRPr="00A43410" w:rsidRDefault="003D1537" w:rsidP="001B5317">
      <w:pPr>
        <w:pStyle w:val="Els-body-text"/>
        <w:rPr>
          <w:b/>
          <w:lang w:val="en-GB"/>
        </w:rPr>
      </w:pPr>
      <w:r w:rsidRPr="006B47AA">
        <w:rPr>
          <w:lang w:val="en-GB"/>
        </w:rPr>
        <w:lastRenderedPageBreak/>
        <w:t xml:space="preserve">SINDy is a main sparse regression-based approach that is capable of deriving models with minimal prior knowledge of physical mechanisms. </w:t>
      </w:r>
      <w:r w:rsidR="00AF0079">
        <w:rPr>
          <w:lang w:val="en-GB"/>
        </w:rPr>
        <w:t>As demonstrated in</w:t>
      </w:r>
      <w:r w:rsidR="00062650">
        <w:rPr>
          <w:lang w:val="en-GB"/>
        </w:rPr>
        <w:t xml:space="preserve"> the</w:t>
      </w:r>
      <w:r w:rsidR="00AF0079">
        <w:rPr>
          <w:lang w:val="en-GB"/>
        </w:rPr>
        <w:t xml:space="preserve"> literature </w:t>
      </w:r>
      <w:r w:rsidR="00062650">
        <w:rPr>
          <w:lang w:val="en-GB"/>
        </w:rPr>
        <w:t xml:space="preserve">by </w:t>
      </w:r>
      <w:r w:rsidR="00AF0079">
        <w:rPr>
          <w:lang w:val="en-GB"/>
        </w:rPr>
        <w:t>Brun</w:t>
      </w:r>
      <w:r w:rsidR="00273367">
        <w:rPr>
          <w:lang w:val="en-GB"/>
        </w:rPr>
        <w:t>ton et al. (</w:t>
      </w:r>
      <w:r w:rsidR="005543FB">
        <w:rPr>
          <w:lang w:val="en-GB"/>
        </w:rPr>
        <w:t>2</w:t>
      </w:r>
      <w:r w:rsidR="00273367">
        <w:rPr>
          <w:lang w:val="en-GB"/>
        </w:rPr>
        <w:t xml:space="preserve">016), </w:t>
      </w:r>
      <w:r w:rsidR="00620343" w:rsidRPr="006B47AA">
        <w:rPr>
          <w:lang w:val="en-GB"/>
        </w:rPr>
        <w:t xml:space="preserve">SINDy operates under the assumption that a process model can be efficiently represented by only a few important terms that govern the dynamics. </w:t>
      </w:r>
      <w:r w:rsidR="00C36B22" w:rsidRPr="006B47AA">
        <w:rPr>
          <w:lang w:val="en-GB"/>
        </w:rPr>
        <w:t>It adeptly integrates</w:t>
      </w:r>
      <w:r w:rsidR="00C46D7F">
        <w:rPr>
          <w:lang w:val="en-GB"/>
        </w:rPr>
        <w:t xml:space="preserve"> the</w:t>
      </w:r>
      <w:r w:rsidR="00C36B22" w:rsidRPr="006B47AA">
        <w:rPr>
          <w:lang w:val="en-GB"/>
        </w:rPr>
        <w:t xml:space="preserve"> most suitable terms from a candidate term library</w:t>
      </w:r>
      <w:r w:rsidR="00F94820" w:rsidRPr="006B47AA">
        <w:rPr>
          <w:lang w:val="en-GB"/>
        </w:rPr>
        <w:t xml:space="preserve"> </w:t>
      </w:r>
      <m:oMath>
        <m:r>
          <m:rPr>
            <m:sty m:val="b"/>
          </m:rPr>
          <w:rPr>
            <w:rFonts w:ascii="Cambria Math" w:hAnsi="Cambria Math"/>
            <w:lang w:val="en-GB"/>
          </w:rPr>
          <m:t>F</m:t>
        </m:r>
        <m:d>
          <m:dPr>
            <m:ctrlPr>
              <w:rPr>
                <w:rFonts w:ascii="Cambria Math" w:hAnsi="Cambria Math"/>
                <w:iCs/>
                <w:lang w:val="en-GB"/>
              </w:rPr>
            </m:ctrlPr>
          </m:dPr>
          <m:e>
            <m:r>
              <m:rPr>
                <m:sty m:val="b"/>
              </m:rPr>
              <w:rPr>
                <w:rFonts w:ascii="Cambria Math" w:hAnsi="Cambria Math"/>
                <w:lang w:val="en-GB"/>
              </w:rPr>
              <m:t>X</m:t>
            </m:r>
          </m:e>
        </m:d>
      </m:oMath>
      <w:r w:rsidR="00C36B22" w:rsidRPr="006B47AA">
        <w:rPr>
          <w:lang w:val="en-GB"/>
        </w:rPr>
        <w:t xml:space="preserve"> </w:t>
      </w:r>
      <w:r w:rsidR="00FE499A" w:rsidRPr="006B47AA">
        <w:rPr>
          <w:lang w:val="en-GB"/>
        </w:rPr>
        <w:t xml:space="preserve">and estimates </w:t>
      </w:r>
      <w:r w:rsidR="00F94820" w:rsidRPr="006B47AA">
        <w:rPr>
          <w:lang w:val="en-GB"/>
        </w:rPr>
        <w:t xml:space="preserve">parameters </w:t>
      </w:r>
      <m:oMath>
        <m:r>
          <m:rPr>
            <m:sty m:val="bi"/>
          </m:rPr>
          <w:rPr>
            <w:rFonts w:ascii="Cambria Math" w:hAnsi="Cambria Math"/>
            <w:lang w:val="en-GB"/>
          </w:rPr>
          <m:t>θ</m:t>
        </m:r>
      </m:oMath>
      <w:r w:rsidR="00733AE3" w:rsidRPr="006B47AA">
        <w:rPr>
          <w:lang w:val="en-GB"/>
        </w:rPr>
        <w:t xml:space="preserve"> to formulate model expressions, which strikes an equilibrium between model accuracy and complexity. Thus, it averts over-fitting while preserving the underlying physics of the discovered model.</w:t>
      </w:r>
      <w:r w:rsidR="00EE50C3">
        <w:rPr>
          <w:lang w:val="en-GB"/>
        </w:rPr>
        <w:t xml:space="preserve"> </w:t>
      </w:r>
      <w:r w:rsidR="00994AED" w:rsidRPr="006B47AA">
        <w:rPr>
          <w:lang w:val="en-GB"/>
        </w:rPr>
        <w:t xml:space="preserve">DoE-SINDy begins </w:t>
      </w:r>
      <w:r w:rsidR="00F21966" w:rsidRPr="006B47AA">
        <w:rPr>
          <w:lang w:val="en-GB"/>
        </w:rPr>
        <w:t xml:space="preserve">with </w:t>
      </w:r>
      <w:r w:rsidR="0037061B" w:rsidRPr="006B47AA">
        <w:rPr>
          <w:lang w:val="en-GB"/>
        </w:rPr>
        <w:t>a Design</w:t>
      </w:r>
      <w:r w:rsidR="00994AED" w:rsidRPr="006B47AA">
        <w:rPr>
          <w:lang w:val="en-GB"/>
        </w:rPr>
        <w:t xml:space="preserve"> of Experiments (DoE), where operating conditions are specified based on underlying physical constraints (block 1 in Figure 1). Subsequently, time-varying measurements, such as concentrations of specific components, are collected along the trajectory, and the time derivatives of these measurements are numerically approximated due to their continuity in time (blocks 2 and 3 in Figure 1).</w:t>
      </w:r>
      <w:r w:rsidR="00EE50C3">
        <w:rPr>
          <w:lang w:val="en-GB"/>
        </w:rPr>
        <w:t xml:space="preserve"> </w:t>
      </w:r>
      <w:r w:rsidR="0056195B" w:rsidRPr="006B47AA">
        <w:rPr>
          <w:lang w:val="en-GB"/>
        </w:rPr>
        <w:t>As an</w:t>
      </w:r>
      <w:r w:rsidR="009C537B" w:rsidRPr="006B47AA">
        <w:rPr>
          <w:lang w:val="en-GB"/>
        </w:rPr>
        <w:t xml:space="preserve"> extension of the original SINDy</w:t>
      </w:r>
      <w:r w:rsidR="008D405F" w:rsidRPr="006B47AA">
        <w:rPr>
          <w:lang w:val="en-GB"/>
        </w:rPr>
        <w:t xml:space="preserve">, </w:t>
      </w:r>
      <w:r w:rsidR="0056195B" w:rsidRPr="006B47AA">
        <w:rPr>
          <w:lang w:val="en-GB"/>
        </w:rPr>
        <w:t>DoE-SINDy utili</w:t>
      </w:r>
      <w:r w:rsidR="00D11891" w:rsidRPr="006B47AA">
        <w:rPr>
          <w:lang w:val="en-GB"/>
        </w:rPr>
        <w:t>s</w:t>
      </w:r>
      <w:r w:rsidR="0056195B" w:rsidRPr="006B47AA">
        <w:rPr>
          <w:lang w:val="en-GB"/>
        </w:rPr>
        <w:t>es the original SINDy for model generation</w:t>
      </w:r>
      <w:r w:rsidR="003C7C49" w:rsidRPr="006B47AA">
        <w:rPr>
          <w:lang w:val="en-GB"/>
        </w:rPr>
        <w:t xml:space="preserve"> (</w:t>
      </w:r>
      <w:r w:rsidR="00FB5302" w:rsidRPr="006B47AA">
        <w:rPr>
          <w:lang w:val="en-GB"/>
        </w:rPr>
        <w:t>blocks 4, 5</w:t>
      </w:r>
      <w:r w:rsidR="00A416A7" w:rsidRPr="006B47AA">
        <w:rPr>
          <w:lang w:val="en-GB"/>
        </w:rPr>
        <w:t xml:space="preserve"> in Figure 1)</w:t>
      </w:r>
      <w:r w:rsidR="00255B7C" w:rsidRPr="006B47AA">
        <w:rPr>
          <w:lang w:val="en-GB"/>
        </w:rPr>
        <w:t xml:space="preserve">, </w:t>
      </w:r>
      <w:r w:rsidR="008B35D9" w:rsidRPr="006B47AA">
        <w:rPr>
          <w:lang w:val="en-GB"/>
        </w:rPr>
        <w:t xml:space="preserve">employing an open-source library called </w:t>
      </w:r>
      <w:proofErr w:type="spellStart"/>
      <w:r w:rsidR="00255B7C" w:rsidRPr="006B47AA">
        <w:rPr>
          <w:i/>
          <w:iCs/>
          <w:lang w:val="en-GB"/>
        </w:rPr>
        <w:t>PySINDy</w:t>
      </w:r>
      <w:proofErr w:type="spellEnd"/>
      <w:r w:rsidR="00255B7C" w:rsidRPr="006B47AA">
        <w:rPr>
          <w:lang w:val="en-GB"/>
        </w:rPr>
        <w:t xml:space="preserve"> </w:t>
      </w:r>
      <w:r w:rsidR="00014C3B" w:rsidRPr="006B47AA">
        <w:rPr>
          <w:lang w:val="en-GB"/>
        </w:rPr>
        <w:t>(de Silva et al., 2020</w:t>
      </w:r>
      <w:r w:rsidR="00C80220" w:rsidRPr="006B47AA">
        <w:rPr>
          <w:lang w:val="en-GB"/>
        </w:rPr>
        <w:t xml:space="preserve">; </w:t>
      </w:r>
      <w:proofErr w:type="spellStart"/>
      <w:r w:rsidR="00C80220" w:rsidRPr="006B47AA">
        <w:rPr>
          <w:lang w:val="en-GB"/>
        </w:rPr>
        <w:t>Kaptanoglu</w:t>
      </w:r>
      <w:proofErr w:type="spellEnd"/>
      <w:r w:rsidR="00C80220" w:rsidRPr="006B47AA">
        <w:rPr>
          <w:lang w:val="en-GB"/>
        </w:rPr>
        <w:t xml:space="preserve"> et al., 2022)</w:t>
      </w:r>
      <w:r w:rsidR="0040147D" w:rsidRPr="006B47AA">
        <w:rPr>
          <w:lang w:val="en-GB"/>
        </w:rPr>
        <w:t>.</w:t>
      </w:r>
      <w:r w:rsidR="0056195B" w:rsidRPr="006B47AA">
        <w:rPr>
          <w:lang w:val="en-GB"/>
        </w:rPr>
        <w:t xml:space="preserve"> </w:t>
      </w:r>
      <w:r w:rsidR="006D4BC5" w:rsidRPr="006B47AA">
        <w:rPr>
          <w:lang w:val="en-GB"/>
        </w:rPr>
        <w:t xml:space="preserve">In contrast to the original SINDy, DoE-SINDy is a closed-loop framework, iteratively generating multiple models from increasing-size datasets to ensure the identification of </w:t>
      </w:r>
      <w:r w:rsidR="00F21966" w:rsidRPr="006B47AA">
        <w:rPr>
          <w:lang w:val="en-GB"/>
        </w:rPr>
        <w:t>an assumed</w:t>
      </w:r>
      <w:r w:rsidR="006D4BC5" w:rsidRPr="006B47AA">
        <w:rPr>
          <w:lang w:val="en-GB"/>
        </w:rPr>
        <w:t xml:space="preserve"> true model</w:t>
      </w:r>
      <w:r w:rsidR="00E63E11" w:rsidRPr="006B47AA">
        <w:rPr>
          <w:lang w:val="en-GB"/>
        </w:rPr>
        <w:t xml:space="preserve"> as shown in Figure 1</w:t>
      </w:r>
      <w:r w:rsidR="006D4BC5" w:rsidRPr="006B47AA">
        <w:rPr>
          <w:lang w:val="en-GB"/>
        </w:rPr>
        <w:t>.</w:t>
      </w:r>
      <w:r w:rsidR="0046323D" w:rsidRPr="006B47AA">
        <w:rPr>
          <w:lang w:val="en-GB"/>
        </w:rPr>
        <w:t xml:space="preserve"> Additionally, DoE-SINDy incorporates a preliminary analysis stage</w:t>
      </w:r>
      <w:r w:rsidR="00A416A7" w:rsidRPr="006B47AA">
        <w:rPr>
          <w:lang w:val="en-GB"/>
        </w:rPr>
        <w:t xml:space="preserve"> (</w:t>
      </w:r>
      <w:r w:rsidR="00FB5302" w:rsidRPr="006B47AA">
        <w:rPr>
          <w:lang w:val="en-GB"/>
        </w:rPr>
        <w:t>blocks 6, 7, 8</w:t>
      </w:r>
      <w:r w:rsidR="002B74FE" w:rsidRPr="006B47AA">
        <w:rPr>
          <w:lang w:val="en-GB"/>
        </w:rPr>
        <w:t xml:space="preserve"> in Figure 1)</w:t>
      </w:r>
      <w:r w:rsidR="0046323D" w:rsidRPr="006B47AA">
        <w:rPr>
          <w:lang w:val="en-GB"/>
        </w:rPr>
        <w:t xml:space="preserve"> to reject unidentifiable models and those with excessive terms. </w:t>
      </w:r>
      <w:r w:rsidR="00AB3F1F" w:rsidRPr="006B47AA">
        <w:rPr>
          <w:lang w:val="en-GB"/>
        </w:rPr>
        <w:t xml:space="preserve">Identifiability, as defined in </w:t>
      </w:r>
      <w:r w:rsidR="00306FFD" w:rsidRPr="006B47AA">
        <w:rPr>
          <w:lang w:val="en-GB"/>
        </w:rPr>
        <w:t xml:space="preserve">Miao et al., (2011), refers to the property of a dynamic system where the parameters </w:t>
      </w:r>
      <m:oMath>
        <m:r>
          <m:rPr>
            <m:sty m:val="bi"/>
          </m:rPr>
          <w:rPr>
            <w:rFonts w:ascii="Cambria Math" w:hAnsi="Cambria Math"/>
            <w:lang w:val="en-GB"/>
          </w:rPr>
          <m:t>θ</m:t>
        </m:r>
      </m:oMath>
      <w:r w:rsidR="00D43A7C" w:rsidRPr="006B47AA">
        <w:rPr>
          <w:iCs/>
          <w:lang w:val="en-GB"/>
        </w:rPr>
        <w:t xml:space="preserve"> can be uniquely determined from the given system input</w:t>
      </w:r>
      <w:r w:rsidR="009150B3" w:rsidRPr="006B47AA">
        <w:rPr>
          <w:iCs/>
          <w:lang w:val="en-GB"/>
        </w:rPr>
        <w:t xml:space="preserve"> </w:t>
      </w:r>
      <m:oMath>
        <m:r>
          <m:rPr>
            <m:sty m:val="b"/>
          </m:rPr>
          <w:rPr>
            <w:rFonts w:ascii="Cambria Math" w:hAnsi="Cambria Math"/>
            <w:lang w:val="en-GB"/>
          </w:rPr>
          <m:t>u</m:t>
        </m:r>
      </m:oMath>
      <w:r w:rsidR="009150B3" w:rsidRPr="006B47AA">
        <w:rPr>
          <w:iCs/>
          <w:lang w:val="en-GB"/>
        </w:rPr>
        <w:t xml:space="preserve"> and the measurable system output </w:t>
      </w:r>
      <m:oMath>
        <m:r>
          <m:rPr>
            <m:sty m:val="b"/>
          </m:rPr>
          <w:rPr>
            <w:rFonts w:ascii="Cambria Math" w:hAnsi="Cambria Math"/>
            <w:lang w:val="en-GB"/>
          </w:rPr>
          <m:t>x</m:t>
        </m:r>
      </m:oMath>
      <w:r w:rsidR="006A1F8D" w:rsidRPr="006B47AA">
        <w:rPr>
          <w:iCs/>
          <w:lang w:val="en-GB"/>
        </w:rPr>
        <w:t>.</w:t>
      </w:r>
      <w:r w:rsidR="00A15AC4" w:rsidRPr="006B47AA">
        <w:rPr>
          <w:iCs/>
          <w:lang w:val="en-GB"/>
        </w:rPr>
        <w:t xml:space="preserve"> D</w:t>
      </w:r>
      <w:r w:rsidR="00A15AC4" w:rsidRPr="006B47AA">
        <w:rPr>
          <w:iCs/>
          <w:lang w:val="en-GB" w:eastAsia="zh-CN"/>
        </w:rPr>
        <w:t>oE</w:t>
      </w:r>
      <w:r w:rsidR="00A15AC4" w:rsidRPr="006B47AA">
        <w:rPr>
          <w:iCs/>
          <w:lang w:val="en-GB"/>
        </w:rPr>
        <w:t>-SINDy implements sensitivity-based practical identifiability analysis</w:t>
      </w:r>
      <w:r w:rsidR="00AE0D13" w:rsidRPr="006B47AA">
        <w:rPr>
          <w:iCs/>
          <w:lang w:val="en-GB"/>
        </w:rPr>
        <w:t xml:space="preserve"> based on the</w:t>
      </w:r>
      <w:r w:rsidR="00963D4C" w:rsidRPr="006B47AA">
        <w:rPr>
          <w:lang w:val="en-GB"/>
        </w:rPr>
        <w:t xml:space="preserve"> </w:t>
      </w:r>
      <w:r w:rsidR="00AE0D13" w:rsidRPr="006B47AA">
        <w:rPr>
          <w:lang w:val="en-GB"/>
        </w:rPr>
        <w:t xml:space="preserve">calculation of </w:t>
      </w:r>
      <w:r w:rsidR="00F8244B" w:rsidRPr="006B47AA">
        <w:rPr>
          <w:lang w:val="en-GB"/>
        </w:rPr>
        <w:t xml:space="preserve">Fisher </w:t>
      </w:r>
      <w:r w:rsidR="001D0FB4">
        <w:rPr>
          <w:lang w:val="en-GB"/>
        </w:rPr>
        <w:t>I</w:t>
      </w:r>
      <w:r w:rsidR="00F8244B" w:rsidRPr="006B47AA">
        <w:rPr>
          <w:lang w:val="en-GB"/>
        </w:rPr>
        <w:t>nformation Matrix</w:t>
      </w:r>
      <w:r w:rsidR="00AE0D13" w:rsidRPr="006B47AA">
        <w:rPr>
          <w:lang w:val="en-GB"/>
        </w:rPr>
        <w:t xml:space="preserve"> (FIM)</w:t>
      </w:r>
      <w:r w:rsidR="00F8244B" w:rsidRPr="006B47AA">
        <w:rPr>
          <w:lang w:val="en-GB"/>
        </w:rPr>
        <w:t xml:space="preserve">, denoted as </w:t>
      </w:r>
      <m:oMath>
        <m:sSub>
          <m:sSubPr>
            <m:ctrlPr>
              <w:rPr>
                <w:rFonts w:ascii="Cambria Math" w:hAnsi="Cambria Math"/>
                <w:i/>
                <w:lang w:val="en-GB"/>
              </w:rPr>
            </m:ctrlPr>
          </m:sSubPr>
          <m:e>
            <m:r>
              <m:rPr>
                <m:sty m:val="bi"/>
              </m:rPr>
              <w:rPr>
                <w:rFonts w:ascii="Cambria Math" w:hAnsi="Cambria Math"/>
                <w:lang w:val="en-GB"/>
              </w:rPr>
              <m:t>H</m:t>
            </m:r>
          </m:e>
          <m:sub>
            <m:r>
              <m:rPr>
                <m:sty m:val="p"/>
              </m:rPr>
              <w:rPr>
                <w:rFonts w:ascii="Cambria Math" w:hAnsi="Cambria Math"/>
                <w:lang w:val="en-GB"/>
              </w:rPr>
              <m:t>θ</m:t>
            </m:r>
          </m:sub>
        </m:sSub>
      </m:oMath>
      <w:r w:rsidR="00E461BC" w:rsidRPr="006B47AA">
        <w:rPr>
          <w:iCs/>
          <w:lang w:val="en-GB"/>
        </w:rPr>
        <w:t>.</w:t>
      </w:r>
      <w:r w:rsidR="00173865" w:rsidRPr="006B47AA">
        <w:rPr>
          <w:iCs/>
          <w:lang w:val="en-GB"/>
        </w:rPr>
        <w:t xml:space="preserve"> When </w:t>
      </w:r>
      <w:r w:rsidR="00A32233" w:rsidRPr="006B47AA">
        <w:rPr>
          <w:iCs/>
          <w:lang w:val="en-GB"/>
        </w:rPr>
        <w:t xml:space="preserve">analysing the identifiability over a trajectory, according to </w:t>
      </w:r>
      <w:r w:rsidR="00A4161C" w:rsidRPr="006B47AA">
        <w:rPr>
          <w:iCs/>
          <w:lang w:val="en-GB"/>
        </w:rPr>
        <w:t>Waldron et al. (2019</w:t>
      </w:r>
      <w:r w:rsidR="00AC1346" w:rsidRPr="006B47AA">
        <w:rPr>
          <w:iCs/>
          <w:lang w:val="en-GB"/>
        </w:rPr>
        <w:t xml:space="preserve">),  </w:t>
      </w:r>
      <m:oMath>
        <m:sSub>
          <m:sSubPr>
            <m:ctrlPr>
              <w:rPr>
                <w:rFonts w:ascii="Cambria Math" w:hAnsi="Cambria Math"/>
                <w:i/>
                <w:iCs/>
                <w:lang w:val="en-GB"/>
              </w:rPr>
            </m:ctrlPr>
          </m:sSubPr>
          <m:e>
            <m:r>
              <m:rPr>
                <m:sty m:val="bi"/>
              </m:rPr>
              <w:rPr>
                <w:rFonts w:ascii="Cambria Math" w:hAnsi="Cambria Math"/>
                <w:lang w:val="en-GB"/>
              </w:rPr>
              <m:t>H</m:t>
            </m:r>
          </m:e>
          <m:sub>
            <m:r>
              <w:rPr>
                <w:rFonts w:ascii="Cambria Math" w:hAnsi="Cambria Math"/>
                <w:lang w:val="en-GB"/>
              </w:rPr>
              <m:t>θ</m:t>
            </m:r>
          </m:sub>
        </m:sSub>
      </m:oMath>
      <w:r w:rsidR="00712ADD" w:rsidRPr="006B47AA">
        <w:rPr>
          <w:iCs/>
          <w:lang w:val="en-GB"/>
        </w:rPr>
        <w:t xml:space="preserve"> is computed </w:t>
      </w:r>
      <w:r w:rsidR="007C4953" w:rsidRPr="006B47AA">
        <w:rPr>
          <w:iCs/>
          <w:lang w:val="en-GB"/>
        </w:rPr>
        <w:t>as the summation of</w:t>
      </w:r>
      <w:r w:rsidR="00604262" w:rsidRPr="006B47AA">
        <w:rPr>
          <w:iCs/>
          <w:lang w:val="en-GB"/>
        </w:rPr>
        <w:t xml:space="preserve"> </w:t>
      </w:r>
      <m:oMath>
        <m:sSub>
          <m:sSubPr>
            <m:ctrlPr>
              <w:rPr>
                <w:rFonts w:ascii="Cambria Math" w:hAnsi="Cambria Math"/>
                <w:i/>
                <w:iCs/>
                <w:lang w:val="en-GB"/>
              </w:rPr>
            </m:ctrlPr>
          </m:sSubPr>
          <m:e>
            <m:r>
              <m:rPr>
                <m:sty m:val="bi"/>
              </m:rPr>
              <w:rPr>
                <w:rFonts w:ascii="Cambria Math" w:hAnsi="Cambria Math"/>
                <w:lang w:val="en-GB"/>
              </w:rPr>
              <m:t>H</m:t>
            </m:r>
          </m:e>
          <m:sub>
            <m:r>
              <w:rPr>
                <w:rFonts w:ascii="Cambria Math" w:hAnsi="Cambria Math"/>
                <w:lang w:val="en-GB"/>
              </w:rPr>
              <m:t>θ</m:t>
            </m:r>
          </m:sub>
        </m:sSub>
        <m:d>
          <m:dPr>
            <m:ctrlPr>
              <w:rPr>
                <w:rFonts w:ascii="Cambria Math" w:hAnsi="Cambria Math"/>
                <w:i/>
                <w:iCs/>
                <w:lang w:val="en-GB"/>
              </w:rPr>
            </m:ctrlPr>
          </m:dPr>
          <m:e>
            <m:sSub>
              <m:sSubPr>
                <m:ctrlPr>
                  <w:rPr>
                    <w:rFonts w:ascii="Cambria Math" w:hAnsi="Cambria Math"/>
                    <w:i/>
                    <w:iCs/>
                    <w:lang w:val="en-GB"/>
                  </w:rPr>
                </m:ctrlPr>
              </m:sSubPr>
              <m:e>
                <m:r>
                  <w:rPr>
                    <w:rFonts w:ascii="Cambria Math" w:hAnsi="Cambria Math"/>
                    <w:lang w:val="en-GB"/>
                  </w:rPr>
                  <m:t>t</m:t>
                </m:r>
              </m:e>
              <m:sub>
                <m:r>
                  <w:rPr>
                    <w:rFonts w:ascii="Cambria Math" w:hAnsi="Cambria Math"/>
                    <w:lang w:val="en-GB"/>
                  </w:rPr>
                  <m:t>m</m:t>
                </m:r>
              </m:sub>
            </m:sSub>
          </m:e>
        </m:d>
      </m:oMath>
      <w:r w:rsidR="00F06981">
        <w:rPr>
          <w:iCs/>
          <w:lang w:val="en-GB"/>
        </w:rPr>
        <w:t xml:space="preserve"> at</w:t>
      </w:r>
      <w:r w:rsidR="00604262" w:rsidRPr="006B47AA">
        <w:rPr>
          <w:iCs/>
          <w:lang w:val="en-GB"/>
        </w:rPr>
        <w:t xml:space="preserve"> </w:t>
      </w:r>
      <w:r w:rsidR="00712ADD" w:rsidRPr="006B47AA">
        <w:rPr>
          <w:iCs/>
          <w:lang w:val="en-GB"/>
        </w:rPr>
        <w:t xml:space="preserve">each sampling </w:t>
      </w:r>
      <w:proofErr w:type="gramStart"/>
      <w:r w:rsidR="00604262" w:rsidRPr="006B47AA">
        <w:rPr>
          <w:iCs/>
          <w:lang w:val="en-GB"/>
        </w:rPr>
        <w:t>point</w:t>
      </w:r>
      <w:proofErr w:type="gramEnd"/>
    </w:p>
    <w:tbl>
      <w:tblPr>
        <w:tblW w:w="7161" w:type="dxa"/>
        <w:tblLook w:val="04A0" w:firstRow="1" w:lastRow="0" w:firstColumn="1" w:lastColumn="0" w:noHBand="0" w:noVBand="1"/>
      </w:tblPr>
      <w:tblGrid>
        <w:gridCol w:w="6187"/>
        <w:gridCol w:w="974"/>
      </w:tblGrid>
      <w:tr w:rsidR="008345C1" w:rsidRPr="006B47AA" w14:paraId="28BFBFC3" w14:textId="77777777" w:rsidTr="007810BC">
        <w:trPr>
          <w:trHeight w:val="756"/>
        </w:trPr>
        <w:tc>
          <w:tcPr>
            <w:tcW w:w="6187" w:type="dxa"/>
            <w:shd w:val="clear" w:color="auto" w:fill="auto"/>
            <w:vAlign w:val="center"/>
          </w:tcPr>
          <w:p w14:paraId="37A1DCF5" w14:textId="31C0BD81" w:rsidR="00BB057E" w:rsidRPr="006B47AA" w:rsidRDefault="003D5E8D" w:rsidP="007810BC">
            <w:pPr>
              <w:pStyle w:val="Els-body-text"/>
              <w:spacing w:before="120" w:after="120" w:line="264" w:lineRule="auto"/>
              <w:jc w:val="left"/>
              <w:rPr>
                <w:lang w:val="en-GB"/>
              </w:rPr>
            </w:pPr>
            <m:oMath>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iCs/>
                              <w:lang w:val="en-GB"/>
                            </w:rPr>
                          </m:ctrlPr>
                        </m:sSubPr>
                        <m:e>
                          <m:r>
                            <m:rPr>
                              <m:sty m:val="bi"/>
                            </m:rPr>
                            <w:rPr>
                              <w:rFonts w:ascii="Cambria Math" w:hAnsi="Cambria Math"/>
                              <w:lang w:val="en-GB"/>
                            </w:rPr>
                            <m:t>H</m:t>
                          </m:r>
                        </m:e>
                        <m:sub>
                          <m:r>
                            <w:rPr>
                              <w:rFonts w:ascii="Cambria Math" w:hAnsi="Cambria Math"/>
                              <w:lang w:val="en-GB"/>
                            </w:rPr>
                            <m:t>θ</m:t>
                          </m:r>
                        </m:sub>
                      </m:sSub>
                    </m:e>
                  </m:d>
                </m:e>
                <m:sub>
                  <m:r>
                    <w:rPr>
                      <w:rFonts w:ascii="Cambria Math" w:hAnsi="Cambria Math"/>
                      <w:lang w:val="en-GB"/>
                    </w:rPr>
                    <m:t>kl</m:t>
                  </m:r>
                </m:sub>
              </m:sSub>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m=1</m:t>
                  </m:r>
                </m:sub>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m</m:t>
                      </m:r>
                    </m:sub>
                  </m:sSub>
                </m:sup>
                <m:e>
                  <m:f>
                    <m:fPr>
                      <m:ctrlPr>
                        <w:rPr>
                          <w:rFonts w:ascii="Cambria Math" w:hAnsi="Cambria Math"/>
                          <w:i/>
                          <w:lang w:val="en-GB"/>
                        </w:rPr>
                      </m:ctrlPr>
                    </m:fPr>
                    <m:num>
                      <m:r>
                        <w:rPr>
                          <w:rFonts w:ascii="Cambria Math" w:hAnsi="Cambria Math"/>
                          <w:lang w:val="en-GB"/>
                        </w:rPr>
                        <m:t>1</m:t>
                      </m:r>
                    </m:num>
                    <m:den>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n</m:t>
                          </m:r>
                        </m:sub>
                        <m:sup>
                          <m:r>
                            <w:rPr>
                              <w:rFonts w:ascii="Cambria Math" w:hAnsi="Cambria Math"/>
                              <w:lang w:val="en-GB"/>
                            </w:rPr>
                            <m:t>2</m:t>
                          </m:r>
                        </m:sup>
                      </m:sSubSup>
                    </m:den>
                  </m:f>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nk</m:t>
                      </m:r>
                    </m:sub>
                  </m:sSub>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m</m:t>
                          </m:r>
                        </m:sub>
                        <m:sup>
                          <m:r>
                            <w:rPr>
                              <w:rFonts w:ascii="Cambria Math" w:hAnsi="Cambria Math"/>
                              <w:lang w:val="en-GB"/>
                            </w:rPr>
                            <m:t>i</m:t>
                          </m:r>
                        </m:sup>
                      </m:sSubSup>
                    </m:e>
                  </m:d>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nl</m:t>
                      </m:r>
                    </m:sub>
                  </m:sSub>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m</m:t>
                          </m:r>
                        </m:sub>
                        <m:sup>
                          <m:r>
                            <w:rPr>
                              <w:rFonts w:ascii="Cambria Math" w:hAnsi="Cambria Math"/>
                              <w:lang w:val="en-GB"/>
                            </w:rPr>
                            <m:t>i</m:t>
                          </m:r>
                        </m:sup>
                      </m:sSubSup>
                    </m:e>
                  </m:d>
                </m:e>
              </m:nary>
              <m:r>
                <w:rPr>
                  <w:rFonts w:ascii="Cambria Math" w:hAnsi="Cambria Math"/>
                  <w:lang w:val="en-GB"/>
                </w:rPr>
                <m:t xml:space="preserve">,  </m:t>
              </m:r>
              <m:r>
                <m:rPr>
                  <m:nor/>
                </m:rPr>
                <w:rPr>
                  <w:rFonts w:ascii="Cambria Math" w:hAnsi="Cambria Math"/>
                  <w:lang w:val="en-GB"/>
                </w:rPr>
                <m:t xml:space="preserve">for </m:t>
              </m:r>
              <m:r>
                <w:rPr>
                  <w:rFonts w:ascii="Cambria Math" w:hAnsi="Cambria Math"/>
                  <w:lang w:val="en-GB"/>
                </w:rPr>
                <m:t>k,l=1,…,</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oMath>
            <w:r w:rsidR="007B0D86" w:rsidRPr="006B47AA">
              <w:rPr>
                <w:lang w:val="en-GB"/>
              </w:rPr>
              <w:t xml:space="preserve"> </w:t>
            </w:r>
          </w:p>
        </w:tc>
        <w:tc>
          <w:tcPr>
            <w:tcW w:w="974" w:type="dxa"/>
            <w:shd w:val="clear" w:color="auto" w:fill="auto"/>
            <w:vAlign w:val="center"/>
          </w:tcPr>
          <w:p w14:paraId="57A67ABE" w14:textId="02A900EF" w:rsidR="008345C1" w:rsidRPr="006B47AA" w:rsidRDefault="008345C1" w:rsidP="007810BC">
            <w:pPr>
              <w:pStyle w:val="Els-body-text"/>
              <w:spacing w:before="120" w:after="120" w:line="264" w:lineRule="auto"/>
              <w:jc w:val="right"/>
              <w:rPr>
                <w:lang w:val="en-GB"/>
              </w:rPr>
            </w:pPr>
            <w:r w:rsidRPr="006B47AA">
              <w:rPr>
                <w:lang w:val="en-GB"/>
              </w:rPr>
              <w:t>(</w:t>
            </w:r>
            <w:r w:rsidR="000A5ADC">
              <w:rPr>
                <w:lang w:val="en-GB"/>
              </w:rPr>
              <w:t>2</w:t>
            </w:r>
            <w:r w:rsidRPr="006B47AA">
              <w:rPr>
                <w:lang w:val="en-GB"/>
              </w:rPr>
              <w:t>)</w:t>
            </w:r>
          </w:p>
        </w:tc>
      </w:tr>
    </w:tbl>
    <w:p w14:paraId="4709DE85" w14:textId="2C356B97" w:rsidR="00CA2574" w:rsidRPr="00BC4026" w:rsidRDefault="006D2736" w:rsidP="001B5317">
      <w:pPr>
        <w:pStyle w:val="Els-body-text"/>
        <w:rPr>
          <w:iCs/>
          <w:lang w:val="en-GB"/>
        </w:rPr>
      </w:pPr>
      <w:r w:rsidRPr="006B47AA">
        <w:rPr>
          <w:iCs/>
          <w:lang w:val="en-GB"/>
        </w:rPr>
        <w:t>In (</w:t>
      </w:r>
      <w:r w:rsidR="000A5ADC">
        <w:rPr>
          <w:iCs/>
          <w:lang w:val="en-GB"/>
        </w:rPr>
        <w:t>2</w:t>
      </w:r>
      <w:r w:rsidRPr="006B47AA">
        <w:rPr>
          <w:iCs/>
          <w:lang w:val="en-GB"/>
        </w:rPr>
        <w:t>)</w:t>
      </w:r>
      <w:r w:rsidR="00C35EDE">
        <w:rPr>
          <w:iCs/>
          <w:lang w:val="en-GB"/>
        </w:rPr>
        <w:t>,</w:t>
      </w:r>
      <w:r w:rsidRPr="006B47AA">
        <w:rPr>
          <w:iCs/>
          <w:lang w:val="en-GB"/>
        </w:rPr>
        <w:t xml:space="preserve"> </w:t>
      </w:r>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nk</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e>
        </m:d>
      </m:oMath>
      <w:r w:rsidRPr="006B47AA">
        <w:rPr>
          <w:iCs/>
          <w:lang w:val="en-GB"/>
        </w:rPr>
        <w:t xml:space="preserve"> is the </w:t>
      </w:r>
      <w:proofErr w:type="spellStart"/>
      <w:r w:rsidRPr="006B47AA">
        <w:rPr>
          <w:i/>
          <w:lang w:val="en-GB"/>
        </w:rPr>
        <w:t>nk</w:t>
      </w:r>
      <w:r w:rsidRPr="006B47AA">
        <w:rPr>
          <w:iCs/>
          <w:lang w:val="en-GB"/>
        </w:rPr>
        <w:t>-th</w:t>
      </w:r>
      <w:proofErr w:type="spellEnd"/>
      <w:r w:rsidRPr="006B47AA">
        <w:rPr>
          <w:iCs/>
          <w:lang w:val="en-GB"/>
        </w:rPr>
        <w:t xml:space="preserve"> element of the sensitivity </w:t>
      </w:r>
      <m:oMath>
        <m:r>
          <m:rPr>
            <m:sty m:val="bi"/>
          </m:rPr>
          <w:rPr>
            <w:rFonts w:ascii="Cambria Math" w:hAnsi="Cambria Math"/>
            <w:lang w:val="en-GB"/>
          </w:rPr>
          <m:t>Q</m:t>
        </m:r>
        <m:r>
          <w:rPr>
            <w:rFonts w:ascii="Cambria Math" w:hAnsi="Cambria Math"/>
            <w:lang w:val="en-GB"/>
          </w:rPr>
          <m:t xml:space="preserve"> </m:t>
        </m:r>
      </m:oMath>
      <w:r w:rsidRPr="006B47AA">
        <w:rPr>
          <w:iCs/>
          <w:lang w:val="en-GB"/>
        </w:rPr>
        <w:t xml:space="preserve">representing the sensitivity of the response </w:t>
      </w:r>
      <m:oMath>
        <m:sSub>
          <m:sSubPr>
            <m:ctrlPr>
              <w:rPr>
                <w:rFonts w:ascii="Cambria Math" w:hAnsi="Cambria Math"/>
                <w:i/>
                <w:iCs/>
                <w:lang w:val="en-GB"/>
              </w:rPr>
            </m:ctrlPr>
          </m:sSubPr>
          <m:e>
            <m:r>
              <w:rPr>
                <w:rFonts w:ascii="Cambria Math" w:hAnsi="Cambria Math"/>
                <w:lang w:val="en-GB"/>
              </w:rPr>
              <m:t>x</m:t>
            </m:r>
          </m:e>
          <m:sub>
            <m:r>
              <w:rPr>
                <w:rFonts w:ascii="Cambria Math" w:hAnsi="Cambria Math"/>
                <w:lang w:val="en-GB"/>
              </w:rPr>
              <m:t>n</m:t>
            </m:r>
          </m:sub>
        </m:sSub>
      </m:oMath>
      <w:r w:rsidRPr="006B47AA">
        <w:rPr>
          <w:iCs/>
          <w:lang w:val="en-GB"/>
        </w:rPr>
        <w:t xml:space="preserve"> to the parameter </w:t>
      </w:r>
      <m:oMath>
        <m:sSub>
          <m:sSubPr>
            <m:ctrlPr>
              <w:rPr>
                <w:rFonts w:ascii="Cambria Math" w:hAnsi="Cambria Math"/>
                <w:i/>
                <w:iCs/>
                <w:lang w:val="en-GB"/>
              </w:rPr>
            </m:ctrlPr>
          </m:sSubPr>
          <m:e>
            <m:r>
              <w:rPr>
                <w:rFonts w:ascii="Cambria Math" w:hAnsi="Cambria Math"/>
                <w:lang w:val="en-GB"/>
              </w:rPr>
              <m:t>θ</m:t>
            </m:r>
          </m:e>
          <m:sub>
            <m:r>
              <w:rPr>
                <w:rFonts w:ascii="Cambria Math" w:hAnsi="Cambria Math"/>
                <w:lang w:val="en-GB"/>
              </w:rPr>
              <m:t>k</m:t>
            </m:r>
          </m:sub>
        </m:sSub>
      </m:oMath>
      <w:r w:rsidRPr="006B47AA">
        <w:rPr>
          <w:iCs/>
          <w:lang w:val="en-GB"/>
        </w:rPr>
        <w:t xml:space="preserve"> at time sampling point </w:t>
      </w:r>
      <m:oMath>
        <m:sSub>
          <m:sSubPr>
            <m:ctrlPr>
              <w:rPr>
                <w:rFonts w:ascii="Cambria Math" w:hAnsi="Cambria Math"/>
                <w:i/>
                <w:iCs/>
                <w:lang w:val="en-GB"/>
              </w:rPr>
            </m:ctrlPr>
          </m:sSubPr>
          <m:e>
            <m:r>
              <w:rPr>
                <w:rFonts w:ascii="Cambria Math" w:hAnsi="Cambria Math"/>
                <w:lang w:val="en-GB"/>
              </w:rPr>
              <m:t>t</m:t>
            </m:r>
          </m:e>
          <m:sub>
            <m:r>
              <w:rPr>
                <w:rFonts w:ascii="Cambria Math" w:hAnsi="Cambria Math"/>
                <w:lang w:val="en-GB"/>
              </w:rPr>
              <m:t>m</m:t>
            </m:r>
          </m:sub>
        </m:sSub>
      </m:oMath>
      <w:r w:rsidR="00CF2606">
        <w:rPr>
          <w:iCs/>
          <w:lang w:val="en-GB"/>
        </w:rPr>
        <w:t xml:space="preserve">, calculated according to </w:t>
      </w:r>
      <w:r w:rsidR="00560292">
        <w:rPr>
          <w:iCs/>
          <w:lang w:val="en-GB"/>
        </w:rPr>
        <w:t>Franceschini</w:t>
      </w:r>
      <w:r w:rsidR="00A82AF3">
        <w:rPr>
          <w:iCs/>
          <w:lang w:val="en-GB"/>
        </w:rPr>
        <w:t xml:space="preserve"> et al. (2008)</w:t>
      </w:r>
      <w:r w:rsidRPr="006B47AA">
        <w:rPr>
          <w:iCs/>
          <w:lang w:val="en-GB"/>
        </w:rPr>
        <w:t xml:space="preserve">. </w:t>
      </w:r>
      <w:r w:rsidRPr="006B47AA">
        <w:rPr>
          <w:lang w:val="en-GB"/>
        </w:rPr>
        <w:t xml:space="preserve">When </w:t>
      </w:r>
      <m:oMath>
        <m:sSub>
          <m:sSubPr>
            <m:ctrlPr>
              <w:rPr>
                <w:rFonts w:ascii="Cambria Math" w:hAnsi="Cambria Math"/>
                <w:i/>
                <w:lang w:val="en-GB"/>
              </w:rPr>
            </m:ctrlPr>
          </m:sSubPr>
          <m:e>
            <m:r>
              <m:rPr>
                <m:sty m:val="bi"/>
              </m:rPr>
              <w:rPr>
                <w:rFonts w:ascii="Cambria Math" w:hAnsi="Cambria Math"/>
                <w:lang w:val="en-GB"/>
              </w:rPr>
              <m:t>H</m:t>
            </m:r>
          </m:e>
          <m:sub>
            <m:r>
              <w:rPr>
                <w:rFonts w:ascii="Cambria Math" w:hAnsi="Cambria Math"/>
                <w:lang w:val="en-GB"/>
              </w:rPr>
              <m:t>θ</m:t>
            </m:r>
          </m:sub>
        </m:sSub>
      </m:oMath>
      <w:r w:rsidRPr="006B47AA">
        <w:rPr>
          <w:lang w:val="en-GB"/>
        </w:rPr>
        <w:t xml:space="preserve"> is full rank, the model is considered locally identifiable. Conversely, when </w:t>
      </w:r>
      <m:oMath>
        <m:sSub>
          <m:sSubPr>
            <m:ctrlPr>
              <w:rPr>
                <w:rFonts w:ascii="Cambria Math" w:hAnsi="Cambria Math"/>
                <w:i/>
                <w:lang w:val="en-GB"/>
              </w:rPr>
            </m:ctrlPr>
          </m:sSubPr>
          <m:e>
            <m:r>
              <m:rPr>
                <m:sty m:val="bi"/>
              </m:rPr>
              <w:rPr>
                <w:rFonts w:ascii="Cambria Math" w:hAnsi="Cambria Math"/>
                <w:lang w:val="en-GB"/>
              </w:rPr>
              <m:t>H</m:t>
            </m:r>
          </m:e>
          <m:sub>
            <m:r>
              <w:rPr>
                <w:rFonts w:ascii="Cambria Math" w:hAnsi="Cambria Math"/>
                <w:lang w:val="en-GB"/>
              </w:rPr>
              <m:t>θ</m:t>
            </m:r>
          </m:sub>
        </m:sSub>
      </m:oMath>
      <w:r w:rsidRPr="006B47AA">
        <w:rPr>
          <w:lang w:val="en-GB"/>
        </w:rPr>
        <w:t xml:space="preserve"> is singular, this indicates that the model is not identifiable (Miao et al., 2011). </w:t>
      </w:r>
      <w:r w:rsidR="00E42AE2" w:rsidRPr="006B47AA">
        <w:rPr>
          <w:lang w:val="en-GB"/>
        </w:rPr>
        <w:t xml:space="preserve">Since the assumption of noise distribution </w:t>
      </w:r>
      <w:r w:rsidR="00F21966" w:rsidRPr="006B47AA">
        <w:rPr>
          <w:lang w:val="en-GB"/>
        </w:rPr>
        <w:t>is not</w:t>
      </w:r>
      <w:r w:rsidR="00E42AE2" w:rsidRPr="006B47AA">
        <w:rPr>
          <w:lang w:val="en-GB"/>
        </w:rPr>
        <w:t xml:space="preserve"> considered when implementing Sequentially </w:t>
      </w:r>
      <w:proofErr w:type="spellStart"/>
      <w:r w:rsidR="00E42AE2" w:rsidRPr="006B47AA">
        <w:rPr>
          <w:lang w:val="en-GB"/>
        </w:rPr>
        <w:t>Thresholded</w:t>
      </w:r>
      <w:proofErr w:type="spellEnd"/>
      <w:r w:rsidR="00E42AE2" w:rsidRPr="006B47AA">
        <w:rPr>
          <w:lang w:val="en-GB"/>
        </w:rPr>
        <w:t xml:space="preserve"> Least-squares algorithm (STLSQ) to estimate the parameters</w:t>
      </w:r>
      <w:r w:rsidR="005C421E" w:rsidRPr="006B47AA">
        <w:rPr>
          <w:lang w:val="en-GB"/>
        </w:rPr>
        <w:t xml:space="preserve"> in</w:t>
      </w:r>
      <w:r w:rsidR="007268DB" w:rsidRPr="006B47AA">
        <w:rPr>
          <w:lang w:val="en-GB"/>
        </w:rPr>
        <w:t xml:space="preserve"> </w:t>
      </w:r>
      <w:r w:rsidR="00BC037D">
        <w:rPr>
          <w:lang w:val="en-GB"/>
        </w:rPr>
        <w:t xml:space="preserve">the </w:t>
      </w:r>
      <w:r w:rsidR="007268DB" w:rsidRPr="006B47AA">
        <w:rPr>
          <w:lang w:val="en-GB"/>
        </w:rPr>
        <w:t>model generation section</w:t>
      </w:r>
      <w:r w:rsidR="00E42AE2" w:rsidRPr="006B47AA">
        <w:rPr>
          <w:lang w:val="en-GB"/>
        </w:rPr>
        <w:t xml:space="preserve">. </w:t>
      </w:r>
      <w:r w:rsidR="005D40E7" w:rsidRPr="006B47AA">
        <w:rPr>
          <w:lang w:val="en-GB"/>
        </w:rPr>
        <w:t xml:space="preserve">DoE-SINDy incorporates </w:t>
      </w:r>
      <w:r w:rsidR="00F21966" w:rsidRPr="006B47AA">
        <w:rPr>
          <w:lang w:val="en-GB"/>
        </w:rPr>
        <w:t xml:space="preserve">a </w:t>
      </w:r>
      <w:r w:rsidR="00240063" w:rsidRPr="006B47AA">
        <w:rPr>
          <w:lang w:val="en-GB"/>
        </w:rPr>
        <w:t xml:space="preserve">Maximum Likelihood (ML) estimator to </w:t>
      </w:r>
      <w:r w:rsidR="00F21966" w:rsidRPr="006B47AA">
        <w:rPr>
          <w:lang w:val="en-GB"/>
        </w:rPr>
        <w:t xml:space="preserve">robustly </w:t>
      </w:r>
      <w:r w:rsidR="000676A9" w:rsidRPr="006B47AA">
        <w:rPr>
          <w:lang w:val="en-GB"/>
        </w:rPr>
        <w:t xml:space="preserve">re-estimate </w:t>
      </w:r>
      <w:r w:rsidR="00F21966" w:rsidRPr="006B47AA">
        <w:rPr>
          <w:lang w:val="en-GB"/>
        </w:rPr>
        <w:t>model</w:t>
      </w:r>
      <w:r w:rsidR="000676A9" w:rsidRPr="006B47AA">
        <w:rPr>
          <w:lang w:val="en-GB"/>
        </w:rPr>
        <w:t xml:space="preserve"> parameter</w:t>
      </w:r>
      <w:r w:rsidR="00F21966" w:rsidRPr="006B47AA">
        <w:rPr>
          <w:lang w:val="en-GB"/>
        </w:rPr>
        <w:t>s</w:t>
      </w:r>
      <w:r w:rsidR="000676A9" w:rsidRPr="006B47AA">
        <w:rPr>
          <w:lang w:val="en-GB"/>
        </w:rPr>
        <w:t xml:space="preserve"> (block </w:t>
      </w:r>
      <w:r w:rsidR="00FE2198" w:rsidRPr="006B47AA">
        <w:rPr>
          <w:lang w:val="en-GB"/>
        </w:rPr>
        <w:t>9 in Figure 1)</w:t>
      </w:r>
      <w:r w:rsidR="00F21966" w:rsidRPr="006B47AA">
        <w:rPr>
          <w:lang w:val="en-GB"/>
        </w:rPr>
        <w:t xml:space="preserve"> under the assumption of measurements corrupted by Gaussian noise with zero mean and</w:t>
      </w:r>
      <w:r w:rsidR="00FB019C" w:rsidRPr="006B47AA">
        <w:rPr>
          <w:lang w:val="en-GB"/>
        </w:rPr>
        <w:t xml:space="preserve"> </w:t>
      </w:r>
      <w:r w:rsidR="00F21966" w:rsidRPr="006B47AA">
        <w:rPr>
          <w:lang w:val="en-GB"/>
        </w:rPr>
        <w:t xml:space="preserve">constant standard deviation </w:t>
      </w:r>
      <m:oMath>
        <m:r>
          <m:rPr>
            <m:sty m:val="p"/>
          </m:rPr>
          <w:rPr>
            <w:rFonts w:ascii="Cambria Math" w:hAnsi="Cambria Math"/>
            <w:lang w:val="en-GB"/>
          </w:rPr>
          <m:t>σ</m:t>
        </m:r>
      </m:oMath>
      <w:r w:rsidR="00F21966" w:rsidRPr="006B47AA">
        <w:rPr>
          <w:lang w:val="en-GB"/>
        </w:rPr>
        <w:t xml:space="preserve">. </w:t>
      </w:r>
    </w:p>
    <w:p w14:paraId="557D0EE4" w14:textId="3DDDFD90" w:rsidR="000C4F4B" w:rsidRPr="006B47AA" w:rsidRDefault="00C113BE" w:rsidP="001B5317">
      <w:pPr>
        <w:pStyle w:val="Els-body-text"/>
        <w:rPr>
          <w:lang w:val="en-GB"/>
        </w:rPr>
      </w:pPr>
      <w:r w:rsidRPr="006B47AA">
        <w:rPr>
          <w:lang w:val="en-GB"/>
        </w:rPr>
        <w:t>Subsequentially</w:t>
      </w:r>
      <w:r w:rsidR="0046323D" w:rsidRPr="006B47AA">
        <w:rPr>
          <w:lang w:val="en-GB"/>
        </w:rPr>
        <w:t xml:space="preserve">, DoE-SINDy includes a model evaluation stage </w:t>
      </w:r>
      <w:r w:rsidR="00A06BEB" w:rsidRPr="006B47AA">
        <w:rPr>
          <w:lang w:val="en-GB"/>
        </w:rPr>
        <w:t xml:space="preserve">for selecting accurate </w:t>
      </w:r>
      <w:r w:rsidR="006312BC" w:rsidRPr="006B47AA">
        <w:rPr>
          <w:lang w:val="en-GB"/>
        </w:rPr>
        <w:t>model</w:t>
      </w:r>
      <w:r w:rsidR="00E3350A" w:rsidRPr="006B47AA">
        <w:rPr>
          <w:lang w:val="en-GB"/>
        </w:rPr>
        <w:t>(</w:t>
      </w:r>
      <w:r w:rsidR="006312BC" w:rsidRPr="006B47AA">
        <w:rPr>
          <w:lang w:val="en-GB"/>
        </w:rPr>
        <w:t>s</w:t>
      </w:r>
      <w:r w:rsidR="00E3350A" w:rsidRPr="006B47AA">
        <w:rPr>
          <w:lang w:val="en-GB"/>
        </w:rPr>
        <w:t>)</w:t>
      </w:r>
      <w:r w:rsidR="00A06BEB" w:rsidRPr="006B47AA">
        <w:rPr>
          <w:lang w:val="en-GB"/>
        </w:rPr>
        <w:t xml:space="preserve"> from the generated models</w:t>
      </w:r>
      <w:r w:rsidR="005932C3" w:rsidRPr="006B47AA">
        <w:rPr>
          <w:lang w:val="en-GB"/>
        </w:rPr>
        <w:t xml:space="preserve"> via</w:t>
      </w:r>
      <w:r w:rsidR="00F21966" w:rsidRPr="006B47AA">
        <w:rPr>
          <w:lang w:val="en-GB"/>
        </w:rPr>
        <w:t xml:space="preserve"> a</w:t>
      </w:r>
      <w:r w:rsidR="00F3253F" w:rsidRPr="006B47AA">
        <w:rPr>
          <w:lang w:val="en-GB"/>
        </w:rPr>
        <w:t xml:space="preserve"> </w:t>
      </w:r>
      <m:oMath>
        <m:sSup>
          <m:sSupPr>
            <m:ctrlPr>
              <w:rPr>
                <w:rFonts w:ascii="Cambria Math" w:hAnsi="Cambria Math"/>
                <w:i/>
                <w:vertAlign w:val="superscript"/>
                <w:lang w:val="en-GB"/>
              </w:rPr>
            </m:ctrlPr>
          </m:sSupPr>
          <m:e>
            <m:r>
              <w:rPr>
                <w:rFonts w:ascii="Cambria Math" w:hAnsi="Cambria Math"/>
                <w:lang w:val="en-GB"/>
              </w:rPr>
              <m:t>χ</m:t>
            </m:r>
            <m:ctrlPr>
              <w:rPr>
                <w:rFonts w:ascii="Cambria Math" w:hAnsi="Cambria Math"/>
                <w:i/>
                <w:lang w:val="en-GB"/>
              </w:rPr>
            </m:ctrlPr>
          </m:e>
          <m:sup>
            <m:r>
              <w:rPr>
                <w:rFonts w:ascii="Cambria Math" w:hAnsi="Cambria Math"/>
                <w:vertAlign w:val="superscript"/>
                <w:lang w:val="en-GB"/>
              </w:rPr>
              <m:t>2</m:t>
            </m:r>
          </m:sup>
        </m:sSup>
      </m:oMath>
      <w:r w:rsidR="00D2643F" w:rsidRPr="006B47AA">
        <w:rPr>
          <w:lang w:val="en-GB"/>
        </w:rPr>
        <w:t xml:space="preserve"> </w:t>
      </w:r>
      <w:r w:rsidR="0064574C" w:rsidRPr="006B47AA">
        <w:rPr>
          <w:lang w:val="en-GB"/>
        </w:rPr>
        <w:t xml:space="preserve">test </w:t>
      </w:r>
      <w:r w:rsidR="002B74FE" w:rsidRPr="006B47AA">
        <w:rPr>
          <w:lang w:val="en-GB"/>
        </w:rPr>
        <w:t xml:space="preserve">(block </w:t>
      </w:r>
      <w:r w:rsidR="00BF646B" w:rsidRPr="006B47AA">
        <w:rPr>
          <w:lang w:val="en-GB"/>
        </w:rPr>
        <w:t>10</w:t>
      </w:r>
      <w:r w:rsidR="00A815A2" w:rsidRPr="006B47AA">
        <w:rPr>
          <w:lang w:val="en-GB"/>
        </w:rPr>
        <w:t xml:space="preserve"> </w:t>
      </w:r>
      <w:r w:rsidR="002B74FE" w:rsidRPr="006B47AA">
        <w:rPr>
          <w:lang w:val="en-GB"/>
        </w:rPr>
        <w:t>in Figure 1)</w:t>
      </w:r>
      <w:r w:rsidR="00A815A2" w:rsidRPr="006B47AA">
        <w:rPr>
          <w:lang w:val="en-GB"/>
        </w:rPr>
        <w:t xml:space="preserve"> and </w:t>
      </w:r>
      <w:r w:rsidR="00C25D6D" w:rsidRPr="006B47AA">
        <w:rPr>
          <w:lang w:val="en-GB"/>
        </w:rPr>
        <w:t>assessing parameter precision via</w:t>
      </w:r>
      <w:r w:rsidR="00F21966" w:rsidRPr="006B47AA">
        <w:rPr>
          <w:lang w:val="en-GB"/>
        </w:rPr>
        <w:t xml:space="preserve"> a</w:t>
      </w:r>
      <w:r w:rsidR="00C25D6D" w:rsidRPr="006B47AA">
        <w:rPr>
          <w:lang w:val="en-GB"/>
        </w:rPr>
        <w:t xml:space="preserve"> </w:t>
      </w:r>
      <w:r w:rsidR="00C25D6D" w:rsidRPr="006B47AA">
        <w:rPr>
          <w:i/>
          <w:iCs/>
          <w:lang w:val="en-GB"/>
        </w:rPr>
        <w:t>t</w:t>
      </w:r>
      <w:r w:rsidR="00C25D6D" w:rsidRPr="006B47AA">
        <w:rPr>
          <w:lang w:val="en-GB"/>
        </w:rPr>
        <w:t>-test</w:t>
      </w:r>
      <w:r w:rsidR="002931ED" w:rsidRPr="006B47AA">
        <w:rPr>
          <w:lang w:val="en-GB"/>
        </w:rPr>
        <w:t xml:space="preserve"> (block 11 in Figure 1)</w:t>
      </w:r>
      <w:r w:rsidR="00A06BEB" w:rsidRPr="006B47AA">
        <w:rPr>
          <w:lang w:val="en-GB"/>
        </w:rPr>
        <w:t xml:space="preserve">. </w:t>
      </w:r>
    </w:p>
    <w:p w14:paraId="5A3C2516" w14:textId="745300BF" w:rsidR="000C4F4B" w:rsidRPr="006B47AA" w:rsidRDefault="00B04DEC" w:rsidP="000C4F4B">
      <w:pPr>
        <w:pStyle w:val="Els-1storder-head"/>
        <w:rPr>
          <w:lang w:val="en-GB"/>
        </w:rPr>
      </w:pPr>
      <w:r w:rsidRPr="006B47AA">
        <w:rPr>
          <w:lang w:val="en-GB"/>
        </w:rPr>
        <w:t>Model description</w:t>
      </w:r>
    </w:p>
    <w:p w14:paraId="0A392764" w14:textId="723F8AAE" w:rsidR="00381410" w:rsidRPr="006B47AA" w:rsidRDefault="00BC1AAD" w:rsidP="00381410">
      <w:pPr>
        <w:pStyle w:val="Els-body-text"/>
        <w:rPr>
          <w:lang w:val="en-GB"/>
        </w:rPr>
      </w:pPr>
      <w:r>
        <w:rPr>
          <w:lang w:val="en-GB"/>
        </w:rPr>
        <w:t xml:space="preserve">We </w:t>
      </w:r>
      <w:r w:rsidR="00531527">
        <w:rPr>
          <w:lang w:val="en-GB"/>
        </w:rPr>
        <w:t>test the performance of DoE-SINDy to</w:t>
      </w:r>
      <w:r>
        <w:rPr>
          <w:lang w:val="en-GB"/>
        </w:rPr>
        <w:t xml:space="preserve"> the same case study</w:t>
      </w:r>
      <w:r w:rsidR="00AB12BB">
        <w:rPr>
          <w:lang w:val="en-GB"/>
        </w:rPr>
        <w:t xml:space="preserve"> used in Quaglio et al. (2020)</w:t>
      </w:r>
      <w:r w:rsidR="00617D97">
        <w:rPr>
          <w:lang w:val="en-GB"/>
        </w:rPr>
        <w:t xml:space="preserve">. The goal is to identify an assumed true kinetic model of a batch reaction system </w:t>
      </w:r>
      <w:r w:rsidR="00370816">
        <w:rPr>
          <w:lang w:val="en-GB"/>
        </w:rPr>
        <w:t>described in equation (</w:t>
      </w:r>
      <w:r w:rsidR="00266CCC">
        <w:rPr>
          <w:lang w:val="en-GB"/>
        </w:rPr>
        <w:t>3</w:t>
      </w:r>
      <w:r w:rsidR="00370816">
        <w:rPr>
          <w:lang w:val="en-GB"/>
        </w:rPr>
        <w:t>)</w:t>
      </w:r>
      <w:r w:rsidR="00683073">
        <w:rPr>
          <w:lang w:val="en-GB"/>
        </w:rPr>
        <w:t>.</w:t>
      </w:r>
    </w:p>
    <w:tbl>
      <w:tblPr>
        <w:tblW w:w="7161" w:type="dxa"/>
        <w:tblLook w:val="04A0" w:firstRow="1" w:lastRow="0" w:firstColumn="1" w:lastColumn="0" w:noHBand="0" w:noVBand="1"/>
      </w:tblPr>
      <w:tblGrid>
        <w:gridCol w:w="6187"/>
        <w:gridCol w:w="974"/>
      </w:tblGrid>
      <w:tr w:rsidR="00A56198" w:rsidRPr="006B47AA" w14:paraId="46DEB2C2" w14:textId="77777777" w:rsidTr="00D31FE6">
        <w:trPr>
          <w:trHeight w:val="756"/>
        </w:trPr>
        <w:tc>
          <w:tcPr>
            <w:tcW w:w="6187" w:type="dxa"/>
            <w:shd w:val="clear" w:color="auto" w:fill="auto"/>
            <w:vAlign w:val="center"/>
          </w:tcPr>
          <w:p w14:paraId="39F2E8BE" w14:textId="6E201BA2" w:rsidR="00A56198" w:rsidRPr="006B47AA" w:rsidRDefault="003D5E8D" w:rsidP="005C0CDE">
            <w:pPr>
              <w:pStyle w:val="Els-body-text"/>
              <w:spacing w:before="120" w:line="264" w:lineRule="auto"/>
              <w:jc w:val="left"/>
              <w:rPr>
                <w:lang w:val="en-GB"/>
              </w:rPr>
            </w:pPr>
            <m:oMath>
              <m:f>
                <m:fPr>
                  <m:ctrlPr>
                    <w:rPr>
                      <w:rFonts w:ascii="Cambria Math" w:hAnsi="Cambria Math"/>
                      <w:i/>
                      <w:lang w:val="en-GB"/>
                    </w:rPr>
                  </m:ctrlPr>
                </m:fPr>
                <m:num>
                  <m:r>
                    <w:rPr>
                      <w:rFonts w:ascii="Cambria Math" w:hAnsi="Cambria Math"/>
                      <w:lang w:val="en-GB"/>
                    </w:rPr>
                    <m:t>d</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num>
                <m:den>
                  <m:r>
                    <w:rPr>
                      <w:rFonts w:ascii="Cambria Math" w:hAnsi="Cambria Math"/>
                      <w:lang w:val="en-GB"/>
                    </w:rPr>
                    <m:t>dt</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A</m:t>
                  </m:r>
                </m:sub>
                <m:sup>
                  <m:r>
                    <w:rPr>
                      <w:rFonts w:ascii="Cambria Math" w:hAnsi="Cambria Math"/>
                      <w:lang w:val="en-GB"/>
                    </w:rPr>
                    <m:t>2</m:t>
                  </m:r>
                </m:sup>
              </m:sSubSup>
            </m:oMath>
            <w:r w:rsidR="005C0CDE" w:rsidRPr="006B47AA">
              <w:rPr>
                <w:lang w:val="en-GB"/>
              </w:rPr>
              <w:t xml:space="preserve"> </w:t>
            </w:r>
          </w:p>
          <w:p w14:paraId="03ECDF87" w14:textId="60D106C4" w:rsidR="00F16050" w:rsidRPr="006B47AA" w:rsidRDefault="003D5E8D" w:rsidP="005C0CDE">
            <w:pPr>
              <w:pStyle w:val="Els-body-text"/>
              <w:spacing w:line="264" w:lineRule="auto"/>
              <w:jc w:val="left"/>
              <w:rPr>
                <w:lang w:val="en-GB"/>
              </w:rPr>
            </w:pPr>
            <m:oMath>
              <m:f>
                <m:fPr>
                  <m:ctrlPr>
                    <w:rPr>
                      <w:rFonts w:ascii="Cambria Math" w:hAnsi="Cambria Math"/>
                      <w:i/>
                      <w:lang w:val="en-GB"/>
                    </w:rPr>
                  </m:ctrlPr>
                </m:fPr>
                <m:num>
                  <m:r>
                    <w:rPr>
                      <w:rFonts w:ascii="Cambria Math" w:hAnsi="Cambria Math"/>
                      <w:lang w:val="en-GB"/>
                    </w:rPr>
                    <m:t>d</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num>
                <m:den>
                  <m:r>
                    <w:rPr>
                      <w:rFonts w:ascii="Cambria Math" w:hAnsi="Cambria Math"/>
                      <w:lang w:val="en-GB"/>
                    </w:rPr>
                    <m:t>dt</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A</m:t>
                  </m:r>
                </m:sub>
                <m:sup>
                  <m:r>
                    <w:rPr>
                      <w:rFonts w:ascii="Cambria Math" w:hAnsi="Cambria Math"/>
                      <w:lang w:val="en-GB"/>
                    </w:rPr>
                    <m:t>2</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oMath>
            <w:r w:rsidR="005C0CDE" w:rsidRPr="006B47AA">
              <w:rPr>
                <w:lang w:val="en-GB"/>
              </w:rPr>
              <w:t xml:space="preserve"> </w:t>
            </w:r>
          </w:p>
          <w:p w14:paraId="44BA0155" w14:textId="1EC7A30F" w:rsidR="00F16050" w:rsidRPr="006B47AA" w:rsidRDefault="003D5E8D" w:rsidP="005C0CDE">
            <w:pPr>
              <w:pStyle w:val="Els-body-text"/>
              <w:spacing w:after="120" w:line="264" w:lineRule="auto"/>
              <w:jc w:val="left"/>
              <w:rPr>
                <w:lang w:val="en-GB"/>
              </w:rPr>
            </w:pPr>
            <m:oMath>
              <m:f>
                <m:fPr>
                  <m:ctrlPr>
                    <w:rPr>
                      <w:rFonts w:ascii="Cambria Math" w:hAnsi="Cambria Math"/>
                      <w:i/>
                      <w:lang w:val="en-GB"/>
                    </w:rPr>
                  </m:ctrlPr>
                </m:fPr>
                <m:num>
                  <m:r>
                    <w:rPr>
                      <w:rFonts w:ascii="Cambria Math" w:hAnsi="Cambria Math"/>
                      <w:lang w:val="en-GB"/>
                    </w:rPr>
                    <m:t>d</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C</m:t>
                      </m:r>
                    </m:sub>
                  </m:sSub>
                </m:num>
                <m:den>
                  <m:r>
                    <w:rPr>
                      <w:rFonts w:ascii="Cambria Math" w:hAnsi="Cambria Math"/>
                      <w:lang w:val="en-GB"/>
                    </w:rPr>
                    <m:t>dt</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oMath>
            <w:r w:rsidR="005C0CDE" w:rsidRPr="006B47AA">
              <w:rPr>
                <w:lang w:val="en-GB"/>
              </w:rPr>
              <w:t xml:space="preserve"> </w:t>
            </w:r>
          </w:p>
        </w:tc>
        <w:tc>
          <w:tcPr>
            <w:tcW w:w="974" w:type="dxa"/>
            <w:shd w:val="clear" w:color="auto" w:fill="auto"/>
            <w:vAlign w:val="center"/>
          </w:tcPr>
          <w:p w14:paraId="2ED1EF86" w14:textId="239BFEA0" w:rsidR="00A56198" w:rsidRPr="006B47AA" w:rsidRDefault="00A56198" w:rsidP="00D31FE6">
            <w:pPr>
              <w:pStyle w:val="Els-body-text"/>
              <w:spacing w:before="120" w:after="120" w:line="264" w:lineRule="auto"/>
              <w:jc w:val="right"/>
              <w:rPr>
                <w:lang w:val="en-GB"/>
              </w:rPr>
            </w:pPr>
            <w:r w:rsidRPr="006B47AA">
              <w:rPr>
                <w:lang w:val="en-GB"/>
              </w:rPr>
              <w:t>(</w:t>
            </w:r>
            <w:r w:rsidR="00266CCC">
              <w:rPr>
                <w:lang w:val="en-GB"/>
              </w:rPr>
              <w:t>3</w:t>
            </w:r>
            <w:r w:rsidRPr="006B47AA">
              <w:rPr>
                <w:lang w:val="en-GB"/>
              </w:rPr>
              <w:t>)</w:t>
            </w:r>
          </w:p>
        </w:tc>
      </w:tr>
    </w:tbl>
    <w:p w14:paraId="43623AFB" w14:textId="1CE7E23F" w:rsidR="00785FF2" w:rsidRPr="006B47AA" w:rsidRDefault="00B36B99" w:rsidP="00381410">
      <w:pPr>
        <w:pStyle w:val="Els-body-text"/>
        <w:rPr>
          <w:lang w:val="en-GB"/>
        </w:rPr>
      </w:pPr>
      <w:r w:rsidRPr="006B47AA">
        <w:rPr>
          <w:lang w:val="en-GB"/>
        </w:rPr>
        <w:t xml:space="preserve">In </w:t>
      </w:r>
      <w:r w:rsidR="00853C84" w:rsidRPr="006B47AA">
        <w:rPr>
          <w:lang w:val="en-GB"/>
        </w:rPr>
        <w:t>equation (</w:t>
      </w:r>
      <w:r w:rsidR="00266CCC">
        <w:rPr>
          <w:lang w:val="en-GB"/>
        </w:rPr>
        <w:t>3</w:t>
      </w:r>
      <w:r w:rsidR="00853C84" w:rsidRPr="006B47AA">
        <w:rPr>
          <w:lang w:val="en-GB"/>
        </w:rPr>
        <w:t xml:space="preserve">), the </w:t>
      </w:r>
      <w:r w:rsidR="00E86E56" w:rsidRPr="006B47AA">
        <w:rPr>
          <w:lang w:val="en-GB"/>
        </w:rPr>
        <w:t xml:space="preserve">reaction rate constants are denoted by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oMath>
      <w:r w:rsidR="00E86E56" w:rsidRPr="006B47AA">
        <w:rPr>
          <w:lang w:val="en-GB"/>
        </w:rPr>
        <w:t xml:space="preserve"> and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oMath>
      <w:r w:rsidR="00E86E56" w:rsidRPr="006B47AA">
        <w:rPr>
          <w:lang w:val="en-GB"/>
        </w:rPr>
        <w:t xml:space="preserve">. </w:t>
      </w:r>
      <w:r w:rsidR="00F95F62" w:rsidRPr="006B47AA">
        <w:rPr>
          <w:lang w:val="en-GB"/>
        </w:rPr>
        <w:t xml:space="preserve">To </w:t>
      </w:r>
      <w:r w:rsidR="00481A4C" w:rsidRPr="006B47AA">
        <w:rPr>
          <w:lang w:val="en-GB"/>
        </w:rPr>
        <w:t>collect experimental data</w:t>
      </w:r>
      <w:r w:rsidR="007C31F2" w:rsidRPr="006B47AA">
        <w:rPr>
          <w:lang w:val="en-GB"/>
        </w:rPr>
        <w:t xml:space="preserve"> in</w:t>
      </w:r>
      <w:r w:rsidR="00C27028">
        <w:rPr>
          <w:lang w:val="en-GB"/>
        </w:rPr>
        <w:t xml:space="preserve"> </w:t>
      </w:r>
      <w:r w:rsidR="007C31F2" w:rsidRPr="006B47AA">
        <w:rPr>
          <w:lang w:val="en-GB"/>
        </w:rPr>
        <w:t xml:space="preserve">silico, we </w:t>
      </w:r>
      <w:r w:rsidR="00835726" w:rsidRPr="006B47AA">
        <w:rPr>
          <w:lang w:val="en-GB"/>
        </w:rPr>
        <w:t xml:space="preserve">specified various initial </w:t>
      </w:r>
      <w:r w:rsidR="00405971" w:rsidRPr="006B47AA">
        <w:rPr>
          <w:lang w:val="en-GB"/>
        </w:rPr>
        <w:t>concentrations</w:t>
      </w:r>
      <w:r w:rsidR="00835726" w:rsidRPr="006B47AA">
        <w:rPr>
          <w:lang w:val="en-GB"/>
        </w:rPr>
        <w:t xml:space="preserve"> of A </w:t>
      </w:r>
      <w:r w:rsidR="002C2286" w:rsidRPr="006B47AA">
        <w:rPr>
          <w:lang w:val="en-GB"/>
        </w:rPr>
        <w:t xml:space="preserve">within the range from 40 to 250 </w:t>
      </w:r>
      <w:r w:rsidR="00892465" w:rsidRPr="006B47AA">
        <w:rPr>
          <w:lang w:val="en-GB"/>
        </w:rPr>
        <w:t>mol m</w:t>
      </w:r>
      <w:r w:rsidR="00892465" w:rsidRPr="006B47AA">
        <w:rPr>
          <w:vertAlign w:val="superscript"/>
          <w:lang w:val="en-GB"/>
        </w:rPr>
        <w:t>3</w:t>
      </w:r>
      <w:r w:rsidR="00892465" w:rsidRPr="006B47AA">
        <w:rPr>
          <w:lang w:val="en-GB"/>
        </w:rPr>
        <w:t xml:space="preserve"> s</w:t>
      </w:r>
      <w:r w:rsidR="00892465" w:rsidRPr="006B47AA">
        <w:rPr>
          <w:vertAlign w:val="superscript"/>
          <w:lang w:val="en-GB"/>
        </w:rPr>
        <w:t>-1</w:t>
      </w:r>
      <w:r w:rsidR="00892465" w:rsidRPr="006B47AA">
        <w:rPr>
          <w:lang w:val="en-GB"/>
        </w:rPr>
        <w:t xml:space="preserve"> </w:t>
      </w:r>
      <w:r w:rsidR="00835726" w:rsidRPr="006B47AA">
        <w:rPr>
          <w:lang w:val="en-GB"/>
        </w:rPr>
        <w:t xml:space="preserve">to </w:t>
      </w:r>
      <w:r w:rsidR="004B2F03" w:rsidRPr="006B47AA">
        <w:rPr>
          <w:lang w:val="en-GB"/>
        </w:rPr>
        <w:t>simulate the process</w:t>
      </w:r>
      <w:r w:rsidR="00181463" w:rsidRPr="006B47AA">
        <w:rPr>
          <w:lang w:val="en-GB"/>
        </w:rPr>
        <w:t xml:space="preserve"> multiple times. The duration of each experiment is 350 s, </w:t>
      </w:r>
      <w:r w:rsidR="000B0879" w:rsidRPr="006B47AA">
        <w:rPr>
          <w:lang w:val="en-GB"/>
        </w:rPr>
        <w:t>and measurements</w:t>
      </w:r>
      <w:r w:rsidR="00F21966" w:rsidRPr="006B47AA">
        <w:rPr>
          <w:lang w:val="en-GB"/>
        </w:rPr>
        <w:t xml:space="preserve"> are taken</w:t>
      </w:r>
      <w:r w:rsidR="007572CA" w:rsidRPr="006B47AA">
        <w:rPr>
          <w:lang w:val="en-GB"/>
        </w:rPr>
        <w:t xml:space="preserve"> from</w:t>
      </w:r>
      <w:r w:rsidR="00F21966" w:rsidRPr="006B47AA">
        <w:rPr>
          <w:lang w:val="en-GB"/>
        </w:rPr>
        <w:t xml:space="preserve"> </w:t>
      </w:r>
      <w:r w:rsidR="00271959" w:rsidRPr="006B47AA">
        <w:rPr>
          <w:lang w:val="en-GB"/>
        </w:rPr>
        <w:t xml:space="preserve">100 to 300 s </w:t>
      </w:r>
      <w:r w:rsidR="00F21966" w:rsidRPr="006B47AA">
        <w:rPr>
          <w:lang w:val="en-GB"/>
        </w:rPr>
        <w:t>every</w:t>
      </w:r>
      <w:r w:rsidR="00271959" w:rsidRPr="006B47AA">
        <w:rPr>
          <w:lang w:val="en-GB"/>
        </w:rPr>
        <w:t xml:space="preserve"> 10 s. </w:t>
      </w:r>
      <w:r w:rsidR="00785FF2" w:rsidRPr="006B47AA">
        <w:rPr>
          <w:lang w:val="en-GB"/>
        </w:rPr>
        <w:t xml:space="preserve">20 experiments are simulated for data collection, and the initial concentration of species A </w:t>
      </w:r>
      <w:r w:rsidR="008F2DE5">
        <w:rPr>
          <w:lang w:val="en-GB"/>
        </w:rPr>
        <w:t>is</w:t>
      </w:r>
      <w:r w:rsidR="00785FF2" w:rsidRPr="006B47AA">
        <w:rPr>
          <w:lang w:val="en-GB"/>
        </w:rPr>
        <w:t xml:space="preserve"> designed based on a Latin Hypercube Sampling (LHS) experiment</w:t>
      </w:r>
      <w:r w:rsidR="00F21966" w:rsidRPr="006B47AA">
        <w:rPr>
          <w:lang w:val="en-GB"/>
        </w:rPr>
        <w:t>al</w:t>
      </w:r>
      <w:r w:rsidR="00785FF2" w:rsidRPr="006B47AA">
        <w:rPr>
          <w:lang w:val="en-GB"/>
        </w:rPr>
        <w:t xml:space="preserve"> design. Gaussian distributed noise with zero mean and constant standard deviation </w:t>
      </w:r>
      <m:oMath>
        <m:r>
          <m:rPr>
            <m:sty m:val="p"/>
          </m:rPr>
          <w:rPr>
            <w:rFonts w:ascii="Cambria Math" w:hAnsi="Cambria Math"/>
            <w:lang w:val="en-GB"/>
          </w:rPr>
          <m:t>σ</m:t>
        </m:r>
        <m:r>
          <w:rPr>
            <w:rFonts w:ascii="Cambria Math" w:hAnsi="Cambria Math"/>
            <w:lang w:val="en-GB"/>
          </w:rPr>
          <m:t>=0.1</m:t>
        </m:r>
      </m:oMath>
      <w:r w:rsidR="00785FF2" w:rsidRPr="006B47AA">
        <w:rPr>
          <w:lang w:val="en-GB"/>
        </w:rPr>
        <w:t xml:space="preserve"> mol m</w:t>
      </w:r>
      <w:r w:rsidR="00785FF2" w:rsidRPr="006B47AA">
        <w:rPr>
          <w:vertAlign w:val="superscript"/>
          <w:lang w:val="en-GB"/>
        </w:rPr>
        <w:t>-3</w:t>
      </w:r>
      <w:r w:rsidR="00785FF2" w:rsidRPr="006B47AA">
        <w:rPr>
          <w:lang w:val="en-GB"/>
        </w:rPr>
        <w:t xml:space="preserve"> </w:t>
      </w:r>
      <w:r w:rsidR="00F21966" w:rsidRPr="006B47AA">
        <w:rPr>
          <w:lang w:val="en-GB"/>
        </w:rPr>
        <w:t>is</w:t>
      </w:r>
      <w:r w:rsidR="00785FF2" w:rsidRPr="006B47AA">
        <w:rPr>
          <w:lang w:val="en-GB"/>
        </w:rPr>
        <w:t xml:space="preserve"> added to the simulated data</w:t>
      </w:r>
      <w:r w:rsidR="00147100">
        <w:rPr>
          <w:lang w:val="en-GB"/>
        </w:rPr>
        <w:t xml:space="preserve"> to generate in-silico measurements</w:t>
      </w:r>
      <w:r w:rsidR="00785FF2" w:rsidRPr="006B47AA">
        <w:rPr>
          <w:lang w:val="en-GB"/>
        </w:rPr>
        <w:t xml:space="preserve">. </w:t>
      </w:r>
    </w:p>
    <w:p w14:paraId="431594E1" w14:textId="2D3961E0" w:rsidR="00B04DEC" w:rsidRPr="006B47AA" w:rsidRDefault="00B04DEC" w:rsidP="00B04DEC">
      <w:pPr>
        <w:pStyle w:val="Els-1storder-head"/>
        <w:rPr>
          <w:lang w:val="en-GB"/>
        </w:rPr>
      </w:pPr>
      <w:r w:rsidRPr="006B47AA">
        <w:rPr>
          <w:lang w:val="en-GB"/>
        </w:rPr>
        <w:t xml:space="preserve">Results </w:t>
      </w:r>
    </w:p>
    <w:p w14:paraId="7F0D0E38" w14:textId="127449ED" w:rsidR="00435ADF" w:rsidRPr="006B47AA" w:rsidRDefault="002B0E48" w:rsidP="00CA689B">
      <w:pPr>
        <w:pStyle w:val="Els-body-text"/>
        <w:rPr>
          <w:lang w:val="en-GB"/>
        </w:rPr>
      </w:pPr>
      <w:r w:rsidRPr="006B47AA">
        <w:rPr>
          <w:lang w:val="en-GB"/>
        </w:rPr>
        <w:t xml:space="preserve">The </w:t>
      </w:r>
      <w:r w:rsidR="00DF5DD0" w:rsidRPr="006B47AA">
        <w:rPr>
          <w:lang w:val="en-GB"/>
        </w:rPr>
        <w:t>performance of</w:t>
      </w:r>
      <w:r w:rsidR="00565F54" w:rsidRPr="006B47AA">
        <w:rPr>
          <w:lang w:val="en-GB"/>
        </w:rPr>
        <w:t xml:space="preserve"> the model generation of</w:t>
      </w:r>
      <w:r w:rsidR="00DF5DD0" w:rsidRPr="006B47AA">
        <w:rPr>
          <w:lang w:val="en-GB"/>
        </w:rPr>
        <w:t xml:space="preserve"> </w:t>
      </w:r>
      <w:r w:rsidR="00565F54" w:rsidRPr="006B47AA">
        <w:rPr>
          <w:lang w:val="en-GB"/>
        </w:rPr>
        <w:t>DoE-SINDy</w:t>
      </w:r>
      <w:r w:rsidR="00435433" w:rsidRPr="006B47AA">
        <w:rPr>
          <w:lang w:val="en-GB"/>
        </w:rPr>
        <w:t xml:space="preserve"> </w:t>
      </w:r>
      <w:r w:rsidR="00240817">
        <w:rPr>
          <w:lang w:val="en-GB"/>
        </w:rPr>
        <w:t xml:space="preserve">is </w:t>
      </w:r>
      <w:r w:rsidR="00435433" w:rsidRPr="006B47AA">
        <w:rPr>
          <w:lang w:val="en-GB"/>
        </w:rPr>
        <w:t xml:space="preserve">presented here along with </w:t>
      </w:r>
      <w:r w:rsidR="005D4278" w:rsidRPr="006B47AA">
        <w:rPr>
          <w:lang w:val="en-GB"/>
        </w:rPr>
        <w:t xml:space="preserve">a discussion of </w:t>
      </w:r>
      <w:r w:rsidR="00435ADF" w:rsidRPr="006B47AA">
        <w:rPr>
          <w:lang w:val="en-GB"/>
        </w:rPr>
        <w:t>the findings</w:t>
      </w:r>
      <w:r w:rsidR="005D4278" w:rsidRPr="006B47AA">
        <w:rPr>
          <w:lang w:val="en-GB"/>
        </w:rPr>
        <w:t xml:space="preserve"> and </w:t>
      </w:r>
      <w:r w:rsidR="00435433" w:rsidRPr="006B47AA">
        <w:rPr>
          <w:lang w:val="en-GB"/>
        </w:rPr>
        <w:t xml:space="preserve">a comparison </w:t>
      </w:r>
      <w:r w:rsidR="005D4278" w:rsidRPr="006B47AA">
        <w:rPr>
          <w:lang w:val="en-GB"/>
        </w:rPr>
        <w:t>between the</w:t>
      </w:r>
      <w:r w:rsidR="00450FDE" w:rsidRPr="006B47AA">
        <w:rPr>
          <w:lang w:val="en-GB"/>
        </w:rPr>
        <w:t xml:space="preserve"> efficiency of identifying the true model between DoE-SINDy and the original SINDy. </w:t>
      </w:r>
    </w:p>
    <w:p w14:paraId="1DC8894B" w14:textId="61FC4733" w:rsidR="00CA689B" w:rsidRPr="006B47AA" w:rsidRDefault="00143756" w:rsidP="001D40B0">
      <w:pPr>
        <w:pStyle w:val="Els-body-text"/>
        <w:spacing w:before="120" w:after="120"/>
        <w:rPr>
          <w:i/>
          <w:iCs/>
          <w:lang w:val="en-GB"/>
        </w:rPr>
      </w:pPr>
      <w:r w:rsidRPr="006B47AA">
        <w:rPr>
          <w:i/>
          <w:iCs/>
          <w:lang w:val="en-GB"/>
        </w:rPr>
        <w:t xml:space="preserve">4.1 </w:t>
      </w:r>
      <w:r w:rsidR="003F5930" w:rsidRPr="006B47AA">
        <w:rPr>
          <w:i/>
          <w:iCs/>
          <w:lang w:val="en-GB"/>
        </w:rPr>
        <w:t xml:space="preserve">Algorithm efficiency using a specific LHS </w:t>
      </w:r>
      <w:proofErr w:type="gramStart"/>
      <w:r w:rsidR="003F5930" w:rsidRPr="006B47AA">
        <w:rPr>
          <w:i/>
          <w:iCs/>
          <w:lang w:val="en-GB"/>
        </w:rPr>
        <w:t>dataset</w:t>
      </w:r>
      <w:proofErr w:type="gramEnd"/>
    </w:p>
    <w:p w14:paraId="51162439" w14:textId="77777777" w:rsidR="00857518" w:rsidRDefault="00AA6C70" w:rsidP="00CA689B">
      <w:pPr>
        <w:pStyle w:val="Els-body-text"/>
        <w:rPr>
          <w:lang w:val="en-GB"/>
        </w:rPr>
      </w:pPr>
      <w:r w:rsidRPr="006B47AA">
        <w:rPr>
          <w:lang w:val="en-GB"/>
        </w:rPr>
        <w:t xml:space="preserve">The structure and parameters of the model generated through iterations are significantly influenced by the training data. Even when using identical measurements from the same 20 experiments, the generated models may exhibit diversity. </w:t>
      </w:r>
    </w:p>
    <w:p w14:paraId="59DC4AC1" w14:textId="3B20D8A2" w:rsidR="00332B80" w:rsidRPr="006B47AA" w:rsidRDefault="00332B80" w:rsidP="00332B80">
      <w:pPr>
        <w:pStyle w:val="Els-body-text"/>
        <w:rPr>
          <w:lang w:val="en-GB"/>
        </w:rPr>
      </w:pPr>
      <w:r w:rsidRPr="006B47AA">
        <w:rPr>
          <w:lang w:val="en-GB"/>
        </w:rPr>
        <w:t xml:space="preserve">To illustrate how the order of data loading impacts the model structure in each iteration, we examine four different data loading sequences α, β, γ, and δ. It is worth noting that, SINDy estimates the parameters of every term in a model, as there are 4 terms in the true model, the number of parameters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oMath>
      <w:r w:rsidRPr="006B47AA">
        <w:rPr>
          <w:lang w:val="en-GB"/>
        </w:rPr>
        <w:t xml:space="preserve"> of the SINDy generated model having the identical model structure as the true model is 4 (</w:t>
      </w:r>
      <m:oMath>
        <m:sSub>
          <m:sSubPr>
            <m:ctrlPr>
              <w:rPr>
                <w:rFonts w:ascii="Cambria Math" w:hAnsi="Cambria Math"/>
                <w:i/>
                <w:lang w:val="en-GB"/>
              </w:rPr>
            </m:ctrlPr>
          </m:sSubPr>
          <m:e>
            <m:r>
              <w:rPr>
                <w:rFonts w:ascii="Cambria Math" w:hAnsi="Cambria Math"/>
                <w:lang w:val="en-GB"/>
              </w:rPr>
              <m:t>θ</m:t>
            </m:r>
            <m:ctrlPr>
              <w:rPr>
                <w:rFonts w:ascii="Cambria Math" w:hAnsi="Cambria Math"/>
                <w:lang w:val="en-GB"/>
              </w:rPr>
            </m:ctrlPr>
          </m:e>
          <m:sub>
            <m:r>
              <w:rPr>
                <w:rFonts w:ascii="Cambria Math" w:hAnsi="Cambria Math"/>
                <w:lang w:val="en-GB"/>
              </w:rPr>
              <m:t>1</m:t>
            </m:r>
          </m:sub>
        </m:sSub>
      </m:oMath>
      <w:r w:rsidRPr="006B47AA">
        <w:rPr>
          <w:lang w:val="en-GB"/>
        </w:rPr>
        <w:t xml:space="preserve">, </w:t>
      </w:r>
      <m:oMath>
        <m:sSub>
          <m:sSubPr>
            <m:ctrlPr>
              <w:rPr>
                <w:rFonts w:ascii="Cambria Math" w:hAnsi="Cambria Math"/>
                <w:i/>
                <w:lang w:val="en-GB"/>
              </w:rPr>
            </m:ctrlPr>
          </m:sSubPr>
          <m:e>
            <m:r>
              <w:rPr>
                <w:rFonts w:ascii="Cambria Math" w:hAnsi="Cambria Math"/>
                <w:lang w:val="en-GB"/>
              </w:rPr>
              <m:t>θ</m:t>
            </m:r>
            <m:ctrlPr>
              <w:rPr>
                <w:rFonts w:ascii="Cambria Math" w:hAnsi="Cambria Math"/>
                <w:lang w:val="en-GB"/>
              </w:rPr>
            </m:ctrlPr>
          </m:e>
          <m:sub>
            <m:r>
              <w:rPr>
                <w:rFonts w:ascii="Cambria Math" w:hAnsi="Cambria Math"/>
                <w:lang w:val="en-GB"/>
              </w:rPr>
              <m:t>2</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θ</m:t>
            </m:r>
            <m:ctrlPr>
              <w:rPr>
                <w:rFonts w:ascii="Cambria Math" w:hAnsi="Cambria Math"/>
                <w:lang w:val="en-GB"/>
              </w:rPr>
            </m:ctrlPr>
          </m:e>
          <m:sub>
            <m:r>
              <w:rPr>
                <w:rFonts w:ascii="Cambria Math" w:hAnsi="Cambria Math"/>
                <w:lang w:val="en-GB"/>
              </w:rPr>
              <m:t>3</m:t>
            </m:r>
          </m:sub>
        </m:sSub>
        <m:r>
          <w:rPr>
            <w:rFonts w:ascii="Cambria Math" w:hAnsi="Cambria Math"/>
            <w:lang w:val="en-GB"/>
          </w:rPr>
          <m:t xml:space="preserve"> and </m:t>
        </m:r>
        <m:sSub>
          <m:sSubPr>
            <m:ctrlPr>
              <w:rPr>
                <w:rFonts w:ascii="Cambria Math" w:hAnsi="Cambria Math"/>
                <w:i/>
                <w:lang w:val="en-GB"/>
              </w:rPr>
            </m:ctrlPr>
          </m:sSubPr>
          <m:e>
            <m:r>
              <w:rPr>
                <w:rFonts w:ascii="Cambria Math" w:hAnsi="Cambria Math"/>
                <w:lang w:val="en-GB"/>
              </w:rPr>
              <m:t>θ</m:t>
            </m:r>
            <m:ctrlPr>
              <w:rPr>
                <w:rFonts w:ascii="Cambria Math" w:hAnsi="Cambria Math"/>
                <w:lang w:val="en-GB"/>
              </w:rPr>
            </m:ctrlPr>
          </m:e>
          <m:sub>
            <m:r>
              <w:rPr>
                <w:rFonts w:ascii="Cambria Math" w:hAnsi="Cambria Math"/>
                <w:lang w:val="en-GB"/>
              </w:rPr>
              <m:t>4</m:t>
            </m:r>
          </m:sub>
        </m:sSub>
      </m:oMath>
      <w:r w:rsidRPr="006B47AA">
        <w:rPr>
          <w:lang w:val="en-GB"/>
        </w:rPr>
        <w:t>) instead of 2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oMath>
      <w:r w:rsidRPr="006B47AA">
        <w:rPr>
          <w:lang w:val="en-GB"/>
        </w:rPr>
        <w:t xml:space="preserve"> and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oMath>
      <w:r w:rsidRPr="006B47AA">
        <w:rPr>
          <w:lang w:val="en-GB"/>
        </w:rPr>
        <w:t xml:space="preserve">). To simply visualise the models generated over the iterative process,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oMath>
      <w:r w:rsidRPr="006B47AA">
        <w:rPr>
          <w:lang w:val="en-GB"/>
        </w:rPr>
        <w:t xml:space="preserve"> is used to represent the model structure.</w:t>
      </w:r>
    </w:p>
    <w:p w14:paraId="732CB30A" w14:textId="77777777" w:rsidR="00332B80" w:rsidRPr="006B47AA" w:rsidRDefault="00332B80" w:rsidP="00332B80">
      <w:pPr>
        <w:pStyle w:val="Els-body-text"/>
        <w:rPr>
          <w:lang w:val="en-GB"/>
        </w:rPr>
      </w:pPr>
      <w:r w:rsidRPr="006B47AA">
        <w:rPr>
          <w:lang w:val="en-GB"/>
        </w:rPr>
        <w:t xml:space="preserve">As illustrated in </w:t>
      </w:r>
      <w:r>
        <w:rPr>
          <w:lang w:val="en-GB"/>
        </w:rPr>
        <w:t>Figure 2</w:t>
      </w:r>
      <w:r w:rsidRPr="006B47AA">
        <w:rPr>
          <w:lang w:val="en-GB"/>
        </w:rPr>
        <w:t xml:space="preserve">, in general, with the increase of number of iterations,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oMath>
      <w:r w:rsidRPr="006B47AA">
        <w:rPr>
          <w:lang w:val="en-GB"/>
        </w:rPr>
        <w:t xml:space="preserve"> decreases, eventually converging to 5 parameters. The true model with 4 parameters is successfully identified at one of the iterations during the model identification process, but only with sequences α and γ.  These observations show that the training data used is crucial in determining whether the true model is identified. </w:t>
      </w:r>
    </w:p>
    <w:p w14:paraId="14DD7A2D" w14:textId="500790FD" w:rsidR="00332B80" w:rsidRDefault="00332B80" w:rsidP="00332B80">
      <w:pPr>
        <w:pStyle w:val="Els-body-text"/>
        <w:rPr>
          <w:lang w:val="en-GB"/>
        </w:rPr>
      </w:pPr>
      <w:r w:rsidRPr="006B47AA">
        <w:rPr>
          <w:lang w:val="en-GB"/>
        </w:rPr>
        <w:t>Identifiability results show that the generated models are unidentifiable, as DoE-SINDy generated model</w:t>
      </w:r>
      <w:r w:rsidR="007A6FE1">
        <w:rPr>
          <w:lang w:val="en-GB"/>
        </w:rPr>
        <w:t>s</w:t>
      </w:r>
      <w:r w:rsidRPr="006B47AA">
        <w:rPr>
          <w:lang w:val="en-GB"/>
        </w:rPr>
        <w:t xml:space="preserve"> have anti-correlated parameters, i.e., </w:t>
      </w:r>
      <m:oMath>
        <m:sSub>
          <m:sSubPr>
            <m:ctrlPr>
              <w:rPr>
                <w:rFonts w:ascii="Cambria Math" w:hAnsi="Cambria Math"/>
                <w:i/>
                <w:lang w:val="en-GB"/>
              </w:rPr>
            </m:ctrlPr>
          </m:sSubPr>
          <m:e>
            <m:r>
              <w:rPr>
                <w:rFonts w:ascii="Cambria Math" w:hAnsi="Cambria Math"/>
                <w:lang w:val="en-GB"/>
              </w:rPr>
              <m:t>θ</m:t>
            </m:r>
            <m:ctrlPr>
              <w:rPr>
                <w:rFonts w:ascii="Cambria Math" w:hAnsi="Cambria Math"/>
                <w:lang w:val="en-GB"/>
              </w:rPr>
            </m:ctrlP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oMath>
      <w:r w:rsidRPr="006B47AA">
        <w:rPr>
          <w:lang w:val="en-GB"/>
        </w:rPr>
        <w:t xml:space="preserve"> and </w:t>
      </w:r>
      <m:oMath>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oMath>
      <w:r w:rsidRPr="006B47AA">
        <w:rPr>
          <w:lang w:val="en-GB"/>
        </w:rPr>
        <w:t xml:space="preserve">, </w:t>
      </w:r>
      <m:oMath>
        <m:sSub>
          <m:sSubPr>
            <m:ctrlPr>
              <w:rPr>
                <w:rFonts w:ascii="Cambria Math" w:hAnsi="Cambria Math"/>
                <w:i/>
                <w:lang w:val="en-GB"/>
              </w:rPr>
            </m:ctrlPr>
          </m:sSubPr>
          <m:e>
            <m:r>
              <w:rPr>
                <w:rFonts w:ascii="Cambria Math" w:hAnsi="Cambria Math"/>
                <w:lang w:val="en-GB"/>
              </w:rPr>
              <m:t>θ</m:t>
            </m:r>
            <m:ctrlPr>
              <w:rPr>
                <w:rFonts w:ascii="Cambria Math" w:hAnsi="Cambria Math"/>
                <w:lang w:val="en-GB"/>
              </w:rPr>
            </m:ctrlPr>
          </m:e>
          <m:sub>
            <m:r>
              <w:rPr>
                <w:rFonts w:ascii="Cambria Math" w:hAnsi="Cambria Math"/>
                <w:lang w:val="en-GB"/>
              </w:rPr>
              <m:t>3</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oMath>
      <w:r w:rsidRPr="006B47AA">
        <w:rPr>
          <w:lang w:val="en-GB"/>
        </w:rPr>
        <w:t xml:space="preserve"> an</w:t>
      </w:r>
      <w:r w:rsidRPr="006252A9">
        <w:rPr>
          <w:iCs/>
          <w:lang w:val="en-GB"/>
        </w:rPr>
        <w:t xml:space="preserve">d </w:t>
      </w:r>
      <m:oMath>
        <m:sSub>
          <m:sSubPr>
            <m:ctrlPr>
              <w:rPr>
                <w:rFonts w:ascii="Cambria Math" w:hAnsi="Cambria Math"/>
                <w:i/>
                <w:iCs/>
                <w:lang w:val="en-GB"/>
              </w:rPr>
            </m:ctrlPr>
          </m:sSubPr>
          <m:e>
            <m:r>
              <w:rPr>
                <w:rFonts w:ascii="Cambria Math" w:hAnsi="Cambria Math"/>
                <w:lang w:val="en-GB"/>
              </w:rPr>
              <m:t>θ</m:t>
            </m:r>
          </m:e>
          <m:sub>
            <m:r>
              <w:rPr>
                <w:rFonts w:ascii="Cambria Math" w:hAnsi="Cambria Math"/>
                <w:lang w:val="en-GB"/>
              </w:rPr>
              <m:t>4</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oMath>
      <w:r w:rsidRPr="006B47AA">
        <w:rPr>
          <w:lang w:val="en-GB"/>
        </w:rPr>
        <w:t>. Because of this, the parameters cannot be precisely estimated.</w:t>
      </w:r>
    </w:p>
    <w:p w14:paraId="19C5F1DC" w14:textId="0681841C" w:rsidR="00332B80" w:rsidRDefault="00332B80" w:rsidP="00CA689B">
      <w:pPr>
        <w:pStyle w:val="Els-body-text"/>
        <w:rPr>
          <w:lang w:val="en-GB"/>
        </w:rPr>
      </w:pPr>
      <w:r w:rsidRPr="006B47AA">
        <w:rPr>
          <w:lang w:val="en-GB"/>
        </w:rPr>
        <w:t xml:space="preserve">The results from </w:t>
      </w:r>
      <m:oMath>
        <m:sSup>
          <m:sSupPr>
            <m:ctrlPr>
              <w:rPr>
                <w:rFonts w:ascii="Cambria Math" w:hAnsi="Cambria Math"/>
                <w:i/>
                <w:vertAlign w:val="superscript"/>
                <w:lang w:val="en-GB"/>
              </w:rPr>
            </m:ctrlPr>
          </m:sSupPr>
          <m:e>
            <m:r>
              <w:rPr>
                <w:rFonts w:ascii="Cambria Math" w:hAnsi="Cambria Math"/>
                <w:lang w:val="en-GB"/>
              </w:rPr>
              <m:t>χ</m:t>
            </m:r>
            <m:ctrlPr>
              <w:rPr>
                <w:rFonts w:ascii="Cambria Math" w:hAnsi="Cambria Math"/>
                <w:i/>
                <w:lang w:val="en-GB"/>
              </w:rPr>
            </m:ctrlPr>
          </m:e>
          <m:sup>
            <m:r>
              <w:rPr>
                <w:rFonts w:ascii="Cambria Math" w:hAnsi="Cambria Math"/>
                <w:vertAlign w:val="superscript"/>
                <w:lang w:val="en-GB"/>
              </w:rPr>
              <m:t>2</m:t>
            </m:r>
          </m:sup>
        </m:sSup>
      </m:oMath>
      <w:r w:rsidRPr="006B47AA">
        <w:rPr>
          <w:lang w:val="en-GB"/>
        </w:rPr>
        <w:t xml:space="preserve"> </w:t>
      </w:r>
      <w:r w:rsidR="00060811" w:rsidRPr="00060811">
        <w:rPr>
          <w:lang w:val="en-GB"/>
        </w:rPr>
        <w:t xml:space="preserve">test show that </w:t>
      </w:r>
      <w:r w:rsidR="00060811">
        <w:rPr>
          <w:lang w:val="en-GB"/>
        </w:rPr>
        <w:t>a</w:t>
      </w:r>
      <w:r w:rsidR="00060811" w:rsidRPr="00060811">
        <w:rPr>
          <w:lang w:val="en-GB"/>
        </w:rPr>
        <w:t xml:space="preserve"> model is </w:t>
      </w:r>
      <w:r w:rsidR="00370E36">
        <w:rPr>
          <w:lang w:val="en-GB"/>
        </w:rPr>
        <w:t>falsified for</w:t>
      </w:r>
      <w:r w:rsidR="00060811" w:rsidRPr="00060811">
        <w:rPr>
          <w:lang w:val="en-GB"/>
        </w:rPr>
        <w:t xml:space="preserve"> under-fitting even when the </w:t>
      </w:r>
      <w:r w:rsidRPr="006B47AA">
        <w:rPr>
          <w:lang w:val="en-GB"/>
        </w:rPr>
        <w:t>true model structure is identified</w:t>
      </w:r>
      <w:r w:rsidR="00D675A2">
        <w:rPr>
          <w:lang w:val="en-GB"/>
        </w:rPr>
        <w:t xml:space="preserve">. For example, </w:t>
      </w:r>
      <w:r w:rsidR="00EB3554">
        <w:rPr>
          <w:lang w:val="en-GB"/>
        </w:rPr>
        <w:t>the</w:t>
      </w:r>
      <w:r w:rsidR="00EB3554" w:rsidRPr="00EB3554">
        <w:rPr>
          <w:lang w:val="en-GB"/>
        </w:rPr>
        <w:t xml:space="preserve"> </w:t>
      </w:r>
      <m:oMath>
        <m:sSup>
          <m:sSupPr>
            <m:ctrlPr>
              <w:rPr>
                <w:rFonts w:ascii="Cambria Math" w:hAnsi="Cambria Math"/>
                <w:i/>
                <w:vertAlign w:val="superscript"/>
                <w:lang w:val="en-GB"/>
              </w:rPr>
            </m:ctrlPr>
          </m:sSupPr>
          <m:e>
            <m:r>
              <w:rPr>
                <w:rFonts w:ascii="Cambria Math" w:hAnsi="Cambria Math"/>
                <w:lang w:val="en-GB"/>
              </w:rPr>
              <m:t>χ</m:t>
            </m:r>
            <m:ctrlPr>
              <w:rPr>
                <w:rFonts w:ascii="Cambria Math" w:hAnsi="Cambria Math"/>
                <w:i/>
                <w:lang w:val="en-GB"/>
              </w:rPr>
            </m:ctrlPr>
          </m:e>
          <m:sup>
            <m:r>
              <w:rPr>
                <w:rFonts w:ascii="Cambria Math" w:hAnsi="Cambria Math"/>
                <w:vertAlign w:val="superscript"/>
                <w:lang w:val="en-GB"/>
              </w:rPr>
              <m:t>2</m:t>
            </m:r>
          </m:sup>
        </m:sSup>
      </m:oMath>
      <w:r w:rsidR="00EB3554">
        <w:rPr>
          <w:lang w:val="en-GB"/>
        </w:rPr>
        <w:t xml:space="preserve"> of </w:t>
      </w:r>
      <w:r w:rsidRPr="006B47AA">
        <w:rPr>
          <w:lang w:val="en-GB"/>
        </w:rPr>
        <w:t>the model with 4 parameters identified with sequence γ</w:t>
      </w:r>
      <w:r w:rsidR="00EB3554">
        <w:rPr>
          <w:lang w:val="en-GB"/>
        </w:rPr>
        <w:t xml:space="preserve"> is </w:t>
      </w:r>
      <m:oMath>
        <m:sSup>
          <m:sSupPr>
            <m:ctrlPr>
              <w:rPr>
                <w:rFonts w:ascii="Cambria Math" w:hAnsi="Cambria Math"/>
                <w:i/>
                <w:vertAlign w:val="superscript"/>
                <w:lang w:val="en-GB"/>
              </w:rPr>
            </m:ctrlPr>
          </m:sSupPr>
          <m:e>
            <m:r>
              <w:rPr>
                <w:rFonts w:ascii="Cambria Math" w:hAnsi="Cambria Math"/>
                <w:lang w:val="en-GB"/>
              </w:rPr>
              <m:t>χ</m:t>
            </m:r>
            <m:ctrlPr>
              <w:rPr>
                <w:rFonts w:ascii="Cambria Math" w:hAnsi="Cambria Math"/>
                <w:i/>
                <w:lang w:val="en-GB"/>
              </w:rPr>
            </m:ctrlPr>
          </m:e>
          <m:sup>
            <m:r>
              <w:rPr>
                <w:rFonts w:ascii="Cambria Math" w:hAnsi="Cambria Math"/>
                <w:vertAlign w:val="superscript"/>
                <w:lang w:val="en-GB"/>
              </w:rPr>
              <m:t>2</m:t>
            </m:r>
          </m:sup>
        </m:sSup>
        <m:r>
          <w:rPr>
            <w:rFonts w:ascii="Cambria Math" w:hAnsi="Cambria Math"/>
            <w:vertAlign w:val="superscript"/>
            <w:lang w:val="en-GB"/>
          </w:rPr>
          <m:t>=</m:t>
        </m:r>
        <m:r>
          <m:rPr>
            <m:sty m:val="p"/>
          </m:rPr>
          <w:rPr>
            <w:rFonts w:ascii="Cambria Math" w:hAnsi="Cambria Math"/>
            <w:lang w:val="en-GB"/>
          </w:rPr>
          <m:t>1.81×</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4</m:t>
            </m:r>
          </m:sup>
        </m:sSup>
        <m:r>
          <m:rPr>
            <m:sty m:val="p"/>
          </m:rPr>
          <w:rPr>
            <w:rFonts w:ascii="Cambria Math" w:hAnsi="Cambria Math"/>
            <w:lang w:val="en-GB"/>
          </w:rPr>
          <m:t xml:space="preserve"> </m:t>
        </m:r>
      </m:oMath>
      <w:r w:rsidR="004E613B">
        <w:rPr>
          <w:lang w:val="en-GB"/>
        </w:rPr>
        <w:t>which is larger than the reference</w:t>
      </w:r>
      <w:r w:rsidR="000A206A">
        <w:rPr>
          <w:lang w:val="en-GB"/>
        </w:rPr>
        <w:t xml:space="preserve"> </w:t>
      </w:r>
      <m:oMath>
        <m:sSubSup>
          <m:sSubSupPr>
            <m:ctrlPr>
              <w:rPr>
                <w:rFonts w:ascii="Cambria Math" w:hAnsi="Cambria Math"/>
                <w:i/>
                <w:lang w:val="en-GB"/>
              </w:rPr>
            </m:ctrlPr>
          </m:sSubSupPr>
          <m:e>
            <m:r>
              <m:rPr>
                <m:sty m:val="p"/>
              </m:rPr>
              <w:rPr>
                <w:rFonts w:ascii="Cambria Math" w:hAnsi="Cambria Math"/>
                <w:lang w:val="en-GB"/>
              </w:rPr>
              <m:t>χ</m:t>
            </m:r>
            <m:ctrlPr>
              <w:rPr>
                <w:rFonts w:ascii="Cambria Math" w:hAnsi="Cambria Math"/>
                <w:lang w:val="en-GB"/>
              </w:rPr>
            </m:ctrlPr>
          </m:e>
          <m:sub>
            <m:r>
              <m:rPr>
                <m:sty m:val="p"/>
              </m:rPr>
              <w:rPr>
                <w:rFonts w:ascii="Cambria Math" w:hAnsi="Cambria Math"/>
                <w:lang w:val="en-GB"/>
              </w:rPr>
              <m:t>0.95</m:t>
            </m:r>
            <m:ctrlPr>
              <w:rPr>
                <w:rFonts w:ascii="Cambria Math" w:hAnsi="Cambria Math"/>
                <w:lang w:val="en-GB"/>
              </w:rPr>
            </m:ctrlPr>
          </m:sub>
          <m:sup>
            <m:r>
              <w:rPr>
                <w:rFonts w:ascii="Cambria Math" w:hAnsi="Cambria Math"/>
                <w:lang w:val="en-GB"/>
              </w:rPr>
              <m:t>2</m:t>
            </m:r>
          </m:sup>
        </m:sSubSup>
        <m:r>
          <w:rPr>
            <w:rFonts w:ascii="Cambria Math" w:hAnsi="Cambria Math"/>
            <w:lang w:val="en-GB"/>
          </w:rPr>
          <m:t>=8.16</m:t>
        </m:r>
        <m:r>
          <m:rPr>
            <m:sty m:val="p"/>
          </m:rPr>
          <w:rPr>
            <w:rFonts w:ascii="Cambria Math" w:hAnsi="Cambria Math"/>
            <w:lang w:val="en-GB"/>
          </w:rPr>
          <m:t>×</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2</m:t>
            </m:r>
          </m:sup>
        </m:sSup>
      </m:oMath>
      <w:r w:rsidRPr="006B47AA">
        <w:rPr>
          <w:lang w:val="en-GB"/>
        </w:rPr>
        <w:t xml:space="preserve">. However, </w:t>
      </w:r>
      <w:r w:rsidR="00D86B64">
        <w:rPr>
          <w:lang w:val="en-GB"/>
        </w:rPr>
        <w:t xml:space="preserve">there are </w:t>
      </w:r>
      <w:r w:rsidRPr="006B47AA">
        <w:rPr>
          <w:lang w:val="en-GB"/>
        </w:rPr>
        <w:t xml:space="preserve">negligible deviations between the measurements and the predictions. </w:t>
      </w:r>
      <w:r w:rsidR="008242BE">
        <w:rPr>
          <w:lang w:val="en-GB"/>
        </w:rPr>
        <w:t xml:space="preserve">In that case, the true model may not be </w:t>
      </w:r>
      <w:r w:rsidR="00C65BF6">
        <w:rPr>
          <w:lang w:val="en-GB"/>
        </w:rPr>
        <w:t>selected out of the generated models</w:t>
      </w:r>
      <w:r w:rsidR="003D5E8D">
        <w:rPr>
          <w:lang w:val="en-GB"/>
        </w:rPr>
        <w:t xml:space="preserve"> </w:t>
      </w:r>
      <w:r w:rsidR="00C65BF6">
        <w:rPr>
          <w:lang w:val="en-GB"/>
        </w:rPr>
        <w:t xml:space="preserve">according to the results of </w:t>
      </w:r>
      <m:oMath>
        <m:sSup>
          <m:sSupPr>
            <m:ctrlPr>
              <w:rPr>
                <w:rFonts w:ascii="Cambria Math" w:hAnsi="Cambria Math"/>
                <w:i/>
                <w:vertAlign w:val="superscript"/>
                <w:lang w:val="en-GB"/>
              </w:rPr>
            </m:ctrlPr>
          </m:sSupPr>
          <m:e>
            <m:r>
              <w:rPr>
                <w:rFonts w:ascii="Cambria Math" w:hAnsi="Cambria Math"/>
                <w:lang w:val="en-GB"/>
              </w:rPr>
              <m:t>χ</m:t>
            </m:r>
            <m:ctrlPr>
              <w:rPr>
                <w:rFonts w:ascii="Cambria Math" w:hAnsi="Cambria Math"/>
                <w:i/>
                <w:lang w:val="en-GB"/>
              </w:rPr>
            </m:ctrlPr>
          </m:e>
          <m:sup>
            <m:r>
              <w:rPr>
                <w:rFonts w:ascii="Cambria Math" w:hAnsi="Cambria Math"/>
                <w:vertAlign w:val="superscript"/>
                <w:lang w:val="en-GB"/>
              </w:rPr>
              <m:t>2</m:t>
            </m:r>
          </m:sup>
        </m:sSup>
      </m:oMath>
      <w:r w:rsidR="00C65BF6" w:rsidRPr="006B47AA">
        <w:rPr>
          <w:lang w:val="en-GB"/>
        </w:rPr>
        <w:t xml:space="preserve"> </w:t>
      </w:r>
      <w:r w:rsidR="00C65BF6" w:rsidRPr="00060811">
        <w:rPr>
          <w:lang w:val="en-GB"/>
        </w:rPr>
        <w:t>test</w:t>
      </w:r>
      <w:r w:rsidR="00C65BF6">
        <w:rPr>
          <w:lang w:val="en-GB"/>
        </w:rPr>
        <w:t>.</w:t>
      </w:r>
    </w:p>
    <w:p w14:paraId="766CD8AE" w14:textId="77777777" w:rsidR="00854178" w:rsidRPr="006B47AA" w:rsidRDefault="00854178" w:rsidP="00542835">
      <w:pPr>
        <w:pStyle w:val="Els-reference-head"/>
        <w:jc w:val="center"/>
        <w:rPr>
          <w:lang w:val="en-GB"/>
        </w:rPr>
      </w:pPr>
      <w:r w:rsidRPr="006B47AA">
        <w:rPr>
          <w:noProof/>
          <w:lang w:val="en-GB"/>
        </w:rPr>
        <w:lastRenderedPageBreak/>
        <w:drawing>
          <wp:inline distT="0" distB="0" distL="0" distR="0" wp14:anchorId="32918239" wp14:editId="2F4941BD">
            <wp:extent cx="4500000" cy="3508682"/>
            <wp:effectExtent l="0" t="0" r="0" b="0"/>
            <wp:docPr id="2006132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10" t="2665" r="2095"/>
                    <a:stretch/>
                  </pic:blipFill>
                  <pic:spPr bwMode="auto">
                    <a:xfrm>
                      <a:off x="0" y="0"/>
                      <a:ext cx="4500000" cy="3508682"/>
                    </a:xfrm>
                    <a:prstGeom prst="rect">
                      <a:avLst/>
                    </a:prstGeom>
                    <a:noFill/>
                    <a:ln>
                      <a:noFill/>
                    </a:ln>
                    <a:extLst>
                      <a:ext uri="{53640926-AAD7-44D8-BBD7-CCE9431645EC}">
                        <a14:shadowObscured xmlns:a14="http://schemas.microsoft.com/office/drawing/2010/main"/>
                      </a:ext>
                    </a:extLst>
                  </pic:spPr>
                </pic:pic>
              </a:graphicData>
            </a:graphic>
          </wp:inline>
        </w:drawing>
      </w:r>
    </w:p>
    <w:p w14:paraId="44395164" w14:textId="2337E00B" w:rsidR="00854178" w:rsidRDefault="0017550C" w:rsidP="0040551F">
      <w:pPr>
        <w:pStyle w:val="Els-body-text"/>
        <w:spacing w:after="120"/>
        <w:rPr>
          <w:lang w:val="en-GB"/>
        </w:rPr>
      </w:pPr>
      <w:r>
        <w:rPr>
          <w:lang w:val="en-GB"/>
        </w:rPr>
        <w:t>Figure 2</w:t>
      </w:r>
      <w:r w:rsidR="00470AA2" w:rsidRPr="006B47AA">
        <w:rPr>
          <w:lang w:val="en-GB"/>
        </w:rPr>
        <w:t xml:space="preserve"> </w:t>
      </w:r>
      <w:r w:rsidR="004A4913" w:rsidRPr="006B47AA">
        <w:rPr>
          <w:lang w:val="en-GB"/>
        </w:rPr>
        <w:t>Number of parameters of the generated model at each iteration based on 4 different experimental data loading sequences</w:t>
      </w:r>
      <w:r w:rsidR="00C578DA" w:rsidRPr="006B47AA">
        <w:rPr>
          <w:lang w:val="en-GB"/>
        </w:rPr>
        <w:t xml:space="preserve"> (a) α, (b) β, (c) γ, and </w:t>
      </w:r>
      <w:r w:rsidR="00375409" w:rsidRPr="006B47AA">
        <w:rPr>
          <w:lang w:val="en-GB"/>
        </w:rPr>
        <w:t xml:space="preserve">(d) </w:t>
      </w:r>
      <w:r w:rsidR="00C578DA" w:rsidRPr="006B47AA">
        <w:rPr>
          <w:lang w:val="en-GB"/>
        </w:rPr>
        <w:t>δ</w:t>
      </w:r>
      <w:r w:rsidR="006710CE" w:rsidRPr="006B47AA">
        <w:rPr>
          <w:lang w:val="en-GB"/>
        </w:rPr>
        <w:t xml:space="preserve">. The red line refers to the true number of parameters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oMath>
      <w:r w:rsidR="006710CE" w:rsidRPr="006B47AA">
        <w:rPr>
          <w:lang w:val="en-GB"/>
        </w:rPr>
        <w:t xml:space="preserve">, </w:t>
      </w:r>
      <w:r w:rsidR="00A637A6" w:rsidRPr="006B47AA">
        <w:rPr>
          <w:lang w:val="en-GB"/>
        </w:rPr>
        <w:t>which is 4</w:t>
      </w:r>
      <w:r w:rsidR="006D2736" w:rsidRPr="006B47AA">
        <w:rPr>
          <w:lang w:val="en-GB"/>
        </w:rPr>
        <w:t>, bars</w:t>
      </w:r>
      <w:r w:rsidR="00F07DE6" w:rsidRPr="006B47AA">
        <w:rPr>
          <w:lang w:val="en-GB"/>
        </w:rPr>
        <w:t xml:space="preserve"> </w:t>
      </w:r>
      <w:r w:rsidR="005925B4" w:rsidRPr="006B47AA">
        <w:rPr>
          <w:lang w:val="en-GB"/>
        </w:rPr>
        <w:t>refer</w:t>
      </w:r>
      <w:r w:rsidR="00F07DE6" w:rsidRPr="006B47AA">
        <w:rPr>
          <w:lang w:val="en-GB"/>
        </w:rPr>
        <w:t xml:space="preserve"> to the</w:t>
      </w:r>
      <w:r w:rsidR="005925B4" w:rsidRPr="006B47AA">
        <w:rPr>
          <w:lang w:val="en-GB"/>
        </w:rPr>
        <w:t xml:space="preserve"> defined</w:t>
      </w:r>
      <w:r w:rsidR="00F07DE6" w:rsidRPr="006B47AA">
        <w:rPr>
          <w:lang w:val="en-GB"/>
        </w:rPr>
        <w:t xml:space="preserve"> initial concentration </w:t>
      </w:r>
      <w:r w:rsidR="005925B4" w:rsidRPr="006B47AA">
        <w:rPr>
          <w:lang w:val="en-GB"/>
        </w:rPr>
        <w:t xml:space="preserve">of </w:t>
      </w:r>
      <w:r w:rsidR="005925B4" w:rsidRPr="006B47AA">
        <w:rPr>
          <w:lang w:val="en-GB" w:eastAsia="zh-CN"/>
        </w:rPr>
        <w:t>A</w:t>
      </w:r>
      <w:r w:rsidR="006D2736" w:rsidRPr="006B47AA">
        <w:rPr>
          <w:lang w:val="en-GB" w:eastAsia="zh-CN"/>
        </w:rPr>
        <w:t xml:space="preserve"> in each</w:t>
      </w:r>
      <w:r w:rsidR="00C12F46" w:rsidRPr="006B47AA">
        <w:rPr>
          <w:lang w:val="en-GB" w:eastAsia="zh-CN"/>
        </w:rPr>
        <w:t xml:space="preserve"> </w:t>
      </w:r>
      <w:r w:rsidR="006D2736" w:rsidRPr="006B47AA">
        <w:rPr>
          <w:lang w:val="en-GB" w:eastAsia="zh-CN"/>
        </w:rPr>
        <w:t xml:space="preserve">LHS </w:t>
      </w:r>
      <w:r w:rsidR="00C12F46" w:rsidRPr="006B47AA">
        <w:rPr>
          <w:lang w:val="en-GB" w:eastAsia="zh-CN"/>
        </w:rPr>
        <w:t xml:space="preserve">experiment. </w:t>
      </w:r>
      <w:r w:rsidR="00D873F9" w:rsidRPr="006B47AA">
        <w:rPr>
          <w:lang w:val="en-GB" w:eastAsia="zh-CN"/>
        </w:rPr>
        <w:t xml:space="preserve">The line </w:t>
      </w:r>
      <w:r w:rsidR="005D137D" w:rsidRPr="006B47AA">
        <w:rPr>
          <w:lang w:val="en-GB" w:eastAsia="zh-CN"/>
        </w:rPr>
        <w:t>illustrate</w:t>
      </w:r>
      <w:r w:rsidR="006D2736" w:rsidRPr="006B47AA">
        <w:rPr>
          <w:lang w:val="en-GB" w:eastAsia="zh-CN"/>
        </w:rPr>
        <w:t>s</w:t>
      </w:r>
      <w:r w:rsidR="00A637A6" w:rsidRPr="006B47AA">
        <w:rPr>
          <w:lang w:val="en-GB" w:eastAsia="zh-CN"/>
        </w:rPr>
        <w:t xml:space="preserv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oMath>
      <w:r w:rsidR="00A637A6" w:rsidRPr="006B47AA">
        <w:rPr>
          <w:lang w:val="en-GB"/>
        </w:rPr>
        <w:t xml:space="preserve"> </w:t>
      </w:r>
      <w:r w:rsidR="006D2736" w:rsidRPr="006B47AA">
        <w:rPr>
          <w:lang w:val="en-GB"/>
        </w:rPr>
        <w:t>for</w:t>
      </w:r>
      <w:r w:rsidR="00A637A6" w:rsidRPr="006B47AA">
        <w:rPr>
          <w:lang w:val="en-GB"/>
        </w:rPr>
        <w:t xml:space="preserve"> the model</w:t>
      </w:r>
      <w:r w:rsidR="00B27483" w:rsidRPr="006B47AA">
        <w:rPr>
          <w:lang w:val="en-GB"/>
        </w:rPr>
        <w:t xml:space="preserve"> generated at each iteration. </w:t>
      </w:r>
    </w:p>
    <w:p w14:paraId="09BB5F95" w14:textId="3B64ED63" w:rsidR="00D03350" w:rsidRPr="006B47AA" w:rsidRDefault="00D03350" w:rsidP="00D03350">
      <w:pPr>
        <w:pStyle w:val="Els-body-text"/>
        <w:spacing w:before="120" w:after="120"/>
        <w:rPr>
          <w:i/>
          <w:iCs/>
          <w:lang w:val="en-GB"/>
        </w:rPr>
      </w:pPr>
      <w:r w:rsidRPr="006B47AA">
        <w:rPr>
          <w:i/>
          <w:iCs/>
          <w:lang w:val="en-GB"/>
        </w:rPr>
        <w:t xml:space="preserve">4.2 </w:t>
      </w:r>
      <w:r w:rsidR="00F34283" w:rsidRPr="006B47AA">
        <w:rPr>
          <w:i/>
          <w:iCs/>
          <w:lang w:val="en-GB"/>
        </w:rPr>
        <w:t>Capability in general conditions and comparison with SINDy</w:t>
      </w:r>
    </w:p>
    <w:p w14:paraId="00CB0135" w14:textId="1F895B99" w:rsidR="00EE50C3" w:rsidRDefault="0027166F" w:rsidP="00EE50C3">
      <w:pPr>
        <w:pStyle w:val="Els-body-text"/>
        <w:rPr>
          <w:lang w:val="en-GB" w:eastAsia="zh-CN"/>
        </w:rPr>
      </w:pPr>
      <w:r w:rsidRPr="006B47AA">
        <w:rPr>
          <w:lang w:val="en-GB" w:eastAsia="zh-CN"/>
        </w:rPr>
        <w:t>To compare original SINDy and DoE-SINDY we</w:t>
      </w:r>
      <w:r w:rsidR="00FE760E" w:rsidRPr="006B47AA">
        <w:rPr>
          <w:lang w:val="en-GB" w:eastAsia="zh-CN"/>
        </w:rPr>
        <w:t xml:space="preserve"> investigate</w:t>
      </w:r>
      <w:r w:rsidR="00D927CB" w:rsidRPr="006B47AA">
        <w:rPr>
          <w:lang w:val="en-GB" w:eastAsia="zh-CN"/>
        </w:rPr>
        <w:t xml:space="preserve"> four different data sizes (5, 10, 15 and 20 experiments)</w:t>
      </w:r>
      <w:r w:rsidR="00B07C65">
        <w:rPr>
          <w:lang w:val="en-GB" w:eastAsia="zh-CN"/>
        </w:rPr>
        <w:t>.</w:t>
      </w:r>
      <w:r w:rsidR="00D927CB" w:rsidRPr="006B47AA">
        <w:rPr>
          <w:lang w:val="en-GB" w:eastAsia="zh-CN"/>
        </w:rPr>
        <w:t xml:space="preserve"> </w:t>
      </w:r>
      <w:r w:rsidR="00B07C65" w:rsidRPr="006B47AA">
        <w:rPr>
          <w:lang w:val="en-GB" w:eastAsia="zh-CN"/>
        </w:rPr>
        <w:t>For each data size, 20 datasets are generated</w:t>
      </w:r>
      <w:r w:rsidR="00B07C65">
        <w:rPr>
          <w:lang w:val="en-GB" w:eastAsia="zh-CN"/>
        </w:rPr>
        <w:t xml:space="preserve">. </w:t>
      </w:r>
      <w:r w:rsidR="00D76B47">
        <w:rPr>
          <w:lang w:val="en-GB" w:eastAsia="zh-CN"/>
        </w:rPr>
        <w:t>Within</w:t>
      </w:r>
      <w:r w:rsidR="00356D23">
        <w:rPr>
          <w:lang w:val="en-GB" w:eastAsia="zh-CN"/>
        </w:rPr>
        <w:t xml:space="preserve"> a </w:t>
      </w:r>
      <w:r w:rsidR="00F30356">
        <w:rPr>
          <w:lang w:val="en-GB" w:eastAsia="zh-CN"/>
        </w:rPr>
        <w:t xml:space="preserve">single dataset, </w:t>
      </w:r>
      <w:r w:rsidR="00D76B47">
        <w:rPr>
          <w:lang w:val="en-GB" w:eastAsia="zh-CN"/>
        </w:rPr>
        <w:t>LHS is employed to</w:t>
      </w:r>
      <w:r w:rsidR="00236E11">
        <w:rPr>
          <w:lang w:val="en-GB" w:eastAsia="zh-CN"/>
        </w:rPr>
        <w:t xml:space="preserve"> design the initial concentrations of A</w:t>
      </w:r>
      <w:r w:rsidR="003042E3">
        <w:rPr>
          <w:lang w:val="en-GB" w:eastAsia="zh-CN"/>
        </w:rPr>
        <w:t xml:space="preserve"> for each experiment</w:t>
      </w:r>
      <w:r w:rsidR="00236E11">
        <w:rPr>
          <w:lang w:val="en-GB" w:eastAsia="zh-CN"/>
        </w:rPr>
        <w:t xml:space="preserve">, and </w:t>
      </w:r>
      <w:r w:rsidR="00F30356" w:rsidRPr="006B47AA">
        <w:rPr>
          <w:lang w:val="en-GB" w:eastAsia="zh-CN"/>
        </w:rPr>
        <w:t xml:space="preserve">the code DoE-SINDy is executed 100 times with shuffled sequences </w:t>
      </w:r>
      <w:r w:rsidRPr="006B47AA">
        <w:rPr>
          <w:lang w:val="en-GB" w:eastAsia="zh-CN"/>
        </w:rPr>
        <w:t>t</w:t>
      </w:r>
      <w:r w:rsidR="0098045F" w:rsidRPr="006B47AA">
        <w:rPr>
          <w:lang w:val="en-GB" w:eastAsia="zh-CN"/>
        </w:rPr>
        <w:t>o mitigate the impact of s</w:t>
      </w:r>
      <w:r w:rsidR="00B10918" w:rsidRPr="006B47AA">
        <w:rPr>
          <w:lang w:val="en-GB" w:eastAsia="zh-CN"/>
        </w:rPr>
        <w:t>equence on model generation</w:t>
      </w:r>
      <w:r w:rsidR="00625268" w:rsidRPr="006B47AA">
        <w:rPr>
          <w:lang w:val="en-GB" w:eastAsia="zh-CN"/>
        </w:rPr>
        <w:t xml:space="preserve">. </w:t>
      </w:r>
      <w:r w:rsidR="0025108E">
        <w:rPr>
          <w:lang w:val="en-GB" w:eastAsia="zh-CN"/>
        </w:rPr>
        <w:t xml:space="preserve">The </w:t>
      </w:r>
      <w:r w:rsidR="00933832" w:rsidRPr="006B47AA">
        <w:rPr>
          <w:lang w:val="en-GB" w:eastAsia="zh-CN"/>
        </w:rPr>
        <w:t>Overall</w:t>
      </w:r>
      <w:r w:rsidR="00E508C8" w:rsidRPr="006B47AA">
        <w:rPr>
          <w:lang w:val="en-GB" w:eastAsia="zh-CN"/>
        </w:rPr>
        <w:t xml:space="preserve"> Success Rate</w:t>
      </w:r>
      <w:r w:rsidR="00865375" w:rsidRPr="006B47AA">
        <w:rPr>
          <w:lang w:val="en-GB" w:eastAsia="zh-CN"/>
        </w:rPr>
        <w:t xml:space="preserve">, denoted as </w:t>
      </w:r>
      <m:oMath>
        <m:sSub>
          <m:sSubPr>
            <m:ctrlPr>
              <w:rPr>
                <w:rFonts w:ascii="Cambria Math" w:hAnsi="Cambria Math"/>
                <w:lang w:val="en-GB"/>
              </w:rPr>
            </m:ctrlPr>
          </m:sSubPr>
          <m:e>
            <m:r>
              <m:rPr>
                <m:sty m:val="p"/>
              </m:rPr>
              <w:rPr>
                <w:rFonts w:ascii="Cambria Math" w:hAnsi="Cambria Math"/>
                <w:lang w:val="en-GB"/>
              </w:rPr>
              <m:t>η</m:t>
            </m:r>
          </m:e>
          <m:sub>
            <m:r>
              <m:rPr>
                <m:sty m:val="p"/>
              </m:rPr>
              <w:rPr>
                <w:rFonts w:ascii="Cambria Math" w:hAnsi="Cambria Math"/>
                <w:lang w:val="en-GB"/>
              </w:rPr>
              <m:t>OSR</m:t>
            </m:r>
          </m:sub>
        </m:sSub>
      </m:oMath>
      <w:r w:rsidR="00865375" w:rsidRPr="006B47AA">
        <w:rPr>
          <w:lang w:val="en-GB"/>
        </w:rPr>
        <w:t>,</w:t>
      </w:r>
      <w:r w:rsidRPr="006B47AA">
        <w:rPr>
          <w:lang w:val="en-GB"/>
        </w:rPr>
        <w:t xml:space="preserve"> and</w:t>
      </w:r>
      <w:r w:rsidR="00E508C8" w:rsidRPr="006B47AA">
        <w:rPr>
          <w:lang w:val="en-GB" w:eastAsia="zh-CN"/>
        </w:rPr>
        <w:t xml:space="preserve"> </w:t>
      </w:r>
      <w:r w:rsidRPr="006B47AA">
        <w:rPr>
          <w:lang w:val="en-GB" w:eastAsia="zh-CN"/>
        </w:rPr>
        <w:t xml:space="preserve">defined as the ratio between ‘successful </w:t>
      </w:r>
      <w:proofErr w:type="spellStart"/>
      <w:r w:rsidRPr="006B47AA">
        <w:rPr>
          <w:lang w:val="en-GB" w:eastAsia="zh-CN"/>
        </w:rPr>
        <w:t>datasets’</w:t>
      </w:r>
      <w:proofErr w:type="spellEnd"/>
      <w:r w:rsidRPr="006B47AA">
        <w:rPr>
          <w:lang w:val="en-GB" w:eastAsia="zh-CN"/>
        </w:rPr>
        <w:t xml:space="preserve"> </w:t>
      </w:r>
      <w:r w:rsidR="002E5578" w:rsidRPr="006B47AA">
        <w:rPr>
          <w:lang w:val="en-GB" w:eastAsia="zh-CN"/>
        </w:rPr>
        <w:t>out</w:t>
      </w:r>
      <w:r w:rsidRPr="006B47AA">
        <w:rPr>
          <w:lang w:val="en-GB" w:eastAsia="zh-CN"/>
        </w:rPr>
        <w:t xml:space="preserve"> of 20 datasets at this data size, </w:t>
      </w:r>
      <w:r w:rsidR="00E508C8" w:rsidRPr="006B47AA">
        <w:rPr>
          <w:lang w:val="en-GB" w:eastAsia="zh-CN"/>
        </w:rPr>
        <w:t xml:space="preserve">is introduced </w:t>
      </w:r>
      <w:r w:rsidRPr="006B47AA">
        <w:rPr>
          <w:lang w:val="en-GB" w:eastAsia="zh-CN"/>
        </w:rPr>
        <w:t xml:space="preserve">as a metric </w:t>
      </w:r>
      <w:r w:rsidR="00E508C8" w:rsidRPr="006B47AA">
        <w:rPr>
          <w:lang w:val="en-GB" w:eastAsia="zh-CN"/>
        </w:rPr>
        <w:t>to quantify the efficiency in identifying the true model structure</w:t>
      </w:r>
      <w:r w:rsidR="00865375" w:rsidRPr="006B47AA">
        <w:rPr>
          <w:lang w:val="en-GB" w:eastAsia="zh-CN"/>
        </w:rPr>
        <w:t>.</w:t>
      </w:r>
      <w:r w:rsidR="0007180D" w:rsidRPr="006B47AA">
        <w:rPr>
          <w:lang w:val="en-GB" w:eastAsia="zh-CN"/>
        </w:rPr>
        <w:t xml:space="preserve"> </w:t>
      </w:r>
    </w:p>
    <w:p w14:paraId="0F1E3409" w14:textId="6F243029" w:rsidR="00DA79A5" w:rsidRDefault="00EE50C3" w:rsidP="00DA79A5">
      <w:pPr>
        <w:pStyle w:val="Els-body-text"/>
        <w:rPr>
          <w:lang w:val="en-GB" w:eastAsia="zh-CN"/>
        </w:rPr>
      </w:pPr>
      <w:r w:rsidRPr="006B47AA">
        <w:rPr>
          <w:lang w:val="en-GB" w:eastAsia="zh-CN"/>
        </w:rPr>
        <w:t xml:space="preserve">Table 1 shows that the original SINDy only succeeds in identifying the true model within </w:t>
      </w:r>
      <w:r w:rsidR="004340FC">
        <w:rPr>
          <w:lang w:val="en-GB" w:eastAsia="zh-CN"/>
        </w:rPr>
        <w:t>a</w:t>
      </w:r>
      <w:r w:rsidRPr="006B47AA">
        <w:rPr>
          <w:lang w:val="en-GB" w:eastAsia="zh-CN"/>
        </w:rPr>
        <w:t xml:space="preserve"> dataset obtained </w:t>
      </w:r>
      <w:r w:rsidR="004764E7">
        <w:rPr>
          <w:lang w:val="en-GB" w:eastAsia="zh-CN"/>
        </w:rPr>
        <w:t>from</w:t>
      </w:r>
      <w:r w:rsidRPr="006B47AA">
        <w:rPr>
          <w:lang w:val="en-GB" w:eastAsia="zh-CN"/>
        </w:rPr>
        <w:t xml:space="preserve"> 10 experiments, while fails in all datasets obtained from 5, 15, and 20 experiments. Conversely, DoE-SINDy consistently succeeds with nearly all datasets at the data sizes of 10, 15 and 20 experiments. This observation reveals that by identifying models iteratively can significantly enhance the efficiency of identifying the true model</w:t>
      </w:r>
      <w:r w:rsidR="004D136D">
        <w:rPr>
          <w:lang w:val="en-GB" w:eastAsia="zh-CN"/>
        </w:rPr>
        <w:t xml:space="preserve">. Additionally, it </w:t>
      </w:r>
      <w:r w:rsidRPr="006B47AA">
        <w:rPr>
          <w:lang w:val="en-GB" w:eastAsia="zh-CN"/>
        </w:rPr>
        <w:t xml:space="preserve">is beneficial to explore more sequences before conducting additional experiments. </w:t>
      </w:r>
    </w:p>
    <w:p w14:paraId="2EA93F52" w14:textId="77777777" w:rsidR="00C5788F" w:rsidRDefault="00C5788F" w:rsidP="00DA79A5">
      <w:pPr>
        <w:pStyle w:val="Els-body-text"/>
        <w:rPr>
          <w:lang w:val="en-GB" w:eastAsia="zh-CN"/>
        </w:rPr>
      </w:pPr>
    </w:p>
    <w:p w14:paraId="437CBB94" w14:textId="77777777" w:rsidR="00C5788F" w:rsidRDefault="00C5788F" w:rsidP="00DA79A5">
      <w:pPr>
        <w:pStyle w:val="Els-body-text"/>
        <w:rPr>
          <w:lang w:val="en-GB" w:eastAsia="zh-CN"/>
        </w:rPr>
      </w:pPr>
    </w:p>
    <w:p w14:paraId="4086B9C2" w14:textId="77777777" w:rsidR="00C5788F" w:rsidRDefault="00C5788F" w:rsidP="00DA79A5">
      <w:pPr>
        <w:pStyle w:val="Els-body-text"/>
        <w:rPr>
          <w:lang w:val="en-GB" w:eastAsia="zh-CN"/>
        </w:rPr>
      </w:pPr>
    </w:p>
    <w:p w14:paraId="44AF64B4" w14:textId="77777777" w:rsidR="000A0D51" w:rsidRPr="006B47AA" w:rsidRDefault="000A0D51" w:rsidP="00BF477D">
      <w:pPr>
        <w:pStyle w:val="Els-body-text"/>
        <w:spacing w:before="120" w:after="120"/>
        <w:rPr>
          <w:lang w:val="en-GB"/>
        </w:rPr>
      </w:pPr>
      <w:r w:rsidRPr="006B47AA">
        <w:rPr>
          <w:lang w:val="en-GB"/>
        </w:rPr>
        <w:lastRenderedPageBreak/>
        <w:t xml:space="preserve">Table 1 Comparison of the efficiency in identifying the true model between original SINDy and DoE-SINDy.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783"/>
        <w:gridCol w:w="1216"/>
      </w:tblGrid>
      <w:tr w:rsidR="000A0D51" w:rsidRPr="006B47AA" w14:paraId="5179568C" w14:textId="77777777" w:rsidTr="002666FA">
        <w:trPr>
          <w:jc w:val="center"/>
        </w:trPr>
        <w:tc>
          <w:tcPr>
            <w:tcW w:w="0" w:type="auto"/>
            <w:vMerge w:val="restart"/>
            <w:tcBorders>
              <w:top w:val="single" w:sz="12" w:space="0" w:color="auto"/>
            </w:tcBorders>
            <w:vAlign w:val="center"/>
          </w:tcPr>
          <w:p w14:paraId="17B73146" w14:textId="77777777" w:rsidR="000A0D51" w:rsidRPr="006B47AA" w:rsidRDefault="000A0D51" w:rsidP="002666FA">
            <w:pPr>
              <w:pStyle w:val="Els-body-text"/>
              <w:jc w:val="center"/>
              <w:rPr>
                <w:lang w:val="en-GB"/>
              </w:rPr>
            </w:pPr>
            <w:r w:rsidRPr="006B47AA">
              <w:rPr>
                <w:lang w:val="en-GB"/>
              </w:rPr>
              <w:t>Number of Experiments</w:t>
            </w:r>
          </w:p>
        </w:tc>
        <w:tc>
          <w:tcPr>
            <w:tcW w:w="0" w:type="auto"/>
            <w:gridSpan w:val="2"/>
            <w:tcBorders>
              <w:top w:val="single" w:sz="12" w:space="0" w:color="auto"/>
            </w:tcBorders>
            <w:vAlign w:val="center"/>
          </w:tcPr>
          <w:p w14:paraId="69EA02C6" w14:textId="77777777" w:rsidR="000A0D51" w:rsidRPr="006B47AA" w:rsidRDefault="003D5E8D" w:rsidP="002666FA">
            <w:pPr>
              <w:pStyle w:val="Els-body-text"/>
              <w:jc w:val="center"/>
              <w:rPr>
                <w:lang w:val="en-GB"/>
              </w:rPr>
            </w:pPr>
            <m:oMathPara>
              <m:oMath>
                <m:sSub>
                  <m:sSubPr>
                    <m:ctrlPr>
                      <w:rPr>
                        <w:rFonts w:ascii="Cambria Math" w:hAnsi="Cambria Math"/>
                        <w:lang w:val="en-GB"/>
                      </w:rPr>
                    </m:ctrlPr>
                  </m:sSubPr>
                  <m:e>
                    <m:r>
                      <m:rPr>
                        <m:sty m:val="p"/>
                      </m:rPr>
                      <w:rPr>
                        <w:rFonts w:ascii="Cambria Math" w:hAnsi="Cambria Math"/>
                        <w:lang w:val="en-GB"/>
                      </w:rPr>
                      <m:t>η</m:t>
                    </m:r>
                  </m:e>
                  <m:sub>
                    <m:r>
                      <m:rPr>
                        <m:sty m:val="p"/>
                      </m:rPr>
                      <w:rPr>
                        <w:rFonts w:ascii="Cambria Math" w:hAnsi="Cambria Math"/>
                        <w:lang w:val="en-GB"/>
                      </w:rPr>
                      <m:t>OSR</m:t>
                    </m:r>
                  </m:sub>
                </m:sSub>
                <m:r>
                  <w:rPr>
                    <w:rFonts w:ascii="Cambria Math" w:hAnsi="Cambria Math"/>
                    <w:lang w:val="en-GB"/>
                  </w:rPr>
                  <m:t>/100%</m:t>
                </m:r>
              </m:oMath>
            </m:oMathPara>
          </w:p>
        </w:tc>
      </w:tr>
      <w:tr w:rsidR="000A0D51" w:rsidRPr="006B47AA" w14:paraId="1F1961B5" w14:textId="77777777" w:rsidTr="002666FA">
        <w:trPr>
          <w:jc w:val="center"/>
        </w:trPr>
        <w:tc>
          <w:tcPr>
            <w:tcW w:w="0" w:type="auto"/>
            <w:vMerge/>
            <w:tcBorders>
              <w:bottom w:val="single" w:sz="4" w:space="0" w:color="auto"/>
            </w:tcBorders>
            <w:vAlign w:val="center"/>
          </w:tcPr>
          <w:p w14:paraId="36FA12ED" w14:textId="77777777" w:rsidR="000A0D51" w:rsidRPr="006B47AA" w:rsidRDefault="000A0D51" w:rsidP="002666FA">
            <w:pPr>
              <w:pStyle w:val="Els-body-text"/>
              <w:jc w:val="center"/>
              <w:rPr>
                <w:lang w:val="en-GB"/>
              </w:rPr>
            </w:pPr>
          </w:p>
        </w:tc>
        <w:tc>
          <w:tcPr>
            <w:tcW w:w="0" w:type="auto"/>
            <w:tcBorders>
              <w:bottom w:val="single" w:sz="4" w:space="0" w:color="auto"/>
            </w:tcBorders>
            <w:vAlign w:val="center"/>
          </w:tcPr>
          <w:p w14:paraId="32B4CE50" w14:textId="77777777" w:rsidR="000A0D51" w:rsidRPr="006B47AA" w:rsidRDefault="000A0D51" w:rsidP="002666FA">
            <w:pPr>
              <w:pStyle w:val="Els-body-text"/>
              <w:jc w:val="center"/>
              <w:rPr>
                <w:lang w:val="en-GB"/>
              </w:rPr>
            </w:pPr>
            <w:r w:rsidRPr="006B47AA">
              <w:rPr>
                <w:lang w:val="en-GB"/>
              </w:rPr>
              <w:t>SINDy</w:t>
            </w:r>
          </w:p>
        </w:tc>
        <w:tc>
          <w:tcPr>
            <w:tcW w:w="0" w:type="auto"/>
            <w:tcBorders>
              <w:bottom w:val="single" w:sz="4" w:space="0" w:color="auto"/>
            </w:tcBorders>
            <w:vAlign w:val="center"/>
          </w:tcPr>
          <w:p w14:paraId="5D5BA016" w14:textId="77777777" w:rsidR="000A0D51" w:rsidRPr="006B47AA" w:rsidRDefault="000A0D51" w:rsidP="002666FA">
            <w:pPr>
              <w:pStyle w:val="Els-body-text"/>
              <w:jc w:val="center"/>
              <w:rPr>
                <w:lang w:val="en-GB"/>
              </w:rPr>
            </w:pPr>
            <w:r w:rsidRPr="006B47AA">
              <w:rPr>
                <w:lang w:val="en-GB"/>
              </w:rPr>
              <w:t>DoE-SINDy</w:t>
            </w:r>
          </w:p>
        </w:tc>
      </w:tr>
      <w:tr w:rsidR="000A0D51" w:rsidRPr="006B47AA" w14:paraId="6DE7F9DB" w14:textId="77777777" w:rsidTr="002666FA">
        <w:trPr>
          <w:jc w:val="center"/>
        </w:trPr>
        <w:tc>
          <w:tcPr>
            <w:tcW w:w="0" w:type="auto"/>
            <w:tcBorders>
              <w:top w:val="single" w:sz="4" w:space="0" w:color="auto"/>
            </w:tcBorders>
            <w:vAlign w:val="center"/>
          </w:tcPr>
          <w:p w14:paraId="2BC61DF1" w14:textId="77777777" w:rsidR="000A0D51" w:rsidRPr="006B47AA" w:rsidRDefault="000A0D51" w:rsidP="002666FA">
            <w:pPr>
              <w:pStyle w:val="Els-body-text"/>
              <w:jc w:val="center"/>
              <w:rPr>
                <w:lang w:val="en-GB"/>
              </w:rPr>
            </w:pPr>
            <w:r w:rsidRPr="006B47AA">
              <w:rPr>
                <w:lang w:val="en-GB"/>
              </w:rPr>
              <w:t>20</w:t>
            </w:r>
          </w:p>
        </w:tc>
        <w:tc>
          <w:tcPr>
            <w:tcW w:w="0" w:type="auto"/>
            <w:tcBorders>
              <w:top w:val="single" w:sz="4" w:space="0" w:color="auto"/>
            </w:tcBorders>
            <w:vAlign w:val="center"/>
          </w:tcPr>
          <w:p w14:paraId="6A778170" w14:textId="77777777" w:rsidR="000A0D51" w:rsidRPr="006B47AA" w:rsidRDefault="000A0D51" w:rsidP="002666FA">
            <w:pPr>
              <w:pStyle w:val="Els-body-text"/>
              <w:jc w:val="center"/>
              <w:rPr>
                <w:lang w:val="en-GB"/>
              </w:rPr>
            </w:pPr>
            <w:r w:rsidRPr="006B47AA">
              <w:rPr>
                <w:lang w:val="en-GB"/>
              </w:rPr>
              <w:t>0</w:t>
            </w:r>
          </w:p>
        </w:tc>
        <w:tc>
          <w:tcPr>
            <w:tcW w:w="0" w:type="auto"/>
            <w:tcBorders>
              <w:top w:val="single" w:sz="4" w:space="0" w:color="auto"/>
            </w:tcBorders>
            <w:vAlign w:val="center"/>
          </w:tcPr>
          <w:p w14:paraId="05AD8C31" w14:textId="77777777" w:rsidR="000A0D51" w:rsidRPr="006B47AA" w:rsidRDefault="000A0D51" w:rsidP="002666FA">
            <w:pPr>
              <w:pStyle w:val="Els-body-text"/>
              <w:jc w:val="center"/>
              <w:rPr>
                <w:lang w:val="en-GB"/>
              </w:rPr>
            </w:pPr>
            <w:r w:rsidRPr="006B47AA">
              <w:rPr>
                <w:lang w:val="en-GB"/>
              </w:rPr>
              <w:t>100</w:t>
            </w:r>
          </w:p>
        </w:tc>
      </w:tr>
      <w:tr w:rsidR="000A0D51" w:rsidRPr="006B47AA" w14:paraId="257607D4" w14:textId="77777777" w:rsidTr="002666FA">
        <w:trPr>
          <w:jc w:val="center"/>
        </w:trPr>
        <w:tc>
          <w:tcPr>
            <w:tcW w:w="0" w:type="auto"/>
            <w:vAlign w:val="center"/>
          </w:tcPr>
          <w:p w14:paraId="77694064" w14:textId="77777777" w:rsidR="000A0D51" w:rsidRPr="006B47AA" w:rsidRDefault="000A0D51" w:rsidP="002666FA">
            <w:pPr>
              <w:pStyle w:val="Els-body-text"/>
              <w:jc w:val="center"/>
              <w:rPr>
                <w:lang w:val="en-GB"/>
              </w:rPr>
            </w:pPr>
            <w:r w:rsidRPr="006B47AA">
              <w:rPr>
                <w:lang w:val="en-GB"/>
              </w:rPr>
              <w:t>15</w:t>
            </w:r>
          </w:p>
        </w:tc>
        <w:tc>
          <w:tcPr>
            <w:tcW w:w="0" w:type="auto"/>
            <w:vAlign w:val="center"/>
          </w:tcPr>
          <w:p w14:paraId="1BD823A8" w14:textId="77777777" w:rsidR="000A0D51" w:rsidRPr="006B47AA" w:rsidRDefault="000A0D51" w:rsidP="002666FA">
            <w:pPr>
              <w:pStyle w:val="Els-body-text"/>
              <w:jc w:val="center"/>
              <w:rPr>
                <w:lang w:val="en-GB"/>
              </w:rPr>
            </w:pPr>
            <w:r w:rsidRPr="006B47AA">
              <w:rPr>
                <w:lang w:val="en-GB"/>
              </w:rPr>
              <w:t>0</w:t>
            </w:r>
          </w:p>
        </w:tc>
        <w:tc>
          <w:tcPr>
            <w:tcW w:w="0" w:type="auto"/>
            <w:vAlign w:val="center"/>
          </w:tcPr>
          <w:p w14:paraId="4DDCAA17" w14:textId="77777777" w:rsidR="000A0D51" w:rsidRPr="006B47AA" w:rsidRDefault="000A0D51" w:rsidP="002666FA">
            <w:pPr>
              <w:pStyle w:val="Els-body-text"/>
              <w:jc w:val="center"/>
              <w:rPr>
                <w:lang w:val="en-GB"/>
              </w:rPr>
            </w:pPr>
            <w:r w:rsidRPr="006B47AA">
              <w:rPr>
                <w:lang w:val="en-GB"/>
              </w:rPr>
              <w:t>95</w:t>
            </w:r>
          </w:p>
        </w:tc>
      </w:tr>
      <w:tr w:rsidR="000A0D51" w:rsidRPr="006B47AA" w14:paraId="11448128" w14:textId="77777777" w:rsidTr="002666FA">
        <w:trPr>
          <w:jc w:val="center"/>
        </w:trPr>
        <w:tc>
          <w:tcPr>
            <w:tcW w:w="0" w:type="auto"/>
            <w:vAlign w:val="center"/>
          </w:tcPr>
          <w:p w14:paraId="3C1710D4" w14:textId="77777777" w:rsidR="000A0D51" w:rsidRPr="006B47AA" w:rsidRDefault="000A0D51" w:rsidP="002666FA">
            <w:pPr>
              <w:pStyle w:val="Els-body-text"/>
              <w:jc w:val="center"/>
              <w:rPr>
                <w:lang w:val="en-GB"/>
              </w:rPr>
            </w:pPr>
            <w:r w:rsidRPr="006B47AA">
              <w:rPr>
                <w:lang w:val="en-GB"/>
              </w:rPr>
              <w:t>10</w:t>
            </w:r>
          </w:p>
        </w:tc>
        <w:tc>
          <w:tcPr>
            <w:tcW w:w="0" w:type="auto"/>
            <w:vAlign w:val="center"/>
          </w:tcPr>
          <w:p w14:paraId="5BED736D" w14:textId="77777777" w:rsidR="000A0D51" w:rsidRPr="006B47AA" w:rsidRDefault="000A0D51" w:rsidP="002666FA">
            <w:pPr>
              <w:pStyle w:val="Els-body-text"/>
              <w:jc w:val="center"/>
              <w:rPr>
                <w:lang w:val="en-GB"/>
              </w:rPr>
            </w:pPr>
            <w:r w:rsidRPr="006B47AA">
              <w:rPr>
                <w:lang w:val="en-GB"/>
              </w:rPr>
              <w:t>5</w:t>
            </w:r>
          </w:p>
        </w:tc>
        <w:tc>
          <w:tcPr>
            <w:tcW w:w="0" w:type="auto"/>
            <w:vAlign w:val="center"/>
          </w:tcPr>
          <w:p w14:paraId="3F71F158" w14:textId="77777777" w:rsidR="000A0D51" w:rsidRPr="006B47AA" w:rsidRDefault="000A0D51" w:rsidP="002666FA">
            <w:pPr>
              <w:pStyle w:val="Els-body-text"/>
              <w:jc w:val="center"/>
              <w:rPr>
                <w:lang w:val="en-GB"/>
              </w:rPr>
            </w:pPr>
            <w:r w:rsidRPr="006B47AA">
              <w:rPr>
                <w:lang w:val="en-GB"/>
              </w:rPr>
              <w:t>95</w:t>
            </w:r>
          </w:p>
        </w:tc>
      </w:tr>
      <w:tr w:rsidR="000A0D51" w:rsidRPr="006B47AA" w14:paraId="7FCD950D" w14:textId="77777777" w:rsidTr="002666FA">
        <w:trPr>
          <w:jc w:val="center"/>
        </w:trPr>
        <w:tc>
          <w:tcPr>
            <w:tcW w:w="0" w:type="auto"/>
            <w:tcBorders>
              <w:bottom w:val="single" w:sz="12" w:space="0" w:color="auto"/>
            </w:tcBorders>
            <w:vAlign w:val="center"/>
          </w:tcPr>
          <w:p w14:paraId="0C1B9A40" w14:textId="77777777" w:rsidR="000A0D51" w:rsidRPr="006B47AA" w:rsidRDefault="000A0D51" w:rsidP="002666FA">
            <w:pPr>
              <w:pStyle w:val="Els-body-text"/>
              <w:jc w:val="center"/>
              <w:rPr>
                <w:lang w:val="en-GB"/>
              </w:rPr>
            </w:pPr>
            <w:r w:rsidRPr="006B47AA">
              <w:rPr>
                <w:lang w:val="en-GB"/>
              </w:rPr>
              <w:t>5</w:t>
            </w:r>
          </w:p>
        </w:tc>
        <w:tc>
          <w:tcPr>
            <w:tcW w:w="0" w:type="auto"/>
            <w:tcBorders>
              <w:bottom w:val="single" w:sz="12" w:space="0" w:color="auto"/>
            </w:tcBorders>
            <w:vAlign w:val="center"/>
          </w:tcPr>
          <w:p w14:paraId="19F93E01" w14:textId="77777777" w:rsidR="000A0D51" w:rsidRPr="006B47AA" w:rsidRDefault="000A0D51" w:rsidP="002666FA">
            <w:pPr>
              <w:pStyle w:val="Els-body-text"/>
              <w:jc w:val="center"/>
              <w:rPr>
                <w:lang w:val="en-GB"/>
              </w:rPr>
            </w:pPr>
            <w:r w:rsidRPr="006B47AA">
              <w:rPr>
                <w:lang w:val="en-GB"/>
              </w:rPr>
              <w:t>0</w:t>
            </w:r>
          </w:p>
        </w:tc>
        <w:tc>
          <w:tcPr>
            <w:tcW w:w="0" w:type="auto"/>
            <w:tcBorders>
              <w:bottom w:val="single" w:sz="12" w:space="0" w:color="auto"/>
            </w:tcBorders>
            <w:vAlign w:val="center"/>
          </w:tcPr>
          <w:p w14:paraId="09CC5B0C" w14:textId="77777777" w:rsidR="000A0D51" w:rsidRPr="006B47AA" w:rsidRDefault="000A0D51" w:rsidP="002666FA">
            <w:pPr>
              <w:pStyle w:val="Els-body-text"/>
              <w:jc w:val="center"/>
              <w:rPr>
                <w:lang w:val="en-GB"/>
              </w:rPr>
            </w:pPr>
            <w:r w:rsidRPr="006B47AA">
              <w:rPr>
                <w:lang w:val="en-GB"/>
              </w:rPr>
              <w:t>0</w:t>
            </w:r>
          </w:p>
        </w:tc>
      </w:tr>
    </w:tbl>
    <w:p w14:paraId="5D863CC4" w14:textId="5A405865" w:rsidR="00DA79A5" w:rsidRPr="006B47AA" w:rsidRDefault="00F9540A" w:rsidP="00F9540A">
      <w:pPr>
        <w:pStyle w:val="Els-1storder-head"/>
        <w:rPr>
          <w:lang w:val="en-GB"/>
        </w:rPr>
      </w:pPr>
      <w:r w:rsidRPr="006B47AA">
        <w:rPr>
          <w:lang w:val="en-GB"/>
        </w:rPr>
        <w:t>Conclusion</w:t>
      </w:r>
      <w:r w:rsidR="00433AA5" w:rsidRPr="006B47AA">
        <w:rPr>
          <w:lang w:val="en-GB"/>
        </w:rPr>
        <w:t>s</w:t>
      </w:r>
    </w:p>
    <w:p w14:paraId="3EC9B763" w14:textId="070E24AD" w:rsidR="00DA79A5" w:rsidRDefault="002E2A95" w:rsidP="0007534C">
      <w:pPr>
        <w:pStyle w:val="Els-body-text"/>
        <w:rPr>
          <w:lang w:val="en-GB"/>
        </w:rPr>
      </w:pPr>
      <w:r w:rsidRPr="006B47AA">
        <w:rPr>
          <w:lang w:val="en-GB"/>
        </w:rPr>
        <w:t xml:space="preserve">This research </w:t>
      </w:r>
      <w:r w:rsidR="0027166F" w:rsidRPr="006B47AA">
        <w:rPr>
          <w:lang w:val="en-GB"/>
        </w:rPr>
        <w:t xml:space="preserve">developed </w:t>
      </w:r>
      <w:r w:rsidR="00302DCB" w:rsidRPr="006B47AA">
        <w:rPr>
          <w:lang w:val="en-GB"/>
        </w:rPr>
        <w:t>a novel</w:t>
      </w:r>
      <w:r w:rsidRPr="006B47AA">
        <w:rPr>
          <w:lang w:val="en-GB"/>
        </w:rPr>
        <w:t xml:space="preserve"> model identification framework</w:t>
      </w:r>
      <w:r w:rsidR="0027166F" w:rsidRPr="006B47AA">
        <w:rPr>
          <w:lang w:val="en-GB"/>
        </w:rPr>
        <w:t xml:space="preserve"> (DoE-SINDy)</w:t>
      </w:r>
      <w:r w:rsidRPr="006B47AA">
        <w:rPr>
          <w:lang w:val="en-GB"/>
        </w:rPr>
        <w:t xml:space="preserve"> for automatically </w:t>
      </w:r>
      <w:r w:rsidR="006D17EC" w:rsidRPr="006B47AA">
        <w:rPr>
          <w:lang w:val="en-GB"/>
        </w:rPr>
        <w:t>generating</w:t>
      </w:r>
      <w:r w:rsidRPr="006B47AA">
        <w:rPr>
          <w:lang w:val="en-GB"/>
        </w:rPr>
        <w:t xml:space="preserve"> the most suitable kinetic model for dynamic</w:t>
      </w:r>
      <w:r w:rsidR="006D17EC" w:rsidRPr="006B47AA">
        <w:rPr>
          <w:lang w:val="en-GB"/>
        </w:rPr>
        <w:t xml:space="preserve"> processes in bio(chemical) systems. By combining </w:t>
      </w:r>
      <w:r w:rsidR="00AE1CED" w:rsidRPr="006B47AA">
        <w:rPr>
          <w:lang w:val="en-GB"/>
        </w:rPr>
        <w:t xml:space="preserve">iterative model generation via SINDy and model evaluation </w:t>
      </w:r>
      <w:r w:rsidR="0027166F" w:rsidRPr="006B47AA">
        <w:rPr>
          <w:lang w:val="en-GB"/>
        </w:rPr>
        <w:t xml:space="preserve">based </w:t>
      </w:r>
      <w:r w:rsidR="00AE1CED" w:rsidRPr="006B47AA">
        <w:rPr>
          <w:lang w:val="en-GB"/>
        </w:rPr>
        <w:t xml:space="preserve">on identifiability, goodness-of-fit and parameter precision, </w:t>
      </w:r>
      <w:r w:rsidR="009904E9" w:rsidRPr="006B47AA">
        <w:rPr>
          <w:lang w:val="en-GB"/>
        </w:rPr>
        <w:t>DoE-SINDy</w:t>
      </w:r>
      <w:r w:rsidR="009735E8" w:rsidRPr="006B47AA">
        <w:rPr>
          <w:lang w:val="en-GB"/>
        </w:rPr>
        <w:t xml:space="preserve"> </w:t>
      </w:r>
      <w:r w:rsidR="005E1608" w:rsidRPr="006B47AA">
        <w:rPr>
          <w:lang w:val="en-GB"/>
        </w:rPr>
        <w:t>overcomes the challenges associated with limited</w:t>
      </w:r>
      <w:r w:rsidR="003B3B3C" w:rsidRPr="006B47AA">
        <w:rPr>
          <w:lang w:val="en-GB"/>
        </w:rPr>
        <w:t xml:space="preserve"> and </w:t>
      </w:r>
      <w:r w:rsidR="005E1608" w:rsidRPr="006B47AA">
        <w:rPr>
          <w:lang w:val="en-GB"/>
        </w:rPr>
        <w:t>noisy observations</w:t>
      </w:r>
      <w:r w:rsidR="003B3B3C" w:rsidRPr="006B47AA">
        <w:rPr>
          <w:lang w:val="en-GB"/>
        </w:rPr>
        <w:t xml:space="preserve"> and lack of </w:t>
      </w:r>
      <w:r w:rsidR="001F38FA" w:rsidRPr="006B47AA">
        <w:rPr>
          <w:lang w:val="en-GB"/>
        </w:rPr>
        <w:t>the full expression of a model</w:t>
      </w:r>
      <w:r w:rsidR="0027166F" w:rsidRPr="006B47AA">
        <w:rPr>
          <w:lang w:val="en-GB"/>
        </w:rPr>
        <w:t xml:space="preserve">, </w:t>
      </w:r>
      <w:r w:rsidR="00302DCB" w:rsidRPr="006B47AA">
        <w:rPr>
          <w:lang w:val="en-GB"/>
        </w:rPr>
        <w:t>significantly enhancing</w:t>
      </w:r>
      <w:r w:rsidR="009735E8" w:rsidRPr="006B47AA">
        <w:rPr>
          <w:lang w:val="en-GB"/>
        </w:rPr>
        <w:t xml:space="preserve"> the </w:t>
      </w:r>
      <w:r w:rsidR="0027166F" w:rsidRPr="006B47AA">
        <w:rPr>
          <w:lang w:val="en-GB"/>
        </w:rPr>
        <w:t xml:space="preserve">model identification </w:t>
      </w:r>
      <w:r w:rsidR="009735E8" w:rsidRPr="006B47AA">
        <w:rPr>
          <w:lang w:val="en-GB"/>
        </w:rPr>
        <w:t xml:space="preserve">efficiency </w:t>
      </w:r>
      <w:r w:rsidR="0027166F" w:rsidRPr="006B47AA">
        <w:rPr>
          <w:lang w:val="en-GB"/>
        </w:rPr>
        <w:t>of the</w:t>
      </w:r>
      <w:r w:rsidR="0024060A" w:rsidRPr="006B47AA">
        <w:rPr>
          <w:lang w:val="en-GB"/>
        </w:rPr>
        <w:t xml:space="preserve"> original SI</w:t>
      </w:r>
      <w:r w:rsidR="00BD2B94" w:rsidRPr="006B47AA">
        <w:rPr>
          <w:lang w:val="en-GB"/>
        </w:rPr>
        <w:t>NDy</w:t>
      </w:r>
      <w:r w:rsidR="00215385" w:rsidRPr="006B47AA">
        <w:rPr>
          <w:lang w:val="en-GB"/>
        </w:rPr>
        <w:t xml:space="preserve">. </w:t>
      </w:r>
      <w:r w:rsidR="00B47739" w:rsidRPr="006B47AA">
        <w:rPr>
          <w:lang w:val="en-GB"/>
        </w:rPr>
        <w:t xml:space="preserve">DoE-SINDy </w:t>
      </w:r>
      <w:r w:rsidR="00F20418" w:rsidRPr="006B47AA">
        <w:rPr>
          <w:lang w:val="en-GB"/>
        </w:rPr>
        <w:t>can be a promising</w:t>
      </w:r>
      <w:r w:rsidR="00B47739" w:rsidRPr="006B47AA">
        <w:rPr>
          <w:lang w:val="en-GB"/>
        </w:rPr>
        <w:t xml:space="preserve"> tool for the identification of reliable and robust kinetic models in bio</w:t>
      </w:r>
      <w:r w:rsidR="00385F7C" w:rsidRPr="006B47AA">
        <w:rPr>
          <w:lang w:val="en-GB"/>
        </w:rPr>
        <w:t>(chemical) reaction systems</w:t>
      </w:r>
      <w:r w:rsidR="0027166F" w:rsidRPr="006B47AA">
        <w:rPr>
          <w:lang w:val="en-GB"/>
        </w:rPr>
        <w:t xml:space="preserve"> with</w:t>
      </w:r>
      <w:r w:rsidR="009959DB">
        <w:rPr>
          <w:lang w:val="en-GB"/>
        </w:rPr>
        <w:t xml:space="preserve"> a</w:t>
      </w:r>
      <w:r w:rsidR="0027166F" w:rsidRPr="006B47AA">
        <w:rPr>
          <w:lang w:val="en-GB"/>
        </w:rPr>
        <w:t xml:space="preserve"> limited number of runs</w:t>
      </w:r>
      <w:r w:rsidR="00385F7C" w:rsidRPr="006B47AA">
        <w:rPr>
          <w:lang w:val="en-GB"/>
        </w:rPr>
        <w:t xml:space="preserve">. </w:t>
      </w:r>
    </w:p>
    <w:p w14:paraId="2D895FB9" w14:textId="6A64AE56" w:rsidR="0032088C" w:rsidRDefault="00DD03D6" w:rsidP="00954C72">
      <w:pPr>
        <w:pStyle w:val="Els-reference-head"/>
        <w:rPr>
          <w:lang w:val="en-GB"/>
        </w:rPr>
      </w:pPr>
      <w:r>
        <w:rPr>
          <w:lang w:val="en-GB"/>
        </w:rPr>
        <w:t>Acknowledgements</w:t>
      </w:r>
    </w:p>
    <w:p w14:paraId="16EAF542" w14:textId="46E47900" w:rsidR="00854178" w:rsidRPr="006B47AA" w:rsidRDefault="00DD03D6" w:rsidP="00EB75CD">
      <w:pPr>
        <w:pStyle w:val="Els-body-text"/>
        <w:rPr>
          <w:lang w:val="en-GB"/>
        </w:rPr>
      </w:pPr>
      <w:r>
        <w:rPr>
          <w:lang w:val="en-GB"/>
        </w:rPr>
        <w:t>The author</w:t>
      </w:r>
      <w:r w:rsidR="00950B86">
        <w:rPr>
          <w:lang w:val="en-GB"/>
        </w:rPr>
        <w:t xml:space="preserve">s gratefully acknowledge the </w:t>
      </w:r>
      <w:r w:rsidR="00954C72">
        <w:rPr>
          <w:lang w:val="en-GB"/>
        </w:rPr>
        <w:t xml:space="preserve">funding </w:t>
      </w:r>
      <w:r w:rsidR="00950B86">
        <w:rPr>
          <w:lang w:val="en-GB"/>
        </w:rPr>
        <w:t xml:space="preserve">support </w:t>
      </w:r>
      <w:r w:rsidR="00954C72">
        <w:rPr>
          <w:lang w:val="en-GB"/>
        </w:rPr>
        <w:t xml:space="preserve">from </w:t>
      </w:r>
      <w:r w:rsidR="00473EF2">
        <w:rPr>
          <w:lang w:val="en-GB"/>
        </w:rPr>
        <w:t xml:space="preserve">UCL EPSRC DTP </w:t>
      </w:r>
      <w:r w:rsidR="00473EF2" w:rsidRPr="005E4064">
        <w:rPr>
          <w:lang w:val="en-GB"/>
        </w:rPr>
        <w:t>(</w:t>
      </w:r>
      <w:r w:rsidR="009142BC" w:rsidRPr="005E4064">
        <w:rPr>
          <w:lang w:val="en-GB"/>
        </w:rPr>
        <w:t>EP/R513143/1 and EP/W524335/1</w:t>
      </w:r>
      <w:r w:rsidR="00473EF2" w:rsidRPr="005E4064">
        <w:rPr>
          <w:lang w:val="en-GB"/>
        </w:rPr>
        <w:t>)</w:t>
      </w:r>
      <w:r w:rsidR="00954C72" w:rsidRPr="005E4064">
        <w:rPr>
          <w:lang w:val="en-GB"/>
        </w:rPr>
        <w:t>.</w:t>
      </w:r>
    </w:p>
    <w:p w14:paraId="52CF9221" w14:textId="63DA79D5" w:rsidR="00A47C42" w:rsidRPr="000F2CDB" w:rsidRDefault="008D2649" w:rsidP="000F2CDB">
      <w:pPr>
        <w:pStyle w:val="Els-reference-head"/>
        <w:rPr>
          <w:lang w:val="en-GB"/>
        </w:rPr>
      </w:pPr>
      <w:r w:rsidRPr="006B47AA">
        <w:rPr>
          <w:lang w:val="en-GB"/>
        </w:rPr>
        <w:t>References</w:t>
      </w:r>
    </w:p>
    <w:p w14:paraId="33BE017F" w14:textId="77777777" w:rsidR="00A47C42" w:rsidRDefault="00A47C42" w:rsidP="00A47C42">
      <w:pPr>
        <w:pStyle w:val="Els-referenceno-number"/>
      </w:pPr>
      <w:r w:rsidRPr="00A47C42">
        <w:t>S.P. Asprey</w:t>
      </w:r>
      <w:r>
        <w:t xml:space="preserve"> </w:t>
      </w:r>
      <w:r w:rsidRPr="00A47C42">
        <w:t xml:space="preserve">and </w:t>
      </w:r>
      <w:r>
        <w:t xml:space="preserve">S. </w:t>
      </w:r>
      <w:r w:rsidRPr="00A47C42">
        <w:t>Macchietto, 2000. Statistical tools for optimal dynamic model building. Computers &amp; Chemical Engineering, 24(2-7), pp.1261-1267.</w:t>
      </w:r>
    </w:p>
    <w:p w14:paraId="17E7DCEB" w14:textId="0081B03C" w:rsidR="00BF3A47" w:rsidRDefault="00BF3A47" w:rsidP="00A47C42">
      <w:pPr>
        <w:pStyle w:val="Els-referenceno-number"/>
      </w:pPr>
      <w:r w:rsidRPr="00BF3A47">
        <w:t>S.L.</w:t>
      </w:r>
      <w:r w:rsidR="000F2CDB" w:rsidRPr="000F2CDB">
        <w:t xml:space="preserve"> </w:t>
      </w:r>
      <w:r w:rsidR="000F2CDB" w:rsidRPr="00BF3A47">
        <w:t>Brunton</w:t>
      </w:r>
      <w:r w:rsidRPr="00BF3A47">
        <w:t xml:space="preserve">, </w:t>
      </w:r>
      <w:r w:rsidR="000F2CDB" w:rsidRPr="00BF3A47">
        <w:t xml:space="preserve">J.L. </w:t>
      </w:r>
      <w:r w:rsidRPr="00BF3A47">
        <w:t xml:space="preserve">Proctor, and </w:t>
      </w:r>
      <w:r w:rsidR="000F2CDB" w:rsidRPr="00BF3A47">
        <w:t>J.N.</w:t>
      </w:r>
      <w:r w:rsidR="000F2CDB">
        <w:t xml:space="preserve"> </w:t>
      </w:r>
      <w:r w:rsidRPr="00BF3A47">
        <w:t>Kutz, 2016. Discovering governing equations from data by sparse identification of nonlinear dynamical systems. Proceedings of the national academy of sciences, 113(15), pp.3932-3937.</w:t>
      </w:r>
    </w:p>
    <w:p w14:paraId="7714B287" w14:textId="5FFFF81F" w:rsidR="00592E9F" w:rsidRDefault="00630394" w:rsidP="00A47C42">
      <w:pPr>
        <w:pStyle w:val="Els-referenceno-number"/>
      </w:pPr>
      <w:r w:rsidRPr="00592E9F">
        <w:t>A.</w:t>
      </w:r>
      <w:r>
        <w:t xml:space="preserve"> </w:t>
      </w:r>
      <w:r w:rsidR="00592E9F" w:rsidRPr="00592E9F">
        <w:t xml:space="preserve">Chakraborty, </w:t>
      </w:r>
      <w:r w:rsidRPr="00592E9F">
        <w:t>A.</w:t>
      </w:r>
      <w:r>
        <w:t xml:space="preserve"> </w:t>
      </w:r>
      <w:r w:rsidR="00592E9F" w:rsidRPr="00592E9F">
        <w:t xml:space="preserve">Sivaram, and </w:t>
      </w:r>
      <w:r w:rsidRPr="00592E9F">
        <w:t>V.</w:t>
      </w:r>
      <w:r>
        <w:t xml:space="preserve"> </w:t>
      </w:r>
      <w:r w:rsidR="00592E9F" w:rsidRPr="00592E9F">
        <w:t>Venkatasubramanian, 2021. AI-DARWIN: A first principles-based model discovery engine using machine learning. Computers &amp; Chemical Engineering, 154, p.107470.</w:t>
      </w:r>
    </w:p>
    <w:p w14:paraId="580599DC" w14:textId="33E692E5" w:rsidR="009E332D" w:rsidRDefault="009E332D" w:rsidP="009E332D">
      <w:pPr>
        <w:pStyle w:val="Els-referenceno-number"/>
      </w:pPr>
      <w:r w:rsidRPr="002F1A96">
        <w:t>G.</w:t>
      </w:r>
      <w:r>
        <w:t xml:space="preserve"> </w:t>
      </w:r>
      <w:r w:rsidRPr="002F1A96">
        <w:t xml:space="preserve">Franceschini and </w:t>
      </w:r>
      <w:r>
        <w:t xml:space="preserve">S., </w:t>
      </w:r>
      <w:r w:rsidRPr="002F1A96">
        <w:t>Macchietto, 2008. Model-based design of experiments for parameter precision: State of the art. Chemical Engineering Science, 63(19), pp.4846-4872.</w:t>
      </w:r>
    </w:p>
    <w:p w14:paraId="2B576EBB" w14:textId="0378307D" w:rsidR="005D27A3" w:rsidRDefault="00630394" w:rsidP="00A47C42">
      <w:pPr>
        <w:pStyle w:val="Els-referenceno-number"/>
      </w:pPr>
      <w:r w:rsidRPr="005D27A3">
        <w:t>A.A.</w:t>
      </w:r>
      <w:r>
        <w:t xml:space="preserve"> </w:t>
      </w:r>
      <w:r w:rsidR="005D27A3" w:rsidRPr="005D27A3">
        <w:t xml:space="preserve">Kaptanoglu, </w:t>
      </w:r>
      <w:r w:rsidRPr="005D27A3">
        <w:t>B.M.</w:t>
      </w:r>
      <w:r>
        <w:t xml:space="preserve"> </w:t>
      </w:r>
      <w:r w:rsidR="005D27A3" w:rsidRPr="005D27A3">
        <w:t xml:space="preserve">de Silva, </w:t>
      </w:r>
      <w:r w:rsidRPr="005D27A3">
        <w:t>U.</w:t>
      </w:r>
      <w:r>
        <w:t xml:space="preserve"> </w:t>
      </w:r>
      <w:r w:rsidR="005D27A3" w:rsidRPr="005D27A3">
        <w:t xml:space="preserve">Fasel, </w:t>
      </w:r>
      <w:r w:rsidRPr="005D27A3">
        <w:t>K.</w:t>
      </w:r>
      <w:r>
        <w:t xml:space="preserve"> </w:t>
      </w:r>
      <w:r w:rsidR="005D27A3" w:rsidRPr="005D27A3">
        <w:t xml:space="preserve">Kaheman, </w:t>
      </w:r>
      <w:r w:rsidRPr="005D27A3">
        <w:t>A.J.</w:t>
      </w:r>
      <w:r>
        <w:t xml:space="preserve"> </w:t>
      </w:r>
      <w:r w:rsidR="005D27A3" w:rsidRPr="005D27A3">
        <w:t xml:space="preserve">Goldschmidt, </w:t>
      </w:r>
      <w:r w:rsidRPr="005D27A3">
        <w:t>J.L.</w:t>
      </w:r>
      <w:r>
        <w:t xml:space="preserve"> </w:t>
      </w:r>
      <w:r w:rsidR="005D27A3" w:rsidRPr="005D27A3">
        <w:t xml:space="preserve">Callaham, </w:t>
      </w:r>
      <w:r w:rsidRPr="005D27A3">
        <w:t>C.B.</w:t>
      </w:r>
      <w:r w:rsidR="000459A9">
        <w:t xml:space="preserve"> </w:t>
      </w:r>
      <w:r w:rsidR="005D27A3" w:rsidRPr="005D27A3">
        <w:t xml:space="preserve">Delahunt, </w:t>
      </w:r>
      <w:r w:rsidR="000459A9" w:rsidRPr="005D27A3">
        <w:t xml:space="preserve">Z.G. </w:t>
      </w:r>
      <w:r w:rsidR="005D27A3" w:rsidRPr="005D27A3">
        <w:t xml:space="preserve">Nicolaou, </w:t>
      </w:r>
      <w:r w:rsidR="000459A9" w:rsidRPr="005D27A3">
        <w:t>K.</w:t>
      </w:r>
      <w:r w:rsidR="000459A9">
        <w:t xml:space="preserve"> </w:t>
      </w:r>
      <w:r w:rsidR="005D27A3" w:rsidRPr="005D27A3">
        <w:t xml:space="preserve">Champion, </w:t>
      </w:r>
      <w:r w:rsidR="000459A9" w:rsidRPr="005D27A3">
        <w:t xml:space="preserve">J.C. </w:t>
      </w:r>
      <w:r w:rsidR="005D27A3" w:rsidRPr="005D27A3">
        <w:t xml:space="preserve">Loiseau, and </w:t>
      </w:r>
      <w:r w:rsidR="000459A9" w:rsidRPr="005D27A3">
        <w:t xml:space="preserve">J.N. </w:t>
      </w:r>
      <w:r w:rsidR="005D27A3" w:rsidRPr="005D27A3">
        <w:t>Kutz, 2021. PySINDy: A comprehensive Python package for robust sparse system identification. arXiv preprint arXiv:2111.08481.</w:t>
      </w:r>
    </w:p>
    <w:p w14:paraId="5AB19D12" w14:textId="1313190D" w:rsidR="00592E9F" w:rsidRDefault="00916CB1" w:rsidP="00A47C42">
      <w:pPr>
        <w:pStyle w:val="Els-referenceno-number"/>
      </w:pPr>
      <w:r w:rsidRPr="00292C76">
        <w:t>H.</w:t>
      </w:r>
      <w:r>
        <w:t xml:space="preserve"> </w:t>
      </w:r>
      <w:r w:rsidR="00292C76" w:rsidRPr="00292C76">
        <w:t xml:space="preserve">Miao, </w:t>
      </w:r>
      <w:r w:rsidRPr="00292C76">
        <w:t xml:space="preserve">X. </w:t>
      </w:r>
      <w:r w:rsidR="00292C76" w:rsidRPr="00292C76">
        <w:t xml:space="preserve">Xia, </w:t>
      </w:r>
      <w:r w:rsidRPr="00292C76">
        <w:t xml:space="preserve">A.S. </w:t>
      </w:r>
      <w:r w:rsidR="00292C76" w:rsidRPr="00292C76">
        <w:t xml:space="preserve">Perelson and </w:t>
      </w:r>
      <w:r w:rsidRPr="00292C76">
        <w:t>H.</w:t>
      </w:r>
      <w:r>
        <w:t xml:space="preserve"> </w:t>
      </w:r>
      <w:r w:rsidR="00292C76" w:rsidRPr="00292C76">
        <w:t>Wu, 2011. On identifiability of nonlinear ODE models and applications in viral dynamics. SIAM review, 53(1), pp.3-39.</w:t>
      </w:r>
    </w:p>
    <w:p w14:paraId="3ABDA97C" w14:textId="08D1A27A" w:rsidR="00292C76" w:rsidRDefault="00BE316E" w:rsidP="00A47C42">
      <w:pPr>
        <w:pStyle w:val="Els-referenceno-number"/>
      </w:pPr>
      <w:r w:rsidRPr="00292C76">
        <w:t>M.</w:t>
      </w:r>
      <w:r>
        <w:t xml:space="preserve"> </w:t>
      </w:r>
      <w:r w:rsidR="00292C76" w:rsidRPr="00292C76">
        <w:t xml:space="preserve">Quaglio, </w:t>
      </w:r>
      <w:r w:rsidRPr="00292C76">
        <w:t>L.</w:t>
      </w:r>
      <w:r>
        <w:t xml:space="preserve"> </w:t>
      </w:r>
      <w:r w:rsidR="00292C76" w:rsidRPr="00292C76">
        <w:t xml:space="preserve">Roberts, </w:t>
      </w:r>
      <w:r w:rsidRPr="00292C76">
        <w:t>M.S.B.</w:t>
      </w:r>
      <w:r>
        <w:t xml:space="preserve"> </w:t>
      </w:r>
      <w:r w:rsidR="00292C76" w:rsidRPr="00292C76">
        <w:t xml:space="preserve">Jaapar, </w:t>
      </w:r>
      <w:r w:rsidRPr="00292C76">
        <w:t>E.S.</w:t>
      </w:r>
      <w:r>
        <w:t xml:space="preserve"> </w:t>
      </w:r>
      <w:r w:rsidR="00292C76" w:rsidRPr="00292C76">
        <w:t xml:space="preserve">Fraga, </w:t>
      </w:r>
      <w:r w:rsidRPr="00292C76">
        <w:t xml:space="preserve">V. </w:t>
      </w:r>
      <w:r w:rsidR="00292C76" w:rsidRPr="00292C76">
        <w:t xml:space="preserve">Dua, and </w:t>
      </w:r>
      <w:r w:rsidRPr="00292C76">
        <w:t>F.</w:t>
      </w:r>
      <w:r>
        <w:t xml:space="preserve"> </w:t>
      </w:r>
      <w:r w:rsidR="00292C76" w:rsidRPr="00292C76">
        <w:t>Galvanin, 2020. An artificial neural network approach to recognise kinetic models from experimental data. Computers &amp; Chemical Engineering, 135, p.106759.</w:t>
      </w:r>
    </w:p>
    <w:p w14:paraId="6D763678" w14:textId="548D62A5" w:rsidR="000F2CDB" w:rsidRDefault="00BE316E" w:rsidP="00A47C42">
      <w:pPr>
        <w:pStyle w:val="Els-referenceno-number"/>
      </w:pPr>
      <w:r w:rsidRPr="000F2CDB">
        <w:t>C.</w:t>
      </w:r>
      <w:r>
        <w:t xml:space="preserve"> </w:t>
      </w:r>
      <w:r w:rsidR="000F2CDB" w:rsidRPr="000F2CDB">
        <w:t xml:space="preserve">Waldron, </w:t>
      </w:r>
      <w:r w:rsidRPr="000F2CDB">
        <w:t>A.</w:t>
      </w:r>
      <w:r>
        <w:t xml:space="preserve"> </w:t>
      </w:r>
      <w:r w:rsidR="000F2CDB" w:rsidRPr="000F2CDB">
        <w:t xml:space="preserve">Pankajakshan, </w:t>
      </w:r>
      <w:r w:rsidRPr="000F2CDB">
        <w:t>M.</w:t>
      </w:r>
      <w:r>
        <w:t xml:space="preserve"> </w:t>
      </w:r>
      <w:r w:rsidR="000F2CDB" w:rsidRPr="000F2CDB">
        <w:t xml:space="preserve">Quaglio, </w:t>
      </w:r>
      <w:r w:rsidRPr="000F2CDB">
        <w:t>E.</w:t>
      </w:r>
      <w:r>
        <w:t xml:space="preserve"> </w:t>
      </w:r>
      <w:r w:rsidR="000F2CDB" w:rsidRPr="000F2CDB">
        <w:t xml:space="preserve">Cao, </w:t>
      </w:r>
      <w:r w:rsidRPr="000F2CDB">
        <w:t xml:space="preserve">F. </w:t>
      </w:r>
      <w:r w:rsidR="000F2CDB" w:rsidRPr="000F2CDB">
        <w:t xml:space="preserve">Galvanin, and </w:t>
      </w:r>
      <w:r w:rsidRPr="000F2CDB">
        <w:t>A.</w:t>
      </w:r>
      <w:r>
        <w:t xml:space="preserve"> </w:t>
      </w:r>
      <w:r w:rsidR="000F2CDB" w:rsidRPr="000F2CDB">
        <w:t>Gavriilidis, 2019. Closed-loop model-based design of experiments for kinetic model discrimination and parameter estimation: benzoic acid esterification on a heterogeneous catalyst. Industrial &amp; Engineering Chemistry Research, 58(49), pp.22165-22177.</w:t>
      </w:r>
    </w:p>
    <w:p w14:paraId="039CDC59" w14:textId="77777777" w:rsidR="00A47C42" w:rsidRPr="006B47AA" w:rsidRDefault="00A47C42" w:rsidP="008D2649">
      <w:pPr>
        <w:pStyle w:val="Els-referenceno-number"/>
      </w:pPr>
    </w:p>
    <w:sectPr w:rsidR="00A47C42" w:rsidRPr="006B47AA"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5992" w14:textId="77777777" w:rsidR="003362E9" w:rsidRDefault="003362E9">
      <w:r>
        <w:separator/>
      </w:r>
    </w:p>
  </w:endnote>
  <w:endnote w:type="continuationSeparator" w:id="0">
    <w:p w14:paraId="08951F97" w14:textId="77777777" w:rsidR="003362E9" w:rsidRDefault="0033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9363" w14:textId="77777777" w:rsidR="003362E9" w:rsidRDefault="003362E9">
      <w:r>
        <w:separator/>
      </w:r>
    </w:p>
  </w:footnote>
  <w:footnote w:type="continuationSeparator" w:id="0">
    <w:p w14:paraId="223C3119" w14:textId="77777777" w:rsidR="003362E9" w:rsidRDefault="0033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2DCC38D" w:rsidR="00DD3D9E" w:rsidRDefault="00DD3D9E">
    <w:pPr>
      <w:pStyle w:val="Header"/>
      <w:tabs>
        <w:tab w:val="clear" w:pos="7200"/>
        <w:tab w:val="right" w:pos="7088"/>
      </w:tabs>
    </w:pPr>
    <w:r>
      <w:rPr>
        <w:rStyle w:val="PageNumber"/>
      </w:rPr>
      <w:tab/>
    </w:r>
    <w:r>
      <w:rPr>
        <w:rStyle w:val="PageNumber"/>
        <w:i/>
      </w:rPr>
      <w:tab/>
    </w:r>
    <w:r w:rsidR="00F82A66">
      <w:rPr>
        <w:i/>
      </w:rPr>
      <w:t>W. Lyu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39CD76C" w:rsidR="00DD3D9E" w:rsidRDefault="00665E23">
    <w:pPr>
      <w:pStyle w:val="Header"/>
      <w:tabs>
        <w:tab w:val="clear" w:pos="7200"/>
        <w:tab w:val="right" w:pos="7088"/>
      </w:tabs>
      <w:jc w:val="right"/>
      <w:rPr>
        <w:sz w:val="24"/>
      </w:rPr>
    </w:pPr>
    <w:r>
      <w:rPr>
        <w:i/>
      </w:rPr>
      <w:t xml:space="preserve">DoE-integrated Sparse Identification of Nonlinear Dynamics for Automated Model Generation and Parameter Estimation in Kinetic </w:t>
    </w:r>
    <w:r w:rsidR="00B93E48">
      <w:rPr>
        <w:i/>
      </w:rPr>
      <w:t>Studies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702A"/>
    <w:rsid w:val="0000793E"/>
    <w:rsid w:val="000133F5"/>
    <w:rsid w:val="00013ECE"/>
    <w:rsid w:val="00014C3B"/>
    <w:rsid w:val="000156CB"/>
    <w:rsid w:val="0002071D"/>
    <w:rsid w:val="0002384A"/>
    <w:rsid w:val="000248C6"/>
    <w:rsid w:val="00030734"/>
    <w:rsid w:val="00031702"/>
    <w:rsid w:val="00033C5A"/>
    <w:rsid w:val="00034EAE"/>
    <w:rsid w:val="00037CD7"/>
    <w:rsid w:val="000459A9"/>
    <w:rsid w:val="00053220"/>
    <w:rsid w:val="0005460E"/>
    <w:rsid w:val="00054A86"/>
    <w:rsid w:val="00055996"/>
    <w:rsid w:val="00060811"/>
    <w:rsid w:val="00062650"/>
    <w:rsid w:val="00065197"/>
    <w:rsid w:val="000676A9"/>
    <w:rsid w:val="0007021C"/>
    <w:rsid w:val="0007180D"/>
    <w:rsid w:val="00074C4C"/>
    <w:rsid w:val="0007534C"/>
    <w:rsid w:val="000801DF"/>
    <w:rsid w:val="00081932"/>
    <w:rsid w:val="00086484"/>
    <w:rsid w:val="0009008B"/>
    <w:rsid w:val="00093799"/>
    <w:rsid w:val="000A0D51"/>
    <w:rsid w:val="000A206A"/>
    <w:rsid w:val="000A5ADC"/>
    <w:rsid w:val="000B0879"/>
    <w:rsid w:val="000B6B44"/>
    <w:rsid w:val="000B7AFC"/>
    <w:rsid w:val="000C378D"/>
    <w:rsid w:val="000C4F4B"/>
    <w:rsid w:val="000D1057"/>
    <w:rsid w:val="000D3B16"/>
    <w:rsid w:val="000D3D9B"/>
    <w:rsid w:val="000D54BD"/>
    <w:rsid w:val="000E21E9"/>
    <w:rsid w:val="000E377B"/>
    <w:rsid w:val="000E4AEC"/>
    <w:rsid w:val="000F2CDB"/>
    <w:rsid w:val="000F6A8F"/>
    <w:rsid w:val="00114440"/>
    <w:rsid w:val="00122BE9"/>
    <w:rsid w:val="001270BC"/>
    <w:rsid w:val="00127AE3"/>
    <w:rsid w:val="00132CC6"/>
    <w:rsid w:val="00132D09"/>
    <w:rsid w:val="001335A4"/>
    <w:rsid w:val="001375B1"/>
    <w:rsid w:val="00143756"/>
    <w:rsid w:val="00144D36"/>
    <w:rsid w:val="00146769"/>
    <w:rsid w:val="00147100"/>
    <w:rsid w:val="00151C3D"/>
    <w:rsid w:val="001558FA"/>
    <w:rsid w:val="0016032F"/>
    <w:rsid w:val="00163F19"/>
    <w:rsid w:val="0016507A"/>
    <w:rsid w:val="00167BAE"/>
    <w:rsid w:val="00167FB3"/>
    <w:rsid w:val="00172A1D"/>
    <w:rsid w:val="00173865"/>
    <w:rsid w:val="0017550C"/>
    <w:rsid w:val="001809EA"/>
    <w:rsid w:val="00181463"/>
    <w:rsid w:val="00183995"/>
    <w:rsid w:val="001841A4"/>
    <w:rsid w:val="00185493"/>
    <w:rsid w:val="00185F51"/>
    <w:rsid w:val="00186EF3"/>
    <w:rsid w:val="001879F6"/>
    <w:rsid w:val="001A12D3"/>
    <w:rsid w:val="001A2C7F"/>
    <w:rsid w:val="001A3B82"/>
    <w:rsid w:val="001B4DD7"/>
    <w:rsid w:val="001B516B"/>
    <w:rsid w:val="001B5317"/>
    <w:rsid w:val="001B567B"/>
    <w:rsid w:val="001C0148"/>
    <w:rsid w:val="001C757E"/>
    <w:rsid w:val="001C75F3"/>
    <w:rsid w:val="001D0FB4"/>
    <w:rsid w:val="001D40B0"/>
    <w:rsid w:val="001E1B3A"/>
    <w:rsid w:val="001F09D5"/>
    <w:rsid w:val="001F0D10"/>
    <w:rsid w:val="001F38FA"/>
    <w:rsid w:val="001F64EC"/>
    <w:rsid w:val="0020390F"/>
    <w:rsid w:val="0020577F"/>
    <w:rsid w:val="00212C5B"/>
    <w:rsid w:val="00214395"/>
    <w:rsid w:val="00215385"/>
    <w:rsid w:val="00217260"/>
    <w:rsid w:val="00225115"/>
    <w:rsid w:val="00226DEA"/>
    <w:rsid w:val="0023085D"/>
    <w:rsid w:val="0023237D"/>
    <w:rsid w:val="00233459"/>
    <w:rsid w:val="002340EE"/>
    <w:rsid w:val="00236E11"/>
    <w:rsid w:val="00240063"/>
    <w:rsid w:val="0024060A"/>
    <w:rsid w:val="00240817"/>
    <w:rsid w:val="00240EFB"/>
    <w:rsid w:val="00244810"/>
    <w:rsid w:val="0024532B"/>
    <w:rsid w:val="00247D45"/>
    <w:rsid w:val="0025108E"/>
    <w:rsid w:val="00251D07"/>
    <w:rsid w:val="00255B7C"/>
    <w:rsid w:val="00264926"/>
    <w:rsid w:val="00264F8C"/>
    <w:rsid w:val="00266CCC"/>
    <w:rsid w:val="0027166F"/>
    <w:rsid w:val="00271959"/>
    <w:rsid w:val="00273367"/>
    <w:rsid w:val="00274BEF"/>
    <w:rsid w:val="0027592E"/>
    <w:rsid w:val="00276BE1"/>
    <w:rsid w:val="00280BD9"/>
    <w:rsid w:val="00290708"/>
    <w:rsid w:val="00292C76"/>
    <w:rsid w:val="002931ED"/>
    <w:rsid w:val="002A38BC"/>
    <w:rsid w:val="002B0134"/>
    <w:rsid w:val="002B0E48"/>
    <w:rsid w:val="002B74FE"/>
    <w:rsid w:val="002C0A43"/>
    <w:rsid w:val="002C2286"/>
    <w:rsid w:val="002C2564"/>
    <w:rsid w:val="002C37BD"/>
    <w:rsid w:val="002C3A0C"/>
    <w:rsid w:val="002C6788"/>
    <w:rsid w:val="002D2659"/>
    <w:rsid w:val="002D2910"/>
    <w:rsid w:val="002E2A95"/>
    <w:rsid w:val="002E5578"/>
    <w:rsid w:val="002E56E2"/>
    <w:rsid w:val="002E5904"/>
    <w:rsid w:val="002F1A96"/>
    <w:rsid w:val="002F4CB9"/>
    <w:rsid w:val="00302DCB"/>
    <w:rsid w:val="003042E3"/>
    <w:rsid w:val="00306FFD"/>
    <w:rsid w:val="00310CA4"/>
    <w:rsid w:val="003137B0"/>
    <w:rsid w:val="00315718"/>
    <w:rsid w:val="00315DA7"/>
    <w:rsid w:val="003164CA"/>
    <w:rsid w:val="003164E2"/>
    <w:rsid w:val="0032088C"/>
    <w:rsid w:val="00322374"/>
    <w:rsid w:val="00324A84"/>
    <w:rsid w:val="00330066"/>
    <w:rsid w:val="003306F7"/>
    <w:rsid w:val="00332B80"/>
    <w:rsid w:val="0033387A"/>
    <w:rsid w:val="00335866"/>
    <w:rsid w:val="003362E9"/>
    <w:rsid w:val="0034455B"/>
    <w:rsid w:val="00351E6B"/>
    <w:rsid w:val="00353723"/>
    <w:rsid w:val="003552D6"/>
    <w:rsid w:val="00356D23"/>
    <w:rsid w:val="00363936"/>
    <w:rsid w:val="00366F53"/>
    <w:rsid w:val="0037061B"/>
    <w:rsid w:val="00370816"/>
    <w:rsid w:val="00370E36"/>
    <w:rsid w:val="00372CCD"/>
    <w:rsid w:val="0037369E"/>
    <w:rsid w:val="00375409"/>
    <w:rsid w:val="00381410"/>
    <w:rsid w:val="003854B7"/>
    <w:rsid w:val="00385F7C"/>
    <w:rsid w:val="003873D6"/>
    <w:rsid w:val="0039108A"/>
    <w:rsid w:val="003930F4"/>
    <w:rsid w:val="00395279"/>
    <w:rsid w:val="003A15AE"/>
    <w:rsid w:val="003A2262"/>
    <w:rsid w:val="003A7359"/>
    <w:rsid w:val="003B0B2E"/>
    <w:rsid w:val="003B2229"/>
    <w:rsid w:val="003B3B3C"/>
    <w:rsid w:val="003B59CD"/>
    <w:rsid w:val="003C518A"/>
    <w:rsid w:val="003C5B80"/>
    <w:rsid w:val="003C78E1"/>
    <w:rsid w:val="003C7C49"/>
    <w:rsid w:val="003D1537"/>
    <w:rsid w:val="003D1582"/>
    <w:rsid w:val="003D4138"/>
    <w:rsid w:val="003D51E0"/>
    <w:rsid w:val="003D5C49"/>
    <w:rsid w:val="003D5E8D"/>
    <w:rsid w:val="003D7E4C"/>
    <w:rsid w:val="003E3285"/>
    <w:rsid w:val="003E41C2"/>
    <w:rsid w:val="003E7803"/>
    <w:rsid w:val="003F0F9A"/>
    <w:rsid w:val="003F2421"/>
    <w:rsid w:val="003F2AEC"/>
    <w:rsid w:val="003F5930"/>
    <w:rsid w:val="0040147D"/>
    <w:rsid w:val="004024D7"/>
    <w:rsid w:val="0040551F"/>
    <w:rsid w:val="00405971"/>
    <w:rsid w:val="00406E05"/>
    <w:rsid w:val="004077B2"/>
    <w:rsid w:val="00410706"/>
    <w:rsid w:val="00412F77"/>
    <w:rsid w:val="0041680B"/>
    <w:rsid w:val="00422B4F"/>
    <w:rsid w:val="00426959"/>
    <w:rsid w:val="00427359"/>
    <w:rsid w:val="00432EB6"/>
    <w:rsid w:val="00433AA5"/>
    <w:rsid w:val="004340FC"/>
    <w:rsid w:val="00435433"/>
    <w:rsid w:val="00435ADF"/>
    <w:rsid w:val="00444A7B"/>
    <w:rsid w:val="004460A4"/>
    <w:rsid w:val="00450FDE"/>
    <w:rsid w:val="004546DC"/>
    <w:rsid w:val="00461CF8"/>
    <w:rsid w:val="0046323D"/>
    <w:rsid w:val="00463AC4"/>
    <w:rsid w:val="00470AA2"/>
    <w:rsid w:val="00472B43"/>
    <w:rsid w:val="00473EF2"/>
    <w:rsid w:val="004764E7"/>
    <w:rsid w:val="00480686"/>
    <w:rsid w:val="00481A4C"/>
    <w:rsid w:val="00481EA8"/>
    <w:rsid w:val="004852C9"/>
    <w:rsid w:val="0048559B"/>
    <w:rsid w:val="0049005E"/>
    <w:rsid w:val="004901A0"/>
    <w:rsid w:val="00492E62"/>
    <w:rsid w:val="0049772C"/>
    <w:rsid w:val="004A4549"/>
    <w:rsid w:val="004A4913"/>
    <w:rsid w:val="004B2F03"/>
    <w:rsid w:val="004B3A4A"/>
    <w:rsid w:val="004B5856"/>
    <w:rsid w:val="004C1DB8"/>
    <w:rsid w:val="004C4801"/>
    <w:rsid w:val="004D0F2A"/>
    <w:rsid w:val="004D136D"/>
    <w:rsid w:val="004D7B45"/>
    <w:rsid w:val="004E613B"/>
    <w:rsid w:val="004F00E7"/>
    <w:rsid w:val="004F3816"/>
    <w:rsid w:val="005020DB"/>
    <w:rsid w:val="00504CA2"/>
    <w:rsid w:val="00505BCE"/>
    <w:rsid w:val="0050798E"/>
    <w:rsid w:val="00510134"/>
    <w:rsid w:val="00512A43"/>
    <w:rsid w:val="00513026"/>
    <w:rsid w:val="00520B8B"/>
    <w:rsid w:val="00531527"/>
    <w:rsid w:val="00536334"/>
    <w:rsid w:val="00542835"/>
    <w:rsid w:val="00552EEB"/>
    <w:rsid w:val="005543FB"/>
    <w:rsid w:val="00555203"/>
    <w:rsid w:val="005579D0"/>
    <w:rsid w:val="00560292"/>
    <w:rsid w:val="0056195B"/>
    <w:rsid w:val="0056210F"/>
    <w:rsid w:val="005628C1"/>
    <w:rsid w:val="00564DB2"/>
    <w:rsid w:val="00565E0C"/>
    <w:rsid w:val="00565F54"/>
    <w:rsid w:val="00586E9E"/>
    <w:rsid w:val="00590E35"/>
    <w:rsid w:val="00590FCB"/>
    <w:rsid w:val="005913C9"/>
    <w:rsid w:val="00591FA8"/>
    <w:rsid w:val="005925B4"/>
    <w:rsid w:val="00592E9F"/>
    <w:rsid w:val="005932C3"/>
    <w:rsid w:val="0059435E"/>
    <w:rsid w:val="00595C92"/>
    <w:rsid w:val="00596CB6"/>
    <w:rsid w:val="005A1AD7"/>
    <w:rsid w:val="005A2145"/>
    <w:rsid w:val="005B34D3"/>
    <w:rsid w:val="005B4513"/>
    <w:rsid w:val="005C0CDE"/>
    <w:rsid w:val="005C0ECD"/>
    <w:rsid w:val="005C12F1"/>
    <w:rsid w:val="005C1849"/>
    <w:rsid w:val="005C421E"/>
    <w:rsid w:val="005D137D"/>
    <w:rsid w:val="005D27A3"/>
    <w:rsid w:val="005D40E7"/>
    <w:rsid w:val="005D4278"/>
    <w:rsid w:val="005E1608"/>
    <w:rsid w:val="005E1673"/>
    <w:rsid w:val="005E3CEF"/>
    <w:rsid w:val="005E3E69"/>
    <w:rsid w:val="005E4064"/>
    <w:rsid w:val="005F33C8"/>
    <w:rsid w:val="005F38B0"/>
    <w:rsid w:val="005F5854"/>
    <w:rsid w:val="006027AB"/>
    <w:rsid w:val="00604262"/>
    <w:rsid w:val="006138D0"/>
    <w:rsid w:val="00613CD2"/>
    <w:rsid w:val="006159D1"/>
    <w:rsid w:val="00617D97"/>
    <w:rsid w:val="00620343"/>
    <w:rsid w:val="00621A18"/>
    <w:rsid w:val="00625268"/>
    <w:rsid w:val="006252A9"/>
    <w:rsid w:val="00630394"/>
    <w:rsid w:val="006307ED"/>
    <w:rsid w:val="00630A4F"/>
    <w:rsid w:val="006312BC"/>
    <w:rsid w:val="00632241"/>
    <w:rsid w:val="0063439E"/>
    <w:rsid w:val="006372A7"/>
    <w:rsid w:val="0064574C"/>
    <w:rsid w:val="00652B6F"/>
    <w:rsid w:val="00662320"/>
    <w:rsid w:val="00664BF8"/>
    <w:rsid w:val="00665E23"/>
    <w:rsid w:val="006710CE"/>
    <w:rsid w:val="00671751"/>
    <w:rsid w:val="00674F6B"/>
    <w:rsid w:val="0068056C"/>
    <w:rsid w:val="006820D7"/>
    <w:rsid w:val="00683073"/>
    <w:rsid w:val="006830D9"/>
    <w:rsid w:val="00694069"/>
    <w:rsid w:val="00695477"/>
    <w:rsid w:val="006A1F8D"/>
    <w:rsid w:val="006A3CBF"/>
    <w:rsid w:val="006A69BF"/>
    <w:rsid w:val="006B22CC"/>
    <w:rsid w:val="006B2536"/>
    <w:rsid w:val="006B47AA"/>
    <w:rsid w:val="006C0BFB"/>
    <w:rsid w:val="006C1241"/>
    <w:rsid w:val="006C13C2"/>
    <w:rsid w:val="006D17EC"/>
    <w:rsid w:val="006D1E97"/>
    <w:rsid w:val="006D2736"/>
    <w:rsid w:val="006D4BC5"/>
    <w:rsid w:val="006D659A"/>
    <w:rsid w:val="006F49BC"/>
    <w:rsid w:val="00711632"/>
    <w:rsid w:val="00711DF4"/>
    <w:rsid w:val="00712ADD"/>
    <w:rsid w:val="00722E22"/>
    <w:rsid w:val="00723889"/>
    <w:rsid w:val="00725583"/>
    <w:rsid w:val="00726222"/>
    <w:rsid w:val="007268DB"/>
    <w:rsid w:val="00732BF3"/>
    <w:rsid w:val="00733AE3"/>
    <w:rsid w:val="00733F9F"/>
    <w:rsid w:val="007341AE"/>
    <w:rsid w:val="00736676"/>
    <w:rsid w:val="00745A8B"/>
    <w:rsid w:val="007472A1"/>
    <w:rsid w:val="00757273"/>
    <w:rsid w:val="007572CA"/>
    <w:rsid w:val="00760D2A"/>
    <w:rsid w:val="00765012"/>
    <w:rsid w:val="007668A1"/>
    <w:rsid w:val="007705A6"/>
    <w:rsid w:val="00774947"/>
    <w:rsid w:val="0078023B"/>
    <w:rsid w:val="007807C4"/>
    <w:rsid w:val="00784D6F"/>
    <w:rsid w:val="00785FF2"/>
    <w:rsid w:val="007875F2"/>
    <w:rsid w:val="007926B2"/>
    <w:rsid w:val="00795747"/>
    <w:rsid w:val="00797DEB"/>
    <w:rsid w:val="007A05B1"/>
    <w:rsid w:val="007A1E7A"/>
    <w:rsid w:val="007A50BD"/>
    <w:rsid w:val="007A63E9"/>
    <w:rsid w:val="007A6FE1"/>
    <w:rsid w:val="007A79F5"/>
    <w:rsid w:val="007B0D86"/>
    <w:rsid w:val="007C31F2"/>
    <w:rsid w:val="007C4953"/>
    <w:rsid w:val="007C56C6"/>
    <w:rsid w:val="007D70A1"/>
    <w:rsid w:val="007D7321"/>
    <w:rsid w:val="007E1D09"/>
    <w:rsid w:val="00811F1C"/>
    <w:rsid w:val="008132E8"/>
    <w:rsid w:val="00813ED7"/>
    <w:rsid w:val="00817875"/>
    <w:rsid w:val="00823407"/>
    <w:rsid w:val="008242BE"/>
    <w:rsid w:val="00833D23"/>
    <w:rsid w:val="008345C1"/>
    <w:rsid w:val="00835726"/>
    <w:rsid w:val="008459BF"/>
    <w:rsid w:val="00845FCE"/>
    <w:rsid w:val="00846D83"/>
    <w:rsid w:val="008504F8"/>
    <w:rsid w:val="00850D8A"/>
    <w:rsid w:val="00853C84"/>
    <w:rsid w:val="00854178"/>
    <w:rsid w:val="00856BAB"/>
    <w:rsid w:val="00857518"/>
    <w:rsid w:val="00857B95"/>
    <w:rsid w:val="008637BB"/>
    <w:rsid w:val="00863C8B"/>
    <w:rsid w:val="00865375"/>
    <w:rsid w:val="00866CAB"/>
    <w:rsid w:val="00866CFE"/>
    <w:rsid w:val="00870077"/>
    <w:rsid w:val="008702DD"/>
    <w:rsid w:val="0087286F"/>
    <w:rsid w:val="008772B2"/>
    <w:rsid w:val="008821D9"/>
    <w:rsid w:val="00892465"/>
    <w:rsid w:val="00895F0B"/>
    <w:rsid w:val="008A424C"/>
    <w:rsid w:val="008A6531"/>
    <w:rsid w:val="008A734B"/>
    <w:rsid w:val="008B0184"/>
    <w:rsid w:val="008B087D"/>
    <w:rsid w:val="008B35D9"/>
    <w:rsid w:val="008C0627"/>
    <w:rsid w:val="008C291D"/>
    <w:rsid w:val="008C2E9C"/>
    <w:rsid w:val="008C44DF"/>
    <w:rsid w:val="008C4A7A"/>
    <w:rsid w:val="008C5D02"/>
    <w:rsid w:val="008D1B32"/>
    <w:rsid w:val="008D2649"/>
    <w:rsid w:val="008D405F"/>
    <w:rsid w:val="008D4423"/>
    <w:rsid w:val="008D56EC"/>
    <w:rsid w:val="008E5F0B"/>
    <w:rsid w:val="008E7AC7"/>
    <w:rsid w:val="008F1055"/>
    <w:rsid w:val="008F24CB"/>
    <w:rsid w:val="008F2DE5"/>
    <w:rsid w:val="008F4377"/>
    <w:rsid w:val="008F5E55"/>
    <w:rsid w:val="00902A72"/>
    <w:rsid w:val="0090568D"/>
    <w:rsid w:val="009077AD"/>
    <w:rsid w:val="00910882"/>
    <w:rsid w:val="009125C9"/>
    <w:rsid w:val="00913879"/>
    <w:rsid w:val="009142BC"/>
    <w:rsid w:val="009150B3"/>
    <w:rsid w:val="00916CB1"/>
    <w:rsid w:val="00917661"/>
    <w:rsid w:val="00922500"/>
    <w:rsid w:val="009239B1"/>
    <w:rsid w:val="009239EF"/>
    <w:rsid w:val="009307AC"/>
    <w:rsid w:val="00933832"/>
    <w:rsid w:val="00937719"/>
    <w:rsid w:val="00944CAF"/>
    <w:rsid w:val="009454A0"/>
    <w:rsid w:val="00947604"/>
    <w:rsid w:val="00950B86"/>
    <w:rsid w:val="009510AB"/>
    <w:rsid w:val="0095117A"/>
    <w:rsid w:val="00953240"/>
    <w:rsid w:val="009539A6"/>
    <w:rsid w:val="00954C72"/>
    <w:rsid w:val="00963D4C"/>
    <w:rsid w:val="00970E5D"/>
    <w:rsid w:val="00971552"/>
    <w:rsid w:val="009735E8"/>
    <w:rsid w:val="00975434"/>
    <w:rsid w:val="00976779"/>
    <w:rsid w:val="0097701C"/>
    <w:rsid w:val="0098045F"/>
    <w:rsid w:val="00980A65"/>
    <w:rsid w:val="009904E9"/>
    <w:rsid w:val="00991234"/>
    <w:rsid w:val="00991B67"/>
    <w:rsid w:val="0099264E"/>
    <w:rsid w:val="00994AED"/>
    <w:rsid w:val="009959DB"/>
    <w:rsid w:val="009A38AD"/>
    <w:rsid w:val="009A6D77"/>
    <w:rsid w:val="009B7283"/>
    <w:rsid w:val="009B7E78"/>
    <w:rsid w:val="009C2CD5"/>
    <w:rsid w:val="009C537B"/>
    <w:rsid w:val="009C620E"/>
    <w:rsid w:val="009D5300"/>
    <w:rsid w:val="009E332D"/>
    <w:rsid w:val="009F2141"/>
    <w:rsid w:val="009F76FC"/>
    <w:rsid w:val="00A01D12"/>
    <w:rsid w:val="00A0243E"/>
    <w:rsid w:val="00A0284F"/>
    <w:rsid w:val="00A04DC2"/>
    <w:rsid w:val="00A06BEB"/>
    <w:rsid w:val="00A115CF"/>
    <w:rsid w:val="00A11AE5"/>
    <w:rsid w:val="00A15AC4"/>
    <w:rsid w:val="00A16352"/>
    <w:rsid w:val="00A213AC"/>
    <w:rsid w:val="00A21A89"/>
    <w:rsid w:val="00A220F2"/>
    <w:rsid w:val="00A2371A"/>
    <w:rsid w:val="00A241D0"/>
    <w:rsid w:val="00A25E70"/>
    <w:rsid w:val="00A266B5"/>
    <w:rsid w:val="00A32233"/>
    <w:rsid w:val="00A33765"/>
    <w:rsid w:val="00A33B42"/>
    <w:rsid w:val="00A414FB"/>
    <w:rsid w:val="00A4161C"/>
    <w:rsid w:val="00A416A7"/>
    <w:rsid w:val="00A43410"/>
    <w:rsid w:val="00A43DB4"/>
    <w:rsid w:val="00A47C42"/>
    <w:rsid w:val="00A56198"/>
    <w:rsid w:val="00A63269"/>
    <w:rsid w:val="00A637A6"/>
    <w:rsid w:val="00A64197"/>
    <w:rsid w:val="00A65063"/>
    <w:rsid w:val="00A815A2"/>
    <w:rsid w:val="00A82AF3"/>
    <w:rsid w:val="00A83695"/>
    <w:rsid w:val="00A84B51"/>
    <w:rsid w:val="00A876F5"/>
    <w:rsid w:val="00A92377"/>
    <w:rsid w:val="00A937D2"/>
    <w:rsid w:val="00A93BE9"/>
    <w:rsid w:val="00A96F62"/>
    <w:rsid w:val="00A97661"/>
    <w:rsid w:val="00AA43B3"/>
    <w:rsid w:val="00AA6C70"/>
    <w:rsid w:val="00AA7710"/>
    <w:rsid w:val="00AB12BB"/>
    <w:rsid w:val="00AB1D69"/>
    <w:rsid w:val="00AB24A8"/>
    <w:rsid w:val="00AB2581"/>
    <w:rsid w:val="00AB29ED"/>
    <w:rsid w:val="00AB3F1F"/>
    <w:rsid w:val="00AC1346"/>
    <w:rsid w:val="00AC17E3"/>
    <w:rsid w:val="00AC63B5"/>
    <w:rsid w:val="00AC71C6"/>
    <w:rsid w:val="00AD2149"/>
    <w:rsid w:val="00AD6394"/>
    <w:rsid w:val="00AE0D13"/>
    <w:rsid w:val="00AE1CED"/>
    <w:rsid w:val="00AE4BD8"/>
    <w:rsid w:val="00AE52B8"/>
    <w:rsid w:val="00AE6287"/>
    <w:rsid w:val="00AF0079"/>
    <w:rsid w:val="00AF2559"/>
    <w:rsid w:val="00AF74CB"/>
    <w:rsid w:val="00AF7C4D"/>
    <w:rsid w:val="00AF7C54"/>
    <w:rsid w:val="00B04DEC"/>
    <w:rsid w:val="00B06172"/>
    <w:rsid w:val="00B07C65"/>
    <w:rsid w:val="00B10918"/>
    <w:rsid w:val="00B138D8"/>
    <w:rsid w:val="00B21B56"/>
    <w:rsid w:val="00B24CC2"/>
    <w:rsid w:val="00B268F3"/>
    <w:rsid w:val="00B27483"/>
    <w:rsid w:val="00B34673"/>
    <w:rsid w:val="00B36B99"/>
    <w:rsid w:val="00B37091"/>
    <w:rsid w:val="00B4388F"/>
    <w:rsid w:val="00B47739"/>
    <w:rsid w:val="00B52340"/>
    <w:rsid w:val="00B63237"/>
    <w:rsid w:val="00B636A5"/>
    <w:rsid w:val="00B6393E"/>
    <w:rsid w:val="00B6412C"/>
    <w:rsid w:val="00B819C6"/>
    <w:rsid w:val="00B85F7A"/>
    <w:rsid w:val="00B93E48"/>
    <w:rsid w:val="00B94942"/>
    <w:rsid w:val="00B9557D"/>
    <w:rsid w:val="00BB057E"/>
    <w:rsid w:val="00BB0B35"/>
    <w:rsid w:val="00BB0E5C"/>
    <w:rsid w:val="00BC037D"/>
    <w:rsid w:val="00BC1AAD"/>
    <w:rsid w:val="00BC35DF"/>
    <w:rsid w:val="00BC4026"/>
    <w:rsid w:val="00BC57C5"/>
    <w:rsid w:val="00BC70EB"/>
    <w:rsid w:val="00BC7E2B"/>
    <w:rsid w:val="00BD2B94"/>
    <w:rsid w:val="00BD6BE2"/>
    <w:rsid w:val="00BD72C4"/>
    <w:rsid w:val="00BE316E"/>
    <w:rsid w:val="00BF3A47"/>
    <w:rsid w:val="00BF477D"/>
    <w:rsid w:val="00BF4E96"/>
    <w:rsid w:val="00BF5D2E"/>
    <w:rsid w:val="00BF646B"/>
    <w:rsid w:val="00C02710"/>
    <w:rsid w:val="00C041DD"/>
    <w:rsid w:val="00C113BE"/>
    <w:rsid w:val="00C1142F"/>
    <w:rsid w:val="00C12F46"/>
    <w:rsid w:val="00C14F66"/>
    <w:rsid w:val="00C25D6D"/>
    <w:rsid w:val="00C266C4"/>
    <w:rsid w:val="00C26FF6"/>
    <w:rsid w:val="00C27028"/>
    <w:rsid w:val="00C3078B"/>
    <w:rsid w:val="00C35EDE"/>
    <w:rsid w:val="00C36B22"/>
    <w:rsid w:val="00C40C76"/>
    <w:rsid w:val="00C4250C"/>
    <w:rsid w:val="00C46D7F"/>
    <w:rsid w:val="00C51D2F"/>
    <w:rsid w:val="00C53BE4"/>
    <w:rsid w:val="00C541A0"/>
    <w:rsid w:val="00C543B4"/>
    <w:rsid w:val="00C56167"/>
    <w:rsid w:val="00C56992"/>
    <w:rsid w:val="00C5788F"/>
    <w:rsid w:val="00C578DA"/>
    <w:rsid w:val="00C65BF6"/>
    <w:rsid w:val="00C73980"/>
    <w:rsid w:val="00C80220"/>
    <w:rsid w:val="00C93831"/>
    <w:rsid w:val="00C9519C"/>
    <w:rsid w:val="00C95200"/>
    <w:rsid w:val="00C960DC"/>
    <w:rsid w:val="00CA2574"/>
    <w:rsid w:val="00CA3267"/>
    <w:rsid w:val="00CA5F52"/>
    <w:rsid w:val="00CA689B"/>
    <w:rsid w:val="00CA6B11"/>
    <w:rsid w:val="00CB375C"/>
    <w:rsid w:val="00CB3BD6"/>
    <w:rsid w:val="00CB6993"/>
    <w:rsid w:val="00CC2AC6"/>
    <w:rsid w:val="00CD2017"/>
    <w:rsid w:val="00CD4E86"/>
    <w:rsid w:val="00CD514C"/>
    <w:rsid w:val="00CD5336"/>
    <w:rsid w:val="00CE09C0"/>
    <w:rsid w:val="00CF2303"/>
    <w:rsid w:val="00CF2606"/>
    <w:rsid w:val="00CF7D53"/>
    <w:rsid w:val="00D0052D"/>
    <w:rsid w:val="00D005F8"/>
    <w:rsid w:val="00D02C75"/>
    <w:rsid w:val="00D03350"/>
    <w:rsid w:val="00D0470A"/>
    <w:rsid w:val="00D04CC2"/>
    <w:rsid w:val="00D10E22"/>
    <w:rsid w:val="00D1159E"/>
    <w:rsid w:val="00D11891"/>
    <w:rsid w:val="00D125FB"/>
    <w:rsid w:val="00D1282B"/>
    <w:rsid w:val="00D13D2C"/>
    <w:rsid w:val="00D14427"/>
    <w:rsid w:val="00D229E4"/>
    <w:rsid w:val="00D2519E"/>
    <w:rsid w:val="00D2643F"/>
    <w:rsid w:val="00D4301D"/>
    <w:rsid w:val="00D4398F"/>
    <w:rsid w:val="00D43A7C"/>
    <w:rsid w:val="00D466AE"/>
    <w:rsid w:val="00D47833"/>
    <w:rsid w:val="00D536ED"/>
    <w:rsid w:val="00D54167"/>
    <w:rsid w:val="00D55FB5"/>
    <w:rsid w:val="00D662EB"/>
    <w:rsid w:val="00D675A2"/>
    <w:rsid w:val="00D677C3"/>
    <w:rsid w:val="00D71E63"/>
    <w:rsid w:val="00D73509"/>
    <w:rsid w:val="00D76B47"/>
    <w:rsid w:val="00D80D01"/>
    <w:rsid w:val="00D81CB9"/>
    <w:rsid w:val="00D84F2A"/>
    <w:rsid w:val="00D86B64"/>
    <w:rsid w:val="00D87149"/>
    <w:rsid w:val="00D873F9"/>
    <w:rsid w:val="00D927CB"/>
    <w:rsid w:val="00D9413F"/>
    <w:rsid w:val="00D95113"/>
    <w:rsid w:val="00D96976"/>
    <w:rsid w:val="00DA51D5"/>
    <w:rsid w:val="00DA6A89"/>
    <w:rsid w:val="00DA79A5"/>
    <w:rsid w:val="00DB4CD3"/>
    <w:rsid w:val="00DC2F94"/>
    <w:rsid w:val="00DC6876"/>
    <w:rsid w:val="00DC7DB0"/>
    <w:rsid w:val="00DD03D6"/>
    <w:rsid w:val="00DD18B1"/>
    <w:rsid w:val="00DD3D9E"/>
    <w:rsid w:val="00DD533B"/>
    <w:rsid w:val="00DD7908"/>
    <w:rsid w:val="00DE6B4A"/>
    <w:rsid w:val="00DF5DD0"/>
    <w:rsid w:val="00DF78C9"/>
    <w:rsid w:val="00E008D3"/>
    <w:rsid w:val="00E00979"/>
    <w:rsid w:val="00E0234D"/>
    <w:rsid w:val="00E10AB7"/>
    <w:rsid w:val="00E22D1A"/>
    <w:rsid w:val="00E24C78"/>
    <w:rsid w:val="00E24F8E"/>
    <w:rsid w:val="00E265F6"/>
    <w:rsid w:val="00E268EF"/>
    <w:rsid w:val="00E30CF2"/>
    <w:rsid w:val="00E3350A"/>
    <w:rsid w:val="00E34734"/>
    <w:rsid w:val="00E375A4"/>
    <w:rsid w:val="00E42AE2"/>
    <w:rsid w:val="00E461BC"/>
    <w:rsid w:val="00E508AD"/>
    <w:rsid w:val="00E508C8"/>
    <w:rsid w:val="00E56D4C"/>
    <w:rsid w:val="00E56D91"/>
    <w:rsid w:val="00E57993"/>
    <w:rsid w:val="00E63E11"/>
    <w:rsid w:val="00E66D96"/>
    <w:rsid w:val="00E70D6B"/>
    <w:rsid w:val="00E77390"/>
    <w:rsid w:val="00E77E55"/>
    <w:rsid w:val="00E80549"/>
    <w:rsid w:val="00E81ABC"/>
    <w:rsid w:val="00E82297"/>
    <w:rsid w:val="00E82323"/>
    <w:rsid w:val="00E842D6"/>
    <w:rsid w:val="00E86E56"/>
    <w:rsid w:val="00E92EF0"/>
    <w:rsid w:val="00E93840"/>
    <w:rsid w:val="00E95EAE"/>
    <w:rsid w:val="00E96DB6"/>
    <w:rsid w:val="00EA0BB3"/>
    <w:rsid w:val="00EA464E"/>
    <w:rsid w:val="00EB182C"/>
    <w:rsid w:val="00EB3554"/>
    <w:rsid w:val="00EB3AE2"/>
    <w:rsid w:val="00EB75CD"/>
    <w:rsid w:val="00EC6AAC"/>
    <w:rsid w:val="00ED4E67"/>
    <w:rsid w:val="00EE1ABF"/>
    <w:rsid w:val="00EE50C3"/>
    <w:rsid w:val="00EF39FD"/>
    <w:rsid w:val="00EF466F"/>
    <w:rsid w:val="00EF50AF"/>
    <w:rsid w:val="00EF648B"/>
    <w:rsid w:val="00F04562"/>
    <w:rsid w:val="00F06842"/>
    <w:rsid w:val="00F06981"/>
    <w:rsid w:val="00F07A7C"/>
    <w:rsid w:val="00F07DE6"/>
    <w:rsid w:val="00F107FD"/>
    <w:rsid w:val="00F12039"/>
    <w:rsid w:val="00F16050"/>
    <w:rsid w:val="00F17647"/>
    <w:rsid w:val="00F20418"/>
    <w:rsid w:val="00F21966"/>
    <w:rsid w:val="00F246BE"/>
    <w:rsid w:val="00F24FD4"/>
    <w:rsid w:val="00F30356"/>
    <w:rsid w:val="00F3253F"/>
    <w:rsid w:val="00F33D5F"/>
    <w:rsid w:val="00F34283"/>
    <w:rsid w:val="00F41086"/>
    <w:rsid w:val="00F41834"/>
    <w:rsid w:val="00F41BE2"/>
    <w:rsid w:val="00F41E35"/>
    <w:rsid w:val="00F4798E"/>
    <w:rsid w:val="00F52BEF"/>
    <w:rsid w:val="00F54F52"/>
    <w:rsid w:val="00F56A90"/>
    <w:rsid w:val="00F7221D"/>
    <w:rsid w:val="00F72D39"/>
    <w:rsid w:val="00F76C16"/>
    <w:rsid w:val="00F8244B"/>
    <w:rsid w:val="00F82A66"/>
    <w:rsid w:val="00F82AE5"/>
    <w:rsid w:val="00F8431C"/>
    <w:rsid w:val="00F85B5E"/>
    <w:rsid w:val="00F86583"/>
    <w:rsid w:val="00F877E8"/>
    <w:rsid w:val="00F915B4"/>
    <w:rsid w:val="00F94820"/>
    <w:rsid w:val="00F9540A"/>
    <w:rsid w:val="00F95ABA"/>
    <w:rsid w:val="00F95F62"/>
    <w:rsid w:val="00FB019C"/>
    <w:rsid w:val="00FB07B1"/>
    <w:rsid w:val="00FB1C16"/>
    <w:rsid w:val="00FB467E"/>
    <w:rsid w:val="00FB5302"/>
    <w:rsid w:val="00FB64A8"/>
    <w:rsid w:val="00FB7A12"/>
    <w:rsid w:val="00FC127B"/>
    <w:rsid w:val="00FC630F"/>
    <w:rsid w:val="00FD482F"/>
    <w:rsid w:val="00FD5EF0"/>
    <w:rsid w:val="00FD73C2"/>
    <w:rsid w:val="00FE2198"/>
    <w:rsid w:val="00FE2D1C"/>
    <w:rsid w:val="00FE499A"/>
    <w:rsid w:val="00FE58D0"/>
    <w:rsid w:val="00FE5E89"/>
    <w:rsid w:val="00FE760E"/>
    <w:rsid w:val="00FF00AB"/>
    <w:rsid w:val="00FF01FD"/>
    <w:rsid w:val="00FF04EA"/>
    <w:rsid w:val="00FF19DA"/>
    <w:rsid w:val="00FF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0156CB"/>
    <w:rPr>
      <w:color w:val="605E5C"/>
      <w:shd w:val="clear" w:color="auto" w:fill="E1DFDD"/>
    </w:rPr>
  </w:style>
  <w:style w:type="character" w:styleId="PlaceholderText">
    <w:name w:val="Placeholder Text"/>
    <w:basedOn w:val="DefaultParagraphFont"/>
    <w:uiPriority w:val="99"/>
    <w:semiHidden/>
    <w:rsid w:val="00AB24A8"/>
    <w:rPr>
      <w:color w:val="666666"/>
    </w:rPr>
  </w:style>
  <w:style w:type="table" w:styleId="TableGrid">
    <w:name w:val="Table Grid"/>
    <w:basedOn w:val="TableNormal"/>
    <w:rsid w:val="00EA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6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galvanin@ucl.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4554</TotalTime>
  <Pages>6</Pages>
  <Words>2290</Words>
  <Characters>13651</Characters>
  <Application>Microsoft Office Word</Application>
  <DocSecurity>0</DocSecurity>
  <Lines>113</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Lyu, Wenyao</cp:lastModifiedBy>
  <cp:revision>59</cp:revision>
  <cp:lastPrinted>2004-12-17T09:20:00Z</cp:lastPrinted>
  <dcterms:created xsi:type="dcterms:W3CDTF">2023-12-22T08:26:00Z</dcterms:created>
  <dcterms:modified xsi:type="dcterms:W3CDTF">2023-12-31T13:51:00Z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