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2EBEA151" w:rsidR="00DD3D9E" w:rsidRPr="00D37103" w:rsidRDefault="00D37103">
      <w:pPr>
        <w:pStyle w:val="Els-Title"/>
        <w:rPr>
          <w:color w:val="000000" w:themeColor="text1"/>
          <w:lang w:val="en-GB"/>
        </w:rPr>
      </w:pPr>
      <w:r w:rsidRPr="09ABBF5E">
        <w:rPr>
          <w:color w:val="000000" w:themeColor="text1"/>
          <w:lang w:val="en-GB"/>
        </w:rPr>
        <w:t>Bioprocess Control: A Shift in Methodology Towards Reinforcement Learning</w:t>
      </w:r>
    </w:p>
    <w:p w14:paraId="144DE680" w14:textId="388D76BF" w:rsidR="00DD3D9E" w:rsidRPr="00D37103" w:rsidRDefault="00D37103">
      <w:pPr>
        <w:pStyle w:val="Els-Author"/>
        <w:rPr>
          <w:lang w:val="pt-PT"/>
        </w:rPr>
      </w:pPr>
      <w:r w:rsidRPr="00D37103">
        <w:rPr>
          <w:lang w:val="pt-PT"/>
        </w:rPr>
        <w:t>Mariana Monteiro,</w:t>
      </w:r>
      <w:r w:rsidRPr="00D37103">
        <w:rPr>
          <w:vertAlign w:val="superscript"/>
          <w:lang w:val="pt-PT"/>
        </w:rPr>
        <w:t>a</w:t>
      </w:r>
      <w:r w:rsidR="0050622E">
        <w:rPr>
          <w:vertAlign w:val="superscript"/>
          <w:lang w:val="pt-PT"/>
        </w:rPr>
        <w:t>*</w:t>
      </w:r>
      <w:r w:rsidRPr="00D37103">
        <w:rPr>
          <w:lang w:val="pt-PT"/>
        </w:rPr>
        <w:t xml:space="preserve"> Cleo Ko</w:t>
      </w:r>
      <w:r>
        <w:rPr>
          <w:lang w:val="pt-PT"/>
        </w:rPr>
        <w:t>ntoravdi</w:t>
      </w:r>
      <w:r>
        <w:rPr>
          <w:vertAlign w:val="superscript"/>
          <w:lang w:val="pt-PT"/>
        </w:rPr>
        <w:t>a</w:t>
      </w:r>
      <w:r w:rsidR="00F16F8C">
        <w:rPr>
          <w:vertAlign w:val="superscript"/>
          <w:lang w:val="pt-PT"/>
        </w:rPr>
        <w:t>*</w:t>
      </w:r>
      <w:r w:rsidRPr="00D37103">
        <w:rPr>
          <w:lang w:val="pt-PT"/>
        </w:rPr>
        <w:t xml:space="preserve"> </w:t>
      </w:r>
    </w:p>
    <w:p w14:paraId="144DE681" w14:textId="24C8EDFD" w:rsidR="00DD3D9E" w:rsidRPr="00D37103" w:rsidRDefault="00D37103">
      <w:pPr>
        <w:pStyle w:val="Els-Affiliation"/>
      </w:pPr>
      <w:r w:rsidRPr="00D37103">
        <w:rPr>
          <w:vertAlign w:val="superscript"/>
        </w:rPr>
        <w:t>a</w:t>
      </w:r>
      <w:r w:rsidRPr="00D37103">
        <w:t>Sargent Centre for Process S</w:t>
      </w:r>
      <w:r>
        <w:t>ystems Engineering, Department of Chemical Engineering, Imperial College London, Exhibition Road, London SW7 2AZ, United Kingdom</w:t>
      </w:r>
    </w:p>
    <w:p w14:paraId="144DE683" w14:textId="3A0DD616" w:rsidR="008D2649" w:rsidRPr="00D37103" w:rsidRDefault="0050622E" w:rsidP="008D2649">
      <w:pPr>
        <w:pStyle w:val="Els-Affiliation"/>
        <w:spacing w:after="120"/>
      </w:pPr>
      <w:r>
        <w:t>m.monteiro21</w:t>
      </w:r>
      <w:r>
        <w:rPr>
          <w:lang w:val="en-US"/>
        </w:rPr>
        <w:t>@imperial.ac.uk,</w:t>
      </w:r>
      <w:r>
        <w:t xml:space="preserve"> </w:t>
      </w:r>
      <w:r w:rsidR="00D37103">
        <w:t>cleo.kontoravdi98</w:t>
      </w:r>
      <w:r w:rsidR="008D2649" w:rsidRPr="00D37103">
        <w:t>@</w:t>
      </w:r>
      <w:r w:rsidR="00D37103">
        <w:t>imperial</w:t>
      </w:r>
      <w:r w:rsidR="008D2649" w:rsidRPr="00D37103">
        <w:t>.</w:t>
      </w:r>
      <w:r w:rsidR="00D37103">
        <w:t>a</w:t>
      </w:r>
      <w:r w:rsidR="008D2649" w:rsidRPr="00D37103">
        <w:t>c</w:t>
      </w:r>
      <w:r w:rsidR="00D37103">
        <w:t>.uk</w:t>
      </w:r>
    </w:p>
    <w:p w14:paraId="144DE684" w14:textId="77777777" w:rsidR="008D2649" w:rsidRDefault="008D2649" w:rsidP="008D2649">
      <w:pPr>
        <w:pStyle w:val="Els-Abstract"/>
      </w:pPr>
      <w:r>
        <w:t>Abstract</w:t>
      </w:r>
    </w:p>
    <w:p w14:paraId="3BC0AE0C" w14:textId="381A389F" w:rsidR="00B41F64" w:rsidRDefault="00D37103" w:rsidP="13D3C551">
      <w:pPr>
        <w:pStyle w:val="Els-body-text"/>
        <w:spacing w:after="120"/>
        <w:rPr>
          <w:lang w:val="en-GB"/>
        </w:rPr>
      </w:pPr>
      <w:r w:rsidRPr="13D3C551">
        <w:rPr>
          <w:lang w:val="en-GB"/>
        </w:rPr>
        <w:t xml:space="preserve">The production of monoclonal antibodies </w:t>
      </w:r>
      <w:r w:rsidR="7902A090" w:rsidRPr="13D3C551">
        <w:rPr>
          <w:lang w:val="en-GB"/>
        </w:rPr>
        <w:t xml:space="preserve">in </w:t>
      </w:r>
      <w:r w:rsidR="755F9118" w:rsidRPr="13D3C551">
        <w:rPr>
          <w:lang w:val="en-GB"/>
        </w:rPr>
        <w:t>mammalian</w:t>
      </w:r>
      <w:r w:rsidRPr="13D3C551">
        <w:rPr>
          <w:lang w:val="en-GB"/>
        </w:rPr>
        <w:t xml:space="preserve"> cells is a highly complex and nonlinear process. The industry standard for control of this process</w:t>
      </w:r>
      <w:r w:rsidR="00F16F8C" w:rsidRPr="13D3C551">
        <w:rPr>
          <w:lang w:val="en-GB"/>
        </w:rPr>
        <w:t xml:space="preserve"> </w:t>
      </w:r>
      <w:r w:rsidRPr="13D3C551">
        <w:rPr>
          <w:lang w:val="en-GB"/>
        </w:rPr>
        <w:t xml:space="preserve">fails to capture </w:t>
      </w:r>
      <w:r w:rsidR="1F4C8559" w:rsidRPr="13D3C551">
        <w:rPr>
          <w:lang w:val="en-GB"/>
        </w:rPr>
        <w:t xml:space="preserve">its </w:t>
      </w:r>
      <w:r w:rsidRPr="13D3C551">
        <w:rPr>
          <w:lang w:val="en-GB"/>
        </w:rPr>
        <w:t>complex dynamics, leading to high batch-to-batch variability. Th</w:t>
      </w:r>
      <w:r w:rsidR="00515C9F">
        <w:rPr>
          <w:lang w:val="en-GB"/>
        </w:rPr>
        <w:t>is</w:t>
      </w:r>
      <w:r w:rsidRPr="13D3C551">
        <w:rPr>
          <w:lang w:val="en-GB"/>
        </w:rPr>
        <w:t xml:space="preserve"> inherent complexity makes </w:t>
      </w:r>
      <w:r w:rsidR="66D741A8" w:rsidRPr="13D3C551">
        <w:rPr>
          <w:lang w:val="en-GB"/>
        </w:rPr>
        <w:t>bioprocesses</w:t>
      </w:r>
      <w:r w:rsidRPr="13D3C551">
        <w:rPr>
          <w:lang w:val="en-GB"/>
        </w:rPr>
        <w:t xml:space="preserve"> challenging to model purely mechanistically</w:t>
      </w:r>
      <w:r w:rsidR="00300546">
        <w:rPr>
          <w:lang w:val="en-GB"/>
        </w:rPr>
        <w:t>, while</w:t>
      </w:r>
      <w:r w:rsidRPr="13D3C551">
        <w:rPr>
          <w:lang w:val="en-GB"/>
        </w:rPr>
        <w:t xml:space="preserve"> </w:t>
      </w:r>
      <w:r w:rsidR="00300546">
        <w:rPr>
          <w:lang w:val="en-GB"/>
        </w:rPr>
        <w:t>t</w:t>
      </w:r>
      <w:r w:rsidRPr="13D3C551">
        <w:rPr>
          <w:lang w:val="en-GB"/>
        </w:rPr>
        <w:t>he lack of</w:t>
      </w:r>
      <w:r w:rsidR="00300546">
        <w:rPr>
          <w:lang w:val="en-GB"/>
        </w:rPr>
        <w:t xml:space="preserve"> rich</w:t>
      </w:r>
      <w:r w:rsidRPr="13D3C551">
        <w:rPr>
          <w:lang w:val="en-GB"/>
        </w:rPr>
        <w:t xml:space="preserve"> experimental data</w:t>
      </w:r>
      <w:r w:rsidR="00300546">
        <w:rPr>
          <w:lang w:val="en-GB"/>
        </w:rPr>
        <w:t>sets</w:t>
      </w:r>
      <w:r w:rsidRPr="13D3C551">
        <w:rPr>
          <w:lang w:val="en-GB"/>
        </w:rPr>
        <w:t xml:space="preserve"> and </w:t>
      </w:r>
      <w:r w:rsidR="00832BC3">
        <w:rPr>
          <w:lang w:val="en-GB"/>
        </w:rPr>
        <w:t xml:space="preserve">the </w:t>
      </w:r>
      <w:r w:rsidRPr="13D3C551">
        <w:rPr>
          <w:lang w:val="en-GB"/>
        </w:rPr>
        <w:t xml:space="preserve">need for interpretability in control policies </w:t>
      </w:r>
      <w:r w:rsidR="0766DC76" w:rsidRPr="13D3C551">
        <w:rPr>
          <w:lang w:val="en-GB"/>
        </w:rPr>
        <w:t xml:space="preserve">further </w:t>
      </w:r>
      <w:r w:rsidRPr="13D3C551">
        <w:rPr>
          <w:lang w:val="en-GB"/>
        </w:rPr>
        <w:t xml:space="preserve">prevent the use of fully data-driven solutions. </w:t>
      </w:r>
      <w:r w:rsidR="2FCE1E7C" w:rsidRPr="13D3C551">
        <w:rPr>
          <w:lang w:val="en-GB"/>
        </w:rPr>
        <w:t>W</w:t>
      </w:r>
      <w:r w:rsidRPr="13D3C551">
        <w:rPr>
          <w:lang w:val="en-GB"/>
        </w:rPr>
        <w:t xml:space="preserve">e propose a </w:t>
      </w:r>
      <w:r w:rsidR="00F16F8C" w:rsidRPr="13D3C551">
        <w:rPr>
          <w:lang w:val="en-GB"/>
        </w:rPr>
        <w:t xml:space="preserve">hybrid </w:t>
      </w:r>
      <w:r w:rsidRPr="13D3C551">
        <w:rPr>
          <w:lang w:val="en-GB"/>
        </w:rPr>
        <w:t xml:space="preserve">methodology </w:t>
      </w:r>
      <w:r w:rsidR="33FE5559" w:rsidRPr="13D3C551">
        <w:rPr>
          <w:lang w:val="en-GB"/>
        </w:rPr>
        <w:t>for</w:t>
      </w:r>
      <w:r w:rsidRPr="13D3C551">
        <w:rPr>
          <w:lang w:val="en-GB"/>
        </w:rPr>
        <w:t xml:space="preserve"> optimiz</w:t>
      </w:r>
      <w:r w:rsidR="6170C168" w:rsidRPr="13D3C551">
        <w:rPr>
          <w:lang w:val="en-GB"/>
        </w:rPr>
        <w:t>ing</w:t>
      </w:r>
      <w:r w:rsidRPr="13D3C551">
        <w:rPr>
          <w:lang w:val="en-GB"/>
        </w:rPr>
        <w:t xml:space="preserve"> the nutrient</w:t>
      </w:r>
      <w:r w:rsidR="00113C75" w:rsidRPr="13D3C551">
        <w:rPr>
          <w:lang w:val="en-GB"/>
        </w:rPr>
        <w:t xml:space="preserve"> </w:t>
      </w:r>
      <w:r w:rsidRPr="13D3C551">
        <w:rPr>
          <w:lang w:val="en-GB"/>
        </w:rPr>
        <w:t>feeding strategy that leverages reinforcement learning</w:t>
      </w:r>
      <w:r w:rsidR="006A26EA" w:rsidRPr="13D3C551">
        <w:rPr>
          <w:lang w:val="en-GB"/>
        </w:rPr>
        <w:t xml:space="preserve">. </w:t>
      </w:r>
      <w:r w:rsidR="003810BC">
        <w:rPr>
          <w:lang w:val="en-GB"/>
        </w:rPr>
        <w:t xml:space="preserve">We </w:t>
      </w:r>
      <w:r w:rsidR="000D76F7">
        <w:rPr>
          <w:lang w:val="en-GB"/>
        </w:rPr>
        <w:t xml:space="preserve">train the </w:t>
      </w:r>
      <w:r w:rsidR="0050307F">
        <w:rPr>
          <w:lang w:val="en-GB"/>
        </w:rPr>
        <w:t>controller</w:t>
      </w:r>
      <w:r w:rsidR="000D76F7">
        <w:rPr>
          <w:lang w:val="en-GB"/>
        </w:rPr>
        <w:t xml:space="preserve"> </w:t>
      </w:r>
      <w:r w:rsidR="00DF7271">
        <w:rPr>
          <w:lang w:val="en-GB"/>
        </w:rPr>
        <w:t>with an</w:t>
      </w:r>
      <w:r w:rsidR="003810BC">
        <w:rPr>
          <w:lang w:val="en-GB"/>
        </w:rPr>
        <w:t xml:space="preserve"> off</w:t>
      </w:r>
      <w:r w:rsidR="000D76F7" w:rsidRPr="00DF7271">
        <w:rPr>
          <w:lang w:val="en-GB"/>
        </w:rPr>
        <w:t>-policy method</w:t>
      </w:r>
      <w:r w:rsidR="00DF7271" w:rsidRPr="00DF7271">
        <w:rPr>
          <w:lang w:val="en-GB"/>
        </w:rPr>
        <w:t xml:space="preserve"> </w:t>
      </w:r>
      <w:r w:rsidR="00572AE7">
        <w:rPr>
          <w:lang w:val="en-GB"/>
        </w:rPr>
        <w:t>due to its</w:t>
      </w:r>
      <w:r w:rsidR="00DF7271">
        <w:rPr>
          <w:lang w:val="en-GB"/>
        </w:rPr>
        <w:t xml:space="preserve"> data efficien</w:t>
      </w:r>
      <w:r w:rsidR="00572AE7">
        <w:rPr>
          <w:lang w:val="en-GB"/>
        </w:rPr>
        <w:t>cy</w:t>
      </w:r>
      <w:r w:rsidR="00DF7271">
        <w:rPr>
          <w:lang w:val="en-GB"/>
        </w:rPr>
        <w:t xml:space="preserve">. </w:t>
      </w:r>
      <w:r w:rsidR="006A26EA" w:rsidRPr="13D3C551">
        <w:rPr>
          <w:lang w:val="en-GB"/>
        </w:rPr>
        <w:t xml:space="preserve">This methodology offers the advantage of </w:t>
      </w:r>
      <w:r w:rsidR="00FA4E9B">
        <w:rPr>
          <w:lang w:val="en-GB"/>
        </w:rPr>
        <w:t>not needing access to perfect state knowledge</w:t>
      </w:r>
      <w:r w:rsidR="006A26EA" w:rsidRPr="13D3C551">
        <w:rPr>
          <w:lang w:val="en-GB"/>
        </w:rPr>
        <w:t xml:space="preserve">, but rather learning from </w:t>
      </w:r>
      <w:r w:rsidR="00CD46A3">
        <w:rPr>
          <w:lang w:val="en-GB"/>
        </w:rPr>
        <w:t>partial observations of the state</w:t>
      </w:r>
      <w:r w:rsidR="0F281203" w:rsidRPr="13D3C551">
        <w:rPr>
          <w:lang w:val="en-GB"/>
        </w:rPr>
        <w:t xml:space="preserve">, </w:t>
      </w:r>
      <w:r w:rsidR="00970B28">
        <w:rPr>
          <w:lang w:val="en-GB"/>
        </w:rPr>
        <w:t xml:space="preserve">which allows for improved generalization. </w:t>
      </w:r>
      <w:r w:rsidR="00F16F8C" w:rsidRPr="13D3C551">
        <w:rPr>
          <w:lang w:val="en-GB"/>
        </w:rPr>
        <w:t>The continuous learning abilities of the proposed method ensure adaptability in response to process changes</w:t>
      </w:r>
      <w:r w:rsidR="00383670">
        <w:rPr>
          <w:lang w:val="en-GB"/>
        </w:rPr>
        <w:t xml:space="preserve">, while the inclusion of a mechanistic model in the environment </w:t>
      </w:r>
      <w:r w:rsidR="002B114D">
        <w:rPr>
          <w:lang w:val="en-GB"/>
        </w:rPr>
        <w:t>aids in the</w:t>
      </w:r>
      <w:r w:rsidR="00383670" w:rsidRPr="13D3C551">
        <w:rPr>
          <w:lang w:val="en-GB"/>
        </w:rPr>
        <w:t xml:space="preserve"> interpretability of</w:t>
      </w:r>
      <w:r w:rsidR="00DE675F">
        <w:rPr>
          <w:lang w:val="en-GB"/>
        </w:rPr>
        <w:t xml:space="preserve"> the</w:t>
      </w:r>
      <w:r w:rsidR="00383670" w:rsidRPr="13D3C551">
        <w:rPr>
          <w:lang w:val="en-GB"/>
        </w:rPr>
        <w:t xml:space="preserve"> </w:t>
      </w:r>
      <w:r w:rsidR="002B114D">
        <w:rPr>
          <w:lang w:val="en-GB"/>
        </w:rPr>
        <w:t xml:space="preserve">learned </w:t>
      </w:r>
      <w:r w:rsidR="00383670" w:rsidRPr="13D3C551">
        <w:rPr>
          <w:lang w:val="en-GB"/>
        </w:rPr>
        <w:t>control actions.</w:t>
      </w:r>
    </w:p>
    <w:p w14:paraId="144DE687" w14:textId="54000D16" w:rsidR="008D2649" w:rsidRDefault="008D2649" w:rsidP="008D2649">
      <w:pPr>
        <w:pStyle w:val="Els-body-text"/>
        <w:spacing w:after="120"/>
        <w:rPr>
          <w:lang w:val="en-GB"/>
        </w:rPr>
      </w:pPr>
      <w:r w:rsidRPr="13D3C551">
        <w:rPr>
          <w:b/>
          <w:bCs/>
          <w:lang w:val="en-GB"/>
        </w:rPr>
        <w:t>Keywords</w:t>
      </w:r>
      <w:r w:rsidRPr="13D3C551">
        <w:rPr>
          <w:lang w:val="en-GB"/>
        </w:rPr>
        <w:t xml:space="preserve">: </w:t>
      </w:r>
      <w:r w:rsidR="00F16F8C" w:rsidRPr="13D3C551">
        <w:rPr>
          <w:lang w:val="en-GB"/>
        </w:rPr>
        <w:t xml:space="preserve">Biomanufacturing, Reinforcement Learning, Control, </w:t>
      </w:r>
      <w:r w:rsidR="00FC770F">
        <w:rPr>
          <w:lang w:val="en-GB"/>
        </w:rPr>
        <w:t>Mammalian</w:t>
      </w:r>
      <w:r w:rsidR="00F16F8C" w:rsidRPr="13D3C551">
        <w:rPr>
          <w:lang w:val="en-GB"/>
        </w:rPr>
        <w:t xml:space="preserve"> cells</w:t>
      </w:r>
    </w:p>
    <w:p w14:paraId="144DE689" w14:textId="16F0A9E8" w:rsidR="008D2649" w:rsidRDefault="00763B1C" w:rsidP="008D2649">
      <w:pPr>
        <w:pStyle w:val="Els-1storder-head"/>
      </w:pPr>
      <w:r>
        <w:t>Introduction</w:t>
      </w:r>
    </w:p>
    <w:p w14:paraId="661F008F" w14:textId="00A1BA32" w:rsidR="00F16F8C" w:rsidRPr="006D39C5" w:rsidRDefault="00F16F8C" w:rsidP="00F16F8C">
      <w:pPr>
        <w:pStyle w:val="Els-body-text"/>
      </w:pPr>
      <w:r>
        <w:t>The global market of biologics reached a</w:t>
      </w:r>
      <w:r w:rsidR="003E4DEF">
        <w:t>n annual value</w:t>
      </w:r>
      <w:r w:rsidR="00B64B0A">
        <w:t xml:space="preserve"> </w:t>
      </w:r>
      <w:r>
        <w:t xml:space="preserve">of US$359 billion in 2022, with an expected increase to US$1421 billion by </w:t>
      </w:r>
      <w:r w:rsidRPr="006D39C5">
        <w:t>2032 (</w:t>
      </w:r>
      <w:r w:rsidR="00BE3A77" w:rsidRPr="006D39C5">
        <w:t>Precedence</w:t>
      </w:r>
      <w:r w:rsidRPr="006D39C5">
        <w:t xml:space="preserve"> Research</w:t>
      </w:r>
      <w:r w:rsidR="007D57DE" w:rsidRPr="006D39C5">
        <w:t>, 2022</w:t>
      </w:r>
      <w:r w:rsidRPr="006D39C5">
        <w:t>).  Mammalian cells produce up to 80% of the commercially available therapeutic proteins (</w:t>
      </w:r>
      <w:r w:rsidR="27408AB7" w:rsidRPr="006D39C5">
        <w:t xml:space="preserve">e.g., </w:t>
      </w:r>
      <w:r w:rsidRPr="006D39C5">
        <w:t>monoclonal antibodies - mAbs), with Chinese Hamster Ovary (CHO) cells being the primary production host</w:t>
      </w:r>
      <w:r w:rsidR="006A5EDE" w:rsidRPr="006D39C5">
        <w:t xml:space="preserve"> </w:t>
      </w:r>
      <w:r w:rsidR="00FF49AE" w:rsidRPr="006D39C5">
        <w:t>(</w:t>
      </w:r>
      <w:r w:rsidR="006A5EDE" w:rsidRPr="006D39C5">
        <w:t>Al-Majmaie</w:t>
      </w:r>
      <w:r w:rsidR="00DD5115" w:rsidRPr="006D39C5">
        <w:t xml:space="preserve"> et al</w:t>
      </w:r>
      <w:r w:rsidR="00EB6C45" w:rsidRPr="006D39C5">
        <w:t>.</w:t>
      </w:r>
      <w:r w:rsidR="00FF49AE" w:rsidRPr="006D39C5">
        <w:t>,</w:t>
      </w:r>
      <w:r w:rsidR="00400823" w:rsidRPr="006D39C5">
        <w:t xml:space="preserve"> 2022</w:t>
      </w:r>
      <w:r w:rsidR="006A5EDE" w:rsidRPr="006D39C5">
        <w:t>)</w:t>
      </w:r>
      <w:r w:rsidRPr="006D39C5">
        <w:t xml:space="preserve">. The production of </w:t>
      </w:r>
      <w:r w:rsidR="00B9013C" w:rsidRPr="006D39C5">
        <w:t>mAbs</w:t>
      </w:r>
      <w:r w:rsidRPr="006D39C5">
        <w:t xml:space="preserve"> used in treating cancer and autoimmune diseases is a highly complex and nonlinear process with many correlated variables. The industry standard for control of this process involves PID control of pH, temperature, and dissolved oxygen tension</w:t>
      </w:r>
      <w:r w:rsidR="00991F62" w:rsidRPr="006D39C5">
        <w:t xml:space="preserve"> in the production bioreactor</w:t>
      </w:r>
      <w:r w:rsidRPr="006D39C5">
        <w:t>. However, these traditional control strategies fail to capture the complex dynamics of the process, leading to high batch-to-batch variability</w:t>
      </w:r>
      <w:r w:rsidR="00AF7615" w:rsidRPr="006D39C5">
        <w:t xml:space="preserve"> (Aehle et al., 2011)</w:t>
      </w:r>
      <w:r w:rsidRPr="006D39C5">
        <w:t xml:space="preserve">.  </w:t>
      </w:r>
    </w:p>
    <w:p w14:paraId="6378178E" w14:textId="4849B7F6" w:rsidR="00F16F8C" w:rsidRDefault="00F16F8C" w:rsidP="13D3C551">
      <w:pPr>
        <w:pStyle w:val="Els-body-text"/>
        <w:rPr>
          <w:lang w:val="en-GB"/>
        </w:rPr>
      </w:pPr>
      <w:r w:rsidRPr="006D39C5">
        <w:t>This is problematic in a highly regulated industry like biopharma</w:t>
      </w:r>
      <w:r w:rsidR="004C567E" w:rsidRPr="006D39C5">
        <w:t>ceuticals</w:t>
      </w:r>
      <w:r w:rsidRPr="006D39C5">
        <w:t>, which must ensure consistent and safe product</w:t>
      </w:r>
      <w:r w:rsidR="00BD166F">
        <w:t xml:space="preserve"> quality</w:t>
      </w:r>
      <w:r w:rsidRPr="006D39C5">
        <w:t xml:space="preserve">. </w:t>
      </w:r>
      <w:r w:rsidR="009B371D" w:rsidRPr="006D39C5">
        <w:t xml:space="preserve">The complexity of bioprocesses presents challenges in their mechanistic modelling and simulation. In addition, the absence of sufficient experimental data and the </w:t>
      </w:r>
      <w:r w:rsidR="001E325F" w:rsidRPr="006D39C5">
        <w:t>necessity</w:t>
      </w:r>
      <w:r w:rsidR="009B371D" w:rsidRPr="006D39C5">
        <w:t xml:space="preserve"> for </w:t>
      </w:r>
      <w:r w:rsidR="001E325F" w:rsidRPr="006D39C5">
        <w:t>interpretable</w:t>
      </w:r>
      <w:r w:rsidR="009B371D" w:rsidRPr="006D39C5">
        <w:t xml:space="preserve"> control policies </w:t>
      </w:r>
      <w:r w:rsidR="001E325F" w:rsidRPr="006D39C5">
        <w:t>restricts</w:t>
      </w:r>
      <w:r w:rsidR="009B371D" w:rsidRPr="006D39C5">
        <w:t xml:space="preserve"> the utilization of entirely data-</w:t>
      </w:r>
      <w:r w:rsidR="001E325F" w:rsidRPr="006D39C5">
        <w:t>driven</w:t>
      </w:r>
      <w:r w:rsidR="009B371D" w:rsidRPr="006D39C5">
        <w:t xml:space="preserve"> methods. </w:t>
      </w:r>
      <w:r w:rsidRPr="006D39C5">
        <w:t xml:space="preserve">Hence, hybrid </w:t>
      </w:r>
      <w:r w:rsidR="003B65E2">
        <w:t>models</w:t>
      </w:r>
      <w:r w:rsidR="003B65E2" w:rsidRPr="006D39C5">
        <w:t xml:space="preserve"> </w:t>
      </w:r>
      <w:r w:rsidRPr="006D39C5">
        <w:t>encompassing mechanistic and data-driven tools provide a suitable compromise</w:t>
      </w:r>
      <w:r w:rsidR="002C5172" w:rsidRPr="006D39C5">
        <w:t xml:space="preserve"> </w:t>
      </w:r>
      <w:r w:rsidR="00E43A7C" w:rsidRPr="006D39C5">
        <w:t>(</w:t>
      </w:r>
      <w:r w:rsidR="002C5172" w:rsidRPr="006D39C5">
        <w:t>Narayanan et al</w:t>
      </w:r>
      <w:r w:rsidR="00E43A7C" w:rsidRPr="006D39C5">
        <w:t>.,</w:t>
      </w:r>
      <w:r w:rsidR="002C5172" w:rsidRPr="006D39C5">
        <w:t xml:space="preserve"> 2020)</w:t>
      </w:r>
      <w:r w:rsidRPr="006D39C5">
        <w:t>. Yet, it is unclear how</w:t>
      </w:r>
      <w:r w:rsidR="00C619C9" w:rsidRPr="006D39C5">
        <w:t xml:space="preserve"> best</w:t>
      </w:r>
      <w:r w:rsidRPr="006D39C5">
        <w:t xml:space="preserve"> to integrate these two components</w:t>
      </w:r>
      <w:r w:rsidR="001E47FE" w:rsidRPr="006D39C5">
        <w:t xml:space="preserve"> and how to account for plant-model </w:t>
      </w:r>
      <w:r w:rsidR="00CB7A99" w:rsidRPr="006D39C5">
        <w:t>mismatch</w:t>
      </w:r>
      <w:r w:rsidR="009A5239" w:rsidRPr="006D39C5">
        <w:t xml:space="preserve"> that characterizes bioprocesses</w:t>
      </w:r>
      <w:r w:rsidRPr="006D39C5">
        <w:t xml:space="preserve">. </w:t>
      </w:r>
      <w:r w:rsidR="00651517" w:rsidRPr="006D39C5">
        <w:t xml:space="preserve">To this end, </w:t>
      </w:r>
      <w:r w:rsidR="00F02392" w:rsidRPr="006D39C5">
        <w:t>Petsagkourakis et</w:t>
      </w:r>
      <w:r w:rsidR="00E43A7C" w:rsidRPr="006D39C5">
        <w:t xml:space="preserve"> </w:t>
      </w:r>
      <w:r w:rsidR="00F02392" w:rsidRPr="006D39C5">
        <w:t>al</w:t>
      </w:r>
      <w:r w:rsidR="00E43A7C" w:rsidRPr="006D39C5">
        <w:t>.</w:t>
      </w:r>
      <w:r w:rsidR="00F02392" w:rsidRPr="006D39C5">
        <w:t xml:space="preserve"> (2020) propose</w:t>
      </w:r>
      <w:r w:rsidR="00651517" w:rsidRPr="006D39C5">
        <w:t>d</w:t>
      </w:r>
      <w:r w:rsidR="00F02392" w:rsidRPr="006D39C5">
        <w:t xml:space="preserve"> </w:t>
      </w:r>
      <w:r w:rsidR="00D60906" w:rsidRPr="006D39C5">
        <w:t xml:space="preserve">a methodology </w:t>
      </w:r>
      <w:r w:rsidR="006B0CF5" w:rsidRPr="006D39C5">
        <w:t>that leverages</w:t>
      </w:r>
      <w:r w:rsidR="00973E34" w:rsidRPr="006D39C5">
        <w:t xml:space="preserve"> </w:t>
      </w:r>
      <w:r w:rsidR="0045435A" w:rsidRPr="006D39C5">
        <w:t xml:space="preserve">a policy gradient algorithm to learn the </w:t>
      </w:r>
      <w:r w:rsidR="0045435A" w:rsidRPr="006D39C5">
        <w:lastRenderedPageBreak/>
        <w:t xml:space="preserve">optimal policy distribution of a ‘cheap’ </w:t>
      </w:r>
      <w:r w:rsidR="00B70CFA" w:rsidRPr="006D39C5">
        <w:t xml:space="preserve">simulation </w:t>
      </w:r>
      <w:r w:rsidR="0045435A" w:rsidRPr="006D39C5">
        <w:t>mode</w:t>
      </w:r>
      <w:r w:rsidR="001432B8" w:rsidRPr="006D39C5">
        <w:t xml:space="preserve">l, and then a separate transfer learning algorithm </w:t>
      </w:r>
      <w:r w:rsidR="00B70CFA" w:rsidRPr="006D39C5">
        <w:t xml:space="preserve">that transfers the optimal policy distribution to the real and more expensive simulation model. </w:t>
      </w:r>
      <w:r w:rsidR="00013CED" w:rsidRPr="006D39C5">
        <w:t xml:space="preserve">Mowbray et al. (2021) </w:t>
      </w:r>
      <w:r w:rsidR="000766AF" w:rsidRPr="006D39C5">
        <w:t>proposed a methodology that uses Gaussian processes</w:t>
      </w:r>
      <w:r w:rsidR="00A802D2" w:rsidRPr="006D39C5">
        <w:t xml:space="preserve"> for the offline simulation, and then uses the posterior uncertainty prediction to account for plant-model mismatch.</w:t>
      </w:r>
      <w:r w:rsidR="00DB7D3F" w:rsidRPr="006D39C5">
        <w:t xml:space="preserve"> </w:t>
      </w:r>
      <w:r w:rsidR="008568DD" w:rsidRPr="006D39C5">
        <w:t xml:space="preserve"> </w:t>
      </w:r>
      <w:r w:rsidR="00DB7D3F" w:rsidRPr="006D39C5">
        <w:t xml:space="preserve">Andersson et al. (2023) </w:t>
      </w:r>
      <w:r w:rsidR="00BD0CFD" w:rsidRPr="006D39C5">
        <w:t>leverage</w:t>
      </w:r>
      <w:r w:rsidR="00C56847" w:rsidRPr="006D39C5">
        <w:t>d</w:t>
      </w:r>
      <w:r w:rsidR="00BD0CFD" w:rsidRPr="006D39C5">
        <w:t xml:space="preserve"> a Deep Deterministic Policy Gradient-method (TD3) </w:t>
      </w:r>
      <w:r w:rsidR="008568DD" w:rsidRPr="006D39C5">
        <w:t xml:space="preserve">to determine the optimal policies of </w:t>
      </w:r>
      <w:r w:rsidR="001E325F" w:rsidRPr="006D39C5">
        <w:t>li</w:t>
      </w:r>
      <w:r w:rsidR="008568DD" w:rsidRPr="006D39C5">
        <w:t>quid chromatography columns</w:t>
      </w:r>
      <w:r w:rsidR="00E1395E" w:rsidRPr="006D39C5">
        <w:t>, and inputs random noise to the</w:t>
      </w:r>
      <w:r w:rsidR="009C568E">
        <w:t xml:space="preserve"> </w:t>
      </w:r>
      <w:r w:rsidR="009C568E" w:rsidRPr="006D39C5">
        <w:t>control</w:t>
      </w:r>
      <w:r w:rsidR="00E1395E" w:rsidRPr="006D39C5">
        <w:t xml:space="preserve"> actions.</w:t>
      </w:r>
      <w:r w:rsidR="0040084A" w:rsidRPr="006D39C5">
        <w:t xml:space="preserve"> </w:t>
      </w:r>
      <w:r w:rsidR="74C9DD1B" w:rsidRPr="006D39C5">
        <w:t>These works lay the foundation for applying reinforcement learning to more complex case studies that are representative of real industrial systems.</w:t>
      </w:r>
      <w:r w:rsidR="74C9DD1B">
        <w:t xml:space="preserve"> </w:t>
      </w:r>
    </w:p>
    <w:p w14:paraId="74790E31" w14:textId="494561C2" w:rsidR="00F16F8C" w:rsidRDefault="00F16F8C" w:rsidP="13D3C551">
      <w:pPr>
        <w:pStyle w:val="Els-body-text"/>
        <w:rPr>
          <w:lang w:val="en-GB"/>
        </w:rPr>
      </w:pPr>
      <w:r>
        <w:t>In this work, we propose a model-based reinforcement learning methodology to optimize the nutrient</w:t>
      </w:r>
      <w:r w:rsidR="00B96B29">
        <w:t xml:space="preserve"> </w:t>
      </w:r>
      <w:r>
        <w:t>feeding strategy</w:t>
      </w:r>
      <w:r w:rsidR="00B96B29">
        <w:t xml:space="preserve"> of mammalian cell culture producing recombinant therapeutic products</w:t>
      </w:r>
      <w:r>
        <w:t>. In reinforcement learning, an agent interacts with an environment and learns to act through trial and error. By receiving rewards for its actions, the agent develops a control policy based on the experiences gathered from the environment.  We define the environment as</w:t>
      </w:r>
      <w:r w:rsidR="00C04EDD">
        <w:t xml:space="preserve"> a</w:t>
      </w:r>
      <w:r>
        <w:t xml:space="preserve"> kinetic model of the production </w:t>
      </w:r>
      <w:r w:rsidR="004358A1">
        <w:t>bioreactor</w:t>
      </w:r>
      <w:r>
        <w:t xml:space="preserve">, simulating CHO cell growth and </w:t>
      </w:r>
      <w:r w:rsidR="00E66402">
        <w:t>m</w:t>
      </w:r>
      <w:r w:rsidR="004C3850">
        <w:t>A</w:t>
      </w:r>
      <w:r w:rsidR="00E66402">
        <w:t>b</w:t>
      </w:r>
      <w:r>
        <w:t xml:space="preserve"> production dynamics. The agent receives only partial state observations of the reactor. The observations include information on the concentration of amino acids, cell density, and antibody production - measurements commonly available offline during manufacturing</w:t>
      </w:r>
      <w:r w:rsidR="00DD68FD">
        <w:t xml:space="preserve"> and online or at-line during process development</w:t>
      </w:r>
      <w:r>
        <w:t>. The agent acts on the environment by manipulating the feeding strategy.</w:t>
      </w:r>
      <w:r w:rsidR="00034F18">
        <w:t xml:space="preserve"> </w:t>
      </w:r>
      <w:r>
        <w:t xml:space="preserve">Our results suggest that the proposed methodology can lead to </w:t>
      </w:r>
      <w:r w:rsidR="00882BE2">
        <w:t>an optimal control policy</w:t>
      </w:r>
      <w:r w:rsidR="008862C3">
        <w:t>.</w:t>
      </w:r>
      <w:r>
        <w:t xml:space="preserve"> By continuously learning from its environment,</w:t>
      </w:r>
      <w:r w:rsidR="008862C3">
        <w:t xml:space="preserve"> without having direct access to it,</w:t>
      </w:r>
      <w:r>
        <w:t xml:space="preserve"> the controller can adjust to changing conditions in real</w:t>
      </w:r>
      <w:r w:rsidR="009C507F">
        <w:t xml:space="preserve"> </w:t>
      </w:r>
      <w:r>
        <w:t xml:space="preserve">time, </w:t>
      </w:r>
      <w:r w:rsidR="00FD5301">
        <w:t xml:space="preserve">supporting </w:t>
      </w:r>
      <w:r>
        <w:t xml:space="preserve">optimal CHO cell growth and antibody production. This adaptability reduces inconsistencies in the production process, leading to more reliable and predictable outcomes. </w:t>
      </w:r>
    </w:p>
    <w:p w14:paraId="144DE699" w14:textId="1DD1CB36" w:rsidR="008D2649" w:rsidRDefault="00960618" w:rsidP="008D2649">
      <w:pPr>
        <w:pStyle w:val="Els-1storder-head"/>
      </w:pPr>
      <w:r>
        <w:t>Methodology</w:t>
      </w:r>
    </w:p>
    <w:p w14:paraId="47EED0C6" w14:textId="133E63BC" w:rsidR="00960618" w:rsidRDefault="00960618" w:rsidP="00960618">
      <w:pPr>
        <w:pStyle w:val="Els-body-text"/>
      </w:pPr>
      <w:r>
        <w:t xml:space="preserve">Figure 1 depicts the implemented controller. The workflow </w:t>
      </w:r>
      <w:r w:rsidR="009C507F">
        <w:t>structure is</w:t>
      </w:r>
      <w:r>
        <w:t xml:space="preserve"> as follows:</w:t>
      </w:r>
    </w:p>
    <w:p w14:paraId="2FCC21FC" w14:textId="712AF773" w:rsidR="00960618" w:rsidRDefault="00960618" w:rsidP="00960618">
      <w:pPr>
        <w:pStyle w:val="Els-body-text"/>
      </w:pPr>
      <w:r>
        <w:t>1.</w:t>
      </w:r>
      <w:r w:rsidR="00017C02">
        <w:t xml:space="preserve"> </w:t>
      </w:r>
      <w:r>
        <w:t xml:space="preserve">Initiate the </w:t>
      </w:r>
      <w:r w:rsidR="007D57DE">
        <w:t>environment.</w:t>
      </w:r>
    </w:p>
    <w:p w14:paraId="45408328" w14:textId="7447FCF7" w:rsidR="00960618" w:rsidRDefault="00960618" w:rsidP="00960618">
      <w:pPr>
        <w:pStyle w:val="Els-body-text"/>
      </w:pPr>
      <w:r>
        <w:t>2.</w:t>
      </w:r>
      <w:r w:rsidR="00017C02">
        <w:t xml:space="preserve"> </w:t>
      </w:r>
      <w:r>
        <w:t xml:space="preserve">Simulate the environment for the duration of one </w:t>
      </w:r>
      <w:r w:rsidR="007D57DE">
        <w:t>step.</w:t>
      </w:r>
    </w:p>
    <w:p w14:paraId="33D4ABD0" w14:textId="38DEDF57" w:rsidR="00C06276" w:rsidRDefault="00960618" w:rsidP="00960618">
      <w:pPr>
        <w:pStyle w:val="Els-body-text"/>
      </w:pPr>
      <w:r>
        <w:t>3.</w:t>
      </w:r>
      <w:r w:rsidR="00017C02">
        <w:t xml:space="preserve"> </w:t>
      </w:r>
      <w:r>
        <w:t>Provide the state</w:t>
      </w:r>
      <w:r w:rsidR="009E610B">
        <w:t>,</w:t>
      </w:r>
      <w:r>
        <w:t xml:space="preserve"> </w:t>
      </w:r>
      <w:r w:rsidR="00174A9A">
        <w:t>s</w:t>
      </w:r>
      <w:r w:rsidRPr="003B7D6C">
        <w:rPr>
          <w:vertAlign w:val="subscript"/>
        </w:rPr>
        <w:t>t</w:t>
      </w:r>
      <w:r w:rsidR="009E610B">
        <w:t xml:space="preserve">, </w:t>
      </w:r>
      <w:r>
        <w:t>to the agent and</w:t>
      </w:r>
      <w:r w:rsidR="006E3D41">
        <w:t xml:space="preserve"> calculate the reward</w:t>
      </w:r>
      <w:r w:rsidR="009E610B">
        <w:t>,</w:t>
      </w:r>
      <w:r w:rsidR="006E3D41">
        <w:t xml:space="preserve"> </w:t>
      </w:r>
      <w:r w:rsidR="00174A9A">
        <w:t>r</w:t>
      </w:r>
      <w:r w:rsidR="006E3D41" w:rsidRPr="003B7D6C">
        <w:rPr>
          <w:vertAlign w:val="subscript"/>
        </w:rPr>
        <w:t>t</w:t>
      </w:r>
      <w:r w:rsidR="006E3D41">
        <w:t>.</w:t>
      </w:r>
    </w:p>
    <w:p w14:paraId="670DE8B8" w14:textId="3485C36E" w:rsidR="000924EF" w:rsidRDefault="00C06276" w:rsidP="00960618">
      <w:pPr>
        <w:pStyle w:val="Els-body-text"/>
      </w:pPr>
      <w:r>
        <w:t xml:space="preserve">4. </w:t>
      </w:r>
      <w:r w:rsidR="000924EF">
        <w:t>Perform soft policy iteration</w:t>
      </w:r>
    </w:p>
    <w:p w14:paraId="7D21A17F" w14:textId="7CBA21D5" w:rsidR="00960618" w:rsidRDefault="00EE3C0F" w:rsidP="00960618">
      <w:pPr>
        <w:pStyle w:val="Els-body-text"/>
      </w:pPr>
      <w:r>
        <w:t xml:space="preserve">5. </w:t>
      </w:r>
      <w:r w:rsidR="003323B6">
        <w:t>Provide</w:t>
      </w:r>
      <w:r w:rsidR="00960618">
        <w:t xml:space="preserve"> action </w:t>
      </w:r>
      <w:r w:rsidR="00174A9A">
        <w:t>a</w:t>
      </w:r>
      <w:r w:rsidR="007D57DE" w:rsidRPr="003B7D6C">
        <w:rPr>
          <w:vertAlign w:val="subscript"/>
        </w:rPr>
        <w:t>t</w:t>
      </w:r>
      <w:r w:rsidR="00960618" w:rsidRPr="003B7D6C">
        <w:rPr>
          <w:vertAlign w:val="subscript"/>
        </w:rPr>
        <w:t xml:space="preserve"> </w:t>
      </w:r>
      <w:r w:rsidR="00ED5D5B">
        <w:t>to</w:t>
      </w:r>
      <w:r w:rsidR="00960618">
        <w:t xml:space="preserve"> the environment</w:t>
      </w:r>
      <w:r w:rsidR="007D57DE">
        <w:t>.</w:t>
      </w:r>
    </w:p>
    <w:p w14:paraId="19A4CEAB" w14:textId="1DB81C96" w:rsidR="00017C02" w:rsidRDefault="006E3D41" w:rsidP="00960618">
      <w:pPr>
        <w:pStyle w:val="Els-body-text"/>
      </w:pPr>
      <w:r>
        <w:t>6</w:t>
      </w:r>
      <w:r w:rsidR="00960618">
        <w:t>.</w:t>
      </w:r>
      <w:r w:rsidR="00017C02">
        <w:t xml:space="preserve"> </w:t>
      </w:r>
      <w:r w:rsidR="00960618">
        <w:t xml:space="preserve">Redo steps </w:t>
      </w:r>
      <w:r w:rsidR="006D6A1A">
        <w:t>2</w:t>
      </w:r>
      <w:r w:rsidR="00960618">
        <w:t>-</w:t>
      </w:r>
      <w:r w:rsidR="006D6A1A">
        <w:t>5</w:t>
      </w:r>
      <w:r w:rsidR="00960618">
        <w:t xml:space="preserve"> until </w:t>
      </w:r>
      <w:r w:rsidR="004274F0">
        <w:t xml:space="preserve">the </w:t>
      </w:r>
      <w:r w:rsidR="007E0759">
        <w:t>end of the batch</w:t>
      </w:r>
      <w:r w:rsidR="00960618">
        <w:t>.</w:t>
      </w:r>
    </w:p>
    <w:p w14:paraId="57F685C3" w14:textId="14E64509" w:rsidR="00960618" w:rsidRDefault="006E3D41" w:rsidP="00960618">
      <w:pPr>
        <w:pStyle w:val="Els-body-text"/>
      </w:pPr>
      <w:r>
        <w:t>7</w:t>
      </w:r>
      <w:r w:rsidR="00017C02">
        <w:t xml:space="preserve">. Reset the environment </w:t>
      </w:r>
      <w:r w:rsidR="007E0759">
        <w:t>with new initial conditions and parameters. Redo steps 1-</w:t>
      </w:r>
      <w:r w:rsidR="006D6A1A">
        <w:t>6</w:t>
      </w:r>
      <w:r w:rsidR="007E0759">
        <w:t xml:space="preserve"> until </w:t>
      </w:r>
      <w:r w:rsidR="007D57DE">
        <w:t>the stop</w:t>
      </w:r>
      <w:r w:rsidR="007E0759">
        <w:t xml:space="preserve"> criteri</w:t>
      </w:r>
      <w:r w:rsidR="00CA1E01">
        <w:t>on</w:t>
      </w:r>
      <w:r w:rsidR="007E0759">
        <w:t xml:space="preserve"> is satisfied. </w:t>
      </w:r>
      <w:r w:rsidR="00017C02">
        <w:t xml:space="preserve"> </w:t>
      </w:r>
    </w:p>
    <w:p w14:paraId="6D410EDE" w14:textId="77777777" w:rsidR="00960618" w:rsidRDefault="00960618" w:rsidP="00960618">
      <w:pPr>
        <w:pStyle w:val="Els-body-text"/>
      </w:pPr>
    </w:p>
    <w:p w14:paraId="60A5FCF1" w14:textId="374C7D06" w:rsidR="00960618" w:rsidRDefault="0028018A" w:rsidP="00224319">
      <w:pPr>
        <w:pStyle w:val="Els-body-text"/>
        <w:keepNext/>
        <w:jc w:val="center"/>
      </w:pPr>
      <w:r w:rsidRPr="0028018A">
        <w:rPr>
          <w:noProof/>
        </w:rPr>
        <w:drawing>
          <wp:inline distT="0" distB="0" distL="0" distR="0" wp14:anchorId="0C652F3E" wp14:editId="2AA268D4">
            <wp:extent cx="4499610" cy="1417955"/>
            <wp:effectExtent l="0" t="0" r="0" b="0"/>
            <wp:docPr id="912322468" name="Picture 912322468"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322468" name="Picture 1" descr="A diagram of a company&#10;&#10;Description automatically generated"/>
                    <pic:cNvPicPr/>
                  </pic:nvPicPr>
                  <pic:blipFill>
                    <a:blip r:embed="rId8"/>
                    <a:stretch>
                      <a:fillRect/>
                    </a:stretch>
                  </pic:blipFill>
                  <pic:spPr>
                    <a:xfrm>
                      <a:off x="0" y="0"/>
                      <a:ext cx="4499610" cy="1417955"/>
                    </a:xfrm>
                    <a:prstGeom prst="rect">
                      <a:avLst/>
                    </a:prstGeom>
                  </pic:spPr>
                </pic:pic>
              </a:graphicData>
            </a:graphic>
          </wp:inline>
        </w:drawing>
      </w:r>
    </w:p>
    <w:p w14:paraId="046D754B" w14:textId="76219F19" w:rsidR="00960618" w:rsidRDefault="00960618" w:rsidP="00960618">
      <w:pPr>
        <w:pStyle w:val="Caption"/>
        <w:jc w:val="center"/>
      </w:pPr>
      <w:r>
        <w:t xml:space="preserve">Figure </w:t>
      </w:r>
      <w:r>
        <w:fldChar w:fldCharType="begin"/>
      </w:r>
      <w:r>
        <w:instrText xml:space="preserve"> SEQ Figure \* ARABIC </w:instrText>
      </w:r>
      <w:r>
        <w:fldChar w:fldCharType="separate"/>
      </w:r>
      <w:r w:rsidR="007F357D">
        <w:rPr>
          <w:noProof/>
        </w:rPr>
        <w:t>1</w:t>
      </w:r>
      <w:r>
        <w:fldChar w:fldCharType="end"/>
      </w:r>
      <w:r>
        <w:t xml:space="preserve"> Controller Steps</w:t>
      </w:r>
    </w:p>
    <w:p w14:paraId="6D82D1EF" w14:textId="416F6D25" w:rsidR="00ED3A1F" w:rsidRPr="009C32ED" w:rsidRDefault="00714869" w:rsidP="00ED3A1F">
      <w:pPr>
        <w:pStyle w:val="Els-body-text"/>
        <w:rPr>
          <w:iCs/>
        </w:rPr>
      </w:pPr>
      <w:r>
        <w:lastRenderedPageBreak/>
        <w:t>The stop criteri</w:t>
      </w:r>
      <w:r w:rsidR="00B573B9">
        <w:t>on</w:t>
      </w:r>
      <w:r>
        <w:t xml:space="preserve"> </w:t>
      </w:r>
      <w:r w:rsidR="00B573B9">
        <w:t xml:space="preserve">is met when </w:t>
      </w:r>
      <w:r>
        <w:t xml:space="preserve">the training </w:t>
      </w:r>
      <w:r w:rsidRPr="006D39C5">
        <w:t>reach</w:t>
      </w:r>
      <w:r w:rsidR="00B573B9" w:rsidRPr="006D39C5">
        <w:t>es</w:t>
      </w:r>
      <w:r w:rsidRPr="006D39C5">
        <w:t xml:space="preserve"> </w:t>
      </w:r>
      <w:r w:rsidR="00A90055" w:rsidRPr="006D39C5">
        <w:t>15000</w:t>
      </w:r>
      <w:r w:rsidRPr="006D39C5">
        <w:t xml:space="preserve"> steps</w:t>
      </w:r>
      <w:r w:rsidR="00763B1C">
        <w:t xml:space="preserve">, where each step is an 8-hour period of a batch operation (which lasts 2 weeks). </w:t>
      </w:r>
      <w:r>
        <w:t xml:space="preserve"> </w:t>
      </w:r>
    </w:p>
    <w:p w14:paraId="27CDF37A" w14:textId="570AB843" w:rsidR="00960618" w:rsidRDefault="005027BD" w:rsidP="00960618">
      <w:pPr>
        <w:pStyle w:val="Els-2ndorder-head"/>
      </w:pPr>
      <w:r>
        <w:t>Environment</w:t>
      </w:r>
    </w:p>
    <w:p w14:paraId="2E517AAC" w14:textId="70B7CACD" w:rsidR="00960618" w:rsidRPr="006D39C5" w:rsidRDefault="004274F0" w:rsidP="00960618">
      <w:pPr>
        <w:pStyle w:val="Els-body-text"/>
      </w:pPr>
      <w:r>
        <w:t xml:space="preserve">The </w:t>
      </w:r>
      <w:r w:rsidR="00E63F6E">
        <w:t>simulation model</w:t>
      </w:r>
      <w:r w:rsidR="008A1DB8">
        <w:t xml:space="preserve">, </w:t>
      </w:r>
      <w:r>
        <w:t>defined as a</w:t>
      </w:r>
      <w:r w:rsidR="008A1DB8">
        <w:t xml:space="preserve"> gym </w:t>
      </w:r>
      <w:r w:rsidR="008A1DB8" w:rsidRPr="006D39C5">
        <w:t>environment</w:t>
      </w:r>
      <w:r w:rsidR="00444C1E" w:rsidRPr="006D39C5">
        <w:t xml:space="preserve"> </w:t>
      </w:r>
      <w:r w:rsidR="00EB6C45" w:rsidRPr="006D39C5">
        <w:t>(</w:t>
      </w:r>
      <w:r w:rsidR="00444C1E" w:rsidRPr="006D39C5">
        <w:t>Brockman et al.</w:t>
      </w:r>
      <w:r w:rsidR="00EB6C45" w:rsidRPr="006D39C5">
        <w:t xml:space="preserve">, </w:t>
      </w:r>
      <w:r w:rsidR="00444C1E" w:rsidRPr="006D39C5">
        <w:t>2016)</w:t>
      </w:r>
      <w:r w:rsidR="008A1DB8" w:rsidRPr="006D39C5">
        <w:t>, is a</w:t>
      </w:r>
      <w:r w:rsidRPr="006D39C5">
        <w:t xml:space="preserve"> kinetic model</w:t>
      </w:r>
      <w:r w:rsidR="00A43FA7" w:rsidRPr="006D39C5">
        <w:t xml:space="preserve"> of a fed-batch reactor</w:t>
      </w:r>
      <w:r w:rsidRPr="006D39C5">
        <w:t xml:space="preserve"> </w:t>
      </w:r>
      <w:r w:rsidR="00DB7D01" w:rsidRPr="006D39C5">
        <w:t xml:space="preserve">describing the </w:t>
      </w:r>
      <w:r w:rsidR="00A901CB" w:rsidRPr="006D39C5">
        <w:t xml:space="preserve">material balances of the cells, </w:t>
      </w:r>
      <w:r w:rsidR="00150A5A" w:rsidRPr="006D39C5">
        <w:t>nutrients,</w:t>
      </w:r>
      <w:r w:rsidR="00A901CB" w:rsidRPr="006D39C5">
        <w:t xml:space="preserve"> and metabolites.</w:t>
      </w:r>
      <w:r w:rsidR="00A43FA7" w:rsidRPr="006D39C5">
        <w:t xml:space="preserve"> </w:t>
      </w:r>
      <w:r w:rsidR="00F32D98" w:rsidRPr="006D39C5">
        <w:t>The model, described in detail</w:t>
      </w:r>
      <w:r w:rsidR="00CF7825" w:rsidRPr="006D39C5">
        <w:t xml:space="preserve"> in </w:t>
      </w:r>
      <w:r w:rsidR="00F32D98" w:rsidRPr="006D39C5">
        <w:t xml:space="preserve">Monteiro </w:t>
      </w:r>
      <w:r w:rsidR="001E325F" w:rsidRPr="006D39C5">
        <w:t>et al.</w:t>
      </w:r>
      <w:r w:rsidR="00742F99" w:rsidRPr="006D39C5">
        <w:t xml:space="preserve"> (</w:t>
      </w:r>
      <w:r w:rsidR="00F32D98" w:rsidRPr="006D39C5">
        <w:t>2023</w:t>
      </w:r>
      <w:r w:rsidR="00CF7825" w:rsidRPr="006D39C5">
        <w:t>)</w:t>
      </w:r>
      <w:r w:rsidR="00F32D98" w:rsidRPr="006D39C5">
        <w:t xml:space="preserve">, was parameterized and validated with experimental data. </w:t>
      </w:r>
      <w:r w:rsidR="00BE0D10" w:rsidRPr="006D39C5">
        <w:rPr>
          <w:lang w:val="en-GB"/>
        </w:rPr>
        <w:t xml:space="preserve">The state, </w:t>
      </w:r>
      <w:r w:rsidR="00174A9A">
        <w:rPr>
          <w:lang w:val="en-GB"/>
        </w:rPr>
        <w:t>s</w:t>
      </w:r>
      <w:r w:rsidR="00BE0D10" w:rsidRPr="00174A9A">
        <w:rPr>
          <w:vertAlign w:val="subscript"/>
          <w:lang w:val="en-GB"/>
        </w:rPr>
        <w:t>t</w:t>
      </w:r>
      <w:r w:rsidR="00BE0D10" w:rsidRPr="006D39C5">
        <w:rPr>
          <w:lang w:val="en-GB"/>
        </w:rPr>
        <w:t xml:space="preserve">, corresponds to the measurable variables of the environment, </w:t>
      </w:r>
      <w:r w:rsidR="00DD68FD" w:rsidRPr="006D39C5">
        <w:rPr>
          <w:lang w:val="en-GB"/>
        </w:rPr>
        <w:t>metabolites,</w:t>
      </w:r>
      <w:r w:rsidR="00BE0D10" w:rsidRPr="006D39C5">
        <w:rPr>
          <w:lang w:val="en-GB"/>
        </w:rPr>
        <w:t xml:space="preserve"> and biomass concentrations</w:t>
      </w:r>
      <w:r w:rsidR="00763B1C">
        <w:rPr>
          <w:lang w:val="en-GB"/>
        </w:rPr>
        <w:t xml:space="preserve"> (in total, 26 variables)</w:t>
      </w:r>
      <w:r w:rsidR="00BE0D10" w:rsidRPr="006D39C5">
        <w:rPr>
          <w:lang w:val="en-GB"/>
        </w:rPr>
        <w:t>. The action</w:t>
      </w:r>
      <w:r w:rsidR="00EB115B">
        <w:rPr>
          <w:lang w:val="en-GB"/>
        </w:rPr>
        <w:t>s</w:t>
      </w:r>
      <w:r w:rsidR="00BE0D10" w:rsidRPr="006D39C5">
        <w:rPr>
          <w:lang w:val="en-GB"/>
        </w:rPr>
        <w:t xml:space="preserve">, </w:t>
      </w:r>
      <w:r w:rsidR="00174A9A">
        <w:rPr>
          <w:lang w:val="en-GB"/>
        </w:rPr>
        <w:t>a</w:t>
      </w:r>
      <w:r w:rsidR="00BE0D10" w:rsidRPr="00174A9A">
        <w:rPr>
          <w:vertAlign w:val="subscript"/>
          <w:lang w:val="en-GB"/>
        </w:rPr>
        <w:t>t</w:t>
      </w:r>
      <w:r w:rsidR="00BE0D10" w:rsidRPr="006D39C5">
        <w:rPr>
          <w:lang w:val="en-GB"/>
        </w:rPr>
        <w:t xml:space="preserve">, </w:t>
      </w:r>
      <w:r w:rsidR="00EB115B">
        <w:rPr>
          <w:lang w:val="en-GB"/>
        </w:rPr>
        <w:t>are</w:t>
      </w:r>
      <w:r w:rsidR="00BE0D10" w:rsidRPr="006D39C5">
        <w:rPr>
          <w:lang w:val="en-GB"/>
        </w:rPr>
        <w:t xml:space="preserve"> the variables the agent can manipulate </w:t>
      </w:r>
      <w:r w:rsidR="00D91AD4" w:rsidRPr="006D39C5">
        <w:rPr>
          <w:lang w:val="en-GB"/>
        </w:rPr>
        <w:t>to</w:t>
      </w:r>
      <w:r w:rsidR="00BE0D10" w:rsidRPr="006D39C5">
        <w:rPr>
          <w:lang w:val="en-GB"/>
        </w:rPr>
        <w:t xml:space="preserve"> reach a specific objective. In this case, </w:t>
      </w:r>
      <w:r w:rsidR="00EB115B">
        <w:rPr>
          <w:lang w:val="en-GB"/>
        </w:rPr>
        <w:t xml:space="preserve">they are the </w:t>
      </w:r>
      <w:r w:rsidR="00BE0D10" w:rsidRPr="006D39C5">
        <w:rPr>
          <w:lang w:val="en-GB"/>
        </w:rPr>
        <w:t>volume in</w:t>
      </w:r>
      <w:r w:rsidR="00742F99" w:rsidRPr="006D39C5">
        <w:rPr>
          <w:lang w:val="en-GB"/>
        </w:rPr>
        <w:t xml:space="preserve"> and </w:t>
      </w:r>
      <w:r w:rsidR="00BE0D10" w:rsidRPr="006D39C5">
        <w:rPr>
          <w:lang w:val="en-GB"/>
        </w:rPr>
        <w:t>out, which correspond to the typical manipulated variables available during manufacturing.</w:t>
      </w:r>
      <w:r w:rsidR="00D6298A" w:rsidRPr="006D39C5">
        <w:rPr>
          <w:lang w:val="en-GB"/>
        </w:rPr>
        <w:t xml:space="preserve"> Both the action and the observation spaces are defined as continuous (a ‘box’) with lower and upper bounds of [</w:t>
      </w:r>
      <w:r w:rsidR="006B5BD1" w:rsidRPr="006D39C5">
        <w:rPr>
          <w:lang w:val="en-GB"/>
        </w:rPr>
        <w:t xml:space="preserve">-1,1]. It is advised to scale the bounds as </w:t>
      </w:r>
      <w:r w:rsidR="004045C4" w:rsidRPr="006D39C5">
        <w:rPr>
          <w:lang w:val="en-GB"/>
        </w:rPr>
        <w:t>the policy</w:t>
      </w:r>
      <w:r w:rsidR="006B5BD1" w:rsidRPr="006D39C5">
        <w:rPr>
          <w:lang w:val="en-GB"/>
        </w:rPr>
        <w:t xml:space="preserve"> algorithm </w:t>
      </w:r>
      <w:r w:rsidR="004045C4" w:rsidRPr="006D39C5">
        <w:rPr>
          <w:lang w:val="en-GB"/>
        </w:rPr>
        <w:t>is</w:t>
      </w:r>
      <w:r w:rsidR="006B5BD1" w:rsidRPr="006D39C5">
        <w:rPr>
          <w:lang w:val="en-GB"/>
        </w:rPr>
        <w:t xml:space="preserve"> based on Gaussian processes</w:t>
      </w:r>
      <w:r w:rsidR="004045C4" w:rsidRPr="006D39C5">
        <w:rPr>
          <w:lang w:val="en-GB"/>
        </w:rPr>
        <w:t xml:space="preserve"> (see subsection</w:t>
      </w:r>
      <w:r w:rsidR="00B76CA0" w:rsidRPr="006D39C5">
        <w:rPr>
          <w:lang w:val="en-GB"/>
        </w:rPr>
        <w:t xml:space="preserve"> 2.2</w:t>
      </w:r>
      <w:r w:rsidR="004045C4" w:rsidRPr="006D39C5">
        <w:rPr>
          <w:lang w:val="en-GB"/>
        </w:rPr>
        <w:t>)</w:t>
      </w:r>
      <w:r w:rsidR="006B5BD1" w:rsidRPr="006D39C5">
        <w:rPr>
          <w:lang w:val="en-GB"/>
        </w:rPr>
        <w:t>.</w:t>
      </w:r>
      <w:r w:rsidR="00B76CA0" w:rsidRPr="006D39C5">
        <w:rPr>
          <w:lang w:val="en-GB"/>
        </w:rPr>
        <w:t xml:space="preserve"> </w:t>
      </w:r>
      <w:r w:rsidR="00081EFD" w:rsidRPr="006D39C5">
        <w:t>To en</w:t>
      </w:r>
      <w:r w:rsidR="00723B18" w:rsidRPr="006D39C5">
        <w:t>sure</w:t>
      </w:r>
      <w:r w:rsidR="00150A5A" w:rsidRPr="006D39C5">
        <w:t xml:space="preserve"> </w:t>
      </w:r>
      <w:r w:rsidR="00CE3CB6" w:rsidRPr="006D39C5">
        <w:t xml:space="preserve">that the controller receives </w:t>
      </w:r>
      <w:r w:rsidR="007F1647" w:rsidRPr="006D39C5">
        <w:t xml:space="preserve">different process conditions at each new batch, the kinetic parameters and initial conditions are varied </w:t>
      </w:r>
      <w:r w:rsidR="00A22873" w:rsidRPr="006D39C5">
        <w:t xml:space="preserve">randomly </w:t>
      </w:r>
      <w:r w:rsidR="00460CC4" w:rsidRPr="006D39C5">
        <w:t>±</w:t>
      </w:r>
      <w:r w:rsidR="00A22873" w:rsidRPr="006D39C5">
        <w:t xml:space="preserve"> 5%.</w:t>
      </w:r>
      <w:r w:rsidR="00723B18" w:rsidRPr="006D39C5">
        <w:t xml:space="preserve"> </w:t>
      </w:r>
    </w:p>
    <w:p w14:paraId="06DB8B93" w14:textId="77777777" w:rsidR="005027BD" w:rsidRPr="006D39C5" w:rsidRDefault="005027BD" w:rsidP="00960618">
      <w:pPr>
        <w:pStyle w:val="Els-2ndorder-head"/>
      </w:pPr>
      <w:r w:rsidRPr="006D39C5">
        <w:t>Agent</w:t>
      </w:r>
    </w:p>
    <w:p w14:paraId="29C4C88D" w14:textId="703848DE" w:rsidR="002F58A0" w:rsidRDefault="00586552" w:rsidP="007B5DFE">
      <w:pPr>
        <w:pStyle w:val="Els-body-text"/>
        <w:rPr>
          <w:lang w:val="en-GB"/>
        </w:rPr>
      </w:pPr>
      <w:r w:rsidRPr="006D39C5">
        <w:rPr>
          <w:lang w:val="en-GB"/>
        </w:rPr>
        <w:t xml:space="preserve">The agent is trained according to the Soft Actor-Critic (SAC) </w:t>
      </w:r>
      <w:r w:rsidR="00EB6C45" w:rsidRPr="006D39C5">
        <w:rPr>
          <w:lang w:val="en-GB"/>
        </w:rPr>
        <w:t>(</w:t>
      </w:r>
      <w:r w:rsidRPr="006D39C5">
        <w:rPr>
          <w:lang w:val="en-GB"/>
        </w:rPr>
        <w:t>Haarnoja et al.</w:t>
      </w:r>
      <w:r w:rsidR="00EB6C45" w:rsidRPr="006D39C5">
        <w:rPr>
          <w:lang w:val="en-GB"/>
        </w:rPr>
        <w:t xml:space="preserve">, </w:t>
      </w:r>
      <w:r w:rsidRPr="006D39C5">
        <w:rPr>
          <w:lang w:val="en-GB"/>
        </w:rPr>
        <w:t>2018), an off-policy algorithm capable of handling a continuous action space. For that, w</w:t>
      </w:r>
      <w:r w:rsidR="00D317EA" w:rsidRPr="006D39C5">
        <w:rPr>
          <w:lang w:val="en-GB"/>
        </w:rPr>
        <w:t>e consider</w:t>
      </w:r>
      <w:r w:rsidR="00860D80" w:rsidRPr="006D39C5">
        <w:rPr>
          <w:lang w:val="en-GB"/>
        </w:rPr>
        <w:t xml:space="preserve"> </w:t>
      </w:r>
      <w:r w:rsidRPr="006D39C5">
        <w:rPr>
          <w:lang w:val="en-GB"/>
        </w:rPr>
        <w:t>our system</w:t>
      </w:r>
      <w:r w:rsidR="00F03B46" w:rsidRPr="006D39C5">
        <w:rPr>
          <w:lang w:val="en-GB"/>
        </w:rPr>
        <w:t xml:space="preserve"> to follow Markov decision process (MDP) defined by (S, A, p,</w:t>
      </w:r>
      <w:r w:rsidR="00C65966" w:rsidRPr="006D39C5">
        <w:rPr>
          <w:lang w:val="en-GB"/>
        </w:rPr>
        <w:t xml:space="preserve"> r), where</w:t>
      </w:r>
      <w:r w:rsidR="00C65966">
        <w:rPr>
          <w:lang w:val="en-GB"/>
        </w:rPr>
        <w:t xml:space="preserve"> S is the state-space, A, the action space, p the probability of transition between spaces and r the </w:t>
      </w:r>
      <w:r w:rsidR="003E2D33">
        <w:rPr>
          <w:lang w:val="en-GB"/>
        </w:rPr>
        <w:t xml:space="preserve">reward from each transition. </w:t>
      </w:r>
      <w:r w:rsidR="005C227A">
        <w:rPr>
          <w:lang w:val="en-GB"/>
        </w:rPr>
        <w:t xml:space="preserve">The policy is defined by </w:t>
      </w:r>
      <m:oMath>
        <m:r>
          <w:rPr>
            <w:rFonts w:ascii="Cambria Math" w:hAnsi="Cambria Math"/>
            <w:lang w:val="en-GB"/>
          </w:rPr>
          <m:t>π</m:t>
        </m:r>
      </m:oMath>
      <w:r w:rsidR="005C227A">
        <w:rPr>
          <w:lang w:val="en-GB"/>
        </w:rPr>
        <w:t xml:space="preserve">, and </w:t>
      </w:r>
      <w:r w:rsidR="00E8685F">
        <w:rPr>
          <w:lang w:val="en-GB"/>
        </w:rPr>
        <w:t xml:space="preserve">the </w:t>
      </w:r>
      <m:oMath>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π</m:t>
            </m:r>
          </m:sub>
        </m:sSub>
      </m:oMath>
      <w:r w:rsidR="00E8685F">
        <w:rPr>
          <w:lang w:val="en-GB"/>
        </w:rPr>
        <w:t xml:space="preserve"> the </w:t>
      </w:r>
      <w:r w:rsidR="008A5AD4">
        <w:rPr>
          <w:lang w:val="en-GB"/>
        </w:rPr>
        <w:t>trajectories distributions, with regards to a policy.</w:t>
      </w:r>
      <w:r>
        <w:rPr>
          <w:lang w:val="en-GB"/>
        </w:rPr>
        <w:t xml:space="preserve"> </w:t>
      </w:r>
      <w:r w:rsidR="006F2F70">
        <w:rPr>
          <w:lang w:val="en-GB"/>
        </w:rPr>
        <w:t xml:space="preserve">The RL agent </w:t>
      </w:r>
      <w:r w:rsidR="009065C0">
        <w:rPr>
          <w:lang w:val="en-GB"/>
        </w:rPr>
        <w:t xml:space="preserve">learns the optimal policies by maximizing the expected sum of rewards  </w:t>
      </w:r>
      <m:oMath>
        <m:nary>
          <m:naryPr>
            <m:chr m:val="∑"/>
            <m:limLoc m:val="undOvr"/>
            <m:ctrlPr>
              <w:rPr>
                <w:rFonts w:ascii="Cambria Math" w:hAnsi="Cambria Math"/>
                <w:i/>
                <w:lang w:val="en-GB"/>
              </w:rPr>
            </m:ctrlPr>
          </m:naryPr>
          <m:sub>
            <m:r>
              <w:rPr>
                <w:rFonts w:ascii="Cambria Math" w:hAnsi="Cambria Math"/>
                <w:lang w:val="en-GB"/>
              </w:rPr>
              <m:t>t=0</m:t>
            </m:r>
          </m:sub>
          <m:sup>
            <m:r>
              <w:rPr>
                <w:rFonts w:ascii="Cambria Math" w:hAnsi="Cambria Math"/>
                <w:lang w:val="en-GB"/>
              </w:rPr>
              <m:t>T</m:t>
            </m:r>
          </m:sup>
          <m:e>
            <m:sSub>
              <m:sSubPr>
                <m:ctrlPr>
                  <w:rPr>
                    <w:rFonts w:ascii="Cambria Math" w:hAnsi="Cambria Math"/>
                    <w:i/>
                    <w:lang w:val="en-GB"/>
                  </w:rPr>
                </m:ctrlPr>
              </m:sSubPr>
              <m:e>
                <m:r>
                  <w:rPr>
                    <w:rFonts w:ascii="Cambria Math" w:hAnsi="Cambria Math"/>
                    <w:lang w:val="en-GB"/>
                  </w:rPr>
                  <m:t>E</m:t>
                </m:r>
              </m:e>
              <m:sub>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π</m:t>
                    </m:r>
                  </m:sub>
                </m:sSub>
              </m:sub>
            </m:sSub>
            <m:d>
              <m:dPr>
                <m:begChr m:val="["/>
                <m:endChr m:val="]"/>
                <m:ctrlPr>
                  <w:rPr>
                    <w:rFonts w:ascii="Cambria Math" w:hAnsi="Cambria Math"/>
                    <w:i/>
                    <w:lang w:val="en-GB"/>
                  </w:rPr>
                </m:ctrlPr>
              </m:dPr>
              <m:e>
                <m:r>
                  <w:rPr>
                    <w:rFonts w:ascii="Cambria Math" w:hAnsi="Cambria Math"/>
                    <w:lang w:val="en-GB"/>
                  </w:rPr>
                  <m:t>r</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t</m:t>
                        </m:r>
                      </m:sub>
                    </m:sSub>
                  </m:e>
                </m:d>
              </m:e>
            </m:d>
          </m:e>
        </m:nary>
      </m:oMath>
      <w:r w:rsidR="003771DF">
        <w:rPr>
          <w:lang w:val="en-GB"/>
        </w:rPr>
        <w:t xml:space="preserve">, while also maximising entropy </w:t>
      </w:r>
      <m:oMath>
        <m:r>
          <w:rPr>
            <w:rFonts w:ascii="Cambria Math" w:hAnsi="Cambria Math"/>
            <w:lang w:val="en-GB"/>
          </w:rPr>
          <m:t>αΗ(π</m:t>
        </m:r>
        <m:d>
          <m:dPr>
            <m:ctrlPr>
              <w:rPr>
                <w:rFonts w:ascii="Cambria Math" w:hAnsi="Cambria Math"/>
                <w:i/>
                <w:lang w:val="en-GB"/>
              </w:rPr>
            </m:ctrlPr>
          </m:dPr>
          <m:e>
            <m:r>
              <w:rPr>
                <w:rFonts w:ascii="Cambria Math" w:hAnsi="Cambria Math"/>
                <w:lang w:val="en-GB"/>
              </w:rPr>
              <m:t>.</m:t>
            </m:r>
          </m:e>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t</m:t>
                </m:r>
              </m:sub>
            </m:sSub>
          </m:e>
        </m:d>
      </m:oMath>
      <w:r w:rsidR="003771DF">
        <w:rPr>
          <w:lang w:val="en-GB"/>
        </w:rPr>
        <w:t xml:space="preserve"> </w:t>
      </w:r>
      <w:r w:rsidR="00853BEA">
        <w:rPr>
          <w:lang w:val="en-GB"/>
        </w:rPr>
        <w:t>of the policies.</w:t>
      </w:r>
    </w:p>
    <w:p w14:paraId="2769B515" w14:textId="77777777" w:rsidR="000E650E" w:rsidRDefault="000E650E" w:rsidP="007B5DFE">
      <w:pPr>
        <w:pStyle w:val="Els-body-text"/>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560"/>
      </w:tblGrid>
      <w:tr w:rsidR="00D064A8" w14:paraId="3C348AFC" w14:textId="77777777" w:rsidTr="00C95838">
        <w:tc>
          <w:tcPr>
            <w:tcW w:w="6516" w:type="dxa"/>
            <w:vAlign w:val="center"/>
          </w:tcPr>
          <w:p w14:paraId="273F468C" w14:textId="36EF9678" w:rsidR="00D064A8" w:rsidRDefault="00AA4CFD" w:rsidP="00C95838">
            <w:pPr>
              <w:pStyle w:val="Els-body-text"/>
              <w:jc w:val="center"/>
              <w:rPr>
                <w:lang w:val="en-GB"/>
              </w:rPr>
            </w:pPr>
            <m:oMathPara>
              <m:oMath>
                <m:r>
                  <w:rPr>
                    <w:rFonts w:ascii="Cambria Math" w:hAnsi="Cambria Math"/>
                    <w:lang w:val="en-GB"/>
                  </w:rPr>
                  <m:t>J</m:t>
                </m:r>
                <m:d>
                  <m:dPr>
                    <m:ctrlPr>
                      <w:rPr>
                        <w:rFonts w:ascii="Cambria Math" w:hAnsi="Cambria Math"/>
                        <w:i/>
                        <w:lang w:val="en-GB"/>
                      </w:rPr>
                    </m:ctrlPr>
                  </m:dPr>
                  <m:e>
                    <m:r>
                      <w:rPr>
                        <w:rFonts w:ascii="Cambria Math" w:hAnsi="Cambria Math"/>
                        <w:lang w:val="en-GB"/>
                      </w:rPr>
                      <m:t>π</m:t>
                    </m:r>
                  </m:e>
                </m:d>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t=0</m:t>
                    </m:r>
                  </m:sub>
                  <m:sup>
                    <m:r>
                      <w:rPr>
                        <w:rFonts w:ascii="Cambria Math" w:hAnsi="Cambria Math"/>
                        <w:lang w:val="en-GB"/>
                      </w:rPr>
                      <m:t>T</m:t>
                    </m:r>
                  </m:sup>
                  <m:e>
                    <m:sSub>
                      <m:sSubPr>
                        <m:ctrlPr>
                          <w:rPr>
                            <w:rFonts w:ascii="Cambria Math" w:hAnsi="Cambria Math"/>
                            <w:i/>
                            <w:lang w:val="en-GB"/>
                          </w:rPr>
                        </m:ctrlPr>
                      </m:sSubPr>
                      <m:e>
                        <m:r>
                          <w:rPr>
                            <w:rFonts w:ascii="Cambria Math" w:hAnsi="Cambria Math"/>
                            <w:lang w:val="en-GB"/>
                          </w:rPr>
                          <m:t>E</m:t>
                        </m:r>
                      </m:e>
                      <m:sub>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π</m:t>
                            </m:r>
                          </m:sub>
                        </m:sSub>
                      </m:sub>
                    </m:sSub>
                    <m:d>
                      <m:dPr>
                        <m:begChr m:val="["/>
                        <m:endChr m:val="]"/>
                        <m:ctrlPr>
                          <w:rPr>
                            <w:rFonts w:ascii="Cambria Math" w:hAnsi="Cambria Math"/>
                            <w:i/>
                            <w:lang w:val="en-GB"/>
                          </w:rPr>
                        </m:ctrlPr>
                      </m:dPr>
                      <m:e>
                        <m:r>
                          <w:rPr>
                            <w:rFonts w:ascii="Cambria Math" w:hAnsi="Cambria Math"/>
                            <w:lang w:val="en-GB"/>
                          </w:rPr>
                          <m:t>r</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t</m:t>
                                </m:r>
                              </m:sub>
                            </m:sSub>
                          </m:e>
                        </m:d>
                        <m:r>
                          <w:rPr>
                            <w:rFonts w:ascii="Cambria Math" w:hAnsi="Cambria Math"/>
                            <w:lang w:val="en-GB"/>
                          </w:rPr>
                          <m:t>+αΗ(π</m:t>
                        </m:r>
                        <m:d>
                          <m:dPr>
                            <m:ctrlPr>
                              <w:rPr>
                                <w:rFonts w:ascii="Cambria Math" w:hAnsi="Cambria Math"/>
                                <w:i/>
                                <w:lang w:val="en-GB"/>
                              </w:rPr>
                            </m:ctrlPr>
                          </m:dPr>
                          <m:e>
                            <m:r>
                              <w:rPr>
                                <w:rFonts w:ascii="Cambria Math" w:hAnsi="Cambria Math"/>
                                <w:lang w:val="en-GB"/>
                              </w:rPr>
                              <m:t>.</m:t>
                            </m:r>
                          </m:e>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t</m:t>
                                </m:r>
                              </m:sub>
                            </m:sSub>
                          </m:e>
                        </m:d>
                        <m:r>
                          <w:rPr>
                            <w:rFonts w:ascii="Cambria Math" w:hAnsi="Cambria Math"/>
                            <w:lang w:val="en-GB"/>
                          </w:rPr>
                          <m:t>)</m:t>
                        </m:r>
                      </m:e>
                    </m:d>
                  </m:e>
                </m:nary>
              </m:oMath>
            </m:oMathPara>
          </w:p>
        </w:tc>
        <w:tc>
          <w:tcPr>
            <w:tcW w:w="560" w:type="dxa"/>
            <w:vAlign w:val="center"/>
          </w:tcPr>
          <w:p w14:paraId="41823B95" w14:textId="2B942839" w:rsidR="00D064A8" w:rsidRDefault="00D064A8" w:rsidP="00C95838">
            <w:pPr>
              <w:pStyle w:val="Els-body-text"/>
              <w:jc w:val="center"/>
              <w:rPr>
                <w:lang w:val="en-GB"/>
              </w:rPr>
            </w:pPr>
            <w:r>
              <w:rPr>
                <w:lang w:val="en-GB"/>
              </w:rPr>
              <w:t>(1)</w:t>
            </w:r>
          </w:p>
        </w:tc>
      </w:tr>
    </w:tbl>
    <w:p w14:paraId="12906042" w14:textId="3EDB9FEF" w:rsidR="00AA4CFD" w:rsidRDefault="00AA4CFD" w:rsidP="002665CE">
      <w:pPr>
        <w:pStyle w:val="Els-body-text"/>
        <w:rPr>
          <w:lang w:val="en-GB"/>
        </w:rPr>
      </w:pPr>
    </w:p>
    <w:p w14:paraId="15887F5E" w14:textId="2CCA7286" w:rsidR="00AA4CFD" w:rsidRPr="002665CE" w:rsidRDefault="008A5AD4" w:rsidP="002665CE">
      <w:pPr>
        <w:pStyle w:val="Els-body-text"/>
        <w:rPr>
          <w:lang w:val="en-GB"/>
        </w:rPr>
      </w:pPr>
      <m:oMath>
        <m:r>
          <w:rPr>
            <w:rFonts w:ascii="Cambria Math" w:hAnsi="Cambria Math"/>
            <w:lang w:val="en-GB"/>
          </w:rPr>
          <m:t>α</m:t>
        </m:r>
      </m:oMath>
      <w:r>
        <w:rPr>
          <w:lang w:val="en-GB"/>
        </w:rPr>
        <w:t xml:space="preserve"> is called the temperature parameter</w:t>
      </w:r>
      <w:r w:rsidR="004A4E90">
        <w:rPr>
          <w:lang w:val="en-GB"/>
        </w:rPr>
        <w:t>,</w:t>
      </w:r>
      <w:r>
        <w:rPr>
          <w:lang w:val="en-GB"/>
        </w:rPr>
        <w:t xml:space="preserve"> which tunes the stochasticity of the </w:t>
      </w:r>
      <w:r w:rsidR="00586552">
        <w:rPr>
          <w:lang w:val="en-GB"/>
        </w:rPr>
        <w:t>optimal policy,</w:t>
      </w:r>
    </w:p>
    <w:p w14:paraId="64093668" w14:textId="4CCF2661" w:rsidR="00EE39DF" w:rsidRDefault="00C95838" w:rsidP="007B5DFE">
      <w:pPr>
        <w:pStyle w:val="Els-body-text"/>
        <w:rPr>
          <w:lang w:val="en-GB"/>
        </w:rPr>
      </w:pPr>
      <w:r>
        <w:rPr>
          <w:lang w:val="en-GB"/>
        </w:rPr>
        <w:t xml:space="preserve">SAC is composed of an actor who decides which action to take next, and a critic, who estimates how good that action is. The actor performs the </w:t>
      </w:r>
      <w:r w:rsidRPr="002B657F">
        <w:rPr>
          <w:i/>
          <w:iCs/>
          <w:lang w:val="en-GB"/>
        </w:rPr>
        <w:t>soft-policy improvement</w:t>
      </w:r>
      <w:r>
        <w:rPr>
          <w:lang w:val="en-GB"/>
        </w:rPr>
        <w:t xml:space="preserve"> by computing the policy π, according to the maximum entropy (a proxy to randomness and exploration). This policy is modelled as a Gaussian process. </w:t>
      </w:r>
      <w:r w:rsidR="00F1478B">
        <w:rPr>
          <w:lang w:val="en-GB"/>
        </w:rPr>
        <w:t xml:space="preserve">The critic performs </w:t>
      </w:r>
      <w:r w:rsidR="00F1478B" w:rsidRPr="008529BB">
        <w:rPr>
          <w:i/>
          <w:iCs/>
          <w:lang w:val="en-GB"/>
        </w:rPr>
        <w:t>soft-policy</w:t>
      </w:r>
      <w:r w:rsidR="00F1478B">
        <w:rPr>
          <w:i/>
          <w:iCs/>
          <w:lang w:val="en-GB"/>
        </w:rPr>
        <w:t xml:space="preserve"> </w:t>
      </w:r>
      <w:r w:rsidR="00F1478B" w:rsidRPr="008529BB">
        <w:rPr>
          <w:i/>
          <w:iCs/>
          <w:lang w:val="en-GB"/>
        </w:rPr>
        <w:t>evaluation</w:t>
      </w:r>
      <w:r w:rsidR="00F1478B">
        <w:rPr>
          <w:lang w:val="en-GB"/>
        </w:rPr>
        <w:t xml:space="preserve">, by computing the soft Q-values for a given policy. In the used algorithm, two independent Q-functions are modelled as neural networks and trained </w:t>
      </w:r>
      <w:r w:rsidR="00F1478B" w:rsidRPr="006D39C5">
        <w:rPr>
          <w:lang w:val="en-GB"/>
        </w:rPr>
        <w:t>independently to mitigate positive biases</w:t>
      </w:r>
      <w:r w:rsidR="00A22BA6">
        <w:rPr>
          <w:lang w:val="en-GB"/>
        </w:rPr>
        <w:t xml:space="preserve">. </w:t>
      </w:r>
      <w:r w:rsidR="005D16B2" w:rsidRPr="006D39C5">
        <w:rPr>
          <w:lang w:val="en-GB"/>
        </w:rPr>
        <w:t>The actor</w:t>
      </w:r>
      <w:r w:rsidR="00A85B47" w:rsidRPr="006D39C5">
        <w:rPr>
          <w:lang w:val="en-GB"/>
        </w:rPr>
        <w:t>’s</w:t>
      </w:r>
      <w:r w:rsidR="005D16B2" w:rsidRPr="006D39C5">
        <w:rPr>
          <w:lang w:val="en-GB"/>
        </w:rPr>
        <w:t xml:space="preserve"> </w:t>
      </w:r>
      <w:r w:rsidR="00FC4254" w:rsidRPr="006D39C5">
        <w:rPr>
          <w:lang w:val="en-GB"/>
        </w:rPr>
        <w:t xml:space="preserve">neural network </w:t>
      </w:r>
      <w:r w:rsidR="00516F5A" w:rsidRPr="006D39C5">
        <w:rPr>
          <w:lang w:val="en-GB"/>
        </w:rPr>
        <w:t xml:space="preserve">followed the suggested </w:t>
      </w:r>
      <w:r w:rsidR="004E0920" w:rsidRPr="006D39C5">
        <w:rPr>
          <w:lang w:val="en-GB"/>
        </w:rPr>
        <w:t xml:space="preserve">structure </w:t>
      </w:r>
      <w:r w:rsidR="00EB6C45" w:rsidRPr="006D39C5">
        <w:rPr>
          <w:lang w:val="en-GB"/>
        </w:rPr>
        <w:t>(</w:t>
      </w:r>
      <w:r w:rsidR="00516F5A" w:rsidRPr="006D39C5">
        <w:t>Raffin et. al</w:t>
      </w:r>
      <w:r w:rsidR="00EB6C45" w:rsidRPr="006D39C5">
        <w:t xml:space="preserve">, </w:t>
      </w:r>
      <w:r w:rsidR="00516F5A" w:rsidRPr="006D39C5">
        <w:t xml:space="preserve">2021) </w:t>
      </w:r>
      <w:r w:rsidR="004E0920" w:rsidRPr="006D39C5">
        <w:rPr>
          <w:lang w:val="en-GB"/>
        </w:rPr>
        <w:t>with</w:t>
      </w:r>
      <w:r w:rsidR="00A85B47" w:rsidRPr="006D39C5">
        <w:rPr>
          <w:lang w:val="en-GB"/>
        </w:rPr>
        <w:t xml:space="preserve"> </w:t>
      </w:r>
      <w:r w:rsidR="00530216" w:rsidRPr="006D39C5">
        <w:rPr>
          <w:lang w:val="en-GB"/>
        </w:rPr>
        <w:t xml:space="preserve">two linear layers </w:t>
      </w:r>
      <w:r w:rsidR="00DD4503" w:rsidRPr="006D39C5">
        <w:rPr>
          <w:lang w:val="en-GB"/>
        </w:rPr>
        <w:t>(256 units each)</w:t>
      </w:r>
      <w:r w:rsidR="00715925" w:rsidRPr="006D39C5">
        <w:rPr>
          <w:lang w:val="en-GB"/>
        </w:rPr>
        <w:t xml:space="preserve">, separated by ReLU activation functions, plus </w:t>
      </w:r>
      <w:r w:rsidR="0028093D" w:rsidRPr="006D39C5">
        <w:rPr>
          <w:lang w:val="en-GB"/>
        </w:rPr>
        <w:t xml:space="preserve">a </w:t>
      </w:r>
      <w:r w:rsidR="00163FA6" w:rsidRPr="006D39C5">
        <w:rPr>
          <w:lang w:val="en-GB"/>
        </w:rPr>
        <w:t>linear layer</w:t>
      </w:r>
      <w:r w:rsidR="0028093D" w:rsidRPr="006D39C5">
        <w:rPr>
          <w:lang w:val="en-GB"/>
        </w:rPr>
        <w:t xml:space="preserve"> that outputs the mean of the action distribution and another layer for the standard deviation</w:t>
      </w:r>
      <w:r w:rsidR="0028093D">
        <w:rPr>
          <w:lang w:val="en-GB"/>
        </w:rPr>
        <w:t>.</w:t>
      </w:r>
      <w:r w:rsidR="00A85B47">
        <w:rPr>
          <w:lang w:val="en-GB"/>
        </w:rPr>
        <w:t xml:space="preserve"> The two </w:t>
      </w:r>
      <w:r w:rsidR="00DD4503">
        <w:rPr>
          <w:lang w:val="en-GB"/>
        </w:rPr>
        <w:t>critic neural networks have three linear layers</w:t>
      </w:r>
      <w:r w:rsidR="00AA1D5D">
        <w:rPr>
          <w:lang w:val="en-GB"/>
        </w:rPr>
        <w:t>;</w:t>
      </w:r>
      <w:r w:rsidR="00D40C37">
        <w:rPr>
          <w:lang w:val="en-GB"/>
        </w:rPr>
        <w:t xml:space="preserve"> t</w:t>
      </w:r>
      <w:r w:rsidR="00D40C37" w:rsidRPr="00D40C37">
        <w:rPr>
          <w:lang w:val="en-GB"/>
        </w:rPr>
        <w:t>he first two have 256 units each with ReLU activations, while the last one outputs a single Q-value.</w:t>
      </w:r>
    </w:p>
    <w:p w14:paraId="1617DB5B" w14:textId="54BF807E" w:rsidR="00733E8A" w:rsidRPr="00733E8A" w:rsidRDefault="002A25D7" w:rsidP="00733E8A">
      <w:pPr>
        <w:pStyle w:val="Els-2ndorder-head"/>
      </w:pPr>
      <w:r>
        <w:t>Reward function</w:t>
      </w:r>
    </w:p>
    <w:p w14:paraId="63777EE2" w14:textId="18FD6E6C" w:rsidR="008008FB" w:rsidRDefault="008008FB" w:rsidP="008008FB">
      <w:pPr>
        <w:pStyle w:val="Els-body-text"/>
        <w:rPr>
          <w:lang w:val="en-GB"/>
        </w:rPr>
      </w:pPr>
      <w:r>
        <w:rPr>
          <w:lang w:val="en-GB"/>
        </w:rPr>
        <w:t>The definition of the reward, Rt, is of utter importance. In this context, there are four main incentives:</w:t>
      </w:r>
    </w:p>
    <w:p w14:paraId="7A4B9E75" w14:textId="06747294" w:rsidR="008008FB" w:rsidRDefault="008008FB" w:rsidP="008008FB">
      <w:pPr>
        <w:pStyle w:val="Els-body-text"/>
        <w:numPr>
          <w:ilvl w:val="0"/>
          <w:numId w:val="19"/>
        </w:numPr>
        <w:rPr>
          <w:lang w:val="en-GB"/>
        </w:rPr>
      </w:pPr>
      <w:r>
        <w:rPr>
          <w:lang w:val="en-GB"/>
        </w:rPr>
        <w:t>i</w:t>
      </w:r>
      <w:r w:rsidRPr="00CC0827">
        <w:rPr>
          <w:vertAlign w:val="subscript"/>
          <w:lang w:val="en-GB"/>
        </w:rPr>
        <w:t>1</w:t>
      </w:r>
      <w:r w:rsidR="00BE772F">
        <w:rPr>
          <w:lang w:val="en-GB"/>
        </w:rPr>
        <w:t>:</w:t>
      </w:r>
      <w:r>
        <w:rPr>
          <w:lang w:val="en-GB"/>
        </w:rPr>
        <w:t xml:space="preserve"> Reach a target mAb concentration. This is defined by a normal distribution of mean 4000 </w:t>
      </w:r>
      <w:r w:rsidR="00AC369D">
        <w:rPr>
          <w:lang w:val="en-GB"/>
        </w:rPr>
        <w:t xml:space="preserve">mg/L </w:t>
      </w:r>
      <w:r>
        <w:rPr>
          <w:lang w:val="en-GB"/>
        </w:rPr>
        <w:t xml:space="preserve">(the target goal for mAb) and a standard deviation of 500 </w:t>
      </w:r>
      <w:r>
        <w:rPr>
          <w:lang w:val="en-GB"/>
        </w:rPr>
        <w:lastRenderedPageBreak/>
        <w:t xml:space="preserve">(the allowed threshold). </w:t>
      </w:r>
      <w:r w:rsidR="00BE0936">
        <w:rPr>
          <w:lang w:val="en-GB"/>
        </w:rPr>
        <w:t xml:space="preserve">This format allows the agent to see a smooth improvement in reward when it approximates the target, which helps learning. </w:t>
      </w:r>
    </w:p>
    <w:p w14:paraId="420AE018" w14:textId="1E0032CD" w:rsidR="008008FB" w:rsidRPr="007B5DFE" w:rsidRDefault="008008FB" w:rsidP="008008FB">
      <w:pPr>
        <w:pStyle w:val="Els-body-text"/>
        <w:numPr>
          <w:ilvl w:val="0"/>
          <w:numId w:val="19"/>
        </w:numPr>
        <w:rPr>
          <w:lang w:val="en-GB"/>
        </w:rPr>
      </w:pPr>
      <w:r>
        <w:rPr>
          <w:lang w:val="en-GB"/>
        </w:rPr>
        <w:t>i</w:t>
      </w:r>
      <w:r w:rsidRPr="00CC0827">
        <w:rPr>
          <w:vertAlign w:val="subscript"/>
          <w:lang w:val="en-GB"/>
        </w:rPr>
        <w:t>2</w:t>
      </w:r>
      <w:r>
        <w:rPr>
          <w:lang w:val="en-GB"/>
        </w:rPr>
        <w:t xml:space="preserve">: </w:t>
      </w:r>
      <w:r w:rsidRPr="007B5DFE">
        <w:rPr>
          <w:lang w:val="en-GB"/>
        </w:rPr>
        <w:t>Reach the target as fast as possible</w:t>
      </w:r>
      <w:r w:rsidR="00763B1C">
        <w:rPr>
          <w:lang w:val="en-GB"/>
        </w:rPr>
        <w:t>, without harsh changes too suddenly</w:t>
      </w:r>
      <w:r>
        <w:rPr>
          <w:lang w:val="en-GB"/>
        </w:rPr>
        <w:t>.</w:t>
      </w:r>
    </w:p>
    <w:p w14:paraId="3643E0A5" w14:textId="12ECCAFE" w:rsidR="008008FB" w:rsidRDefault="008008FB" w:rsidP="008008FB">
      <w:pPr>
        <w:pStyle w:val="Els-body-text"/>
        <w:numPr>
          <w:ilvl w:val="0"/>
          <w:numId w:val="19"/>
        </w:numPr>
        <w:rPr>
          <w:lang w:val="en-GB"/>
        </w:rPr>
      </w:pPr>
      <w:r>
        <w:rPr>
          <w:lang w:val="en-GB"/>
        </w:rPr>
        <w:t>i</w:t>
      </w:r>
      <w:r w:rsidRPr="00CC0827">
        <w:rPr>
          <w:vertAlign w:val="subscript"/>
          <w:lang w:val="en-GB"/>
        </w:rPr>
        <w:t>3</w:t>
      </w:r>
      <w:r>
        <w:rPr>
          <w:lang w:val="en-GB"/>
        </w:rPr>
        <w:t>: Maintain the target concentration once achieved.</w:t>
      </w:r>
    </w:p>
    <w:p w14:paraId="650DF14E" w14:textId="687969D8" w:rsidR="008008FB" w:rsidRDefault="008008FB" w:rsidP="008008FB">
      <w:pPr>
        <w:pStyle w:val="Els-body-text"/>
        <w:numPr>
          <w:ilvl w:val="0"/>
          <w:numId w:val="19"/>
        </w:numPr>
        <w:rPr>
          <w:lang w:val="en-GB"/>
        </w:rPr>
      </w:pPr>
      <w:r>
        <w:rPr>
          <w:lang w:val="en-GB"/>
        </w:rPr>
        <w:t>i</w:t>
      </w:r>
      <w:r w:rsidRPr="00CC0827">
        <w:rPr>
          <w:vertAlign w:val="subscript"/>
          <w:lang w:val="en-GB"/>
        </w:rPr>
        <w:t>4</w:t>
      </w:r>
      <w:r>
        <w:rPr>
          <w:lang w:val="en-GB"/>
        </w:rPr>
        <w:t>: Respect maximum reactor volume.</w:t>
      </w:r>
    </w:p>
    <w:p w14:paraId="7BDC4315" w14:textId="32A8861F" w:rsidR="003E1F8B" w:rsidRDefault="003E1F8B" w:rsidP="008008FB">
      <w:pPr>
        <w:pStyle w:val="Els-body-text"/>
        <w:numPr>
          <w:ilvl w:val="0"/>
          <w:numId w:val="19"/>
        </w:numPr>
        <w:rPr>
          <w:lang w:val="en-GB"/>
        </w:rPr>
      </w:pPr>
      <w:r>
        <w:rPr>
          <w:lang w:val="en-GB"/>
        </w:rPr>
        <w:t>i</w:t>
      </w:r>
      <w:r w:rsidRPr="00CC0827">
        <w:rPr>
          <w:vertAlign w:val="subscript"/>
          <w:lang w:val="en-GB"/>
        </w:rPr>
        <w:t>5</w:t>
      </w:r>
      <w:r>
        <w:rPr>
          <w:lang w:val="en-GB"/>
        </w:rPr>
        <w:t xml:space="preserve">: Do not </w:t>
      </w:r>
      <w:r w:rsidR="007C0B46">
        <w:rPr>
          <w:lang w:val="en-GB"/>
        </w:rPr>
        <w:t>cause any numerical failure in the model of the environment.</w:t>
      </w:r>
    </w:p>
    <w:p w14:paraId="62EF3598" w14:textId="0D8F6FB5" w:rsidR="008008FB" w:rsidRDefault="00B224EF" w:rsidP="008008FB">
      <w:pPr>
        <w:pStyle w:val="Els-body-text"/>
        <w:rPr>
          <w:lang w:val="en-GB"/>
        </w:rPr>
      </w:pPr>
      <w:r>
        <w:rPr>
          <w:lang w:val="en-GB"/>
        </w:rPr>
        <w:t>E</w:t>
      </w:r>
      <w:r w:rsidR="008008FB">
        <w:rPr>
          <w:lang w:val="en-GB"/>
        </w:rPr>
        <w:t>ach of the incentives</w:t>
      </w:r>
      <w:r>
        <w:rPr>
          <w:lang w:val="en-GB"/>
        </w:rPr>
        <w:t xml:space="preserve"> has an associated</w:t>
      </w:r>
      <w:r w:rsidR="008008FB">
        <w:rPr>
          <w:lang w:val="en-GB"/>
        </w:rPr>
        <w:t xml:space="preserve"> coefficient term (coef_i</w:t>
      </w:r>
      <w:r w:rsidR="008008FB" w:rsidRPr="00250F4F">
        <w:rPr>
          <w:vertAlign w:val="subscript"/>
          <w:lang w:val="en-GB"/>
        </w:rPr>
        <w:t>X</w:t>
      </w:r>
      <w:r w:rsidR="008008FB">
        <w:rPr>
          <w:lang w:val="en-GB"/>
        </w:rPr>
        <w:t xml:space="preserve">), which </w:t>
      </w:r>
      <w:r w:rsidR="00A11133">
        <w:rPr>
          <w:lang w:val="en-GB"/>
        </w:rPr>
        <w:t xml:space="preserve">allows </w:t>
      </w:r>
      <w:r w:rsidR="00E96D18">
        <w:rPr>
          <w:lang w:val="en-GB"/>
        </w:rPr>
        <w:t xml:space="preserve">their </w:t>
      </w:r>
      <w:r w:rsidR="00A11133">
        <w:rPr>
          <w:lang w:val="en-GB"/>
        </w:rPr>
        <w:t>ranking with regards to its importance</w:t>
      </w:r>
      <w:r w:rsidR="008008FB">
        <w:rPr>
          <w:lang w:val="en-GB"/>
        </w:rPr>
        <w:t xml:space="preserve">. Hence, the reward function is written as the sum of the </w:t>
      </w:r>
      <w:r w:rsidR="00904E4F">
        <w:rPr>
          <w:lang w:val="en-GB"/>
        </w:rPr>
        <w:t xml:space="preserve">product </w:t>
      </w:r>
      <w:r w:rsidR="008008FB">
        <w:rPr>
          <w:lang w:val="en-GB"/>
        </w:rPr>
        <w:t xml:space="preserve">of the coefficient </w:t>
      </w:r>
      <w:r w:rsidR="00904E4F">
        <w:rPr>
          <w:lang w:val="en-GB"/>
        </w:rPr>
        <w:t xml:space="preserve">with </w:t>
      </w:r>
      <w:r w:rsidR="008008FB">
        <w:rPr>
          <w:lang w:val="en-GB"/>
        </w:rPr>
        <w:t>the respective incentive:</w:t>
      </w:r>
    </w:p>
    <w:tbl>
      <w:tblPr>
        <w:tblStyle w:val="PlainTable4"/>
        <w:tblW w:w="0" w:type="auto"/>
        <w:tblLook w:val="04A0" w:firstRow="1" w:lastRow="0" w:firstColumn="1" w:lastColumn="0" w:noHBand="0" w:noVBand="1"/>
      </w:tblPr>
      <w:tblGrid>
        <w:gridCol w:w="6232"/>
        <w:gridCol w:w="844"/>
      </w:tblGrid>
      <w:tr w:rsidR="00200232" w14:paraId="7E2F9B52" w14:textId="77777777" w:rsidTr="00200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06344A00" w14:textId="32AFA848" w:rsidR="00200232" w:rsidRPr="00A11133" w:rsidRDefault="00A11133" w:rsidP="00200232">
            <w:pPr>
              <w:pStyle w:val="Els-body-text"/>
              <w:jc w:val="center"/>
              <w:rPr>
                <w:b w:val="0"/>
                <w:bCs w:val="0"/>
                <w:lang w:val="en-GB"/>
              </w:rPr>
            </w:pPr>
            <m:oMathPara>
              <m:oMath>
                <m:r>
                  <m:rPr>
                    <m:sty m:val="bi"/>
                  </m:rPr>
                  <w:rPr>
                    <w:rFonts w:ascii="Cambria Math" w:hAnsi="Cambria Math"/>
                    <w:lang w:val="en-GB"/>
                  </w:rPr>
                  <m:t xml:space="preserve">reward= </m:t>
                </m:r>
                <m:nary>
                  <m:naryPr>
                    <m:chr m:val="∑"/>
                    <m:limLoc m:val="undOvr"/>
                    <m:ctrlPr>
                      <w:rPr>
                        <w:rFonts w:ascii="Cambria Math" w:hAnsi="Cambria Math"/>
                        <w:b w:val="0"/>
                        <w:bCs w:val="0"/>
                        <w:i/>
                        <w:lang w:val="en-GB"/>
                      </w:rPr>
                    </m:ctrlPr>
                  </m:naryPr>
                  <m:sub>
                    <m:r>
                      <m:rPr>
                        <m:sty m:val="bi"/>
                      </m:rPr>
                      <w:rPr>
                        <w:rFonts w:ascii="Cambria Math" w:hAnsi="Cambria Math"/>
                        <w:lang w:val="en-GB"/>
                      </w:rPr>
                      <m:t>x=1</m:t>
                    </m:r>
                  </m:sub>
                  <m:sup>
                    <m:r>
                      <m:rPr>
                        <m:sty m:val="bi"/>
                      </m:rPr>
                      <w:rPr>
                        <w:rFonts w:ascii="Cambria Math" w:hAnsi="Cambria Math"/>
                        <w:lang w:val="en-GB"/>
                      </w:rPr>
                      <m:t>4</m:t>
                    </m:r>
                  </m:sup>
                  <m:e>
                    <m:sSub>
                      <m:sSubPr>
                        <m:ctrlPr>
                          <w:rPr>
                            <w:rFonts w:ascii="Cambria Math" w:hAnsi="Cambria Math"/>
                            <w:b w:val="0"/>
                            <w:bCs w:val="0"/>
                            <w:i/>
                            <w:lang w:val="en-GB"/>
                          </w:rPr>
                        </m:ctrlPr>
                      </m:sSubPr>
                      <m:e>
                        <m:r>
                          <m:rPr>
                            <m:sty m:val="bi"/>
                          </m:rPr>
                          <w:rPr>
                            <w:rFonts w:ascii="Cambria Math" w:hAnsi="Cambria Math"/>
                            <w:lang w:val="en-GB"/>
                          </w:rPr>
                          <m:t>coef</m:t>
                        </m:r>
                      </m:e>
                      <m:sub>
                        <m:sSub>
                          <m:sSubPr>
                            <m:ctrlPr>
                              <w:rPr>
                                <w:rFonts w:ascii="Cambria Math" w:hAnsi="Cambria Math"/>
                                <w:b w:val="0"/>
                                <w:bCs w:val="0"/>
                                <w:i/>
                                <w:lang w:val="en-GB"/>
                              </w:rPr>
                            </m:ctrlPr>
                          </m:sSubPr>
                          <m:e>
                            <m:r>
                              <m:rPr>
                                <m:sty m:val="bi"/>
                              </m:rPr>
                              <w:rPr>
                                <w:rFonts w:ascii="Cambria Math" w:hAnsi="Cambria Math"/>
                                <w:lang w:val="en-GB"/>
                              </w:rPr>
                              <m:t>i</m:t>
                            </m:r>
                          </m:e>
                          <m:sub>
                            <m:r>
                              <m:rPr>
                                <m:sty m:val="bi"/>
                              </m:rPr>
                              <w:rPr>
                                <w:rFonts w:ascii="Cambria Math" w:hAnsi="Cambria Math"/>
                                <w:lang w:val="en-GB"/>
                              </w:rPr>
                              <m:t>x</m:t>
                            </m:r>
                          </m:sub>
                        </m:sSub>
                      </m:sub>
                    </m:sSub>
                    <m:r>
                      <m:rPr>
                        <m:sty m:val="bi"/>
                      </m:rPr>
                      <w:rPr>
                        <w:rFonts w:ascii="Cambria Math" w:hAnsi="Cambria Math"/>
                        <w:lang w:val="en-GB"/>
                      </w:rPr>
                      <m:t>×</m:t>
                    </m:r>
                    <m:sSub>
                      <m:sSubPr>
                        <m:ctrlPr>
                          <w:rPr>
                            <w:rFonts w:ascii="Cambria Math" w:hAnsi="Cambria Math"/>
                            <w:b w:val="0"/>
                            <w:bCs w:val="0"/>
                            <w:i/>
                            <w:lang w:val="en-GB"/>
                          </w:rPr>
                        </m:ctrlPr>
                      </m:sSubPr>
                      <m:e>
                        <m:r>
                          <m:rPr>
                            <m:sty m:val="bi"/>
                          </m:rPr>
                          <w:rPr>
                            <w:rFonts w:ascii="Cambria Math" w:hAnsi="Cambria Math"/>
                            <w:lang w:val="en-GB"/>
                          </w:rPr>
                          <m:t>i</m:t>
                        </m:r>
                      </m:e>
                      <m:sub>
                        <m:r>
                          <m:rPr>
                            <m:sty m:val="bi"/>
                          </m:rPr>
                          <w:rPr>
                            <w:rFonts w:ascii="Cambria Math" w:hAnsi="Cambria Math"/>
                            <w:lang w:val="en-GB"/>
                          </w:rPr>
                          <m:t>x</m:t>
                        </m:r>
                      </m:sub>
                    </m:sSub>
                  </m:e>
                </m:nary>
              </m:oMath>
            </m:oMathPara>
          </w:p>
        </w:tc>
        <w:tc>
          <w:tcPr>
            <w:tcW w:w="844" w:type="dxa"/>
            <w:vAlign w:val="center"/>
          </w:tcPr>
          <w:p w14:paraId="1F0782BF" w14:textId="7E2F697F" w:rsidR="00200232" w:rsidRPr="00200232" w:rsidRDefault="00200232" w:rsidP="00200232">
            <w:pPr>
              <w:pStyle w:val="Els-body-text"/>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200232">
              <w:rPr>
                <w:b w:val="0"/>
                <w:bCs w:val="0"/>
                <w:lang w:val="en-GB"/>
              </w:rPr>
              <w:t>(1)</w:t>
            </w:r>
          </w:p>
        </w:tc>
      </w:tr>
    </w:tbl>
    <w:p w14:paraId="16E8E7D1" w14:textId="77777777" w:rsidR="008008FB" w:rsidRDefault="008008FB" w:rsidP="008008FB">
      <w:pPr>
        <w:pStyle w:val="Els-body-text"/>
        <w:rPr>
          <w:lang w:val="en-GB"/>
        </w:rPr>
      </w:pPr>
    </w:p>
    <w:p w14:paraId="45E047B7" w14:textId="7615966D" w:rsidR="00242628" w:rsidRDefault="00ED02C1" w:rsidP="00AA146A">
      <w:pPr>
        <w:pStyle w:val="Els-body-text"/>
      </w:pPr>
      <w:r>
        <w:t>The coefficients for each of the incentives were defined as follows:</w:t>
      </w:r>
    </w:p>
    <w:p w14:paraId="2B5CFE72" w14:textId="69363C43" w:rsidR="00336FFF" w:rsidRDefault="00336FFF" w:rsidP="00336FFF">
      <w:pPr>
        <w:pStyle w:val="Caption"/>
        <w:keepNext/>
        <w:jc w:val="center"/>
      </w:pPr>
      <w:r w:rsidRPr="00336FFF">
        <w:rPr>
          <w:color w:val="000000" w:themeColor="text1"/>
        </w:rPr>
        <w:t xml:space="preserve">Table </w:t>
      </w:r>
      <w:r w:rsidRPr="00336FFF">
        <w:rPr>
          <w:color w:val="000000" w:themeColor="text1"/>
        </w:rPr>
        <w:fldChar w:fldCharType="begin"/>
      </w:r>
      <w:r w:rsidRPr="00336FFF">
        <w:rPr>
          <w:color w:val="000000" w:themeColor="text1"/>
        </w:rPr>
        <w:instrText xml:space="preserve"> SEQ Table \* ARABIC </w:instrText>
      </w:r>
      <w:r w:rsidRPr="00336FFF">
        <w:rPr>
          <w:color w:val="000000" w:themeColor="text1"/>
        </w:rPr>
        <w:fldChar w:fldCharType="separate"/>
      </w:r>
      <w:r w:rsidR="007F357D">
        <w:rPr>
          <w:noProof/>
          <w:color w:val="000000" w:themeColor="text1"/>
        </w:rPr>
        <w:t>1</w:t>
      </w:r>
      <w:r w:rsidRPr="00336FFF">
        <w:rPr>
          <w:color w:val="000000" w:themeColor="text1"/>
        </w:rPr>
        <w:fldChar w:fldCharType="end"/>
      </w:r>
      <w:r>
        <w:t xml:space="preserve"> Values of the coefficients associated with the reward function incentives.</w:t>
      </w:r>
    </w:p>
    <w:tbl>
      <w:tblPr>
        <w:tblStyle w:val="TableGrid"/>
        <w:tblW w:w="0" w:type="auto"/>
        <w:tblBorders>
          <w:insideV w:val="none" w:sz="0" w:space="0" w:color="auto"/>
        </w:tblBorders>
        <w:tblLook w:val="04A0" w:firstRow="1" w:lastRow="0" w:firstColumn="1" w:lastColumn="0" w:noHBand="0" w:noVBand="1"/>
      </w:tblPr>
      <w:tblGrid>
        <w:gridCol w:w="1415"/>
        <w:gridCol w:w="1415"/>
        <w:gridCol w:w="1415"/>
        <w:gridCol w:w="1415"/>
        <w:gridCol w:w="1416"/>
      </w:tblGrid>
      <w:tr w:rsidR="00242628" w14:paraId="3AEF2514" w14:textId="77777777" w:rsidTr="00752D31">
        <w:tc>
          <w:tcPr>
            <w:tcW w:w="1415" w:type="dxa"/>
          </w:tcPr>
          <w:p w14:paraId="021835AA" w14:textId="3948F1E9" w:rsidR="00242628" w:rsidRPr="007F7C86" w:rsidRDefault="00F61837" w:rsidP="00E41738">
            <w:pPr>
              <w:pStyle w:val="Els-body-text"/>
              <w:jc w:val="center"/>
              <w:rPr>
                <w:b/>
                <w:bCs/>
              </w:rPr>
            </w:pPr>
            <w:r w:rsidRPr="007F7C86">
              <w:rPr>
                <w:b/>
                <w:bCs/>
              </w:rPr>
              <w:t xml:space="preserve">Coef. </w:t>
            </w:r>
            <w:r w:rsidR="00830B3F">
              <w:rPr>
                <w:b/>
                <w:bCs/>
              </w:rPr>
              <w:t>i</w:t>
            </w:r>
            <w:r w:rsidR="00242628" w:rsidRPr="00830B3F">
              <w:rPr>
                <w:b/>
                <w:bCs/>
                <w:vertAlign w:val="subscript"/>
              </w:rPr>
              <w:t>1</w:t>
            </w:r>
          </w:p>
        </w:tc>
        <w:tc>
          <w:tcPr>
            <w:tcW w:w="1415" w:type="dxa"/>
          </w:tcPr>
          <w:p w14:paraId="75CF7041" w14:textId="32BE9682" w:rsidR="00242628" w:rsidRPr="007F7C86" w:rsidRDefault="00F61837" w:rsidP="00E41738">
            <w:pPr>
              <w:pStyle w:val="Els-body-text"/>
              <w:jc w:val="center"/>
              <w:rPr>
                <w:b/>
                <w:bCs/>
              </w:rPr>
            </w:pPr>
            <w:r w:rsidRPr="007F7C86">
              <w:rPr>
                <w:b/>
                <w:bCs/>
              </w:rPr>
              <w:t xml:space="preserve">Coef. </w:t>
            </w:r>
            <w:r w:rsidR="00830B3F">
              <w:rPr>
                <w:b/>
                <w:bCs/>
              </w:rPr>
              <w:t>i</w:t>
            </w:r>
            <w:r w:rsidR="00242628" w:rsidRPr="00830B3F">
              <w:rPr>
                <w:b/>
                <w:bCs/>
                <w:vertAlign w:val="subscript"/>
              </w:rPr>
              <w:t>2</w:t>
            </w:r>
          </w:p>
        </w:tc>
        <w:tc>
          <w:tcPr>
            <w:tcW w:w="1415" w:type="dxa"/>
          </w:tcPr>
          <w:p w14:paraId="321261FB" w14:textId="41405A4B" w:rsidR="00242628" w:rsidRPr="007F7C86" w:rsidRDefault="00F61837" w:rsidP="00E41738">
            <w:pPr>
              <w:pStyle w:val="Els-body-text"/>
              <w:jc w:val="center"/>
              <w:rPr>
                <w:b/>
                <w:bCs/>
              </w:rPr>
            </w:pPr>
            <w:r w:rsidRPr="007F7C86">
              <w:rPr>
                <w:b/>
                <w:bCs/>
              </w:rPr>
              <w:t xml:space="preserve">Coef. </w:t>
            </w:r>
            <w:r w:rsidR="00830B3F">
              <w:rPr>
                <w:b/>
                <w:bCs/>
              </w:rPr>
              <w:t>i</w:t>
            </w:r>
            <w:r w:rsidR="00242628" w:rsidRPr="00830B3F">
              <w:rPr>
                <w:b/>
                <w:bCs/>
                <w:vertAlign w:val="subscript"/>
              </w:rPr>
              <w:t>3</w:t>
            </w:r>
          </w:p>
        </w:tc>
        <w:tc>
          <w:tcPr>
            <w:tcW w:w="1415" w:type="dxa"/>
          </w:tcPr>
          <w:p w14:paraId="0645A80A" w14:textId="683EF92A" w:rsidR="00242628" w:rsidRPr="007F7C86" w:rsidRDefault="00F61837" w:rsidP="00E41738">
            <w:pPr>
              <w:pStyle w:val="Els-body-text"/>
              <w:jc w:val="center"/>
              <w:rPr>
                <w:b/>
                <w:bCs/>
              </w:rPr>
            </w:pPr>
            <w:r w:rsidRPr="007F7C86">
              <w:rPr>
                <w:b/>
                <w:bCs/>
              </w:rPr>
              <w:t xml:space="preserve">Coef. </w:t>
            </w:r>
            <w:r w:rsidR="00830B3F">
              <w:rPr>
                <w:b/>
                <w:bCs/>
              </w:rPr>
              <w:t>i</w:t>
            </w:r>
            <w:r w:rsidR="00242628" w:rsidRPr="00830B3F">
              <w:rPr>
                <w:b/>
                <w:bCs/>
                <w:vertAlign w:val="subscript"/>
              </w:rPr>
              <w:t>4</w:t>
            </w:r>
          </w:p>
        </w:tc>
        <w:tc>
          <w:tcPr>
            <w:tcW w:w="1416" w:type="dxa"/>
          </w:tcPr>
          <w:p w14:paraId="394C308B" w14:textId="6AB1D5BF" w:rsidR="00242628" w:rsidRPr="007F7C86" w:rsidRDefault="00F61837" w:rsidP="00E41738">
            <w:pPr>
              <w:pStyle w:val="Els-body-text"/>
              <w:jc w:val="center"/>
              <w:rPr>
                <w:b/>
                <w:bCs/>
              </w:rPr>
            </w:pPr>
            <w:r w:rsidRPr="007F7C86">
              <w:rPr>
                <w:b/>
                <w:bCs/>
              </w:rPr>
              <w:t xml:space="preserve">Coef. </w:t>
            </w:r>
            <w:r w:rsidR="00830B3F">
              <w:rPr>
                <w:b/>
                <w:bCs/>
              </w:rPr>
              <w:t>i</w:t>
            </w:r>
            <w:r w:rsidR="00242628" w:rsidRPr="00830B3F">
              <w:rPr>
                <w:b/>
                <w:bCs/>
                <w:vertAlign w:val="subscript"/>
              </w:rPr>
              <w:t>5</w:t>
            </w:r>
          </w:p>
        </w:tc>
      </w:tr>
      <w:tr w:rsidR="00242628" w14:paraId="45CF4C6A" w14:textId="77777777" w:rsidTr="00752D31">
        <w:tc>
          <w:tcPr>
            <w:tcW w:w="1415" w:type="dxa"/>
          </w:tcPr>
          <w:p w14:paraId="036E4F47" w14:textId="6F51091A" w:rsidR="00242628" w:rsidRPr="004C1C59" w:rsidRDefault="00242628" w:rsidP="00E41738">
            <w:pPr>
              <w:pStyle w:val="Els-body-text"/>
              <w:jc w:val="center"/>
              <w:rPr>
                <w:b/>
                <w:bCs/>
              </w:rPr>
            </w:pPr>
            <w:r w:rsidRPr="004C1C59">
              <w:t>100</w:t>
            </w:r>
          </w:p>
        </w:tc>
        <w:tc>
          <w:tcPr>
            <w:tcW w:w="1415" w:type="dxa"/>
          </w:tcPr>
          <w:p w14:paraId="39E4168F" w14:textId="5C7C513A" w:rsidR="00242628" w:rsidRDefault="00242628" w:rsidP="00E41738">
            <w:pPr>
              <w:pStyle w:val="Els-body-text"/>
              <w:jc w:val="center"/>
            </w:pPr>
            <w:r>
              <w:t>20</w:t>
            </w:r>
          </w:p>
        </w:tc>
        <w:tc>
          <w:tcPr>
            <w:tcW w:w="1415" w:type="dxa"/>
          </w:tcPr>
          <w:p w14:paraId="7E423586" w14:textId="2844F5D0" w:rsidR="00242628" w:rsidRDefault="00242628" w:rsidP="00E41738">
            <w:pPr>
              <w:pStyle w:val="Els-body-text"/>
              <w:jc w:val="center"/>
            </w:pPr>
            <w:r>
              <w:t>100</w:t>
            </w:r>
          </w:p>
        </w:tc>
        <w:tc>
          <w:tcPr>
            <w:tcW w:w="1415" w:type="dxa"/>
          </w:tcPr>
          <w:p w14:paraId="4D0C641E" w14:textId="310AC03F" w:rsidR="00242628" w:rsidRDefault="00242628" w:rsidP="00E41738">
            <w:pPr>
              <w:pStyle w:val="Els-body-text"/>
              <w:jc w:val="center"/>
            </w:pPr>
            <w:r>
              <w:t>20</w:t>
            </w:r>
          </w:p>
        </w:tc>
        <w:tc>
          <w:tcPr>
            <w:tcW w:w="1416" w:type="dxa"/>
          </w:tcPr>
          <w:p w14:paraId="6F69B846" w14:textId="4FD6CBE1" w:rsidR="00242628" w:rsidRDefault="00242628" w:rsidP="00E41738">
            <w:pPr>
              <w:pStyle w:val="Els-body-text"/>
              <w:jc w:val="center"/>
            </w:pPr>
            <w:r>
              <w:t>1000</w:t>
            </w:r>
          </w:p>
        </w:tc>
      </w:tr>
    </w:tbl>
    <w:p w14:paraId="44305ADB" w14:textId="1C8B070B" w:rsidR="00ED02C1" w:rsidRDefault="00ED02C1" w:rsidP="00960618">
      <w:pPr>
        <w:pStyle w:val="Els-body-text"/>
      </w:pPr>
    </w:p>
    <w:p w14:paraId="5EB8016D" w14:textId="5AA6349A" w:rsidR="00F61837" w:rsidRPr="00960618" w:rsidRDefault="00F61837" w:rsidP="00960618">
      <w:pPr>
        <w:pStyle w:val="Els-body-text"/>
      </w:pPr>
      <w:r>
        <w:t>Reaching</w:t>
      </w:r>
      <w:r w:rsidR="00FE389D">
        <w:t xml:space="preserve"> the target mAb concentration</w:t>
      </w:r>
      <w:r>
        <w:t xml:space="preserve"> (Coef. i</w:t>
      </w:r>
      <w:r w:rsidRPr="00CC0827">
        <w:rPr>
          <w:vertAlign w:val="subscript"/>
        </w:rPr>
        <w:t>1</w:t>
      </w:r>
      <w:r>
        <w:t>)</w:t>
      </w:r>
      <w:r w:rsidR="001F5CA7">
        <w:t xml:space="preserve"> provides the maximum </w:t>
      </w:r>
      <w:r w:rsidR="00F264EA">
        <w:t xml:space="preserve">reward possible, followed by </w:t>
      </w:r>
      <w:r w:rsidR="00FE389D">
        <w:t>maintaining that target</w:t>
      </w:r>
      <w:r>
        <w:t xml:space="preserve"> (Coef. i</w:t>
      </w:r>
      <w:r w:rsidR="00763B1C">
        <w:rPr>
          <w:vertAlign w:val="subscript"/>
        </w:rPr>
        <w:t>3</w:t>
      </w:r>
      <w:r>
        <w:t>)</w:t>
      </w:r>
      <w:r w:rsidR="00F264EA">
        <w:t xml:space="preserve">. A very harsh penalty is given </w:t>
      </w:r>
      <w:r w:rsidR="002972A4">
        <w:t>for</w:t>
      </w:r>
      <w:r w:rsidR="00F264EA">
        <w:t xml:space="preserve"> </w:t>
      </w:r>
      <w:r w:rsidR="00A85875">
        <w:t xml:space="preserve">causing any </w:t>
      </w:r>
      <w:r w:rsidR="002972A4">
        <w:t>numerical failure</w:t>
      </w:r>
      <w:r w:rsidR="00A85875">
        <w:t xml:space="preserve"> in the model.</w:t>
      </w:r>
      <w:r w:rsidR="002972A4">
        <w:t xml:space="preserve"> </w:t>
      </w:r>
      <w:r w:rsidR="0062029A">
        <w:t>This ensures the agent is rewarded for keeping inside the environment’s physical constraints.</w:t>
      </w:r>
      <w:r w:rsidR="00A85875">
        <w:t xml:space="preserve">  </w:t>
      </w:r>
    </w:p>
    <w:p w14:paraId="144DE6A1" w14:textId="09654967" w:rsidR="008D2649" w:rsidRPr="00A94774" w:rsidRDefault="00960618" w:rsidP="008D2649">
      <w:pPr>
        <w:pStyle w:val="Els-1storder-head"/>
        <w:spacing w:after="120"/>
        <w:rPr>
          <w:lang w:val="en-GB"/>
        </w:rPr>
      </w:pPr>
      <w:r>
        <w:rPr>
          <w:lang w:val="en-GB"/>
        </w:rPr>
        <w:t>Results</w:t>
      </w:r>
    </w:p>
    <w:p w14:paraId="35A48A22" w14:textId="1F0A7049" w:rsidR="005027BD" w:rsidRDefault="005027BD" w:rsidP="005027BD">
      <w:pPr>
        <w:pStyle w:val="Els-2ndorder-head"/>
      </w:pPr>
      <w:r>
        <w:t>Hyperparameter Optimisation</w:t>
      </w:r>
    </w:p>
    <w:p w14:paraId="730316AF" w14:textId="34B98159" w:rsidR="002A6F6C" w:rsidRDefault="00F8461A" w:rsidP="00F8461A">
      <w:pPr>
        <w:pStyle w:val="Els-body-text"/>
      </w:pPr>
      <w:r>
        <w:t xml:space="preserve">The hyperparameters of the agent model were initially tuned using a variant of Bayesian </w:t>
      </w:r>
      <w:r w:rsidRPr="006D39C5">
        <w:t>Optimization (Tree-structured Parzen Estimator) using the Python package Optuna (Akiba et al., 2019). Following</w:t>
      </w:r>
      <w:r>
        <w:t xml:space="preserve"> the optimization, during the training phase we manually </w:t>
      </w:r>
      <w:r w:rsidR="00811ADB">
        <w:t xml:space="preserve">adjusted certain </w:t>
      </w:r>
      <w:r>
        <w:t>parameters such as the learning rate and the learning start step, as the agent was learning too fast and was returning suboptimal policies without exploring the entire action space.</w:t>
      </w:r>
    </w:p>
    <w:p w14:paraId="0E29C972" w14:textId="75241E4E" w:rsidR="003E0B5F" w:rsidRDefault="00755124" w:rsidP="003E0B5F">
      <w:pPr>
        <w:pStyle w:val="Els-2ndorder-head"/>
      </w:pPr>
      <w:r>
        <w:t>Training performance</w:t>
      </w:r>
    </w:p>
    <w:p w14:paraId="01648C8C" w14:textId="0F518CFD" w:rsidR="003327C4" w:rsidRDefault="00C231CB" w:rsidP="003E0B5F">
      <w:pPr>
        <w:pStyle w:val="Els-body-text"/>
      </w:pPr>
      <w:r>
        <w:t xml:space="preserve">The following figures </w:t>
      </w:r>
      <w:r w:rsidR="00437860" w:rsidRPr="00437860">
        <w:rPr>
          <w:lang w:val="en-GB"/>
        </w:rPr>
        <w:t>(2</w:t>
      </w:r>
      <w:r w:rsidR="00437860">
        <w:rPr>
          <w:lang w:val="en-GB"/>
        </w:rPr>
        <w:t xml:space="preserve">a and 2b) </w:t>
      </w:r>
      <w:r>
        <w:t xml:space="preserve">represent </w:t>
      </w:r>
      <w:r w:rsidR="009D2490">
        <w:t xml:space="preserve">mAb </w:t>
      </w:r>
      <w:r w:rsidR="009F2575">
        <w:t>concentration</w:t>
      </w:r>
      <w:r>
        <w:t xml:space="preserve"> and </w:t>
      </w:r>
      <w:r w:rsidR="009F2575">
        <w:t>rewards</w:t>
      </w:r>
      <w:r w:rsidR="009215BC">
        <w:t xml:space="preserve"> during training</w:t>
      </w:r>
      <w:r w:rsidR="009F2575">
        <w:t>.</w:t>
      </w:r>
      <w:r w:rsidR="0023032C">
        <w:t xml:space="preserve"> </w:t>
      </w:r>
      <w:r w:rsidR="00761541">
        <w:t xml:space="preserve">During the initial phase of the training, the agent explored the allowed action space with regards to both action variables. This </w:t>
      </w:r>
      <w:r w:rsidR="00B9013C">
        <w:t>led</w:t>
      </w:r>
      <w:r w:rsidR="00761541">
        <w:t xml:space="preserve"> to </w:t>
      </w:r>
      <w:r w:rsidR="00F27AE8">
        <w:t xml:space="preserve">mAb </w:t>
      </w:r>
      <w:r w:rsidR="00B9013C">
        <w:t xml:space="preserve">concentration </w:t>
      </w:r>
      <w:r w:rsidR="00235C22">
        <w:t xml:space="preserve">initially </w:t>
      </w:r>
      <w:r w:rsidR="00F27AE8">
        <w:t xml:space="preserve">being below the target </w:t>
      </w:r>
      <w:r w:rsidR="000E650E">
        <w:t>range</w:t>
      </w:r>
      <w:r w:rsidR="00F27AE8">
        <w:t xml:space="preserve">, followed by being above the target range for </w:t>
      </w:r>
      <w:r w:rsidR="00CC4F5B">
        <w:t>most of the training period.</w:t>
      </w:r>
    </w:p>
    <w:tbl>
      <w:tblPr>
        <w:tblStyle w:val="TableGrid"/>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3533"/>
      </w:tblGrid>
      <w:tr w:rsidR="00AB0AF5" w14:paraId="3A243E1E" w14:textId="77777777" w:rsidTr="00F77C1E">
        <w:tc>
          <w:tcPr>
            <w:tcW w:w="3516" w:type="dxa"/>
          </w:tcPr>
          <w:p w14:paraId="4F3FE26A" w14:textId="01F7D82D" w:rsidR="003E0B5F" w:rsidRDefault="002D3CE4" w:rsidP="00B7485F">
            <w:pPr>
              <w:pStyle w:val="Caption"/>
            </w:pPr>
            <w:r>
              <w:rPr>
                <w:noProof/>
              </w:rPr>
              <w:drawing>
                <wp:inline distT="0" distB="0" distL="0" distR="0" wp14:anchorId="1C2CE2A2" wp14:editId="533A9A5C">
                  <wp:extent cx="2169268" cy="996495"/>
                  <wp:effectExtent l="0" t="0" r="2540" b="0"/>
                  <wp:docPr id="1344822078" name="Picture 1344822078"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22078" name="Picture 18" descr="A graph with a red line&#10;&#10;Description automatically generated"/>
                          <pic:cNvPicPr/>
                        </pic:nvPicPr>
                        <pic:blipFill rotWithShape="1">
                          <a:blip r:embed="rId9" cstate="print">
                            <a:extLst>
                              <a:ext uri="{28A0092B-C50C-407E-A947-70E740481C1C}">
                                <a14:useLocalDpi xmlns:a14="http://schemas.microsoft.com/office/drawing/2010/main" val="0"/>
                              </a:ext>
                            </a:extLst>
                          </a:blip>
                          <a:srcRect t="8126"/>
                          <a:stretch/>
                        </pic:blipFill>
                        <pic:spPr bwMode="auto">
                          <a:xfrm>
                            <a:off x="0" y="0"/>
                            <a:ext cx="2178842" cy="1000893"/>
                          </a:xfrm>
                          <a:prstGeom prst="rect">
                            <a:avLst/>
                          </a:prstGeom>
                          <a:ln>
                            <a:noFill/>
                          </a:ln>
                          <a:extLst>
                            <a:ext uri="{53640926-AAD7-44D8-BBD7-CCE9431645EC}">
                              <a14:shadowObscured xmlns:a14="http://schemas.microsoft.com/office/drawing/2010/main"/>
                            </a:ext>
                          </a:extLst>
                        </pic:spPr>
                      </pic:pic>
                    </a:graphicData>
                  </a:graphic>
                </wp:inline>
              </w:drawing>
            </w:r>
          </w:p>
        </w:tc>
        <w:tc>
          <w:tcPr>
            <w:tcW w:w="3561" w:type="dxa"/>
          </w:tcPr>
          <w:p w14:paraId="60DDDAEA" w14:textId="3A483EC1" w:rsidR="003E0B5F" w:rsidRDefault="002D3CE4" w:rsidP="00F77C1E">
            <w:pPr>
              <w:pStyle w:val="Els-2ndorder-head"/>
              <w:numPr>
                <w:ilvl w:val="0"/>
                <w:numId w:val="0"/>
              </w:numPr>
              <w:jc w:val="center"/>
            </w:pPr>
            <w:r>
              <w:rPr>
                <w:noProof/>
              </w:rPr>
              <w:drawing>
                <wp:inline distT="0" distB="0" distL="0" distR="0" wp14:anchorId="009C4643" wp14:editId="66B1EF6A">
                  <wp:extent cx="2158999" cy="996815"/>
                  <wp:effectExtent l="0" t="0" r="0" b="0"/>
                  <wp:docPr id="638200888" name="Picture 638200888" descr="A green graph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00888" name="Picture 19" descr="A green graph with white text&#10;&#10;Description automatically generated"/>
                          <pic:cNvPicPr/>
                        </pic:nvPicPr>
                        <pic:blipFill rotWithShape="1">
                          <a:blip r:embed="rId10" cstate="print">
                            <a:extLst>
                              <a:ext uri="{28A0092B-C50C-407E-A947-70E740481C1C}">
                                <a14:useLocalDpi xmlns:a14="http://schemas.microsoft.com/office/drawing/2010/main" val="0"/>
                              </a:ext>
                            </a:extLst>
                          </a:blip>
                          <a:srcRect t="7659"/>
                          <a:stretch/>
                        </pic:blipFill>
                        <pic:spPr bwMode="auto">
                          <a:xfrm>
                            <a:off x="0" y="0"/>
                            <a:ext cx="2163431" cy="998861"/>
                          </a:xfrm>
                          <a:prstGeom prst="rect">
                            <a:avLst/>
                          </a:prstGeom>
                          <a:ln>
                            <a:noFill/>
                          </a:ln>
                          <a:extLst>
                            <a:ext uri="{53640926-AAD7-44D8-BBD7-CCE9431645EC}">
                              <a14:shadowObscured xmlns:a14="http://schemas.microsoft.com/office/drawing/2010/main"/>
                            </a:ext>
                          </a:extLst>
                        </pic:spPr>
                      </pic:pic>
                    </a:graphicData>
                  </a:graphic>
                </wp:inline>
              </w:drawing>
            </w:r>
          </w:p>
        </w:tc>
      </w:tr>
      <w:tr w:rsidR="002D3CE4" w14:paraId="2C4499F5" w14:textId="77777777" w:rsidTr="00F77C1E">
        <w:tc>
          <w:tcPr>
            <w:tcW w:w="3516" w:type="dxa"/>
          </w:tcPr>
          <w:p w14:paraId="157D8DA0" w14:textId="255D4F58" w:rsidR="00F77C1E" w:rsidRPr="00F77C1E" w:rsidRDefault="00F77C1E" w:rsidP="00F77C1E">
            <w:pPr>
              <w:pStyle w:val="Caption"/>
              <w:jc w:val="center"/>
              <w:rPr>
                <w:noProof/>
                <w:szCs w:val="18"/>
              </w:rPr>
            </w:pPr>
            <w:r w:rsidRPr="00F77C1E">
              <w:rPr>
                <w:noProof/>
                <w:szCs w:val="18"/>
              </w:rPr>
              <w:t>(a)</w:t>
            </w:r>
          </w:p>
        </w:tc>
        <w:tc>
          <w:tcPr>
            <w:tcW w:w="3561" w:type="dxa"/>
          </w:tcPr>
          <w:p w14:paraId="0CAEE2EF" w14:textId="767284CE" w:rsidR="00F77C1E" w:rsidRPr="00F77C1E" w:rsidRDefault="00F77C1E" w:rsidP="00F77C1E">
            <w:pPr>
              <w:pStyle w:val="Els-2ndorder-head"/>
              <w:numPr>
                <w:ilvl w:val="0"/>
                <w:numId w:val="0"/>
              </w:numPr>
              <w:jc w:val="center"/>
              <w:rPr>
                <w:i w:val="0"/>
                <w:iCs/>
                <w:noProof/>
                <w:sz w:val="18"/>
                <w:szCs w:val="18"/>
              </w:rPr>
            </w:pPr>
            <w:r w:rsidRPr="00F77C1E">
              <w:rPr>
                <w:i w:val="0"/>
                <w:iCs/>
                <w:noProof/>
                <w:sz w:val="18"/>
                <w:szCs w:val="18"/>
              </w:rPr>
              <w:t>(b)</w:t>
            </w:r>
          </w:p>
        </w:tc>
      </w:tr>
      <w:tr w:rsidR="00732049" w:rsidRPr="006D39C5" w14:paraId="07619C40" w14:textId="77777777" w:rsidTr="00F77C1E">
        <w:tc>
          <w:tcPr>
            <w:tcW w:w="7077" w:type="dxa"/>
            <w:gridSpan w:val="2"/>
          </w:tcPr>
          <w:p w14:paraId="56654DAC" w14:textId="13FC930F" w:rsidR="00732049" w:rsidRPr="006D39C5" w:rsidRDefault="00732049" w:rsidP="00AE7B52">
            <w:pPr>
              <w:pStyle w:val="Els-2ndorder-head"/>
              <w:numPr>
                <w:ilvl w:val="0"/>
                <w:numId w:val="0"/>
              </w:numPr>
              <w:jc w:val="center"/>
              <w:rPr>
                <w:i w:val="0"/>
                <w:iCs/>
                <w:noProof/>
                <w:sz w:val="18"/>
                <w:szCs w:val="18"/>
              </w:rPr>
            </w:pPr>
            <w:r w:rsidRPr="006D39C5">
              <w:rPr>
                <w:i w:val="0"/>
                <w:iCs/>
                <w:noProof/>
                <w:sz w:val="18"/>
                <w:szCs w:val="18"/>
              </w:rPr>
              <w:lastRenderedPageBreak/>
              <w:t>Figure 2 Training evolution of</w:t>
            </w:r>
            <w:r w:rsidR="00F77C1E" w:rsidRPr="006D39C5">
              <w:rPr>
                <w:i w:val="0"/>
                <w:iCs/>
                <w:noProof/>
                <w:sz w:val="18"/>
                <w:szCs w:val="18"/>
              </w:rPr>
              <w:t xml:space="preserve"> (a) </w:t>
            </w:r>
            <w:r w:rsidRPr="006D39C5">
              <w:rPr>
                <w:i w:val="0"/>
                <w:iCs/>
                <w:noProof/>
                <w:sz w:val="18"/>
                <w:szCs w:val="18"/>
              </w:rPr>
              <w:t>mAb</w:t>
            </w:r>
            <w:r w:rsidR="00F77C1E" w:rsidRPr="006D39C5">
              <w:rPr>
                <w:i w:val="0"/>
                <w:iCs/>
                <w:noProof/>
                <w:sz w:val="18"/>
                <w:szCs w:val="18"/>
              </w:rPr>
              <w:t xml:space="preserve"> and (b) rewards</w:t>
            </w:r>
            <w:r w:rsidRPr="006D39C5">
              <w:rPr>
                <w:i w:val="0"/>
                <w:iCs/>
                <w:noProof/>
                <w:sz w:val="18"/>
                <w:szCs w:val="18"/>
              </w:rPr>
              <w:t xml:space="preserve"> as a function of training steps. The red dashed lines indicate </w:t>
            </w:r>
            <w:r w:rsidR="00F77C1E" w:rsidRPr="006D39C5">
              <w:rPr>
                <w:i w:val="0"/>
                <w:iCs/>
                <w:noProof/>
                <w:sz w:val="18"/>
                <w:szCs w:val="18"/>
              </w:rPr>
              <w:t xml:space="preserve">(a) </w:t>
            </w:r>
            <w:r w:rsidRPr="006D39C5">
              <w:rPr>
                <w:i w:val="0"/>
                <w:iCs/>
                <w:noProof/>
                <w:sz w:val="18"/>
                <w:szCs w:val="18"/>
              </w:rPr>
              <w:t>the target range for mAb</w:t>
            </w:r>
            <w:r w:rsidR="00F77C1E" w:rsidRPr="006D39C5">
              <w:rPr>
                <w:i w:val="0"/>
                <w:iCs/>
                <w:noProof/>
                <w:sz w:val="18"/>
                <w:szCs w:val="18"/>
              </w:rPr>
              <w:t xml:space="preserve"> and (b) indicate the maximum possible reward (120) for the controller to achieve</w:t>
            </w:r>
          </w:p>
        </w:tc>
      </w:tr>
    </w:tbl>
    <w:p w14:paraId="6B056DC4" w14:textId="529FC123" w:rsidR="00B7485F" w:rsidRPr="006D39C5" w:rsidRDefault="00B7485F" w:rsidP="008D2649">
      <w:pPr>
        <w:pStyle w:val="Els-body-text"/>
      </w:pPr>
    </w:p>
    <w:p w14:paraId="431D8146" w14:textId="77777777" w:rsidR="00956E1F" w:rsidRDefault="00446D26" w:rsidP="008D2649">
      <w:pPr>
        <w:pStyle w:val="Els-body-text"/>
      </w:pPr>
      <w:r w:rsidRPr="006D39C5">
        <w:t>The red line in figure 2</w:t>
      </w:r>
      <w:r w:rsidR="00882B03" w:rsidRPr="006D39C5">
        <w:t>a</w:t>
      </w:r>
      <w:r w:rsidRPr="006D39C5">
        <w:t xml:space="preserve"> indicates the acceptable concentration interval. However, as the reward steadily reduces, mAb concentration increasingly violates the target upper bound. The fed-batch nature of this case study makes it challenging to go back, after violating the upper bound of the target. Hence, the controller had to wait for a batch to end (of simulated duration of 14 days), to try a new policy. A higher production rate is not always desirable given that it might lead to immature </w:t>
      </w:r>
      <w:r w:rsidR="008878DD">
        <w:t xml:space="preserve">mAb </w:t>
      </w:r>
      <w:r w:rsidRPr="006D39C5">
        <w:t>glycans</w:t>
      </w:r>
      <w:r w:rsidR="008878DD">
        <w:t>, which is undesirable</w:t>
      </w:r>
      <w:r w:rsidRPr="006D39C5">
        <w:t xml:space="preserve"> (Jimenez del Val et al., 2016). As such, it is important to train the agent not to violate the target upper bound. </w:t>
      </w:r>
    </w:p>
    <w:p w14:paraId="2B872D15" w14:textId="3A903997" w:rsidR="00A151AE" w:rsidRDefault="00CF3DD7" w:rsidP="008D2649">
      <w:pPr>
        <w:pStyle w:val="Els-body-text"/>
      </w:pPr>
      <w:r>
        <w:t>T</w:t>
      </w:r>
      <w:r w:rsidR="00E063CE">
        <w:t xml:space="preserve">he </w:t>
      </w:r>
      <w:r w:rsidR="002E3549" w:rsidRPr="006D39C5">
        <w:t>volume</w:t>
      </w:r>
      <w:r w:rsidR="00E063CE">
        <w:t xml:space="preserve"> </w:t>
      </w:r>
      <w:r>
        <w:t>fed to the reactor explored the entire action space in the early stages of the training</w:t>
      </w:r>
      <w:r w:rsidR="002E3549">
        <w:t xml:space="preserve"> </w:t>
      </w:r>
      <w:r w:rsidR="00EF3594">
        <w:t>(</w:t>
      </w:r>
      <w:r w:rsidR="00EF3594" w:rsidRPr="006D39C5">
        <w:t>figure 3a</w:t>
      </w:r>
      <w:r w:rsidR="00EF3594">
        <w:t>)</w:t>
      </w:r>
      <w:r w:rsidR="00D07195">
        <w:t xml:space="preserve">. </w:t>
      </w:r>
      <w:r w:rsidR="002E3A58">
        <w:t xml:space="preserve">As the training progresses, </w:t>
      </w:r>
      <w:r w:rsidR="00D07195">
        <w:t xml:space="preserve">it </w:t>
      </w:r>
      <w:r w:rsidR="00AD24BF">
        <w:t>progressively narrows the window of exploration</w:t>
      </w:r>
      <w:r w:rsidR="001F7B41">
        <w:t>, settling</w:t>
      </w:r>
      <w:r w:rsidR="00AD24BF">
        <w:t xml:space="preserve"> in the upper region of the action space</w:t>
      </w:r>
      <w:r w:rsidR="00D07195">
        <w:t xml:space="preserve">. </w:t>
      </w:r>
    </w:p>
    <w:tbl>
      <w:tblPr>
        <w:tblStyle w:val="TableGrid"/>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6"/>
        <w:gridCol w:w="3620"/>
      </w:tblGrid>
      <w:tr w:rsidR="00817636" w14:paraId="7F4B461E" w14:textId="77777777" w:rsidTr="00250F4F">
        <w:tc>
          <w:tcPr>
            <w:tcW w:w="3516" w:type="dxa"/>
          </w:tcPr>
          <w:p w14:paraId="613B8175" w14:textId="63DEBB09" w:rsidR="006C546D" w:rsidRDefault="002D3CE4" w:rsidP="00501DEE">
            <w:pPr>
              <w:pStyle w:val="Caption"/>
            </w:pPr>
            <w:r>
              <w:rPr>
                <w:noProof/>
              </w:rPr>
              <w:drawing>
                <wp:inline distT="0" distB="0" distL="0" distR="0" wp14:anchorId="72BA3284" wp14:editId="7100ADDF">
                  <wp:extent cx="2105696" cy="952698"/>
                  <wp:effectExtent l="0" t="0" r="8890" b="0"/>
                  <wp:docPr id="1579078763" name="Picture 1579078763" descr="A green line graph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78763" name="Picture 20" descr="A green line graph with white text&#10;&#10;Description automatically generated"/>
                          <pic:cNvPicPr/>
                        </pic:nvPicPr>
                        <pic:blipFill rotWithShape="1">
                          <a:blip r:embed="rId11" cstate="print">
                            <a:extLst>
                              <a:ext uri="{28A0092B-C50C-407E-A947-70E740481C1C}">
                                <a14:useLocalDpi xmlns:a14="http://schemas.microsoft.com/office/drawing/2010/main" val="0"/>
                              </a:ext>
                            </a:extLst>
                          </a:blip>
                          <a:srcRect t="9512"/>
                          <a:stretch/>
                        </pic:blipFill>
                        <pic:spPr bwMode="auto">
                          <a:xfrm>
                            <a:off x="0" y="0"/>
                            <a:ext cx="2125805" cy="961796"/>
                          </a:xfrm>
                          <a:prstGeom prst="rect">
                            <a:avLst/>
                          </a:prstGeom>
                          <a:ln>
                            <a:noFill/>
                          </a:ln>
                          <a:extLst>
                            <a:ext uri="{53640926-AAD7-44D8-BBD7-CCE9431645EC}">
                              <a14:shadowObscured xmlns:a14="http://schemas.microsoft.com/office/drawing/2010/main"/>
                            </a:ext>
                          </a:extLst>
                        </pic:spPr>
                      </pic:pic>
                    </a:graphicData>
                  </a:graphic>
                </wp:inline>
              </w:drawing>
            </w:r>
          </w:p>
        </w:tc>
        <w:tc>
          <w:tcPr>
            <w:tcW w:w="3561" w:type="dxa"/>
          </w:tcPr>
          <w:p w14:paraId="42E25107" w14:textId="360A73E3" w:rsidR="006C546D" w:rsidRDefault="002D3CE4" w:rsidP="00501DEE">
            <w:pPr>
              <w:pStyle w:val="Els-2ndorder-head"/>
              <w:numPr>
                <w:ilvl w:val="0"/>
                <w:numId w:val="0"/>
              </w:numPr>
              <w:jc w:val="center"/>
            </w:pPr>
            <w:r>
              <w:rPr>
                <w:noProof/>
              </w:rPr>
              <w:drawing>
                <wp:inline distT="0" distB="0" distL="0" distR="0" wp14:anchorId="4A0CAAA0" wp14:editId="79C5BBC5">
                  <wp:extent cx="2214721" cy="1006813"/>
                  <wp:effectExtent l="0" t="0" r="0" b="3175"/>
                  <wp:docPr id="1033512497" name="Picture 1033512497" descr="A green and white sound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12497" name="Picture 21" descr="A green and white sound wave&#10;&#10;Description automatically generated"/>
                          <pic:cNvPicPr/>
                        </pic:nvPicPr>
                        <pic:blipFill rotWithShape="1">
                          <a:blip r:embed="rId12" cstate="print">
                            <a:extLst>
                              <a:ext uri="{28A0092B-C50C-407E-A947-70E740481C1C}">
                                <a14:useLocalDpi xmlns:a14="http://schemas.microsoft.com/office/drawing/2010/main" val="0"/>
                              </a:ext>
                            </a:extLst>
                          </a:blip>
                          <a:srcRect t="9080"/>
                          <a:stretch/>
                        </pic:blipFill>
                        <pic:spPr bwMode="auto">
                          <a:xfrm>
                            <a:off x="0" y="0"/>
                            <a:ext cx="2242744" cy="1019552"/>
                          </a:xfrm>
                          <a:prstGeom prst="rect">
                            <a:avLst/>
                          </a:prstGeom>
                          <a:ln>
                            <a:noFill/>
                          </a:ln>
                          <a:extLst>
                            <a:ext uri="{53640926-AAD7-44D8-BBD7-CCE9431645EC}">
                              <a14:shadowObscured xmlns:a14="http://schemas.microsoft.com/office/drawing/2010/main"/>
                            </a:ext>
                          </a:extLst>
                        </pic:spPr>
                      </pic:pic>
                    </a:graphicData>
                  </a:graphic>
                </wp:inline>
              </w:drawing>
            </w:r>
          </w:p>
        </w:tc>
      </w:tr>
      <w:tr w:rsidR="002D3CE4" w14:paraId="35CFD87F" w14:textId="77777777" w:rsidTr="00250F4F">
        <w:tc>
          <w:tcPr>
            <w:tcW w:w="3516" w:type="dxa"/>
          </w:tcPr>
          <w:p w14:paraId="05CDDF2B" w14:textId="77777777" w:rsidR="006C546D" w:rsidRPr="00F77C1E" w:rsidRDefault="006C546D" w:rsidP="00501DEE">
            <w:pPr>
              <w:pStyle w:val="Caption"/>
              <w:jc w:val="center"/>
              <w:rPr>
                <w:noProof/>
                <w:szCs w:val="18"/>
              </w:rPr>
            </w:pPr>
            <w:r w:rsidRPr="00F77C1E">
              <w:rPr>
                <w:noProof/>
                <w:szCs w:val="18"/>
              </w:rPr>
              <w:t>(a)</w:t>
            </w:r>
          </w:p>
        </w:tc>
        <w:tc>
          <w:tcPr>
            <w:tcW w:w="3561" w:type="dxa"/>
          </w:tcPr>
          <w:p w14:paraId="45F7283F" w14:textId="77777777" w:rsidR="006C546D" w:rsidRPr="00F77C1E" w:rsidRDefault="006C546D" w:rsidP="00501DEE">
            <w:pPr>
              <w:pStyle w:val="Els-2ndorder-head"/>
              <w:numPr>
                <w:ilvl w:val="0"/>
                <w:numId w:val="0"/>
              </w:numPr>
              <w:jc w:val="center"/>
              <w:rPr>
                <w:i w:val="0"/>
                <w:iCs/>
                <w:noProof/>
                <w:sz w:val="18"/>
                <w:szCs w:val="18"/>
              </w:rPr>
            </w:pPr>
            <w:r w:rsidRPr="00F77C1E">
              <w:rPr>
                <w:i w:val="0"/>
                <w:iCs/>
                <w:noProof/>
                <w:sz w:val="18"/>
                <w:szCs w:val="18"/>
              </w:rPr>
              <w:t>(b)</w:t>
            </w:r>
          </w:p>
        </w:tc>
      </w:tr>
      <w:tr w:rsidR="006C546D" w:rsidRPr="006D39C5" w14:paraId="0A882C7F" w14:textId="77777777" w:rsidTr="00250F4F">
        <w:tc>
          <w:tcPr>
            <w:tcW w:w="7077" w:type="dxa"/>
            <w:gridSpan w:val="2"/>
          </w:tcPr>
          <w:p w14:paraId="01B1514A" w14:textId="775C8D18" w:rsidR="006C546D" w:rsidRPr="006D39C5" w:rsidRDefault="006C546D" w:rsidP="00501DEE">
            <w:pPr>
              <w:pStyle w:val="Els-2ndorder-head"/>
              <w:numPr>
                <w:ilvl w:val="0"/>
                <w:numId w:val="0"/>
              </w:numPr>
              <w:jc w:val="center"/>
              <w:rPr>
                <w:i w:val="0"/>
                <w:iCs/>
                <w:noProof/>
                <w:sz w:val="18"/>
                <w:szCs w:val="18"/>
              </w:rPr>
            </w:pPr>
            <w:r w:rsidRPr="006D39C5">
              <w:rPr>
                <w:i w:val="0"/>
                <w:iCs/>
                <w:noProof/>
                <w:sz w:val="18"/>
                <w:szCs w:val="18"/>
              </w:rPr>
              <w:t xml:space="preserve">Figure 3 Training evolution of (a) volume in and (b) volume out as a function of training steps. </w:t>
            </w:r>
          </w:p>
        </w:tc>
      </w:tr>
    </w:tbl>
    <w:p w14:paraId="21556574" w14:textId="77777777" w:rsidR="00D23EC0" w:rsidRPr="006D39C5" w:rsidRDefault="00D23EC0" w:rsidP="008D2649">
      <w:pPr>
        <w:pStyle w:val="Els-body-text"/>
        <w:rPr>
          <w:lang w:val="en-GB"/>
        </w:rPr>
      </w:pPr>
    </w:p>
    <w:p w14:paraId="194ABD14" w14:textId="72CB2933" w:rsidR="006A3114" w:rsidRDefault="00503D12" w:rsidP="008D2649">
      <w:pPr>
        <w:pStyle w:val="Els-body-text"/>
        <w:rPr>
          <w:lang w:val="en-GB"/>
        </w:rPr>
      </w:pPr>
      <w:r>
        <w:t>The v</w:t>
      </w:r>
      <w:r w:rsidR="007D66CE" w:rsidRPr="006D39C5">
        <w:t xml:space="preserve">olume </w:t>
      </w:r>
      <w:r>
        <w:t>removed from</w:t>
      </w:r>
      <w:r w:rsidR="007D66CE" w:rsidRPr="006D39C5">
        <w:t xml:space="preserve"> the reactor (figure </w:t>
      </w:r>
      <w:r w:rsidR="006C546D" w:rsidRPr="006D39C5">
        <w:t>3b</w:t>
      </w:r>
      <w:r w:rsidR="007D66CE" w:rsidRPr="006D39C5">
        <w:t xml:space="preserve">) displays a u-shaped behavior, in which the period when </w:t>
      </w:r>
      <w:r w:rsidR="007A3382">
        <w:t>sampling</w:t>
      </w:r>
      <w:r w:rsidR="007D66CE" w:rsidRPr="006D39C5">
        <w:t xml:space="preserve"> was the lowest</w:t>
      </w:r>
      <w:r w:rsidR="007B5ECB" w:rsidRPr="006D39C5">
        <w:t xml:space="preserve"> </w:t>
      </w:r>
      <w:r w:rsidR="004E7CC1">
        <w:t>matches</w:t>
      </w:r>
      <w:r w:rsidR="007B5ECB" w:rsidRPr="006D39C5">
        <w:t xml:space="preserve"> the</w:t>
      </w:r>
      <w:r w:rsidR="007D66CE" w:rsidRPr="006D39C5">
        <w:t xml:space="preserve"> highest mAb </w:t>
      </w:r>
      <w:r w:rsidR="007B5ECB" w:rsidRPr="006D39C5">
        <w:t>concentration</w:t>
      </w:r>
      <w:r w:rsidR="007D66CE" w:rsidRPr="006D39C5">
        <w:t xml:space="preserve">. </w:t>
      </w:r>
      <w:r w:rsidR="006C546D" w:rsidRPr="006D39C5">
        <w:rPr>
          <w:lang w:val="en-GB"/>
        </w:rPr>
        <w:t>The</w:t>
      </w:r>
      <w:r w:rsidR="00B53CF9" w:rsidRPr="006D39C5">
        <w:rPr>
          <w:lang w:val="en-GB"/>
        </w:rPr>
        <w:t xml:space="preserve"> volume constraint was respect</w:t>
      </w:r>
      <w:r w:rsidR="00AB6493" w:rsidRPr="006D39C5">
        <w:rPr>
          <w:lang w:val="en-GB"/>
        </w:rPr>
        <w:t>ed</w:t>
      </w:r>
      <w:r w:rsidR="00B53CF9" w:rsidRPr="006D39C5">
        <w:rPr>
          <w:lang w:val="en-GB"/>
        </w:rPr>
        <w:t xml:space="preserve"> t</w:t>
      </w:r>
      <w:r w:rsidR="007D66CE" w:rsidRPr="006D39C5">
        <w:rPr>
          <w:lang w:val="en-GB"/>
        </w:rPr>
        <w:t>hroughout the training, while always hitting the upper bound.</w:t>
      </w:r>
      <w:r w:rsidR="00D37015" w:rsidRPr="006D39C5">
        <w:rPr>
          <w:lang w:val="en-GB"/>
        </w:rPr>
        <w:t xml:space="preserve"> This means that the agent uses volume out to achieve objectives</w:t>
      </w:r>
      <w:r w:rsidR="007414CE" w:rsidRPr="006D39C5">
        <w:rPr>
          <w:lang w:val="en-GB"/>
        </w:rPr>
        <w:t xml:space="preserve"> without violating the volume constraint</w:t>
      </w:r>
      <w:r w:rsidR="00D37015" w:rsidRPr="006D39C5">
        <w:rPr>
          <w:lang w:val="en-GB"/>
        </w:rPr>
        <w:t xml:space="preserve">. </w:t>
      </w:r>
      <w:r w:rsidR="009D3886" w:rsidRPr="006D39C5">
        <w:rPr>
          <w:lang w:val="en-GB"/>
        </w:rPr>
        <w:t xml:space="preserve">The </w:t>
      </w:r>
      <w:r w:rsidR="00106060" w:rsidRPr="006D39C5">
        <w:rPr>
          <w:lang w:val="en-GB"/>
        </w:rPr>
        <w:t>training</w:t>
      </w:r>
      <w:r w:rsidR="009D3886" w:rsidRPr="006D39C5">
        <w:rPr>
          <w:lang w:val="en-GB"/>
        </w:rPr>
        <w:t xml:space="preserve"> results also </w:t>
      </w:r>
      <w:r w:rsidR="000E3FD6">
        <w:rPr>
          <w:lang w:val="en-GB"/>
        </w:rPr>
        <w:t>suggest</w:t>
      </w:r>
      <w:r w:rsidR="009D3886" w:rsidRPr="006D39C5">
        <w:rPr>
          <w:lang w:val="en-GB"/>
        </w:rPr>
        <w:t xml:space="preserve"> to not feed as a percentage of the reactor volume nor to overfeed</w:t>
      </w:r>
      <w:r w:rsidR="00B8793A">
        <w:rPr>
          <w:lang w:val="en-GB"/>
        </w:rPr>
        <w:t>, both of which</w:t>
      </w:r>
      <w:r w:rsidR="003A266A">
        <w:rPr>
          <w:lang w:val="en-GB"/>
        </w:rPr>
        <w:t xml:space="preserve"> </w:t>
      </w:r>
      <w:r w:rsidR="00B8793A">
        <w:rPr>
          <w:lang w:val="en-GB"/>
        </w:rPr>
        <w:t>are common industrial</w:t>
      </w:r>
      <w:r w:rsidR="0074516F" w:rsidRPr="006D39C5">
        <w:rPr>
          <w:lang w:val="en-GB"/>
        </w:rPr>
        <w:t xml:space="preserve"> practice)</w:t>
      </w:r>
      <w:r w:rsidR="009D3886" w:rsidRPr="006D39C5">
        <w:rPr>
          <w:lang w:val="en-GB"/>
        </w:rPr>
        <w:t>.</w:t>
      </w:r>
      <w:r w:rsidR="0074516F" w:rsidRPr="006D39C5">
        <w:rPr>
          <w:lang w:val="en-GB"/>
        </w:rPr>
        <w:t xml:space="preserve"> </w:t>
      </w:r>
      <w:r w:rsidR="009D3886" w:rsidRPr="006D39C5">
        <w:rPr>
          <w:lang w:val="en-GB"/>
        </w:rPr>
        <w:t xml:space="preserve">The </w:t>
      </w:r>
      <w:r w:rsidR="00D50105">
        <w:rPr>
          <w:lang w:val="en-GB"/>
        </w:rPr>
        <w:t>proposed</w:t>
      </w:r>
      <w:r w:rsidR="009D3886" w:rsidRPr="006D39C5">
        <w:rPr>
          <w:lang w:val="en-GB"/>
        </w:rPr>
        <w:t xml:space="preserve"> feeding strategy might potentially avoid </w:t>
      </w:r>
      <w:r w:rsidR="005527EE" w:rsidRPr="006D39C5">
        <w:rPr>
          <w:lang w:val="en-GB"/>
        </w:rPr>
        <w:t xml:space="preserve">common overfeeding problems such as </w:t>
      </w:r>
      <w:r w:rsidR="00470FD1">
        <w:rPr>
          <w:lang w:val="en-GB"/>
        </w:rPr>
        <w:t>increases</w:t>
      </w:r>
      <w:r w:rsidR="00470FD1" w:rsidRPr="006D39C5">
        <w:rPr>
          <w:lang w:val="en-GB"/>
        </w:rPr>
        <w:t xml:space="preserve"> </w:t>
      </w:r>
      <w:r w:rsidR="005527EE" w:rsidRPr="006D39C5">
        <w:rPr>
          <w:lang w:val="en-GB"/>
        </w:rPr>
        <w:t xml:space="preserve">in </w:t>
      </w:r>
      <w:r w:rsidR="009D3886" w:rsidRPr="006D39C5">
        <w:rPr>
          <w:lang w:val="en-GB"/>
        </w:rPr>
        <w:t>osmolality</w:t>
      </w:r>
      <w:r w:rsidR="00FF337B" w:rsidRPr="006D39C5">
        <w:rPr>
          <w:lang w:val="en-GB"/>
        </w:rPr>
        <w:t xml:space="preserve">, </w:t>
      </w:r>
      <w:r w:rsidR="008E2E78" w:rsidRPr="006D39C5">
        <w:rPr>
          <w:lang w:val="en-GB"/>
        </w:rPr>
        <w:t xml:space="preserve">which </w:t>
      </w:r>
      <w:r w:rsidR="00470FD1">
        <w:rPr>
          <w:lang w:val="en-GB"/>
        </w:rPr>
        <w:t>may</w:t>
      </w:r>
      <w:r w:rsidR="00470FD1" w:rsidRPr="006D39C5">
        <w:rPr>
          <w:lang w:val="en-GB"/>
        </w:rPr>
        <w:t xml:space="preserve"> </w:t>
      </w:r>
      <w:r w:rsidR="008E2E78" w:rsidRPr="006D39C5">
        <w:rPr>
          <w:lang w:val="en-GB"/>
        </w:rPr>
        <w:t xml:space="preserve">hinder cell growth </w:t>
      </w:r>
      <w:r w:rsidR="0047375E" w:rsidRPr="006D39C5">
        <w:rPr>
          <w:lang w:val="en-GB"/>
        </w:rPr>
        <w:t>(</w:t>
      </w:r>
      <w:r w:rsidR="0047375E" w:rsidRPr="006D39C5">
        <w:t>Alhuthali et al., 2021)</w:t>
      </w:r>
      <w:r w:rsidR="009D3886" w:rsidRPr="006D39C5">
        <w:rPr>
          <w:lang w:val="en-GB"/>
        </w:rPr>
        <w:t>.</w:t>
      </w:r>
    </w:p>
    <w:p w14:paraId="3A613CC0" w14:textId="38E2AB55" w:rsidR="00755124" w:rsidRPr="00755124" w:rsidRDefault="00755124" w:rsidP="00755124">
      <w:pPr>
        <w:pStyle w:val="Els-2ndorder-head"/>
      </w:pPr>
      <w:r>
        <w:t>Testing performance</w:t>
      </w:r>
    </w:p>
    <w:tbl>
      <w:tblPr>
        <w:tblStyle w:val="TableGrid"/>
        <w:tblpPr w:leftFromText="180" w:rightFromText="180" w:vertAnchor="text" w:horzAnchor="margin" w:tblpXSpec="right" w:tblpY="21"/>
        <w:tblW w:w="3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tblGrid>
      <w:tr w:rsidR="00E07222" w14:paraId="7D146A20" w14:textId="77777777" w:rsidTr="002D3CE4">
        <w:tc>
          <w:tcPr>
            <w:tcW w:w="3232" w:type="dxa"/>
            <w:vAlign w:val="center"/>
          </w:tcPr>
          <w:p w14:paraId="7F410973" w14:textId="0EF3AB9C" w:rsidR="00E07222" w:rsidRDefault="00D63264" w:rsidP="00E07222">
            <w:pPr>
              <w:pStyle w:val="Caption"/>
              <w:jc w:val="center"/>
            </w:pPr>
            <w:r>
              <w:rPr>
                <w:noProof/>
                <w:sz w:val="16"/>
                <w:szCs w:val="16"/>
                <w:lang w:val="en-GB"/>
              </w:rPr>
              <w:drawing>
                <wp:inline distT="0" distB="0" distL="0" distR="0" wp14:anchorId="350B388B" wp14:editId="08A9B13A">
                  <wp:extent cx="1804490" cy="984995"/>
                  <wp:effectExtent l="0" t="0" r="5715" b="5715"/>
                  <wp:docPr id="1440999484" name="Picture 1"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99484" name="Picture 1" descr="A graph of a graph&#10;&#10;Description automatically generated with medium confidence"/>
                          <pic:cNvPicPr/>
                        </pic:nvPicPr>
                        <pic:blipFill rotWithShape="1">
                          <a:blip r:embed="rId13" cstate="print">
                            <a:extLst>
                              <a:ext uri="{28A0092B-C50C-407E-A947-70E740481C1C}">
                                <a14:useLocalDpi xmlns:a14="http://schemas.microsoft.com/office/drawing/2010/main" val="0"/>
                              </a:ext>
                            </a:extLst>
                          </a:blip>
                          <a:srcRect l="4188" t="4189" r="8051"/>
                          <a:stretch/>
                        </pic:blipFill>
                        <pic:spPr bwMode="auto">
                          <a:xfrm>
                            <a:off x="0" y="0"/>
                            <a:ext cx="1805605" cy="985603"/>
                          </a:xfrm>
                          <a:prstGeom prst="rect">
                            <a:avLst/>
                          </a:prstGeom>
                          <a:ln>
                            <a:noFill/>
                          </a:ln>
                          <a:extLst>
                            <a:ext uri="{53640926-AAD7-44D8-BBD7-CCE9431645EC}">
                              <a14:shadowObscured xmlns:a14="http://schemas.microsoft.com/office/drawing/2010/main"/>
                            </a:ext>
                          </a:extLst>
                        </pic:spPr>
                      </pic:pic>
                    </a:graphicData>
                  </a:graphic>
                </wp:inline>
              </w:drawing>
            </w:r>
          </w:p>
        </w:tc>
      </w:tr>
      <w:tr w:rsidR="00E07222" w14:paraId="6E8DB81C" w14:textId="77777777" w:rsidTr="002D3CE4">
        <w:tc>
          <w:tcPr>
            <w:tcW w:w="3232" w:type="dxa"/>
            <w:vAlign w:val="center"/>
          </w:tcPr>
          <w:p w14:paraId="13383674" w14:textId="17235A2C" w:rsidR="00E07222" w:rsidRPr="00663D54" w:rsidRDefault="00E07222" w:rsidP="00E07222">
            <w:pPr>
              <w:pStyle w:val="Caption"/>
              <w:jc w:val="center"/>
            </w:pPr>
            <w:r w:rsidRPr="006D39C5">
              <w:t xml:space="preserve">Figure 4 </w:t>
            </w:r>
            <w:r w:rsidR="00295408">
              <w:t xml:space="preserve">Quantity of </w:t>
            </w:r>
            <w:r w:rsidRPr="006D39C5">
              <w:t xml:space="preserve">mAb </w:t>
            </w:r>
            <w:r w:rsidR="00295408">
              <w:t>produced</w:t>
            </w:r>
            <w:r w:rsidRPr="006D39C5">
              <w:t xml:space="preserve"> f</w:t>
            </w:r>
            <w:r>
              <w:t>or different test episodes as a function of batch time</w:t>
            </w:r>
          </w:p>
        </w:tc>
      </w:tr>
    </w:tbl>
    <w:p w14:paraId="4EF7173A" w14:textId="31A06137" w:rsidR="00E07222" w:rsidRPr="00A94774" w:rsidRDefault="0023330E" w:rsidP="00E07222">
      <w:pPr>
        <w:pStyle w:val="Els-body-text"/>
        <w:spacing w:after="120"/>
        <w:rPr>
          <w:lang w:val="en-GB"/>
        </w:rPr>
      </w:pPr>
      <w:r>
        <w:rPr>
          <w:lang w:val="en-GB"/>
        </w:rPr>
        <w:t xml:space="preserve">The testing consisted of </w:t>
      </w:r>
      <w:r w:rsidR="008F41BF">
        <w:rPr>
          <w:lang w:val="en-GB"/>
        </w:rPr>
        <w:t>simulating the environment with the control policies of the trained agent</w:t>
      </w:r>
      <w:r w:rsidR="00CA5721">
        <w:rPr>
          <w:lang w:val="en-GB"/>
        </w:rPr>
        <w:t xml:space="preserve"> and evaluating system performance</w:t>
      </w:r>
      <w:r w:rsidR="008F41BF">
        <w:rPr>
          <w:lang w:val="en-GB"/>
        </w:rPr>
        <w:t xml:space="preserve">. </w:t>
      </w:r>
      <w:r w:rsidR="0075682A">
        <w:rPr>
          <w:lang w:val="en-GB"/>
        </w:rPr>
        <w:t xml:space="preserve">To ensure validity, the simulated environment continued to have different kinetic parameters and initial conditions randomly chosen </w:t>
      </w:r>
      <w:r w:rsidR="00E51A79">
        <w:rPr>
          <w:lang w:val="en-GB"/>
        </w:rPr>
        <w:t>with</w:t>
      </w:r>
      <w:r w:rsidR="00DD498C">
        <w:rPr>
          <w:lang w:val="en-GB"/>
        </w:rPr>
        <w:t xml:space="preserve">in a </w:t>
      </w:r>
      <w:r w:rsidR="00E51A79">
        <w:rPr>
          <w:lang w:val="en-GB"/>
        </w:rPr>
        <w:t>±</w:t>
      </w:r>
      <w:r w:rsidR="00DD498C">
        <w:rPr>
          <w:lang w:val="en-GB"/>
        </w:rPr>
        <w:t xml:space="preserve">5% range, similar to training. </w:t>
      </w:r>
      <w:r w:rsidR="00E07222" w:rsidRPr="13D3C551">
        <w:rPr>
          <w:lang w:val="en-GB"/>
        </w:rPr>
        <w:t xml:space="preserve">In </w:t>
      </w:r>
      <w:r w:rsidR="00E07222" w:rsidRPr="006D39C5">
        <w:rPr>
          <w:lang w:val="en-GB"/>
        </w:rPr>
        <w:t>figure 4,</w:t>
      </w:r>
      <w:r w:rsidR="00E07222" w:rsidRPr="13D3C551">
        <w:rPr>
          <w:lang w:val="en-GB"/>
        </w:rPr>
        <w:t xml:space="preserve"> we can observe that mAb concentration reaches the target interval, initially violating the upper bound, and stabilizing at a lower value close to it. </w:t>
      </w:r>
      <w:r w:rsidR="00D37015">
        <w:rPr>
          <w:lang w:val="en-GB"/>
        </w:rPr>
        <w:t>During testing, it is also possible to obser</w:t>
      </w:r>
      <w:r w:rsidR="00E049DE">
        <w:rPr>
          <w:lang w:val="en-GB"/>
        </w:rPr>
        <w:t xml:space="preserve">ve an extended stationary phase, which points to a continuous feeding operation. </w:t>
      </w:r>
    </w:p>
    <w:p w14:paraId="144DE6AE" w14:textId="7D0C422A" w:rsidR="008D2649" w:rsidRDefault="00960618" w:rsidP="008D2649">
      <w:pPr>
        <w:pStyle w:val="Els-1storder-head"/>
        <w:spacing w:after="120"/>
        <w:rPr>
          <w:lang w:val="en-GB"/>
        </w:rPr>
      </w:pPr>
      <w:r>
        <w:rPr>
          <w:lang w:val="en-GB"/>
        </w:rPr>
        <w:lastRenderedPageBreak/>
        <w:t>Conclusions</w:t>
      </w:r>
    </w:p>
    <w:p w14:paraId="005F6520" w14:textId="2BB46B1E" w:rsidR="007E526B" w:rsidRDefault="00D60B41" w:rsidP="007E526B">
      <w:pPr>
        <w:pStyle w:val="Els-body-text"/>
      </w:pPr>
      <w:r>
        <w:rPr>
          <w:lang w:val="en-GB"/>
        </w:rPr>
        <w:t>Th</w:t>
      </w:r>
      <w:r w:rsidR="00470FD1">
        <w:rPr>
          <w:lang w:val="en-GB"/>
        </w:rPr>
        <w:t>is study</w:t>
      </w:r>
      <w:r w:rsidR="00F43288">
        <w:rPr>
          <w:lang w:val="en-GB"/>
        </w:rPr>
        <w:t xml:space="preserve"> introduces a novel methodology to incorporate a complex </w:t>
      </w:r>
      <w:r w:rsidR="00576BCE">
        <w:rPr>
          <w:lang w:val="en-GB"/>
        </w:rPr>
        <w:t>bioprocess</w:t>
      </w:r>
      <w:r w:rsidR="00F43288">
        <w:rPr>
          <w:lang w:val="en-GB"/>
        </w:rPr>
        <w:t xml:space="preserve"> model </w:t>
      </w:r>
      <w:r w:rsidR="00054933">
        <w:rPr>
          <w:lang w:val="en-GB"/>
        </w:rPr>
        <w:t xml:space="preserve">with </w:t>
      </w:r>
      <w:r w:rsidR="00576BCE">
        <w:rPr>
          <w:lang w:val="en-GB"/>
        </w:rPr>
        <w:t>a state-of-the-art off-policy reinforcement learning algorithm</w:t>
      </w:r>
      <w:r w:rsidR="007E526B">
        <w:t>. Our approach enables the integration of mechanistic knowledge with data to develop more effective control strategies. Furthermore, the proposed control approach offers adaptability, which reduces the need for frequent reparameterization of the controller model when culture conditions change.</w:t>
      </w:r>
    </w:p>
    <w:p w14:paraId="4745F335" w14:textId="7D07B623" w:rsidR="00CC4F5B" w:rsidRDefault="00CC4F5B" w:rsidP="007E526B">
      <w:pPr>
        <w:pStyle w:val="Els-body-text"/>
      </w:pPr>
      <w:r>
        <w:t>Due to the heavily regulated nature of the pharmaceutical industry, it</w:t>
      </w:r>
      <w:r w:rsidR="000C6565">
        <w:t xml:space="preserve"> is not only important to maximize the objective, but to consistently achieve the target amount, even if suboptimal. </w:t>
      </w:r>
      <w:r w:rsidR="002B689A">
        <w:t xml:space="preserve">This is because high production rates </w:t>
      </w:r>
      <w:r w:rsidR="00A26697">
        <w:t xml:space="preserve">have been correlated with </w:t>
      </w:r>
      <w:r w:rsidR="00D317E5">
        <w:t>immature glycans</w:t>
      </w:r>
      <w:r w:rsidR="00BD52B2">
        <w:t>,</w:t>
      </w:r>
      <w:r w:rsidR="00D317E5">
        <w:t xml:space="preserve"> which </w:t>
      </w:r>
      <w:r w:rsidR="00BD52B2">
        <w:t xml:space="preserve">can </w:t>
      </w:r>
      <w:r w:rsidR="00D317E5">
        <w:t>reduce the therapeutic efficiency of m</w:t>
      </w:r>
      <w:r w:rsidR="00BD52B2">
        <w:t>A</w:t>
      </w:r>
      <w:r w:rsidR="00D317E5">
        <w:t xml:space="preserve">bs. </w:t>
      </w:r>
      <w:r w:rsidR="000C6565">
        <w:t xml:space="preserve">The proposed </w:t>
      </w:r>
      <w:r w:rsidR="00A151AE">
        <w:t xml:space="preserve">methodology </w:t>
      </w:r>
      <w:r w:rsidR="00D317E5">
        <w:t xml:space="preserve">can thus be used to </w:t>
      </w:r>
      <w:r w:rsidR="00C63509">
        <w:t>ensure consistent</w:t>
      </w:r>
      <w:r w:rsidR="001F26B4">
        <w:t xml:space="preserve"> process performance</w:t>
      </w:r>
      <w:r w:rsidR="00A151AE">
        <w:t xml:space="preserve">. </w:t>
      </w:r>
    </w:p>
    <w:p w14:paraId="47AEAE34" w14:textId="788DC59F" w:rsidR="001F77E8" w:rsidRDefault="001F77E8" w:rsidP="007E526B">
      <w:pPr>
        <w:pStyle w:val="Els-body-text"/>
      </w:pPr>
      <w:r>
        <w:t xml:space="preserve">Future work </w:t>
      </w:r>
      <w:r w:rsidR="000636BF">
        <w:t xml:space="preserve">includes </w:t>
      </w:r>
      <w:r w:rsidR="007D063F">
        <w:t xml:space="preserve">systematically finding the coefficients of the reward function </w:t>
      </w:r>
      <w:r w:rsidR="00175D80">
        <w:t>that best achieve m</w:t>
      </w:r>
      <w:r w:rsidR="001F26B4">
        <w:t>A</w:t>
      </w:r>
      <w:r w:rsidR="00175D80">
        <w:t xml:space="preserve">b production through optimization and </w:t>
      </w:r>
      <w:r w:rsidR="00B80439">
        <w:t>increase the window of randomness applied to the kinetic parameters</w:t>
      </w:r>
      <w:r w:rsidR="008C69B8">
        <w:t xml:space="preserve"> of the environment</w:t>
      </w:r>
      <w:r w:rsidR="00B80439">
        <w:t xml:space="preserve"> </w:t>
      </w:r>
      <w:r w:rsidR="008C69B8">
        <w:t>when training.</w:t>
      </w:r>
    </w:p>
    <w:p w14:paraId="144DE6BF" w14:textId="5DB42ECC" w:rsidR="008D2649" w:rsidRDefault="008D2649" w:rsidP="007D57DE">
      <w:pPr>
        <w:pStyle w:val="Els-1storder-head"/>
      </w:pPr>
      <w:r>
        <w:t>References</w:t>
      </w:r>
    </w:p>
    <w:p w14:paraId="53426DAC" w14:textId="77777777" w:rsidR="003335C2" w:rsidRDefault="003335C2" w:rsidP="008D2649">
      <w:pPr>
        <w:pStyle w:val="Els-referenceno-number"/>
        <w:rPr>
          <w:lang w:val="en-US"/>
        </w:rPr>
      </w:pPr>
    </w:p>
    <w:p w14:paraId="6758B19C" w14:textId="60EEDB50" w:rsidR="00447298" w:rsidRPr="00447298" w:rsidRDefault="00447298" w:rsidP="002752E5">
      <w:pPr>
        <w:pStyle w:val="Els-referenceno-number"/>
        <w:jc w:val="both"/>
        <w:rPr>
          <w:lang w:val="en-US"/>
        </w:rPr>
      </w:pPr>
      <w:r w:rsidRPr="00447298">
        <w:rPr>
          <w:lang w:val="en-US"/>
        </w:rPr>
        <w:t>M. Aehle, A. Kuprijanov, S. Schaepe, R. Simutis, A. Lübbert, 2011, Increasing batch-to-batch reproducibility of CHO cultures by robust open-loop control, Cytotechnology, 63, 1, 41-7</w:t>
      </w:r>
      <w:r w:rsidR="00D92E41">
        <w:rPr>
          <w:lang w:val="en-US"/>
        </w:rPr>
        <w:t>.</w:t>
      </w:r>
    </w:p>
    <w:p w14:paraId="50A290F3" w14:textId="2EEFF0E2" w:rsidR="00447298" w:rsidRPr="00447298" w:rsidRDefault="00447298" w:rsidP="002752E5">
      <w:pPr>
        <w:pStyle w:val="Els-referenceno-number"/>
        <w:jc w:val="both"/>
        <w:rPr>
          <w:lang w:val="en-US"/>
        </w:rPr>
      </w:pPr>
      <w:r w:rsidRPr="00447298">
        <w:rPr>
          <w:lang w:val="en-US"/>
        </w:rPr>
        <w:t>R. Al-Majmaie, D. Kuystermans, M. Al-Rubeai, 2022, Biopharmaceuticals produced from cultivated mammalian cells, Cell Culture Engineering and Technology: In appreciation to Professor Mohamed Al-Rubeai, 3-52, Cham: Springer International Publishing.</w:t>
      </w:r>
    </w:p>
    <w:p w14:paraId="079FADF8" w14:textId="7EA4739E" w:rsidR="00447298" w:rsidRPr="00447298" w:rsidRDefault="00447298" w:rsidP="002752E5">
      <w:pPr>
        <w:pStyle w:val="Els-referenceno-number"/>
        <w:jc w:val="both"/>
        <w:rPr>
          <w:lang w:val="en-US"/>
        </w:rPr>
      </w:pPr>
      <w:r w:rsidRPr="00447298">
        <w:rPr>
          <w:lang w:val="en-US"/>
        </w:rPr>
        <w:t>D. Andersson, C. Edlund, B. Corbett et al., 2023, Adaptable control policies for variable liquid chromatography columns using deep reinforcement learning, Sci Rep, 13, 11270</w:t>
      </w:r>
      <w:r w:rsidR="00D92E41">
        <w:rPr>
          <w:lang w:val="en-US"/>
        </w:rPr>
        <w:t>.</w:t>
      </w:r>
    </w:p>
    <w:p w14:paraId="13E1C7F5" w14:textId="3D0324BB" w:rsidR="00447298" w:rsidRPr="00447298" w:rsidRDefault="00447298" w:rsidP="002752E5">
      <w:pPr>
        <w:pStyle w:val="Els-referenceno-number"/>
        <w:jc w:val="both"/>
        <w:rPr>
          <w:lang w:val="en-US"/>
        </w:rPr>
      </w:pPr>
      <w:r w:rsidRPr="00447298">
        <w:rPr>
          <w:lang w:val="en-US"/>
        </w:rPr>
        <w:t>G. Brockman, V. Cheung, L. Pettersson, J. Schneider, J. Schulman, J. Tang, W. Zaremba, 2016, Openai gym, .</w:t>
      </w:r>
    </w:p>
    <w:p w14:paraId="57C0B2B5" w14:textId="0A1AAEC1" w:rsidR="00447298" w:rsidRPr="00447298" w:rsidRDefault="00447298" w:rsidP="002752E5">
      <w:pPr>
        <w:pStyle w:val="Els-referenceno-number"/>
        <w:jc w:val="both"/>
        <w:rPr>
          <w:lang w:val="en-US"/>
        </w:rPr>
      </w:pPr>
      <w:r w:rsidRPr="00447298">
        <w:rPr>
          <w:lang w:val="en-US"/>
        </w:rPr>
        <w:t>T. Haarnoja, A. Zhou, P. Abbeel, S. Levine, 2018, Soft actor-critic: Off-policy maximum entropy deep reinforcement learning with a stochastic actor, International Conference on Machine Learning, PMLR.</w:t>
      </w:r>
    </w:p>
    <w:p w14:paraId="1694A625" w14:textId="4EBA7EE5" w:rsidR="00447298" w:rsidRPr="00447298" w:rsidRDefault="00447298" w:rsidP="002752E5">
      <w:pPr>
        <w:pStyle w:val="Els-referenceno-number"/>
        <w:jc w:val="both"/>
        <w:rPr>
          <w:lang w:val="en-US"/>
        </w:rPr>
      </w:pPr>
      <w:r w:rsidRPr="00447298">
        <w:rPr>
          <w:lang w:val="en-US"/>
        </w:rPr>
        <w:t>I. Jimenez del Val, Y. Fan, D. Weilguny, 2016, Dynamics of immature mAb glycoform secretion during CHO cell culture: An integrated modelling framework, Biotechnology Journal, 11, 610-623</w:t>
      </w:r>
      <w:r w:rsidR="00D92E41">
        <w:rPr>
          <w:lang w:val="en-US"/>
        </w:rPr>
        <w:t>.</w:t>
      </w:r>
    </w:p>
    <w:p w14:paraId="5FB68B7E" w14:textId="05212FF3" w:rsidR="00447298" w:rsidRPr="00447298" w:rsidRDefault="00447298" w:rsidP="002752E5">
      <w:pPr>
        <w:pStyle w:val="Els-referenceno-number"/>
        <w:jc w:val="both"/>
        <w:rPr>
          <w:lang w:val="en-US"/>
        </w:rPr>
      </w:pPr>
      <w:r w:rsidRPr="00447298">
        <w:rPr>
          <w:lang w:val="en-US"/>
        </w:rPr>
        <w:t>M. Monteiro, S. Fadda, C. Kontoravdi, 2023, Towards advanced bioprocess optimization: A multiscale modelling approach, Computational and Structural Biotechnology Journal, 21, 3639-3655.</w:t>
      </w:r>
    </w:p>
    <w:p w14:paraId="7912477F" w14:textId="60045748" w:rsidR="00447298" w:rsidRPr="00447298" w:rsidRDefault="00447298" w:rsidP="002752E5">
      <w:pPr>
        <w:pStyle w:val="Els-referenceno-number"/>
        <w:jc w:val="both"/>
        <w:rPr>
          <w:lang w:val="en-US"/>
        </w:rPr>
      </w:pPr>
      <w:r w:rsidRPr="00447298">
        <w:rPr>
          <w:lang w:val="en-US"/>
        </w:rPr>
        <w:t>M. Mowbray, P. Petsagkourakis, E.A. Rio-Chanona, R. Smith, D. Zhang, 2021, Safe Chance Constrained Reinforcement Learning for Batch Process Control, Comput. Chem. Eng., 157, 107630.</w:t>
      </w:r>
    </w:p>
    <w:p w14:paraId="4D4DD476" w14:textId="63A2F2C0" w:rsidR="00447298" w:rsidRPr="00447298" w:rsidRDefault="00447298" w:rsidP="002752E5">
      <w:pPr>
        <w:pStyle w:val="Els-referenceno-number"/>
        <w:jc w:val="both"/>
        <w:rPr>
          <w:lang w:val="en-US"/>
        </w:rPr>
      </w:pPr>
      <w:r w:rsidRPr="00447298">
        <w:rPr>
          <w:lang w:val="en-US"/>
        </w:rPr>
        <w:t>H. Narayanan, L. Behle, M. F. Luna, M. Sokolov, G. Guillén-Gosálbez, M. Morbidelli, A. Butté, 2020, Hybrid-EKF: Hybrid model coupled with extended Kalman filter for real-time monitoring and control of mammalian cell culture, Biotechnology and bioengineering, 117, 9, 2703–2714</w:t>
      </w:r>
      <w:r>
        <w:rPr>
          <w:lang w:val="en-US"/>
        </w:rPr>
        <w:t>.</w:t>
      </w:r>
    </w:p>
    <w:p w14:paraId="3DDCA07D" w14:textId="5519365D" w:rsidR="00447298" w:rsidRPr="00447298" w:rsidRDefault="00447298" w:rsidP="002752E5">
      <w:pPr>
        <w:pStyle w:val="Els-referenceno-number"/>
        <w:jc w:val="both"/>
        <w:rPr>
          <w:lang w:val="en-US"/>
        </w:rPr>
      </w:pPr>
      <w:r w:rsidRPr="00447298">
        <w:rPr>
          <w:lang w:val="en-US"/>
        </w:rPr>
        <w:t>T. Akiba, S. Sano, T. Yanase, T. Ohta, M. Koyama, 2019, Optuna: A Next-generation Hyperparameter Optimization Framework, KDD.</w:t>
      </w:r>
    </w:p>
    <w:p w14:paraId="5405AB48" w14:textId="2802B868" w:rsidR="00447298" w:rsidRPr="00447298" w:rsidRDefault="00447298" w:rsidP="002752E5">
      <w:pPr>
        <w:pStyle w:val="Els-referenceno-number"/>
        <w:jc w:val="both"/>
        <w:rPr>
          <w:lang w:val="en-US"/>
        </w:rPr>
      </w:pPr>
      <w:r w:rsidRPr="00447298">
        <w:rPr>
          <w:lang w:val="en-US"/>
        </w:rPr>
        <w:t>P. Petsagkourakis, I. O. Sandoval, E. Bradford, D. Zhang, E. A. del Rio-Chanona, 2020, Reinforcement learning for batch bioprocess optimization, Computers &amp; Chemical Engineering, 133, 106649</w:t>
      </w:r>
      <w:r>
        <w:rPr>
          <w:lang w:val="en-US"/>
        </w:rPr>
        <w:t>.</w:t>
      </w:r>
    </w:p>
    <w:p w14:paraId="7888DB1E" w14:textId="4347793C" w:rsidR="00447298" w:rsidRPr="00447298" w:rsidRDefault="00447298" w:rsidP="002752E5">
      <w:pPr>
        <w:pStyle w:val="Els-referenceno-number"/>
        <w:jc w:val="both"/>
        <w:rPr>
          <w:lang w:val="en-US"/>
        </w:rPr>
      </w:pPr>
      <w:r w:rsidRPr="00447298">
        <w:rPr>
          <w:lang w:val="en-US"/>
        </w:rPr>
        <w:t>A. Raffin, A. Hill, A. Gleave, A. Kanervisto, M. Ernestus, N. Dormann, 2021, Stable-Baselines3: Reliable Reinforcement Learning Implementations, Journal of Machine Learning Research</w:t>
      </w:r>
      <w:r>
        <w:rPr>
          <w:lang w:val="en-US"/>
        </w:rPr>
        <w:t>.</w:t>
      </w:r>
    </w:p>
    <w:p w14:paraId="1717426F" w14:textId="04C8A7B8" w:rsidR="004A758F" w:rsidRDefault="00447298" w:rsidP="002752E5">
      <w:pPr>
        <w:pStyle w:val="Els-referenceno-number"/>
        <w:jc w:val="both"/>
        <w:rPr>
          <w:lang w:val="en-US"/>
        </w:rPr>
      </w:pPr>
      <w:r w:rsidRPr="00447298">
        <w:rPr>
          <w:lang w:val="en-US"/>
        </w:rPr>
        <w:t>S. Alhuthali, P. Kotidis, C. Kontoravdi, 2021, Osmolality Effects on CHO Cell Growth, Cell Volume, Antibody Productivity and Glycosylation, Int J Mol Sci, 2021, Mar 24, 22, 7, 3290</w:t>
      </w:r>
      <w:r w:rsidR="00D92E41">
        <w:rPr>
          <w:lang w:val="en-US"/>
        </w:rPr>
        <w:t>.</w:t>
      </w:r>
    </w:p>
    <w:sectPr w:rsidR="004A758F"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D53C1" w14:textId="77777777" w:rsidR="0058400E" w:rsidRDefault="0058400E">
      <w:r>
        <w:separator/>
      </w:r>
    </w:p>
  </w:endnote>
  <w:endnote w:type="continuationSeparator" w:id="0">
    <w:p w14:paraId="30F5F1E7" w14:textId="77777777" w:rsidR="0058400E" w:rsidRDefault="0058400E">
      <w:r>
        <w:continuationSeparator/>
      </w:r>
    </w:p>
  </w:endnote>
  <w:endnote w:type="continuationNotice" w:id="1">
    <w:p w14:paraId="559B8BE1" w14:textId="77777777" w:rsidR="0058400E" w:rsidRDefault="00584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B2F6D" w14:textId="77777777" w:rsidR="0058400E" w:rsidRDefault="0058400E">
      <w:r>
        <w:separator/>
      </w:r>
    </w:p>
  </w:footnote>
  <w:footnote w:type="continuationSeparator" w:id="0">
    <w:p w14:paraId="50795311" w14:textId="77777777" w:rsidR="0058400E" w:rsidRDefault="0058400E">
      <w:r>
        <w:continuationSeparator/>
      </w:r>
    </w:p>
  </w:footnote>
  <w:footnote w:type="continuationNotice" w:id="1">
    <w:p w14:paraId="66D429D0" w14:textId="77777777" w:rsidR="0058400E" w:rsidRDefault="00584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D312553" w:rsidR="00DD3D9E" w:rsidRDefault="00DD3D9E">
    <w:pPr>
      <w:pStyle w:val="Header"/>
      <w:tabs>
        <w:tab w:val="clear" w:pos="7200"/>
        <w:tab w:val="right" w:pos="7088"/>
      </w:tabs>
    </w:pPr>
    <w:r>
      <w:rPr>
        <w:rStyle w:val="PageNumber"/>
      </w:rPr>
      <w:tab/>
    </w:r>
    <w:r>
      <w:rPr>
        <w:rStyle w:val="PageNumber"/>
        <w:i/>
      </w:rPr>
      <w:tab/>
    </w:r>
    <w:r w:rsidR="00960618">
      <w:rPr>
        <w:i/>
      </w:rPr>
      <w:t>M. Monteiro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EA0FABE" w:rsidR="00DD3D9E" w:rsidRDefault="00960618" w:rsidP="00960618">
    <w:pPr>
      <w:pStyle w:val="Header"/>
      <w:tabs>
        <w:tab w:val="clear" w:pos="7200"/>
        <w:tab w:val="right" w:pos="7088"/>
      </w:tabs>
      <w:rPr>
        <w:sz w:val="24"/>
      </w:rPr>
    </w:pPr>
    <w:r w:rsidRPr="00960618">
      <w:rPr>
        <w:i/>
      </w:rPr>
      <w:t>Bioprocess Control: A Shift in Methodology Towards Reinforcement Learning</w:t>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2736B96"/>
    <w:multiLevelType w:val="hybridMultilevel"/>
    <w:tmpl w:val="6B285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87C5694"/>
    <w:multiLevelType w:val="hybridMultilevel"/>
    <w:tmpl w:val="9F782D1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3"/>
  </w:num>
  <w:num w:numId="2" w16cid:durableId="47382885">
    <w:abstractNumId w:val="13"/>
  </w:num>
  <w:num w:numId="3" w16cid:durableId="967853731">
    <w:abstractNumId w:val="13"/>
  </w:num>
  <w:num w:numId="4" w16cid:durableId="1739282265">
    <w:abstractNumId w:val="13"/>
  </w:num>
  <w:num w:numId="5" w16cid:durableId="698892343">
    <w:abstractNumId w:val="0"/>
  </w:num>
  <w:num w:numId="6" w16cid:durableId="1660883641">
    <w:abstractNumId w:val="8"/>
  </w:num>
  <w:num w:numId="7" w16cid:durableId="1863349795">
    <w:abstractNumId w:val="14"/>
  </w:num>
  <w:num w:numId="8" w16cid:durableId="1750734252">
    <w:abstractNumId w:val="2"/>
  </w:num>
  <w:num w:numId="9" w16cid:durableId="203061615">
    <w:abstractNumId w:val="12"/>
  </w:num>
  <w:num w:numId="10" w16cid:durableId="1478497114">
    <w:abstractNumId w:val="16"/>
  </w:num>
  <w:num w:numId="11" w16cid:durableId="1896693444">
    <w:abstractNumId w:val="15"/>
  </w:num>
  <w:num w:numId="12" w16cid:durableId="774787662">
    <w:abstractNumId w:val="6"/>
  </w:num>
  <w:num w:numId="13" w16cid:durableId="1525900646">
    <w:abstractNumId w:val="10"/>
  </w:num>
  <w:num w:numId="14" w16cid:durableId="1455515963">
    <w:abstractNumId w:val="3"/>
  </w:num>
  <w:num w:numId="15" w16cid:durableId="446657998">
    <w:abstractNumId w:val="9"/>
  </w:num>
  <w:num w:numId="16" w16cid:durableId="322592235">
    <w:abstractNumId w:val="4"/>
  </w:num>
  <w:num w:numId="17" w16cid:durableId="596719075">
    <w:abstractNumId w:val="5"/>
  </w:num>
  <w:num w:numId="18" w16cid:durableId="886648604">
    <w:abstractNumId w:val="11"/>
  </w:num>
  <w:num w:numId="19" w16cid:durableId="1798645309">
    <w:abstractNumId w:val="7"/>
  </w:num>
  <w:num w:numId="20" w16cid:durableId="652878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3D9C"/>
    <w:rsid w:val="00013CED"/>
    <w:rsid w:val="00016F62"/>
    <w:rsid w:val="00017C02"/>
    <w:rsid w:val="00031F7F"/>
    <w:rsid w:val="00034F18"/>
    <w:rsid w:val="00035422"/>
    <w:rsid w:val="0004263D"/>
    <w:rsid w:val="00042CF4"/>
    <w:rsid w:val="000529C2"/>
    <w:rsid w:val="00053057"/>
    <w:rsid w:val="00054933"/>
    <w:rsid w:val="000636BF"/>
    <w:rsid w:val="00063728"/>
    <w:rsid w:val="000766AF"/>
    <w:rsid w:val="00081EFD"/>
    <w:rsid w:val="0008591C"/>
    <w:rsid w:val="00086778"/>
    <w:rsid w:val="000924EF"/>
    <w:rsid w:val="000928E9"/>
    <w:rsid w:val="000B5CFD"/>
    <w:rsid w:val="000C6565"/>
    <w:rsid w:val="000D3D9B"/>
    <w:rsid w:val="000D76F7"/>
    <w:rsid w:val="000E3FD6"/>
    <w:rsid w:val="000E650E"/>
    <w:rsid w:val="000F2519"/>
    <w:rsid w:val="000F4897"/>
    <w:rsid w:val="000F7878"/>
    <w:rsid w:val="001017A0"/>
    <w:rsid w:val="00106060"/>
    <w:rsid w:val="00113055"/>
    <w:rsid w:val="00113C75"/>
    <w:rsid w:val="0011691A"/>
    <w:rsid w:val="001208C8"/>
    <w:rsid w:val="00137108"/>
    <w:rsid w:val="001432B8"/>
    <w:rsid w:val="001434CC"/>
    <w:rsid w:val="001439C5"/>
    <w:rsid w:val="00150A5A"/>
    <w:rsid w:val="00151660"/>
    <w:rsid w:val="0016032F"/>
    <w:rsid w:val="00163FA6"/>
    <w:rsid w:val="00173DD2"/>
    <w:rsid w:val="00174A9A"/>
    <w:rsid w:val="00175D80"/>
    <w:rsid w:val="00181C11"/>
    <w:rsid w:val="00184A14"/>
    <w:rsid w:val="00185EEA"/>
    <w:rsid w:val="001879F6"/>
    <w:rsid w:val="00190B09"/>
    <w:rsid w:val="00194B04"/>
    <w:rsid w:val="00194F94"/>
    <w:rsid w:val="001A05A8"/>
    <w:rsid w:val="001A11AC"/>
    <w:rsid w:val="001A2947"/>
    <w:rsid w:val="001B27B4"/>
    <w:rsid w:val="001C0148"/>
    <w:rsid w:val="001C035F"/>
    <w:rsid w:val="001C757E"/>
    <w:rsid w:val="001D35A5"/>
    <w:rsid w:val="001D721E"/>
    <w:rsid w:val="001D7E76"/>
    <w:rsid w:val="001E325F"/>
    <w:rsid w:val="001E47FE"/>
    <w:rsid w:val="001E5989"/>
    <w:rsid w:val="001F26B4"/>
    <w:rsid w:val="001F5CA7"/>
    <w:rsid w:val="001F77E8"/>
    <w:rsid w:val="001F7B41"/>
    <w:rsid w:val="00200232"/>
    <w:rsid w:val="0020390F"/>
    <w:rsid w:val="002057DC"/>
    <w:rsid w:val="00210045"/>
    <w:rsid w:val="00224319"/>
    <w:rsid w:val="00226DCF"/>
    <w:rsid w:val="0023032C"/>
    <w:rsid w:val="0023330E"/>
    <w:rsid w:val="0023443F"/>
    <w:rsid w:val="00235C22"/>
    <w:rsid w:val="00237882"/>
    <w:rsid w:val="00242628"/>
    <w:rsid w:val="00243068"/>
    <w:rsid w:val="0024767C"/>
    <w:rsid w:val="00250F4F"/>
    <w:rsid w:val="002516C9"/>
    <w:rsid w:val="00264926"/>
    <w:rsid w:val="002665CE"/>
    <w:rsid w:val="002679EC"/>
    <w:rsid w:val="002752E5"/>
    <w:rsid w:val="0028018A"/>
    <w:rsid w:val="0028093D"/>
    <w:rsid w:val="00295408"/>
    <w:rsid w:val="002972A4"/>
    <w:rsid w:val="002A25D7"/>
    <w:rsid w:val="002A6F6C"/>
    <w:rsid w:val="002B114D"/>
    <w:rsid w:val="002B3A6E"/>
    <w:rsid w:val="002B657F"/>
    <w:rsid w:val="002B689A"/>
    <w:rsid w:val="002C42E5"/>
    <w:rsid w:val="002C5172"/>
    <w:rsid w:val="002C5417"/>
    <w:rsid w:val="002D3CE4"/>
    <w:rsid w:val="002E0FB8"/>
    <w:rsid w:val="002E16E7"/>
    <w:rsid w:val="002E3549"/>
    <w:rsid w:val="002E3A58"/>
    <w:rsid w:val="002E4FE3"/>
    <w:rsid w:val="002F58A0"/>
    <w:rsid w:val="00300546"/>
    <w:rsid w:val="00303829"/>
    <w:rsid w:val="00320FDE"/>
    <w:rsid w:val="00321770"/>
    <w:rsid w:val="00332171"/>
    <w:rsid w:val="003323B6"/>
    <w:rsid w:val="003327C4"/>
    <w:rsid w:val="003335C2"/>
    <w:rsid w:val="003340BD"/>
    <w:rsid w:val="00334B65"/>
    <w:rsid w:val="00336FFF"/>
    <w:rsid w:val="00351FA2"/>
    <w:rsid w:val="00363737"/>
    <w:rsid w:val="003733F3"/>
    <w:rsid w:val="003771DF"/>
    <w:rsid w:val="003810BC"/>
    <w:rsid w:val="00383670"/>
    <w:rsid w:val="003871C0"/>
    <w:rsid w:val="00387835"/>
    <w:rsid w:val="003901D2"/>
    <w:rsid w:val="003964FD"/>
    <w:rsid w:val="003A266A"/>
    <w:rsid w:val="003A3896"/>
    <w:rsid w:val="003A782B"/>
    <w:rsid w:val="003B65E2"/>
    <w:rsid w:val="003B7D6C"/>
    <w:rsid w:val="003C1FBD"/>
    <w:rsid w:val="003C687B"/>
    <w:rsid w:val="003D1582"/>
    <w:rsid w:val="003D2544"/>
    <w:rsid w:val="003D7E4C"/>
    <w:rsid w:val="003E0B5F"/>
    <w:rsid w:val="003E1F8B"/>
    <w:rsid w:val="003E1FE5"/>
    <w:rsid w:val="003E2D33"/>
    <w:rsid w:val="003E3732"/>
    <w:rsid w:val="003E41C2"/>
    <w:rsid w:val="003E4DEF"/>
    <w:rsid w:val="003F14EC"/>
    <w:rsid w:val="00400823"/>
    <w:rsid w:val="0040084A"/>
    <w:rsid w:val="0040450A"/>
    <w:rsid w:val="004045C4"/>
    <w:rsid w:val="00406EEF"/>
    <w:rsid w:val="0041069C"/>
    <w:rsid w:val="00421588"/>
    <w:rsid w:val="00423A03"/>
    <w:rsid w:val="004250C8"/>
    <w:rsid w:val="004274F0"/>
    <w:rsid w:val="004358A1"/>
    <w:rsid w:val="00437860"/>
    <w:rsid w:val="00444C1E"/>
    <w:rsid w:val="00446D26"/>
    <w:rsid w:val="00447298"/>
    <w:rsid w:val="0045435A"/>
    <w:rsid w:val="004575E7"/>
    <w:rsid w:val="00460CC4"/>
    <w:rsid w:val="00464481"/>
    <w:rsid w:val="004659FD"/>
    <w:rsid w:val="00470994"/>
    <w:rsid w:val="00470FD1"/>
    <w:rsid w:val="0047337B"/>
    <w:rsid w:val="0047375E"/>
    <w:rsid w:val="004879A3"/>
    <w:rsid w:val="00496AFE"/>
    <w:rsid w:val="0049772C"/>
    <w:rsid w:val="004A10E6"/>
    <w:rsid w:val="004A4E90"/>
    <w:rsid w:val="004A758F"/>
    <w:rsid w:val="004C1594"/>
    <w:rsid w:val="004C1C59"/>
    <w:rsid w:val="004C3130"/>
    <w:rsid w:val="004C3850"/>
    <w:rsid w:val="004C567E"/>
    <w:rsid w:val="004C7500"/>
    <w:rsid w:val="004D03F3"/>
    <w:rsid w:val="004E0920"/>
    <w:rsid w:val="004E0E77"/>
    <w:rsid w:val="004E7CC1"/>
    <w:rsid w:val="004F24EF"/>
    <w:rsid w:val="004F30A3"/>
    <w:rsid w:val="004F70F2"/>
    <w:rsid w:val="004F77BB"/>
    <w:rsid w:val="005027BD"/>
    <w:rsid w:val="0050307F"/>
    <w:rsid w:val="00503D12"/>
    <w:rsid w:val="0050622E"/>
    <w:rsid w:val="00511C3F"/>
    <w:rsid w:val="0051485B"/>
    <w:rsid w:val="00515C9F"/>
    <w:rsid w:val="00516F5A"/>
    <w:rsid w:val="00530216"/>
    <w:rsid w:val="00536C7C"/>
    <w:rsid w:val="005527EE"/>
    <w:rsid w:val="00552EEB"/>
    <w:rsid w:val="00557F6A"/>
    <w:rsid w:val="00565C4D"/>
    <w:rsid w:val="005664BC"/>
    <w:rsid w:val="00572AE7"/>
    <w:rsid w:val="00572DB0"/>
    <w:rsid w:val="00576BCE"/>
    <w:rsid w:val="00583EE5"/>
    <w:rsid w:val="0058400E"/>
    <w:rsid w:val="00586552"/>
    <w:rsid w:val="00590184"/>
    <w:rsid w:val="005A7380"/>
    <w:rsid w:val="005B6A5B"/>
    <w:rsid w:val="005B7A45"/>
    <w:rsid w:val="005C110A"/>
    <w:rsid w:val="005C19BE"/>
    <w:rsid w:val="005C227A"/>
    <w:rsid w:val="005D06F9"/>
    <w:rsid w:val="005D16B2"/>
    <w:rsid w:val="005E0E11"/>
    <w:rsid w:val="005E4B3B"/>
    <w:rsid w:val="005E6A0E"/>
    <w:rsid w:val="005F20A9"/>
    <w:rsid w:val="005F453F"/>
    <w:rsid w:val="0062029A"/>
    <w:rsid w:val="00651517"/>
    <w:rsid w:val="00663D54"/>
    <w:rsid w:val="006705B1"/>
    <w:rsid w:val="00671CE6"/>
    <w:rsid w:val="0067286A"/>
    <w:rsid w:val="006817E8"/>
    <w:rsid w:val="006858F7"/>
    <w:rsid w:val="006944BA"/>
    <w:rsid w:val="006971AB"/>
    <w:rsid w:val="006A26EA"/>
    <w:rsid w:val="006A3114"/>
    <w:rsid w:val="006A3571"/>
    <w:rsid w:val="006A5EDE"/>
    <w:rsid w:val="006A69BF"/>
    <w:rsid w:val="006B0CF5"/>
    <w:rsid w:val="006B5BD1"/>
    <w:rsid w:val="006C546D"/>
    <w:rsid w:val="006D1CC2"/>
    <w:rsid w:val="006D26B8"/>
    <w:rsid w:val="006D39C5"/>
    <w:rsid w:val="006D5901"/>
    <w:rsid w:val="006D6A1A"/>
    <w:rsid w:val="006D6D41"/>
    <w:rsid w:val="006E23D1"/>
    <w:rsid w:val="006E3D41"/>
    <w:rsid w:val="006F075A"/>
    <w:rsid w:val="006F2F70"/>
    <w:rsid w:val="0070129B"/>
    <w:rsid w:val="00701A1E"/>
    <w:rsid w:val="00707ED6"/>
    <w:rsid w:val="00711DF4"/>
    <w:rsid w:val="00714869"/>
    <w:rsid w:val="00715925"/>
    <w:rsid w:val="00716B73"/>
    <w:rsid w:val="00723B18"/>
    <w:rsid w:val="00724194"/>
    <w:rsid w:val="00725D05"/>
    <w:rsid w:val="00732049"/>
    <w:rsid w:val="00733E8A"/>
    <w:rsid w:val="007414CE"/>
    <w:rsid w:val="00742F99"/>
    <w:rsid w:val="0074516F"/>
    <w:rsid w:val="00750764"/>
    <w:rsid w:val="00751665"/>
    <w:rsid w:val="00752D31"/>
    <w:rsid w:val="00755124"/>
    <w:rsid w:val="0075682A"/>
    <w:rsid w:val="00761541"/>
    <w:rsid w:val="00763B1C"/>
    <w:rsid w:val="00796258"/>
    <w:rsid w:val="007A2EF2"/>
    <w:rsid w:val="007A3382"/>
    <w:rsid w:val="007B5DFE"/>
    <w:rsid w:val="007B5ECB"/>
    <w:rsid w:val="007C0B46"/>
    <w:rsid w:val="007C1DF5"/>
    <w:rsid w:val="007D063F"/>
    <w:rsid w:val="007D33FA"/>
    <w:rsid w:val="007D57DE"/>
    <w:rsid w:val="007D66CE"/>
    <w:rsid w:val="007D70A1"/>
    <w:rsid w:val="007E0759"/>
    <w:rsid w:val="007E526B"/>
    <w:rsid w:val="007F1647"/>
    <w:rsid w:val="007F357D"/>
    <w:rsid w:val="007F7C86"/>
    <w:rsid w:val="008008FB"/>
    <w:rsid w:val="00811ADB"/>
    <w:rsid w:val="008132E8"/>
    <w:rsid w:val="00817636"/>
    <w:rsid w:val="00820CAF"/>
    <w:rsid w:val="00823407"/>
    <w:rsid w:val="00824048"/>
    <w:rsid w:val="00827738"/>
    <w:rsid w:val="00830B3F"/>
    <w:rsid w:val="00831FFB"/>
    <w:rsid w:val="00832BC3"/>
    <w:rsid w:val="00845387"/>
    <w:rsid w:val="008529BB"/>
    <w:rsid w:val="00853BEA"/>
    <w:rsid w:val="008568DD"/>
    <w:rsid w:val="008609C2"/>
    <w:rsid w:val="00860D80"/>
    <w:rsid w:val="00861006"/>
    <w:rsid w:val="0087099F"/>
    <w:rsid w:val="008765EA"/>
    <w:rsid w:val="00876624"/>
    <w:rsid w:val="00881816"/>
    <w:rsid w:val="00882B03"/>
    <w:rsid w:val="00882BE2"/>
    <w:rsid w:val="008862C3"/>
    <w:rsid w:val="008878DD"/>
    <w:rsid w:val="0089229A"/>
    <w:rsid w:val="008A1DB8"/>
    <w:rsid w:val="008A5AD4"/>
    <w:rsid w:val="008B0184"/>
    <w:rsid w:val="008C227A"/>
    <w:rsid w:val="008C30DB"/>
    <w:rsid w:val="008C5D02"/>
    <w:rsid w:val="008C69B8"/>
    <w:rsid w:val="008D2649"/>
    <w:rsid w:val="008D5AC1"/>
    <w:rsid w:val="008E2E78"/>
    <w:rsid w:val="008E3AF1"/>
    <w:rsid w:val="008F3AF4"/>
    <w:rsid w:val="008F41BF"/>
    <w:rsid w:val="00904E4F"/>
    <w:rsid w:val="0090568D"/>
    <w:rsid w:val="009065C0"/>
    <w:rsid w:val="009116AF"/>
    <w:rsid w:val="009125C9"/>
    <w:rsid w:val="00913879"/>
    <w:rsid w:val="00917661"/>
    <w:rsid w:val="009215BC"/>
    <w:rsid w:val="009250D5"/>
    <w:rsid w:val="00927DF1"/>
    <w:rsid w:val="009338F0"/>
    <w:rsid w:val="00936487"/>
    <w:rsid w:val="00942FC8"/>
    <w:rsid w:val="00945177"/>
    <w:rsid w:val="009451DD"/>
    <w:rsid w:val="009504C8"/>
    <w:rsid w:val="00956E1F"/>
    <w:rsid w:val="00957BB2"/>
    <w:rsid w:val="00960618"/>
    <w:rsid w:val="0096121A"/>
    <w:rsid w:val="00965849"/>
    <w:rsid w:val="00970B28"/>
    <w:rsid w:val="00970E5D"/>
    <w:rsid w:val="00972C30"/>
    <w:rsid w:val="00972DB1"/>
    <w:rsid w:val="00973E34"/>
    <w:rsid w:val="0097676E"/>
    <w:rsid w:val="0097701C"/>
    <w:rsid w:val="00980A65"/>
    <w:rsid w:val="00991F62"/>
    <w:rsid w:val="009926E3"/>
    <w:rsid w:val="009A5239"/>
    <w:rsid w:val="009B0664"/>
    <w:rsid w:val="009B10DA"/>
    <w:rsid w:val="009B116E"/>
    <w:rsid w:val="009B371D"/>
    <w:rsid w:val="009C1AAB"/>
    <w:rsid w:val="009C4A3B"/>
    <w:rsid w:val="009C507F"/>
    <w:rsid w:val="009C568E"/>
    <w:rsid w:val="009C7E25"/>
    <w:rsid w:val="009D2490"/>
    <w:rsid w:val="009D3886"/>
    <w:rsid w:val="009E610B"/>
    <w:rsid w:val="009F2575"/>
    <w:rsid w:val="00A01F5D"/>
    <w:rsid w:val="00A11133"/>
    <w:rsid w:val="00A151AE"/>
    <w:rsid w:val="00A22873"/>
    <w:rsid w:val="00A22BA6"/>
    <w:rsid w:val="00A24526"/>
    <w:rsid w:val="00A25E70"/>
    <w:rsid w:val="00A26697"/>
    <w:rsid w:val="00A31CF2"/>
    <w:rsid w:val="00A33710"/>
    <w:rsid w:val="00A33765"/>
    <w:rsid w:val="00A41502"/>
    <w:rsid w:val="00A43FA7"/>
    <w:rsid w:val="00A516D8"/>
    <w:rsid w:val="00A56363"/>
    <w:rsid w:val="00A62D61"/>
    <w:rsid w:val="00A63269"/>
    <w:rsid w:val="00A802D2"/>
    <w:rsid w:val="00A85875"/>
    <w:rsid w:val="00A85B47"/>
    <w:rsid w:val="00A85C55"/>
    <w:rsid w:val="00A86D9F"/>
    <w:rsid w:val="00A90055"/>
    <w:rsid w:val="00A901CB"/>
    <w:rsid w:val="00A92377"/>
    <w:rsid w:val="00A9730D"/>
    <w:rsid w:val="00AA146A"/>
    <w:rsid w:val="00AA1D5D"/>
    <w:rsid w:val="00AA4CFD"/>
    <w:rsid w:val="00AA6375"/>
    <w:rsid w:val="00AB0AF5"/>
    <w:rsid w:val="00AB29ED"/>
    <w:rsid w:val="00AB6493"/>
    <w:rsid w:val="00AB6DEE"/>
    <w:rsid w:val="00AC369D"/>
    <w:rsid w:val="00AD24BF"/>
    <w:rsid w:val="00AD6274"/>
    <w:rsid w:val="00AD6EA6"/>
    <w:rsid w:val="00AE1C76"/>
    <w:rsid w:val="00AE4A73"/>
    <w:rsid w:val="00AE4BD8"/>
    <w:rsid w:val="00AE7B52"/>
    <w:rsid w:val="00AF5086"/>
    <w:rsid w:val="00AF7615"/>
    <w:rsid w:val="00AF7AD3"/>
    <w:rsid w:val="00B17687"/>
    <w:rsid w:val="00B224EF"/>
    <w:rsid w:val="00B3633F"/>
    <w:rsid w:val="00B41F64"/>
    <w:rsid w:val="00B4388F"/>
    <w:rsid w:val="00B44F8F"/>
    <w:rsid w:val="00B45290"/>
    <w:rsid w:val="00B53CF9"/>
    <w:rsid w:val="00B55D4E"/>
    <w:rsid w:val="00B573B9"/>
    <w:rsid w:val="00B63237"/>
    <w:rsid w:val="00B64B0A"/>
    <w:rsid w:val="00B70CFA"/>
    <w:rsid w:val="00B7485F"/>
    <w:rsid w:val="00B76CA0"/>
    <w:rsid w:val="00B80439"/>
    <w:rsid w:val="00B8793A"/>
    <w:rsid w:val="00B9013C"/>
    <w:rsid w:val="00B96B29"/>
    <w:rsid w:val="00BA5823"/>
    <w:rsid w:val="00BB0647"/>
    <w:rsid w:val="00BC177E"/>
    <w:rsid w:val="00BC6A10"/>
    <w:rsid w:val="00BD0504"/>
    <w:rsid w:val="00BD0C65"/>
    <w:rsid w:val="00BD0CFD"/>
    <w:rsid w:val="00BD15D9"/>
    <w:rsid w:val="00BD166F"/>
    <w:rsid w:val="00BD52B2"/>
    <w:rsid w:val="00BD7884"/>
    <w:rsid w:val="00BE0936"/>
    <w:rsid w:val="00BE0D10"/>
    <w:rsid w:val="00BE3A77"/>
    <w:rsid w:val="00BE772F"/>
    <w:rsid w:val="00C0011E"/>
    <w:rsid w:val="00C04EDD"/>
    <w:rsid w:val="00C06276"/>
    <w:rsid w:val="00C11D6F"/>
    <w:rsid w:val="00C231CB"/>
    <w:rsid w:val="00C3124B"/>
    <w:rsid w:val="00C35555"/>
    <w:rsid w:val="00C470BE"/>
    <w:rsid w:val="00C52E77"/>
    <w:rsid w:val="00C56847"/>
    <w:rsid w:val="00C575D4"/>
    <w:rsid w:val="00C619C9"/>
    <w:rsid w:val="00C63509"/>
    <w:rsid w:val="00C63921"/>
    <w:rsid w:val="00C64F20"/>
    <w:rsid w:val="00C65966"/>
    <w:rsid w:val="00C66A92"/>
    <w:rsid w:val="00C66DBA"/>
    <w:rsid w:val="00C82C70"/>
    <w:rsid w:val="00C93BAD"/>
    <w:rsid w:val="00C95838"/>
    <w:rsid w:val="00C960DC"/>
    <w:rsid w:val="00CA1E01"/>
    <w:rsid w:val="00CA5721"/>
    <w:rsid w:val="00CB0611"/>
    <w:rsid w:val="00CB7A99"/>
    <w:rsid w:val="00CC0827"/>
    <w:rsid w:val="00CC4F2D"/>
    <w:rsid w:val="00CC4F5B"/>
    <w:rsid w:val="00CC74FE"/>
    <w:rsid w:val="00CD46A3"/>
    <w:rsid w:val="00CE2D75"/>
    <w:rsid w:val="00CE3CB6"/>
    <w:rsid w:val="00CF3DD7"/>
    <w:rsid w:val="00CF7825"/>
    <w:rsid w:val="00D02C75"/>
    <w:rsid w:val="00D05B5E"/>
    <w:rsid w:val="00D064A8"/>
    <w:rsid w:val="00D06638"/>
    <w:rsid w:val="00D066F9"/>
    <w:rsid w:val="00D07195"/>
    <w:rsid w:val="00D10E22"/>
    <w:rsid w:val="00D125CE"/>
    <w:rsid w:val="00D12B33"/>
    <w:rsid w:val="00D13641"/>
    <w:rsid w:val="00D13D2C"/>
    <w:rsid w:val="00D23EC0"/>
    <w:rsid w:val="00D317E5"/>
    <w:rsid w:val="00D317EA"/>
    <w:rsid w:val="00D32546"/>
    <w:rsid w:val="00D37015"/>
    <w:rsid w:val="00D37103"/>
    <w:rsid w:val="00D379B9"/>
    <w:rsid w:val="00D40C37"/>
    <w:rsid w:val="00D44870"/>
    <w:rsid w:val="00D50105"/>
    <w:rsid w:val="00D526B1"/>
    <w:rsid w:val="00D60906"/>
    <w:rsid w:val="00D60B41"/>
    <w:rsid w:val="00D6298A"/>
    <w:rsid w:val="00D63264"/>
    <w:rsid w:val="00D634DF"/>
    <w:rsid w:val="00D65034"/>
    <w:rsid w:val="00D66071"/>
    <w:rsid w:val="00D7250E"/>
    <w:rsid w:val="00D91AD4"/>
    <w:rsid w:val="00D92E41"/>
    <w:rsid w:val="00DA69D4"/>
    <w:rsid w:val="00DB594C"/>
    <w:rsid w:val="00DB7D01"/>
    <w:rsid w:val="00DB7D3F"/>
    <w:rsid w:val="00DC1BB7"/>
    <w:rsid w:val="00DC2F94"/>
    <w:rsid w:val="00DD3D9E"/>
    <w:rsid w:val="00DD4503"/>
    <w:rsid w:val="00DD498C"/>
    <w:rsid w:val="00DD5115"/>
    <w:rsid w:val="00DD68FD"/>
    <w:rsid w:val="00DD7908"/>
    <w:rsid w:val="00DE675F"/>
    <w:rsid w:val="00DF7271"/>
    <w:rsid w:val="00E049DE"/>
    <w:rsid w:val="00E063CE"/>
    <w:rsid w:val="00E07222"/>
    <w:rsid w:val="00E1395E"/>
    <w:rsid w:val="00E23421"/>
    <w:rsid w:val="00E23B43"/>
    <w:rsid w:val="00E41738"/>
    <w:rsid w:val="00E428B6"/>
    <w:rsid w:val="00E43A7C"/>
    <w:rsid w:val="00E47A67"/>
    <w:rsid w:val="00E51A79"/>
    <w:rsid w:val="00E55C56"/>
    <w:rsid w:val="00E63F6E"/>
    <w:rsid w:val="00E65E66"/>
    <w:rsid w:val="00E66402"/>
    <w:rsid w:val="00E726F1"/>
    <w:rsid w:val="00E77B36"/>
    <w:rsid w:val="00E81821"/>
    <w:rsid w:val="00E82297"/>
    <w:rsid w:val="00E83E8A"/>
    <w:rsid w:val="00E8685F"/>
    <w:rsid w:val="00E96D18"/>
    <w:rsid w:val="00EA46CA"/>
    <w:rsid w:val="00EB0021"/>
    <w:rsid w:val="00EB06BD"/>
    <w:rsid w:val="00EB115B"/>
    <w:rsid w:val="00EB6C45"/>
    <w:rsid w:val="00EC4C5A"/>
    <w:rsid w:val="00EC6FC7"/>
    <w:rsid w:val="00ED02C1"/>
    <w:rsid w:val="00ED3A1F"/>
    <w:rsid w:val="00ED5D5B"/>
    <w:rsid w:val="00EE1A86"/>
    <w:rsid w:val="00EE39DF"/>
    <w:rsid w:val="00EE3C0F"/>
    <w:rsid w:val="00EF3594"/>
    <w:rsid w:val="00EF39FD"/>
    <w:rsid w:val="00EF5A86"/>
    <w:rsid w:val="00F02392"/>
    <w:rsid w:val="00F03B46"/>
    <w:rsid w:val="00F06842"/>
    <w:rsid w:val="00F107FD"/>
    <w:rsid w:val="00F1478B"/>
    <w:rsid w:val="00F15B28"/>
    <w:rsid w:val="00F16F8C"/>
    <w:rsid w:val="00F264EA"/>
    <w:rsid w:val="00F27AE8"/>
    <w:rsid w:val="00F32D98"/>
    <w:rsid w:val="00F37124"/>
    <w:rsid w:val="00F3777E"/>
    <w:rsid w:val="00F43288"/>
    <w:rsid w:val="00F55183"/>
    <w:rsid w:val="00F6030E"/>
    <w:rsid w:val="00F61837"/>
    <w:rsid w:val="00F631B8"/>
    <w:rsid w:val="00F74C5A"/>
    <w:rsid w:val="00F77C1E"/>
    <w:rsid w:val="00F8461A"/>
    <w:rsid w:val="00FA4E9B"/>
    <w:rsid w:val="00FB64A8"/>
    <w:rsid w:val="00FB7114"/>
    <w:rsid w:val="00FC4254"/>
    <w:rsid w:val="00FC6D80"/>
    <w:rsid w:val="00FC770F"/>
    <w:rsid w:val="00FD5301"/>
    <w:rsid w:val="00FE2CF0"/>
    <w:rsid w:val="00FE389D"/>
    <w:rsid w:val="00FF009E"/>
    <w:rsid w:val="00FF20F0"/>
    <w:rsid w:val="00FF337B"/>
    <w:rsid w:val="00FF48E4"/>
    <w:rsid w:val="00FF49AE"/>
    <w:rsid w:val="02D19949"/>
    <w:rsid w:val="0766DC76"/>
    <w:rsid w:val="09ABBF5E"/>
    <w:rsid w:val="09C423DA"/>
    <w:rsid w:val="0BC48329"/>
    <w:rsid w:val="0F281203"/>
    <w:rsid w:val="13D3C551"/>
    <w:rsid w:val="1E0DFC4D"/>
    <w:rsid w:val="1F4C8559"/>
    <w:rsid w:val="27408AB7"/>
    <w:rsid w:val="28B3DA1C"/>
    <w:rsid w:val="2FCE1E7C"/>
    <w:rsid w:val="304DF492"/>
    <w:rsid w:val="33FE5559"/>
    <w:rsid w:val="342E69CA"/>
    <w:rsid w:val="3DC80EAB"/>
    <w:rsid w:val="4534F8E6"/>
    <w:rsid w:val="4B4ED1F2"/>
    <w:rsid w:val="4E75050C"/>
    <w:rsid w:val="5348762F"/>
    <w:rsid w:val="55E546E8"/>
    <w:rsid w:val="56BE5045"/>
    <w:rsid w:val="5F7EEBC9"/>
    <w:rsid w:val="5FCC998C"/>
    <w:rsid w:val="6170C168"/>
    <w:rsid w:val="66D741A8"/>
    <w:rsid w:val="74C9DD1B"/>
    <w:rsid w:val="755F9118"/>
    <w:rsid w:val="7902A090"/>
    <w:rsid w:val="7BC00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rsid w:val="003E0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4">
    <w:name w:val="Grid Table 2 Accent 4"/>
    <w:basedOn w:val="TableNormal"/>
    <w:uiPriority w:val="47"/>
    <w:rsid w:val="003C687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PlaceholderText">
    <w:name w:val="Placeholder Text"/>
    <w:basedOn w:val="DefaultParagraphFont"/>
    <w:uiPriority w:val="99"/>
    <w:semiHidden/>
    <w:rsid w:val="00CC4F2D"/>
    <w:rPr>
      <w:color w:val="808080"/>
    </w:rPr>
  </w:style>
  <w:style w:type="table" w:styleId="PlainTable4">
    <w:name w:val="Plain Table 4"/>
    <w:basedOn w:val="TableNormal"/>
    <w:uiPriority w:val="44"/>
    <w:rsid w:val="0020023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113C75"/>
    <w:rPr>
      <w:lang w:eastAsia="en-US"/>
    </w:rPr>
  </w:style>
  <w:style w:type="character" w:styleId="UnresolvedMention">
    <w:name w:val="Unresolved Mention"/>
    <w:basedOn w:val="DefaultParagraphFont"/>
    <w:uiPriority w:val="99"/>
    <w:semiHidden/>
    <w:unhideWhenUsed/>
    <w:rsid w:val="002C5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8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24</TotalTime>
  <Pages>6</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Chapter</vt:lpstr>
    </vt:vector>
  </TitlesOfParts>
  <Company>Elsevier Science</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Monteiro, Mariana</cp:lastModifiedBy>
  <cp:revision>5</cp:revision>
  <cp:lastPrinted>2023-11-28T11:00:00Z</cp:lastPrinted>
  <dcterms:created xsi:type="dcterms:W3CDTF">2023-11-29T12:26:00Z</dcterms:created>
  <dcterms:modified xsi:type="dcterms:W3CDTF">2024-01-03T21:58:00Z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