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BB2EC" w14:textId="6429380E" w:rsidR="00EB7892" w:rsidRPr="00F749D8" w:rsidRDefault="00A00067" w:rsidP="00F749D8">
      <w:pPr>
        <w:pStyle w:val="Els-Title"/>
        <w:rPr>
          <w:color w:val="000000" w:themeColor="text1"/>
        </w:rPr>
      </w:pPr>
      <w:r>
        <w:rPr>
          <w:color w:val="000000" w:themeColor="text1"/>
        </w:rPr>
        <w:t>A Method of Generating</w:t>
      </w:r>
      <w:r w:rsidR="00D926DA">
        <w:rPr>
          <w:color w:val="000000" w:themeColor="text1"/>
        </w:rPr>
        <w:t xml:space="preserve"> </w:t>
      </w:r>
      <w:r w:rsidR="00B141DD" w:rsidRPr="00B141DD">
        <w:rPr>
          <w:color w:val="000000" w:themeColor="text1"/>
        </w:rPr>
        <w:t xml:space="preserve">Transition Pathways </w:t>
      </w:r>
      <w:r w:rsidR="0005589C">
        <w:rPr>
          <w:color w:val="000000" w:themeColor="text1"/>
        </w:rPr>
        <w:t>to</w:t>
      </w:r>
      <w:r w:rsidR="00B141DD" w:rsidRPr="00B141DD">
        <w:rPr>
          <w:color w:val="000000" w:themeColor="text1"/>
        </w:rPr>
        <w:t xml:space="preserve"> </w:t>
      </w:r>
      <w:r w:rsidR="00AC401A">
        <w:rPr>
          <w:color w:val="000000" w:themeColor="text1"/>
        </w:rPr>
        <w:t>a Future Refinery</w:t>
      </w:r>
    </w:p>
    <w:p w14:paraId="144DE680" w14:textId="3FD50DDF" w:rsidR="00DD3D9E" w:rsidRPr="004B394E" w:rsidRDefault="00702DFA">
      <w:pPr>
        <w:pStyle w:val="Els-Author"/>
        <w:rPr>
          <w:lang w:val="es-ES"/>
        </w:rPr>
      </w:pPr>
      <w:r w:rsidRPr="004B394E">
        <w:rPr>
          <w:lang w:val="es-ES"/>
        </w:rPr>
        <w:t>Yi Zhao</w:t>
      </w:r>
      <w:r w:rsidR="008C00C5" w:rsidRPr="004B394E">
        <w:rPr>
          <w:lang w:val="es-ES"/>
        </w:rPr>
        <w:t>,</w:t>
      </w:r>
      <w:r w:rsidR="008C00C5" w:rsidRPr="004B394E">
        <w:rPr>
          <w:vertAlign w:val="superscript"/>
          <w:lang w:val="es-ES"/>
        </w:rPr>
        <w:t>a</w:t>
      </w:r>
      <w:r w:rsidR="00865314" w:rsidRPr="004B394E">
        <w:rPr>
          <w:vertAlign w:val="superscript"/>
          <w:lang w:val="es-ES"/>
        </w:rPr>
        <w:t>*</w:t>
      </w:r>
      <w:r w:rsidR="008C00C5" w:rsidRPr="004B394E">
        <w:rPr>
          <w:lang w:val="es-ES"/>
        </w:rPr>
        <w:t xml:space="preserve"> Pullah Bhatnagar,</w:t>
      </w:r>
      <w:r w:rsidR="008C00C5" w:rsidRPr="004B394E">
        <w:rPr>
          <w:vertAlign w:val="superscript"/>
          <w:lang w:val="es-ES"/>
        </w:rPr>
        <w:t>a</w:t>
      </w:r>
      <w:r w:rsidR="008C00C5" w:rsidRPr="004B394E">
        <w:rPr>
          <w:lang w:val="es-ES"/>
        </w:rPr>
        <w:t xml:space="preserve"> Hayato Hagi,</w:t>
      </w:r>
      <w:r w:rsidR="008C00C5" w:rsidRPr="004B394E">
        <w:rPr>
          <w:vertAlign w:val="superscript"/>
          <w:lang w:val="es-ES"/>
        </w:rPr>
        <w:t>b</w:t>
      </w:r>
      <w:r w:rsidR="008C00C5" w:rsidRPr="004B394E">
        <w:rPr>
          <w:lang w:val="es-ES"/>
        </w:rPr>
        <w:t xml:space="preserve"> Bruno Delahaye,</w:t>
      </w:r>
      <w:r w:rsidR="008C00C5" w:rsidRPr="004B394E">
        <w:rPr>
          <w:vertAlign w:val="superscript"/>
          <w:lang w:val="es-ES"/>
        </w:rPr>
        <w:t>c</w:t>
      </w:r>
      <w:r w:rsidR="008C00C5" w:rsidRPr="004B394E">
        <w:rPr>
          <w:lang w:val="es-ES"/>
        </w:rPr>
        <w:t xml:space="preserve"> Fran</w:t>
      </w:r>
      <w:r w:rsidR="00752812" w:rsidRPr="004B394E">
        <w:rPr>
          <w:lang w:val="es-ES"/>
        </w:rPr>
        <w:t>ç</w:t>
      </w:r>
      <w:r w:rsidR="008C00C5" w:rsidRPr="004B394E">
        <w:rPr>
          <w:lang w:val="es-ES"/>
        </w:rPr>
        <w:t>ois Mar</w:t>
      </w:r>
      <w:r w:rsidR="00752812" w:rsidRPr="004B394E">
        <w:rPr>
          <w:lang w:val="es-ES"/>
        </w:rPr>
        <w:t>é</w:t>
      </w:r>
      <w:r w:rsidR="008C00C5" w:rsidRPr="004B394E">
        <w:rPr>
          <w:lang w:val="es-ES"/>
        </w:rPr>
        <w:t>chal</w:t>
      </w:r>
      <w:r w:rsidR="008C00C5" w:rsidRPr="004B394E">
        <w:rPr>
          <w:vertAlign w:val="superscript"/>
          <w:lang w:val="es-ES"/>
        </w:rPr>
        <w:t>a</w:t>
      </w:r>
    </w:p>
    <w:p w14:paraId="13B92246" w14:textId="4DFD4BB5" w:rsidR="008C00C5" w:rsidRPr="004B394E" w:rsidRDefault="00561DC0">
      <w:pPr>
        <w:pStyle w:val="Els-Affiliation"/>
        <w:rPr>
          <w:lang w:val="fr-FR"/>
        </w:rPr>
      </w:pPr>
      <w:r w:rsidRPr="004B394E">
        <w:rPr>
          <w:vertAlign w:val="superscript"/>
          <w:lang w:val="fr-FR"/>
        </w:rPr>
        <w:t>a</w:t>
      </w:r>
      <w:r w:rsidRPr="004B394E">
        <w:rPr>
          <w:lang w:val="fr-FR"/>
        </w:rPr>
        <w:t xml:space="preserve">Industry Process </w:t>
      </w:r>
      <w:r w:rsidR="000D2F88" w:rsidRPr="004B394E">
        <w:rPr>
          <w:lang w:val="fr-FR"/>
        </w:rPr>
        <w:t xml:space="preserve">and </w:t>
      </w:r>
      <w:r w:rsidRPr="004B394E">
        <w:rPr>
          <w:lang w:val="fr-FR"/>
        </w:rPr>
        <w:t>Energy Systems Engineering</w:t>
      </w:r>
      <w:r w:rsidR="008C00C5" w:rsidRPr="004B394E">
        <w:rPr>
          <w:lang w:val="fr-FR"/>
        </w:rPr>
        <w:t xml:space="preserve">, </w:t>
      </w:r>
      <w:r w:rsidRPr="004B394E">
        <w:rPr>
          <w:lang w:val="fr-FR"/>
        </w:rPr>
        <w:t>École Polytechnique Féd</w:t>
      </w:r>
      <w:r w:rsidR="00581BA9" w:rsidRPr="004B394E">
        <w:rPr>
          <w:lang w:val="fr-FR"/>
        </w:rPr>
        <w:t>é</w:t>
      </w:r>
      <w:r w:rsidRPr="004B394E">
        <w:rPr>
          <w:lang w:val="fr-FR"/>
        </w:rPr>
        <w:t>rale de Lausanne</w:t>
      </w:r>
      <w:r w:rsidR="008C00C5" w:rsidRPr="004B394E">
        <w:rPr>
          <w:lang w:val="fr-FR"/>
        </w:rPr>
        <w:t xml:space="preserve">, </w:t>
      </w:r>
      <w:r w:rsidR="00251682" w:rsidRPr="004B394E">
        <w:rPr>
          <w:lang w:val="fr-FR"/>
        </w:rPr>
        <w:t>R</w:t>
      </w:r>
      <w:r w:rsidR="008C00C5" w:rsidRPr="004B394E">
        <w:rPr>
          <w:lang w:val="fr-FR"/>
        </w:rPr>
        <w:t xml:space="preserve">ue de </w:t>
      </w:r>
      <w:r w:rsidR="00251682" w:rsidRPr="004B394E">
        <w:rPr>
          <w:lang w:val="fr-FR"/>
        </w:rPr>
        <w:t>l</w:t>
      </w:r>
      <w:r w:rsidR="008C00C5" w:rsidRPr="004B394E">
        <w:rPr>
          <w:lang w:val="fr-FR"/>
        </w:rPr>
        <w:t>’industrie 1</w:t>
      </w:r>
      <w:r w:rsidRPr="004B394E">
        <w:rPr>
          <w:lang w:val="fr-FR"/>
        </w:rPr>
        <w:t>7</w:t>
      </w:r>
      <w:r w:rsidR="008C00C5" w:rsidRPr="004B394E">
        <w:rPr>
          <w:lang w:val="fr-FR"/>
        </w:rPr>
        <w:t>,</w:t>
      </w:r>
      <w:r w:rsidR="00581BA9" w:rsidRPr="004B394E">
        <w:rPr>
          <w:lang w:val="fr-FR"/>
        </w:rPr>
        <w:t xml:space="preserve"> </w:t>
      </w:r>
      <w:r w:rsidR="008C00C5" w:rsidRPr="004B394E">
        <w:rPr>
          <w:lang w:val="fr-FR"/>
        </w:rPr>
        <w:t>1950 Sion, Switzerland</w:t>
      </w:r>
    </w:p>
    <w:p w14:paraId="42739DCD" w14:textId="0E68D754" w:rsidR="00B514DB" w:rsidRDefault="00251682" w:rsidP="00B514DB">
      <w:pPr>
        <w:pStyle w:val="Els-Affiliation"/>
        <w:rPr>
          <w:lang w:val="en-US"/>
        </w:rPr>
      </w:pPr>
      <w:r w:rsidRPr="00251682">
        <w:rPr>
          <w:vertAlign w:val="superscript"/>
          <w:lang w:val="en-US"/>
        </w:rPr>
        <w:t>b</w:t>
      </w:r>
      <w:r w:rsidR="00B514DB" w:rsidRPr="00B514DB">
        <w:rPr>
          <w:lang w:val="en-US"/>
        </w:rPr>
        <w:t>TotalEnergies Research &amp; Technology, TotalEnergies OneTech, 76700 Harfleur, France</w:t>
      </w:r>
    </w:p>
    <w:p w14:paraId="31B0C26E" w14:textId="3BF991BD" w:rsidR="007A0F7A" w:rsidRDefault="00251682" w:rsidP="00B514DB">
      <w:pPr>
        <w:pStyle w:val="Els-Affiliation"/>
      </w:pPr>
      <w:r>
        <w:rPr>
          <w:vertAlign w:val="superscript"/>
        </w:rPr>
        <w:t>c</w:t>
      </w:r>
      <w:r w:rsidR="00B514DB" w:rsidRPr="00B514DB">
        <w:t>TotalEnergies Hybrid &amp; Storage, TotalEnergies OneTech, 92078 Cedex, France</w:t>
      </w:r>
    </w:p>
    <w:p w14:paraId="1AE7C99F" w14:textId="6B81F143" w:rsidR="00865314" w:rsidRPr="00B514DB" w:rsidRDefault="00865314" w:rsidP="00B514DB">
      <w:pPr>
        <w:pStyle w:val="Els-Affiliation"/>
        <w:rPr>
          <w:lang w:val="en-US"/>
        </w:rPr>
      </w:pPr>
      <w:r w:rsidRPr="00865314">
        <w:rPr>
          <w:vertAlign w:val="superscript"/>
        </w:rPr>
        <w:t>*</w:t>
      </w:r>
      <w:r>
        <w:t>yi.zhao@epfl.ch</w:t>
      </w:r>
    </w:p>
    <w:p w14:paraId="144DE684" w14:textId="77777777" w:rsidR="008D2649" w:rsidRDefault="008D2649" w:rsidP="0078079A">
      <w:pPr>
        <w:pStyle w:val="Els-Abstract"/>
      </w:pPr>
      <w:r>
        <w:t>Abstract</w:t>
      </w:r>
    </w:p>
    <w:p w14:paraId="38571722" w14:textId="1AA280F8" w:rsidR="005D64B5" w:rsidRDefault="0048038F" w:rsidP="004B5CF6">
      <w:pPr>
        <w:pStyle w:val="Els-body-text"/>
      </w:pPr>
      <w:r>
        <w:t xml:space="preserve">In the context of a global imperative for industries to achieve net-zero emissions, this work introduces a methodological framework for establishing </w:t>
      </w:r>
      <w:r w:rsidR="004B394E">
        <w:t>possible</w:t>
      </w:r>
      <w:r>
        <w:t xml:space="preserve"> transition pathway</w:t>
      </w:r>
      <w:r w:rsidR="002220F7">
        <w:t>s</w:t>
      </w:r>
      <w:r>
        <w:t xml:space="preserve"> with interim targets aimed at reducing emissions and minimizing costs. The methodology begins by generating different pathways through a multi-period mixed-integer linear programming formula, which </w:t>
      </w:r>
      <w:proofErr w:type="gramStart"/>
      <w:r>
        <w:t>takes into account</w:t>
      </w:r>
      <w:proofErr w:type="gramEnd"/>
      <w:r>
        <w:t xml:space="preserve"> market evolutions such as natural gas prices, renewable energy penetration, and future technology developments. Subsequently, a multi-criteria analysis is applied to select the most promising transition pathways based on predefined key performance indicators (KPIs)</w:t>
      </w:r>
      <w:r w:rsidR="00062159">
        <w:t xml:space="preserve"> and decision metrics</w:t>
      </w:r>
      <w:r>
        <w:t>. To validate the methodology's effectiveness, a</w:t>
      </w:r>
      <w:r w:rsidR="00282DC5">
        <w:t xml:space="preserve"> Blueprint</w:t>
      </w:r>
      <w:r>
        <w:t xml:space="preserve"> oil refinery case study</w:t>
      </w:r>
      <w:r w:rsidR="00282DC5">
        <w:t xml:space="preserve"> </w:t>
      </w:r>
      <w:r>
        <w:t xml:space="preserve">is conducted. </w:t>
      </w:r>
      <w:r w:rsidR="00B62545" w:rsidRPr="00B62545">
        <w:t>The results demonstrate that a net emission reduction over the entire lifespan can be achieved through the implementation of carbon capture and/or electrification technologies at appropriate time steps.</w:t>
      </w:r>
      <w:r w:rsidR="00B62545">
        <w:t xml:space="preserve"> </w:t>
      </w:r>
      <w:r>
        <w:t>T</w:t>
      </w:r>
      <w:r w:rsidRPr="005C1783">
        <w:t>he</w:t>
      </w:r>
      <w:r w:rsidR="00AF05A1">
        <w:t xml:space="preserve"> </w:t>
      </w:r>
      <w:r w:rsidRPr="005C1783">
        <w:t xml:space="preserve">methodology </w:t>
      </w:r>
      <w:r w:rsidR="004B394E">
        <w:t xml:space="preserve">highlights the </w:t>
      </w:r>
      <w:r w:rsidR="005A65E1">
        <w:t>potential</w:t>
      </w:r>
      <w:r w:rsidR="005A65E1" w:rsidRPr="005C1783">
        <w:t xml:space="preserve"> </w:t>
      </w:r>
      <w:r w:rsidR="00062159">
        <w:t>investment decision strategies</w:t>
      </w:r>
      <w:r w:rsidR="004B394E">
        <w:t xml:space="preserve"> according to the selected KPI, under predefined assumptions</w:t>
      </w:r>
      <w:r w:rsidRPr="005C1783">
        <w:t>, offering insights for industry stakeholders and policymakers.</w:t>
      </w:r>
    </w:p>
    <w:p w14:paraId="445864E5" w14:textId="77777777" w:rsidR="0045241C" w:rsidRPr="005C1783" w:rsidRDefault="0045241C" w:rsidP="004B5CF6">
      <w:pPr>
        <w:pStyle w:val="Els-body-text"/>
      </w:pPr>
    </w:p>
    <w:p w14:paraId="144DE687" w14:textId="6D29DCD5" w:rsidR="008D2649" w:rsidRDefault="008D2649" w:rsidP="008D2649">
      <w:pPr>
        <w:pStyle w:val="Els-body-text"/>
        <w:spacing w:after="120"/>
        <w:rPr>
          <w:lang w:val="en-GB"/>
        </w:rPr>
      </w:pPr>
      <w:r>
        <w:rPr>
          <w:b/>
          <w:bCs/>
          <w:lang w:val="en-GB"/>
        </w:rPr>
        <w:t>Keywords</w:t>
      </w:r>
      <w:r>
        <w:rPr>
          <w:lang w:val="en-GB"/>
        </w:rPr>
        <w:t xml:space="preserve">: </w:t>
      </w:r>
      <w:r w:rsidR="005C1783">
        <w:rPr>
          <w:lang w:val="en-GB"/>
        </w:rPr>
        <w:t>Transition Pathway,</w:t>
      </w:r>
      <w:r w:rsidR="004233DA">
        <w:rPr>
          <w:lang w:val="en-GB"/>
        </w:rPr>
        <w:t xml:space="preserve"> Investment planning, Technology evolution</w:t>
      </w:r>
      <w:r w:rsidR="00DB00DD">
        <w:rPr>
          <w:lang w:val="en-GB"/>
        </w:rPr>
        <w:t>, Refinery</w:t>
      </w:r>
      <w:r w:rsidR="00DA66CC">
        <w:rPr>
          <w:lang w:val="en-GB"/>
        </w:rPr>
        <w:t>.</w:t>
      </w:r>
    </w:p>
    <w:p w14:paraId="144DE689" w14:textId="04F72627" w:rsidR="008D2649" w:rsidRDefault="00757C12" w:rsidP="008D2649">
      <w:pPr>
        <w:pStyle w:val="Els-1storder-head"/>
      </w:pPr>
      <w:r>
        <w:t>Introduction</w:t>
      </w:r>
    </w:p>
    <w:p w14:paraId="026CCE93" w14:textId="72534F52" w:rsidR="00895AD2" w:rsidRDefault="007517C1" w:rsidP="00F92B5A">
      <w:pPr>
        <w:pStyle w:val="Els-body-text"/>
      </w:pPr>
      <w:r w:rsidRPr="007517C1">
        <w:t xml:space="preserve">The Sixth Assessment report by the Intergovernmental Panel on Climate Change (IPCC) emphasizes the formidable task of limiting the global average temperature rise to 1.5-2°C since 1850, requiring a substantial reduction in </w:t>
      </w:r>
      <w:r w:rsidR="007C29E5">
        <w:t xml:space="preserve">cumulative </w:t>
      </w:r>
      <w:r w:rsidRPr="007517C1">
        <w:t>emissions (Masson 2021). While there has been a global effort to achieve net</w:t>
      </w:r>
      <w:r w:rsidR="00830AC6">
        <w:t xml:space="preserve"> </w:t>
      </w:r>
      <w:r w:rsidRPr="007517C1">
        <w:t>zer</w:t>
      </w:r>
      <w:r w:rsidR="00830AC6">
        <w:t>o</w:t>
      </w:r>
      <w:r w:rsidRPr="007517C1">
        <w:t xml:space="preserve">, spanning numerous </w:t>
      </w:r>
      <w:r w:rsidR="007C29E5">
        <w:t>industries and sectors</w:t>
      </w:r>
      <w:r w:rsidRPr="007517C1">
        <w:t>, the significance of optimal transition pathways has not received adequate attention</w:t>
      </w:r>
      <w:r w:rsidR="00F92B5A">
        <w:t>.</w:t>
      </w:r>
      <w:r>
        <w:t xml:space="preserve"> </w:t>
      </w:r>
      <w:r w:rsidR="007C29E5" w:rsidRPr="007C29E5">
        <w:t>Industrial sector, responsible for a quarter of global emissions, must evolve to reduce</w:t>
      </w:r>
      <w:r w:rsidR="007C29E5">
        <w:t xml:space="preserve"> </w:t>
      </w:r>
      <w:r w:rsidR="007C29E5" w:rsidRPr="007C29E5">
        <w:t xml:space="preserve">emissions </w:t>
      </w:r>
      <w:r w:rsidR="007C29E5">
        <w:t xml:space="preserve">during its lifespan </w:t>
      </w:r>
      <w:r w:rsidR="007C29E5" w:rsidRPr="007C29E5">
        <w:t>and foster a low-carbon future.</w:t>
      </w:r>
    </w:p>
    <w:p w14:paraId="618E21B3" w14:textId="5CE35FDB" w:rsidR="00B62545" w:rsidRDefault="007517C1" w:rsidP="00F92B5A">
      <w:pPr>
        <w:pStyle w:val="Els-body-text"/>
      </w:pPr>
      <w:r>
        <w:t>However, d</w:t>
      </w:r>
      <w:r w:rsidR="00602B08">
        <w:t xml:space="preserve">etermining </w:t>
      </w:r>
      <w:r w:rsidR="00097E89">
        <w:t>an</w:t>
      </w:r>
      <w:r w:rsidR="00431A28">
        <w:t xml:space="preserve"> </w:t>
      </w:r>
      <w:r w:rsidR="00602B08">
        <w:t xml:space="preserve">optimization pathway for </w:t>
      </w:r>
      <w:r w:rsidR="00830AC6">
        <w:t>industrial sector</w:t>
      </w:r>
      <w:r w:rsidR="00602B08">
        <w:t xml:space="preserve"> face</w:t>
      </w:r>
      <w:r w:rsidR="00431A28">
        <w:t>s</w:t>
      </w:r>
      <w:r w:rsidR="00602B08">
        <w:t xml:space="preserve"> the following challenges</w:t>
      </w:r>
      <w:r w:rsidR="00F92B5A">
        <w:t>:</w:t>
      </w:r>
    </w:p>
    <w:p w14:paraId="79878D1C" w14:textId="0BB41093" w:rsidR="00F92B5A" w:rsidRDefault="000F4C6F" w:rsidP="0050240D">
      <w:pPr>
        <w:pStyle w:val="Els-body-text"/>
        <w:numPr>
          <w:ilvl w:val="0"/>
          <w:numId w:val="19"/>
        </w:numPr>
      </w:pPr>
      <w:r>
        <w:lastRenderedPageBreak/>
        <w:t>Exhaustive decarbonization options</w:t>
      </w:r>
      <w:r w:rsidR="00F92B5A">
        <w:t xml:space="preserve">: </w:t>
      </w:r>
      <w:r w:rsidR="00DD5D9B">
        <w:t>Overlooking certain</w:t>
      </w:r>
      <w:r w:rsidR="00F92B5A">
        <w:t xml:space="preserve"> potential </w:t>
      </w:r>
      <w:r w:rsidR="00DD5D9B">
        <w:t>clean technologies</w:t>
      </w:r>
      <w:r w:rsidR="00F92B5A">
        <w:t xml:space="preserve"> and methods </w:t>
      </w:r>
      <w:r w:rsidR="00095A51">
        <w:t xml:space="preserve">may lead to </w:t>
      </w:r>
      <w:r w:rsidR="00DD5D9B">
        <w:t>local suboptimal</w:t>
      </w:r>
      <w:r w:rsidR="00095A51">
        <w:t xml:space="preserve"> solutions</w:t>
      </w:r>
      <w:r w:rsidR="00F92B5A">
        <w:t>.</w:t>
      </w:r>
    </w:p>
    <w:p w14:paraId="2F1F15B1" w14:textId="3D9759FB" w:rsidR="00F92B5A" w:rsidRDefault="00F92B5A" w:rsidP="0050240D">
      <w:pPr>
        <w:pStyle w:val="Els-body-text"/>
        <w:numPr>
          <w:ilvl w:val="0"/>
          <w:numId w:val="19"/>
        </w:numPr>
      </w:pPr>
      <w:r>
        <w:t>Market Uncertainty: Fluctuations in costs and the demand for critical utilities, such as natural gas, significantly impact industrial decision-making.</w:t>
      </w:r>
    </w:p>
    <w:p w14:paraId="121C810D" w14:textId="2F5C3FCE" w:rsidR="0046322C" w:rsidRDefault="00F92B5A" w:rsidP="0045241C">
      <w:pPr>
        <w:pStyle w:val="Els-body-text"/>
        <w:numPr>
          <w:ilvl w:val="0"/>
          <w:numId w:val="19"/>
        </w:numPr>
      </w:pPr>
      <w:r>
        <w:t>Technology Evolution: As technology continually evolves, so do associated costs</w:t>
      </w:r>
      <w:r w:rsidR="00431A28">
        <w:t xml:space="preserve"> and carbon footprints</w:t>
      </w:r>
      <w:r>
        <w:t xml:space="preserve">. A comprehensive understanding of these </w:t>
      </w:r>
      <w:r w:rsidR="00DD5D9B">
        <w:t xml:space="preserve">trends is </w:t>
      </w:r>
      <w:r>
        <w:t xml:space="preserve">essential when integrating </w:t>
      </w:r>
      <w:r w:rsidR="00DD5D9B">
        <w:t>future</w:t>
      </w:r>
      <w:r>
        <w:t xml:space="preserve"> technologies.</w:t>
      </w:r>
    </w:p>
    <w:p w14:paraId="0D368DD2" w14:textId="39A4F4DA" w:rsidR="00F92B5A" w:rsidRDefault="00016249" w:rsidP="00F92B5A">
      <w:pPr>
        <w:pStyle w:val="Els-body-text"/>
      </w:pPr>
      <w:r>
        <w:t>V</w:t>
      </w:r>
      <w:r w:rsidR="00F92B5A">
        <w:t xml:space="preserve">aluable </w:t>
      </w:r>
      <w:r w:rsidR="00F64502">
        <w:t>research</w:t>
      </w:r>
      <w:r w:rsidR="00F92B5A">
        <w:t xml:space="preserve"> </w:t>
      </w:r>
      <w:r w:rsidR="002E10D1">
        <w:rPr>
          <w:rFonts w:hint="eastAsia"/>
          <w:lang w:eastAsia="zh-CN"/>
        </w:rPr>
        <w:t>ha</w:t>
      </w:r>
      <w:r w:rsidR="00F64502">
        <w:rPr>
          <w:lang w:eastAsia="zh-CN"/>
        </w:rPr>
        <w:t>s</w:t>
      </w:r>
      <w:r w:rsidR="002E10D1">
        <w:rPr>
          <w:lang w:eastAsia="zh-CN"/>
        </w:rPr>
        <w:t xml:space="preserve"> been carried out </w:t>
      </w:r>
      <w:r w:rsidR="00F92B5A">
        <w:t xml:space="preserve">in the field of </w:t>
      </w:r>
      <w:r w:rsidR="00150F2E">
        <w:t>inves</w:t>
      </w:r>
      <w:r w:rsidR="004B394E">
        <w:t>t</w:t>
      </w:r>
      <w:r w:rsidR="00150F2E">
        <w:t>ment</w:t>
      </w:r>
      <w:r w:rsidR="00F92B5A">
        <w:t xml:space="preserve"> planning, including the work of </w:t>
      </w:r>
      <w:proofErr w:type="spellStart"/>
      <w:r w:rsidR="00F92B5A">
        <w:t>Barkitzi</w:t>
      </w:r>
      <w:proofErr w:type="spellEnd"/>
      <w:r w:rsidR="00433263">
        <w:t xml:space="preserve"> et al.</w:t>
      </w:r>
      <w:r w:rsidR="00F92B5A">
        <w:t xml:space="preserve"> </w:t>
      </w:r>
      <w:r w:rsidR="009000D4">
        <w:t>(</w:t>
      </w:r>
      <w:r w:rsidR="00F92B5A">
        <w:t>2012</w:t>
      </w:r>
      <w:r w:rsidR="009000D4">
        <w:t>)</w:t>
      </w:r>
      <w:r w:rsidR="002E10D1">
        <w:t>, which</w:t>
      </w:r>
      <w:r>
        <w:t xml:space="preserve"> </w:t>
      </w:r>
      <w:r w:rsidR="002E10D1">
        <w:t>emphasizes</w:t>
      </w:r>
      <w:r w:rsidR="00F92B5A">
        <w:t xml:space="preserve"> the advantages of long-term planning for flexibility in decision-making, and </w:t>
      </w:r>
      <w:proofErr w:type="spellStart"/>
      <w:r w:rsidR="00F92B5A">
        <w:t>Butun</w:t>
      </w:r>
      <w:proofErr w:type="spellEnd"/>
      <w:r>
        <w:t xml:space="preserve"> et al. </w:t>
      </w:r>
      <w:r w:rsidR="009000D4">
        <w:t>(</w:t>
      </w:r>
      <w:r w:rsidR="00F92B5A">
        <w:t>2019</w:t>
      </w:r>
      <w:r w:rsidR="009000D4">
        <w:t>)</w:t>
      </w:r>
      <w:r w:rsidR="002E10D1">
        <w:t>,</w:t>
      </w:r>
      <w:r w:rsidR="00F92B5A">
        <w:t xml:space="preserve"> </w:t>
      </w:r>
      <w:r w:rsidR="002E10D1">
        <w:t xml:space="preserve">who </w:t>
      </w:r>
      <w:r w:rsidR="00F92B5A">
        <w:t>integrat</w:t>
      </w:r>
      <w:r w:rsidR="002E10D1">
        <w:t>ed</w:t>
      </w:r>
      <w:r w:rsidR="00F92B5A">
        <w:t xml:space="preserve"> Investment Planning models into process integration to estimate investment costs</w:t>
      </w:r>
      <w:r w:rsidR="002E10D1">
        <w:t xml:space="preserve"> of infrastructure demolition at the end-of-life</w:t>
      </w:r>
      <w:r>
        <w:t xml:space="preserve">. However, </w:t>
      </w:r>
      <w:r w:rsidR="00F92B5A">
        <w:t>there remains a gap in methodologies tailored to transitional pathways that consider uncertainties and changing tax implications related to emissions.</w:t>
      </w:r>
      <w:r w:rsidR="003A1D20">
        <w:t xml:space="preserve"> </w:t>
      </w:r>
      <w:r w:rsidR="00F92B5A">
        <w:t xml:space="preserve">In this </w:t>
      </w:r>
      <w:r w:rsidR="00A471BE">
        <w:t>work</w:t>
      </w:r>
      <w:r w:rsidR="00F92B5A">
        <w:t>, we present a</w:t>
      </w:r>
      <w:r w:rsidR="00B86D68">
        <w:t xml:space="preserve">n approach </w:t>
      </w:r>
      <w:r w:rsidR="00F92B5A">
        <w:t>that leverages stochastic optimization</w:t>
      </w:r>
      <w:r w:rsidR="000D18D4">
        <w:t xml:space="preserve"> addressing </w:t>
      </w:r>
      <w:r w:rsidR="00F92B5A">
        <w:t xml:space="preserve">uncertainties </w:t>
      </w:r>
      <w:r w:rsidR="000D18D4">
        <w:t xml:space="preserve">on markets </w:t>
      </w:r>
      <w:r w:rsidR="00F92B5A">
        <w:t xml:space="preserve">and future technology costs. This approach facilitates the estimation of the most </w:t>
      </w:r>
      <w:r w:rsidR="000D18D4">
        <w:t>promising</w:t>
      </w:r>
      <w:r w:rsidR="00F92B5A">
        <w:t xml:space="preserve"> transition pathway</w:t>
      </w:r>
      <w:r w:rsidR="000D18D4">
        <w:t>s based on predefined decision metrics</w:t>
      </w:r>
      <w:r w:rsidR="00F92B5A">
        <w:t>, filling the gap in existing literature and providing a valuable tool for addressing the pressing challenges faced by the industry in the context of climate change mitigation.</w:t>
      </w:r>
    </w:p>
    <w:p w14:paraId="4353A31B" w14:textId="7E38C152" w:rsidR="005379DB" w:rsidRDefault="00F92B5A" w:rsidP="00A34513">
      <w:pPr>
        <w:pStyle w:val="Els-1storder-head"/>
      </w:pPr>
      <w:r>
        <w:t>Methodology</w:t>
      </w:r>
    </w:p>
    <w:p w14:paraId="0FEDDCF9" w14:textId="5B4BF35D" w:rsidR="009E37D5" w:rsidRDefault="00430BF1" w:rsidP="006C2424">
      <w:pPr>
        <w:pStyle w:val="CommentText"/>
        <w:jc w:val="both"/>
      </w:pPr>
      <w:r>
        <w:t xml:space="preserve">As </w:t>
      </w:r>
      <w:r w:rsidR="00930F63">
        <w:t>illustrated</w:t>
      </w:r>
      <w:r>
        <w:t xml:space="preserve"> in Figure 1, the optimization framework co</w:t>
      </w:r>
      <w:r w:rsidR="00930F63">
        <w:t>mprises</w:t>
      </w:r>
      <w:r>
        <w:t xml:space="preserve"> </w:t>
      </w:r>
      <w:r w:rsidR="00930F63">
        <w:t xml:space="preserve">two key sections: </w:t>
      </w:r>
      <w:r>
        <w:t xml:space="preserve">a configuration generation section using multi-period mixed integer linear programing (MILP) and </w:t>
      </w:r>
      <w:r w:rsidR="00371513">
        <w:t>a</w:t>
      </w:r>
      <w:r>
        <w:t xml:space="preserve"> solution ranking section</w:t>
      </w:r>
      <w:r w:rsidR="00371513">
        <w:t xml:space="preserve"> based on selected key performance indicators (KPIs)</w:t>
      </w:r>
      <w:r w:rsidR="00930F63">
        <w:t xml:space="preserve"> and decision metrics</w:t>
      </w:r>
      <w:r>
        <w:t xml:space="preserve">. </w:t>
      </w:r>
      <w:r w:rsidR="003218E3">
        <w:rPr>
          <w:rFonts w:hint="eastAsia"/>
          <w:lang w:eastAsia="zh-CN"/>
        </w:rPr>
        <w:t>Dur</w:t>
      </w:r>
      <w:r w:rsidR="003218E3">
        <w:rPr>
          <w:lang w:eastAsia="zh-CN"/>
        </w:rPr>
        <w:t xml:space="preserve">ing the configuration generation stage, </w:t>
      </w:r>
      <w:r w:rsidR="00E32B0F">
        <w:rPr>
          <w:lang w:eastAsia="zh-CN"/>
        </w:rPr>
        <w:t xml:space="preserve">a superstructure is </w:t>
      </w:r>
      <w:r w:rsidR="003E5971">
        <w:rPr>
          <w:lang w:eastAsia="zh-CN"/>
        </w:rPr>
        <w:t xml:space="preserve">first </w:t>
      </w:r>
      <w:r w:rsidR="00E32B0F">
        <w:rPr>
          <w:lang w:eastAsia="zh-CN"/>
        </w:rPr>
        <w:t xml:space="preserve">established </w:t>
      </w:r>
      <w:r w:rsidR="00930F63">
        <w:rPr>
          <w:lang w:eastAsia="zh-CN"/>
        </w:rPr>
        <w:t xml:space="preserve">combining the industrial sectors and potential decarbonization options </w:t>
      </w:r>
      <w:r w:rsidR="00E32B0F">
        <w:rPr>
          <w:lang w:eastAsia="zh-CN"/>
        </w:rPr>
        <w:t xml:space="preserve">with mass and heat </w:t>
      </w:r>
      <w:r w:rsidR="009C7832">
        <w:rPr>
          <w:lang w:eastAsia="zh-CN"/>
        </w:rPr>
        <w:t>integration</w:t>
      </w:r>
      <w:r w:rsidR="00930F63">
        <w:rPr>
          <w:lang w:eastAsia="zh-CN"/>
        </w:rPr>
        <w:t>. This combined superstructure</w:t>
      </w:r>
      <w:r w:rsidR="003E5971">
        <w:rPr>
          <w:lang w:eastAsia="zh-CN"/>
        </w:rPr>
        <w:t xml:space="preserve"> is then solved with a multi-period MILP formula</w:t>
      </w:r>
      <w:r w:rsidR="009E37D5">
        <w:rPr>
          <w:noProof/>
        </w:rPr>
        <w:t>, leading to an unique configuration featuring a collection of decarbonization options that are optimally integrated within the refinery by allowing site-wide heat flow</w:t>
      </w:r>
      <w:r w:rsidR="00456C3E">
        <w:rPr>
          <w:noProof/>
        </w:rPr>
        <w:t>s</w:t>
      </w:r>
      <w:r w:rsidR="009E37D5">
        <w:rPr>
          <w:noProof/>
        </w:rPr>
        <w:t xml:space="preserve"> matching.</w:t>
      </w:r>
    </w:p>
    <w:p w14:paraId="17367AEA" w14:textId="5CF25F18" w:rsidR="002E3551" w:rsidRDefault="003E5971" w:rsidP="00A34513">
      <w:pPr>
        <w:pStyle w:val="Els-body-text"/>
        <w:rPr>
          <w:lang w:eastAsia="zh-CN"/>
        </w:rPr>
      </w:pPr>
      <w:r>
        <w:rPr>
          <w:lang w:eastAsia="zh-CN"/>
        </w:rPr>
        <w:t xml:space="preserve">Multiple market conditions, including electricity price and carbon footprint, natural gas prices and future technology costs are given as </w:t>
      </w:r>
      <w:r w:rsidR="00140CB9">
        <w:rPr>
          <w:lang w:eastAsia="zh-CN"/>
        </w:rPr>
        <w:t>incentives</w:t>
      </w:r>
      <w:r>
        <w:rPr>
          <w:lang w:eastAsia="zh-CN"/>
        </w:rPr>
        <w:t xml:space="preserve"> to </w:t>
      </w:r>
      <w:r w:rsidR="009C7832">
        <w:rPr>
          <w:lang w:eastAsia="zh-CN"/>
        </w:rPr>
        <w:t xml:space="preserve">the MILP formula to </w:t>
      </w:r>
      <w:r>
        <w:rPr>
          <w:lang w:eastAsia="zh-CN"/>
        </w:rPr>
        <w:t xml:space="preserve">systematically generate a set of good configurations. </w:t>
      </w:r>
      <w:r w:rsidR="00DF5AC5">
        <w:rPr>
          <w:lang w:eastAsia="zh-CN"/>
        </w:rPr>
        <w:t>In</w:t>
      </w:r>
      <w:r w:rsidR="009C7832">
        <w:rPr>
          <w:lang w:eastAsia="zh-CN"/>
        </w:rPr>
        <w:t xml:space="preserve"> the multi-criterial solution ranking stage, key performance indicators for those different configurations are calculated considering </w:t>
      </w:r>
      <w:r w:rsidR="00140CB9">
        <w:rPr>
          <w:lang w:eastAsia="zh-CN"/>
        </w:rPr>
        <w:t xml:space="preserve">investment planning constraints, including technology construction, resize and </w:t>
      </w:r>
      <w:r w:rsidR="0067565E">
        <w:rPr>
          <w:lang w:eastAsia="zh-CN"/>
        </w:rPr>
        <w:t>decommission</w:t>
      </w:r>
      <w:r w:rsidR="00140CB9">
        <w:rPr>
          <w:lang w:eastAsia="zh-CN"/>
        </w:rPr>
        <w:t xml:space="preserve">. The configurations are then ranked based on the </w:t>
      </w:r>
      <w:r w:rsidR="009003EE">
        <w:rPr>
          <w:lang w:eastAsia="zh-CN"/>
        </w:rPr>
        <w:t>pre-defined</w:t>
      </w:r>
      <w:r w:rsidR="00C87AF3">
        <w:rPr>
          <w:lang w:eastAsia="zh-CN"/>
        </w:rPr>
        <w:t xml:space="preserve"> decision metrics</w:t>
      </w:r>
      <w:r w:rsidR="00140CB9">
        <w:rPr>
          <w:lang w:eastAsia="zh-CN"/>
        </w:rPr>
        <w:t xml:space="preserve"> from the most promising to the le</w:t>
      </w:r>
      <w:r w:rsidR="00DF5AC5">
        <w:rPr>
          <w:lang w:eastAsia="zh-CN"/>
        </w:rPr>
        <w:t>a</w:t>
      </w:r>
      <w:r w:rsidR="00140CB9">
        <w:rPr>
          <w:lang w:eastAsia="zh-CN"/>
        </w:rPr>
        <w:t>st preferred</w:t>
      </w:r>
      <w:r w:rsidR="002E6303">
        <w:rPr>
          <w:lang w:eastAsia="zh-CN"/>
        </w:rPr>
        <w:t xml:space="preserve"> under certain market conditions</w:t>
      </w:r>
      <w:r w:rsidR="00140CB9">
        <w:rPr>
          <w:lang w:eastAsia="zh-CN"/>
        </w:rPr>
        <w:t>.</w:t>
      </w:r>
    </w:p>
    <w:p w14:paraId="43A46C8D" w14:textId="77777777" w:rsidR="00DC7ACD" w:rsidRDefault="00DC7ACD" w:rsidP="00A34513">
      <w:pPr>
        <w:pStyle w:val="Els-body-text"/>
        <w:rPr>
          <w:lang w:eastAsia="zh-CN"/>
        </w:rPr>
      </w:pPr>
    </w:p>
    <w:p w14:paraId="424F03AB" w14:textId="5C36F56E" w:rsidR="003E5971" w:rsidRPr="00D6489D" w:rsidRDefault="00924C66" w:rsidP="00D6489D">
      <w:pPr>
        <w:pStyle w:val="Els-body-text"/>
        <w:jc w:val="center"/>
        <w:rPr>
          <w:sz w:val="16"/>
          <w:szCs w:val="16"/>
        </w:rPr>
      </w:pPr>
      <w:r w:rsidRPr="00924C66">
        <w:rPr>
          <w:noProof/>
          <w:sz w:val="16"/>
          <w:szCs w:val="16"/>
        </w:rPr>
        <w:drawing>
          <wp:inline distT="0" distB="0" distL="0" distR="0" wp14:anchorId="43725F31" wp14:editId="113F8D1D">
            <wp:extent cx="3645489" cy="1318571"/>
            <wp:effectExtent l="0" t="0" r="0" b="2540"/>
            <wp:docPr id="1354984219" name="Picture 1" descr="A diagram of a busines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84219" name="Picture 1" descr="A diagram of a business process&#10;&#10;Description automatically generated"/>
                    <pic:cNvPicPr/>
                  </pic:nvPicPr>
                  <pic:blipFill>
                    <a:blip r:embed="rId8"/>
                    <a:stretch>
                      <a:fillRect/>
                    </a:stretch>
                  </pic:blipFill>
                  <pic:spPr>
                    <a:xfrm>
                      <a:off x="0" y="0"/>
                      <a:ext cx="3930636" cy="1421708"/>
                    </a:xfrm>
                    <a:prstGeom prst="rect">
                      <a:avLst/>
                    </a:prstGeom>
                  </pic:spPr>
                </pic:pic>
              </a:graphicData>
            </a:graphic>
          </wp:inline>
        </w:drawing>
      </w:r>
    </w:p>
    <w:p w14:paraId="6C4C9381" w14:textId="3898A671" w:rsidR="003E5971" w:rsidRPr="006C2424" w:rsidRDefault="003E5971" w:rsidP="006F5AAD">
      <w:pPr>
        <w:pStyle w:val="Els-body-text"/>
        <w:jc w:val="center"/>
        <w:rPr>
          <w:sz w:val="18"/>
          <w:szCs w:val="18"/>
        </w:rPr>
      </w:pPr>
      <w:r w:rsidRPr="006C2424">
        <w:rPr>
          <w:sz w:val="18"/>
          <w:szCs w:val="18"/>
        </w:rPr>
        <w:t>Figure 1</w:t>
      </w:r>
      <w:r w:rsidR="009C7832" w:rsidRPr="006C2424">
        <w:rPr>
          <w:sz w:val="18"/>
          <w:szCs w:val="18"/>
        </w:rPr>
        <w:t>.</w:t>
      </w:r>
      <w:r w:rsidRPr="006C2424">
        <w:rPr>
          <w:sz w:val="18"/>
          <w:szCs w:val="18"/>
        </w:rPr>
        <w:t xml:space="preserve"> </w:t>
      </w:r>
      <w:r w:rsidR="009B4F40" w:rsidRPr="006C2424">
        <w:rPr>
          <w:sz w:val="18"/>
          <w:szCs w:val="18"/>
        </w:rPr>
        <w:t>Methodology framework of generating optimal transition pathway</w:t>
      </w:r>
      <w:r w:rsidR="003D5EE2" w:rsidRPr="006C2424">
        <w:rPr>
          <w:sz w:val="18"/>
          <w:szCs w:val="18"/>
        </w:rPr>
        <w:t>s</w:t>
      </w:r>
      <w:r w:rsidR="009B4F40" w:rsidRPr="006C2424">
        <w:rPr>
          <w:sz w:val="18"/>
          <w:szCs w:val="18"/>
        </w:rPr>
        <w:t xml:space="preserve">. </w:t>
      </w:r>
      <w:r w:rsidR="003D5EE2" w:rsidRPr="006C2424">
        <w:rPr>
          <w:sz w:val="18"/>
          <w:szCs w:val="18"/>
        </w:rPr>
        <w:t>A multi-period MILP formula consists of optimization targets (</w:t>
      </w:r>
      <w:r w:rsidR="003D5EE2" w:rsidRPr="006C2424">
        <w:rPr>
          <w:i/>
          <w:iCs/>
          <w:sz w:val="18"/>
          <w:szCs w:val="18"/>
        </w:rPr>
        <w:t>z</w:t>
      </w:r>
      <w:r w:rsidR="003D5EE2" w:rsidRPr="006C2424">
        <w:rPr>
          <w:sz w:val="18"/>
          <w:szCs w:val="18"/>
        </w:rPr>
        <w:t>), continuous variables</w:t>
      </w:r>
      <w:r w:rsidR="00296D1A" w:rsidRPr="006C2424">
        <w:rPr>
          <w:sz w:val="18"/>
          <w:szCs w:val="18"/>
        </w:rPr>
        <w:t>(</w:t>
      </w:r>
      <w:r w:rsidR="00296D1A" w:rsidRPr="006C2424">
        <w:rPr>
          <w:i/>
          <w:iCs/>
          <w:sz w:val="18"/>
          <w:szCs w:val="18"/>
        </w:rPr>
        <w:t>x</w:t>
      </w:r>
      <w:r w:rsidR="00296D1A" w:rsidRPr="006C2424">
        <w:rPr>
          <w:sz w:val="18"/>
          <w:szCs w:val="18"/>
        </w:rPr>
        <w:t>)</w:t>
      </w:r>
      <w:r w:rsidR="002E2539" w:rsidRPr="006C2424">
        <w:rPr>
          <w:sz w:val="18"/>
          <w:szCs w:val="18"/>
        </w:rPr>
        <w:t xml:space="preserve"> and</w:t>
      </w:r>
      <w:r w:rsidR="003D5EE2" w:rsidRPr="006C2424">
        <w:rPr>
          <w:sz w:val="18"/>
          <w:szCs w:val="18"/>
        </w:rPr>
        <w:t xml:space="preserve"> binary variables (</w:t>
      </w:r>
      <w:r w:rsidR="003D5EE2" w:rsidRPr="006C2424">
        <w:rPr>
          <w:i/>
          <w:iCs/>
          <w:sz w:val="18"/>
          <w:szCs w:val="18"/>
        </w:rPr>
        <w:t>y</w:t>
      </w:r>
      <w:r w:rsidR="003D5EE2" w:rsidRPr="006C2424">
        <w:rPr>
          <w:sz w:val="18"/>
          <w:szCs w:val="18"/>
        </w:rPr>
        <w:t>), as well as inequality and equality constraints (</w:t>
      </w:r>
      <w:r w:rsidR="003D5EE2" w:rsidRPr="006C2424">
        <w:rPr>
          <w:i/>
          <w:iCs/>
          <w:sz w:val="18"/>
          <w:szCs w:val="18"/>
        </w:rPr>
        <w:t>g</w:t>
      </w:r>
      <w:r w:rsidR="003D5EE2" w:rsidRPr="006C2424">
        <w:rPr>
          <w:sz w:val="18"/>
          <w:szCs w:val="18"/>
        </w:rPr>
        <w:t xml:space="preserve"> and </w:t>
      </w:r>
      <w:r w:rsidR="003D5EE2" w:rsidRPr="006C2424">
        <w:rPr>
          <w:i/>
          <w:iCs/>
          <w:sz w:val="18"/>
          <w:szCs w:val="18"/>
        </w:rPr>
        <w:t>h</w:t>
      </w:r>
      <w:r w:rsidR="003D5EE2" w:rsidRPr="006C2424">
        <w:rPr>
          <w:sz w:val="18"/>
          <w:szCs w:val="18"/>
        </w:rPr>
        <w:t>).</w:t>
      </w:r>
    </w:p>
    <w:p w14:paraId="3800877E" w14:textId="59370A63" w:rsidR="006755D0" w:rsidRDefault="00274080" w:rsidP="00274080">
      <w:pPr>
        <w:pStyle w:val="Els-body-text"/>
      </w:pPr>
      <w:r>
        <w:lastRenderedPageBreak/>
        <w:t>A systematic method for generating future market scenarios is crucial to produce a diverse range of viable configurations. The transition of an industrial sector is propelled by both exogenous drivers, such as increasingly stringent environmental regulations, and endogenous forces, including decreasing technology and energy costs. In this study, we employed a kinetic evolution model to simulate renewable penetration</w:t>
      </w:r>
      <w:r w:rsidR="002F6114">
        <w:t>,</w:t>
      </w:r>
      <w:r>
        <w:t xml:space="preserve"> future energy costs</w:t>
      </w:r>
      <w:r w:rsidR="002F6114">
        <w:t xml:space="preserve"> and decarbonization targets</w:t>
      </w:r>
      <w:r>
        <w:t>. This kinetic model, also known as the 'S' curve, has been validated by Li et al.</w:t>
      </w:r>
      <w:r w:rsidR="00C365C5">
        <w:t xml:space="preserve"> (2023)</w:t>
      </w:r>
      <w:r>
        <w:t xml:space="preserve"> in the field of energy system modeling. As depicted in Eq. (1), with the initial and final states </w:t>
      </w:r>
      <w:r w:rsidR="00B21F8D">
        <w:t>predefined</w:t>
      </w:r>
      <w:r>
        <w:t xml:space="preserve">, the model is governed by two critical parameters: </w:t>
      </w:r>
      <w:r w:rsidRPr="00A84726">
        <w:rPr>
          <w:i/>
          <w:iCs/>
        </w:rPr>
        <w:t>c</w:t>
      </w:r>
      <w:r>
        <w:t xml:space="preserve"> and </w:t>
      </w:r>
      <w:r w:rsidRPr="00A84726">
        <w:rPr>
          <w:i/>
          <w:iCs/>
        </w:rPr>
        <w:t>k</w:t>
      </w:r>
      <w:r>
        <w:t>, representing the speed and smoothness of the transition, respectively</w:t>
      </w:r>
      <w:r w:rsidR="0060162A">
        <w:t>.</w:t>
      </w:r>
    </w:p>
    <w:p w14:paraId="30B75CD3" w14:textId="2F965CAB" w:rsidR="007626B0" w:rsidRDefault="00186D7E" w:rsidP="00186D7E">
      <w:pPr>
        <w:pStyle w:val="Els-body-text"/>
        <w:jc w:val="right"/>
      </w:pPr>
      <m:oMath>
        <m:r>
          <w:rPr>
            <w:rFonts w:ascii="Cambria Math" w:hAnsi="Cambria Math"/>
          </w:rPr>
          <m:t>S</m:t>
        </m:r>
        <m:d>
          <m:dPr>
            <m:begChr m:val="["/>
            <m:endChr m:val="]"/>
            <m:ctrlPr>
              <w:rPr>
                <w:rFonts w:ascii="Cambria Math" w:hAnsi="Cambria Math"/>
                <w:i/>
              </w:rPr>
            </m:ctrlPr>
          </m:dPr>
          <m:e>
            <m:r>
              <w:rPr>
                <w:rFonts w:ascii="Cambria Math" w:hAnsi="Cambria Math"/>
              </w:rPr>
              <m:t>k,c</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k(c-t)</m:t>
                </m:r>
              </m:sup>
            </m:sSup>
          </m:den>
        </m:f>
      </m:oMath>
      <w:r>
        <w:t xml:space="preserve">                                                       (1)</w:t>
      </w:r>
    </w:p>
    <w:p w14:paraId="576F71A1" w14:textId="366DEAC2" w:rsidR="0039565E" w:rsidRDefault="00F22D95" w:rsidP="00B102D9">
      <w:pPr>
        <w:pStyle w:val="Els-body-text"/>
      </w:pPr>
      <w:r w:rsidRPr="00F22D95">
        <w:t xml:space="preserve">By adjusting the values of </w:t>
      </w:r>
      <w:r w:rsidRPr="00344F91">
        <w:rPr>
          <w:i/>
          <w:iCs/>
        </w:rPr>
        <w:t>k</w:t>
      </w:r>
      <w:r w:rsidRPr="00F22D95">
        <w:t xml:space="preserve"> and </w:t>
      </w:r>
      <w:r w:rsidRPr="00344F91">
        <w:rPr>
          <w:i/>
          <w:iCs/>
        </w:rPr>
        <w:t>c</w:t>
      </w:r>
      <w:r w:rsidR="0038740A">
        <w:rPr>
          <w:i/>
          <w:iCs/>
        </w:rPr>
        <w:t xml:space="preserve"> </w:t>
      </w:r>
      <w:r w:rsidR="0038740A" w:rsidRPr="007626B0">
        <w:t>(</w:t>
      </w:r>
      <w:r w:rsidR="0038740A">
        <w:t xml:space="preserve">typically </w:t>
      </w:r>
      <w:r w:rsidR="0038740A" w:rsidRPr="007626B0">
        <w:rPr>
          <w:i/>
          <w:iCs/>
        </w:rPr>
        <w:t>k</w:t>
      </w:r>
      <w:r w:rsidR="0038740A">
        <w:t xml:space="preserve"> ranges from 0.1 to 1 and </w:t>
      </w:r>
      <w:r w:rsidR="0038740A" w:rsidRPr="007626B0">
        <w:rPr>
          <w:i/>
          <w:iCs/>
        </w:rPr>
        <w:t>c</w:t>
      </w:r>
      <w:r w:rsidR="0038740A">
        <w:t xml:space="preserve"> ranges from 10 to 30 </w:t>
      </w:r>
      <w:r w:rsidR="0001138D">
        <w:t>dependent</w:t>
      </w:r>
      <w:r w:rsidR="0038740A">
        <w:t xml:space="preserve"> on the initial and final status)</w:t>
      </w:r>
      <w:r w:rsidRPr="00F22D95">
        <w:t>, a broad spectrum of market conditions and decarbonization targets can be generated. In this stage, the primary focus is not on achieving precise market condition predictions. Instead, we make reasonable assumptions and apply a wide range of possible market conditions to generate a database consisting of a set of viable configurations from which decision-makers can choose. An illustrative example of future market conditions is presented in Figure 2</w:t>
      </w:r>
      <w:r w:rsidR="002D29DC">
        <w:t>.</w:t>
      </w:r>
    </w:p>
    <w:p w14:paraId="69477F37" w14:textId="4B865A3E" w:rsidR="0039565E" w:rsidRDefault="00030C16" w:rsidP="0039565E">
      <w:pPr>
        <w:pStyle w:val="Els-body-text"/>
        <w:jc w:val="center"/>
      </w:pPr>
      <w:r w:rsidRPr="00030C16">
        <w:rPr>
          <w:noProof/>
        </w:rPr>
        <w:drawing>
          <wp:inline distT="0" distB="0" distL="0" distR="0" wp14:anchorId="7C40E50C" wp14:editId="6C5C09E5">
            <wp:extent cx="4327556" cy="1151206"/>
            <wp:effectExtent l="0" t="0" r="3175" b="5080"/>
            <wp:docPr id="1294469498" name="Picture 1" descr="A graph of 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9498" name="Picture 1" descr="A graph of a number of numbers and a line&#10;&#10;Description automatically generated with medium confidence"/>
                    <pic:cNvPicPr/>
                  </pic:nvPicPr>
                  <pic:blipFill>
                    <a:blip r:embed="rId9"/>
                    <a:stretch>
                      <a:fillRect/>
                    </a:stretch>
                  </pic:blipFill>
                  <pic:spPr>
                    <a:xfrm>
                      <a:off x="0" y="0"/>
                      <a:ext cx="4341754" cy="1154983"/>
                    </a:xfrm>
                    <a:prstGeom prst="rect">
                      <a:avLst/>
                    </a:prstGeom>
                  </pic:spPr>
                </pic:pic>
              </a:graphicData>
            </a:graphic>
          </wp:inline>
        </w:drawing>
      </w:r>
    </w:p>
    <w:p w14:paraId="220FC6AD" w14:textId="52BF3BC2" w:rsidR="000D4BE0" w:rsidRPr="006C2424" w:rsidRDefault="00194504" w:rsidP="007626B0">
      <w:pPr>
        <w:pStyle w:val="Els-body-text"/>
        <w:jc w:val="center"/>
        <w:rPr>
          <w:sz w:val="18"/>
          <w:szCs w:val="18"/>
        </w:rPr>
      </w:pPr>
      <w:r w:rsidRPr="006C2424">
        <w:rPr>
          <w:sz w:val="18"/>
          <w:szCs w:val="18"/>
        </w:rPr>
        <w:t>Figure 2. (a) Electricity cost</w:t>
      </w:r>
      <w:r w:rsidR="00BA03CA" w:rsidRPr="006C2424">
        <w:rPr>
          <w:sz w:val="18"/>
          <w:szCs w:val="18"/>
        </w:rPr>
        <w:t xml:space="preserve"> calculated based on renewable penetration evolution</w:t>
      </w:r>
      <w:r w:rsidRPr="006C2424">
        <w:rPr>
          <w:sz w:val="18"/>
          <w:szCs w:val="18"/>
        </w:rPr>
        <w:t xml:space="preserve"> under assumptions of final renewable penetration of 90% in 2060 with various </w:t>
      </w:r>
      <w:r w:rsidRPr="006C2424">
        <w:rPr>
          <w:i/>
          <w:iCs/>
          <w:sz w:val="18"/>
          <w:szCs w:val="18"/>
        </w:rPr>
        <w:t>k</w:t>
      </w:r>
      <w:r w:rsidRPr="006C2424">
        <w:rPr>
          <w:sz w:val="18"/>
          <w:szCs w:val="18"/>
        </w:rPr>
        <w:t xml:space="preserve"> and </w:t>
      </w:r>
      <w:r w:rsidRPr="006C2424">
        <w:rPr>
          <w:i/>
          <w:iCs/>
          <w:sz w:val="18"/>
          <w:szCs w:val="18"/>
        </w:rPr>
        <w:t>c</w:t>
      </w:r>
      <w:r w:rsidRPr="006C2424">
        <w:rPr>
          <w:sz w:val="18"/>
          <w:szCs w:val="18"/>
        </w:rPr>
        <w:t xml:space="preserve"> values</w:t>
      </w:r>
      <w:r w:rsidR="00BA03CA" w:rsidRPr="006C2424">
        <w:rPr>
          <w:sz w:val="18"/>
          <w:szCs w:val="18"/>
        </w:rPr>
        <w:t xml:space="preserve"> and electricity technology costs from IEA</w:t>
      </w:r>
      <w:r w:rsidRPr="006C2424">
        <w:rPr>
          <w:sz w:val="18"/>
          <w:szCs w:val="18"/>
        </w:rPr>
        <w:t>; (b) Future costs of AEC, PEM, and SOEC electrolysis technologies; (c) Decarbonization targets at different time periods.</w:t>
      </w:r>
    </w:p>
    <w:p w14:paraId="0E986B97" w14:textId="77777777" w:rsidR="00C4319C" w:rsidRDefault="00C4319C" w:rsidP="006C2424">
      <w:pPr>
        <w:pStyle w:val="Els-body-text"/>
        <w:jc w:val="center"/>
      </w:pPr>
    </w:p>
    <w:p w14:paraId="1AABDE8D" w14:textId="5FD62FAA" w:rsidR="003309DE" w:rsidRDefault="00C4319C" w:rsidP="00A34513">
      <w:pPr>
        <w:pStyle w:val="Els-body-text"/>
      </w:pPr>
      <w:r>
        <w:t>An</w:t>
      </w:r>
      <w:r w:rsidR="003309DE" w:rsidRPr="003309DE">
        <w:t xml:space="preserve"> investment planning model was </w:t>
      </w:r>
      <w:r w:rsidR="008771D9">
        <w:t xml:space="preserve">integrated </w:t>
      </w:r>
      <w:r w:rsidR="006154E4">
        <w:t>into</w:t>
      </w:r>
      <w:r w:rsidR="008771D9">
        <w:t xml:space="preserve"> the multi-period MILP process integration formula </w:t>
      </w:r>
      <w:r w:rsidR="003309DE" w:rsidRPr="003309DE">
        <w:t xml:space="preserve">to </w:t>
      </w:r>
      <w:r w:rsidR="006154E4">
        <w:t xml:space="preserve">generate </w:t>
      </w:r>
      <w:r w:rsidR="00D05E86">
        <w:t>diverse</w:t>
      </w:r>
      <w:r w:rsidR="006154E4">
        <w:t xml:space="preserve"> </w:t>
      </w:r>
      <w:r w:rsidR="00D05E86">
        <w:t>transition pathways</w:t>
      </w:r>
      <w:r w:rsidR="003309DE" w:rsidRPr="003309DE">
        <w:t xml:space="preserve">. For a specific configuration consisting of a set of units with sizes represented as </w:t>
      </w:r>
      <w:proofErr w:type="spellStart"/>
      <w:r w:rsidR="003309DE" w:rsidRPr="003309DE">
        <w:rPr>
          <w:i/>
          <w:iCs/>
        </w:rPr>
        <w:t>f</w:t>
      </w:r>
      <w:r w:rsidR="003309DE" w:rsidRPr="003309DE">
        <w:rPr>
          <w:i/>
          <w:iCs/>
          <w:vertAlign w:val="subscript"/>
        </w:rPr>
        <w:t>u,t</w:t>
      </w:r>
      <w:proofErr w:type="spellEnd"/>
      <w:r w:rsidR="003309DE" w:rsidRPr="003309DE">
        <w:t xml:space="preserve"> at the </w:t>
      </w:r>
      <w:proofErr w:type="spellStart"/>
      <w:r w:rsidR="003309DE" w:rsidRPr="003309DE">
        <w:rPr>
          <w:i/>
          <w:iCs/>
        </w:rPr>
        <w:t>i</w:t>
      </w:r>
      <w:r w:rsidR="003309DE">
        <w:t>-</w:t>
      </w:r>
      <w:r w:rsidR="003309DE" w:rsidRPr="003309DE">
        <w:t>th</w:t>
      </w:r>
      <w:proofErr w:type="spellEnd"/>
      <w:r w:rsidR="003309DE" w:rsidRPr="003309DE">
        <w:t xml:space="preserve"> year, the net present values of its investment costs encompass both the cost of acquiring new units</w:t>
      </w:r>
      <w:r w:rsidR="00F4015F">
        <w:t xml:space="preserve"> (</w:t>
      </w:r>
      <w:proofErr w:type="spellStart"/>
      <w:r w:rsidR="00F4015F" w:rsidRPr="007626B0">
        <w:rPr>
          <w:i/>
          <w:iCs/>
        </w:rPr>
        <w:t>Cinv</w:t>
      </w:r>
      <w:r w:rsidR="00F4015F" w:rsidRPr="007626B0">
        <w:rPr>
          <w:i/>
          <w:iCs/>
          <w:vertAlign w:val="superscript"/>
        </w:rPr>
        <w:t>buy</w:t>
      </w:r>
      <w:proofErr w:type="spellEnd"/>
      <w:r w:rsidR="00F4015F">
        <w:t xml:space="preserve">) </w:t>
      </w:r>
      <w:r w:rsidR="003309DE" w:rsidRPr="003309DE">
        <w:t xml:space="preserve">and the expenses associated with </w:t>
      </w:r>
      <w:r w:rsidR="00F4015F">
        <w:t>dismantling</w:t>
      </w:r>
      <w:r w:rsidR="00F51C79" w:rsidRPr="003309DE">
        <w:t xml:space="preserve"> </w:t>
      </w:r>
      <w:r w:rsidR="003309DE" w:rsidRPr="003309DE">
        <w:t xml:space="preserve">these units </w:t>
      </w:r>
      <w:r w:rsidR="00F4015F">
        <w:t>(</w:t>
      </w:r>
      <w:proofErr w:type="spellStart"/>
      <w:r w:rsidR="00F4015F" w:rsidRPr="0003782E">
        <w:rPr>
          <w:i/>
          <w:iCs/>
        </w:rPr>
        <w:t>Cin</w:t>
      </w:r>
      <w:r w:rsidR="00F4015F">
        <w:rPr>
          <w:i/>
          <w:iCs/>
        </w:rPr>
        <w:t>v</w:t>
      </w:r>
      <w:r w:rsidR="00F4015F">
        <w:rPr>
          <w:i/>
          <w:iCs/>
          <w:vertAlign w:val="superscript"/>
        </w:rPr>
        <w:t>renew</w:t>
      </w:r>
      <w:proofErr w:type="spellEnd"/>
      <w:r w:rsidR="00F4015F">
        <w:t xml:space="preserve">) </w:t>
      </w:r>
      <w:r w:rsidR="003309DE" w:rsidRPr="003309DE">
        <w:t>when they reach the end of their lifespan</w:t>
      </w:r>
      <w:r w:rsidR="00EF442A">
        <w:t xml:space="preserve"> for each unit </w:t>
      </w:r>
      <w:r w:rsidR="00EF442A" w:rsidRPr="007626B0">
        <w:rPr>
          <w:i/>
          <w:iCs/>
        </w:rPr>
        <w:t>u</w:t>
      </w:r>
      <w:r w:rsidR="00EF442A">
        <w:t xml:space="preserve"> in </w:t>
      </w:r>
      <w:r w:rsidR="00EF442A" w:rsidRPr="007626B0">
        <w:rPr>
          <w:i/>
          <w:iCs/>
        </w:rPr>
        <w:t>U</w:t>
      </w:r>
      <w:r w:rsidR="00EF442A">
        <w:t xml:space="preserve"> and each time period </w:t>
      </w:r>
      <w:r w:rsidR="00EF442A" w:rsidRPr="007626B0">
        <w:rPr>
          <w:i/>
          <w:iCs/>
        </w:rPr>
        <w:t>t</w:t>
      </w:r>
      <w:r w:rsidR="00EF442A">
        <w:t xml:space="preserve"> in </w:t>
      </w:r>
      <w:r w:rsidR="00EF442A" w:rsidRPr="007626B0">
        <w:rPr>
          <w:i/>
          <w:iCs/>
        </w:rPr>
        <w:t>T</w:t>
      </w:r>
      <w:r w:rsidR="003309DE">
        <w:t xml:space="preserve"> </w:t>
      </w:r>
      <w:r w:rsidR="00E65C4F">
        <w:t xml:space="preserve">, </w:t>
      </w:r>
      <w:r w:rsidR="006154E4">
        <w:t>where</w:t>
      </w:r>
      <w:r w:rsidR="00F4015F">
        <w:t xml:space="preserve"> </w:t>
      </w:r>
      <w:r w:rsidR="00F4015F" w:rsidRPr="007626B0">
        <w:rPr>
          <w:i/>
          <w:iCs/>
        </w:rPr>
        <w:t>i</w:t>
      </w:r>
      <w:r w:rsidR="00F4015F">
        <w:t xml:space="preserve"> is the interest rate considered for the investment</w:t>
      </w:r>
      <w:r w:rsidR="00E65C4F">
        <w:t xml:space="preserve"> (Eq. (4))</w:t>
      </w:r>
      <w:r w:rsidR="00F4015F">
        <w:t>.</w:t>
      </w:r>
    </w:p>
    <w:p w14:paraId="62630C8A" w14:textId="36EF6732" w:rsidR="007626B0" w:rsidRPr="001D3284" w:rsidRDefault="00216217" w:rsidP="001D3284">
      <w:pPr>
        <w:pStyle w:val="Els-body-text"/>
        <w:jc w:val="right"/>
      </w:pPr>
      <m:oMath>
        <m:r>
          <w:rPr>
            <w:rFonts w:ascii="Cambria Math" w:hAnsi="Cambria Math"/>
          </w:rPr>
          <m:t>Cinv=</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subSup"/>
                <m:ctrlPr>
                  <w:rPr>
                    <w:rFonts w:ascii="Cambria Math" w:hAnsi="Cambria Math"/>
                    <w:i/>
                  </w:rPr>
                </m:ctrlPr>
              </m:naryPr>
              <m:sub>
                <m:r>
                  <w:rPr>
                    <w:rFonts w:ascii="Cambria Math" w:hAnsi="Cambria Math"/>
                  </w:rPr>
                  <m:t>u=1</m:t>
                </m:r>
              </m:sub>
              <m:sup>
                <m:r>
                  <w:rPr>
                    <w:rFonts w:ascii="Cambria Math" w:hAnsi="Cambria Math"/>
                  </w:rPr>
                  <m:t>U</m:t>
                </m:r>
              </m:sup>
              <m:e>
                <m:d>
                  <m:dPr>
                    <m:ctrlPr>
                      <w:rPr>
                        <w:rFonts w:ascii="Cambria Math" w:hAnsi="Cambria Math"/>
                        <w:i/>
                      </w:rPr>
                    </m:ctrlPr>
                  </m:dPr>
                  <m:e>
                    <m:sSubSup>
                      <m:sSubSupPr>
                        <m:ctrlPr>
                          <w:rPr>
                            <w:rFonts w:ascii="Cambria Math" w:hAnsi="Cambria Math"/>
                            <w:i/>
                          </w:rPr>
                        </m:ctrlPr>
                      </m:sSubSupPr>
                      <m:e>
                        <m:r>
                          <w:rPr>
                            <w:rFonts w:ascii="Cambria Math" w:hAnsi="Cambria Math"/>
                          </w:rPr>
                          <m:t>Cinv</m:t>
                        </m:r>
                      </m:e>
                      <m:sub>
                        <m:r>
                          <w:rPr>
                            <w:rFonts w:ascii="Cambria Math" w:hAnsi="Cambria Math"/>
                          </w:rPr>
                          <m:t>u,t</m:t>
                        </m:r>
                      </m:sub>
                      <m:sup>
                        <m:r>
                          <w:rPr>
                            <w:rFonts w:ascii="Cambria Math" w:hAnsi="Cambria Math"/>
                          </w:rPr>
                          <m:t>buy</m:t>
                        </m:r>
                      </m:sup>
                    </m:sSubSup>
                    <m:r>
                      <w:rPr>
                        <w:rFonts w:ascii="Cambria Math" w:hAnsi="Cambria Math"/>
                      </w:rPr>
                      <m:t>+</m:t>
                    </m:r>
                    <m:sSubSup>
                      <m:sSubSupPr>
                        <m:ctrlPr>
                          <w:rPr>
                            <w:rFonts w:ascii="Cambria Math" w:hAnsi="Cambria Math"/>
                            <w:i/>
                          </w:rPr>
                        </m:ctrlPr>
                      </m:sSubSupPr>
                      <m:e>
                        <m:r>
                          <w:rPr>
                            <w:rFonts w:ascii="Cambria Math" w:hAnsi="Cambria Math"/>
                          </w:rPr>
                          <m:t>Cinv</m:t>
                        </m:r>
                      </m:e>
                      <m:sub>
                        <m:r>
                          <w:rPr>
                            <w:rFonts w:ascii="Cambria Math" w:hAnsi="Cambria Math"/>
                          </w:rPr>
                          <m:t>u,t</m:t>
                        </m:r>
                      </m:sub>
                      <m:sup>
                        <m:r>
                          <w:rPr>
                            <w:rFonts w:ascii="Cambria Math" w:hAnsi="Cambria Math"/>
                          </w:rPr>
                          <m:t>renew</m:t>
                        </m:r>
                      </m:sup>
                    </m:sSub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(1+i)</m:t>
                        </m:r>
                      </m:e>
                      <m:sup>
                        <m:r>
                          <w:rPr>
                            <w:rFonts w:ascii="Cambria Math" w:hAnsi="Cambria Math"/>
                          </w:rPr>
                          <m:t>t</m:t>
                        </m:r>
                      </m:sup>
                    </m:sSup>
                  </m:den>
                </m:f>
              </m:e>
            </m:nary>
          </m:e>
        </m:nary>
      </m:oMath>
      <w:r w:rsidR="001D3284">
        <w:t xml:space="preserve">         </w:t>
      </w:r>
      <w:r w:rsidR="005E78AC">
        <w:t xml:space="preserve">   </w:t>
      </w:r>
      <w:r w:rsidR="001D3284">
        <w:t xml:space="preserve">                 (</w:t>
      </w:r>
      <w:r w:rsidR="00423F02">
        <w:t>2</w:t>
      </w:r>
      <w:r w:rsidR="001D3284">
        <w:t>)</w:t>
      </w:r>
    </w:p>
    <w:p w14:paraId="5DF42DFD" w14:textId="1956CC39" w:rsidR="00D05E86" w:rsidRDefault="00D05E86" w:rsidP="00A34513">
      <w:pPr>
        <w:pStyle w:val="Els-body-text"/>
        <w:rPr>
          <w:lang w:eastAsia="zh-CN"/>
        </w:rPr>
      </w:pPr>
      <w:r w:rsidRPr="00D05E86">
        <w:rPr>
          <w:lang w:eastAsia="zh-CN"/>
        </w:rPr>
        <w:t>Precisely, the investment cost for the initial period is less than 25% of the total investment over the entire project's lifespan.</w:t>
      </w:r>
    </w:p>
    <w:p w14:paraId="2893243F" w14:textId="0BFCF798" w:rsidR="00F4015F" w:rsidRPr="001D3284" w:rsidRDefault="00000000" w:rsidP="00F4015F">
      <w:pPr>
        <w:pStyle w:val="Els-body-text"/>
        <w:jc w:val="right"/>
      </w:pPr>
      <m:oMath>
        <m:nary>
          <m:naryPr>
            <m:chr m:val="∑"/>
            <m:limLoc m:val="subSup"/>
            <m:ctrlPr>
              <w:rPr>
                <w:rFonts w:ascii="Cambria Math" w:hAnsi="Cambria Math"/>
                <w:i/>
              </w:rPr>
            </m:ctrlPr>
          </m:naryPr>
          <m:sub>
            <m:r>
              <w:rPr>
                <w:rFonts w:ascii="Cambria Math" w:hAnsi="Cambria Math"/>
              </w:rPr>
              <m:t>u=1</m:t>
            </m:r>
          </m:sub>
          <m:sup>
            <m:r>
              <w:rPr>
                <w:rFonts w:ascii="Cambria Math" w:hAnsi="Cambria Math"/>
              </w:rPr>
              <m:t>U</m:t>
            </m:r>
          </m:sup>
          <m:e>
            <m:d>
              <m:dPr>
                <m:ctrlPr>
                  <w:rPr>
                    <w:rFonts w:ascii="Cambria Math" w:hAnsi="Cambria Math"/>
                    <w:i/>
                  </w:rPr>
                </m:ctrlPr>
              </m:dPr>
              <m:e>
                <m:sSubSup>
                  <m:sSubSupPr>
                    <m:ctrlPr>
                      <w:rPr>
                        <w:rFonts w:ascii="Cambria Math" w:hAnsi="Cambria Math"/>
                        <w:i/>
                      </w:rPr>
                    </m:ctrlPr>
                  </m:sSubSupPr>
                  <m:e>
                    <m:r>
                      <w:rPr>
                        <w:rFonts w:ascii="Cambria Math" w:hAnsi="Cambria Math"/>
                      </w:rPr>
                      <m:t>Cinv</m:t>
                    </m:r>
                  </m:e>
                  <m:sub>
                    <m:r>
                      <w:rPr>
                        <w:rFonts w:ascii="Cambria Math" w:hAnsi="Cambria Math"/>
                      </w:rPr>
                      <m:t>u,1</m:t>
                    </m:r>
                  </m:sub>
                  <m:sup>
                    <m:r>
                      <w:rPr>
                        <w:rFonts w:ascii="Cambria Math" w:hAnsi="Cambria Math"/>
                      </w:rPr>
                      <m:t>buy</m:t>
                    </m:r>
                  </m:sup>
                </m:sSubSup>
                <m:r>
                  <w:rPr>
                    <w:rFonts w:ascii="Cambria Math" w:hAnsi="Cambria Math"/>
                  </w:rPr>
                  <m:t>+</m:t>
                </m:r>
                <m:sSubSup>
                  <m:sSubSupPr>
                    <m:ctrlPr>
                      <w:rPr>
                        <w:rFonts w:ascii="Cambria Math" w:hAnsi="Cambria Math"/>
                        <w:i/>
                      </w:rPr>
                    </m:ctrlPr>
                  </m:sSubSupPr>
                  <m:e>
                    <m:r>
                      <w:rPr>
                        <w:rFonts w:ascii="Cambria Math" w:hAnsi="Cambria Math"/>
                      </w:rPr>
                      <m:t>Cinv</m:t>
                    </m:r>
                  </m:e>
                  <m:sub>
                    <m:r>
                      <w:rPr>
                        <w:rFonts w:ascii="Cambria Math" w:hAnsi="Cambria Math"/>
                      </w:rPr>
                      <m:t>u,1</m:t>
                    </m:r>
                  </m:sub>
                  <m:sup>
                    <m:r>
                      <w:rPr>
                        <w:rFonts w:ascii="Cambria Math" w:hAnsi="Cambria Math"/>
                      </w:rPr>
                      <m:t>renew</m:t>
                    </m:r>
                  </m:sup>
                </m:sSub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(1+i)</m:t>
                </m:r>
              </m:den>
            </m:f>
          </m:e>
        </m:nary>
        <m:r>
          <w:rPr>
            <w:rFonts w:ascii="Cambria Math" w:hAnsi="Cambria Math"/>
          </w:rPr>
          <m:t>≤0.25∙Cinv</m:t>
        </m:r>
      </m:oMath>
      <w:r w:rsidR="00F4015F">
        <w:t xml:space="preserve">                             (</w:t>
      </w:r>
      <w:r w:rsidR="00F442C9">
        <w:t>3</w:t>
      </w:r>
      <w:r w:rsidR="00F4015F">
        <w:t>)</w:t>
      </w:r>
    </w:p>
    <w:p w14:paraId="1EE41A27" w14:textId="31E55F21" w:rsidR="001D3284" w:rsidRDefault="00D229CB" w:rsidP="00A34513">
      <w:pPr>
        <w:pStyle w:val="Els-body-text"/>
        <w:rPr>
          <w:lang w:eastAsia="zh-CN"/>
        </w:rPr>
      </w:pPr>
      <w:r>
        <w:t>Similarly, the</w:t>
      </w:r>
      <w:r w:rsidR="001D3284">
        <w:t xml:space="preserve"> </w:t>
      </w:r>
      <w:r w:rsidR="00F07C26">
        <w:t xml:space="preserve">net present value of its </w:t>
      </w:r>
      <w:r w:rsidR="001D3284">
        <w:t>operating cost</w:t>
      </w:r>
      <w:r w:rsidR="007D0B1E">
        <w:t xml:space="preserve"> (</w:t>
      </w:r>
      <w:r w:rsidR="007D0B1E" w:rsidRPr="007626B0">
        <w:rPr>
          <w:i/>
          <w:iCs/>
        </w:rPr>
        <w:t>Cop</w:t>
      </w:r>
      <w:r w:rsidR="007D0B1E">
        <w:t>)</w:t>
      </w:r>
      <w:r w:rsidR="001D3284">
        <w:t xml:space="preserve"> </w:t>
      </w:r>
      <w:r>
        <w:t xml:space="preserve">is </w:t>
      </w:r>
      <w:r w:rsidR="00C63422">
        <w:t>calculated</w:t>
      </w:r>
      <w:r>
        <w:t xml:space="preserve"> in Eq. (</w:t>
      </w:r>
      <w:r w:rsidR="00CA4019">
        <w:t>4</w:t>
      </w:r>
      <w:r>
        <w:t>)</w:t>
      </w:r>
      <w:r w:rsidR="00EF442A">
        <w:t xml:space="preserve">, where </w:t>
      </w:r>
      <w:r w:rsidR="00EF442A" w:rsidRPr="007626B0">
        <w:rPr>
          <w:i/>
          <w:iCs/>
        </w:rPr>
        <w:t>t</w:t>
      </w:r>
      <w:r w:rsidR="00EF442A" w:rsidRPr="007626B0">
        <w:rPr>
          <w:i/>
          <w:iCs/>
          <w:vertAlign w:val="subscript"/>
        </w:rPr>
        <w:t>op</w:t>
      </w:r>
      <w:r w:rsidR="00EF442A">
        <w:t xml:space="preserve"> is the operating time for each </w:t>
      </w:r>
      <w:proofErr w:type="gramStart"/>
      <w:r w:rsidR="00EF442A">
        <w:t>time period</w:t>
      </w:r>
      <w:proofErr w:type="gramEnd"/>
      <w:r w:rsidR="00EF442A">
        <w:t xml:space="preserve"> </w:t>
      </w:r>
      <w:r w:rsidR="007D0B1E" w:rsidRPr="007626B0">
        <w:rPr>
          <w:i/>
          <w:iCs/>
        </w:rPr>
        <w:t>t</w:t>
      </w:r>
      <w:r>
        <w:t>.</w:t>
      </w:r>
    </w:p>
    <w:p w14:paraId="2702A32E" w14:textId="477F4636" w:rsidR="001D3284" w:rsidRDefault="00216217" w:rsidP="006C2424">
      <w:pPr>
        <w:pStyle w:val="Els-body-text"/>
        <w:jc w:val="right"/>
      </w:pPr>
      <m:oMath>
        <m:r>
          <w:rPr>
            <w:rFonts w:ascii="Cambria Math" w:hAnsi="Cambria Math"/>
          </w:rPr>
          <m:t>Cop=</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subSup"/>
                <m:ctrlPr>
                  <w:rPr>
                    <w:rFonts w:ascii="Cambria Math" w:hAnsi="Cambria Math"/>
                    <w:i/>
                  </w:rPr>
                </m:ctrlPr>
              </m:naryPr>
              <m:sub>
                <m:r>
                  <w:rPr>
                    <w:rFonts w:ascii="Cambria Math" w:hAnsi="Cambria Math"/>
                  </w:rPr>
                  <m:t>u=1</m:t>
                </m:r>
              </m:sub>
              <m:sup>
                <m:r>
                  <w:rPr>
                    <w:rFonts w:ascii="Cambria Math" w:hAnsi="Cambria Math"/>
                  </w:rPr>
                  <m:t>U</m:t>
                </m:r>
              </m:sup>
              <m:e>
                <m:r>
                  <w:rPr>
                    <w:rFonts w:ascii="Cambria Math" w:hAnsi="Cambria Math"/>
                  </w:rPr>
                  <m:t>(</m:t>
                </m:r>
                <m:sSub>
                  <m:sSubPr>
                    <m:ctrlPr>
                      <w:rPr>
                        <w:rFonts w:ascii="Cambria Math" w:hAnsi="Cambria Math"/>
                        <w:i/>
                      </w:rPr>
                    </m:ctrlPr>
                  </m:sSubPr>
                  <m:e>
                    <m:r>
                      <w:rPr>
                        <w:rFonts w:ascii="Cambria Math" w:hAnsi="Cambria Math"/>
                      </w:rPr>
                      <m:t>Cop</m:t>
                    </m:r>
                  </m:e>
                  <m:sub>
                    <m:r>
                      <w:rPr>
                        <w:rFonts w:ascii="Cambria Math" w:hAnsi="Cambria Math"/>
                      </w:rPr>
                      <m:t>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op</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r>
                  <w:rPr>
                    <w:rFonts w:ascii="Cambria Math" w:hAnsi="Cambria Math"/>
                  </w:rPr>
                  <m:t>)</m:t>
                </m:r>
              </m:e>
            </m:nary>
          </m:e>
        </m:nary>
      </m:oMath>
      <w:r>
        <w:t xml:space="preserve"> </w:t>
      </w:r>
      <w:r w:rsidR="001D3284">
        <w:t xml:space="preserve">         </w:t>
      </w:r>
      <w:r w:rsidR="005E78AC">
        <w:t xml:space="preserve"> </w:t>
      </w:r>
      <w:r w:rsidR="001D3284">
        <w:t xml:space="preserve">   </w:t>
      </w:r>
      <w:r w:rsidR="005E78AC">
        <w:t xml:space="preserve">           </w:t>
      </w:r>
      <w:r w:rsidR="001D3284">
        <w:t xml:space="preserve">             (</w:t>
      </w:r>
      <w:r w:rsidR="00F442C9">
        <w:t>4</w:t>
      </w:r>
      <w:r w:rsidR="001D3284">
        <w:t>)</w:t>
      </w:r>
    </w:p>
    <w:p w14:paraId="0A3BF698" w14:textId="78B55B8F" w:rsidR="001D3284" w:rsidRDefault="00C63422" w:rsidP="00A34513">
      <w:pPr>
        <w:pStyle w:val="Els-body-text"/>
      </w:pPr>
      <w:r w:rsidRPr="00C63422">
        <w:t>The total system emissions</w:t>
      </w:r>
      <w:r w:rsidR="001432CA">
        <w:t xml:space="preserve"> (</w:t>
      </w:r>
      <w:r w:rsidR="001432CA" w:rsidRPr="007626B0">
        <w:rPr>
          <w:i/>
          <w:iCs/>
        </w:rPr>
        <w:t>Imp</w:t>
      </w:r>
      <w:r w:rsidR="001432CA">
        <w:t>)</w:t>
      </w:r>
      <w:r w:rsidRPr="00C63422">
        <w:t xml:space="preserve"> are quantified by Eq. (</w:t>
      </w:r>
      <w:r w:rsidR="00CA4019">
        <w:t>5</w:t>
      </w:r>
      <w:r w:rsidRPr="00C63422">
        <w:t>), which calculates the integral of emissions over the entire lifespan</w:t>
      </w:r>
      <w:r w:rsidR="00D229CB">
        <w:t>.</w:t>
      </w:r>
    </w:p>
    <w:p w14:paraId="33B2FE23" w14:textId="3251D3FD" w:rsidR="001D3284" w:rsidRDefault="005E78AC" w:rsidP="001D3284">
      <w:pPr>
        <w:pStyle w:val="Els-body-text"/>
        <w:jc w:val="right"/>
      </w:pPr>
      <m:oMath>
        <m:r>
          <w:rPr>
            <w:rFonts w:ascii="Cambria Math" w:hAnsi="Cambria Math"/>
          </w:rPr>
          <m:t>Imp=</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subSup"/>
                <m:ctrlPr>
                  <w:rPr>
                    <w:rFonts w:ascii="Cambria Math" w:hAnsi="Cambria Math"/>
                    <w:i/>
                  </w:rPr>
                </m:ctrlPr>
              </m:naryPr>
              <m:sub>
                <m:r>
                  <w:rPr>
                    <w:rFonts w:ascii="Cambria Math" w:hAnsi="Cambria Math"/>
                  </w:rPr>
                  <m:t>u=1</m:t>
                </m:r>
              </m:sub>
              <m:sup>
                <m:r>
                  <w:rPr>
                    <w:rFonts w:ascii="Cambria Math" w:hAnsi="Cambria Math"/>
                  </w:rPr>
                  <m:t>U</m:t>
                </m:r>
              </m:sup>
              <m:e>
                <m:r>
                  <w:rPr>
                    <w:rFonts w:ascii="Cambria Math" w:hAnsi="Cambria Math"/>
                  </w:rPr>
                  <m:t>(</m:t>
                </m:r>
                <m:sSub>
                  <m:sSubPr>
                    <m:ctrlPr>
                      <w:rPr>
                        <w:rFonts w:ascii="Cambria Math" w:hAnsi="Cambria Math"/>
                        <w:i/>
                      </w:rPr>
                    </m:ctrlPr>
                  </m:sSubPr>
                  <m:e>
                    <m:r>
                      <w:rPr>
                        <w:rFonts w:ascii="Cambria Math" w:hAnsi="Cambria Math"/>
                      </w:rPr>
                      <m:t>Imp</m:t>
                    </m:r>
                  </m:e>
                  <m:sub>
                    <m:r>
                      <w:rPr>
                        <w:rFonts w:ascii="Cambria Math" w:hAnsi="Cambria Math"/>
                      </w:rPr>
                      <m:t>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op</m:t>
                    </m:r>
                  </m:sub>
                </m:sSub>
                <m:r>
                  <w:rPr>
                    <w:rFonts w:ascii="Cambria Math" w:hAnsi="Cambria Math"/>
                  </w:rPr>
                  <m:t>)</m:t>
                </m:r>
              </m:e>
            </m:nary>
          </m:e>
        </m:nary>
      </m:oMath>
      <w:r>
        <w:t xml:space="preserve">                                          </w:t>
      </w:r>
      <w:r w:rsidR="001D3284">
        <w:t>(</w:t>
      </w:r>
      <w:r w:rsidR="00DA76F4">
        <w:t>5</w:t>
      </w:r>
      <w:r w:rsidR="001D3284">
        <w:t>)</w:t>
      </w:r>
    </w:p>
    <w:p w14:paraId="44023516" w14:textId="2A91886D" w:rsidR="00B25B12" w:rsidRDefault="00A260E9" w:rsidP="006D347F">
      <w:pPr>
        <w:pStyle w:val="Els-body-text"/>
      </w:pPr>
      <w:r w:rsidRPr="00A260E9">
        <w:lastRenderedPageBreak/>
        <w:t>Different solutions are subsequently ranked based on predefined decision metrics</w:t>
      </w:r>
      <w:r w:rsidR="001467E0">
        <w:t>,</w:t>
      </w:r>
      <w:r w:rsidR="00623184">
        <w:t xml:space="preserve"> </w:t>
      </w:r>
      <w:r w:rsidRPr="00A260E9">
        <w:t xml:space="preserve">assigning distinct weight factors to the </w:t>
      </w:r>
      <w:r>
        <w:t xml:space="preserve">KPIs </w:t>
      </w:r>
      <w:r w:rsidRPr="00A260E9">
        <w:t>as outlined in Eq. (</w:t>
      </w:r>
      <w:r w:rsidR="00CA4019">
        <w:t>6</w:t>
      </w:r>
      <w:r w:rsidRPr="00A260E9">
        <w:t>).</w:t>
      </w:r>
      <w:r w:rsidR="00623184">
        <w:t xml:space="preserve"> Weight factors are defined with realistic requirements. </w:t>
      </w:r>
      <w:r w:rsidR="00623184" w:rsidRPr="00A260E9">
        <w:t xml:space="preserve">In this work, we assign the values </w:t>
      </w:r>
      <w:r w:rsidR="00623184" w:rsidRPr="00A260E9">
        <w:rPr>
          <w:i/>
          <w:iCs/>
        </w:rPr>
        <w:t>w</w:t>
      </w:r>
      <w:r w:rsidR="00623184" w:rsidRPr="00A260E9">
        <w:rPr>
          <w:i/>
          <w:iCs/>
          <w:vertAlign w:val="subscript"/>
        </w:rPr>
        <w:t>1</w:t>
      </w:r>
      <w:r w:rsidR="00623184" w:rsidRPr="00A260E9">
        <w:t xml:space="preserve"> and </w:t>
      </w:r>
      <w:r w:rsidR="00623184" w:rsidRPr="00A260E9">
        <w:rPr>
          <w:i/>
          <w:iCs/>
        </w:rPr>
        <w:t>w</w:t>
      </w:r>
      <w:r w:rsidR="00623184" w:rsidRPr="00A260E9">
        <w:rPr>
          <w:i/>
          <w:iCs/>
          <w:vertAlign w:val="subscript"/>
        </w:rPr>
        <w:t>2</w:t>
      </w:r>
      <w:r w:rsidR="00623184" w:rsidRPr="00A260E9">
        <w:t xml:space="preserve"> as 1, and designate </w:t>
      </w:r>
      <w:r w:rsidR="00623184" w:rsidRPr="00A260E9">
        <w:rPr>
          <w:i/>
          <w:iCs/>
        </w:rPr>
        <w:t>w</w:t>
      </w:r>
      <w:r w:rsidR="00623184" w:rsidRPr="00A260E9">
        <w:rPr>
          <w:i/>
          <w:iCs/>
          <w:vertAlign w:val="subscript"/>
        </w:rPr>
        <w:t>3</w:t>
      </w:r>
      <w:r w:rsidR="00623184" w:rsidRPr="00A260E9">
        <w:t xml:space="preserve"> as the carbon tax factor. This way, different configurations are ranked based on the</w:t>
      </w:r>
      <w:r w:rsidR="00623184">
        <w:t>ir</w:t>
      </w:r>
      <w:r w:rsidR="00623184" w:rsidRPr="00A260E9">
        <w:t xml:space="preserve"> net present value, which accounts for the costs associated with the implementation of carbon tax</w:t>
      </w:r>
      <w:r w:rsidR="00623184">
        <w:t>.</w:t>
      </w:r>
    </w:p>
    <w:p w14:paraId="2968637A" w14:textId="1EB35E93" w:rsidR="00C04AA3" w:rsidRDefault="00C04AA3" w:rsidP="006C2424">
      <w:pPr>
        <w:pStyle w:val="Els-body-text"/>
        <w:jc w:val="right"/>
      </w:pPr>
      <m:oMath>
        <m:r>
          <w:rPr>
            <w:rFonts w:ascii="Cambria Math" w:hAnsi="Cambria Math"/>
          </w:rPr>
          <m:t>Metrics=</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∙Cinv+</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∙Cop+</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∙Imp</m:t>
        </m:r>
      </m:oMath>
      <w:r w:rsidR="00EB3A0E">
        <w:t xml:space="preserve">                               (</w:t>
      </w:r>
      <w:r w:rsidR="00DA76F4">
        <w:t>6</w:t>
      </w:r>
      <w:r w:rsidR="00EB3A0E">
        <w:t>)</w:t>
      </w:r>
    </w:p>
    <w:p w14:paraId="3F009586" w14:textId="26D48EC3" w:rsidR="00623184" w:rsidRDefault="001467E0" w:rsidP="006D347F">
      <w:pPr>
        <w:pStyle w:val="Els-body-text"/>
      </w:pPr>
      <w:r w:rsidRPr="001467E0">
        <w:t xml:space="preserve">To mitigate the impact of uncertainties, we </w:t>
      </w:r>
      <w:r w:rsidR="00D059AC">
        <w:t xml:space="preserve">can </w:t>
      </w:r>
      <w:proofErr w:type="gramStart"/>
      <w:r w:rsidR="00D059AC">
        <w:t>t</w:t>
      </w:r>
      <w:r w:rsidRPr="001467E0">
        <w:t>ake into account</w:t>
      </w:r>
      <w:proofErr w:type="gramEnd"/>
      <w:r w:rsidRPr="001467E0">
        <w:t xml:space="preserve"> a range of potential market conditions during the ranking process and select the configuration that exhibits the best overall performance across all these conceivable market conditions</w:t>
      </w:r>
      <w:r w:rsidR="008C45F5">
        <w:t>.</w:t>
      </w:r>
    </w:p>
    <w:p w14:paraId="144DE6A1" w14:textId="4903318D" w:rsidR="008D2649" w:rsidRDefault="001D7F08" w:rsidP="008D2649">
      <w:pPr>
        <w:pStyle w:val="Els-1storder-head"/>
        <w:spacing w:after="120"/>
        <w:rPr>
          <w:lang w:val="en-GB"/>
        </w:rPr>
      </w:pPr>
      <w:r>
        <w:rPr>
          <w:lang w:val="en-GB"/>
        </w:rPr>
        <w:t>Case study</w:t>
      </w:r>
      <w:r w:rsidR="00815DE6">
        <w:rPr>
          <w:lang w:val="en-GB"/>
        </w:rPr>
        <w:t xml:space="preserve"> and results</w:t>
      </w:r>
    </w:p>
    <w:p w14:paraId="3C4E9833" w14:textId="4AD064D0" w:rsidR="007626B0" w:rsidRDefault="004E5B9B" w:rsidP="001D1588">
      <w:pPr>
        <w:pStyle w:val="Els-body-text"/>
        <w:rPr>
          <w:lang w:val="en-GB"/>
        </w:rPr>
      </w:pPr>
      <w:r w:rsidRPr="004E5B9B">
        <w:rPr>
          <w:lang w:val="en-GB"/>
        </w:rPr>
        <w:t>The methodology was validated with the Blueprint refinery model</w:t>
      </w:r>
      <w:r w:rsidR="007D23C6">
        <w:rPr>
          <w:lang w:eastAsia="zh-CN"/>
        </w:rPr>
        <w:t xml:space="preserve"> (</w:t>
      </w:r>
      <w:proofErr w:type="spellStart"/>
      <w:r w:rsidR="007D23C6">
        <w:rPr>
          <w:lang w:eastAsia="zh-CN"/>
        </w:rPr>
        <w:t>Cervo</w:t>
      </w:r>
      <w:proofErr w:type="spellEnd"/>
      <w:r w:rsidR="007D23C6">
        <w:rPr>
          <w:lang w:eastAsia="zh-CN"/>
        </w:rPr>
        <w:t xml:space="preserve"> et al. 2020)</w:t>
      </w:r>
      <w:r w:rsidRPr="004E5B9B">
        <w:rPr>
          <w:lang w:val="en-GB"/>
        </w:rPr>
        <w:t xml:space="preserve">, representing the average European refining profile using crude oil as the primary feedstock (Figure </w:t>
      </w:r>
      <w:r w:rsidR="001D1588">
        <w:rPr>
          <w:lang w:val="en-GB"/>
        </w:rPr>
        <w:t>3</w:t>
      </w:r>
      <w:r w:rsidRPr="004E5B9B">
        <w:rPr>
          <w:lang w:val="en-GB"/>
        </w:rPr>
        <w:t xml:space="preserve">). The use of public resources and </w:t>
      </w:r>
      <w:r w:rsidR="0090346C">
        <w:rPr>
          <w:lang w:val="en-GB"/>
        </w:rPr>
        <w:t>databases</w:t>
      </w:r>
      <w:r w:rsidRPr="004E5B9B">
        <w:rPr>
          <w:lang w:val="en-GB"/>
        </w:rPr>
        <w:t xml:space="preserve"> may limit specificity for individual industrial stakeholders. However, the framework is designed to enable stakeholders to customize inputs for relevance to their specific </w:t>
      </w:r>
      <w:r w:rsidR="007B3FEE">
        <w:rPr>
          <w:lang w:val="en-GB"/>
        </w:rPr>
        <w:t>requirements</w:t>
      </w:r>
      <w:r w:rsidRPr="004E5B9B">
        <w:rPr>
          <w:lang w:val="en-GB"/>
        </w:rPr>
        <w:t>.</w:t>
      </w:r>
      <w:r w:rsidR="007B3FEE">
        <w:rPr>
          <w:lang w:val="en-GB"/>
        </w:rPr>
        <w:t xml:space="preserve"> I</w:t>
      </w:r>
      <w:r w:rsidR="00803616">
        <w:rPr>
          <w:lang w:val="en-GB"/>
        </w:rPr>
        <w:t>n</w:t>
      </w:r>
      <w:r w:rsidR="003A3B79" w:rsidRPr="003A3B79">
        <w:rPr>
          <w:lang w:val="en-GB"/>
        </w:rPr>
        <w:t xml:space="preserve"> this context, various options were </w:t>
      </w:r>
      <w:r w:rsidR="00383813" w:rsidRPr="003A3B79">
        <w:rPr>
          <w:lang w:val="en-GB"/>
        </w:rPr>
        <w:t>explor</w:t>
      </w:r>
      <w:r w:rsidR="00383813">
        <w:rPr>
          <w:lang w:val="en-GB"/>
        </w:rPr>
        <w:t>ed</w:t>
      </w:r>
      <w:r w:rsidR="003A3B79" w:rsidRPr="003A3B79">
        <w:rPr>
          <w:lang w:val="en-GB"/>
        </w:rPr>
        <w:t xml:space="preserve"> for </w:t>
      </w:r>
      <w:r w:rsidR="00EF1790">
        <w:rPr>
          <w:lang w:val="en-GB"/>
        </w:rPr>
        <w:t>decarbonizing the current refining assets</w:t>
      </w:r>
      <w:r w:rsidR="003A3B79" w:rsidRPr="003A3B79">
        <w:rPr>
          <w:lang w:val="en-GB"/>
        </w:rPr>
        <w:t xml:space="preserve">, such as </w:t>
      </w:r>
      <w:r w:rsidR="0045339C">
        <w:rPr>
          <w:lang w:val="en-GB"/>
        </w:rPr>
        <w:t>energy efficiency approache</w:t>
      </w:r>
      <w:r w:rsidR="00383813">
        <w:rPr>
          <w:lang w:val="en-GB"/>
        </w:rPr>
        <w:t>s</w:t>
      </w:r>
      <w:r w:rsidR="0045339C">
        <w:rPr>
          <w:lang w:val="en-GB"/>
        </w:rPr>
        <w:t xml:space="preserve">, clean hydrogen production, renewable energy feedstock, and carbon capture. </w:t>
      </w:r>
      <w:r w:rsidR="00803616" w:rsidRPr="00803616">
        <w:rPr>
          <w:lang w:val="en-GB"/>
        </w:rPr>
        <w:t>Each decarbonization option is characterized by its mass balance, heat cascade, investment cost, and carbon footprint. Investment cost data is available in Li et al.</w:t>
      </w:r>
      <w:r w:rsidR="0091641D">
        <w:rPr>
          <w:lang w:val="en-GB"/>
        </w:rPr>
        <w:t xml:space="preserve"> (2023)</w:t>
      </w:r>
      <w:r w:rsidR="00803616" w:rsidRPr="00803616">
        <w:rPr>
          <w:lang w:val="en-GB"/>
        </w:rPr>
        <w:t xml:space="preserve">, while carbon footprints are sourced from the </w:t>
      </w:r>
      <w:proofErr w:type="spellStart"/>
      <w:r w:rsidR="00803616" w:rsidRPr="00803616">
        <w:rPr>
          <w:lang w:val="en-GB"/>
        </w:rPr>
        <w:t>Ecoinvent</w:t>
      </w:r>
      <w:proofErr w:type="spellEnd"/>
      <w:r w:rsidR="00803616" w:rsidRPr="00803616">
        <w:rPr>
          <w:lang w:val="en-GB"/>
        </w:rPr>
        <w:t xml:space="preserve"> database. Table 1 provides a summary of the techno-economic assumptions for these decarbonization options</w:t>
      </w:r>
      <w:r w:rsidR="00803616">
        <w:rPr>
          <w:lang w:val="en-GB"/>
        </w:rPr>
        <w:t>.</w:t>
      </w:r>
    </w:p>
    <w:p w14:paraId="3C6508AD" w14:textId="2A3131C2" w:rsidR="001D1588" w:rsidRPr="006C2424" w:rsidRDefault="001D1588" w:rsidP="001D1588">
      <w:pPr>
        <w:pStyle w:val="Els-body-text"/>
        <w:rPr>
          <w:sz w:val="18"/>
          <w:szCs w:val="18"/>
          <w:lang w:val="en-GB"/>
        </w:rPr>
      </w:pPr>
      <w:r w:rsidRPr="006C2424">
        <w:rPr>
          <w:sz w:val="18"/>
          <w:szCs w:val="18"/>
          <w:lang w:val="en-GB"/>
        </w:rPr>
        <w:t>Table 1. Techno-economic assumptions of the decarbonization technologies considered in the oil refinery adapted from Li et al. (2023</w:t>
      </w:r>
      <w:r w:rsidR="00315ABD" w:rsidRPr="006C2424">
        <w:rPr>
          <w:sz w:val="18"/>
          <w:szCs w:val="18"/>
          <w:lang w:val="en-GB"/>
        </w:rPr>
        <w:t>)</w:t>
      </w:r>
    </w:p>
    <w:tbl>
      <w:tblPr>
        <w:tblStyle w:val="TableGrid"/>
        <w:tblW w:w="702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5180"/>
      </w:tblGrid>
      <w:tr w:rsidR="001D1588" w14:paraId="6441F679" w14:textId="77777777" w:rsidTr="0003782E">
        <w:trPr>
          <w:trHeight w:val="176"/>
        </w:trPr>
        <w:tc>
          <w:tcPr>
            <w:tcW w:w="1843" w:type="dxa"/>
            <w:tcBorders>
              <w:top w:val="single" w:sz="12" w:space="0" w:color="auto"/>
              <w:bottom w:val="single" w:sz="6" w:space="0" w:color="000000"/>
            </w:tcBorders>
          </w:tcPr>
          <w:p w14:paraId="0B0ABB6E" w14:textId="77777777" w:rsidR="001D1588" w:rsidRPr="005E2929" w:rsidRDefault="001D1588" w:rsidP="0003782E">
            <w:pPr>
              <w:pStyle w:val="Els-body-text"/>
              <w:rPr>
                <w:sz w:val="16"/>
                <w:szCs w:val="16"/>
                <w:lang w:val="en-GB"/>
              </w:rPr>
            </w:pPr>
            <w:r w:rsidRPr="005E2929">
              <w:rPr>
                <w:sz w:val="16"/>
                <w:szCs w:val="16"/>
                <w:lang w:val="en-GB"/>
              </w:rPr>
              <w:t>Decarbonization option</w:t>
            </w:r>
          </w:p>
        </w:tc>
        <w:tc>
          <w:tcPr>
            <w:tcW w:w="5180" w:type="dxa"/>
            <w:tcBorders>
              <w:top w:val="single" w:sz="12" w:space="0" w:color="auto"/>
              <w:bottom w:val="single" w:sz="6" w:space="0" w:color="000000"/>
            </w:tcBorders>
          </w:tcPr>
          <w:p w14:paraId="35C511A0" w14:textId="77777777" w:rsidR="001D1588" w:rsidRPr="005E2929" w:rsidRDefault="001D1588" w:rsidP="0003782E">
            <w:pPr>
              <w:pStyle w:val="Els-body-text"/>
              <w:jc w:val="left"/>
              <w:rPr>
                <w:sz w:val="16"/>
                <w:szCs w:val="16"/>
                <w:lang w:val="en-GB"/>
              </w:rPr>
            </w:pPr>
            <w:r>
              <w:rPr>
                <w:sz w:val="16"/>
                <w:szCs w:val="16"/>
                <w:lang w:val="en-GB"/>
              </w:rPr>
              <w:t>Assumptions</w:t>
            </w:r>
          </w:p>
        </w:tc>
      </w:tr>
      <w:tr w:rsidR="001D1588" w14:paraId="6E115C09" w14:textId="77777777" w:rsidTr="0003782E">
        <w:trPr>
          <w:trHeight w:val="187"/>
        </w:trPr>
        <w:tc>
          <w:tcPr>
            <w:tcW w:w="1843" w:type="dxa"/>
            <w:tcBorders>
              <w:top w:val="single" w:sz="6" w:space="0" w:color="000000"/>
            </w:tcBorders>
          </w:tcPr>
          <w:p w14:paraId="51996782" w14:textId="77777777" w:rsidR="001D1588" w:rsidRPr="005E2929" w:rsidRDefault="001D1588" w:rsidP="0003782E">
            <w:pPr>
              <w:pStyle w:val="Els-body-text"/>
              <w:rPr>
                <w:sz w:val="16"/>
                <w:szCs w:val="16"/>
                <w:lang w:val="en-GB"/>
              </w:rPr>
            </w:pPr>
            <w:r w:rsidRPr="005E2929">
              <w:rPr>
                <w:sz w:val="16"/>
                <w:szCs w:val="16"/>
                <w:lang w:val="en-GB"/>
              </w:rPr>
              <w:t>Gas turbine</w:t>
            </w:r>
          </w:p>
        </w:tc>
        <w:tc>
          <w:tcPr>
            <w:tcW w:w="5180" w:type="dxa"/>
            <w:tcBorders>
              <w:top w:val="single" w:sz="6" w:space="0" w:color="000000"/>
            </w:tcBorders>
          </w:tcPr>
          <w:p w14:paraId="0524C11E" w14:textId="37B84998" w:rsidR="001D1588" w:rsidRPr="005E2929" w:rsidRDefault="001D1588" w:rsidP="0003782E">
            <w:pPr>
              <w:pStyle w:val="Els-body-text"/>
              <w:jc w:val="left"/>
              <w:rPr>
                <w:sz w:val="16"/>
                <w:szCs w:val="16"/>
                <w:lang w:val="en-GB"/>
              </w:rPr>
            </w:pPr>
            <w:r>
              <w:rPr>
                <w:sz w:val="16"/>
                <w:szCs w:val="16"/>
                <w:lang w:val="en-GB"/>
              </w:rPr>
              <w:t>Heat efficiency: 55%; Electric</w:t>
            </w:r>
            <w:r w:rsidR="007D353B">
              <w:rPr>
                <w:sz w:val="16"/>
                <w:szCs w:val="16"/>
                <w:lang w:val="en-GB"/>
              </w:rPr>
              <w:t>al</w:t>
            </w:r>
            <w:r>
              <w:rPr>
                <w:sz w:val="16"/>
                <w:szCs w:val="16"/>
                <w:lang w:val="en-GB"/>
              </w:rPr>
              <w:t xml:space="preserve"> efficiency: 30%; Investment: 2500 </w:t>
            </w:r>
            <w:r w:rsidRPr="00D81DEF">
              <w:rPr>
                <w:sz w:val="16"/>
                <w:szCs w:val="16"/>
                <w:lang w:val="en-GB"/>
              </w:rPr>
              <w:t>€</w:t>
            </w:r>
            <w:r>
              <w:rPr>
                <w:sz w:val="16"/>
                <w:szCs w:val="16"/>
                <w:lang w:val="en-GB"/>
              </w:rPr>
              <w:t>/</w:t>
            </w:r>
            <w:proofErr w:type="spellStart"/>
            <w:r>
              <w:rPr>
                <w:sz w:val="16"/>
                <w:szCs w:val="16"/>
                <w:lang w:val="en-GB"/>
              </w:rPr>
              <w:t>kW</w:t>
            </w:r>
            <w:r w:rsidRPr="00836CEE">
              <w:rPr>
                <w:sz w:val="16"/>
                <w:szCs w:val="16"/>
                <w:vertAlign w:val="subscript"/>
                <w:lang w:val="en-GB"/>
              </w:rPr>
              <w:t>eq</w:t>
            </w:r>
            <w:proofErr w:type="spellEnd"/>
          </w:p>
        </w:tc>
      </w:tr>
      <w:tr w:rsidR="007B3FEE" w14:paraId="39711996" w14:textId="77777777" w:rsidTr="0003782E">
        <w:trPr>
          <w:trHeight w:val="187"/>
        </w:trPr>
        <w:tc>
          <w:tcPr>
            <w:tcW w:w="1843" w:type="dxa"/>
          </w:tcPr>
          <w:p w14:paraId="30164BD2" w14:textId="4496849F" w:rsidR="007B3FEE" w:rsidRPr="005E2929" w:rsidRDefault="007B3FEE" w:rsidP="007B3FEE">
            <w:pPr>
              <w:pStyle w:val="Els-body-text"/>
              <w:rPr>
                <w:sz w:val="16"/>
                <w:szCs w:val="16"/>
                <w:lang w:val="en-GB"/>
              </w:rPr>
            </w:pPr>
            <w:r>
              <w:rPr>
                <w:sz w:val="16"/>
                <w:szCs w:val="16"/>
                <w:lang w:val="en-GB"/>
              </w:rPr>
              <w:t>Biogas boiler</w:t>
            </w:r>
          </w:p>
        </w:tc>
        <w:tc>
          <w:tcPr>
            <w:tcW w:w="5180" w:type="dxa"/>
          </w:tcPr>
          <w:p w14:paraId="62678BF5" w14:textId="7800400B" w:rsidR="007B3FEE" w:rsidRDefault="007B3FEE" w:rsidP="007B3FEE">
            <w:pPr>
              <w:pStyle w:val="Els-body-text"/>
              <w:jc w:val="left"/>
              <w:rPr>
                <w:sz w:val="16"/>
                <w:szCs w:val="16"/>
                <w:lang w:val="en-GB"/>
              </w:rPr>
            </w:pPr>
            <w:r>
              <w:rPr>
                <w:sz w:val="16"/>
                <w:szCs w:val="16"/>
                <w:lang w:val="en-GB"/>
              </w:rPr>
              <w:t>Investment cost: not considered; Biogas price: 5 times of natural gas price</w:t>
            </w:r>
          </w:p>
        </w:tc>
      </w:tr>
      <w:tr w:rsidR="007B3FEE" w14:paraId="1DE30CB4" w14:textId="77777777" w:rsidTr="0003782E">
        <w:trPr>
          <w:trHeight w:val="187"/>
        </w:trPr>
        <w:tc>
          <w:tcPr>
            <w:tcW w:w="1843" w:type="dxa"/>
          </w:tcPr>
          <w:p w14:paraId="52566FF5" w14:textId="131180A7" w:rsidR="007B3FEE" w:rsidRPr="005E2929" w:rsidRDefault="007B3FEE" w:rsidP="007B3FEE">
            <w:pPr>
              <w:pStyle w:val="Els-body-text"/>
              <w:rPr>
                <w:sz w:val="16"/>
                <w:szCs w:val="16"/>
                <w:lang w:val="en-GB"/>
              </w:rPr>
            </w:pPr>
            <w:r>
              <w:rPr>
                <w:sz w:val="16"/>
                <w:szCs w:val="16"/>
                <w:lang w:val="en-GB"/>
              </w:rPr>
              <w:t>Hydrogen recycling</w:t>
            </w:r>
          </w:p>
        </w:tc>
        <w:tc>
          <w:tcPr>
            <w:tcW w:w="5180" w:type="dxa"/>
          </w:tcPr>
          <w:p w14:paraId="5911E09F" w14:textId="233A15C9" w:rsidR="007B3FEE" w:rsidRDefault="007B3FEE" w:rsidP="007B3FEE">
            <w:pPr>
              <w:pStyle w:val="Els-body-text"/>
              <w:jc w:val="left"/>
              <w:rPr>
                <w:sz w:val="16"/>
                <w:szCs w:val="16"/>
                <w:lang w:val="en-GB"/>
              </w:rPr>
            </w:pPr>
            <w:r>
              <w:rPr>
                <w:sz w:val="16"/>
                <w:szCs w:val="16"/>
                <w:lang w:val="en-GB"/>
              </w:rPr>
              <w:t>Investment cost: calculated based on compressor and hydrogen purifiers</w:t>
            </w:r>
          </w:p>
        </w:tc>
      </w:tr>
      <w:tr w:rsidR="007B3FEE" w14:paraId="1C0A9A9E" w14:textId="77777777" w:rsidTr="0003782E">
        <w:trPr>
          <w:trHeight w:val="187"/>
        </w:trPr>
        <w:tc>
          <w:tcPr>
            <w:tcW w:w="1843" w:type="dxa"/>
          </w:tcPr>
          <w:p w14:paraId="2B04B1B1" w14:textId="77777777" w:rsidR="007B3FEE" w:rsidRPr="005E2929" w:rsidRDefault="007B3FEE" w:rsidP="007B3FEE">
            <w:pPr>
              <w:pStyle w:val="Els-body-text"/>
              <w:rPr>
                <w:sz w:val="16"/>
                <w:szCs w:val="16"/>
                <w:lang w:val="en-GB"/>
              </w:rPr>
            </w:pPr>
            <w:r w:rsidRPr="005E2929">
              <w:rPr>
                <w:sz w:val="16"/>
                <w:szCs w:val="16"/>
                <w:lang w:val="en-GB"/>
              </w:rPr>
              <w:t>Heat pump</w:t>
            </w:r>
          </w:p>
        </w:tc>
        <w:tc>
          <w:tcPr>
            <w:tcW w:w="5180" w:type="dxa"/>
          </w:tcPr>
          <w:p w14:paraId="6E21A6D8" w14:textId="77777777" w:rsidR="007B3FEE" w:rsidRPr="005E2929" w:rsidRDefault="007B3FEE" w:rsidP="007B3FEE">
            <w:pPr>
              <w:pStyle w:val="Els-body-text"/>
              <w:jc w:val="left"/>
              <w:rPr>
                <w:sz w:val="16"/>
                <w:szCs w:val="16"/>
                <w:lang w:val="en-GB"/>
              </w:rPr>
            </w:pPr>
            <w:r>
              <w:rPr>
                <w:sz w:val="16"/>
                <w:szCs w:val="16"/>
                <w:lang w:val="en-GB"/>
              </w:rPr>
              <w:t xml:space="preserve">Carnot efficiency: 55%; Investment: 500 </w:t>
            </w:r>
            <w:r w:rsidRPr="00D81DEF">
              <w:rPr>
                <w:sz w:val="16"/>
                <w:szCs w:val="16"/>
                <w:lang w:val="en-GB"/>
              </w:rPr>
              <w:t>€</w:t>
            </w:r>
            <w:r>
              <w:rPr>
                <w:sz w:val="16"/>
                <w:szCs w:val="16"/>
                <w:lang w:val="en-GB"/>
              </w:rPr>
              <w:t>/</w:t>
            </w:r>
            <w:proofErr w:type="spellStart"/>
            <w:r>
              <w:rPr>
                <w:sz w:val="16"/>
                <w:szCs w:val="16"/>
                <w:lang w:val="en-GB"/>
              </w:rPr>
              <w:t>MW</w:t>
            </w:r>
            <w:r w:rsidRPr="00836CEE">
              <w:rPr>
                <w:sz w:val="16"/>
                <w:szCs w:val="16"/>
                <w:vertAlign w:val="subscript"/>
                <w:lang w:val="en-GB"/>
              </w:rPr>
              <w:t>eq</w:t>
            </w:r>
            <w:proofErr w:type="spellEnd"/>
            <w:r>
              <w:rPr>
                <w:sz w:val="16"/>
                <w:szCs w:val="16"/>
                <w:lang w:val="en-GB"/>
              </w:rPr>
              <w:t xml:space="preserve"> of heat available.</w:t>
            </w:r>
          </w:p>
        </w:tc>
      </w:tr>
      <w:tr w:rsidR="007B3FEE" w14:paraId="5CC24DDF" w14:textId="77777777" w:rsidTr="0003782E">
        <w:trPr>
          <w:trHeight w:val="187"/>
        </w:trPr>
        <w:tc>
          <w:tcPr>
            <w:tcW w:w="1843" w:type="dxa"/>
          </w:tcPr>
          <w:p w14:paraId="5DDA5379" w14:textId="77777777" w:rsidR="007B3FEE" w:rsidRPr="005E2929" w:rsidRDefault="007B3FEE" w:rsidP="007B3FEE">
            <w:pPr>
              <w:pStyle w:val="Els-body-text"/>
              <w:rPr>
                <w:sz w:val="16"/>
                <w:szCs w:val="16"/>
                <w:lang w:val="en-GB"/>
              </w:rPr>
            </w:pPr>
            <w:r w:rsidRPr="005E2929">
              <w:rPr>
                <w:sz w:val="16"/>
                <w:szCs w:val="16"/>
                <w:lang w:val="en-GB"/>
              </w:rPr>
              <w:t>Electric heater</w:t>
            </w:r>
          </w:p>
        </w:tc>
        <w:tc>
          <w:tcPr>
            <w:tcW w:w="5180" w:type="dxa"/>
          </w:tcPr>
          <w:p w14:paraId="1BC12C04" w14:textId="77777777" w:rsidR="007B3FEE" w:rsidRPr="005E2929" w:rsidRDefault="007B3FEE" w:rsidP="007B3FEE">
            <w:pPr>
              <w:pStyle w:val="Els-body-text"/>
              <w:jc w:val="left"/>
              <w:rPr>
                <w:sz w:val="16"/>
                <w:szCs w:val="16"/>
                <w:lang w:val="en-GB"/>
              </w:rPr>
            </w:pPr>
            <w:r>
              <w:rPr>
                <w:sz w:val="16"/>
                <w:szCs w:val="16"/>
                <w:lang w:val="en-GB"/>
              </w:rPr>
              <w:t xml:space="preserve">Investment: 300 </w:t>
            </w:r>
            <w:r w:rsidRPr="00D81DEF">
              <w:rPr>
                <w:sz w:val="16"/>
                <w:szCs w:val="16"/>
                <w:lang w:val="en-GB"/>
              </w:rPr>
              <w:t>€</w:t>
            </w:r>
            <w:r>
              <w:rPr>
                <w:sz w:val="16"/>
                <w:szCs w:val="16"/>
                <w:lang w:val="en-GB"/>
              </w:rPr>
              <w:t>/</w:t>
            </w:r>
            <w:proofErr w:type="spellStart"/>
            <w:r>
              <w:rPr>
                <w:sz w:val="16"/>
                <w:szCs w:val="16"/>
                <w:lang w:val="en-GB"/>
              </w:rPr>
              <w:t>kW</w:t>
            </w:r>
            <w:r w:rsidRPr="00836CEE">
              <w:rPr>
                <w:sz w:val="16"/>
                <w:szCs w:val="16"/>
                <w:vertAlign w:val="subscript"/>
                <w:lang w:val="en-GB"/>
              </w:rPr>
              <w:t>eq</w:t>
            </w:r>
            <w:proofErr w:type="spellEnd"/>
          </w:p>
        </w:tc>
      </w:tr>
      <w:tr w:rsidR="007B3FEE" w14:paraId="0CC945A2" w14:textId="77777777" w:rsidTr="0003782E">
        <w:trPr>
          <w:trHeight w:val="176"/>
        </w:trPr>
        <w:tc>
          <w:tcPr>
            <w:tcW w:w="1843" w:type="dxa"/>
          </w:tcPr>
          <w:p w14:paraId="25325B99" w14:textId="77777777" w:rsidR="007B3FEE" w:rsidRPr="005E2929" w:rsidRDefault="007B3FEE" w:rsidP="007B3FEE">
            <w:pPr>
              <w:pStyle w:val="Els-body-text"/>
              <w:rPr>
                <w:sz w:val="16"/>
                <w:szCs w:val="16"/>
                <w:lang w:val="en-GB"/>
              </w:rPr>
            </w:pPr>
            <w:r w:rsidRPr="005E2929">
              <w:rPr>
                <w:sz w:val="16"/>
                <w:szCs w:val="16"/>
                <w:lang w:val="en-GB"/>
              </w:rPr>
              <w:t>AEC</w:t>
            </w:r>
          </w:p>
        </w:tc>
        <w:tc>
          <w:tcPr>
            <w:tcW w:w="5180" w:type="dxa"/>
          </w:tcPr>
          <w:p w14:paraId="17F0D287" w14:textId="77777777" w:rsidR="007B3FEE" w:rsidRPr="005E2929" w:rsidRDefault="007B3FEE" w:rsidP="007B3FEE">
            <w:pPr>
              <w:pStyle w:val="Els-body-text"/>
              <w:jc w:val="left"/>
              <w:rPr>
                <w:sz w:val="16"/>
                <w:szCs w:val="16"/>
                <w:lang w:val="en-GB"/>
              </w:rPr>
            </w:pPr>
            <w:r>
              <w:rPr>
                <w:sz w:val="16"/>
                <w:szCs w:val="16"/>
                <w:lang w:val="en-GB"/>
              </w:rPr>
              <w:t>System efficiency: 60%; Operating at 80</w:t>
            </w:r>
            <w:r>
              <w:t xml:space="preserve"> </w:t>
            </w:r>
            <w:r w:rsidRPr="00E830AF">
              <w:rPr>
                <w:sz w:val="16"/>
                <w:szCs w:val="16"/>
                <w:lang w:val="en-GB"/>
              </w:rPr>
              <w:t>°C</w:t>
            </w:r>
            <w:r>
              <w:rPr>
                <w:sz w:val="16"/>
                <w:szCs w:val="16"/>
                <w:lang w:val="en-GB"/>
              </w:rPr>
              <w:t xml:space="preserve">; Investment: 1000~500 </w:t>
            </w:r>
            <w:r w:rsidRPr="00D81DEF">
              <w:rPr>
                <w:sz w:val="16"/>
                <w:szCs w:val="16"/>
                <w:lang w:val="en-GB"/>
              </w:rPr>
              <w:t>€</w:t>
            </w:r>
            <w:r>
              <w:rPr>
                <w:sz w:val="16"/>
                <w:szCs w:val="16"/>
                <w:lang w:val="en-GB"/>
              </w:rPr>
              <w:t>/</w:t>
            </w:r>
            <w:proofErr w:type="spellStart"/>
            <w:r>
              <w:rPr>
                <w:sz w:val="16"/>
                <w:szCs w:val="16"/>
                <w:lang w:val="en-GB"/>
              </w:rPr>
              <w:t>kW</w:t>
            </w:r>
            <w:r w:rsidRPr="00836CEE">
              <w:rPr>
                <w:sz w:val="16"/>
                <w:szCs w:val="16"/>
                <w:vertAlign w:val="subscript"/>
                <w:lang w:val="en-GB"/>
              </w:rPr>
              <w:t>eq</w:t>
            </w:r>
            <w:proofErr w:type="spellEnd"/>
          </w:p>
        </w:tc>
      </w:tr>
      <w:tr w:rsidR="007B3FEE" w14:paraId="5D0D11AE" w14:textId="77777777" w:rsidTr="0003782E">
        <w:trPr>
          <w:trHeight w:val="187"/>
        </w:trPr>
        <w:tc>
          <w:tcPr>
            <w:tcW w:w="1843" w:type="dxa"/>
          </w:tcPr>
          <w:p w14:paraId="2081215C" w14:textId="77777777" w:rsidR="007B3FEE" w:rsidRPr="005E2929" w:rsidRDefault="007B3FEE" w:rsidP="007B3FEE">
            <w:pPr>
              <w:pStyle w:val="Els-body-text"/>
              <w:rPr>
                <w:sz w:val="16"/>
                <w:szCs w:val="16"/>
                <w:lang w:val="en-GB"/>
              </w:rPr>
            </w:pPr>
            <w:r w:rsidRPr="005E2929">
              <w:rPr>
                <w:sz w:val="16"/>
                <w:szCs w:val="16"/>
                <w:lang w:val="en-GB"/>
              </w:rPr>
              <w:t>PEM</w:t>
            </w:r>
          </w:p>
        </w:tc>
        <w:tc>
          <w:tcPr>
            <w:tcW w:w="5180" w:type="dxa"/>
          </w:tcPr>
          <w:p w14:paraId="14E9812B" w14:textId="77777777" w:rsidR="007B3FEE" w:rsidRPr="005E2929" w:rsidRDefault="007B3FEE" w:rsidP="007B3FEE">
            <w:pPr>
              <w:pStyle w:val="Els-body-text"/>
              <w:jc w:val="left"/>
              <w:rPr>
                <w:sz w:val="16"/>
                <w:szCs w:val="16"/>
                <w:lang w:val="en-GB"/>
              </w:rPr>
            </w:pPr>
            <w:r>
              <w:rPr>
                <w:sz w:val="16"/>
                <w:szCs w:val="16"/>
                <w:lang w:val="en-GB"/>
              </w:rPr>
              <w:t>System efficiency: 70%; Operating at 80</w:t>
            </w:r>
            <w:r>
              <w:t xml:space="preserve"> </w:t>
            </w:r>
            <w:r w:rsidRPr="00E830AF">
              <w:rPr>
                <w:sz w:val="16"/>
                <w:szCs w:val="16"/>
                <w:lang w:val="en-GB"/>
              </w:rPr>
              <w:t>°C</w:t>
            </w:r>
            <w:r>
              <w:rPr>
                <w:sz w:val="16"/>
                <w:szCs w:val="16"/>
                <w:lang w:val="en-GB"/>
              </w:rPr>
              <w:t xml:space="preserve">; Investment: 1500~600 </w:t>
            </w:r>
            <w:r w:rsidRPr="00D81DEF">
              <w:rPr>
                <w:sz w:val="16"/>
                <w:szCs w:val="16"/>
                <w:lang w:val="en-GB"/>
              </w:rPr>
              <w:t>€</w:t>
            </w:r>
            <w:r>
              <w:rPr>
                <w:sz w:val="16"/>
                <w:szCs w:val="16"/>
                <w:lang w:val="en-GB"/>
              </w:rPr>
              <w:t>/</w:t>
            </w:r>
            <w:proofErr w:type="spellStart"/>
            <w:r>
              <w:rPr>
                <w:sz w:val="16"/>
                <w:szCs w:val="16"/>
                <w:lang w:val="en-GB"/>
              </w:rPr>
              <w:t>kW</w:t>
            </w:r>
            <w:r w:rsidRPr="00836CEE">
              <w:rPr>
                <w:sz w:val="16"/>
                <w:szCs w:val="16"/>
                <w:vertAlign w:val="subscript"/>
                <w:lang w:val="en-GB"/>
              </w:rPr>
              <w:t>eq</w:t>
            </w:r>
            <w:proofErr w:type="spellEnd"/>
          </w:p>
        </w:tc>
      </w:tr>
      <w:tr w:rsidR="007B3FEE" w14:paraId="65ADF843" w14:textId="77777777" w:rsidTr="0003782E">
        <w:trPr>
          <w:trHeight w:val="176"/>
        </w:trPr>
        <w:tc>
          <w:tcPr>
            <w:tcW w:w="1843" w:type="dxa"/>
          </w:tcPr>
          <w:p w14:paraId="596C2FDA" w14:textId="77777777" w:rsidR="007B3FEE" w:rsidRPr="005E2929" w:rsidRDefault="007B3FEE" w:rsidP="007B3FEE">
            <w:pPr>
              <w:pStyle w:val="Els-body-text"/>
              <w:rPr>
                <w:sz w:val="16"/>
                <w:szCs w:val="16"/>
                <w:lang w:val="en-GB"/>
              </w:rPr>
            </w:pPr>
            <w:r w:rsidRPr="005E2929">
              <w:rPr>
                <w:sz w:val="16"/>
                <w:szCs w:val="16"/>
                <w:lang w:val="en-GB"/>
              </w:rPr>
              <w:t>SOEC</w:t>
            </w:r>
          </w:p>
        </w:tc>
        <w:tc>
          <w:tcPr>
            <w:tcW w:w="5180" w:type="dxa"/>
          </w:tcPr>
          <w:p w14:paraId="2674B0C3" w14:textId="77777777" w:rsidR="007B3FEE" w:rsidRPr="005E2929" w:rsidRDefault="007B3FEE" w:rsidP="007B3FEE">
            <w:pPr>
              <w:pStyle w:val="Els-body-text"/>
              <w:jc w:val="left"/>
              <w:rPr>
                <w:sz w:val="16"/>
                <w:szCs w:val="16"/>
                <w:lang w:val="en-GB"/>
              </w:rPr>
            </w:pPr>
            <w:r>
              <w:rPr>
                <w:sz w:val="16"/>
                <w:szCs w:val="16"/>
                <w:lang w:val="en-GB"/>
              </w:rPr>
              <w:t>System efficiency: 85%; Operating at 800</w:t>
            </w:r>
            <w:r>
              <w:t xml:space="preserve"> </w:t>
            </w:r>
            <w:r w:rsidRPr="00E830AF">
              <w:rPr>
                <w:sz w:val="16"/>
                <w:szCs w:val="16"/>
                <w:lang w:val="en-GB"/>
              </w:rPr>
              <w:t>°C</w:t>
            </w:r>
            <w:r>
              <w:rPr>
                <w:sz w:val="16"/>
                <w:szCs w:val="16"/>
                <w:lang w:val="en-GB"/>
              </w:rPr>
              <w:t xml:space="preserve">; Investment: 2000~400 </w:t>
            </w:r>
            <w:r w:rsidRPr="00D81DEF">
              <w:rPr>
                <w:sz w:val="16"/>
                <w:szCs w:val="16"/>
                <w:lang w:val="en-GB"/>
              </w:rPr>
              <w:t>€</w:t>
            </w:r>
            <w:r>
              <w:rPr>
                <w:sz w:val="16"/>
                <w:szCs w:val="16"/>
                <w:lang w:val="en-GB"/>
              </w:rPr>
              <w:t>/</w:t>
            </w:r>
            <w:proofErr w:type="spellStart"/>
            <w:r>
              <w:rPr>
                <w:sz w:val="16"/>
                <w:szCs w:val="16"/>
                <w:lang w:val="en-GB"/>
              </w:rPr>
              <w:t>kW</w:t>
            </w:r>
            <w:r w:rsidRPr="00836CEE">
              <w:rPr>
                <w:sz w:val="16"/>
                <w:szCs w:val="16"/>
                <w:vertAlign w:val="subscript"/>
                <w:lang w:val="en-GB"/>
              </w:rPr>
              <w:t>eq</w:t>
            </w:r>
            <w:proofErr w:type="spellEnd"/>
          </w:p>
        </w:tc>
      </w:tr>
      <w:tr w:rsidR="007B3FEE" w14:paraId="57A5ACD0" w14:textId="77777777" w:rsidTr="0003782E">
        <w:trPr>
          <w:trHeight w:val="187"/>
        </w:trPr>
        <w:tc>
          <w:tcPr>
            <w:tcW w:w="1843" w:type="dxa"/>
          </w:tcPr>
          <w:p w14:paraId="5E1A10DC" w14:textId="77777777" w:rsidR="007B3FEE" w:rsidRPr="005E2929" w:rsidRDefault="007B3FEE" w:rsidP="007B3FEE">
            <w:pPr>
              <w:pStyle w:val="Els-body-text"/>
              <w:rPr>
                <w:sz w:val="16"/>
                <w:szCs w:val="16"/>
                <w:lang w:val="en-GB"/>
              </w:rPr>
            </w:pPr>
            <w:r w:rsidRPr="005E2929">
              <w:rPr>
                <w:sz w:val="16"/>
                <w:szCs w:val="16"/>
                <w:lang w:val="en-GB"/>
              </w:rPr>
              <w:t>Carbon capture</w:t>
            </w:r>
            <w:r>
              <w:rPr>
                <w:sz w:val="16"/>
                <w:szCs w:val="16"/>
                <w:lang w:val="en-GB"/>
              </w:rPr>
              <w:t xml:space="preserve"> (MEA)</w:t>
            </w:r>
          </w:p>
        </w:tc>
        <w:tc>
          <w:tcPr>
            <w:tcW w:w="5180" w:type="dxa"/>
          </w:tcPr>
          <w:p w14:paraId="29059EB1" w14:textId="77777777" w:rsidR="007B3FEE" w:rsidRPr="005E2929" w:rsidRDefault="007B3FEE" w:rsidP="007B3FEE">
            <w:pPr>
              <w:pStyle w:val="Els-body-text"/>
              <w:jc w:val="left"/>
              <w:rPr>
                <w:sz w:val="16"/>
                <w:szCs w:val="16"/>
                <w:lang w:val="en-GB"/>
              </w:rPr>
            </w:pPr>
            <w:r>
              <w:rPr>
                <w:sz w:val="16"/>
                <w:szCs w:val="16"/>
                <w:lang w:val="en-GB"/>
              </w:rPr>
              <w:t>Capture efficiency: 90%; Heat: 3.8 MJ/ton CO</w:t>
            </w:r>
            <w:r w:rsidRPr="00F64254">
              <w:rPr>
                <w:sz w:val="16"/>
                <w:szCs w:val="16"/>
                <w:vertAlign w:val="subscript"/>
                <w:lang w:val="en-GB"/>
              </w:rPr>
              <w:t>2</w:t>
            </w:r>
            <w:r>
              <w:rPr>
                <w:sz w:val="16"/>
                <w:szCs w:val="16"/>
                <w:lang w:val="en-GB"/>
              </w:rPr>
              <w:t>; Investment: 2 M</w:t>
            </w:r>
            <w:r w:rsidRPr="00D81DEF">
              <w:rPr>
                <w:sz w:val="16"/>
                <w:szCs w:val="16"/>
                <w:lang w:val="en-GB"/>
              </w:rPr>
              <w:t>€</w:t>
            </w:r>
            <w:r>
              <w:rPr>
                <w:sz w:val="16"/>
                <w:szCs w:val="16"/>
                <w:lang w:val="en-GB"/>
              </w:rPr>
              <w:t>/(t/h) CO</w:t>
            </w:r>
            <w:r w:rsidRPr="00836CEE">
              <w:rPr>
                <w:sz w:val="16"/>
                <w:szCs w:val="16"/>
                <w:vertAlign w:val="subscript"/>
                <w:lang w:val="en-GB"/>
              </w:rPr>
              <w:t>2</w:t>
            </w:r>
          </w:p>
        </w:tc>
      </w:tr>
      <w:tr w:rsidR="007B3FEE" w14:paraId="342055C5" w14:textId="77777777" w:rsidTr="0003782E">
        <w:trPr>
          <w:trHeight w:val="187"/>
        </w:trPr>
        <w:tc>
          <w:tcPr>
            <w:tcW w:w="1843" w:type="dxa"/>
          </w:tcPr>
          <w:p w14:paraId="09E39077" w14:textId="77777777" w:rsidR="007B3FEE" w:rsidRPr="005E2929" w:rsidRDefault="007B3FEE" w:rsidP="007B3FEE">
            <w:pPr>
              <w:pStyle w:val="Els-body-text"/>
              <w:rPr>
                <w:sz w:val="16"/>
                <w:szCs w:val="16"/>
                <w:lang w:val="en-GB"/>
              </w:rPr>
            </w:pPr>
            <w:r>
              <w:rPr>
                <w:sz w:val="16"/>
                <w:szCs w:val="16"/>
                <w:lang w:val="en-GB"/>
              </w:rPr>
              <w:t>Carbon capture (Oxy)</w:t>
            </w:r>
          </w:p>
        </w:tc>
        <w:tc>
          <w:tcPr>
            <w:tcW w:w="5180" w:type="dxa"/>
          </w:tcPr>
          <w:p w14:paraId="7A29E418" w14:textId="33EC1161" w:rsidR="007B3FEE" w:rsidRPr="005E2929" w:rsidRDefault="007B3FEE" w:rsidP="007B3FEE">
            <w:pPr>
              <w:pStyle w:val="Els-body-text"/>
              <w:jc w:val="left"/>
              <w:rPr>
                <w:sz w:val="16"/>
                <w:szCs w:val="16"/>
                <w:lang w:val="en-GB"/>
              </w:rPr>
            </w:pPr>
            <w:r>
              <w:rPr>
                <w:sz w:val="16"/>
                <w:szCs w:val="16"/>
                <w:lang w:val="en-GB"/>
              </w:rPr>
              <w:t>Capture efficiency: 95%;</w:t>
            </w:r>
            <w:r w:rsidR="00632A31">
              <w:rPr>
                <w:sz w:val="16"/>
                <w:szCs w:val="16"/>
                <w:lang w:val="en-GB"/>
              </w:rPr>
              <w:t xml:space="preserve"> </w:t>
            </w:r>
            <w:r w:rsidR="00632A31">
              <w:rPr>
                <w:rFonts w:hint="eastAsia"/>
                <w:sz w:val="16"/>
                <w:szCs w:val="16"/>
                <w:lang w:val="en-GB" w:eastAsia="zh-CN"/>
              </w:rPr>
              <w:t>2</w:t>
            </w:r>
            <w:r w:rsidR="00632A31">
              <w:rPr>
                <w:sz w:val="16"/>
                <w:szCs w:val="16"/>
                <w:lang w:val="en-GB" w:eastAsia="zh-CN"/>
              </w:rPr>
              <w:t xml:space="preserve">26 </w:t>
            </w:r>
            <w:r w:rsidR="00632A31">
              <w:rPr>
                <w:rFonts w:hint="eastAsia"/>
                <w:sz w:val="16"/>
                <w:szCs w:val="16"/>
                <w:lang w:val="en-GB" w:eastAsia="zh-CN"/>
              </w:rPr>
              <w:t>kW</w:t>
            </w:r>
            <w:r w:rsidR="00632A31">
              <w:rPr>
                <w:sz w:val="16"/>
                <w:szCs w:val="16"/>
                <w:lang w:eastAsia="zh-CN"/>
              </w:rPr>
              <w:t>h/ton O</w:t>
            </w:r>
            <w:r w:rsidR="00632A31" w:rsidRPr="006C2424">
              <w:rPr>
                <w:sz w:val="16"/>
                <w:szCs w:val="16"/>
                <w:vertAlign w:val="subscript"/>
                <w:lang w:eastAsia="zh-CN"/>
              </w:rPr>
              <w:t>2</w:t>
            </w:r>
            <w:r w:rsidR="00632A31">
              <w:rPr>
                <w:sz w:val="16"/>
                <w:szCs w:val="16"/>
                <w:lang w:eastAsia="zh-CN"/>
              </w:rPr>
              <w:t xml:space="preserve">, </w:t>
            </w:r>
            <w:r>
              <w:rPr>
                <w:sz w:val="16"/>
                <w:szCs w:val="16"/>
                <w:lang w:val="en-GB"/>
              </w:rPr>
              <w:t>Investment: 0.6 M</w:t>
            </w:r>
            <w:r w:rsidRPr="00D81DEF">
              <w:rPr>
                <w:sz w:val="16"/>
                <w:szCs w:val="16"/>
                <w:lang w:val="en-GB"/>
              </w:rPr>
              <w:t>€</w:t>
            </w:r>
            <w:r>
              <w:rPr>
                <w:sz w:val="16"/>
                <w:szCs w:val="16"/>
                <w:lang w:val="en-GB"/>
              </w:rPr>
              <w:t>/(t/h) CO</w:t>
            </w:r>
            <w:r w:rsidRPr="00836CEE">
              <w:rPr>
                <w:sz w:val="16"/>
                <w:szCs w:val="16"/>
                <w:vertAlign w:val="subscript"/>
                <w:lang w:val="en-GB"/>
              </w:rPr>
              <w:t>2</w:t>
            </w:r>
          </w:p>
        </w:tc>
      </w:tr>
      <w:tr w:rsidR="007B3FEE" w14:paraId="67DBC155" w14:textId="77777777" w:rsidTr="007626B0">
        <w:trPr>
          <w:trHeight w:val="176"/>
        </w:trPr>
        <w:tc>
          <w:tcPr>
            <w:tcW w:w="1843" w:type="dxa"/>
          </w:tcPr>
          <w:p w14:paraId="57873384" w14:textId="77777777" w:rsidR="007B3FEE" w:rsidRPr="005E2929" w:rsidRDefault="007B3FEE" w:rsidP="007B3FEE">
            <w:pPr>
              <w:pStyle w:val="Els-body-text"/>
              <w:rPr>
                <w:sz w:val="16"/>
                <w:szCs w:val="16"/>
                <w:lang w:val="en-GB"/>
              </w:rPr>
            </w:pPr>
            <w:r w:rsidRPr="005E2929">
              <w:rPr>
                <w:sz w:val="16"/>
                <w:szCs w:val="16"/>
                <w:lang w:val="en-GB"/>
              </w:rPr>
              <w:t>CO</w:t>
            </w:r>
            <w:r w:rsidRPr="00EE3A69">
              <w:rPr>
                <w:sz w:val="16"/>
                <w:szCs w:val="16"/>
                <w:vertAlign w:val="subscript"/>
                <w:lang w:val="en-GB"/>
              </w:rPr>
              <w:t>2</w:t>
            </w:r>
            <w:r w:rsidRPr="005E2929">
              <w:rPr>
                <w:sz w:val="16"/>
                <w:szCs w:val="16"/>
                <w:lang w:val="en-GB"/>
              </w:rPr>
              <w:t xml:space="preserve"> compression</w:t>
            </w:r>
          </w:p>
        </w:tc>
        <w:tc>
          <w:tcPr>
            <w:tcW w:w="5180" w:type="dxa"/>
          </w:tcPr>
          <w:p w14:paraId="78D03DB2" w14:textId="77777777" w:rsidR="007B3FEE" w:rsidRPr="005E2929" w:rsidRDefault="007B3FEE" w:rsidP="007B3FEE">
            <w:pPr>
              <w:pStyle w:val="Els-body-text"/>
              <w:jc w:val="left"/>
              <w:rPr>
                <w:sz w:val="16"/>
                <w:szCs w:val="16"/>
                <w:lang w:val="en-GB"/>
              </w:rPr>
            </w:pPr>
            <w:r>
              <w:rPr>
                <w:sz w:val="16"/>
                <w:szCs w:val="16"/>
                <w:lang w:val="en-GB"/>
              </w:rPr>
              <w:t>Energy demand: 120 kWh/ton CO</w:t>
            </w:r>
            <w:r w:rsidRPr="00EE3A69">
              <w:rPr>
                <w:sz w:val="16"/>
                <w:szCs w:val="16"/>
                <w:vertAlign w:val="subscript"/>
                <w:lang w:val="en-GB"/>
              </w:rPr>
              <w:t>2</w:t>
            </w:r>
            <w:r>
              <w:rPr>
                <w:sz w:val="16"/>
                <w:szCs w:val="16"/>
                <w:lang w:val="en-GB"/>
              </w:rPr>
              <w:t xml:space="preserve">; Investment: 3500 </w:t>
            </w:r>
            <w:r w:rsidRPr="00D81DEF">
              <w:rPr>
                <w:sz w:val="16"/>
                <w:szCs w:val="16"/>
                <w:lang w:val="en-GB"/>
              </w:rPr>
              <w:t>€</w:t>
            </w:r>
            <w:r>
              <w:rPr>
                <w:sz w:val="16"/>
                <w:szCs w:val="16"/>
                <w:lang w:val="en-GB"/>
              </w:rPr>
              <w:t>/</w:t>
            </w:r>
            <w:proofErr w:type="spellStart"/>
            <w:r>
              <w:rPr>
                <w:sz w:val="16"/>
                <w:szCs w:val="16"/>
                <w:lang w:val="en-GB"/>
              </w:rPr>
              <w:t>kW</w:t>
            </w:r>
            <w:r w:rsidRPr="00836CEE">
              <w:rPr>
                <w:sz w:val="16"/>
                <w:szCs w:val="16"/>
                <w:vertAlign w:val="subscript"/>
                <w:lang w:val="en-GB"/>
              </w:rPr>
              <w:t>eq</w:t>
            </w:r>
            <w:proofErr w:type="spellEnd"/>
          </w:p>
        </w:tc>
      </w:tr>
    </w:tbl>
    <w:p w14:paraId="6EEF4E7D" w14:textId="19BCF388" w:rsidR="006C1631" w:rsidRDefault="00E30FB4" w:rsidP="006C2424">
      <w:pPr>
        <w:pStyle w:val="Els-body-text"/>
        <w:jc w:val="center"/>
        <w:rPr>
          <w:lang w:val="en-GB" w:eastAsia="zh-CN"/>
        </w:rPr>
      </w:pPr>
      <w:r w:rsidRPr="00E30FB4">
        <w:rPr>
          <w:noProof/>
          <w:lang w:val="en-GB" w:eastAsia="zh-CN"/>
        </w:rPr>
        <w:drawing>
          <wp:inline distT="0" distB="0" distL="0" distR="0" wp14:anchorId="24F2BEF2" wp14:editId="217F8CBC">
            <wp:extent cx="3973753" cy="1892104"/>
            <wp:effectExtent l="0" t="0" r="1905" b="635"/>
            <wp:docPr id="141640612" name="Picture 1" descr="A diagram of a chemical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0612" name="Picture 1" descr="A diagram of a chemical process&#10;&#10;Description automatically generated"/>
                    <pic:cNvPicPr/>
                  </pic:nvPicPr>
                  <pic:blipFill>
                    <a:blip r:embed="rId10"/>
                    <a:stretch>
                      <a:fillRect/>
                    </a:stretch>
                  </pic:blipFill>
                  <pic:spPr>
                    <a:xfrm>
                      <a:off x="0" y="0"/>
                      <a:ext cx="4028200" cy="1918029"/>
                    </a:xfrm>
                    <a:prstGeom prst="rect">
                      <a:avLst/>
                    </a:prstGeom>
                  </pic:spPr>
                </pic:pic>
              </a:graphicData>
            </a:graphic>
          </wp:inline>
        </w:drawing>
      </w:r>
    </w:p>
    <w:p w14:paraId="75B8CD90" w14:textId="3E9E57D4" w:rsidR="001D1588" w:rsidRPr="003A3B79" w:rsidRDefault="004526C4" w:rsidP="006C2424">
      <w:pPr>
        <w:pStyle w:val="Els-body-text"/>
        <w:jc w:val="center"/>
        <w:rPr>
          <w:lang w:val="en-GB"/>
        </w:rPr>
      </w:pPr>
      <w:r w:rsidRPr="006C2424">
        <w:rPr>
          <w:sz w:val="18"/>
          <w:szCs w:val="18"/>
        </w:rPr>
        <w:t xml:space="preserve">Figure 3. </w:t>
      </w:r>
      <w:r w:rsidR="006F5AAD" w:rsidRPr="006C2424">
        <w:rPr>
          <w:sz w:val="18"/>
          <w:szCs w:val="18"/>
        </w:rPr>
        <w:t xml:space="preserve">The superstructure of </w:t>
      </w:r>
      <w:r w:rsidR="00315ABD" w:rsidRPr="006C2424">
        <w:rPr>
          <w:sz w:val="18"/>
          <w:szCs w:val="18"/>
        </w:rPr>
        <w:t>the Blueprint</w:t>
      </w:r>
      <w:r w:rsidR="006F5AAD" w:rsidRPr="006C2424">
        <w:rPr>
          <w:sz w:val="18"/>
          <w:szCs w:val="18"/>
        </w:rPr>
        <w:t xml:space="preserve"> refinery with decarbonization options.</w:t>
      </w:r>
    </w:p>
    <w:p w14:paraId="18DBF16F" w14:textId="5B9C39EE" w:rsidR="00901CDC" w:rsidRPr="00182AC7" w:rsidRDefault="00217F48" w:rsidP="00901CDC">
      <w:pPr>
        <w:pStyle w:val="Els-body-text"/>
        <w:jc w:val="center"/>
        <w:rPr>
          <w:lang w:eastAsia="zh-CN"/>
        </w:rPr>
      </w:pPr>
      <w:r w:rsidRPr="00217F48">
        <w:rPr>
          <w:noProof/>
        </w:rPr>
        <w:lastRenderedPageBreak/>
        <w:t xml:space="preserve"> </w:t>
      </w:r>
      <w:r w:rsidR="00B55A14" w:rsidRPr="00B55A14">
        <w:rPr>
          <w:noProof/>
        </w:rPr>
        <w:t xml:space="preserve"> </w:t>
      </w:r>
      <w:r w:rsidR="00363607" w:rsidRPr="00363607">
        <w:rPr>
          <w:noProof/>
        </w:rPr>
        <w:drawing>
          <wp:inline distT="0" distB="0" distL="0" distR="0" wp14:anchorId="461F541A" wp14:editId="7AC12DA5">
            <wp:extent cx="2434363" cy="1535649"/>
            <wp:effectExtent l="0" t="0" r="4445" b="1270"/>
            <wp:docPr id="529539294" name="Picture 1" descr="A graph of a graph showing the cost of reference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39294" name="Picture 1" descr="A graph of a graph showing the cost of reference case&#10;&#10;Description automatically generated"/>
                    <pic:cNvPicPr/>
                  </pic:nvPicPr>
                  <pic:blipFill>
                    <a:blip r:embed="rId11"/>
                    <a:stretch>
                      <a:fillRect/>
                    </a:stretch>
                  </pic:blipFill>
                  <pic:spPr>
                    <a:xfrm>
                      <a:off x="0" y="0"/>
                      <a:ext cx="2463778" cy="1554205"/>
                    </a:xfrm>
                    <a:prstGeom prst="rect">
                      <a:avLst/>
                    </a:prstGeom>
                  </pic:spPr>
                </pic:pic>
              </a:graphicData>
            </a:graphic>
          </wp:inline>
        </w:drawing>
      </w:r>
    </w:p>
    <w:p w14:paraId="6FE41F71" w14:textId="1401EABE" w:rsidR="00004A16" w:rsidRDefault="00757A24" w:rsidP="00757A24">
      <w:pPr>
        <w:pStyle w:val="Els-body-text"/>
        <w:jc w:val="center"/>
        <w:rPr>
          <w:sz w:val="18"/>
          <w:szCs w:val="18"/>
        </w:rPr>
      </w:pPr>
      <w:r w:rsidRPr="006C2424">
        <w:rPr>
          <w:sz w:val="18"/>
          <w:szCs w:val="18"/>
        </w:rPr>
        <w:t xml:space="preserve">Figure 4: </w:t>
      </w:r>
      <w:r w:rsidR="00DD2E8B" w:rsidRPr="006C2424">
        <w:rPr>
          <w:sz w:val="18"/>
          <w:szCs w:val="18"/>
        </w:rPr>
        <w:t>Average n</w:t>
      </w:r>
      <w:r w:rsidRPr="006C2424">
        <w:rPr>
          <w:sz w:val="18"/>
          <w:szCs w:val="18"/>
        </w:rPr>
        <w:t>et present total cost</w:t>
      </w:r>
      <w:r w:rsidR="00AB7E54">
        <w:rPr>
          <w:sz w:val="18"/>
          <w:szCs w:val="18"/>
          <w:lang w:val="en-GB"/>
        </w:rPr>
        <w:t xml:space="preserve"> change ratio</w:t>
      </w:r>
      <w:r w:rsidRPr="006C2424">
        <w:rPr>
          <w:sz w:val="18"/>
          <w:szCs w:val="18"/>
        </w:rPr>
        <w:t xml:space="preserve"> against </w:t>
      </w:r>
      <w:r w:rsidR="00E30A98" w:rsidRPr="006C2424">
        <w:rPr>
          <w:sz w:val="18"/>
          <w:szCs w:val="18"/>
        </w:rPr>
        <w:t xml:space="preserve">average </w:t>
      </w:r>
      <w:r w:rsidRPr="006C2424">
        <w:rPr>
          <w:sz w:val="18"/>
          <w:szCs w:val="18"/>
        </w:rPr>
        <w:t xml:space="preserve">total carbon emissions </w:t>
      </w:r>
      <w:r w:rsidR="00AB7E54">
        <w:rPr>
          <w:sz w:val="18"/>
          <w:szCs w:val="18"/>
          <w:lang w:val="en-GB"/>
        </w:rPr>
        <w:t xml:space="preserve">reduction ratio </w:t>
      </w:r>
      <w:r w:rsidRPr="006C2424">
        <w:rPr>
          <w:sz w:val="18"/>
          <w:szCs w:val="18"/>
        </w:rPr>
        <w:t>over the lifespan</w:t>
      </w:r>
      <w:r w:rsidR="00E30A98" w:rsidRPr="006C2424">
        <w:rPr>
          <w:sz w:val="18"/>
          <w:szCs w:val="18"/>
        </w:rPr>
        <w:t xml:space="preserve"> of the refinery</w:t>
      </w:r>
      <w:r w:rsidRPr="006C2424">
        <w:rPr>
          <w:sz w:val="18"/>
          <w:szCs w:val="18"/>
        </w:rPr>
        <w:t>,</w:t>
      </w:r>
      <w:r w:rsidR="00B74793" w:rsidRPr="006C2424">
        <w:rPr>
          <w:sz w:val="18"/>
          <w:szCs w:val="18"/>
        </w:rPr>
        <w:t xml:space="preserve"> </w:t>
      </w:r>
      <w:r w:rsidRPr="006C2424">
        <w:rPr>
          <w:sz w:val="18"/>
          <w:szCs w:val="18"/>
        </w:rPr>
        <w:t xml:space="preserve">considering a market condition with a final renewable penetration of 90%, </w:t>
      </w:r>
      <w:r w:rsidRPr="006C2424">
        <w:rPr>
          <w:i/>
          <w:iCs/>
          <w:sz w:val="18"/>
          <w:szCs w:val="18"/>
        </w:rPr>
        <w:t>k</w:t>
      </w:r>
      <w:r w:rsidRPr="006C2424">
        <w:rPr>
          <w:sz w:val="18"/>
          <w:szCs w:val="18"/>
        </w:rPr>
        <w:t xml:space="preserve"> = 0.2, and </w:t>
      </w:r>
      <w:r w:rsidRPr="006C2424">
        <w:rPr>
          <w:i/>
          <w:iCs/>
          <w:sz w:val="18"/>
          <w:szCs w:val="18"/>
        </w:rPr>
        <w:t>c</w:t>
      </w:r>
      <w:r w:rsidRPr="006C2424">
        <w:rPr>
          <w:sz w:val="18"/>
          <w:szCs w:val="18"/>
        </w:rPr>
        <w:t xml:space="preserve"> = 10. Each data point represents a unique configuration.</w:t>
      </w:r>
      <w:r w:rsidR="00E30A98" w:rsidRPr="006C2424">
        <w:rPr>
          <w:sz w:val="18"/>
          <w:szCs w:val="18"/>
        </w:rPr>
        <w:t xml:space="preserve"> Decision metrics is calculated using Eq</w:t>
      </w:r>
      <w:r w:rsidR="00A03B67" w:rsidRPr="006C2424">
        <w:rPr>
          <w:sz w:val="18"/>
          <w:szCs w:val="18"/>
        </w:rPr>
        <w:t>.</w:t>
      </w:r>
      <w:r w:rsidR="00E30A98" w:rsidRPr="006C2424">
        <w:rPr>
          <w:sz w:val="18"/>
          <w:szCs w:val="18"/>
        </w:rPr>
        <w:t xml:space="preserve"> (5)</w:t>
      </w:r>
      <w:r w:rsidR="00FC5A05" w:rsidRPr="006C2424">
        <w:rPr>
          <w:sz w:val="18"/>
          <w:szCs w:val="18"/>
        </w:rPr>
        <w:t>.</w:t>
      </w:r>
    </w:p>
    <w:p w14:paraId="084C0F30" w14:textId="77777777" w:rsidR="005D0AF9" w:rsidRDefault="005D0AF9" w:rsidP="00757A24">
      <w:pPr>
        <w:pStyle w:val="Els-body-text"/>
        <w:jc w:val="center"/>
        <w:rPr>
          <w:lang w:val="en-GB"/>
        </w:rPr>
      </w:pPr>
    </w:p>
    <w:p w14:paraId="3B9091A8" w14:textId="3430B884" w:rsidR="005D0AF9" w:rsidRDefault="00CE755A" w:rsidP="00CE755A">
      <w:pPr>
        <w:pStyle w:val="Els-body-text"/>
        <w:rPr>
          <w:lang w:val="en-GB"/>
        </w:rPr>
      </w:pPr>
      <w:r w:rsidRPr="00DD4285">
        <w:rPr>
          <w:lang w:val="en-GB"/>
        </w:rPr>
        <w:t xml:space="preserve">In this study, </w:t>
      </w:r>
      <w:r>
        <w:rPr>
          <w:lang w:val="en-GB"/>
        </w:rPr>
        <w:t>2</w:t>
      </w:r>
      <w:r w:rsidRPr="00DD4285">
        <w:rPr>
          <w:lang w:val="en-GB"/>
        </w:rPr>
        <w:t xml:space="preserve">00 different </w:t>
      </w:r>
      <w:r>
        <w:rPr>
          <w:lang w:val="en-GB"/>
        </w:rPr>
        <w:t xml:space="preserve">energy </w:t>
      </w:r>
      <w:r w:rsidRPr="00DD4285">
        <w:rPr>
          <w:lang w:val="en-GB"/>
        </w:rPr>
        <w:t xml:space="preserve">market conditions </w:t>
      </w:r>
      <w:r>
        <w:rPr>
          <w:lang w:val="en-GB"/>
        </w:rPr>
        <w:t xml:space="preserve">(electricity, natural gas prices and emission constraints) </w:t>
      </w:r>
      <w:r w:rsidRPr="00DD4285">
        <w:rPr>
          <w:lang w:val="en-GB"/>
        </w:rPr>
        <w:t xml:space="preserve">were applied to generate a diverse range of configurations, resulting in </w:t>
      </w:r>
      <w:proofErr w:type="gramStart"/>
      <w:r>
        <w:rPr>
          <w:lang w:val="en-GB"/>
        </w:rPr>
        <w:t>a number of</w:t>
      </w:r>
      <w:proofErr w:type="gramEnd"/>
      <w:r w:rsidRPr="00DD4285">
        <w:rPr>
          <w:lang w:val="en-GB"/>
        </w:rPr>
        <w:t xml:space="preserve"> unique configurations after sorting and clustering. These unique configurations were subsequently ranked based on selected market scenarios and predefined decision metrics</w:t>
      </w:r>
      <w:r w:rsidR="00126C0E">
        <w:rPr>
          <w:lang w:val="en-GB"/>
        </w:rPr>
        <w:t>, which</w:t>
      </w:r>
      <w:r>
        <w:rPr>
          <w:lang w:val="en-GB"/>
        </w:rPr>
        <w:t xml:space="preserve"> are illustrated in Figure 4</w:t>
      </w:r>
      <w:r w:rsidRPr="00DD4285">
        <w:rPr>
          <w:lang w:val="en-GB"/>
        </w:rPr>
        <w:t>.</w:t>
      </w:r>
      <w:r>
        <w:rPr>
          <w:lang w:val="en-GB"/>
        </w:rPr>
        <w:t xml:space="preserve"> A clear trade-off between emission savings and total costs is observed compared to the reference case. </w:t>
      </w:r>
      <w:r w:rsidRPr="00A91D54">
        <w:rPr>
          <w:lang w:val="en-GB"/>
        </w:rPr>
        <w:t>The assumption of decreasing natural gas and electricity prices results in a significant number of configurations exhibiting lower total costs than those observed today.</w:t>
      </w:r>
    </w:p>
    <w:p w14:paraId="145D803F" w14:textId="158658F7" w:rsidR="003B4241" w:rsidRDefault="00393CE0" w:rsidP="003B4241">
      <w:pPr>
        <w:pStyle w:val="Els-body-text"/>
        <w:rPr>
          <w:lang w:val="en-GB"/>
        </w:rPr>
      </w:pPr>
      <w:r w:rsidRPr="00393CE0">
        <w:rPr>
          <w:lang w:val="en-GB"/>
        </w:rPr>
        <w:t xml:space="preserve">The decision metrics identify configuration </w:t>
      </w:r>
      <w:r w:rsidRPr="00D9109D">
        <w:rPr>
          <w:i/>
          <w:iCs/>
          <w:lang w:val="en-GB"/>
        </w:rPr>
        <w:t>O</w:t>
      </w:r>
      <w:r w:rsidRPr="00393CE0">
        <w:rPr>
          <w:lang w:val="en-GB"/>
        </w:rPr>
        <w:t xml:space="preserve"> as the optimal, with a minimum equivalent total cost </w:t>
      </w:r>
      <w:r w:rsidR="00363607">
        <w:rPr>
          <w:lang w:val="en-GB"/>
        </w:rPr>
        <w:t>reduction of 40%</w:t>
      </w:r>
      <w:r>
        <w:rPr>
          <w:lang w:val="en-GB"/>
        </w:rPr>
        <w:t xml:space="preserve">. </w:t>
      </w:r>
      <w:r w:rsidRPr="00393CE0">
        <w:rPr>
          <w:lang w:val="en-GB"/>
        </w:rPr>
        <w:t>Figure 5</w:t>
      </w:r>
      <w:r w:rsidR="005C1189">
        <w:rPr>
          <w:lang w:val="en-GB"/>
        </w:rPr>
        <w:t>(a)</w:t>
      </w:r>
      <w:r w:rsidRPr="00393CE0">
        <w:rPr>
          <w:lang w:val="en-GB"/>
        </w:rPr>
        <w:t xml:space="preserve"> provides insights into investment values and their distribution among different technologies and periods</w:t>
      </w:r>
      <w:r w:rsidR="00120740">
        <w:rPr>
          <w:lang w:val="en-GB"/>
        </w:rPr>
        <w:t xml:space="preserve"> of configuration </w:t>
      </w:r>
      <w:r w:rsidR="00120740" w:rsidRPr="00120740">
        <w:rPr>
          <w:i/>
          <w:iCs/>
          <w:lang w:val="en-GB"/>
        </w:rPr>
        <w:t>O</w:t>
      </w:r>
      <w:r w:rsidRPr="00393CE0">
        <w:rPr>
          <w:lang w:val="en-GB"/>
        </w:rPr>
        <w:t xml:space="preserve">. </w:t>
      </w:r>
      <w:r w:rsidR="00D90AEB">
        <w:rPr>
          <w:lang w:val="en-GB"/>
        </w:rPr>
        <w:t>T</w:t>
      </w:r>
      <w:r w:rsidRPr="00393CE0">
        <w:rPr>
          <w:lang w:val="en-GB"/>
        </w:rPr>
        <w:t xml:space="preserve">he optimizer prioritizes </w:t>
      </w:r>
      <w:r w:rsidR="00C67B41">
        <w:rPr>
          <w:lang w:val="en-GB"/>
        </w:rPr>
        <w:t>taking actions</w:t>
      </w:r>
      <w:r w:rsidRPr="00393CE0">
        <w:rPr>
          <w:lang w:val="en-GB"/>
        </w:rPr>
        <w:t xml:space="preserve"> in the initial period, </w:t>
      </w:r>
      <w:r w:rsidR="00C67B41">
        <w:rPr>
          <w:lang w:val="en-GB"/>
        </w:rPr>
        <w:t>activating technologies such as</w:t>
      </w:r>
      <w:r w:rsidRPr="00393CE0">
        <w:rPr>
          <w:lang w:val="en-GB"/>
        </w:rPr>
        <w:t xml:space="preserve"> carbon capture, hydrogen recycling, and heat pump</w:t>
      </w:r>
      <w:r w:rsidR="006F3600">
        <w:rPr>
          <w:lang w:val="en-GB"/>
        </w:rPr>
        <w:t>s</w:t>
      </w:r>
      <w:r w:rsidRPr="00393CE0">
        <w:rPr>
          <w:lang w:val="en-GB"/>
        </w:rPr>
        <w:t xml:space="preserve">. Notably, the heat pump </w:t>
      </w:r>
      <w:r w:rsidR="006F3600">
        <w:rPr>
          <w:lang w:val="en-GB"/>
        </w:rPr>
        <w:t>is used to fulfil the</w:t>
      </w:r>
      <w:r w:rsidRPr="00393CE0">
        <w:rPr>
          <w:lang w:val="en-GB"/>
        </w:rPr>
        <w:t xml:space="preserve"> heat demand for </w:t>
      </w:r>
      <w:r w:rsidR="006C673F">
        <w:rPr>
          <w:lang w:val="en-GB"/>
        </w:rPr>
        <w:t xml:space="preserve">solvent </w:t>
      </w:r>
      <w:r w:rsidRPr="00393CE0">
        <w:rPr>
          <w:lang w:val="en-GB"/>
        </w:rPr>
        <w:t xml:space="preserve">regeneration </w:t>
      </w:r>
      <w:r w:rsidR="006F3600">
        <w:rPr>
          <w:lang w:val="en-GB"/>
        </w:rPr>
        <w:t>in the desorption column</w:t>
      </w:r>
      <w:r w:rsidRPr="00393CE0">
        <w:rPr>
          <w:lang w:val="en-GB"/>
        </w:rPr>
        <w:t>.</w:t>
      </w:r>
      <w:r w:rsidR="003B4241">
        <w:rPr>
          <w:lang w:val="en-GB"/>
        </w:rPr>
        <w:t xml:space="preserve"> These prompt actions </w:t>
      </w:r>
      <w:r w:rsidR="00EE2CAE">
        <w:rPr>
          <w:lang w:val="en-GB"/>
        </w:rPr>
        <w:t>lead</w:t>
      </w:r>
      <w:r w:rsidR="003B4241">
        <w:rPr>
          <w:lang w:val="en-GB"/>
        </w:rPr>
        <w:t xml:space="preserve"> to 50% of emission reductions in refineries.</w:t>
      </w:r>
      <w:r w:rsidRPr="00393CE0">
        <w:rPr>
          <w:lang w:val="en-GB"/>
        </w:rPr>
        <w:t xml:space="preserve"> Another</w:t>
      </w:r>
      <w:r w:rsidR="009605BB">
        <w:rPr>
          <w:lang w:val="en-GB"/>
        </w:rPr>
        <w:t xml:space="preserve"> substantial</w:t>
      </w:r>
      <w:r w:rsidRPr="00393CE0">
        <w:rPr>
          <w:lang w:val="en-GB"/>
        </w:rPr>
        <w:t xml:space="preserve"> </w:t>
      </w:r>
      <w:r w:rsidR="009605BB">
        <w:rPr>
          <w:lang w:val="en-GB"/>
        </w:rPr>
        <w:t xml:space="preserve">investment is foreseen </w:t>
      </w:r>
      <w:r w:rsidR="004B5DF7">
        <w:rPr>
          <w:lang w:val="en-GB"/>
        </w:rPr>
        <w:t>around</w:t>
      </w:r>
      <w:r w:rsidRPr="00393CE0">
        <w:rPr>
          <w:lang w:val="en-GB"/>
        </w:rPr>
        <w:t xml:space="preserve"> 20</w:t>
      </w:r>
      <w:r w:rsidR="003B4241">
        <w:rPr>
          <w:lang w:val="en-GB"/>
        </w:rPr>
        <w:t>50</w:t>
      </w:r>
      <w:r w:rsidRPr="00393CE0">
        <w:rPr>
          <w:lang w:val="en-GB"/>
        </w:rPr>
        <w:t xml:space="preserve"> marked by investments </w:t>
      </w:r>
      <w:r w:rsidR="00EE2CAE">
        <w:rPr>
          <w:lang w:val="en-GB"/>
        </w:rPr>
        <w:t xml:space="preserve">on carbon capture </w:t>
      </w:r>
      <w:r w:rsidR="00A91D54">
        <w:rPr>
          <w:lang w:val="en-GB"/>
        </w:rPr>
        <w:t>on biogenic emissions</w:t>
      </w:r>
      <w:r w:rsidRPr="00393CE0">
        <w:rPr>
          <w:lang w:val="en-GB"/>
        </w:rPr>
        <w:t xml:space="preserve"> to meet</w:t>
      </w:r>
      <w:r w:rsidR="003B4241">
        <w:rPr>
          <w:lang w:val="en-GB"/>
        </w:rPr>
        <w:t xml:space="preserve"> zero emission target in 2060</w:t>
      </w:r>
      <w:r w:rsidR="00EC2788">
        <w:rPr>
          <w:lang w:val="en-GB"/>
        </w:rPr>
        <w:t xml:space="preserve"> as a negative emission solution</w:t>
      </w:r>
      <w:r w:rsidRPr="00393CE0">
        <w:rPr>
          <w:lang w:val="en-GB"/>
        </w:rPr>
        <w:t xml:space="preserve">. This shift is further illustrated in Figure </w:t>
      </w:r>
      <w:r w:rsidR="005C1189">
        <w:rPr>
          <w:lang w:val="en-GB"/>
        </w:rPr>
        <w:t>5 (b)</w:t>
      </w:r>
      <w:r w:rsidRPr="00393CE0">
        <w:rPr>
          <w:lang w:val="en-GB"/>
        </w:rPr>
        <w:t>.</w:t>
      </w:r>
      <w:r w:rsidR="00210426">
        <w:rPr>
          <w:lang w:val="en-GB"/>
        </w:rPr>
        <w:t xml:space="preserve"> </w:t>
      </w:r>
      <w:r w:rsidR="00210426" w:rsidRPr="00210426">
        <w:rPr>
          <w:lang w:val="en-GB"/>
        </w:rPr>
        <w:t>In this proposed configuration, preference is given to carbon capture technologies.</w:t>
      </w:r>
      <w:r w:rsidR="00210426">
        <w:rPr>
          <w:lang w:val="en-GB"/>
        </w:rPr>
        <w:t xml:space="preserve"> </w:t>
      </w:r>
      <w:r w:rsidR="003B4241">
        <w:rPr>
          <w:lang w:val="en-GB"/>
        </w:rPr>
        <w:t>However</w:t>
      </w:r>
      <w:r w:rsidR="003B4241" w:rsidRPr="00EA3B3A">
        <w:rPr>
          <w:lang w:val="en-GB"/>
        </w:rPr>
        <w:t>, it is crucial to acknowledge that carbon capture costs</w:t>
      </w:r>
      <w:r w:rsidR="005C1189">
        <w:rPr>
          <w:lang w:val="en-GB"/>
        </w:rPr>
        <w:t xml:space="preserve"> and efficiencies</w:t>
      </w:r>
      <w:r w:rsidR="003B4241" w:rsidRPr="00EA3B3A">
        <w:rPr>
          <w:lang w:val="en-GB"/>
        </w:rPr>
        <w:t xml:space="preserve"> can vary significantly based on the emission source in refineries. Neglecting considerations</w:t>
      </w:r>
      <w:r w:rsidR="003B4241">
        <w:rPr>
          <w:lang w:val="en-GB"/>
        </w:rPr>
        <w:t xml:space="preserve"> in this study</w:t>
      </w:r>
      <w:r w:rsidR="003B4241" w:rsidRPr="00EA3B3A">
        <w:rPr>
          <w:lang w:val="en-GB"/>
        </w:rPr>
        <w:t xml:space="preserve"> for CO</w:t>
      </w:r>
      <w:r w:rsidR="003B4241" w:rsidRPr="00641DD7">
        <w:rPr>
          <w:vertAlign w:val="subscript"/>
          <w:lang w:val="en-GB"/>
        </w:rPr>
        <w:t>2</w:t>
      </w:r>
      <w:r w:rsidR="003B4241" w:rsidRPr="00EA3B3A">
        <w:rPr>
          <w:lang w:val="en-GB"/>
        </w:rPr>
        <w:t xml:space="preserve"> transportation and storage may result in an overestimation of carbon capture potentials</w:t>
      </w:r>
      <w:r w:rsidR="003B4241">
        <w:rPr>
          <w:lang w:val="en-GB"/>
        </w:rPr>
        <w:t xml:space="preserve">. </w:t>
      </w:r>
      <w:r w:rsidR="003B4241" w:rsidRPr="00AE11A0">
        <w:rPr>
          <w:lang w:val="en-GB"/>
        </w:rPr>
        <w:t xml:space="preserve">In our analysis, approximately </w:t>
      </w:r>
      <w:r w:rsidR="00282DC5">
        <w:rPr>
          <w:lang w:val="en-GB"/>
        </w:rPr>
        <w:t>4</w:t>
      </w:r>
      <w:r w:rsidR="003B4241" w:rsidRPr="00AE11A0">
        <w:rPr>
          <w:lang w:val="en-GB"/>
        </w:rPr>
        <w:t xml:space="preserve">0% of onsite carbon emissions were captured and compressed to 110 bars in 2024. However, the downstream treatment could be deemed unrealistic </w:t>
      </w:r>
      <w:r w:rsidR="003B4241">
        <w:rPr>
          <w:lang w:val="en-GB"/>
        </w:rPr>
        <w:t>today</w:t>
      </w:r>
      <w:r w:rsidR="003B4241" w:rsidRPr="00AE11A0">
        <w:rPr>
          <w:lang w:val="en-GB"/>
        </w:rPr>
        <w:t xml:space="preserve"> due to limited infrastructure for utilization and storage. This aspect should be approached with</w:t>
      </w:r>
      <w:r w:rsidR="003B4241">
        <w:rPr>
          <w:lang w:val="en-GB"/>
        </w:rPr>
        <w:t xml:space="preserve"> further</w:t>
      </w:r>
      <w:r w:rsidR="003B4241" w:rsidRPr="00AE11A0">
        <w:rPr>
          <w:lang w:val="en-GB"/>
        </w:rPr>
        <w:t xml:space="preserve"> careful consideration.</w:t>
      </w:r>
      <w:r w:rsidR="003B4241">
        <w:rPr>
          <w:lang w:val="en-GB"/>
        </w:rPr>
        <w:t xml:space="preserve"> </w:t>
      </w:r>
    </w:p>
    <w:p w14:paraId="79F66E7B" w14:textId="19B8E1D4" w:rsidR="00E0680C" w:rsidRPr="00290C1C" w:rsidRDefault="00D67335" w:rsidP="00290C1C">
      <w:pPr>
        <w:pStyle w:val="Els-body-text"/>
        <w:rPr>
          <w:lang w:val="en-GB"/>
        </w:rPr>
      </w:pPr>
      <w:r w:rsidRPr="00D67335">
        <w:rPr>
          <w:lang w:val="en-GB"/>
        </w:rPr>
        <w:t xml:space="preserve">When considering a faster transition (higher </w:t>
      </w:r>
      <w:r w:rsidRPr="007626B0">
        <w:rPr>
          <w:i/>
          <w:iCs/>
          <w:lang w:val="en-GB"/>
        </w:rPr>
        <w:t>k</w:t>
      </w:r>
      <w:r w:rsidRPr="00D67335">
        <w:rPr>
          <w:lang w:val="en-GB"/>
        </w:rPr>
        <w:t xml:space="preserve"> value) of renewable penetration, configuration </w:t>
      </w:r>
      <w:r w:rsidRPr="007626B0">
        <w:rPr>
          <w:i/>
          <w:iCs/>
          <w:lang w:val="en-GB"/>
        </w:rPr>
        <w:t>P</w:t>
      </w:r>
      <w:r w:rsidRPr="00D67335">
        <w:rPr>
          <w:lang w:val="en-GB"/>
        </w:rPr>
        <w:t xml:space="preserve"> emerges as the better option. Instead of relying on carbon capture, electrification is predominantly observed through green hydrogen production and electric heaters. Solid Oxide Electrolysis Cell (SOEC) outperforms Alkaline Electrolysis Cell (AEC) and Proton Exchange Membrane (PEM) due to its high efficiency and capability to utilize waste heat in refineries for steam generation. With a further decrease in electricity prices and carbon footprints, oxyfuel combustion</w:t>
      </w:r>
      <w:r w:rsidR="00D56536">
        <w:rPr>
          <w:lang w:val="en-GB"/>
        </w:rPr>
        <w:t xml:space="preserve"> starts to be applied</w:t>
      </w:r>
      <w:r w:rsidRPr="00D67335">
        <w:rPr>
          <w:lang w:val="en-GB"/>
        </w:rPr>
        <w:t>. However, as a negative emission solution, carbon capture on biogenic emissions continues to dominate post-2050 to offset onsite emissions, achieving zero emission targets in 2060.</w:t>
      </w:r>
    </w:p>
    <w:p w14:paraId="247762B1" w14:textId="2BB1CA37" w:rsidR="00264996" w:rsidRPr="003C48D2" w:rsidRDefault="0030309F" w:rsidP="00264996">
      <w:pPr>
        <w:pStyle w:val="Els-body-text"/>
        <w:spacing w:after="120"/>
        <w:jc w:val="center"/>
        <w:rPr>
          <w:lang w:val="en-GB"/>
        </w:rPr>
      </w:pPr>
      <w:r w:rsidRPr="0030309F">
        <w:rPr>
          <w:noProof/>
        </w:rPr>
        <w:lastRenderedPageBreak/>
        <w:drawing>
          <wp:inline distT="0" distB="0" distL="0" distR="0" wp14:anchorId="096DDF72" wp14:editId="33D986E3">
            <wp:extent cx="4499610" cy="1296670"/>
            <wp:effectExtent l="0" t="0" r="0" b="0"/>
            <wp:docPr id="182758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8589" name=""/>
                    <pic:cNvPicPr/>
                  </pic:nvPicPr>
                  <pic:blipFill>
                    <a:blip r:embed="rId12"/>
                    <a:stretch>
                      <a:fillRect/>
                    </a:stretch>
                  </pic:blipFill>
                  <pic:spPr>
                    <a:xfrm>
                      <a:off x="0" y="0"/>
                      <a:ext cx="4499610" cy="1296670"/>
                    </a:xfrm>
                    <a:prstGeom prst="rect">
                      <a:avLst/>
                    </a:prstGeom>
                  </pic:spPr>
                </pic:pic>
              </a:graphicData>
            </a:graphic>
          </wp:inline>
        </w:drawing>
      </w:r>
    </w:p>
    <w:p w14:paraId="5166C3D3" w14:textId="32E051C7" w:rsidR="00686D7F" w:rsidRDefault="00C445EA" w:rsidP="0030309F">
      <w:pPr>
        <w:pStyle w:val="Els-body-text"/>
        <w:spacing w:after="120"/>
        <w:jc w:val="center"/>
      </w:pPr>
      <w:r w:rsidRPr="006C2424">
        <w:rPr>
          <w:sz w:val="18"/>
          <w:szCs w:val="18"/>
        </w:rPr>
        <w:t xml:space="preserve">Figure 5: Share of </w:t>
      </w:r>
      <w:r w:rsidR="00E95947" w:rsidRPr="006C2424">
        <w:rPr>
          <w:sz w:val="18"/>
          <w:szCs w:val="18"/>
        </w:rPr>
        <w:t xml:space="preserve">(a) </w:t>
      </w:r>
      <w:r w:rsidR="003224E9" w:rsidRPr="006C2424">
        <w:rPr>
          <w:sz w:val="18"/>
          <w:szCs w:val="18"/>
        </w:rPr>
        <w:t>i</w:t>
      </w:r>
      <w:r w:rsidRPr="006C2424">
        <w:rPr>
          <w:sz w:val="18"/>
          <w:szCs w:val="18"/>
        </w:rPr>
        <w:t xml:space="preserve">nvestment </w:t>
      </w:r>
      <w:r w:rsidR="003224E9" w:rsidRPr="006C2424">
        <w:rPr>
          <w:sz w:val="18"/>
          <w:szCs w:val="18"/>
        </w:rPr>
        <w:t>of</w:t>
      </w:r>
      <w:r w:rsidRPr="006C2424">
        <w:rPr>
          <w:sz w:val="18"/>
          <w:szCs w:val="18"/>
        </w:rPr>
        <w:t xml:space="preserve"> different technologies</w:t>
      </w:r>
      <w:r w:rsidR="00E95947" w:rsidRPr="006C2424">
        <w:rPr>
          <w:sz w:val="18"/>
          <w:szCs w:val="18"/>
        </w:rPr>
        <w:t xml:space="preserve"> and (b) natural gas, </w:t>
      </w:r>
      <w:proofErr w:type="gramStart"/>
      <w:r w:rsidR="00E95947" w:rsidRPr="006C2424">
        <w:rPr>
          <w:sz w:val="18"/>
          <w:szCs w:val="18"/>
        </w:rPr>
        <w:t>biogas</w:t>
      </w:r>
      <w:proofErr w:type="gramEnd"/>
      <w:r w:rsidR="00E95947" w:rsidRPr="006C2424">
        <w:rPr>
          <w:sz w:val="18"/>
          <w:szCs w:val="18"/>
        </w:rPr>
        <w:t xml:space="preserve"> and electricity imports</w:t>
      </w:r>
      <w:r w:rsidRPr="006C2424">
        <w:rPr>
          <w:sz w:val="18"/>
          <w:szCs w:val="18"/>
        </w:rPr>
        <w:t xml:space="preserve"> at different time periods</w:t>
      </w:r>
      <w:r w:rsidR="006C673F" w:rsidRPr="006C2424">
        <w:rPr>
          <w:sz w:val="18"/>
          <w:szCs w:val="18"/>
        </w:rPr>
        <w:t xml:space="preserve"> of configuration </w:t>
      </w:r>
      <w:r w:rsidR="00E95947" w:rsidRPr="006C2424">
        <w:rPr>
          <w:i/>
          <w:iCs/>
          <w:sz w:val="18"/>
          <w:szCs w:val="18"/>
        </w:rPr>
        <w:t>O</w:t>
      </w:r>
      <w:r w:rsidR="00264996" w:rsidRPr="00264996">
        <w:rPr>
          <w:noProof/>
        </w:rPr>
        <w:t xml:space="preserve"> </w:t>
      </w:r>
      <w:r w:rsidR="0030309F" w:rsidRPr="0030309F">
        <w:rPr>
          <w:noProof/>
        </w:rPr>
        <w:drawing>
          <wp:inline distT="0" distB="0" distL="0" distR="0" wp14:anchorId="466306BC" wp14:editId="649223A3">
            <wp:extent cx="4499610" cy="1249045"/>
            <wp:effectExtent l="0" t="0" r="0" b="0"/>
            <wp:docPr id="66316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65678" name=""/>
                    <pic:cNvPicPr/>
                  </pic:nvPicPr>
                  <pic:blipFill>
                    <a:blip r:embed="rId13"/>
                    <a:stretch>
                      <a:fillRect/>
                    </a:stretch>
                  </pic:blipFill>
                  <pic:spPr>
                    <a:xfrm>
                      <a:off x="0" y="0"/>
                      <a:ext cx="4499610" cy="1249045"/>
                    </a:xfrm>
                    <a:prstGeom prst="rect">
                      <a:avLst/>
                    </a:prstGeom>
                  </pic:spPr>
                </pic:pic>
              </a:graphicData>
            </a:graphic>
          </wp:inline>
        </w:drawing>
      </w:r>
    </w:p>
    <w:p w14:paraId="31A74771" w14:textId="38A06BE6" w:rsidR="00686D7F" w:rsidRPr="00A9693E" w:rsidRDefault="00A9693E" w:rsidP="007626B0">
      <w:pPr>
        <w:pStyle w:val="Els-body-text"/>
        <w:spacing w:after="120"/>
        <w:jc w:val="center"/>
        <w:rPr>
          <w:lang w:val="en-GB"/>
        </w:rPr>
      </w:pPr>
      <w:r w:rsidRPr="006C2424">
        <w:rPr>
          <w:sz w:val="18"/>
          <w:szCs w:val="18"/>
        </w:rPr>
        <w:t xml:space="preserve">Figure 6: </w:t>
      </w:r>
      <w:r w:rsidR="00876A1D" w:rsidRPr="006C2424">
        <w:rPr>
          <w:sz w:val="18"/>
          <w:szCs w:val="18"/>
        </w:rPr>
        <w:t xml:space="preserve">Share of (a) investment of different technologies and (b) natural gas, </w:t>
      </w:r>
      <w:proofErr w:type="gramStart"/>
      <w:r w:rsidR="00876A1D" w:rsidRPr="006C2424">
        <w:rPr>
          <w:sz w:val="18"/>
          <w:szCs w:val="18"/>
        </w:rPr>
        <w:t>biogas</w:t>
      </w:r>
      <w:proofErr w:type="gramEnd"/>
      <w:r w:rsidR="00876A1D" w:rsidRPr="006C2424">
        <w:rPr>
          <w:sz w:val="18"/>
          <w:szCs w:val="18"/>
        </w:rPr>
        <w:t xml:space="preserve"> and electricity imports at different time periods of configuration </w:t>
      </w:r>
      <w:r w:rsidR="00876A1D" w:rsidRPr="006C2424">
        <w:rPr>
          <w:i/>
          <w:iCs/>
          <w:sz w:val="18"/>
          <w:szCs w:val="18"/>
        </w:rPr>
        <w:t>P</w:t>
      </w:r>
    </w:p>
    <w:p w14:paraId="144DE6BA" w14:textId="661930C5" w:rsidR="008D2649" w:rsidRPr="00A94774" w:rsidRDefault="008D2649" w:rsidP="008D2649">
      <w:pPr>
        <w:pStyle w:val="Els-1storder-head"/>
        <w:spacing w:after="120"/>
        <w:rPr>
          <w:lang w:val="en-GB"/>
        </w:rPr>
      </w:pPr>
      <w:r w:rsidRPr="00A94774">
        <w:rPr>
          <w:lang w:val="en-GB"/>
        </w:rPr>
        <w:t>Conclusions</w:t>
      </w:r>
    </w:p>
    <w:p w14:paraId="20C1255C" w14:textId="27F9A3A3" w:rsidR="00C40077" w:rsidRPr="00FB37BA" w:rsidRDefault="003934D2" w:rsidP="004F1377">
      <w:pPr>
        <w:pStyle w:val="Els-body-text"/>
        <w:spacing w:after="120"/>
        <w:rPr>
          <w:lang w:val="en-GB"/>
        </w:rPr>
      </w:pPr>
      <w:r>
        <w:rPr>
          <w:lang w:val="en-GB"/>
        </w:rPr>
        <w:t>I</w:t>
      </w:r>
      <w:r w:rsidRPr="003934D2">
        <w:rPr>
          <w:lang w:val="en-GB"/>
        </w:rPr>
        <w:t>n this study, we have dev</w:t>
      </w:r>
      <w:r w:rsidR="008F7622">
        <w:rPr>
          <w:lang w:val="en-GB"/>
        </w:rPr>
        <w:t>eloped</w:t>
      </w:r>
      <w:r w:rsidRPr="003934D2">
        <w:rPr>
          <w:lang w:val="en-GB"/>
        </w:rPr>
        <w:t xml:space="preserve"> a robust methodology for evaluating investment strategies in the industrial sector, specifically </w:t>
      </w:r>
      <w:r w:rsidR="008F7622">
        <w:rPr>
          <w:lang w:val="en-GB"/>
        </w:rPr>
        <w:t>focusing</w:t>
      </w:r>
      <w:r w:rsidRPr="003934D2">
        <w:rPr>
          <w:lang w:val="en-GB"/>
        </w:rPr>
        <w:t xml:space="preserve"> on the </w:t>
      </w:r>
      <w:r w:rsidR="00FD2CA6">
        <w:rPr>
          <w:lang w:val="en-GB"/>
        </w:rPr>
        <w:t>generation</w:t>
      </w:r>
      <w:r w:rsidRPr="003934D2">
        <w:rPr>
          <w:lang w:val="en-GB"/>
        </w:rPr>
        <w:t xml:space="preserve"> and selection of optimal transition pathways. This method has been applied successfully to an oil refinery case study, where investment strategies were generated and pathway</w:t>
      </w:r>
      <w:r w:rsidR="00282DC5">
        <w:rPr>
          <w:lang w:val="en-GB"/>
        </w:rPr>
        <w:t>s</w:t>
      </w:r>
      <w:r w:rsidRPr="003934D2">
        <w:rPr>
          <w:lang w:val="en-GB"/>
        </w:rPr>
        <w:t xml:space="preserve"> leading to the minimization of predefined decision metrics under the given hypotheses w</w:t>
      </w:r>
      <w:r w:rsidR="00346A8B">
        <w:rPr>
          <w:lang w:val="en-GB"/>
        </w:rPr>
        <w:t>ere</w:t>
      </w:r>
      <w:r w:rsidRPr="003934D2">
        <w:rPr>
          <w:lang w:val="en-GB"/>
        </w:rPr>
        <w:t xml:space="preserve"> determined and </w:t>
      </w:r>
      <w:proofErr w:type="spellStart"/>
      <w:r w:rsidRPr="003934D2">
        <w:rPr>
          <w:lang w:val="en-GB"/>
        </w:rPr>
        <w:t>analyzed</w:t>
      </w:r>
      <w:proofErr w:type="spellEnd"/>
      <w:r w:rsidRPr="003934D2">
        <w:rPr>
          <w:lang w:val="en-GB"/>
        </w:rPr>
        <w:t xml:space="preserve">. In comparison to the </w:t>
      </w:r>
      <w:r w:rsidR="008F7622" w:rsidRPr="003934D2">
        <w:rPr>
          <w:lang w:val="en-GB"/>
        </w:rPr>
        <w:t>base case</w:t>
      </w:r>
      <w:r w:rsidRPr="003934D2">
        <w:rPr>
          <w:lang w:val="en-GB"/>
        </w:rPr>
        <w:t xml:space="preserve"> scenario in 2023, the identified pathway</w:t>
      </w:r>
      <w:r w:rsidR="002C50F7">
        <w:rPr>
          <w:lang w:val="en-GB"/>
        </w:rPr>
        <w:t>s</w:t>
      </w:r>
      <w:r w:rsidRPr="003934D2">
        <w:rPr>
          <w:lang w:val="en-GB"/>
        </w:rPr>
        <w:t xml:space="preserve"> prioritized </w:t>
      </w:r>
      <w:r w:rsidR="002C50F7">
        <w:rPr>
          <w:lang w:val="en-GB"/>
        </w:rPr>
        <w:t xml:space="preserve">initial </w:t>
      </w:r>
      <w:r w:rsidRPr="003934D2">
        <w:rPr>
          <w:lang w:val="en-GB"/>
        </w:rPr>
        <w:t xml:space="preserve">investments in carbon capture </w:t>
      </w:r>
      <w:r w:rsidR="002C50F7">
        <w:rPr>
          <w:lang w:val="en-GB"/>
        </w:rPr>
        <w:t>or</w:t>
      </w:r>
      <w:r w:rsidRPr="003934D2">
        <w:rPr>
          <w:lang w:val="en-GB"/>
        </w:rPr>
        <w:t xml:space="preserve"> </w:t>
      </w:r>
      <w:r w:rsidR="002C50F7">
        <w:rPr>
          <w:lang w:val="en-GB"/>
        </w:rPr>
        <w:t>electrification</w:t>
      </w:r>
      <w:r w:rsidRPr="003934D2">
        <w:rPr>
          <w:lang w:val="en-GB"/>
        </w:rPr>
        <w:t xml:space="preserve"> technologies</w:t>
      </w:r>
      <w:r w:rsidR="002C50F7">
        <w:rPr>
          <w:lang w:val="en-GB"/>
        </w:rPr>
        <w:t xml:space="preserve"> according to the selected energy markets assumptions and decision metrics</w:t>
      </w:r>
      <w:r w:rsidRPr="003934D2">
        <w:rPr>
          <w:lang w:val="en-GB"/>
        </w:rPr>
        <w:t xml:space="preserve">, </w:t>
      </w:r>
      <w:r w:rsidR="00821395" w:rsidRPr="00821395">
        <w:rPr>
          <w:lang w:val="en-GB"/>
        </w:rPr>
        <w:t>resulting in a net emission reduction over the entire lifespan of the refinery</w:t>
      </w:r>
      <w:r w:rsidRPr="003934D2">
        <w:rPr>
          <w:lang w:val="en-GB"/>
        </w:rPr>
        <w:t xml:space="preserve">. </w:t>
      </w:r>
      <w:r w:rsidR="001F7F4C">
        <w:rPr>
          <w:lang w:val="en-GB"/>
        </w:rPr>
        <w:t xml:space="preserve">Our future work involves more realistic </w:t>
      </w:r>
      <w:r w:rsidR="001F7F4C" w:rsidRPr="00E57443">
        <w:rPr>
          <w:noProof/>
          <w:color w:val="000000" w:themeColor="text1"/>
        </w:rPr>
        <w:t xml:space="preserve">considerations about heat integration constraints than can be encountered in real industrial assets along with </w:t>
      </w:r>
      <w:r w:rsidR="001F7F4C" w:rsidRPr="00E57443">
        <w:rPr>
          <w:color w:val="000000" w:themeColor="text1"/>
          <w:lang w:val="en-GB"/>
        </w:rPr>
        <w:t xml:space="preserve">completing </w:t>
      </w:r>
      <w:r w:rsidR="001F7F4C">
        <w:rPr>
          <w:lang w:val="en-GB"/>
        </w:rPr>
        <w:t>the superstructure for refinery decarbonization.</w:t>
      </w:r>
    </w:p>
    <w:p w14:paraId="144DE6BF" w14:textId="608D0AD6" w:rsidR="008D2649" w:rsidRPr="004B394E" w:rsidRDefault="008D2649" w:rsidP="008D2649">
      <w:pPr>
        <w:pStyle w:val="Els-reference-head"/>
        <w:rPr>
          <w:lang w:val="fr-FR"/>
        </w:rPr>
      </w:pPr>
      <w:proofErr w:type="spellStart"/>
      <w:r w:rsidRPr="004B394E">
        <w:rPr>
          <w:lang w:val="fr-FR"/>
        </w:rPr>
        <w:t>References</w:t>
      </w:r>
      <w:proofErr w:type="spellEnd"/>
    </w:p>
    <w:p w14:paraId="54388180" w14:textId="77777777" w:rsidR="003A2A18" w:rsidRPr="004B394E" w:rsidRDefault="003A2A18" w:rsidP="003A2A18">
      <w:pPr>
        <w:pStyle w:val="Els-referenceno-number"/>
        <w:rPr>
          <w:lang w:val="fr-FR"/>
        </w:rPr>
      </w:pPr>
      <w:r w:rsidRPr="004B394E">
        <w:rPr>
          <w:lang w:val="fr-FR"/>
        </w:rPr>
        <w:t xml:space="preserve">V. Masson-Delmotte, P.Zhai, A. Pirani, 2021, Climate change 2021, Voulume 2 </w:t>
      </w:r>
    </w:p>
    <w:p w14:paraId="12138A1F" w14:textId="201B8B67" w:rsidR="007D23C6" w:rsidRDefault="003A2A18" w:rsidP="007D23C6">
      <w:pPr>
        <w:pStyle w:val="Els-referenceno-number"/>
        <w:rPr>
          <w:lang w:val="en-US"/>
        </w:rPr>
      </w:pPr>
      <w:r>
        <w:rPr>
          <w:lang w:val="en-US"/>
        </w:rPr>
        <w:t>G.A. Bakirtzis, P.N Biskas, and V. Chatziathanasion, 2012, Generation expansion planning ny milp considering mid-term scheduling decisions, Electric Power Systems Research, volume 86, 98-112</w:t>
      </w:r>
    </w:p>
    <w:p w14:paraId="2157A5F1" w14:textId="77777777" w:rsidR="003A2A18" w:rsidRDefault="003A2A18" w:rsidP="003A2A18">
      <w:pPr>
        <w:pStyle w:val="Els-referenceno-number"/>
        <w:rPr>
          <w:lang w:val="en-US"/>
        </w:rPr>
      </w:pPr>
      <w:r>
        <w:rPr>
          <w:lang w:val="en-US"/>
        </w:rPr>
        <w:t>H.Butun, I. Kantor, and F. Marechal, 2019, An optimization approach for long-term industrial investment planning, Energies, Volume 12, no. 21, p.4076.</w:t>
      </w:r>
    </w:p>
    <w:p w14:paraId="0BD93253" w14:textId="77777777" w:rsidR="007D23C6" w:rsidRPr="00AA5240" w:rsidRDefault="007D23C6" w:rsidP="007D23C6">
      <w:pPr>
        <w:pStyle w:val="Els-referenceno-number"/>
        <w:ind w:left="0" w:firstLine="0"/>
        <w:rPr>
          <w:sz w:val="22"/>
          <w:szCs w:val="24"/>
          <w:lang w:val="en-US"/>
        </w:rPr>
      </w:pPr>
      <w:r>
        <w:rPr>
          <w:lang w:val="en-US"/>
        </w:rPr>
        <w:t xml:space="preserve">X. </w:t>
      </w:r>
      <w:r w:rsidRPr="001146B8">
        <w:rPr>
          <w:lang w:val="en-US"/>
        </w:rPr>
        <w:t xml:space="preserve">Li, &amp; </w:t>
      </w:r>
      <w:r>
        <w:rPr>
          <w:lang w:val="en-US"/>
        </w:rPr>
        <w:t xml:space="preserve">F., </w:t>
      </w:r>
      <w:r w:rsidRPr="001146B8">
        <w:rPr>
          <w:lang w:val="en-US"/>
        </w:rPr>
        <w:t>Maréchal</w:t>
      </w:r>
      <w:r>
        <w:rPr>
          <w:lang w:val="en-US"/>
        </w:rPr>
        <w:t>,</w:t>
      </w:r>
      <w:r w:rsidRPr="001146B8">
        <w:rPr>
          <w:lang w:val="en-US"/>
        </w:rPr>
        <w:t xml:space="preserve"> 2023</w:t>
      </w:r>
      <w:r>
        <w:rPr>
          <w:lang w:val="en-US"/>
        </w:rPr>
        <w:t>,</w:t>
      </w:r>
      <w:r w:rsidRPr="001146B8">
        <w:rPr>
          <w:lang w:val="en-US"/>
        </w:rPr>
        <w:t xml:space="preserve"> Deep excavation of the impact from endogenous and exogenous uncertainties on long-term energy planning. Energy and AI, 11, 100219.</w:t>
      </w:r>
    </w:p>
    <w:p w14:paraId="6B528231" w14:textId="7DE24FB3" w:rsidR="007D23C6" w:rsidRDefault="007D23C6" w:rsidP="007D23C6">
      <w:pPr>
        <w:pStyle w:val="Els-referenceno-number"/>
        <w:ind w:left="0" w:firstLine="0"/>
        <w:rPr>
          <w:lang w:val="en-US"/>
        </w:rPr>
      </w:pPr>
      <w:r>
        <w:rPr>
          <w:lang w:val="en-US"/>
        </w:rPr>
        <w:t xml:space="preserve">H., </w:t>
      </w:r>
      <w:r w:rsidRPr="007D23C6">
        <w:rPr>
          <w:lang w:val="en-US"/>
        </w:rPr>
        <w:t>Cervo, J. H</w:t>
      </w:r>
      <w:r>
        <w:rPr>
          <w:lang w:val="en-US"/>
        </w:rPr>
        <w:t xml:space="preserve">., </w:t>
      </w:r>
      <w:r w:rsidRPr="007D23C6">
        <w:rPr>
          <w:lang w:val="en-US"/>
        </w:rPr>
        <w:t xml:space="preserve">Ferrasse, </w:t>
      </w:r>
      <w:r>
        <w:rPr>
          <w:lang w:val="en-US"/>
        </w:rPr>
        <w:t xml:space="preserve">B., </w:t>
      </w:r>
      <w:r w:rsidRPr="007D23C6">
        <w:rPr>
          <w:lang w:val="en-US"/>
        </w:rPr>
        <w:t xml:space="preserve">Descale, </w:t>
      </w:r>
      <w:r>
        <w:rPr>
          <w:lang w:val="en-US"/>
        </w:rPr>
        <w:t>and</w:t>
      </w:r>
      <w:r w:rsidRPr="007D23C6">
        <w:rPr>
          <w:lang w:val="en-US"/>
        </w:rPr>
        <w:t xml:space="preserve"> </w:t>
      </w:r>
      <w:r>
        <w:rPr>
          <w:lang w:val="en-US"/>
        </w:rPr>
        <w:t xml:space="preserve">G. </w:t>
      </w:r>
      <w:r w:rsidRPr="007D23C6">
        <w:rPr>
          <w:lang w:val="en-US"/>
        </w:rPr>
        <w:t>Van Eetvelde</w:t>
      </w:r>
      <w:r>
        <w:rPr>
          <w:lang w:val="en-US"/>
        </w:rPr>
        <w:t xml:space="preserve">, </w:t>
      </w:r>
      <w:r w:rsidRPr="007D23C6">
        <w:rPr>
          <w:lang w:val="en-US"/>
        </w:rPr>
        <w:t>2020</w:t>
      </w:r>
      <w:r>
        <w:rPr>
          <w:lang w:val="en-US"/>
        </w:rPr>
        <w:t>,</w:t>
      </w:r>
      <w:r w:rsidRPr="007D23C6">
        <w:rPr>
          <w:lang w:val="en-US"/>
        </w:rPr>
        <w:t xml:space="preserve"> Blueprint: A methodology facilitating data exchanges to enhance the detection of industrial symbiosis opportunities–application to a refinery. Chemical Engineering Science, 211, 115254.</w:t>
      </w:r>
    </w:p>
    <w:p w14:paraId="4A634092" w14:textId="72BAC771" w:rsidR="00AA5240" w:rsidRPr="006C2424" w:rsidRDefault="005774B6" w:rsidP="007D23C6">
      <w:pPr>
        <w:pStyle w:val="Els-referenceno-number"/>
        <w:ind w:left="0" w:firstLine="0"/>
        <w:rPr>
          <w:lang w:val="en-US"/>
        </w:rPr>
      </w:pPr>
      <w:r>
        <w:rPr>
          <w:lang w:val="en-US"/>
        </w:rPr>
        <w:t>E</w:t>
      </w:r>
      <w:r w:rsidRPr="005774B6">
        <w:rPr>
          <w:lang w:val="en-US"/>
        </w:rPr>
        <w:t xml:space="preserve">coinvent, Allocation, cut-off by classification, </w:t>
      </w:r>
      <w:r w:rsidR="001146B8">
        <w:rPr>
          <w:lang w:val="en-US"/>
        </w:rPr>
        <w:t xml:space="preserve">2021, </w:t>
      </w:r>
      <w:r w:rsidRPr="005774B6">
        <w:rPr>
          <w:lang w:val="en-US"/>
        </w:rPr>
        <w:t>ecoinvent database version 3.8</w:t>
      </w:r>
    </w:p>
    <w:sectPr w:rsidR="00AA5240" w:rsidRPr="006C2424" w:rsidSect="008B0184">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4677D" w14:textId="77777777" w:rsidR="00C836E4" w:rsidRDefault="00C836E4">
      <w:r>
        <w:separator/>
      </w:r>
    </w:p>
  </w:endnote>
  <w:endnote w:type="continuationSeparator" w:id="0">
    <w:p w14:paraId="3C22977B" w14:textId="77777777" w:rsidR="00C836E4" w:rsidRDefault="00C83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E78F4" w14:textId="77777777" w:rsidR="00C836E4" w:rsidRDefault="00C836E4">
      <w:r>
        <w:separator/>
      </w:r>
    </w:p>
  </w:footnote>
  <w:footnote w:type="continuationSeparator" w:id="0">
    <w:p w14:paraId="6360C886" w14:textId="77777777" w:rsidR="00C836E4" w:rsidRDefault="00C83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EB2E158" w:rsidR="00DD3D9E" w:rsidRDefault="00DD3D9E">
    <w:pPr>
      <w:pStyle w:val="Header"/>
      <w:tabs>
        <w:tab w:val="clear" w:pos="7200"/>
        <w:tab w:val="right" w:pos="7088"/>
      </w:tabs>
    </w:pPr>
    <w:r>
      <w:rPr>
        <w:rStyle w:val="PageNumber"/>
      </w:rPr>
      <w:tab/>
    </w:r>
    <w:r>
      <w:rPr>
        <w:rStyle w:val="PageNumber"/>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F7BDF63" w:rsidR="00DD3D9E" w:rsidRDefault="00DD3D9E">
    <w:pPr>
      <w:pStyle w:val="Header"/>
      <w:tabs>
        <w:tab w:val="clear" w:pos="7200"/>
        <w:tab w:val="right" w:pos="7088"/>
      </w:tabs>
      <w:jc w:val="right"/>
      <w:rPr>
        <w:sz w:val="24"/>
      </w:rPr>
    </w:pP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C" w14:textId="65EF433B" w:rsidR="00DD3D9E" w:rsidRPr="00FF6043" w:rsidRDefault="001B1DE3"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00F06842" w:rsidRPr="00FF6043">
      <w:rPr>
        <w:color w:val="auto"/>
        <w:sz w:val="20"/>
        <w:szCs w:val="20"/>
      </w:rPr>
      <w:t xml:space="preserve">Flavio </w:t>
    </w:r>
    <w:proofErr w:type="spellStart"/>
    <w:r w:rsidR="00F06842" w:rsidRPr="00FF6043">
      <w:rPr>
        <w:color w:val="auto"/>
        <w:sz w:val="20"/>
        <w:szCs w:val="20"/>
      </w:rPr>
      <w:t>Manenti</w:t>
    </w:r>
    <w:proofErr w:type="spellEnd"/>
    <w:r w:rsidR="00F06842" w:rsidRPr="00FF6043">
      <w:rPr>
        <w:color w:val="auto"/>
        <w:sz w:val="20"/>
        <w:szCs w:val="20"/>
      </w:rPr>
      <w:t xml:space="preserve">, </w:t>
    </w:r>
    <w:proofErr w:type="spellStart"/>
    <w:r w:rsidR="00F06842" w:rsidRPr="00FF6043">
      <w:rPr>
        <w:color w:val="auto"/>
        <w:sz w:val="20"/>
        <w:szCs w:val="20"/>
      </w:rPr>
      <w:t>Gintaras</w:t>
    </w:r>
    <w:proofErr w:type="spellEnd"/>
    <w:r w:rsidR="00F06842" w:rsidRPr="00FF6043">
      <w:rPr>
        <w:color w:val="auto"/>
        <w:sz w:val="20"/>
        <w:szCs w:val="20"/>
      </w:rPr>
      <w:t xml:space="preserve"> V. Reklaitis (Eds.), </w:t>
    </w:r>
    <w:r w:rsidR="00FF6043" w:rsidRPr="00FF6043">
      <w:rPr>
        <w:color w:val="auto"/>
        <w:sz w:val="20"/>
        <w:szCs w:val="20"/>
      </w:rPr>
      <w:t>B</w:t>
    </w:r>
    <w:r w:rsidR="00FF6043" w:rsidRPr="00FF6043">
      <w:rPr>
        <w:noProof/>
        <w:sz w:val="20"/>
        <w:szCs w:val="20"/>
      </w:rPr>
      <w:t>ook of Abstract</w:t>
    </w:r>
    <w:r w:rsidR="00F06842" w:rsidRPr="00FF6043">
      <w:rPr>
        <w:noProof/>
        <w:sz w:val="20"/>
        <w:szCs w:val="20"/>
      </w:rPr>
      <w:t xml:space="preserve"> of the </w:t>
    </w:r>
    <w:r w:rsidR="00F06842" w:rsidRPr="00FF6043">
      <w:rPr>
        <w:rStyle w:val="underline1"/>
        <w:sz w:val="20"/>
        <w:szCs w:val="20"/>
        <w:u w:val="none"/>
      </w:rPr>
      <w:t>34</w:t>
    </w:r>
    <w:r w:rsidR="00F06842" w:rsidRPr="00FF6043">
      <w:rPr>
        <w:rStyle w:val="underline1"/>
        <w:sz w:val="20"/>
        <w:szCs w:val="20"/>
        <w:u w:val="none"/>
        <w:vertAlign w:val="superscript"/>
      </w:rPr>
      <w:t>th</w:t>
    </w:r>
    <w:r w:rsidR="00F06842" w:rsidRPr="00FF6043">
      <w:rPr>
        <w:rStyle w:val="underline1"/>
        <w:sz w:val="20"/>
        <w:szCs w:val="20"/>
        <w:u w:val="none"/>
      </w:rPr>
      <w:t xml:space="preserve"> European Symposium on Computer Aided Process Engineering / 15</w:t>
    </w:r>
    <w:r w:rsidR="00F06842" w:rsidRPr="00FF6043">
      <w:rPr>
        <w:rStyle w:val="underline1"/>
        <w:sz w:val="20"/>
        <w:szCs w:val="20"/>
        <w:u w:val="none"/>
        <w:vertAlign w:val="superscript"/>
      </w:rPr>
      <w:t>th</w:t>
    </w:r>
    <w:r w:rsidR="00F06842" w:rsidRPr="00FF6043">
      <w:rPr>
        <w:rStyle w:val="underline1"/>
        <w:sz w:val="20"/>
        <w:szCs w:val="20"/>
        <w:u w:val="none"/>
      </w:rPr>
      <w:t xml:space="preserve"> International Symposium on Process Systems Engineerin</w:t>
    </w:r>
    <w:r w:rsidR="00F06842" w:rsidRPr="00FF6043">
      <w:rPr>
        <w:rStyle w:val="underline1"/>
        <w:sz w:val="20"/>
        <w:szCs w:val="20"/>
      </w:rPr>
      <w:t>g</w:t>
    </w:r>
    <w:r w:rsidR="00F06842" w:rsidRPr="00FF6043">
      <w:rPr>
        <w:noProof/>
        <w:sz w:val="20"/>
        <w:szCs w:val="20"/>
      </w:rPr>
      <w:t xml:space="preserve"> (ESCAPE34/PSE24), June 2-6, 2024,</w:t>
    </w:r>
    <w:r w:rsidR="00F06842" w:rsidRPr="00FF6043">
      <w:rPr>
        <w:sz w:val="20"/>
        <w:szCs w:val="20"/>
      </w:rPr>
      <w:t xml:space="preserve"> Florence</w:t>
    </w:r>
    <w:r w:rsidR="00F06842" w:rsidRPr="00FF6043">
      <w:rPr>
        <w:noProof/>
        <w:sz w:val="20"/>
        <w:szCs w:val="20"/>
      </w:rPr>
      <w:t>, Italy</w:t>
    </w:r>
    <w:r w:rsidR="00FF6043">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FA60E3D"/>
    <w:multiLevelType w:val="hybridMultilevel"/>
    <w:tmpl w:val="A76EBAC0"/>
    <w:lvl w:ilvl="0" w:tplc="51B88A42">
      <w:start w:val="3"/>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7C66C6"/>
    <w:multiLevelType w:val="hybridMultilevel"/>
    <w:tmpl w:val="08283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78B47D8"/>
    <w:multiLevelType w:val="hybridMultilevel"/>
    <w:tmpl w:val="E39EB8C6"/>
    <w:lvl w:ilvl="0" w:tplc="1044725E">
      <w:start w:val="3"/>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737046637">
    <w:abstractNumId w:val="13"/>
  </w:num>
  <w:num w:numId="2" w16cid:durableId="1966545590">
    <w:abstractNumId w:val="13"/>
  </w:num>
  <w:num w:numId="3" w16cid:durableId="1392344669">
    <w:abstractNumId w:val="13"/>
  </w:num>
  <w:num w:numId="4" w16cid:durableId="718482330">
    <w:abstractNumId w:val="13"/>
  </w:num>
  <w:num w:numId="5" w16cid:durableId="1582985466">
    <w:abstractNumId w:val="0"/>
  </w:num>
  <w:num w:numId="6" w16cid:durableId="996568866">
    <w:abstractNumId w:val="6"/>
  </w:num>
  <w:num w:numId="7" w16cid:durableId="723607308">
    <w:abstractNumId w:val="15"/>
  </w:num>
  <w:num w:numId="8" w16cid:durableId="1164200508">
    <w:abstractNumId w:val="1"/>
  </w:num>
  <w:num w:numId="9" w16cid:durableId="754979948">
    <w:abstractNumId w:val="12"/>
  </w:num>
  <w:num w:numId="10" w16cid:durableId="1169248199">
    <w:abstractNumId w:val="17"/>
  </w:num>
  <w:num w:numId="11" w16cid:durableId="819465724">
    <w:abstractNumId w:val="16"/>
  </w:num>
  <w:num w:numId="12" w16cid:durableId="937057251">
    <w:abstractNumId w:val="5"/>
  </w:num>
  <w:num w:numId="13" w16cid:durableId="1741558361">
    <w:abstractNumId w:val="10"/>
  </w:num>
  <w:num w:numId="14" w16cid:durableId="400063210">
    <w:abstractNumId w:val="2"/>
  </w:num>
  <w:num w:numId="15" w16cid:durableId="605580794">
    <w:abstractNumId w:val="7"/>
  </w:num>
  <w:num w:numId="16" w16cid:durableId="823357278">
    <w:abstractNumId w:val="3"/>
  </w:num>
  <w:num w:numId="17" w16cid:durableId="1944846798">
    <w:abstractNumId w:val="4"/>
  </w:num>
  <w:num w:numId="18" w16cid:durableId="459955734">
    <w:abstractNumId w:val="11"/>
  </w:num>
  <w:num w:numId="19" w16cid:durableId="637958126">
    <w:abstractNumId w:val="9"/>
  </w:num>
  <w:num w:numId="20" w16cid:durableId="999817853">
    <w:abstractNumId w:val="8"/>
  </w:num>
  <w:num w:numId="21" w16cid:durableId="6088987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4A16"/>
    <w:rsid w:val="00007B43"/>
    <w:rsid w:val="0001138D"/>
    <w:rsid w:val="00016249"/>
    <w:rsid w:val="00025B3A"/>
    <w:rsid w:val="00030C16"/>
    <w:rsid w:val="00031CC9"/>
    <w:rsid w:val="0003255C"/>
    <w:rsid w:val="00034C71"/>
    <w:rsid w:val="00035ED7"/>
    <w:rsid w:val="00042EDC"/>
    <w:rsid w:val="00045CA8"/>
    <w:rsid w:val="00050B85"/>
    <w:rsid w:val="00051E91"/>
    <w:rsid w:val="0005589C"/>
    <w:rsid w:val="00062159"/>
    <w:rsid w:val="000678B5"/>
    <w:rsid w:val="0007355C"/>
    <w:rsid w:val="00095A51"/>
    <w:rsid w:val="00097E89"/>
    <w:rsid w:val="000A1A1A"/>
    <w:rsid w:val="000A3E96"/>
    <w:rsid w:val="000A5080"/>
    <w:rsid w:val="000B1D4B"/>
    <w:rsid w:val="000B5F89"/>
    <w:rsid w:val="000B74FD"/>
    <w:rsid w:val="000C12C8"/>
    <w:rsid w:val="000C31B9"/>
    <w:rsid w:val="000C605F"/>
    <w:rsid w:val="000C753C"/>
    <w:rsid w:val="000D068D"/>
    <w:rsid w:val="000D18D4"/>
    <w:rsid w:val="000D2F88"/>
    <w:rsid w:val="000D3D9B"/>
    <w:rsid w:val="000D4BE0"/>
    <w:rsid w:val="000D4EC8"/>
    <w:rsid w:val="000D6CD5"/>
    <w:rsid w:val="000D7D8E"/>
    <w:rsid w:val="000E06D9"/>
    <w:rsid w:val="000F0DC0"/>
    <w:rsid w:val="000F3BCC"/>
    <w:rsid w:val="000F4C6F"/>
    <w:rsid w:val="00100A47"/>
    <w:rsid w:val="00105539"/>
    <w:rsid w:val="00106743"/>
    <w:rsid w:val="00110E12"/>
    <w:rsid w:val="001146B8"/>
    <w:rsid w:val="00116516"/>
    <w:rsid w:val="00120434"/>
    <w:rsid w:val="00120740"/>
    <w:rsid w:val="0012285E"/>
    <w:rsid w:val="00125FF0"/>
    <w:rsid w:val="001265CE"/>
    <w:rsid w:val="00126C0E"/>
    <w:rsid w:val="00127C42"/>
    <w:rsid w:val="00134F7C"/>
    <w:rsid w:val="00140CB9"/>
    <w:rsid w:val="0014153B"/>
    <w:rsid w:val="001432CA"/>
    <w:rsid w:val="00143DC5"/>
    <w:rsid w:val="001467E0"/>
    <w:rsid w:val="00150F2E"/>
    <w:rsid w:val="00154618"/>
    <w:rsid w:val="0016032F"/>
    <w:rsid w:val="0017019B"/>
    <w:rsid w:val="00181E3A"/>
    <w:rsid w:val="00182AC7"/>
    <w:rsid w:val="00186D7E"/>
    <w:rsid w:val="001879F6"/>
    <w:rsid w:val="00187A98"/>
    <w:rsid w:val="00187E03"/>
    <w:rsid w:val="00192AF5"/>
    <w:rsid w:val="00194504"/>
    <w:rsid w:val="00196D98"/>
    <w:rsid w:val="00196F73"/>
    <w:rsid w:val="001B1DE3"/>
    <w:rsid w:val="001B2A2A"/>
    <w:rsid w:val="001B745E"/>
    <w:rsid w:val="001C0148"/>
    <w:rsid w:val="001C4208"/>
    <w:rsid w:val="001C757E"/>
    <w:rsid w:val="001D1588"/>
    <w:rsid w:val="001D2881"/>
    <w:rsid w:val="001D3284"/>
    <w:rsid w:val="001D43A1"/>
    <w:rsid w:val="001D53E4"/>
    <w:rsid w:val="001D7F08"/>
    <w:rsid w:val="001F1B96"/>
    <w:rsid w:val="001F397E"/>
    <w:rsid w:val="001F624A"/>
    <w:rsid w:val="001F730B"/>
    <w:rsid w:val="001F7F4C"/>
    <w:rsid w:val="0020390F"/>
    <w:rsid w:val="00205FE3"/>
    <w:rsid w:val="00210426"/>
    <w:rsid w:val="002107BA"/>
    <w:rsid w:val="00216217"/>
    <w:rsid w:val="00217F48"/>
    <w:rsid w:val="002205A9"/>
    <w:rsid w:val="002220F7"/>
    <w:rsid w:val="00230DB1"/>
    <w:rsid w:val="00247E03"/>
    <w:rsid w:val="00250F7A"/>
    <w:rsid w:val="00251682"/>
    <w:rsid w:val="00255E74"/>
    <w:rsid w:val="00263C1D"/>
    <w:rsid w:val="00264926"/>
    <w:rsid w:val="00264996"/>
    <w:rsid w:val="002664B9"/>
    <w:rsid w:val="0027022F"/>
    <w:rsid w:val="00274080"/>
    <w:rsid w:val="0027452A"/>
    <w:rsid w:val="00282DC5"/>
    <w:rsid w:val="00285F53"/>
    <w:rsid w:val="00290C1C"/>
    <w:rsid w:val="002912B1"/>
    <w:rsid w:val="00296D1A"/>
    <w:rsid w:val="002A413A"/>
    <w:rsid w:val="002B1E42"/>
    <w:rsid w:val="002B61A8"/>
    <w:rsid w:val="002C50F7"/>
    <w:rsid w:val="002D29DC"/>
    <w:rsid w:val="002D5690"/>
    <w:rsid w:val="002E10D1"/>
    <w:rsid w:val="002E2539"/>
    <w:rsid w:val="002E3551"/>
    <w:rsid w:val="002E365B"/>
    <w:rsid w:val="002E6303"/>
    <w:rsid w:val="002E75FB"/>
    <w:rsid w:val="002F067D"/>
    <w:rsid w:val="002F181C"/>
    <w:rsid w:val="002F3104"/>
    <w:rsid w:val="002F6114"/>
    <w:rsid w:val="0030309F"/>
    <w:rsid w:val="00303625"/>
    <w:rsid w:val="003109AF"/>
    <w:rsid w:val="00315ABD"/>
    <w:rsid w:val="003218E3"/>
    <w:rsid w:val="00322154"/>
    <w:rsid w:val="00322478"/>
    <w:rsid w:val="003224E9"/>
    <w:rsid w:val="003241D0"/>
    <w:rsid w:val="003309DE"/>
    <w:rsid w:val="00331FD6"/>
    <w:rsid w:val="0033293E"/>
    <w:rsid w:val="003409FC"/>
    <w:rsid w:val="00344536"/>
    <w:rsid w:val="0034464B"/>
    <w:rsid w:val="00344D01"/>
    <w:rsid w:val="00344F91"/>
    <w:rsid w:val="00346A8B"/>
    <w:rsid w:val="003471D5"/>
    <w:rsid w:val="00351AD5"/>
    <w:rsid w:val="00353F59"/>
    <w:rsid w:val="00353FF4"/>
    <w:rsid w:val="0035780C"/>
    <w:rsid w:val="00363607"/>
    <w:rsid w:val="00364FE9"/>
    <w:rsid w:val="00365E85"/>
    <w:rsid w:val="00371513"/>
    <w:rsid w:val="00371D24"/>
    <w:rsid w:val="00374D9A"/>
    <w:rsid w:val="003813F2"/>
    <w:rsid w:val="00383813"/>
    <w:rsid w:val="0038740A"/>
    <w:rsid w:val="003934D2"/>
    <w:rsid w:val="00393CE0"/>
    <w:rsid w:val="0039565E"/>
    <w:rsid w:val="00395952"/>
    <w:rsid w:val="003A1D20"/>
    <w:rsid w:val="003A2A18"/>
    <w:rsid w:val="003A3B79"/>
    <w:rsid w:val="003A7165"/>
    <w:rsid w:val="003B0903"/>
    <w:rsid w:val="003B168E"/>
    <w:rsid w:val="003B4241"/>
    <w:rsid w:val="003B7140"/>
    <w:rsid w:val="003C1EEF"/>
    <w:rsid w:val="003C48D2"/>
    <w:rsid w:val="003D0C84"/>
    <w:rsid w:val="003D1582"/>
    <w:rsid w:val="003D5EE2"/>
    <w:rsid w:val="003D7E4C"/>
    <w:rsid w:val="003E2939"/>
    <w:rsid w:val="003E2A2E"/>
    <w:rsid w:val="003E41C2"/>
    <w:rsid w:val="003E46A9"/>
    <w:rsid w:val="003E5971"/>
    <w:rsid w:val="003E6EE2"/>
    <w:rsid w:val="003E710F"/>
    <w:rsid w:val="003F73B2"/>
    <w:rsid w:val="004078ED"/>
    <w:rsid w:val="00410790"/>
    <w:rsid w:val="0041396D"/>
    <w:rsid w:val="00415DC4"/>
    <w:rsid w:val="00416B86"/>
    <w:rsid w:val="00420237"/>
    <w:rsid w:val="00420E71"/>
    <w:rsid w:val="00420F23"/>
    <w:rsid w:val="004233DA"/>
    <w:rsid w:val="00423F02"/>
    <w:rsid w:val="00426D61"/>
    <w:rsid w:val="00430BF1"/>
    <w:rsid w:val="00431A28"/>
    <w:rsid w:val="00433263"/>
    <w:rsid w:val="004362B2"/>
    <w:rsid w:val="00440ECA"/>
    <w:rsid w:val="0045241C"/>
    <w:rsid w:val="004526C4"/>
    <w:rsid w:val="0045339C"/>
    <w:rsid w:val="00456C3E"/>
    <w:rsid w:val="00460EF9"/>
    <w:rsid w:val="004621BD"/>
    <w:rsid w:val="004628E9"/>
    <w:rsid w:val="0046322C"/>
    <w:rsid w:val="00465DD1"/>
    <w:rsid w:val="0048006D"/>
    <w:rsid w:val="0048038F"/>
    <w:rsid w:val="00490215"/>
    <w:rsid w:val="00495ADF"/>
    <w:rsid w:val="0049772C"/>
    <w:rsid w:val="004A47B1"/>
    <w:rsid w:val="004A7DA1"/>
    <w:rsid w:val="004B394E"/>
    <w:rsid w:val="004B4108"/>
    <w:rsid w:val="004B5CF6"/>
    <w:rsid w:val="004B5DF7"/>
    <w:rsid w:val="004D13F6"/>
    <w:rsid w:val="004D6409"/>
    <w:rsid w:val="004E5B9B"/>
    <w:rsid w:val="004F1377"/>
    <w:rsid w:val="0050240D"/>
    <w:rsid w:val="00504181"/>
    <w:rsid w:val="00504F91"/>
    <w:rsid w:val="00507CB7"/>
    <w:rsid w:val="005135DC"/>
    <w:rsid w:val="005137E6"/>
    <w:rsid w:val="00515AC6"/>
    <w:rsid w:val="00526045"/>
    <w:rsid w:val="005379DB"/>
    <w:rsid w:val="00550013"/>
    <w:rsid w:val="00552BFD"/>
    <w:rsid w:val="00552EEB"/>
    <w:rsid w:val="00554564"/>
    <w:rsid w:val="00561DC0"/>
    <w:rsid w:val="00567936"/>
    <w:rsid w:val="00567D93"/>
    <w:rsid w:val="00570F87"/>
    <w:rsid w:val="00572F2A"/>
    <w:rsid w:val="005774B6"/>
    <w:rsid w:val="00581BA9"/>
    <w:rsid w:val="00585338"/>
    <w:rsid w:val="0059482F"/>
    <w:rsid w:val="005A10E4"/>
    <w:rsid w:val="005A4851"/>
    <w:rsid w:val="005A57BC"/>
    <w:rsid w:val="005A65E1"/>
    <w:rsid w:val="005B06AA"/>
    <w:rsid w:val="005C1189"/>
    <w:rsid w:val="005C1783"/>
    <w:rsid w:val="005D0AF9"/>
    <w:rsid w:val="005D33BB"/>
    <w:rsid w:val="005D64B5"/>
    <w:rsid w:val="005E2929"/>
    <w:rsid w:val="005E5A1B"/>
    <w:rsid w:val="005E5E8C"/>
    <w:rsid w:val="005E78AC"/>
    <w:rsid w:val="005F07C5"/>
    <w:rsid w:val="005F33B6"/>
    <w:rsid w:val="005F7543"/>
    <w:rsid w:val="0060162A"/>
    <w:rsid w:val="00602B08"/>
    <w:rsid w:val="006077DE"/>
    <w:rsid w:val="00607D72"/>
    <w:rsid w:val="00614413"/>
    <w:rsid w:val="006154E4"/>
    <w:rsid w:val="00623184"/>
    <w:rsid w:val="0062734D"/>
    <w:rsid w:val="006274CF"/>
    <w:rsid w:val="00631314"/>
    <w:rsid w:val="00632A31"/>
    <w:rsid w:val="006363F0"/>
    <w:rsid w:val="00641DD7"/>
    <w:rsid w:val="00660969"/>
    <w:rsid w:val="00662AC7"/>
    <w:rsid w:val="00664730"/>
    <w:rsid w:val="00667B44"/>
    <w:rsid w:val="00667DDD"/>
    <w:rsid w:val="006755D0"/>
    <w:rsid w:val="0067565E"/>
    <w:rsid w:val="0067745D"/>
    <w:rsid w:val="00686D7F"/>
    <w:rsid w:val="006918DA"/>
    <w:rsid w:val="00691A41"/>
    <w:rsid w:val="0069394F"/>
    <w:rsid w:val="00695730"/>
    <w:rsid w:val="00697281"/>
    <w:rsid w:val="006A0205"/>
    <w:rsid w:val="006A69BF"/>
    <w:rsid w:val="006B6173"/>
    <w:rsid w:val="006B70FF"/>
    <w:rsid w:val="006C11D1"/>
    <w:rsid w:val="006C1631"/>
    <w:rsid w:val="006C2424"/>
    <w:rsid w:val="006C551F"/>
    <w:rsid w:val="006C673F"/>
    <w:rsid w:val="006D2102"/>
    <w:rsid w:val="006D347F"/>
    <w:rsid w:val="006E6D4E"/>
    <w:rsid w:val="006F3600"/>
    <w:rsid w:val="006F5AAD"/>
    <w:rsid w:val="00702DFA"/>
    <w:rsid w:val="00703E48"/>
    <w:rsid w:val="0070655F"/>
    <w:rsid w:val="00711DF4"/>
    <w:rsid w:val="00711F58"/>
    <w:rsid w:val="0072486F"/>
    <w:rsid w:val="00745093"/>
    <w:rsid w:val="00745D3E"/>
    <w:rsid w:val="007517C1"/>
    <w:rsid w:val="00752812"/>
    <w:rsid w:val="00754870"/>
    <w:rsid w:val="0075590C"/>
    <w:rsid w:val="00757A24"/>
    <w:rsid w:val="00757C12"/>
    <w:rsid w:val="007615CE"/>
    <w:rsid w:val="007626B0"/>
    <w:rsid w:val="00762E12"/>
    <w:rsid w:val="00764F69"/>
    <w:rsid w:val="00765922"/>
    <w:rsid w:val="00766F25"/>
    <w:rsid w:val="00767C1D"/>
    <w:rsid w:val="00771206"/>
    <w:rsid w:val="0078079A"/>
    <w:rsid w:val="00780AA9"/>
    <w:rsid w:val="00785571"/>
    <w:rsid w:val="00786E00"/>
    <w:rsid w:val="007A0F7A"/>
    <w:rsid w:val="007A12AE"/>
    <w:rsid w:val="007B3FEE"/>
    <w:rsid w:val="007C052B"/>
    <w:rsid w:val="007C29E5"/>
    <w:rsid w:val="007C650D"/>
    <w:rsid w:val="007C79B6"/>
    <w:rsid w:val="007D0B1E"/>
    <w:rsid w:val="007D23C6"/>
    <w:rsid w:val="007D350B"/>
    <w:rsid w:val="007D353B"/>
    <w:rsid w:val="007D70A1"/>
    <w:rsid w:val="007E1800"/>
    <w:rsid w:val="007E57C6"/>
    <w:rsid w:val="007E74B8"/>
    <w:rsid w:val="007F0038"/>
    <w:rsid w:val="007F0DD2"/>
    <w:rsid w:val="007F336C"/>
    <w:rsid w:val="0080069A"/>
    <w:rsid w:val="008017E8"/>
    <w:rsid w:val="00802E79"/>
    <w:rsid w:val="00803616"/>
    <w:rsid w:val="00812CD9"/>
    <w:rsid w:val="008132E8"/>
    <w:rsid w:val="0081587B"/>
    <w:rsid w:val="00815DE6"/>
    <w:rsid w:val="00821395"/>
    <w:rsid w:val="00822698"/>
    <w:rsid w:val="00823407"/>
    <w:rsid w:val="00830AC6"/>
    <w:rsid w:val="00831E0C"/>
    <w:rsid w:val="00834FA7"/>
    <w:rsid w:val="00836CEE"/>
    <w:rsid w:val="008379AE"/>
    <w:rsid w:val="00837E8C"/>
    <w:rsid w:val="00840C8F"/>
    <w:rsid w:val="008501A0"/>
    <w:rsid w:val="00853750"/>
    <w:rsid w:val="00854181"/>
    <w:rsid w:val="008600B1"/>
    <w:rsid w:val="008640CE"/>
    <w:rsid w:val="00865314"/>
    <w:rsid w:val="00872FF0"/>
    <w:rsid w:val="008733F8"/>
    <w:rsid w:val="008744DB"/>
    <w:rsid w:val="00876A1D"/>
    <w:rsid w:val="008771D9"/>
    <w:rsid w:val="00893A39"/>
    <w:rsid w:val="00895AD2"/>
    <w:rsid w:val="00896CF9"/>
    <w:rsid w:val="00897C47"/>
    <w:rsid w:val="008A128F"/>
    <w:rsid w:val="008A3F42"/>
    <w:rsid w:val="008A52AD"/>
    <w:rsid w:val="008B0184"/>
    <w:rsid w:val="008B0C47"/>
    <w:rsid w:val="008B2043"/>
    <w:rsid w:val="008B3F2A"/>
    <w:rsid w:val="008C00C5"/>
    <w:rsid w:val="008C45F5"/>
    <w:rsid w:val="008C59D7"/>
    <w:rsid w:val="008C5D02"/>
    <w:rsid w:val="008C6BCF"/>
    <w:rsid w:val="008D2098"/>
    <w:rsid w:val="008D2649"/>
    <w:rsid w:val="008F50AD"/>
    <w:rsid w:val="008F7622"/>
    <w:rsid w:val="009000D4"/>
    <w:rsid w:val="009003EE"/>
    <w:rsid w:val="00901CDC"/>
    <w:rsid w:val="0090346C"/>
    <w:rsid w:val="00904572"/>
    <w:rsid w:val="009051E0"/>
    <w:rsid w:val="0090568D"/>
    <w:rsid w:val="009125C9"/>
    <w:rsid w:val="00913879"/>
    <w:rsid w:val="0091641D"/>
    <w:rsid w:val="00917661"/>
    <w:rsid w:val="00924C66"/>
    <w:rsid w:val="009307EC"/>
    <w:rsid w:val="00930F63"/>
    <w:rsid w:val="0093463D"/>
    <w:rsid w:val="0093582F"/>
    <w:rsid w:val="009359DF"/>
    <w:rsid w:val="00943888"/>
    <w:rsid w:val="009512F9"/>
    <w:rsid w:val="00952214"/>
    <w:rsid w:val="0095256A"/>
    <w:rsid w:val="0096041F"/>
    <w:rsid w:val="009605BB"/>
    <w:rsid w:val="00970E5D"/>
    <w:rsid w:val="00973B1A"/>
    <w:rsid w:val="0097511C"/>
    <w:rsid w:val="0097701C"/>
    <w:rsid w:val="00977D9A"/>
    <w:rsid w:val="00980A65"/>
    <w:rsid w:val="0098596D"/>
    <w:rsid w:val="00985B5D"/>
    <w:rsid w:val="00985D37"/>
    <w:rsid w:val="00992DE8"/>
    <w:rsid w:val="009A3E53"/>
    <w:rsid w:val="009B03C1"/>
    <w:rsid w:val="009B1FA6"/>
    <w:rsid w:val="009B4F40"/>
    <w:rsid w:val="009C426B"/>
    <w:rsid w:val="009C451D"/>
    <w:rsid w:val="009C45B0"/>
    <w:rsid w:val="009C7758"/>
    <w:rsid w:val="009C7832"/>
    <w:rsid w:val="009D487E"/>
    <w:rsid w:val="009E2778"/>
    <w:rsid w:val="009E37D5"/>
    <w:rsid w:val="009E62FF"/>
    <w:rsid w:val="009F3AD8"/>
    <w:rsid w:val="009F6E0E"/>
    <w:rsid w:val="00A00067"/>
    <w:rsid w:val="00A00CAA"/>
    <w:rsid w:val="00A022B1"/>
    <w:rsid w:val="00A035A0"/>
    <w:rsid w:val="00A03B67"/>
    <w:rsid w:val="00A06D82"/>
    <w:rsid w:val="00A07DB1"/>
    <w:rsid w:val="00A11F14"/>
    <w:rsid w:val="00A158D4"/>
    <w:rsid w:val="00A16EB1"/>
    <w:rsid w:val="00A25E70"/>
    <w:rsid w:val="00A260E9"/>
    <w:rsid w:val="00A26DFB"/>
    <w:rsid w:val="00A332A9"/>
    <w:rsid w:val="00A333B8"/>
    <w:rsid w:val="00A33765"/>
    <w:rsid w:val="00A34513"/>
    <w:rsid w:val="00A45246"/>
    <w:rsid w:val="00A471BE"/>
    <w:rsid w:val="00A56FEC"/>
    <w:rsid w:val="00A6059B"/>
    <w:rsid w:val="00A61692"/>
    <w:rsid w:val="00A621DB"/>
    <w:rsid w:val="00A63269"/>
    <w:rsid w:val="00A632F3"/>
    <w:rsid w:val="00A66080"/>
    <w:rsid w:val="00A6689B"/>
    <w:rsid w:val="00A81371"/>
    <w:rsid w:val="00A84726"/>
    <w:rsid w:val="00A86825"/>
    <w:rsid w:val="00A91D54"/>
    <w:rsid w:val="00A92377"/>
    <w:rsid w:val="00A9569B"/>
    <w:rsid w:val="00A9693E"/>
    <w:rsid w:val="00AA2FE6"/>
    <w:rsid w:val="00AA5240"/>
    <w:rsid w:val="00AB29ED"/>
    <w:rsid w:val="00AB7E54"/>
    <w:rsid w:val="00AC2824"/>
    <w:rsid w:val="00AC2C80"/>
    <w:rsid w:val="00AC401A"/>
    <w:rsid w:val="00AD60C7"/>
    <w:rsid w:val="00AE11A0"/>
    <w:rsid w:val="00AE2715"/>
    <w:rsid w:val="00AE4BD8"/>
    <w:rsid w:val="00AE76C2"/>
    <w:rsid w:val="00AF05A1"/>
    <w:rsid w:val="00AF60CB"/>
    <w:rsid w:val="00B0069E"/>
    <w:rsid w:val="00B1009E"/>
    <w:rsid w:val="00B102D9"/>
    <w:rsid w:val="00B141DD"/>
    <w:rsid w:val="00B21F8D"/>
    <w:rsid w:val="00B25411"/>
    <w:rsid w:val="00B25B12"/>
    <w:rsid w:val="00B31570"/>
    <w:rsid w:val="00B33171"/>
    <w:rsid w:val="00B34F8A"/>
    <w:rsid w:val="00B378C6"/>
    <w:rsid w:val="00B37919"/>
    <w:rsid w:val="00B4388F"/>
    <w:rsid w:val="00B514DB"/>
    <w:rsid w:val="00B52A1D"/>
    <w:rsid w:val="00B5580F"/>
    <w:rsid w:val="00B55A14"/>
    <w:rsid w:val="00B56DD5"/>
    <w:rsid w:val="00B62545"/>
    <w:rsid w:val="00B63237"/>
    <w:rsid w:val="00B65C77"/>
    <w:rsid w:val="00B7411E"/>
    <w:rsid w:val="00B74793"/>
    <w:rsid w:val="00B758A2"/>
    <w:rsid w:val="00B83314"/>
    <w:rsid w:val="00B86D68"/>
    <w:rsid w:val="00B90B4C"/>
    <w:rsid w:val="00B93E1F"/>
    <w:rsid w:val="00B964CF"/>
    <w:rsid w:val="00B97BEF"/>
    <w:rsid w:val="00BA03CA"/>
    <w:rsid w:val="00BA705A"/>
    <w:rsid w:val="00BB200A"/>
    <w:rsid w:val="00BB26C1"/>
    <w:rsid w:val="00BC365F"/>
    <w:rsid w:val="00BC3A31"/>
    <w:rsid w:val="00BC5780"/>
    <w:rsid w:val="00BD7A2F"/>
    <w:rsid w:val="00BE0D7B"/>
    <w:rsid w:val="00BE113A"/>
    <w:rsid w:val="00BE6735"/>
    <w:rsid w:val="00BE7489"/>
    <w:rsid w:val="00BF0E69"/>
    <w:rsid w:val="00BF1E14"/>
    <w:rsid w:val="00BF577A"/>
    <w:rsid w:val="00C00F65"/>
    <w:rsid w:val="00C0422A"/>
    <w:rsid w:val="00C04A82"/>
    <w:rsid w:val="00C04AA3"/>
    <w:rsid w:val="00C33D82"/>
    <w:rsid w:val="00C3462F"/>
    <w:rsid w:val="00C365C5"/>
    <w:rsid w:val="00C40077"/>
    <w:rsid w:val="00C40D18"/>
    <w:rsid w:val="00C4319C"/>
    <w:rsid w:val="00C445EA"/>
    <w:rsid w:val="00C45BAC"/>
    <w:rsid w:val="00C57C38"/>
    <w:rsid w:val="00C63422"/>
    <w:rsid w:val="00C67B41"/>
    <w:rsid w:val="00C7052A"/>
    <w:rsid w:val="00C72663"/>
    <w:rsid w:val="00C836E4"/>
    <w:rsid w:val="00C837A8"/>
    <w:rsid w:val="00C83B7F"/>
    <w:rsid w:val="00C83C38"/>
    <w:rsid w:val="00C857CE"/>
    <w:rsid w:val="00C85BAA"/>
    <w:rsid w:val="00C86670"/>
    <w:rsid w:val="00C868AB"/>
    <w:rsid w:val="00C87AF3"/>
    <w:rsid w:val="00C91A29"/>
    <w:rsid w:val="00C93ECA"/>
    <w:rsid w:val="00C960DC"/>
    <w:rsid w:val="00C9698B"/>
    <w:rsid w:val="00C96CBB"/>
    <w:rsid w:val="00CA34A5"/>
    <w:rsid w:val="00CA4019"/>
    <w:rsid w:val="00CA5E2B"/>
    <w:rsid w:val="00CC4FC5"/>
    <w:rsid w:val="00CC502E"/>
    <w:rsid w:val="00CC7586"/>
    <w:rsid w:val="00CD27BA"/>
    <w:rsid w:val="00CD42C2"/>
    <w:rsid w:val="00CD541A"/>
    <w:rsid w:val="00CD648E"/>
    <w:rsid w:val="00CE0B5F"/>
    <w:rsid w:val="00CE2823"/>
    <w:rsid w:val="00CE2A00"/>
    <w:rsid w:val="00CE67CD"/>
    <w:rsid w:val="00CE755A"/>
    <w:rsid w:val="00CE7936"/>
    <w:rsid w:val="00CF20B2"/>
    <w:rsid w:val="00CF3D73"/>
    <w:rsid w:val="00CF4EEB"/>
    <w:rsid w:val="00CF68B0"/>
    <w:rsid w:val="00D00FDF"/>
    <w:rsid w:val="00D02C75"/>
    <w:rsid w:val="00D059AC"/>
    <w:rsid w:val="00D05E86"/>
    <w:rsid w:val="00D062AE"/>
    <w:rsid w:val="00D10E22"/>
    <w:rsid w:val="00D12201"/>
    <w:rsid w:val="00D13D2C"/>
    <w:rsid w:val="00D16176"/>
    <w:rsid w:val="00D229CB"/>
    <w:rsid w:val="00D476AF"/>
    <w:rsid w:val="00D54755"/>
    <w:rsid w:val="00D54A85"/>
    <w:rsid w:val="00D56536"/>
    <w:rsid w:val="00D643A9"/>
    <w:rsid w:val="00D6478A"/>
    <w:rsid w:val="00D6489D"/>
    <w:rsid w:val="00D665EC"/>
    <w:rsid w:val="00D67335"/>
    <w:rsid w:val="00D71D51"/>
    <w:rsid w:val="00D744E6"/>
    <w:rsid w:val="00D7628A"/>
    <w:rsid w:val="00D81DEF"/>
    <w:rsid w:val="00D81F74"/>
    <w:rsid w:val="00D84ACE"/>
    <w:rsid w:val="00D90AEB"/>
    <w:rsid w:val="00D9109D"/>
    <w:rsid w:val="00D926DA"/>
    <w:rsid w:val="00DA66CC"/>
    <w:rsid w:val="00DA76F4"/>
    <w:rsid w:val="00DB00DD"/>
    <w:rsid w:val="00DB21EF"/>
    <w:rsid w:val="00DC1BB6"/>
    <w:rsid w:val="00DC2F94"/>
    <w:rsid w:val="00DC76BC"/>
    <w:rsid w:val="00DC7ACD"/>
    <w:rsid w:val="00DD2E8B"/>
    <w:rsid w:val="00DD3D9E"/>
    <w:rsid w:val="00DD4285"/>
    <w:rsid w:val="00DD5D9B"/>
    <w:rsid w:val="00DD7908"/>
    <w:rsid w:val="00DE22AF"/>
    <w:rsid w:val="00DE310F"/>
    <w:rsid w:val="00DE363E"/>
    <w:rsid w:val="00DE3C15"/>
    <w:rsid w:val="00DE4B0B"/>
    <w:rsid w:val="00DF5749"/>
    <w:rsid w:val="00DF5AC5"/>
    <w:rsid w:val="00DF60D3"/>
    <w:rsid w:val="00E0037A"/>
    <w:rsid w:val="00E04DC8"/>
    <w:rsid w:val="00E0680C"/>
    <w:rsid w:val="00E07680"/>
    <w:rsid w:val="00E1151C"/>
    <w:rsid w:val="00E146DC"/>
    <w:rsid w:val="00E25709"/>
    <w:rsid w:val="00E3050F"/>
    <w:rsid w:val="00E30A98"/>
    <w:rsid w:val="00E30D42"/>
    <w:rsid w:val="00E30FB4"/>
    <w:rsid w:val="00E31918"/>
    <w:rsid w:val="00E32B0F"/>
    <w:rsid w:val="00E333B7"/>
    <w:rsid w:val="00E57443"/>
    <w:rsid w:val="00E63F3C"/>
    <w:rsid w:val="00E64FFB"/>
    <w:rsid w:val="00E65C4F"/>
    <w:rsid w:val="00E67D42"/>
    <w:rsid w:val="00E80120"/>
    <w:rsid w:val="00E82297"/>
    <w:rsid w:val="00E82C3E"/>
    <w:rsid w:val="00E830AF"/>
    <w:rsid w:val="00E84F9C"/>
    <w:rsid w:val="00E86B25"/>
    <w:rsid w:val="00E91A5E"/>
    <w:rsid w:val="00E9380A"/>
    <w:rsid w:val="00E95947"/>
    <w:rsid w:val="00EA3B3A"/>
    <w:rsid w:val="00EA6CFC"/>
    <w:rsid w:val="00EB0164"/>
    <w:rsid w:val="00EB3A0E"/>
    <w:rsid w:val="00EB7892"/>
    <w:rsid w:val="00EC2788"/>
    <w:rsid w:val="00EC3BFC"/>
    <w:rsid w:val="00EC4395"/>
    <w:rsid w:val="00EC5883"/>
    <w:rsid w:val="00ED0430"/>
    <w:rsid w:val="00ED32DC"/>
    <w:rsid w:val="00EE2CAE"/>
    <w:rsid w:val="00EE3A69"/>
    <w:rsid w:val="00EE475C"/>
    <w:rsid w:val="00EE63D1"/>
    <w:rsid w:val="00EF1790"/>
    <w:rsid w:val="00EF2113"/>
    <w:rsid w:val="00EF39FD"/>
    <w:rsid w:val="00EF442A"/>
    <w:rsid w:val="00EF7092"/>
    <w:rsid w:val="00F06842"/>
    <w:rsid w:val="00F07C26"/>
    <w:rsid w:val="00F107FD"/>
    <w:rsid w:val="00F170AF"/>
    <w:rsid w:val="00F22BE3"/>
    <w:rsid w:val="00F22D95"/>
    <w:rsid w:val="00F241F4"/>
    <w:rsid w:val="00F26514"/>
    <w:rsid w:val="00F31783"/>
    <w:rsid w:val="00F3770B"/>
    <w:rsid w:val="00F4015F"/>
    <w:rsid w:val="00F41C8A"/>
    <w:rsid w:val="00F442C9"/>
    <w:rsid w:val="00F45AA9"/>
    <w:rsid w:val="00F470EA"/>
    <w:rsid w:val="00F51C79"/>
    <w:rsid w:val="00F57BD5"/>
    <w:rsid w:val="00F62E62"/>
    <w:rsid w:val="00F64254"/>
    <w:rsid w:val="00F64502"/>
    <w:rsid w:val="00F647B2"/>
    <w:rsid w:val="00F64D8F"/>
    <w:rsid w:val="00F708F3"/>
    <w:rsid w:val="00F743E7"/>
    <w:rsid w:val="00F749D8"/>
    <w:rsid w:val="00F906EE"/>
    <w:rsid w:val="00F92B5A"/>
    <w:rsid w:val="00F92DB5"/>
    <w:rsid w:val="00FA0D4E"/>
    <w:rsid w:val="00FA5AAA"/>
    <w:rsid w:val="00FA757A"/>
    <w:rsid w:val="00FB1807"/>
    <w:rsid w:val="00FB19B1"/>
    <w:rsid w:val="00FB37BA"/>
    <w:rsid w:val="00FB57DF"/>
    <w:rsid w:val="00FB64A8"/>
    <w:rsid w:val="00FC433E"/>
    <w:rsid w:val="00FC5A05"/>
    <w:rsid w:val="00FD1B42"/>
    <w:rsid w:val="00FD2CA6"/>
    <w:rsid w:val="00FD6FB6"/>
    <w:rsid w:val="00FE0856"/>
    <w:rsid w:val="00FF1E7C"/>
    <w:rsid w:val="00FF6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78079A"/>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973B1A"/>
    <w:rPr>
      <w:color w:val="605E5C"/>
      <w:shd w:val="clear" w:color="auto" w:fill="E1DFDD"/>
    </w:rPr>
  </w:style>
  <w:style w:type="character" w:styleId="PlaceholderText">
    <w:name w:val="Placeholder Text"/>
    <w:basedOn w:val="DefaultParagraphFont"/>
    <w:uiPriority w:val="99"/>
    <w:semiHidden/>
    <w:rsid w:val="000A1A1A"/>
    <w:rPr>
      <w:color w:val="666666"/>
    </w:rPr>
  </w:style>
  <w:style w:type="table" w:styleId="TableGrid">
    <w:name w:val="Table Grid"/>
    <w:basedOn w:val="TableNormal"/>
    <w:rsid w:val="00182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394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6067">
      <w:bodyDiv w:val="1"/>
      <w:marLeft w:val="0"/>
      <w:marRight w:val="0"/>
      <w:marTop w:val="0"/>
      <w:marBottom w:val="0"/>
      <w:divBdr>
        <w:top w:val="none" w:sz="0" w:space="0" w:color="auto"/>
        <w:left w:val="none" w:sz="0" w:space="0" w:color="auto"/>
        <w:bottom w:val="none" w:sz="0" w:space="0" w:color="auto"/>
        <w:right w:val="none" w:sz="0" w:space="0" w:color="auto"/>
      </w:divBdr>
      <w:divsChild>
        <w:div w:id="198670224">
          <w:marLeft w:val="0"/>
          <w:marRight w:val="0"/>
          <w:marTop w:val="0"/>
          <w:marBottom w:val="0"/>
          <w:divBdr>
            <w:top w:val="none" w:sz="0" w:space="0" w:color="auto"/>
            <w:left w:val="none" w:sz="0" w:space="0" w:color="auto"/>
            <w:bottom w:val="none" w:sz="0" w:space="0" w:color="auto"/>
            <w:right w:val="none" w:sz="0" w:space="0" w:color="auto"/>
          </w:divBdr>
          <w:divsChild>
            <w:div w:id="2073381426">
              <w:marLeft w:val="0"/>
              <w:marRight w:val="0"/>
              <w:marTop w:val="0"/>
              <w:marBottom w:val="0"/>
              <w:divBdr>
                <w:top w:val="none" w:sz="0" w:space="0" w:color="auto"/>
                <w:left w:val="none" w:sz="0" w:space="0" w:color="auto"/>
                <w:bottom w:val="none" w:sz="0" w:space="0" w:color="auto"/>
                <w:right w:val="none" w:sz="0" w:space="0" w:color="auto"/>
              </w:divBdr>
              <w:divsChild>
                <w:div w:id="200188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0191">
      <w:bodyDiv w:val="1"/>
      <w:marLeft w:val="0"/>
      <w:marRight w:val="0"/>
      <w:marTop w:val="0"/>
      <w:marBottom w:val="0"/>
      <w:divBdr>
        <w:top w:val="none" w:sz="0" w:space="0" w:color="auto"/>
        <w:left w:val="none" w:sz="0" w:space="0" w:color="auto"/>
        <w:bottom w:val="none" w:sz="0" w:space="0" w:color="auto"/>
        <w:right w:val="none" w:sz="0" w:space="0" w:color="auto"/>
      </w:divBdr>
      <w:divsChild>
        <w:div w:id="1325625946">
          <w:marLeft w:val="0"/>
          <w:marRight w:val="0"/>
          <w:marTop w:val="0"/>
          <w:marBottom w:val="0"/>
          <w:divBdr>
            <w:top w:val="none" w:sz="0" w:space="0" w:color="auto"/>
            <w:left w:val="none" w:sz="0" w:space="0" w:color="auto"/>
            <w:bottom w:val="none" w:sz="0" w:space="0" w:color="auto"/>
            <w:right w:val="none" w:sz="0" w:space="0" w:color="auto"/>
          </w:divBdr>
          <w:divsChild>
            <w:div w:id="1588151226">
              <w:marLeft w:val="0"/>
              <w:marRight w:val="0"/>
              <w:marTop w:val="0"/>
              <w:marBottom w:val="0"/>
              <w:divBdr>
                <w:top w:val="none" w:sz="0" w:space="0" w:color="auto"/>
                <w:left w:val="none" w:sz="0" w:space="0" w:color="auto"/>
                <w:bottom w:val="none" w:sz="0" w:space="0" w:color="auto"/>
                <w:right w:val="none" w:sz="0" w:space="0" w:color="auto"/>
              </w:divBdr>
              <w:divsChild>
                <w:div w:id="899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90">
      <w:bodyDiv w:val="1"/>
      <w:marLeft w:val="0"/>
      <w:marRight w:val="0"/>
      <w:marTop w:val="0"/>
      <w:marBottom w:val="0"/>
      <w:divBdr>
        <w:top w:val="none" w:sz="0" w:space="0" w:color="auto"/>
        <w:left w:val="none" w:sz="0" w:space="0" w:color="auto"/>
        <w:bottom w:val="none" w:sz="0" w:space="0" w:color="auto"/>
        <w:right w:val="none" w:sz="0" w:space="0" w:color="auto"/>
      </w:divBdr>
    </w:div>
    <w:div w:id="271013927">
      <w:bodyDiv w:val="1"/>
      <w:marLeft w:val="0"/>
      <w:marRight w:val="0"/>
      <w:marTop w:val="0"/>
      <w:marBottom w:val="0"/>
      <w:divBdr>
        <w:top w:val="none" w:sz="0" w:space="0" w:color="auto"/>
        <w:left w:val="none" w:sz="0" w:space="0" w:color="auto"/>
        <w:bottom w:val="none" w:sz="0" w:space="0" w:color="auto"/>
        <w:right w:val="none" w:sz="0" w:space="0" w:color="auto"/>
      </w:divBdr>
      <w:divsChild>
        <w:div w:id="1175535250">
          <w:marLeft w:val="0"/>
          <w:marRight w:val="0"/>
          <w:marTop w:val="0"/>
          <w:marBottom w:val="0"/>
          <w:divBdr>
            <w:top w:val="none" w:sz="0" w:space="0" w:color="auto"/>
            <w:left w:val="none" w:sz="0" w:space="0" w:color="auto"/>
            <w:bottom w:val="none" w:sz="0" w:space="0" w:color="auto"/>
            <w:right w:val="none" w:sz="0" w:space="0" w:color="auto"/>
          </w:divBdr>
          <w:divsChild>
            <w:div w:id="1545171904">
              <w:marLeft w:val="0"/>
              <w:marRight w:val="0"/>
              <w:marTop w:val="0"/>
              <w:marBottom w:val="0"/>
              <w:divBdr>
                <w:top w:val="none" w:sz="0" w:space="0" w:color="auto"/>
                <w:left w:val="none" w:sz="0" w:space="0" w:color="auto"/>
                <w:bottom w:val="none" w:sz="0" w:space="0" w:color="auto"/>
                <w:right w:val="none" w:sz="0" w:space="0" w:color="auto"/>
              </w:divBdr>
              <w:divsChild>
                <w:div w:id="466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9578">
      <w:bodyDiv w:val="1"/>
      <w:marLeft w:val="0"/>
      <w:marRight w:val="0"/>
      <w:marTop w:val="0"/>
      <w:marBottom w:val="0"/>
      <w:divBdr>
        <w:top w:val="none" w:sz="0" w:space="0" w:color="auto"/>
        <w:left w:val="none" w:sz="0" w:space="0" w:color="auto"/>
        <w:bottom w:val="none" w:sz="0" w:space="0" w:color="auto"/>
        <w:right w:val="none" w:sz="0" w:space="0" w:color="auto"/>
      </w:divBdr>
      <w:divsChild>
        <w:div w:id="1564489385">
          <w:marLeft w:val="0"/>
          <w:marRight w:val="0"/>
          <w:marTop w:val="0"/>
          <w:marBottom w:val="0"/>
          <w:divBdr>
            <w:top w:val="none" w:sz="0" w:space="0" w:color="auto"/>
            <w:left w:val="none" w:sz="0" w:space="0" w:color="auto"/>
            <w:bottom w:val="none" w:sz="0" w:space="0" w:color="auto"/>
            <w:right w:val="none" w:sz="0" w:space="0" w:color="auto"/>
          </w:divBdr>
          <w:divsChild>
            <w:div w:id="2059938061">
              <w:marLeft w:val="0"/>
              <w:marRight w:val="0"/>
              <w:marTop w:val="0"/>
              <w:marBottom w:val="0"/>
              <w:divBdr>
                <w:top w:val="none" w:sz="0" w:space="0" w:color="auto"/>
                <w:left w:val="none" w:sz="0" w:space="0" w:color="auto"/>
                <w:bottom w:val="none" w:sz="0" w:space="0" w:color="auto"/>
                <w:right w:val="none" w:sz="0" w:space="0" w:color="auto"/>
              </w:divBdr>
              <w:divsChild>
                <w:div w:id="20702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4090">
      <w:bodyDiv w:val="1"/>
      <w:marLeft w:val="0"/>
      <w:marRight w:val="0"/>
      <w:marTop w:val="0"/>
      <w:marBottom w:val="0"/>
      <w:divBdr>
        <w:top w:val="none" w:sz="0" w:space="0" w:color="auto"/>
        <w:left w:val="none" w:sz="0" w:space="0" w:color="auto"/>
        <w:bottom w:val="none" w:sz="0" w:space="0" w:color="auto"/>
        <w:right w:val="none" w:sz="0" w:space="0" w:color="auto"/>
      </w:divBdr>
      <w:divsChild>
        <w:div w:id="2123457433">
          <w:marLeft w:val="0"/>
          <w:marRight w:val="0"/>
          <w:marTop w:val="0"/>
          <w:marBottom w:val="0"/>
          <w:divBdr>
            <w:top w:val="none" w:sz="0" w:space="0" w:color="auto"/>
            <w:left w:val="none" w:sz="0" w:space="0" w:color="auto"/>
            <w:bottom w:val="none" w:sz="0" w:space="0" w:color="auto"/>
            <w:right w:val="none" w:sz="0" w:space="0" w:color="auto"/>
          </w:divBdr>
          <w:divsChild>
            <w:div w:id="766582052">
              <w:marLeft w:val="0"/>
              <w:marRight w:val="0"/>
              <w:marTop w:val="0"/>
              <w:marBottom w:val="0"/>
              <w:divBdr>
                <w:top w:val="none" w:sz="0" w:space="0" w:color="auto"/>
                <w:left w:val="none" w:sz="0" w:space="0" w:color="auto"/>
                <w:bottom w:val="none" w:sz="0" w:space="0" w:color="auto"/>
                <w:right w:val="none" w:sz="0" w:space="0" w:color="auto"/>
              </w:divBdr>
              <w:divsChild>
                <w:div w:id="16064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6671">
      <w:bodyDiv w:val="1"/>
      <w:marLeft w:val="0"/>
      <w:marRight w:val="0"/>
      <w:marTop w:val="0"/>
      <w:marBottom w:val="0"/>
      <w:divBdr>
        <w:top w:val="none" w:sz="0" w:space="0" w:color="auto"/>
        <w:left w:val="none" w:sz="0" w:space="0" w:color="auto"/>
        <w:bottom w:val="none" w:sz="0" w:space="0" w:color="auto"/>
        <w:right w:val="none" w:sz="0" w:space="0" w:color="auto"/>
      </w:divBdr>
      <w:divsChild>
        <w:div w:id="1442535654">
          <w:marLeft w:val="0"/>
          <w:marRight w:val="0"/>
          <w:marTop w:val="0"/>
          <w:marBottom w:val="0"/>
          <w:divBdr>
            <w:top w:val="none" w:sz="0" w:space="0" w:color="auto"/>
            <w:left w:val="none" w:sz="0" w:space="0" w:color="auto"/>
            <w:bottom w:val="none" w:sz="0" w:space="0" w:color="auto"/>
            <w:right w:val="none" w:sz="0" w:space="0" w:color="auto"/>
          </w:divBdr>
          <w:divsChild>
            <w:div w:id="479688574">
              <w:marLeft w:val="0"/>
              <w:marRight w:val="0"/>
              <w:marTop w:val="0"/>
              <w:marBottom w:val="0"/>
              <w:divBdr>
                <w:top w:val="none" w:sz="0" w:space="0" w:color="auto"/>
                <w:left w:val="none" w:sz="0" w:space="0" w:color="auto"/>
                <w:bottom w:val="none" w:sz="0" w:space="0" w:color="auto"/>
                <w:right w:val="none" w:sz="0" w:space="0" w:color="auto"/>
              </w:divBdr>
              <w:divsChild>
                <w:div w:id="20771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9591">
      <w:bodyDiv w:val="1"/>
      <w:marLeft w:val="0"/>
      <w:marRight w:val="0"/>
      <w:marTop w:val="0"/>
      <w:marBottom w:val="0"/>
      <w:divBdr>
        <w:top w:val="none" w:sz="0" w:space="0" w:color="auto"/>
        <w:left w:val="none" w:sz="0" w:space="0" w:color="auto"/>
        <w:bottom w:val="none" w:sz="0" w:space="0" w:color="auto"/>
        <w:right w:val="none" w:sz="0" w:space="0" w:color="auto"/>
      </w:divBdr>
    </w:div>
    <w:div w:id="399864019">
      <w:bodyDiv w:val="1"/>
      <w:marLeft w:val="0"/>
      <w:marRight w:val="0"/>
      <w:marTop w:val="0"/>
      <w:marBottom w:val="0"/>
      <w:divBdr>
        <w:top w:val="none" w:sz="0" w:space="0" w:color="auto"/>
        <w:left w:val="none" w:sz="0" w:space="0" w:color="auto"/>
        <w:bottom w:val="none" w:sz="0" w:space="0" w:color="auto"/>
        <w:right w:val="none" w:sz="0" w:space="0" w:color="auto"/>
      </w:divBdr>
    </w:div>
    <w:div w:id="403769400">
      <w:bodyDiv w:val="1"/>
      <w:marLeft w:val="0"/>
      <w:marRight w:val="0"/>
      <w:marTop w:val="0"/>
      <w:marBottom w:val="0"/>
      <w:divBdr>
        <w:top w:val="none" w:sz="0" w:space="0" w:color="auto"/>
        <w:left w:val="none" w:sz="0" w:space="0" w:color="auto"/>
        <w:bottom w:val="none" w:sz="0" w:space="0" w:color="auto"/>
        <w:right w:val="none" w:sz="0" w:space="0" w:color="auto"/>
      </w:divBdr>
    </w:div>
    <w:div w:id="473529915">
      <w:bodyDiv w:val="1"/>
      <w:marLeft w:val="0"/>
      <w:marRight w:val="0"/>
      <w:marTop w:val="0"/>
      <w:marBottom w:val="0"/>
      <w:divBdr>
        <w:top w:val="none" w:sz="0" w:space="0" w:color="auto"/>
        <w:left w:val="none" w:sz="0" w:space="0" w:color="auto"/>
        <w:bottom w:val="none" w:sz="0" w:space="0" w:color="auto"/>
        <w:right w:val="none" w:sz="0" w:space="0" w:color="auto"/>
      </w:divBdr>
    </w:div>
    <w:div w:id="503711589">
      <w:bodyDiv w:val="1"/>
      <w:marLeft w:val="0"/>
      <w:marRight w:val="0"/>
      <w:marTop w:val="0"/>
      <w:marBottom w:val="0"/>
      <w:divBdr>
        <w:top w:val="none" w:sz="0" w:space="0" w:color="auto"/>
        <w:left w:val="none" w:sz="0" w:space="0" w:color="auto"/>
        <w:bottom w:val="none" w:sz="0" w:space="0" w:color="auto"/>
        <w:right w:val="none" w:sz="0" w:space="0" w:color="auto"/>
      </w:divBdr>
      <w:divsChild>
        <w:div w:id="1639267046">
          <w:marLeft w:val="0"/>
          <w:marRight w:val="0"/>
          <w:marTop w:val="0"/>
          <w:marBottom w:val="0"/>
          <w:divBdr>
            <w:top w:val="none" w:sz="0" w:space="0" w:color="auto"/>
            <w:left w:val="none" w:sz="0" w:space="0" w:color="auto"/>
            <w:bottom w:val="none" w:sz="0" w:space="0" w:color="auto"/>
            <w:right w:val="none" w:sz="0" w:space="0" w:color="auto"/>
          </w:divBdr>
          <w:divsChild>
            <w:div w:id="1992711507">
              <w:marLeft w:val="0"/>
              <w:marRight w:val="0"/>
              <w:marTop w:val="0"/>
              <w:marBottom w:val="0"/>
              <w:divBdr>
                <w:top w:val="none" w:sz="0" w:space="0" w:color="auto"/>
                <w:left w:val="none" w:sz="0" w:space="0" w:color="auto"/>
                <w:bottom w:val="none" w:sz="0" w:space="0" w:color="auto"/>
                <w:right w:val="none" w:sz="0" w:space="0" w:color="auto"/>
              </w:divBdr>
              <w:divsChild>
                <w:div w:id="10307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920941">
      <w:bodyDiv w:val="1"/>
      <w:marLeft w:val="0"/>
      <w:marRight w:val="0"/>
      <w:marTop w:val="0"/>
      <w:marBottom w:val="0"/>
      <w:divBdr>
        <w:top w:val="none" w:sz="0" w:space="0" w:color="auto"/>
        <w:left w:val="none" w:sz="0" w:space="0" w:color="auto"/>
        <w:bottom w:val="none" w:sz="0" w:space="0" w:color="auto"/>
        <w:right w:val="none" w:sz="0" w:space="0" w:color="auto"/>
      </w:divBdr>
      <w:divsChild>
        <w:div w:id="528419858">
          <w:marLeft w:val="0"/>
          <w:marRight w:val="0"/>
          <w:marTop w:val="0"/>
          <w:marBottom w:val="0"/>
          <w:divBdr>
            <w:top w:val="none" w:sz="0" w:space="0" w:color="auto"/>
            <w:left w:val="none" w:sz="0" w:space="0" w:color="auto"/>
            <w:bottom w:val="none" w:sz="0" w:space="0" w:color="auto"/>
            <w:right w:val="none" w:sz="0" w:space="0" w:color="auto"/>
          </w:divBdr>
          <w:divsChild>
            <w:div w:id="1004092971">
              <w:marLeft w:val="0"/>
              <w:marRight w:val="0"/>
              <w:marTop w:val="0"/>
              <w:marBottom w:val="0"/>
              <w:divBdr>
                <w:top w:val="none" w:sz="0" w:space="0" w:color="auto"/>
                <w:left w:val="none" w:sz="0" w:space="0" w:color="auto"/>
                <w:bottom w:val="none" w:sz="0" w:space="0" w:color="auto"/>
                <w:right w:val="none" w:sz="0" w:space="0" w:color="auto"/>
              </w:divBdr>
              <w:divsChild>
                <w:div w:id="18856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56634">
      <w:bodyDiv w:val="1"/>
      <w:marLeft w:val="0"/>
      <w:marRight w:val="0"/>
      <w:marTop w:val="0"/>
      <w:marBottom w:val="0"/>
      <w:divBdr>
        <w:top w:val="none" w:sz="0" w:space="0" w:color="auto"/>
        <w:left w:val="none" w:sz="0" w:space="0" w:color="auto"/>
        <w:bottom w:val="none" w:sz="0" w:space="0" w:color="auto"/>
        <w:right w:val="none" w:sz="0" w:space="0" w:color="auto"/>
      </w:divBdr>
      <w:divsChild>
        <w:div w:id="1644848543">
          <w:marLeft w:val="0"/>
          <w:marRight w:val="0"/>
          <w:marTop w:val="0"/>
          <w:marBottom w:val="0"/>
          <w:divBdr>
            <w:top w:val="none" w:sz="0" w:space="0" w:color="auto"/>
            <w:left w:val="none" w:sz="0" w:space="0" w:color="auto"/>
            <w:bottom w:val="none" w:sz="0" w:space="0" w:color="auto"/>
            <w:right w:val="none" w:sz="0" w:space="0" w:color="auto"/>
          </w:divBdr>
          <w:divsChild>
            <w:div w:id="266932254">
              <w:marLeft w:val="0"/>
              <w:marRight w:val="0"/>
              <w:marTop w:val="0"/>
              <w:marBottom w:val="0"/>
              <w:divBdr>
                <w:top w:val="none" w:sz="0" w:space="0" w:color="auto"/>
                <w:left w:val="none" w:sz="0" w:space="0" w:color="auto"/>
                <w:bottom w:val="none" w:sz="0" w:space="0" w:color="auto"/>
                <w:right w:val="none" w:sz="0" w:space="0" w:color="auto"/>
              </w:divBdr>
              <w:divsChild>
                <w:div w:id="555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68492">
      <w:bodyDiv w:val="1"/>
      <w:marLeft w:val="0"/>
      <w:marRight w:val="0"/>
      <w:marTop w:val="0"/>
      <w:marBottom w:val="0"/>
      <w:divBdr>
        <w:top w:val="none" w:sz="0" w:space="0" w:color="auto"/>
        <w:left w:val="none" w:sz="0" w:space="0" w:color="auto"/>
        <w:bottom w:val="none" w:sz="0" w:space="0" w:color="auto"/>
        <w:right w:val="none" w:sz="0" w:space="0" w:color="auto"/>
      </w:divBdr>
      <w:divsChild>
        <w:div w:id="1032220050">
          <w:marLeft w:val="0"/>
          <w:marRight w:val="0"/>
          <w:marTop w:val="0"/>
          <w:marBottom w:val="0"/>
          <w:divBdr>
            <w:top w:val="none" w:sz="0" w:space="0" w:color="auto"/>
            <w:left w:val="none" w:sz="0" w:space="0" w:color="auto"/>
            <w:bottom w:val="none" w:sz="0" w:space="0" w:color="auto"/>
            <w:right w:val="none" w:sz="0" w:space="0" w:color="auto"/>
          </w:divBdr>
          <w:divsChild>
            <w:div w:id="1860780275">
              <w:marLeft w:val="0"/>
              <w:marRight w:val="0"/>
              <w:marTop w:val="0"/>
              <w:marBottom w:val="0"/>
              <w:divBdr>
                <w:top w:val="none" w:sz="0" w:space="0" w:color="auto"/>
                <w:left w:val="none" w:sz="0" w:space="0" w:color="auto"/>
                <w:bottom w:val="none" w:sz="0" w:space="0" w:color="auto"/>
                <w:right w:val="none" w:sz="0" w:space="0" w:color="auto"/>
              </w:divBdr>
              <w:divsChild>
                <w:div w:id="14444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8931">
      <w:bodyDiv w:val="1"/>
      <w:marLeft w:val="0"/>
      <w:marRight w:val="0"/>
      <w:marTop w:val="0"/>
      <w:marBottom w:val="0"/>
      <w:divBdr>
        <w:top w:val="none" w:sz="0" w:space="0" w:color="auto"/>
        <w:left w:val="none" w:sz="0" w:space="0" w:color="auto"/>
        <w:bottom w:val="none" w:sz="0" w:space="0" w:color="auto"/>
        <w:right w:val="none" w:sz="0" w:space="0" w:color="auto"/>
      </w:divBdr>
    </w:div>
    <w:div w:id="985547790">
      <w:bodyDiv w:val="1"/>
      <w:marLeft w:val="0"/>
      <w:marRight w:val="0"/>
      <w:marTop w:val="0"/>
      <w:marBottom w:val="0"/>
      <w:divBdr>
        <w:top w:val="none" w:sz="0" w:space="0" w:color="auto"/>
        <w:left w:val="none" w:sz="0" w:space="0" w:color="auto"/>
        <w:bottom w:val="none" w:sz="0" w:space="0" w:color="auto"/>
        <w:right w:val="none" w:sz="0" w:space="0" w:color="auto"/>
      </w:divBdr>
      <w:divsChild>
        <w:div w:id="401878204">
          <w:marLeft w:val="0"/>
          <w:marRight w:val="0"/>
          <w:marTop w:val="0"/>
          <w:marBottom w:val="0"/>
          <w:divBdr>
            <w:top w:val="none" w:sz="0" w:space="0" w:color="auto"/>
            <w:left w:val="none" w:sz="0" w:space="0" w:color="auto"/>
            <w:bottom w:val="none" w:sz="0" w:space="0" w:color="auto"/>
            <w:right w:val="none" w:sz="0" w:space="0" w:color="auto"/>
          </w:divBdr>
          <w:divsChild>
            <w:div w:id="1489790310">
              <w:marLeft w:val="0"/>
              <w:marRight w:val="0"/>
              <w:marTop w:val="0"/>
              <w:marBottom w:val="0"/>
              <w:divBdr>
                <w:top w:val="none" w:sz="0" w:space="0" w:color="auto"/>
                <w:left w:val="none" w:sz="0" w:space="0" w:color="auto"/>
                <w:bottom w:val="none" w:sz="0" w:space="0" w:color="auto"/>
                <w:right w:val="none" w:sz="0" w:space="0" w:color="auto"/>
              </w:divBdr>
              <w:divsChild>
                <w:div w:id="14064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97071">
      <w:bodyDiv w:val="1"/>
      <w:marLeft w:val="0"/>
      <w:marRight w:val="0"/>
      <w:marTop w:val="0"/>
      <w:marBottom w:val="0"/>
      <w:divBdr>
        <w:top w:val="none" w:sz="0" w:space="0" w:color="auto"/>
        <w:left w:val="none" w:sz="0" w:space="0" w:color="auto"/>
        <w:bottom w:val="none" w:sz="0" w:space="0" w:color="auto"/>
        <w:right w:val="none" w:sz="0" w:space="0" w:color="auto"/>
      </w:divBdr>
      <w:divsChild>
        <w:div w:id="813450396">
          <w:marLeft w:val="0"/>
          <w:marRight w:val="0"/>
          <w:marTop w:val="0"/>
          <w:marBottom w:val="0"/>
          <w:divBdr>
            <w:top w:val="none" w:sz="0" w:space="0" w:color="auto"/>
            <w:left w:val="none" w:sz="0" w:space="0" w:color="auto"/>
            <w:bottom w:val="none" w:sz="0" w:space="0" w:color="auto"/>
            <w:right w:val="none" w:sz="0" w:space="0" w:color="auto"/>
          </w:divBdr>
          <w:divsChild>
            <w:div w:id="221527062">
              <w:marLeft w:val="0"/>
              <w:marRight w:val="0"/>
              <w:marTop w:val="0"/>
              <w:marBottom w:val="0"/>
              <w:divBdr>
                <w:top w:val="none" w:sz="0" w:space="0" w:color="auto"/>
                <w:left w:val="none" w:sz="0" w:space="0" w:color="auto"/>
                <w:bottom w:val="none" w:sz="0" w:space="0" w:color="auto"/>
                <w:right w:val="none" w:sz="0" w:space="0" w:color="auto"/>
              </w:divBdr>
              <w:divsChild>
                <w:div w:id="2602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38555">
      <w:bodyDiv w:val="1"/>
      <w:marLeft w:val="0"/>
      <w:marRight w:val="0"/>
      <w:marTop w:val="0"/>
      <w:marBottom w:val="0"/>
      <w:divBdr>
        <w:top w:val="none" w:sz="0" w:space="0" w:color="auto"/>
        <w:left w:val="none" w:sz="0" w:space="0" w:color="auto"/>
        <w:bottom w:val="none" w:sz="0" w:space="0" w:color="auto"/>
        <w:right w:val="none" w:sz="0" w:space="0" w:color="auto"/>
      </w:divBdr>
    </w:div>
    <w:div w:id="1277055411">
      <w:bodyDiv w:val="1"/>
      <w:marLeft w:val="0"/>
      <w:marRight w:val="0"/>
      <w:marTop w:val="0"/>
      <w:marBottom w:val="0"/>
      <w:divBdr>
        <w:top w:val="none" w:sz="0" w:space="0" w:color="auto"/>
        <w:left w:val="none" w:sz="0" w:space="0" w:color="auto"/>
        <w:bottom w:val="none" w:sz="0" w:space="0" w:color="auto"/>
        <w:right w:val="none" w:sz="0" w:space="0" w:color="auto"/>
      </w:divBdr>
      <w:divsChild>
        <w:div w:id="2058626142">
          <w:marLeft w:val="0"/>
          <w:marRight w:val="0"/>
          <w:marTop w:val="0"/>
          <w:marBottom w:val="0"/>
          <w:divBdr>
            <w:top w:val="none" w:sz="0" w:space="0" w:color="auto"/>
            <w:left w:val="none" w:sz="0" w:space="0" w:color="auto"/>
            <w:bottom w:val="none" w:sz="0" w:space="0" w:color="auto"/>
            <w:right w:val="none" w:sz="0" w:space="0" w:color="auto"/>
          </w:divBdr>
          <w:divsChild>
            <w:div w:id="1972394851">
              <w:marLeft w:val="0"/>
              <w:marRight w:val="0"/>
              <w:marTop w:val="0"/>
              <w:marBottom w:val="0"/>
              <w:divBdr>
                <w:top w:val="none" w:sz="0" w:space="0" w:color="auto"/>
                <w:left w:val="none" w:sz="0" w:space="0" w:color="auto"/>
                <w:bottom w:val="none" w:sz="0" w:space="0" w:color="auto"/>
                <w:right w:val="none" w:sz="0" w:space="0" w:color="auto"/>
              </w:divBdr>
              <w:divsChild>
                <w:div w:id="20858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12385">
      <w:bodyDiv w:val="1"/>
      <w:marLeft w:val="0"/>
      <w:marRight w:val="0"/>
      <w:marTop w:val="0"/>
      <w:marBottom w:val="0"/>
      <w:divBdr>
        <w:top w:val="none" w:sz="0" w:space="0" w:color="auto"/>
        <w:left w:val="none" w:sz="0" w:space="0" w:color="auto"/>
        <w:bottom w:val="none" w:sz="0" w:space="0" w:color="auto"/>
        <w:right w:val="none" w:sz="0" w:space="0" w:color="auto"/>
      </w:divBdr>
    </w:div>
    <w:div w:id="1508207188">
      <w:bodyDiv w:val="1"/>
      <w:marLeft w:val="0"/>
      <w:marRight w:val="0"/>
      <w:marTop w:val="0"/>
      <w:marBottom w:val="0"/>
      <w:divBdr>
        <w:top w:val="none" w:sz="0" w:space="0" w:color="auto"/>
        <w:left w:val="none" w:sz="0" w:space="0" w:color="auto"/>
        <w:bottom w:val="none" w:sz="0" w:space="0" w:color="auto"/>
        <w:right w:val="none" w:sz="0" w:space="0" w:color="auto"/>
      </w:divBdr>
    </w:div>
    <w:div w:id="1539005001">
      <w:bodyDiv w:val="1"/>
      <w:marLeft w:val="0"/>
      <w:marRight w:val="0"/>
      <w:marTop w:val="0"/>
      <w:marBottom w:val="0"/>
      <w:divBdr>
        <w:top w:val="none" w:sz="0" w:space="0" w:color="auto"/>
        <w:left w:val="none" w:sz="0" w:space="0" w:color="auto"/>
        <w:bottom w:val="none" w:sz="0" w:space="0" w:color="auto"/>
        <w:right w:val="none" w:sz="0" w:space="0" w:color="auto"/>
      </w:divBdr>
      <w:divsChild>
        <w:div w:id="150410577">
          <w:marLeft w:val="0"/>
          <w:marRight w:val="0"/>
          <w:marTop w:val="0"/>
          <w:marBottom w:val="0"/>
          <w:divBdr>
            <w:top w:val="none" w:sz="0" w:space="0" w:color="auto"/>
            <w:left w:val="none" w:sz="0" w:space="0" w:color="auto"/>
            <w:bottom w:val="none" w:sz="0" w:space="0" w:color="auto"/>
            <w:right w:val="none" w:sz="0" w:space="0" w:color="auto"/>
          </w:divBdr>
          <w:divsChild>
            <w:div w:id="369914198">
              <w:marLeft w:val="0"/>
              <w:marRight w:val="0"/>
              <w:marTop w:val="0"/>
              <w:marBottom w:val="0"/>
              <w:divBdr>
                <w:top w:val="none" w:sz="0" w:space="0" w:color="auto"/>
                <w:left w:val="none" w:sz="0" w:space="0" w:color="auto"/>
                <w:bottom w:val="none" w:sz="0" w:space="0" w:color="auto"/>
                <w:right w:val="none" w:sz="0" w:space="0" w:color="auto"/>
              </w:divBdr>
              <w:divsChild>
                <w:div w:id="9396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62758">
      <w:bodyDiv w:val="1"/>
      <w:marLeft w:val="0"/>
      <w:marRight w:val="0"/>
      <w:marTop w:val="0"/>
      <w:marBottom w:val="0"/>
      <w:divBdr>
        <w:top w:val="none" w:sz="0" w:space="0" w:color="auto"/>
        <w:left w:val="none" w:sz="0" w:space="0" w:color="auto"/>
        <w:bottom w:val="none" w:sz="0" w:space="0" w:color="auto"/>
        <w:right w:val="none" w:sz="0" w:space="0" w:color="auto"/>
      </w:divBdr>
    </w:div>
    <w:div w:id="1577739807">
      <w:bodyDiv w:val="1"/>
      <w:marLeft w:val="0"/>
      <w:marRight w:val="0"/>
      <w:marTop w:val="0"/>
      <w:marBottom w:val="0"/>
      <w:divBdr>
        <w:top w:val="none" w:sz="0" w:space="0" w:color="auto"/>
        <w:left w:val="none" w:sz="0" w:space="0" w:color="auto"/>
        <w:bottom w:val="none" w:sz="0" w:space="0" w:color="auto"/>
        <w:right w:val="none" w:sz="0" w:space="0" w:color="auto"/>
      </w:divBdr>
      <w:divsChild>
        <w:div w:id="372510380">
          <w:marLeft w:val="0"/>
          <w:marRight w:val="0"/>
          <w:marTop w:val="0"/>
          <w:marBottom w:val="0"/>
          <w:divBdr>
            <w:top w:val="single" w:sz="2" w:space="0" w:color="D9D9E3"/>
            <w:left w:val="single" w:sz="2" w:space="0" w:color="D9D9E3"/>
            <w:bottom w:val="single" w:sz="2" w:space="0" w:color="D9D9E3"/>
            <w:right w:val="single" w:sz="2" w:space="0" w:color="D9D9E3"/>
          </w:divBdr>
          <w:divsChild>
            <w:div w:id="1279752651">
              <w:marLeft w:val="0"/>
              <w:marRight w:val="0"/>
              <w:marTop w:val="0"/>
              <w:marBottom w:val="0"/>
              <w:divBdr>
                <w:top w:val="single" w:sz="2" w:space="0" w:color="D9D9E3"/>
                <w:left w:val="single" w:sz="2" w:space="0" w:color="D9D9E3"/>
                <w:bottom w:val="single" w:sz="2" w:space="0" w:color="D9D9E3"/>
                <w:right w:val="single" w:sz="2" w:space="0" w:color="D9D9E3"/>
              </w:divBdr>
              <w:divsChild>
                <w:div w:id="1769498556">
                  <w:marLeft w:val="0"/>
                  <w:marRight w:val="0"/>
                  <w:marTop w:val="0"/>
                  <w:marBottom w:val="0"/>
                  <w:divBdr>
                    <w:top w:val="single" w:sz="2" w:space="0" w:color="D9D9E3"/>
                    <w:left w:val="single" w:sz="2" w:space="0" w:color="D9D9E3"/>
                    <w:bottom w:val="single" w:sz="2" w:space="0" w:color="D9D9E3"/>
                    <w:right w:val="single" w:sz="2" w:space="0" w:color="D9D9E3"/>
                  </w:divBdr>
                  <w:divsChild>
                    <w:div w:id="1347092850">
                      <w:marLeft w:val="0"/>
                      <w:marRight w:val="0"/>
                      <w:marTop w:val="0"/>
                      <w:marBottom w:val="0"/>
                      <w:divBdr>
                        <w:top w:val="single" w:sz="2" w:space="0" w:color="D9D9E3"/>
                        <w:left w:val="single" w:sz="2" w:space="0" w:color="D9D9E3"/>
                        <w:bottom w:val="single" w:sz="2" w:space="0" w:color="D9D9E3"/>
                        <w:right w:val="single" w:sz="2" w:space="0" w:color="D9D9E3"/>
                      </w:divBdr>
                      <w:divsChild>
                        <w:div w:id="1933511816">
                          <w:marLeft w:val="0"/>
                          <w:marRight w:val="0"/>
                          <w:marTop w:val="0"/>
                          <w:marBottom w:val="0"/>
                          <w:divBdr>
                            <w:top w:val="single" w:sz="2" w:space="0" w:color="auto"/>
                            <w:left w:val="single" w:sz="2" w:space="0" w:color="auto"/>
                            <w:bottom w:val="single" w:sz="6" w:space="0" w:color="auto"/>
                            <w:right w:val="single" w:sz="2" w:space="0" w:color="auto"/>
                          </w:divBdr>
                          <w:divsChild>
                            <w:div w:id="1024601347">
                              <w:marLeft w:val="0"/>
                              <w:marRight w:val="0"/>
                              <w:marTop w:val="100"/>
                              <w:marBottom w:val="100"/>
                              <w:divBdr>
                                <w:top w:val="single" w:sz="2" w:space="0" w:color="D9D9E3"/>
                                <w:left w:val="single" w:sz="2" w:space="0" w:color="D9D9E3"/>
                                <w:bottom w:val="single" w:sz="2" w:space="0" w:color="D9D9E3"/>
                                <w:right w:val="single" w:sz="2" w:space="0" w:color="D9D9E3"/>
                              </w:divBdr>
                              <w:divsChild>
                                <w:div w:id="765689680">
                                  <w:marLeft w:val="0"/>
                                  <w:marRight w:val="0"/>
                                  <w:marTop w:val="0"/>
                                  <w:marBottom w:val="0"/>
                                  <w:divBdr>
                                    <w:top w:val="single" w:sz="2" w:space="0" w:color="D9D9E3"/>
                                    <w:left w:val="single" w:sz="2" w:space="0" w:color="D9D9E3"/>
                                    <w:bottom w:val="single" w:sz="2" w:space="0" w:color="D9D9E3"/>
                                    <w:right w:val="single" w:sz="2" w:space="0" w:color="D9D9E3"/>
                                  </w:divBdr>
                                  <w:divsChild>
                                    <w:div w:id="803154354">
                                      <w:marLeft w:val="0"/>
                                      <w:marRight w:val="0"/>
                                      <w:marTop w:val="0"/>
                                      <w:marBottom w:val="0"/>
                                      <w:divBdr>
                                        <w:top w:val="single" w:sz="2" w:space="0" w:color="D9D9E3"/>
                                        <w:left w:val="single" w:sz="2" w:space="0" w:color="D9D9E3"/>
                                        <w:bottom w:val="single" w:sz="2" w:space="0" w:color="D9D9E3"/>
                                        <w:right w:val="single" w:sz="2" w:space="0" w:color="D9D9E3"/>
                                      </w:divBdr>
                                      <w:divsChild>
                                        <w:div w:id="175584424">
                                          <w:marLeft w:val="0"/>
                                          <w:marRight w:val="0"/>
                                          <w:marTop w:val="0"/>
                                          <w:marBottom w:val="0"/>
                                          <w:divBdr>
                                            <w:top w:val="single" w:sz="2" w:space="0" w:color="D9D9E3"/>
                                            <w:left w:val="single" w:sz="2" w:space="0" w:color="D9D9E3"/>
                                            <w:bottom w:val="single" w:sz="2" w:space="0" w:color="D9D9E3"/>
                                            <w:right w:val="single" w:sz="2" w:space="0" w:color="D9D9E3"/>
                                          </w:divBdr>
                                          <w:divsChild>
                                            <w:div w:id="1244953519">
                                              <w:marLeft w:val="0"/>
                                              <w:marRight w:val="0"/>
                                              <w:marTop w:val="0"/>
                                              <w:marBottom w:val="0"/>
                                              <w:divBdr>
                                                <w:top w:val="single" w:sz="2" w:space="0" w:color="D9D9E3"/>
                                                <w:left w:val="single" w:sz="2" w:space="0" w:color="D9D9E3"/>
                                                <w:bottom w:val="single" w:sz="2" w:space="0" w:color="D9D9E3"/>
                                                <w:right w:val="single" w:sz="2" w:space="0" w:color="D9D9E3"/>
                                              </w:divBdr>
                                              <w:divsChild>
                                                <w:div w:id="1933395488">
                                                  <w:marLeft w:val="0"/>
                                                  <w:marRight w:val="0"/>
                                                  <w:marTop w:val="0"/>
                                                  <w:marBottom w:val="0"/>
                                                  <w:divBdr>
                                                    <w:top w:val="single" w:sz="2" w:space="0" w:color="D9D9E3"/>
                                                    <w:left w:val="single" w:sz="2" w:space="0" w:color="D9D9E3"/>
                                                    <w:bottom w:val="single" w:sz="2" w:space="0" w:color="D9D9E3"/>
                                                    <w:right w:val="single" w:sz="2" w:space="0" w:color="D9D9E3"/>
                                                  </w:divBdr>
                                                  <w:divsChild>
                                                    <w:div w:id="1291740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78044897">
          <w:marLeft w:val="0"/>
          <w:marRight w:val="0"/>
          <w:marTop w:val="0"/>
          <w:marBottom w:val="0"/>
          <w:divBdr>
            <w:top w:val="none" w:sz="0" w:space="0" w:color="auto"/>
            <w:left w:val="none" w:sz="0" w:space="0" w:color="auto"/>
            <w:bottom w:val="none" w:sz="0" w:space="0" w:color="auto"/>
            <w:right w:val="none" w:sz="0" w:space="0" w:color="auto"/>
          </w:divBdr>
          <w:divsChild>
            <w:div w:id="1750691645">
              <w:marLeft w:val="0"/>
              <w:marRight w:val="0"/>
              <w:marTop w:val="0"/>
              <w:marBottom w:val="0"/>
              <w:divBdr>
                <w:top w:val="single" w:sz="2" w:space="0" w:color="D9D9E3"/>
                <w:left w:val="single" w:sz="2" w:space="0" w:color="D9D9E3"/>
                <w:bottom w:val="single" w:sz="2" w:space="0" w:color="D9D9E3"/>
                <w:right w:val="single" w:sz="2" w:space="0" w:color="D9D9E3"/>
              </w:divBdr>
              <w:divsChild>
                <w:div w:id="377320038">
                  <w:marLeft w:val="0"/>
                  <w:marRight w:val="0"/>
                  <w:marTop w:val="0"/>
                  <w:marBottom w:val="0"/>
                  <w:divBdr>
                    <w:top w:val="single" w:sz="2" w:space="0" w:color="D9D9E3"/>
                    <w:left w:val="single" w:sz="2" w:space="0" w:color="D9D9E3"/>
                    <w:bottom w:val="single" w:sz="2" w:space="0" w:color="D9D9E3"/>
                    <w:right w:val="single" w:sz="2" w:space="0" w:color="D9D9E3"/>
                  </w:divBdr>
                  <w:divsChild>
                    <w:div w:id="1578787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15166027">
      <w:bodyDiv w:val="1"/>
      <w:marLeft w:val="0"/>
      <w:marRight w:val="0"/>
      <w:marTop w:val="0"/>
      <w:marBottom w:val="0"/>
      <w:divBdr>
        <w:top w:val="none" w:sz="0" w:space="0" w:color="auto"/>
        <w:left w:val="none" w:sz="0" w:space="0" w:color="auto"/>
        <w:bottom w:val="none" w:sz="0" w:space="0" w:color="auto"/>
        <w:right w:val="none" w:sz="0" w:space="0" w:color="auto"/>
      </w:divBdr>
    </w:div>
    <w:div w:id="1721974953">
      <w:bodyDiv w:val="1"/>
      <w:marLeft w:val="0"/>
      <w:marRight w:val="0"/>
      <w:marTop w:val="0"/>
      <w:marBottom w:val="0"/>
      <w:divBdr>
        <w:top w:val="none" w:sz="0" w:space="0" w:color="auto"/>
        <w:left w:val="none" w:sz="0" w:space="0" w:color="auto"/>
        <w:bottom w:val="none" w:sz="0" w:space="0" w:color="auto"/>
        <w:right w:val="none" w:sz="0" w:space="0" w:color="auto"/>
      </w:divBdr>
      <w:divsChild>
        <w:div w:id="1022367068">
          <w:marLeft w:val="0"/>
          <w:marRight w:val="0"/>
          <w:marTop w:val="0"/>
          <w:marBottom w:val="0"/>
          <w:divBdr>
            <w:top w:val="none" w:sz="0" w:space="0" w:color="auto"/>
            <w:left w:val="none" w:sz="0" w:space="0" w:color="auto"/>
            <w:bottom w:val="none" w:sz="0" w:space="0" w:color="auto"/>
            <w:right w:val="none" w:sz="0" w:space="0" w:color="auto"/>
          </w:divBdr>
          <w:divsChild>
            <w:div w:id="1083334284">
              <w:marLeft w:val="0"/>
              <w:marRight w:val="0"/>
              <w:marTop w:val="0"/>
              <w:marBottom w:val="0"/>
              <w:divBdr>
                <w:top w:val="none" w:sz="0" w:space="0" w:color="auto"/>
                <w:left w:val="none" w:sz="0" w:space="0" w:color="auto"/>
                <w:bottom w:val="none" w:sz="0" w:space="0" w:color="auto"/>
                <w:right w:val="none" w:sz="0" w:space="0" w:color="auto"/>
              </w:divBdr>
              <w:divsChild>
                <w:div w:id="15979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24864">
      <w:bodyDiv w:val="1"/>
      <w:marLeft w:val="0"/>
      <w:marRight w:val="0"/>
      <w:marTop w:val="0"/>
      <w:marBottom w:val="0"/>
      <w:divBdr>
        <w:top w:val="none" w:sz="0" w:space="0" w:color="auto"/>
        <w:left w:val="none" w:sz="0" w:space="0" w:color="auto"/>
        <w:bottom w:val="none" w:sz="0" w:space="0" w:color="auto"/>
        <w:right w:val="none" w:sz="0" w:space="0" w:color="auto"/>
      </w:divBdr>
    </w:div>
    <w:div w:id="1944066107">
      <w:bodyDiv w:val="1"/>
      <w:marLeft w:val="0"/>
      <w:marRight w:val="0"/>
      <w:marTop w:val="0"/>
      <w:marBottom w:val="0"/>
      <w:divBdr>
        <w:top w:val="none" w:sz="0" w:space="0" w:color="auto"/>
        <w:left w:val="none" w:sz="0" w:space="0" w:color="auto"/>
        <w:bottom w:val="none" w:sz="0" w:space="0" w:color="auto"/>
        <w:right w:val="none" w:sz="0" w:space="0" w:color="auto"/>
      </w:divBdr>
    </w:div>
    <w:div w:id="1998874428">
      <w:bodyDiv w:val="1"/>
      <w:marLeft w:val="0"/>
      <w:marRight w:val="0"/>
      <w:marTop w:val="0"/>
      <w:marBottom w:val="0"/>
      <w:divBdr>
        <w:top w:val="none" w:sz="0" w:space="0" w:color="auto"/>
        <w:left w:val="none" w:sz="0" w:space="0" w:color="auto"/>
        <w:bottom w:val="none" w:sz="0" w:space="0" w:color="auto"/>
        <w:right w:val="none" w:sz="0" w:space="0" w:color="auto"/>
      </w:divBdr>
    </w:div>
    <w:div w:id="2015373691">
      <w:bodyDiv w:val="1"/>
      <w:marLeft w:val="0"/>
      <w:marRight w:val="0"/>
      <w:marTop w:val="0"/>
      <w:marBottom w:val="0"/>
      <w:divBdr>
        <w:top w:val="none" w:sz="0" w:space="0" w:color="auto"/>
        <w:left w:val="none" w:sz="0" w:space="0" w:color="auto"/>
        <w:bottom w:val="none" w:sz="0" w:space="0" w:color="auto"/>
        <w:right w:val="none" w:sz="0" w:space="0" w:color="auto"/>
      </w:divBdr>
    </w:div>
    <w:div w:id="2107383952">
      <w:bodyDiv w:val="1"/>
      <w:marLeft w:val="0"/>
      <w:marRight w:val="0"/>
      <w:marTop w:val="0"/>
      <w:marBottom w:val="0"/>
      <w:divBdr>
        <w:top w:val="none" w:sz="0" w:space="0" w:color="auto"/>
        <w:left w:val="none" w:sz="0" w:space="0" w:color="auto"/>
        <w:bottom w:val="none" w:sz="0" w:space="0" w:color="auto"/>
        <w:right w:val="none" w:sz="0" w:space="0" w:color="auto"/>
      </w:divBdr>
    </w:div>
    <w:div w:id="2118985218">
      <w:bodyDiv w:val="1"/>
      <w:marLeft w:val="0"/>
      <w:marRight w:val="0"/>
      <w:marTop w:val="0"/>
      <w:marBottom w:val="0"/>
      <w:divBdr>
        <w:top w:val="none" w:sz="0" w:space="0" w:color="auto"/>
        <w:left w:val="none" w:sz="0" w:space="0" w:color="auto"/>
        <w:bottom w:val="none" w:sz="0" w:space="0" w:color="auto"/>
        <w:right w:val="none" w:sz="0" w:space="0" w:color="auto"/>
      </w:divBdr>
      <w:divsChild>
        <w:div w:id="189027561">
          <w:marLeft w:val="0"/>
          <w:marRight w:val="0"/>
          <w:marTop w:val="0"/>
          <w:marBottom w:val="0"/>
          <w:divBdr>
            <w:top w:val="none" w:sz="0" w:space="0" w:color="auto"/>
            <w:left w:val="none" w:sz="0" w:space="0" w:color="auto"/>
            <w:bottom w:val="none" w:sz="0" w:space="0" w:color="auto"/>
            <w:right w:val="none" w:sz="0" w:space="0" w:color="auto"/>
          </w:divBdr>
          <w:divsChild>
            <w:div w:id="209654599">
              <w:marLeft w:val="0"/>
              <w:marRight w:val="0"/>
              <w:marTop w:val="0"/>
              <w:marBottom w:val="0"/>
              <w:divBdr>
                <w:top w:val="none" w:sz="0" w:space="0" w:color="auto"/>
                <w:left w:val="none" w:sz="0" w:space="0" w:color="auto"/>
                <w:bottom w:val="none" w:sz="0" w:space="0" w:color="auto"/>
                <w:right w:val="none" w:sz="0" w:space="0" w:color="auto"/>
              </w:divBdr>
              <w:divsChild>
                <w:div w:id="7798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7304">
      <w:bodyDiv w:val="1"/>
      <w:marLeft w:val="0"/>
      <w:marRight w:val="0"/>
      <w:marTop w:val="0"/>
      <w:marBottom w:val="0"/>
      <w:divBdr>
        <w:top w:val="none" w:sz="0" w:space="0" w:color="auto"/>
        <w:left w:val="none" w:sz="0" w:space="0" w:color="auto"/>
        <w:bottom w:val="none" w:sz="0" w:space="0" w:color="auto"/>
        <w:right w:val="none" w:sz="0" w:space="0" w:color="auto"/>
      </w:divBdr>
      <w:divsChild>
        <w:div w:id="1800996014">
          <w:marLeft w:val="0"/>
          <w:marRight w:val="0"/>
          <w:marTop w:val="0"/>
          <w:marBottom w:val="0"/>
          <w:divBdr>
            <w:top w:val="none" w:sz="0" w:space="0" w:color="auto"/>
            <w:left w:val="none" w:sz="0" w:space="0" w:color="auto"/>
            <w:bottom w:val="none" w:sz="0" w:space="0" w:color="auto"/>
            <w:right w:val="none" w:sz="0" w:space="0" w:color="auto"/>
          </w:divBdr>
          <w:divsChild>
            <w:div w:id="327710658">
              <w:marLeft w:val="0"/>
              <w:marRight w:val="0"/>
              <w:marTop w:val="0"/>
              <w:marBottom w:val="0"/>
              <w:divBdr>
                <w:top w:val="none" w:sz="0" w:space="0" w:color="auto"/>
                <w:left w:val="none" w:sz="0" w:space="0" w:color="auto"/>
                <w:bottom w:val="none" w:sz="0" w:space="0" w:color="auto"/>
                <w:right w:val="none" w:sz="0" w:space="0" w:color="auto"/>
              </w:divBdr>
              <w:divsChild>
                <w:div w:id="18680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6ACC9-C097-4EA9-86CF-8B43E6C4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5</TotalTime>
  <Pages>6</Pages>
  <Words>2568</Words>
  <Characters>14641</Characters>
  <Application>Microsoft Office Word</Application>
  <DocSecurity>0</DocSecurity>
  <Lines>122</Lines>
  <Paragraphs>34</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Zhao Yi</cp:lastModifiedBy>
  <cp:revision>7</cp:revision>
  <cp:lastPrinted>2023-11-29T19:28:00Z</cp:lastPrinted>
  <dcterms:created xsi:type="dcterms:W3CDTF">2023-11-30T07:51:00Z</dcterms:created>
  <dcterms:modified xsi:type="dcterms:W3CDTF">2023-11-30T07:55:00Z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SIP_Label_2b30ed1b-e95f-40b5-af89-828263f287a7_Enabled">
    <vt:lpwstr>true</vt:lpwstr>
  </property>
  <property fmtid="{D5CDD505-2E9C-101B-9397-08002B2CF9AE}" pid="11" name="MSIP_Label_2b30ed1b-e95f-40b5-af89-828263f287a7_SetDate">
    <vt:lpwstr>2023-11-14T08:06:30Z</vt:lpwstr>
  </property>
  <property fmtid="{D5CDD505-2E9C-101B-9397-08002B2CF9AE}" pid="12" name="MSIP_Label_2b30ed1b-e95f-40b5-af89-828263f287a7_Method">
    <vt:lpwstr>Privileged</vt:lpwstr>
  </property>
  <property fmtid="{D5CDD505-2E9C-101B-9397-08002B2CF9AE}" pid="13" name="MSIP_Label_2b30ed1b-e95f-40b5-af89-828263f287a7_Name">
    <vt:lpwstr>2b30ed1b-e95f-40b5-af89-828263f287a7</vt:lpwstr>
  </property>
  <property fmtid="{D5CDD505-2E9C-101B-9397-08002B2CF9AE}" pid="14" name="MSIP_Label_2b30ed1b-e95f-40b5-af89-828263f287a7_SiteId">
    <vt:lpwstr>329e91b0-e21f-48fb-a071-456717ecc28e</vt:lpwstr>
  </property>
  <property fmtid="{D5CDD505-2E9C-101B-9397-08002B2CF9AE}" pid="15" name="MSIP_Label_2b30ed1b-e95f-40b5-af89-828263f287a7_ActionId">
    <vt:lpwstr>59322891-9eba-409d-bac1-863419c002f7</vt:lpwstr>
  </property>
  <property fmtid="{D5CDD505-2E9C-101B-9397-08002B2CF9AE}" pid="16" name="MSIP_Label_2b30ed1b-e95f-40b5-af89-828263f287a7_ContentBits">
    <vt:lpwstr>0</vt:lpwstr>
  </property>
</Properties>
</file>