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2263EB18" w:rsidR="00DD3D9E" w:rsidRPr="00B4388F" w:rsidRDefault="00691253">
      <w:pPr>
        <w:pStyle w:val="Els-Title"/>
        <w:rPr>
          <w:color w:val="000000" w:themeColor="text1"/>
        </w:rPr>
      </w:pPr>
      <w:r w:rsidRPr="006D1590">
        <w:rPr>
          <w:color w:val="000000" w:themeColor="text1"/>
        </w:rPr>
        <w:t xml:space="preserve">Methodology for </w:t>
      </w:r>
      <w:r>
        <w:rPr>
          <w:color w:val="000000" w:themeColor="text1"/>
        </w:rPr>
        <w:t>q</w:t>
      </w:r>
      <w:r w:rsidRPr="006D1590">
        <w:rPr>
          <w:color w:val="000000" w:themeColor="text1"/>
        </w:rPr>
        <w:t xml:space="preserve">ualitative </w:t>
      </w:r>
      <w:r>
        <w:rPr>
          <w:color w:val="000000" w:themeColor="text1"/>
        </w:rPr>
        <w:t>a</w:t>
      </w:r>
      <w:r w:rsidRPr="006D1590">
        <w:rPr>
          <w:color w:val="000000" w:themeColor="text1"/>
        </w:rPr>
        <w:t xml:space="preserve">nalysis of </w:t>
      </w:r>
      <w:r>
        <w:rPr>
          <w:color w:val="000000" w:themeColor="text1"/>
        </w:rPr>
        <w:t>a</w:t>
      </w:r>
      <w:r w:rsidRPr="006D1590">
        <w:rPr>
          <w:color w:val="000000" w:themeColor="text1"/>
        </w:rPr>
        <w:t xml:space="preserve">tmospheric </w:t>
      </w:r>
      <w:r>
        <w:rPr>
          <w:color w:val="000000" w:themeColor="text1"/>
        </w:rPr>
        <w:t>c</w:t>
      </w:r>
      <w:r w:rsidRPr="006D1590">
        <w:rPr>
          <w:color w:val="000000" w:themeColor="text1"/>
        </w:rPr>
        <w:t xml:space="preserve">arbon </w:t>
      </w:r>
      <w:r>
        <w:rPr>
          <w:color w:val="000000" w:themeColor="text1"/>
        </w:rPr>
        <w:t>d</w:t>
      </w:r>
      <w:r w:rsidRPr="006D1590">
        <w:rPr>
          <w:color w:val="000000" w:themeColor="text1"/>
        </w:rPr>
        <w:t xml:space="preserve">ioxide </w:t>
      </w:r>
      <w:r>
        <w:rPr>
          <w:color w:val="000000" w:themeColor="text1"/>
        </w:rPr>
        <w:t>removal</w:t>
      </w:r>
      <w:r w:rsidRPr="006D1590">
        <w:rPr>
          <w:color w:val="000000" w:themeColor="text1"/>
        </w:rPr>
        <w:t xml:space="preserve"> through </w:t>
      </w:r>
      <w:r>
        <w:rPr>
          <w:color w:val="000000" w:themeColor="text1"/>
        </w:rPr>
        <w:t>m</w:t>
      </w:r>
      <w:r w:rsidRPr="006D1590">
        <w:rPr>
          <w:color w:val="000000" w:themeColor="text1"/>
        </w:rPr>
        <w:t xml:space="preserve">ineralization </w:t>
      </w:r>
      <w:r>
        <w:rPr>
          <w:color w:val="000000" w:themeColor="text1"/>
        </w:rPr>
        <w:t>t</w:t>
      </w:r>
      <w:r w:rsidRPr="006D1590">
        <w:rPr>
          <w:color w:val="000000" w:themeColor="text1"/>
        </w:rPr>
        <w:t>echnologies</w:t>
      </w:r>
    </w:p>
    <w:p w14:paraId="27270CA6" w14:textId="77777777" w:rsidR="00691253" w:rsidRPr="00040E8E" w:rsidRDefault="00691253" w:rsidP="00691253">
      <w:pPr>
        <w:pStyle w:val="Els-Author"/>
        <w:rPr>
          <w:lang w:val="fr-CH"/>
        </w:rPr>
      </w:pPr>
      <w:r w:rsidRPr="00040E8E">
        <w:rPr>
          <w:lang w:val="fr-CH"/>
        </w:rPr>
        <w:t>Corre Soline</w:t>
      </w:r>
      <w:r w:rsidRPr="00040E8E">
        <w:rPr>
          <w:vertAlign w:val="superscript"/>
          <w:lang w:val="fr-CH"/>
        </w:rPr>
        <w:t xml:space="preserve"> a*</w:t>
      </w:r>
      <w:r w:rsidRPr="00040E8E">
        <w:rPr>
          <w:lang w:val="fr-CH"/>
        </w:rPr>
        <w:t>, Dimitrova Zlatina</w:t>
      </w:r>
      <w:r w:rsidRPr="00040E8E">
        <w:rPr>
          <w:vertAlign w:val="superscript"/>
          <w:lang w:val="fr-CH"/>
        </w:rPr>
        <w:t xml:space="preserve"> b</w:t>
      </w:r>
      <w:r w:rsidRPr="00040E8E">
        <w:rPr>
          <w:lang w:val="fr-CH"/>
        </w:rPr>
        <w:t>, Harambat Fabien</w:t>
      </w:r>
      <w:r w:rsidRPr="00040E8E">
        <w:rPr>
          <w:vertAlign w:val="superscript"/>
          <w:lang w:val="fr-CH"/>
        </w:rPr>
        <w:t xml:space="preserve"> b</w:t>
      </w:r>
      <w:r w:rsidRPr="00040E8E">
        <w:rPr>
          <w:lang w:val="fr-CH"/>
        </w:rPr>
        <w:t>, Zoughaib Assaad</w:t>
      </w:r>
    </w:p>
    <w:p w14:paraId="201D0284" w14:textId="77777777" w:rsidR="00691253" w:rsidRPr="007326F0" w:rsidRDefault="00691253" w:rsidP="00691253">
      <w:pPr>
        <w:pStyle w:val="Els-Affiliation"/>
        <w:rPr>
          <w:sz w:val="18"/>
          <w:szCs w:val="18"/>
          <w:lang w:val="fr-CH"/>
        </w:rPr>
      </w:pPr>
      <w:r w:rsidRPr="007326F0">
        <w:rPr>
          <w:sz w:val="18"/>
          <w:szCs w:val="18"/>
          <w:vertAlign w:val="superscript"/>
          <w:lang w:val="fr-CH"/>
        </w:rPr>
        <w:t>a</w:t>
      </w:r>
      <w:r w:rsidRPr="007326F0">
        <w:rPr>
          <w:sz w:val="18"/>
          <w:szCs w:val="18"/>
          <w:lang w:val="fr-CH"/>
        </w:rPr>
        <w:t xml:space="preserve"> EPFL, 17 route de l’industrie, 1950 Sion, Switzerland</w:t>
      </w:r>
    </w:p>
    <w:p w14:paraId="13F63D00" w14:textId="77777777" w:rsidR="00691253" w:rsidRPr="007326F0" w:rsidRDefault="00691253" w:rsidP="00691253">
      <w:pPr>
        <w:pStyle w:val="Els-Affiliation"/>
        <w:rPr>
          <w:sz w:val="18"/>
          <w:szCs w:val="18"/>
          <w:lang w:val="fr-CH"/>
        </w:rPr>
      </w:pPr>
      <w:r w:rsidRPr="007326F0">
        <w:rPr>
          <w:sz w:val="18"/>
          <w:szCs w:val="18"/>
          <w:vertAlign w:val="superscript"/>
          <w:lang w:val="fr-CH"/>
        </w:rPr>
        <w:t>b</w:t>
      </w:r>
      <w:r w:rsidRPr="007326F0">
        <w:rPr>
          <w:sz w:val="18"/>
          <w:szCs w:val="18"/>
          <w:lang w:val="fr-CH"/>
        </w:rPr>
        <w:t xml:space="preserve"> Stellantis, 2bd de l’Europe, 78300 Poissy, France</w:t>
      </w:r>
    </w:p>
    <w:p w14:paraId="688EE192" w14:textId="77777777" w:rsidR="00691253" w:rsidRPr="007326F0" w:rsidRDefault="00691253" w:rsidP="00691253">
      <w:pPr>
        <w:pStyle w:val="Els-Affiliation"/>
        <w:spacing w:after="120"/>
        <w:rPr>
          <w:sz w:val="18"/>
          <w:szCs w:val="18"/>
        </w:rPr>
      </w:pPr>
      <w:r w:rsidRPr="007326F0">
        <w:rPr>
          <w:sz w:val="18"/>
          <w:szCs w:val="18"/>
        </w:rPr>
        <w:t>soline.corre@epfl.ch</w:t>
      </w:r>
    </w:p>
    <w:p w14:paraId="144DE684" w14:textId="77777777" w:rsidR="008D2649" w:rsidRDefault="008D2649" w:rsidP="008D2649">
      <w:pPr>
        <w:pStyle w:val="Els-Abstract"/>
      </w:pPr>
      <w:r>
        <w:t>Abstract</w:t>
      </w:r>
    </w:p>
    <w:p w14:paraId="2F67996E" w14:textId="73AC0EE9" w:rsidR="00691253" w:rsidRPr="008F2EAD" w:rsidRDefault="00691253" w:rsidP="00691253">
      <w:pPr>
        <w:jc w:val="both"/>
      </w:pPr>
      <w:r>
        <w:t xml:space="preserve">This article focuses on comparing qualitatively using a decision-aid method technological solutions to address climate change, such as Carbon </w:t>
      </w:r>
      <w:r w:rsidR="000E0E8E">
        <w:t>Capture and Storage</w:t>
      </w:r>
      <w:r>
        <w:t xml:space="preserve"> (C</w:t>
      </w:r>
      <w:r w:rsidR="000E0E8E">
        <w:t>CS</w:t>
      </w:r>
      <w:r>
        <w:t>) technologies. The research explores technological-based C</w:t>
      </w:r>
      <w:r w:rsidR="00922FA7">
        <w:t>CS</w:t>
      </w:r>
      <w:r>
        <w:t xml:space="preserve"> solutions and has revealed a wide range of available technologies for </w:t>
      </w:r>
      <w:r w:rsidR="000E0E8E">
        <w:t>CCS</w:t>
      </w:r>
      <w:r>
        <w:t>, each with varying efficiency and global capacity. Factors influencing the selection of C</w:t>
      </w:r>
      <w:r w:rsidR="000E0E8E">
        <w:t>CS</w:t>
      </w:r>
      <w:r>
        <w:t xml:space="preserve"> technologies include price, energy efficiency, environmental impact, and societal acceptance. Given the lack of a global methodology for comparing different C</w:t>
      </w:r>
      <w:r w:rsidR="000E0E8E">
        <w:t>CS</w:t>
      </w:r>
      <w:r>
        <w:t xml:space="preserve"> technologies, this article develops a qualitative methodology, inspired by certification standards and regulatory frameworks. Following this methodology, a qualitative analysis of mineralization technologies is presented. Enhanced rock weathering (ERW) applications in agricultural lands, oceanic/coastal environments, and underground storage of CO</w:t>
      </w:r>
      <w:r w:rsidRPr="001A1E3C">
        <w:rPr>
          <w:vertAlign w:val="subscript"/>
        </w:rPr>
        <w:t>2</w:t>
      </w:r>
      <w:r>
        <w:t xml:space="preserve"> </w:t>
      </w:r>
      <w:r w:rsidRPr="006D1590">
        <w:t xml:space="preserve">via </w:t>
      </w:r>
      <w:r>
        <w:t>mineralization are explored. The criteria are applied to assess the state-of-the-art research. The results show that ERW on agricultural lands</w:t>
      </w:r>
      <w:r w:rsidR="00B6595D">
        <w:t xml:space="preserve"> and underground storage of CO</w:t>
      </w:r>
      <w:r w:rsidR="00B6595D" w:rsidRPr="00B6595D">
        <w:rPr>
          <w:vertAlign w:val="subscript"/>
        </w:rPr>
        <w:t>2</w:t>
      </w:r>
      <w:r w:rsidR="00B6595D">
        <w:t xml:space="preserve"> via mineralization</w:t>
      </w:r>
      <w:r>
        <w:t xml:space="preserve"> </w:t>
      </w:r>
      <w:r w:rsidR="00920417">
        <w:t xml:space="preserve">are </w:t>
      </w:r>
      <w:r>
        <w:t>mature and qualitatively suitable</w:t>
      </w:r>
      <w:r w:rsidR="006103E3">
        <w:t xml:space="preserve"> under certain conditions</w:t>
      </w:r>
      <w:r>
        <w:t>, while ERW in oceanic and coastal environments requires further research. The study suggests improving the decision-aid method by incorporating new key performance indicators based on economic, life cycle assessment, and thermodynamic analyses of various C</w:t>
      </w:r>
      <w:r w:rsidR="000E0E8E">
        <w:t>CS</w:t>
      </w:r>
      <w:r>
        <w:t xml:space="preserve"> methods.</w:t>
      </w:r>
    </w:p>
    <w:p w14:paraId="6F29BDE9" w14:textId="3BDA3978" w:rsidR="00691253" w:rsidRDefault="00691253" w:rsidP="00691253">
      <w:pPr>
        <w:pStyle w:val="Els-body-text"/>
        <w:spacing w:after="120"/>
        <w:rPr>
          <w:lang w:val="en-GB"/>
        </w:rPr>
      </w:pPr>
      <w:r>
        <w:rPr>
          <w:b/>
          <w:bCs/>
          <w:lang w:val="en-GB"/>
        </w:rPr>
        <w:t>Keywords</w:t>
      </w:r>
      <w:r>
        <w:rPr>
          <w:lang w:val="en-GB"/>
        </w:rPr>
        <w:t xml:space="preserve">: </w:t>
      </w:r>
      <w:r w:rsidRPr="006D1590">
        <w:rPr>
          <w:lang w:val="en-GB"/>
        </w:rPr>
        <w:t>carbon dioxide, enhanced rock weathering, qualitative analysis.</w:t>
      </w:r>
    </w:p>
    <w:p w14:paraId="37B064AD" w14:textId="77777777" w:rsidR="00691253" w:rsidRDefault="00691253" w:rsidP="00691253">
      <w:pPr>
        <w:pStyle w:val="Els-1storder-head"/>
        <w:ind w:left="567"/>
      </w:pPr>
      <w:r>
        <w:t>Introduction</w:t>
      </w:r>
    </w:p>
    <w:p w14:paraId="154DD958" w14:textId="6A04D510" w:rsidR="00691253" w:rsidRDefault="00691253" w:rsidP="00691253">
      <w:pPr>
        <w:pStyle w:val="Els-body-text"/>
      </w:pPr>
      <w:r>
        <w:t>C</w:t>
      </w:r>
      <w:r w:rsidR="000E0E8E">
        <w:t>CS</w:t>
      </w:r>
      <w:r>
        <w:t xml:space="preserve"> technologies can be classified into two categories: the nature-based solutions, with methods of afforestation/reforestation, peatland, and the technological-based solutions</w:t>
      </w:r>
      <w:r w:rsidR="0075492A">
        <w:t xml:space="preserve">, such as </w:t>
      </w:r>
      <w:r>
        <w:t>direct air capture (DAC) or point-source capture, combined with storage, enhanced rock weathering (ERW) on agricultural lands or coastal/oceanic areas, and biochar</w:t>
      </w:r>
      <w:r w:rsidR="00B37EAB">
        <w:t xml:space="preserve">. </w:t>
      </w:r>
      <w:r>
        <w:t xml:space="preserve">Each of these technologies has its limits and needs to be carefully thought, with not only their feasibility but also their integration </w:t>
      </w:r>
      <w:r w:rsidR="00B37EAB">
        <w:t>into</w:t>
      </w:r>
      <w:r>
        <w:t xml:space="preserve"> their environment</w:t>
      </w:r>
      <w:r w:rsidR="005A15DE">
        <w:t>.</w:t>
      </w:r>
      <w:r>
        <w:t xml:space="preserve"> Their efficiency and worldwide capacity differ, for example for the ERW on agricultural lands techniques and biochar the potential is estimated at 0.5 to 2GtCO</w:t>
      </w:r>
      <w:r w:rsidRPr="00CB5630">
        <w:rPr>
          <w:vertAlign w:val="subscript"/>
        </w:rPr>
        <w:t>2</w:t>
      </w:r>
      <w:r>
        <w:t>y</w:t>
      </w:r>
      <w:r w:rsidRPr="00601A78">
        <w:rPr>
          <w:vertAlign w:val="superscript"/>
        </w:rPr>
        <w:t>-1</w:t>
      </w:r>
      <w:r>
        <w:t>, for soil organic carbon sequestration it varies from 0.5 to 5 GtCO</w:t>
      </w:r>
      <w:r w:rsidRPr="00601A78">
        <w:rPr>
          <w:vertAlign w:val="subscript"/>
        </w:rPr>
        <w:t>2</w:t>
      </w:r>
      <w:r>
        <w:t>y</w:t>
      </w:r>
      <w:r w:rsidRPr="00601A78">
        <w:rPr>
          <w:vertAlign w:val="superscript"/>
        </w:rPr>
        <w:t>-1</w:t>
      </w:r>
      <w:r>
        <w:t xml:space="preserve"> (</w:t>
      </w:r>
      <w:proofErr w:type="spellStart"/>
      <w:r>
        <w:t>Beerling</w:t>
      </w:r>
      <w:proofErr w:type="spellEnd"/>
      <w:r>
        <w:t xml:space="preserve"> et al., 2020).</w:t>
      </w:r>
      <w:r w:rsidR="0075492A">
        <w:t xml:space="preserve"> </w:t>
      </w:r>
      <w:r>
        <w:t>To decide which technology to choose amongst the different available, criteria such as price</w:t>
      </w:r>
      <w:r w:rsidR="00C51EAA">
        <w:t xml:space="preserve">, </w:t>
      </w:r>
      <w:r>
        <w:t xml:space="preserve">energy </w:t>
      </w:r>
      <w:r>
        <w:lastRenderedPageBreak/>
        <w:t xml:space="preserve">efficiency, environmental impact, </w:t>
      </w:r>
      <w:r w:rsidR="00C51EAA">
        <w:t xml:space="preserve">and </w:t>
      </w:r>
      <w:r>
        <w:t xml:space="preserve">acceptance of the technology at different levels (global, local) have to be taken into account. The question now is how to compare the different technologies on such diverse criteria, considering that there is no global methodology existing to compare them. </w:t>
      </w:r>
      <w:r w:rsidR="003E6B4E">
        <w:t>Trying to complete this methodological shortcoming, this work presents a qualitative decision-aid method</w:t>
      </w:r>
      <w:r w:rsidR="00C51EAA">
        <w:t>, b</w:t>
      </w:r>
      <w:r>
        <w:t>ased on certification standards (</w:t>
      </w:r>
      <w:proofErr w:type="spellStart"/>
      <w:r>
        <w:t>Arcusa</w:t>
      </w:r>
      <w:proofErr w:type="spellEnd"/>
      <w:r>
        <w:t xml:space="preserve"> et al.,</w:t>
      </w:r>
      <w:r w:rsidR="00920417">
        <w:t xml:space="preserve"> </w:t>
      </w:r>
      <w:r>
        <w:t xml:space="preserve">2022), </w:t>
      </w:r>
      <w:r w:rsidR="00C51EAA">
        <w:t xml:space="preserve">on </w:t>
      </w:r>
      <w:r>
        <w:t xml:space="preserve">the emerging laws from the European Parliament (European Parliament, 2022), and </w:t>
      </w:r>
      <w:r w:rsidR="0075492A">
        <w:t xml:space="preserve">on </w:t>
      </w:r>
      <w:r>
        <w:t>societal analysis (Selma et al., 2014</w:t>
      </w:r>
      <w:r w:rsidR="00C51EAA">
        <w:t>)</w:t>
      </w:r>
      <w:r>
        <w:t>. To illustrate the decision-aid method,</w:t>
      </w:r>
      <w:r w:rsidR="0075492A">
        <w:t xml:space="preserve"> that can be used on every C</w:t>
      </w:r>
      <w:r w:rsidR="000E0E8E">
        <w:t>CS</w:t>
      </w:r>
      <w:r w:rsidR="0075492A">
        <w:t xml:space="preserve"> technology,</w:t>
      </w:r>
      <w:r>
        <w:t xml:space="preserve"> </w:t>
      </w:r>
      <w:r w:rsidR="008C74C8">
        <w:t xml:space="preserve">it is </w:t>
      </w:r>
      <w:r>
        <w:t xml:space="preserve">applied </w:t>
      </w:r>
      <w:r w:rsidR="008C74C8">
        <w:t>in this work</w:t>
      </w:r>
      <w:r>
        <w:t xml:space="preserve"> to mineralization.</w:t>
      </w:r>
    </w:p>
    <w:p w14:paraId="5ED849DE" w14:textId="6A8CA40E" w:rsidR="00691253" w:rsidRDefault="00691253" w:rsidP="00691253">
      <w:pPr>
        <w:pStyle w:val="Els-1storder-head"/>
      </w:pPr>
      <w:r>
        <w:t xml:space="preserve">Definition of the decision-aid method </w:t>
      </w:r>
    </w:p>
    <w:p w14:paraId="35D8C2A9" w14:textId="5E386A60" w:rsidR="00691253" w:rsidRPr="00691253" w:rsidRDefault="00691253" w:rsidP="00691253">
      <w:pPr>
        <w:pStyle w:val="Els-1storder-head"/>
        <w:numPr>
          <w:ilvl w:val="0"/>
          <w:numId w:val="0"/>
        </w:numPr>
        <w:rPr>
          <w:b w:val="0"/>
          <w:bCs/>
          <w:sz w:val="20"/>
        </w:rPr>
      </w:pPr>
      <w:r w:rsidRPr="00691253">
        <w:rPr>
          <w:b w:val="0"/>
          <w:bCs/>
          <w:sz w:val="20"/>
        </w:rPr>
        <w:t>The decision-aid method</w:t>
      </w:r>
      <w:r w:rsidR="00C06C69">
        <w:rPr>
          <w:b w:val="0"/>
          <w:bCs/>
          <w:sz w:val="20"/>
        </w:rPr>
        <w:t>, illustrated in Figure 1,</w:t>
      </w:r>
      <w:r w:rsidRPr="00691253">
        <w:rPr>
          <w:b w:val="0"/>
          <w:bCs/>
          <w:sz w:val="20"/>
        </w:rPr>
        <w:t xml:space="preserve"> helps in tracking through </w:t>
      </w:r>
      <w:r w:rsidR="00B373BF">
        <w:rPr>
          <w:b w:val="0"/>
          <w:bCs/>
          <w:sz w:val="20"/>
        </w:rPr>
        <w:t>four</w:t>
      </w:r>
      <w:r w:rsidRPr="00691253">
        <w:rPr>
          <w:b w:val="0"/>
          <w:bCs/>
          <w:sz w:val="20"/>
        </w:rPr>
        <w:t xml:space="preserve"> simple steps whether a proposed technology is qualitatively viable or not. The first </w:t>
      </w:r>
      <w:r w:rsidR="000B78D5">
        <w:rPr>
          <w:b w:val="0"/>
          <w:bCs/>
          <w:sz w:val="20"/>
        </w:rPr>
        <w:t>step</w:t>
      </w:r>
      <w:r w:rsidRPr="00691253">
        <w:rPr>
          <w:b w:val="0"/>
          <w:bCs/>
          <w:sz w:val="20"/>
        </w:rPr>
        <w:t>, “the technology avoids any social and environmental harm”, verifies that the project does not provoke any social or environmental harm. It ensures compliance with basic human rights and laws, avoids socially and environmentally sensitive areas, and prevents the generation of any social or environmental harm. The second step states that “it is possible to estimate the CO</w:t>
      </w:r>
      <w:r w:rsidRPr="00691253">
        <w:rPr>
          <w:b w:val="0"/>
          <w:bCs/>
          <w:sz w:val="20"/>
          <w:vertAlign w:val="subscript"/>
        </w:rPr>
        <w:t>2</w:t>
      </w:r>
      <w:r w:rsidRPr="00691253">
        <w:rPr>
          <w:b w:val="0"/>
          <w:bCs/>
          <w:sz w:val="20"/>
        </w:rPr>
        <w:t xml:space="preserve"> removals and prove the permanence of the storage. The categories of impact from the Life Cycle Assessment (LCA) are considered in the estimation”. </w:t>
      </w:r>
      <w:r w:rsidRPr="00FF17F3">
        <w:rPr>
          <w:b w:val="0"/>
          <w:bCs/>
          <w:sz w:val="20"/>
        </w:rPr>
        <w:t>This step applies to the development phase of the project</w:t>
      </w:r>
      <w:r w:rsidR="008A75DE" w:rsidRPr="00FF17F3">
        <w:rPr>
          <w:b w:val="0"/>
          <w:bCs/>
          <w:sz w:val="20"/>
        </w:rPr>
        <w:t xml:space="preserve"> (thinking phase)</w:t>
      </w:r>
      <w:r w:rsidRPr="00FF17F3">
        <w:rPr>
          <w:b w:val="0"/>
          <w:bCs/>
          <w:sz w:val="20"/>
        </w:rPr>
        <w:t>, where estimation and previous analysis of potential impacts are made. It entails estimating CO</w:t>
      </w:r>
      <w:r w:rsidRPr="00FF17F3">
        <w:rPr>
          <w:b w:val="0"/>
          <w:bCs/>
          <w:sz w:val="20"/>
          <w:vertAlign w:val="subscript"/>
        </w:rPr>
        <w:t>2</w:t>
      </w:r>
      <w:r w:rsidRPr="00FF17F3">
        <w:rPr>
          <w:b w:val="0"/>
          <w:bCs/>
          <w:sz w:val="20"/>
        </w:rPr>
        <w:t xml:space="preserve"> removals using a</w:t>
      </w:r>
      <w:r w:rsidR="00920417">
        <w:rPr>
          <w:b w:val="0"/>
          <w:bCs/>
          <w:sz w:val="20"/>
        </w:rPr>
        <w:t xml:space="preserve"> robust and clear</w:t>
      </w:r>
      <w:r w:rsidRPr="00FF17F3">
        <w:rPr>
          <w:b w:val="0"/>
          <w:bCs/>
          <w:sz w:val="20"/>
        </w:rPr>
        <w:t xml:space="preserve"> calculation methodology</w:t>
      </w:r>
      <w:r w:rsidR="00920417">
        <w:rPr>
          <w:b w:val="0"/>
          <w:bCs/>
          <w:sz w:val="20"/>
        </w:rPr>
        <w:t>,</w:t>
      </w:r>
      <w:r w:rsidRPr="00FF17F3">
        <w:rPr>
          <w:b w:val="0"/>
          <w:bCs/>
          <w:sz w:val="20"/>
        </w:rPr>
        <w:t xml:space="preserve"> </w:t>
      </w:r>
      <w:r w:rsidR="00920417">
        <w:rPr>
          <w:b w:val="0"/>
          <w:bCs/>
          <w:sz w:val="20"/>
        </w:rPr>
        <w:t>undergoing</w:t>
      </w:r>
      <w:r w:rsidRPr="00FF17F3">
        <w:rPr>
          <w:b w:val="0"/>
          <w:bCs/>
          <w:sz w:val="20"/>
        </w:rPr>
        <w:t xml:space="preserve"> peer review</w:t>
      </w:r>
      <w:r w:rsidRPr="00691253">
        <w:rPr>
          <w:b w:val="0"/>
          <w:bCs/>
          <w:sz w:val="20"/>
        </w:rPr>
        <w:t xml:space="preserve">. The estimation process considers all impacts, aligning with the principles of LCA (such as </w:t>
      </w:r>
      <w:r w:rsidR="00B373BF">
        <w:rPr>
          <w:b w:val="0"/>
          <w:bCs/>
          <w:sz w:val="20"/>
        </w:rPr>
        <w:t>global warming potential</w:t>
      </w:r>
      <w:r w:rsidRPr="00691253">
        <w:rPr>
          <w:b w:val="0"/>
          <w:bCs/>
          <w:sz w:val="20"/>
        </w:rPr>
        <w:t>, ozone depletion, eutrophication,</w:t>
      </w:r>
      <w:r w:rsidR="0057194A">
        <w:rPr>
          <w:b w:val="0"/>
          <w:bCs/>
          <w:sz w:val="20"/>
        </w:rPr>
        <w:t xml:space="preserve"> acidification,</w:t>
      </w:r>
      <w:r w:rsidRPr="00691253">
        <w:rPr>
          <w:b w:val="0"/>
          <w:bCs/>
          <w:sz w:val="20"/>
        </w:rPr>
        <w:t xml:space="preserve"> depletion of abiotic resources, water and land use, </w:t>
      </w:r>
      <w:r w:rsidR="0057194A">
        <w:rPr>
          <w:b w:val="0"/>
          <w:bCs/>
          <w:sz w:val="20"/>
        </w:rPr>
        <w:t xml:space="preserve">and </w:t>
      </w:r>
      <w:r w:rsidRPr="00691253">
        <w:rPr>
          <w:b w:val="0"/>
          <w:bCs/>
          <w:sz w:val="20"/>
        </w:rPr>
        <w:t xml:space="preserve">ecotoxicity). It is also based on “permanence”, which requires demonstrating permanent reductions in GHG emissions and proving the absence or reversal of such emissions. The third step requires the validation of the following sentences: “It is possible to measure and monitor the quantity of carbon removed and stored during the duration of the project, by the authors and by a third-party auditor. No double counting is ensured”. This step is linked to the ongoing phase of the project: the measures done during the project, by the authors or by a third-party auditor. The concept of “measurability and monitoring” is used to emphasize the importance of transparent and demonstrated measurement practices and strong monitoring throughout the project's duration. These practices should be carried out by a trusted local player. “Verifiability” is another crucial indication, that necessitates professional verification of the project by </w:t>
      </w:r>
      <w:proofErr w:type="spellStart"/>
      <w:r w:rsidR="00D063A0">
        <w:rPr>
          <w:b w:val="0"/>
          <w:bCs/>
          <w:sz w:val="20"/>
        </w:rPr>
        <w:t>ti</w:t>
      </w:r>
      <w:r w:rsidRPr="00691253">
        <w:rPr>
          <w:b w:val="0"/>
          <w:bCs/>
          <w:sz w:val="20"/>
        </w:rPr>
        <w:t>rd</w:t>
      </w:r>
      <w:proofErr w:type="spellEnd"/>
      <w:r w:rsidRPr="00691253">
        <w:rPr>
          <w:b w:val="0"/>
          <w:bCs/>
          <w:sz w:val="20"/>
        </w:rPr>
        <w:t>-party auditor</w:t>
      </w:r>
      <w:r w:rsidR="00920417">
        <w:rPr>
          <w:b w:val="0"/>
          <w:bCs/>
          <w:sz w:val="20"/>
        </w:rPr>
        <w:t xml:space="preserve"> (preferably with specific accreditation)</w:t>
      </w:r>
      <w:r w:rsidRPr="00691253">
        <w:rPr>
          <w:b w:val="0"/>
          <w:bCs/>
          <w:sz w:val="20"/>
        </w:rPr>
        <w:t>. The verification process occurs from the starting date and is repeated, with publicly available audit results. Finally, the notion of “ownership and unicity” ensures that no double counting occurs, and the ownership of credits is enforceable. If the first three criteria are not validated, further research and improvement of the technology to validate the criteria must be carried out. The fourth step stipulates that “</w:t>
      </w:r>
      <w:r w:rsidRPr="0057194A">
        <w:rPr>
          <w:b w:val="0"/>
          <w:bCs/>
          <w:sz w:val="20"/>
        </w:rPr>
        <w:t>there is a strong societal acceptance of the technology proposed, based on the institutional link (confidence with local institutions) and governance robustness (transparency, public consultation) on a local scale and acceptability of the technology on a global scale</w:t>
      </w:r>
      <w:r w:rsidRPr="00691253">
        <w:rPr>
          <w:b w:val="0"/>
          <w:bCs/>
          <w:sz w:val="20"/>
        </w:rPr>
        <w:t>”</w:t>
      </w:r>
      <w:r w:rsidR="00B373BF">
        <w:rPr>
          <w:b w:val="0"/>
          <w:bCs/>
          <w:sz w:val="20"/>
        </w:rPr>
        <w:t>.</w:t>
      </w:r>
      <w:r w:rsidRPr="00691253">
        <w:rPr>
          <w:b w:val="0"/>
          <w:bCs/>
          <w:sz w:val="20"/>
        </w:rPr>
        <w:t xml:space="preserve"> If it appears to be incomplete, the project should be modified or further explanation towards citizens should be conducted. To maintain the “governance</w:t>
      </w:r>
      <w:r w:rsidR="00920417">
        <w:rPr>
          <w:b w:val="0"/>
          <w:bCs/>
          <w:sz w:val="20"/>
        </w:rPr>
        <w:t xml:space="preserve"> </w:t>
      </w:r>
      <w:r w:rsidRPr="00691253">
        <w:rPr>
          <w:b w:val="0"/>
          <w:bCs/>
          <w:sz w:val="20"/>
        </w:rPr>
        <w:t xml:space="preserve">robustness”, the project should have strong overall program </w:t>
      </w:r>
      <w:r w:rsidR="00D063A0" w:rsidRPr="00691253">
        <w:rPr>
          <w:b w:val="0"/>
          <w:bCs/>
          <w:noProof/>
          <w:sz w:val="20"/>
        </w:rPr>
        <w:lastRenderedPageBreak/>
        <mc:AlternateContent>
          <mc:Choice Requires="wps">
            <w:drawing>
              <wp:anchor distT="0" distB="0" distL="114300" distR="114300" simplePos="0" relativeHeight="251664384" behindDoc="0" locked="0" layoutInCell="1" allowOverlap="1" wp14:anchorId="3555D172" wp14:editId="7DF7781B">
                <wp:simplePos x="0" y="0"/>
                <wp:positionH relativeFrom="column">
                  <wp:posOffset>0</wp:posOffset>
                </wp:positionH>
                <wp:positionV relativeFrom="paragraph">
                  <wp:posOffset>6315800</wp:posOffset>
                </wp:positionV>
                <wp:extent cx="4455795" cy="229870"/>
                <wp:effectExtent l="0" t="0" r="1905" b="11430"/>
                <wp:wrapSquare wrapText="bothSides"/>
                <wp:docPr id="264549348" name="Text Box 1"/>
                <wp:cNvGraphicFramePr/>
                <a:graphic xmlns:a="http://schemas.openxmlformats.org/drawingml/2006/main">
                  <a:graphicData uri="http://schemas.microsoft.com/office/word/2010/wordprocessingShape">
                    <wps:wsp>
                      <wps:cNvSpPr txBox="1"/>
                      <wps:spPr>
                        <a:xfrm>
                          <a:off x="0" y="0"/>
                          <a:ext cx="4455795" cy="229870"/>
                        </a:xfrm>
                        <a:prstGeom prst="rect">
                          <a:avLst/>
                        </a:prstGeom>
                        <a:noFill/>
                        <a:ln>
                          <a:noFill/>
                        </a:ln>
                      </wps:spPr>
                      <wps:txbx>
                        <w:txbxContent>
                          <w:p w14:paraId="27B1773F" w14:textId="3BFB66C5" w:rsidR="00D063A0" w:rsidRPr="0075492A" w:rsidRDefault="00D063A0" w:rsidP="00D063A0">
                            <w:pPr>
                              <w:pStyle w:val="Caption"/>
                              <w:jc w:val="center"/>
                              <w:rPr>
                                <w:sz w:val="20"/>
                              </w:rPr>
                            </w:pPr>
                            <w:r w:rsidRPr="0075492A">
                              <w:t xml:space="preserve">Figure </w:t>
                            </w:r>
                            <w:r w:rsidRPr="0075492A">
                              <w:fldChar w:fldCharType="begin"/>
                            </w:r>
                            <w:r w:rsidRPr="0075492A">
                              <w:instrText xml:space="preserve"> SEQ Figure \* ARABIC </w:instrText>
                            </w:r>
                            <w:r w:rsidRPr="0075492A">
                              <w:fldChar w:fldCharType="separate"/>
                            </w:r>
                            <w:r w:rsidRPr="0075492A">
                              <w:rPr>
                                <w:noProof/>
                              </w:rPr>
                              <w:t>1</w:t>
                            </w:r>
                            <w:r w:rsidRPr="0075492A">
                              <w:fldChar w:fldCharType="end"/>
                            </w:r>
                            <w:r w:rsidRPr="0075492A">
                              <w:t>: Decision-aid qualitative methods of C</w:t>
                            </w:r>
                            <w:r w:rsidR="00922FA7">
                              <w:t>CS</w:t>
                            </w:r>
                            <w:r w:rsidRPr="0075492A">
                              <w:t xml:space="preserve"> technologies.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5D172" id="_x0000_t202" coordsize="21600,21600" o:spt="202" path="m,l,21600r21600,l21600,xe">
                <v:stroke joinstyle="miter"/>
                <v:path gradientshapeok="t" o:connecttype="rect"/>
              </v:shapetype>
              <v:shape id="Text Box 1" o:spid="_x0000_s1026" type="#_x0000_t202" style="position:absolute;left:0;text-align:left;margin-left:0;margin-top:497.3pt;width:350.85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" filled="f" stroked="f">
                <v:textbox inset="0,0,0,0">
                  <w:txbxContent>
                    <w:p w14:paraId="27B1773F" w14:textId="3BFB66C5" w:rsidR="00D063A0" w:rsidRPr="0075492A" w:rsidRDefault="00D063A0" w:rsidP="00D063A0">
                      <w:pPr>
                        <w:pStyle w:val="Caption"/>
                        <w:jc w:val="center"/>
                        <w:rPr>
                          <w:sz w:val="20"/>
                        </w:rPr>
                      </w:pPr>
                      <w:r w:rsidRPr="0075492A">
                        <w:t xml:space="preserve">Figure </w:t>
                      </w:r>
                      <w:r w:rsidRPr="0075492A">
                        <w:fldChar w:fldCharType="begin"/>
                      </w:r>
                      <w:r w:rsidRPr="0075492A">
                        <w:instrText xml:space="preserve"> SEQ Figure \* ARABIC </w:instrText>
                      </w:r>
                      <w:r w:rsidRPr="0075492A">
                        <w:fldChar w:fldCharType="separate"/>
                      </w:r>
                      <w:r w:rsidRPr="0075492A">
                        <w:rPr>
                          <w:noProof/>
                        </w:rPr>
                        <w:t>1</w:t>
                      </w:r>
                      <w:r w:rsidRPr="0075492A">
                        <w:fldChar w:fldCharType="end"/>
                      </w:r>
                      <w:r w:rsidRPr="0075492A">
                        <w:t>: Decision-aid qualitative methods of C</w:t>
                      </w:r>
                      <w:r w:rsidR="00922FA7">
                        <w:t>CS</w:t>
                      </w:r>
                      <w:r w:rsidRPr="0075492A">
                        <w:t xml:space="preserve"> technologies.</w:t>
                      </w:r>
                    </w:p>
                  </w:txbxContent>
                </v:textbox>
                <w10:wrap type="square"/>
              </v:shape>
            </w:pict>
          </mc:Fallback>
        </mc:AlternateContent>
      </w:r>
      <w:r w:rsidR="00D063A0" w:rsidRPr="00691253">
        <w:rPr>
          <w:b w:val="0"/>
          <w:bCs/>
          <w:noProof/>
          <w:sz w:val="20"/>
        </w:rPr>
        <w:drawing>
          <wp:anchor distT="0" distB="0" distL="114300" distR="114300" simplePos="0" relativeHeight="251662336" behindDoc="0" locked="0" layoutInCell="1" allowOverlap="1" wp14:anchorId="5EA077B7" wp14:editId="7C9DE881">
            <wp:simplePos x="0" y="0"/>
            <wp:positionH relativeFrom="margin">
              <wp:posOffset>312058</wp:posOffset>
            </wp:positionH>
            <wp:positionV relativeFrom="margin">
              <wp:posOffset>-159657</wp:posOffset>
            </wp:positionV>
            <wp:extent cx="3751580" cy="6433185"/>
            <wp:effectExtent l="0" t="0" r="0" b="5715"/>
            <wp:wrapSquare wrapText="bothSides"/>
            <wp:docPr id="130265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5018" name="Picture 1302650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1580" cy="6433185"/>
                    </a:xfrm>
                    <a:prstGeom prst="rect">
                      <a:avLst/>
                    </a:prstGeom>
                  </pic:spPr>
                </pic:pic>
              </a:graphicData>
            </a:graphic>
            <wp14:sizeRelH relativeFrom="margin">
              <wp14:pctWidth>0</wp14:pctWidth>
            </wp14:sizeRelH>
            <wp14:sizeRelV relativeFrom="margin">
              <wp14:pctHeight>0</wp14:pctHeight>
            </wp14:sizeRelV>
          </wp:anchor>
        </w:drawing>
      </w:r>
      <w:r w:rsidRPr="00691253">
        <w:rPr>
          <w:b w:val="0"/>
          <w:bCs/>
          <w:sz w:val="20"/>
        </w:rPr>
        <w:t>governance, transparency</w:t>
      </w:r>
      <w:r w:rsidR="00B373BF">
        <w:rPr>
          <w:b w:val="0"/>
          <w:bCs/>
          <w:sz w:val="20"/>
        </w:rPr>
        <w:t xml:space="preserve"> regarding the project’s progress</w:t>
      </w:r>
      <w:r w:rsidRPr="00691253">
        <w:rPr>
          <w:b w:val="0"/>
          <w:bCs/>
          <w:sz w:val="20"/>
        </w:rPr>
        <w:t xml:space="preserve">, and public consultation. A complaints appeal policy should be in place, and the project's methodologies and registry design should operate independently from commercial activities. Lastly, “institutional </w:t>
      </w:r>
      <w:r w:rsidRPr="00691253">
        <w:rPr>
          <w:b w:val="0"/>
          <w:bCs/>
          <w:sz w:val="20"/>
        </w:rPr>
        <w:lastRenderedPageBreak/>
        <w:t xml:space="preserve">link” highlights the importance of integrating the project into the local institutional ecosystem. </w:t>
      </w:r>
    </w:p>
    <w:p w14:paraId="57B0A356" w14:textId="66DA4075" w:rsidR="00691253" w:rsidRDefault="00691253" w:rsidP="00691253">
      <w:pPr>
        <w:pStyle w:val="Els-1storder-head"/>
        <w:ind w:left="567"/>
      </w:pPr>
      <w:r>
        <w:t>Mineralization technologies</w:t>
      </w:r>
    </w:p>
    <w:p w14:paraId="2675A4AC" w14:textId="69A6B9F4" w:rsidR="00691253" w:rsidRDefault="00691253" w:rsidP="00691253">
      <w:pPr>
        <w:jc w:val="both"/>
      </w:pPr>
      <w:r>
        <w:t>ERW is an inorganic carbon sequestration technique with the capacity to store CO</w:t>
      </w:r>
      <w:r w:rsidRPr="003B3244">
        <w:rPr>
          <w:vertAlign w:val="subscript"/>
        </w:rPr>
        <w:t>2</w:t>
      </w:r>
      <w:r>
        <w:t xml:space="preserve"> for over </w:t>
      </w:r>
      <w:r w:rsidR="006F119A">
        <w:t>100,000</w:t>
      </w:r>
      <w:r>
        <w:t xml:space="preserve"> years (</w:t>
      </w:r>
      <w:proofErr w:type="spellStart"/>
      <w:r>
        <w:t>Beerling</w:t>
      </w:r>
      <w:proofErr w:type="spellEnd"/>
      <w:r>
        <w:t xml:space="preserve"> et al., 2020). It is used on agricultural lands and oceanic areas. ERW works according to the following steps: crushed silicate rock is spread in soil or on coastal environments/ocean and dissolves, liberating base cations (as Mg</w:t>
      </w:r>
      <w:r w:rsidRPr="00510117">
        <w:rPr>
          <w:vertAlign w:val="superscript"/>
        </w:rPr>
        <w:t>2+</w:t>
      </w:r>
      <w:r>
        <w:t>, Ca</w:t>
      </w:r>
      <w:r w:rsidRPr="00510117">
        <w:rPr>
          <w:vertAlign w:val="superscript"/>
        </w:rPr>
        <w:t>2+</w:t>
      </w:r>
      <w:r>
        <w:t>). These cations generate alkalinity that draws down CO</w:t>
      </w:r>
      <w:r w:rsidRPr="00BD31B8">
        <w:rPr>
          <w:vertAlign w:val="subscript"/>
        </w:rPr>
        <w:t>2</w:t>
      </w:r>
      <w:r>
        <w:t xml:space="preserve"> from the atmosphere by forming principally carbonate ions</w:t>
      </w:r>
      <w:r w:rsidR="0034069E">
        <w:t>.</w:t>
      </w:r>
      <w:r>
        <w:t xml:space="preserve"> There is an increase in the seawater alkalinity resulting in additional CO</w:t>
      </w:r>
      <w:r w:rsidRPr="00BD31B8">
        <w:rPr>
          <w:vertAlign w:val="subscript"/>
        </w:rPr>
        <w:t>2</w:t>
      </w:r>
      <w:r>
        <w:t xml:space="preserve"> uptake from the atmosphere, occurring also with ERW on agricultural lands, as some of the minerals are washed to the ocean via soil drainage waters. </w:t>
      </w:r>
    </w:p>
    <w:p w14:paraId="17AA3B7F" w14:textId="0579CC44" w:rsidR="00691253" w:rsidRPr="002D193D" w:rsidRDefault="00EC038A" w:rsidP="00691253">
      <w:pPr>
        <w:jc w:val="both"/>
      </w:pPr>
      <w:r>
        <w:t>Storing</w:t>
      </w:r>
      <w:r w:rsidR="00691253">
        <w:t xml:space="preserve"> underground </w:t>
      </w:r>
      <w:r>
        <w:t xml:space="preserve">via mineralization </w:t>
      </w:r>
      <w:r w:rsidR="00691253">
        <w:t>the CO</w:t>
      </w:r>
      <w:r w:rsidR="00691253" w:rsidRPr="00351253">
        <w:rPr>
          <w:vertAlign w:val="subscript"/>
        </w:rPr>
        <w:t>2</w:t>
      </w:r>
      <w:r w:rsidR="00691253">
        <w:t xml:space="preserve"> already captured in large quantities consists of injecting underground </w:t>
      </w:r>
      <w:r w:rsidR="00A17128">
        <w:t xml:space="preserve">(in reactive rocks, such as mafic and ultramafic rocks) </w:t>
      </w:r>
      <w:r w:rsidR="00691253">
        <w:t>CO</w:t>
      </w:r>
      <w:r w:rsidR="00691253" w:rsidRPr="00351253">
        <w:rPr>
          <w:vertAlign w:val="subscript"/>
        </w:rPr>
        <w:t>2</w:t>
      </w:r>
      <w:r w:rsidR="00691253">
        <w:t xml:space="preserve"> dissolved in water</w:t>
      </w:r>
      <w:r w:rsidR="00DD3EF0">
        <w:t xml:space="preserve">, </w:t>
      </w:r>
      <w:r w:rsidR="00691253">
        <w:t>requir</w:t>
      </w:r>
      <w:r w:rsidR="00DD3EF0">
        <w:t>ing</w:t>
      </w:r>
      <w:r w:rsidR="00691253">
        <w:t xml:space="preserve"> </w:t>
      </w:r>
      <w:r w:rsidR="00E6335E">
        <w:t>twenty-five</w:t>
      </w:r>
      <w:r w:rsidR="00691253">
        <w:t xml:space="preserve"> tons of water for one ton of CO</w:t>
      </w:r>
      <w:r w:rsidR="00691253" w:rsidRPr="00351253">
        <w:rPr>
          <w:vertAlign w:val="subscript"/>
        </w:rPr>
        <w:t xml:space="preserve">2 </w:t>
      </w:r>
      <w:r w:rsidR="00691253">
        <w:t>injected</w:t>
      </w:r>
      <w:r>
        <w:t xml:space="preserve"> (</w:t>
      </w:r>
      <w:proofErr w:type="spellStart"/>
      <w:r>
        <w:t>Delerce</w:t>
      </w:r>
      <w:proofErr w:type="spellEnd"/>
      <w:r>
        <w:t xml:space="preserve"> and </w:t>
      </w:r>
      <w:proofErr w:type="spellStart"/>
      <w:r>
        <w:t>Oelkers</w:t>
      </w:r>
      <w:proofErr w:type="spellEnd"/>
      <w:r>
        <w:t>, 2022)</w:t>
      </w:r>
      <w:r w:rsidR="00691253">
        <w:t>. The solution reacts with reservoir rocks to trap CO</w:t>
      </w:r>
      <w:r w:rsidR="00691253" w:rsidRPr="00CC79DA">
        <w:rPr>
          <w:vertAlign w:val="subscript"/>
        </w:rPr>
        <w:t>2</w:t>
      </w:r>
      <w:r w:rsidR="00691253">
        <w:t xml:space="preserve"> in the form of carbonate minerals. Solubility trapping occurs immediately, and most of the CO</w:t>
      </w:r>
      <w:r w:rsidR="00691253" w:rsidRPr="00351253">
        <w:rPr>
          <w:vertAlign w:val="subscript"/>
        </w:rPr>
        <w:t>2</w:t>
      </w:r>
      <w:r w:rsidR="00691253">
        <w:t xml:space="preserve"> injected reacts and reaches a stable form within two years </w:t>
      </w:r>
      <w:r w:rsidR="00691253" w:rsidRPr="00FD2ADE">
        <w:t>(</w:t>
      </w:r>
      <w:proofErr w:type="spellStart"/>
      <w:r w:rsidR="00691253" w:rsidRPr="00FD2ADE">
        <w:t>Snæbjörnsdóttir</w:t>
      </w:r>
      <w:proofErr w:type="spellEnd"/>
      <w:r w:rsidR="00691253" w:rsidRPr="00FD2ADE">
        <w:t xml:space="preserve"> et al., 2020).</w:t>
      </w:r>
    </w:p>
    <w:p w14:paraId="78B9406A" w14:textId="6F9FAEB1" w:rsidR="00691253" w:rsidRDefault="00691253" w:rsidP="00691253">
      <w:pPr>
        <w:pStyle w:val="Els-1storder-head"/>
      </w:pPr>
      <w:r>
        <w:t>Analysis of the mineralization technologies with the decision-aid method</w:t>
      </w:r>
    </w:p>
    <w:p w14:paraId="09DA4968" w14:textId="561F067E" w:rsidR="00691253" w:rsidRDefault="00691253" w:rsidP="00691253">
      <w:pPr>
        <w:pStyle w:val="Els-2ndorder-head"/>
      </w:pPr>
      <w:r>
        <w:t xml:space="preserve">Analysis of ERW on agricultural lands  </w:t>
      </w:r>
    </w:p>
    <w:p w14:paraId="163EC39F" w14:textId="69FC2C41" w:rsidR="00691253" w:rsidRPr="001C0209" w:rsidRDefault="00691253" w:rsidP="00691253">
      <w:pPr>
        <w:jc w:val="both"/>
        <w:rPr>
          <w:b/>
          <w:bCs/>
        </w:rPr>
      </w:pPr>
      <w:r>
        <w:t xml:space="preserve">The step one of the decision-aid method, “avoiding social and environmental harm”, faces a lack of knowledge in the actual state of the art that impeaches to </w:t>
      </w:r>
      <w:r w:rsidR="0049631E">
        <w:t>fulfil</w:t>
      </w:r>
      <w:r>
        <w:t xml:space="preserve"> it. The main risk is the contamination of lands</w:t>
      </w:r>
      <w:r w:rsidR="00E20261">
        <w:t xml:space="preserve">, </w:t>
      </w:r>
      <w:r>
        <w:t>crops</w:t>
      </w:r>
      <w:r w:rsidR="00E20261">
        <w:t>, and groundwaters</w:t>
      </w:r>
      <w:r>
        <w:t xml:space="preserve"> with heavy metals and toxic substances</w:t>
      </w:r>
      <w:r w:rsidR="00E20261">
        <w:t xml:space="preserve">, </w:t>
      </w:r>
      <w:r w:rsidR="0049631E">
        <w:t xml:space="preserve">such </w:t>
      </w:r>
      <w:r w:rsidR="00E20261">
        <w:t>as nickel and chromium,</w:t>
      </w:r>
      <w:r>
        <w:t xml:space="preserve"> present in the rocks</w:t>
      </w:r>
      <w:r w:rsidR="00E20261">
        <w:t xml:space="preserve"> </w:t>
      </w:r>
      <w:r>
        <w:t>(</w:t>
      </w:r>
      <w:proofErr w:type="spellStart"/>
      <w:r>
        <w:t>Schuiling</w:t>
      </w:r>
      <w:proofErr w:type="spellEnd"/>
      <w:r>
        <w:t xml:space="preserve"> and </w:t>
      </w:r>
      <w:proofErr w:type="spellStart"/>
      <w:r>
        <w:t>Krijgsman</w:t>
      </w:r>
      <w:proofErr w:type="spellEnd"/>
      <w:r>
        <w:t xml:space="preserve">, 2006). Moreover, </w:t>
      </w:r>
      <w:r w:rsidR="006103E3">
        <w:t>the project leaders</w:t>
      </w:r>
      <w:r>
        <w:t xml:space="preserve"> should be careful that there is no trade-off between carbon sequestration and crop production</w:t>
      </w:r>
      <w:r w:rsidR="006103E3">
        <w:t>, as</w:t>
      </w:r>
      <w:r>
        <w:t xml:space="preserve"> </w:t>
      </w:r>
      <w:r w:rsidR="006103E3">
        <w:t>ERW</w:t>
      </w:r>
      <w:r>
        <w:t xml:space="preserve"> could decrease the organic carbon content in soils and threaten food security (Lehman and </w:t>
      </w:r>
      <w:proofErr w:type="spellStart"/>
      <w:r>
        <w:t>Possinger</w:t>
      </w:r>
      <w:proofErr w:type="spellEnd"/>
      <w:r>
        <w:t>, 2020). Then, the local impact of mines to extract the rocks is also to be analysed via an LCA study, as it destroys locally the environment. Another provenance of rocks (via industrial alkaline waste) would reduce this impact (Castro-</w:t>
      </w:r>
      <w:proofErr w:type="spellStart"/>
      <w:r>
        <w:t>Amoedo</w:t>
      </w:r>
      <w:proofErr w:type="spellEnd"/>
      <w:r>
        <w:t xml:space="preserve"> et al., 2023).</w:t>
      </w:r>
      <w:r>
        <w:rPr>
          <w:b/>
          <w:bCs/>
        </w:rPr>
        <w:t xml:space="preserve"> </w:t>
      </w:r>
      <w:r w:rsidR="00011EF0">
        <w:t xml:space="preserve">Therefore, the criteria “Avoiding Social and Environmental harm” require further investigation and mitigation to be sure that there is no risk at all. </w:t>
      </w:r>
      <w:r>
        <w:t xml:space="preserve">Concerning step two, the </w:t>
      </w:r>
      <w:r w:rsidR="00A017F4">
        <w:t xml:space="preserve">estimation of the storage </w:t>
      </w:r>
      <w:r>
        <w:t xml:space="preserve">permanence, </w:t>
      </w:r>
      <w:r w:rsidR="009F169C">
        <w:t>the storage</w:t>
      </w:r>
      <w:r>
        <w:t xml:space="preserve"> has been established with the state-of-the-art study, that attests that once mineralized the carbon is stable and trapped for geological time spans (</w:t>
      </w:r>
      <w:proofErr w:type="spellStart"/>
      <w:r>
        <w:t>Beerling</w:t>
      </w:r>
      <w:proofErr w:type="spellEnd"/>
      <w:r>
        <w:t xml:space="preserve"> et al., 2020). </w:t>
      </w:r>
      <w:r w:rsidR="009F169C">
        <w:t>T</w:t>
      </w:r>
      <w:r>
        <w:t xml:space="preserve">he estimation of the carbon removal, </w:t>
      </w:r>
      <w:r w:rsidR="009638CF">
        <w:t xml:space="preserve">and </w:t>
      </w:r>
      <w:r>
        <w:t>it</w:t>
      </w:r>
      <w:r w:rsidR="00A017F4">
        <w:t>s validation</w:t>
      </w:r>
      <w:r>
        <w:t xml:space="preserve"> will depend on the method proposed to </w:t>
      </w:r>
      <w:r w:rsidR="00A017F4">
        <w:t>assess the</w:t>
      </w:r>
      <w:r>
        <w:t xml:space="preserve"> quantity of CO</w:t>
      </w:r>
      <w:r w:rsidRPr="00E77795">
        <w:rPr>
          <w:vertAlign w:val="subscript"/>
        </w:rPr>
        <w:t>2</w:t>
      </w:r>
      <w:r>
        <w:t xml:space="preserve"> </w:t>
      </w:r>
      <w:r w:rsidR="00A017F4">
        <w:t xml:space="preserve">that </w:t>
      </w:r>
      <w:r>
        <w:t>will be captured. Concerning</w:t>
      </w:r>
      <w:r w:rsidR="00A017F4">
        <w:t xml:space="preserve"> step three, e. g. the</w:t>
      </w:r>
      <w:r>
        <w:t xml:space="preserve"> measurability and the monitoring of carbon removal during the project, it seems possible to extend and realize a proper estimation method, verifiable by a third </w:t>
      </w:r>
      <w:r w:rsidR="00A017F4">
        <w:t>party</w:t>
      </w:r>
      <w:r>
        <w:t xml:space="preserve">. Samples of rocks can be </w:t>
      </w:r>
      <w:r w:rsidR="00194C08">
        <w:t>analysed</w:t>
      </w:r>
      <w:r>
        <w:t xml:space="preserve"> before the spreading and after a few months to assess the quantity of carbon removed.</w:t>
      </w:r>
      <w:r>
        <w:rPr>
          <w:b/>
          <w:bCs/>
        </w:rPr>
        <w:t xml:space="preserve"> </w:t>
      </w:r>
      <w:r w:rsidR="009F169C">
        <w:t>Step four, or</w:t>
      </w:r>
      <w:r>
        <w:t xml:space="preserve"> governance robustness and institutional link have not been established yet, due to a lack of regulation of this specific practice.</w:t>
      </w:r>
      <w:r>
        <w:rPr>
          <w:b/>
          <w:bCs/>
        </w:rPr>
        <w:t xml:space="preserve"> </w:t>
      </w:r>
    </w:p>
    <w:p w14:paraId="00E35E04" w14:textId="77777777" w:rsidR="00691253" w:rsidRPr="004D6376" w:rsidRDefault="00691253" w:rsidP="00691253">
      <w:pPr>
        <w:pStyle w:val="Els-3rdorder-head"/>
        <w:numPr>
          <w:ilvl w:val="0"/>
          <w:numId w:val="0"/>
        </w:numPr>
        <w:rPr>
          <w:rStyle w:val="CSNormalBold"/>
          <w:b w:val="0"/>
        </w:rPr>
      </w:pPr>
      <w:r>
        <w:t xml:space="preserve">4.2 </w:t>
      </w:r>
      <w:r w:rsidRPr="00D50619">
        <w:t>Analysis of ERW on coastal environments and oceans</w:t>
      </w:r>
    </w:p>
    <w:p w14:paraId="2D9A7C39" w14:textId="7941AB83" w:rsidR="00691253" w:rsidRDefault="00691253" w:rsidP="00691253">
      <w:pPr>
        <w:jc w:val="both"/>
      </w:pPr>
      <w:r>
        <w:t>The</w:t>
      </w:r>
      <w:r w:rsidR="00EF125C">
        <w:t xml:space="preserve"> criteria one,</w:t>
      </w:r>
      <w:r w:rsidRPr="00D50619">
        <w:t xml:space="preserve"> avoidance of social and env</w:t>
      </w:r>
      <w:r>
        <w:t>ironmental</w:t>
      </w:r>
      <w:r w:rsidRPr="00D50619">
        <w:t xml:space="preserve"> harm</w:t>
      </w:r>
      <w:r w:rsidR="00EF125C">
        <w:t xml:space="preserve">, </w:t>
      </w:r>
      <w:r>
        <w:t xml:space="preserve">has not been </w:t>
      </w:r>
      <w:r w:rsidR="00EF125C">
        <w:t>fulfilled</w:t>
      </w:r>
      <w:r>
        <w:t xml:space="preserve">. It is due to a </w:t>
      </w:r>
      <w:r w:rsidRPr="00D50619">
        <w:t>lack of knowledge over the possible add</w:t>
      </w:r>
      <w:r>
        <w:t>ition</w:t>
      </w:r>
      <w:r w:rsidRPr="00D50619">
        <w:t xml:space="preserve"> of toxic substances</w:t>
      </w:r>
      <w:r>
        <w:t xml:space="preserve"> in the ocean as nickel and its impact on marine ecosystems. The impact of the increase in rates </w:t>
      </w:r>
      <w:r w:rsidRPr="00E10E79">
        <w:t>of some metals as Mg</w:t>
      </w:r>
      <w:r w:rsidRPr="00E10E79">
        <w:rPr>
          <w:vertAlign w:val="superscript"/>
        </w:rPr>
        <w:t>2+</w:t>
      </w:r>
      <w:r w:rsidRPr="00E10E79">
        <w:t>,</w:t>
      </w:r>
      <w:r>
        <w:t xml:space="preserve"> </w:t>
      </w:r>
      <w:r w:rsidRPr="00E10E79">
        <w:t>Si, Fe</w:t>
      </w:r>
      <w:r w:rsidRPr="00E10E79">
        <w:rPr>
          <w:vertAlign w:val="superscript"/>
        </w:rPr>
        <w:t>2+</w:t>
      </w:r>
      <w:r>
        <w:rPr>
          <w:vertAlign w:val="superscript"/>
        </w:rPr>
        <w:t>,</w:t>
      </w:r>
      <w:r w:rsidRPr="00E10E79">
        <w:t xml:space="preserve"> and Ni</w:t>
      </w:r>
      <w:r w:rsidRPr="00E10E79">
        <w:rPr>
          <w:vertAlign w:val="superscript"/>
        </w:rPr>
        <w:t>2+</w:t>
      </w:r>
      <w:r>
        <w:t xml:space="preserve"> has to be assessed as well (Bach et al., 2019). </w:t>
      </w:r>
      <w:r w:rsidR="007F6D4E">
        <w:t>T</w:t>
      </w:r>
      <w:r>
        <w:t xml:space="preserve">he local impact of mines to extract the rocks is also to be analysed via an LCA study, as it destroys locally the environment. </w:t>
      </w:r>
      <w:r w:rsidR="00EF125C">
        <w:t>C</w:t>
      </w:r>
      <w:r>
        <w:t xml:space="preserve">oncerning </w:t>
      </w:r>
      <w:r w:rsidR="00EF125C">
        <w:t xml:space="preserve">step two, </w:t>
      </w:r>
      <w:r w:rsidR="00011EF0">
        <w:t>e.g.</w:t>
      </w:r>
      <w:r>
        <w:t xml:space="preserve"> estimation of the CO</w:t>
      </w:r>
      <w:r w:rsidRPr="0012119F">
        <w:rPr>
          <w:vertAlign w:val="subscript"/>
        </w:rPr>
        <w:t>2</w:t>
      </w:r>
      <w:r>
        <w:t xml:space="preserve"> removal and the </w:t>
      </w:r>
      <w:r>
        <w:lastRenderedPageBreak/>
        <w:t>permanence of the storage, it is impeached by the occurrence of secondary reactions</w:t>
      </w:r>
      <w:r w:rsidR="007F6D4E">
        <w:t>, making o</w:t>
      </w:r>
      <w:r w:rsidRPr="00ED1082">
        <w:t>livine dissolution's effectiveness in CO</w:t>
      </w:r>
      <w:r w:rsidRPr="00ED1082">
        <w:rPr>
          <w:vertAlign w:val="subscript"/>
        </w:rPr>
        <w:t>2</w:t>
      </w:r>
      <w:r w:rsidRPr="00ED1082">
        <w:t xml:space="preserve"> sequestration under </w:t>
      </w:r>
      <w:r w:rsidR="007F6D4E">
        <w:t>oceanic</w:t>
      </w:r>
      <w:r w:rsidRPr="00ED1082">
        <w:t xml:space="preserve"> conditions uncertain</w:t>
      </w:r>
      <w:r w:rsidR="007F6D4E">
        <w:t xml:space="preserve"> (Montserrat et al., 2017)</w:t>
      </w:r>
      <w:r w:rsidRPr="00ED1082">
        <w:t>.</w:t>
      </w:r>
      <w:r>
        <w:t xml:space="preserve"> </w:t>
      </w:r>
      <w:r w:rsidRPr="00EE3B76">
        <w:t>This aspect</w:t>
      </w:r>
      <w:r>
        <w:t xml:space="preserve"> </w:t>
      </w:r>
      <w:r w:rsidRPr="00EE3B76">
        <w:t>requires further investigation</w:t>
      </w:r>
      <w:r>
        <w:t>.</w:t>
      </w:r>
      <w:r w:rsidRPr="00EE3B76">
        <w:t xml:space="preserve"> </w:t>
      </w:r>
      <w:r w:rsidRPr="00D50619">
        <w:t>To finish with</w:t>
      </w:r>
      <w:r>
        <w:t xml:space="preserve">, </w:t>
      </w:r>
      <w:r w:rsidRPr="00D50619">
        <w:t xml:space="preserve">the LCA must be carefully </w:t>
      </w:r>
      <w:r>
        <w:t>conducted</w:t>
      </w:r>
      <w:r w:rsidRPr="00D50619">
        <w:t xml:space="preserve">, </w:t>
      </w:r>
      <w:r w:rsidR="004C1783">
        <w:t>as</w:t>
      </w:r>
      <w:r w:rsidRPr="00D50619">
        <w:t xml:space="preserve"> the small size of grains required to achieve effective mineralization</w:t>
      </w:r>
      <w:r>
        <w:t xml:space="preserve"> </w:t>
      </w:r>
      <w:r w:rsidR="004C1783">
        <w:t xml:space="preserve">requires </w:t>
      </w:r>
      <w:r w:rsidR="00011EF0">
        <w:t>a consequent energetic consumption</w:t>
      </w:r>
      <w:r w:rsidR="004C1783">
        <w:t xml:space="preserve"> (</w:t>
      </w:r>
      <w:proofErr w:type="spellStart"/>
      <w:r w:rsidR="004C1783">
        <w:t>Hangx</w:t>
      </w:r>
      <w:proofErr w:type="spellEnd"/>
      <w:r w:rsidR="004C1783">
        <w:t xml:space="preserve"> and Spiers, 2009)</w:t>
      </w:r>
      <w:r w:rsidR="00011EF0">
        <w:t>. Step three is not validated as well:</w:t>
      </w:r>
      <w:r>
        <w:t xml:space="preserve"> a</w:t>
      </w:r>
      <w:r w:rsidRPr="00D50619">
        <w:t xml:space="preserve">t this stage, </w:t>
      </w:r>
      <w:r>
        <w:t>it is impossible to</w:t>
      </w:r>
      <w:r w:rsidRPr="00D50619">
        <w:t xml:space="preserve"> monitor (due to the absence of an indicator</w:t>
      </w:r>
      <w:r>
        <w:t xml:space="preserve">) </w:t>
      </w:r>
      <w:r w:rsidRPr="00D50619">
        <w:t>or even estimate the quantity of</w:t>
      </w:r>
      <w:r>
        <w:t xml:space="preserve"> atmospheric</w:t>
      </w:r>
      <w:r w:rsidRPr="00D50619">
        <w:t xml:space="preserve"> </w:t>
      </w:r>
      <w:r>
        <w:t>CO</w:t>
      </w:r>
      <w:r>
        <w:rPr>
          <w:vertAlign w:val="subscript"/>
        </w:rPr>
        <w:t xml:space="preserve">2 </w:t>
      </w:r>
      <w:r w:rsidRPr="00D50619">
        <w:t>effectively captured</w:t>
      </w:r>
      <w:r w:rsidRPr="00640DE2">
        <w:t xml:space="preserve">. </w:t>
      </w:r>
      <w:r w:rsidRPr="00D50619">
        <w:t xml:space="preserve">Furthermore, the possible co-reactions make it impossible to statute </w:t>
      </w:r>
      <w:r>
        <w:t xml:space="preserve">on </w:t>
      </w:r>
      <w:r w:rsidRPr="00D50619">
        <w:t>the permanence of the storage</w:t>
      </w:r>
      <w:r>
        <w:t xml:space="preserve"> (Montserrat et al., 2017)</w:t>
      </w:r>
      <w:r w:rsidRPr="00D50619">
        <w:t>.</w:t>
      </w:r>
      <w:r w:rsidR="007F6D4E">
        <w:t xml:space="preserve"> C</w:t>
      </w:r>
      <w:r w:rsidR="00011EF0">
        <w:t xml:space="preserve">oncerning step four, </w:t>
      </w:r>
      <w:r>
        <w:t>the potential of toxicity of this technology and the knowledge gaps could impeach</w:t>
      </w:r>
      <w:r w:rsidRPr="00D50619">
        <w:t xml:space="preserve"> </w:t>
      </w:r>
      <w:r>
        <w:t xml:space="preserve">societal acceptance (Bach et al., 2019). No law concerning ERW </w:t>
      </w:r>
      <w:r w:rsidR="00011EF0">
        <w:t>in</w:t>
      </w:r>
      <w:r>
        <w:t xml:space="preserve"> oceanic areas has been stated in Europe as far as we are aware. </w:t>
      </w:r>
      <w:r w:rsidR="007F6D4E">
        <w:t>There</w:t>
      </w:r>
      <w:r>
        <w:t xml:space="preserve"> is a high risk of social contestations if the beaches turn green due to the dispersion of olivine. To be qualitatively feasible, t</w:t>
      </w:r>
      <w:r w:rsidRPr="001C3CFC">
        <w:t>his technology thus requires further investigations on a scientific level, treating all the subjects mentioned before.</w:t>
      </w:r>
    </w:p>
    <w:p w14:paraId="1A9C561A" w14:textId="77777777" w:rsidR="00691253" w:rsidRPr="001C0209" w:rsidRDefault="00691253" w:rsidP="00691253">
      <w:pPr>
        <w:pStyle w:val="Els-3rdorder-head"/>
        <w:numPr>
          <w:ilvl w:val="0"/>
          <w:numId w:val="0"/>
        </w:numPr>
      </w:pPr>
      <w:r>
        <w:t xml:space="preserve">4.3 </w:t>
      </w:r>
      <w:r w:rsidRPr="001C0209">
        <w:t>Analysis of CO</w:t>
      </w:r>
      <w:r w:rsidRPr="001C0209">
        <w:rPr>
          <w:vertAlign w:val="subscript"/>
        </w:rPr>
        <w:t>2</w:t>
      </w:r>
      <w:r w:rsidRPr="001C0209">
        <w:t xml:space="preserve"> underground storage via mineralization</w:t>
      </w:r>
    </w:p>
    <w:p w14:paraId="7A9FD5AE" w14:textId="1F83AA29" w:rsidR="00691253" w:rsidRPr="001C0209" w:rsidRDefault="00691253" w:rsidP="00691253">
      <w:pPr>
        <w:jc w:val="both"/>
        <w:rPr>
          <w:lang w:val="en-US"/>
        </w:rPr>
      </w:pPr>
      <w:r>
        <w:rPr>
          <w:lang w:val="en-US"/>
        </w:rPr>
        <w:t>This technology has been judged as avoiding any social or environmental harm, as there is no risk of CO</w:t>
      </w:r>
      <w:r w:rsidRPr="005B32C8">
        <w:rPr>
          <w:vertAlign w:val="subscript"/>
          <w:lang w:val="en-US"/>
        </w:rPr>
        <w:t>2</w:t>
      </w:r>
      <w:r>
        <w:rPr>
          <w:lang w:val="en-US"/>
        </w:rPr>
        <w:t xml:space="preserve"> leakage during storage</w:t>
      </w:r>
      <w:r w:rsidR="0054408F">
        <w:rPr>
          <w:lang w:val="en-US"/>
        </w:rPr>
        <w:t xml:space="preserve"> </w:t>
      </w:r>
      <w:r w:rsidR="005731F0">
        <w:rPr>
          <w:lang w:val="en-US"/>
        </w:rPr>
        <w:t>(</w:t>
      </w:r>
      <w:proofErr w:type="spellStart"/>
      <w:r w:rsidR="005731F0" w:rsidRPr="00BA6795">
        <w:t>Delerce</w:t>
      </w:r>
      <w:proofErr w:type="spellEnd"/>
      <w:r w:rsidR="005731F0" w:rsidRPr="00BA6795">
        <w:t xml:space="preserve"> and </w:t>
      </w:r>
      <w:proofErr w:type="spellStart"/>
      <w:r w:rsidR="005731F0" w:rsidRPr="00BA6795">
        <w:t>Oelkers</w:t>
      </w:r>
      <w:proofErr w:type="spellEnd"/>
      <w:r w:rsidR="005731F0" w:rsidRPr="00BA6795">
        <w:t>, 2022</w:t>
      </w:r>
      <w:r w:rsidR="005731F0">
        <w:t>)</w:t>
      </w:r>
      <w:r w:rsidRPr="00BA6795">
        <w:t>.</w:t>
      </w:r>
      <w:r>
        <w:rPr>
          <w:lang w:val="en-US"/>
        </w:rPr>
        <w:t xml:space="preserve"> </w:t>
      </w:r>
      <w:r w:rsidR="002C5B70">
        <w:rPr>
          <w:lang w:val="en-US"/>
        </w:rPr>
        <w:t>Step one is therefore completed.</w:t>
      </w:r>
      <w:r>
        <w:rPr>
          <w:lang w:val="en-US"/>
        </w:rPr>
        <w:t xml:space="preserve"> T</w:t>
      </w:r>
      <w:r w:rsidRPr="001C0209">
        <w:rPr>
          <w:lang w:val="en-US"/>
        </w:rPr>
        <w:t xml:space="preserve">he major blocking point is the decarbonized electricity required for the DAC and the need </w:t>
      </w:r>
      <w:r>
        <w:rPr>
          <w:lang w:val="en-US"/>
        </w:rPr>
        <w:t>f</w:t>
      </w:r>
      <w:r w:rsidRPr="001C0209">
        <w:rPr>
          <w:lang w:val="en-US"/>
        </w:rPr>
        <w:t>o</w:t>
      </w:r>
      <w:r>
        <w:rPr>
          <w:lang w:val="en-US"/>
        </w:rPr>
        <w:t>r</w:t>
      </w:r>
      <w:r w:rsidRPr="001C0209">
        <w:rPr>
          <w:lang w:val="en-US"/>
        </w:rPr>
        <w:t xml:space="preserve"> a huge amount of fresh water. Due to these needs, this technology can be achieved in I</w:t>
      </w:r>
      <w:r>
        <w:rPr>
          <w:lang w:val="en-US"/>
        </w:rPr>
        <w:t>ce</w:t>
      </w:r>
      <w:r w:rsidRPr="001C0209">
        <w:rPr>
          <w:lang w:val="en-US"/>
        </w:rPr>
        <w:t xml:space="preserve">land mostly, </w:t>
      </w:r>
      <w:r w:rsidR="00772859">
        <w:rPr>
          <w:lang w:val="en-US"/>
        </w:rPr>
        <w:t>however,</w:t>
      </w:r>
      <w:r w:rsidRPr="001C0209">
        <w:rPr>
          <w:lang w:val="en-US"/>
        </w:rPr>
        <w:t xml:space="preserve"> it is critical for other countries</w:t>
      </w:r>
      <w:r w:rsidRPr="00BA6795">
        <w:t>.</w:t>
      </w:r>
      <w:r>
        <w:rPr>
          <w:lang w:val="en-US"/>
        </w:rPr>
        <w:t xml:space="preserve"> </w:t>
      </w:r>
      <w:r w:rsidR="002C5B70">
        <w:rPr>
          <w:lang w:val="en-US"/>
        </w:rPr>
        <w:t>Concerning step two, it is</w:t>
      </w:r>
      <w:r>
        <w:rPr>
          <w:lang w:val="en-US"/>
        </w:rPr>
        <w:t xml:space="preserve"> considered that a proper estimation of the quantity of carbon removed could be established before the project with models and calculations. The permanence of the project has been validated through the state-of-the-art study, attesting that carbon dioxide is mineralized and stable for geological time spans (</w:t>
      </w:r>
      <w:proofErr w:type="spellStart"/>
      <w:r w:rsidRPr="00BA6795">
        <w:t>Delerce</w:t>
      </w:r>
      <w:proofErr w:type="spellEnd"/>
      <w:r w:rsidRPr="00BA6795">
        <w:t xml:space="preserve"> and </w:t>
      </w:r>
      <w:proofErr w:type="spellStart"/>
      <w:r w:rsidRPr="00BA6795">
        <w:t>Oelkers</w:t>
      </w:r>
      <w:proofErr w:type="spellEnd"/>
      <w:r w:rsidRPr="00BA6795">
        <w:t>, 2022)</w:t>
      </w:r>
      <w:r>
        <w:rPr>
          <w:lang w:val="en-US"/>
        </w:rPr>
        <w:t xml:space="preserve">. Furthermore, </w:t>
      </w:r>
      <w:r w:rsidR="00735739">
        <w:rPr>
          <w:lang w:val="en-US"/>
        </w:rPr>
        <w:t xml:space="preserve">for step three, </w:t>
      </w:r>
      <w:r>
        <w:rPr>
          <w:lang w:val="en-US"/>
        </w:rPr>
        <w:t>the measurability and monitoring can be achieved easily according to the CO</w:t>
      </w:r>
      <w:r w:rsidRPr="005B32C8">
        <w:rPr>
          <w:vertAlign w:val="subscript"/>
          <w:lang w:val="en-US"/>
        </w:rPr>
        <w:t>2</w:t>
      </w:r>
      <w:r>
        <w:rPr>
          <w:lang w:val="en-US"/>
        </w:rPr>
        <w:t xml:space="preserve"> captured and then injected underground. This step is verifiable by a third part. To finish, a</w:t>
      </w:r>
      <w:r w:rsidRPr="001C0209">
        <w:rPr>
          <w:lang w:val="en-US"/>
        </w:rPr>
        <w:t>s underground carbon storage can be criticized</w:t>
      </w:r>
      <w:r>
        <w:rPr>
          <w:lang w:val="en-US"/>
        </w:rPr>
        <w:t xml:space="preserve"> and impeached by local protests</w:t>
      </w:r>
      <w:r w:rsidRPr="001C0209">
        <w:rPr>
          <w:lang w:val="en-US"/>
        </w:rPr>
        <w:t xml:space="preserve"> </w:t>
      </w:r>
      <w:r>
        <w:rPr>
          <w:lang w:val="en-US"/>
        </w:rPr>
        <w:t>(O’Neill et al., 2012)</w:t>
      </w:r>
      <w:r w:rsidRPr="001C0209">
        <w:rPr>
          <w:lang w:val="en-US"/>
        </w:rPr>
        <w:t xml:space="preserve">, </w:t>
      </w:r>
      <w:r>
        <w:rPr>
          <w:lang w:val="en-US"/>
        </w:rPr>
        <w:t>it has not been established</w:t>
      </w:r>
      <w:r w:rsidRPr="001C0209">
        <w:rPr>
          <w:lang w:val="en-US"/>
        </w:rPr>
        <w:t xml:space="preserve"> </w:t>
      </w:r>
      <w:r w:rsidR="004C1783">
        <w:rPr>
          <w:lang w:val="en-US"/>
        </w:rPr>
        <w:t>whether</w:t>
      </w:r>
      <w:r w:rsidRPr="001C0209">
        <w:rPr>
          <w:lang w:val="en-US"/>
        </w:rPr>
        <w:t xml:space="preserve"> </w:t>
      </w:r>
      <w:r w:rsidR="00772859">
        <w:rPr>
          <w:lang w:val="en-US"/>
        </w:rPr>
        <w:t xml:space="preserve">the </w:t>
      </w:r>
      <w:r>
        <w:rPr>
          <w:lang w:val="en-US"/>
        </w:rPr>
        <w:t>social acceptance criteria</w:t>
      </w:r>
      <w:r w:rsidR="00F42225">
        <w:rPr>
          <w:lang w:val="en-US"/>
        </w:rPr>
        <w:t xml:space="preserve"> (step four)</w:t>
      </w:r>
      <w:r w:rsidRPr="001C0209">
        <w:rPr>
          <w:lang w:val="en-US"/>
        </w:rPr>
        <w:t xml:space="preserve"> is fulfilled or not.</w:t>
      </w:r>
      <w:r>
        <w:rPr>
          <w:lang w:val="en-US"/>
        </w:rPr>
        <w:t xml:space="preserve"> This point might require further investigations concerning the implantation of the technology in new areas.</w:t>
      </w:r>
      <w:r w:rsidRPr="001C0209">
        <w:rPr>
          <w:lang w:val="en-US"/>
        </w:rPr>
        <w:t xml:space="preserve"> </w:t>
      </w:r>
      <w:r>
        <w:rPr>
          <w:lang w:val="en-US"/>
        </w:rPr>
        <w:t>The global conclusion is positive</w:t>
      </w:r>
      <w:r w:rsidRPr="001C0209">
        <w:rPr>
          <w:lang w:val="en-US"/>
        </w:rPr>
        <w:t xml:space="preserve"> at the state-of-the-art level of research.</w:t>
      </w:r>
    </w:p>
    <w:p w14:paraId="60D57F8A" w14:textId="77777777" w:rsidR="00691253" w:rsidRDefault="00691253" w:rsidP="00691253">
      <w:pPr>
        <w:pStyle w:val="Els-1storder-head"/>
        <w:spacing w:after="120"/>
        <w:ind w:left="567"/>
        <w:rPr>
          <w:lang w:val="en-GB"/>
        </w:rPr>
      </w:pPr>
      <w:r>
        <w:rPr>
          <w:lang w:val="en-GB"/>
        </w:rPr>
        <w:t>Conclusions</w:t>
      </w:r>
    </w:p>
    <w:p w14:paraId="798AB502" w14:textId="4C12F533" w:rsidR="00691253" w:rsidRPr="009D2C68" w:rsidRDefault="00832250" w:rsidP="0034069E">
      <w:pPr>
        <w:pStyle w:val="Els-body-text"/>
        <w:rPr>
          <w:lang w:val="en-GB"/>
        </w:rPr>
      </w:pPr>
      <w:r>
        <w:rPr>
          <w:lang w:val="en-GB"/>
        </w:rPr>
        <w:t>D</w:t>
      </w:r>
      <w:r w:rsidR="00691253">
        <w:rPr>
          <w:lang w:val="en-GB"/>
        </w:rPr>
        <w:t>ifferent</w:t>
      </w:r>
      <w:r w:rsidR="00691253" w:rsidRPr="00AE6130">
        <w:rPr>
          <w:lang w:val="en-GB"/>
        </w:rPr>
        <w:t xml:space="preserve"> mineralization technologies </w:t>
      </w:r>
      <w:r w:rsidR="00691253">
        <w:rPr>
          <w:lang w:val="en-GB"/>
        </w:rPr>
        <w:t>for C</w:t>
      </w:r>
      <w:r w:rsidR="0049631E">
        <w:rPr>
          <w:lang w:val="en-GB"/>
        </w:rPr>
        <w:t>CS</w:t>
      </w:r>
      <w:r w:rsidR="00691253">
        <w:rPr>
          <w:lang w:val="en-GB"/>
        </w:rPr>
        <w:t xml:space="preserve"> </w:t>
      </w:r>
      <w:r>
        <w:rPr>
          <w:lang w:val="en-GB"/>
        </w:rPr>
        <w:t xml:space="preserve">have been examined </w:t>
      </w:r>
      <w:r w:rsidR="00691253">
        <w:rPr>
          <w:lang w:val="en-GB"/>
        </w:rPr>
        <w:t>and a qualitative methodology to compare them</w:t>
      </w:r>
      <w:r>
        <w:rPr>
          <w:lang w:val="en-GB"/>
        </w:rPr>
        <w:t xml:space="preserve"> </w:t>
      </w:r>
      <w:r w:rsidR="00772859">
        <w:rPr>
          <w:lang w:val="en-GB"/>
        </w:rPr>
        <w:t>has</w:t>
      </w:r>
      <w:r>
        <w:rPr>
          <w:lang w:val="en-GB"/>
        </w:rPr>
        <w:t xml:space="preserve"> been proposed</w:t>
      </w:r>
      <w:r w:rsidR="00691253" w:rsidRPr="00AE6130">
        <w:rPr>
          <w:lang w:val="en-GB"/>
        </w:rPr>
        <w:t xml:space="preserve">. </w:t>
      </w:r>
      <w:r w:rsidR="00691253">
        <w:rPr>
          <w:lang w:val="en-GB"/>
        </w:rPr>
        <w:t>This methodology includes</w:t>
      </w:r>
      <w:r w:rsidR="00691253" w:rsidRPr="00AE6130">
        <w:rPr>
          <w:lang w:val="en-GB"/>
        </w:rPr>
        <w:t xml:space="preserve"> </w:t>
      </w:r>
      <w:r w:rsidR="00691253">
        <w:rPr>
          <w:lang w:val="en-GB"/>
        </w:rPr>
        <w:t xml:space="preserve">criteria such as </w:t>
      </w:r>
      <w:r w:rsidR="00691253" w:rsidRPr="00AE6130">
        <w:rPr>
          <w:lang w:val="en-GB"/>
        </w:rPr>
        <w:t>social and environmental impacts, storage permanence, measurability</w:t>
      </w:r>
      <w:r w:rsidR="00691253">
        <w:rPr>
          <w:lang w:val="en-GB"/>
        </w:rPr>
        <w:t>,</w:t>
      </w:r>
      <w:r w:rsidR="00691253" w:rsidRPr="00AE6130">
        <w:rPr>
          <w:lang w:val="en-GB"/>
        </w:rPr>
        <w:t xml:space="preserve"> and monitoring, as well as social acceptance. </w:t>
      </w:r>
      <w:r w:rsidR="00691253" w:rsidRPr="008B76C9">
        <w:rPr>
          <w:lang w:val="en-GB"/>
        </w:rPr>
        <w:t>For ERW on agricultural lands,</w:t>
      </w:r>
      <w:r w:rsidR="00691253" w:rsidRPr="00AE6130">
        <w:rPr>
          <w:lang w:val="en-GB"/>
        </w:rPr>
        <w:t xml:space="preserve"> several criteria have been met, but uncertainties remain regarding the potential risks of soil and crop contamination by metals present in the rocks. </w:t>
      </w:r>
      <w:r w:rsidR="00691253">
        <w:rPr>
          <w:lang w:val="en-GB"/>
        </w:rPr>
        <w:t>The</w:t>
      </w:r>
      <w:r w:rsidR="00691253" w:rsidRPr="00AE6130">
        <w:rPr>
          <w:lang w:val="en-GB"/>
        </w:rPr>
        <w:t xml:space="preserve"> question of the impact on food production </w:t>
      </w:r>
      <w:r w:rsidR="00691253">
        <w:rPr>
          <w:lang w:val="en-GB"/>
        </w:rPr>
        <w:t>should also be</w:t>
      </w:r>
      <w:r w:rsidR="00691253" w:rsidRPr="00AE6130">
        <w:rPr>
          <w:lang w:val="en-GB"/>
        </w:rPr>
        <w:t xml:space="preserve"> considered. Social acceptance and specific regulations are still in development.</w:t>
      </w:r>
      <w:r w:rsidR="00691253">
        <w:rPr>
          <w:lang w:val="en-GB"/>
        </w:rPr>
        <w:t xml:space="preserve"> </w:t>
      </w:r>
      <w:r w:rsidR="00691253" w:rsidRPr="008B76C9">
        <w:rPr>
          <w:lang w:val="en-GB"/>
        </w:rPr>
        <w:t>Coastal and marine ERW faces uncertainties related to secondary reactions and requires scientific</w:t>
      </w:r>
      <w:r w:rsidR="00691253">
        <w:rPr>
          <w:lang w:val="en-GB"/>
        </w:rPr>
        <w:t xml:space="preserve"> research on this point</w:t>
      </w:r>
      <w:r w:rsidR="00691253" w:rsidRPr="008B76C9">
        <w:rPr>
          <w:lang w:val="en-GB"/>
        </w:rPr>
        <w:t xml:space="preserve">. </w:t>
      </w:r>
      <w:r w:rsidR="00691253" w:rsidRPr="00AE6130">
        <w:rPr>
          <w:lang w:val="en-GB"/>
        </w:rPr>
        <w:t>Aspects related to measuring the quantity of captured CO</w:t>
      </w:r>
      <w:r w:rsidR="00691253" w:rsidRPr="00AE6130">
        <w:rPr>
          <w:vertAlign w:val="subscript"/>
          <w:lang w:val="en-GB"/>
        </w:rPr>
        <w:t>2</w:t>
      </w:r>
      <w:r w:rsidR="00691253" w:rsidRPr="00AE6130">
        <w:rPr>
          <w:lang w:val="en-GB"/>
        </w:rPr>
        <w:t xml:space="preserve"> and the permanence of storage remain to be clarified. Moreover, potential toxicity and social risks related to the dispersion of rocks on beaches require further study.</w:t>
      </w:r>
      <w:r w:rsidR="00691253">
        <w:rPr>
          <w:lang w:val="en-GB"/>
        </w:rPr>
        <w:t xml:space="preserve"> U</w:t>
      </w:r>
      <w:r w:rsidR="00691253" w:rsidRPr="008B76C9">
        <w:rPr>
          <w:lang w:val="en-GB"/>
        </w:rPr>
        <w:t>nderground CO</w:t>
      </w:r>
      <w:r w:rsidR="00691253" w:rsidRPr="008B76C9">
        <w:rPr>
          <w:vertAlign w:val="subscript"/>
          <w:lang w:val="en-GB"/>
        </w:rPr>
        <w:t>2</w:t>
      </w:r>
      <w:r w:rsidR="00691253" w:rsidRPr="008B76C9">
        <w:rPr>
          <w:lang w:val="en-GB"/>
        </w:rPr>
        <w:t xml:space="preserve"> storage via mineralization appears promising but faces challenges related to the availability of decarbonized electricity and fresh water in certain regions.</w:t>
      </w:r>
      <w:r w:rsidR="00691253">
        <w:rPr>
          <w:lang w:val="en-GB"/>
        </w:rPr>
        <w:t xml:space="preserve"> It seems</w:t>
      </w:r>
      <w:r w:rsidR="00691253" w:rsidRPr="00AE6130">
        <w:rPr>
          <w:lang w:val="en-GB"/>
        </w:rPr>
        <w:t xml:space="preserve"> to address major concerns related to social and environmental impacts, including the avoidance of CO</w:t>
      </w:r>
      <w:r w:rsidR="00691253" w:rsidRPr="00AE6130">
        <w:rPr>
          <w:vertAlign w:val="subscript"/>
          <w:lang w:val="en-GB"/>
        </w:rPr>
        <w:t>2</w:t>
      </w:r>
      <w:r w:rsidR="00691253" w:rsidRPr="00AE6130">
        <w:rPr>
          <w:lang w:val="en-GB"/>
        </w:rPr>
        <w:t xml:space="preserve"> leakage. </w:t>
      </w:r>
      <w:r w:rsidR="0034069E">
        <w:rPr>
          <w:lang w:val="en-GB"/>
        </w:rPr>
        <w:t xml:space="preserve">The </w:t>
      </w:r>
      <w:r w:rsidR="00691253" w:rsidRPr="00AE6130">
        <w:rPr>
          <w:lang w:val="en-GB"/>
        </w:rPr>
        <w:t>decision on which technology to prioritize among various C</w:t>
      </w:r>
      <w:r w:rsidR="0049631E">
        <w:rPr>
          <w:lang w:val="en-GB"/>
        </w:rPr>
        <w:t>CS</w:t>
      </w:r>
      <w:r w:rsidR="00691253" w:rsidRPr="00AE6130">
        <w:rPr>
          <w:lang w:val="en-GB"/>
        </w:rPr>
        <w:t xml:space="preserve"> options requires a thorough evaluation based on criteria such as cost, </w:t>
      </w:r>
      <w:r w:rsidR="00691253" w:rsidRPr="00AE6130">
        <w:rPr>
          <w:lang w:val="en-GB"/>
        </w:rPr>
        <w:lastRenderedPageBreak/>
        <w:t xml:space="preserve">energy efficiency, environmental impact, </w:t>
      </w:r>
      <w:r w:rsidR="00691253">
        <w:rPr>
          <w:lang w:val="en-GB"/>
        </w:rPr>
        <w:t xml:space="preserve">thermodynamic indicators, </w:t>
      </w:r>
      <w:r w:rsidR="00691253" w:rsidRPr="00AE6130">
        <w:rPr>
          <w:lang w:val="en-GB"/>
        </w:rPr>
        <w:t xml:space="preserve">and social acceptance. </w:t>
      </w:r>
      <w:r w:rsidR="00691253">
        <w:rPr>
          <w:lang w:val="en-GB"/>
        </w:rPr>
        <w:t>The</w:t>
      </w:r>
      <w:r w:rsidR="00691253" w:rsidRPr="00AE6130">
        <w:rPr>
          <w:lang w:val="en-GB"/>
        </w:rPr>
        <w:t xml:space="preserve"> qualitative decision-aid method presented here provides a first step toward a more comprehensive assessment. Clear regulations and standards are imperative to guide the choice of C</w:t>
      </w:r>
      <w:r w:rsidR="0049631E">
        <w:rPr>
          <w:lang w:val="en-GB"/>
        </w:rPr>
        <w:t>CS</w:t>
      </w:r>
      <w:r w:rsidR="00691253" w:rsidRPr="00AE6130">
        <w:rPr>
          <w:lang w:val="en-GB"/>
        </w:rPr>
        <w:t xml:space="preserve"> technologies and ensure responsible implementation.</w:t>
      </w:r>
    </w:p>
    <w:p w14:paraId="594F12CC" w14:textId="77777777" w:rsidR="00691253" w:rsidRDefault="00691253" w:rsidP="00691253">
      <w:pPr>
        <w:pStyle w:val="Els-reference-head"/>
      </w:pPr>
      <w:r>
        <w:t>References</w:t>
      </w:r>
    </w:p>
    <w:p w14:paraId="49910CBA" w14:textId="77777777" w:rsidR="00691253" w:rsidRPr="006C4A09" w:rsidRDefault="00691253" w:rsidP="00691253">
      <w:pPr>
        <w:jc w:val="both"/>
        <w:rPr>
          <w:sz w:val="18"/>
          <w:szCs w:val="18"/>
          <w:shd w:val="clear" w:color="auto" w:fill="FFFFFF"/>
        </w:rPr>
      </w:pPr>
      <w:proofErr w:type="spellStart"/>
      <w:r w:rsidRPr="006C4A09">
        <w:rPr>
          <w:sz w:val="18"/>
          <w:szCs w:val="18"/>
          <w:shd w:val="clear" w:color="auto" w:fill="FFFFFF"/>
        </w:rPr>
        <w:t>Arcusa</w:t>
      </w:r>
      <w:proofErr w:type="spellEnd"/>
      <w:r w:rsidRPr="006C4A09">
        <w:rPr>
          <w:sz w:val="18"/>
          <w:szCs w:val="18"/>
          <w:shd w:val="clear" w:color="auto" w:fill="FFFFFF"/>
        </w:rPr>
        <w:t>, S. and Sprenkle-</w:t>
      </w:r>
      <w:proofErr w:type="spellStart"/>
      <w:r w:rsidRPr="006C4A09">
        <w:rPr>
          <w:sz w:val="18"/>
          <w:szCs w:val="18"/>
          <w:shd w:val="clear" w:color="auto" w:fill="FFFFFF"/>
        </w:rPr>
        <w:t>Hyppolite</w:t>
      </w:r>
      <w:proofErr w:type="spellEnd"/>
      <w:r w:rsidRPr="006C4A09">
        <w:rPr>
          <w:sz w:val="18"/>
          <w:szCs w:val="18"/>
          <w:shd w:val="clear" w:color="auto" w:fill="FFFFFF"/>
        </w:rPr>
        <w:t>, S., 2022. Snapshot of the Carbon Dioxide Removal certification and standards ecosystem (2021–2022).</w:t>
      </w:r>
      <w:r w:rsidRPr="006C4A09">
        <w:rPr>
          <w:rStyle w:val="apple-converted-space"/>
          <w:rFonts w:ascii="Arial" w:hAnsi="Arial" w:cs="Arial"/>
          <w:color w:val="222222"/>
          <w:sz w:val="18"/>
          <w:szCs w:val="18"/>
          <w:shd w:val="clear" w:color="auto" w:fill="FFFFFF"/>
        </w:rPr>
        <w:t> </w:t>
      </w:r>
      <w:r w:rsidRPr="006C4A09">
        <w:rPr>
          <w:i/>
          <w:iCs/>
          <w:sz w:val="18"/>
          <w:szCs w:val="18"/>
        </w:rPr>
        <w:t>Climate Policy</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22</w:t>
      </w:r>
      <w:r w:rsidRPr="006C4A09">
        <w:rPr>
          <w:sz w:val="18"/>
          <w:szCs w:val="18"/>
          <w:shd w:val="clear" w:color="auto" w:fill="FFFFFF"/>
        </w:rPr>
        <w:t>(9-10), pp.1319-1332.</w:t>
      </w:r>
    </w:p>
    <w:p w14:paraId="5CA215A2" w14:textId="77777777" w:rsidR="00691253" w:rsidRPr="006C4A09" w:rsidRDefault="00691253" w:rsidP="00691253">
      <w:pPr>
        <w:jc w:val="both"/>
        <w:rPr>
          <w:sz w:val="16"/>
          <w:szCs w:val="16"/>
          <w:lang w:val="en-US"/>
        </w:rPr>
      </w:pPr>
      <w:r w:rsidRPr="006C4A09">
        <w:rPr>
          <w:sz w:val="18"/>
          <w:szCs w:val="18"/>
          <w:shd w:val="clear" w:color="auto" w:fill="FFFFFF"/>
        </w:rPr>
        <w:t xml:space="preserve">Bach, L.T., Gill, S.J., </w:t>
      </w:r>
      <w:proofErr w:type="spellStart"/>
      <w:r w:rsidRPr="006C4A09">
        <w:rPr>
          <w:sz w:val="18"/>
          <w:szCs w:val="18"/>
          <w:shd w:val="clear" w:color="auto" w:fill="FFFFFF"/>
        </w:rPr>
        <w:t>Rickaby</w:t>
      </w:r>
      <w:proofErr w:type="spellEnd"/>
      <w:r w:rsidRPr="006C4A09">
        <w:rPr>
          <w:sz w:val="18"/>
          <w:szCs w:val="18"/>
          <w:shd w:val="clear" w:color="auto" w:fill="FFFFFF"/>
        </w:rPr>
        <w:t>, R.E., Gore, S. and Renforth, P., 2019. CO</w:t>
      </w:r>
      <w:r w:rsidRPr="006C4A09">
        <w:rPr>
          <w:sz w:val="18"/>
          <w:szCs w:val="18"/>
          <w:shd w:val="clear" w:color="auto" w:fill="FFFFFF"/>
          <w:vertAlign w:val="subscript"/>
        </w:rPr>
        <w:t>2</w:t>
      </w:r>
      <w:r w:rsidRPr="006C4A09">
        <w:rPr>
          <w:sz w:val="18"/>
          <w:szCs w:val="18"/>
          <w:shd w:val="clear" w:color="auto" w:fill="FFFFFF"/>
        </w:rPr>
        <w:t xml:space="preserve"> removal with enhanced weathering and ocean alkalinity enhancement: potential risks and co-benefits for marine pelagic ecosystems.</w:t>
      </w:r>
      <w:r w:rsidRPr="006C4A09">
        <w:rPr>
          <w:rStyle w:val="apple-converted-space"/>
          <w:rFonts w:ascii="Arial" w:hAnsi="Arial" w:cs="Arial"/>
          <w:color w:val="222222"/>
          <w:sz w:val="18"/>
          <w:szCs w:val="18"/>
          <w:shd w:val="clear" w:color="auto" w:fill="FFFFFF"/>
        </w:rPr>
        <w:t> </w:t>
      </w:r>
      <w:r w:rsidRPr="006C4A09">
        <w:rPr>
          <w:i/>
          <w:iCs/>
          <w:sz w:val="18"/>
          <w:szCs w:val="18"/>
        </w:rPr>
        <w:t>Frontiers in Climate</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1</w:t>
      </w:r>
      <w:r w:rsidRPr="006C4A09">
        <w:rPr>
          <w:sz w:val="18"/>
          <w:szCs w:val="18"/>
          <w:shd w:val="clear" w:color="auto" w:fill="FFFFFF"/>
        </w:rPr>
        <w:t>, p.7.</w:t>
      </w:r>
    </w:p>
    <w:p w14:paraId="5124CE6D" w14:textId="77777777" w:rsidR="00691253" w:rsidRPr="006C4A09" w:rsidRDefault="00691253" w:rsidP="00691253">
      <w:pPr>
        <w:jc w:val="both"/>
        <w:rPr>
          <w:sz w:val="18"/>
          <w:szCs w:val="18"/>
          <w:shd w:val="clear" w:color="auto" w:fill="FFFFFF"/>
        </w:rPr>
      </w:pPr>
      <w:proofErr w:type="spellStart"/>
      <w:r w:rsidRPr="006C4A09">
        <w:rPr>
          <w:sz w:val="18"/>
          <w:szCs w:val="18"/>
          <w:shd w:val="clear" w:color="auto" w:fill="FFFFFF"/>
        </w:rPr>
        <w:t>Beerling</w:t>
      </w:r>
      <w:proofErr w:type="spellEnd"/>
      <w:r w:rsidRPr="006C4A09">
        <w:rPr>
          <w:sz w:val="18"/>
          <w:szCs w:val="18"/>
          <w:shd w:val="clear" w:color="auto" w:fill="FFFFFF"/>
        </w:rPr>
        <w:t xml:space="preserve">, D.J., </w:t>
      </w:r>
      <w:proofErr w:type="spellStart"/>
      <w:r w:rsidRPr="006C4A09">
        <w:rPr>
          <w:sz w:val="18"/>
          <w:szCs w:val="18"/>
          <w:shd w:val="clear" w:color="auto" w:fill="FFFFFF"/>
        </w:rPr>
        <w:t>Kantzas</w:t>
      </w:r>
      <w:proofErr w:type="spellEnd"/>
      <w:r w:rsidRPr="006C4A09">
        <w:rPr>
          <w:sz w:val="18"/>
          <w:szCs w:val="18"/>
          <w:shd w:val="clear" w:color="auto" w:fill="FFFFFF"/>
        </w:rPr>
        <w:t xml:space="preserve">, E.P., Lomas, M.R., Wade, P., </w:t>
      </w:r>
      <w:proofErr w:type="spellStart"/>
      <w:r w:rsidRPr="006C4A09">
        <w:rPr>
          <w:sz w:val="18"/>
          <w:szCs w:val="18"/>
          <w:shd w:val="clear" w:color="auto" w:fill="FFFFFF"/>
        </w:rPr>
        <w:t>Eufrasio</w:t>
      </w:r>
      <w:proofErr w:type="spellEnd"/>
      <w:r w:rsidRPr="006C4A09">
        <w:rPr>
          <w:sz w:val="18"/>
          <w:szCs w:val="18"/>
          <w:shd w:val="clear" w:color="auto" w:fill="FFFFFF"/>
        </w:rPr>
        <w:t>, R.M., Renforth, P., Sarkar, B., Andrews, M.G., James, R.H., Pearce, C.R. and Mercure, J.F., 2020. Potential for large-scale CO</w:t>
      </w:r>
      <w:r w:rsidRPr="006C4A09">
        <w:rPr>
          <w:sz w:val="18"/>
          <w:szCs w:val="18"/>
          <w:shd w:val="clear" w:color="auto" w:fill="FFFFFF"/>
          <w:vertAlign w:val="subscript"/>
        </w:rPr>
        <w:t xml:space="preserve">2 </w:t>
      </w:r>
      <w:r w:rsidRPr="006C4A09">
        <w:rPr>
          <w:sz w:val="18"/>
          <w:szCs w:val="18"/>
          <w:shd w:val="clear" w:color="auto" w:fill="FFFFFF"/>
        </w:rPr>
        <w:t>removal via enhanced rock weathering with croplands.</w:t>
      </w:r>
      <w:r w:rsidRPr="006C4A09">
        <w:rPr>
          <w:rStyle w:val="apple-converted-space"/>
          <w:rFonts w:ascii="Arial" w:hAnsi="Arial" w:cs="Arial"/>
          <w:color w:val="222222"/>
          <w:sz w:val="18"/>
          <w:szCs w:val="18"/>
          <w:shd w:val="clear" w:color="auto" w:fill="FFFFFF"/>
        </w:rPr>
        <w:t> </w:t>
      </w:r>
      <w:r w:rsidRPr="006C4A09">
        <w:rPr>
          <w:i/>
          <w:iCs/>
          <w:sz w:val="18"/>
          <w:szCs w:val="18"/>
        </w:rPr>
        <w:t>Nature</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583</w:t>
      </w:r>
      <w:r w:rsidRPr="006C4A09">
        <w:rPr>
          <w:sz w:val="18"/>
          <w:szCs w:val="18"/>
          <w:shd w:val="clear" w:color="auto" w:fill="FFFFFF"/>
        </w:rPr>
        <w:t>(7815), pp.242-248.</w:t>
      </w:r>
    </w:p>
    <w:p w14:paraId="0C101EFE" w14:textId="77777777" w:rsidR="00691253" w:rsidRPr="006C4A09" w:rsidRDefault="00691253" w:rsidP="00691253">
      <w:pPr>
        <w:jc w:val="both"/>
        <w:rPr>
          <w:sz w:val="18"/>
          <w:szCs w:val="18"/>
          <w:shd w:val="clear" w:color="auto" w:fill="FFFFFF"/>
        </w:rPr>
      </w:pPr>
      <w:proofErr w:type="spellStart"/>
      <w:r w:rsidRPr="006C4A09">
        <w:rPr>
          <w:sz w:val="18"/>
          <w:szCs w:val="18"/>
          <w:shd w:val="clear" w:color="auto" w:fill="FFFFFF"/>
        </w:rPr>
        <w:t>Bouckaert</w:t>
      </w:r>
      <w:proofErr w:type="spellEnd"/>
      <w:r w:rsidRPr="006C4A09">
        <w:rPr>
          <w:sz w:val="18"/>
          <w:szCs w:val="18"/>
          <w:shd w:val="clear" w:color="auto" w:fill="FFFFFF"/>
        </w:rPr>
        <w:t xml:space="preserve">, S., Pales, A.F., McGlade, C., </w:t>
      </w:r>
      <w:proofErr w:type="spellStart"/>
      <w:r w:rsidRPr="006C4A09">
        <w:rPr>
          <w:sz w:val="18"/>
          <w:szCs w:val="18"/>
          <w:shd w:val="clear" w:color="auto" w:fill="FFFFFF"/>
        </w:rPr>
        <w:t>Remme</w:t>
      </w:r>
      <w:proofErr w:type="spellEnd"/>
      <w:r w:rsidRPr="006C4A09">
        <w:rPr>
          <w:sz w:val="18"/>
          <w:szCs w:val="18"/>
          <w:shd w:val="clear" w:color="auto" w:fill="FFFFFF"/>
        </w:rPr>
        <w:t xml:space="preserve">, U., </w:t>
      </w:r>
      <w:proofErr w:type="spellStart"/>
      <w:r w:rsidRPr="006C4A09">
        <w:rPr>
          <w:sz w:val="18"/>
          <w:szCs w:val="18"/>
          <w:shd w:val="clear" w:color="auto" w:fill="FFFFFF"/>
        </w:rPr>
        <w:t>Wanner</w:t>
      </w:r>
      <w:proofErr w:type="spellEnd"/>
      <w:r w:rsidRPr="006C4A09">
        <w:rPr>
          <w:sz w:val="18"/>
          <w:szCs w:val="18"/>
          <w:shd w:val="clear" w:color="auto" w:fill="FFFFFF"/>
        </w:rPr>
        <w:t xml:space="preserve">, B., Varro, L., </w:t>
      </w:r>
      <w:proofErr w:type="spellStart"/>
      <w:r w:rsidRPr="006C4A09">
        <w:rPr>
          <w:sz w:val="18"/>
          <w:szCs w:val="18"/>
          <w:shd w:val="clear" w:color="auto" w:fill="FFFFFF"/>
        </w:rPr>
        <w:t>D'Ambrosio</w:t>
      </w:r>
      <w:proofErr w:type="spellEnd"/>
      <w:r w:rsidRPr="006C4A09">
        <w:rPr>
          <w:sz w:val="18"/>
          <w:szCs w:val="18"/>
          <w:shd w:val="clear" w:color="auto" w:fill="FFFFFF"/>
        </w:rPr>
        <w:t>, D. and Spencer, T., 2021. Net zero by 2050: A roadmap for the global energy sector.</w:t>
      </w:r>
    </w:p>
    <w:p w14:paraId="61819F42" w14:textId="77777777" w:rsidR="00691253" w:rsidRPr="006C4A09" w:rsidRDefault="00691253" w:rsidP="00691253">
      <w:pPr>
        <w:jc w:val="both"/>
        <w:rPr>
          <w:sz w:val="16"/>
          <w:szCs w:val="16"/>
          <w:shd w:val="clear" w:color="auto" w:fill="FFFFFF"/>
        </w:rPr>
      </w:pPr>
      <w:r w:rsidRPr="006C4A09">
        <w:rPr>
          <w:sz w:val="18"/>
          <w:szCs w:val="18"/>
          <w:shd w:val="clear" w:color="auto" w:fill="FFFFFF"/>
        </w:rPr>
        <w:t>Castro-</w:t>
      </w:r>
      <w:proofErr w:type="spellStart"/>
      <w:r w:rsidRPr="006C4A09">
        <w:rPr>
          <w:sz w:val="18"/>
          <w:szCs w:val="18"/>
          <w:shd w:val="clear" w:color="auto" w:fill="FFFFFF"/>
        </w:rPr>
        <w:t>Amoedo</w:t>
      </w:r>
      <w:proofErr w:type="spellEnd"/>
      <w:r w:rsidRPr="006C4A09">
        <w:rPr>
          <w:sz w:val="18"/>
          <w:szCs w:val="18"/>
          <w:shd w:val="clear" w:color="auto" w:fill="FFFFFF"/>
        </w:rPr>
        <w:t xml:space="preserve">, R., </w:t>
      </w:r>
      <w:proofErr w:type="spellStart"/>
      <w:r w:rsidRPr="006C4A09">
        <w:rPr>
          <w:sz w:val="18"/>
          <w:szCs w:val="18"/>
          <w:shd w:val="clear" w:color="auto" w:fill="FFFFFF"/>
        </w:rPr>
        <w:t>Granacher</w:t>
      </w:r>
      <w:proofErr w:type="spellEnd"/>
      <w:r w:rsidRPr="006C4A09">
        <w:rPr>
          <w:sz w:val="18"/>
          <w:szCs w:val="18"/>
          <w:shd w:val="clear" w:color="auto" w:fill="FFFFFF"/>
        </w:rPr>
        <w:t>, J., Abou Daher, M. and Maréchal, F., 2023. Integrating CO</w:t>
      </w:r>
      <w:r w:rsidRPr="006C4A09">
        <w:rPr>
          <w:sz w:val="18"/>
          <w:szCs w:val="18"/>
          <w:shd w:val="clear" w:color="auto" w:fill="FFFFFF"/>
          <w:vertAlign w:val="subscript"/>
        </w:rPr>
        <w:t xml:space="preserve">2 </w:t>
      </w:r>
      <w:r w:rsidRPr="006C4A09">
        <w:rPr>
          <w:sz w:val="18"/>
          <w:szCs w:val="18"/>
          <w:shd w:val="clear" w:color="auto" w:fill="FFFFFF"/>
        </w:rPr>
        <w:t>Mineralization in Industrial Clusters: The Benefits of Material and Heat Integration.</w:t>
      </w:r>
      <w:r w:rsidRPr="006C4A09">
        <w:rPr>
          <w:rStyle w:val="apple-converted-space"/>
          <w:rFonts w:ascii="Arial" w:hAnsi="Arial" w:cs="Arial"/>
          <w:color w:val="222222"/>
          <w:sz w:val="18"/>
          <w:szCs w:val="18"/>
          <w:shd w:val="clear" w:color="auto" w:fill="FFFFFF"/>
        </w:rPr>
        <w:t> </w:t>
      </w:r>
      <w:r w:rsidRPr="006C4A09">
        <w:rPr>
          <w:i/>
          <w:iCs/>
          <w:sz w:val="18"/>
          <w:szCs w:val="18"/>
        </w:rPr>
        <w:t>Proceedings of FOCAPO/CPC</w:t>
      </w:r>
      <w:r w:rsidRPr="006C4A09">
        <w:rPr>
          <w:sz w:val="18"/>
          <w:szCs w:val="18"/>
          <w:shd w:val="clear" w:color="auto" w:fill="FFFFFF"/>
        </w:rPr>
        <w:t>.</w:t>
      </w:r>
    </w:p>
    <w:p w14:paraId="44C78E87" w14:textId="5A4FB2F1" w:rsidR="00691253" w:rsidRPr="006C4A09" w:rsidRDefault="00691253" w:rsidP="00691253">
      <w:pPr>
        <w:jc w:val="both"/>
        <w:rPr>
          <w:sz w:val="15"/>
          <w:szCs w:val="15"/>
          <w:shd w:val="clear" w:color="auto" w:fill="FFFFFF"/>
          <w:lang w:val="fr-CH"/>
        </w:rPr>
      </w:pPr>
      <w:proofErr w:type="spellStart"/>
      <w:r w:rsidRPr="006C4A09">
        <w:rPr>
          <w:sz w:val="18"/>
          <w:szCs w:val="18"/>
          <w:shd w:val="clear" w:color="auto" w:fill="FFFFFF"/>
        </w:rPr>
        <w:t>Delerce</w:t>
      </w:r>
      <w:proofErr w:type="spellEnd"/>
      <w:r w:rsidRPr="006C4A09">
        <w:rPr>
          <w:sz w:val="18"/>
          <w:szCs w:val="18"/>
          <w:shd w:val="clear" w:color="auto" w:fill="FFFFFF"/>
        </w:rPr>
        <w:t xml:space="preserve">, S. and </w:t>
      </w:r>
      <w:proofErr w:type="spellStart"/>
      <w:r w:rsidRPr="006C4A09">
        <w:rPr>
          <w:sz w:val="18"/>
          <w:szCs w:val="18"/>
          <w:shd w:val="clear" w:color="auto" w:fill="FFFFFF"/>
        </w:rPr>
        <w:t>Oelkers</w:t>
      </w:r>
      <w:proofErr w:type="spellEnd"/>
      <w:r w:rsidRPr="006C4A09">
        <w:rPr>
          <w:sz w:val="18"/>
          <w:szCs w:val="18"/>
          <w:shd w:val="clear" w:color="auto" w:fill="FFFFFF"/>
        </w:rPr>
        <w:t xml:space="preserve">, É.H., 2022, January. </w:t>
      </w:r>
      <w:r w:rsidRPr="006C4A09">
        <w:rPr>
          <w:sz w:val="18"/>
          <w:szCs w:val="18"/>
          <w:shd w:val="clear" w:color="auto" w:fill="FFFFFF"/>
          <w:lang w:val="fr-CH"/>
        </w:rPr>
        <w:t>Le potentiel du stockage géologique du CO</w:t>
      </w:r>
      <w:r w:rsidRPr="006C4A09">
        <w:rPr>
          <w:sz w:val="18"/>
          <w:szCs w:val="18"/>
          <w:shd w:val="clear" w:color="auto" w:fill="FFFFFF"/>
          <w:vertAlign w:val="subscript"/>
          <w:lang w:val="fr-CH"/>
        </w:rPr>
        <w:t>2</w:t>
      </w:r>
      <w:r w:rsidRPr="006C4A09">
        <w:rPr>
          <w:sz w:val="18"/>
          <w:szCs w:val="18"/>
          <w:shd w:val="clear" w:color="auto" w:fill="FFFFFF"/>
          <w:lang w:val="fr-CH"/>
        </w:rPr>
        <w:t xml:space="preserve"> par minéralisation. In</w:t>
      </w:r>
      <w:r w:rsidRPr="006C4A09">
        <w:rPr>
          <w:rStyle w:val="apple-converted-space"/>
          <w:rFonts w:ascii="Arial" w:hAnsi="Arial" w:cs="Arial"/>
          <w:color w:val="222222"/>
          <w:sz w:val="18"/>
          <w:szCs w:val="18"/>
          <w:shd w:val="clear" w:color="auto" w:fill="FFFFFF"/>
          <w:lang w:val="fr-CH"/>
        </w:rPr>
        <w:t> </w:t>
      </w:r>
      <w:r w:rsidRPr="006C4A09">
        <w:rPr>
          <w:i/>
          <w:iCs/>
          <w:sz w:val="18"/>
          <w:szCs w:val="18"/>
          <w:lang w:val="fr-CH"/>
        </w:rPr>
        <w:t>Annales des Mines-Responsabilité et environnement</w:t>
      </w:r>
      <w:r w:rsidRPr="006C4A09">
        <w:rPr>
          <w:rStyle w:val="apple-converted-space"/>
          <w:rFonts w:ascii="Arial" w:hAnsi="Arial" w:cs="Arial"/>
          <w:color w:val="222222"/>
          <w:sz w:val="18"/>
          <w:szCs w:val="18"/>
          <w:shd w:val="clear" w:color="auto" w:fill="FFFFFF"/>
          <w:lang w:val="fr-CH"/>
        </w:rPr>
        <w:t> </w:t>
      </w:r>
      <w:r w:rsidRPr="006C4A09">
        <w:rPr>
          <w:sz w:val="18"/>
          <w:szCs w:val="18"/>
          <w:shd w:val="clear" w:color="auto" w:fill="FFFFFF"/>
          <w:lang w:val="fr-CH"/>
        </w:rPr>
        <w:t xml:space="preserve">(No. 1, pp. 57-62). </w:t>
      </w:r>
    </w:p>
    <w:p w14:paraId="36B3ABEF" w14:textId="77777777" w:rsidR="00691253" w:rsidRPr="006C4A09" w:rsidRDefault="00691253" w:rsidP="00691253">
      <w:pPr>
        <w:jc w:val="both"/>
        <w:rPr>
          <w:sz w:val="18"/>
          <w:szCs w:val="18"/>
          <w:shd w:val="clear" w:color="auto" w:fill="FFFFFF"/>
        </w:rPr>
      </w:pPr>
      <w:proofErr w:type="spellStart"/>
      <w:r w:rsidRPr="000E0E8E">
        <w:rPr>
          <w:sz w:val="18"/>
          <w:szCs w:val="18"/>
          <w:shd w:val="clear" w:color="auto" w:fill="FFFFFF"/>
          <w:lang w:val="fr-CH"/>
        </w:rPr>
        <w:t>Delerce</w:t>
      </w:r>
      <w:proofErr w:type="spellEnd"/>
      <w:r w:rsidRPr="000E0E8E">
        <w:rPr>
          <w:sz w:val="18"/>
          <w:szCs w:val="18"/>
          <w:shd w:val="clear" w:color="auto" w:fill="FFFFFF"/>
          <w:lang w:val="fr-CH"/>
        </w:rPr>
        <w:t xml:space="preserve">, S., </w:t>
      </w:r>
      <w:proofErr w:type="spellStart"/>
      <w:r w:rsidRPr="000E0E8E">
        <w:rPr>
          <w:sz w:val="18"/>
          <w:szCs w:val="18"/>
          <w:shd w:val="clear" w:color="auto" w:fill="FFFFFF"/>
          <w:lang w:val="fr-CH"/>
        </w:rPr>
        <w:t>Marieni</w:t>
      </w:r>
      <w:proofErr w:type="spellEnd"/>
      <w:r w:rsidRPr="000E0E8E">
        <w:rPr>
          <w:sz w:val="18"/>
          <w:szCs w:val="18"/>
          <w:shd w:val="clear" w:color="auto" w:fill="FFFFFF"/>
          <w:lang w:val="fr-CH"/>
        </w:rPr>
        <w:t xml:space="preserve">, C. and </w:t>
      </w:r>
      <w:proofErr w:type="spellStart"/>
      <w:r w:rsidRPr="000E0E8E">
        <w:rPr>
          <w:sz w:val="18"/>
          <w:szCs w:val="18"/>
          <w:shd w:val="clear" w:color="auto" w:fill="FFFFFF"/>
          <w:lang w:val="fr-CH"/>
        </w:rPr>
        <w:t>Oelkers</w:t>
      </w:r>
      <w:proofErr w:type="spellEnd"/>
      <w:r w:rsidRPr="000E0E8E">
        <w:rPr>
          <w:sz w:val="18"/>
          <w:szCs w:val="18"/>
          <w:shd w:val="clear" w:color="auto" w:fill="FFFFFF"/>
          <w:lang w:val="fr-CH"/>
        </w:rPr>
        <w:t xml:space="preserve">, E.H., 2023. </w:t>
      </w:r>
      <w:r w:rsidRPr="006C4A09">
        <w:rPr>
          <w:sz w:val="18"/>
          <w:szCs w:val="18"/>
          <w:shd w:val="clear" w:color="auto" w:fill="FFFFFF"/>
        </w:rPr>
        <w:t>Carbonate geochemistry and its role in geologic carbon storage.</w:t>
      </w:r>
      <w:r w:rsidRPr="006C4A09">
        <w:rPr>
          <w:rStyle w:val="apple-converted-space"/>
          <w:rFonts w:ascii="Arial" w:hAnsi="Arial" w:cs="Arial"/>
          <w:color w:val="222222"/>
          <w:sz w:val="18"/>
          <w:szCs w:val="18"/>
          <w:shd w:val="clear" w:color="auto" w:fill="FFFFFF"/>
        </w:rPr>
        <w:t> </w:t>
      </w:r>
      <w:r w:rsidRPr="006C4A09">
        <w:rPr>
          <w:i/>
          <w:iCs/>
          <w:sz w:val="18"/>
          <w:szCs w:val="18"/>
        </w:rPr>
        <w:t>Surface Process, Transportation, and Storage</w:t>
      </w:r>
      <w:r w:rsidRPr="006C4A09">
        <w:rPr>
          <w:sz w:val="18"/>
          <w:szCs w:val="18"/>
          <w:shd w:val="clear" w:color="auto" w:fill="FFFFFF"/>
        </w:rPr>
        <w:t>, pp.423-477.</w:t>
      </w:r>
    </w:p>
    <w:p w14:paraId="25D7AFF7" w14:textId="77777777" w:rsidR="00691253" w:rsidRPr="006C4A09" w:rsidRDefault="00691253" w:rsidP="00691253">
      <w:pPr>
        <w:jc w:val="both"/>
        <w:rPr>
          <w:sz w:val="18"/>
          <w:szCs w:val="18"/>
          <w:lang w:val="en-US"/>
        </w:rPr>
      </w:pPr>
      <w:r w:rsidRPr="006C4A09">
        <w:rPr>
          <w:sz w:val="18"/>
          <w:szCs w:val="18"/>
          <w:shd w:val="clear" w:color="auto" w:fill="FFFFFF"/>
        </w:rPr>
        <w:t xml:space="preserve">European Parliament, 2022. A union certification framework for carbon removals. </w:t>
      </w:r>
      <w:r w:rsidRPr="006C4A09">
        <w:rPr>
          <w:i/>
          <w:iCs/>
          <w:sz w:val="18"/>
          <w:szCs w:val="18"/>
          <w:shd w:val="clear" w:color="auto" w:fill="FFFFFF"/>
        </w:rPr>
        <w:t>EU legislation in progress</w:t>
      </w:r>
      <w:r w:rsidRPr="006C4A09">
        <w:rPr>
          <w:sz w:val="18"/>
          <w:szCs w:val="18"/>
          <w:shd w:val="clear" w:color="auto" w:fill="FFFFFF"/>
        </w:rPr>
        <w:t>, pp.1-8.</w:t>
      </w:r>
    </w:p>
    <w:p w14:paraId="6CCF865F" w14:textId="77777777" w:rsidR="00691253" w:rsidRPr="006C4A09" w:rsidRDefault="00691253" w:rsidP="00691253">
      <w:pPr>
        <w:jc w:val="both"/>
        <w:rPr>
          <w:sz w:val="15"/>
          <w:szCs w:val="15"/>
          <w:shd w:val="clear" w:color="auto" w:fill="FFFFFF"/>
        </w:rPr>
      </w:pPr>
      <w:proofErr w:type="spellStart"/>
      <w:r w:rsidRPr="006C4A09">
        <w:rPr>
          <w:sz w:val="18"/>
          <w:szCs w:val="18"/>
          <w:shd w:val="clear" w:color="auto" w:fill="FFFFFF"/>
        </w:rPr>
        <w:t>Hangx</w:t>
      </w:r>
      <w:proofErr w:type="spellEnd"/>
      <w:r w:rsidRPr="006C4A09">
        <w:rPr>
          <w:sz w:val="18"/>
          <w:szCs w:val="18"/>
          <w:shd w:val="clear" w:color="auto" w:fill="FFFFFF"/>
        </w:rPr>
        <w:t>, S.J. and Spiers, C.J., 2009. Coastal spreading of olivine to control atmospheric CO</w:t>
      </w:r>
      <w:r w:rsidRPr="006C4A09">
        <w:rPr>
          <w:sz w:val="18"/>
          <w:szCs w:val="18"/>
          <w:shd w:val="clear" w:color="auto" w:fill="FFFFFF"/>
          <w:vertAlign w:val="subscript"/>
        </w:rPr>
        <w:t>2</w:t>
      </w:r>
      <w:r w:rsidRPr="006C4A09">
        <w:rPr>
          <w:sz w:val="18"/>
          <w:szCs w:val="18"/>
          <w:shd w:val="clear" w:color="auto" w:fill="FFFFFF"/>
        </w:rPr>
        <w:t xml:space="preserve"> concentrations: A critical analysis of viability.</w:t>
      </w:r>
      <w:r w:rsidRPr="006C4A09">
        <w:rPr>
          <w:rStyle w:val="apple-converted-space"/>
          <w:rFonts w:ascii="Arial" w:hAnsi="Arial" w:cs="Arial"/>
          <w:color w:val="222222"/>
          <w:sz w:val="18"/>
          <w:szCs w:val="18"/>
          <w:shd w:val="clear" w:color="auto" w:fill="FFFFFF"/>
        </w:rPr>
        <w:t> </w:t>
      </w:r>
      <w:r w:rsidRPr="006C4A09">
        <w:rPr>
          <w:i/>
          <w:iCs/>
          <w:sz w:val="18"/>
          <w:szCs w:val="18"/>
        </w:rPr>
        <w:t>International Journal of Greenhouse Gas Control</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3</w:t>
      </w:r>
      <w:r w:rsidRPr="006C4A09">
        <w:rPr>
          <w:sz w:val="18"/>
          <w:szCs w:val="18"/>
          <w:shd w:val="clear" w:color="auto" w:fill="FFFFFF"/>
        </w:rPr>
        <w:t>(6), pp.757-767.</w:t>
      </w:r>
    </w:p>
    <w:p w14:paraId="7062C8EB" w14:textId="77777777" w:rsidR="00691253" w:rsidRPr="006C4A09" w:rsidRDefault="00691253" w:rsidP="00691253">
      <w:pPr>
        <w:jc w:val="both"/>
        <w:rPr>
          <w:sz w:val="16"/>
          <w:szCs w:val="16"/>
          <w:shd w:val="clear" w:color="auto" w:fill="FFFFFF"/>
        </w:rPr>
      </w:pPr>
      <w:r w:rsidRPr="006C4A09">
        <w:rPr>
          <w:sz w:val="18"/>
          <w:szCs w:val="18"/>
          <w:shd w:val="clear" w:color="auto" w:fill="FFFFFF"/>
        </w:rPr>
        <w:t xml:space="preserve">Lehmann, J. and </w:t>
      </w:r>
      <w:proofErr w:type="spellStart"/>
      <w:r w:rsidRPr="006C4A09">
        <w:rPr>
          <w:sz w:val="18"/>
          <w:szCs w:val="18"/>
          <w:shd w:val="clear" w:color="auto" w:fill="FFFFFF"/>
        </w:rPr>
        <w:t>Possinger</w:t>
      </w:r>
      <w:proofErr w:type="spellEnd"/>
      <w:r w:rsidRPr="006C4A09">
        <w:rPr>
          <w:sz w:val="18"/>
          <w:szCs w:val="18"/>
          <w:shd w:val="clear" w:color="auto" w:fill="FFFFFF"/>
        </w:rPr>
        <w:t>, A., 2020. Removal of atmospheric CO</w:t>
      </w:r>
      <w:r w:rsidRPr="006C4A09">
        <w:rPr>
          <w:sz w:val="18"/>
          <w:szCs w:val="18"/>
          <w:shd w:val="clear" w:color="auto" w:fill="FFFFFF"/>
          <w:vertAlign w:val="subscript"/>
        </w:rPr>
        <w:t>2</w:t>
      </w:r>
      <w:r w:rsidRPr="006C4A09">
        <w:rPr>
          <w:sz w:val="18"/>
          <w:szCs w:val="18"/>
          <w:shd w:val="clear" w:color="auto" w:fill="FFFFFF"/>
        </w:rPr>
        <w:t xml:space="preserve"> by rock weathering holds promise for mitigating climate change.</w:t>
      </w:r>
    </w:p>
    <w:p w14:paraId="18C2DA7B" w14:textId="77777777" w:rsidR="00691253" w:rsidRPr="006C4A09" w:rsidRDefault="00691253" w:rsidP="00691253">
      <w:pPr>
        <w:jc w:val="both"/>
        <w:rPr>
          <w:sz w:val="18"/>
          <w:szCs w:val="18"/>
          <w:shd w:val="clear" w:color="auto" w:fill="FFFFFF"/>
        </w:rPr>
      </w:pPr>
      <w:r w:rsidRPr="006C4A09">
        <w:rPr>
          <w:sz w:val="18"/>
          <w:szCs w:val="18"/>
          <w:shd w:val="clear" w:color="auto" w:fill="FFFFFF"/>
        </w:rPr>
        <w:t xml:space="preserve">Montserrat, F., Renforth, P., Hartmann, J., </w:t>
      </w:r>
      <w:proofErr w:type="spellStart"/>
      <w:r w:rsidRPr="006C4A09">
        <w:rPr>
          <w:sz w:val="18"/>
          <w:szCs w:val="18"/>
          <w:shd w:val="clear" w:color="auto" w:fill="FFFFFF"/>
        </w:rPr>
        <w:t>Leermakers</w:t>
      </w:r>
      <w:proofErr w:type="spellEnd"/>
      <w:r w:rsidRPr="006C4A09">
        <w:rPr>
          <w:sz w:val="18"/>
          <w:szCs w:val="18"/>
          <w:shd w:val="clear" w:color="auto" w:fill="FFFFFF"/>
        </w:rPr>
        <w:t xml:space="preserve">, M., Knops, P. and </w:t>
      </w:r>
      <w:proofErr w:type="spellStart"/>
      <w:r w:rsidRPr="006C4A09">
        <w:rPr>
          <w:sz w:val="18"/>
          <w:szCs w:val="18"/>
          <w:shd w:val="clear" w:color="auto" w:fill="FFFFFF"/>
        </w:rPr>
        <w:t>Meysman</w:t>
      </w:r>
      <w:proofErr w:type="spellEnd"/>
      <w:r w:rsidRPr="006C4A09">
        <w:rPr>
          <w:sz w:val="18"/>
          <w:szCs w:val="18"/>
          <w:shd w:val="clear" w:color="auto" w:fill="FFFFFF"/>
        </w:rPr>
        <w:t>, F.J., 2017. Olivine dissolution in seawater: implications for CO2 sequestration through enhanced weathering in coastal environments.</w:t>
      </w:r>
      <w:r w:rsidRPr="006C4A09">
        <w:rPr>
          <w:rStyle w:val="apple-converted-space"/>
          <w:rFonts w:ascii="Arial" w:hAnsi="Arial" w:cs="Arial"/>
          <w:color w:val="222222"/>
          <w:sz w:val="18"/>
          <w:szCs w:val="18"/>
          <w:shd w:val="clear" w:color="auto" w:fill="FFFFFF"/>
        </w:rPr>
        <w:t> </w:t>
      </w:r>
      <w:r w:rsidRPr="006C4A09">
        <w:rPr>
          <w:i/>
          <w:iCs/>
          <w:sz w:val="18"/>
          <w:szCs w:val="18"/>
        </w:rPr>
        <w:t>Environmental Science &amp; Technology</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51</w:t>
      </w:r>
      <w:r w:rsidRPr="006C4A09">
        <w:rPr>
          <w:sz w:val="18"/>
          <w:szCs w:val="18"/>
          <w:shd w:val="clear" w:color="auto" w:fill="FFFFFF"/>
        </w:rPr>
        <w:t>(7), pp.3960-3972.</w:t>
      </w:r>
    </w:p>
    <w:p w14:paraId="064464F2" w14:textId="77777777" w:rsidR="00691253" w:rsidRPr="006C4A09" w:rsidRDefault="00691253" w:rsidP="00691253">
      <w:pPr>
        <w:jc w:val="both"/>
        <w:rPr>
          <w:sz w:val="18"/>
          <w:szCs w:val="18"/>
          <w:shd w:val="clear" w:color="auto" w:fill="FFFFFF"/>
          <w:lang w:val="fr-CH"/>
        </w:rPr>
      </w:pPr>
      <w:r w:rsidRPr="006C4A09">
        <w:rPr>
          <w:sz w:val="18"/>
          <w:szCs w:val="18"/>
          <w:shd w:val="clear" w:color="auto" w:fill="FFFFFF"/>
        </w:rPr>
        <w:t xml:space="preserve">O’Neill, R.N. and </w:t>
      </w:r>
      <w:proofErr w:type="spellStart"/>
      <w:r w:rsidRPr="006C4A09">
        <w:rPr>
          <w:sz w:val="18"/>
          <w:szCs w:val="18"/>
          <w:shd w:val="clear" w:color="auto" w:fill="FFFFFF"/>
        </w:rPr>
        <w:t>Nadaï</w:t>
      </w:r>
      <w:proofErr w:type="spellEnd"/>
      <w:r w:rsidRPr="006C4A09">
        <w:rPr>
          <w:sz w:val="18"/>
          <w:szCs w:val="18"/>
          <w:shd w:val="clear" w:color="auto" w:fill="FFFFFF"/>
        </w:rPr>
        <w:t xml:space="preserve">, A., 2012. </w:t>
      </w:r>
      <w:r w:rsidRPr="006C4A09">
        <w:rPr>
          <w:sz w:val="18"/>
          <w:szCs w:val="18"/>
          <w:shd w:val="clear" w:color="auto" w:fill="FFFFFF"/>
          <w:lang w:val="fr-CH"/>
        </w:rPr>
        <w:t>Risque et démonstration, la politique de capture et de stockage du dioxyde de carbone (CCS) dans l’Union européenne.</w:t>
      </w:r>
      <w:r w:rsidRPr="006C4A09">
        <w:rPr>
          <w:rStyle w:val="apple-converted-space"/>
          <w:rFonts w:ascii="Arial" w:hAnsi="Arial" w:cs="Arial"/>
          <w:color w:val="222222"/>
          <w:sz w:val="18"/>
          <w:szCs w:val="18"/>
          <w:shd w:val="clear" w:color="auto" w:fill="FFFFFF"/>
          <w:lang w:val="fr-CH"/>
        </w:rPr>
        <w:t> </w:t>
      </w:r>
      <w:proofErr w:type="spellStart"/>
      <w:r w:rsidRPr="006C4A09">
        <w:rPr>
          <w:i/>
          <w:iCs/>
          <w:sz w:val="18"/>
          <w:szCs w:val="18"/>
          <w:lang w:val="fr-CH"/>
        </w:rPr>
        <w:t>VertigO</w:t>
      </w:r>
      <w:proofErr w:type="spellEnd"/>
      <w:r w:rsidRPr="006C4A09">
        <w:rPr>
          <w:i/>
          <w:iCs/>
          <w:sz w:val="18"/>
          <w:szCs w:val="18"/>
          <w:lang w:val="fr-CH"/>
        </w:rPr>
        <w:t>-la revue électronique en sciences de l'environnement</w:t>
      </w:r>
      <w:r w:rsidRPr="006C4A09">
        <w:rPr>
          <w:sz w:val="18"/>
          <w:szCs w:val="18"/>
          <w:shd w:val="clear" w:color="auto" w:fill="FFFFFF"/>
          <w:lang w:val="fr-CH"/>
        </w:rPr>
        <w:t>,</w:t>
      </w:r>
      <w:r w:rsidRPr="006C4A09">
        <w:rPr>
          <w:rStyle w:val="apple-converted-space"/>
          <w:rFonts w:ascii="Arial" w:hAnsi="Arial" w:cs="Arial"/>
          <w:color w:val="222222"/>
          <w:sz w:val="18"/>
          <w:szCs w:val="18"/>
          <w:shd w:val="clear" w:color="auto" w:fill="FFFFFF"/>
          <w:lang w:val="fr-CH"/>
        </w:rPr>
        <w:t> </w:t>
      </w:r>
      <w:r w:rsidRPr="006C4A09">
        <w:rPr>
          <w:i/>
          <w:iCs/>
          <w:sz w:val="18"/>
          <w:szCs w:val="18"/>
          <w:lang w:val="fr-CH"/>
        </w:rPr>
        <w:t>12</w:t>
      </w:r>
      <w:r w:rsidRPr="006C4A09">
        <w:rPr>
          <w:sz w:val="18"/>
          <w:szCs w:val="18"/>
          <w:shd w:val="clear" w:color="auto" w:fill="FFFFFF"/>
          <w:lang w:val="fr-CH"/>
        </w:rPr>
        <w:t>(1).</w:t>
      </w:r>
    </w:p>
    <w:p w14:paraId="08E15D9A" w14:textId="77777777" w:rsidR="00691253" w:rsidRPr="006C4A09" w:rsidRDefault="00691253" w:rsidP="00691253">
      <w:pPr>
        <w:jc w:val="both"/>
        <w:rPr>
          <w:sz w:val="16"/>
          <w:szCs w:val="16"/>
          <w:shd w:val="clear" w:color="auto" w:fill="FFFFFF"/>
        </w:rPr>
      </w:pPr>
      <w:proofErr w:type="spellStart"/>
      <w:r w:rsidRPr="006C4A09">
        <w:rPr>
          <w:sz w:val="18"/>
          <w:szCs w:val="18"/>
          <w:shd w:val="clear" w:color="auto" w:fill="FFFFFF"/>
          <w:lang w:val="fr-CH"/>
        </w:rPr>
        <w:t>Roelich</w:t>
      </w:r>
      <w:proofErr w:type="spellEnd"/>
      <w:r w:rsidRPr="006C4A09">
        <w:rPr>
          <w:sz w:val="18"/>
          <w:szCs w:val="18"/>
          <w:shd w:val="clear" w:color="auto" w:fill="FFFFFF"/>
          <w:lang w:val="fr-CH"/>
        </w:rPr>
        <w:t xml:space="preserve">, K. and </w:t>
      </w:r>
      <w:proofErr w:type="spellStart"/>
      <w:r w:rsidRPr="006C4A09">
        <w:rPr>
          <w:sz w:val="18"/>
          <w:szCs w:val="18"/>
          <w:shd w:val="clear" w:color="auto" w:fill="FFFFFF"/>
          <w:lang w:val="fr-CH"/>
        </w:rPr>
        <w:t>Giesekam</w:t>
      </w:r>
      <w:proofErr w:type="spellEnd"/>
      <w:r w:rsidRPr="006C4A09">
        <w:rPr>
          <w:sz w:val="18"/>
          <w:szCs w:val="18"/>
          <w:shd w:val="clear" w:color="auto" w:fill="FFFFFF"/>
          <w:lang w:val="fr-CH"/>
        </w:rPr>
        <w:t xml:space="preserve">, J., 2019. </w:t>
      </w:r>
      <w:r w:rsidRPr="006C4A09">
        <w:rPr>
          <w:sz w:val="18"/>
          <w:szCs w:val="18"/>
          <w:shd w:val="clear" w:color="auto" w:fill="FFFFFF"/>
        </w:rPr>
        <w:t>Decision making under uncertainty in climate change mitigation: introducing multiple actor motivations, agency and influence.</w:t>
      </w:r>
      <w:r w:rsidRPr="006C4A09">
        <w:rPr>
          <w:rStyle w:val="apple-converted-space"/>
          <w:rFonts w:ascii="Arial" w:hAnsi="Arial" w:cs="Arial"/>
          <w:color w:val="222222"/>
          <w:sz w:val="18"/>
          <w:szCs w:val="18"/>
          <w:shd w:val="clear" w:color="auto" w:fill="FFFFFF"/>
        </w:rPr>
        <w:t> </w:t>
      </w:r>
      <w:r w:rsidRPr="006C4A09">
        <w:rPr>
          <w:i/>
          <w:iCs/>
          <w:sz w:val="18"/>
          <w:szCs w:val="18"/>
        </w:rPr>
        <w:t>Climate policy</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19</w:t>
      </w:r>
      <w:r w:rsidRPr="006C4A09">
        <w:rPr>
          <w:sz w:val="18"/>
          <w:szCs w:val="18"/>
          <w:shd w:val="clear" w:color="auto" w:fill="FFFFFF"/>
        </w:rPr>
        <w:t>(2), pp.175-188.</w:t>
      </w:r>
    </w:p>
    <w:p w14:paraId="422ED591" w14:textId="77777777" w:rsidR="00D41A7F" w:rsidRDefault="00691253" w:rsidP="00691253">
      <w:pPr>
        <w:jc w:val="both"/>
        <w:rPr>
          <w:sz w:val="18"/>
          <w:szCs w:val="18"/>
          <w:shd w:val="clear" w:color="auto" w:fill="FFFFFF"/>
        </w:rPr>
      </w:pPr>
      <w:proofErr w:type="spellStart"/>
      <w:r w:rsidRPr="006C4A09">
        <w:rPr>
          <w:sz w:val="18"/>
          <w:szCs w:val="18"/>
          <w:shd w:val="clear" w:color="auto" w:fill="FFFFFF"/>
        </w:rPr>
        <w:t>Schuiling</w:t>
      </w:r>
      <w:proofErr w:type="spellEnd"/>
      <w:r w:rsidRPr="006C4A09">
        <w:rPr>
          <w:sz w:val="18"/>
          <w:szCs w:val="18"/>
          <w:shd w:val="clear" w:color="auto" w:fill="FFFFFF"/>
        </w:rPr>
        <w:t xml:space="preserve">, R.D. and </w:t>
      </w:r>
      <w:proofErr w:type="spellStart"/>
      <w:r w:rsidRPr="006C4A09">
        <w:rPr>
          <w:sz w:val="18"/>
          <w:szCs w:val="18"/>
          <w:shd w:val="clear" w:color="auto" w:fill="FFFFFF"/>
        </w:rPr>
        <w:t>Krijgsman</w:t>
      </w:r>
      <w:proofErr w:type="spellEnd"/>
      <w:r w:rsidRPr="006C4A09">
        <w:rPr>
          <w:sz w:val="18"/>
          <w:szCs w:val="18"/>
          <w:shd w:val="clear" w:color="auto" w:fill="FFFFFF"/>
        </w:rPr>
        <w:t>, P., 2006. Enhanced weathering: an effective and cheap tool to sequester CO</w:t>
      </w:r>
      <w:r w:rsidRPr="006C4A09">
        <w:rPr>
          <w:sz w:val="18"/>
          <w:szCs w:val="18"/>
          <w:shd w:val="clear" w:color="auto" w:fill="FFFFFF"/>
          <w:vertAlign w:val="subscript"/>
        </w:rPr>
        <w:t>2</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Climatic Change</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74</w:t>
      </w:r>
      <w:r w:rsidRPr="006C4A09">
        <w:rPr>
          <w:sz w:val="18"/>
          <w:szCs w:val="18"/>
          <w:shd w:val="clear" w:color="auto" w:fill="FFFFFF"/>
        </w:rPr>
        <w:t>(1-3), pp.349-354.</w:t>
      </w:r>
    </w:p>
    <w:p w14:paraId="03D415D3" w14:textId="78071147" w:rsidR="00691253" w:rsidRPr="006C4A09" w:rsidRDefault="00691253" w:rsidP="00691253">
      <w:pPr>
        <w:jc w:val="both"/>
        <w:rPr>
          <w:sz w:val="18"/>
          <w:szCs w:val="18"/>
          <w:shd w:val="clear" w:color="auto" w:fill="FFFFFF"/>
        </w:rPr>
      </w:pPr>
      <w:r w:rsidRPr="006C4A09">
        <w:rPr>
          <w:sz w:val="18"/>
          <w:szCs w:val="18"/>
          <w:shd w:val="clear" w:color="auto" w:fill="FFFFFF"/>
          <w:lang w:val="en-US"/>
        </w:rPr>
        <w:t xml:space="preserve">Selma, L., </w:t>
      </w:r>
      <w:proofErr w:type="spellStart"/>
      <w:r w:rsidRPr="006C4A09">
        <w:rPr>
          <w:sz w:val="18"/>
          <w:szCs w:val="18"/>
          <w:shd w:val="clear" w:color="auto" w:fill="FFFFFF"/>
          <w:lang w:val="en-US"/>
        </w:rPr>
        <w:t>Seigo</w:t>
      </w:r>
      <w:proofErr w:type="spellEnd"/>
      <w:r w:rsidRPr="006C4A09">
        <w:rPr>
          <w:sz w:val="18"/>
          <w:szCs w:val="18"/>
          <w:shd w:val="clear" w:color="auto" w:fill="FFFFFF"/>
          <w:lang w:val="en-US"/>
        </w:rPr>
        <w:t xml:space="preserve">, O., </w:t>
      </w:r>
      <w:proofErr w:type="spellStart"/>
      <w:r w:rsidRPr="006C4A09">
        <w:rPr>
          <w:sz w:val="18"/>
          <w:szCs w:val="18"/>
          <w:shd w:val="clear" w:color="auto" w:fill="FFFFFF"/>
          <w:lang w:val="en-US"/>
        </w:rPr>
        <w:t>Dohle</w:t>
      </w:r>
      <w:proofErr w:type="spellEnd"/>
      <w:r w:rsidRPr="006C4A09">
        <w:rPr>
          <w:sz w:val="18"/>
          <w:szCs w:val="18"/>
          <w:shd w:val="clear" w:color="auto" w:fill="FFFFFF"/>
          <w:lang w:val="en-US"/>
        </w:rPr>
        <w:t xml:space="preserve">, S. and Siegrist, M., 2014. </w:t>
      </w:r>
      <w:r w:rsidRPr="006C4A09">
        <w:rPr>
          <w:sz w:val="18"/>
          <w:szCs w:val="18"/>
          <w:shd w:val="clear" w:color="auto" w:fill="FFFFFF"/>
        </w:rPr>
        <w:t>Public perception of carbon capture and storage (CCS): A review.</w:t>
      </w:r>
      <w:r w:rsidRPr="006C4A09">
        <w:rPr>
          <w:rStyle w:val="apple-converted-space"/>
          <w:rFonts w:ascii="Arial" w:hAnsi="Arial" w:cs="Arial"/>
          <w:color w:val="222222"/>
          <w:sz w:val="18"/>
          <w:szCs w:val="18"/>
          <w:shd w:val="clear" w:color="auto" w:fill="FFFFFF"/>
        </w:rPr>
        <w:t> </w:t>
      </w:r>
      <w:r w:rsidRPr="006C4A09">
        <w:rPr>
          <w:i/>
          <w:iCs/>
          <w:sz w:val="18"/>
          <w:szCs w:val="18"/>
        </w:rPr>
        <w:t>Renewable and Sustainable Energy Reviews</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38</w:t>
      </w:r>
      <w:r w:rsidRPr="006C4A09">
        <w:rPr>
          <w:sz w:val="18"/>
          <w:szCs w:val="18"/>
          <w:shd w:val="clear" w:color="auto" w:fill="FFFFFF"/>
        </w:rPr>
        <w:t>, pp.848-863.</w:t>
      </w:r>
    </w:p>
    <w:p w14:paraId="144DE6C3" w14:textId="39ECC105" w:rsidR="008D2649" w:rsidRPr="00B37EAB" w:rsidRDefault="00691253" w:rsidP="00562828">
      <w:pPr>
        <w:jc w:val="both"/>
        <w:rPr>
          <w:sz w:val="13"/>
          <w:szCs w:val="13"/>
          <w:lang w:val="en-US"/>
        </w:rPr>
      </w:pPr>
      <w:proofErr w:type="spellStart"/>
      <w:r w:rsidRPr="006C4A09">
        <w:rPr>
          <w:sz w:val="18"/>
          <w:szCs w:val="18"/>
          <w:shd w:val="clear" w:color="auto" w:fill="FFFFFF"/>
        </w:rPr>
        <w:t>Snæbjörnsdóttir</w:t>
      </w:r>
      <w:proofErr w:type="spellEnd"/>
      <w:r w:rsidRPr="006C4A09">
        <w:rPr>
          <w:sz w:val="18"/>
          <w:szCs w:val="18"/>
          <w:shd w:val="clear" w:color="auto" w:fill="FFFFFF"/>
        </w:rPr>
        <w:t xml:space="preserve">, S.Ó., </w:t>
      </w:r>
      <w:proofErr w:type="spellStart"/>
      <w:r w:rsidRPr="006C4A09">
        <w:rPr>
          <w:sz w:val="18"/>
          <w:szCs w:val="18"/>
          <w:shd w:val="clear" w:color="auto" w:fill="FFFFFF"/>
        </w:rPr>
        <w:t>Sigfússon</w:t>
      </w:r>
      <w:proofErr w:type="spellEnd"/>
      <w:r w:rsidRPr="006C4A09">
        <w:rPr>
          <w:sz w:val="18"/>
          <w:szCs w:val="18"/>
          <w:shd w:val="clear" w:color="auto" w:fill="FFFFFF"/>
        </w:rPr>
        <w:t xml:space="preserve">, B., </w:t>
      </w:r>
      <w:proofErr w:type="spellStart"/>
      <w:r w:rsidRPr="006C4A09">
        <w:rPr>
          <w:sz w:val="18"/>
          <w:szCs w:val="18"/>
          <w:shd w:val="clear" w:color="auto" w:fill="FFFFFF"/>
        </w:rPr>
        <w:t>Marieni</w:t>
      </w:r>
      <w:proofErr w:type="spellEnd"/>
      <w:r w:rsidRPr="006C4A09">
        <w:rPr>
          <w:sz w:val="18"/>
          <w:szCs w:val="18"/>
          <w:shd w:val="clear" w:color="auto" w:fill="FFFFFF"/>
        </w:rPr>
        <w:t xml:space="preserve">, C., Goldberg, D., </w:t>
      </w:r>
      <w:proofErr w:type="spellStart"/>
      <w:r w:rsidRPr="006C4A09">
        <w:rPr>
          <w:sz w:val="18"/>
          <w:szCs w:val="18"/>
          <w:shd w:val="clear" w:color="auto" w:fill="FFFFFF"/>
        </w:rPr>
        <w:t>Gislason</w:t>
      </w:r>
      <w:proofErr w:type="spellEnd"/>
      <w:r w:rsidRPr="006C4A09">
        <w:rPr>
          <w:sz w:val="18"/>
          <w:szCs w:val="18"/>
          <w:shd w:val="clear" w:color="auto" w:fill="FFFFFF"/>
        </w:rPr>
        <w:t xml:space="preserve">, S.R. and </w:t>
      </w:r>
      <w:proofErr w:type="spellStart"/>
      <w:r w:rsidRPr="006C4A09">
        <w:rPr>
          <w:sz w:val="18"/>
          <w:szCs w:val="18"/>
          <w:shd w:val="clear" w:color="auto" w:fill="FFFFFF"/>
        </w:rPr>
        <w:t>Oelkers</w:t>
      </w:r>
      <w:proofErr w:type="spellEnd"/>
      <w:r w:rsidRPr="006C4A09">
        <w:rPr>
          <w:sz w:val="18"/>
          <w:szCs w:val="18"/>
          <w:shd w:val="clear" w:color="auto" w:fill="FFFFFF"/>
        </w:rPr>
        <w:t>, E.H., 2020. Carbon dioxide storage through mineral carbonation.</w:t>
      </w:r>
      <w:r w:rsidRPr="006C4A09">
        <w:rPr>
          <w:rStyle w:val="apple-converted-space"/>
          <w:rFonts w:ascii="Arial" w:hAnsi="Arial" w:cs="Arial"/>
          <w:color w:val="222222"/>
          <w:sz w:val="18"/>
          <w:szCs w:val="18"/>
          <w:shd w:val="clear" w:color="auto" w:fill="FFFFFF"/>
        </w:rPr>
        <w:t> </w:t>
      </w:r>
      <w:r w:rsidRPr="006C4A09">
        <w:rPr>
          <w:i/>
          <w:iCs/>
          <w:sz w:val="18"/>
          <w:szCs w:val="18"/>
        </w:rPr>
        <w:t>Nature Reviews Earth &amp; Environment</w:t>
      </w:r>
      <w:r w:rsidRPr="006C4A09">
        <w:rPr>
          <w:sz w:val="18"/>
          <w:szCs w:val="18"/>
          <w:shd w:val="clear" w:color="auto" w:fill="FFFFFF"/>
        </w:rPr>
        <w:t>,</w:t>
      </w:r>
      <w:r w:rsidRPr="006C4A09">
        <w:rPr>
          <w:rStyle w:val="apple-converted-space"/>
          <w:rFonts w:ascii="Arial" w:hAnsi="Arial" w:cs="Arial"/>
          <w:color w:val="222222"/>
          <w:sz w:val="18"/>
          <w:szCs w:val="18"/>
          <w:shd w:val="clear" w:color="auto" w:fill="FFFFFF"/>
        </w:rPr>
        <w:t> </w:t>
      </w:r>
      <w:r w:rsidRPr="006C4A09">
        <w:rPr>
          <w:i/>
          <w:iCs/>
          <w:sz w:val="18"/>
          <w:szCs w:val="18"/>
        </w:rPr>
        <w:t>1</w:t>
      </w:r>
      <w:r w:rsidRPr="006C4A09">
        <w:rPr>
          <w:sz w:val="18"/>
          <w:szCs w:val="18"/>
          <w:shd w:val="clear" w:color="auto" w:fill="FFFFFF"/>
        </w:rPr>
        <w:t>(2), pp.90-102.</w:t>
      </w:r>
    </w:p>
    <w:sectPr w:rsidR="008D2649" w:rsidRPr="00B37EAB" w:rsidSect="0065188E">
      <w:headerReference w:type="even" r:id="rId9"/>
      <w:headerReference w:type="default" r:id="rId10"/>
      <w:headerReference w:type="first" r:id="rId11"/>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4E10" w14:textId="77777777" w:rsidR="0065188E" w:rsidRDefault="0065188E">
      <w:r>
        <w:separator/>
      </w:r>
    </w:p>
  </w:endnote>
  <w:endnote w:type="continuationSeparator" w:id="0">
    <w:p w14:paraId="78FA6710" w14:textId="77777777" w:rsidR="0065188E" w:rsidRDefault="0065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w:altName w:val="Arial"/>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9BD5" w14:textId="77777777" w:rsidR="0065188E" w:rsidRDefault="0065188E">
      <w:r>
        <w:separator/>
      </w:r>
    </w:p>
  </w:footnote>
  <w:footnote w:type="continuationSeparator" w:id="0">
    <w:p w14:paraId="2D831BB3" w14:textId="77777777" w:rsidR="0065188E" w:rsidRDefault="00651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5EB2E158" w:rsidR="00DD3D9E" w:rsidRDefault="00DD3D9E">
    <w:pPr>
      <w:pStyle w:val="Header"/>
      <w:tabs>
        <w:tab w:val="clear" w:pos="7200"/>
        <w:tab w:val="right" w:pos="7088"/>
      </w:tabs>
    </w:pPr>
    <w:r>
      <w:rPr>
        <w:rStyle w:val="PageNumber"/>
      </w:rPr>
      <w:tab/>
    </w:r>
    <w:r>
      <w:rPr>
        <w:rStyle w:val="PageNumbe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0F7BDF63" w:rsidR="00DD3D9E" w:rsidRDefault="00DD3D9E">
    <w:pPr>
      <w:pStyle w:val="Header"/>
      <w:tabs>
        <w:tab w:val="clear" w:pos="7200"/>
        <w:tab w:val="right" w:pos="7088"/>
      </w:tabs>
      <w:jc w:val="right"/>
      <w:rPr>
        <w:sz w:val="24"/>
      </w:rPr>
    </w:pPr>
    <w:r>
      <w:rPr>
        <w:rStyle w:val="PageNumber"/>
        <w:i/>
        <w:sz w:val="24"/>
      </w:rPr>
      <w:tab/>
    </w:r>
    <w:r>
      <w:rPr>
        <w:rStyle w:val="PageNumbe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C" w14:textId="65EF433B" w:rsidR="00DD3D9E" w:rsidRPr="00FF6043" w:rsidRDefault="001B1DE3" w:rsidP="00FF6043">
    <w:pPr>
      <w:pStyle w:val="ElsevierBodyTextCentredNospace"/>
      <w:jc w:val="left"/>
      <w:rPr>
        <w:noProof/>
        <w:sz w:val="20"/>
        <w:szCs w:val="20"/>
      </w:rPr>
    </w:pPr>
    <w:r>
      <w:rPr>
        <w:noProof/>
        <w:color w:val="auto"/>
        <w:sz w:val="20"/>
        <w:szCs w:val="20"/>
      </w:rPr>
      <w:drawing>
        <wp:inline distT="0" distB="0" distL="0" distR="0" wp14:anchorId="26F3196F" wp14:editId="0458D368">
          <wp:extent cx="4499610" cy="9169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s.jpg"/>
                  <pic:cNvPicPr/>
                </pic:nvPicPr>
                <pic:blipFill>
                  <a:blip r:embed="rId1">
                    <a:extLst>
                      <a:ext uri="{28A0092B-C50C-407E-A947-70E740481C1C}">
                        <a14:useLocalDpi xmlns:a14="http://schemas.microsoft.com/office/drawing/2010/main" val="0"/>
                      </a:ext>
                    </a:extLst>
                  </a:blip>
                  <a:stretch>
                    <a:fillRect/>
                  </a:stretch>
                </pic:blipFill>
                <pic:spPr>
                  <a:xfrm>
                    <a:off x="0" y="0"/>
                    <a:ext cx="4499610" cy="916940"/>
                  </a:xfrm>
                  <a:prstGeom prst="rect">
                    <a:avLst/>
                  </a:prstGeom>
                </pic:spPr>
              </pic:pic>
            </a:graphicData>
          </a:graphic>
        </wp:inline>
      </w:drawing>
    </w:r>
    <w:r w:rsidR="00F06842" w:rsidRPr="00FF6043">
      <w:rPr>
        <w:color w:val="auto"/>
        <w:sz w:val="20"/>
        <w:szCs w:val="20"/>
      </w:rPr>
      <w:t xml:space="preserve">Flavio Manenti, Gintaras V. Reklaitis (Eds.), </w:t>
    </w:r>
    <w:r w:rsidR="00FF6043" w:rsidRPr="00FF6043">
      <w:rPr>
        <w:color w:val="auto"/>
        <w:sz w:val="20"/>
        <w:szCs w:val="20"/>
      </w:rPr>
      <w:t>B</w:t>
    </w:r>
    <w:r w:rsidR="00FF6043" w:rsidRPr="00FF6043">
      <w:rPr>
        <w:noProof/>
        <w:sz w:val="20"/>
        <w:szCs w:val="20"/>
      </w:rPr>
      <w:t>ook of Abstract</w:t>
    </w:r>
    <w:r w:rsidR="00F06842" w:rsidRPr="00FF6043">
      <w:rPr>
        <w:noProof/>
        <w:sz w:val="20"/>
        <w:szCs w:val="20"/>
      </w:rPr>
      <w:t xml:space="preserve"> of the </w:t>
    </w:r>
    <w:r w:rsidR="00F06842" w:rsidRPr="00FF6043">
      <w:rPr>
        <w:rStyle w:val="underline1"/>
        <w:sz w:val="20"/>
        <w:szCs w:val="20"/>
        <w:u w:val="none"/>
      </w:rPr>
      <w:t>34</w:t>
    </w:r>
    <w:r w:rsidR="00F06842" w:rsidRPr="00FF6043">
      <w:rPr>
        <w:rStyle w:val="underline1"/>
        <w:sz w:val="20"/>
        <w:szCs w:val="20"/>
        <w:u w:val="none"/>
        <w:vertAlign w:val="superscript"/>
      </w:rPr>
      <w:t>th</w:t>
    </w:r>
    <w:r w:rsidR="00F06842" w:rsidRPr="00FF6043">
      <w:rPr>
        <w:rStyle w:val="underline1"/>
        <w:sz w:val="20"/>
        <w:szCs w:val="20"/>
        <w:u w:val="none"/>
      </w:rPr>
      <w:t xml:space="preserve"> European Symposium on Computer Aided Process Engineering / 15</w:t>
    </w:r>
    <w:r w:rsidR="00F06842" w:rsidRPr="00FF6043">
      <w:rPr>
        <w:rStyle w:val="underline1"/>
        <w:sz w:val="20"/>
        <w:szCs w:val="20"/>
        <w:u w:val="none"/>
        <w:vertAlign w:val="superscript"/>
      </w:rPr>
      <w:t>th</w:t>
    </w:r>
    <w:r w:rsidR="00F06842" w:rsidRPr="00FF6043">
      <w:rPr>
        <w:rStyle w:val="underline1"/>
        <w:sz w:val="20"/>
        <w:szCs w:val="20"/>
        <w:u w:val="none"/>
      </w:rPr>
      <w:t xml:space="preserve"> International Symposium on Process Systems Engineerin</w:t>
    </w:r>
    <w:r w:rsidR="00F06842" w:rsidRPr="00FF6043">
      <w:rPr>
        <w:rStyle w:val="underline1"/>
        <w:sz w:val="20"/>
        <w:szCs w:val="20"/>
      </w:rPr>
      <w:t>g</w:t>
    </w:r>
    <w:r w:rsidR="00F06842" w:rsidRPr="00FF6043">
      <w:rPr>
        <w:noProof/>
        <w:sz w:val="20"/>
        <w:szCs w:val="20"/>
      </w:rPr>
      <w:t xml:space="preserve"> (ESCAPE34/PSE24), June 2-6, 2024,</w:t>
    </w:r>
    <w:r w:rsidR="00F06842" w:rsidRPr="00FF6043">
      <w:rPr>
        <w:sz w:val="20"/>
        <w:szCs w:val="20"/>
      </w:rPr>
      <w:t xml:space="preserve"> Florence</w:t>
    </w:r>
    <w:r w:rsidR="00F06842" w:rsidRPr="00FF6043">
      <w:rPr>
        <w:noProof/>
        <w:sz w:val="20"/>
        <w:szCs w:val="20"/>
      </w:rPr>
      <w:t>, Italy</w:t>
    </w:r>
    <w:r w:rsidR="00FF6043">
      <w:rPr>
        <w:noProof/>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77663753">
    <w:abstractNumId w:val="11"/>
  </w:num>
  <w:num w:numId="2" w16cid:durableId="180052416">
    <w:abstractNumId w:val="11"/>
  </w:num>
  <w:num w:numId="3" w16cid:durableId="236132044">
    <w:abstractNumId w:val="11"/>
  </w:num>
  <w:num w:numId="4" w16cid:durableId="1416433584">
    <w:abstractNumId w:val="11"/>
  </w:num>
  <w:num w:numId="5" w16cid:durableId="95906566">
    <w:abstractNumId w:val="0"/>
  </w:num>
  <w:num w:numId="6" w16cid:durableId="1286085173">
    <w:abstractNumId w:val="6"/>
  </w:num>
  <w:num w:numId="7" w16cid:durableId="1116409223">
    <w:abstractNumId w:val="12"/>
  </w:num>
  <w:num w:numId="8" w16cid:durableId="1722561572">
    <w:abstractNumId w:val="1"/>
  </w:num>
  <w:num w:numId="9" w16cid:durableId="756368949">
    <w:abstractNumId w:val="10"/>
  </w:num>
  <w:num w:numId="10" w16cid:durableId="676811890">
    <w:abstractNumId w:val="14"/>
  </w:num>
  <w:num w:numId="11" w16cid:durableId="2094816018">
    <w:abstractNumId w:val="13"/>
  </w:num>
  <w:num w:numId="12" w16cid:durableId="69695959">
    <w:abstractNumId w:val="5"/>
  </w:num>
  <w:num w:numId="13" w16cid:durableId="1335648489">
    <w:abstractNumId w:val="8"/>
  </w:num>
  <w:num w:numId="14" w16cid:durableId="465205205">
    <w:abstractNumId w:val="2"/>
  </w:num>
  <w:num w:numId="15" w16cid:durableId="670717008">
    <w:abstractNumId w:val="7"/>
  </w:num>
  <w:num w:numId="16" w16cid:durableId="1025325248">
    <w:abstractNumId w:val="3"/>
  </w:num>
  <w:num w:numId="17" w16cid:durableId="4981413">
    <w:abstractNumId w:val="4"/>
  </w:num>
  <w:num w:numId="18" w16cid:durableId="627854147">
    <w:abstractNumId w:val="9"/>
  </w:num>
  <w:num w:numId="19" w16cid:durableId="1961763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11EF0"/>
    <w:rsid w:val="0004777A"/>
    <w:rsid w:val="000B78D5"/>
    <w:rsid w:val="000D3D9B"/>
    <w:rsid w:val="000E0E8E"/>
    <w:rsid w:val="001061B7"/>
    <w:rsid w:val="0016032F"/>
    <w:rsid w:val="001879F6"/>
    <w:rsid w:val="00194C08"/>
    <w:rsid w:val="001B1DE3"/>
    <w:rsid w:val="001B77CD"/>
    <w:rsid w:val="001C0148"/>
    <w:rsid w:val="001C757E"/>
    <w:rsid w:val="001F624A"/>
    <w:rsid w:val="0020390F"/>
    <w:rsid w:val="00264926"/>
    <w:rsid w:val="00271FE2"/>
    <w:rsid w:val="002C5B70"/>
    <w:rsid w:val="0034069E"/>
    <w:rsid w:val="00344D01"/>
    <w:rsid w:val="003D1582"/>
    <w:rsid w:val="003D7E4C"/>
    <w:rsid w:val="003E41C2"/>
    <w:rsid w:val="003E6B4E"/>
    <w:rsid w:val="00423083"/>
    <w:rsid w:val="004628E9"/>
    <w:rsid w:val="0049631E"/>
    <w:rsid w:val="0049772C"/>
    <w:rsid w:val="004C1783"/>
    <w:rsid w:val="004E2000"/>
    <w:rsid w:val="00507CB7"/>
    <w:rsid w:val="00511EE8"/>
    <w:rsid w:val="0054408F"/>
    <w:rsid w:val="00552EEB"/>
    <w:rsid w:val="00562828"/>
    <w:rsid w:val="00567D93"/>
    <w:rsid w:val="0057194A"/>
    <w:rsid w:val="005731F0"/>
    <w:rsid w:val="005A15DE"/>
    <w:rsid w:val="005B6D53"/>
    <w:rsid w:val="006103E3"/>
    <w:rsid w:val="0065188E"/>
    <w:rsid w:val="00691253"/>
    <w:rsid w:val="006A69BF"/>
    <w:rsid w:val="006C11D1"/>
    <w:rsid w:val="006E7193"/>
    <w:rsid w:val="006F119A"/>
    <w:rsid w:val="00711DF4"/>
    <w:rsid w:val="00735739"/>
    <w:rsid w:val="0075492A"/>
    <w:rsid w:val="00754DB9"/>
    <w:rsid w:val="00772859"/>
    <w:rsid w:val="007C145A"/>
    <w:rsid w:val="007C79B6"/>
    <w:rsid w:val="007D70A1"/>
    <w:rsid w:val="007F0038"/>
    <w:rsid w:val="007F6D4E"/>
    <w:rsid w:val="008132E8"/>
    <w:rsid w:val="00823407"/>
    <w:rsid w:val="00832250"/>
    <w:rsid w:val="008A75DE"/>
    <w:rsid w:val="008B0184"/>
    <w:rsid w:val="008C5D02"/>
    <w:rsid w:val="008C74C8"/>
    <w:rsid w:val="008D01A7"/>
    <w:rsid w:val="008D2649"/>
    <w:rsid w:val="0090568D"/>
    <w:rsid w:val="009125C9"/>
    <w:rsid w:val="00913879"/>
    <w:rsid w:val="00917661"/>
    <w:rsid w:val="00920417"/>
    <w:rsid w:val="00922FA7"/>
    <w:rsid w:val="00945A45"/>
    <w:rsid w:val="009638CF"/>
    <w:rsid w:val="00970E5D"/>
    <w:rsid w:val="0097701C"/>
    <w:rsid w:val="00980A65"/>
    <w:rsid w:val="009F169C"/>
    <w:rsid w:val="00A00CAA"/>
    <w:rsid w:val="00A017F4"/>
    <w:rsid w:val="00A17128"/>
    <w:rsid w:val="00A25E70"/>
    <w:rsid w:val="00A33765"/>
    <w:rsid w:val="00A63269"/>
    <w:rsid w:val="00A92377"/>
    <w:rsid w:val="00AB29ED"/>
    <w:rsid w:val="00AE4BD8"/>
    <w:rsid w:val="00B0285E"/>
    <w:rsid w:val="00B373BF"/>
    <w:rsid w:val="00B37EAB"/>
    <w:rsid w:val="00B4388F"/>
    <w:rsid w:val="00B52DF5"/>
    <w:rsid w:val="00B63237"/>
    <w:rsid w:val="00B6595D"/>
    <w:rsid w:val="00BD6B8B"/>
    <w:rsid w:val="00C06C69"/>
    <w:rsid w:val="00C14902"/>
    <w:rsid w:val="00C51EAA"/>
    <w:rsid w:val="00C960DC"/>
    <w:rsid w:val="00D02C75"/>
    <w:rsid w:val="00D063A0"/>
    <w:rsid w:val="00D10E22"/>
    <w:rsid w:val="00D13D2C"/>
    <w:rsid w:val="00D41A7F"/>
    <w:rsid w:val="00DC2F94"/>
    <w:rsid w:val="00DD3D9E"/>
    <w:rsid w:val="00DD3EF0"/>
    <w:rsid w:val="00DD7908"/>
    <w:rsid w:val="00E20261"/>
    <w:rsid w:val="00E273C6"/>
    <w:rsid w:val="00E6335E"/>
    <w:rsid w:val="00E82297"/>
    <w:rsid w:val="00EA738D"/>
    <w:rsid w:val="00EC038A"/>
    <w:rsid w:val="00EF125C"/>
    <w:rsid w:val="00EF39FD"/>
    <w:rsid w:val="00F06842"/>
    <w:rsid w:val="00F107FD"/>
    <w:rsid w:val="00F42225"/>
    <w:rsid w:val="00F867E7"/>
    <w:rsid w:val="00F92361"/>
    <w:rsid w:val="00FB64A8"/>
    <w:rsid w:val="00FF17F3"/>
    <w:rsid w:val="00FF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184"/>
    <w:rPr>
      <w:lang w:eastAsia="en-US"/>
    </w:rPr>
  </w:style>
  <w:style w:type="paragraph" w:styleId="Heading3">
    <w:name w:val="heading 3"/>
    <w:basedOn w:val="Normal"/>
    <w:next w:val="Normal"/>
    <w:qFormat/>
    <w:rsid w:val="008B01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EndnoteReference">
    <w:name w:val="endnote reference"/>
    <w:basedOn w:val="DefaultParagraphFont"/>
    <w:semiHidden/>
    <w:rsid w:val="008B0184"/>
    <w:rPr>
      <w:vertAlign w:val="superscript"/>
    </w:rPr>
  </w:style>
  <w:style w:type="paragraph" w:styleId="Header">
    <w:name w:val="header"/>
    <w:rsid w:val="008B0184"/>
    <w:pPr>
      <w:tabs>
        <w:tab w:val="center" w:pos="3600"/>
        <w:tab w:val="right" w:pos="7200"/>
      </w:tabs>
      <w:spacing w:line="200" w:lineRule="atLeast"/>
    </w:pPr>
    <w:rPr>
      <w:noProof/>
      <w:lang w:eastAsia="en-US"/>
    </w:rPr>
  </w:style>
  <w:style w:type="paragraph" w:styleId="Footer">
    <w:name w:val="footer"/>
    <w:basedOn w:val="Header"/>
    <w:rsid w:val="008B0184"/>
  </w:style>
  <w:style w:type="character" w:styleId="FootnoteReference">
    <w:name w:val="footnote reference"/>
    <w:semiHidden/>
    <w:rsid w:val="008B0184"/>
    <w:rPr>
      <w:vertAlign w:val="superscript"/>
    </w:rPr>
  </w:style>
  <w:style w:type="paragraph" w:styleId="FootnoteText">
    <w:name w:val="footnote text"/>
    <w:basedOn w:val="Normal"/>
    <w:semiHidden/>
    <w:rsid w:val="008B0184"/>
    <w:rPr>
      <w:rFonts w:ascii="Univers" w:hAnsi="Univers"/>
    </w:rPr>
  </w:style>
  <w:style w:type="character" w:styleId="Hyperlink">
    <w:name w:val="Hyperlink"/>
    <w:basedOn w:val="DefaultParagraphFont"/>
    <w:rsid w:val="008B0184"/>
    <w:rPr>
      <w:color w:val="0000FF"/>
      <w:u w:val="single"/>
    </w:rPr>
  </w:style>
  <w:style w:type="character" w:customStyle="1" w:styleId="MTEquationSection">
    <w:name w:val="MTEquationSection"/>
    <w:basedOn w:val="DefaultParagraphFont"/>
    <w:rsid w:val="008B0184"/>
    <w:rPr>
      <w:vanish/>
      <w:color w:val="FF0000"/>
    </w:rPr>
  </w:style>
  <w:style w:type="character" w:styleId="PageNumber">
    <w:name w:val="page number"/>
    <w:basedOn w:val="DefaultParagraphFont"/>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DefaultParagraphFont"/>
    <w:rsid w:val="008B0184"/>
    <w:rPr>
      <w:sz w:val="18"/>
      <w:lang w:val="en-US" w:eastAsia="en-US" w:bidi="ar-SA"/>
    </w:rPr>
  </w:style>
  <w:style w:type="character" w:styleId="CommentReference">
    <w:name w:val="annotation reference"/>
    <w:basedOn w:val="DefaultParagraphFont"/>
    <w:semiHidden/>
    <w:rsid w:val="008B0184"/>
    <w:rPr>
      <w:sz w:val="16"/>
      <w:szCs w:val="16"/>
    </w:rPr>
  </w:style>
  <w:style w:type="paragraph" w:styleId="CommentText">
    <w:name w:val="annotation text"/>
    <w:basedOn w:val="Normal"/>
    <w:semiHidden/>
    <w:rsid w:val="008B0184"/>
  </w:style>
  <w:style w:type="paragraph" w:styleId="CommentSubject">
    <w:name w:val="annotation subject"/>
    <w:basedOn w:val="CommentText"/>
    <w:next w:val="CommentText"/>
    <w:semiHidden/>
    <w:rsid w:val="008B0184"/>
    <w:rPr>
      <w:b/>
      <w:bCs/>
    </w:rPr>
  </w:style>
  <w:style w:type="paragraph" w:styleId="BalloonText">
    <w:name w:val="Balloon Text"/>
    <w:basedOn w:val="Normal"/>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DefaultParagraphFont"/>
    <w:rsid w:val="00F06842"/>
    <w:rPr>
      <w:u w:val="single"/>
    </w:rPr>
  </w:style>
  <w:style w:type="paragraph" w:customStyle="1" w:styleId="ElsevierBodyTextCentredNospace">
    <w:name w:val="Elsevier Body Text Centred No space"/>
    <w:basedOn w:val="Normal"/>
    <w:qFormat/>
    <w:rsid w:val="00F06842"/>
    <w:pPr>
      <w:jc w:val="center"/>
    </w:pPr>
    <w:rPr>
      <w:bCs/>
      <w:iCs/>
      <w:color w:val="000000" w:themeColor="text1"/>
      <w:sz w:val="22"/>
      <w:szCs w:val="24"/>
      <w:lang w:val="en-US"/>
    </w:rPr>
  </w:style>
  <w:style w:type="character" w:customStyle="1" w:styleId="CSNormalBold">
    <w:name w:val="CS Normal + Bold"/>
    <w:basedOn w:val="DefaultParagraphFont"/>
    <w:uiPriority w:val="99"/>
    <w:qFormat/>
    <w:rsid w:val="00691253"/>
    <w:rPr>
      <w:rFonts w:ascii="Arial" w:hAnsi="Arial" w:cs="Times New Roman"/>
      <w:b/>
      <w:sz w:val="20"/>
    </w:rPr>
  </w:style>
  <w:style w:type="character" w:customStyle="1" w:styleId="apple-converted-space">
    <w:name w:val="apple-converted-space"/>
    <w:basedOn w:val="DefaultParagraphFont"/>
    <w:rsid w:val="0069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6ACC9-C097-4EA9-86CF-8B43E6C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C:\Users\marinakisk\KOSTAS-10 July 2017\books\book proposals\Computer Aided Chemical Engineering\Instructions\Chapter.dotx</Template>
  <TotalTime>8</TotalTime>
  <Pages>6</Pages>
  <Words>2724</Words>
  <Characters>15533</Characters>
  <Application>Microsoft Office Word</Application>
  <DocSecurity>0</DocSecurity>
  <Lines>129</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Chapter</vt:lpstr>
      <vt:lpstr>Chapter</vt:lpstr>
    </vt:vector>
  </TitlesOfParts>
  <Company>Elsevier Science</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Soline</cp:lastModifiedBy>
  <cp:revision>4</cp:revision>
  <cp:lastPrinted>2004-12-17T09:20:00Z</cp:lastPrinted>
  <dcterms:created xsi:type="dcterms:W3CDTF">2023-12-13T08:40:00Z</dcterms:created>
  <dcterms:modified xsi:type="dcterms:W3CDTF">2023-12-13T12:24:00Z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