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3830" w14:textId="72CA314B" w:rsidR="00813193" w:rsidRPr="003A2E63" w:rsidRDefault="00813193" w:rsidP="003A2E63">
      <w:pPr>
        <w:pStyle w:val="Els-Title"/>
        <w:rPr>
          <w:color w:val="000000" w:themeColor="text1"/>
        </w:rPr>
      </w:pPr>
      <w:r>
        <w:rPr>
          <w:color w:val="000000" w:themeColor="text1"/>
        </w:rPr>
        <w:t>Equation-Oriented Modeling of a Second-Generation Post-Combustion Carbon Capture Process in the ID</w:t>
      </w:r>
      <w:r w:rsidR="00A4738E">
        <w:rPr>
          <w:color w:val="000000" w:themeColor="text1"/>
        </w:rPr>
        <w:t>AE</w:t>
      </w:r>
      <w:r>
        <w:rPr>
          <w:color w:val="000000" w:themeColor="text1"/>
        </w:rPr>
        <w:t>S Platform for Economic Optimization</w:t>
      </w:r>
    </w:p>
    <w:p w14:paraId="5148D230" w14:textId="115FD737" w:rsidR="00813193" w:rsidRPr="00813193" w:rsidRDefault="00813193" w:rsidP="00813193">
      <w:pPr>
        <w:pStyle w:val="Els-Affiliation"/>
        <w:rPr>
          <w:i w:val="0"/>
          <w:iCs/>
          <w:sz w:val="22"/>
          <w:szCs w:val="22"/>
        </w:rPr>
      </w:pPr>
      <w:r>
        <w:rPr>
          <w:i w:val="0"/>
          <w:iCs/>
          <w:sz w:val="22"/>
          <w:szCs w:val="22"/>
        </w:rPr>
        <w:t xml:space="preserve">Ilayda Akkor, </w:t>
      </w:r>
      <w:r>
        <w:rPr>
          <w:i w:val="0"/>
          <w:iCs/>
          <w:sz w:val="22"/>
          <w:szCs w:val="22"/>
          <w:vertAlign w:val="superscript"/>
        </w:rPr>
        <w:t>a</w:t>
      </w:r>
      <w:r w:rsidR="00A4738E">
        <w:rPr>
          <w:i w:val="0"/>
          <w:iCs/>
          <w:sz w:val="22"/>
          <w:szCs w:val="22"/>
          <w:vertAlign w:val="superscript"/>
        </w:rPr>
        <w:t>*</w:t>
      </w:r>
      <w:r>
        <w:rPr>
          <w:i w:val="0"/>
          <w:iCs/>
          <w:sz w:val="22"/>
          <w:szCs w:val="22"/>
        </w:rPr>
        <w:t xml:space="preserve"> Shachit S. Iyer, </w:t>
      </w:r>
      <w:r>
        <w:rPr>
          <w:i w:val="0"/>
          <w:iCs/>
          <w:sz w:val="22"/>
          <w:szCs w:val="22"/>
          <w:vertAlign w:val="superscript"/>
        </w:rPr>
        <w:t>b</w:t>
      </w:r>
      <w:r>
        <w:rPr>
          <w:i w:val="0"/>
          <w:iCs/>
          <w:sz w:val="22"/>
          <w:szCs w:val="22"/>
        </w:rPr>
        <w:t xml:space="preserve"> John Dowdle, </w:t>
      </w:r>
      <w:r>
        <w:rPr>
          <w:i w:val="0"/>
          <w:iCs/>
          <w:sz w:val="22"/>
          <w:szCs w:val="22"/>
          <w:vertAlign w:val="superscript"/>
        </w:rPr>
        <w:t>b</w:t>
      </w:r>
      <w:r>
        <w:rPr>
          <w:i w:val="0"/>
          <w:iCs/>
          <w:sz w:val="22"/>
          <w:szCs w:val="22"/>
        </w:rPr>
        <w:t xml:space="preserve"> Le Wang, </w:t>
      </w:r>
      <w:r>
        <w:rPr>
          <w:i w:val="0"/>
          <w:iCs/>
          <w:sz w:val="22"/>
          <w:szCs w:val="22"/>
          <w:vertAlign w:val="superscript"/>
        </w:rPr>
        <w:t>b</w:t>
      </w:r>
      <w:r>
        <w:rPr>
          <w:i w:val="0"/>
          <w:iCs/>
          <w:sz w:val="22"/>
          <w:szCs w:val="22"/>
        </w:rPr>
        <w:t xml:space="preserve"> Chrysanthos E. Gounaris </w:t>
      </w:r>
      <w:r>
        <w:rPr>
          <w:i w:val="0"/>
          <w:iCs/>
          <w:sz w:val="22"/>
          <w:szCs w:val="22"/>
          <w:vertAlign w:val="superscript"/>
        </w:rPr>
        <w:t>a</w:t>
      </w:r>
    </w:p>
    <w:p w14:paraId="5BB4E98B" w14:textId="36665D3D" w:rsidR="00813193" w:rsidRDefault="00813193" w:rsidP="00813193">
      <w:pPr>
        <w:pStyle w:val="Els-Affiliation"/>
      </w:pPr>
      <w:r>
        <w:rPr>
          <w:vertAlign w:val="superscript"/>
        </w:rPr>
        <w:t xml:space="preserve">a </w:t>
      </w:r>
      <w:r>
        <w:t xml:space="preserve">Carnegie Mellon University, </w:t>
      </w:r>
      <w:r w:rsidR="003A2E63">
        <w:t>Chemical Engineering Department, 500</w:t>
      </w:r>
      <w:r w:rsidR="006F12E6">
        <w:t>0</w:t>
      </w:r>
      <w:r w:rsidR="003A2E63">
        <w:t xml:space="preserve"> Forbes Ave, </w:t>
      </w:r>
      <w:r w:rsidR="006F12E6">
        <w:t>Pittsburgh, 15213, USA</w:t>
      </w:r>
    </w:p>
    <w:p w14:paraId="72BC637B" w14:textId="0739AEE7" w:rsidR="006F12E6" w:rsidRPr="00A4738E" w:rsidRDefault="00A4738E" w:rsidP="00813193">
      <w:pPr>
        <w:pStyle w:val="Els-Affiliation"/>
      </w:pPr>
      <w:r>
        <w:rPr>
          <w:vertAlign w:val="superscript"/>
        </w:rPr>
        <w:t>b</w:t>
      </w:r>
      <w:r>
        <w:t xml:space="preserve"> The Dow Chemical Company,</w:t>
      </w:r>
      <w:r w:rsidR="006F12E6">
        <w:t xml:space="preserve"> 332 TX-332, Lake Jackson, 77566, USA</w:t>
      </w:r>
    </w:p>
    <w:p w14:paraId="144DE683" w14:textId="4AF79B8D" w:rsidR="008D2649" w:rsidRPr="00A94774" w:rsidRDefault="006F12E6" w:rsidP="008D2649">
      <w:pPr>
        <w:pStyle w:val="Els-Affiliation"/>
        <w:spacing w:after="120"/>
      </w:pPr>
      <w:r>
        <w:rPr>
          <w:vertAlign w:val="superscript"/>
        </w:rPr>
        <w:t>*</w:t>
      </w:r>
      <w:r w:rsidR="00813193">
        <w:t>iakkor</w:t>
      </w:r>
      <w:r w:rsidR="008D2649" w:rsidRPr="00D22E38">
        <w:t>@</w:t>
      </w:r>
      <w:r w:rsidR="00813193">
        <w:t>andrew.cmu.edu</w:t>
      </w:r>
    </w:p>
    <w:p w14:paraId="144DE684" w14:textId="77777777" w:rsidR="008D2649" w:rsidRDefault="008D2649" w:rsidP="008D2649">
      <w:pPr>
        <w:pStyle w:val="Els-Abstract"/>
      </w:pPr>
      <w:r>
        <w:t>Abstract</w:t>
      </w:r>
    </w:p>
    <w:p w14:paraId="13D290B0" w14:textId="10767701" w:rsidR="00A90B7D" w:rsidRDefault="00AD2C9C" w:rsidP="008D2649">
      <w:pPr>
        <w:pStyle w:val="Els-body-text"/>
        <w:spacing w:after="120"/>
      </w:pPr>
      <w:r>
        <w:rPr>
          <w:lang w:val="en-GB"/>
        </w:rPr>
        <w:t xml:space="preserve">A second-generation </w:t>
      </w:r>
      <w:r>
        <w:t>post-combustion capture</w:t>
      </w:r>
      <w:r w:rsidR="00245EB6">
        <w:t xml:space="preserve"> </w:t>
      </w:r>
      <w:r>
        <w:t xml:space="preserve">process was </w:t>
      </w:r>
      <w:r w:rsidR="00CC7FA7">
        <w:t xml:space="preserve">modeled in the Institute for the Design of Advanced Energy Systems (IDAES) platform to be used for optimization, aiming to improve </w:t>
      </w:r>
      <w:r w:rsidR="0060013D">
        <w:t>its</w:t>
      </w:r>
      <w:r w:rsidR="00CC7FA7">
        <w:t xml:space="preserve"> economics </w:t>
      </w:r>
      <w:r w:rsidR="00826187">
        <w:t xml:space="preserve">and </w:t>
      </w:r>
      <w:r w:rsidR="00CC7FA7">
        <w:t xml:space="preserve">to aid its commercial deployment. This equation-oriented model enabled us to find the cost optimal design and operating conditions for varying plant capacities and capture rates. </w:t>
      </w:r>
      <w:r w:rsidR="00A90B7D">
        <w:t xml:space="preserve">While transitioning </w:t>
      </w:r>
      <w:r w:rsidR="0060013D">
        <w:t>this</w:t>
      </w:r>
      <w:r w:rsidR="00A90B7D">
        <w:t xml:space="preserve"> nonlinear model into</w:t>
      </w:r>
      <w:r w:rsidR="00A90B7D" w:rsidRPr="00A90B7D">
        <w:t xml:space="preserve"> </w:t>
      </w:r>
      <w:r w:rsidR="00A90B7D">
        <w:t>the IDAES standard can cause some problems with model initialization and scaling, following these modeling principles ultimately le</w:t>
      </w:r>
      <w:r w:rsidR="0060013D">
        <w:t>d</w:t>
      </w:r>
      <w:r w:rsidR="00A90B7D">
        <w:t xml:space="preserve"> to an interpretable model</w:t>
      </w:r>
      <w:r w:rsidR="0060013D">
        <w:t>,</w:t>
      </w:r>
      <w:r w:rsidR="00A90B7D">
        <w:t xml:space="preserve"> with unit</w:t>
      </w:r>
      <w:r w:rsidR="005A3330">
        <w:t xml:space="preserve"> models</w:t>
      </w:r>
      <w:r w:rsidR="00A90B7D">
        <w:t xml:space="preserve"> that are compatible with other models in </w:t>
      </w:r>
      <w:r w:rsidR="005A3330">
        <w:t>the IDAES</w:t>
      </w:r>
      <w:r w:rsidR="00A90B7D">
        <w:t xml:space="preserve"> library. </w:t>
      </w:r>
    </w:p>
    <w:p w14:paraId="144DE687" w14:textId="3EB60E01" w:rsidR="008D2649" w:rsidRDefault="008D2649" w:rsidP="008D2649">
      <w:pPr>
        <w:pStyle w:val="Els-body-text"/>
        <w:spacing w:after="120"/>
        <w:rPr>
          <w:lang w:val="en-GB"/>
        </w:rPr>
      </w:pPr>
      <w:r>
        <w:rPr>
          <w:b/>
          <w:bCs/>
          <w:lang w:val="en-GB"/>
        </w:rPr>
        <w:t>Keywords</w:t>
      </w:r>
      <w:r>
        <w:rPr>
          <w:lang w:val="en-GB"/>
        </w:rPr>
        <w:t xml:space="preserve">: </w:t>
      </w:r>
      <w:r w:rsidR="003A2E63">
        <w:rPr>
          <w:lang w:val="en-GB"/>
        </w:rPr>
        <w:t xml:space="preserve">post-combustion carbon capture, equation-oriented </w:t>
      </w:r>
      <w:proofErr w:type="spellStart"/>
      <w:r w:rsidR="003A2E63">
        <w:rPr>
          <w:lang w:val="en-GB"/>
        </w:rPr>
        <w:t>modeling</w:t>
      </w:r>
      <w:proofErr w:type="spellEnd"/>
      <w:r w:rsidR="003A2E63">
        <w:rPr>
          <w:lang w:val="en-GB"/>
        </w:rPr>
        <w:t>, nonlinear programming</w:t>
      </w:r>
      <w:r>
        <w:rPr>
          <w:lang w:val="en-GB"/>
        </w:rPr>
        <w:t>.</w:t>
      </w:r>
    </w:p>
    <w:p w14:paraId="144DE689" w14:textId="0F057CE2" w:rsidR="008D2649" w:rsidRDefault="003A2E63" w:rsidP="008D2649">
      <w:pPr>
        <w:pStyle w:val="Els-1storder-head"/>
      </w:pPr>
      <w:r>
        <w:t>Introduction</w:t>
      </w:r>
    </w:p>
    <w:p w14:paraId="772BAF13" w14:textId="77777777" w:rsidR="004203DC" w:rsidRDefault="004203DC" w:rsidP="008D2649">
      <w:pPr>
        <w:pStyle w:val="Els-body-text"/>
      </w:pPr>
    </w:p>
    <w:p w14:paraId="5F37FE65" w14:textId="506F55B4" w:rsidR="00177F2C" w:rsidRPr="00236EFA" w:rsidRDefault="00315AEE" w:rsidP="00315AEE">
      <w:pPr>
        <w:pStyle w:val="Els-body-text"/>
        <w:rPr>
          <w:color w:val="FF0000"/>
        </w:rPr>
      </w:pPr>
      <w:r>
        <w:t xml:space="preserve">Amine scrubbing is a well-established and efficient technology for </w:t>
      </w:r>
      <w:r w:rsidR="00245EB6">
        <w:t>post-combustion capture (</w:t>
      </w:r>
      <w:r>
        <w:t>PCC</w:t>
      </w:r>
      <w:r w:rsidR="00245EB6">
        <w:t>)</w:t>
      </w:r>
      <w:r w:rsidR="00AD2C9C">
        <w:t xml:space="preserve"> </w:t>
      </w:r>
      <w:r>
        <w:t>that can be used to reduce the CO</w:t>
      </w:r>
      <w:r>
        <w:rPr>
          <w:vertAlign w:val="subscript"/>
        </w:rPr>
        <w:t>2</w:t>
      </w:r>
      <w:r>
        <w:t xml:space="preserve"> emissions at point sources in the industry. Despite, the research effort aiming to decrease the energy required for capture using new amine solvents and process modifications, one prominent example being the novel Piperazine/Advanced Flash Stripper (PZ/AFS) process </w:t>
      </w:r>
      <w:r w:rsidR="00177F2C">
        <w:t>(Rochelle et al., 2019)</w:t>
      </w:r>
      <w:r>
        <w:t xml:space="preserve">, commercial deployment of PCC processes remain limited due to high costs. Therefore, these processes can benefit from process optimization to improve their economic viability, which requires a mathematical model of the process. The </w:t>
      </w:r>
      <w:r w:rsidR="00245EB6">
        <w:t>Institute for the Design of Advanced Energy Systems (IDAES)</w:t>
      </w:r>
      <w:r>
        <w:t xml:space="preserve"> platform is a powerful tool to model these kinds of novel processes, which combines a model library with a framework that can handle a variety of optimization problems, such as but not limited to, large scale steady-state and dynamic optimization </w:t>
      </w:r>
      <w:r w:rsidR="00177F2C">
        <w:t>(Lee et al., 2021)</w:t>
      </w:r>
      <w:r>
        <w:t xml:space="preserve">. Its core modeling framework leverages Pyomo, an open-source, algebraic modeling language, written in Python </w:t>
      </w:r>
      <w:r w:rsidR="00177F2C">
        <w:t>(Hart et al., 2011)</w:t>
      </w:r>
      <w:r>
        <w:t xml:space="preserve">. </w:t>
      </w:r>
    </w:p>
    <w:p w14:paraId="4B694B05" w14:textId="28DE4602" w:rsidR="00236EFA" w:rsidRDefault="003A2E63" w:rsidP="00236EFA">
      <w:pPr>
        <w:pStyle w:val="Els-1storder-head"/>
      </w:pPr>
      <w:r>
        <w:lastRenderedPageBreak/>
        <w:t xml:space="preserve">Modeling in </w:t>
      </w:r>
      <w:r w:rsidR="00261AF7">
        <w:t>ID</w:t>
      </w:r>
      <w:r w:rsidR="0060013D">
        <w:t>AE</w:t>
      </w:r>
      <w:r w:rsidR="00261AF7">
        <w:t>S</w:t>
      </w:r>
    </w:p>
    <w:p w14:paraId="48D7FD5A" w14:textId="77777777" w:rsidR="00236EFA" w:rsidRPr="00236EFA" w:rsidRDefault="00236EFA" w:rsidP="00236EFA">
      <w:pPr>
        <w:pStyle w:val="Els-body-text"/>
      </w:pPr>
    </w:p>
    <w:p w14:paraId="40AC231F" w14:textId="30E8E35A" w:rsidR="003A3D88" w:rsidRPr="003A3D88" w:rsidRDefault="00261AF7" w:rsidP="00F8038C">
      <w:pPr>
        <w:pStyle w:val="Els-body-text"/>
      </w:pPr>
      <w:r>
        <w:t>In Akkor et al. (2024)</w:t>
      </w:r>
      <w:r w:rsidR="00283926">
        <w:t>,</w:t>
      </w:r>
      <w:r>
        <w:t xml:space="preserve"> we ha</w:t>
      </w:r>
      <w:r w:rsidR="00283926">
        <w:t>ve</w:t>
      </w:r>
      <w:r>
        <w:t xml:space="preserve"> presented a validated, rigorous, equation-oriented model of the PZ/AFS process that was originally built in Pyomo. In this work</w:t>
      </w:r>
      <w:r w:rsidR="00283926">
        <w:t>,</w:t>
      </w:r>
      <w:r>
        <w:t xml:space="preserve"> we discuss our experience with transitioning it to an IDAES model. The main units in the model are the absorber and stripper columns, which were modeled in a rate-based fashion, and then discretized using a finite difference method. The non-linear programming (NLP) flowsheet model also includes a heat exchanger network in split flow configuration with two bypasses and a recycle between the columns, resulting in over 8</w:t>
      </w:r>
      <w:r w:rsidR="00A843EC">
        <w:t>6</w:t>
      </w:r>
      <w:r>
        <w:t>00 variables and constraints, for which we also developed a custom cascade initialization scheme.</w:t>
      </w:r>
      <w:r w:rsidR="002613CD">
        <w:t xml:space="preserve"> </w:t>
      </w:r>
      <w:r w:rsidR="003A3D88">
        <w:t xml:space="preserve">When transitioning the model </w:t>
      </w:r>
      <w:r w:rsidR="0060013D">
        <w:t>for the</w:t>
      </w:r>
      <w:r w:rsidR="003A3D88">
        <w:t xml:space="preserve"> ID</w:t>
      </w:r>
      <w:r w:rsidR="0060013D">
        <w:t>AE</w:t>
      </w:r>
      <w:r w:rsidR="003A3D88">
        <w:t xml:space="preserve">S platform, a custom packed column model was built to be used for the absorber and stripper columns. Custom property packages were built for the liquid and gas phases containing </w:t>
      </w:r>
      <w:r w:rsidR="0066434E">
        <w:t xml:space="preserve">as components </w:t>
      </w:r>
      <w:r w:rsidR="003A3D88">
        <w:t>CO</w:t>
      </w:r>
      <w:r w:rsidR="003A3D88">
        <w:rPr>
          <w:vertAlign w:val="subscript"/>
        </w:rPr>
        <w:t>2</w:t>
      </w:r>
      <w:r w:rsidR="003A3D88">
        <w:t>, H</w:t>
      </w:r>
      <w:r w:rsidR="003A3D88">
        <w:rPr>
          <w:vertAlign w:val="subscript"/>
        </w:rPr>
        <w:t>2</w:t>
      </w:r>
      <w:r w:rsidR="003A3D88">
        <w:t>O and PZ</w:t>
      </w:r>
      <w:r w:rsidR="0066434E">
        <w:t>, as</w:t>
      </w:r>
      <w:r w:rsidR="00A515A6">
        <w:t xml:space="preserve"> well as</w:t>
      </w:r>
      <w:r w:rsidR="003A3D88">
        <w:t xml:space="preserve"> N</w:t>
      </w:r>
      <w:r w:rsidR="003A3D88">
        <w:rPr>
          <w:vertAlign w:val="subscript"/>
        </w:rPr>
        <w:t>2</w:t>
      </w:r>
      <w:r w:rsidR="003A3D88">
        <w:t xml:space="preserve"> for the </w:t>
      </w:r>
      <w:r w:rsidR="00A515A6">
        <w:t>absorber side</w:t>
      </w:r>
      <w:r w:rsidR="003A3D88">
        <w:t xml:space="preserve"> ga</w:t>
      </w:r>
      <w:r w:rsidR="00A515A6">
        <w:t>s phase</w:t>
      </w:r>
      <w:r w:rsidR="003A3D88">
        <w:t>.</w:t>
      </w:r>
      <w:r w:rsidR="002613CD">
        <w:t xml:space="preserve"> These were contributed to the model library in ID</w:t>
      </w:r>
      <w:r w:rsidR="0060013D">
        <w:t>AE</w:t>
      </w:r>
      <w:r w:rsidR="002613CD">
        <w:t>S.</w:t>
      </w:r>
    </w:p>
    <w:p w14:paraId="6E69093B" w14:textId="77777777" w:rsidR="00261AF7" w:rsidRDefault="00261AF7" w:rsidP="00261AF7">
      <w:pPr>
        <w:pStyle w:val="Els-body-text"/>
      </w:pPr>
    </w:p>
    <w:p w14:paraId="69F3BE0A" w14:textId="3C487548" w:rsidR="00F8038C" w:rsidRDefault="00261AF7" w:rsidP="00261AF7">
      <w:pPr>
        <w:pStyle w:val="Els-body-text"/>
      </w:pPr>
      <w:r>
        <w:t xml:space="preserve">Even though the modeling framework in IDAES leverages </w:t>
      </w:r>
      <w:proofErr w:type="spellStart"/>
      <w:r>
        <w:t>Pyomo’s</w:t>
      </w:r>
      <w:proofErr w:type="spellEnd"/>
      <w:r>
        <w:t xml:space="preserve"> capabilities, there are some important differences. The IDAES platform encourages better modeling practices for easier interpretability and reusability of unit models. Furthermore, using this platform has the advantage of gaining access to a comprehensive unit library, where each unit is implemented in a way that makes it compatible to be connected with other units, and to a variety of model diagnostic tools. However, this strict structure can cause problems when transitioning a model to this platform. Since a nonlinear model’s convergence is strongly dependent on its initialization, slight changes in the cascade structure while transitioning the model to the IDAES standard, can lead to different results. </w:t>
      </w:r>
      <w:r w:rsidR="00F8038C">
        <w:t>For instance, i</w:t>
      </w:r>
      <w:r>
        <w:t xml:space="preserve">n the IDAES platform, the packed column was built as a custom unit model class, which should have its own initialization method. The AFS structure uses this column class and connects it to a flash tank model. The AFS model is therefore initialized on its own </w:t>
      </w:r>
      <w:r w:rsidRPr="006C1826">
        <w:t>first</w:t>
      </w:r>
      <w:r w:rsidR="008C2AB3" w:rsidRPr="006C1826">
        <w:t xml:space="preserve"> for a chosen set of inlet conditions</w:t>
      </w:r>
      <w:r w:rsidRPr="006C1826">
        <w:t xml:space="preserve"> and only then is connected to the absorber. </w:t>
      </w:r>
      <w:r w:rsidR="00236EFA" w:rsidRPr="006C1826">
        <w:t xml:space="preserve">So, </w:t>
      </w:r>
      <w:r w:rsidR="001848C5" w:rsidRPr="006C1826">
        <w:t xml:space="preserve">in our implementation, </w:t>
      </w:r>
      <w:r w:rsidR="00236EFA" w:rsidRPr="006C1826">
        <w:t xml:space="preserve">we </w:t>
      </w:r>
      <w:r w:rsidR="00BA58EA" w:rsidRPr="006C1826">
        <w:t xml:space="preserve">had to </w:t>
      </w:r>
      <w:r w:rsidR="0066434E" w:rsidRPr="006C1826">
        <w:t>en</w:t>
      </w:r>
      <w:r w:rsidR="00236EFA" w:rsidRPr="006C1826">
        <w:t xml:space="preserve">sure that </w:t>
      </w:r>
      <w:r w:rsidR="00BA58EA" w:rsidRPr="006C1826">
        <w:t xml:space="preserve">the </w:t>
      </w:r>
      <w:r w:rsidR="00236EFA" w:rsidRPr="006C1826">
        <w:t>column initialization is robust enough</w:t>
      </w:r>
      <w:r w:rsidR="00BA58EA" w:rsidRPr="006C1826">
        <w:t xml:space="preserve"> on its own to work with other </w:t>
      </w:r>
      <w:r w:rsidR="00106CFA" w:rsidRPr="006C1826">
        <w:t xml:space="preserve">solvent </w:t>
      </w:r>
      <w:r w:rsidR="008C2AB3" w:rsidRPr="006C1826">
        <w:t>amount</w:t>
      </w:r>
      <w:r w:rsidR="00106CFA" w:rsidRPr="006C1826">
        <w:t>s</w:t>
      </w:r>
      <w:r w:rsidR="008C2AB3" w:rsidRPr="006C1826">
        <w:t xml:space="preserve"> and concentrations </w:t>
      </w:r>
      <w:r w:rsidR="00BA58EA" w:rsidRPr="006C1826">
        <w:t>after it is initialized.</w:t>
      </w:r>
      <w:r w:rsidR="00236EFA">
        <w:rPr>
          <w:color w:val="FF0000"/>
        </w:rPr>
        <w:t xml:space="preserve"> </w:t>
      </w:r>
      <w:r>
        <w:t>Moreover, in an IDAES model, there should be a complete separation between the unit model and the properties. This separation and the proposed unit model class structure is important so that the unit</w:t>
      </w:r>
      <w:r w:rsidR="00F8038C">
        <w:t xml:space="preserve"> models</w:t>
      </w:r>
      <w:r>
        <w:t xml:space="preserve"> are not system specific, however, it does cause some restrictions for the initialization of the model.</w:t>
      </w:r>
      <w:r w:rsidR="002E0033">
        <w:t xml:space="preserve"> </w:t>
      </w:r>
      <w:r w:rsidR="00236EFA" w:rsidRPr="006C1826">
        <w:t>To avoid introducing variables and constraints related to properties that are not needed in a specific step of the initialization scheme, we used the built-on-demand feature for the property models and disabled</w:t>
      </w:r>
      <w:r w:rsidR="00BA58EA" w:rsidRPr="006C1826">
        <w:t>/activated</w:t>
      </w:r>
      <w:r w:rsidR="00236EFA" w:rsidRPr="006C1826">
        <w:t xml:space="preserve"> the equations</w:t>
      </w:r>
      <w:r w:rsidR="008C2AB3" w:rsidRPr="006C1826">
        <w:t xml:space="preserve"> referencing said variables</w:t>
      </w:r>
      <w:r w:rsidR="00BA58EA" w:rsidRPr="006C1826">
        <w:t xml:space="preserve"> within the unit model</w:t>
      </w:r>
      <w:r w:rsidR="00927D7A" w:rsidRPr="006C1826">
        <w:t>.</w:t>
      </w:r>
      <w:r w:rsidRPr="002E0033">
        <w:rPr>
          <w:color w:val="FF0000"/>
        </w:rPr>
        <w:t xml:space="preserve"> </w:t>
      </w:r>
      <w:r w:rsidR="00F8038C">
        <w:t>A second challenge is with the scaling of the model</w:t>
      </w:r>
      <w:r w:rsidR="00927D7A">
        <w:t>,</w:t>
      </w:r>
      <w:r w:rsidR="00F8038C">
        <w:t xml:space="preserve"> which is </w:t>
      </w:r>
      <w:r w:rsidR="00792B8D">
        <w:t>an</w:t>
      </w:r>
      <w:r w:rsidR="00927D7A">
        <w:t>other</w:t>
      </w:r>
      <w:r w:rsidR="00792B8D">
        <w:t xml:space="preserve"> important factor for the convergence of an NLP model. The IDAES standard strongly encourages using a base set of units for the </w:t>
      </w:r>
      <w:r w:rsidR="00792B8D" w:rsidRPr="006453C9">
        <w:t>properties</w:t>
      </w:r>
      <w:r w:rsidR="00A23894" w:rsidRPr="006453C9">
        <w:t xml:space="preserve"> to ensure unit consistency </w:t>
      </w:r>
      <w:r w:rsidR="00AC0828" w:rsidRPr="006453C9">
        <w:t>between</w:t>
      </w:r>
      <w:r w:rsidR="00A23894" w:rsidRPr="006453C9">
        <w:t xml:space="preserve"> models</w:t>
      </w:r>
      <w:r w:rsidR="00792B8D" w:rsidRPr="006453C9">
        <w:t xml:space="preserve">. </w:t>
      </w:r>
      <w:r w:rsidR="00A23894" w:rsidRPr="006453C9">
        <w:t xml:space="preserve">If </w:t>
      </w:r>
      <w:r w:rsidR="00AC0828" w:rsidRPr="006453C9">
        <w:t>the</w:t>
      </w:r>
      <w:r w:rsidR="00A23894" w:rsidRPr="006453C9">
        <w:t xml:space="preserve"> unit </w:t>
      </w:r>
      <w:r w:rsidR="00AC0828" w:rsidRPr="006453C9">
        <w:t xml:space="preserve">selected </w:t>
      </w:r>
      <w:r w:rsidR="00A23894" w:rsidRPr="006453C9">
        <w:t xml:space="preserve">for </w:t>
      </w:r>
      <w:r w:rsidR="00AC0828" w:rsidRPr="006453C9">
        <w:t xml:space="preserve">a </w:t>
      </w:r>
      <w:r w:rsidR="00A23894" w:rsidRPr="006453C9">
        <w:t>property in the original model was not from this set, then any constraint referencing this variable will have a different scaling</w:t>
      </w:r>
      <w:r w:rsidR="00AC0828" w:rsidRPr="006453C9">
        <w:t xml:space="preserve"> in the new implementation</w:t>
      </w:r>
      <w:r w:rsidR="00A23894" w:rsidRPr="006453C9">
        <w:t>. Therefore, manual effort is needed on the user’s end to ensure the scaling is the same.</w:t>
      </w:r>
    </w:p>
    <w:p w14:paraId="3E41ABCE" w14:textId="77777777" w:rsidR="00A23894" w:rsidRDefault="00A23894" w:rsidP="00261AF7">
      <w:pPr>
        <w:pStyle w:val="Els-body-text"/>
      </w:pPr>
    </w:p>
    <w:p w14:paraId="6B62E415" w14:textId="7277881B" w:rsidR="00C96001" w:rsidRPr="006C1826" w:rsidRDefault="00F8038C" w:rsidP="00261AF7">
      <w:pPr>
        <w:pStyle w:val="Els-body-text"/>
        <w:rPr>
          <w:highlight w:val="yellow"/>
        </w:rPr>
      </w:pPr>
      <w:r>
        <w:t xml:space="preserve">After </w:t>
      </w:r>
      <w:r w:rsidR="00E47D30">
        <w:t>its</w:t>
      </w:r>
      <w:r>
        <w:t xml:space="preserve"> transitioning to </w:t>
      </w:r>
      <w:r w:rsidR="00E47D30">
        <w:t>the</w:t>
      </w:r>
      <w:r>
        <w:t xml:space="preserve"> IDAES </w:t>
      </w:r>
      <w:r w:rsidR="00E47D30">
        <w:t xml:space="preserve">standard </w:t>
      </w:r>
      <w:r>
        <w:t xml:space="preserve">was complete, </w:t>
      </w:r>
      <w:r w:rsidR="00E47D30">
        <w:t>our</w:t>
      </w:r>
      <w:r w:rsidR="0060013D">
        <w:t xml:space="preserve"> model</w:t>
      </w:r>
      <w:r>
        <w:t xml:space="preserve"> was</w:t>
      </w:r>
      <w:r w:rsidR="00261AF7">
        <w:t xml:space="preserve"> used for optimization to determine the cost optimal design and operating conditions. </w:t>
      </w:r>
      <w:r w:rsidR="00BA58EA" w:rsidRPr="006C1826">
        <w:t>At the pilot scale, compared to the simulation with nominal design and conditions, it was seen that about 24% yearly savings can be achieved with process optimization.</w:t>
      </w:r>
      <w:r w:rsidR="00BA58EA">
        <w:rPr>
          <w:color w:val="FF0000"/>
        </w:rPr>
        <w:t xml:space="preserve"> </w:t>
      </w:r>
      <w:r w:rsidR="00261AF7">
        <w:t xml:space="preserve">To test the robustness of the model and to </w:t>
      </w:r>
      <w:r w:rsidR="00FE38B0">
        <w:t xml:space="preserve">investigate commercially-relevant </w:t>
      </w:r>
      <w:r w:rsidR="00261AF7">
        <w:t xml:space="preserve">PCC, optimization was </w:t>
      </w:r>
      <w:r w:rsidR="00261AF7">
        <w:lastRenderedPageBreak/>
        <w:t xml:space="preserve">performed </w:t>
      </w:r>
      <w:r w:rsidR="00E47D30">
        <w:t xml:space="preserve">also </w:t>
      </w:r>
      <w:r w:rsidR="00261AF7">
        <w:t>for a v</w:t>
      </w:r>
      <w:r w:rsidR="00261AF7" w:rsidRPr="006453C9">
        <w:t>ariety of different plant capacities</w:t>
      </w:r>
      <w:r w:rsidR="00826187" w:rsidRPr="006453C9">
        <w:t>, capture targets</w:t>
      </w:r>
      <w:r w:rsidR="00261AF7" w:rsidRPr="006453C9">
        <w:t xml:space="preserve"> and with two different flue gas sources</w:t>
      </w:r>
      <w:r w:rsidR="00E47D30" w:rsidRPr="006453C9">
        <w:t xml:space="preserve">, namely </w:t>
      </w:r>
      <w:r w:rsidR="006C1826" w:rsidRPr="006453C9">
        <w:t xml:space="preserve">coal-fired and </w:t>
      </w:r>
      <w:r w:rsidR="002612E6" w:rsidRPr="006453C9">
        <w:t xml:space="preserve">natural gas combined cycle </w:t>
      </w:r>
      <w:r w:rsidR="006C1826" w:rsidRPr="006453C9">
        <w:t>(NGCC) flue gases, which have different CO</w:t>
      </w:r>
      <w:r w:rsidR="006C1826" w:rsidRPr="006453C9">
        <w:rPr>
          <w:vertAlign w:val="subscript"/>
        </w:rPr>
        <w:t>2</w:t>
      </w:r>
      <w:r w:rsidR="006C1826" w:rsidRPr="006453C9">
        <w:t xml:space="preserve"> concentrations.</w:t>
      </w:r>
      <w:r w:rsidR="00261AF7" w:rsidRPr="006453C9">
        <w:t xml:space="preserve"> </w:t>
      </w:r>
      <w:r w:rsidR="00506DA7" w:rsidRPr="006453C9">
        <w:t>Furthermore, w</w:t>
      </w:r>
      <w:r w:rsidR="00261AF7" w:rsidRPr="006453C9">
        <w:t>henever the column dimensions were too large to be constructed, two parallel trains</w:t>
      </w:r>
      <w:r w:rsidR="00506DA7" w:rsidRPr="006453C9">
        <w:t>—</w:t>
      </w:r>
      <w:r w:rsidR="00261AF7" w:rsidRPr="006453C9">
        <w:t>each processing half the flue gas</w:t>
      </w:r>
      <w:r w:rsidR="00506DA7" w:rsidRPr="006453C9">
        <w:t>—</w:t>
      </w:r>
      <w:r w:rsidR="00261AF7" w:rsidRPr="006453C9">
        <w:t>were evaluated as an alternative.</w:t>
      </w:r>
      <w:r w:rsidR="0065381F">
        <w:t xml:space="preserve"> </w:t>
      </w:r>
      <w:r w:rsidR="008C2AB3" w:rsidRPr="006C1826">
        <w:t>Moreover, with the parallel train configuration</w:t>
      </w:r>
      <w:r w:rsidR="00C94CC9" w:rsidRPr="006C1826">
        <w:t>,</w:t>
      </w:r>
      <w:r w:rsidR="008C2AB3" w:rsidRPr="006C1826">
        <w:t xml:space="preserve"> we were able to keep the absorber diameter below </w:t>
      </w:r>
      <w:r w:rsidR="00C94CC9" w:rsidRPr="006C1826">
        <w:t xml:space="preserve">the practical limit of </w:t>
      </w:r>
      <w:r w:rsidR="008C2AB3" w:rsidRPr="006C1826">
        <w:t>20</w:t>
      </w:r>
      <w:r w:rsidR="00C94CC9" w:rsidRPr="006C1826">
        <w:t xml:space="preserve"> meters,</w:t>
      </w:r>
      <w:r w:rsidR="008C2AB3" w:rsidRPr="006C1826">
        <w:t xml:space="preserve"> with </w:t>
      </w:r>
      <w:r w:rsidR="00C94CC9" w:rsidRPr="006C1826">
        <w:t xml:space="preserve">only </w:t>
      </w:r>
      <w:r w:rsidR="008C2AB3" w:rsidRPr="006C1826">
        <w:t>a slight increase in costs. Finally, i</w:t>
      </w:r>
      <w:r w:rsidR="006533CB" w:rsidRPr="006C1826">
        <w:t xml:space="preserve">t was </w:t>
      </w:r>
      <w:r w:rsidR="00C52409" w:rsidRPr="006C1826">
        <w:t>confirmed</w:t>
      </w:r>
      <w:r w:rsidR="006533CB" w:rsidRPr="006C1826">
        <w:t xml:space="preserve"> that the cost increase between 95% and 99% capture targets was much more significant than the increase between 90% and 95%</w:t>
      </w:r>
      <w:r w:rsidR="00C52409" w:rsidRPr="006C1826">
        <w:t>, as expected when targeting very high capture processes.</w:t>
      </w:r>
    </w:p>
    <w:p w14:paraId="144DE6BA" w14:textId="77777777" w:rsidR="008D2649" w:rsidRDefault="008D2649" w:rsidP="008D2649">
      <w:pPr>
        <w:pStyle w:val="Els-1storder-head"/>
        <w:spacing w:after="120"/>
        <w:rPr>
          <w:lang w:val="en-GB"/>
        </w:rPr>
      </w:pPr>
      <w:r w:rsidRPr="00A94774">
        <w:rPr>
          <w:lang w:val="en-GB"/>
        </w:rPr>
        <w:t>Conclusions</w:t>
      </w:r>
    </w:p>
    <w:p w14:paraId="135ABBFD" w14:textId="4D4CBC5B" w:rsidR="00791494" w:rsidRDefault="00791494" w:rsidP="00261AF7">
      <w:pPr>
        <w:pStyle w:val="Els-body-text"/>
      </w:pPr>
      <w:r w:rsidRPr="00791494">
        <w:rPr>
          <w:color w:val="000000" w:themeColor="text1"/>
        </w:rPr>
        <w:t>We built a validated, rate-based, equation-oriented model of a second-generation PCC process</w:t>
      </w:r>
      <w:r w:rsidR="00FD0C88">
        <w:rPr>
          <w:color w:val="000000" w:themeColor="text1"/>
        </w:rPr>
        <w:t>.</w:t>
      </w:r>
      <w:r w:rsidR="00261AF7">
        <w:t xml:space="preserve"> This model </w:t>
      </w:r>
      <w:r w:rsidR="00236EFA" w:rsidRPr="006C1826">
        <w:t xml:space="preserve">was implemented </w:t>
      </w:r>
      <w:r w:rsidR="00236EFA">
        <w:t>following the</w:t>
      </w:r>
      <w:r w:rsidR="00261AF7">
        <w:t xml:space="preserve"> IDAES standard to be made open-source</w:t>
      </w:r>
      <w:r w:rsidR="00AA4A74">
        <w:t>,</w:t>
      </w:r>
      <w:r w:rsidR="00261AF7">
        <w:t xml:space="preserve"> and the custom column model and the property models created were contributed to the </w:t>
      </w:r>
      <w:r w:rsidR="00AA4A74">
        <w:t xml:space="preserve">IDAES </w:t>
      </w:r>
      <w:r w:rsidR="00261AF7">
        <w:t xml:space="preserve">unit library. The model’s simulation and optimization capabilities were used for finding the cost optimal design and operating conditions for different plant capacities and flue gas concentrations </w:t>
      </w:r>
      <w:r w:rsidR="00AA4A74">
        <w:t>as well as</w:t>
      </w:r>
      <w:r>
        <w:t xml:space="preserve"> </w:t>
      </w:r>
      <w:r w:rsidR="00261AF7">
        <w:t>to get insights on the process design.</w:t>
      </w:r>
      <w:r w:rsidR="008C2AB3">
        <w:t xml:space="preserve"> </w:t>
      </w:r>
      <w:r w:rsidR="008C2AB3" w:rsidRPr="006C1826">
        <w:t xml:space="preserve">With the initialization scheme that we developed, we were able to demonstrate the robust convergence of our model </w:t>
      </w:r>
      <w:r w:rsidR="00FD0C88" w:rsidRPr="006C1826">
        <w:t>under</w:t>
      </w:r>
      <w:r w:rsidR="008C2AB3" w:rsidRPr="006C1826">
        <w:t xml:space="preserve"> </w:t>
      </w:r>
      <w:r w:rsidR="00FD0C88" w:rsidRPr="006C1826">
        <w:t>a wide range of</w:t>
      </w:r>
      <w:r w:rsidR="008C2AB3" w:rsidRPr="006C1826">
        <w:t xml:space="preserve"> different conditions, proving that rigorous modeling and optimization of PCC processes can indeed improve their </w:t>
      </w:r>
      <w:r w:rsidR="00106CFA" w:rsidRPr="006C1826">
        <w:t>economics</w:t>
      </w:r>
      <w:r w:rsidR="008C2AB3" w:rsidRPr="006C1826">
        <w:t xml:space="preserve"> and help their commercialization.</w:t>
      </w:r>
      <w:r w:rsidR="001848C5">
        <w:rPr>
          <w:color w:val="FF0000"/>
        </w:rPr>
        <w:t xml:space="preserve"> </w:t>
      </w:r>
      <w:r>
        <w:t xml:space="preserve">This open-source model of the PZ/AFS process can now be used for simulation with different </w:t>
      </w:r>
      <w:r w:rsidR="007A6FBD">
        <w:t>equipment</w:t>
      </w:r>
      <w:r w:rsidR="0060013D">
        <w:t xml:space="preserve"> dimensions and operating conditions</w:t>
      </w:r>
      <w:r>
        <w:t>, for other types of optimization problems or sensitivity analys</w:t>
      </w:r>
      <w:r w:rsidR="0060013D">
        <w:t>e</w:t>
      </w:r>
      <w:r>
        <w:t xml:space="preserve">s. </w:t>
      </w:r>
    </w:p>
    <w:p w14:paraId="2FAEE12A" w14:textId="0FA39A4B" w:rsidR="00245EB6" w:rsidRPr="00236EFA" w:rsidRDefault="00245EB6" w:rsidP="00245EB6">
      <w:pPr>
        <w:pStyle w:val="Els-reference-head"/>
      </w:pPr>
      <w:r w:rsidRPr="00236EFA">
        <w:t>Acknowledgements</w:t>
      </w:r>
    </w:p>
    <w:p w14:paraId="66FE01E8" w14:textId="214B92BA" w:rsidR="00245EB6" w:rsidRPr="006C1826" w:rsidRDefault="00245EB6" w:rsidP="00245EB6">
      <w:pPr>
        <w:jc w:val="both"/>
        <w:rPr>
          <w:lang w:val="en-US"/>
        </w:rPr>
      </w:pPr>
      <w:r w:rsidRPr="006C1826">
        <w:rPr>
          <w:lang w:val="en-US"/>
        </w:rPr>
        <w:t xml:space="preserve">The authors would like to thank Dr. Andrew Le and Dr. Anca Ostace from the National Energy Technology Laboratory for their assistance with </w:t>
      </w:r>
      <w:r w:rsidR="00BF76FF" w:rsidRPr="006C1826">
        <w:rPr>
          <w:lang w:val="en-US"/>
        </w:rPr>
        <w:t>using</w:t>
      </w:r>
      <w:r w:rsidR="00236EFA" w:rsidRPr="006C1826">
        <w:rPr>
          <w:lang w:val="en-US"/>
        </w:rPr>
        <w:t xml:space="preserve"> </w:t>
      </w:r>
      <w:r w:rsidR="00BF76FF" w:rsidRPr="006C1826">
        <w:rPr>
          <w:lang w:val="en-US"/>
        </w:rPr>
        <w:t>the IDAES platform.</w:t>
      </w:r>
      <w:r w:rsidRPr="006C1826">
        <w:rPr>
          <w:lang w:val="en-US"/>
        </w:rPr>
        <w:t xml:space="preserve"> </w:t>
      </w:r>
    </w:p>
    <w:p w14:paraId="144DE6BF" w14:textId="1CCF8149" w:rsidR="008D2649" w:rsidRDefault="008D2649" w:rsidP="008D2649">
      <w:pPr>
        <w:pStyle w:val="Els-reference-head"/>
      </w:pPr>
      <w:r>
        <w:t>References</w:t>
      </w:r>
    </w:p>
    <w:p w14:paraId="3B5514B8" w14:textId="77777777" w:rsidR="002C46D3" w:rsidRDefault="002C46D3" w:rsidP="008D2649">
      <w:pPr>
        <w:pStyle w:val="Els-referenceno-number"/>
        <w:rPr>
          <w:lang w:val="en-US"/>
        </w:rPr>
      </w:pPr>
    </w:p>
    <w:p w14:paraId="704C24D7" w14:textId="1D3F532A" w:rsidR="002C46D3" w:rsidRDefault="002C46D3" w:rsidP="002C46D3">
      <w:pPr>
        <w:pStyle w:val="Els-referenceno-number"/>
        <w:rPr>
          <w:lang w:val="en-US"/>
        </w:rPr>
      </w:pPr>
      <w:r>
        <w:rPr>
          <w:lang w:val="en-US"/>
        </w:rPr>
        <w:t>I. Akkor, S.S. Iyer, J. Dowdle, L. Wang, C.E. Gounaris, 2024</w:t>
      </w:r>
      <w:r w:rsidR="00245EB6">
        <w:rPr>
          <w:lang w:val="en-US"/>
        </w:rPr>
        <w:t xml:space="preserve"> (to appear)</w:t>
      </w:r>
      <w:r>
        <w:rPr>
          <w:lang w:val="en-US"/>
        </w:rPr>
        <w:t>, Mathematical Modeling and Economic Optimization of a Piperazine-Based Post-Combustion Carbon Capture Process</w:t>
      </w:r>
    </w:p>
    <w:p w14:paraId="5077D79F" w14:textId="71CAC310" w:rsidR="002C46D3" w:rsidRDefault="002C46D3" w:rsidP="002C46D3">
      <w:pPr>
        <w:pStyle w:val="Els-referenceno-number"/>
        <w:rPr>
          <w:lang w:val="en-US"/>
        </w:rPr>
      </w:pPr>
      <w:r w:rsidRPr="002C46D3">
        <w:rPr>
          <w:lang w:val="en-US"/>
        </w:rPr>
        <w:t>W</w:t>
      </w:r>
      <w:r>
        <w:rPr>
          <w:lang w:val="en-US"/>
        </w:rPr>
        <w:t>.</w:t>
      </w:r>
      <w:r w:rsidRPr="002C46D3">
        <w:rPr>
          <w:lang w:val="en-US"/>
        </w:rPr>
        <w:t xml:space="preserve">E. Hart, </w:t>
      </w:r>
      <w:r>
        <w:rPr>
          <w:lang w:val="en-US"/>
        </w:rPr>
        <w:t>J.P.</w:t>
      </w:r>
      <w:r w:rsidRPr="002C46D3">
        <w:rPr>
          <w:lang w:val="en-US"/>
        </w:rPr>
        <w:t xml:space="preserve"> Watson, and D</w:t>
      </w:r>
      <w:r>
        <w:rPr>
          <w:lang w:val="en-US"/>
        </w:rPr>
        <w:t>.</w:t>
      </w:r>
      <w:r w:rsidRPr="002C46D3">
        <w:rPr>
          <w:lang w:val="en-US"/>
        </w:rPr>
        <w:t>L. Woodruff</w:t>
      </w:r>
      <w:r>
        <w:rPr>
          <w:lang w:val="en-US"/>
        </w:rPr>
        <w:t>, 2011,</w:t>
      </w:r>
      <w:r w:rsidRPr="002C46D3">
        <w:rPr>
          <w:lang w:val="en-US"/>
        </w:rPr>
        <w:t xml:space="preserve"> Pyomo: Modeling and Solving Mathematical</w:t>
      </w:r>
      <w:r>
        <w:rPr>
          <w:lang w:val="en-US"/>
        </w:rPr>
        <w:t xml:space="preserve"> </w:t>
      </w:r>
      <w:r w:rsidRPr="002C46D3">
        <w:rPr>
          <w:lang w:val="en-US"/>
        </w:rPr>
        <w:t>Programs in Python</w:t>
      </w:r>
      <w:r>
        <w:rPr>
          <w:lang w:val="en-US"/>
        </w:rPr>
        <w:t xml:space="preserve">, </w:t>
      </w:r>
      <w:r w:rsidRPr="002C46D3">
        <w:rPr>
          <w:lang w:val="en-US"/>
        </w:rPr>
        <w:t>Mathematical Programming Computation</w:t>
      </w:r>
      <w:r w:rsidR="00072D5C">
        <w:rPr>
          <w:lang w:val="en-US"/>
        </w:rPr>
        <w:t>,</w:t>
      </w:r>
      <w:r w:rsidRPr="002C46D3">
        <w:rPr>
          <w:lang w:val="en-US"/>
        </w:rPr>
        <w:t xml:space="preserve"> 3(3)</w:t>
      </w:r>
      <w:r w:rsidR="00072D5C">
        <w:rPr>
          <w:lang w:val="en-US"/>
        </w:rPr>
        <w:t>,</w:t>
      </w:r>
      <w:r w:rsidRPr="002C46D3">
        <w:rPr>
          <w:lang w:val="en-US"/>
        </w:rPr>
        <w:t xml:space="preserve"> 219-260 </w:t>
      </w:r>
    </w:p>
    <w:p w14:paraId="667A8340" w14:textId="222E4F47" w:rsidR="002C46D3" w:rsidRDefault="002C46D3" w:rsidP="002C46D3">
      <w:pPr>
        <w:pStyle w:val="Els-referenceno-number"/>
        <w:rPr>
          <w:lang w:val="en-US"/>
        </w:rPr>
      </w:pPr>
      <w:r w:rsidRPr="002C46D3">
        <w:rPr>
          <w:lang w:val="en-US"/>
        </w:rPr>
        <w:t xml:space="preserve">A. Lee, </w:t>
      </w:r>
      <w:r w:rsidR="001E141A">
        <w:rPr>
          <w:lang w:val="en-US"/>
        </w:rPr>
        <w:t>J.H. Ghouse</w:t>
      </w:r>
      <w:r>
        <w:rPr>
          <w:lang w:val="en-US"/>
        </w:rPr>
        <w:t>,</w:t>
      </w:r>
      <w:r w:rsidR="001E141A">
        <w:rPr>
          <w:lang w:val="en-US"/>
        </w:rPr>
        <w:t xml:space="preserve"> J.C. Eslick, C.D. Laird, J.D. Siirola, M.A. Zamarripa, D. Gunter, J.H. Shinn, A.W. Dowling, D. Bhattacharyya, L.T. Biegler, A.P. Burgard, D.C. Miller </w:t>
      </w:r>
      <w:r>
        <w:rPr>
          <w:lang w:val="en-US"/>
        </w:rPr>
        <w:t xml:space="preserve"> 2021,</w:t>
      </w:r>
      <w:r w:rsidRPr="002C46D3">
        <w:rPr>
          <w:lang w:val="en-US"/>
        </w:rPr>
        <w:t xml:space="preserve"> The IDAES process modeling framework and model library – Flexibility for process</w:t>
      </w:r>
      <w:r>
        <w:rPr>
          <w:lang w:val="en-US"/>
        </w:rPr>
        <w:t xml:space="preserve"> </w:t>
      </w:r>
      <w:r w:rsidRPr="002C46D3">
        <w:rPr>
          <w:lang w:val="en-US"/>
        </w:rPr>
        <w:t>simulation and optimization</w:t>
      </w:r>
      <w:r>
        <w:rPr>
          <w:lang w:val="en-US"/>
        </w:rPr>
        <w:t>,</w:t>
      </w:r>
      <w:r w:rsidRPr="002C46D3">
        <w:rPr>
          <w:lang w:val="en-US"/>
        </w:rPr>
        <w:t xml:space="preserve"> Journal of Advanced Manufacturing and Processing 3.3 e10095</w:t>
      </w:r>
    </w:p>
    <w:p w14:paraId="4B44C73A" w14:textId="2FBE4F63" w:rsidR="00072D5C" w:rsidRDefault="00072D5C" w:rsidP="00072D5C">
      <w:pPr>
        <w:pStyle w:val="Els-referenceno-number"/>
        <w:rPr>
          <w:lang w:val="en-US"/>
        </w:rPr>
      </w:pPr>
      <w:r w:rsidRPr="00072D5C">
        <w:rPr>
          <w:lang w:val="en-US"/>
        </w:rPr>
        <w:t>G</w:t>
      </w:r>
      <w:r>
        <w:rPr>
          <w:lang w:val="en-US"/>
        </w:rPr>
        <w:t>.</w:t>
      </w:r>
      <w:r w:rsidRPr="00072D5C">
        <w:rPr>
          <w:lang w:val="en-US"/>
        </w:rPr>
        <w:t>T. Rochelle,</w:t>
      </w:r>
      <w:r>
        <w:rPr>
          <w:lang w:val="en-US"/>
        </w:rPr>
        <w:t xml:space="preserve"> Y. Wu, E. Chen, K. Akinpelumi, K.B. Fischer, T. Gao, C. Liu, J.L. Selinger, 2019,</w:t>
      </w:r>
      <w:r w:rsidRPr="00072D5C">
        <w:rPr>
          <w:lang w:val="en-US"/>
        </w:rPr>
        <w:t xml:space="preserve"> Pilot plant demonstration of piperazine with the advanced flash stripper</w:t>
      </w:r>
      <w:r>
        <w:rPr>
          <w:lang w:val="en-US"/>
        </w:rPr>
        <w:t xml:space="preserve">, </w:t>
      </w:r>
      <w:r w:rsidRPr="00072D5C">
        <w:rPr>
          <w:lang w:val="en-US"/>
        </w:rPr>
        <w:t>International</w:t>
      </w:r>
      <w:r>
        <w:rPr>
          <w:lang w:val="en-US"/>
        </w:rPr>
        <w:t xml:space="preserve"> </w:t>
      </w:r>
      <w:r w:rsidRPr="00072D5C">
        <w:rPr>
          <w:lang w:val="en-US"/>
        </w:rPr>
        <w:t>Journal of Greenhouse Gas Control</w:t>
      </w:r>
      <w:r>
        <w:rPr>
          <w:lang w:val="en-US"/>
        </w:rPr>
        <w:t>,</w:t>
      </w:r>
      <w:r w:rsidRPr="00072D5C">
        <w:rPr>
          <w:lang w:val="en-US"/>
        </w:rPr>
        <w:t xml:space="preserve"> 84</w:t>
      </w:r>
      <w:r>
        <w:rPr>
          <w:lang w:val="en-US"/>
        </w:rPr>
        <w:t xml:space="preserve">, </w:t>
      </w:r>
      <w:r w:rsidRPr="00072D5C">
        <w:rPr>
          <w:lang w:val="en-US"/>
        </w:rPr>
        <w:t>72–81</w:t>
      </w:r>
    </w:p>
    <w:p w14:paraId="144DE6C3" w14:textId="77777777" w:rsidR="008D2649" w:rsidRDefault="008D2649" w:rsidP="008D2649">
      <w:pPr>
        <w:pStyle w:val="Els-referenceno-number"/>
        <w:rPr>
          <w:lang w:val="en-US"/>
        </w:rPr>
      </w:pPr>
    </w:p>
    <w:sectPr w:rsidR="008D2649"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771E" w14:textId="77777777" w:rsidR="00014D36" w:rsidRDefault="00014D36">
      <w:r>
        <w:separator/>
      </w:r>
    </w:p>
  </w:endnote>
  <w:endnote w:type="continuationSeparator" w:id="0">
    <w:p w14:paraId="6FB1FC54" w14:textId="77777777" w:rsidR="00014D36" w:rsidRDefault="000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0AB6" w14:textId="77777777" w:rsidR="00014D36" w:rsidRDefault="00014D36">
      <w:r>
        <w:separator/>
      </w:r>
    </w:p>
  </w:footnote>
  <w:footnote w:type="continuationSeparator" w:id="0">
    <w:p w14:paraId="57279F78" w14:textId="77777777" w:rsidR="00014D36" w:rsidRDefault="0001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55266723">
    <w:abstractNumId w:val="11"/>
  </w:num>
  <w:num w:numId="2" w16cid:durableId="170533164">
    <w:abstractNumId w:val="11"/>
  </w:num>
  <w:num w:numId="3" w16cid:durableId="1700886033">
    <w:abstractNumId w:val="11"/>
  </w:num>
  <w:num w:numId="4" w16cid:durableId="1162237146">
    <w:abstractNumId w:val="11"/>
  </w:num>
  <w:num w:numId="5" w16cid:durableId="499152768">
    <w:abstractNumId w:val="0"/>
  </w:num>
  <w:num w:numId="6" w16cid:durableId="1536770009">
    <w:abstractNumId w:val="6"/>
  </w:num>
  <w:num w:numId="7" w16cid:durableId="1264193004">
    <w:abstractNumId w:val="12"/>
  </w:num>
  <w:num w:numId="8" w16cid:durableId="162859219">
    <w:abstractNumId w:val="1"/>
  </w:num>
  <w:num w:numId="9" w16cid:durableId="938096631">
    <w:abstractNumId w:val="10"/>
  </w:num>
  <w:num w:numId="10" w16cid:durableId="1780177454">
    <w:abstractNumId w:val="14"/>
  </w:num>
  <w:num w:numId="11" w16cid:durableId="158347742">
    <w:abstractNumId w:val="13"/>
  </w:num>
  <w:num w:numId="12" w16cid:durableId="109473781">
    <w:abstractNumId w:val="5"/>
  </w:num>
  <w:num w:numId="13" w16cid:durableId="1368721482">
    <w:abstractNumId w:val="8"/>
  </w:num>
  <w:num w:numId="14" w16cid:durableId="563183322">
    <w:abstractNumId w:val="2"/>
  </w:num>
  <w:num w:numId="15" w16cid:durableId="208761649">
    <w:abstractNumId w:val="7"/>
  </w:num>
  <w:num w:numId="16" w16cid:durableId="1628463117">
    <w:abstractNumId w:val="3"/>
  </w:num>
  <w:num w:numId="17" w16cid:durableId="427507742">
    <w:abstractNumId w:val="4"/>
  </w:num>
  <w:num w:numId="18" w16cid:durableId="165113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4D36"/>
    <w:rsid w:val="00072D5C"/>
    <w:rsid w:val="00096A19"/>
    <w:rsid w:val="000D22FC"/>
    <w:rsid w:val="000D3D9B"/>
    <w:rsid w:val="00106CFA"/>
    <w:rsid w:val="0016032F"/>
    <w:rsid w:val="00177F2C"/>
    <w:rsid w:val="001848C5"/>
    <w:rsid w:val="001879F6"/>
    <w:rsid w:val="001B1DE3"/>
    <w:rsid w:val="001C0148"/>
    <w:rsid w:val="001C757E"/>
    <w:rsid w:val="001E141A"/>
    <w:rsid w:val="001F624A"/>
    <w:rsid w:val="001F720D"/>
    <w:rsid w:val="0020390F"/>
    <w:rsid w:val="00236EFA"/>
    <w:rsid w:val="00245EB6"/>
    <w:rsid w:val="002612E6"/>
    <w:rsid w:val="002613CD"/>
    <w:rsid w:val="00261AF7"/>
    <w:rsid w:val="00264926"/>
    <w:rsid w:val="00283926"/>
    <w:rsid w:val="002C46D3"/>
    <w:rsid w:val="002D1081"/>
    <w:rsid w:val="002E0033"/>
    <w:rsid w:val="002E7E09"/>
    <w:rsid w:val="00315AEE"/>
    <w:rsid w:val="0034226C"/>
    <w:rsid w:val="00344D01"/>
    <w:rsid w:val="00384336"/>
    <w:rsid w:val="003A2E63"/>
    <w:rsid w:val="003A3D88"/>
    <w:rsid w:val="003D1582"/>
    <w:rsid w:val="003D7E4C"/>
    <w:rsid w:val="003E41C2"/>
    <w:rsid w:val="004151FC"/>
    <w:rsid w:val="004203DC"/>
    <w:rsid w:val="00451046"/>
    <w:rsid w:val="004628E9"/>
    <w:rsid w:val="0049772C"/>
    <w:rsid w:val="00506DA7"/>
    <w:rsid w:val="00507CB7"/>
    <w:rsid w:val="00517CE2"/>
    <w:rsid w:val="00552EEB"/>
    <w:rsid w:val="00567D93"/>
    <w:rsid w:val="00594392"/>
    <w:rsid w:val="005A3330"/>
    <w:rsid w:val="0060013D"/>
    <w:rsid w:val="00617C11"/>
    <w:rsid w:val="006453C9"/>
    <w:rsid w:val="006533CB"/>
    <w:rsid w:val="0065381F"/>
    <w:rsid w:val="0066434E"/>
    <w:rsid w:val="006A69BF"/>
    <w:rsid w:val="006C11D1"/>
    <w:rsid w:val="006C1826"/>
    <w:rsid w:val="006E3363"/>
    <w:rsid w:val="006F062F"/>
    <w:rsid w:val="006F12E6"/>
    <w:rsid w:val="00711DF4"/>
    <w:rsid w:val="00791494"/>
    <w:rsid w:val="00792B8D"/>
    <w:rsid w:val="007A6FBD"/>
    <w:rsid w:val="007C79B6"/>
    <w:rsid w:val="007D0581"/>
    <w:rsid w:val="007D70A1"/>
    <w:rsid w:val="007F0038"/>
    <w:rsid w:val="00812BC9"/>
    <w:rsid w:val="00813193"/>
    <w:rsid w:val="008132E8"/>
    <w:rsid w:val="00823407"/>
    <w:rsid w:val="00826187"/>
    <w:rsid w:val="008B0184"/>
    <w:rsid w:val="008C2AB3"/>
    <w:rsid w:val="008C5D02"/>
    <w:rsid w:val="008D2649"/>
    <w:rsid w:val="008F5ABC"/>
    <w:rsid w:val="0090568D"/>
    <w:rsid w:val="009125C9"/>
    <w:rsid w:val="00913879"/>
    <w:rsid w:val="00917661"/>
    <w:rsid w:val="009258B7"/>
    <w:rsid w:val="00927D7A"/>
    <w:rsid w:val="00970E5D"/>
    <w:rsid w:val="0097701C"/>
    <w:rsid w:val="00980A65"/>
    <w:rsid w:val="00997CEA"/>
    <w:rsid w:val="00A00CAA"/>
    <w:rsid w:val="00A23894"/>
    <w:rsid w:val="00A25E70"/>
    <w:rsid w:val="00A33765"/>
    <w:rsid w:val="00A4738E"/>
    <w:rsid w:val="00A515A6"/>
    <w:rsid w:val="00A63269"/>
    <w:rsid w:val="00A843EC"/>
    <w:rsid w:val="00A90B7D"/>
    <w:rsid w:val="00A92377"/>
    <w:rsid w:val="00AA4A74"/>
    <w:rsid w:val="00AB0195"/>
    <w:rsid w:val="00AB29ED"/>
    <w:rsid w:val="00AC0828"/>
    <w:rsid w:val="00AD2C9C"/>
    <w:rsid w:val="00AE4BD8"/>
    <w:rsid w:val="00B4388F"/>
    <w:rsid w:val="00B63237"/>
    <w:rsid w:val="00BA58EA"/>
    <w:rsid w:val="00BF4365"/>
    <w:rsid w:val="00BF76FF"/>
    <w:rsid w:val="00C52409"/>
    <w:rsid w:val="00C94CC9"/>
    <w:rsid w:val="00C96001"/>
    <w:rsid w:val="00C960DC"/>
    <w:rsid w:val="00CB37E6"/>
    <w:rsid w:val="00CC7FA7"/>
    <w:rsid w:val="00D02C75"/>
    <w:rsid w:val="00D10E22"/>
    <w:rsid w:val="00D13D2C"/>
    <w:rsid w:val="00D7115D"/>
    <w:rsid w:val="00DB78EE"/>
    <w:rsid w:val="00DC2F94"/>
    <w:rsid w:val="00DD3D9E"/>
    <w:rsid w:val="00DD7908"/>
    <w:rsid w:val="00E47D30"/>
    <w:rsid w:val="00E82297"/>
    <w:rsid w:val="00EF39FD"/>
    <w:rsid w:val="00F03B07"/>
    <w:rsid w:val="00F06842"/>
    <w:rsid w:val="00F107FD"/>
    <w:rsid w:val="00F24AA8"/>
    <w:rsid w:val="00F376C4"/>
    <w:rsid w:val="00F46053"/>
    <w:rsid w:val="00F8038C"/>
    <w:rsid w:val="00FB64A8"/>
    <w:rsid w:val="00FC0C9B"/>
    <w:rsid w:val="00FD0C88"/>
    <w:rsid w:val="00FD4D72"/>
    <w:rsid w:val="00FE38B0"/>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3</Pages>
  <Words>1363</Words>
  <Characters>7773</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Ilayda Akkor</cp:lastModifiedBy>
  <cp:revision>2</cp:revision>
  <cp:lastPrinted>2004-12-17T09:20:00Z</cp:lastPrinted>
  <dcterms:created xsi:type="dcterms:W3CDTF">2023-11-30T18:52:00Z</dcterms:created>
  <dcterms:modified xsi:type="dcterms:W3CDTF">2023-11-30T18:52:00Z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lassificationContentMarkingFooterShapeIds">
    <vt:lpwstr>504b29bc,3808c455,1ed1c51</vt:lpwstr>
  </property>
  <property fmtid="{D5CDD505-2E9C-101B-9397-08002B2CF9AE}" pid="11" name="ClassificationContentMarkingFooterFontProps">
    <vt:lpwstr>#000000,10,Calibri</vt:lpwstr>
  </property>
  <property fmtid="{D5CDD505-2E9C-101B-9397-08002B2CF9AE}" pid="12" name="ClassificationContentMarkingFooterText">
    <vt:lpwstr>General Business</vt:lpwstr>
  </property>
  <property fmtid="{D5CDD505-2E9C-101B-9397-08002B2CF9AE}" pid="13" name="MSIP_Label_3aac0ad3-18d9-49e9-a80d-c985041778ba_Enabled">
    <vt:lpwstr>true</vt:lpwstr>
  </property>
  <property fmtid="{D5CDD505-2E9C-101B-9397-08002B2CF9AE}" pid="14" name="MSIP_Label_3aac0ad3-18d9-49e9-a80d-c985041778ba_SetDate">
    <vt:lpwstr>2023-11-21T21:59:26Z</vt:lpwstr>
  </property>
  <property fmtid="{D5CDD505-2E9C-101B-9397-08002B2CF9AE}" pid="15" name="MSIP_Label_3aac0ad3-18d9-49e9-a80d-c985041778ba_Method">
    <vt:lpwstr>Standard</vt:lpwstr>
  </property>
  <property fmtid="{D5CDD505-2E9C-101B-9397-08002B2CF9AE}" pid="16" name="MSIP_Label_3aac0ad3-18d9-49e9-a80d-c985041778ba_Name">
    <vt:lpwstr>General Business</vt:lpwstr>
  </property>
  <property fmtid="{D5CDD505-2E9C-101B-9397-08002B2CF9AE}" pid="17" name="MSIP_Label_3aac0ad3-18d9-49e9-a80d-c985041778ba_SiteId">
    <vt:lpwstr>c3e32f53-cb7f-4809-968d-1cc4ccc785fe</vt:lpwstr>
  </property>
  <property fmtid="{D5CDD505-2E9C-101B-9397-08002B2CF9AE}" pid="18" name="MSIP_Label_3aac0ad3-18d9-49e9-a80d-c985041778ba_ActionId">
    <vt:lpwstr>9ed087e9-2b8d-496f-83c5-46f3dabeece4</vt:lpwstr>
  </property>
  <property fmtid="{D5CDD505-2E9C-101B-9397-08002B2CF9AE}" pid="19" name="MSIP_Label_3aac0ad3-18d9-49e9-a80d-c985041778ba_ContentBits">
    <vt:lpwstr>2</vt:lpwstr>
  </property>
</Properties>
</file>