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E67F" w14:textId="55A7A64A" w:rsidR="00DD3D9E" w:rsidRPr="00B4388F" w:rsidRDefault="0067123A">
      <w:pPr>
        <w:pStyle w:val="Els-Title"/>
        <w:rPr>
          <w:color w:val="000000" w:themeColor="text1"/>
        </w:rPr>
      </w:pPr>
      <w:r>
        <w:rPr>
          <w:color w:val="000000" w:themeColor="text1"/>
        </w:rPr>
        <w:t>Flow regimes and reactivity assessment in arrow- and X-microreactors: a combined numerical and experimental approach</w:t>
      </w:r>
    </w:p>
    <w:p w14:paraId="144DE680" w14:textId="1C327FC5" w:rsidR="00DD3D9E" w:rsidRPr="0026457F" w:rsidRDefault="0026457F">
      <w:pPr>
        <w:pStyle w:val="Els-Author"/>
        <w:rPr>
          <w:lang w:val="it-IT"/>
        </w:rPr>
      </w:pPr>
      <w:r w:rsidRPr="0026457F">
        <w:rPr>
          <w:lang w:val="it-IT"/>
        </w:rPr>
        <w:t>Sara Tomasi Masoni</w:t>
      </w:r>
      <w:r w:rsidRPr="0026457F">
        <w:rPr>
          <w:vertAlign w:val="superscript"/>
          <w:lang w:val="it-IT"/>
        </w:rPr>
        <w:t>a</w:t>
      </w:r>
      <w:r w:rsidR="003A322D">
        <w:rPr>
          <w:vertAlign w:val="superscript"/>
          <w:lang w:val="it-IT"/>
        </w:rPr>
        <w:t>*</w:t>
      </w:r>
      <w:r w:rsidRPr="0026457F">
        <w:rPr>
          <w:lang w:val="it-IT"/>
        </w:rPr>
        <w:t>, Alessandro Ma</w:t>
      </w:r>
      <w:r>
        <w:rPr>
          <w:lang w:val="it-IT"/>
        </w:rPr>
        <w:t>riotti</w:t>
      </w:r>
      <w:r w:rsidRPr="0026457F">
        <w:rPr>
          <w:vertAlign w:val="superscript"/>
          <w:lang w:val="it-IT"/>
        </w:rPr>
        <w:t>a</w:t>
      </w:r>
      <w:r>
        <w:rPr>
          <w:lang w:val="it-IT"/>
        </w:rPr>
        <w:t>, Maria Vittoria Salvetti</w:t>
      </w:r>
      <w:r w:rsidRPr="0026457F">
        <w:rPr>
          <w:vertAlign w:val="superscript"/>
          <w:lang w:val="it-IT"/>
        </w:rPr>
        <w:t>a</w:t>
      </w:r>
      <w:r>
        <w:rPr>
          <w:lang w:val="it-IT"/>
        </w:rPr>
        <w:t>, Chiara Galletti</w:t>
      </w:r>
      <w:r w:rsidRPr="0026457F">
        <w:rPr>
          <w:vertAlign w:val="superscript"/>
          <w:lang w:val="it-IT"/>
        </w:rPr>
        <w:t>a</w:t>
      </w:r>
      <w:r>
        <w:rPr>
          <w:lang w:val="it-IT"/>
        </w:rPr>
        <w:t>, Elisabetta Brunazzi</w:t>
      </w:r>
      <w:r w:rsidRPr="0026457F">
        <w:rPr>
          <w:vertAlign w:val="superscript"/>
          <w:lang w:val="it-IT"/>
        </w:rPr>
        <w:t>a</w:t>
      </w:r>
    </w:p>
    <w:p w14:paraId="144DE682" w14:textId="03D7C5B9" w:rsidR="00DD3D9E" w:rsidRPr="0026457F" w:rsidRDefault="0026457F">
      <w:pPr>
        <w:pStyle w:val="Els-Affiliation"/>
        <w:rPr>
          <w:lang w:val="it-IT"/>
        </w:rPr>
      </w:pPr>
      <w:r w:rsidRPr="0026457F">
        <w:rPr>
          <w:vertAlign w:val="superscript"/>
          <w:lang w:val="it-IT"/>
        </w:rPr>
        <w:t>a</w:t>
      </w:r>
      <w:r>
        <w:rPr>
          <w:vertAlign w:val="superscript"/>
          <w:lang w:val="it-IT"/>
        </w:rPr>
        <w:t xml:space="preserve"> </w:t>
      </w:r>
      <w:r>
        <w:rPr>
          <w:lang w:val="it-IT"/>
        </w:rPr>
        <w:t xml:space="preserve">Dip. </w:t>
      </w:r>
      <w:r w:rsidR="00923D15">
        <w:rPr>
          <w:lang w:val="it-IT"/>
        </w:rPr>
        <w:t>d</w:t>
      </w:r>
      <w:r>
        <w:rPr>
          <w:lang w:val="it-IT"/>
        </w:rPr>
        <w:t>i Ingegneria Civile e Industriale, Università di Pisa, Largo Lucio Lazzarino 2, Pisa, Italy</w:t>
      </w:r>
    </w:p>
    <w:p w14:paraId="144DE683" w14:textId="246A0B0C" w:rsidR="008D2649" w:rsidRPr="0026457F" w:rsidRDefault="0026457F" w:rsidP="008D2649">
      <w:pPr>
        <w:pStyle w:val="Els-Affiliation"/>
        <w:spacing w:after="120"/>
        <w:rPr>
          <w:lang w:val="it-IT"/>
        </w:rPr>
      </w:pPr>
      <w:r w:rsidRPr="0026457F">
        <w:rPr>
          <w:lang w:val="it-IT"/>
        </w:rPr>
        <w:t>sara.tomasimasoni@phd.unipi.it</w:t>
      </w:r>
    </w:p>
    <w:p w14:paraId="144DE684" w14:textId="77777777" w:rsidR="008D2649" w:rsidRPr="008B2D92" w:rsidRDefault="008D2649" w:rsidP="008D2649">
      <w:pPr>
        <w:pStyle w:val="Els-Abstract"/>
        <w:rPr>
          <w:lang w:val="it-IT"/>
        </w:rPr>
      </w:pPr>
      <w:r w:rsidRPr="008B2D92">
        <w:rPr>
          <w:lang w:val="it-IT"/>
        </w:rPr>
        <w:t>Abstract</w:t>
      </w:r>
    </w:p>
    <w:p w14:paraId="2FA3D8A7" w14:textId="2D03B18E" w:rsidR="00F1618F" w:rsidRDefault="00F1618F" w:rsidP="00F1618F">
      <w:pPr>
        <w:pStyle w:val="Els-body-text"/>
        <w:spacing w:after="120"/>
        <w:rPr>
          <w:lang w:val="en-GB"/>
        </w:rPr>
      </w:pPr>
      <w:r w:rsidRPr="00F1618F">
        <w:rPr>
          <w:lang w:val="en-GB"/>
        </w:rPr>
        <w:t>In this study</w:t>
      </w:r>
      <w:r w:rsidR="009E227F">
        <w:rPr>
          <w:lang w:val="en-GB"/>
        </w:rPr>
        <w:t xml:space="preserve"> we use</w:t>
      </w:r>
      <w:r w:rsidRPr="00F1618F">
        <w:rPr>
          <w:lang w:val="en-GB"/>
        </w:rPr>
        <w:t xml:space="preserve"> numerical simulations</w:t>
      </w:r>
      <w:r w:rsidR="00923D15">
        <w:rPr>
          <w:lang w:val="en-GB"/>
        </w:rPr>
        <w:t xml:space="preserve"> and experimental investigations</w:t>
      </w:r>
      <w:r w:rsidRPr="00F1618F">
        <w:rPr>
          <w:lang w:val="en-GB"/>
        </w:rPr>
        <w:t xml:space="preserve"> </w:t>
      </w:r>
      <w:r w:rsidR="009E227F">
        <w:rPr>
          <w:lang w:val="en-GB"/>
        </w:rPr>
        <w:t xml:space="preserve">to gain a </w:t>
      </w:r>
      <w:r w:rsidRPr="00F1618F">
        <w:rPr>
          <w:lang w:val="en-GB"/>
        </w:rPr>
        <w:t xml:space="preserve">comprehensive characterization of the flow dynamics inside microreactors. </w:t>
      </w:r>
      <w:r w:rsidR="002C4375">
        <w:rPr>
          <w:lang w:val="en-GB"/>
        </w:rPr>
        <w:t>Two different simple geometries</w:t>
      </w:r>
      <w:r>
        <w:rPr>
          <w:lang w:val="en-GB"/>
        </w:rPr>
        <w:t>, namely</w:t>
      </w:r>
      <w:r w:rsidR="007137BC">
        <w:rPr>
          <w:lang w:val="en-GB"/>
        </w:rPr>
        <w:t xml:space="preserve"> </w:t>
      </w:r>
      <w:r w:rsidR="002C4375">
        <w:rPr>
          <w:lang w:val="en-GB"/>
        </w:rPr>
        <w:t>the arrow</w:t>
      </w:r>
      <w:r w:rsidR="009E227F">
        <w:rPr>
          <w:lang w:val="en-GB"/>
        </w:rPr>
        <w:t>-</w:t>
      </w:r>
      <w:r w:rsidR="002C4375">
        <w:rPr>
          <w:lang w:val="en-GB"/>
        </w:rPr>
        <w:t xml:space="preserve"> and the X-microreactors, </w:t>
      </w:r>
      <w:r>
        <w:rPr>
          <w:lang w:val="en-GB"/>
        </w:rPr>
        <w:t xml:space="preserve">are considered, both </w:t>
      </w:r>
      <w:r w:rsidR="002C4375">
        <w:rPr>
          <w:lang w:val="en-GB"/>
        </w:rPr>
        <w:t xml:space="preserve">fed with reactive </w:t>
      </w:r>
      <w:r w:rsidR="009E227F">
        <w:rPr>
          <w:lang w:val="en-GB"/>
        </w:rPr>
        <w:t xml:space="preserve">liquid </w:t>
      </w:r>
      <w:r w:rsidR="002C4375">
        <w:rPr>
          <w:lang w:val="en-GB"/>
        </w:rPr>
        <w:t xml:space="preserve">streams. </w:t>
      </w:r>
      <w:r w:rsidR="001C5CF8">
        <w:rPr>
          <w:lang w:val="en-GB"/>
        </w:rPr>
        <w:t>In both geometries, a</w:t>
      </w:r>
      <w:r w:rsidR="002C4375">
        <w:rPr>
          <w:lang w:val="en-GB"/>
        </w:rPr>
        <w:t>t low Reynolds number</w:t>
      </w:r>
      <w:r w:rsidR="001C5CF8">
        <w:rPr>
          <w:lang w:val="en-GB"/>
        </w:rPr>
        <w:t>, Re</w:t>
      </w:r>
      <w:r w:rsidR="002C4375">
        <w:rPr>
          <w:lang w:val="en-GB"/>
        </w:rPr>
        <w:t>, the streams stratify in the outlet channels due to the different densit</w:t>
      </w:r>
      <w:r w:rsidR="009E227F">
        <w:rPr>
          <w:lang w:val="en-GB"/>
        </w:rPr>
        <w:t>ies</w:t>
      </w:r>
      <w:r w:rsidR="002C4375">
        <w:rPr>
          <w:lang w:val="en-GB"/>
        </w:rPr>
        <w:t xml:space="preserve"> of inlet solutions. </w:t>
      </w:r>
      <w:r w:rsidR="001C5CF8">
        <w:rPr>
          <w:lang w:val="en-GB"/>
        </w:rPr>
        <w:t>At Re</w:t>
      </w:r>
      <w:r w:rsidR="00923D15">
        <w:rPr>
          <w:lang w:val="en-GB"/>
        </w:rPr>
        <w:t xml:space="preserve"> around </w:t>
      </w:r>
      <w:r w:rsidR="001C5CF8">
        <w:rPr>
          <w:lang w:val="en-GB"/>
        </w:rPr>
        <w:t xml:space="preserve">50, the X-microreactor </w:t>
      </w:r>
      <w:r>
        <w:rPr>
          <w:lang w:val="en-GB"/>
        </w:rPr>
        <w:t>exhibits</w:t>
      </w:r>
      <w:r w:rsidR="001C5CF8">
        <w:rPr>
          <w:lang w:val="en-GB"/>
        </w:rPr>
        <w:t xml:space="preserve"> </w:t>
      </w:r>
      <w:r w:rsidR="002C4375">
        <w:rPr>
          <w:lang w:val="en-GB"/>
        </w:rPr>
        <w:t xml:space="preserve">a single central vortex in the mixing channels, </w:t>
      </w:r>
      <w:r w:rsidR="0008678E">
        <w:rPr>
          <w:lang w:val="en-GB"/>
        </w:rPr>
        <w:t>leading</w:t>
      </w:r>
      <w:r>
        <w:rPr>
          <w:lang w:val="en-GB"/>
        </w:rPr>
        <w:t xml:space="preserve"> </w:t>
      </w:r>
      <w:r w:rsidR="0008678E">
        <w:rPr>
          <w:lang w:val="en-GB"/>
        </w:rPr>
        <w:t>to</w:t>
      </w:r>
      <w:r>
        <w:rPr>
          <w:lang w:val="en-GB"/>
        </w:rPr>
        <w:t xml:space="preserve"> a</w:t>
      </w:r>
      <w:r w:rsidR="002C4375">
        <w:rPr>
          <w:lang w:val="en-GB"/>
        </w:rPr>
        <w:t xml:space="preserve"> highly mixed flow regime.</w:t>
      </w:r>
      <w:r w:rsidR="001C5CF8">
        <w:rPr>
          <w:lang w:val="en-GB"/>
        </w:rPr>
        <w:t xml:space="preserve"> By increasing the Reynolds number, the vorte</w:t>
      </w:r>
      <w:r w:rsidR="002F474A">
        <w:rPr>
          <w:lang w:val="en-GB"/>
        </w:rPr>
        <w:t xml:space="preserve">x elongates in the outlet channels and increases in size. </w:t>
      </w:r>
      <w:r>
        <w:rPr>
          <w:lang w:val="en-GB"/>
        </w:rPr>
        <w:t>Conversely</w:t>
      </w:r>
      <w:r w:rsidR="002F474A">
        <w:rPr>
          <w:lang w:val="en-GB"/>
        </w:rPr>
        <w:t xml:space="preserve">, in the arrow-microreactor, three different flow regimes occur before </w:t>
      </w:r>
      <w:r>
        <w:rPr>
          <w:lang w:val="en-GB"/>
        </w:rPr>
        <w:t>transitioning to</w:t>
      </w:r>
      <w:r w:rsidR="002F474A">
        <w:rPr>
          <w:lang w:val="en-GB"/>
        </w:rPr>
        <w:t xml:space="preserve"> unsteady flow: the vortex, the engulfment</w:t>
      </w:r>
      <w:r w:rsidR="00376AEF">
        <w:rPr>
          <w:lang w:val="en-GB"/>
        </w:rPr>
        <w:t>,</w:t>
      </w:r>
      <w:r w:rsidR="002F474A">
        <w:rPr>
          <w:lang w:val="en-GB"/>
        </w:rPr>
        <w:t xml:space="preserve"> and the single-vortex regimes. Unlike the X-shaped geometry, the engulfment regime in the arrow</w:t>
      </w:r>
      <w:r w:rsidR="009E227F">
        <w:rPr>
          <w:lang w:val="en-GB"/>
        </w:rPr>
        <w:t xml:space="preserve"> </w:t>
      </w:r>
      <w:r w:rsidR="002F474A">
        <w:rPr>
          <w:lang w:val="en-GB"/>
        </w:rPr>
        <w:t>geometry is characterized by the presence of two co-rotating vort</w:t>
      </w:r>
      <w:r w:rsidR="009E227F">
        <w:rPr>
          <w:lang w:val="en-GB"/>
        </w:rPr>
        <w:t>ices</w:t>
      </w:r>
      <w:r w:rsidR="002F474A">
        <w:rPr>
          <w:lang w:val="en-GB"/>
        </w:rPr>
        <w:t xml:space="preserve"> </w:t>
      </w:r>
      <w:r>
        <w:rPr>
          <w:lang w:val="en-GB"/>
        </w:rPr>
        <w:t>that</w:t>
      </w:r>
      <w:r w:rsidR="002F474A">
        <w:rPr>
          <w:lang w:val="en-GB"/>
        </w:rPr>
        <w:t xml:space="preserve"> extend in the outlet channel.</w:t>
      </w:r>
      <w:r w:rsidR="006D189F">
        <w:rPr>
          <w:lang w:val="en-GB"/>
        </w:rPr>
        <w:t xml:space="preserve"> The reaction yield is evaluated and compared in the two geometries, showing that higher performance is </w:t>
      </w:r>
      <w:r>
        <w:rPr>
          <w:lang w:val="en-GB"/>
        </w:rPr>
        <w:t>achieved</w:t>
      </w:r>
      <w:r w:rsidR="006D189F">
        <w:rPr>
          <w:lang w:val="en-GB"/>
        </w:rPr>
        <w:t xml:space="preserve"> when a single central vortex is present in the outlet channels. </w:t>
      </w:r>
    </w:p>
    <w:p w14:paraId="144DE687" w14:textId="191DDE63" w:rsidR="008D2649" w:rsidRDefault="008D2649" w:rsidP="008D2649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>:</w:t>
      </w:r>
      <w:r w:rsidR="00C350C4">
        <w:rPr>
          <w:lang w:val="en-GB"/>
        </w:rPr>
        <w:t xml:space="preserve"> Microfluidics, microreactors, CFD simulations</w:t>
      </w:r>
      <w:r>
        <w:rPr>
          <w:lang w:val="en-GB"/>
        </w:rPr>
        <w:t>.</w:t>
      </w:r>
    </w:p>
    <w:p w14:paraId="144DE689" w14:textId="7E22AC1F" w:rsidR="008D2649" w:rsidRDefault="00C350C4" w:rsidP="008D2649">
      <w:pPr>
        <w:pStyle w:val="Els-1storder-head"/>
      </w:pPr>
      <w:r>
        <w:t>Introduction</w:t>
      </w:r>
    </w:p>
    <w:p w14:paraId="16D1F392" w14:textId="530A258C" w:rsidR="00A3284D" w:rsidRDefault="006D6D2E" w:rsidP="00A3284D">
      <w:pPr>
        <w:pStyle w:val="Els-body-text"/>
      </w:pPr>
      <w:r>
        <w:t xml:space="preserve">Micromixers and microreactors </w:t>
      </w:r>
      <w:r w:rsidR="0008678E">
        <w:t>consist of</w:t>
      </w:r>
      <w:r>
        <w:t xml:space="preserve"> channels </w:t>
      </w:r>
      <w:r w:rsidR="0008678E">
        <w:t>with a</w:t>
      </w:r>
      <w:r>
        <w:t xml:space="preserve"> width </w:t>
      </w:r>
      <m:oMath>
        <m:r>
          <w:rPr>
            <w:rFonts w:ascii="Cambria Math" w:hAnsi="Cambria Math"/>
          </w:rPr>
          <m:t>≤</m:t>
        </m:r>
      </m:oMath>
      <w:r>
        <w:t xml:space="preserve"> 1mm. They ensure continuous operation and </w:t>
      </w:r>
      <w:r w:rsidR="0008678E">
        <w:t>precise</w:t>
      </w:r>
      <w:r>
        <w:t xml:space="preserve"> control over the reaction progress </w:t>
      </w:r>
      <w:r w:rsidR="0008678E">
        <w:t>due</w:t>
      </w:r>
      <w:r>
        <w:t xml:space="preserve"> to the large surface-to-volume ratio</w:t>
      </w:r>
      <w:r w:rsidR="004266BA">
        <w:t xml:space="preserve"> (Rossetti et al. 2016)</w:t>
      </w:r>
      <w:r>
        <w:t xml:space="preserve">. This </w:t>
      </w:r>
      <w:r w:rsidR="009E227F">
        <w:t xml:space="preserve">feature can be exploited to achieve very </w:t>
      </w:r>
      <w:r>
        <w:t>high reaction yield</w:t>
      </w:r>
      <w:r w:rsidR="009E227F">
        <w:t>s</w:t>
      </w:r>
      <w:r>
        <w:t xml:space="preserve"> and selectivit</w:t>
      </w:r>
      <w:r w:rsidR="00A119FA">
        <w:t>y</w:t>
      </w:r>
      <w:r>
        <w:t xml:space="preserve">, </w:t>
      </w:r>
      <w:r w:rsidR="009E227F">
        <w:t>allowing</w:t>
      </w:r>
      <w:r>
        <w:t xml:space="preserve"> the reduction of reagent</w:t>
      </w:r>
      <w:r w:rsidR="0002213A">
        <w:t>s</w:t>
      </w:r>
      <w:r>
        <w:t xml:space="preserve"> and waste</w:t>
      </w:r>
      <w:r w:rsidR="009E227F">
        <w:t>s</w:t>
      </w:r>
      <w:r>
        <w:t xml:space="preserve">. </w:t>
      </w:r>
    </w:p>
    <w:p w14:paraId="4C8D8CEF" w14:textId="54EE6BC6" w:rsidR="00B803B4" w:rsidRDefault="009E227F" w:rsidP="00A3284D">
      <w:pPr>
        <w:pStyle w:val="Els-body-text"/>
      </w:pPr>
      <w:r>
        <w:t>As the e</w:t>
      </w:r>
      <w:r w:rsidR="004266BA">
        <w:t xml:space="preserve">fficient mixing is fundamental </w:t>
      </w:r>
      <w:r w:rsidR="0008678E">
        <w:t xml:space="preserve">for </w:t>
      </w:r>
      <w:r>
        <w:t>ensuring</w:t>
      </w:r>
      <w:r w:rsidR="004266BA">
        <w:t xml:space="preserve"> high reaction yields, different design</w:t>
      </w:r>
      <w:r>
        <w:t>s</w:t>
      </w:r>
      <w:r w:rsidR="004266BA">
        <w:t xml:space="preserve"> ha</w:t>
      </w:r>
      <w:r>
        <w:t>ve</w:t>
      </w:r>
      <w:r w:rsidR="004266BA">
        <w:t xml:space="preserve"> been proposed to </w:t>
      </w:r>
      <w:r w:rsidR="0008678E">
        <w:t>enhance</w:t>
      </w:r>
      <w:r w:rsidR="004266BA">
        <w:t xml:space="preserve"> mixing</w:t>
      </w:r>
      <w:r>
        <w:t xml:space="preserve"> because the typical flow regime is laminar</w:t>
      </w:r>
      <w:r w:rsidR="004266BA">
        <w:t xml:space="preserve">. </w:t>
      </w:r>
      <w:r w:rsidR="0008678E">
        <w:t>Among these, t</w:t>
      </w:r>
      <w:r w:rsidR="004266BA">
        <w:t>he T-</w:t>
      </w:r>
      <w:r w:rsidR="00D06F2F">
        <w:t>micromixer</w:t>
      </w:r>
      <w:r w:rsidR="004266BA">
        <w:t xml:space="preserve"> is the most studied configuration. Despite its simple design, </w:t>
      </w:r>
      <w:r w:rsidR="00A119FA">
        <w:t>it</w:t>
      </w:r>
      <w:r w:rsidR="004266BA">
        <w:t xml:space="preserve"> </w:t>
      </w:r>
      <w:r w:rsidR="0008678E">
        <w:t>exhibits</w:t>
      </w:r>
      <w:r w:rsidR="004266BA">
        <w:t xml:space="preserve"> different complex flow regimes </w:t>
      </w:r>
      <w:r w:rsidR="0008678E">
        <w:t xml:space="preserve">as </w:t>
      </w:r>
      <w:r w:rsidR="004266BA">
        <w:t>the Reynolds number</w:t>
      </w:r>
      <w:r w:rsidR="0008678E">
        <w:t xml:space="preserve"> increases</w:t>
      </w:r>
      <w:r w:rsidR="00A119FA">
        <w:t xml:space="preserve"> (</w:t>
      </w:r>
      <w:proofErr w:type="spellStart"/>
      <w:r w:rsidR="00A119FA">
        <w:t>Mariotti</w:t>
      </w:r>
      <w:proofErr w:type="spellEnd"/>
      <w:r w:rsidR="00A119FA">
        <w:t xml:space="preserve"> et al. 2020)</w:t>
      </w:r>
      <w:r w:rsidR="004266BA">
        <w:t xml:space="preserve">. </w:t>
      </w:r>
    </w:p>
    <w:p w14:paraId="321249CF" w14:textId="4B645ACB" w:rsidR="00D244E1" w:rsidRDefault="002D1432" w:rsidP="00D244E1">
      <w:pPr>
        <w:pStyle w:val="Els-body-text"/>
      </w:pPr>
      <w:r w:rsidRPr="002D1432">
        <w:t xml:space="preserve">In this work, we focus on two </w:t>
      </w:r>
      <w:r w:rsidR="0008678E">
        <w:t xml:space="preserve">additional </w:t>
      </w:r>
      <w:r w:rsidRPr="002D1432">
        <w:t xml:space="preserve">simple geometries, </w:t>
      </w:r>
      <w:r w:rsidR="0008678E">
        <w:t>namely</w:t>
      </w:r>
      <w:r w:rsidRPr="002D1432">
        <w:t xml:space="preserve"> the X- and the arrow-microreactors, fed with reactive streams.</w:t>
      </w:r>
      <w:r>
        <w:t xml:space="preserve"> </w:t>
      </w:r>
      <w:r w:rsidR="00BD1623">
        <w:t xml:space="preserve">The X- and the arrow-micromixer were characterized by </w:t>
      </w:r>
      <w:r w:rsidR="00D244E1">
        <w:t>fe</w:t>
      </w:r>
      <w:r w:rsidR="00BD1623">
        <w:t>eding</w:t>
      </w:r>
      <w:r w:rsidR="00D244E1">
        <w:t xml:space="preserve"> water (see Zhang et al. 2019 </w:t>
      </w:r>
      <w:r w:rsidR="00BD1623">
        <w:t xml:space="preserve">and </w:t>
      </w:r>
      <w:proofErr w:type="spellStart"/>
      <w:r w:rsidR="00BD1623">
        <w:t>Mariotti</w:t>
      </w:r>
      <w:proofErr w:type="spellEnd"/>
      <w:r w:rsidR="00BD1623">
        <w:t xml:space="preserve"> et al. 2019)</w:t>
      </w:r>
      <w:r w:rsidR="00D244E1">
        <w:t xml:space="preserve">. </w:t>
      </w:r>
    </w:p>
    <w:p w14:paraId="4E6640A5" w14:textId="6A640789" w:rsidR="002D1432" w:rsidRDefault="00D06F2F" w:rsidP="00D06F2F">
      <w:pPr>
        <w:pStyle w:val="Els-body-text"/>
        <w:rPr>
          <w:lang w:val="en-GB"/>
        </w:rPr>
      </w:pPr>
      <w:r>
        <w:t xml:space="preserve">At low Reynolds numbers, </w:t>
      </w:r>
      <w:r w:rsidR="0008678E">
        <w:t>in</w:t>
      </w:r>
      <w:r>
        <w:t xml:space="preserve"> both geometries, the two inlet streams flow side by side in the mixing channel. By further increasing the Reynolds number, the vortex regime occurs in the arrow-micromixer,</w:t>
      </w:r>
      <w:r w:rsidR="0008678E">
        <w:t xml:space="preserve"> </w:t>
      </w:r>
      <w:r>
        <w:t xml:space="preserve">characterized by the presence of two </w:t>
      </w:r>
      <w:r w:rsidRPr="001B2B6C">
        <w:rPr>
          <w:lang w:val="en-GB"/>
        </w:rPr>
        <w:t xml:space="preserve">U-shaped vortical structures </w:t>
      </w:r>
      <w:r>
        <w:rPr>
          <w:lang w:val="en-GB"/>
        </w:rPr>
        <w:t xml:space="preserve">in the mixing channel. </w:t>
      </w:r>
      <w:r w:rsidR="0008678E">
        <w:rPr>
          <w:lang w:val="en-GB"/>
        </w:rPr>
        <w:t>Subsequently</w:t>
      </w:r>
      <w:r w:rsidR="002D1432">
        <w:rPr>
          <w:lang w:val="en-GB"/>
        </w:rPr>
        <w:t xml:space="preserve">, at </w:t>
      </w:r>
      <w:r w:rsidR="0008678E">
        <w:rPr>
          <w:lang w:val="en-GB"/>
        </w:rPr>
        <w:t>higher</w:t>
      </w:r>
      <w:r w:rsidR="002D1432">
        <w:rPr>
          <w:lang w:val="en-GB"/>
        </w:rPr>
        <w:t xml:space="preserve"> Reynolds </w:t>
      </w:r>
      <w:r w:rsidR="0008678E">
        <w:rPr>
          <w:lang w:val="en-GB"/>
        </w:rPr>
        <w:t xml:space="preserve">numbers </w:t>
      </w:r>
      <w:r w:rsidR="002D1432">
        <w:rPr>
          <w:lang w:val="en-GB"/>
        </w:rPr>
        <w:t>in the engulfment regime, o</w:t>
      </w:r>
      <w:r>
        <w:rPr>
          <w:lang w:val="en-GB"/>
        </w:rPr>
        <w:t xml:space="preserve">nly the two strongest legs </w:t>
      </w:r>
      <w:r w:rsidR="0008678E">
        <w:rPr>
          <w:lang w:val="en-GB"/>
        </w:rPr>
        <w:t>persist</w:t>
      </w:r>
      <w:r>
        <w:rPr>
          <w:lang w:val="en-GB"/>
        </w:rPr>
        <w:t xml:space="preserve"> in the </w:t>
      </w:r>
      <w:r w:rsidR="002D1432">
        <w:rPr>
          <w:lang w:val="en-GB"/>
        </w:rPr>
        <w:t>outlet</w:t>
      </w:r>
      <w:r>
        <w:rPr>
          <w:lang w:val="en-GB"/>
        </w:rPr>
        <w:t xml:space="preserve"> channel</w:t>
      </w:r>
      <w:r w:rsidR="002D1432">
        <w:rPr>
          <w:lang w:val="en-GB"/>
        </w:rPr>
        <w:t xml:space="preserve">. </w:t>
      </w:r>
      <w:r w:rsidR="0008678E">
        <w:t xml:space="preserve">With a further </w:t>
      </w:r>
      <w:r w:rsidR="0008678E">
        <w:lastRenderedPageBreak/>
        <w:t xml:space="preserve">increase in the Reynolds number </w:t>
      </w:r>
      <w:r w:rsidR="0002213A">
        <w:t>in the arrow-micromixer, the two co-rotating vortices merge in the outlet channel, leading to a single-vortex regime.</w:t>
      </w:r>
    </w:p>
    <w:p w14:paraId="083D134C" w14:textId="38EC2F85" w:rsidR="00D06F2F" w:rsidRDefault="00923D15" w:rsidP="00D06F2F">
      <w:pPr>
        <w:pStyle w:val="Els-body-text"/>
      </w:pPr>
      <w:r>
        <w:t>Instead, t</w:t>
      </w:r>
      <w:r w:rsidR="002D1432">
        <w:t>he</w:t>
      </w:r>
      <w:r w:rsidR="00D06F2F">
        <w:t xml:space="preserve"> vortex regime does not </w:t>
      </w:r>
      <w:r w:rsidR="0008678E">
        <w:t>occur</w:t>
      </w:r>
      <w:r w:rsidR="00D06F2F">
        <w:t xml:space="preserve"> in the X-</w:t>
      </w:r>
      <w:r w:rsidR="002D1432">
        <w:t>micromixer</w:t>
      </w:r>
      <w:r w:rsidR="0008678E">
        <w:t>,</w:t>
      </w:r>
      <w:r w:rsidR="002D1432">
        <w:t xml:space="preserve"> and the engulfment regime </w:t>
      </w:r>
      <w:r w:rsidR="0008678E">
        <w:t>takes place</w:t>
      </w:r>
      <w:r w:rsidR="002D1432">
        <w:t xml:space="preserve"> at </w:t>
      </w:r>
      <w:r w:rsidR="0002213A">
        <w:t xml:space="preserve">a </w:t>
      </w:r>
      <w:r w:rsidR="002D1432">
        <w:t xml:space="preserve">lower Reynolds number compared to the arrow-geometry. </w:t>
      </w:r>
      <w:r w:rsidR="0002213A">
        <w:t>In this case, t</w:t>
      </w:r>
      <w:r w:rsidR="002D1432">
        <w:t xml:space="preserve">he engulfment regime </w:t>
      </w:r>
      <w:r w:rsidR="0002213A">
        <w:t xml:space="preserve">differs from </w:t>
      </w:r>
      <w:r w:rsidR="0008678E">
        <w:t>that</w:t>
      </w:r>
      <w:r w:rsidR="0002213A">
        <w:t xml:space="preserve"> in the arrow-micromixer, in fact, it is characterized by a single vortical structure placed in the center of the outlet channels</w:t>
      </w:r>
      <w:r w:rsidR="002D1432">
        <w:t xml:space="preserve">. </w:t>
      </w:r>
    </w:p>
    <w:p w14:paraId="6ABCB10C" w14:textId="2DCADDD5" w:rsidR="0083341C" w:rsidRPr="00A3284D" w:rsidRDefault="002D1432" w:rsidP="00A3284D">
      <w:pPr>
        <w:pStyle w:val="Els-body-text"/>
      </w:pPr>
      <w:r>
        <w:t>Th</w:t>
      </w:r>
      <w:r w:rsidR="00946BF4">
        <w:t xml:space="preserve">is work </w:t>
      </w:r>
      <w:r>
        <w:t>aim</w:t>
      </w:r>
      <w:r w:rsidR="00946BF4">
        <w:t>s</w:t>
      </w:r>
      <w:r>
        <w:t xml:space="preserve"> </w:t>
      </w:r>
      <w:r w:rsidR="0004388F">
        <w:t>at</w:t>
      </w:r>
      <w:r>
        <w:t xml:space="preserve"> characteriz</w:t>
      </w:r>
      <w:r w:rsidR="0004388F">
        <w:t>ing</w:t>
      </w:r>
      <w:r>
        <w:t xml:space="preserve"> the flow inside the X- and the arrow-microreactors, </w:t>
      </w:r>
      <w:r w:rsidR="0008678E">
        <w:t xml:space="preserve">both </w:t>
      </w:r>
      <w:r>
        <w:t xml:space="preserve">fed with reactants, </w:t>
      </w:r>
      <w:r w:rsidR="0004388F">
        <w:t>to ultimately</w:t>
      </w:r>
      <w:r>
        <w:t xml:space="preserve"> investigate</w:t>
      </w:r>
      <w:r w:rsidR="006D189F">
        <w:t xml:space="preserve"> the </w:t>
      </w:r>
      <w:r w:rsidR="0004388F">
        <w:t xml:space="preserve">impact on the </w:t>
      </w:r>
      <w:r w:rsidR="006D189F">
        <w:t>reaction performance</w:t>
      </w:r>
      <w:r>
        <w:t>.</w:t>
      </w:r>
      <w:r w:rsidR="0004388F">
        <w:t xml:space="preserve"> More specifically</w:t>
      </w:r>
      <w:r>
        <w:t xml:space="preserve">, we analyze the reaction </w:t>
      </w:r>
      <w:r w:rsidR="0004388F">
        <w:t>rate</w:t>
      </w:r>
      <w:r>
        <w:t xml:space="preserve"> and the contact area between the two inlet </w:t>
      </w:r>
      <w:r w:rsidR="0004388F">
        <w:t xml:space="preserve">reactive </w:t>
      </w:r>
      <w:r>
        <w:t>streams</w:t>
      </w:r>
      <w:r w:rsidR="0004388F">
        <w:t>,</w:t>
      </w:r>
      <w:r>
        <w:t xml:space="preserve"> to understand how flow regimes</w:t>
      </w:r>
      <w:r w:rsidR="0004388F">
        <w:t xml:space="preserve"> triggered by different geometries</w:t>
      </w:r>
      <w:r>
        <w:t xml:space="preserve"> affect the reaction yield.</w:t>
      </w:r>
    </w:p>
    <w:p w14:paraId="144DE699" w14:textId="7B1EE5D0" w:rsidR="008D2649" w:rsidRDefault="00B826C9" w:rsidP="008D2649">
      <w:pPr>
        <w:pStyle w:val="Els-1storder-head"/>
      </w:pPr>
      <w:r>
        <w:t>Geometries and reactive fluids</w:t>
      </w:r>
    </w:p>
    <w:p w14:paraId="63994916" w14:textId="073969E9" w:rsidR="00C350C4" w:rsidRPr="002A3700" w:rsidRDefault="00C350C4" w:rsidP="00C350C4">
      <w:pPr>
        <w:pStyle w:val="Els-body-text"/>
      </w:pPr>
      <w:r>
        <w:t xml:space="preserve">Figure (1) shows the geometries of the </w:t>
      </w:r>
      <w:r w:rsidR="001D7F3B">
        <w:t xml:space="preserve">two </w:t>
      </w:r>
      <w:r>
        <w:t>microreactors.</w:t>
      </w:r>
      <w:r w:rsidR="002A3700">
        <w:t xml:space="preserve"> The arrow-microreactor</w:t>
      </w:r>
      <w:r w:rsidR="00F37D15">
        <w:t xml:space="preserve"> </w:t>
      </w:r>
      <w:r w:rsidR="002A3700">
        <w:t xml:space="preserve">has two identical inlet channels, </w:t>
      </w:r>
      <w:r w:rsidR="00CC2DC6">
        <w:t xml:space="preserve">each </w:t>
      </w:r>
      <w:r w:rsidR="002A3700">
        <w:t>40 mm long, with a square cross-section (W</w:t>
      </w:r>
      <w:r w:rsidR="002A3700" w:rsidRPr="002A3700">
        <w:rPr>
          <w:vertAlign w:val="subscript"/>
        </w:rPr>
        <w:t>i</w:t>
      </w:r>
      <w:r w:rsidR="002A3700">
        <w:t>=H=1 mm)</w:t>
      </w:r>
      <w:r w:rsidR="001D7F3B">
        <w:t>,</w:t>
      </w:r>
      <w:r w:rsidR="002A3700">
        <w:t xml:space="preserve"> and </w:t>
      </w:r>
      <w:r w:rsidR="00CC2DC6">
        <w:t>an</w:t>
      </w:r>
      <w:r w:rsidR="002A3700">
        <w:t xml:space="preserve"> outlet channel, 60 mm long, with a rectangular cross-section (W</w:t>
      </w:r>
      <w:r w:rsidR="002A3700" w:rsidRPr="002A3700">
        <w:rPr>
          <w:vertAlign w:val="subscript"/>
        </w:rPr>
        <w:t>o</w:t>
      </w:r>
      <w:r w:rsidR="002A3700">
        <w:t>= 2H= 2 mm). The angle between the x-axis and the inlet channels is 20°. The X-microreactor has four identical channels with a square cross-section (W</w:t>
      </w:r>
      <w:r w:rsidR="002A3700" w:rsidRPr="002A3700">
        <w:rPr>
          <w:vertAlign w:val="subscript"/>
        </w:rPr>
        <w:t>i</w:t>
      </w:r>
      <w:r w:rsidR="002A3700">
        <w:t>=H=1 mm)</w:t>
      </w:r>
      <w:r w:rsidR="00CC2DC6">
        <w:t>, each having</w:t>
      </w:r>
      <w:r w:rsidR="002A3700">
        <w:t xml:space="preserve"> </w:t>
      </w:r>
      <w:r w:rsidR="00CC2DC6">
        <w:t>a length of</w:t>
      </w:r>
      <w:r w:rsidR="002A3700">
        <w:t xml:space="preserve"> 60 mm. </w:t>
      </w:r>
      <w:r w:rsidR="0004388F">
        <w:t>Such a</w:t>
      </w:r>
      <w:r w:rsidR="00B045C0">
        <w:t xml:space="preserve"> X-microreactor is used in</w:t>
      </w:r>
      <w:r w:rsidR="001D7F3B">
        <w:t xml:space="preserve"> the</w:t>
      </w:r>
      <w:r w:rsidR="00B045C0">
        <w:t xml:space="preserve"> impinging jet configuration, which means 2 inlets and 2 outlets.</w:t>
      </w:r>
    </w:p>
    <w:p w14:paraId="7FED0EC9" w14:textId="597CECC5" w:rsidR="00F37D15" w:rsidRPr="00F37D15" w:rsidRDefault="004017E5" w:rsidP="00F37D15">
      <w:pPr>
        <w:pStyle w:val="Els-body-text"/>
      </w:pPr>
      <w:r>
        <w:t xml:space="preserve">The </w:t>
      </w:r>
      <w:r w:rsidR="00CC2DC6">
        <w:t xml:space="preserve">chemical </w:t>
      </w:r>
      <w:r>
        <w:t>reaction is t</w:t>
      </w:r>
      <w:r w:rsidR="00F37D15">
        <w:t xml:space="preserve">he reduction of methylene blue </w:t>
      </w:r>
      <w:r w:rsidR="0004388F">
        <w:t>(</w:t>
      </w:r>
      <w:r w:rsidR="00F37D15">
        <w:t>MB+</w:t>
      </w:r>
      <w:r w:rsidR="0004388F">
        <w:t>)</w:t>
      </w:r>
      <w:r w:rsidR="002C7008">
        <w:t>,</w:t>
      </w:r>
      <w:r w:rsidR="00F37D15">
        <w:t xml:space="preserve"> to the </w:t>
      </w:r>
      <w:proofErr w:type="spellStart"/>
      <w:r w:rsidR="00F37D15">
        <w:t>leucomethylene</w:t>
      </w:r>
      <w:proofErr w:type="spellEnd"/>
      <w:r w:rsidR="00F37D15">
        <w:t xml:space="preserve"> blue </w:t>
      </w:r>
      <w:r w:rsidR="002C7008">
        <w:t>(</w:t>
      </w:r>
      <w:r w:rsidR="00F37D15">
        <w:t>LMB+</w:t>
      </w:r>
      <w:r w:rsidR="002C7008">
        <w:t>)</w:t>
      </w:r>
      <w:r w:rsidR="00F37D15">
        <w:t xml:space="preserve">, using ascorbic acid </w:t>
      </w:r>
      <w:r w:rsidR="002C7008">
        <w:t>(</w:t>
      </w:r>
      <w:proofErr w:type="spellStart"/>
      <w:r w:rsidR="00F37D15">
        <w:t>AsA</w:t>
      </w:r>
      <w:proofErr w:type="spellEnd"/>
      <w:r w:rsidR="002C7008">
        <w:t>)</w:t>
      </w:r>
      <w:r w:rsidR="00F37D15">
        <w:t xml:space="preserve"> </w:t>
      </w:r>
      <w:r w:rsidR="002C7008">
        <w:t>with</w:t>
      </w:r>
      <w:r w:rsidR="00F37D15">
        <w:t xml:space="preserve"> the hydrogen chloride </w:t>
      </w:r>
      <w:r w:rsidR="002C7008">
        <w:t>(</w:t>
      </w:r>
      <w:r w:rsidR="00F37D15">
        <w:t>HCl</w:t>
      </w:r>
      <w:r w:rsidR="002C7008">
        <w:t>)</w:t>
      </w:r>
      <w:r w:rsidR="00F37D15">
        <w:t xml:space="preserve"> </w:t>
      </w:r>
      <w:r w:rsidR="002C7008">
        <w:t>acting as</w:t>
      </w:r>
      <w:r w:rsidR="00F37D15">
        <w:t xml:space="preserve"> the catalyst of the reaction. The dehydroascorbic acid </w:t>
      </w:r>
      <w:r w:rsidR="002C7008">
        <w:t>(</w:t>
      </w:r>
      <w:r w:rsidR="00F37D15">
        <w:t>DA</w:t>
      </w:r>
      <w:r w:rsidR="002C7008">
        <w:t>)</w:t>
      </w:r>
      <w:r w:rsidR="00F37D15">
        <w:t xml:space="preserve"> is </w:t>
      </w:r>
      <w:r w:rsidR="002C7008">
        <w:t xml:space="preserve">also a reaction </w:t>
      </w:r>
      <w:r w:rsidR="00F37D15">
        <w:t>product</w:t>
      </w:r>
      <w:r w:rsidR="002C7008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21"/>
        <w:gridCol w:w="965"/>
      </w:tblGrid>
      <w:tr w:rsidR="00F37D15" w:rsidRPr="00A94774" w14:paraId="4DB1F182" w14:textId="77777777" w:rsidTr="00AC611D">
        <w:tc>
          <w:tcPr>
            <w:tcW w:w="6317" w:type="dxa"/>
            <w:shd w:val="clear" w:color="auto" w:fill="auto"/>
            <w:vAlign w:val="center"/>
          </w:tcPr>
          <w:p w14:paraId="445D221D" w14:textId="45C795BE" w:rsidR="00F37D15" w:rsidRPr="00AC611D" w:rsidRDefault="00000000" w:rsidP="00D75B21">
            <w:pPr>
              <w:pStyle w:val="Els-body-text"/>
              <w:spacing w:before="120" w:after="120" w:line="264" w:lineRule="auto"/>
              <w:rPr>
                <w:lang w:val="en-GB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MB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 xml:space="preserve">+AsA </m:t>
                </m:r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boxPr>
                  <m:e>
                    <m:groupChr>
                      <m:groupChrPr>
                        <m:chr m:val="→"/>
                        <m:vertJc m:val="bot"/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groupChr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HCl</m:t>
                        </m:r>
                      </m:e>
                    </m:groupChr>
                  </m:e>
                </m:box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LMB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+DA</m:t>
                </m:r>
              </m:oMath>
            </m:oMathPara>
          </w:p>
        </w:tc>
        <w:tc>
          <w:tcPr>
            <w:tcW w:w="985" w:type="dxa"/>
            <w:shd w:val="clear" w:color="auto" w:fill="auto"/>
            <w:vAlign w:val="center"/>
          </w:tcPr>
          <w:p w14:paraId="43F29E5B" w14:textId="77777777" w:rsidR="00F37D15" w:rsidRPr="00A94774" w:rsidRDefault="00F37D15" w:rsidP="003F4BB5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(1)</w:t>
            </w:r>
          </w:p>
        </w:tc>
      </w:tr>
    </w:tbl>
    <w:p w14:paraId="4A84088B" w14:textId="15A55551" w:rsidR="00C350C4" w:rsidRDefault="00F37D15" w:rsidP="00C350C4">
      <w:pPr>
        <w:pStyle w:val="Els-body-text"/>
      </w:pPr>
      <w:r>
        <w:t xml:space="preserve">The progress of the reaction </w:t>
      </w:r>
      <w:r w:rsidR="002C7008">
        <w:t>can be</w:t>
      </w:r>
      <w:r>
        <w:t xml:space="preserve"> </w:t>
      </w:r>
      <w:r w:rsidR="00CC2DC6">
        <w:t>monitored</w:t>
      </w:r>
      <w:r>
        <w:t xml:space="preserve"> by the </w:t>
      </w:r>
      <w:r w:rsidR="00923D15">
        <w:t>decolorization</w:t>
      </w:r>
      <w:r>
        <w:t xml:space="preserve"> of </w:t>
      </w:r>
      <w:r w:rsidR="002C7008">
        <w:t>the fluid streams that progressively occurs as MB+ is consumed</w:t>
      </w:r>
      <w:r w:rsidR="00923D15">
        <w:t>. The devices are made in transparent PMMA</w:t>
      </w:r>
      <w:r>
        <w:t xml:space="preserve"> allowing us to experimentally follow the extent of the reaction.</w:t>
      </w:r>
    </w:p>
    <w:p w14:paraId="0CE31390" w14:textId="48B2E45F" w:rsidR="008D0605" w:rsidRDefault="00B045C0" w:rsidP="008D0605">
      <w:pPr>
        <w:pStyle w:val="Els-body-text"/>
      </w:pPr>
      <w:r>
        <w:t>The aqueous solution of methylene blue ([MB+] = 5.31</w:t>
      </w:r>
      <m:oMath>
        <m:r>
          <w:rPr>
            <w:rFonts w:ascii="Cambria Math" w:hAnsi="Cambria Math"/>
          </w:rPr>
          <m:t>∙</m:t>
        </m:r>
      </m:oMath>
      <w:r>
        <w:t>10</w:t>
      </w:r>
      <w:r w:rsidRPr="00B045C0">
        <w:rPr>
          <w:vertAlign w:val="superscript"/>
        </w:rPr>
        <w:t>-5</w:t>
      </w:r>
      <w:r>
        <w:t xml:space="preserve"> mol/L) and hydrochloric acid ([HCl] = 2.19 mol/L) is fed </w:t>
      </w:r>
      <w:r w:rsidR="002C7008">
        <w:t xml:space="preserve">to </w:t>
      </w:r>
      <w:r>
        <w:t>one inlet channel (</w:t>
      </w:r>
      <w:r w:rsidR="00CC2DC6">
        <w:t xml:space="preserve">indicated by the </w:t>
      </w:r>
      <w:r>
        <w:t>black arrow)</w:t>
      </w:r>
      <w:r w:rsidR="00CC2DC6">
        <w:t xml:space="preserve">, while </w:t>
      </w:r>
      <w:r>
        <w:t>the aqueous solution of ascorbic acid ([</w:t>
      </w:r>
      <w:proofErr w:type="spellStart"/>
      <w:r>
        <w:t>AsA</w:t>
      </w:r>
      <w:proofErr w:type="spellEnd"/>
      <w:r>
        <w:t>] = 1.7 mol/L) is fed into the other (</w:t>
      </w:r>
      <w:r w:rsidR="00CC2DC6">
        <w:t xml:space="preserve">indicated by the </w:t>
      </w:r>
      <w:r>
        <w:t>white arrow).</w:t>
      </w:r>
      <w:r w:rsidR="00B826C9">
        <w:t xml:space="preserve"> </w:t>
      </w:r>
      <w:r w:rsidR="001D7F3B">
        <w:t>The p</w:t>
      </w:r>
      <w:r w:rsidR="00B826C9">
        <w:t xml:space="preserve">hysical </w:t>
      </w:r>
      <w:r w:rsidR="00E1639E">
        <w:t>properties</w:t>
      </w:r>
      <w:r w:rsidR="00B826C9">
        <w:t xml:space="preserve"> of the latter solution </w:t>
      </w:r>
      <w:r w:rsidR="006D189F">
        <w:t>depend</w:t>
      </w:r>
      <w:r w:rsidR="00B826C9">
        <w:t xml:space="preserve"> on the ascorbic acid content</w:t>
      </w:r>
      <w:r w:rsidR="002C7008">
        <w:t>. T</w:t>
      </w:r>
      <w:r w:rsidR="00B826C9">
        <w:t xml:space="preserve">he density is equal to </w:t>
      </w:r>
      <w:r w:rsidR="00B826C9" w:rsidRPr="00B826C9">
        <w:rPr>
          <w:rFonts w:ascii="Symbol" w:hAnsi="Symbol"/>
        </w:rPr>
        <w:t>r</w:t>
      </w:r>
      <w:r w:rsidR="00B826C9">
        <w:t xml:space="preserve"> = 1.117 g/cm</w:t>
      </w:r>
      <w:r w:rsidR="00B826C9" w:rsidRPr="00B826C9">
        <w:rPr>
          <w:vertAlign w:val="superscript"/>
        </w:rPr>
        <w:t>3</w:t>
      </w:r>
      <w:r w:rsidR="001D7F3B">
        <w:t>,</w:t>
      </w:r>
      <w:r w:rsidR="00B826C9">
        <w:t xml:space="preserve"> and the dynamic viscosity is </w:t>
      </w:r>
      <w:r w:rsidR="00B826C9" w:rsidRPr="00B826C9">
        <w:rPr>
          <w:rFonts w:ascii="Symbol" w:hAnsi="Symbol"/>
        </w:rPr>
        <w:t xml:space="preserve">m </w:t>
      </w:r>
      <w:r w:rsidR="00B826C9">
        <w:t>= 1.7 mPa</w:t>
      </w:r>
      <m:oMath>
        <m:r>
          <w:rPr>
            <w:rFonts w:ascii="Cambria Math" w:hAnsi="Cambria Math"/>
          </w:rPr>
          <m:t>∙</m:t>
        </m:r>
      </m:oMath>
      <w:r w:rsidR="00B826C9">
        <w:t>s</w:t>
      </w:r>
      <w:r w:rsidR="002C7008">
        <w:t xml:space="preserve"> for the above </w:t>
      </w:r>
      <w:proofErr w:type="spellStart"/>
      <w:r w:rsidR="002C7008">
        <w:t>AsA</w:t>
      </w:r>
      <w:proofErr w:type="spellEnd"/>
      <w:r w:rsidR="002C7008">
        <w:t xml:space="preserve"> concentration</w:t>
      </w:r>
      <w:r w:rsidR="00B826C9">
        <w:t>.</w:t>
      </w:r>
      <w:r w:rsidR="003B5DFE">
        <w:t xml:space="preserve"> </w:t>
      </w:r>
      <w:r w:rsidR="007155EA">
        <w:t>The kinetic of the reaction</w:t>
      </w:r>
      <w:r w:rsidR="003B5DFE">
        <w:t xml:space="preserve"> </w:t>
      </w:r>
      <w:r w:rsidR="007155EA">
        <w:t>follows a pseudo-first</w:t>
      </w:r>
      <w:r w:rsidR="001D7F3B">
        <w:t>-</w:t>
      </w:r>
      <w:r w:rsidR="007155EA">
        <w:t>order law in case of an excess of ascorbic aci</w:t>
      </w:r>
      <w:r w:rsidR="003B5DFE">
        <w:t>d</w:t>
      </w:r>
      <w:r w:rsidR="00923D15">
        <w:t xml:space="preserve"> (Mowry et al. 1999)</w:t>
      </w:r>
      <w:r w:rsidR="00CC2DC6">
        <w:t>. A</w:t>
      </w:r>
      <w:r w:rsidR="007155EA">
        <w:t xml:space="preserve">t the concentrations </w:t>
      </w:r>
      <w:r w:rsidR="002C7008">
        <w:t xml:space="preserve">of the present experiments </w:t>
      </w:r>
      <w:r w:rsidR="00CC2DC6">
        <w:t xml:space="preserve">the kinetic constant is </w:t>
      </w:r>
      <w:r w:rsidR="007155EA">
        <w:t>equal to k</w:t>
      </w:r>
      <w:r w:rsidR="007155EA" w:rsidRPr="007155EA">
        <w:rPr>
          <w:vertAlign w:val="subscript"/>
        </w:rPr>
        <w:t>r,0</w:t>
      </w:r>
      <w:r w:rsidR="007155EA">
        <w:rPr>
          <w:vertAlign w:val="subscript"/>
        </w:rPr>
        <w:t xml:space="preserve"> </w:t>
      </w:r>
      <w:r w:rsidR="007155EA">
        <w:t>= 21.43 s</w:t>
      </w:r>
      <w:r w:rsidR="007155EA" w:rsidRPr="007155EA">
        <w:rPr>
          <w:vertAlign w:val="superscript"/>
        </w:rPr>
        <w:t>-1</w:t>
      </w:r>
      <w:r w:rsidR="007155EA">
        <w:t>.</w:t>
      </w:r>
    </w:p>
    <w:p w14:paraId="00F20519" w14:textId="77777777" w:rsidR="008D0605" w:rsidRDefault="008D0605" w:rsidP="008D0605">
      <w:pPr>
        <w:pStyle w:val="Els-body-text"/>
      </w:pPr>
    </w:p>
    <w:p w14:paraId="37D64E69" w14:textId="77777777" w:rsidR="008D0605" w:rsidRDefault="008D0605" w:rsidP="008D0605">
      <w:pPr>
        <w:pStyle w:val="Els-body-text"/>
        <w:keepNext/>
      </w:pPr>
      <w:r>
        <w:rPr>
          <w:noProof/>
        </w:rPr>
        <w:drawing>
          <wp:inline distT="0" distB="0" distL="0" distR="0" wp14:anchorId="2BF96FC3" wp14:editId="36F11C8B">
            <wp:extent cx="4499610" cy="1297305"/>
            <wp:effectExtent l="0" t="0" r="0" b="0"/>
            <wp:docPr id="1788202556" name="Immagine 3" descr="Immagine che contiene linea, diagramma, schizzo, diseg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202556" name="Immagine 3" descr="Immagine che contiene linea, diagramma, schizzo, disegn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0A907" w14:textId="682427CB" w:rsidR="00C350C4" w:rsidRPr="00C350C4" w:rsidRDefault="008D0605" w:rsidP="008D0605">
      <w:pPr>
        <w:pStyle w:val="Didascalia"/>
        <w:jc w:val="both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6A7229">
        <w:rPr>
          <w:noProof/>
        </w:rPr>
        <w:t>1</w:t>
      </w:r>
      <w:r>
        <w:fldChar w:fldCharType="end"/>
      </w:r>
      <w:r>
        <w:t xml:space="preserve">: </w:t>
      </w:r>
      <w:r w:rsidRPr="004A170B">
        <w:t xml:space="preserve">Geometries and reference system of the (a) arrow-microreactor and </w:t>
      </w:r>
      <w:r w:rsidR="001D7F3B">
        <w:t xml:space="preserve">the </w:t>
      </w:r>
      <w:r w:rsidRPr="004A170B">
        <w:t>(b) X-microreactor.</w:t>
      </w:r>
    </w:p>
    <w:p w14:paraId="144DE6A1" w14:textId="5EE5789A" w:rsidR="008D2649" w:rsidRDefault="00B826C9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lastRenderedPageBreak/>
        <w:t>Numerical methodology</w:t>
      </w:r>
    </w:p>
    <w:p w14:paraId="35E62BA0" w14:textId="74609B4C" w:rsidR="007137BC" w:rsidRDefault="00B826C9" w:rsidP="007137BC">
      <w:pPr>
        <w:pStyle w:val="Els-body-text"/>
        <w:rPr>
          <w:lang w:val="en-GB"/>
        </w:rPr>
      </w:pPr>
      <w:r>
        <w:rPr>
          <w:lang w:val="en-GB"/>
        </w:rPr>
        <w:t>Steady Navier</w:t>
      </w:r>
      <w:r w:rsidR="002C7008">
        <w:rPr>
          <w:lang w:val="en-GB"/>
        </w:rPr>
        <w:t>-</w:t>
      </w:r>
      <w:r>
        <w:rPr>
          <w:lang w:val="en-GB"/>
        </w:rPr>
        <w:t>Stokes equations and transport/reactions equations for all chemical species except water</w:t>
      </w:r>
      <w:r w:rsidR="002C7008">
        <w:rPr>
          <w:lang w:val="en-GB"/>
        </w:rPr>
        <w:t xml:space="preserve"> are solved with the finite volume code ANSYS Fluent v</w:t>
      </w:r>
      <w:r w:rsidR="00D84729">
        <w:rPr>
          <w:lang w:val="en-GB"/>
        </w:rPr>
        <w:t>.</w:t>
      </w:r>
      <w:r w:rsidR="002C7008">
        <w:rPr>
          <w:lang w:val="en-GB"/>
        </w:rPr>
        <w:t>20</w:t>
      </w:r>
      <w:r>
        <w:rPr>
          <w:lang w:val="en-GB"/>
        </w:rPr>
        <w:t xml:space="preserve">. </w:t>
      </w:r>
    </w:p>
    <w:tbl>
      <w:tblPr>
        <w:tblW w:w="7082" w:type="dxa"/>
        <w:tblInd w:w="5" w:type="dxa"/>
        <w:tblLook w:val="04A0" w:firstRow="1" w:lastRow="0" w:firstColumn="1" w:lastColumn="0" w:noHBand="0" w:noVBand="1"/>
      </w:tblPr>
      <w:tblGrid>
        <w:gridCol w:w="6117"/>
        <w:gridCol w:w="965"/>
      </w:tblGrid>
      <w:tr w:rsidR="00AC611D" w:rsidRPr="00A94774" w14:paraId="456D44A5" w14:textId="77777777" w:rsidTr="00AC611D">
        <w:tc>
          <w:tcPr>
            <w:tcW w:w="6117" w:type="dxa"/>
            <w:shd w:val="clear" w:color="auto" w:fill="auto"/>
            <w:vAlign w:val="center"/>
          </w:tcPr>
          <w:p w14:paraId="566F7D9B" w14:textId="18344AD0" w:rsidR="00AC611D" w:rsidRPr="00AC611D" w:rsidRDefault="00AC611D" w:rsidP="00814372">
            <w:pPr>
              <w:pStyle w:val="Els-body-text"/>
              <w:spacing w:before="120" w:after="120" w:line="264" w:lineRule="auto"/>
              <w:rPr>
                <w:rFonts w:ascii="Cambria Math" w:hAnsi="Cambria Math"/>
                <w:lang w:val="en-GB"/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∇</m:t>
                </m:r>
                <m:d>
                  <m:d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hAnsi="Cambria Math"/>
                            <w:lang w:val="en-GB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ρ</m:t>
                        </m:r>
                      </m:e>
                    </m:acc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u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=0</m:t>
                </m:r>
              </m:oMath>
            </m:oMathPara>
          </w:p>
        </w:tc>
        <w:tc>
          <w:tcPr>
            <w:tcW w:w="965" w:type="dxa"/>
            <w:shd w:val="clear" w:color="auto" w:fill="auto"/>
            <w:vAlign w:val="center"/>
          </w:tcPr>
          <w:p w14:paraId="0E32943B" w14:textId="50BC97CD" w:rsidR="00AC611D" w:rsidRPr="00A94774" w:rsidRDefault="00AC611D" w:rsidP="00814372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</w:t>
            </w:r>
            <w:r>
              <w:rPr>
                <w:lang w:val="en-GB"/>
              </w:rPr>
              <w:t>2</w:t>
            </w:r>
            <w:r w:rsidRPr="00A94774">
              <w:rPr>
                <w:lang w:val="en-GB"/>
              </w:rPr>
              <w:t>)</w:t>
            </w:r>
          </w:p>
        </w:tc>
      </w:tr>
      <w:tr w:rsidR="00AC611D" w:rsidRPr="00A94774" w14:paraId="7E6FF604" w14:textId="77777777" w:rsidTr="00AC611D">
        <w:tc>
          <w:tcPr>
            <w:tcW w:w="6117" w:type="dxa"/>
            <w:shd w:val="clear" w:color="auto" w:fill="auto"/>
            <w:vAlign w:val="center"/>
          </w:tcPr>
          <w:p w14:paraId="49DD3F3A" w14:textId="03944018" w:rsidR="00AC611D" w:rsidRPr="00AC611D" w:rsidRDefault="00000000" w:rsidP="00814372">
            <w:pPr>
              <w:pStyle w:val="Els-body-text"/>
              <w:spacing w:before="120" w:after="120" w:line="264" w:lineRule="auto"/>
              <w:rPr>
                <w:rFonts w:ascii="Cambria Math" w:hAnsi="Cambria Math"/>
                <w:lang w:val="en-GB"/>
                <w:oMath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ρ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∇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u</m:t>
                </m:r>
                <m:r>
                  <w:rPr>
                    <w:rFonts w:ascii="Cambria Math" w:hAnsi="Cambria Math"/>
                    <w:lang w:val="en-GB"/>
                  </w:rPr>
                  <m:t>=-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∇</m:t>
                </m:r>
                <m:r>
                  <w:rPr>
                    <w:rFonts w:ascii="Cambria Math" w:hAnsi="Cambria Math"/>
                    <w:lang w:val="en-GB"/>
                  </w:rPr>
                  <m:t>p+</m:t>
                </m:r>
                <m:f>
                  <m:f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Re</m:t>
                    </m: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∇⋅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hAnsi="Cambria Math"/>
                            <w:lang w:val="en-GB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μ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∇</m:t>
                        </m:r>
                        <m:r>
                          <w:rPr>
                            <w:rFonts w:ascii="Cambria Math" w:hAnsi="Cambria Math"/>
                            <w:lang w:val="en-GB"/>
                          </w:rPr>
                          <m:t>u+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∇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T</m:t>
                            </m:r>
                          </m:sup>
                        </m:sSup>
                      </m:e>
                    </m:d>
                  </m:e>
                </m:d>
                <m:r>
                  <w:rPr>
                    <w:rFonts w:ascii="Cambria Math" w:hAnsi="Cambria Math"/>
                    <w:lang w:val="en-GB"/>
                  </w:rPr>
                  <m:t>+Ri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hAnsi="Cambria Math"/>
                            <w:lang w:val="en-GB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ρ</m:t>
                        </m:r>
                      </m:e>
                    </m:acc>
                    <m:r>
                      <w:rPr>
                        <w:rFonts w:ascii="Cambria Math" w:hAnsi="Cambria Math"/>
                        <w:lang w:val="en-GB"/>
                      </w:rPr>
                      <m:t>-1</m:t>
                    </m:r>
                  </m:e>
                </m:d>
                <m:acc>
                  <m:acc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GB"/>
                      </w:rPr>
                      <m:t>g</m:t>
                    </m:r>
                  </m:e>
                </m:acc>
              </m:oMath>
            </m:oMathPara>
          </w:p>
        </w:tc>
        <w:tc>
          <w:tcPr>
            <w:tcW w:w="965" w:type="dxa"/>
            <w:shd w:val="clear" w:color="auto" w:fill="auto"/>
            <w:vAlign w:val="center"/>
          </w:tcPr>
          <w:p w14:paraId="47CF800B" w14:textId="5B5EC952" w:rsidR="00AC611D" w:rsidRPr="00A94774" w:rsidRDefault="00AC611D" w:rsidP="00814372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</w:t>
            </w:r>
            <w:r>
              <w:rPr>
                <w:lang w:val="en-GB"/>
              </w:rPr>
              <w:t>3</w:t>
            </w:r>
            <w:r w:rsidRPr="00A94774">
              <w:rPr>
                <w:lang w:val="en-GB"/>
              </w:rPr>
              <w:t>)</w:t>
            </w:r>
          </w:p>
        </w:tc>
      </w:tr>
      <w:tr w:rsidR="00AC611D" w:rsidRPr="00A94774" w14:paraId="5B80F9D2" w14:textId="77777777" w:rsidTr="00AC611D">
        <w:tc>
          <w:tcPr>
            <w:tcW w:w="6117" w:type="dxa"/>
            <w:shd w:val="clear" w:color="auto" w:fill="auto"/>
            <w:vAlign w:val="center"/>
          </w:tcPr>
          <w:p w14:paraId="36BA179C" w14:textId="0E79E6DC" w:rsidR="00AC611D" w:rsidRPr="00AC611D" w:rsidRDefault="00000000" w:rsidP="00814372">
            <w:pPr>
              <w:pStyle w:val="Els-body-text"/>
              <w:spacing w:before="120" w:after="120" w:line="264" w:lineRule="auto"/>
              <w:rPr>
                <w:rFonts w:ascii="Cambria Math" w:hAnsi="Cambria Math"/>
                <w:lang w:val="en-GB"/>
                <w:oMath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ρ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u⋅∇</m:t>
                </m:r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Pe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∇⋅</m:t>
                </m:r>
                <m:d>
                  <m:d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hAnsi="Cambria Math"/>
                            <w:lang w:val="en-GB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ρ</m:t>
                        </m:r>
                      </m:e>
                    </m:acc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lang w:val="en-GB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/>
                                <w:lang w:val="en-GB"/>
                              </w:rPr>
                              <m:t>D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lang w:val="en-GB"/>
                          </w:rPr>
                          <m:t>k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∇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GB"/>
                          </w:rPr>
                          <m:t>k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e>
                </m:d>
                <m:r>
                  <w:rPr>
                    <w:rFonts w:ascii="Cambria Math" w:hAnsi="Cambria Math"/>
                    <w:lang w:val="en-GB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en-GB"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lang w:val="en-GB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GB"/>
                              </w:rPr>
                              <m:t>ω</m:t>
                            </m:r>
                          </m:e>
                        </m:acc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k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ρU</m:t>
                    </m:r>
                  </m:den>
                </m:f>
              </m:oMath>
            </m:oMathPara>
          </w:p>
        </w:tc>
        <w:tc>
          <w:tcPr>
            <w:tcW w:w="965" w:type="dxa"/>
            <w:shd w:val="clear" w:color="auto" w:fill="auto"/>
            <w:vAlign w:val="center"/>
          </w:tcPr>
          <w:p w14:paraId="1C28924B" w14:textId="381D354A" w:rsidR="00AC611D" w:rsidRPr="00A94774" w:rsidRDefault="00AC611D" w:rsidP="00814372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</w:t>
            </w:r>
            <w:r>
              <w:rPr>
                <w:lang w:val="en-GB"/>
              </w:rPr>
              <w:t>4</w:t>
            </w:r>
            <w:r w:rsidRPr="00A94774">
              <w:rPr>
                <w:lang w:val="en-GB"/>
              </w:rPr>
              <w:t>)</w:t>
            </w:r>
          </w:p>
        </w:tc>
      </w:tr>
    </w:tbl>
    <w:p w14:paraId="3DC0B10F" w14:textId="0910E520" w:rsidR="0048204B" w:rsidRDefault="0048204B" w:rsidP="0048204B">
      <w:pPr>
        <w:pStyle w:val="Els-body-text"/>
        <w:rPr>
          <w:lang w:val="en-GB"/>
        </w:rPr>
      </w:pPr>
      <w:r w:rsidRPr="0048204B">
        <w:rPr>
          <w:lang w:val="en-GB"/>
        </w:rPr>
        <w:t xml:space="preserve">where lengths are normalized with the mixing channel hydraulic diameter </w:t>
      </w:r>
      <m:oMath>
        <m:r>
          <w:rPr>
            <w:rFonts w:ascii="Cambria Math" w:hAnsi="Cambria Math"/>
            <w:lang w:val="en-GB"/>
          </w:rPr>
          <m:t>d</m:t>
        </m:r>
      </m:oMath>
      <w:r>
        <w:rPr>
          <w:lang w:val="en-GB"/>
        </w:rPr>
        <w:t xml:space="preserve"> </w:t>
      </w:r>
      <w:r w:rsidRPr="0048204B">
        <w:rPr>
          <w:lang w:val="en-GB"/>
        </w:rPr>
        <w:t xml:space="preserve">and velocities with the inlet bulk velocity </w:t>
      </w:r>
      <m:oMath>
        <m:r>
          <w:rPr>
            <w:rFonts w:ascii="Cambria Math" w:hAnsi="Cambria Math"/>
            <w:lang w:val="en-GB"/>
          </w:rPr>
          <m:t>U</m:t>
        </m:r>
      </m:oMath>
      <w:r w:rsidRPr="0048204B">
        <w:rPr>
          <w:lang w:val="en-GB"/>
        </w:rPr>
        <w:t xml:space="preserve">. In the above equations, </w:t>
      </w:r>
      <m:oMath>
        <m:r>
          <m:rPr>
            <m:sty m:val="bi"/>
          </m:rPr>
          <w:rPr>
            <w:rFonts w:ascii="Cambria Math" w:hAnsi="Cambria Math"/>
            <w:lang w:val="en-GB"/>
          </w:rPr>
          <m:t>u</m:t>
        </m:r>
      </m:oMath>
      <w:r w:rsidRPr="0048204B">
        <w:rPr>
          <w:lang w:val="en-GB"/>
        </w:rPr>
        <w:t xml:space="preserve"> represents the non-dimensional velocity vector, </w:t>
      </w:r>
      <m:oMath>
        <m:r>
          <w:rPr>
            <w:rFonts w:ascii="Cambria Math" w:hAnsi="Cambria Math"/>
            <w:lang w:val="en-GB"/>
          </w:rPr>
          <m:t>p</m:t>
        </m:r>
      </m:oMath>
      <w:r w:rsidRPr="0048204B">
        <w:rPr>
          <w:lang w:val="en-GB"/>
        </w:rPr>
        <w:t xml:space="preserve"> is the modified non-dimensional pressure, i.e.  </w:t>
      </w:r>
      <m:oMath>
        <m:r>
          <w:rPr>
            <w:rFonts w:ascii="Cambria Math" w:hAnsi="Cambria Math"/>
            <w:lang w:val="en-GB"/>
          </w:rPr>
          <m:t>p</m:t>
        </m:r>
      </m:oMath>
      <w:r w:rsidRPr="0048204B">
        <w:rPr>
          <w:lang w:val="en-GB"/>
        </w:rPr>
        <w:t xml:space="preserve"> = (</w:t>
      </w:r>
      <w:r w:rsidRPr="0048204B">
        <w:rPr>
          <w:i/>
          <w:iCs/>
          <w:lang w:val="en-GB"/>
        </w:rPr>
        <w:t>P</w:t>
      </w:r>
      <w:r w:rsidRPr="0048204B">
        <w:rPr>
          <w:lang w:val="en-GB"/>
        </w:rPr>
        <w:t xml:space="preserve"> - </w:t>
      </w:r>
      <w:r w:rsidRPr="0048204B">
        <w:rPr>
          <w:rFonts w:ascii="Symbol" w:hAnsi="Symbol"/>
          <w:lang w:val="en-GB"/>
        </w:rPr>
        <w:t>r</w:t>
      </w:r>
      <w:r>
        <w:rPr>
          <w:rFonts w:ascii="Symbol" w:hAnsi="Symbol"/>
          <w:vertAlign w:val="subscript"/>
          <w:lang w:val="en-GB"/>
        </w:rPr>
        <w:t>0</w:t>
      </w:r>
      <w:r w:rsidRPr="0048204B">
        <w:rPr>
          <w:lang w:val="en-GB"/>
        </w:rPr>
        <w:t xml:space="preserve"> </w:t>
      </w:r>
      <w:r w:rsidRPr="0048204B">
        <w:rPr>
          <w:i/>
          <w:iCs/>
          <w:lang w:val="en-GB"/>
        </w:rPr>
        <w:t>g</w:t>
      </w:r>
      <w:r w:rsidRPr="0048204B">
        <w:rPr>
          <w:lang w:val="en-GB"/>
        </w:rPr>
        <w:t xml:space="preserve"> Z) / </w:t>
      </w:r>
      <w:r w:rsidRPr="0048204B">
        <w:rPr>
          <w:rFonts w:ascii="Symbol" w:hAnsi="Symbol"/>
          <w:lang w:val="en-GB"/>
        </w:rPr>
        <w:t>r</w:t>
      </w:r>
      <w:r>
        <w:rPr>
          <w:rFonts w:ascii="Symbol" w:hAnsi="Symbol"/>
          <w:vertAlign w:val="subscript"/>
          <w:lang w:val="en-GB"/>
        </w:rPr>
        <w:t>0</w:t>
      </w:r>
      <w:r w:rsidRPr="0048204B">
        <w:rPr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>U</m:t>
        </m:r>
      </m:oMath>
      <w:r w:rsidRPr="0048204B">
        <w:rPr>
          <w:vertAlign w:val="superscript"/>
          <w:lang w:val="en-GB"/>
        </w:rPr>
        <w:t>2</w:t>
      </w:r>
      <w:r w:rsidRPr="0048204B">
        <w:rPr>
          <w:lang w:val="en-GB"/>
        </w:rPr>
        <w:t xml:space="preserve">, where </w:t>
      </w:r>
      <w:r w:rsidRPr="0048204B">
        <w:rPr>
          <w:i/>
          <w:iCs/>
          <w:lang w:val="en-GB"/>
        </w:rPr>
        <w:t>P</w:t>
      </w:r>
      <w:r w:rsidRPr="0048204B">
        <w:rPr>
          <w:lang w:val="en-GB"/>
        </w:rPr>
        <w:t xml:space="preserve"> is the pressure, and </w:t>
      </w:r>
      <w:r w:rsidRPr="0048204B">
        <w:rPr>
          <w:i/>
          <w:iCs/>
          <w:lang w:val="en-GB"/>
        </w:rPr>
        <w:t>g</w:t>
      </w:r>
      <w:r>
        <w:rPr>
          <w:lang w:val="en-GB"/>
        </w:rPr>
        <w:t xml:space="preserve"> </w:t>
      </w:r>
      <w:r w:rsidRPr="0048204B">
        <w:rPr>
          <w:lang w:val="en-GB"/>
        </w:rPr>
        <w:t xml:space="preserve">the gravity acceleration, while </w:t>
      </w:r>
      <m:oMath>
        <m:acc>
          <m:accPr>
            <m:ctrlPr>
              <w:rPr>
                <w:rFonts w:ascii="Cambria Math" w:hAnsi="Cambria Math"/>
                <w:lang w:val="en-GB"/>
              </w:rPr>
            </m:ctrlPr>
          </m:accPr>
          <m:e>
            <m:r>
              <w:rPr>
                <w:rFonts w:ascii="Cambria Math" w:hAnsi="Cambria Math"/>
                <w:lang w:val="en-GB"/>
              </w:rPr>
              <m:t>g</m:t>
            </m:r>
          </m:e>
        </m:acc>
      </m:oMath>
      <w:r w:rsidRPr="0048204B">
        <w:rPr>
          <w:lang w:val="en-GB"/>
        </w:rPr>
        <w:t xml:space="preserve"> is the non-dimensional gravity, i.e. </w:t>
      </w:r>
      <m:oMath>
        <m:acc>
          <m:accPr>
            <m:ctrlPr>
              <w:rPr>
                <w:rFonts w:ascii="Cambria Math" w:hAnsi="Cambria Math"/>
                <w:lang w:val="en-GB"/>
              </w:rPr>
            </m:ctrlPr>
          </m:accPr>
          <m:e>
            <m:r>
              <w:rPr>
                <w:rFonts w:ascii="Cambria Math" w:hAnsi="Cambria Math"/>
                <w:lang w:val="en-GB"/>
              </w:rPr>
              <m:t>g</m:t>
            </m:r>
          </m:e>
        </m:acc>
        <m:r>
          <w:rPr>
            <w:rFonts w:ascii="Cambria Math" w:hAnsi="Cambria Math"/>
            <w:lang w:val="en-GB"/>
          </w:rPr>
          <m:t xml:space="preserve"> = </m:t>
        </m:r>
        <m:r>
          <m:rPr>
            <m:sty m:val="bi"/>
          </m:rPr>
          <w:rPr>
            <w:rFonts w:ascii="Cambria Math" w:hAnsi="Cambria Math"/>
            <w:lang w:val="en-GB"/>
          </w:rPr>
          <m:t>g</m:t>
        </m:r>
        <m:r>
          <m:rPr>
            <m:lit/>
          </m:rPr>
          <w:rPr>
            <w:rFonts w:ascii="Cambria Math" w:hAnsi="Cambria Math"/>
            <w:lang w:val="en-GB"/>
          </w:rPr>
          <m:t>/</m:t>
        </m:r>
        <m:r>
          <w:rPr>
            <w:rFonts w:ascii="Cambria Math" w:hAnsi="Cambria Math"/>
            <w:lang w:val="en-GB"/>
          </w:rPr>
          <m:t>g</m:t>
        </m:r>
      </m:oMath>
      <w:r>
        <w:rPr>
          <w:lang w:val="en-GB"/>
        </w:rPr>
        <w:t>.</w:t>
      </w:r>
      <w:r w:rsidRPr="0048204B">
        <w:rPr>
          <w:lang w:val="en-GB"/>
        </w:rPr>
        <w:t xml:space="preserve"> </w:t>
      </w:r>
      <m:oMath>
        <m:acc>
          <m:accPr>
            <m:ctrlPr>
              <w:rPr>
                <w:rFonts w:ascii="Cambria Math" w:hAnsi="Cambria Math"/>
                <w:lang w:val="en-GB"/>
              </w:rPr>
            </m:ctrlPr>
          </m:accPr>
          <m:e>
            <m:r>
              <w:rPr>
                <w:rFonts w:ascii="Cambria Math" w:hAnsi="Cambria Math"/>
                <w:lang w:val="en-GB"/>
              </w:rPr>
              <m:t>ρ</m:t>
            </m:r>
          </m:e>
        </m:acc>
        <m:r>
          <w:rPr>
            <w:rFonts w:ascii="Cambria Math" w:hAnsi="Cambria Math"/>
            <w:lang w:val="en-GB"/>
          </w:rPr>
          <m:t xml:space="preserve"> = ρ</m:t>
        </m:r>
        <m:r>
          <m:rPr>
            <m:lit/>
          </m:rPr>
          <w:rPr>
            <w:rFonts w:ascii="Cambria Math" w:hAnsi="Cambria Math"/>
            <w:lang w:val="en-GB"/>
          </w:rPr>
          <m:t>/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ρ</m:t>
            </m:r>
          </m:e>
          <m:sub>
            <m:r>
              <w:rPr>
                <w:rFonts w:ascii="Cambria Math" w:hAnsi="Cambria Math"/>
                <w:lang w:val="en-GB"/>
              </w:rPr>
              <m:t>0</m:t>
            </m:r>
          </m:sub>
        </m:sSub>
        <m:r>
          <w:rPr>
            <w:rFonts w:ascii="Cambria Math" w:hAnsi="Cambria Math"/>
            <w:lang w:val="en-GB"/>
          </w:rPr>
          <m:t xml:space="preserve"> </m:t>
        </m:r>
      </m:oMath>
      <w:r w:rsidRPr="0048204B">
        <w:rPr>
          <w:lang w:val="en-GB"/>
        </w:rPr>
        <w:t xml:space="preserve">and </w:t>
      </w:r>
      <m:oMath>
        <m:acc>
          <m:accPr>
            <m:ctrlPr>
              <w:rPr>
                <w:rFonts w:ascii="Cambria Math" w:hAnsi="Cambria Math"/>
                <w:lang w:val="en-GB"/>
              </w:rPr>
            </m:ctrlPr>
          </m:accPr>
          <m:e>
            <m:r>
              <w:rPr>
                <w:rFonts w:ascii="Cambria Math" w:hAnsi="Cambria Math"/>
                <w:lang w:val="en-GB"/>
              </w:rPr>
              <m:t>μ</m:t>
            </m:r>
          </m:e>
        </m:acc>
        <m:r>
          <w:rPr>
            <w:rFonts w:ascii="Cambria Math" w:hAnsi="Cambria Math"/>
            <w:lang w:val="en-GB"/>
          </w:rPr>
          <m:t xml:space="preserve"> = μ</m:t>
        </m:r>
        <m:r>
          <m:rPr>
            <m:lit/>
          </m:rPr>
          <w:rPr>
            <w:rFonts w:ascii="Cambria Math" w:hAnsi="Cambria Math"/>
            <w:lang w:val="en-GB"/>
          </w:rPr>
          <m:t>/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μ</m:t>
            </m:r>
          </m:e>
          <m:sub>
            <m:r>
              <w:rPr>
                <w:rFonts w:ascii="Cambria Math" w:hAnsi="Cambria Math"/>
                <w:lang w:val="en-GB"/>
              </w:rPr>
              <m:t>0</m:t>
            </m:r>
          </m:sub>
        </m:sSub>
        <m:r>
          <w:rPr>
            <w:rFonts w:ascii="Cambria Math" w:hAnsi="Cambria Math"/>
            <w:lang w:val="en-GB"/>
          </w:rPr>
          <m:t xml:space="preserve"> </m:t>
        </m:r>
      </m:oMath>
      <w:r>
        <w:rPr>
          <w:lang w:val="en-GB"/>
        </w:rPr>
        <w:t xml:space="preserve"> </w:t>
      </w:r>
      <w:r w:rsidRPr="0048204B">
        <w:rPr>
          <w:lang w:val="en-GB"/>
        </w:rPr>
        <w:t>are non-dimensional density and viscosity, respectively, referred to pure water at 25</w:t>
      </w:r>
      <w:r>
        <w:rPr>
          <w:lang w:val="en-GB"/>
        </w:rPr>
        <w:t>°</w:t>
      </w:r>
      <w:r w:rsidRPr="0048204B">
        <w:rPr>
          <w:lang w:val="en-GB"/>
        </w:rPr>
        <w:t xml:space="preserve">C, i.e.,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ρ</m:t>
            </m:r>
          </m:e>
          <m:sub>
            <m:r>
              <w:rPr>
                <w:rFonts w:ascii="Cambria Math" w:hAnsi="Cambria Math"/>
                <w:lang w:val="en-GB"/>
              </w:rPr>
              <m:t>0</m:t>
            </m:r>
          </m:sub>
        </m:sSub>
      </m:oMath>
      <w:r w:rsidRPr="0048204B">
        <w:rPr>
          <w:lang w:val="en-GB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μ</m:t>
            </m:r>
          </m:e>
          <m:sub>
            <m:r>
              <w:rPr>
                <w:rFonts w:ascii="Cambria Math" w:hAnsi="Cambria Math"/>
                <w:lang w:val="en-GB"/>
              </w:rPr>
              <m:t>0</m:t>
            </m:r>
          </m:sub>
        </m:sSub>
      </m:oMath>
      <w:r w:rsidRPr="0048204B">
        <w:rPr>
          <w:lang w:val="en-GB"/>
        </w:rPr>
        <w:t xml:space="preserve">. </w:t>
      </w: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ϕ</m:t>
            </m:r>
          </m:e>
          <m:sub>
            <m:r>
              <w:rPr>
                <w:rFonts w:ascii="Cambria Math" w:hAnsi="Cambria Math"/>
                <w:lang w:val="en-GB"/>
              </w:rPr>
              <m:t>k</m:t>
            </m:r>
          </m:sub>
        </m:sSub>
      </m:oMath>
      <w:r w:rsidRPr="0048204B">
        <w:rPr>
          <w:lang w:val="en-GB"/>
        </w:rPr>
        <w:t xml:space="preserve"> represents the mass fraction of the </w:t>
      </w:r>
      <w:r w:rsidRPr="0048204B">
        <w:rPr>
          <w:i/>
          <w:iCs/>
          <w:lang w:val="en-GB"/>
        </w:rPr>
        <w:t>k</w:t>
      </w:r>
      <w:r w:rsidRPr="0048204B">
        <w:rPr>
          <w:lang w:val="en-GB"/>
        </w:rPr>
        <w:t>-</w:t>
      </w:r>
      <w:proofErr w:type="spellStart"/>
      <w:r w:rsidRPr="0048204B">
        <w:rPr>
          <w:lang w:val="en-GB"/>
        </w:rPr>
        <w:t>th</w:t>
      </w:r>
      <w:proofErr w:type="spellEnd"/>
      <w:r w:rsidRPr="0048204B">
        <w:rPr>
          <w:lang w:val="en-GB"/>
        </w:rPr>
        <w:t xml:space="preserve"> chemical species while </w:t>
      </w: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ω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k</m:t>
            </m:r>
          </m:sub>
        </m:sSub>
      </m:oMath>
      <w:r>
        <w:rPr>
          <w:lang w:val="en-GB"/>
        </w:rPr>
        <w:t xml:space="preserve"> </w:t>
      </w:r>
      <w:r w:rsidRPr="0048204B">
        <w:rPr>
          <w:lang w:val="en-GB"/>
        </w:rPr>
        <w:t xml:space="preserve">is its rate of production or consumption due to chemical reactions, which, for instance is </w:t>
      </w: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ω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MB+</m:t>
            </m:r>
          </m:sub>
        </m:sSub>
        <m:r>
          <w:rPr>
            <w:rFonts w:ascii="Cambria Math" w:hAnsi="Cambria Math"/>
            <w:lang w:val="en-GB"/>
          </w:rPr>
          <m:t xml:space="preserve"> =-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k</m:t>
            </m:r>
          </m:e>
          <m:sub>
            <m:r>
              <w:rPr>
                <w:rFonts w:ascii="Cambria Math" w:hAnsi="Cambria Math"/>
                <w:lang w:val="en-GB"/>
              </w:rPr>
              <m:t>r</m:t>
            </m:r>
          </m:sub>
        </m:sSub>
        <m:r>
          <w:rPr>
            <w:rFonts w:ascii="Cambria Math" w:hAnsi="Cambria Math"/>
            <w:lang w:val="en-GB"/>
          </w:rPr>
          <m:t xml:space="preserve"> ρ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ϕ</m:t>
            </m:r>
          </m:e>
          <m:sub>
            <m:r>
              <w:rPr>
                <w:rFonts w:ascii="Cambria Math" w:hAnsi="Cambria Math"/>
                <w:lang w:val="en-GB"/>
              </w:rPr>
              <m:t>MB+</m:t>
            </m:r>
          </m:sub>
        </m:sSub>
      </m:oMath>
      <w:r>
        <w:rPr>
          <w:lang w:val="en-GB"/>
        </w:rPr>
        <w:t xml:space="preserve"> </w:t>
      </w:r>
      <w:r w:rsidRPr="0048204B">
        <w:rPr>
          <w:lang w:val="en-GB"/>
        </w:rPr>
        <w:t xml:space="preserve">for the methylene blue.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lang w:val="en-GB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/>
                    <w:lang w:val="en-GB"/>
                  </w:rPr>
                  <m:t>D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k</m:t>
            </m:r>
          </m:sub>
        </m:sSub>
        <m:r>
          <w:rPr>
            <w:rFonts w:ascii="Cambria Math" w:hAnsi="Cambria Math"/>
            <w:lang w:val="en-GB"/>
          </w:rPr>
          <m:t>=</m:t>
        </m:r>
        <m:acc>
          <m:accPr>
            <m:ctrlPr>
              <w:rPr>
                <w:rFonts w:ascii="Cambria Math" w:hAnsi="Cambria Math"/>
                <w:lang w:val="en-GB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/>
                <w:lang w:val="en-GB"/>
              </w:rPr>
              <m:t>D</m:t>
            </m:r>
          </m:e>
        </m:acc>
        <m:r>
          <m:rPr>
            <m:lit/>
          </m:rPr>
          <w:rPr>
            <w:rFonts w:ascii="Cambria Math" w:hAnsi="Cambria Math"/>
            <w:lang w:val="en-GB"/>
          </w:rPr>
          <m:t>/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lang w:val="en-GB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/>
                    <w:lang w:val="en-GB"/>
                  </w:rPr>
                  <m:t>D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0</m:t>
            </m:r>
          </m:sub>
        </m:sSub>
      </m:oMath>
      <w:r w:rsidR="007D7ABA">
        <w:rPr>
          <w:lang w:val="en-GB"/>
        </w:rPr>
        <w:t xml:space="preserve"> </w:t>
      </w:r>
      <w:r w:rsidRPr="0048204B">
        <w:rPr>
          <w:lang w:val="en-GB"/>
        </w:rPr>
        <w:t xml:space="preserve">is the non-dimensional diffusivity referred to the water self-diffusivity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lang w:val="en-GB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/>
                    <w:lang w:val="en-GB"/>
                  </w:rPr>
                  <m:t>D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0</m:t>
            </m:r>
          </m:sub>
        </m:sSub>
      </m:oMath>
      <w:r w:rsidR="007D7ABA">
        <w:rPr>
          <w:lang w:val="en-GB"/>
        </w:rPr>
        <w:t xml:space="preserve">. </w:t>
      </w:r>
      <w:r w:rsidRPr="0048204B">
        <w:rPr>
          <w:lang w:val="en-GB"/>
        </w:rPr>
        <w:t xml:space="preserve">The characteristic non-dimensional numbers are: the Reynolds number </w:t>
      </w:r>
      <m:oMath>
        <m:r>
          <w:rPr>
            <w:rFonts w:ascii="Cambria Math" w:hAnsi="Cambria Math"/>
            <w:lang w:val="en-GB"/>
          </w:rPr>
          <m:t xml:space="preserve">Re =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ρ</m:t>
            </m:r>
          </m:e>
          <m:sub>
            <m:r>
              <w:rPr>
                <w:rFonts w:ascii="Cambria Math" w:hAnsi="Cambria Math"/>
                <w:lang w:val="en-GB"/>
              </w:rPr>
              <m:t>0</m:t>
            </m:r>
          </m:sub>
        </m:sSub>
        <m:r>
          <w:rPr>
            <w:rFonts w:ascii="Cambria Math" w:hAnsi="Cambria Math"/>
            <w:lang w:val="en-GB"/>
          </w:rPr>
          <m:t xml:space="preserve"> U d </m:t>
        </m:r>
        <m:r>
          <m:rPr>
            <m:lit/>
          </m:rPr>
          <w:rPr>
            <w:rFonts w:ascii="Cambria Math" w:hAnsi="Cambria Math"/>
            <w:lang w:val="en-GB"/>
          </w:rPr>
          <m:t>/</m:t>
        </m:r>
        <m:r>
          <w:rPr>
            <w:rFonts w:ascii="Cambria Math" w:hAnsi="Cambria Math"/>
            <w:lang w:val="en-GB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μ</m:t>
            </m:r>
          </m:e>
          <m:sub>
            <m:r>
              <w:rPr>
                <w:rFonts w:ascii="Cambria Math" w:hAnsi="Cambria Math"/>
                <w:lang w:val="en-GB"/>
              </w:rPr>
              <m:t>0</m:t>
            </m:r>
          </m:sub>
        </m:sSub>
      </m:oMath>
      <w:r w:rsidR="007D7ABA">
        <w:rPr>
          <w:lang w:val="en-GB"/>
        </w:rPr>
        <w:t xml:space="preserve">, </w:t>
      </w:r>
      <w:r w:rsidRPr="0048204B">
        <w:rPr>
          <w:lang w:val="en-GB"/>
        </w:rPr>
        <w:t xml:space="preserve">the Richardson number, </w:t>
      </w:r>
      <m:oMath>
        <m:r>
          <w:rPr>
            <w:rFonts w:ascii="Cambria Math" w:hAnsi="Cambria Math"/>
            <w:lang w:val="en-GB"/>
          </w:rPr>
          <m:t>Ri=gd</m:t>
        </m:r>
        <m:r>
          <m:rPr>
            <m:sty m:val="p"/>
          </m:rPr>
          <w:rPr>
            <w:rFonts w:ascii="Cambria Math" w:hAnsi="Cambria Math"/>
            <w:lang w:val="en-GB"/>
          </w:rPr>
          <m:t>Δρ</m:t>
        </m:r>
        <m:r>
          <m:rPr>
            <m:lit/>
          </m:rPr>
          <w:rPr>
            <w:rFonts w:ascii="Cambria Math" w:hAnsi="Cambria Math"/>
            <w:lang w:val="en-GB"/>
          </w:rPr>
          <m:t>/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ρ</m:t>
            </m:r>
          </m:e>
          <m:sub>
            <m:r>
              <w:rPr>
                <w:rFonts w:ascii="Cambria Math" w:hAnsi="Cambria Math"/>
                <w:lang w:val="en-GB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U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="007D7ABA">
        <w:rPr>
          <w:lang w:val="en-GB"/>
        </w:rPr>
        <w:t xml:space="preserve">, </w:t>
      </w:r>
      <w:r w:rsidRPr="0048204B">
        <w:rPr>
          <w:lang w:val="en-GB"/>
        </w:rPr>
        <w:t xml:space="preserve">and the Peclet number </w:t>
      </w:r>
      <m:oMath>
        <m:r>
          <w:rPr>
            <w:rFonts w:ascii="Cambria Math" w:hAnsi="Cambria Math"/>
            <w:lang w:val="en-GB"/>
          </w:rPr>
          <m:t>Pe=Ud</m:t>
        </m:r>
        <m:r>
          <m:rPr>
            <m:lit/>
          </m:rPr>
          <w:rPr>
            <w:rFonts w:ascii="Cambria Math" w:hAnsi="Cambria Math"/>
            <w:lang w:val="en-GB"/>
          </w:rPr>
          <m:t>/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lang w:val="en-GB"/>
              </w:rPr>
              <m:t>D</m:t>
            </m:r>
          </m:e>
          <m:sub>
            <m:r>
              <w:rPr>
                <w:rFonts w:ascii="Cambria Math" w:hAnsi="Cambria Math"/>
                <w:lang w:val="en-GB"/>
              </w:rPr>
              <m:t>0</m:t>
            </m:r>
          </m:sub>
        </m:sSub>
      </m:oMath>
      <w:r w:rsidR="007D7ABA">
        <w:rPr>
          <w:lang w:val="en-GB"/>
        </w:rPr>
        <w:t>,</w:t>
      </w:r>
      <w:r w:rsidRPr="0048204B">
        <w:rPr>
          <w:lang w:val="en-GB"/>
        </w:rPr>
        <w:t xml:space="preserve">  where </w:t>
      </w:r>
      <m:oMath>
        <m:r>
          <m:rPr>
            <m:sty m:val="p"/>
          </m:rPr>
          <w:rPr>
            <w:rFonts w:ascii="Cambria Math" w:hAnsi="Cambria Math"/>
            <w:lang w:val="en-GB"/>
          </w:rPr>
          <m:t>Δ</m:t>
        </m:r>
        <m:r>
          <w:rPr>
            <w:rFonts w:ascii="Cambria Math" w:hAnsi="Cambria Math"/>
            <w:lang w:val="en-GB"/>
          </w:rPr>
          <m:t>ρ</m:t>
        </m:r>
        <m:r>
          <m:rPr>
            <m:sty m:val="p"/>
          </m:rPr>
          <w:rPr>
            <w:rFonts w:ascii="Cambria Math" w:hAnsi="Cambria Math"/>
            <w:lang w:val="en-GB"/>
          </w:rPr>
          <m:t xml:space="preserve"> </m:t>
        </m:r>
      </m:oMath>
      <w:r w:rsidRPr="0048204B">
        <w:rPr>
          <w:lang w:val="en-GB"/>
        </w:rPr>
        <w:t xml:space="preserve">is the density difference between the two inlet fluids. </w:t>
      </w:r>
    </w:p>
    <w:p w14:paraId="22ECE22A" w14:textId="66117ED1" w:rsidR="00B826C9" w:rsidRDefault="00B826C9" w:rsidP="00B826C9">
      <w:pPr>
        <w:pStyle w:val="Els-body-text"/>
        <w:rPr>
          <w:lang w:val="en-GB"/>
        </w:rPr>
      </w:pPr>
      <w:r>
        <w:rPr>
          <w:lang w:val="en-GB"/>
        </w:rPr>
        <w:t>Since the fluid density and viscosity depend on the ascorbic acid content</w:t>
      </w:r>
      <w:r w:rsidR="007D7ABA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ϕ</m:t>
            </m:r>
            <m:ctrlPr>
              <w:rPr>
                <w:rFonts w:ascii="Cambria Math" w:hAnsi="Cambria Math"/>
                <w:lang w:val="en-GB"/>
              </w:rPr>
            </m:ctrlPr>
          </m:e>
          <m:sub>
            <m:r>
              <w:rPr>
                <w:rFonts w:ascii="Cambria Math" w:hAnsi="Cambria Math"/>
                <w:lang w:val="en-GB"/>
              </w:rPr>
              <m:t>AsA</m:t>
            </m:r>
          </m:sub>
        </m:sSub>
      </m:oMath>
      <w:r>
        <w:rPr>
          <w:lang w:val="en-GB"/>
        </w:rPr>
        <w:t>, the</w:t>
      </w:r>
      <w:r w:rsidR="007D7ABA">
        <w:rPr>
          <w:lang w:val="en-GB"/>
        </w:rPr>
        <w:t>i</w:t>
      </w:r>
      <w:r>
        <w:rPr>
          <w:lang w:val="en-GB"/>
        </w:rPr>
        <w:t xml:space="preserve">r behaviour </w:t>
      </w:r>
      <w:r w:rsidR="001A121E">
        <w:rPr>
          <w:lang w:val="en-GB"/>
        </w:rPr>
        <w:t>is</w:t>
      </w:r>
      <w:r>
        <w:rPr>
          <w:lang w:val="en-GB"/>
        </w:rPr>
        <w:t xml:space="preserve"> implemented in the model.</w:t>
      </w:r>
    </w:p>
    <w:p w14:paraId="16F1786B" w14:textId="7F7CA126" w:rsidR="007A332B" w:rsidRDefault="007A332B" w:rsidP="007A332B">
      <w:pPr>
        <w:pStyle w:val="Els-body-text"/>
        <w:rPr>
          <w:lang w:val="en-GB"/>
        </w:rPr>
      </w:pPr>
      <w:r w:rsidRPr="007A332B">
        <w:rPr>
          <w:lang w:val="en-GB"/>
        </w:rPr>
        <w:t>Uniform velocity and concentration of the reactants are</w:t>
      </w:r>
      <w:r>
        <w:rPr>
          <w:lang w:val="en-GB"/>
        </w:rPr>
        <w:t xml:space="preserve"> </w:t>
      </w:r>
      <w:r w:rsidRPr="007A332B">
        <w:rPr>
          <w:lang w:val="en-GB"/>
        </w:rPr>
        <w:t>imposed at the entrance of the inlet channels, whereas no</w:t>
      </w:r>
      <w:r w:rsidR="00CC2DC6">
        <w:rPr>
          <w:lang w:val="en-GB"/>
        </w:rPr>
        <w:t>-</w:t>
      </w:r>
      <w:r w:rsidRPr="007A332B">
        <w:rPr>
          <w:lang w:val="en-GB"/>
        </w:rPr>
        <w:t>slip</w:t>
      </w:r>
      <w:r>
        <w:rPr>
          <w:lang w:val="en-GB"/>
        </w:rPr>
        <w:t xml:space="preserve"> </w:t>
      </w:r>
      <w:r w:rsidRPr="007A332B">
        <w:rPr>
          <w:lang w:val="en-GB"/>
        </w:rPr>
        <w:t>velocity at the channel walls and pressure outlet conditions</w:t>
      </w:r>
      <w:r>
        <w:rPr>
          <w:lang w:val="en-GB"/>
        </w:rPr>
        <w:t xml:space="preserve"> </w:t>
      </w:r>
      <w:r w:rsidRPr="007A332B">
        <w:rPr>
          <w:lang w:val="en-GB"/>
        </w:rPr>
        <w:t>at ambient pressure are set at the outlet boundary.</w:t>
      </w:r>
    </w:p>
    <w:p w14:paraId="77797727" w14:textId="4593DF25" w:rsidR="00B826C9" w:rsidRPr="00B826C9" w:rsidRDefault="007A332B" w:rsidP="00B826C9">
      <w:pPr>
        <w:pStyle w:val="Els-body-text"/>
        <w:rPr>
          <w:lang w:val="en-GB"/>
        </w:rPr>
      </w:pPr>
      <w:r w:rsidRPr="007A332B">
        <w:rPr>
          <w:lang w:val="en-GB"/>
        </w:rPr>
        <w:t>A second-order upwind interpolation</w:t>
      </w:r>
      <w:r>
        <w:rPr>
          <w:lang w:val="en-GB"/>
        </w:rPr>
        <w:t xml:space="preserve"> </w:t>
      </w:r>
      <w:r w:rsidRPr="007A332B">
        <w:rPr>
          <w:lang w:val="en-GB"/>
        </w:rPr>
        <w:t>scheme is used for spatial discretization, and the SIMPLE</w:t>
      </w:r>
      <w:r>
        <w:rPr>
          <w:lang w:val="en-GB"/>
        </w:rPr>
        <w:t xml:space="preserve"> </w:t>
      </w:r>
      <w:r w:rsidRPr="007A332B">
        <w:rPr>
          <w:lang w:val="en-GB"/>
        </w:rPr>
        <w:t>algorithm is employed for the pressure and velocity coupling.</w:t>
      </w:r>
      <w:r w:rsidR="002C7008">
        <w:rPr>
          <w:lang w:val="en-GB"/>
        </w:rPr>
        <w:t xml:space="preserve"> Convergence is checked by monitoring normalized residuals for all equations (below 10</w:t>
      </w:r>
      <w:r w:rsidR="002C7008" w:rsidRPr="002C7008">
        <w:rPr>
          <w:vertAlign w:val="superscript"/>
          <w:lang w:val="en-GB"/>
        </w:rPr>
        <w:t>-9</w:t>
      </w:r>
      <w:r w:rsidR="002C7008">
        <w:rPr>
          <w:lang w:val="en-GB"/>
        </w:rPr>
        <w:t>).</w:t>
      </w:r>
    </w:p>
    <w:p w14:paraId="144DE6A5" w14:textId="6670E609" w:rsidR="008D2649" w:rsidRDefault="00687183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t>Results</w:t>
      </w:r>
    </w:p>
    <w:p w14:paraId="50E25D41" w14:textId="132F91F7" w:rsidR="001C5CF8" w:rsidRDefault="00DF5EA2" w:rsidP="00DF5EA2">
      <w:pPr>
        <w:pStyle w:val="Els-body-text"/>
        <w:rPr>
          <w:lang w:val="en-GB"/>
        </w:rPr>
      </w:pPr>
      <w:r>
        <w:rPr>
          <w:lang w:val="en-GB"/>
        </w:rPr>
        <w:t xml:space="preserve">An overview of the flow topology in the X- and arrow-microreactors is </w:t>
      </w:r>
      <w:r w:rsidR="00892380">
        <w:rPr>
          <w:lang w:val="en-GB"/>
        </w:rPr>
        <w:t>presented</w:t>
      </w:r>
      <w:r>
        <w:rPr>
          <w:lang w:val="en-GB"/>
        </w:rPr>
        <w:t xml:space="preserve"> in Fig</w:t>
      </w:r>
      <w:r w:rsidR="009216F3">
        <w:rPr>
          <w:lang w:val="en-GB"/>
        </w:rPr>
        <w:t>s</w:t>
      </w:r>
      <w:r>
        <w:rPr>
          <w:lang w:val="en-GB"/>
        </w:rPr>
        <w:t>.</w:t>
      </w:r>
      <w:r w:rsidR="009216F3">
        <w:rPr>
          <w:lang w:val="en-GB"/>
        </w:rPr>
        <w:t xml:space="preserve"> (2) and (3)</w:t>
      </w:r>
      <w:r w:rsidR="002C7008">
        <w:rPr>
          <w:lang w:val="en-GB"/>
        </w:rPr>
        <w:t xml:space="preserve"> that show the contours of the reaction rate at different cross-sections in the outlet channel</w:t>
      </w:r>
      <w:r w:rsidR="009216F3">
        <w:rPr>
          <w:lang w:val="en-GB"/>
        </w:rPr>
        <w:t>.</w:t>
      </w:r>
      <w:r>
        <w:rPr>
          <w:lang w:val="en-GB"/>
        </w:rPr>
        <w:t xml:space="preserve"> The reaction rate highlights the contact region</w:t>
      </w:r>
      <w:r w:rsidR="002C7008">
        <w:rPr>
          <w:lang w:val="en-GB"/>
        </w:rPr>
        <w:t>, which is a fingerprint of the flow regime,</w:t>
      </w:r>
      <w:r>
        <w:rPr>
          <w:lang w:val="en-GB"/>
        </w:rPr>
        <w:t xml:space="preserve"> between the two inlet streams where the reaction takes place. </w:t>
      </w:r>
      <w:r w:rsidR="002C7008">
        <w:rPr>
          <w:lang w:val="en-GB"/>
        </w:rPr>
        <w:t xml:space="preserve">A </w:t>
      </w:r>
      <w:r w:rsidRPr="00DF5EA2">
        <w:rPr>
          <w:lang w:val="en-GB"/>
        </w:rPr>
        <w:t xml:space="preserve">quantitative comparison </w:t>
      </w:r>
      <w:r w:rsidR="00FD14E3">
        <w:rPr>
          <w:lang w:val="en-GB"/>
        </w:rPr>
        <w:t>of</w:t>
      </w:r>
      <w:r w:rsidRPr="00DF5EA2">
        <w:rPr>
          <w:lang w:val="en-GB"/>
        </w:rPr>
        <w:t xml:space="preserve"> </w:t>
      </w:r>
      <w:r w:rsidR="002C7008">
        <w:rPr>
          <w:lang w:val="en-GB"/>
        </w:rPr>
        <w:t xml:space="preserve">the </w:t>
      </w:r>
      <w:r w:rsidRPr="00DF5EA2">
        <w:rPr>
          <w:lang w:val="en-GB"/>
        </w:rPr>
        <w:t xml:space="preserve">reaction </w:t>
      </w:r>
      <w:r w:rsidR="002C7008">
        <w:rPr>
          <w:lang w:val="en-GB"/>
        </w:rPr>
        <w:t>performance</w:t>
      </w:r>
      <w:r>
        <w:rPr>
          <w:lang w:val="en-GB"/>
        </w:rPr>
        <w:t xml:space="preserve"> </w:t>
      </w:r>
      <w:r w:rsidR="00892380">
        <w:rPr>
          <w:lang w:val="en-GB"/>
        </w:rPr>
        <w:t>between</w:t>
      </w:r>
      <w:r w:rsidRPr="00DF5EA2">
        <w:rPr>
          <w:lang w:val="en-GB"/>
        </w:rPr>
        <w:t xml:space="preserve"> X- and arrow-shaped microreactors</w:t>
      </w:r>
      <w:r w:rsidR="002C7008">
        <w:rPr>
          <w:lang w:val="en-GB"/>
        </w:rPr>
        <w:t xml:space="preserve"> is also carried out by estimating the reaction yield</w:t>
      </w:r>
      <w:r w:rsidRPr="00DF5EA2">
        <w:rPr>
          <w:lang w:val="en-GB"/>
        </w:rPr>
        <w:t xml:space="preserve">. The comparison is </w:t>
      </w:r>
      <w:r w:rsidR="00892380">
        <w:rPr>
          <w:lang w:val="en-GB"/>
        </w:rPr>
        <w:t>conducted</w:t>
      </w:r>
      <w:r>
        <w:rPr>
          <w:lang w:val="en-GB"/>
        </w:rPr>
        <w:t xml:space="preserve"> </w:t>
      </w:r>
      <w:r w:rsidRPr="00DF5EA2">
        <w:rPr>
          <w:lang w:val="en-GB"/>
        </w:rPr>
        <w:t>in terms of the Reynolds number evaluated at the</w:t>
      </w:r>
      <w:r>
        <w:rPr>
          <w:lang w:val="en-GB"/>
        </w:rPr>
        <w:t xml:space="preserve"> </w:t>
      </w:r>
      <w:r w:rsidRPr="00DF5EA2">
        <w:rPr>
          <w:lang w:val="en-GB"/>
        </w:rPr>
        <w:t xml:space="preserve">inlet channel, i.e., </w:t>
      </w:r>
      <w:r w:rsidR="00FD14E3">
        <w:rPr>
          <w:lang w:val="en-GB"/>
        </w:rPr>
        <w:t>Re</w:t>
      </w:r>
      <w:r w:rsidR="00FD14E3" w:rsidRPr="00FD14E3">
        <w:rPr>
          <w:vertAlign w:val="subscript"/>
          <w:lang w:val="en-GB"/>
        </w:rPr>
        <w:t>i</w:t>
      </w:r>
      <w:r w:rsidR="00FD14E3">
        <w:rPr>
          <w:lang w:val="en-GB"/>
        </w:rPr>
        <w:t>=</w:t>
      </w:r>
      <w:r w:rsidR="00FD14E3" w:rsidRPr="00FD14E3">
        <w:rPr>
          <w:rFonts w:ascii="Symbol" w:hAnsi="Symbol"/>
          <w:lang w:val="en-GB"/>
        </w:rPr>
        <w:t>r</w:t>
      </w:r>
      <w:r w:rsidR="00FD14E3">
        <w:rPr>
          <w:lang w:val="en-GB"/>
        </w:rPr>
        <w:t xml:space="preserve"> Ud</w:t>
      </w:r>
      <w:r w:rsidR="00FD14E3" w:rsidRPr="00FD14E3">
        <w:rPr>
          <w:vertAlign w:val="subscript"/>
          <w:lang w:val="en-GB"/>
        </w:rPr>
        <w:t>i</w:t>
      </w:r>
      <w:r w:rsidR="00FD14E3">
        <w:rPr>
          <w:lang w:val="en-GB"/>
        </w:rPr>
        <w:t>/</w:t>
      </w:r>
      <w:r w:rsidR="00FD14E3" w:rsidRPr="00FD14E3">
        <w:rPr>
          <w:rFonts w:ascii="Symbol" w:hAnsi="Symbol"/>
          <w:lang w:val="en-GB"/>
        </w:rPr>
        <w:t>m</w:t>
      </w:r>
      <w:r w:rsidR="00FD14E3">
        <w:rPr>
          <w:lang w:val="en-GB"/>
        </w:rPr>
        <w:t xml:space="preserve">, </w:t>
      </w:r>
      <w:r w:rsidRPr="00DF5EA2">
        <w:rPr>
          <w:lang w:val="en-GB"/>
        </w:rPr>
        <w:t>where</w:t>
      </w:r>
      <w:r w:rsidR="00FD14E3">
        <w:rPr>
          <w:lang w:val="en-GB"/>
        </w:rPr>
        <w:t xml:space="preserve"> d</w:t>
      </w:r>
      <w:r w:rsidR="00FD14E3" w:rsidRPr="00FD14E3">
        <w:rPr>
          <w:vertAlign w:val="subscript"/>
          <w:lang w:val="en-GB"/>
        </w:rPr>
        <w:t>i</w:t>
      </w:r>
      <w:r w:rsidR="00FD14E3">
        <w:rPr>
          <w:lang w:val="en-GB"/>
        </w:rPr>
        <w:t xml:space="preserve"> </w:t>
      </w:r>
      <w:r w:rsidRPr="00DF5EA2">
        <w:rPr>
          <w:lang w:val="en-GB"/>
        </w:rPr>
        <w:t>is the hydraulic diameter</w:t>
      </w:r>
      <w:r>
        <w:rPr>
          <w:lang w:val="en-GB"/>
        </w:rPr>
        <w:t xml:space="preserve"> </w:t>
      </w:r>
      <w:r w:rsidRPr="00DF5EA2">
        <w:rPr>
          <w:lang w:val="en-GB"/>
        </w:rPr>
        <w:t>of the inlet channel</w:t>
      </w:r>
      <w:r w:rsidR="00892380">
        <w:rPr>
          <w:lang w:val="en-GB"/>
        </w:rPr>
        <w:t>. This approach enables a comparison of the two geometries</w:t>
      </w:r>
      <w:r w:rsidRPr="00DF5EA2">
        <w:rPr>
          <w:lang w:val="en-GB"/>
        </w:rPr>
        <w:t xml:space="preserve"> with the same inlet flow rate. For the X-geometry</w:t>
      </w:r>
      <w:r>
        <w:rPr>
          <w:lang w:val="en-GB"/>
        </w:rPr>
        <w:t xml:space="preserve"> </w:t>
      </w:r>
      <w:r w:rsidRPr="00DF5EA2">
        <w:rPr>
          <w:lang w:val="en-GB"/>
        </w:rPr>
        <w:t>Re = Re</w:t>
      </w:r>
      <w:r w:rsidRPr="008D0605">
        <w:rPr>
          <w:vertAlign w:val="subscript"/>
          <w:lang w:val="en-GB"/>
        </w:rPr>
        <w:t>i</w:t>
      </w:r>
      <w:r w:rsidRPr="00DF5EA2">
        <w:rPr>
          <w:lang w:val="en-GB"/>
        </w:rPr>
        <w:t>,</w:t>
      </w:r>
      <w:r w:rsidR="00FD14E3" w:rsidRPr="00FD14E3">
        <w:rPr>
          <w:lang w:val="en-GB"/>
        </w:rPr>
        <w:t xml:space="preserve"> </w:t>
      </w:r>
      <w:r w:rsidR="00892380">
        <w:rPr>
          <w:lang w:val="en-GB"/>
        </w:rPr>
        <w:t xml:space="preserve">as </w:t>
      </w:r>
      <w:r w:rsidR="00FD14E3" w:rsidRPr="00FD14E3">
        <w:rPr>
          <w:lang w:val="en-GB"/>
        </w:rPr>
        <w:t>it has four identical channels</w:t>
      </w:r>
      <w:r w:rsidR="00892380">
        <w:rPr>
          <w:lang w:val="en-GB"/>
        </w:rPr>
        <w:t>.</w:t>
      </w:r>
      <w:r w:rsidR="00FD14E3" w:rsidRPr="00FD14E3">
        <w:rPr>
          <w:lang w:val="en-GB"/>
        </w:rPr>
        <w:t xml:space="preserve"> </w:t>
      </w:r>
      <w:r w:rsidR="00892380">
        <w:rPr>
          <w:lang w:val="en-GB"/>
        </w:rPr>
        <w:t>I</w:t>
      </w:r>
      <w:r w:rsidRPr="00DF5EA2">
        <w:rPr>
          <w:lang w:val="en-GB"/>
        </w:rPr>
        <w:t>nstead</w:t>
      </w:r>
      <w:r w:rsidR="00892380">
        <w:rPr>
          <w:lang w:val="en-GB"/>
        </w:rPr>
        <w:t>,</w:t>
      </w:r>
      <w:r w:rsidRPr="00DF5EA2">
        <w:rPr>
          <w:lang w:val="en-GB"/>
        </w:rPr>
        <w:t xml:space="preserve"> for the arrow-microreactors</w:t>
      </w:r>
      <w:r w:rsidR="008D0605">
        <w:rPr>
          <w:lang w:val="en-GB"/>
        </w:rPr>
        <w:t xml:space="preserve"> </w:t>
      </w:r>
      <w:r w:rsidRPr="00DF5EA2">
        <w:rPr>
          <w:lang w:val="en-GB"/>
        </w:rPr>
        <w:t>Re</w:t>
      </w:r>
      <w:r w:rsidRPr="008D0605">
        <w:rPr>
          <w:vertAlign w:val="subscript"/>
          <w:lang w:val="en-GB"/>
        </w:rPr>
        <w:t>i</w:t>
      </w:r>
      <w:r w:rsidRPr="00DF5EA2">
        <w:rPr>
          <w:lang w:val="en-GB"/>
        </w:rPr>
        <w:t xml:space="preserve"> &lt; Re due to the difference between</w:t>
      </w:r>
      <w:r>
        <w:rPr>
          <w:lang w:val="en-GB"/>
        </w:rPr>
        <w:t xml:space="preserve"> </w:t>
      </w:r>
      <w:r w:rsidRPr="00DF5EA2">
        <w:rPr>
          <w:lang w:val="en-GB"/>
        </w:rPr>
        <w:t xml:space="preserve">the hydraulic diameter of the inlet channels and </w:t>
      </w:r>
      <w:r w:rsidR="00892380">
        <w:rPr>
          <w:lang w:val="en-GB"/>
        </w:rPr>
        <w:t xml:space="preserve">of </w:t>
      </w:r>
      <w:r w:rsidRPr="00DF5EA2">
        <w:rPr>
          <w:lang w:val="en-GB"/>
        </w:rPr>
        <w:t>the</w:t>
      </w:r>
      <w:r>
        <w:rPr>
          <w:lang w:val="en-GB"/>
        </w:rPr>
        <w:t xml:space="preserve"> </w:t>
      </w:r>
      <w:r w:rsidRPr="00DF5EA2">
        <w:rPr>
          <w:lang w:val="en-GB"/>
        </w:rPr>
        <w:t>outlet channel.</w:t>
      </w:r>
    </w:p>
    <w:p w14:paraId="72FC59B2" w14:textId="2956FA93" w:rsidR="001C5CF8" w:rsidRDefault="001C5CF8" w:rsidP="001C5CF8">
      <w:pPr>
        <w:pStyle w:val="Els-body-text"/>
        <w:rPr>
          <w:lang w:val="en-GB"/>
        </w:rPr>
      </w:pPr>
      <w:r>
        <w:rPr>
          <w:lang w:val="en-GB"/>
        </w:rPr>
        <w:t>Figure (2) summarizes the steady flow regimes in the arrow-microreactor. At low Reynolds numbers</w:t>
      </w:r>
      <w:r w:rsidRPr="001B2B6C">
        <w:rPr>
          <w:lang w:val="en-GB"/>
        </w:rPr>
        <w:t xml:space="preserve">, </w:t>
      </w:r>
      <w:r>
        <w:rPr>
          <w:lang w:val="en-GB"/>
        </w:rPr>
        <w:t xml:space="preserve">the stratification effect leads to a tilting of the impinging plane between </w:t>
      </w:r>
      <w:r w:rsidRPr="001B2B6C">
        <w:rPr>
          <w:lang w:val="en-GB"/>
        </w:rPr>
        <w:t xml:space="preserve">the two </w:t>
      </w:r>
      <w:r>
        <w:rPr>
          <w:lang w:val="en-GB"/>
        </w:rPr>
        <w:t>inlet</w:t>
      </w:r>
      <w:r w:rsidRPr="001B2B6C">
        <w:rPr>
          <w:lang w:val="en-GB"/>
        </w:rPr>
        <w:t xml:space="preserve"> streams</w:t>
      </w:r>
      <w:r>
        <w:rPr>
          <w:lang w:val="en-GB"/>
        </w:rPr>
        <w:t xml:space="preserve">, and the ascorbic acid solution occupies the bottom part of </w:t>
      </w:r>
      <w:r>
        <w:rPr>
          <w:lang w:val="en-GB"/>
        </w:rPr>
        <w:lastRenderedPageBreak/>
        <w:t>the channel due to its higher density. The lower the Re</w:t>
      </w:r>
      <w:r w:rsidRPr="007E532F">
        <w:rPr>
          <w:vertAlign w:val="subscript"/>
          <w:lang w:val="en-GB"/>
        </w:rPr>
        <w:t>i</w:t>
      </w:r>
      <w:r>
        <w:rPr>
          <w:lang w:val="en-GB"/>
        </w:rPr>
        <w:t>, the more upstream the stratification occurs (see Figs</w:t>
      </w:r>
      <w:r w:rsidR="00FD14E3">
        <w:rPr>
          <w:lang w:val="en-GB"/>
        </w:rPr>
        <w:t>.</w:t>
      </w:r>
      <w:r>
        <w:rPr>
          <w:lang w:val="en-GB"/>
        </w:rPr>
        <w:t xml:space="preserve"> (2a) and (2b)). The reaction takes place </w:t>
      </w:r>
      <w:r w:rsidR="00892380">
        <w:rPr>
          <w:lang w:val="en-GB"/>
        </w:rPr>
        <w:t>exclusively</w:t>
      </w:r>
      <w:r>
        <w:rPr>
          <w:lang w:val="en-GB"/>
        </w:rPr>
        <w:t xml:space="preserve"> in the contact region between the inlet streams. For Re</w:t>
      </w:r>
      <w:r w:rsidRPr="008D0605">
        <w:rPr>
          <w:vertAlign w:val="subscript"/>
          <w:lang w:val="en-GB"/>
        </w:rPr>
        <w:t>i</w:t>
      </w:r>
      <w:r>
        <w:rPr>
          <w:lang w:val="en-GB"/>
        </w:rPr>
        <w:t>&gt;37.5</w:t>
      </w:r>
      <w:r w:rsidRPr="001B2B6C">
        <w:rPr>
          <w:lang w:val="en-GB"/>
        </w:rPr>
        <w:t>,</w:t>
      </w:r>
      <w:r>
        <w:rPr>
          <w:lang w:val="en-GB"/>
        </w:rPr>
        <w:t xml:space="preserve"> the vortex regime occurs, which is characterized by</w:t>
      </w:r>
      <w:r w:rsidRPr="001B2B6C">
        <w:rPr>
          <w:lang w:val="en-GB"/>
        </w:rPr>
        <w:t xml:space="preserve"> </w:t>
      </w:r>
      <w:r>
        <w:rPr>
          <w:lang w:val="en-GB"/>
        </w:rPr>
        <w:t xml:space="preserve">two </w:t>
      </w:r>
      <w:r w:rsidRPr="001B2B6C">
        <w:rPr>
          <w:lang w:val="en-GB"/>
        </w:rPr>
        <w:t xml:space="preserve">U-shaped counter-rotating vortical structures </w:t>
      </w:r>
      <w:r>
        <w:rPr>
          <w:lang w:val="en-GB"/>
        </w:rPr>
        <w:t>in the mixing channel. The stratification effect is still present but is visible further downstream in the outlet, leading to an</w:t>
      </w:r>
      <w:r w:rsidRPr="001B2B6C">
        <w:rPr>
          <w:lang w:val="en-GB"/>
        </w:rPr>
        <w:t xml:space="preserve"> asymmetry </w:t>
      </w:r>
      <w:r>
        <w:rPr>
          <w:lang w:val="en-GB"/>
        </w:rPr>
        <w:t>of</w:t>
      </w:r>
      <w:r w:rsidRPr="001B2B6C">
        <w:rPr>
          <w:lang w:val="en-GB"/>
        </w:rPr>
        <w:t xml:space="preserve"> t</w:t>
      </w:r>
      <w:r>
        <w:rPr>
          <w:lang w:val="en-GB"/>
        </w:rPr>
        <w:t>he flow</w:t>
      </w:r>
      <w:r w:rsidRPr="001B2B6C">
        <w:rPr>
          <w:lang w:val="en-GB"/>
        </w:rPr>
        <w:t xml:space="preserve">. </w:t>
      </w:r>
      <w:r w:rsidR="00892380">
        <w:rPr>
          <w:lang w:val="en-GB"/>
        </w:rPr>
        <w:t>Additionally</w:t>
      </w:r>
      <w:r>
        <w:rPr>
          <w:lang w:val="en-GB"/>
        </w:rPr>
        <w:t>, the reaction occurs at the interface between the two solutions.</w:t>
      </w:r>
    </w:p>
    <w:p w14:paraId="560A09E2" w14:textId="4ABB1332" w:rsidR="001C5CF8" w:rsidRPr="001B2B6C" w:rsidRDefault="001C5CF8" w:rsidP="001C5CF8">
      <w:pPr>
        <w:pStyle w:val="Els-body-text"/>
        <w:rPr>
          <w:lang w:val="en-GB"/>
        </w:rPr>
      </w:pPr>
      <w:r w:rsidRPr="001B2B6C">
        <w:rPr>
          <w:lang w:val="en-GB"/>
        </w:rPr>
        <w:t xml:space="preserve">The engulfment regime </w:t>
      </w:r>
      <w:r>
        <w:rPr>
          <w:lang w:val="en-GB"/>
        </w:rPr>
        <w:t xml:space="preserve">is </w:t>
      </w:r>
      <w:r w:rsidR="00892380">
        <w:rPr>
          <w:lang w:val="en-GB"/>
        </w:rPr>
        <w:t>observed</w:t>
      </w:r>
      <w:r w:rsidRPr="001B2B6C">
        <w:rPr>
          <w:lang w:val="en-GB"/>
        </w:rPr>
        <w:t xml:space="preserve"> in the range </w:t>
      </w:r>
      <w:r>
        <w:rPr>
          <w:lang w:val="en-GB"/>
        </w:rPr>
        <w:t>75</w:t>
      </w:r>
      <w:r w:rsidRPr="001B2B6C">
        <w:rPr>
          <w:lang w:val="en-GB"/>
        </w:rPr>
        <w:t xml:space="preserve"> &lt; Re</w:t>
      </w:r>
      <w:r w:rsidRPr="007E532F">
        <w:rPr>
          <w:vertAlign w:val="subscript"/>
          <w:lang w:val="en-GB"/>
        </w:rPr>
        <w:t>i</w:t>
      </w:r>
      <w:r w:rsidRPr="001B2B6C">
        <w:rPr>
          <w:lang w:val="en-GB"/>
        </w:rPr>
        <w:t xml:space="preserve"> ≤ 1</w:t>
      </w:r>
      <w:r>
        <w:rPr>
          <w:lang w:val="en-GB"/>
        </w:rPr>
        <w:t xml:space="preserve">42.5. </w:t>
      </w:r>
      <w:r w:rsidR="00892380">
        <w:rPr>
          <w:lang w:val="en-GB"/>
        </w:rPr>
        <w:t>In this regime</w:t>
      </w:r>
      <w:r w:rsidRPr="001B2B6C">
        <w:rPr>
          <w:lang w:val="en-GB"/>
        </w:rPr>
        <w:t xml:space="preserve">, only </w:t>
      </w:r>
      <w:r>
        <w:rPr>
          <w:lang w:val="en-GB"/>
        </w:rPr>
        <w:t xml:space="preserve">the </w:t>
      </w:r>
      <w:r w:rsidRPr="001B2B6C">
        <w:rPr>
          <w:lang w:val="en-GB"/>
        </w:rPr>
        <w:t>two</w:t>
      </w:r>
      <w:r>
        <w:rPr>
          <w:lang w:val="en-GB"/>
        </w:rPr>
        <w:t xml:space="preserve"> strongest</w:t>
      </w:r>
      <w:r w:rsidRPr="001B2B6C">
        <w:rPr>
          <w:lang w:val="en-GB"/>
        </w:rPr>
        <w:t xml:space="preserve"> legs, </w:t>
      </w:r>
      <w:r>
        <w:rPr>
          <w:lang w:val="en-GB"/>
        </w:rPr>
        <w:t xml:space="preserve">which </w:t>
      </w:r>
      <w:r w:rsidRPr="001B2B6C">
        <w:rPr>
          <w:lang w:val="en-GB"/>
        </w:rPr>
        <w:t>co-rotat</w:t>
      </w:r>
      <w:r w:rsidR="00892380">
        <w:rPr>
          <w:lang w:val="en-GB"/>
        </w:rPr>
        <w:t>e</w:t>
      </w:r>
      <w:r>
        <w:rPr>
          <w:lang w:val="en-GB"/>
        </w:rPr>
        <w:t xml:space="preserve">, </w:t>
      </w:r>
      <w:r w:rsidR="00892380">
        <w:rPr>
          <w:lang w:val="en-GB"/>
        </w:rPr>
        <w:t>persist</w:t>
      </w:r>
      <w:r>
        <w:rPr>
          <w:lang w:val="en-GB"/>
        </w:rPr>
        <w:t xml:space="preserve"> in the mixing channel. This </w:t>
      </w:r>
      <w:r w:rsidR="00892380">
        <w:rPr>
          <w:lang w:val="en-GB"/>
        </w:rPr>
        <w:t>results</w:t>
      </w:r>
      <w:r>
        <w:rPr>
          <w:lang w:val="en-GB"/>
        </w:rPr>
        <w:t xml:space="preserve"> </w:t>
      </w:r>
      <w:r w:rsidR="00892380">
        <w:rPr>
          <w:lang w:val="en-GB"/>
        </w:rPr>
        <w:t>in</w:t>
      </w:r>
      <w:r w:rsidRPr="001B2B6C">
        <w:rPr>
          <w:lang w:val="en-GB"/>
        </w:rPr>
        <w:t xml:space="preserve"> a sudden enhancement </w:t>
      </w:r>
      <w:r w:rsidR="00892380">
        <w:rPr>
          <w:lang w:val="en-GB"/>
        </w:rPr>
        <w:t>of</w:t>
      </w:r>
      <w:r w:rsidRPr="001B2B6C">
        <w:rPr>
          <w:lang w:val="en-GB"/>
        </w:rPr>
        <w:t xml:space="preserve"> mixing between the reactive streams</w:t>
      </w:r>
      <w:r>
        <w:rPr>
          <w:lang w:val="en-GB"/>
        </w:rPr>
        <w:t>.</w:t>
      </w:r>
    </w:p>
    <w:p w14:paraId="5A2A05A2" w14:textId="2A9DE022" w:rsidR="001C5CF8" w:rsidRDefault="001C5CF8" w:rsidP="001C5CF8">
      <w:pPr>
        <w:pStyle w:val="Els-body-text"/>
        <w:rPr>
          <w:lang w:val="en-GB"/>
        </w:rPr>
      </w:pPr>
      <w:r w:rsidRPr="001B2B6C">
        <w:rPr>
          <w:lang w:val="en-GB"/>
        </w:rPr>
        <w:t xml:space="preserve">The intensity of the co-rotating vortical structures </w:t>
      </w:r>
      <w:r w:rsidR="00892380">
        <w:rPr>
          <w:lang w:val="en-GB"/>
        </w:rPr>
        <w:t>differs</w:t>
      </w:r>
      <w:r w:rsidRPr="001B2B6C">
        <w:rPr>
          <w:lang w:val="en-GB"/>
        </w:rPr>
        <w:t xml:space="preserve"> due to </w:t>
      </w:r>
      <w:r>
        <w:rPr>
          <w:lang w:val="en-GB"/>
        </w:rPr>
        <w:t xml:space="preserve">the </w:t>
      </w:r>
      <w:r w:rsidR="00892380">
        <w:rPr>
          <w:lang w:val="en-GB"/>
        </w:rPr>
        <w:t>distinct</w:t>
      </w:r>
      <w:r>
        <w:rPr>
          <w:lang w:val="en-GB"/>
        </w:rPr>
        <w:t xml:space="preserve"> properties of the inlet streams, and </w:t>
      </w:r>
      <w:r w:rsidRPr="001B2B6C">
        <w:rPr>
          <w:lang w:val="en-GB"/>
        </w:rPr>
        <w:t>this effect becom</w:t>
      </w:r>
      <w:r>
        <w:rPr>
          <w:lang w:val="en-GB"/>
        </w:rPr>
        <w:t>es</w:t>
      </w:r>
      <w:r w:rsidRPr="001B2B6C">
        <w:rPr>
          <w:lang w:val="en-GB"/>
        </w:rPr>
        <w:t xml:space="preserve"> more pronounced as </w:t>
      </w:r>
      <w:r>
        <w:rPr>
          <w:lang w:val="en-GB"/>
        </w:rPr>
        <w:t>the Reynolds</w:t>
      </w:r>
      <w:r w:rsidR="006D189F">
        <w:rPr>
          <w:lang w:val="en-GB"/>
        </w:rPr>
        <w:t xml:space="preserve"> </w:t>
      </w:r>
      <w:r>
        <w:rPr>
          <w:lang w:val="en-GB"/>
        </w:rPr>
        <w:t>number</w:t>
      </w:r>
      <w:r w:rsidRPr="001B2B6C">
        <w:rPr>
          <w:lang w:val="en-GB"/>
        </w:rPr>
        <w:t xml:space="preserve"> increases. Beyond Re</w:t>
      </w:r>
      <w:r w:rsidR="00FD14E3" w:rsidRPr="00FD14E3">
        <w:rPr>
          <w:vertAlign w:val="subscript"/>
          <w:lang w:val="en-GB"/>
        </w:rPr>
        <w:t>i</w:t>
      </w:r>
      <w:r w:rsidRPr="001B2B6C">
        <w:rPr>
          <w:lang w:val="en-GB"/>
        </w:rPr>
        <w:t xml:space="preserve"> = 1</w:t>
      </w:r>
      <w:r>
        <w:rPr>
          <w:lang w:val="en-GB"/>
        </w:rPr>
        <w:t>42.5</w:t>
      </w:r>
      <w:r w:rsidRPr="001B2B6C">
        <w:rPr>
          <w:lang w:val="en-GB"/>
        </w:rPr>
        <w:t xml:space="preserve">, </w:t>
      </w:r>
      <w:r>
        <w:rPr>
          <w:lang w:val="en-GB"/>
        </w:rPr>
        <w:t xml:space="preserve">in the single-vortex regime, </w:t>
      </w:r>
      <w:r w:rsidRPr="001B2B6C">
        <w:rPr>
          <w:lang w:val="en-GB"/>
        </w:rPr>
        <w:t>only one vortical structure remains in the mixing channel</w:t>
      </w:r>
      <w:r>
        <w:rPr>
          <w:lang w:val="en-GB"/>
        </w:rPr>
        <w:t xml:space="preserve">. </w:t>
      </w:r>
      <w:r w:rsidRPr="001B2B6C">
        <w:rPr>
          <w:lang w:val="en-GB"/>
        </w:rPr>
        <w:t>In the confluence region, four weaker vortical structures form due to the central vortex. The flow remains stable up to Re</w:t>
      </w:r>
      <w:r w:rsidR="00FD14E3" w:rsidRPr="00FD14E3">
        <w:rPr>
          <w:vertAlign w:val="subscript"/>
          <w:lang w:val="en-GB"/>
        </w:rPr>
        <w:t>i</w:t>
      </w:r>
      <w:r w:rsidRPr="001B2B6C">
        <w:rPr>
          <w:lang w:val="en-GB"/>
        </w:rPr>
        <w:t xml:space="preserve"> = </w:t>
      </w:r>
      <w:r>
        <w:rPr>
          <w:lang w:val="en-GB"/>
        </w:rPr>
        <w:t>232.5</w:t>
      </w:r>
      <w:r w:rsidRPr="001B2B6C">
        <w:rPr>
          <w:lang w:val="en-GB"/>
        </w:rPr>
        <w:t>.</w:t>
      </w:r>
    </w:p>
    <w:p w14:paraId="1926EC39" w14:textId="39DDACE5" w:rsidR="001C5CF8" w:rsidRDefault="001C5CF8" w:rsidP="001C5CF8">
      <w:pPr>
        <w:pStyle w:val="Els-body-text"/>
        <w:rPr>
          <w:lang w:val="en-GB"/>
        </w:rPr>
      </w:pPr>
      <w:r>
        <w:rPr>
          <w:lang w:val="en-GB"/>
        </w:rPr>
        <w:t xml:space="preserve">In the engulfment and single-vortex regime, the reaction rate is low in the </w:t>
      </w:r>
      <w:proofErr w:type="spellStart"/>
      <w:r>
        <w:rPr>
          <w:lang w:val="en-GB"/>
        </w:rPr>
        <w:t>cent</w:t>
      </w:r>
      <w:r w:rsidR="00FD14E3">
        <w:rPr>
          <w:lang w:val="en-GB"/>
        </w:rPr>
        <w:t>er</w:t>
      </w:r>
      <w:proofErr w:type="spellEnd"/>
      <w:r>
        <w:rPr>
          <w:lang w:val="en-GB"/>
        </w:rPr>
        <w:t xml:space="preserve"> of the vortex, instead is higher at the interface between the vortex and the bulk solution.</w:t>
      </w:r>
    </w:p>
    <w:p w14:paraId="0CA76543" w14:textId="608322EF" w:rsidR="001C5CF8" w:rsidRPr="00F94AC6" w:rsidRDefault="001C5CF8" w:rsidP="001C5CF8">
      <w:pPr>
        <w:pStyle w:val="Els-body-text"/>
        <w:rPr>
          <w:lang w:val="en-GB"/>
        </w:rPr>
      </w:pPr>
      <w:r>
        <w:rPr>
          <w:lang w:val="en-GB"/>
        </w:rPr>
        <w:t>Figure (3) summarize</w:t>
      </w:r>
      <w:r w:rsidR="00FD14E3">
        <w:rPr>
          <w:lang w:val="en-GB"/>
        </w:rPr>
        <w:t>s</w:t>
      </w:r>
      <w:r>
        <w:rPr>
          <w:lang w:val="en-GB"/>
        </w:rPr>
        <w:t xml:space="preserve"> the steady flow regimes in the X-microreactor. </w:t>
      </w:r>
      <w:r w:rsidRPr="00F94AC6">
        <w:rPr>
          <w:lang w:val="en-GB"/>
        </w:rPr>
        <w:t xml:space="preserve">At </w:t>
      </w:r>
      <w:r w:rsidR="00FD14E3">
        <w:rPr>
          <w:lang w:val="en-GB"/>
        </w:rPr>
        <w:t xml:space="preserve">low </w:t>
      </w:r>
      <w:r w:rsidRPr="00F94AC6">
        <w:rPr>
          <w:lang w:val="en-GB"/>
        </w:rPr>
        <w:t>Reynolds number</w:t>
      </w:r>
      <w:r w:rsidR="00FD14E3">
        <w:rPr>
          <w:lang w:val="en-GB"/>
        </w:rPr>
        <w:t>s</w:t>
      </w:r>
      <w:r w:rsidRPr="00F94AC6">
        <w:rPr>
          <w:lang w:val="en-GB"/>
        </w:rPr>
        <w:t xml:space="preserve">, the </w:t>
      </w:r>
      <w:r>
        <w:rPr>
          <w:lang w:val="en-GB"/>
        </w:rPr>
        <w:t xml:space="preserve">stratified regime occurs in the device </w:t>
      </w:r>
      <w:r w:rsidR="00892380">
        <w:rPr>
          <w:lang w:val="en-GB"/>
        </w:rPr>
        <w:t>similarly to</w:t>
      </w:r>
      <w:r>
        <w:rPr>
          <w:lang w:val="en-GB"/>
        </w:rPr>
        <w:t xml:space="preserve"> the arrow-geometry. </w:t>
      </w:r>
      <w:r w:rsidRPr="00F94AC6">
        <w:rPr>
          <w:lang w:val="en-GB"/>
        </w:rPr>
        <w:t>The flow</w:t>
      </w:r>
      <w:r>
        <w:rPr>
          <w:lang w:val="en-GB"/>
        </w:rPr>
        <w:t xml:space="preserve"> </w:t>
      </w:r>
      <w:r w:rsidRPr="00F94AC6">
        <w:rPr>
          <w:lang w:val="en-GB"/>
        </w:rPr>
        <w:t>pattern at</w:t>
      </w:r>
      <w:r>
        <w:rPr>
          <w:lang w:val="en-GB"/>
        </w:rPr>
        <w:t xml:space="preserve"> Re</w:t>
      </w:r>
      <w:r w:rsidRPr="00727214">
        <w:rPr>
          <w:vertAlign w:val="subscript"/>
          <w:lang w:val="en-GB"/>
        </w:rPr>
        <w:t>i</w:t>
      </w:r>
      <w:r>
        <w:rPr>
          <w:lang w:val="en-GB"/>
        </w:rPr>
        <w:t xml:space="preserve"> = 40 </w:t>
      </w:r>
      <w:r w:rsidRPr="00F94AC6">
        <w:rPr>
          <w:lang w:val="en-GB"/>
        </w:rPr>
        <w:t>mirrors that of</w:t>
      </w:r>
      <w:r>
        <w:rPr>
          <w:rFonts w:ascii="Cambria Math" w:hAnsi="Cambria Math" w:cs="Cambria Math"/>
          <w:lang w:val="en-GB"/>
        </w:rPr>
        <w:t xml:space="preserve"> Re</w:t>
      </w:r>
      <w:r w:rsidRPr="00727214">
        <w:rPr>
          <w:rFonts w:ascii="Cambria Math" w:hAnsi="Cambria Math" w:cs="Cambria Math"/>
          <w:vertAlign w:val="subscript"/>
          <w:lang w:val="en-GB"/>
        </w:rPr>
        <w:t>i</w:t>
      </w:r>
      <w:r>
        <w:rPr>
          <w:rFonts w:ascii="Cambria Math" w:hAnsi="Cambria Math" w:cs="Cambria Math"/>
          <w:vertAlign w:val="subscript"/>
          <w:lang w:val="en-GB"/>
        </w:rPr>
        <w:t xml:space="preserve"> </w:t>
      </w:r>
      <w:r>
        <w:rPr>
          <w:rFonts w:ascii="Cambria Math" w:hAnsi="Cambria Math" w:cs="Cambria Math"/>
          <w:lang w:val="en-GB"/>
        </w:rPr>
        <w:t>= 10</w:t>
      </w:r>
      <w:r w:rsidRPr="00F94AC6">
        <w:rPr>
          <w:lang w:val="en-GB"/>
        </w:rPr>
        <w:t xml:space="preserve">. The impingement plane between the two streams tilts, and the ascorbic acid solution migrates toward the lower part of the channel. </w:t>
      </w:r>
      <w:r w:rsidR="002C7008">
        <w:rPr>
          <w:lang w:val="en-GB"/>
        </w:rPr>
        <w:t>The c</w:t>
      </w:r>
      <w:r w:rsidRPr="00F94AC6">
        <w:rPr>
          <w:lang w:val="en-GB"/>
        </w:rPr>
        <w:t xml:space="preserve">ontact regions between the two streams at </w:t>
      </w:r>
      <w:r>
        <w:rPr>
          <w:rFonts w:ascii="Cambria Math" w:hAnsi="Cambria Math" w:cs="Cambria Math"/>
          <w:lang w:val="en-GB"/>
        </w:rPr>
        <w:t xml:space="preserve">Y = </w:t>
      </w:r>
      <w:r w:rsidR="00E949FC">
        <w:rPr>
          <w:rFonts w:ascii="Cambria Math" w:hAnsi="Cambria Math" w:cs="Cambria Math"/>
          <w:lang w:val="en-GB"/>
        </w:rPr>
        <w:t>1</w:t>
      </w:r>
      <w:r w:rsidR="00BE3500" w:rsidRPr="00BE3500">
        <w:rPr>
          <w:rFonts w:ascii="Cambria Math" w:hAnsi="Cambria Math" w:cs="Cambria Math"/>
          <w:lang w:val="en-GB"/>
        </w:rPr>
        <w:t xml:space="preserve">, </w:t>
      </w:r>
      <w:r w:rsidR="00E949FC">
        <w:rPr>
          <w:rFonts w:ascii="Cambria Math" w:hAnsi="Cambria Math" w:cs="Cambria Math"/>
          <w:lang w:val="en-GB"/>
        </w:rPr>
        <w:t>2</w:t>
      </w:r>
      <w:r w:rsidR="00BE3500" w:rsidRPr="00BE3500">
        <w:rPr>
          <w:rFonts w:ascii="Cambria Math" w:hAnsi="Cambria Math" w:cs="Cambria Math"/>
          <w:lang w:val="en-GB"/>
        </w:rPr>
        <w:t xml:space="preserve">, </w:t>
      </w:r>
      <w:r w:rsidR="00BE3500">
        <w:rPr>
          <w:rFonts w:ascii="Cambria Math" w:hAnsi="Cambria Math" w:cs="Cambria Math"/>
          <w:lang w:val="en-GB"/>
        </w:rPr>
        <w:t xml:space="preserve">and </w:t>
      </w:r>
      <w:r w:rsidR="00E949FC">
        <w:rPr>
          <w:rFonts w:ascii="Cambria Math" w:hAnsi="Cambria Math" w:cs="Cambria Math"/>
          <w:lang w:val="en-GB"/>
        </w:rPr>
        <w:t>3</w:t>
      </w:r>
      <w:r w:rsidR="00BE3500">
        <w:rPr>
          <w:rFonts w:ascii="Cambria Math" w:hAnsi="Cambria Math" w:cs="Cambria Math"/>
          <w:lang w:val="en-GB"/>
        </w:rPr>
        <w:t xml:space="preserve"> </w:t>
      </w:r>
      <w:r w:rsidRPr="00F94AC6">
        <w:rPr>
          <w:lang w:val="en-GB"/>
        </w:rPr>
        <w:t xml:space="preserve">exhibit slight corrugations. </w:t>
      </w:r>
      <w:proofErr w:type="gramStart"/>
      <w:r w:rsidR="00892380">
        <w:rPr>
          <w:lang w:val="en-GB"/>
        </w:rPr>
        <w:t>Similar to</w:t>
      </w:r>
      <w:proofErr w:type="gramEnd"/>
      <w:r>
        <w:rPr>
          <w:lang w:val="en-GB"/>
        </w:rPr>
        <w:t xml:space="preserve"> the arrow-geometry, in the stratif</w:t>
      </w:r>
      <w:r w:rsidR="00FD14E3">
        <w:rPr>
          <w:lang w:val="en-GB"/>
        </w:rPr>
        <w:t>ied</w:t>
      </w:r>
      <w:r>
        <w:rPr>
          <w:lang w:val="en-GB"/>
        </w:rPr>
        <w:t xml:space="preserve"> regime</w:t>
      </w:r>
      <w:r w:rsidR="006F51B8">
        <w:rPr>
          <w:lang w:val="en-GB"/>
        </w:rPr>
        <w:t>,</w:t>
      </w:r>
      <w:r>
        <w:rPr>
          <w:lang w:val="en-GB"/>
        </w:rPr>
        <w:t xml:space="preserve"> the reaction occurs at the interface between the two solutions. For Re</w:t>
      </w:r>
      <w:r w:rsidRPr="00727214">
        <w:rPr>
          <w:vertAlign w:val="subscript"/>
          <w:lang w:val="en-GB"/>
        </w:rPr>
        <w:t>i</w:t>
      </w:r>
      <w:r>
        <w:rPr>
          <w:lang w:val="en-GB"/>
        </w:rPr>
        <w:t xml:space="preserve"> &gt;</w:t>
      </w:r>
      <w:r w:rsidRPr="00F94AC6">
        <w:rPr>
          <w:lang w:val="en-GB"/>
        </w:rPr>
        <w:t xml:space="preserve"> 50, a single vortical structure emerges in the confluence region and extends into the outlet channels</w:t>
      </w:r>
      <w:r>
        <w:rPr>
          <w:lang w:val="en-GB"/>
        </w:rPr>
        <w:t>. In the X-microreactor, the intermediate vortex regime does</w:t>
      </w:r>
      <w:r w:rsidR="002C7008">
        <w:rPr>
          <w:lang w:val="en-GB"/>
        </w:rPr>
        <w:t xml:space="preserve"> not</w:t>
      </w:r>
      <w:r>
        <w:rPr>
          <w:lang w:val="en-GB"/>
        </w:rPr>
        <w:t xml:space="preserve"> occur</w:t>
      </w:r>
      <w:r w:rsidR="00892380">
        <w:rPr>
          <w:lang w:val="en-GB"/>
        </w:rPr>
        <w:t>;</w:t>
      </w:r>
      <w:r w:rsidRPr="00F94AC6">
        <w:rPr>
          <w:lang w:val="en-GB"/>
        </w:rPr>
        <w:t xml:space="preserve"> </w:t>
      </w:r>
      <w:r>
        <w:rPr>
          <w:lang w:val="en-GB"/>
        </w:rPr>
        <w:t>thus</w:t>
      </w:r>
      <w:r w:rsidR="00892380">
        <w:rPr>
          <w:lang w:val="en-GB"/>
        </w:rPr>
        <w:t>,</w:t>
      </w:r>
      <w:r>
        <w:rPr>
          <w:lang w:val="en-GB"/>
        </w:rPr>
        <w:t xml:space="preserve"> </w:t>
      </w:r>
      <w:r w:rsidRPr="00F94AC6">
        <w:rPr>
          <w:lang w:val="en-GB"/>
        </w:rPr>
        <w:t>the engulfment regime</w:t>
      </w:r>
      <w:r>
        <w:rPr>
          <w:lang w:val="en-GB"/>
        </w:rPr>
        <w:t xml:space="preserve"> is triggered at </w:t>
      </w:r>
      <w:r w:rsidR="006F51B8">
        <w:rPr>
          <w:lang w:val="en-GB"/>
        </w:rPr>
        <w:t xml:space="preserve">a </w:t>
      </w:r>
      <w:r>
        <w:rPr>
          <w:lang w:val="en-GB"/>
        </w:rPr>
        <w:t>very low Reynolds number compared to the arrow-microreactor</w:t>
      </w:r>
      <w:r w:rsidRPr="00F94AC6">
        <w:rPr>
          <w:lang w:val="en-GB"/>
        </w:rPr>
        <w:t xml:space="preserve">. </w:t>
      </w:r>
    </w:p>
    <w:p w14:paraId="0CE46E5F" w14:textId="483BD136" w:rsidR="001C5CF8" w:rsidRDefault="001C5CF8" w:rsidP="001C5CF8">
      <w:pPr>
        <w:pStyle w:val="Els-body-text"/>
        <w:rPr>
          <w:lang w:val="en-GB"/>
        </w:rPr>
      </w:pPr>
      <w:r>
        <w:rPr>
          <w:lang w:val="en-GB"/>
        </w:rPr>
        <w:t>By further increasing Reynolds, t</w:t>
      </w:r>
      <w:r w:rsidRPr="00F94AC6">
        <w:rPr>
          <w:lang w:val="en-GB"/>
        </w:rPr>
        <w:t>he central vortex strengthens and elongates in the outlet channels</w:t>
      </w:r>
      <w:r>
        <w:rPr>
          <w:lang w:val="en-GB"/>
        </w:rPr>
        <w:t xml:space="preserve">. </w:t>
      </w:r>
      <w:r w:rsidR="00E81A23">
        <w:rPr>
          <w:lang w:val="en-GB"/>
        </w:rPr>
        <w:t>In addition to</w:t>
      </w:r>
      <w:r w:rsidR="006F51B8">
        <w:rPr>
          <w:lang w:val="en-GB"/>
        </w:rPr>
        <w:t xml:space="preserve"> </w:t>
      </w:r>
      <w:r w:rsidRPr="00F94AC6">
        <w:rPr>
          <w:lang w:val="en-GB"/>
        </w:rPr>
        <w:t xml:space="preserve">the central vortex, two secondary counter-rotating vortices </w:t>
      </w:r>
      <w:r>
        <w:rPr>
          <w:lang w:val="en-GB"/>
        </w:rPr>
        <w:t>form</w:t>
      </w:r>
      <w:r w:rsidR="00E81A23">
        <w:rPr>
          <w:lang w:val="en-GB"/>
        </w:rPr>
        <w:t xml:space="preserve">, </w:t>
      </w:r>
      <w:r w:rsidRPr="00F94AC6">
        <w:rPr>
          <w:lang w:val="en-GB"/>
        </w:rPr>
        <w:t>further enhanc</w:t>
      </w:r>
      <w:r w:rsidR="00E81A23">
        <w:rPr>
          <w:lang w:val="en-GB"/>
        </w:rPr>
        <w:t>ing</w:t>
      </w:r>
      <w:r w:rsidRPr="00F94AC6">
        <w:rPr>
          <w:lang w:val="en-GB"/>
        </w:rPr>
        <w:t xml:space="preserve"> the mixing of the streams</w:t>
      </w:r>
      <w:r>
        <w:rPr>
          <w:lang w:val="en-GB"/>
        </w:rPr>
        <w:t xml:space="preserve"> (see Fig. (3d)</w:t>
      </w:r>
      <w:r w:rsidR="00E949FC">
        <w:rPr>
          <w:lang w:val="en-GB"/>
        </w:rPr>
        <w:t xml:space="preserve"> and (3e)</w:t>
      </w:r>
      <w:r>
        <w:rPr>
          <w:lang w:val="en-GB"/>
        </w:rPr>
        <w:t>)</w:t>
      </w:r>
      <w:r w:rsidRPr="00F94AC6">
        <w:rPr>
          <w:lang w:val="en-GB"/>
        </w:rPr>
        <w:t xml:space="preserve">. </w:t>
      </w:r>
    </w:p>
    <w:p w14:paraId="08C87A95" w14:textId="14D7F9E0" w:rsidR="00D84729" w:rsidRDefault="001C5CF8" w:rsidP="001C5CF8">
      <w:pPr>
        <w:pStyle w:val="Els-body-text"/>
        <w:rPr>
          <w:lang w:val="en-GB"/>
        </w:rPr>
      </w:pPr>
      <w:r>
        <w:rPr>
          <w:lang w:val="en-GB"/>
        </w:rPr>
        <w:t xml:space="preserve">The highest reaction rate in the engulfment regime is obtained along the external border of the central vortex. </w:t>
      </w:r>
      <w:r w:rsidR="00E81A23">
        <w:rPr>
          <w:lang w:val="en-GB"/>
        </w:rPr>
        <w:t>Conversely</w:t>
      </w:r>
      <w:r>
        <w:rPr>
          <w:lang w:val="en-GB"/>
        </w:rPr>
        <w:t>, in the vortex core</w:t>
      </w:r>
      <w:r w:rsidR="00E81A23">
        <w:rPr>
          <w:lang w:val="en-GB"/>
        </w:rPr>
        <w:t>,</w:t>
      </w:r>
      <w:r>
        <w:rPr>
          <w:lang w:val="en-GB"/>
        </w:rPr>
        <w:t xml:space="preserve"> the reaction rate is lower due to the stagnation of the reactants. </w:t>
      </w:r>
      <w:r w:rsidR="00E949FC" w:rsidRPr="001B2B6C">
        <w:rPr>
          <w:lang w:val="en-GB"/>
        </w:rPr>
        <w:t>The flow remains stable up to Re</w:t>
      </w:r>
      <w:r w:rsidR="00E949FC" w:rsidRPr="00FD14E3">
        <w:rPr>
          <w:vertAlign w:val="subscript"/>
          <w:lang w:val="en-GB"/>
        </w:rPr>
        <w:t>i</w:t>
      </w:r>
      <w:r w:rsidR="00E949FC" w:rsidRPr="001B2B6C">
        <w:rPr>
          <w:lang w:val="en-GB"/>
        </w:rPr>
        <w:t xml:space="preserve"> = </w:t>
      </w:r>
      <w:r w:rsidR="00E949FC">
        <w:rPr>
          <w:lang w:val="en-GB"/>
        </w:rPr>
        <w:t>375</w:t>
      </w:r>
      <w:r w:rsidR="00E949FC" w:rsidRPr="001B2B6C">
        <w:rPr>
          <w:lang w:val="en-GB"/>
        </w:rPr>
        <w:t>.</w:t>
      </w:r>
    </w:p>
    <w:p w14:paraId="25FDB45B" w14:textId="77777777" w:rsidR="00D75B21" w:rsidRDefault="00D75B21" w:rsidP="001C5CF8">
      <w:pPr>
        <w:pStyle w:val="Els-body-text"/>
        <w:rPr>
          <w:lang w:val="en-GB"/>
        </w:rPr>
      </w:pPr>
    </w:p>
    <w:p w14:paraId="2F9CD8F1" w14:textId="77777777" w:rsidR="00D84729" w:rsidRDefault="00D84729" w:rsidP="00D84729">
      <w:pPr>
        <w:pStyle w:val="Els-body-text"/>
        <w:keepNext/>
      </w:pPr>
      <w:r>
        <w:t>The reaction yield is computed 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21"/>
        <w:gridCol w:w="965"/>
      </w:tblGrid>
      <w:tr w:rsidR="00AC611D" w:rsidRPr="00A94774" w14:paraId="5F90EDD3" w14:textId="77777777" w:rsidTr="00814372">
        <w:tc>
          <w:tcPr>
            <w:tcW w:w="6317" w:type="dxa"/>
            <w:shd w:val="clear" w:color="auto" w:fill="auto"/>
            <w:vAlign w:val="center"/>
          </w:tcPr>
          <w:p w14:paraId="51505C20" w14:textId="7B8A2411" w:rsidR="00AC611D" w:rsidRPr="00AC611D" w:rsidRDefault="00AC611D" w:rsidP="00AC611D">
            <w:pPr>
              <w:pStyle w:val="Els-body-text"/>
              <w:keepNext/>
              <w:spacing w:before="120" w:after="12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η=1-2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MB+,Y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MB+,in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985" w:type="dxa"/>
            <w:shd w:val="clear" w:color="auto" w:fill="auto"/>
            <w:vAlign w:val="center"/>
          </w:tcPr>
          <w:p w14:paraId="12EB14FD" w14:textId="13E96310" w:rsidR="00AC611D" w:rsidRPr="00A94774" w:rsidRDefault="00AC611D" w:rsidP="00814372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</w:t>
            </w:r>
            <w:r>
              <w:rPr>
                <w:lang w:val="en-GB"/>
              </w:rPr>
              <w:t>5</w:t>
            </w:r>
            <w:r w:rsidRPr="00A94774">
              <w:rPr>
                <w:lang w:val="en-GB"/>
              </w:rPr>
              <w:t>)</w:t>
            </w:r>
          </w:p>
        </w:tc>
      </w:tr>
    </w:tbl>
    <w:p w14:paraId="16807D41" w14:textId="77777777" w:rsidR="00D84729" w:rsidRDefault="00D84729" w:rsidP="00D84729">
      <w:pPr>
        <w:pStyle w:val="Els-body-text"/>
        <w:keepNext/>
      </w:pPr>
      <w:r>
        <w:t>Where C</w:t>
      </w:r>
      <w:r w:rsidRPr="00C31B3D">
        <w:rPr>
          <w:vertAlign w:val="subscript"/>
        </w:rPr>
        <w:t>MB</w:t>
      </w:r>
      <w:proofErr w:type="gramStart"/>
      <w:r w:rsidRPr="00C31B3D">
        <w:rPr>
          <w:vertAlign w:val="subscript"/>
        </w:rPr>
        <w:t>+,</w:t>
      </w:r>
      <w:r>
        <w:rPr>
          <w:vertAlign w:val="subscript"/>
        </w:rPr>
        <w:t>Y</w:t>
      </w:r>
      <w:proofErr w:type="gramEnd"/>
      <w:r>
        <w:rPr>
          <w:vertAlign w:val="subscript"/>
        </w:rPr>
        <w:t xml:space="preserve">  </w:t>
      </w:r>
      <w:r>
        <w:t xml:space="preserve">and </w:t>
      </w:r>
      <w:proofErr w:type="spellStart"/>
      <w:r>
        <w:t>C</w:t>
      </w:r>
      <w:r w:rsidRPr="00C31B3D">
        <w:rPr>
          <w:vertAlign w:val="subscript"/>
        </w:rPr>
        <w:t>MB+,in</w:t>
      </w:r>
      <w:proofErr w:type="spellEnd"/>
      <w:r>
        <w:rPr>
          <w:vertAlign w:val="subscript"/>
        </w:rPr>
        <w:t xml:space="preserve"> </w:t>
      </w:r>
      <w:r>
        <w:t xml:space="preserve">are the methylene blue concentrations evaluated at the Y cross-section and at the inlet channel, respectively. </w:t>
      </w:r>
    </w:p>
    <w:p w14:paraId="5A51D538" w14:textId="77777777" w:rsidR="00D84729" w:rsidRDefault="00D84729" w:rsidP="00D84729">
      <w:pPr>
        <w:pStyle w:val="Els-body-text"/>
        <w:keepNext/>
      </w:pPr>
      <w:r>
        <w:t>Figure (4) presents a comparison of the reaction yield in the X- and arrow-microreactors, evaluated at the Y=-25 cross-section.</w:t>
      </w:r>
    </w:p>
    <w:p w14:paraId="60B23A73" w14:textId="42FA863C" w:rsidR="00D84729" w:rsidRDefault="00D84729" w:rsidP="00D84729">
      <w:pPr>
        <w:pStyle w:val="Els-body-text"/>
        <w:keepNext/>
      </w:pPr>
      <w:r>
        <w:t>In the stratified regime, t</w:t>
      </w:r>
      <w:r w:rsidRPr="00C31B3D">
        <w:t>he reaction yield diminish</w:t>
      </w:r>
      <w:r>
        <w:t>es</w:t>
      </w:r>
      <w:r w:rsidRPr="00C31B3D">
        <w:t xml:space="preserve"> with </w:t>
      </w:r>
      <w:r>
        <w:t xml:space="preserve">increasing </w:t>
      </w:r>
      <w:r w:rsidRPr="00C31B3D">
        <w:t xml:space="preserve">Reynolds for the </w:t>
      </w:r>
      <w:r>
        <w:t>two</w:t>
      </w:r>
      <w:r w:rsidRPr="00C31B3D">
        <w:t xml:space="preserve"> examined geometries. This </w:t>
      </w:r>
      <w:r>
        <w:t>behavior</w:t>
      </w:r>
      <w:r w:rsidRPr="00C31B3D">
        <w:t xml:space="preserve"> is attributed to the reduction in the residence time of fluid streams within the device.</w:t>
      </w:r>
      <w:r>
        <w:t xml:space="preserve"> Specifically, as Re</w:t>
      </w:r>
      <w:r w:rsidRPr="007F05D8">
        <w:rPr>
          <w:vertAlign w:val="subscript"/>
        </w:rPr>
        <w:t>i</w:t>
      </w:r>
      <w:r>
        <w:rPr>
          <w:vertAlign w:val="subscript"/>
        </w:rPr>
        <w:t xml:space="preserve"> </w:t>
      </w:r>
      <w:r>
        <w:t xml:space="preserve">increases, the contact area between the streams remains unchanged, but the residence time decreases. Subsequently, </w:t>
      </w:r>
      <w:r>
        <w:rPr>
          <w:rFonts w:ascii="Symbol" w:hAnsi="Symbol"/>
        </w:rPr>
        <w:t xml:space="preserve">h </w:t>
      </w:r>
      <w:r w:rsidRPr="00C31B3D">
        <w:t>gradually increase</w:t>
      </w:r>
      <w:r>
        <w:t>s in the vortex and engulfment regime in the arrow-geometry due to the increase in the contact area between the streams. In the X-microreactor, the yield starts to increase when the engulfment regime occurs, but after reaching a maximum at Re</w:t>
      </w:r>
      <w:r w:rsidRPr="00C31B3D">
        <w:rPr>
          <w:vertAlign w:val="subscript"/>
        </w:rPr>
        <w:t>i</w:t>
      </w:r>
      <w:r>
        <w:t>=80,</w:t>
      </w:r>
      <w:r w:rsidR="00D75B21">
        <w:t xml:space="preserve"> </w:t>
      </w:r>
      <w:r w:rsidR="00D75B21">
        <w:lastRenderedPageBreak/>
        <w:t>t</w:t>
      </w:r>
      <w:r>
        <w:t>he yield decreases. This is probably because, for Re</w:t>
      </w:r>
      <w:r w:rsidRPr="007F05D8">
        <w:rPr>
          <w:vertAlign w:val="subscript"/>
        </w:rPr>
        <w:t>i</w:t>
      </w:r>
      <w:r>
        <w:t>&gt;80, the contact area between the inlet streams does not significantly vary, but the residence time drastically diminishes.</w:t>
      </w:r>
    </w:p>
    <w:p w14:paraId="157E76B6" w14:textId="56018F01" w:rsidR="00D84729" w:rsidRPr="00D84729" w:rsidRDefault="00D84729" w:rsidP="00D84729">
      <w:pPr>
        <w:pStyle w:val="Els-body-text"/>
        <w:keepNext/>
      </w:pPr>
      <w:r>
        <w:t>By further increasing Re</w:t>
      </w:r>
      <w:r w:rsidRPr="00814E2C">
        <w:rPr>
          <w:vertAlign w:val="subscript"/>
        </w:rPr>
        <w:t>i</w:t>
      </w:r>
      <w:r>
        <w:t xml:space="preserve">, the single-vortex regime occurs in the arrow-geometry, leading to a sudden increase in the reaction yield. Conversely, in the X-microreactor, the yield continues to diminish. </w:t>
      </w:r>
    </w:p>
    <w:p w14:paraId="4BD4A1B2" w14:textId="77777777" w:rsidR="00FD14E3" w:rsidRDefault="00FD14E3" w:rsidP="001C5CF8">
      <w:pPr>
        <w:pStyle w:val="Els-body-text"/>
        <w:rPr>
          <w:lang w:val="en-GB"/>
        </w:rPr>
      </w:pPr>
    </w:p>
    <w:p w14:paraId="49CFC51C" w14:textId="18449406" w:rsidR="009216F3" w:rsidRDefault="00E949FC" w:rsidP="009216F3">
      <w:pPr>
        <w:pStyle w:val="Els-body-text"/>
        <w:keepNext/>
      </w:pPr>
      <w:r>
        <w:rPr>
          <w:noProof/>
        </w:rPr>
        <w:drawing>
          <wp:inline distT="0" distB="0" distL="0" distR="0" wp14:anchorId="19EF636D" wp14:editId="352DE731">
            <wp:extent cx="4499610" cy="2669540"/>
            <wp:effectExtent l="0" t="0" r="0" b="0"/>
            <wp:docPr id="704000172" name="Immagine 1" descr="Immagine che contiene schizzo, diagramma, disegn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000172" name="Immagine 1" descr="Immagine che contiene schizzo, diagramma, disegno, design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402D4" w14:textId="46C4A981" w:rsidR="007E532F" w:rsidRDefault="009216F3" w:rsidP="006D189F">
      <w:pPr>
        <w:pStyle w:val="Didascalia"/>
        <w:jc w:val="both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6A7229">
        <w:rPr>
          <w:noProof/>
        </w:rPr>
        <w:t>2</w:t>
      </w:r>
      <w:r>
        <w:fldChar w:fldCharType="end"/>
      </w:r>
      <w:r>
        <w:t>: C</w:t>
      </w:r>
      <w:r w:rsidRPr="00B63734">
        <w:t xml:space="preserve">ontours of </w:t>
      </w:r>
      <w:r>
        <w:t>reaction rate</w:t>
      </w:r>
      <w:r w:rsidRPr="00B63734">
        <w:t xml:space="preserve"> </w:t>
      </w:r>
      <w:r w:rsidR="008D0605">
        <w:t xml:space="preserve">in the arrow-microreactor </w:t>
      </w:r>
      <w:r w:rsidRPr="00B63734">
        <w:t>at the Y =</w:t>
      </w:r>
      <w:r>
        <w:t xml:space="preserve"> </w:t>
      </w:r>
      <w:r w:rsidRPr="00B63734">
        <w:t>-</w:t>
      </w:r>
      <w:r w:rsidR="00E949FC">
        <w:t>1</w:t>
      </w:r>
      <w:r w:rsidRPr="00B63734">
        <w:t>,</w:t>
      </w:r>
      <w:r w:rsidR="00BE3500">
        <w:t xml:space="preserve"> -</w:t>
      </w:r>
      <w:r w:rsidR="00E949FC">
        <w:t>2</w:t>
      </w:r>
      <w:r w:rsidR="00BE3500">
        <w:t>,</w:t>
      </w:r>
      <w:r w:rsidRPr="00B63734">
        <w:t xml:space="preserve"> </w:t>
      </w:r>
      <w:r w:rsidR="008B2D92">
        <w:t>-</w:t>
      </w:r>
      <w:r w:rsidR="00E949FC">
        <w:t>3</w:t>
      </w:r>
      <w:r w:rsidR="008B2D92">
        <w:t xml:space="preserve">, </w:t>
      </w:r>
      <w:r w:rsidRPr="00B63734">
        <w:t>-</w:t>
      </w:r>
      <w:r w:rsidR="00E949FC">
        <w:t>5</w:t>
      </w:r>
      <w:r w:rsidRPr="00B63734">
        <w:t>, -</w:t>
      </w:r>
      <w:r w:rsidR="00E949FC">
        <w:t>8</w:t>
      </w:r>
      <w:r w:rsidRPr="00B63734">
        <w:t>, -</w:t>
      </w:r>
      <w:r w:rsidR="00E949FC">
        <w:t>10</w:t>
      </w:r>
      <w:r w:rsidRPr="00B63734">
        <w:t xml:space="preserve"> cross-sections along the outlet channel in numerical simulations at Re</w:t>
      </w:r>
      <w:r w:rsidR="008D0605" w:rsidRPr="008D0605">
        <w:rPr>
          <w:vertAlign w:val="subscript"/>
        </w:rPr>
        <w:t>i</w:t>
      </w:r>
      <w:r w:rsidRPr="00B63734">
        <w:t xml:space="preserve">= (a) </w:t>
      </w:r>
      <w:r w:rsidR="008D0605">
        <w:t>7.5</w:t>
      </w:r>
      <w:r w:rsidRPr="00B63734">
        <w:t xml:space="preserve">, (b) </w:t>
      </w:r>
      <w:r w:rsidR="008D0605">
        <w:t>37.5</w:t>
      </w:r>
      <w:r w:rsidRPr="00B63734">
        <w:t xml:space="preserve">, (c) </w:t>
      </w:r>
      <w:r w:rsidR="008D0605">
        <w:t>6</w:t>
      </w:r>
      <w:r w:rsidRPr="00B63734">
        <w:t xml:space="preserve">0, (d) </w:t>
      </w:r>
      <w:r w:rsidR="008D0605">
        <w:t>112.5</w:t>
      </w:r>
      <w:r w:rsidR="00E949FC">
        <w:t>, and (e) 187.5</w:t>
      </w:r>
      <w:r w:rsidRPr="00B63734">
        <w:t>.</w:t>
      </w:r>
    </w:p>
    <w:p w14:paraId="42887673" w14:textId="77777777" w:rsidR="006D189F" w:rsidRPr="006D189F" w:rsidRDefault="006D189F" w:rsidP="006D189F">
      <w:pPr>
        <w:pStyle w:val="Els-body-text"/>
        <w:keepNext/>
      </w:pPr>
    </w:p>
    <w:p w14:paraId="5D78C4C6" w14:textId="5D5376A9" w:rsidR="008D0605" w:rsidRDefault="00E949FC" w:rsidP="008D0605">
      <w:pPr>
        <w:pStyle w:val="Els-body-text"/>
        <w:keepNext/>
      </w:pPr>
      <w:r>
        <w:rPr>
          <w:noProof/>
        </w:rPr>
        <w:drawing>
          <wp:inline distT="0" distB="0" distL="0" distR="0" wp14:anchorId="65FC10DA" wp14:editId="569BE1AF">
            <wp:extent cx="4499610" cy="2687955"/>
            <wp:effectExtent l="0" t="0" r="0" b="4445"/>
            <wp:docPr id="923172785" name="Immagine 2" descr="Immagine che contiene diagramma, schizzo, Disegno tecnico, diseg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172785" name="Immagine 2" descr="Immagine che contiene diagramma, schizzo, Disegno tecnico, disegno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5CBF1" w14:textId="4A7FD15E" w:rsidR="00284528" w:rsidRPr="006D189F" w:rsidRDefault="008D0605" w:rsidP="006D189F">
      <w:pPr>
        <w:pStyle w:val="Didascalia"/>
        <w:jc w:val="both"/>
        <w:rPr>
          <w:lang w:val="en-GB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6A7229">
        <w:rPr>
          <w:noProof/>
        </w:rPr>
        <w:t>3</w:t>
      </w:r>
      <w:r>
        <w:fldChar w:fldCharType="end"/>
      </w:r>
      <w:r>
        <w:t xml:space="preserve">: </w:t>
      </w:r>
      <w:r w:rsidRPr="00580459">
        <w:t xml:space="preserve">Contours of reaction rate </w:t>
      </w:r>
      <w:r>
        <w:t xml:space="preserve">in the X-microreactor </w:t>
      </w:r>
      <w:r w:rsidRPr="00580459">
        <w:t xml:space="preserve">at the Y = 1, 2, </w:t>
      </w:r>
      <w:r w:rsidR="008B2D92">
        <w:t xml:space="preserve">3, </w:t>
      </w:r>
      <w:r w:rsidR="00FC08B9">
        <w:t>6</w:t>
      </w:r>
      <w:r w:rsidRPr="00580459">
        <w:t xml:space="preserve">, </w:t>
      </w:r>
      <w:r w:rsidR="00FC08B9">
        <w:t>8</w:t>
      </w:r>
      <w:r w:rsidRPr="00580459">
        <w:t xml:space="preserve">, </w:t>
      </w:r>
      <w:r w:rsidR="00FC08B9">
        <w:t>10</w:t>
      </w:r>
      <w:r w:rsidRPr="00580459">
        <w:t xml:space="preserve"> cross-sections along the outlet channel in numerical simulations at Re</w:t>
      </w:r>
      <w:r w:rsidRPr="008D0605">
        <w:rPr>
          <w:vertAlign w:val="subscript"/>
        </w:rPr>
        <w:t>i</w:t>
      </w:r>
      <w:r w:rsidRPr="00580459">
        <w:t xml:space="preserve">= (a) </w:t>
      </w:r>
      <w:r>
        <w:t>10</w:t>
      </w:r>
      <w:r w:rsidRPr="00580459">
        <w:t xml:space="preserve">, (b) </w:t>
      </w:r>
      <w:r>
        <w:t>40</w:t>
      </w:r>
      <w:r w:rsidRPr="00580459">
        <w:t xml:space="preserve">, (c) </w:t>
      </w:r>
      <w:r>
        <w:t>5</w:t>
      </w:r>
      <w:r w:rsidRPr="00580459">
        <w:t xml:space="preserve">0, </w:t>
      </w:r>
      <w:r w:rsidR="00E949FC">
        <w:t xml:space="preserve">(d) 100, and </w:t>
      </w:r>
      <w:r w:rsidRPr="00580459">
        <w:t>(</w:t>
      </w:r>
      <w:r w:rsidR="00E949FC">
        <w:t>e</w:t>
      </w:r>
      <w:r w:rsidRPr="00580459">
        <w:t xml:space="preserve">) </w:t>
      </w:r>
      <w:r>
        <w:t>200</w:t>
      </w:r>
      <w:r w:rsidRPr="00580459">
        <w:t>.</w:t>
      </w:r>
    </w:p>
    <w:p w14:paraId="550C7DD1" w14:textId="5EBCBD87" w:rsidR="006A7229" w:rsidRDefault="006A7229" w:rsidP="00D84729">
      <w:pPr>
        <w:pStyle w:val="Els-body-text"/>
        <w:keepNext/>
        <w:jc w:val="center"/>
      </w:pPr>
      <w:r>
        <w:rPr>
          <w:noProof/>
        </w:rPr>
        <w:lastRenderedPageBreak/>
        <w:drawing>
          <wp:inline distT="0" distB="0" distL="0" distR="0" wp14:anchorId="439D24B0" wp14:editId="27DB652D">
            <wp:extent cx="3519455" cy="2463519"/>
            <wp:effectExtent l="0" t="0" r="0" b="635"/>
            <wp:docPr id="1540243710" name="Immagine 6" descr="Immagine che contiene testo, diagramma, linea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243710" name="Immagine 6" descr="Immagine che contiene testo, diagramma, linea, Diagramma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672" cy="247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06106" w14:textId="7D434A80" w:rsidR="00F94AC6" w:rsidRPr="001B2B6C" w:rsidRDefault="006A7229" w:rsidP="006D189F">
      <w:pPr>
        <w:pStyle w:val="Didascalia"/>
        <w:jc w:val="both"/>
        <w:rPr>
          <w:lang w:val="en-GB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 xml:space="preserve">: Reaction yield </w:t>
      </w:r>
      <w:r w:rsidR="00284528">
        <w:t xml:space="preserve">of the X- and arrow-microreactors </w:t>
      </w:r>
      <w:r>
        <w:t>at Y=</w:t>
      </w:r>
      <w:r w:rsidR="00284528">
        <w:t>-</w:t>
      </w:r>
      <w:r>
        <w:t xml:space="preserve">25 </w:t>
      </w:r>
      <w:r w:rsidR="00284528">
        <w:t xml:space="preserve">cross-section </w:t>
      </w:r>
      <w:r>
        <w:t xml:space="preserve">as a function of the Reynolds number </w:t>
      </w:r>
      <w:r w:rsidR="00284528">
        <w:t xml:space="preserve">evaluated </w:t>
      </w:r>
      <w:r>
        <w:t>at the inlet channel</w:t>
      </w:r>
      <w:r w:rsidR="00284528">
        <w:t>.</w:t>
      </w:r>
      <w:r w:rsidR="00C50578">
        <w:t xml:space="preserve"> Results are from numerical simulations.</w:t>
      </w:r>
    </w:p>
    <w:p w14:paraId="144DE6BA" w14:textId="77777777" w:rsidR="008D2649" w:rsidRPr="00A94774" w:rsidRDefault="008D2649" w:rsidP="008D2649">
      <w:pPr>
        <w:pStyle w:val="Els-1storder-head"/>
        <w:spacing w:after="120"/>
        <w:rPr>
          <w:lang w:val="en-GB"/>
        </w:rPr>
      </w:pPr>
      <w:r w:rsidRPr="00A94774">
        <w:rPr>
          <w:lang w:val="en-GB"/>
        </w:rPr>
        <w:t>Conclusions</w:t>
      </w:r>
    </w:p>
    <w:p w14:paraId="6A2BA810" w14:textId="77777777" w:rsidR="00D84729" w:rsidRDefault="007F05D8" w:rsidP="008D2649">
      <w:pPr>
        <w:pStyle w:val="Els-body-text"/>
        <w:spacing w:after="120"/>
        <w:rPr>
          <w:lang w:val="en-GB"/>
        </w:rPr>
      </w:pPr>
      <w:r>
        <w:rPr>
          <w:lang w:val="en-GB"/>
        </w:rPr>
        <w:t>The X- and the arrow-microreactors are compared in terms of reaction yield. At low R</w:t>
      </w:r>
      <w:r w:rsidR="00E96C64">
        <w:rPr>
          <w:lang w:val="en-GB"/>
        </w:rPr>
        <w:t>eynolds numbers</w:t>
      </w:r>
      <w:r>
        <w:rPr>
          <w:lang w:val="en-GB"/>
        </w:rPr>
        <w:t xml:space="preserve">, the two </w:t>
      </w:r>
      <w:r w:rsidR="002C7008">
        <w:rPr>
          <w:lang w:val="en-GB"/>
        </w:rPr>
        <w:t>reactant</w:t>
      </w:r>
      <w:r>
        <w:rPr>
          <w:lang w:val="en-GB"/>
        </w:rPr>
        <w:t xml:space="preserve"> streams stratify in the outlet channels, </w:t>
      </w:r>
      <w:r w:rsidR="00E96C64">
        <w:rPr>
          <w:lang w:val="en-GB"/>
        </w:rPr>
        <w:t>resulting in a</w:t>
      </w:r>
      <w:r>
        <w:rPr>
          <w:lang w:val="en-GB"/>
        </w:rPr>
        <w:t xml:space="preserve"> low reaction yield</w:t>
      </w:r>
      <w:r w:rsidR="002C7008">
        <w:rPr>
          <w:lang w:val="en-GB"/>
        </w:rPr>
        <w:t xml:space="preserve"> that diminishes with increasing Re because of the reduction in residence time</w:t>
      </w:r>
      <w:r>
        <w:rPr>
          <w:lang w:val="en-GB"/>
        </w:rPr>
        <w:t xml:space="preserve">. At the vortex regime onset, the </w:t>
      </w:r>
      <w:r w:rsidR="002C7008">
        <w:rPr>
          <w:lang w:val="en-GB"/>
        </w:rPr>
        <w:t xml:space="preserve">reaction </w:t>
      </w:r>
      <w:r>
        <w:rPr>
          <w:lang w:val="en-GB"/>
        </w:rPr>
        <w:t>yield increases in the arrow-microreactor,</w:t>
      </w:r>
      <w:r w:rsidR="00E96C64">
        <w:rPr>
          <w:lang w:val="en-GB"/>
        </w:rPr>
        <w:t xml:space="preserve"> due to</w:t>
      </w:r>
      <w:r>
        <w:rPr>
          <w:lang w:val="en-GB"/>
        </w:rPr>
        <w:t xml:space="preserve"> the </w:t>
      </w:r>
      <w:r w:rsidR="00E96C64">
        <w:rPr>
          <w:lang w:val="en-GB"/>
        </w:rPr>
        <w:t xml:space="preserve">expanded </w:t>
      </w:r>
      <w:r>
        <w:rPr>
          <w:lang w:val="en-GB"/>
        </w:rPr>
        <w:t xml:space="preserve">contact area between the inlet streams. </w:t>
      </w:r>
      <w:r w:rsidR="006F51B8">
        <w:rPr>
          <w:lang w:val="en-GB"/>
        </w:rPr>
        <w:t>By further increasing Reynolds, t</w:t>
      </w:r>
      <w:r w:rsidR="00716BA7">
        <w:rPr>
          <w:lang w:val="en-GB"/>
        </w:rPr>
        <w:t xml:space="preserve">he engulfment regime promotes the progress of the reaction for both geometries. </w:t>
      </w:r>
      <w:r w:rsidR="002C7008">
        <w:rPr>
          <w:lang w:val="en-GB"/>
        </w:rPr>
        <w:t>Indeed, t</w:t>
      </w:r>
      <w:r w:rsidR="00716BA7">
        <w:rPr>
          <w:lang w:val="en-GB"/>
        </w:rPr>
        <w:t xml:space="preserve">he presence of vortical structures ensures </w:t>
      </w:r>
      <w:r w:rsidR="00E96C64">
        <w:rPr>
          <w:lang w:val="en-GB"/>
        </w:rPr>
        <w:t>effective</w:t>
      </w:r>
      <w:r w:rsidR="00716BA7">
        <w:rPr>
          <w:lang w:val="en-GB"/>
        </w:rPr>
        <w:t xml:space="preserve"> mixing of the streams, leading to an increase in the yield. Above Re</w:t>
      </w:r>
      <w:r w:rsidR="00716BA7" w:rsidRPr="00716BA7">
        <w:rPr>
          <w:vertAlign w:val="subscript"/>
          <w:lang w:val="en-GB"/>
        </w:rPr>
        <w:t>i</w:t>
      </w:r>
      <w:r w:rsidR="00716BA7">
        <w:rPr>
          <w:lang w:val="en-GB"/>
        </w:rPr>
        <w:t>=80 in the X-microreactor, the contact area does not increase in size</w:t>
      </w:r>
      <w:r w:rsidR="00E96C64">
        <w:rPr>
          <w:lang w:val="en-GB"/>
        </w:rPr>
        <w:t>,</w:t>
      </w:r>
      <w:r w:rsidR="00716BA7">
        <w:rPr>
          <w:lang w:val="en-GB"/>
        </w:rPr>
        <w:t xml:space="preserve"> but the residence time inside the device decreases, hence, the yield decreases. </w:t>
      </w:r>
    </w:p>
    <w:p w14:paraId="2CE06B0B" w14:textId="2303F71C" w:rsidR="007F05D8" w:rsidRPr="00716BA7" w:rsidRDefault="00716BA7" w:rsidP="008D2649">
      <w:pPr>
        <w:pStyle w:val="Els-body-text"/>
        <w:spacing w:after="120"/>
        <w:rPr>
          <w:lang w:val="en-GB"/>
        </w:rPr>
      </w:pPr>
      <w:r>
        <w:rPr>
          <w:lang w:val="en-GB"/>
        </w:rPr>
        <w:t xml:space="preserve">The </w:t>
      </w:r>
      <w:r w:rsidR="00E96C64">
        <w:rPr>
          <w:lang w:val="en-GB"/>
        </w:rPr>
        <w:t>highest</w:t>
      </w:r>
      <w:r>
        <w:rPr>
          <w:lang w:val="en-GB"/>
        </w:rPr>
        <w:t xml:space="preserve"> reaction yield in the steady regimes is </w:t>
      </w:r>
      <w:r w:rsidR="00E96C64">
        <w:rPr>
          <w:lang w:val="en-GB"/>
        </w:rPr>
        <w:t>achieved</w:t>
      </w:r>
      <w:r>
        <w:rPr>
          <w:lang w:val="en-GB"/>
        </w:rPr>
        <w:t xml:space="preserve"> in the arrow-microreactor for Re</w:t>
      </w:r>
      <w:r w:rsidRPr="00716BA7">
        <w:rPr>
          <w:vertAlign w:val="subscript"/>
          <w:lang w:val="en-GB"/>
        </w:rPr>
        <w:t>i</w:t>
      </w:r>
      <w:r>
        <w:rPr>
          <w:lang w:val="en-GB"/>
        </w:rPr>
        <w:t xml:space="preserve">&gt;150, i.e., at the onset of the single-vortex regime. This regime provides the best compromise between the contact area </w:t>
      </w:r>
      <w:r w:rsidR="006F51B8">
        <w:rPr>
          <w:lang w:val="en-GB"/>
        </w:rPr>
        <w:t xml:space="preserve">of the inlet streams </w:t>
      </w:r>
      <w:r>
        <w:rPr>
          <w:lang w:val="en-GB"/>
        </w:rPr>
        <w:t>and the residence time</w:t>
      </w:r>
      <w:r w:rsidR="006F51B8">
        <w:rPr>
          <w:lang w:val="en-GB"/>
        </w:rPr>
        <w:t xml:space="preserve"> inside the device</w:t>
      </w:r>
      <w:r>
        <w:rPr>
          <w:lang w:val="en-GB"/>
        </w:rPr>
        <w:t>.</w:t>
      </w:r>
    </w:p>
    <w:p w14:paraId="144DE6BF" w14:textId="608D0AD6" w:rsidR="008D2649" w:rsidRDefault="008D2649" w:rsidP="008D2649">
      <w:pPr>
        <w:pStyle w:val="Els-reference-head"/>
      </w:pPr>
      <w:r>
        <w:t>References</w:t>
      </w:r>
    </w:p>
    <w:p w14:paraId="372C2105" w14:textId="69899507" w:rsidR="003B5DFE" w:rsidRDefault="003B5DFE" w:rsidP="003B5DFE">
      <w:pPr>
        <w:pStyle w:val="Els-referenceno-number"/>
        <w:rPr>
          <w:lang w:val="en-US"/>
        </w:rPr>
      </w:pPr>
      <w:r w:rsidRPr="003B5DFE">
        <w:rPr>
          <w:lang w:val="en-US"/>
        </w:rPr>
        <w:t>A.</w:t>
      </w:r>
      <w:r>
        <w:rPr>
          <w:lang w:val="en-US"/>
        </w:rPr>
        <w:t xml:space="preserve"> </w:t>
      </w:r>
      <w:r w:rsidR="00D244E1" w:rsidRPr="00D244E1">
        <w:rPr>
          <w:lang w:val="en-US"/>
        </w:rPr>
        <w:t>Mariotti, C. Galletti, E. Brunazzi, M.V. Salvetti, Steady flow regimes and mixing performance in arrow-shaped micro-mixers, Phys</w:t>
      </w:r>
      <w:r w:rsidR="00D244E1">
        <w:rPr>
          <w:lang w:val="en-US"/>
        </w:rPr>
        <w:t>ical</w:t>
      </w:r>
      <w:r w:rsidR="00D244E1" w:rsidRPr="00D244E1">
        <w:rPr>
          <w:lang w:val="en-US"/>
        </w:rPr>
        <w:t xml:space="preserve"> Rev</w:t>
      </w:r>
      <w:r w:rsidR="00D244E1">
        <w:rPr>
          <w:lang w:val="en-US"/>
        </w:rPr>
        <w:t>iew</w:t>
      </w:r>
      <w:r w:rsidR="00D244E1" w:rsidRPr="00D244E1">
        <w:rPr>
          <w:lang w:val="en-US"/>
        </w:rPr>
        <w:t xml:space="preserve"> Fluids</w:t>
      </w:r>
      <w:r w:rsidR="00D244E1">
        <w:rPr>
          <w:lang w:val="en-US"/>
        </w:rPr>
        <w:t>,</w:t>
      </w:r>
      <w:r w:rsidR="00D244E1" w:rsidRPr="00D244E1">
        <w:rPr>
          <w:lang w:val="en-US"/>
        </w:rPr>
        <w:t xml:space="preserve"> 4 (3) (2019) 1–20</w:t>
      </w:r>
      <w:r w:rsidR="00D244E1">
        <w:rPr>
          <w:lang w:val="en-US"/>
        </w:rPr>
        <w:t>.</w:t>
      </w:r>
    </w:p>
    <w:p w14:paraId="1EA6DEE3" w14:textId="53561211" w:rsidR="00A119FA" w:rsidRDefault="00A119FA" w:rsidP="00A119FA">
      <w:pPr>
        <w:pStyle w:val="Els-referenceno-number"/>
        <w:rPr>
          <w:lang w:val="en-US"/>
        </w:rPr>
      </w:pPr>
      <w:r w:rsidRPr="00A119FA">
        <w:rPr>
          <w:lang w:val="en-US"/>
        </w:rPr>
        <w:t>A. Mariotti, M. Antognoli, C. Galletti, R. Mauri, M.V. Salvetti, E. Brunazzi, The</w:t>
      </w:r>
      <w:r>
        <w:rPr>
          <w:lang w:val="en-US"/>
        </w:rPr>
        <w:t xml:space="preserve"> </w:t>
      </w:r>
      <w:r w:rsidRPr="00A119FA">
        <w:rPr>
          <w:lang w:val="en-US"/>
        </w:rPr>
        <w:t>role of flow</w:t>
      </w:r>
      <w:r>
        <w:rPr>
          <w:lang w:val="en-US"/>
        </w:rPr>
        <w:t xml:space="preserve"> </w:t>
      </w:r>
      <w:r w:rsidRPr="00A119FA">
        <w:rPr>
          <w:lang w:val="en-US"/>
        </w:rPr>
        <w:t>features and chemical kinetics on the reaction yield in a T-shaped</w:t>
      </w:r>
      <w:r>
        <w:rPr>
          <w:lang w:val="en-US"/>
        </w:rPr>
        <w:t xml:space="preserve"> </w:t>
      </w:r>
      <w:r w:rsidRPr="00A119FA">
        <w:rPr>
          <w:lang w:val="en-US"/>
        </w:rPr>
        <w:t>micro-reactor, Chem</w:t>
      </w:r>
      <w:r>
        <w:rPr>
          <w:lang w:val="en-US"/>
        </w:rPr>
        <w:t>ical</w:t>
      </w:r>
      <w:r w:rsidRPr="00A119FA">
        <w:rPr>
          <w:lang w:val="en-US"/>
        </w:rPr>
        <w:t xml:space="preserve"> Eng</w:t>
      </w:r>
      <w:r>
        <w:rPr>
          <w:lang w:val="en-US"/>
        </w:rPr>
        <w:t>ineering</w:t>
      </w:r>
      <w:r w:rsidRPr="00A119FA">
        <w:rPr>
          <w:lang w:val="en-US"/>
        </w:rPr>
        <w:t xml:space="preserve"> J</w:t>
      </w:r>
      <w:r>
        <w:rPr>
          <w:lang w:val="en-US"/>
        </w:rPr>
        <w:t>ournal,</w:t>
      </w:r>
      <w:r w:rsidRPr="00A119FA">
        <w:rPr>
          <w:lang w:val="en-US"/>
        </w:rPr>
        <w:t xml:space="preserve"> 396 (2020) 125223</w:t>
      </w:r>
      <w:r>
        <w:rPr>
          <w:lang w:val="en-US"/>
        </w:rPr>
        <w:t>.</w:t>
      </w:r>
    </w:p>
    <w:p w14:paraId="79EEEFC4" w14:textId="470EF3BF" w:rsidR="003B5DFE" w:rsidRDefault="003B5DFE" w:rsidP="003B5DFE">
      <w:pPr>
        <w:pStyle w:val="Els-referenceno-number"/>
        <w:rPr>
          <w:lang w:val="en-US"/>
        </w:rPr>
      </w:pPr>
      <w:r>
        <w:rPr>
          <w:lang w:val="en-US"/>
        </w:rPr>
        <w:t>S. Mowry, P. Ogren, Kinetics of methylene blue reduction by ascorbic acid, Journal of Chemical Education, 76 (1999) 970-973.</w:t>
      </w:r>
    </w:p>
    <w:p w14:paraId="144DE6C2" w14:textId="75E39731" w:rsidR="008D2649" w:rsidRDefault="004266BA" w:rsidP="004266BA">
      <w:pPr>
        <w:pStyle w:val="Els-referenceno-number"/>
        <w:rPr>
          <w:lang w:val="en-US"/>
        </w:rPr>
      </w:pPr>
      <w:r w:rsidRPr="004266BA">
        <w:rPr>
          <w:lang w:val="en-US"/>
        </w:rPr>
        <w:t>I.</w:t>
      </w:r>
      <w:r>
        <w:rPr>
          <w:lang w:val="en-US"/>
        </w:rPr>
        <w:t xml:space="preserve"> </w:t>
      </w:r>
      <w:r w:rsidR="006D6D2E" w:rsidRPr="006D6D2E">
        <w:rPr>
          <w:lang w:val="en-US"/>
        </w:rPr>
        <w:t>Rossetti, M. Compagnoni, Chemical reaction engineering, process design and</w:t>
      </w:r>
      <w:r w:rsidR="006D6D2E">
        <w:rPr>
          <w:lang w:val="en-US"/>
        </w:rPr>
        <w:t xml:space="preserve"> </w:t>
      </w:r>
      <w:r w:rsidR="006D6D2E" w:rsidRPr="006D6D2E">
        <w:rPr>
          <w:lang w:val="en-US"/>
        </w:rPr>
        <w:t>scale-up issues a</w:t>
      </w:r>
      <w:r w:rsidR="006D6D2E">
        <w:rPr>
          <w:lang w:val="en-US"/>
        </w:rPr>
        <w:t xml:space="preserve">t </w:t>
      </w:r>
      <w:r w:rsidR="006D6D2E" w:rsidRPr="006D6D2E">
        <w:rPr>
          <w:lang w:val="en-US"/>
        </w:rPr>
        <w:t>the frontier of synthesis: Flow chemistry, Chem</w:t>
      </w:r>
      <w:r w:rsidR="006D6D2E">
        <w:rPr>
          <w:lang w:val="en-US"/>
        </w:rPr>
        <w:t>ical</w:t>
      </w:r>
      <w:r w:rsidR="006D6D2E" w:rsidRPr="006D6D2E">
        <w:rPr>
          <w:lang w:val="en-US"/>
        </w:rPr>
        <w:t xml:space="preserve"> Eng</w:t>
      </w:r>
      <w:r w:rsidR="006D6D2E">
        <w:rPr>
          <w:lang w:val="en-US"/>
        </w:rPr>
        <w:t>ineering</w:t>
      </w:r>
      <w:r w:rsidR="006D6D2E" w:rsidRPr="006D6D2E">
        <w:rPr>
          <w:lang w:val="en-US"/>
        </w:rPr>
        <w:t xml:space="preserve"> J</w:t>
      </w:r>
      <w:r w:rsidR="006D6D2E">
        <w:rPr>
          <w:lang w:val="en-US"/>
        </w:rPr>
        <w:t>ournal,</w:t>
      </w:r>
      <w:r w:rsidR="006D6D2E" w:rsidRPr="006D6D2E">
        <w:rPr>
          <w:lang w:val="en-US"/>
        </w:rPr>
        <w:t xml:space="preserve"> 296</w:t>
      </w:r>
      <w:r w:rsidR="006D6D2E">
        <w:rPr>
          <w:lang w:val="en-US"/>
        </w:rPr>
        <w:t xml:space="preserve"> </w:t>
      </w:r>
      <w:r w:rsidR="006D6D2E" w:rsidRPr="006D6D2E">
        <w:rPr>
          <w:lang w:val="en-US"/>
        </w:rPr>
        <w:t>(2016) 56–70</w:t>
      </w:r>
      <w:r w:rsidR="006D6D2E">
        <w:rPr>
          <w:lang w:val="en-US"/>
        </w:rPr>
        <w:t>.</w:t>
      </w:r>
    </w:p>
    <w:p w14:paraId="144DE6C3" w14:textId="58192EEF" w:rsidR="008D2649" w:rsidRDefault="00D244E1" w:rsidP="006D189F">
      <w:pPr>
        <w:pStyle w:val="Els-referenceno-number"/>
        <w:rPr>
          <w:lang w:val="en-US"/>
        </w:rPr>
      </w:pPr>
      <w:r w:rsidRPr="00D244E1">
        <w:rPr>
          <w:lang w:val="en-US"/>
        </w:rPr>
        <w:t>J.W. Zhang, W.F. Li, X.L. Xu, H.F. Liu, F.C. Wang, Experimental investigation</w:t>
      </w:r>
      <w:r>
        <w:rPr>
          <w:lang w:val="en-US"/>
        </w:rPr>
        <w:t xml:space="preserve"> </w:t>
      </w:r>
      <w:r w:rsidRPr="00D244E1">
        <w:rPr>
          <w:lang w:val="en-US"/>
        </w:rPr>
        <w:t>of three-dimensional flow regimes in a cross-shaped reactor, Phys</w:t>
      </w:r>
      <w:r>
        <w:rPr>
          <w:lang w:val="en-US"/>
        </w:rPr>
        <w:t>ics of</w:t>
      </w:r>
      <w:r w:rsidRPr="00D244E1">
        <w:rPr>
          <w:lang w:val="en-US"/>
        </w:rPr>
        <w:t xml:space="preserve"> Fluids</w:t>
      </w:r>
      <w:r>
        <w:rPr>
          <w:lang w:val="en-US"/>
        </w:rPr>
        <w:t>,</w:t>
      </w:r>
      <w:r w:rsidRPr="00D244E1">
        <w:rPr>
          <w:lang w:val="en-US"/>
        </w:rPr>
        <w:t xml:space="preserve"> 31 (3)</w:t>
      </w:r>
      <w:r>
        <w:rPr>
          <w:lang w:val="en-US"/>
        </w:rPr>
        <w:t xml:space="preserve"> </w:t>
      </w:r>
      <w:r w:rsidRPr="00D244E1">
        <w:rPr>
          <w:lang w:val="en-US"/>
        </w:rPr>
        <w:t>(2019) 034105.</w:t>
      </w:r>
    </w:p>
    <w:sectPr w:rsidR="008D2649" w:rsidSect="008B0184">
      <w:headerReference w:type="even" r:id="rId12"/>
      <w:headerReference w:type="default" r:id="rId13"/>
      <w:headerReference w:type="first" r:id="rId14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AAA1" w14:textId="77777777" w:rsidR="007131E3" w:rsidRDefault="007131E3">
      <w:r>
        <w:separator/>
      </w:r>
    </w:p>
  </w:endnote>
  <w:endnote w:type="continuationSeparator" w:id="0">
    <w:p w14:paraId="5FB15D0E" w14:textId="77777777" w:rsidR="007131E3" w:rsidRDefault="0071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89F7" w14:textId="77777777" w:rsidR="007131E3" w:rsidRDefault="007131E3">
      <w:r>
        <w:separator/>
      </w:r>
    </w:p>
  </w:footnote>
  <w:footnote w:type="continuationSeparator" w:id="0">
    <w:p w14:paraId="6770E9F0" w14:textId="77777777" w:rsidR="007131E3" w:rsidRDefault="00713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521ECAD6" w:rsidR="00DD3D9E" w:rsidRPr="00845A8B" w:rsidRDefault="00DD3D9E">
    <w:pPr>
      <w:pStyle w:val="Intestazione"/>
      <w:tabs>
        <w:tab w:val="clear" w:pos="7200"/>
        <w:tab w:val="right" w:pos="7088"/>
      </w:tabs>
      <w:rPr>
        <w:lang w:val="it-IT"/>
      </w:rPr>
    </w:pPr>
    <w:r>
      <w:rPr>
        <w:rStyle w:val="Numeropagina"/>
      </w:rPr>
      <w:tab/>
    </w:r>
    <w:r>
      <w:rPr>
        <w:rStyle w:val="Numeropagina"/>
        <w:i/>
      </w:rPr>
      <w:tab/>
    </w:r>
    <w:r w:rsidR="008A6DED" w:rsidRPr="00845A8B">
      <w:rPr>
        <w:rStyle w:val="Numeropagina"/>
        <w:i/>
        <w:lang w:val="it-IT"/>
      </w:rPr>
      <w:t>S.Tomasi Masoni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4CEC8385" w:rsidR="00DD3D9E" w:rsidRDefault="0067123A">
    <w:pPr>
      <w:pStyle w:val="Intestazione"/>
      <w:tabs>
        <w:tab w:val="clear" w:pos="7200"/>
        <w:tab w:val="right" w:pos="7088"/>
      </w:tabs>
      <w:jc w:val="right"/>
      <w:rPr>
        <w:sz w:val="24"/>
      </w:rPr>
    </w:pPr>
    <w:r>
      <w:rPr>
        <w:i/>
      </w:rPr>
      <w:t>Flow regimes and reactivity assessment in arrow- and X-microreactors: a combined numerical and experimental approach</w:t>
    </w:r>
    <w:r w:rsidR="00DD3D9E">
      <w:rPr>
        <w:rStyle w:val="Numeropagina"/>
        <w:i/>
        <w:sz w:val="24"/>
      </w:rPr>
      <w:tab/>
    </w:r>
    <w:r w:rsidR="00DD3D9E">
      <w:rPr>
        <w:rStyle w:val="Numeropagina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 xml:space="preserve">Flavio </w:t>
    </w:r>
    <w:proofErr w:type="spellStart"/>
    <w:r w:rsidRPr="0068162C">
      <w:rPr>
        <w:color w:val="auto"/>
        <w:sz w:val="18"/>
        <w:szCs w:val="18"/>
      </w:rPr>
      <w:t>Manenti</w:t>
    </w:r>
    <w:proofErr w:type="spellEnd"/>
    <w:r w:rsidRPr="0068162C">
      <w:rPr>
        <w:color w:val="auto"/>
        <w:sz w:val="18"/>
        <w:szCs w:val="18"/>
      </w:rPr>
      <w:t xml:space="preserve">, </w:t>
    </w:r>
    <w:proofErr w:type="spellStart"/>
    <w:r w:rsidRPr="0068162C">
      <w:rPr>
        <w:color w:val="auto"/>
        <w:sz w:val="18"/>
        <w:szCs w:val="18"/>
      </w:rPr>
      <w:t>Gintaras</w:t>
    </w:r>
    <w:proofErr w:type="spellEnd"/>
    <w:r w:rsidRPr="0068162C">
      <w:rPr>
        <w:color w:val="auto"/>
        <w:sz w:val="18"/>
        <w:szCs w:val="18"/>
      </w:rPr>
      <w:t xml:space="preserve"> V. </w:t>
    </w:r>
    <w:proofErr w:type="spellStart"/>
    <w:r w:rsidRPr="0068162C">
      <w:rPr>
        <w:color w:val="auto"/>
        <w:sz w:val="18"/>
        <w:szCs w:val="18"/>
      </w:rPr>
      <w:t>Reklaitis</w:t>
    </w:r>
    <w:proofErr w:type="spellEnd"/>
    <w:r w:rsidRPr="0068162C">
      <w:rPr>
        <w:color w:val="auto"/>
        <w:sz w:val="18"/>
        <w:szCs w:val="18"/>
      </w:rPr>
      <w:t xml:space="preserve">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1EB82BFD"/>
    <w:multiLevelType w:val="hybridMultilevel"/>
    <w:tmpl w:val="610A59CA"/>
    <w:lvl w:ilvl="0" w:tplc="CA42F3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5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7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8D48BC"/>
    <w:multiLevelType w:val="hybridMultilevel"/>
    <w:tmpl w:val="96549E44"/>
    <w:lvl w:ilvl="0" w:tplc="592AF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3" w15:restartNumberingAfterBreak="0">
    <w:nsid w:val="54F631BC"/>
    <w:multiLevelType w:val="hybridMultilevel"/>
    <w:tmpl w:val="626A1744"/>
    <w:lvl w:ilvl="0" w:tplc="151C43FA">
      <w:start w:val="1"/>
      <w:numFmt w:val="lowerLetter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64C5FBC"/>
    <w:multiLevelType w:val="hybridMultilevel"/>
    <w:tmpl w:val="2834C10A"/>
    <w:lvl w:ilvl="0" w:tplc="C352DA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608A4F44"/>
    <w:multiLevelType w:val="hybridMultilevel"/>
    <w:tmpl w:val="ABDC9A38"/>
    <w:lvl w:ilvl="0" w:tplc="949A5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410C7"/>
    <w:multiLevelType w:val="hybridMultilevel"/>
    <w:tmpl w:val="A448E97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20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2910568">
    <w:abstractNumId w:val="14"/>
  </w:num>
  <w:num w:numId="2" w16cid:durableId="47382885">
    <w:abstractNumId w:val="14"/>
  </w:num>
  <w:num w:numId="3" w16cid:durableId="967853731">
    <w:abstractNumId w:val="14"/>
  </w:num>
  <w:num w:numId="4" w16cid:durableId="1739282265">
    <w:abstractNumId w:val="14"/>
  </w:num>
  <w:num w:numId="5" w16cid:durableId="698892343">
    <w:abstractNumId w:val="0"/>
  </w:num>
  <w:num w:numId="6" w16cid:durableId="1660883641">
    <w:abstractNumId w:val="7"/>
  </w:num>
  <w:num w:numId="7" w16cid:durableId="1863349795">
    <w:abstractNumId w:val="16"/>
  </w:num>
  <w:num w:numId="8" w16cid:durableId="1750734252">
    <w:abstractNumId w:val="1"/>
  </w:num>
  <w:num w:numId="9" w16cid:durableId="203061615">
    <w:abstractNumId w:val="12"/>
  </w:num>
  <w:num w:numId="10" w16cid:durableId="1478497114">
    <w:abstractNumId w:val="20"/>
  </w:num>
  <w:num w:numId="11" w16cid:durableId="1896693444">
    <w:abstractNumId w:val="19"/>
  </w:num>
  <w:num w:numId="12" w16cid:durableId="774787662">
    <w:abstractNumId w:val="6"/>
  </w:num>
  <w:num w:numId="13" w16cid:durableId="1525900646">
    <w:abstractNumId w:val="10"/>
  </w:num>
  <w:num w:numId="14" w16cid:durableId="1455515963">
    <w:abstractNumId w:val="2"/>
  </w:num>
  <w:num w:numId="15" w16cid:durableId="446657998">
    <w:abstractNumId w:val="8"/>
  </w:num>
  <w:num w:numId="16" w16cid:durableId="322592235">
    <w:abstractNumId w:val="4"/>
  </w:num>
  <w:num w:numId="17" w16cid:durableId="596719075">
    <w:abstractNumId w:val="5"/>
  </w:num>
  <w:num w:numId="18" w16cid:durableId="886648604">
    <w:abstractNumId w:val="11"/>
  </w:num>
  <w:num w:numId="19" w16cid:durableId="475227004">
    <w:abstractNumId w:val="15"/>
  </w:num>
  <w:num w:numId="20" w16cid:durableId="1107432601">
    <w:abstractNumId w:val="3"/>
  </w:num>
  <w:num w:numId="21" w16cid:durableId="1882980695">
    <w:abstractNumId w:val="13"/>
  </w:num>
  <w:num w:numId="22" w16cid:durableId="836844124">
    <w:abstractNumId w:val="9"/>
  </w:num>
  <w:num w:numId="23" w16cid:durableId="1676834955">
    <w:abstractNumId w:val="17"/>
  </w:num>
  <w:num w:numId="24" w16cid:durableId="1312171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7"/>
    <w:rsid w:val="00007ABE"/>
    <w:rsid w:val="0002213A"/>
    <w:rsid w:val="000337D7"/>
    <w:rsid w:val="0004388F"/>
    <w:rsid w:val="000677DD"/>
    <w:rsid w:val="00076E7C"/>
    <w:rsid w:val="0008678E"/>
    <w:rsid w:val="000D3D9B"/>
    <w:rsid w:val="001561A5"/>
    <w:rsid w:val="0016032F"/>
    <w:rsid w:val="001879F6"/>
    <w:rsid w:val="001A121E"/>
    <w:rsid w:val="001B2B6C"/>
    <w:rsid w:val="001C0148"/>
    <w:rsid w:val="001C5CF8"/>
    <w:rsid w:val="001C757E"/>
    <w:rsid w:val="001D7F3B"/>
    <w:rsid w:val="001E2F8E"/>
    <w:rsid w:val="0020390F"/>
    <w:rsid w:val="00250863"/>
    <w:rsid w:val="0026457F"/>
    <w:rsid w:val="00264926"/>
    <w:rsid w:val="00284528"/>
    <w:rsid w:val="002A3700"/>
    <w:rsid w:val="002B414F"/>
    <w:rsid w:val="002C4375"/>
    <w:rsid w:val="002C7008"/>
    <w:rsid w:val="002D1432"/>
    <w:rsid w:val="002F474A"/>
    <w:rsid w:val="0030784C"/>
    <w:rsid w:val="00327680"/>
    <w:rsid w:val="00376AEF"/>
    <w:rsid w:val="003A322D"/>
    <w:rsid w:val="003B5DFE"/>
    <w:rsid w:val="003D1582"/>
    <w:rsid w:val="003D7E4C"/>
    <w:rsid w:val="003E41C2"/>
    <w:rsid w:val="004017E5"/>
    <w:rsid w:val="004266BA"/>
    <w:rsid w:val="00466451"/>
    <w:rsid w:val="0048204B"/>
    <w:rsid w:val="0049772C"/>
    <w:rsid w:val="004F5143"/>
    <w:rsid w:val="00552EEB"/>
    <w:rsid w:val="0058034E"/>
    <w:rsid w:val="0067123A"/>
    <w:rsid w:val="00687183"/>
    <w:rsid w:val="006A69BF"/>
    <w:rsid w:val="006A7229"/>
    <w:rsid w:val="006D189F"/>
    <w:rsid w:val="006D6D2E"/>
    <w:rsid w:val="006F51B8"/>
    <w:rsid w:val="00711DF4"/>
    <w:rsid w:val="007131E3"/>
    <w:rsid w:val="007137BC"/>
    <w:rsid w:val="007155EA"/>
    <w:rsid w:val="00716BA7"/>
    <w:rsid w:val="00727214"/>
    <w:rsid w:val="00763CC5"/>
    <w:rsid w:val="007A332B"/>
    <w:rsid w:val="007D70A1"/>
    <w:rsid w:val="007D7ABA"/>
    <w:rsid w:val="007E532F"/>
    <w:rsid w:val="007F05D8"/>
    <w:rsid w:val="008132E8"/>
    <w:rsid w:val="00814E2C"/>
    <w:rsid w:val="00823407"/>
    <w:rsid w:val="0083341C"/>
    <w:rsid w:val="00845A8B"/>
    <w:rsid w:val="0085368D"/>
    <w:rsid w:val="00864A62"/>
    <w:rsid w:val="00892380"/>
    <w:rsid w:val="008A6DED"/>
    <w:rsid w:val="008B0184"/>
    <w:rsid w:val="008B2D92"/>
    <w:rsid w:val="008C5D02"/>
    <w:rsid w:val="008D0605"/>
    <w:rsid w:val="008D2649"/>
    <w:rsid w:val="008E49E0"/>
    <w:rsid w:val="0090568D"/>
    <w:rsid w:val="009125C9"/>
    <w:rsid w:val="00913879"/>
    <w:rsid w:val="00917661"/>
    <w:rsid w:val="009216F3"/>
    <w:rsid w:val="00923D15"/>
    <w:rsid w:val="00946BF4"/>
    <w:rsid w:val="00963BD0"/>
    <w:rsid w:val="00970E5D"/>
    <w:rsid w:val="0097701C"/>
    <w:rsid w:val="00980A65"/>
    <w:rsid w:val="009E227F"/>
    <w:rsid w:val="009F2D4E"/>
    <w:rsid w:val="00A119FA"/>
    <w:rsid w:val="00A25E70"/>
    <w:rsid w:val="00A3284D"/>
    <w:rsid w:val="00A33765"/>
    <w:rsid w:val="00A43D58"/>
    <w:rsid w:val="00A63269"/>
    <w:rsid w:val="00A92377"/>
    <w:rsid w:val="00AB1619"/>
    <w:rsid w:val="00AB29ED"/>
    <w:rsid w:val="00AC611D"/>
    <w:rsid w:val="00AD2E21"/>
    <w:rsid w:val="00AE4BD8"/>
    <w:rsid w:val="00B045C0"/>
    <w:rsid w:val="00B4388F"/>
    <w:rsid w:val="00B63237"/>
    <w:rsid w:val="00B72A21"/>
    <w:rsid w:val="00B803B4"/>
    <w:rsid w:val="00B826C9"/>
    <w:rsid w:val="00BC6555"/>
    <w:rsid w:val="00BD1623"/>
    <w:rsid w:val="00BE3500"/>
    <w:rsid w:val="00C20915"/>
    <w:rsid w:val="00C31B3D"/>
    <w:rsid w:val="00C350C4"/>
    <w:rsid w:val="00C50578"/>
    <w:rsid w:val="00C960DC"/>
    <w:rsid w:val="00CA0DE5"/>
    <w:rsid w:val="00CC2DC6"/>
    <w:rsid w:val="00D02C75"/>
    <w:rsid w:val="00D06F2F"/>
    <w:rsid w:val="00D10E22"/>
    <w:rsid w:val="00D13D2C"/>
    <w:rsid w:val="00D244E1"/>
    <w:rsid w:val="00D75B21"/>
    <w:rsid w:val="00D84729"/>
    <w:rsid w:val="00DC243A"/>
    <w:rsid w:val="00DC2F94"/>
    <w:rsid w:val="00DD3D9E"/>
    <w:rsid w:val="00DD7908"/>
    <w:rsid w:val="00DF5EA2"/>
    <w:rsid w:val="00E04102"/>
    <w:rsid w:val="00E1639E"/>
    <w:rsid w:val="00E81A23"/>
    <w:rsid w:val="00E82297"/>
    <w:rsid w:val="00E949FC"/>
    <w:rsid w:val="00E96C64"/>
    <w:rsid w:val="00EF39FD"/>
    <w:rsid w:val="00F06842"/>
    <w:rsid w:val="00F107FD"/>
    <w:rsid w:val="00F1618F"/>
    <w:rsid w:val="00F24DE2"/>
    <w:rsid w:val="00F37D15"/>
    <w:rsid w:val="00F94AC6"/>
    <w:rsid w:val="00FB12F4"/>
    <w:rsid w:val="00FB64A8"/>
    <w:rsid w:val="00FC08B9"/>
    <w:rsid w:val="00FD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B0184"/>
    <w:rPr>
      <w:lang w:eastAsia="en-US"/>
    </w:rPr>
  </w:style>
  <w:style w:type="paragraph" w:styleId="Titolo3">
    <w:name w:val="heading 3"/>
    <w:basedOn w:val="Normale"/>
    <w:next w:val="Normale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Rimandonotadichiusura">
    <w:name w:val="endnote reference"/>
    <w:basedOn w:val="Carpredefinitoparagrafo"/>
    <w:semiHidden/>
    <w:rsid w:val="008B0184"/>
    <w:rPr>
      <w:vertAlign w:val="superscript"/>
    </w:rPr>
  </w:style>
  <w:style w:type="paragraph" w:styleId="Intestazione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Pidipagina">
    <w:name w:val="footer"/>
    <w:basedOn w:val="Intestazione"/>
    <w:rsid w:val="008B0184"/>
  </w:style>
  <w:style w:type="character" w:styleId="Rimandonotaapidipagina">
    <w:name w:val="footnote reference"/>
    <w:semiHidden/>
    <w:rsid w:val="008B0184"/>
    <w:rPr>
      <w:vertAlign w:val="superscript"/>
    </w:rPr>
  </w:style>
  <w:style w:type="paragraph" w:styleId="Testonotaapidipagina">
    <w:name w:val="footnote text"/>
    <w:basedOn w:val="Normale"/>
    <w:semiHidden/>
    <w:rsid w:val="008B0184"/>
    <w:rPr>
      <w:rFonts w:ascii="Univers" w:hAnsi="Univers"/>
    </w:rPr>
  </w:style>
  <w:style w:type="character" w:styleId="Collegamentoipertestuale">
    <w:name w:val="Hyperlink"/>
    <w:basedOn w:val="Carpredefinitoparagrafo"/>
    <w:rsid w:val="008B0184"/>
    <w:rPr>
      <w:color w:val="0000FF"/>
      <w:u w:val="single"/>
    </w:rPr>
  </w:style>
  <w:style w:type="character" w:customStyle="1" w:styleId="MTEquationSection">
    <w:name w:val="MTEquationSection"/>
    <w:basedOn w:val="Carpredefinitoparagrafo"/>
    <w:rsid w:val="008B0184"/>
    <w:rPr>
      <w:vanish/>
      <w:color w:val="FF0000"/>
    </w:rPr>
  </w:style>
  <w:style w:type="character" w:styleId="Numeropagina">
    <w:name w:val="page number"/>
    <w:basedOn w:val="Carpredefinitoparagrafo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Carpredefinitoparagrafo"/>
    <w:rsid w:val="008B0184"/>
    <w:rPr>
      <w:sz w:val="18"/>
      <w:lang w:val="en-US" w:eastAsia="en-US" w:bidi="ar-SA"/>
    </w:rPr>
  </w:style>
  <w:style w:type="character" w:styleId="Rimandocommento">
    <w:name w:val="annotation reference"/>
    <w:basedOn w:val="Carpredefinitoparagrafo"/>
    <w:semiHidden/>
    <w:rsid w:val="008B0184"/>
    <w:rPr>
      <w:sz w:val="16"/>
      <w:szCs w:val="16"/>
    </w:rPr>
  </w:style>
  <w:style w:type="paragraph" w:styleId="Testocommento">
    <w:name w:val="annotation text"/>
    <w:basedOn w:val="Normale"/>
    <w:semiHidden/>
    <w:rsid w:val="008B0184"/>
  </w:style>
  <w:style w:type="paragraph" w:styleId="Soggettocommento">
    <w:name w:val="annotation subject"/>
    <w:basedOn w:val="Testocommento"/>
    <w:next w:val="Testocommento"/>
    <w:semiHidden/>
    <w:rsid w:val="008B0184"/>
    <w:rPr>
      <w:b/>
      <w:bCs/>
    </w:rPr>
  </w:style>
  <w:style w:type="paragraph" w:styleId="Testofumetto">
    <w:name w:val="Balloon Text"/>
    <w:basedOn w:val="Normale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Carpredefinitoparagrafo"/>
    <w:rsid w:val="00F06842"/>
    <w:rPr>
      <w:u w:val="single"/>
    </w:rPr>
  </w:style>
  <w:style w:type="paragraph" w:customStyle="1" w:styleId="ElsevierBodyTextCentredNospace">
    <w:name w:val="Elsevier Body Text Centred No space"/>
    <w:basedOn w:val="Normale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styleId="Testosegnaposto">
    <w:name w:val="Placeholder Text"/>
    <w:basedOn w:val="Carpredefinitoparagrafo"/>
    <w:uiPriority w:val="99"/>
    <w:semiHidden/>
    <w:rsid w:val="00F37D15"/>
    <w:rPr>
      <w:color w:val="666666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6D2E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C6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E2F4-26EE-44BD-8E75-3C13B71A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C:\Users\marinakisk\KOSTAS-10 July 2017\books\book proposals\Computer Aided Chemical Engineering\Instructions\Chapter.dotx</Template>
  <TotalTime>30</TotalTime>
  <Pages>6</Pages>
  <Words>2383</Words>
  <Characters>13586</Characters>
  <Application>Microsoft Office Word</Application>
  <DocSecurity>0</DocSecurity>
  <Lines>113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15938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Sara Tomasi Masoni</cp:lastModifiedBy>
  <cp:revision>6</cp:revision>
  <cp:lastPrinted>2004-12-17T09:20:00Z</cp:lastPrinted>
  <dcterms:created xsi:type="dcterms:W3CDTF">2023-11-29T16:26:00Z</dcterms:created>
  <dcterms:modified xsi:type="dcterms:W3CDTF">2023-11-30T08:35:00Z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