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BED4" w14:textId="3905860C" w:rsidR="00DD3D9E" w:rsidRPr="002C2FAE" w:rsidRDefault="000C3C26" w:rsidP="00540828">
      <w:pPr>
        <w:pStyle w:val="Els-Title"/>
        <w:jc w:val="both"/>
        <w:rPr>
          <w:color w:val="000000" w:themeColor="text1"/>
        </w:rPr>
      </w:pPr>
      <w:r w:rsidRPr="002C2FAE">
        <w:rPr>
          <w:color w:val="000000" w:themeColor="text1"/>
        </w:rPr>
        <w:t xml:space="preserve">Dynamic Hybrid Model for </w:t>
      </w:r>
      <w:r w:rsidR="00B0073B" w:rsidRPr="002C2FAE">
        <w:rPr>
          <w:color w:val="000000" w:themeColor="text1"/>
        </w:rPr>
        <w:t>N</w:t>
      </w:r>
      <w:r w:rsidRPr="002C2FAE">
        <w:rPr>
          <w:color w:val="000000" w:themeColor="text1"/>
        </w:rPr>
        <w:t>anobody</w:t>
      </w:r>
      <w:r w:rsidR="002B619E">
        <w:rPr>
          <w:color w:val="000000" w:themeColor="text1"/>
        </w:rPr>
        <w:t>-based Antivenom</w:t>
      </w:r>
      <w:r w:rsidRPr="002C2FAE">
        <w:rPr>
          <w:color w:val="000000" w:themeColor="text1"/>
        </w:rPr>
        <w:t xml:space="preserve"> </w:t>
      </w:r>
      <w:r w:rsidR="00B0073B" w:rsidRPr="002C2FAE">
        <w:rPr>
          <w:color w:val="000000" w:themeColor="text1"/>
        </w:rPr>
        <w:t>P</w:t>
      </w:r>
      <w:r w:rsidRPr="002C2FAE">
        <w:rPr>
          <w:color w:val="000000" w:themeColor="text1"/>
        </w:rPr>
        <w:t>roduction</w:t>
      </w:r>
      <w:r w:rsidR="00ED7909">
        <w:rPr>
          <w:color w:val="000000" w:themeColor="text1"/>
        </w:rPr>
        <w:t xml:space="preserve"> </w:t>
      </w:r>
      <w:r w:rsidR="00ED7909" w:rsidRPr="00ED7909">
        <w:rPr>
          <w:color w:val="000000" w:themeColor="text1"/>
        </w:rPr>
        <w:t xml:space="preserve">(scorpion antivenon) with </w:t>
      </w:r>
      <w:r w:rsidR="00ED7909" w:rsidRPr="00896AA0">
        <w:rPr>
          <w:i/>
          <w:color w:val="000000" w:themeColor="text1"/>
        </w:rPr>
        <w:t>E. coli</w:t>
      </w:r>
      <w:r w:rsidR="00ED7909" w:rsidRPr="00ED7909">
        <w:rPr>
          <w:color w:val="000000" w:themeColor="text1"/>
        </w:rPr>
        <w:t xml:space="preserve"> CH10-12 and </w:t>
      </w:r>
      <w:r w:rsidR="00ED7909" w:rsidRPr="00896AA0">
        <w:rPr>
          <w:i/>
          <w:color w:val="000000" w:themeColor="text1"/>
        </w:rPr>
        <w:t>E. coli</w:t>
      </w:r>
      <w:r w:rsidR="00ED7909" w:rsidRPr="00ED7909">
        <w:rPr>
          <w:color w:val="000000" w:themeColor="text1"/>
        </w:rPr>
        <w:t xml:space="preserve"> NbF12-10.</w:t>
      </w:r>
    </w:p>
    <w:p w14:paraId="557BB5B6" w14:textId="501DD680" w:rsidR="00E637DF" w:rsidRPr="002C2FAE" w:rsidRDefault="00E637DF" w:rsidP="00540828">
      <w:pPr>
        <w:pStyle w:val="Els-Author"/>
        <w:jc w:val="both"/>
        <w:rPr>
          <w:noProof w:val="0"/>
          <w:lang w:val="en-US"/>
        </w:rPr>
      </w:pPr>
      <w:r w:rsidRPr="002C2FAE">
        <w:rPr>
          <w:noProof w:val="0"/>
          <w:lang w:val="en-US"/>
        </w:rPr>
        <w:t xml:space="preserve">David Camilo </w:t>
      </w:r>
      <w:r w:rsidRPr="009B409F">
        <w:rPr>
          <w:smallCaps/>
          <w:noProof w:val="0"/>
          <w:lang w:val="en-US"/>
        </w:rPr>
        <w:t>Corrales</w:t>
      </w:r>
      <w:r w:rsidRPr="002C2FAE">
        <w:rPr>
          <w:noProof w:val="0"/>
          <w:vertAlign w:val="superscript"/>
          <w:lang w:val="en-US"/>
        </w:rPr>
        <w:t>a</w:t>
      </w:r>
      <w:r w:rsidRPr="002C2FAE">
        <w:rPr>
          <w:noProof w:val="0"/>
          <w:lang w:val="en-US"/>
        </w:rPr>
        <w:t>, Susana Mar</w:t>
      </w:r>
      <w:r w:rsidR="001A28A1" w:rsidRPr="002C2FAE">
        <w:rPr>
          <w:noProof w:val="0"/>
          <w:lang w:val="en-US"/>
        </w:rPr>
        <w:t>í</w:t>
      </w:r>
      <w:r w:rsidRPr="002C2FAE">
        <w:rPr>
          <w:noProof w:val="0"/>
          <w:lang w:val="en-US"/>
        </w:rPr>
        <w:t xml:space="preserve">a </w:t>
      </w:r>
      <w:r w:rsidRPr="009B409F">
        <w:rPr>
          <w:smallCaps/>
          <w:noProof w:val="0"/>
          <w:lang w:val="en-US"/>
        </w:rPr>
        <w:t>Alonso Villela</w:t>
      </w:r>
      <w:r w:rsidRPr="002C2FAE">
        <w:rPr>
          <w:noProof w:val="0"/>
          <w:vertAlign w:val="superscript"/>
          <w:lang w:val="en-US"/>
        </w:rPr>
        <w:t>b</w:t>
      </w:r>
      <w:r w:rsidRPr="002C2FAE">
        <w:rPr>
          <w:noProof w:val="0"/>
          <w:lang w:val="en-US"/>
        </w:rPr>
        <w:t xml:space="preserve">, Balkiss </w:t>
      </w:r>
      <w:r w:rsidRPr="009B409F">
        <w:rPr>
          <w:smallCaps/>
          <w:noProof w:val="0"/>
          <w:lang w:val="en-US"/>
        </w:rPr>
        <w:t>Bouhaouala</w:t>
      </w:r>
      <w:r w:rsidR="002B619E">
        <w:rPr>
          <w:smallCaps/>
          <w:noProof w:val="0"/>
          <w:lang w:val="en-US"/>
        </w:rPr>
        <w:t>-Z</w:t>
      </w:r>
      <w:r w:rsidR="001A494B">
        <w:rPr>
          <w:smallCaps/>
          <w:noProof w:val="0"/>
          <w:lang w:val="en-US"/>
        </w:rPr>
        <w:t>ahar</w:t>
      </w:r>
      <w:r w:rsidRPr="002C2FAE">
        <w:rPr>
          <w:noProof w:val="0"/>
          <w:vertAlign w:val="superscript"/>
          <w:lang w:val="en-US"/>
        </w:rPr>
        <w:t>c</w:t>
      </w:r>
      <w:r w:rsidR="002B619E">
        <w:rPr>
          <w:noProof w:val="0"/>
          <w:vertAlign w:val="superscript"/>
          <w:lang w:val="en-US"/>
        </w:rPr>
        <w:t>,d</w:t>
      </w:r>
      <w:r w:rsidRPr="002C2FAE">
        <w:rPr>
          <w:noProof w:val="0"/>
          <w:lang w:val="en-US"/>
        </w:rPr>
        <w:t xml:space="preserve">, Julien </w:t>
      </w:r>
      <w:r w:rsidRPr="00ED7909">
        <w:rPr>
          <w:smallCaps/>
          <w:noProof w:val="0"/>
          <w:lang w:val="en-US"/>
        </w:rPr>
        <w:t>Cescut</w:t>
      </w:r>
      <w:r w:rsidRPr="002C2FAE">
        <w:rPr>
          <w:noProof w:val="0"/>
          <w:vertAlign w:val="superscript"/>
          <w:lang w:val="en-US"/>
        </w:rPr>
        <w:t>a</w:t>
      </w:r>
      <w:r w:rsidRPr="002C2FAE">
        <w:rPr>
          <w:noProof w:val="0"/>
          <w:lang w:val="en-US"/>
        </w:rPr>
        <w:t xml:space="preserve">, Fayza </w:t>
      </w:r>
      <w:r w:rsidRPr="00ED7909">
        <w:rPr>
          <w:smallCaps/>
          <w:noProof w:val="0"/>
          <w:lang w:val="en-US"/>
        </w:rPr>
        <w:t>Daboussi</w:t>
      </w:r>
      <w:r w:rsidRPr="002C2FAE">
        <w:rPr>
          <w:noProof w:val="0"/>
          <w:vertAlign w:val="superscript"/>
          <w:lang w:val="en-US"/>
        </w:rPr>
        <w:t>a,b</w:t>
      </w:r>
      <w:r w:rsidRPr="002C2FAE">
        <w:rPr>
          <w:noProof w:val="0"/>
          <w:lang w:val="en-US"/>
        </w:rPr>
        <w:t xml:space="preserve">, </w:t>
      </w:r>
      <w:r w:rsidRPr="0003407B">
        <w:rPr>
          <w:noProof w:val="0"/>
          <w:lang w:val="en-US"/>
        </w:rPr>
        <w:t xml:space="preserve">Michael </w:t>
      </w:r>
      <w:r w:rsidRPr="00ED7909">
        <w:rPr>
          <w:smallCaps/>
          <w:noProof w:val="0"/>
          <w:lang w:val="en-US"/>
        </w:rPr>
        <w:t>O'donohue</w:t>
      </w:r>
      <w:r w:rsidR="0003407B" w:rsidRPr="0003407B">
        <w:rPr>
          <w:noProof w:val="0"/>
          <w:vertAlign w:val="superscript"/>
          <w:lang w:val="en-US"/>
        </w:rPr>
        <w:t>b</w:t>
      </w:r>
      <w:r w:rsidRPr="0003407B">
        <w:rPr>
          <w:noProof w:val="0"/>
          <w:lang w:val="en-US"/>
        </w:rPr>
        <w:t>,</w:t>
      </w:r>
      <w:r w:rsidRPr="002C2FAE">
        <w:rPr>
          <w:noProof w:val="0"/>
          <w:lang w:val="en-US"/>
        </w:rPr>
        <w:t xml:space="preserve"> Luc </w:t>
      </w:r>
      <w:r w:rsidRPr="00ED7909">
        <w:rPr>
          <w:smallCaps/>
          <w:noProof w:val="0"/>
          <w:lang w:val="en-US"/>
        </w:rPr>
        <w:t>Filla</w:t>
      </w:r>
      <w:r w:rsidR="00CA673A" w:rsidRPr="00ED7909">
        <w:rPr>
          <w:smallCaps/>
          <w:noProof w:val="0"/>
          <w:lang w:val="en-US"/>
        </w:rPr>
        <w:t>u</w:t>
      </w:r>
      <w:r w:rsidRPr="00ED7909">
        <w:rPr>
          <w:smallCaps/>
          <w:noProof w:val="0"/>
          <w:lang w:val="en-US"/>
        </w:rPr>
        <w:t>deau</w:t>
      </w:r>
      <w:r w:rsidRPr="002C2FAE">
        <w:rPr>
          <w:noProof w:val="0"/>
          <w:vertAlign w:val="superscript"/>
          <w:lang w:val="en-US"/>
        </w:rPr>
        <w:t>b</w:t>
      </w:r>
      <w:r w:rsidRPr="002C2FAE">
        <w:rPr>
          <w:noProof w:val="0"/>
          <w:lang w:val="en-US"/>
        </w:rPr>
        <w:t xml:space="preserve">, César Arturo </w:t>
      </w:r>
      <w:r w:rsidRPr="00ED7909">
        <w:rPr>
          <w:smallCaps/>
          <w:noProof w:val="0"/>
          <w:lang w:val="en-US"/>
        </w:rPr>
        <w:t>Aceves-Lara</w:t>
      </w:r>
      <w:r w:rsidRPr="002C2FAE">
        <w:rPr>
          <w:noProof w:val="0"/>
          <w:vertAlign w:val="superscript"/>
          <w:lang w:val="en-US"/>
        </w:rPr>
        <w:t>b</w:t>
      </w:r>
      <w:r w:rsidR="00B0073B" w:rsidRPr="002C2FAE">
        <w:rPr>
          <w:noProof w:val="0"/>
          <w:vertAlign w:val="superscript"/>
          <w:lang w:val="en-US"/>
        </w:rPr>
        <w:t>*</w:t>
      </w:r>
    </w:p>
    <w:p w14:paraId="05F6FA23" w14:textId="77777777" w:rsidR="00E637DF" w:rsidRPr="006F49B3" w:rsidRDefault="00E637DF" w:rsidP="00E637DF">
      <w:pPr>
        <w:pStyle w:val="Els-Affiliation"/>
        <w:jc w:val="both"/>
        <w:rPr>
          <w:rFonts w:cs="Times"/>
          <w:noProof w:val="0"/>
          <w:vertAlign w:val="superscript"/>
          <w:lang w:val="fr-FR"/>
        </w:rPr>
      </w:pPr>
      <w:r w:rsidRPr="006F49B3">
        <w:rPr>
          <w:rFonts w:cs="Times"/>
          <w:noProof w:val="0"/>
          <w:vertAlign w:val="superscript"/>
          <w:lang w:val="fr-FR"/>
        </w:rPr>
        <w:t>a</w:t>
      </w:r>
      <w:r w:rsidRPr="006F49B3">
        <w:rPr>
          <w:rFonts w:cs="Times"/>
          <w:noProof w:val="0"/>
          <w:lang w:val="fr-FR"/>
        </w:rPr>
        <w:t xml:space="preserve"> INRAE, UMS (1337) TWB, 135 Avenue de Rangueil, 31077 Toulouse, France</w:t>
      </w:r>
    </w:p>
    <w:p w14:paraId="6EE6BD38" w14:textId="77777777" w:rsidR="00E637DF" w:rsidRPr="006F49B3" w:rsidRDefault="00E637DF" w:rsidP="00E637DF">
      <w:pPr>
        <w:pStyle w:val="Els-Affiliation"/>
        <w:jc w:val="both"/>
        <w:rPr>
          <w:rFonts w:cs="Times"/>
          <w:noProof w:val="0"/>
          <w:lang w:val="fr-FR"/>
        </w:rPr>
      </w:pPr>
      <w:r w:rsidRPr="006F49B3">
        <w:rPr>
          <w:rFonts w:cs="Times"/>
          <w:noProof w:val="0"/>
          <w:vertAlign w:val="superscript"/>
          <w:lang w:val="fr-FR"/>
        </w:rPr>
        <w:t>b</w:t>
      </w:r>
      <w:r w:rsidRPr="006F49B3">
        <w:rPr>
          <w:rFonts w:cs="Times"/>
          <w:noProof w:val="0"/>
          <w:lang w:val="fr-FR"/>
        </w:rPr>
        <w:t xml:space="preserve"> TBI, Université de Toulouse, CNRS, INRAE, INSA, </w:t>
      </w:r>
      <w:r w:rsidR="001A28A1" w:rsidRPr="006F49B3">
        <w:rPr>
          <w:rFonts w:cs="Times"/>
          <w:noProof w:val="0"/>
          <w:lang w:val="fr-FR"/>
        </w:rPr>
        <w:t xml:space="preserve">135 Avenue de Rangueil, 31077 </w:t>
      </w:r>
      <w:r w:rsidRPr="006F49B3">
        <w:rPr>
          <w:rFonts w:cs="Times"/>
          <w:noProof w:val="0"/>
          <w:lang w:val="fr-FR"/>
        </w:rPr>
        <w:t>Toulouse, France</w:t>
      </w:r>
    </w:p>
    <w:p w14:paraId="24F60980" w14:textId="2E2A381C" w:rsidR="00E637DF" w:rsidRDefault="00E637DF" w:rsidP="00E637DF">
      <w:pPr>
        <w:pStyle w:val="Els-Affiliation"/>
        <w:jc w:val="both"/>
        <w:rPr>
          <w:noProof w:val="0"/>
          <w:lang w:val="fr-FR"/>
        </w:rPr>
      </w:pPr>
      <w:r w:rsidRPr="006F49B3">
        <w:rPr>
          <w:noProof w:val="0"/>
          <w:vertAlign w:val="superscript"/>
          <w:lang w:val="fr-FR"/>
        </w:rPr>
        <w:t xml:space="preserve">c </w:t>
      </w:r>
      <w:r w:rsidRPr="006F49B3">
        <w:rPr>
          <w:noProof w:val="0"/>
          <w:lang w:val="fr-FR"/>
        </w:rPr>
        <w:t xml:space="preserve">Laboratoire des </w:t>
      </w:r>
      <w:r w:rsidR="002B619E">
        <w:rPr>
          <w:noProof w:val="0"/>
          <w:lang w:val="fr-FR"/>
        </w:rPr>
        <w:t xml:space="preserve">Biomolécules, </w:t>
      </w:r>
      <w:r w:rsidRPr="006F49B3">
        <w:rPr>
          <w:noProof w:val="0"/>
          <w:lang w:val="fr-FR"/>
        </w:rPr>
        <w:t xml:space="preserve">Venins et </w:t>
      </w:r>
      <w:r w:rsidR="002B619E">
        <w:rPr>
          <w:noProof w:val="0"/>
          <w:lang w:val="fr-FR"/>
        </w:rPr>
        <w:t>Applications</w:t>
      </w:r>
      <w:r w:rsidR="002B619E" w:rsidRPr="006F49B3">
        <w:rPr>
          <w:noProof w:val="0"/>
          <w:lang w:val="fr-FR"/>
        </w:rPr>
        <w:t xml:space="preserve"> </w:t>
      </w:r>
      <w:r w:rsidRPr="006F49B3">
        <w:rPr>
          <w:noProof w:val="0"/>
          <w:lang w:val="fr-FR"/>
        </w:rPr>
        <w:t>Théra</w:t>
      </w:r>
      <w:r w:rsidR="002B619E">
        <w:rPr>
          <w:noProof w:val="0"/>
          <w:lang w:val="fr-FR"/>
        </w:rPr>
        <w:t>nos</w:t>
      </w:r>
      <w:r w:rsidRPr="006F49B3">
        <w:rPr>
          <w:noProof w:val="0"/>
          <w:lang w:val="fr-FR"/>
        </w:rPr>
        <w:t>tiques</w:t>
      </w:r>
      <w:r w:rsidR="00CA673A">
        <w:rPr>
          <w:noProof w:val="0"/>
          <w:lang w:val="fr-FR"/>
        </w:rPr>
        <w:t xml:space="preserve"> (L</w:t>
      </w:r>
      <w:r w:rsidR="002B619E">
        <w:rPr>
          <w:noProof w:val="0"/>
          <w:lang w:val="fr-FR"/>
        </w:rPr>
        <w:t>BVA</w:t>
      </w:r>
      <w:r w:rsidR="00CA673A">
        <w:rPr>
          <w:noProof w:val="0"/>
          <w:lang w:val="fr-FR"/>
        </w:rPr>
        <w:t>T)</w:t>
      </w:r>
      <w:r w:rsidRPr="006F49B3">
        <w:rPr>
          <w:noProof w:val="0"/>
          <w:lang w:val="fr-FR"/>
        </w:rPr>
        <w:t xml:space="preserve">, Institut Pasteur de Tunis, </w:t>
      </w:r>
      <w:r w:rsidR="001A28A1" w:rsidRPr="006F49B3">
        <w:rPr>
          <w:noProof w:val="0"/>
          <w:lang w:val="fr-FR"/>
        </w:rPr>
        <w:t xml:space="preserve">13 Place Pasteur, BP-74, 1002 Le Belvédère, </w:t>
      </w:r>
      <w:r w:rsidRPr="006F49B3">
        <w:rPr>
          <w:noProof w:val="0"/>
          <w:lang w:val="fr-FR"/>
        </w:rPr>
        <w:t>Tunis, Tunisia</w:t>
      </w:r>
    </w:p>
    <w:p w14:paraId="0DD74C98" w14:textId="77777777" w:rsidR="002B619E" w:rsidRPr="006F49B3" w:rsidRDefault="002B619E" w:rsidP="00E637DF">
      <w:pPr>
        <w:pStyle w:val="Els-Affiliation"/>
        <w:jc w:val="both"/>
        <w:rPr>
          <w:noProof w:val="0"/>
          <w:lang w:val="fr-FR"/>
        </w:rPr>
      </w:pPr>
      <w:r>
        <w:rPr>
          <w:noProof w:val="0"/>
          <w:vertAlign w:val="superscript"/>
          <w:lang w:val="fr-FR"/>
        </w:rPr>
        <w:t>d</w:t>
      </w:r>
      <w:r w:rsidRPr="006F49B3">
        <w:rPr>
          <w:noProof w:val="0"/>
          <w:vertAlign w:val="superscript"/>
          <w:lang w:val="fr-FR"/>
        </w:rPr>
        <w:t xml:space="preserve"> </w:t>
      </w:r>
      <w:r>
        <w:rPr>
          <w:noProof w:val="0"/>
          <w:lang w:val="fr-FR"/>
        </w:rPr>
        <w:t xml:space="preserve">Faculté de Médecine de Tunis, </w:t>
      </w:r>
      <w:r w:rsidRPr="006F49B3">
        <w:rPr>
          <w:noProof w:val="0"/>
          <w:lang w:val="fr-FR"/>
        </w:rPr>
        <w:t>Université Tunis El Manar</w:t>
      </w:r>
      <w:r>
        <w:rPr>
          <w:noProof w:val="0"/>
          <w:lang w:val="fr-FR"/>
        </w:rPr>
        <w:t>, 15 rue Djebel Lakhdhar, 10007 Bab Saadoun Tunis, Tunisia</w:t>
      </w:r>
    </w:p>
    <w:p w14:paraId="17A21593" w14:textId="23BAD04E" w:rsidR="008D2649" w:rsidRPr="002C2FAE" w:rsidRDefault="00CA673A" w:rsidP="008D2649">
      <w:pPr>
        <w:pStyle w:val="Els-Affiliation"/>
        <w:spacing w:after="120"/>
        <w:rPr>
          <w:noProof w:val="0"/>
          <w:lang w:val="en-US"/>
        </w:rPr>
      </w:pPr>
      <w:r>
        <w:rPr>
          <w:noProof w:val="0"/>
          <w:lang w:val="en-US"/>
        </w:rPr>
        <w:t xml:space="preserve">Corresponding author: </w:t>
      </w:r>
      <w:hyperlink r:id="rId8" w:history="1">
        <w:r w:rsidRPr="004A2440">
          <w:rPr>
            <w:rStyle w:val="Lienhypertexte"/>
            <w:noProof w:val="0"/>
            <w:lang w:val="en-US"/>
          </w:rPr>
          <w:t>aceves@insa-toulouse.fr</w:t>
        </w:r>
      </w:hyperlink>
      <w:r>
        <w:rPr>
          <w:noProof w:val="0"/>
          <w:lang w:val="en-US"/>
        </w:rPr>
        <w:t xml:space="preserve"> </w:t>
      </w:r>
    </w:p>
    <w:p w14:paraId="40225E47" w14:textId="77777777" w:rsidR="008D2649" w:rsidRDefault="008D2649" w:rsidP="00896AA0">
      <w:pPr>
        <w:pStyle w:val="Els-1storder-head"/>
        <w:numPr>
          <w:ilvl w:val="0"/>
          <w:numId w:val="0"/>
        </w:numPr>
      </w:pPr>
      <w:r w:rsidRPr="002C2FAE">
        <w:t>Abstract</w:t>
      </w:r>
    </w:p>
    <w:p w14:paraId="01879447" w14:textId="71C3416E" w:rsidR="00D22E5D" w:rsidRPr="00D22E5D" w:rsidRDefault="002B619E" w:rsidP="00896AA0">
      <w:pPr>
        <w:pStyle w:val="Els-body-text"/>
        <w:spacing w:after="80"/>
      </w:pPr>
      <w:r>
        <w:t>Immuno</w:t>
      </w:r>
      <w:r w:rsidR="00D22E5D">
        <w:t xml:space="preserve">therapy is </w:t>
      </w:r>
      <w:r w:rsidR="00D8758A">
        <w:t>a</w:t>
      </w:r>
      <w:r w:rsidR="00D22E5D">
        <w:t xml:space="preserve"> </w:t>
      </w:r>
      <w:r>
        <w:t xml:space="preserve">specific </w:t>
      </w:r>
      <w:r w:rsidR="00FB1E60">
        <w:t>treatment</w:t>
      </w:r>
      <w:r w:rsidR="00D22E5D">
        <w:t xml:space="preserve"> for </w:t>
      </w:r>
      <w:r w:rsidR="00FB1E60">
        <w:t xml:space="preserve">scorpion stings, with antibody fragments </w:t>
      </w:r>
      <w:r w:rsidR="00D8758A">
        <w:t>being used to</w:t>
      </w:r>
      <w:r w:rsidR="00FB1E60">
        <w:t xml:space="preserve"> </w:t>
      </w:r>
      <w:r w:rsidR="00D8758A">
        <w:t xml:space="preserve">neutralize </w:t>
      </w:r>
      <w:r w:rsidR="00FB1E60">
        <w:t xml:space="preserve">scorpion neurotoxins. Nanobodies (VHH), fragments of camelid antibodies, </w:t>
      </w:r>
      <w:r w:rsidR="00D8758A">
        <w:t>were</w:t>
      </w:r>
      <w:r w:rsidR="00FB1E60">
        <w:t xml:space="preserve"> </w:t>
      </w:r>
      <w:r w:rsidR="00D8758A">
        <w:t xml:space="preserve">successfully </w:t>
      </w:r>
      <w:r w:rsidR="00FB1E60">
        <w:t xml:space="preserve">produced </w:t>
      </w:r>
      <w:r w:rsidR="009137D1">
        <w:t xml:space="preserve">intracellularly </w:t>
      </w:r>
      <w:r w:rsidR="00FB1E60">
        <w:t xml:space="preserve">in </w:t>
      </w:r>
      <w:r w:rsidR="00FB1E60" w:rsidRPr="00FB1E60">
        <w:rPr>
          <w:i/>
        </w:rPr>
        <w:t>Escherichia coli</w:t>
      </w:r>
      <w:r w:rsidR="00CA673A">
        <w:rPr>
          <w:i/>
        </w:rPr>
        <w:t xml:space="preserve"> WK6</w:t>
      </w:r>
      <w:r w:rsidR="00FB1E60">
        <w:t xml:space="preserve"> </w:t>
      </w:r>
      <w:r w:rsidR="00A153C4">
        <w:t>in fed-batch cultures</w:t>
      </w:r>
      <w:r w:rsidR="00D8758A">
        <w:t>. Their</w:t>
      </w:r>
      <w:r w:rsidR="00A153C4">
        <w:t xml:space="preserve"> production </w:t>
      </w:r>
      <w:r w:rsidR="00D8758A">
        <w:t>was</w:t>
      </w:r>
      <w:r w:rsidR="00A153C4">
        <w:t xml:space="preserve"> further enhanced by dynamic modelling. </w:t>
      </w:r>
      <w:r w:rsidR="00CA673A">
        <w:t>T</w:t>
      </w:r>
      <w:r w:rsidR="00A153C4">
        <w:t>wo dynamic model</w:t>
      </w:r>
      <w:r w:rsidR="00D8758A">
        <w:t>ling</w:t>
      </w:r>
      <w:r w:rsidR="00062CFE">
        <w:t xml:space="preserve"> </w:t>
      </w:r>
      <w:r w:rsidR="00011A2E">
        <w:t>approaches</w:t>
      </w:r>
      <w:r w:rsidR="00A153C4">
        <w:t xml:space="preserve"> </w:t>
      </w:r>
      <w:r w:rsidR="00062CFE">
        <w:t>to</w:t>
      </w:r>
      <w:r w:rsidR="00A153C4">
        <w:t xml:space="preserve"> describe nanobody CH12-10 production as </w:t>
      </w:r>
      <w:r w:rsidR="00D8758A">
        <w:t xml:space="preserve">a </w:t>
      </w:r>
      <w:r w:rsidR="00A153C4">
        <w:t>function of the induction temperature</w:t>
      </w:r>
      <w:r w:rsidR="00CA673A">
        <w:t xml:space="preserve"> are proposed</w:t>
      </w:r>
      <w:r w:rsidR="005E74CD">
        <w:t xml:space="preserve"> in this work</w:t>
      </w:r>
      <w:r w:rsidR="00CA673A">
        <w:t xml:space="preserve">. </w:t>
      </w:r>
      <w:r w:rsidR="00D8758A">
        <w:t>The first one</w:t>
      </w:r>
      <w:r w:rsidR="00CA673A">
        <w:t xml:space="preserve"> </w:t>
      </w:r>
      <w:r w:rsidR="00A153C4">
        <w:t xml:space="preserve">is a kinetic model and the second </w:t>
      </w:r>
      <w:r w:rsidR="00062CFE">
        <w:t xml:space="preserve">is </w:t>
      </w:r>
      <w:r w:rsidR="00011A2E">
        <w:t>a</w:t>
      </w:r>
      <w:r w:rsidR="00A153C4">
        <w:t xml:space="preserve"> </w:t>
      </w:r>
      <w:r w:rsidR="00062CFE">
        <w:t>hybrid approach</w:t>
      </w:r>
      <w:r w:rsidR="00D8758A">
        <w:t>,</w:t>
      </w:r>
      <w:r w:rsidR="00062CFE">
        <w:t xml:space="preserve"> coupling a mass </w:t>
      </w:r>
      <w:r w:rsidR="00011A2E">
        <w:t>balance</w:t>
      </w:r>
      <w:r w:rsidR="00062CFE">
        <w:t xml:space="preserve"> with </w:t>
      </w:r>
      <w:r w:rsidR="00CA673A">
        <w:t>s</w:t>
      </w:r>
      <w:r w:rsidR="00CA673A" w:rsidRPr="00CA673A">
        <w:t xml:space="preserve">upport </w:t>
      </w:r>
      <w:r w:rsidR="00CA673A">
        <w:t>v</w:t>
      </w:r>
      <w:r w:rsidR="00CA673A" w:rsidRPr="00CA673A">
        <w:t xml:space="preserve">ector </w:t>
      </w:r>
      <w:r w:rsidR="00CA673A">
        <w:t>m</w:t>
      </w:r>
      <w:r w:rsidR="00CA673A" w:rsidRPr="00CA673A">
        <w:t xml:space="preserve">achine </w:t>
      </w:r>
      <w:r w:rsidR="00CA673A">
        <w:t>(</w:t>
      </w:r>
      <w:r w:rsidR="00A153C4">
        <w:t>SVM</w:t>
      </w:r>
      <w:r w:rsidR="00CA673A">
        <w:t>)</w:t>
      </w:r>
      <w:r w:rsidR="00A153C4">
        <w:t>.</w:t>
      </w:r>
      <w:r w:rsidR="00062CFE">
        <w:t xml:space="preserve"> </w:t>
      </w:r>
      <w:bookmarkStart w:id="0" w:name="_Hlk149042788"/>
      <w:r w:rsidR="00DA1BD9">
        <w:t xml:space="preserve">Both models were calibrated and validated with independent data sets. </w:t>
      </w:r>
      <w:r w:rsidR="00D8758A">
        <w:t>Results reveal that t</w:t>
      </w:r>
      <w:r w:rsidR="00D83396">
        <w:t xml:space="preserve">he </w:t>
      </w:r>
      <w:r w:rsidR="00D532D0">
        <w:t>h</w:t>
      </w:r>
      <w:r w:rsidR="00062CFE">
        <w:t xml:space="preserve">ybrid model </w:t>
      </w:r>
      <w:r w:rsidR="00D8758A">
        <w:t>procures better predictions than the</w:t>
      </w:r>
      <w:r w:rsidR="00062CFE">
        <w:t xml:space="preserve"> kinetic model. </w:t>
      </w:r>
      <w:r w:rsidR="00DA1BD9">
        <w:t>Finally</w:t>
      </w:r>
      <w:r w:rsidR="00062CFE">
        <w:t xml:space="preserve">, </w:t>
      </w:r>
      <w:r w:rsidR="00D8758A">
        <w:t>the h</w:t>
      </w:r>
      <w:r w:rsidR="00062CFE">
        <w:t xml:space="preserve">ybrid model </w:t>
      </w:r>
      <w:r w:rsidR="00D8758A">
        <w:t xml:space="preserve">was </w:t>
      </w:r>
      <w:r w:rsidR="00DA1BD9">
        <w:t>improved</w:t>
      </w:r>
      <w:r w:rsidR="00D8758A">
        <w:t xml:space="preserve"> </w:t>
      </w:r>
      <w:r w:rsidR="00DA1BD9">
        <w:t>by retraining the SVM Model</w:t>
      </w:r>
      <w:r w:rsidR="00D8758A">
        <w:t>,</w:t>
      </w:r>
      <w:r w:rsidR="00062CFE">
        <w:t xml:space="preserve"> </w:t>
      </w:r>
      <w:r w:rsidR="00DA1BD9">
        <w:t>resulting</w:t>
      </w:r>
      <w:r w:rsidR="00271F93" w:rsidRPr="00271F93">
        <w:t xml:space="preserve"> </w:t>
      </w:r>
      <w:r w:rsidR="00DA1BD9">
        <w:t xml:space="preserve">in </w:t>
      </w:r>
      <w:r w:rsidR="00271F93">
        <w:t>a</w:t>
      </w:r>
      <w:r w:rsidR="00271F93" w:rsidRPr="00271F93">
        <w:t xml:space="preserve"> </w:t>
      </w:r>
      <w:r w:rsidR="00271F93">
        <w:t>N</w:t>
      </w:r>
      <w:r w:rsidR="00271F93" w:rsidRPr="00271F93">
        <w:t xml:space="preserve">ormed </w:t>
      </w:r>
      <w:r w:rsidR="00271F93">
        <w:t>R</w:t>
      </w:r>
      <w:r w:rsidR="00271F93" w:rsidRPr="00271F93">
        <w:t xml:space="preserve">oot </w:t>
      </w:r>
      <w:r w:rsidR="00271F93">
        <w:t>M</w:t>
      </w:r>
      <w:r w:rsidR="00271F93" w:rsidRPr="00271F93">
        <w:t xml:space="preserve">ean </w:t>
      </w:r>
      <w:r w:rsidR="00271F93">
        <w:t>S</w:t>
      </w:r>
      <w:r w:rsidR="00271F93" w:rsidRPr="00271F93">
        <w:t xml:space="preserve">quare </w:t>
      </w:r>
      <w:r w:rsidR="00271F93">
        <w:t>E</w:t>
      </w:r>
      <w:r w:rsidR="00271F93" w:rsidRPr="00271F93">
        <w:t>rror</w:t>
      </w:r>
      <w:r w:rsidR="00062CFE">
        <w:t xml:space="preserve"> </w:t>
      </w:r>
      <w:r w:rsidR="00271F93">
        <w:t>(</w:t>
      </w:r>
      <w:r w:rsidR="00062CFE">
        <w:t>NRMSE</w:t>
      </w:r>
      <w:r w:rsidR="00271F93">
        <w:t>)</w:t>
      </w:r>
      <w:r w:rsidR="00062CFE">
        <w:t xml:space="preserve"> </w:t>
      </w:r>
      <w:r w:rsidR="00011A2E">
        <w:t>values</w:t>
      </w:r>
      <w:r w:rsidR="00062CFE">
        <w:t xml:space="preserve"> between 0.1148 and 0.8523.</w:t>
      </w:r>
      <w:bookmarkEnd w:id="0"/>
    </w:p>
    <w:p w14:paraId="1E9DD57D" w14:textId="06597F30" w:rsidR="00987B4C" w:rsidRPr="002C2FAE" w:rsidRDefault="00987B4C" w:rsidP="00896AA0">
      <w:pPr>
        <w:pStyle w:val="Els-body-text"/>
        <w:spacing w:after="80"/>
      </w:pPr>
      <w:r w:rsidRPr="002C2FAE">
        <w:rPr>
          <w:b/>
        </w:rPr>
        <w:t>Keywords:</w:t>
      </w:r>
      <w:r w:rsidRPr="002C2FAE">
        <w:t xml:space="preserve"> Nanobodies, </w:t>
      </w:r>
      <w:r w:rsidR="00A36DA3" w:rsidRPr="00FB1E60">
        <w:rPr>
          <w:i/>
        </w:rPr>
        <w:t>Escherichia coli</w:t>
      </w:r>
      <w:r w:rsidR="00A36DA3">
        <w:rPr>
          <w:i/>
        </w:rPr>
        <w:t>,</w:t>
      </w:r>
      <w:r w:rsidR="00271F93" w:rsidRPr="00271F93">
        <w:t xml:space="preserve"> </w:t>
      </w:r>
      <w:r w:rsidR="00271F93" w:rsidRPr="00271F93">
        <w:rPr>
          <w:iCs/>
        </w:rPr>
        <w:t>Hybrid Model</w:t>
      </w:r>
      <w:r w:rsidR="00271F93">
        <w:rPr>
          <w:i/>
        </w:rPr>
        <w:t>,</w:t>
      </w:r>
      <w:r w:rsidRPr="002C2FAE">
        <w:t xml:space="preserve"> SVM, Dynamic Models</w:t>
      </w:r>
    </w:p>
    <w:p w14:paraId="2813CFAA" w14:textId="77777777" w:rsidR="008D2649" w:rsidRPr="002C2FAE" w:rsidRDefault="00961FA4" w:rsidP="008D2649">
      <w:pPr>
        <w:pStyle w:val="Els-1storder-head"/>
      </w:pPr>
      <w:r w:rsidRPr="002C2FAE">
        <w:t>Introduction</w:t>
      </w:r>
    </w:p>
    <w:p w14:paraId="0B2DB26E" w14:textId="50D61814" w:rsidR="00FD6B98" w:rsidRPr="002C2FAE" w:rsidRDefault="00FD6B98" w:rsidP="001A494B">
      <w:pPr>
        <w:rPr>
          <w:rFonts w:eastAsia="SimSun"/>
          <w:lang w:val="en-US"/>
        </w:rPr>
      </w:pPr>
      <w:r w:rsidRPr="002C2FAE">
        <w:rPr>
          <w:rFonts w:eastAsia="SimSun"/>
          <w:lang w:val="en-US"/>
        </w:rPr>
        <w:t>Scorpion stings pose a serious health problem in tropical and subtropical countries (Chippaux and Goyffon</w:t>
      </w:r>
      <w:r w:rsidR="00EF5AA3">
        <w:rPr>
          <w:rFonts w:eastAsia="SimSun"/>
          <w:lang w:val="en-US"/>
        </w:rPr>
        <w:t>,</w:t>
      </w:r>
      <w:r w:rsidRPr="002C2FAE">
        <w:rPr>
          <w:rFonts w:eastAsia="SimSun"/>
          <w:lang w:val="en-US"/>
        </w:rPr>
        <w:t xml:space="preserve"> 2008). Serotherapy targets the neurotoxins in the scorpion venom by using fragments of equine antibodies (F(ab)’</w:t>
      </w:r>
      <w:r w:rsidRPr="002C2FAE">
        <w:rPr>
          <w:rFonts w:eastAsia="SimSun"/>
          <w:vertAlign w:val="subscript"/>
          <w:lang w:val="en-US"/>
        </w:rPr>
        <w:t>2</w:t>
      </w:r>
      <w:r w:rsidRPr="002C2FAE">
        <w:rPr>
          <w:rFonts w:eastAsia="SimSun"/>
          <w:lang w:val="en-US"/>
        </w:rPr>
        <w:t xml:space="preserve">). </w:t>
      </w:r>
      <w:r w:rsidR="00D959F3">
        <w:rPr>
          <w:rFonts w:eastAsia="SimSun"/>
          <w:lang w:val="en-US"/>
        </w:rPr>
        <w:t>Engineered</w:t>
      </w:r>
      <w:r w:rsidR="00D8758A">
        <w:rPr>
          <w:rFonts w:eastAsia="SimSun"/>
          <w:lang w:val="en-US"/>
        </w:rPr>
        <w:t>,</w:t>
      </w:r>
      <w:r w:rsidR="00D959F3">
        <w:rPr>
          <w:rFonts w:eastAsia="SimSun"/>
          <w:lang w:val="en-US"/>
        </w:rPr>
        <w:t xml:space="preserve"> toxin-specific N</w:t>
      </w:r>
      <w:r w:rsidRPr="002C2FAE">
        <w:rPr>
          <w:rFonts w:eastAsia="SimSun"/>
          <w:lang w:val="en-US"/>
        </w:rPr>
        <w:t xml:space="preserve">anobodies (VHH), </w:t>
      </w:r>
      <w:r w:rsidR="00D8758A">
        <w:rPr>
          <w:rFonts w:eastAsia="SimSun"/>
          <w:lang w:val="en-US"/>
        </w:rPr>
        <w:t xml:space="preserve">which are </w:t>
      </w:r>
      <w:r w:rsidRPr="002C2FAE">
        <w:rPr>
          <w:rFonts w:eastAsia="SimSun"/>
          <w:lang w:val="en-US"/>
        </w:rPr>
        <w:t xml:space="preserve">fragments of camelid antibodies, have been found to have better tissue penetration and lower molecular weight (15 kDa vs 100 kDa) than their equine counterparts (Bouhaouala-Zahar </w:t>
      </w:r>
      <w:r w:rsidRPr="005E74CD">
        <w:rPr>
          <w:rFonts w:eastAsia="SimSun"/>
          <w:i/>
          <w:iCs/>
          <w:lang w:val="en-US"/>
        </w:rPr>
        <w:t>et al</w:t>
      </w:r>
      <w:r w:rsidRPr="002C2FAE">
        <w:rPr>
          <w:rFonts w:eastAsia="SimSun"/>
          <w:lang w:val="en-US"/>
        </w:rPr>
        <w:t xml:space="preserve">. 2011). These nanobodies are the best candidates to produce bispecific antibodies (Deffar </w:t>
      </w:r>
      <w:r w:rsidRPr="005E74CD">
        <w:rPr>
          <w:rFonts w:eastAsia="SimSun"/>
          <w:i/>
          <w:iCs/>
          <w:lang w:val="en-US"/>
        </w:rPr>
        <w:t>et al</w:t>
      </w:r>
      <w:r w:rsidRPr="002C2FAE">
        <w:rPr>
          <w:rFonts w:eastAsia="SimSun"/>
          <w:lang w:val="en-US"/>
        </w:rPr>
        <w:t xml:space="preserve">. 2009). </w:t>
      </w:r>
      <w:r w:rsidR="006A337E">
        <w:rPr>
          <w:rFonts w:eastAsia="SimSun"/>
          <w:lang w:val="en-US"/>
        </w:rPr>
        <w:t>Their</w:t>
      </w:r>
      <w:r w:rsidR="006A337E" w:rsidRPr="002C2FAE">
        <w:rPr>
          <w:rFonts w:eastAsia="SimSun"/>
          <w:lang w:val="en-US"/>
        </w:rPr>
        <w:t xml:space="preserve"> </w:t>
      </w:r>
      <w:r w:rsidRPr="002C2FAE">
        <w:rPr>
          <w:rFonts w:eastAsia="SimSun"/>
          <w:lang w:val="en-US"/>
        </w:rPr>
        <w:t xml:space="preserve">production in microbial hosts, such as </w:t>
      </w:r>
      <w:r w:rsidRPr="002C2FAE">
        <w:rPr>
          <w:rFonts w:eastAsia="SimSun"/>
          <w:i/>
          <w:lang w:val="en-US"/>
        </w:rPr>
        <w:t>Escherichia coli</w:t>
      </w:r>
      <w:r w:rsidRPr="002C2FAE">
        <w:rPr>
          <w:rFonts w:eastAsia="SimSun"/>
          <w:lang w:val="en-US"/>
        </w:rPr>
        <w:t xml:space="preserve">, is </w:t>
      </w:r>
      <w:r w:rsidR="001856A9">
        <w:rPr>
          <w:rFonts w:eastAsia="SimSun"/>
          <w:lang w:val="en-US"/>
        </w:rPr>
        <w:t xml:space="preserve">a </w:t>
      </w:r>
      <w:r w:rsidR="006A337E">
        <w:rPr>
          <w:rFonts w:eastAsia="SimSun"/>
          <w:lang w:val="en-US"/>
        </w:rPr>
        <w:t xml:space="preserve">frequent practice </w:t>
      </w:r>
      <w:r w:rsidRPr="002C2FAE">
        <w:rPr>
          <w:rFonts w:eastAsia="SimSun"/>
          <w:lang w:val="en-US"/>
        </w:rPr>
        <w:t xml:space="preserve">in the pharmaceutical industry to enhance antiserum production (Alonso Villela </w:t>
      </w:r>
      <w:r w:rsidR="005E74CD" w:rsidRPr="005E74CD">
        <w:rPr>
          <w:rFonts w:eastAsia="SimSun"/>
          <w:i/>
          <w:iCs/>
          <w:lang w:val="en-US"/>
        </w:rPr>
        <w:t xml:space="preserve">et </w:t>
      </w:r>
      <w:r w:rsidRPr="005E74CD">
        <w:rPr>
          <w:rFonts w:eastAsia="SimSun"/>
          <w:i/>
          <w:iCs/>
          <w:lang w:val="en-US"/>
        </w:rPr>
        <w:t>al</w:t>
      </w:r>
      <w:r w:rsidRPr="002C2FAE">
        <w:rPr>
          <w:rFonts w:eastAsia="SimSun"/>
          <w:lang w:val="en-US"/>
        </w:rPr>
        <w:t xml:space="preserve">. 2023). However, </w:t>
      </w:r>
      <w:r w:rsidR="006A337E">
        <w:rPr>
          <w:rFonts w:eastAsia="SimSun"/>
          <w:lang w:val="en-US"/>
        </w:rPr>
        <w:t xml:space="preserve">defining </w:t>
      </w:r>
      <w:r w:rsidRPr="002C2FAE">
        <w:rPr>
          <w:rFonts w:eastAsia="SimSun"/>
          <w:lang w:val="en-US"/>
        </w:rPr>
        <w:t>optimal production conditions (induction</w:t>
      </w:r>
      <w:r w:rsidR="00DA1BD9">
        <w:rPr>
          <w:rFonts w:eastAsia="SimSun"/>
          <w:lang w:val="en-US"/>
        </w:rPr>
        <w:t>,</w:t>
      </w:r>
      <w:r w:rsidRPr="002C2FAE">
        <w:rPr>
          <w:rFonts w:eastAsia="SimSun"/>
          <w:lang w:val="en-US"/>
        </w:rPr>
        <w:t xml:space="preserve"> temperature</w:t>
      </w:r>
      <w:r w:rsidR="00DA1BD9">
        <w:rPr>
          <w:rFonts w:eastAsia="SimSun"/>
          <w:lang w:val="en-US"/>
        </w:rPr>
        <w:t>, etc.</w:t>
      </w:r>
      <w:r w:rsidRPr="002C2FAE">
        <w:rPr>
          <w:rFonts w:eastAsia="SimSun"/>
          <w:lang w:val="en-US"/>
        </w:rPr>
        <w:t xml:space="preserve">) </w:t>
      </w:r>
      <w:r w:rsidR="006A337E">
        <w:rPr>
          <w:rFonts w:eastAsia="SimSun"/>
          <w:lang w:val="en-US"/>
        </w:rPr>
        <w:t>is a</w:t>
      </w:r>
      <w:r w:rsidRPr="002C2FAE">
        <w:rPr>
          <w:rFonts w:eastAsia="SimSun"/>
          <w:lang w:val="en-US"/>
        </w:rPr>
        <w:t xml:space="preserve"> trial-and-error</w:t>
      </w:r>
      <w:r w:rsidR="006A337E">
        <w:rPr>
          <w:rFonts w:eastAsia="SimSun"/>
          <w:lang w:val="en-US"/>
        </w:rPr>
        <w:t xml:space="preserve"> exercise</w:t>
      </w:r>
      <w:r w:rsidR="005E74CD">
        <w:rPr>
          <w:rFonts w:eastAsia="SimSun"/>
          <w:lang w:val="en-US"/>
        </w:rPr>
        <w:t xml:space="preserve">. </w:t>
      </w:r>
      <w:r w:rsidRPr="002C2FAE">
        <w:rPr>
          <w:rFonts w:eastAsia="SimSun"/>
          <w:lang w:val="en-US"/>
        </w:rPr>
        <w:t xml:space="preserve">The production of recombinant proteins is usually modeled </w:t>
      </w:r>
      <w:r w:rsidR="006A337E">
        <w:rPr>
          <w:rFonts w:eastAsia="SimSun"/>
          <w:lang w:val="en-US"/>
        </w:rPr>
        <w:t>using</w:t>
      </w:r>
      <w:r w:rsidR="006A337E" w:rsidRPr="002C2FAE">
        <w:rPr>
          <w:rFonts w:eastAsia="SimSun"/>
          <w:lang w:val="en-US"/>
        </w:rPr>
        <w:t xml:space="preserve"> </w:t>
      </w:r>
      <w:r w:rsidRPr="002C2FAE">
        <w:rPr>
          <w:rFonts w:eastAsia="SimSun"/>
          <w:lang w:val="en-US"/>
        </w:rPr>
        <w:t xml:space="preserve">Monod or Luedeking-Piret kinetics (Zheng </w:t>
      </w:r>
      <w:r w:rsidRPr="00896AA0">
        <w:rPr>
          <w:rFonts w:eastAsia="SimSun"/>
          <w:i/>
          <w:lang w:val="en-US"/>
        </w:rPr>
        <w:t>et al.</w:t>
      </w:r>
      <w:r w:rsidRPr="002C2FAE">
        <w:rPr>
          <w:rFonts w:eastAsia="SimSun"/>
          <w:lang w:val="en-US"/>
        </w:rPr>
        <w:t xml:space="preserve"> 2005; Hua </w:t>
      </w:r>
      <w:r w:rsidRPr="00896AA0">
        <w:rPr>
          <w:rFonts w:eastAsia="SimSun"/>
          <w:i/>
          <w:lang w:val="en-US"/>
        </w:rPr>
        <w:t>et al.</w:t>
      </w:r>
      <w:r w:rsidRPr="002C2FAE">
        <w:rPr>
          <w:rFonts w:eastAsia="SimSun"/>
          <w:lang w:val="en-US"/>
        </w:rPr>
        <w:t xml:space="preserve"> 2006), and rarely using </w:t>
      </w:r>
      <w:r w:rsidR="00271F93">
        <w:rPr>
          <w:rFonts w:eastAsia="SimSun"/>
          <w:lang w:val="en-US"/>
        </w:rPr>
        <w:t>dynamic</w:t>
      </w:r>
      <w:r w:rsidR="00271F93" w:rsidRPr="002C2FAE">
        <w:rPr>
          <w:rFonts w:eastAsia="SimSun"/>
          <w:lang w:val="en-US"/>
        </w:rPr>
        <w:t xml:space="preserve"> </w:t>
      </w:r>
      <w:r w:rsidR="00062CFE">
        <w:rPr>
          <w:rFonts w:eastAsia="SimSun"/>
          <w:lang w:val="en-US"/>
        </w:rPr>
        <w:t>models</w:t>
      </w:r>
      <w:r w:rsidRPr="002C2FAE">
        <w:rPr>
          <w:rFonts w:eastAsia="SimSun"/>
          <w:lang w:val="en-US"/>
        </w:rPr>
        <w:t xml:space="preserve"> (Alonso Villela </w:t>
      </w:r>
      <w:r w:rsidRPr="00896AA0">
        <w:rPr>
          <w:rFonts w:eastAsia="SimSun"/>
          <w:i/>
          <w:lang w:val="en-US"/>
        </w:rPr>
        <w:t>et al.</w:t>
      </w:r>
      <w:r w:rsidRPr="002C2FAE">
        <w:rPr>
          <w:rFonts w:eastAsia="SimSun"/>
          <w:lang w:val="en-US"/>
        </w:rPr>
        <w:t xml:space="preserve"> 2021).</w:t>
      </w:r>
      <w:r w:rsidR="00957C87">
        <w:rPr>
          <w:rFonts w:eastAsia="SimSun"/>
          <w:lang w:val="en-US"/>
        </w:rPr>
        <w:t xml:space="preserve"> </w:t>
      </w:r>
      <w:r w:rsidR="00274E19">
        <w:rPr>
          <w:rFonts w:eastAsia="SimSun"/>
          <w:lang w:val="en-US"/>
        </w:rPr>
        <w:t xml:space="preserve">Hybrid </w:t>
      </w:r>
      <w:r w:rsidR="006A337E">
        <w:rPr>
          <w:rFonts w:eastAsia="SimSun"/>
          <w:lang w:val="en-US"/>
        </w:rPr>
        <w:t xml:space="preserve">modeling </w:t>
      </w:r>
      <w:r w:rsidR="00274E19">
        <w:rPr>
          <w:rFonts w:eastAsia="SimSun"/>
          <w:lang w:val="en-US"/>
        </w:rPr>
        <w:t xml:space="preserve">approaches </w:t>
      </w:r>
      <w:r w:rsidR="00274E19" w:rsidRPr="00274E19">
        <w:rPr>
          <w:rFonts w:eastAsia="SimSun"/>
          <w:lang w:val="en-US"/>
        </w:rPr>
        <w:t xml:space="preserve">have recently gained </w:t>
      </w:r>
      <w:r w:rsidR="00274E19" w:rsidRPr="00274E19">
        <w:rPr>
          <w:rFonts w:eastAsia="SimSun"/>
          <w:lang w:val="en-US"/>
        </w:rPr>
        <w:lastRenderedPageBreak/>
        <w:t>importance</w:t>
      </w:r>
      <w:r w:rsidR="00274E19">
        <w:rPr>
          <w:rFonts w:eastAsia="SimSun"/>
          <w:lang w:val="en-US"/>
        </w:rPr>
        <w:t xml:space="preserve"> (Badr </w:t>
      </w:r>
      <w:r w:rsidR="00274E19" w:rsidRPr="00896AA0">
        <w:rPr>
          <w:rFonts w:eastAsia="SimSun"/>
          <w:i/>
          <w:lang w:val="en-US"/>
        </w:rPr>
        <w:t>et al.</w:t>
      </w:r>
      <w:r w:rsidR="00274E19">
        <w:rPr>
          <w:rFonts w:eastAsia="SimSun"/>
          <w:lang w:val="en-US"/>
        </w:rPr>
        <w:t xml:space="preserve"> 2023, Kay</w:t>
      </w:r>
      <w:r w:rsidR="009455C7">
        <w:rPr>
          <w:rFonts w:eastAsia="SimSun"/>
          <w:lang w:val="en-US"/>
        </w:rPr>
        <w:t>a</w:t>
      </w:r>
      <w:r w:rsidR="00274E19">
        <w:rPr>
          <w:rFonts w:eastAsia="SimSun"/>
          <w:lang w:val="en-US"/>
        </w:rPr>
        <w:t xml:space="preserve"> </w:t>
      </w:r>
      <w:r w:rsidR="00274E19" w:rsidRPr="00896AA0">
        <w:rPr>
          <w:rFonts w:eastAsia="SimSun"/>
          <w:i/>
          <w:lang w:val="en-US"/>
        </w:rPr>
        <w:t>et al.</w:t>
      </w:r>
      <w:r w:rsidR="00274E19">
        <w:rPr>
          <w:rFonts w:eastAsia="SimSun"/>
          <w:lang w:val="en-US"/>
        </w:rPr>
        <w:t xml:space="preserve"> 2023). </w:t>
      </w:r>
      <w:r w:rsidR="006A337E">
        <w:rPr>
          <w:rFonts w:eastAsia="SimSun"/>
          <w:lang w:val="en-US"/>
        </w:rPr>
        <w:t>Accordingly, in</w:t>
      </w:r>
      <w:r w:rsidR="00B03FD9">
        <w:rPr>
          <w:rFonts w:eastAsia="SimSun"/>
          <w:lang w:val="en-US"/>
        </w:rPr>
        <w:t xml:space="preserve"> this paper</w:t>
      </w:r>
      <w:r w:rsidRPr="002C2FAE">
        <w:rPr>
          <w:rFonts w:eastAsia="SimSun"/>
          <w:lang w:val="en-US"/>
        </w:rPr>
        <w:t xml:space="preserve"> we </w:t>
      </w:r>
      <w:r w:rsidR="006A337E">
        <w:rPr>
          <w:rFonts w:eastAsia="SimSun"/>
          <w:lang w:val="en-US"/>
        </w:rPr>
        <w:t>have compared the use of a</w:t>
      </w:r>
      <w:r w:rsidRPr="002C2FAE">
        <w:rPr>
          <w:rFonts w:eastAsia="SimSun"/>
          <w:lang w:val="en-US"/>
        </w:rPr>
        <w:t xml:space="preserve"> kinetic model and </w:t>
      </w:r>
      <w:r w:rsidR="001600F5">
        <w:rPr>
          <w:rFonts w:eastAsia="SimSun"/>
          <w:lang w:val="en-US"/>
        </w:rPr>
        <w:t xml:space="preserve">a </w:t>
      </w:r>
      <w:r w:rsidRPr="002C2FAE">
        <w:rPr>
          <w:rFonts w:eastAsia="SimSun"/>
          <w:lang w:val="en-US"/>
        </w:rPr>
        <w:t xml:space="preserve">hybrid kinetic model </w:t>
      </w:r>
      <w:r w:rsidR="001600F5" w:rsidRPr="001600F5">
        <w:rPr>
          <w:rFonts w:eastAsia="SimSun"/>
          <w:lang w:val="en-US"/>
        </w:rPr>
        <w:t xml:space="preserve">integrating a </w:t>
      </w:r>
      <w:r w:rsidR="00253B8F">
        <w:rPr>
          <w:rFonts w:eastAsia="SimSun"/>
          <w:lang w:val="en-US"/>
        </w:rPr>
        <w:t>Support Vector Machine (SVM)</w:t>
      </w:r>
      <w:r w:rsidRPr="002C2FAE">
        <w:rPr>
          <w:rFonts w:eastAsia="SimSun"/>
          <w:lang w:val="en-US"/>
        </w:rPr>
        <w:t>.</w:t>
      </w:r>
      <w:r w:rsidR="00274E19">
        <w:rPr>
          <w:rFonts w:eastAsia="SimSun"/>
          <w:lang w:val="en-US"/>
        </w:rPr>
        <w:t xml:space="preserve"> </w:t>
      </w:r>
    </w:p>
    <w:p w14:paraId="7322D5EA" w14:textId="77777777" w:rsidR="008D2649" w:rsidRPr="002C2FAE" w:rsidRDefault="00961FA4" w:rsidP="00896AA0">
      <w:pPr>
        <w:pStyle w:val="Els-1storder-head"/>
      </w:pPr>
      <w:r w:rsidRPr="002C2FAE">
        <w:t>Materials and Methods</w:t>
      </w:r>
    </w:p>
    <w:p w14:paraId="1A755571" w14:textId="77777777" w:rsidR="000E43D0" w:rsidRPr="002C2FAE" w:rsidRDefault="000E43D0" w:rsidP="00621AE2">
      <w:pPr>
        <w:pStyle w:val="Els-2ndorder-head"/>
      </w:pPr>
      <w:r w:rsidRPr="002C2FAE">
        <w:t xml:space="preserve">Microbial </w:t>
      </w:r>
      <w:r w:rsidR="007C23B0">
        <w:t>strains</w:t>
      </w:r>
      <w:r w:rsidR="002C2FAE" w:rsidRPr="002C2FAE">
        <w:t xml:space="preserve"> and culture medium</w:t>
      </w:r>
    </w:p>
    <w:p w14:paraId="2C0B2121" w14:textId="1E303A1B" w:rsidR="00425025" w:rsidRPr="00425025" w:rsidRDefault="00507282" w:rsidP="00987B4C">
      <w:pPr>
        <w:pStyle w:val="Els-body-text"/>
      </w:pPr>
      <w:r w:rsidRPr="002C2FAE">
        <w:t xml:space="preserve">Cultures were carried out with </w:t>
      </w:r>
      <w:r w:rsidR="00563414">
        <w:t xml:space="preserve">ampicillin-resistant </w:t>
      </w:r>
      <w:r w:rsidR="00D959F3">
        <w:t xml:space="preserve">recombinant </w:t>
      </w:r>
      <w:r w:rsidR="00563414">
        <w:t>strains</w:t>
      </w:r>
      <w:r w:rsidRPr="002C2FAE">
        <w:t xml:space="preserve"> </w:t>
      </w:r>
      <w:r w:rsidRPr="002C2FAE">
        <w:rPr>
          <w:i/>
        </w:rPr>
        <w:t>E. coli</w:t>
      </w:r>
      <w:r w:rsidRPr="002C2FAE">
        <w:t xml:space="preserve"> CH10-12</w:t>
      </w:r>
      <w:r w:rsidR="00563414">
        <w:t xml:space="preserve"> </w:t>
      </w:r>
      <w:r w:rsidR="004E50F5">
        <w:t xml:space="preserve">(Alonso Villela </w:t>
      </w:r>
      <w:r w:rsidR="004E50F5" w:rsidRPr="00896AA0">
        <w:rPr>
          <w:i/>
        </w:rPr>
        <w:t>et al</w:t>
      </w:r>
      <w:r w:rsidR="004E50F5" w:rsidRPr="009455C7">
        <w:rPr>
          <w:i/>
        </w:rPr>
        <w:t>.</w:t>
      </w:r>
      <w:r w:rsidR="004E50F5">
        <w:t xml:space="preserve"> 2021) </w:t>
      </w:r>
      <w:r w:rsidR="00563414">
        <w:t xml:space="preserve">and </w:t>
      </w:r>
      <w:r w:rsidR="00563414" w:rsidRPr="00563414">
        <w:rPr>
          <w:i/>
        </w:rPr>
        <w:t>E. coli</w:t>
      </w:r>
      <w:r w:rsidR="00563414">
        <w:t xml:space="preserve"> NbF12-10 </w:t>
      </w:r>
      <w:r w:rsidR="004E50F5">
        <w:t xml:space="preserve">(Hmila </w:t>
      </w:r>
      <w:r w:rsidR="004E50F5" w:rsidRPr="00896AA0">
        <w:rPr>
          <w:i/>
        </w:rPr>
        <w:t>et al</w:t>
      </w:r>
      <w:r w:rsidR="004E50F5">
        <w:t>. 2010)</w:t>
      </w:r>
      <w:r w:rsidR="00563414">
        <w:t xml:space="preserve">. The nanobodies </w:t>
      </w:r>
      <w:r w:rsidR="004E50F5">
        <w:t>we</w:t>
      </w:r>
      <w:r w:rsidR="00563414">
        <w:t xml:space="preserve">re produced after induction </w:t>
      </w:r>
      <w:r w:rsidR="006F49B3">
        <w:t>with</w:t>
      </w:r>
      <w:r w:rsidR="001856A9">
        <w:t xml:space="preserve"> a</w:t>
      </w:r>
      <w:r w:rsidR="006F49B3">
        <w:t xml:space="preserve"> 1</w:t>
      </w:r>
      <w:r w:rsidR="001856A9">
        <w:t> </w:t>
      </w:r>
      <w:r w:rsidR="006F49B3">
        <w:t>mM IPTG</w:t>
      </w:r>
      <w:r w:rsidR="00FD1215">
        <w:t xml:space="preserve"> pulse</w:t>
      </w:r>
      <w:r w:rsidR="00563414">
        <w:t>.</w:t>
      </w:r>
      <w:r w:rsidR="006C59C6">
        <w:t xml:space="preserve"> </w:t>
      </w:r>
      <w:r w:rsidR="006A337E">
        <w:t>C</w:t>
      </w:r>
      <w:r w:rsidR="006C59C6">
        <w:t>ulture</w:t>
      </w:r>
      <w:r w:rsidR="006A337E">
        <w:t>s</w:t>
      </w:r>
      <w:r w:rsidR="006C59C6">
        <w:t xml:space="preserve"> </w:t>
      </w:r>
      <w:r w:rsidR="006A337E">
        <w:t>were initiated by spreading a small aliquot of a glycerol stock on</w:t>
      </w:r>
      <w:r w:rsidR="006C59C6">
        <w:t xml:space="preserve"> LB</w:t>
      </w:r>
      <w:r w:rsidR="00D82264">
        <w:t xml:space="preserve"> (Lysogeny B</w:t>
      </w:r>
      <w:r w:rsidR="00D82264" w:rsidRPr="00D82264">
        <w:t>roth</w:t>
      </w:r>
      <w:r w:rsidR="00D82264">
        <w:t>)</w:t>
      </w:r>
      <w:r w:rsidR="006C59C6">
        <w:t xml:space="preserve"> agar plate</w:t>
      </w:r>
      <w:r w:rsidR="006A337E">
        <w:t>s. After incubation</w:t>
      </w:r>
      <w:r w:rsidR="001856A9">
        <w:t>,</w:t>
      </w:r>
      <w:r w:rsidR="006A337E">
        <w:t xml:space="preserve"> a single well-isolated</w:t>
      </w:r>
      <w:r w:rsidR="001A5CE7">
        <w:t xml:space="preserve"> colony was </w:t>
      </w:r>
      <w:r w:rsidR="006A337E">
        <w:t xml:space="preserve">used to inoculate </w:t>
      </w:r>
      <w:r w:rsidR="001A5CE7">
        <w:t>15</w:t>
      </w:r>
      <w:r w:rsidR="00915D29">
        <w:t> </w:t>
      </w:r>
      <w:r w:rsidR="001A5CE7">
        <w:t>mL LB</w:t>
      </w:r>
      <w:r w:rsidR="006A337E">
        <w:t xml:space="preserve"> medium</w:t>
      </w:r>
      <w:r w:rsidR="001A5CE7">
        <w:t>.</w:t>
      </w:r>
      <w:r w:rsidR="0097116E">
        <w:t xml:space="preserve"> </w:t>
      </w:r>
      <w:r w:rsidR="005D7614">
        <w:t xml:space="preserve">The bioreactor inoculum was prepared by diluting 1 mL of the LB culture in 100 mL of </w:t>
      </w:r>
      <w:r w:rsidR="00BF1CF4">
        <w:t>Minimal Medium (</w:t>
      </w:r>
      <w:r w:rsidR="005D7614">
        <w:t>MM</w:t>
      </w:r>
      <w:r w:rsidR="00BF1CF4">
        <w:t xml:space="preserve">, </w:t>
      </w:r>
      <w:r w:rsidR="005D7614">
        <w:t xml:space="preserve">5 g/L glucose) and incubated at 37 °C. </w:t>
      </w:r>
      <w:r w:rsidR="001A5CE7">
        <w:t>MM</w:t>
      </w:r>
      <w:r w:rsidR="0097116E">
        <w:t xml:space="preserve"> was</w:t>
      </w:r>
      <w:r w:rsidR="0097116E" w:rsidRPr="0097116E">
        <w:t xml:space="preserve"> </w:t>
      </w:r>
      <w:r w:rsidR="00BF1CF4">
        <w:t>also used for the</w:t>
      </w:r>
      <w:r w:rsidR="0097116E">
        <w:t xml:space="preserve"> bioreactor batch</w:t>
      </w:r>
      <w:r w:rsidR="00BF1CF4">
        <w:t xml:space="preserve">. However, for </w:t>
      </w:r>
      <w:r w:rsidR="006F49B3">
        <w:t xml:space="preserve">fed-batch and production phases, a modified MM with </w:t>
      </w:r>
      <w:r w:rsidR="0097116E">
        <w:t xml:space="preserve">300 g/L </w:t>
      </w:r>
      <w:r w:rsidR="006F49B3">
        <w:t>glucose w</w:t>
      </w:r>
      <w:r w:rsidR="0097116E">
        <w:t>as</w:t>
      </w:r>
      <w:r w:rsidR="006F49B3">
        <w:t xml:space="preserve"> used, both</w:t>
      </w:r>
      <w:r w:rsidR="001A5CE7">
        <w:t xml:space="preserve"> described elsewhere (</w:t>
      </w:r>
      <w:r w:rsidR="006F49B3">
        <w:t xml:space="preserve">Alonso Villela </w:t>
      </w:r>
      <w:r w:rsidR="006F49B3" w:rsidRPr="00896AA0">
        <w:rPr>
          <w:i/>
        </w:rPr>
        <w:t>et al</w:t>
      </w:r>
      <w:r w:rsidR="006F49B3" w:rsidRPr="00621AE2">
        <w:rPr>
          <w:i/>
        </w:rPr>
        <w:t>.</w:t>
      </w:r>
      <w:r w:rsidR="006F49B3">
        <w:t xml:space="preserve"> 2021</w:t>
      </w:r>
      <w:r w:rsidR="001A5CE7">
        <w:t>).</w:t>
      </w:r>
      <w:r w:rsidR="004E50F5">
        <w:t xml:space="preserve"> </w:t>
      </w:r>
    </w:p>
    <w:p w14:paraId="4202C2AF" w14:textId="77777777" w:rsidR="00D910F3" w:rsidRPr="002C2FAE" w:rsidRDefault="002C2FAE" w:rsidP="00E27EBC">
      <w:pPr>
        <w:pStyle w:val="Els-2ndorder-head"/>
      </w:pPr>
      <w:r w:rsidRPr="002C2FAE">
        <w:t>Experimental setup</w:t>
      </w:r>
    </w:p>
    <w:p w14:paraId="356B1731" w14:textId="7DF3B7AB" w:rsidR="00EF1D80" w:rsidRPr="00E27EBC" w:rsidRDefault="00BF1CF4" w:rsidP="00E27EBC">
      <w:pPr>
        <w:rPr>
          <w:lang w:val="en-US"/>
        </w:rPr>
      </w:pPr>
      <w:r>
        <w:rPr>
          <w:lang w:val="en-US"/>
        </w:rPr>
        <w:t>C</w:t>
      </w:r>
      <w:r w:rsidR="00563414">
        <w:rPr>
          <w:lang w:val="en-US"/>
        </w:rPr>
        <w:t>ultures</w:t>
      </w:r>
      <w:r w:rsidR="00831707" w:rsidRPr="002C2FAE">
        <w:rPr>
          <w:lang w:val="en-US"/>
        </w:rPr>
        <w:t xml:space="preserve"> were conducted in a 5</w:t>
      </w:r>
      <w:r w:rsidR="006C59C6">
        <w:rPr>
          <w:lang w:val="en-US"/>
        </w:rPr>
        <w:t> </w:t>
      </w:r>
      <w:r w:rsidR="00831707" w:rsidRPr="002C2FAE">
        <w:rPr>
          <w:lang w:val="en-US"/>
        </w:rPr>
        <w:t>L bioreactor (Biostat® B-DCU, Sartorius) with a working volume of 2</w:t>
      </w:r>
      <w:r w:rsidR="006C59C6">
        <w:rPr>
          <w:lang w:val="en-US"/>
        </w:rPr>
        <w:t> </w:t>
      </w:r>
      <w:r w:rsidR="00831707" w:rsidRPr="002C2FAE">
        <w:rPr>
          <w:lang w:val="en-US"/>
        </w:rPr>
        <w:t xml:space="preserve">L. The bioreactor </w:t>
      </w:r>
      <w:r w:rsidR="005F15A9">
        <w:rPr>
          <w:lang w:val="en-US"/>
        </w:rPr>
        <w:t>was equipped with</w:t>
      </w:r>
      <w:r w:rsidR="005F15A9" w:rsidRPr="002C2FAE">
        <w:rPr>
          <w:lang w:val="en-US"/>
        </w:rPr>
        <w:t xml:space="preserve"> </w:t>
      </w:r>
      <w:r w:rsidR="006C59C6">
        <w:rPr>
          <w:lang w:val="en-US"/>
        </w:rPr>
        <w:t>dissolved oxygen (</w:t>
      </w:r>
      <w:r w:rsidR="00831707" w:rsidRPr="002C2FAE">
        <w:rPr>
          <w:lang w:val="en-US"/>
        </w:rPr>
        <w:t>pO</w:t>
      </w:r>
      <w:r w:rsidR="00831707" w:rsidRPr="002C2FAE">
        <w:rPr>
          <w:vertAlign w:val="subscript"/>
          <w:lang w:val="en-US"/>
        </w:rPr>
        <w:t>2</w:t>
      </w:r>
      <w:r w:rsidR="006C59C6">
        <w:rPr>
          <w:lang w:val="en-US"/>
        </w:rPr>
        <w:t>)</w:t>
      </w:r>
      <w:r w:rsidR="00831707" w:rsidRPr="002C2FAE">
        <w:rPr>
          <w:lang w:val="en-US"/>
        </w:rPr>
        <w:t>, pH,</w:t>
      </w:r>
      <w:r w:rsidR="006C59C6">
        <w:rPr>
          <w:lang w:val="en-US"/>
        </w:rPr>
        <w:t xml:space="preserve"> temperature</w:t>
      </w:r>
      <w:r w:rsidR="00831707" w:rsidRPr="002C2FAE">
        <w:rPr>
          <w:lang w:val="en-US"/>
        </w:rPr>
        <w:t xml:space="preserve"> </w:t>
      </w:r>
      <w:r w:rsidR="006C59C6">
        <w:rPr>
          <w:lang w:val="en-US"/>
        </w:rPr>
        <w:t>(</w:t>
      </w:r>
      <w:r w:rsidR="00831707" w:rsidRPr="002C2FAE">
        <w:rPr>
          <w:lang w:val="en-US"/>
        </w:rPr>
        <w:t>T</w:t>
      </w:r>
      <w:r w:rsidR="006C59C6">
        <w:rPr>
          <w:lang w:val="en-US"/>
        </w:rPr>
        <w:t>)</w:t>
      </w:r>
      <w:r w:rsidR="00831707" w:rsidRPr="002C2FAE">
        <w:rPr>
          <w:lang w:val="en-US"/>
        </w:rPr>
        <w:t xml:space="preserve">, and </w:t>
      </w:r>
      <w:r w:rsidR="006C59C6">
        <w:rPr>
          <w:lang w:val="en-US"/>
        </w:rPr>
        <w:t>pressure (</w:t>
      </w:r>
      <w:r w:rsidR="00831707" w:rsidRPr="002C2FAE">
        <w:rPr>
          <w:lang w:val="en-US"/>
        </w:rPr>
        <w:t>P</w:t>
      </w:r>
      <w:r w:rsidR="006C59C6">
        <w:rPr>
          <w:lang w:val="en-US"/>
        </w:rPr>
        <w:t>)</w:t>
      </w:r>
      <w:r>
        <w:rPr>
          <w:lang w:val="en-US"/>
        </w:rPr>
        <w:t xml:space="preserve"> sensors</w:t>
      </w:r>
      <w:r w:rsidR="00831707" w:rsidRPr="002C2FAE">
        <w:rPr>
          <w:lang w:val="en-US"/>
        </w:rPr>
        <w:t>, and two six-flat-blade Rushton turbines a three-blade marine impeller. Temperature was set to 37</w:t>
      </w:r>
      <w:r w:rsidR="006C59C6">
        <w:rPr>
          <w:lang w:val="en-US"/>
        </w:rPr>
        <w:t> </w:t>
      </w:r>
      <w:r w:rsidR="00831707" w:rsidRPr="002C2FAE">
        <w:rPr>
          <w:lang w:val="en-US"/>
        </w:rPr>
        <w:t>°C for the batch and fed-batch modes</w:t>
      </w:r>
      <w:r w:rsidR="006F49B3">
        <w:rPr>
          <w:lang w:val="en-US"/>
        </w:rPr>
        <w:t xml:space="preserve">, </w:t>
      </w:r>
      <w:r w:rsidR="003839AE">
        <w:rPr>
          <w:lang w:val="en-US"/>
        </w:rPr>
        <w:t>pO</w:t>
      </w:r>
      <w:r w:rsidR="003839AE" w:rsidRPr="003839AE">
        <w:rPr>
          <w:vertAlign w:val="subscript"/>
          <w:lang w:val="en-US"/>
        </w:rPr>
        <w:t>2</w:t>
      </w:r>
      <w:r w:rsidR="003839AE">
        <w:rPr>
          <w:lang w:val="en-US"/>
        </w:rPr>
        <w:t xml:space="preserve"> </w:t>
      </w:r>
      <w:r w:rsidR="00F924E8">
        <w:rPr>
          <w:lang w:val="en-US"/>
        </w:rPr>
        <w:t>kept</w:t>
      </w:r>
      <w:r w:rsidR="0097116E">
        <w:rPr>
          <w:lang w:val="en-US"/>
        </w:rPr>
        <w:t xml:space="preserve"> </w:t>
      </w:r>
      <w:r w:rsidR="003839AE">
        <w:rPr>
          <w:lang w:val="en-US"/>
        </w:rPr>
        <w:t xml:space="preserve">over 15 %, </w:t>
      </w:r>
      <w:r w:rsidR="00A261DF">
        <w:rPr>
          <w:lang w:val="en-US"/>
        </w:rPr>
        <w:t xml:space="preserve">and </w:t>
      </w:r>
      <w:r w:rsidR="00425025">
        <w:rPr>
          <w:lang w:val="en-US"/>
        </w:rPr>
        <w:t>the</w:t>
      </w:r>
      <w:r w:rsidR="006F49B3">
        <w:rPr>
          <w:lang w:val="en-US"/>
        </w:rPr>
        <w:t xml:space="preserve"> pH was</w:t>
      </w:r>
      <w:r w:rsidR="00D82264">
        <w:rPr>
          <w:lang w:val="en-US"/>
        </w:rPr>
        <w:t xml:space="preserve"> regulated at</w:t>
      </w:r>
      <w:r w:rsidR="006F49B3">
        <w:rPr>
          <w:lang w:val="en-US"/>
        </w:rPr>
        <w:t xml:space="preserve"> </w:t>
      </w:r>
      <w:r w:rsidR="00704D07">
        <w:rPr>
          <w:lang w:val="en-US"/>
        </w:rPr>
        <w:t>7 for the entire culture</w:t>
      </w:r>
      <w:r w:rsidR="00831707" w:rsidRPr="002C2FAE">
        <w:rPr>
          <w:lang w:val="en-US"/>
        </w:rPr>
        <w:t>. Induction</w:t>
      </w:r>
      <w:r w:rsidR="00875B55">
        <w:rPr>
          <w:lang w:val="en-US"/>
        </w:rPr>
        <w:t xml:space="preserve"> of </w:t>
      </w:r>
      <w:r w:rsidR="00875B55" w:rsidRPr="00F36F7D">
        <w:rPr>
          <w:i/>
          <w:lang w:val="en-US"/>
        </w:rPr>
        <w:t>E. coli</w:t>
      </w:r>
      <w:r w:rsidR="00875B55">
        <w:rPr>
          <w:lang w:val="en-US"/>
        </w:rPr>
        <w:t xml:space="preserve"> CH10-12</w:t>
      </w:r>
      <w:r w:rsidR="00831707" w:rsidRPr="002C2FAE">
        <w:rPr>
          <w:lang w:val="en-US"/>
        </w:rPr>
        <w:t xml:space="preserve"> was carried at </w:t>
      </w:r>
      <w:r w:rsidR="006650A3">
        <w:t xml:space="preserve">temperatures </w:t>
      </w:r>
      <w:r w:rsidR="00831707" w:rsidRPr="002C2FAE">
        <w:rPr>
          <w:lang w:val="en-US"/>
        </w:rPr>
        <w:t>28</w:t>
      </w:r>
      <w:r w:rsidR="006C59C6">
        <w:rPr>
          <w:lang w:val="en-US"/>
        </w:rPr>
        <w:t> </w:t>
      </w:r>
      <w:r w:rsidR="00831707" w:rsidRPr="002C2FAE">
        <w:rPr>
          <w:lang w:val="en-US"/>
        </w:rPr>
        <w:t>°C</w:t>
      </w:r>
      <w:r w:rsidR="006650A3">
        <w:t>, 29</w:t>
      </w:r>
      <w:r w:rsidR="006C59C6">
        <w:t> </w:t>
      </w:r>
      <w:r w:rsidR="006650A3">
        <w:t>°C, 30</w:t>
      </w:r>
      <w:r w:rsidR="006C59C6">
        <w:t> </w:t>
      </w:r>
      <w:r w:rsidR="006650A3">
        <w:t>°C, 32</w:t>
      </w:r>
      <w:r w:rsidR="006C59C6">
        <w:t> </w:t>
      </w:r>
      <w:r w:rsidR="006650A3">
        <w:t>°C, 33</w:t>
      </w:r>
      <w:r w:rsidR="006C59C6">
        <w:t> </w:t>
      </w:r>
      <w:r w:rsidR="006650A3">
        <w:t>°C, and 37</w:t>
      </w:r>
      <w:r w:rsidR="006C59C6">
        <w:t> </w:t>
      </w:r>
      <w:r w:rsidR="006650A3">
        <w:t>°C,</w:t>
      </w:r>
      <w:r w:rsidR="00831707" w:rsidRPr="002C2FAE">
        <w:rPr>
          <w:lang w:val="en-US"/>
        </w:rPr>
        <w:t xml:space="preserve"> for</w:t>
      </w:r>
      <w:r w:rsidR="006650A3">
        <w:t xml:space="preserve"> a duration of</w:t>
      </w:r>
      <w:r w:rsidR="00831707" w:rsidRPr="002C2FAE">
        <w:rPr>
          <w:lang w:val="en-US"/>
        </w:rPr>
        <w:t xml:space="preserve"> </w:t>
      </w:r>
      <w:r w:rsidR="006650A3">
        <w:t>6</w:t>
      </w:r>
      <w:r w:rsidR="006C59C6">
        <w:rPr>
          <w:lang w:val="en-US"/>
        </w:rPr>
        <w:t> </w:t>
      </w:r>
      <w:r w:rsidR="00831707" w:rsidRPr="002C2FAE">
        <w:rPr>
          <w:lang w:val="en-US"/>
        </w:rPr>
        <w:t>h</w:t>
      </w:r>
      <w:r w:rsidR="00704D07">
        <w:rPr>
          <w:lang w:val="en-US"/>
        </w:rPr>
        <w:t>, and</w:t>
      </w:r>
      <w:r w:rsidR="006650A3">
        <w:t xml:space="preserve"> up to 35</w:t>
      </w:r>
      <w:r w:rsidR="006C59C6">
        <w:t> </w:t>
      </w:r>
      <w:r w:rsidR="006650A3">
        <w:t>h</w:t>
      </w:r>
      <w:r w:rsidR="00831707" w:rsidRPr="002C2FAE">
        <w:rPr>
          <w:lang w:val="en-US"/>
        </w:rPr>
        <w:t>.</w:t>
      </w:r>
      <w:r w:rsidR="00875B55">
        <w:rPr>
          <w:lang w:val="en-US"/>
        </w:rPr>
        <w:t xml:space="preserve"> </w:t>
      </w:r>
      <w:r w:rsidR="00875B55" w:rsidRPr="00F36F7D">
        <w:rPr>
          <w:i/>
          <w:lang w:val="en-US"/>
        </w:rPr>
        <w:t>E. coli</w:t>
      </w:r>
      <w:r w:rsidR="00875B55">
        <w:rPr>
          <w:lang w:val="en-US"/>
        </w:rPr>
        <w:t xml:space="preserve"> NbF12-10 was carried at 29 °C for up to 35 </w:t>
      </w:r>
      <w:r w:rsidR="00875B55">
        <w:t>h.</w:t>
      </w:r>
      <w:r w:rsidR="00271F93">
        <w:t xml:space="preserve"> </w:t>
      </w:r>
      <w:r w:rsidR="00425025">
        <w:rPr>
          <w:lang w:val="en-US"/>
        </w:rPr>
        <w:t xml:space="preserve">The batch phase was started </w:t>
      </w:r>
      <w:r w:rsidR="0097116E">
        <w:rPr>
          <w:lang w:val="en-US"/>
        </w:rPr>
        <w:t>with</w:t>
      </w:r>
      <w:r w:rsidR="00425025">
        <w:rPr>
          <w:lang w:val="en-US"/>
        </w:rPr>
        <w:t xml:space="preserve"> 100</w:t>
      </w:r>
      <w:r w:rsidR="005A65C3">
        <w:rPr>
          <w:lang w:val="en-US"/>
        </w:rPr>
        <w:t> </w:t>
      </w:r>
      <w:r w:rsidR="00425025">
        <w:rPr>
          <w:lang w:val="en-US"/>
        </w:rPr>
        <w:t xml:space="preserve">mL of inoculum in </w:t>
      </w:r>
      <w:r w:rsidR="004E50F5">
        <w:rPr>
          <w:lang w:val="en-US"/>
        </w:rPr>
        <w:t>1.5</w:t>
      </w:r>
      <w:r w:rsidR="005A65C3">
        <w:rPr>
          <w:lang w:val="en-US"/>
        </w:rPr>
        <w:t> </w:t>
      </w:r>
      <w:r w:rsidR="004E50F5">
        <w:rPr>
          <w:lang w:val="en-US"/>
        </w:rPr>
        <w:t>L MM</w:t>
      </w:r>
      <w:r w:rsidR="00425025">
        <w:rPr>
          <w:lang w:val="en-US"/>
        </w:rPr>
        <w:t>.</w:t>
      </w:r>
      <w:r w:rsidR="003839AE">
        <w:rPr>
          <w:lang w:val="en-US"/>
        </w:rPr>
        <w:t xml:space="preserve"> </w:t>
      </w:r>
      <w:r>
        <w:rPr>
          <w:lang w:val="en-US"/>
        </w:rPr>
        <w:t xml:space="preserve">Upon glucose </w:t>
      </w:r>
      <w:r w:rsidR="003839AE">
        <w:rPr>
          <w:lang w:val="en-US"/>
        </w:rPr>
        <w:t xml:space="preserve">depletion, the feed was started </w:t>
      </w:r>
      <w:r w:rsidR="0097116E">
        <w:rPr>
          <w:lang w:val="en-US"/>
        </w:rPr>
        <w:t>(</w:t>
      </w:r>
      <w:r w:rsidR="00E23EB9" w:rsidRPr="00E23EB9">
        <w:t>µ</w:t>
      </w:r>
      <w:r w:rsidR="00E23EB9">
        <w:t xml:space="preserve"> of 0.38</w:t>
      </w:r>
      <w:r w:rsidR="005A65C3">
        <w:t> </w:t>
      </w:r>
      <w:r w:rsidR="00E23EB9">
        <w:t>h</w:t>
      </w:r>
      <w:r w:rsidR="00E23EB9" w:rsidRPr="00E23EB9">
        <w:rPr>
          <w:vertAlign w:val="superscript"/>
        </w:rPr>
        <w:t>-1</w:t>
      </w:r>
      <w:r w:rsidR="0097116E">
        <w:t xml:space="preserve">) </w:t>
      </w:r>
      <w:r w:rsidR="003839AE" w:rsidRPr="00E23EB9">
        <w:t>by</w:t>
      </w:r>
      <w:r w:rsidR="003839AE">
        <w:rPr>
          <w:lang w:val="en-US"/>
        </w:rPr>
        <w:t xml:space="preserve"> the BioPAT</w:t>
      </w:r>
      <w:r w:rsidR="0097116E" w:rsidRPr="002C2FAE">
        <w:rPr>
          <w:lang w:val="en-US"/>
        </w:rPr>
        <w:t>® MFCS (Sartorius) software</w:t>
      </w:r>
      <w:r w:rsidR="00E23EB9">
        <w:rPr>
          <w:lang w:val="en-US"/>
        </w:rPr>
        <w:t>,</w:t>
      </w:r>
      <w:r w:rsidR="004E50F5">
        <w:rPr>
          <w:lang w:val="en-US"/>
        </w:rPr>
        <w:t xml:space="preserve"> and</w:t>
      </w:r>
      <w:r w:rsidR="00E23EB9">
        <w:rPr>
          <w:lang w:val="en-US"/>
        </w:rPr>
        <w:t xml:space="preserve"> during the production phase the feed was set to 4</w:t>
      </w:r>
      <w:r w:rsidR="005A65C3">
        <w:rPr>
          <w:lang w:val="en-US"/>
        </w:rPr>
        <w:t xml:space="preserve"> </w:t>
      </w:r>
      <w:r w:rsidR="00E23EB9">
        <w:rPr>
          <w:lang w:val="en-US"/>
        </w:rPr>
        <w:t>g/h of glucose.</w:t>
      </w:r>
    </w:p>
    <w:p w14:paraId="68657363" w14:textId="77777777" w:rsidR="00FA2B8B" w:rsidRDefault="00D839A0" w:rsidP="00E27EBC">
      <w:pPr>
        <w:pStyle w:val="Els-2ndorder-head"/>
      </w:pPr>
      <w:r w:rsidRPr="002C2FAE">
        <w:t>Biomass quantification</w:t>
      </w:r>
    </w:p>
    <w:p w14:paraId="17088CD6" w14:textId="08E29FD2" w:rsidR="00D839A0" w:rsidRPr="002C2FAE" w:rsidRDefault="00F94B11" w:rsidP="00D839A0">
      <w:pPr>
        <w:pStyle w:val="Els-body-text"/>
      </w:pPr>
      <w:r>
        <w:t xml:space="preserve">The optical density </w:t>
      </w:r>
      <w:r w:rsidR="00B83DDF">
        <w:t xml:space="preserve">(OD) </w:t>
      </w:r>
      <w:r w:rsidR="00C8695F">
        <w:t xml:space="preserve">of the cell culture was measured by spectroscopy at 600 nm. </w:t>
      </w:r>
      <w:r w:rsidR="006650A3">
        <w:t xml:space="preserve">Biomass </w:t>
      </w:r>
      <w:r w:rsidR="0088300E">
        <w:t xml:space="preserve">cell dry weight </w:t>
      </w:r>
      <w:r w:rsidR="008C7395">
        <w:t xml:space="preserve">(cdw) </w:t>
      </w:r>
      <w:r w:rsidR="006650A3">
        <w:t xml:space="preserve">was quantified by </w:t>
      </w:r>
      <w:r w:rsidR="0088300E">
        <w:t>gravimetry</w:t>
      </w:r>
      <w:r w:rsidR="00BF1CF4">
        <w:t xml:space="preserve">. </w:t>
      </w:r>
      <w:r w:rsidR="00A070B7">
        <w:t>D</w:t>
      </w:r>
      <w:r w:rsidR="0088300E">
        <w:t xml:space="preserve">uring the batch phase </w:t>
      </w:r>
      <w:r w:rsidR="00BF1CF4">
        <w:t>an aliquot (</w:t>
      </w:r>
      <w:r w:rsidR="0088300E">
        <w:t>5 to 10 mL</w:t>
      </w:r>
      <w:r w:rsidR="00BF1CF4">
        <w:t>)</w:t>
      </w:r>
      <w:r w:rsidR="0088300E">
        <w:t xml:space="preserve"> of culture </w:t>
      </w:r>
      <w:r w:rsidR="00BF1CF4">
        <w:t xml:space="preserve">was removed and </w:t>
      </w:r>
      <w:r w:rsidR="0088300E">
        <w:t>filtered in pre-weighted polyamide filters</w:t>
      </w:r>
      <w:r w:rsidR="00BF1CF4">
        <w:t>. During</w:t>
      </w:r>
      <w:r w:rsidR="0088300E">
        <w:t xml:space="preserve"> the fed-batch and production phase</w:t>
      </w:r>
      <w:r w:rsidR="00BF1CF4">
        <w:t>s</w:t>
      </w:r>
      <w:r w:rsidR="0088300E">
        <w:t xml:space="preserve"> 1.5 mL of culture were centrifuged in a pre-weighted Eppendorf tube.</w:t>
      </w:r>
    </w:p>
    <w:p w14:paraId="3E0FA87D" w14:textId="77777777" w:rsidR="00D839A0" w:rsidRPr="002C2FAE" w:rsidRDefault="00D839A0" w:rsidP="00E27EBC">
      <w:pPr>
        <w:pStyle w:val="Els-2ndorder-head"/>
      </w:pPr>
      <w:r w:rsidRPr="002C2FAE">
        <w:t>Glucose</w:t>
      </w:r>
      <w:r w:rsidR="009529BC">
        <w:t xml:space="preserve"> </w:t>
      </w:r>
      <w:r w:rsidRPr="002C2FAE">
        <w:t>quantification</w:t>
      </w:r>
    </w:p>
    <w:p w14:paraId="79BF8678" w14:textId="2007595A" w:rsidR="00D839A0" w:rsidRPr="002C2FAE" w:rsidRDefault="00D839A0" w:rsidP="00D839A0">
      <w:pPr>
        <w:pStyle w:val="Els-body-text"/>
      </w:pPr>
      <w:r w:rsidRPr="002C2FAE">
        <w:t xml:space="preserve">Glucose was quantified </w:t>
      </w:r>
      <w:r w:rsidR="00BF1CF4">
        <w:t xml:space="preserve">both </w:t>
      </w:r>
      <w:r w:rsidRPr="002C2FAE">
        <w:t>by enzymatic analysis</w:t>
      </w:r>
      <w:r w:rsidR="0088300E">
        <w:t xml:space="preserve"> </w:t>
      </w:r>
      <w:r w:rsidRPr="002C2FAE">
        <w:t xml:space="preserve">and </w:t>
      </w:r>
      <w:r w:rsidR="0080310C">
        <w:t>high-performance liquid chromatography (</w:t>
      </w:r>
      <w:r w:rsidRPr="002C2FAE">
        <w:t>HPLC</w:t>
      </w:r>
      <w:r w:rsidR="0080310C">
        <w:t>)</w:t>
      </w:r>
      <w:r w:rsidR="00EF5AA3">
        <w:t xml:space="preserve"> coupled with a photodiode array (UV)</w:t>
      </w:r>
    </w:p>
    <w:p w14:paraId="4396993D" w14:textId="77777777" w:rsidR="00D839A0" w:rsidRPr="002C2FAE" w:rsidRDefault="00D839A0" w:rsidP="00E27EBC">
      <w:pPr>
        <w:pStyle w:val="Els-2ndorder-head"/>
      </w:pPr>
      <w:r w:rsidRPr="002C2FAE">
        <w:t>Nanobody quantification</w:t>
      </w:r>
    </w:p>
    <w:p w14:paraId="03818584" w14:textId="25168870" w:rsidR="00D839A0" w:rsidRPr="002C2FAE" w:rsidRDefault="00BF1CF4" w:rsidP="00D839A0">
      <w:pPr>
        <w:pStyle w:val="Els-body-text"/>
      </w:pPr>
      <w:r>
        <w:t>P</w:t>
      </w:r>
      <w:r w:rsidR="00D839A0" w:rsidRPr="002C2FAE">
        <w:t xml:space="preserve">eriplasmic proteins were extracted by osmotic shock and purified by IMAC. The eluates </w:t>
      </w:r>
      <w:r w:rsidR="005A65C3">
        <w:t xml:space="preserve">were </w:t>
      </w:r>
      <w:r w:rsidR="00480333">
        <w:t>separated using</w:t>
      </w:r>
      <w:r w:rsidR="00D839A0" w:rsidRPr="002C2FAE">
        <w:t xml:space="preserve"> SDS-PAGE in reducing conditions and </w:t>
      </w:r>
      <w:r w:rsidR="005A65C3">
        <w:t>later</w:t>
      </w:r>
      <w:r w:rsidR="00D839A0" w:rsidRPr="002C2FAE">
        <w:t xml:space="preserve"> quantified by image densitometry according </w:t>
      </w:r>
      <w:r w:rsidR="00F45B27">
        <w:t>to</w:t>
      </w:r>
      <w:r w:rsidR="00F45B27" w:rsidRPr="002C2FAE">
        <w:t xml:space="preserve"> </w:t>
      </w:r>
      <w:r w:rsidR="00F40651">
        <w:t>(</w:t>
      </w:r>
      <w:r w:rsidR="00D839A0" w:rsidRPr="002C2FAE">
        <w:t xml:space="preserve">Alonso </w:t>
      </w:r>
      <w:r w:rsidR="002C493A" w:rsidRPr="002C2FAE">
        <w:t xml:space="preserve">Villela </w:t>
      </w:r>
      <w:r w:rsidR="00D839A0" w:rsidRPr="00896AA0">
        <w:rPr>
          <w:i/>
        </w:rPr>
        <w:t>et al.</w:t>
      </w:r>
      <w:r w:rsidR="00621AE2">
        <w:t>,</w:t>
      </w:r>
      <w:r w:rsidR="00D839A0" w:rsidRPr="002C2FAE">
        <w:t xml:space="preserve"> 202</w:t>
      </w:r>
      <w:r w:rsidR="00F94B11">
        <w:t>0</w:t>
      </w:r>
      <w:r w:rsidR="00CA6CE4">
        <w:t>)</w:t>
      </w:r>
      <w:r w:rsidR="00D839A0" w:rsidRPr="002C2FAE">
        <w:t>.</w:t>
      </w:r>
    </w:p>
    <w:p w14:paraId="1AEBCFF4" w14:textId="77777777" w:rsidR="00EF5AA3" w:rsidRPr="002C2FAE" w:rsidRDefault="00EF5AA3" w:rsidP="00E27EBC">
      <w:pPr>
        <w:pStyle w:val="Els-2ndorder-head"/>
      </w:pPr>
      <w:r>
        <w:t>Gas analysis</w:t>
      </w:r>
    </w:p>
    <w:p w14:paraId="6395838D" w14:textId="0B6A0E0F" w:rsidR="00987B4C" w:rsidRPr="002C2FAE" w:rsidRDefault="00EF5AA3" w:rsidP="001A494B">
      <w:pPr>
        <w:pStyle w:val="Els-body-text"/>
      </w:pPr>
      <w:r>
        <w:t>Inlet and outlet gas were analyzed for carbon dioxide (CO</w:t>
      </w:r>
      <w:r w:rsidRPr="00EF5AA3">
        <w:rPr>
          <w:vertAlign w:val="subscript"/>
        </w:rPr>
        <w:t>2</w:t>
      </w:r>
      <w:r>
        <w:t>) and oxygen (O</w:t>
      </w:r>
      <w:r w:rsidRPr="00EF5AA3">
        <w:rPr>
          <w:vertAlign w:val="subscript"/>
        </w:rPr>
        <w:t>2</w:t>
      </w:r>
      <w:r>
        <w:t xml:space="preserve">) </w:t>
      </w:r>
      <w:r w:rsidR="00480333">
        <w:t xml:space="preserve">using </w:t>
      </w:r>
      <w:r>
        <w:t>photoacoustic spectroscopy and magneto-acoustic spectroscopy, respectively.</w:t>
      </w:r>
    </w:p>
    <w:p w14:paraId="79E4B619" w14:textId="7EAA13B6" w:rsidR="008D2649" w:rsidRPr="002C2FAE" w:rsidRDefault="00EF1D80" w:rsidP="00896AA0">
      <w:pPr>
        <w:pStyle w:val="Els-1storder-head"/>
      </w:pPr>
      <w:r w:rsidRPr="002C2FAE">
        <w:t>Model description</w:t>
      </w:r>
    </w:p>
    <w:p w14:paraId="562AE347" w14:textId="099E6CF4" w:rsidR="0007411D" w:rsidRDefault="0007411D" w:rsidP="00896AA0">
      <w:pPr>
        <w:pStyle w:val="Els-body-text"/>
        <w:spacing w:after="80"/>
        <w:rPr>
          <w:lang w:val="en-GB"/>
        </w:rPr>
      </w:pPr>
      <w:r>
        <w:rPr>
          <w:lang w:val="en-GB"/>
        </w:rPr>
        <w:t>The bioreactor is assumed to be a</w:t>
      </w:r>
      <w:r w:rsidR="00480333">
        <w:rPr>
          <w:lang w:val="en-GB"/>
        </w:rPr>
        <w:t>n</w:t>
      </w:r>
      <w:r>
        <w:rPr>
          <w:lang w:val="en-GB"/>
        </w:rPr>
        <w:t xml:space="preserve"> </w:t>
      </w:r>
      <w:r w:rsidR="00480333">
        <w:rPr>
          <w:lang w:val="en-GB"/>
        </w:rPr>
        <w:t>infinitely mixed culture</w:t>
      </w:r>
      <w:r>
        <w:rPr>
          <w:lang w:val="en-GB"/>
        </w:rPr>
        <w:t xml:space="preserve"> without any transfer limitation. The mass balances for biomass, </w:t>
      </w:r>
      <w:r w:rsidR="00B84802">
        <w:rPr>
          <w:lang w:val="en-GB"/>
        </w:rPr>
        <w:t>glucose</w:t>
      </w:r>
      <w:r>
        <w:rPr>
          <w:lang w:val="en-GB"/>
        </w:rPr>
        <w:t>, proteins and volume are given by Eq. (1</w:t>
      </w:r>
      <w:r w:rsidR="0075518F">
        <w:rPr>
          <w:lang w:val="en-GB"/>
        </w:rPr>
        <w:t>) – (</w:t>
      </w:r>
      <w:r>
        <w:rPr>
          <w:lang w:val="en-GB"/>
        </w:rPr>
        <w:t>4).</w:t>
      </w:r>
    </w:p>
    <w:tbl>
      <w:tblPr>
        <w:tblStyle w:val="Grilledutableau"/>
        <w:tblW w:w="70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92"/>
      </w:tblGrid>
      <w:tr w:rsidR="0007411D" w14:paraId="472F1023" w14:textId="77777777" w:rsidTr="00F36F7D">
        <w:tc>
          <w:tcPr>
            <w:tcW w:w="6096" w:type="dxa"/>
            <w:vAlign w:val="center"/>
            <w:hideMark/>
          </w:tcPr>
          <w:p w14:paraId="465E00EC" w14:textId="5BABC70F" w:rsidR="0007411D" w:rsidRPr="0007411D" w:rsidRDefault="00D41651" w:rsidP="00E73558">
            <w:pPr>
              <w:pStyle w:val="CETEquation"/>
              <w:spacing w:before="0" w:after="80"/>
              <w:rPr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-X*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  <w:hideMark/>
          </w:tcPr>
          <w:p w14:paraId="1F562751" w14:textId="77777777" w:rsidR="0007411D" w:rsidRDefault="0007411D" w:rsidP="00F36F7D">
            <w:pPr>
              <w:spacing w:after="120"/>
              <w:jc w:val="right"/>
            </w:pPr>
            <w:r>
              <w:t>(1)</w:t>
            </w:r>
          </w:p>
        </w:tc>
      </w:tr>
      <w:tr w:rsidR="0007411D" w14:paraId="4B9D43B6" w14:textId="77777777" w:rsidTr="00F36F7D">
        <w:tc>
          <w:tcPr>
            <w:tcW w:w="6096" w:type="dxa"/>
            <w:vAlign w:val="center"/>
            <w:hideMark/>
          </w:tcPr>
          <w:p w14:paraId="738AF404" w14:textId="08E4A4C6" w:rsidR="0007411D" w:rsidRPr="0007411D" w:rsidRDefault="00D41651" w:rsidP="00E73558">
            <w:pPr>
              <w:pStyle w:val="CETEquation"/>
              <w:spacing w:before="0" w:after="80"/>
              <w:rPr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-S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-S*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  <w:hideMark/>
          </w:tcPr>
          <w:p w14:paraId="34C02D79" w14:textId="77777777" w:rsidR="0007411D" w:rsidRDefault="0007411D" w:rsidP="00F36F7D">
            <w:pPr>
              <w:spacing w:after="120"/>
              <w:jc w:val="right"/>
            </w:pPr>
            <w:r>
              <w:t>(2)</w:t>
            </w:r>
          </w:p>
        </w:tc>
      </w:tr>
      <w:bookmarkStart w:id="1" w:name="_Hlk148360136"/>
      <w:tr w:rsidR="0007411D" w14:paraId="3EABD56E" w14:textId="77777777" w:rsidTr="00F36F7D">
        <w:tc>
          <w:tcPr>
            <w:tcW w:w="6096" w:type="dxa"/>
            <w:vAlign w:val="center"/>
            <w:hideMark/>
          </w:tcPr>
          <w:p w14:paraId="6B3B8544" w14:textId="4DA63D76" w:rsidR="0007411D" w:rsidRPr="0007411D" w:rsidRDefault="00D41651" w:rsidP="00E73558">
            <w:pPr>
              <w:pStyle w:val="CETEquation"/>
              <w:spacing w:before="0" w:after="80"/>
              <w:rPr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-P*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  <w:hideMark/>
          </w:tcPr>
          <w:p w14:paraId="65746DF9" w14:textId="77777777" w:rsidR="0007411D" w:rsidRDefault="0007411D" w:rsidP="00F36F7D">
            <w:pPr>
              <w:spacing w:after="120"/>
              <w:jc w:val="right"/>
            </w:pPr>
            <w:r>
              <w:t>(3)</w:t>
            </w:r>
          </w:p>
        </w:tc>
      </w:tr>
      <w:tr w:rsidR="0007411D" w14:paraId="65E33D27" w14:textId="77777777" w:rsidTr="00F36F7D">
        <w:tc>
          <w:tcPr>
            <w:tcW w:w="6096" w:type="dxa"/>
            <w:vAlign w:val="center"/>
            <w:hideMark/>
          </w:tcPr>
          <w:p w14:paraId="6127ACFC" w14:textId="692243B8" w:rsidR="0007411D" w:rsidRPr="0007411D" w:rsidRDefault="00D41651" w:rsidP="00E73558">
            <w:pPr>
              <w:pStyle w:val="CETEquation"/>
              <w:spacing w:before="0" w:after="80"/>
              <w:rPr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  <w:hideMark/>
          </w:tcPr>
          <w:p w14:paraId="4A241916" w14:textId="77777777" w:rsidR="0007411D" w:rsidRDefault="0007411D" w:rsidP="00F36F7D">
            <w:pPr>
              <w:spacing w:after="120"/>
              <w:jc w:val="right"/>
            </w:pPr>
            <w:r>
              <w:t>(</w:t>
            </w:r>
            <w:r w:rsidR="00A3581C">
              <w:t>4</w:t>
            </w:r>
            <w:r>
              <w:t>)</w:t>
            </w:r>
          </w:p>
        </w:tc>
      </w:tr>
    </w:tbl>
    <w:bookmarkEnd w:id="1"/>
    <w:p w14:paraId="59ADEB0A" w14:textId="041BC489" w:rsidR="0032114B" w:rsidRPr="00A070B7" w:rsidRDefault="00B15BB2" w:rsidP="00896AA0">
      <w:pPr>
        <w:spacing w:before="80" w:after="80"/>
        <w:rPr>
          <w:sz w:val="16"/>
          <w:szCs w:val="16"/>
        </w:rPr>
      </w:pPr>
      <w:r w:rsidRPr="00D5384A">
        <w:rPr>
          <w:i/>
          <w:iCs/>
        </w:rPr>
        <w:t>X</w:t>
      </w:r>
      <w:r>
        <w:t xml:space="preserve"> and </w:t>
      </w:r>
      <w:r w:rsidRPr="00D5384A">
        <w:rPr>
          <w:i/>
          <w:iCs/>
        </w:rPr>
        <w:t>S</w:t>
      </w:r>
      <w:r>
        <w:t xml:space="preserve"> are the concentrations of biomass and glucose</w:t>
      </w:r>
      <w:r w:rsidR="004E50F5">
        <w:t>,</w:t>
      </w:r>
      <w:r w:rsidRPr="00972DBB">
        <w:t xml:space="preserve"> </w:t>
      </w:r>
      <w:r>
        <w:t xml:space="preserve">in g/L, and </w:t>
      </w:r>
      <w:r w:rsidRPr="00D5384A">
        <w:rPr>
          <w:i/>
          <w:iCs/>
        </w:rPr>
        <w:t>P</w:t>
      </w:r>
      <w:r>
        <w:t xml:space="preserve"> is the concentration of nanobody proteins</w:t>
      </w:r>
      <w:r w:rsidR="004E50F5">
        <w:t>,</w:t>
      </w:r>
      <w:r>
        <w:t xml:space="preserve"> in mg/L. </w:t>
      </w:r>
      <w:r w:rsidR="006E196A">
        <w:rPr>
          <w:i/>
          <w:iCs/>
        </w:rPr>
        <w:t>F</w:t>
      </w:r>
      <w:r w:rsidR="00D5384A" w:rsidRPr="00D5384A">
        <w:rPr>
          <w:i/>
          <w:iCs/>
          <w:vertAlign w:val="subscript"/>
        </w:rPr>
        <w:t>in</w:t>
      </w:r>
      <w:r w:rsidR="00D5384A">
        <w:t xml:space="preserve"> is the </w:t>
      </w:r>
      <w:r w:rsidR="006E196A">
        <w:t>glucose</w:t>
      </w:r>
      <w:r w:rsidR="00D5384A">
        <w:t xml:space="preserve"> flowrate</w:t>
      </w:r>
      <w:r w:rsidR="004E50F5">
        <w:t>,</w:t>
      </w:r>
      <w:r w:rsidR="00D5384A">
        <w:t xml:space="preserve"> in L/h, </w:t>
      </w:r>
      <w:r w:rsidR="00D5384A" w:rsidRPr="00D5384A">
        <w:rPr>
          <w:i/>
          <w:iCs/>
        </w:rPr>
        <w:t>V</w:t>
      </w:r>
      <w:r w:rsidR="00D5384A">
        <w:t xml:space="preserve"> is the volume of the liquid phase in the bioreactor</w:t>
      </w:r>
      <w:r w:rsidR="004E50F5">
        <w:t>,</w:t>
      </w:r>
      <w:r w:rsidR="00D5384A">
        <w:t xml:space="preserve"> in L, </w:t>
      </w:r>
      <w:r w:rsidR="00D5384A" w:rsidRPr="00D5384A">
        <w:rPr>
          <w:i/>
          <w:iCs/>
        </w:rPr>
        <w:t>S</w:t>
      </w:r>
      <w:r w:rsidR="00D5384A" w:rsidRPr="00D5384A">
        <w:rPr>
          <w:i/>
          <w:iCs/>
          <w:vertAlign w:val="subscript"/>
        </w:rPr>
        <w:t>in</w:t>
      </w:r>
      <w:r w:rsidR="00D5384A">
        <w:t xml:space="preserve"> is the concentration of glucose in the feed</w:t>
      </w:r>
      <w:r w:rsidR="004E50F5">
        <w:t>,</w:t>
      </w:r>
      <w:r w:rsidR="00D5384A">
        <w:t xml:space="preserve"> in g/L, and </w:t>
      </w:r>
      <w:r w:rsidR="0032114B" w:rsidRPr="00D5384A">
        <w:rPr>
          <w:i/>
          <w:iCs/>
        </w:rPr>
        <w:t>r</w:t>
      </w:r>
      <w:r w:rsidR="0032114B" w:rsidRPr="00D5384A">
        <w:rPr>
          <w:i/>
          <w:iCs/>
          <w:vertAlign w:val="subscript"/>
        </w:rPr>
        <w:t>X</w:t>
      </w:r>
      <w:r w:rsidR="0007411D">
        <w:t xml:space="preserve"> </w:t>
      </w:r>
      <w:r>
        <w:t>is</w:t>
      </w:r>
      <w:r w:rsidR="0032114B">
        <w:t xml:space="preserve"> the production rate of biomass</w:t>
      </w:r>
      <w:r w:rsidR="004E50F5">
        <w:t>,</w:t>
      </w:r>
      <w:r w:rsidR="0032114B">
        <w:t xml:space="preserve"> </w:t>
      </w:r>
      <w:r w:rsidR="00A64826">
        <w:t>in g/</w:t>
      </w:r>
      <w:r w:rsidR="00972DBB">
        <w:t>h</w:t>
      </w:r>
      <w:r w:rsidR="00B84802">
        <w:t xml:space="preserve">, </w:t>
      </w:r>
      <w:r w:rsidR="004E50F5">
        <w:t>and</w:t>
      </w:r>
      <w:r w:rsidR="003534DB">
        <w:t xml:space="preserve"> defined by Eq.</w:t>
      </w:r>
      <w:r w:rsidR="005A65C3">
        <w:t> </w:t>
      </w:r>
      <w:r w:rsidR="003534DB">
        <w:t>(</w:t>
      </w:r>
      <w:r w:rsidR="00CA6CE4">
        <w:t>5</w:t>
      </w:r>
      <w:r w:rsidR="003534DB">
        <w:t>)</w:t>
      </w:r>
      <w:r>
        <w:t>.</w:t>
      </w:r>
      <w:r w:rsidR="004E40A8">
        <w:t xml:space="preserve"> </w:t>
      </w:r>
      <w:r w:rsidR="00D5384A" w:rsidRPr="00D5384A">
        <w:rPr>
          <w:i/>
          <w:iCs/>
        </w:rPr>
        <w:t>r</w:t>
      </w:r>
      <w:r w:rsidR="00D5384A" w:rsidRPr="00D5384A">
        <w:rPr>
          <w:i/>
          <w:iCs/>
          <w:vertAlign w:val="subscript"/>
        </w:rPr>
        <w:t>S</w:t>
      </w:r>
      <w:r w:rsidR="00D5384A">
        <w:t xml:space="preserve"> is the consumption rate of glucose, in g/h, as defined by Eq.</w:t>
      </w:r>
      <w:r w:rsidR="005A65C3">
        <w:t> </w:t>
      </w:r>
      <w:r w:rsidR="00D5384A">
        <w:t>(</w:t>
      </w:r>
      <w:r w:rsidR="00CA6CE4">
        <w:t>6</w:t>
      </w:r>
      <w:r w:rsidR="00D5384A">
        <w:t xml:space="preserve">). </w:t>
      </w:r>
    </w:p>
    <w:tbl>
      <w:tblPr>
        <w:tblStyle w:val="Grilledutableau"/>
        <w:tblpPr w:leftFromText="141" w:rightFromText="141" w:vertAnchor="text" w:horzAnchor="margin" w:tblpY="52"/>
        <w:tblOverlap w:val="never"/>
        <w:tblW w:w="70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92"/>
      </w:tblGrid>
      <w:tr w:rsidR="00F34842" w14:paraId="461D1E08" w14:textId="77777777" w:rsidTr="00214FE1">
        <w:tc>
          <w:tcPr>
            <w:tcW w:w="6096" w:type="dxa"/>
            <w:hideMark/>
          </w:tcPr>
          <w:p w14:paraId="001ED1BA" w14:textId="77777777" w:rsidR="00F34842" w:rsidRPr="0007411D" w:rsidRDefault="00D41651" w:rsidP="00E73558">
            <w:pPr>
              <w:pStyle w:val="CETEquation"/>
              <w:spacing w:before="0" w:after="80" w:line="240" w:lineRule="auto"/>
              <w:jc w:val="both"/>
              <w:rPr>
                <w:rFonts w:ascii="Cambria Math" w:hAnsi="Cambria Math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=µ*X</m:t>
                </m:r>
              </m:oMath>
            </m:oMathPara>
          </w:p>
        </w:tc>
        <w:tc>
          <w:tcPr>
            <w:tcW w:w="992" w:type="dxa"/>
            <w:vAlign w:val="center"/>
            <w:hideMark/>
          </w:tcPr>
          <w:p w14:paraId="3960800C" w14:textId="77777777" w:rsidR="00F34842" w:rsidRDefault="00F34842" w:rsidP="008340D8">
            <w:pPr>
              <w:jc w:val="right"/>
            </w:pPr>
            <w:r>
              <w:t>(</w:t>
            </w:r>
            <w:r w:rsidR="00B15BB2">
              <w:t>5</w:t>
            </w:r>
            <w:r>
              <w:t>)</w:t>
            </w:r>
          </w:p>
        </w:tc>
      </w:tr>
      <w:tr w:rsidR="00F34842" w14:paraId="27F11781" w14:textId="77777777" w:rsidTr="00214FE1">
        <w:tc>
          <w:tcPr>
            <w:tcW w:w="6096" w:type="dxa"/>
          </w:tcPr>
          <w:p w14:paraId="661600AE" w14:textId="77777777" w:rsidR="00F34842" w:rsidRPr="0007411D" w:rsidRDefault="00D41651" w:rsidP="00E73558">
            <w:pPr>
              <w:pStyle w:val="CETEquation"/>
              <w:spacing w:before="0" w:after="80" w:line="240" w:lineRule="auto"/>
              <w:jc w:val="both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SX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*µ*X</m:t>
                </m:r>
              </m:oMath>
            </m:oMathPara>
          </w:p>
        </w:tc>
        <w:tc>
          <w:tcPr>
            <w:tcW w:w="992" w:type="dxa"/>
            <w:vAlign w:val="center"/>
            <w:hideMark/>
          </w:tcPr>
          <w:p w14:paraId="75250300" w14:textId="77777777" w:rsidR="00F34842" w:rsidRDefault="00F34842" w:rsidP="008340D8">
            <w:pPr>
              <w:jc w:val="right"/>
            </w:pPr>
            <w:r>
              <w:t>(</w:t>
            </w:r>
            <w:r w:rsidR="00B15BB2">
              <w:t>6</w:t>
            </w:r>
            <w:r>
              <w:t>)</w:t>
            </w:r>
          </w:p>
        </w:tc>
      </w:tr>
    </w:tbl>
    <w:p w14:paraId="671F771E" w14:textId="09035575" w:rsidR="0032114B" w:rsidRDefault="0032114B" w:rsidP="00896AA0">
      <w:pPr>
        <w:spacing w:before="80" w:after="80"/>
      </w:pPr>
      <w:r>
        <w:t>With</w:t>
      </w:r>
      <w:r w:rsidR="003534DB">
        <w:t xml:space="preserve"> µ as the specific growth rate</w:t>
      </w:r>
      <w:r w:rsidR="00972DBB">
        <w:t>, in h</w:t>
      </w:r>
      <w:r w:rsidR="00972DBB" w:rsidRPr="00972DBB">
        <w:rPr>
          <w:vertAlign w:val="superscript"/>
        </w:rPr>
        <w:t>-1</w:t>
      </w:r>
      <w:r w:rsidR="00972DBB">
        <w:t>,</w:t>
      </w:r>
      <w:r w:rsidR="003534DB">
        <w:t xml:space="preserve"> as defined by a Monod kinetics in Eq.</w:t>
      </w:r>
      <w:r w:rsidR="005A65C3">
        <w:t> </w:t>
      </w:r>
      <w:r w:rsidR="003534DB">
        <w:t>(</w:t>
      </w:r>
      <w:r w:rsidR="008301FD">
        <w:t>7</w:t>
      </w:r>
      <w:r w:rsidR="003534DB">
        <w:t>)</w:t>
      </w:r>
      <w:r w:rsidR="00D54081">
        <w:t xml:space="preserve">, and </w:t>
      </w:r>
      <w:r w:rsidR="005A65C3">
        <w:t>Y</w:t>
      </w:r>
      <w:r w:rsidR="005A65C3" w:rsidRPr="004E40A8">
        <w:rPr>
          <w:vertAlign w:val="subscript"/>
        </w:rPr>
        <w:t>SX</w:t>
      </w:r>
      <w:r w:rsidR="005A65C3">
        <w:t xml:space="preserve"> as </w:t>
      </w:r>
      <w:r w:rsidR="00D54081">
        <w:t>t</w:t>
      </w:r>
      <w:r w:rsidR="00972DBB">
        <w:t xml:space="preserve">he yield coefficient </w:t>
      </w:r>
      <w:r w:rsidR="004E40A8">
        <w:t>of substrate</w:t>
      </w:r>
      <w:r w:rsidR="003534DB">
        <w:t>,</w:t>
      </w:r>
      <w:r w:rsidR="004E40A8" w:rsidRPr="004E40A8">
        <w:t xml:space="preserve"> </w:t>
      </w:r>
      <w:r w:rsidR="00A209E0">
        <w:t>in g cdw/g S</w:t>
      </w:r>
      <w:r w:rsidR="004E40A8">
        <w:t>.</w:t>
      </w:r>
    </w:p>
    <w:tbl>
      <w:tblPr>
        <w:tblStyle w:val="Grilledutableau"/>
        <w:tblpPr w:leftFromText="141" w:rightFromText="141" w:vertAnchor="text" w:horzAnchor="margin" w:tblpY="52"/>
        <w:tblOverlap w:val="never"/>
        <w:tblW w:w="70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92"/>
      </w:tblGrid>
      <w:tr w:rsidR="005A2A75" w14:paraId="396E5554" w14:textId="77777777" w:rsidTr="00E73558">
        <w:tc>
          <w:tcPr>
            <w:tcW w:w="6096" w:type="dxa"/>
          </w:tcPr>
          <w:p w14:paraId="1034C442" w14:textId="77777777" w:rsidR="005A2A75" w:rsidRPr="00F34842" w:rsidRDefault="005A2A75" w:rsidP="00E73558">
            <w:pPr>
              <w:pStyle w:val="CETEquation"/>
              <w:spacing w:before="0" w:after="80"/>
              <w:jc w:val="both"/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µ=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*S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+S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  <w:hideMark/>
          </w:tcPr>
          <w:p w14:paraId="5359DC89" w14:textId="77777777" w:rsidR="005A2A75" w:rsidRDefault="005A2A75" w:rsidP="005A2A75">
            <w:pPr>
              <w:jc w:val="right"/>
            </w:pPr>
            <w:r>
              <w:t>(7)</w:t>
            </w:r>
          </w:p>
        </w:tc>
      </w:tr>
      <w:tr w:rsidR="005A2A75" w14:paraId="3D3EE488" w14:textId="77777777" w:rsidTr="00E73558">
        <w:tc>
          <w:tcPr>
            <w:tcW w:w="6096" w:type="dxa"/>
          </w:tcPr>
          <w:p w14:paraId="58CC3E06" w14:textId="77777777" w:rsidR="005A2A75" w:rsidRPr="00D54081" w:rsidRDefault="00D41651" w:rsidP="00E73558">
            <w:pPr>
              <w:pStyle w:val="CETEquation"/>
              <w:spacing w:before="0" w:after="80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*T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992" w:type="dxa"/>
            <w:vAlign w:val="center"/>
          </w:tcPr>
          <w:p w14:paraId="2E744319" w14:textId="77777777" w:rsidR="005A2A75" w:rsidRDefault="005A2A75" w:rsidP="005A2A75">
            <w:pPr>
              <w:jc w:val="right"/>
            </w:pPr>
            <w:r>
              <w:t>(8)</w:t>
            </w:r>
          </w:p>
        </w:tc>
      </w:tr>
    </w:tbl>
    <w:p w14:paraId="76A5A0C3" w14:textId="3C61BEA8" w:rsidR="00D5384A" w:rsidRDefault="00D54081" w:rsidP="00896AA0">
      <w:pPr>
        <w:spacing w:before="80" w:after="80"/>
      </w:pPr>
      <w:r>
        <w:t>µ</w:t>
      </w:r>
      <w:r w:rsidRPr="00F63E6E">
        <w:rPr>
          <w:vertAlign w:val="subscript"/>
        </w:rPr>
        <w:t>max</w:t>
      </w:r>
      <w:r>
        <w:t xml:space="preserve"> is the maximum specific growth rate in h</w:t>
      </w:r>
      <w:r w:rsidRPr="00271673">
        <w:rPr>
          <w:vertAlign w:val="superscript"/>
        </w:rPr>
        <w:t>-1</w:t>
      </w:r>
      <w:r>
        <w:t xml:space="preserve"> and K</w:t>
      </w:r>
      <w:r w:rsidRPr="00271673">
        <w:rPr>
          <w:vertAlign w:val="subscript"/>
        </w:rPr>
        <w:t>S</w:t>
      </w:r>
      <w:r>
        <w:t xml:space="preserve"> is the substrate saturation coefficient, in g/L. </w:t>
      </w:r>
      <w:r w:rsidR="00F63E6E">
        <w:t>µ’</w:t>
      </w:r>
      <w:r w:rsidR="00F63E6E" w:rsidRPr="00F63E6E">
        <w:rPr>
          <w:vertAlign w:val="subscript"/>
        </w:rPr>
        <w:t>max</w:t>
      </w:r>
      <w:r w:rsidR="00F63E6E">
        <w:t xml:space="preserve"> is a temperature-dependent factor</w:t>
      </w:r>
      <w:r w:rsidR="000342B2">
        <w:t xml:space="preserve"> in h</w:t>
      </w:r>
      <w:r w:rsidR="000342B2" w:rsidRPr="000342B2">
        <w:rPr>
          <w:vertAlign w:val="superscript"/>
        </w:rPr>
        <w:t>-1</w:t>
      </w:r>
      <w:r w:rsidR="00F63E6E">
        <w:t>, T is the temperature of the bioreactor</w:t>
      </w:r>
      <w:r w:rsidR="008301FD">
        <w:t>,</w:t>
      </w:r>
      <w:r w:rsidR="00F63E6E">
        <w:t xml:space="preserve"> </w:t>
      </w:r>
      <w:r w:rsidR="000342B2">
        <w:t>in °C</w:t>
      </w:r>
      <w:r w:rsidR="008301FD">
        <w:t>,</w:t>
      </w:r>
      <w:r w:rsidR="000342B2">
        <w:t xml:space="preserve"> </w:t>
      </w:r>
      <w:r w:rsidR="00F63E6E">
        <w:t>and b is a temperature-independent factor</w:t>
      </w:r>
      <w:r w:rsidR="008301FD">
        <w:t>,</w:t>
      </w:r>
      <w:r w:rsidR="000342B2">
        <w:t xml:space="preserve"> in </w:t>
      </w:r>
      <w:r w:rsidR="004E40A8">
        <w:t>h</w:t>
      </w:r>
      <w:r w:rsidR="004E40A8" w:rsidRPr="004E40A8">
        <w:rPr>
          <w:vertAlign w:val="superscript"/>
        </w:rPr>
        <w:t>-1</w:t>
      </w:r>
      <w:r w:rsidR="00F63E6E">
        <w:t>.</w:t>
      </w:r>
      <w:r w:rsidR="00A070B7">
        <w:t xml:space="preserve"> </w:t>
      </w:r>
      <w:r>
        <w:t>The production rate of nanobody proteins,</w:t>
      </w:r>
      <w:r w:rsidRPr="00D5384A">
        <w:rPr>
          <w:i/>
          <w:iCs/>
        </w:rPr>
        <w:t xml:space="preserve"> </w:t>
      </w:r>
      <w:r w:rsidR="00D5384A" w:rsidRPr="00D5384A">
        <w:rPr>
          <w:i/>
          <w:iCs/>
        </w:rPr>
        <w:t>r</w:t>
      </w:r>
      <w:r w:rsidR="00D5384A" w:rsidRPr="00D5384A">
        <w:rPr>
          <w:i/>
          <w:iCs/>
          <w:vertAlign w:val="subscript"/>
        </w:rPr>
        <w:t>P</w:t>
      </w:r>
      <w:r w:rsidR="00CA6CE4">
        <w:t>,</w:t>
      </w:r>
      <w:r w:rsidR="00D5384A">
        <w:t xml:space="preserve"> </w:t>
      </w:r>
      <w:r>
        <w:t xml:space="preserve">is </w:t>
      </w:r>
      <w:r w:rsidR="00D5384A">
        <w:t>in mg/h</w:t>
      </w:r>
      <w:r w:rsidR="00CA6CE4">
        <w:t>,</w:t>
      </w:r>
      <w:r w:rsidR="00D5384A">
        <w:t xml:space="preserve"> </w:t>
      </w:r>
      <w:r>
        <w:t xml:space="preserve">and </w:t>
      </w:r>
      <w:r w:rsidR="00D5384A">
        <w:t>defined as follows:</w:t>
      </w:r>
    </w:p>
    <w:tbl>
      <w:tblPr>
        <w:tblStyle w:val="Grilledutableau"/>
        <w:tblpPr w:leftFromText="141" w:rightFromText="141" w:vertAnchor="text" w:horzAnchor="margin" w:tblpY="52"/>
        <w:tblOverlap w:val="never"/>
        <w:tblW w:w="70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92"/>
      </w:tblGrid>
      <w:tr w:rsidR="00D5384A" w14:paraId="499F67DA" w14:textId="77777777" w:rsidTr="00875B55">
        <w:tc>
          <w:tcPr>
            <w:tcW w:w="6096" w:type="dxa"/>
          </w:tcPr>
          <w:p w14:paraId="4B155BAB" w14:textId="77777777" w:rsidR="00D5384A" w:rsidRPr="00F34842" w:rsidRDefault="00D41651" w:rsidP="00F36F7D">
            <w:pPr>
              <w:pStyle w:val="CETEquation"/>
              <w:spacing w:before="0" w:after="0"/>
              <w:jc w:val="both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*X 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if there is not induction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if there is an induction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2" w:type="dxa"/>
            <w:vAlign w:val="center"/>
            <w:hideMark/>
          </w:tcPr>
          <w:p w14:paraId="0D6A7F39" w14:textId="77777777" w:rsidR="00D5384A" w:rsidRDefault="00D5384A" w:rsidP="00875B55">
            <w:pPr>
              <w:jc w:val="right"/>
            </w:pPr>
            <w:r>
              <w:t>(9)</w:t>
            </w:r>
          </w:p>
        </w:tc>
      </w:tr>
    </w:tbl>
    <w:p w14:paraId="035FEE3D" w14:textId="7A392E5F" w:rsidR="00651D81" w:rsidRPr="00F63E6E" w:rsidRDefault="00D5384A" w:rsidP="00896AA0">
      <w:pPr>
        <w:pStyle w:val="Els-body-text"/>
        <w:spacing w:before="80"/>
        <w:rPr>
          <w:lang w:val="en-GB"/>
        </w:rPr>
      </w:pPr>
      <w:r>
        <w:rPr>
          <w:lang w:val="en-GB"/>
        </w:rPr>
        <w:t xml:space="preserve">Where </w:t>
      </w:r>
      <w:r w:rsidRPr="00D5384A">
        <w:rPr>
          <w:i/>
          <w:iCs/>
          <w:lang w:val="en-GB"/>
        </w:rPr>
        <w:t>q</w:t>
      </w:r>
      <w:r w:rsidRPr="00D5384A">
        <w:rPr>
          <w:i/>
          <w:iCs/>
          <w:vertAlign w:val="subscript"/>
          <w:lang w:val="en-GB"/>
        </w:rPr>
        <w:t>p</w:t>
      </w:r>
      <w:r>
        <w:rPr>
          <w:lang w:val="en-GB"/>
        </w:rPr>
        <w:t xml:space="preserve"> is the specific </w:t>
      </w:r>
      <w:r w:rsidRPr="00D5384A">
        <w:rPr>
          <w:lang w:val="en-GB"/>
        </w:rPr>
        <w:t>productivity of the nanobody</w:t>
      </w:r>
      <w:r>
        <w:rPr>
          <w:lang w:val="en-GB"/>
        </w:rPr>
        <w:t xml:space="preserve"> p</w:t>
      </w:r>
      <w:r w:rsidRPr="00D5384A">
        <w:rPr>
          <w:lang w:val="en-GB"/>
        </w:rPr>
        <w:t>roduction</w:t>
      </w:r>
      <w:r>
        <w:rPr>
          <w:lang w:val="en-GB"/>
        </w:rPr>
        <w:t xml:space="preserve"> (mg</w:t>
      </w:r>
      <w:r w:rsidRPr="00D5384A">
        <w:rPr>
          <w:vertAlign w:val="subscript"/>
          <w:lang w:val="en-GB"/>
        </w:rPr>
        <w:t>protein</w:t>
      </w:r>
      <w:r w:rsidR="00CA6CE4">
        <w:rPr>
          <w:lang w:val="en-GB"/>
        </w:rPr>
        <w:t>/g cdw/</w:t>
      </w:r>
      <w:r>
        <w:rPr>
          <w:lang w:val="en-GB"/>
        </w:rPr>
        <w:t xml:space="preserve">h). </w:t>
      </w:r>
      <w:r w:rsidR="00651D81">
        <w:rPr>
          <w:lang w:val="en-GB"/>
        </w:rPr>
        <w:t xml:space="preserve">Two models were proposed to predict </w:t>
      </w:r>
      <w:r w:rsidR="00EB6B5D">
        <w:rPr>
          <w:lang w:val="en-GB"/>
        </w:rPr>
        <w:t xml:space="preserve">the specific </w:t>
      </w:r>
      <w:r w:rsidR="00EB6B5D" w:rsidRPr="00D5384A">
        <w:rPr>
          <w:lang w:val="en-GB"/>
        </w:rPr>
        <w:t>productivity of the nanobody</w:t>
      </w:r>
      <w:r w:rsidR="00EB6B5D">
        <w:rPr>
          <w:lang w:val="en-GB"/>
        </w:rPr>
        <w:t xml:space="preserve"> p</w:t>
      </w:r>
      <w:r w:rsidR="00EB6B5D" w:rsidRPr="00D5384A">
        <w:rPr>
          <w:lang w:val="en-GB"/>
        </w:rPr>
        <w:t>roduction</w:t>
      </w:r>
      <w:r w:rsidR="00651D81">
        <w:rPr>
          <w:lang w:val="en-GB"/>
        </w:rPr>
        <w:t xml:space="preserve">. In the first one, </w:t>
      </w:r>
      <w:r w:rsidR="00EB6B5D">
        <w:rPr>
          <w:i/>
          <w:iCs/>
          <w:lang w:val="en-GB"/>
        </w:rPr>
        <w:t>q</w:t>
      </w:r>
      <w:r w:rsidR="00651D81" w:rsidRPr="00D5384A">
        <w:rPr>
          <w:i/>
          <w:iCs/>
          <w:vertAlign w:val="subscript"/>
          <w:lang w:val="en-GB"/>
        </w:rPr>
        <w:t>P</w:t>
      </w:r>
      <w:r w:rsidR="00651D81">
        <w:rPr>
          <w:lang w:val="en-GB"/>
        </w:rPr>
        <w:t xml:space="preserve"> is modelled using a temperature-dependent equation, and is described in section </w:t>
      </w:r>
      <w:r w:rsidR="00651D81" w:rsidRPr="00651D81">
        <w:rPr>
          <w:i/>
          <w:lang w:val="en-GB"/>
        </w:rPr>
        <w:t>3.1.</w:t>
      </w:r>
      <w:r w:rsidR="006502EF">
        <w:rPr>
          <w:i/>
          <w:lang w:val="en-GB"/>
        </w:rPr>
        <w:t> Dynamic k</w:t>
      </w:r>
      <w:r w:rsidR="00B15BB2">
        <w:rPr>
          <w:i/>
          <w:lang w:val="en-GB"/>
        </w:rPr>
        <w:t>inetic</w:t>
      </w:r>
      <w:r w:rsidR="00651D81" w:rsidRPr="00651D81">
        <w:rPr>
          <w:i/>
          <w:lang w:val="en-GB"/>
        </w:rPr>
        <w:t xml:space="preserve"> </w:t>
      </w:r>
      <w:r w:rsidR="00651D81">
        <w:rPr>
          <w:i/>
          <w:lang w:val="en-GB"/>
        </w:rPr>
        <w:t>M</w:t>
      </w:r>
      <w:r w:rsidR="00651D81" w:rsidRPr="00651D81">
        <w:rPr>
          <w:i/>
          <w:lang w:val="en-GB"/>
        </w:rPr>
        <w:t>odel</w:t>
      </w:r>
      <w:r w:rsidR="00651D81">
        <w:rPr>
          <w:lang w:val="en-GB"/>
        </w:rPr>
        <w:t xml:space="preserve">. In the second one, </w:t>
      </w:r>
      <w:r w:rsidR="00EB6B5D">
        <w:rPr>
          <w:i/>
          <w:iCs/>
          <w:lang w:val="en-GB"/>
        </w:rPr>
        <w:t>q</w:t>
      </w:r>
      <w:r w:rsidR="00651D81" w:rsidRPr="00D5384A">
        <w:rPr>
          <w:i/>
          <w:iCs/>
          <w:vertAlign w:val="subscript"/>
          <w:lang w:val="en-GB"/>
        </w:rPr>
        <w:t>P</w:t>
      </w:r>
      <w:r w:rsidR="00651D81">
        <w:rPr>
          <w:lang w:val="en-GB"/>
        </w:rPr>
        <w:t xml:space="preserve"> is modelled with a hybrid model using a Support Vector Machine (SVM), described in section </w:t>
      </w:r>
      <w:r w:rsidR="00651D81" w:rsidRPr="00651D81">
        <w:rPr>
          <w:i/>
          <w:lang w:val="en-GB"/>
        </w:rPr>
        <w:t>3.2.</w:t>
      </w:r>
      <w:r w:rsidR="006502EF">
        <w:rPr>
          <w:i/>
          <w:lang w:val="en-GB"/>
        </w:rPr>
        <w:t> </w:t>
      </w:r>
      <w:r w:rsidR="00651D81" w:rsidRPr="00651D81">
        <w:rPr>
          <w:i/>
          <w:lang w:val="en-GB"/>
        </w:rPr>
        <w:t>Hybrid Model</w:t>
      </w:r>
      <w:r w:rsidR="006502EF">
        <w:rPr>
          <w:i/>
          <w:lang w:val="en-GB"/>
        </w:rPr>
        <w:t xml:space="preserve"> approach</w:t>
      </w:r>
      <w:r w:rsidR="00651D81">
        <w:rPr>
          <w:lang w:val="en-GB"/>
        </w:rPr>
        <w:t>.</w:t>
      </w:r>
    </w:p>
    <w:p w14:paraId="12435E0C" w14:textId="55E2EC1A" w:rsidR="00EB6B5D" w:rsidRPr="00896AA0" w:rsidRDefault="001D0FCF" w:rsidP="00896AA0">
      <w:pPr>
        <w:pStyle w:val="Els-2ndorder-head"/>
      </w:pPr>
      <w:r w:rsidRPr="00896AA0">
        <w:t>Dynamic k</w:t>
      </w:r>
      <w:r w:rsidR="00EB6B5D" w:rsidRPr="00896AA0">
        <w:t xml:space="preserve">inetic </w:t>
      </w:r>
      <w:r w:rsidRPr="00896AA0">
        <w:t>m</w:t>
      </w:r>
      <w:r w:rsidR="00EB6B5D" w:rsidRPr="00896AA0">
        <w:t>odel</w:t>
      </w:r>
    </w:p>
    <w:p w14:paraId="3D7BBB91" w14:textId="7EB4EBD1" w:rsidR="00EB6B5D" w:rsidRDefault="00EB6B5D" w:rsidP="00896AA0">
      <w:pPr>
        <w:pStyle w:val="Els-body-text"/>
        <w:spacing w:after="80"/>
        <w:rPr>
          <w:lang w:val="en-GB"/>
        </w:rPr>
      </w:pPr>
      <w:r w:rsidRPr="00C919F8">
        <w:rPr>
          <w:lang w:val="en-GB"/>
        </w:rPr>
        <w:t xml:space="preserve">The </w:t>
      </w:r>
      <w:r>
        <w:rPr>
          <w:lang w:val="en-GB"/>
        </w:rPr>
        <w:t xml:space="preserve">dynamic </w:t>
      </w:r>
      <w:r w:rsidRPr="00C919F8">
        <w:rPr>
          <w:lang w:val="en-GB"/>
        </w:rPr>
        <w:t>kinetic model uses a kinetic</w:t>
      </w:r>
      <w:r>
        <w:rPr>
          <w:lang w:val="en-GB"/>
        </w:rPr>
        <w:t xml:space="preserve"> for </w:t>
      </w:r>
      <w:r>
        <w:rPr>
          <w:i/>
          <w:iCs/>
          <w:lang w:val="en-GB"/>
        </w:rPr>
        <w:t>q</w:t>
      </w:r>
      <w:r w:rsidRPr="00D5384A">
        <w:rPr>
          <w:i/>
          <w:iCs/>
          <w:vertAlign w:val="subscript"/>
          <w:lang w:val="en-GB"/>
        </w:rPr>
        <w:t>P</w:t>
      </w:r>
      <w:r w:rsidRPr="00C919F8">
        <w:rPr>
          <w:lang w:val="en-GB"/>
        </w:rPr>
        <w:t xml:space="preserve"> that is function of temperature as </w:t>
      </w:r>
      <w:r>
        <w:rPr>
          <w:lang w:val="en-GB"/>
        </w:rPr>
        <w:t>presented in Eq.</w:t>
      </w:r>
      <w:r w:rsidR="006502EF">
        <w:rPr>
          <w:lang w:val="en-GB"/>
        </w:rPr>
        <w:t> </w:t>
      </w:r>
      <w:r>
        <w:rPr>
          <w:lang w:val="en-GB"/>
        </w:rPr>
        <w:t>(</w:t>
      </w:r>
      <w:r w:rsidR="008301FD">
        <w:rPr>
          <w:lang w:val="en-GB"/>
        </w:rPr>
        <w:t>11</w:t>
      </w:r>
      <w:r>
        <w:rPr>
          <w:lang w:val="en-GB"/>
        </w:rPr>
        <w:t xml:space="preserve">) and </w:t>
      </w:r>
      <w:r w:rsidRPr="00C919F8">
        <w:rPr>
          <w:lang w:val="en-GB"/>
        </w:rPr>
        <w:t xml:space="preserve">established </w:t>
      </w:r>
      <w:r>
        <w:rPr>
          <w:lang w:val="en-GB"/>
        </w:rPr>
        <w:t xml:space="preserve">by </w:t>
      </w:r>
      <w:r w:rsidR="00253B8F">
        <w:rPr>
          <w:lang w:val="en-GB"/>
        </w:rPr>
        <w:t>(</w:t>
      </w:r>
      <w:r w:rsidRPr="00C919F8">
        <w:rPr>
          <w:lang w:val="en-GB"/>
        </w:rPr>
        <w:t xml:space="preserve">Alonso Villela </w:t>
      </w:r>
      <w:r w:rsidRPr="00896AA0">
        <w:rPr>
          <w:i/>
          <w:lang w:val="en-GB"/>
        </w:rPr>
        <w:t>et al.</w:t>
      </w:r>
      <w:r w:rsidR="00621AE2" w:rsidRPr="00621AE2">
        <w:rPr>
          <w:lang w:val="en-GB"/>
        </w:rPr>
        <w:t>,</w:t>
      </w:r>
      <w:r w:rsidRPr="00C919F8">
        <w:rPr>
          <w:lang w:val="en-GB"/>
        </w:rPr>
        <w:t xml:space="preserve"> 2021). </w:t>
      </w:r>
    </w:p>
    <w:tbl>
      <w:tblPr>
        <w:tblStyle w:val="Grilledutableau"/>
        <w:tblpPr w:leftFromText="141" w:rightFromText="141" w:vertAnchor="text" w:horzAnchor="margin" w:tblpY="52"/>
        <w:tblOverlap w:val="never"/>
        <w:tblW w:w="70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92"/>
      </w:tblGrid>
      <w:tr w:rsidR="00EB6B5D" w14:paraId="16FB8396" w14:textId="77777777" w:rsidTr="00875B55">
        <w:tc>
          <w:tcPr>
            <w:tcW w:w="6096" w:type="dxa"/>
          </w:tcPr>
          <w:p w14:paraId="4ED76EE9" w14:textId="77777777" w:rsidR="00EB6B5D" w:rsidRPr="00F34842" w:rsidRDefault="00D41651" w:rsidP="00F36F7D">
            <w:pPr>
              <w:pStyle w:val="CETEquation"/>
              <w:spacing w:before="0" w:after="0"/>
              <w:jc w:val="both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=-α*µ+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exp</m:t>
                </m:r>
                <m:r>
                  <w:rPr>
                    <w:rFonts w:ascii="Cambria Math" w:hAnsi="Cambria Math"/>
                  </w:rPr>
                  <m:t>(-A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/T)-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exp</m:t>
                </m:r>
                <m:r>
                  <w:rPr>
                    <w:rFonts w:ascii="Cambria Math" w:hAnsi="Cambria Math"/>
                  </w:rPr>
                  <m:t>(-A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/T)+β</m:t>
                </m:r>
              </m:oMath>
            </m:oMathPara>
          </w:p>
        </w:tc>
        <w:tc>
          <w:tcPr>
            <w:tcW w:w="992" w:type="dxa"/>
            <w:vAlign w:val="center"/>
            <w:hideMark/>
          </w:tcPr>
          <w:p w14:paraId="39C6B431" w14:textId="77777777" w:rsidR="00EB6B5D" w:rsidRDefault="00EB6B5D" w:rsidP="00875B55">
            <w:pPr>
              <w:jc w:val="right"/>
            </w:pPr>
            <w:r>
              <w:t>(1</w:t>
            </w:r>
            <w:r w:rsidR="00FF6A45">
              <w:t>1</w:t>
            </w:r>
            <w:r>
              <w:t>)</w:t>
            </w:r>
          </w:p>
        </w:tc>
      </w:tr>
    </w:tbl>
    <w:p w14:paraId="49F3C56B" w14:textId="77777777" w:rsidR="00EB6B5D" w:rsidRDefault="00EB6B5D" w:rsidP="00896AA0">
      <w:pPr>
        <w:pStyle w:val="Els-body-text"/>
        <w:spacing w:before="80"/>
        <w:rPr>
          <w:lang w:val="en-GB"/>
        </w:rPr>
      </w:pPr>
      <w:r>
        <w:rPr>
          <w:lang w:val="en-GB"/>
        </w:rPr>
        <w:t xml:space="preserve">With </w:t>
      </w:r>
      <w:r w:rsidRPr="00F36F7D">
        <w:rPr>
          <w:i/>
          <w:lang w:val="en-GB"/>
        </w:rPr>
        <w:t>α</w:t>
      </w:r>
      <w:r>
        <w:rPr>
          <w:lang w:val="en-GB"/>
        </w:rPr>
        <w:t xml:space="preserve"> as the growth-dependent factor,</w:t>
      </w:r>
      <w:r w:rsidR="00CA6CE4">
        <w:rPr>
          <w:lang w:val="en-GB"/>
        </w:rPr>
        <w:t xml:space="preserve"> in mg/g cdw,</w:t>
      </w:r>
      <w:r>
        <w:rPr>
          <w:lang w:val="en-GB"/>
        </w:rPr>
        <w:t xml:space="preserve"> </w:t>
      </w:r>
      <w:r w:rsidRPr="00F36F7D">
        <w:rPr>
          <w:i/>
          <w:lang w:val="en-GB"/>
        </w:rPr>
        <w:t>γ</w:t>
      </w:r>
      <w:r w:rsidRPr="00F36F7D">
        <w:rPr>
          <w:i/>
          <w:vertAlign w:val="subscript"/>
          <w:lang w:val="en-GB"/>
        </w:rPr>
        <w:t>1</w:t>
      </w:r>
      <w:r>
        <w:rPr>
          <w:lang w:val="en-GB"/>
        </w:rPr>
        <w:t xml:space="preserve"> and </w:t>
      </w:r>
      <w:r w:rsidRPr="00F36F7D">
        <w:rPr>
          <w:i/>
          <w:lang w:val="en-GB"/>
        </w:rPr>
        <w:t>γ</w:t>
      </w:r>
      <w:r w:rsidRPr="00F36F7D">
        <w:rPr>
          <w:i/>
          <w:vertAlign w:val="subscript"/>
          <w:lang w:val="en-GB"/>
        </w:rPr>
        <w:t>2</w:t>
      </w:r>
      <w:r>
        <w:rPr>
          <w:lang w:val="en-GB"/>
        </w:rPr>
        <w:t xml:space="preserve"> as the pre-exponential coefficients,</w:t>
      </w:r>
      <w:r w:rsidR="00CA6CE4">
        <w:rPr>
          <w:lang w:val="en-GB"/>
        </w:rPr>
        <w:t xml:space="preserve"> in mg/g cdw/h,</w:t>
      </w:r>
      <w:r>
        <w:rPr>
          <w:lang w:val="en-GB"/>
        </w:rPr>
        <w:t xml:space="preserve"> </w:t>
      </w:r>
      <w:r w:rsidRPr="00F36F7D">
        <w:rPr>
          <w:i/>
          <w:lang w:val="en-GB"/>
        </w:rPr>
        <w:t>Ap</w:t>
      </w:r>
      <w:r w:rsidRPr="00F36F7D">
        <w:rPr>
          <w:i/>
          <w:vertAlign w:val="subscript"/>
          <w:lang w:val="en-GB"/>
        </w:rPr>
        <w:t>1</w:t>
      </w:r>
      <w:r>
        <w:rPr>
          <w:lang w:val="en-GB"/>
        </w:rPr>
        <w:t xml:space="preserve"> and </w:t>
      </w:r>
      <w:r w:rsidRPr="00F36F7D">
        <w:rPr>
          <w:i/>
          <w:lang w:val="en-GB"/>
        </w:rPr>
        <w:t>Ap</w:t>
      </w:r>
      <w:r w:rsidRPr="00F36F7D">
        <w:rPr>
          <w:i/>
          <w:vertAlign w:val="subscript"/>
          <w:lang w:val="en-GB"/>
        </w:rPr>
        <w:t>2</w:t>
      </w:r>
      <w:r>
        <w:rPr>
          <w:lang w:val="en-GB"/>
        </w:rPr>
        <w:t xml:space="preserve"> as the activation and inactivation coefficient, respectively in °C, and </w:t>
      </w:r>
      <w:r w:rsidRPr="00F36F7D">
        <w:rPr>
          <w:i/>
          <w:lang w:val="en-GB"/>
        </w:rPr>
        <w:t>β</w:t>
      </w:r>
      <w:r>
        <w:rPr>
          <w:lang w:val="en-GB"/>
        </w:rPr>
        <w:t xml:space="preserve"> as the temperature-independent coefficient in mg/</w:t>
      </w:r>
      <w:r w:rsidR="00CA6CE4">
        <w:rPr>
          <w:lang w:val="en-GB"/>
        </w:rPr>
        <w:t>g cdw/</w:t>
      </w:r>
      <w:r>
        <w:rPr>
          <w:lang w:val="en-GB"/>
        </w:rPr>
        <w:t>h.</w:t>
      </w:r>
    </w:p>
    <w:p w14:paraId="27E96EFE" w14:textId="71AD4B99" w:rsidR="00EB6B5D" w:rsidRPr="00896AA0" w:rsidRDefault="001D0FCF" w:rsidP="00896AA0">
      <w:pPr>
        <w:pStyle w:val="Els-2ndorder-head"/>
      </w:pPr>
      <w:r w:rsidRPr="00896AA0">
        <w:t>Dynamic h</w:t>
      </w:r>
      <w:r w:rsidR="00EB6B5D" w:rsidRPr="00896AA0">
        <w:t xml:space="preserve">ybrid </w:t>
      </w:r>
      <w:r w:rsidRPr="00896AA0">
        <w:t>m</w:t>
      </w:r>
      <w:r w:rsidR="00EB6B5D" w:rsidRPr="00896AA0">
        <w:t>odel</w:t>
      </w:r>
      <w:r w:rsidR="00062CFE" w:rsidRPr="00896AA0">
        <w:t xml:space="preserve"> approach</w:t>
      </w:r>
    </w:p>
    <w:p w14:paraId="4153C6F0" w14:textId="41676034" w:rsidR="00EB6B5D" w:rsidRDefault="00EB6B5D" w:rsidP="00896AA0">
      <w:pPr>
        <w:pStyle w:val="Els-body-text"/>
        <w:spacing w:after="80"/>
        <w:rPr>
          <w:lang w:val="en-GB"/>
        </w:rPr>
      </w:pPr>
      <w:r>
        <w:rPr>
          <w:lang w:val="en-GB"/>
        </w:rPr>
        <w:t xml:space="preserve">The </w:t>
      </w:r>
      <w:r w:rsidR="00180D56">
        <w:rPr>
          <w:lang w:val="en-GB"/>
        </w:rPr>
        <w:t xml:space="preserve">hybrid </w:t>
      </w:r>
      <w:r>
        <w:rPr>
          <w:lang w:val="en-GB"/>
        </w:rPr>
        <w:t xml:space="preserve">model </w:t>
      </w:r>
      <w:r w:rsidR="00180D56">
        <w:rPr>
          <w:lang w:val="en-GB"/>
        </w:rPr>
        <w:t xml:space="preserve">integrates </w:t>
      </w:r>
      <w:r w:rsidRPr="00C919F8">
        <w:rPr>
          <w:lang w:val="en-GB"/>
        </w:rPr>
        <w:t xml:space="preserve">a </w:t>
      </w:r>
      <w:r>
        <w:rPr>
          <w:lang w:val="en-GB"/>
        </w:rPr>
        <w:t xml:space="preserve">SVM </w:t>
      </w:r>
      <w:r w:rsidR="00736BE3">
        <w:rPr>
          <w:lang w:val="en-GB"/>
        </w:rPr>
        <w:t>learner</w:t>
      </w:r>
      <w:r w:rsidR="00736BE3" w:rsidRPr="00C919F8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7F2E9B">
        <w:rPr>
          <w:lang w:val="en-GB"/>
        </w:rPr>
        <w:t xml:space="preserve">compute </w:t>
      </w:r>
      <w:r w:rsidR="002C7417">
        <w:rPr>
          <w:lang w:val="en-GB"/>
        </w:rPr>
        <w:t>q</w:t>
      </w:r>
      <w:r w:rsidRPr="00F57368">
        <w:rPr>
          <w:vertAlign w:val="subscript"/>
          <w:lang w:val="en-GB"/>
        </w:rPr>
        <w:t>P</w:t>
      </w:r>
      <w:r>
        <w:rPr>
          <w:lang w:val="en-GB"/>
        </w:rPr>
        <w:t xml:space="preserve">. The SVM </w:t>
      </w:r>
      <w:r w:rsidR="004021D2">
        <w:rPr>
          <w:lang w:val="en-GB"/>
        </w:rPr>
        <w:t>was trained with experimental data</w:t>
      </w:r>
      <w:r w:rsidR="009D302E">
        <w:rPr>
          <w:lang w:val="en-GB"/>
        </w:rPr>
        <w:t xml:space="preserve"> provided by</w:t>
      </w:r>
      <w:r>
        <w:rPr>
          <w:lang w:val="en-GB"/>
        </w:rPr>
        <w:t xml:space="preserve"> </w:t>
      </w:r>
      <w:r w:rsidR="004021D2">
        <w:rPr>
          <w:lang w:val="en-GB"/>
        </w:rPr>
        <w:t>(</w:t>
      </w:r>
      <w:r>
        <w:rPr>
          <w:lang w:val="en-GB"/>
        </w:rPr>
        <w:t xml:space="preserve">Alonso Villela </w:t>
      </w:r>
      <w:r w:rsidRPr="00896AA0">
        <w:rPr>
          <w:i/>
          <w:lang w:val="en-GB"/>
        </w:rPr>
        <w:t>et al.</w:t>
      </w:r>
      <w:r w:rsidR="00621AE2">
        <w:rPr>
          <w:lang w:val="en-GB"/>
        </w:rPr>
        <w:t>,</w:t>
      </w:r>
      <w:r>
        <w:rPr>
          <w:lang w:val="en-GB"/>
        </w:rPr>
        <w:t xml:space="preserve"> 2021).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6"/>
        <w:gridCol w:w="990"/>
      </w:tblGrid>
      <w:tr w:rsidR="00C67621" w14:paraId="63A50009" w14:textId="77777777" w:rsidTr="00875B55">
        <w:tc>
          <w:tcPr>
            <w:tcW w:w="6096" w:type="dxa"/>
            <w:vAlign w:val="center"/>
            <w:hideMark/>
          </w:tcPr>
          <w:p w14:paraId="4603B5A9" w14:textId="71C3C1AF" w:rsidR="00C67621" w:rsidRPr="00F57368" w:rsidRDefault="00D41651" w:rsidP="00F36F7D">
            <w:pPr>
              <w:pStyle w:val="CETEquation"/>
              <w:spacing w:before="0" w:after="0"/>
              <w:jc w:val="both"/>
              <w:rPr>
                <w:rFonts w:ascii="Cambria Math" w:hAnsi="Cambria Math"/>
                <w:i/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=f(T,µ)</m:t>
              </m:r>
            </m:oMath>
            <w:r w:rsidR="00C67621" w:rsidRPr="00F57368">
              <w:rPr>
                <w:rFonts w:ascii="Cambria Math" w:hAnsi="Cambria Math"/>
                <w:i/>
                <w:iCs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75CF162" w14:textId="77777777" w:rsidR="00C67621" w:rsidRPr="0007411D" w:rsidRDefault="00C67621" w:rsidP="00875B55">
            <w:pPr>
              <w:jc w:val="right"/>
            </w:pPr>
            <w:r w:rsidRPr="0007411D">
              <w:t>(</w:t>
            </w:r>
            <w:r>
              <w:t>12</w:t>
            </w:r>
            <w:r w:rsidRPr="0007411D">
              <w:t>)</w:t>
            </w:r>
          </w:p>
        </w:tc>
      </w:tr>
    </w:tbl>
    <w:p w14:paraId="4BFF4564" w14:textId="49540795" w:rsidR="00C67621" w:rsidRDefault="001B39F7" w:rsidP="00896AA0">
      <w:pPr>
        <w:pStyle w:val="Els-body-text"/>
        <w:spacing w:before="80"/>
        <w:rPr>
          <w:lang w:val="en-GB"/>
        </w:rPr>
      </w:pPr>
      <w:r>
        <w:rPr>
          <w:lang w:val="en-GB"/>
        </w:rPr>
        <w:t>Four kernel functions (</w:t>
      </w:r>
      <w:r w:rsidRPr="00CC17FE">
        <w:rPr>
          <w:lang w:val="en-GB"/>
        </w:rPr>
        <w:t>linear, quadratic, cubic</w:t>
      </w:r>
      <w:r>
        <w:rPr>
          <w:lang w:val="en-GB"/>
        </w:rPr>
        <w:t xml:space="preserve"> </w:t>
      </w:r>
      <w:r w:rsidRPr="00CC17FE">
        <w:rPr>
          <w:lang w:val="en-GB"/>
        </w:rPr>
        <w:t>and</w:t>
      </w:r>
      <w:r w:rsidR="00B531D2">
        <w:rPr>
          <w:lang w:val="en-GB"/>
        </w:rPr>
        <w:t xml:space="preserve"> Gaussian</w:t>
      </w:r>
      <w:r>
        <w:rPr>
          <w:lang w:val="en-GB"/>
        </w:rPr>
        <w:t>) were tested</w:t>
      </w:r>
      <w:r w:rsidR="00CC17FE" w:rsidRPr="00CC17FE">
        <w:rPr>
          <w:lang w:val="en-GB"/>
        </w:rPr>
        <w:t xml:space="preserve"> </w:t>
      </w:r>
      <w:r w:rsidR="00C67621">
        <w:rPr>
          <w:lang w:val="en-GB"/>
        </w:rPr>
        <w:t xml:space="preserve">using </w:t>
      </w:r>
      <w:r w:rsidR="00C67621">
        <w:t>Matlab2020a.</w:t>
      </w:r>
      <w:r w:rsidR="00B20BBF">
        <w:t xml:space="preserve"> The </w:t>
      </w:r>
      <w:r w:rsidR="00ED7909">
        <w:rPr>
          <w:lang w:val="en-GB"/>
        </w:rPr>
        <w:t>Gaussian</w:t>
      </w:r>
      <w:r w:rsidR="00ED7909" w:rsidDel="00ED7909">
        <w:t xml:space="preserve"> </w:t>
      </w:r>
      <w:r w:rsidR="00B20BBF">
        <w:t>kernel obtained the best performance</w:t>
      </w:r>
      <w:r w:rsidR="00CC17FE">
        <w:t xml:space="preserve"> </w:t>
      </w:r>
      <w:r w:rsidR="001F4905">
        <w:t>using</w:t>
      </w:r>
      <w:r w:rsidR="00CC17FE" w:rsidRPr="00CC17FE">
        <w:t xml:space="preserve"> </w:t>
      </w:r>
      <w:r w:rsidR="00CA6CE4">
        <w:t>5 </w:t>
      </w:r>
      <w:r w:rsidR="00CC17FE" w:rsidRPr="00CC17FE">
        <w:t>k-fold cross validation</w:t>
      </w:r>
      <w:r w:rsidR="007005C6">
        <w:t>.</w:t>
      </w:r>
      <w:r w:rsidR="00CC17FE">
        <w:t xml:space="preserve"> </w:t>
      </w:r>
    </w:p>
    <w:p w14:paraId="1B15EB4A" w14:textId="77777777" w:rsidR="00EB6B5D" w:rsidRPr="00896AA0" w:rsidRDefault="00EB6B5D" w:rsidP="00896AA0">
      <w:pPr>
        <w:pStyle w:val="Els-2ndorder-head"/>
      </w:pPr>
      <w:r w:rsidRPr="00896AA0">
        <w:t>Statistical analysis</w:t>
      </w:r>
    </w:p>
    <w:p w14:paraId="32F0472E" w14:textId="77777777" w:rsidR="008A5686" w:rsidRDefault="008A5686" w:rsidP="00896AA0">
      <w:pPr>
        <w:spacing w:after="80"/>
        <w:rPr>
          <w:lang w:val="en-US"/>
        </w:rPr>
      </w:pPr>
      <w:r w:rsidRPr="008A5686">
        <w:rPr>
          <w:lang w:val="en-US"/>
        </w:rPr>
        <w:t xml:space="preserve">Models </w:t>
      </w:r>
      <w:r w:rsidR="00FA2238">
        <w:rPr>
          <w:lang w:val="en-US"/>
        </w:rPr>
        <w:t xml:space="preserve">prediction </w:t>
      </w:r>
      <w:r w:rsidRPr="008A5686">
        <w:rPr>
          <w:lang w:val="en-US"/>
        </w:rPr>
        <w:t>quality</w:t>
      </w:r>
      <w:r w:rsidR="0029375A">
        <w:rPr>
          <w:lang w:val="en-US"/>
        </w:rPr>
        <w:t xml:space="preserve"> for protein dynamic production</w:t>
      </w:r>
      <w:r w:rsidRPr="008A5686">
        <w:rPr>
          <w:lang w:val="en-US"/>
        </w:rPr>
        <w:t xml:space="preserve"> </w:t>
      </w:r>
      <w:r>
        <w:rPr>
          <w:lang w:val="en-US"/>
        </w:rPr>
        <w:t>were</w:t>
      </w:r>
      <w:r w:rsidRPr="008A5686">
        <w:rPr>
          <w:lang w:val="en-US"/>
        </w:rPr>
        <w:t xml:space="preserve"> </w:t>
      </w:r>
      <w:r w:rsidR="0029375A" w:rsidRPr="008A5686">
        <w:rPr>
          <w:lang w:val="en-US"/>
        </w:rPr>
        <w:t>analyzed</w:t>
      </w:r>
      <w:r w:rsidRPr="008A5686">
        <w:rPr>
          <w:lang w:val="en-US"/>
        </w:rPr>
        <w:t xml:space="preserve"> using the normed root mean square error (NMRSE)</w:t>
      </w:r>
      <w:r>
        <w:rPr>
          <w:lang w:val="en-US"/>
        </w:rPr>
        <w:t xml:space="preserve"> </w:t>
      </w:r>
      <w:r w:rsidRPr="008A5686">
        <w:rPr>
          <w:lang w:val="en-US"/>
        </w:rPr>
        <w:t>defined as: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6"/>
        <w:gridCol w:w="990"/>
      </w:tblGrid>
      <w:tr w:rsidR="008A5686" w:rsidRPr="0007411D" w14:paraId="7CA69B18" w14:textId="77777777" w:rsidTr="00875B55">
        <w:tc>
          <w:tcPr>
            <w:tcW w:w="6096" w:type="dxa"/>
            <w:vAlign w:val="center"/>
            <w:hideMark/>
          </w:tcPr>
          <w:p w14:paraId="46E78C9F" w14:textId="78F28E69" w:rsidR="008A5686" w:rsidRPr="008A5686" w:rsidRDefault="008A5686" w:rsidP="008652E5">
            <w:pPr>
              <w:pStyle w:val="CETEquation"/>
              <w:spacing w:before="0" w:after="0"/>
              <w:jc w:val="both"/>
              <w:rPr>
                <w:rFonts w:ascii="Cambria Math" w:hAnsi="Cambria Math"/>
                <w:i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NRMSE=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exp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</m:t>
                                </m:r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0"/>
                    <w:lang w:val="en-US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(Y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exp, max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exp, </m:t>
                    </m:r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w:rPr>
                        <w:rFonts w:ascii="Cambria Math" w:hAnsi="Cambria Math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/>
                  </w:rPr>
                  <m:t>)</m:t>
                </m:r>
              </m:oMath>
            </m:oMathPara>
          </w:p>
        </w:tc>
        <w:tc>
          <w:tcPr>
            <w:tcW w:w="990" w:type="dxa"/>
            <w:vAlign w:val="center"/>
          </w:tcPr>
          <w:p w14:paraId="3C0A9298" w14:textId="77777777" w:rsidR="008A5686" w:rsidRPr="0007411D" w:rsidRDefault="008A5686" w:rsidP="008652E5">
            <w:pPr>
              <w:jc w:val="right"/>
            </w:pPr>
            <w:r w:rsidRPr="0007411D">
              <w:t>(</w:t>
            </w:r>
            <w:r>
              <w:t>1</w:t>
            </w:r>
            <w:r w:rsidR="00FF6A45">
              <w:t>3</w:t>
            </w:r>
            <w:r w:rsidRPr="0007411D">
              <w:t>)</w:t>
            </w:r>
          </w:p>
        </w:tc>
      </w:tr>
    </w:tbl>
    <w:p w14:paraId="1E98EBAB" w14:textId="77777777" w:rsidR="00275312" w:rsidRPr="00A070B7" w:rsidRDefault="008A5686" w:rsidP="00896AA0">
      <w:pPr>
        <w:spacing w:before="80"/>
        <w:rPr>
          <w:sz w:val="16"/>
          <w:szCs w:val="16"/>
          <w:lang w:val="en-US"/>
        </w:rPr>
      </w:pPr>
      <w:r w:rsidRPr="008A5686">
        <w:rPr>
          <w:lang w:val="en-US"/>
        </w:rPr>
        <w:t xml:space="preserve">With </w:t>
      </w:r>
      <w:r w:rsidRPr="008A5686">
        <w:rPr>
          <w:rFonts w:ascii="Cambria Math" w:hAnsi="Cambria Math" w:cs="Cambria Math"/>
          <w:lang w:val="en-US"/>
        </w:rPr>
        <w:t>𝑛</w:t>
      </w:r>
      <w:r w:rsidRPr="008A5686">
        <w:rPr>
          <w:lang w:val="en-US"/>
        </w:rPr>
        <w:t xml:space="preserve"> the number of experimental data, </w:t>
      </w:r>
      <w:r w:rsidR="00053E67" w:rsidRPr="00053E67">
        <w:rPr>
          <w:rFonts w:ascii="Cambria Math" w:hAnsi="Cambria Math" w:cs="Cambria Math"/>
          <w:i/>
          <w:iCs/>
          <w:lang w:val="en-US"/>
        </w:rPr>
        <w:t>Y</w:t>
      </w:r>
      <w:r w:rsidR="00053E67" w:rsidRPr="00053E67">
        <w:rPr>
          <w:rFonts w:ascii="Cambria Math" w:hAnsi="Cambria Math" w:cs="Cambria Math"/>
          <w:i/>
          <w:iCs/>
          <w:vertAlign w:val="subscript"/>
          <w:lang w:val="en-US"/>
        </w:rPr>
        <w:t>exp</w:t>
      </w:r>
      <w:r w:rsidRPr="008A5686">
        <w:rPr>
          <w:lang w:val="en-US"/>
        </w:rPr>
        <w:t xml:space="preserve"> the experimental data corresponding to time </w:t>
      </w:r>
      <w:r w:rsidRPr="00053E67">
        <w:rPr>
          <w:i/>
          <w:iCs/>
          <w:lang w:val="en-US"/>
        </w:rPr>
        <w:t>t</w:t>
      </w:r>
      <w:r w:rsidRPr="00053E67">
        <w:rPr>
          <w:i/>
          <w:iCs/>
          <w:vertAlign w:val="subscript"/>
          <w:lang w:val="en-US"/>
        </w:rPr>
        <w:t>i</w:t>
      </w:r>
      <w:r w:rsidRPr="008A5686">
        <w:rPr>
          <w:lang w:val="en-US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Y</m:t>
            </m:r>
          </m:e>
        </m:acc>
      </m:oMath>
      <w:r w:rsidRPr="008A5686">
        <w:rPr>
          <w:lang w:val="en-US"/>
        </w:rPr>
        <w:t xml:space="preserve"> the data simulated </w:t>
      </w:r>
      <w:r w:rsidR="00053E67">
        <w:rPr>
          <w:lang w:val="en-US"/>
        </w:rPr>
        <w:t>at</w:t>
      </w:r>
      <w:r w:rsidRPr="008A5686">
        <w:rPr>
          <w:lang w:val="en-US"/>
        </w:rPr>
        <w:t xml:space="preserve"> </w:t>
      </w:r>
      <w:r w:rsidR="00053E67" w:rsidRPr="00053E67">
        <w:rPr>
          <w:i/>
          <w:iCs/>
          <w:lang w:val="en-US"/>
        </w:rPr>
        <w:t>t</w:t>
      </w:r>
      <w:r w:rsidR="00053E67" w:rsidRPr="00053E67">
        <w:rPr>
          <w:i/>
          <w:iCs/>
          <w:vertAlign w:val="subscript"/>
          <w:lang w:val="en-US"/>
        </w:rPr>
        <w:t>i</w:t>
      </w:r>
      <w:r w:rsidRPr="008A5686">
        <w:rPr>
          <w:lang w:val="en-US"/>
        </w:rPr>
        <w:t xml:space="preserve">, </w:t>
      </w:r>
      <w:r w:rsidR="00053E67" w:rsidRPr="00053E67">
        <w:rPr>
          <w:rFonts w:ascii="Cambria Math" w:hAnsi="Cambria Math" w:cs="Cambria Math"/>
          <w:i/>
          <w:iCs/>
          <w:lang w:val="en-US"/>
        </w:rPr>
        <w:t>Y</w:t>
      </w:r>
      <w:r w:rsidRPr="00053E67">
        <w:rPr>
          <w:rFonts w:ascii="Cambria Math" w:hAnsi="Cambria Math" w:cs="Cambria Math"/>
          <w:i/>
          <w:iCs/>
          <w:vertAlign w:val="subscript"/>
          <w:lang w:val="en-US"/>
        </w:rPr>
        <w:t>𝑚𝑖𝑛</w:t>
      </w:r>
      <w:r w:rsidR="00CA6CE4">
        <w:rPr>
          <w:rFonts w:ascii="Cambria Math" w:hAnsi="Cambria Math" w:cs="Cambria Math"/>
          <w:iCs/>
          <w:lang w:val="en-US"/>
        </w:rPr>
        <w:t>,</w:t>
      </w:r>
      <w:r w:rsidR="00053E67">
        <w:rPr>
          <w:rFonts w:ascii="Cambria Math" w:hAnsi="Cambria Math" w:cs="Cambria Math"/>
          <w:lang w:val="en-US"/>
        </w:rPr>
        <w:t xml:space="preserve"> </w:t>
      </w:r>
      <w:r w:rsidRPr="008A5686">
        <w:rPr>
          <w:lang w:val="en-US"/>
        </w:rPr>
        <w:t xml:space="preserve">and </w:t>
      </w:r>
      <w:r w:rsidR="00053E67" w:rsidRPr="00053E67">
        <w:rPr>
          <w:rFonts w:ascii="Cambria Math" w:hAnsi="Cambria Math" w:cs="Cambria Math"/>
          <w:i/>
          <w:iCs/>
          <w:lang w:val="en-US"/>
        </w:rPr>
        <w:t>Y</w:t>
      </w:r>
      <w:r w:rsidRPr="00053E67">
        <w:rPr>
          <w:rFonts w:ascii="Cambria Math" w:hAnsi="Cambria Math" w:cs="Cambria Math"/>
          <w:i/>
          <w:iCs/>
          <w:vertAlign w:val="subscript"/>
          <w:lang w:val="en-US"/>
        </w:rPr>
        <w:t>𝑚𝑎𝑥</w:t>
      </w:r>
      <w:r w:rsidR="00053E67">
        <w:rPr>
          <w:lang w:val="en-US"/>
        </w:rPr>
        <w:t xml:space="preserve"> t</w:t>
      </w:r>
      <w:r w:rsidRPr="008A5686">
        <w:rPr>
          <w:lang w:val="en-US"/>
        </w:rPr>
        <w:t>he minimum and maximum data values.</w:t>
      </w:r>
    </w:p>
    <w:p w14:paraId="6B95D403" w14:textId="77777777" w:rsidR="008D2649" w:rsidRPr="002C2FAE" w:rsidRDefault="00B0073B" w:rsidP="00896AA0">
      <w:pPr>
        <w:pStyle w:val="Els-1storder-head"/>
      </w:pPr>
      <w:r w:rsidRPr="002C2FAE">
        <w:t>Results</w:t>
      </w:r>
    </w:p>
    <w:p w14:paraId="6DF36F92" w14:textId="77777777" w:rsidR="00275312" w:rsidRPr="00896AA0" w:rsidRDefault="00275312" w:rsidP="00896AA0">
      <w:pPr>
        <w:pStyle w:val="Els-2ndorder-head"/>
      </w:pPr>
      <w:r w:rsidRPr="00896AA0">
        <w:t>Model calibration</w:t>
      </w:r>
    </w:p>
    <w:p w14:paraId="2F0C373D" w14:textId="7DC7B41F" w:rsidR="001B1CBC" w:rsidRDefault="00275312" w:rsidP="001A494B">
      <w:pPr>
        <w:rPr>
          <w:lang w:val="en-US"/>
        </w:rPr>
      </w:pPr>
      <w:r>
        <w:rPr>
          <w:lang w:val="en-US"/>
        </w:rPr>
        <w:t xml:space="preserve">The models were calibrated </w:t>
      </w:r>
      <w:r w:rsidR="00480333">
        <w:rPr>
          <w:lang w:val="en-US"/>
        </w:rPr>
        <w:t>using</w:t>
      </w:r>
      <w:r w:rsidR="00563414" w:rsidRPr="002C2FAE">
        <w:rPr>
          <w:lang w:val="en-US"/>
        </w:rPr>
        <w:t xml:space="preserve"> </w:t>
      </w:r>
      <w:r w:rsidR="00563414" w:rsidRPr="002C2FAE">
        <w:rPr>
          <w:i/>
          <w:lang w:val="en-US"/>
        </w:rPr>
        <w:t>E. coli</w:t>
      </w:r>
      <w:r w:rsidR="00563414" w:rsidRPr="002C2FAE">
        <w:rPr>
          <w:lang w:val="en-US"/>
        </w:rPr>
        <w:t xml:space="preserve"> CH10-12 fed-batch cultures</w:t>
      </w:r>
      <w:r w:rsidR="00276E73">
        <w:rPr>
          <w:lang w:val="en-US"/>
        </w:rPr>
        <w:t xml:space="preserve"> induced at 2</w:t>
      </w:r>
      <w:r w:rsidR="002B26C5">
        <w:rPr>
          <w:lang w:val="en-US"/>
        </w:rPr>
        <w:t>8</w:t>
      </w:r>
      <w:r w:rsidR="00276E73">
        <w:rPr>
          <w:lang w:val="en-US"/>
        </w:rPr>
        <w:t>, 3</w:t>
      </w:r>
      <w:r w:rsidR="002B26C5">
        <w:rPr>
          <w:lang w:val="en-US"/>
        </w:rPr>
        <w:t>2</w:t>
      </w:r>
      <w:r w:rsidR="00276E73">
        <w:rPr>
          <w:lang w:val="en-US"/>
        </w:rPr>
        <w:t>, 3</w:t>
      </w:r>
      <w:r w:rsidR="002B26C5">
        <w:rPr>
          <w:lang w:val="en-US"/>
        </w:rPr>
        <w:t>3</w:t>
      </w:r>
      <w:r w:rsidR="00276E73">
        <w:rPr>
          <w:lang w:val="en-US"/>
        </w:rPr>
        <w:t xml:space="preserve"> and 3</w:t>
      </w:r>
      <w:r w:rsidR="002B26C5">
        <w:rPr>
          <w:lang w:val="en-US"/>
        </w:rPr>
        <w:t>7</w:t>
      </w:r>
      <w:r w:rsidR="006502EF">
        <w:rPr>
          <w:lang w:val="en-US"/>
        </w:rPr>
        <w:t> </w:t>
      </w:r>
      <w:r w:rsidR="00276E73">
        <w:rPr>
          <w:lang w:val="en-US"/>
        </w:rPr>
        <w:t>°C</w:t>
      </w:r>
      <w:r w:rsidR="00E422F7">
        <w:rPr>
          <w:lang w:val="en-US"/>
        </w:rPr>
        <w:t xml:space="preserve"> using</w:t>
      </w:r>
      <w:r w:rsidR="00480333">
        <w:rPr>
          <w:lang w:val="en-US"/>
        </w:rPr>
        <w:t xml:space="preserve"> the</w:t>
      </w:r>
      <w:r w:rsidR="00E422F7">
        <w:rPr>
          <w:lang w:val="en-US"/>
        </w:rPr>
        <w:t xml:space="preserve"> </w:t>
      </w:r>
      <w:r w:rsidR="00E422F7" w:rsidRPr="006C2791">
        <w:rPr>
          <w:i/>
          <w:iCs/>
          <w:lang w:val="en-US"/>
        </w:rPr>
        <w:t>fmincon</w:t>
      </w:r>
      <w:r w:rsidR="00E422F7">
        <w:rPr>
          <w:lang w:val="en-US"/>
        </w:rPr>
        <w:t xml:space="preserve"> function Matlab2020a</w:t>
      </w:r>
      <w:r w:rsidR="00534E02">
        <w:rPr>
          <w:lang w:val="en-US"/>
        </w:rPr>
        <w:t xml:space="preserve">. </w:t>
      </w:r>
      <w:r w:rsidR="00CA6CE4">
        <w:rPr>
          <w:lang w:val="en-US"/>
        </w:rPr>
        <w:t>Table </w:t>
      </w:r>
      <w:r w:rsidR="00534E02">
        <w:rPr>
          <w:lang w:val="en-US"/>
        </w:rPr>
        <w:t>1 shows model calibrated parameters.</w:t>
      </w:r>
      <w:r w:rsidR="005A48B1">
        <w:rPr>
          <w:lang w:val="en-US"/>
        </w:rPr>
        <w:t xml:space="preserve"> </w:t>
      </w:r>
      <w:r w:rsidR="007C291C" w:rsidRPr="007C291C">
        <w:rPr>
          <w:i/>
          <w:iCs/>
          <w:lang w:val="en-US"/>
        </w:rPr>
        <w:t>µ</w:t>
      </w:r>
      <w:r w:rsidR="009024B0" w:rsidRPr="007C291C">
        <w:rPr>
          <w:i/>
          <w:iCs/>
          <w:vertAlign w:val="subscript"/>
          <w:lang w:val="en-US"/>
        </w:rPr>
        <w:t>max</w:t>
      </w:r>
      <w:r w:rsidR="009024B0">
        <w:rPr>
          <w:lang w:val="en-US"/>
        </w:rPr>
        <w:t xml:space="preserve"> and </w:t>
      </w:r>
      <w:r w:rsidR="009024B0" w:rsidRPr="007C291C">
        <w:rPr>
          <w:i/>
          <w:iCs/>
          <w:lang w:val="en-US"/>
        </w:rPr>
        <w:t>Y</w:t>
      </w:r>
      <w:r w:rsidR="009024B0" w:rsidRPr="007C291C">
        <w:rPr>
          <w:i/>
          <w:iCs/>
          <w:vertAlign w:val="subscript"/>
          <w:lang w:val="en-US"/>
        </w:rPr>
        <w:t>sx</w:t>
      </w:r>
      <w:r w:rsidR="009024B0">
        <w:rPr>
          <w:lang w:val="en-US"/>
        </w:rPr>
        <w:t xml:space="preserve"> have similar values </w:t>
      </w:r>
      <w:r w:rsidR="00480333">
        <w:rPr>
          <w:lang w:val="en-US"/>
        </w:rPr>
        <w:t>(</w:t>
      </w:r>
      <w:r w:rsidR="00480333" w:rsidRPr="00F36F7D">
        <w:rPr>
          <w:iCs/>
          <w:lang w:val="en-US"/>
        </w:rPr>
        <w:t>0.67</w:t>
      </w:r>
      <w:r w:rsidR="00480333" w:rsidRPr="007C291C">
        <w:rPr>
          <w:i/>
          <w:iCs/>
          <w:lang w:val="en-US"/>
        </w:rPr>
        <w:t>&lt;µ</w:t>
      </w:r>
      <w:r w:rsidR="00480333" w:rsidRPr="007C291C">
        <w:rPr>
          <w:i/>
          <w:iCs/>
          <w:vertAlign w:val="subscript"/>
          <w:lang w:val="en-US"/>
        </w:rPr>
        <w:t>max</w:t>
      </w:r>
      <w:r w:rsidR="00480333" w:rsidRPr="007C291C">
        <w:rPr>
          <w:i/>
          <w:iCs/>
          <w:lang w:val="en-US"/>
        </w:rPr>
        <w:t>&lt;</w:t>
      </w:r>
      <w:r w:rsidR="00480333" w:rsidRPr="00F36F7D">
        <w:rPr>
          <w:iCs/>
          <w:lang w:val="en-US"/>
        </w:rPr>
        <w:t>0.87</w:t>
      </w:r>
      <w:r w:rsidR="00480333">
        <w:rPr>
          <w:lang w:val="en-US"/>
        </w:rPr>
        <w:t xml:space="preserve"> and 0.29&lt;</w:t>
      </w:r>
      <w:r w:rsidR="00480333" w:rsidRPr="007C291C">
        <w:rPr>
          <w:i/>
          <w:iCs/>
          <w:lang w:val="en-US"/>
        </w:rPr>
        <w:t>Y</w:t>
      </w:r>
      <w:r w:rsidR="00480333" w:rsidRPr="007C291C">
        <w:rPr>
          <w:i/>
          <w:iCs/>
          <w:vertAlign w:val="subscript"/>
          <w:lang w:val="en-US"/>
        </w:rPr>
        <w:t>sx</w:t>
      </w:r>
      <w:r w:rsidR="00480333">
        <w:rPr>
          <w:lang w:val="en-US"/>
        </w:rPr>
        <w:t xml:space="preserve">&lt;0.47 respectively) </w:t>
      </w:r>
      <w:r w:rsidR="009024B0">
        <w:rPr>
          <w:lang w:val="en-US"/>
        </w:rPr>
        <w:t xml:space="preserve">to </w:t>
      </w:r>
      <w:r w:rsidR="00480333">
        <w:rPr>
          <w:lang w:val="en-US"/>
        </w:rPr>
        <w:t xml:space="preserve">those </w:t>
      </w:r>
      <w:r w:rsidR="009024B0">
        <w:rPr>
          <w:lang w:val="en-US"/>
        </w:rPr>
        <w:t xml:space="preserve">reported in literature </w:t>
      </w:r>
      <w:r w:rsidR="007C291C">
        <w:rPr>
          <w:lang w:val="en-US"/>
        </w:rPr>
        <w:t>(</w:t>
      </w:r>
      <w:r w:rsidR="009024B0">
        <w:t>Alonso Villela et al.</w:t>
      </w:r>
      <w:r w:rsidR="00685CEC">
        <w:t>,</w:t>
      </w:r>
      <w:r w:rsidR="009024B0">
        <w:t xml:space="preserve"> 2021).</w:t>
      </w:r>
    </w:p>
    <w:p w14:paraId="02AFFB1A" w14:textId="71560B8F" w:rsidR="006416D2" w:rsidRPr="00F36F7D" w:rsidRDefault="006416D2" w:rsidP="00896AA0">
      <w:pPr>
        <w:spacing w:before="80"/>
        <w:rPr>
          <w:sz w:val="22"/>
          <w:szCs w:val="24"/>
          <w:lang w:val="en-US" w:eastAsia="fr-FR"/>
        </w:rPr>
      </w:pPr>
      <w:r w:rsidRPr="00F36F7D">
        <w:rPr>
          <w:b/>
          <w:bCs/>
          <w:sz w:val="18"/>
          <w:lang w:val="en-US"/>
        </w:rPr>
        <w:t>Table</w:t>
      </w:r>
      <w:r w:rsidR="00621AE2">
        <w:rPr>
          <w:b/>
          <w:bCs/>
          <w:sz w:val="18"/>
          <w:lang w:val="en-US"/>
        </w:rPr>
        <w:t> </w:t>
      </w:r>
      <w:r w:rsidRPr="00F36F7D">
        <w:rPr>
          <w:b/>
          <w:bCs/>
          <w:sz w:val="18"/>
          <w:lang w:val="en-US"/>
        </w:rPr>
        <w:t>1</w:t>
      </w:r>
      <w:r w:rsidRPr="00F36F7D">
        <w:rPr>
          <w:sz w:val="18"/>
          <w:lang w:val="en-US"/>
        </w:rPr>
        <w:t>. Model Parameters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092"/>
        <w:gridCol w:w="1092"/>
        <w:gridCol w:w="1091"/>
        <w:gridCol w:w="1091"/>
        <w:gridCol w:w="1091"/>
      </w:tblGrid>
      <w:tr w:rsidR="00E73558" w:rsidRPr="00534E02" w14:paraId="655F7E42" w14:textId="77777777" w:rsidTr="00E73558">
        <w:trPr>
          <w:trHeight w:val="269"/>
          <w:jc w:val="center"/>
        </w:trPr>
        <w:tc>
          <w:tcPr>
            <w:tcW w:w="1149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440C30D" w14:textId="77777777" w:rsidR="00D54081" w:rsidRPr="00534E02" w:rsidRDefault="00D54081" w:rsidP="00E735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Parameters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387A2D1" w14:textId="77777777" w:rsidR="00D54081" w:rsidRPr="00534E02" w:rsidRDefault="00D41651" w:rsidP="00E73558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57DF547" w14:textId="77777777" w:rsidR="00D54081" w:rsidRDefault="00D54081" w:rsidP="00E73558">
            <w:pPr>
              <w:jc w:val="center"/>
              <w:rPr>
                <w:lang w:val="en-US"/>
              </w:rPr>
            </w:pPr>
            <w:r w:rsidRPr="006C4D85">
              <w:rPr>
                <w:i/>
                <w:lang w:val="en-US"/>
              </w:rPr>
              <w:t>K</w:t>
            </w:r>
            <w:r w:rsidRPr="00A209E0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C379E53" w14:textId="77777777" w:rsidR="00D54081" w:rsidRDefault="00D54081" w:rsidP="00E73558">
            <w:pPr>
              <w:jc w:val="center"/>
              <w:rPr>
                <w:lang w:val="en-US"/>
              </w:rPr>
            </w:pPr>
            <w:r w:rsidRPr="006C4D85">
              <w:rPr>
                <w:i/>
                <w:lang w:val="en-US"/>
              </w:rPr>
              <w:t>Y</w:t>
            </w:r>
            <w:r w:rsidRPr="006C4D85">
              <w:rPr>
                <w:i/>
                <w:vertAlign w:val="subscript"/>
                <w:lang w:val="en-US"/>
              </w:rPr>
              <w:t>sx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CC1C7F7" w14:textId="77777777" w:rsidR="00D54081" w:rsidRDefault="00D41651" w:rsidP="00E73558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µ'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1214BA3" w14:textId="690E44D0" w:rsidR="00D54081" w:rsidRPr="005A2A75" w:rsidRDefault="005A2A75" w:rsidP="00E73558">
            <w:pPr>
              <w:jc w:val="center"/>
              <w:rPr>
                <w:i/>
                <w:iCs/>
                <w:lang w:val="en-US"/>
              </w:rPr>
            </w:pPr>
            <w:r w:rsidRPr="005A2A75">
              <w:rPr>
                <w:i/>
                <w:iCs/>
                <w:lang w:val="en-US"/>
              </w:rPr>
              <w:t>b</w:t>
            </w:r>
          </w:p>
        </w:tc>
      </w:tr>
      <w:tr w:rsidR="00D54081" w:rsidRPr="00534E02" w14:paraId="6BC63E8D" w14:textId="77777777" w:rsidTr="00896AA0">
        <w:trPr>
          <w:trHeight w:val="269"/>
          <w:jc w:val="center"/>
        </w:trPr>
        <w:tc>
          <w:tcPr>
            <w:tcW w:w="114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A636" w14:textId="77777777" w:rsidR="00D54081" w:rsidRDefault="00D54081" w:rsidP="00E73558">
            <w:pPr>
              <w:jc w:val="center"/>
            </w:pPr>
            <w:r>
              <w:rPr>
                <w:lang w:val="en-US"/>
              </w:rPr>
              <w:t>Value</w:t>
            </w:r>
          </w:p>
        </w:tc>
        <w:tc>
          <w:tcPr>
            <w:tcW w:w="77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41F3C" w14:textId="77777777" w:rsidR="00D54081" w:rsidRPr="00534E02" w:rsidRDefault="00D54081" w:rsidP="00E73558">
            <w:pPr>
              <w:jc w:val="center"/>
              <w:rPr>
                <w:lang w:val="en-US"/>
              </w:rPr>
            </w:pPr>
            <w:r w:rsidRPr="00534E02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534E02">
              <w:rPr>
                <w:lang w:val="en-US"/>
              </w:rPr>
              <w:t>7853</w:t>
            </w:r>
          </w:p>
        </w:tc>
        <w:tc>
          <w:tcPr>
            <w:tcW w:w="77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04F34C9" w14:textId="77777777" w:rsidR="00D54081" w:rsidRPr="00534E02" w:rsidRDefault="00D54081" w:rsidP="00E73558">
            <w:pPr>
              <w:jc w:val="center"/>
              <w:rPr>
                <w:lang w:val="en-US"/>
              </w:rPr>
            </w:pPr>
            <w:r w:rsidRPr="00534E02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534E02">
              <w:rPr>
                <w:lang w:val="en-US"/>
              </w:rPr>
              <w:t>0001</w:t>
            </w:r>
          </w:p>
        </w:tc>
        <w:tc>
          <w:tcPr>
            <w:tcW w:w="77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A8E3C1" w14:textId="77777777" w:rsidR="00D54081" w:rsidRPr="00534E02" w:rsidRDefault="00D54081" w:rsidP="00E73558">
            <w:pPr>
              <w:jc w:val="center"/>
              <w:rPr>
                <w:lang w:val="en-US"/>
              </w:rPr>
            </w:pPr>
            <w:r w:rsidRPr="00534E02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534E02">
              <w:rPr>
                <w:lang w:val="en-US"/>
              </w:rPr>
              <w:t>2361</w:t>
            </w:r>
          </w:p>
        </w:tc>
        <w:tc>
          <w:tcPr>
            <w:tcW w:w="77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3629B3" w14:textId="77777777" w:rsidR="00D54081" w:rsidRPr="00534E02" w:rsidRDefault="00D54081" w:rsidP="00E73558">
            <w:pPr>
              <w:jc w:val="center"/>
              <w:rPr>
                <w:lang w:val="en-US"/>
              </w:rPr>
            </w:pPr>
            <w:r w:rsidRPr="00534E02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534E02">
              <w:rPr>
                <w:lang w:val="en-US"/>
              </w:rPr>
              <w:t>3538</w:t>
            </w:r>
          </w:p>
        </w:tc>
        <w:tc>
          <w:tcPr>
            <w:tcW w:w="77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BEA6F8C" w14:textId="77777777" w:rsidR="00D54081" w:rsidRPr="00534E02" w:rsidRDefault="00D54081" w:rsidP="00E73558">
            <w:pPr>
              <w:jc w:val="center"/>
              <w:rPr>
                <w:lang w:val="en-US"/>
              </w:rPr>
            </w:pPr>
            <w:r w:rsidRPr="00534E02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534E02">
              <w:rPr>
                <w:lang w:val="en-US"/>
              </w:rPr>
              <w:t>0726</w:t>
            </w:r>
          </w:p>
        </w:tc>
      </w:tr>
    </w:tbl>
    <w:p w14:paraId="46A28FFB" w14:textId="49DE4B31" w:rsidR="00957C87" w:rsidRDefault="00685CEC" w:rsidP="00896AA0">
      <w:pPr>
        <w:pStyle w:val="Els-body-text"/>
        <w:spacing w:before="80" w:after="80"/>
      </w:pPr>
      <w:r w:rsidRPr="002C2FAE">
        <w:t>Figure</w:t>
      </w:r>
      <w:r w:rsidR="00011A2E">
        <w:t> </w:t>
      </w:r>
      <w:r w:rsidRPr="002C2FAE">
        <w:t xml:space="preserve">1 shows both </w:t>
      </w:r>
      <w:r w:rsidR="00957C87">
        <w:t xml:space="preserve">kinetic model and hybrid </w:t>
      </w:r>
      <w:r w:rsidRPr="002C2FAE">
        <w:t xml:space="preserve">model simulations </w:t>
      </w:r>
      <w:r>
        <w:t>for two data sets (28</w:t>
      </w:r>
      <w:r w:rsidR="006502EF">
        <w:t> </w:t>
      </w:r>
      <w:r>
        <w:t>°C and 32</w:t>
      </w:r>
      <w:r w:rsidR="006502EF">
        <w:t> </w:t>
      </w:r>
      <w:r>
        <w:t>°C)</w:t>
      </w:r>
      <w:r w:rsidRPr="002C2FAE">
        <w:t xml:space="preserve">. </w:t>
      </w:r>
      <w:r w:rsidR="00957C87">
        <w:t>Both</w:t>
      </w:r>
      <w:r w:rsidRPr="002C2FAE">
        <w:t xml:space="preserve"> models correctly estimate the final production </w:t>
      </w:r>
      <w:r w:rsidR="00011A2E">
        <w:t>of</w:t>
      </w:r>
      <w:r w:rsidRPr="002C2FAE">
        <w:t xml:space="preserve"> biomass</w:t>
      </w:r>
      <w:r>
        <w:t xml:space="preserve"> and substrate. </w:t>
      </w:r>
    </w:p>
    <w:tbl>
      <w:tblPr>
        <w:tblStyle w:val="Grilledutablea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480"/>
      </w:tblGrid>
      <w:tr w:rsidR="00183D3C" w14:paraId="349B2C6C" w14:textId="77777777" w:rsidTr="00896AA0">
        <w:tc>
          <w:tcPr>
            <w:tcW w:w="2500" w:type="pct"/>
            <w:vAlign w:val="center"/>
          </w:tcPr>
          <w:p w14:paraId="3EBC93A5" w14:textId="0D9C369B" w:rsidR="00957C87" w:rsidRDefault="00183D3C" w:rsidP="00896AA0">
            <w:pPr>
              <w:pStyle w:val="Lgende"/>
              <w:spacing w:before="0" w:after="0"/>
              <w:jc w:val="center"/>
            </w:pPr>
            <w:r w:rsidRPr="00183D3C">
              <w:rPr>
                <w:noProof/>
              </w:rPr>
              <w:drawing>
                <wp:inline distT="0" distB="0" distL="0" distR="0" wp14:anchorId="145C76DB" wp14:editId="2DD295FE">
                  <wp:extent cx="2149918" cy="1720602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02" cy="17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37903FF" w14:textId="0ECC684D" w:rsidR="00957C87" w:rsidRDefault="00183D3C" w:rsidP="00896AA0">
            <w:pPr>
              <w:pStyle w:val="Lgende"/>
              <w:spacing w:before="0" w:after="0"/>
              <w:jc w:val="center"/>
            </w:pPr>
            <w:r w:rsidRPr="00183D3C">
              <w:rPr>
                <w:noProof/>
              </w:rPr>
              <w:drawing>
                <wp:inline distT="0" distB="0" distL="0" distR="0" wp14:anchorId="43D84E42" wp14:editId="52C9FF3B">
                  <wp:extent cx="1998000" cy="1576800"/>
                  <wp:effectExtent l="0" t="0" r="254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4D342" w14:textId="208D3061" w:rsidR="00957C87" w:rsidRPr="00896AA0" w:rsidRDefault="00957C87" w:rsidP="008A1BCA">
      <w:pPr>
        <w:pStyle w:val="Els-body-text"/>
        <w:spacing w:after="80"/>
        <w:rPr>
          <w:sz w:val="18"/>
          <w:lang w:val="en-GB"/>
        </w:rPr>
      </w:pPr>
      <w:r w:rsidRPr="00896AA0">
        <w:rPr>
          <w:b/>
          <w:sz w:val="18"/>
        </w:rPr>
        <w:t>Figure </w:t>
      </w:r>
      <w:r w:rsidRPr="00896AA0">
        <w:rPr>
          <w:b/>
          <w:sz w:val="18"/>
        </w:rPr>
        <w:fldChar w:fldCharType="begin"/>
      </w:r>
      <w:r w:rsidRPr="00896AA0">
        <w:rPr>
          <w:b/>
          <w:sz w:val="18"/>
        </w:rPr>
        <w:instrText xml:space="preserve"> SEQ Figure \* ARABIC </w:instrText>
      </w:r>
      <w:r w:rsidRPr="00896AA0">
        <w:rPr>
          <w:b/>
          <w:sz w:val="18"/>
        </w:rPr>
        <w:fldChar w:fldCharType="separate"/>
      </w:r>
      <w:r w:rsidR="008A1BCA">
        <w:rPr>
          <w:b/>
          <w:noProof/>
          <w:sz w:val="18"/>
        </w:rPr>
        <w:t>1</w:t>
      </w:r>
      <w:r w:rsidRPr="00896AA0">
        <w:rPr>
          <w:b/>
          <w:sz w:val="18"/>
        </w:rPr>
        <w:fldChar w:fldCharType="end"/>
      </w:r>
      <w:r w:rsidRPr="00896AA0">
        <w:rPr>
          <w:sz w:val="18"/>
        </w:rPr>
        <w:t xml:space="preserve">. Experimental data of </w:t>
      </w:r>
      <w:r w:rsidRPr="00896AA0">
        <w:rPr>
          <w:i/>
          <w:sz w:val="18"/>
        </w:rPr>
        <w:t>E. coli</w:t>
      </w:r>
      <w:r w:rsidRPr="00896AA0">
        <w:rPr>
          <w:sz w:val="18"/>
        </w:rPr>
        <w:t xml:space="preserve"> CH10-12 induced at 28 °C (left) and 32 °C (right) used for calibration of glucose (o), biomass (&lt;) and proteins (o), kinetic model (- -), and hybrid model (–).</w:t>
      </w:r>
    </w:p>
    <w:p w14:paraId="3AF03A58" w14:textId="6FF7725C" w:rsidR="00E27EBC" w:rsidRPr="00B4224A" w:rsidRDefault="00A209E0" w:rsidP="00896AA0">
      <w:pPr>
        <w:pStyle w:val="Els-body-text"/>
        <w:spacing w:after="80"/>
      </w:pPr>
      <w:r>
        <w:t xml:space="preserve">The </w:t>
      </w:r>
      <w:r w:rsidR="00E21095">
        <w:t xml:space="preserve">novel </w:t>
      </w:r>
      <w:r w:rsidR="00875B55">
        <w:t>h</w:t>
      </w:r>
      <w:r w:rsidR="00685CEC">
        <w:t xml:space="preserve">ybrid model </w:t>
      </w:r>
      <w:r w:rsidR="00071F73">
        <w:t>provides</w:t>
      </w:r>
      <w:r w:rsidR="00685CEC">
        <w:t xml:space="preserve"> a better estimation </w:t>
      </w:r>
      <w:r w:rsidR="00071F73">
        <w:t xml:space="preserve">of </w:t>
      </w:r>
      <w:r w:rsidR="00480333">
        <w:t xml:space="preserve">the dynamics of </w:t>
      </w:r>
      <w:r w:rsidR="00685CEC">
        <w:t xml:space="preserve">protein </w:t>
      </w:r>
      <w:r w:rsidR="00071F73">
        <w:t>production than</w:t>
      </w:r>
      <w:r w:rsidR="00685CEC">
        <w:t xml:space="preserve"> </w:t>
      </w:r>
      <w:r>
        <w:t xml:space="preserve">the </w:t>
      </w:r>
      <w:r w:rsidR="00685CEC">
        <w:t>kinetic model.</w:t>
      </w:r>
      <w:r w:rsidR="008652E5">
        <w:t xml:space="preserve"> </w:t>
      </w:r>
      <w:r w:rsidR="00271F93">
        <w:t xml:space="preserve">Models were validated </w:t>
      </w:r>
      <w:r w:rsidR="00A070B7">
        <w:t xml:space="preserve">with </w:t>
      </w:r>
      <w:r w:rsidR="009B409F">
        <w:t xml:space="preserve">three </w:t>
      </w:r>
      <w:r w:rsidR="00271F93">
        <w:t xml:space="preserve">independent data sets </w:t>
      </w:r>
      <w:r w:rsidR="00271F93" w:rsidRPr="00320761">
        <w:t xml:space="preserve">of </w:t>
      </w:r>
      <w:r w:rsidR="00271F93" w:rsidRPr="00F36F7D">
        <w:rPr>
          <w:i/>
        </w:rPr>
        <w:t>E. coli</w:t>
      </w:r>
      <w:r w:rsidR="00271F93" w:rsidRPr="00320761">
        <w:t xml:space="preserve"> CH10-12 fed-batch cultures induced at temperatures 2</w:t>
      </w:r>
      <w:r w:rsidR="00271F93">
        <w:t>9</w:t>
      </w:r>
      <w:r w:rsidR="00271F93" w:rsidRPr="00320761">
        <w:t xml:space="preserve"> </w:t>
      </w:r>
      <w:r w:rsidR="00271F93">
        <w:t>and</w:t>
      </w:r>
      <w:r w:rsidR="00271F93" w:rsidRPr="00320761">
        <w:t xml:space="preserve"> 3</w:t>
      </w:r>
      <w:r w:rsidR="00271F93">
        <w:t>0 </w:t>
      </w:r>
      <w:r w:rsidR="00271F93" w:rsidRPr="00320761">
        <w:t>°C</w:t>
      </w:r>
      <w:r w:rsidR="00271F93">
        <w:t xml:space="preserve">, and </w:t>
      </w:r>
      <w:r w:rsidR="00271F93" w:rsidRPr="00F36F7D">
        <w:rPr>
          <w:i/>
        </w:rPr>
        <w:t>E. coli</w:t>
      </w:r>
      <w:r w:rsidR="00271F93">
        <w:t xml:space="preserve"> NbF12-10 induced at 29 °C. </w:t>
      </w:r>
      <w:r w:rsidR="00271F93" w:rsidRPr="002C2FAE">
        <w:t>Figure</w:t>
      </w:r>
      <w:r w:rsidR="006502EF">
        <w:t> </w:t>
      </w:r>
      <w:r w:rsidR="00271F93">
        <w:t>2</w:t>
      </w:r>
      <w:r w:rsidR="00271F93" w:rsidRPr="002C2FAE">
        <w:t xml:space="preserve"> shows both model simulations and experimental data</w:t>
      </w:r>
      <w:r w:rsidR="00271F93">
        <w:t xml:space="preserve"> for two data sets</w:t>
      </w:r>
      <w:r w:rsidR="006B1450">
        <w:t xml:space="preserve"> of </w:t>
      </w:r>
      <w:r w:rsidR="006B1450" w:rsidRPr="006B1450">
        <w:rPr>
          <w:i/>
        </w:rPr>
        <w:t>E. coli</w:t>
      </w:r>
      <w:r w:rsidR="006B1450">
        <w:t xml:space="preserve"> CH10-12</w:t>
      </w:r>
      <w:r w:rsidR="00271F93">
        <w:t xml:space="preserve"> (29</w:t>
      </w:r>
      <w:r w:rsidR="00271F93" w:rsidRPr="00B4224A">
        <w:t> </w:t>
      </w:r>
      <w:r w:rsidR="00271F93">
        <w:t>°C and 30 °C)</w:t>
      </w:r>
      <w:r w:rsidR="00271F93" w:rsidRPr="002C2FAE">
        <w:t>.</w:t>
      </w:r>
      <w:r w:rsidR="00271F93">
        <w:t xml:space="preserve"> Once again, the hybrid dynamic model has a better prediction for proteins than the kinetic model.</w:t>
      </w:r>
      <w:r w:rsidR="00A070B7">
        <w:t xml:space="preserve"> </w:t>
      </w:r>
    </w:p>
    <w:tbl>
      <w:tblPr>
        <w:tblStyle w:val="Grilledutableau"/>
        <w:tblW w:w="707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9"/>
      </w:tblGrid>
      <w:tr w:rsidR="00E53286" w14:paraId="37F26404" w14:textId="77777777" w:rsidTr="00896AA0">
        <w:tc>
          <w:tcPr>
            <w:tcW w:w="3538" w:type="dxa"/>
            <w:vAlign w:val="center"/>
          </w:tcPr>
          <w:p w14:paraId="2CFB06D4" w14:textId="4583C336" w:rsidR="00E27EBC" w:rsidRDefault="00E53286" w:rsidP="00896AA0">
            <w:pPr>
              <w:pStyle w:val="Els-body-text"/>
              <w:jc w:val="center"/>
            </w:pPr>
            <w:r w:rsidRPr="00E53286">
              <w:rPr>
                <w:noProof/>
              </w:rPr>
              <w:lastRenderedPageBreak/>
              <w:drawing>
                <wp:inline distT="0" distB="0" distL="0" distR="0" wp14:anchorId="664A7E64" wp14:editId="60F10D68">
                  <wp:extent cx="1872000" cy="15696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14:paraId="3541CA15" w14:textId="512C77BB" w:rsidR="00E27EBC" w:rsidRDefault="00E53286" w:rsidP="00896AA0">
            <w:pPr>
              <w:pStyle w:val="Els-body-text"/>
              <w:jc w:val="center"/>
            </w:pPr>
            <w:r w:rsidRPr="00E53286">
              <w:rPr>
                <w:noProof/>
              </w:rPr>
              <w:drawing>
                <wp:inline distT="0" distB="0" distL="0" distR="0" wp14:anchorId="34D9EBF3" wp14:editId="61F91A13">
                  <wp:extent cx="1872000" cy="15696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3C5DE" w14:textId="77777777" w:rsidR="00E27EBC" w:rsidRPr="00896AA0" w:rsidRDefault="00E27EBC" w:rsidP="00896AA0">
      <w:pPr>
        <w:pStyle w:val="Els-body-text"/>
        <w:spacing w:after="80"/>
        <w:rPr>
          <w:b/>
        </w:rPr>
      </w:pPr>
      <w:r w:rsidRPr="00621AE2">
        <w:rPr>
          <w:b/>
          <w:sz w:val="18"/>
        </w:rPr>
        <w:t>Figure 2</w:t>
      </w:r>
      <w:r w:rsidRPr="00896AA0">
        <w:rPr>
          <w:b/>
          <w:sz w:val="18"/>
        </w:rPr>
        <w:t xml:space="preserve">. </w:t>
      </w:r>
      <w:r w:rsidRPr="00621AE2">
        <w:rPr>
          <w:sz w:val="18"/>
        </w:rPr>
        <w:t xml:space="preserve">Experimental data of </w:t>
      </w:r>
      <w:r w:rsidRPr="00621AE2">
        <w:rPr>
          <w:i/>
          <w:sz w:val="18"/>
        </w:rPr>
        <w:t>E. coli</w:t>
      </w:r>
      <w:r w:rsidRPr="00621AE2">
        <w:rPr>
          <w:sz w:val="18"/>
        </w:rPr>
        <w:t xml:space="preserve"> CH10-12 induced at 29 °C (left) and 30 °C (right) used for validation of glucose (o), biomass (&lt;) and proteins (o), kinetic model (- -), and hybrid model (–).</w:t>
      </w:r>
    </w:p>
    <w:tbl>
      <w:tblPr>
        <w:tblStyle w:val="Grilledutableau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43"/>
      </w:tblGrid>
      <w:tr w:rsidR="00E27EBC" w:rsidRPr="00FA2334" w14:paraId="5EC9C45C" w14:textId="77777777" w:rsidTr="00E73558">
        <w:trPr>
          <w:jc w:val="center"/>
        </w:trPr>
        <w:tc>
          <w:tcPr>
            <w:tcW w:w="2500" w:type="pct"/>
            <w:vAlign w:val="center"/>
          </w:tcPr>
          <w:p w14:paraId="6AFABC5F" w14:textId="4F945271" w:rsidR="00E27EBC" w:rsidRPr="00FA2334" w:rsidRDefault="00BA5608" w:rsidP="00E73558">
            <w:pPr>
              <w:pStyle w:val="Els-body-text"/>
              <w:jc w:val="center"/>
            </w:pPr>
            <w:r w:rsidRPr="00BA5608">
              <w:rPr>
                <w:noProof/>
              </w:rPr>
              <w:drawing>
                <wp:inline distT="0" distB="0" distL="0" distR="0" wp14:anchorId="3B24C107" wp14:editId="7B6B96A3">
                  <wp:extent cx="1696718" cy="1419308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57" cy="142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01989D7" w14:textId="27B5ABF5" w:rsidR="00E27EBC" w:rsidRPr="00FA2334" w:rsidRDefault="00E53286" w:rsidP="00E73558">
            <w:pPr>
              <w:pStyle w:val="Els-body-text"/>
              <w:jc w:val="center"/>
            </w:pPr>
            <w:r>
              <w:rPr>
                <w:noProof/>
              </w:rPr>
              <w:drawing>
                <wp:inline distT="0" distB="0" distL="0" distR="0" wp14:anchorId="566EF020" wp14:editId="4D4C2CD8">
                  <wp:extent cx="1722500" cy="1420420"/>
                  <wp:effectExtent l="0" t="0" r="0" b="889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016" cy="1430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BC" w:rsidRPr="00FA2334" w14:paraId="2F93CC1E" w14:textId="77777777" w:rsidTr="00E73558">
        <w:trPr>
          <w:jc w:val="center"/>
        </w:trPr>
        <w:tc>
          <w:tcPr>
            <w:tcW w:w="2500" w:type="pct"/>
            <w:vAlign w:val="center"/>
          </w:tcPr>
          <w:p w14:paraId="7D7EF3A8" w14:textId="6CFDBEAB" w:rsidR="00E27EBC" w:rsidRPr="00FA2334" w:rsidRDefault="00E53286" w:rsidP="00E73558">
            <w:pPr>
              <w:pStyle w:val="Els-body-text"/>
              <w:jc w:val="center"/>
            </w:pPr>
            <w:r w:rsidRPr="00E53286">
              <w:rPr>
                <w:noProof/>
              </w:rPr>
              <w:drawing>
                <wp:inline distT="0" distB="0" distL="0" distR="0" wp14:anchorId="77D64B5C" wp14:editId="0C4AE676">
                  <wp:extent cx="1741855" cy="143057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12" cy="144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A566600" w14:textId="0D9FE76E" w:rsidR="00E27EBC" w:rsidRPr="00FA2334" w:rsidRDefault="00E53286" w:rsidP="00E73558">
            <w:pPr>
              <w:pStyle w:val="Els-body-text"/>
              <w:jc w:val="center"/>
            </w:pPr>
            <w:r w:rsidRPr="00E53286">
              <w:rPr>
                <w:noProof/>
              </w:rPr>
              <w:drawing>
                <wp:inline distT="0" distB="0" distL="0" distR="0" wp14:anchorId="7C5A9846" wp14:editId="2765DDF4">
                  <wp:extent cx="1722617" cy="1437698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29" cy="144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A64A1" w14:textId="13F49534" w:rsidR="00E27EBC" w:rsidRPr="00621AE2" w:rsidRDefault="00E27EBC" w:rsidP="00E27EBC">
      <w:pPr>
        <w:pStyle w:val="Lgende"/>
        <w:spacing w:before="0" w:after="0"/>
        <w:jc w:val="both"/>
        <w:rPr>
          <w:bCs/>
          <w:szCs w:val="18"/>
        </w:rPr>
      </w:pPr>
      <w:r w:rsidRPr="00621AE2">
        <w:rPr>
          <w:b/>
          <w:bCs/>
          <w:szCs w:val="18"/>
        </w:rPr>
        <w:t>Figure</w:t>
      </w:r>
      <w:r w:rsidR="006B1450" w:rsidRPr="00621AE2">
        <w:rPr>
          <w:b/>
          <w:bCs/>
          <w:szCs w:val="18"/>
        </w:rPr>
        <w:t> </w:t>
      </w:r>
      <w:r w:rsidRPr="00621AE2">
        <w:rPr>
          <w:b/>
          <w:bCs/>
          <w:szCs w:val="18"/>
        </w:rPr>
        <w:t>3</w:t>
      </w:r>
      <w:r w:rsidRPr="00896AA0">
        <w:rPr>
          <w:b/>
        </w:rPr>
        <w:t>.</w:t>
      </w:r>
      <w:r w:rsidRPr="00621AE2">
        <w:rPr>
          <w:bCs/>
          <w:szCs w:val="18"/>
        </w:rPr>
        <w:t xml:space="preserve"> Experimental data for protein concentration</w:t>
      </w:r>
      <w:r w:rsidR="006B1450" w:rsidRPr="00621AE2">
        <w:rPr>
          <w:bCs/>
          <w:szCs w:val="18"/>
        </w:rPr>
        <w:t xml:space="preserve"> </w:t>
      </w:r>
      <w:r w:rsidRPr="00621AE2">
        <w:rPr>
          <w:bCs/>
          <w:szCs w:val="18"/>
        </w:rPr>
        <w:t>(o)</w:t>
      </w:r>
      <w:r w:rsidR="006B1450" w:rsidRPr="00621AE2">
        <w:rPr>
          <w:bCs/>
          <w:szCs w:val="18"/>
        </w:rPr>
        <w:t xml:space="preserve"> in </w:t>
      </w:r>
      <w:r w:rsidR="006B1450" w:rsidRPr="00621AE2">
        <w:rPr>
          <w:bCs/>
          <w:i/>
          <w:szCs w:val="18"/>
        </w:rPr>
        <w:t>E. coli</w:t>
      </w:r>
      <w:r w:rsidR="006B1450" w:rsidRPr="00621AE2">
        <w:rPr>
          <w:bCs/>
          <w:szCs w:val="18"/>
        </w:rPr>
        <w:t xml:space="preserve"> CH10-12</w:t>
      </w:r>
      <w:r w:rsidR="008A1BCA">
        <w:rPr>
          <w:bCs/>
          <w:szCs w:val="18"/>
        </w:rPr>
        <w:t xml:space="preserve"> induced at 28 °C (upper-left), 33 °C (upper-right), 29 °C (lower-left), and 30 °C (lower-right)</w:t>
      </w:r>
      <w:r w:rsidRPr="00621AE2">
        <w:rPr>
          <w:bCs/>
          <w:szCs w:val="18"/>
        </w:rPr>
        <w:t>, hybrid model for calibration (- -), Case 1 (*-), Case 2 (·-) and Case 3 (–).</w:t>
      </w:r>
    </w:p>
    <w:p w14:paraId="74F3D157" w14:textId="06CE453A" w:rsidR="00271F93" w:rsidRDefault="00271F93" w:rsidP="00896AA0">
      <w:pPr>
        <w:pStyle w:val="Els-body-text"/>
        <w:spacing w:before="80"/>
      </w:pPr>
      <w:r>
        <w:t>The hybrid model</w:t>
      </w:r>
      <w:r w:rsidR="009B409F">
        <w:t>, SVM,</w:t>
      </w:r>
      <w:r>
        <w:t xml:space="preserve"> was retrained using experimental data other than calibration to improve protein simulations. Four cases were compared:</w:t>
      </w:r>
    </w:p>
    <w:p w14:paraId="48B2F8E8" w14:textId="290CA357" w:rsidR="00271F93" w:rsidRDefault="00271F93" w:rsidP="00621AE2">
      <w:pPr>
        <w:pStyle w:val="Paragraphedeliste"/>
        <w:numPr>
          <w:ilvl w:val="0"/>
          <w:numId w:val="28"/>
        </w:numPr>
        <w:ind w:left="284" w:hanging="142"/>
      </w:pPr>
      <w:r>
        <w:t xml:space="preserve">Case 1: </w:t>
      </w:r>
      <w:r w:rsidR="004F3AAB">
        <w:t xml:space="preserve">CH10-12 </w:t>
      </w:r>
      <w:r>
        <w:t>culture data used for calibration.</w:t>
      </w:r>
    </w:p>
    <w:p w14:paraId="34822FCE" w14:textId="2FA55F9E" w:rsidR="0053370C" w:rsidRDefault="00271F93" w:rsidP="00A070B7">
      <w:pPr>
        <w:pStyle w:val="Paragraphedeliste"/>
        <w:numPr>
          <w:ilvl w:val="0"/>
          <w:numId w:val="28"/>
        </w:numPr>
        <w:ind w:left="284" w:hanging="142"/>
      </w:pPr>
      <w:r>
        <w:t xml:space="preserve">Case 2: </w:t>
      </w:r>
      <w:r w:rsidR="004F3AAB">
        <w:t xml:space="preserve">CH10-12 </w:t>
      </w:r>
      <w:r>
        <w:t>culture data used for calibration and induced at 30</w:t>
      </w:r>
      <w:r w:rsidR="006502EF">
        <w:t> </w:t>
      </w:r>
      <w:r>
        <w:t>°C.</w:t>
      </w:r>
    </w:p>
    <w:p w14:paraId="4B0F77AB" w14:textId="714EFD09" w:rsidR="0053370C" w:rsidRDefault="00271F93" w:rsidP="00A070B7">
      <w:pPr>
        <w:pStyle w:val="Paragraphedeliste"/>
        <w:numPr>
          <w:ilvl w:val="0"/>
          <w:numId w:val="28"/>
        </w:numPr>
        <w:spacing w:before="120" w:after="120"/>
        <w:ind w:left="284" w:hanging="142"/>
      </w:pPr>
      <w:r>
        <w:t xml:space="preserve">Case 3: </w:t>
      </w:r>
      <w:r w:rsidR="004F3AAB">
        <w:t xml:space="preserve">CH10-12 </w:t>
      </w:r>
      <w:r>
        <w:t>culture data used for calibration and induced at 29</w:t>
      </w:r>
      <w:r w:rsidR="006502EF">
        <w:t> </w:t>
      </w:r>
      <w:r>
        <w:t xml:space="preserve">°C, </w:t>
      </w:r>
      <w:r w:rsidR="004F3AAB">
        <w:t xml:space="preserve">and </w:t>
      </w:r>
      <w:r>
        <w:t>30</w:t>
      </w:r>
      <w:r w:rsidR="006502EF">
        <w:t> </w:t>
      </w:r>
      <w:r>
        <w:t xml:space="preserve">°C. </w:t>
      </w:r>
    </w:p>
    <w:p w14:paraId="0E65E0C0" w14:textId="19A658C0" w:rsidR="004F3AAB" w:rsidRDefault="00271F93" w:rsidP="004F3AAB">
      <w:pPr>
        <w:pStyle w:val="Paragraphedeliste"/>
        <w:numPr>
          <w:ilvl w:val="0"/>
          <w:numId w:val="28"/>
        </w:numPr>
        <w:spacing w:after="80"/>
        <w:ind w:left="284" w:hanging="142"/>
      </w:pPr>
      <w:r>
        <w:t xml:space="preserve">Case 4: </w:t>
      </w:r>
      <w:r w:rsidR="004F3AAB">
        <w:t xml:space="preserve">CH10-12 </w:t>
      </w:r>
      <w:r>
        <w:t>culture data used for calibration and induced at 29</w:t>
      </w:r>
      <w:r w:rsidR="006502EF">
        <w:t> </w:t>
      </w:r>
      <w:r>
        <w:t>°C, 30</w:t>
      </w:r>
      <w:r w:rsidR="006502EF">
        <w:t> </w:t>
      </w:r>
      <w:r>
        <w:t>°C</w:t>
      </w:r>
      <w:r w:rsidR="004F3AAB">
        <w:t>,</w:t>
      </w:r>
      <w:r>
        <w:t xml:space="preserve"> and </w:t>
      </w:r>
      <w:r w:rsidR="004F3AAB">
        <w:t xml:space="preserve">NbF12-10 data induced at </w:t>
      </w:r>
      <w:r>
        <w:t>29</w:t>
      </w:r>
      <w:r w:rsidR="006502EF">
        <w:t> </w:t>
      </w:r>
      <w:r>
        <w:t>°C</w:t>
      </w:r>
      <w:r w:rsidR="004F3AAB">
        <w:t>.</w:t>
      </w:r>
    </w:p>
    <w:p w14:paraId="378F5505" w14:textId="4CEE9A0C" w:rsidR="00E27EBC" w:rsidRDefault="00FC17FB" w:rsidP="00896AA0">
      <w:r w:rsidRPr="00FA2334">
        <w:t>Table</w:t>
      </w:r>
      <w:r w:rsidR="00B4224A" w:rsidRPr="00FA2334">
        <w:t> </w:t>
      </w:r>
      <w:r w:rsidRPr="00FA2334">
        <w:t xml:space="preserve">2 </w:t>
      </w:r>
      <w:r w:rsidR="00480333">
        <w:t>reveal</w:t>
      </w:r>
      <w:r w:rsidR="00C53CCD">
        <w:t>s</w:t>
      </w:r>
      <w:r w:rsidR="00480333" w:rsidRPr="00FA2334">
        <w:t xml:space="preserve"> </w:t>
      </w:r>
      <w:r w:rsidRPr="00FA2334">
        <w:t xml:space="preserve">that </w:t>
      </w:r>
      <w:r w:rsidR="00B4224A" w:rsidRPr="00FA2334">
        <w:t xml:space="preserve">the </w:t>
      </w:r>
      <w:r w:rsidRPr="00FA2334">
        <w:t xml:space="preserve">hybrid approach </w:t>
      </w:r>
      <w:r w:rsidR="008B1FAD">
        <w:t xml:space="preserve">achieved </w:t>
      </w:r>
      <w:r w:rsidRPr="00FA2334">
        <w:t xml:space="preserve">better </w:t>
      </w:r>
      <w:r w:rsidR="00B4224A" w:rsidRPr="00FA2334">
        <w:t>accuracy than the k</w:t>
      </w:r>
      <w:r w:rsidRPr="00FA2334">
        <w:t xml:space="preserve">inetic </w:t>
      </w:r>
      <w:r w:rsidR="0081781A" w:rsidRPr="00FA2334">
        <w:t>approach</w:t>
      </w:r>
      <w:r w:rsidRPr="00FA2334">
        <w:t xml:space="preserve">. </w:t>
      </w:r>
      <w:r w:rsidR="0081781A" w:rsidRPr="00FA2334">
        <w:t>Case 2 and Case 3 have similar NRMSE values</w:t>
      </w:r>
      <w:r w:rsidR="00C53CCD">
        <w:t xml:space="preserve"> (Table</w:t>
      </w:r>
      <w:r w:rsidR="006B1450">
        <w:t> </w:t>
      </w:r>
      <w:r w:rsidR="00C53CCD">
        <w:t>2 and Figure</w:t>
      </w:r>
      <w:r w:rsidR="006B1450">
        <w:t> </w:t>
      </w:r>
      <w:r w:rsidR="00C53CCD">
        <w:t>3)</w:t>
      </w:r>
      <w:r w:rsidR="0081781A" w:rsidRPr="00FA2334">
        <w:t>. Th</w:t>
      </w:r>
      <w:r w:rsidR="00EA76F7" w:rsidRPr="00FA2334">
        <w:t>ese</w:t>
      </w:r>
      <w:r w:rsidR="0081781A" w:rsidRPr="00FA2334">
        <w:t xml:space="preserve"> results show </w:t>
      </w:r>
      <w:r w:rsidR="00B4224A" w:rsidRPr="00FA2334">
        <w:t xml:space="preserve">that the </w:t>
      </w:r>
      <w:r w:rsidR="0081781A" w:rsidRPr="00FA2334">
        <w:t>hybrid model could be improve</w:t>
      </w:r>
      <w:r w:rsidR="00B4224A" w:rsidRPr="00FA2334">
        <w:t>d</w:t>
      </w:r>
      <w:r w:rsidR="00EA76F7" w:rsidRPr="00FA2334">
        <w:t xml:space="preserve"> </w:t>
      </w:r>
      <w:r w:rsidR="0081781A" w:rsidRPr="00FA2334">
        <w:t xml:space="preserve">by </w:t>
      </w:r>
      <w:r w:rsidR="00C53CCD">
        <w:t>retraining</w:t>
      </w:r>
      <w:r w:rsidR="00C53CCD" w:rsidRPr="00FA2334">
        <w:t xml:space="preserve"> </w:t>
      </w:r>
      <w:r w:rsidR="00EA76F7" w:rsidRPr="00FA2334">
        <w:t>the experimental data.</w:t>
      </w:r>
      <w:r w:rsidR="00C53CCD">
        <w:t xml:space="preserve"> </w:t>
      </w:r>
      <w:r w:rsidR="00C53CCD" w:rsidRPr="00C53CCD">
        <w:t xml:space="preserve">Finally, the hybrid model is able to simulate the production of the protein correctly </w:t>
      </w:r>
      <w:r w:rsidR="009455C7">
        <w:t>for</w:t>
      </w:r>
      <w:r w:rsidR="00C53CCD" w:rsidRPr="00C53CCD">
        <w:t xml:space="preserve"> two different </w:t>
      </w:r>
      <w:r w:rsidR="009455C7" w:rsidRPr="004F3AAB">
        <w:rPr>
          <w:i/>
        </w:rPr>
        <w:t>E. coli</w:t>
      </w:r>
      <w:r w:rsidR="009455C7">
        <w:t xml:space="preserve"> </w:t>
      </w:r>
      <w:r w:rsidR="00C53CCD" w:rsidRPr="00C53CCD">
        <w:t>strains</w:t>
      </w:r>
      <w:r w:rsidR="00C53CCD">
        <w:t xml:space="preserve"> (Table</w:t>
      </w:r>
      <w:r w:rsidR="006B1450">
        <w:t> </w:t>
      </w:r>
      <w:r w:rsidR="00C53CCD">
        <w:t>2)</w:t>
      </w:r>
      <w:r w:rsidR="00C53CCD" w:rsidRPr="00C53CCD">
        <w:t>.</w:t>
      </w:r>
    </w:p>
    <w:p w14:paraId="09A7A5AC" w14:textId="7F8B6D48" w:rsidR="009F65B9" w:rsidRDefault="009F65B9" w:rsidP="004F3AAB"/>
    <w:p w14:paraId="22EC4D08" w14:textId="4D614B6B" w:rsidR="009F65B9" w:rsidRDefault="009F65B9" w:rsidP="004F3AAB"/>
    <w:p w14:paraId="572422DE" w14:textId="77777777" w:rsidR="00FC17FB" w:rsidRPr="004F3AAB" w:rsidRDefault="00FC17FB" w:rsidP="00896AA0">
      <w:pPr>
        <w:spacing w:before="80"/>
        <w:rPr>
          <w:bCs/>
          <w:sz w:val="18"/>
          <w:lang w:val="en-US"/>
        </w:rPr>
      </w:pPr>
      <w:r w:rsidRPr="00FA2334">
        <w:rPr>
          <w:b/>
          <w:bCs/>
          <w:sz w:val="18"/>
          <w:lang w:val="en-US"/>
        </w:rPr>
        <w:lastRenderedPageBreak/>
        <w:t>Table</w:t>
      </w:r>
      <w:r w:rsidR="00B4224A" w:rsidRPr="00FA2334">
        <w:rPr>
          <w:b/>
          <w:bCs/>
          <w:sz w:val="18"/>
          <w:lang w:val="en-US"/>
        </w:rPr>
        <w:t> </w:t>
      </w:r>
      <w:r w:rsidRPr="00FA2334">
        <w:rPr>
          <w:b/>
          <w:bCs/>
          <w:sz w:val="18"/>
          <w:lang w:val="en-US"/>
        </w:rPr>
        <w:t>2</w:t>
      </w:r>
      <w:r w:rsidRPr="00896AA0">
        <w:rPr>
          <w:b/>
          <w:sz w:val="18"/>
          <w:lang w:val="en-US"/>
        </w:rPr>
        <w:t xml:space="preserve">. </w:t>
      </w:r>
      <w:r w:rsidRPr="004F3AAB">
        <w:rPr>
          <w:bCs/>
          <w:sz w:val="18"/>
          <w:lang w:val="en-US"/>
        </w:rPr>
        <w:t>NRMSE analysis for proteins simulation</w:t>
      </w:r>
    </w:p>
    <w:tbl>
      <w:tblPr>
        <w:tblStyle w:val="Grilledutableau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286"/>
        <w:gridCol w:w="1017"/>
        <w:gridCol w:w="1002"/>
        <w:gridCol w:w="942"/>
        <w:gridCol w:w="955"/>
        <w:gridCol w:w="942"/>
        <w:gridCol w:w="942"/>
      </w:tblGrid>
      <w:tr w:rsidR="00E73558" w:rsidRPr="00FA2334" w14:paraId="3C9D33F8" w14:textId="77777777" w:rsidTr="00E73558">
        <w:trPr>
          <w:jc w:val="center"/>
        </w:trPr>
        <w:tc>
          <w:tcPr>
            <w:tcW w:w="9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05A82FB" w14:textId="77777777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Strain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5F92FA" w14:textId="77777777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Culture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9658B6" w14:textId="77777777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Kinetic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ED61A6E" w14:textId="7898932D" w:rsidR="00D54081" w:rsidRPr="00FA2334" w:rsidRDefault="0072151C" w:rsidP="00E7355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Case</w:t>
            </w:r>
            <w:r w:rsidR="006B145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6C0BF69" w14:textId="59139B80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 xml:space="preserve">Case </w:t>
            </w:r>
            <w:r w:rsidR="0072151C">
              <w:rPr>
                <w:sz w:val="18"/>
                <w:lang w:val="en-US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B7BE3A0" w14:textId="457E7041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 xml:space="preserve">Case </w:t>
            </w:r>
            <w:r w:rsidR="0072151C">
              <w:rPr>
                <w:sz w:val="18"/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D87213" w14:textId="5E9AD12F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Case</w:t>
            </w:r>
            <w:r w:rsidR="005A2A75">
              <w:rPr>
                <w:sz w:val="18"/>
                <w:lang w:val="en-US"/>
              </w:rPr>
              <w:t xml:space="preserve"> </w:t>
            </w:r>
            <w:r w:rsidR="0072151C">
              <w:rPr>
                <w:sz w:val="18"/>
                <w:lang w:val="en-US"/>
              </w:rPr>
              <w:t>4</w:t>
            </w:r>
          </w:p>
        </w:tc>
      </w:tr>
      <w:tr w:rsidR="00E73558" w:rsidRPr="00FA2334" w14:paraId="660CB026" w14:textId="77777777" w:rsidTr="00E73558">
        <w:trPr>
          <w:jc w:val="center"/>
        </w:trPr>
        <w:tc>
          <w:tcPr>
            <w:tcW w:w="907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5DF8E9A" w14:textId="77777777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CH10</w:t>
            </w:r>
            <w:r w:rsidR="00D233B0" w:rsidRPr="00FA2334">
              <w:rPr>
                <w:sz w:val="18"/>
                <w:lang w:val="en-US"/>
              </w:rPr>
              <w:t>-</w:t>
            </w:r>
            <w:r w:rsidRPr="00FA2334">
              <w:rPr>
                <w:sz w:val="18"/>
                <w:lang w:val="en-US"/>
              </w:rPr>
              <w:t>12</w:t>
            </w:r>
          </w:p>
        </w:tc>
        <w:tc>
          <w:tcPr>
            <w:tcW w:w="717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C6E9E29" w14:textId="10532DDF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28</w:t>
            </w:r>
            <w:r w:rsidR="006B1450">
              <w:rPr>
                <w:sz w:val="18"/>
                <w:lang w:val="en-US"/>
              </w:rPr>
              <w:t> </w:t>
            </w:r>
            <w:r w:rsidRPr="00FA2334">
              <w:rPr>
                <w:sz w:val="18"/>
                <w:lang w:val="en-US"/>
              </w:rPr>
              <w:t>°C</w:t>
            </w:r>
          </w:p>
        </w:tc>
        <w:tc>
          <w:tcPr>
            <w:tcW w:w="707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AB65A3E" w14:textId="2265680E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3.10</w:t>
            </w:r>
            <w:r w:rsidR="00B411B3">
              <w:rPr>
                <w:sz w:val="18"/>
                <w:lang w:val="en-US"/>
              </w:rPr>
              <w:t>9</w:t>
            </w:r>
          </w:p>
        </w:tc>
        <w:tc>
          <w:tcPr>
            <w:tcW w:w="66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0B0E414" w14:textId="2755AAF8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0.577</w:t>
            </w:r>
          </w:p>
        </w:tc>
        <w:tc>
          <w:tcPr>
            <w:tcW w:w="674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D2A87CA" w14:textId="1C8CA352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0.91</w:t>
            </w:r>
            <w:r w:rsidR="00B411B3">
              <w:rPr>
                <w:sz w:val="18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3A836E3" w14:textId="5A622F3E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0.153</w:t>
            </w:r>
          </w:p>
        </w:tc>
        <w:tc>
          <w:tcPr>
            <w:tcW w:w="66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74E6887" w14:textId="03BB4F0B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0.152</w:t>
            </w:r>
          </w:p>
        </w:tc>
      </w:tr>
      <w:tr w:rsidR="00E73558" w:rsidRPr="00FA2334" w14:paraId="470D4826" w14:textId="77777777" w:rsidTr="00E73558">
        <w:trPr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88FC" w14:textId="7777777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CH10-12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9E399" w14:textId="621375B0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33</w:t>
            </w:r>
            <w:r w:rsidR="006B1450">
              <w:rPr>
                <w:sz w:val="18"/>
                <w:lang w:val="en-US"/>
              </w:rPr>
              <w:t> </w:t>
            </w:r>
            <w:r w:rsidRPr="00FA2334">
              <w:rPr>
                <w:sz w:val="18"/>
                <w:lang w:val="en-US"/>
              </w:rPr>
              <w:t>°C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12F6" w14:textId="43D4139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7.427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D51EA" w14:textId="3A006358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0.11</w:t>
            </w:r>
            <w:r w:rsidR="00B411B3">
              <w:rPr>
                <w:sz w:val="18"/>
                <w:lang w:val="en-US"/>
              </w:rPr>
              <w:t>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6E8C" w14:textId="3BEFF87E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0.53</w:t>
            </w:r>
            <w:r w:rsidR="00B411B3">
              <w:rPr>
                <w:sz w:val="18"/>
                <w:lang w:val="en-US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A51" w14:textId="001CC53B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0.195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1033" w14:textId="6AC71889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0.170</w:t>
            </w:r>
          </w:p>
        </w:tc>
      </w:tr>
      <w:tr w:rsidR="00E73558" w:rsidRPr="00FA2334" w14:paraId="18B8B3B2" w14:textId="77777777" w:rsidTr="00E73558">
        <w:trPr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A88D" w14:textId="7777777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CH10-12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25C0" w14:textId="1F96CB30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37</w:t>
            </w:r>
            <w:r w:rsidR="006B1450">
              <w:rPr>
                <w:sz w:val="18"/>
                <w:lang w:val="en-US"/>
              </w:rPr>
              <w:t> </w:t>
            </w:r>
            <w:r w:rsidRPr="00FA2334">
              <w:rPr>
                <w:sz w:val="18"/>
                <w:lang w:val="en-US"/>
              </w:rPr>
              <w:t>°C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5329C" w14:textId="73053122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18.01</w:t>
            </w:r>
            <w:r w:rsidR="00B411B3">
              <w:rPr>
                <w:sz w:val="18"/>
                <w:lang w:val="en-US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47E4" w14:textId="293AED33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0.635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9B8AB" w14:textId="54AA7D24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1.049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2C80" w14:textId="2B8FB016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0.45</w:t>
            </w:r>
            <w:r w:rsidR="00B411B3">
              <w:rPr>
                <w:sz w:val="18"/>
                <w:lang w:val="en-US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DDCB4" w14:textId="426305F2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0.429</w:t>
            </w:r>
          </w:p>
        </w:tc>
      </w:tr>
      <w:tr w:rsidR="00E73558" w:rsidRPr="00FA2334" w14:paraId="4DA826BD" w14:textId="77777777" w:rsidTr="00E73558">
        <w:trPr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26007" w14:textId="7777777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CH10-12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8E0A" w14:textId="76FDB9A4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32</w:t>
            </w:r>
            <w:r w:rsidR="006B1450">
              <w:rPr>
                <w:sz w:val="18"/>
                <w:lang w:val="en-US"/>
              </w:rPr>
              <w:t> </w:t>
            </w:r>
            <w:r w:rsidRPr="00FA2334">
              <w:rPr>
                <w:sz w:val="18"/>
                <w:lang w:val="en-US"/>
              </w:rPr>
              <w:t>°C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D088" w14:textId="6BE7F97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29.802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A78B" w14:textId="3D5A414B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0.8</w:t>
            </w:r>
            <w:r w:rsidR="00B411B3">
              <w:rPr>
                <w:sz w:val="18"/>
                <w:lang w:val="en-US"/>
              </w:rPr>
              <w:t>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34F2E" w14:textId="4A87A5D9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0.168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18B71" w14:textId="50F25A3C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2341" w14:textId="7C7C98EB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0.538</w:t>
            </w:r>
          </w:p>
        </w:tc>
      </w:tr>
      <w:tr w:rsidR="00E73558" w:rsidRPr="00FA2334" w14:paraId="29163A88" w14:textId="77777777" w:rsidTr="00E73558">
        <w:trPr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0E5B" w14:textId="7777777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CH10-12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A8FE7" w14:textId="7EC7B42C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30</w:t>
            </w:r>
            <w:r w:rsidR="006B1450">
              <w:rPr>
                <w:sz w:val="18"/>
                <w:lang w:val="en-US"/>
              </w:rPr>
              <w:t> </w:t>
            </w:r>
            <w:r w:rsidRPr="00FA2334">
              <w:rPr>
                <w:sz w:val="18"/>
                <w:lang w:val="en-US"/>
              </w:rPr>
              <w:t>°C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F5867" w14:textId="53036981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3.107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25D5" w14:textId="44F356B3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0.209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41FB" w14:textId="4651ECE4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0.08</w:t>
            </w:r>
            <w:r w:rsidR="00B411B3">
              <w:rPr>
                <w:sz w:val="18"/>
                <w:lang w:val="en-US"/>
              </w:rPr>
              <w:t>7</w:t>
            </w:r>
            <w:r w:rsidRPr="00FA2334">
              <w:rPr>
                <w:sz w:val="18"/>
                <w:lang w:val="en-US"/>
              </w:rPr>
              <w:t>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1FB6" w14:textId="4FF9B4D4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0.11</w:t>
            </w:r>
            <w:r w:rsidR="00B411B3">
              <w:rPr>
                <w:sz w:val="18"/>
                <w:lang w:val="en-US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67AE" w14:textId="399B063A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0.125</w:t>
            </w:r>
          </w:p>
        </w:tc>
      </w:tr>
      <w:tr w:rsidR="00E73558" w:rsidRPr="00FA2334" w14:paraId="4FEE7041" w14:textId="77777777" w:rsidTr="00E73558">
        <w:trPr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2F59" w14:textId="7777777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CH10-12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4F29" w14:textId="4E57F5E4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29</w:t>
            </w:r>
            <w:r w:rsidR="006B1450">
              <w:rPr>
                <w:sz w:val="18"/>
                <w:lang w:val="en-US"/>
              </w:rPr>
              <w:t> </w:t>
            </w:r>
            <w:r w:rsidRPr="00FA2334">
              <w:rPr>
                <w:sz w:val="18"/>
                <w:lang w:val="en-US"/>
              </w:rPr>
              <w:t>°C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AABF7" w14:textId="7777777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3.2463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F4EE" w14:textId="0B4AB76A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2.102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0BE8" w14:textId="4C6B16E7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4.13</w:t>
            </w:r>
            <w:r w:rsidR="00B411B3">
              <w:rPr>
                <w:sz w:val="18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74AA" w14:textId="435A7B01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0.254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45C5" w14:textId="012D9C1A" w:rsidR="00D233B0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0.421</w:t>
            </w:r>
          </w:p>
        </w:tc>
      </w:tr>
      <w:tr w:rsidR="00E73558" w:rsidRPr="00FA2334" w14:paraId="5D456A3C" w14:textId="77777777" w:rsidTr="00E73558">
        <w:trPr>
          <w:jc w:val="center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557B7" w14:textId="77777777" w:rsidR="00D54081" w:rsidRPr="00FA2334" w:rsidRDefault="00D233B0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NbF12-10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2C2C0" w14:textId="1F811A0D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29</w:t>
            </w:r>
            <w:r w:rsidR="006B1450">
              <w:rPr>
                <w:sz w:val="18"/>
                <w:lang w:val="en-US"/>
              </w:rPr>
              <w:t> </w:t>
            </w:r>
            <w:r w:rsidRPr="00FA2334">
              <w:rPr>
                <w:sz w:val="18"/>
                <w:lang w:val="en-US"/>
              </w:rPr>
              <w:t>°C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60D3A" w14:textId="60B50695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12.77</w:t>
            </w:r>
            <w:r w:rsidR="00B411B3">
              <w:rPr>
                <w:sz w:val="18"/>
                <w:lang w:val="en-US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63CDE" w14:textId="1BCA6F60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4.010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9DF79" w14:textId="401F8945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8.645</w:t>
            </w:r>
            <w:r w:rsidR="00B411B3">
              <w:rPr>
                <w:sz w:val="18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4F0219" w14:textId="6D42EA5D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0.696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02417" w14:textId="3B25EB78" w:rsidR="00D54081" w:rsidRPr="00FA2334" w:rsidRDefault="00D54081" w:rsidP="00E73558">
            <w:pPr>
              <w:jc w:val="center"/>
              <w:rPr>
                <w:sz w:val="18"/>
                <w:lang w:val="en-US"/>
              </w:rPr>
            </w:pPr>
            <w:r w:rsidRPr="00FA2334">
              <w:rPr>
                <w:sz w:val="18"/>
                <w:lang w:val="en-US"/>
              </w:rPr>
              <w:t>0.852</w:t>
            </w:r>
          </w:p>
        </w:tc>
      </w:tr>
    </w:tbl>
    <w:p w14:paraId="4B095E82" w14:textId="77777777" w:rsidR="008D2649" w:rsidRPr="00FA2334" w:rsidRDefault="008D2649" w:rsidP="00896AA0">
      <w:pPr>
        <w:pStyle w:val="Els-1storder-head"/>
      </w:pPr>
      <w:r w:rsidRPr="00FA2334">
        <w:t>Conclusions</w:t>
      </w:r>
    </w:p>
    <w:p w14:paraId="36D727C0" w14:textId="36D11F9E" w:rsidR="008D2649" w:rsidRDefault="00F924E8" w:rsidP="00896AA0">
      <w:pPr>
        <w:rPr>
          <w:sz w:val="18"/>
          <w:lang w:val="en-US"/>
        </w:rPr>
      </w:pPr>
      <w:r>
        <w:rPr>
          <w:sz w:val="18"/>
          <w:lang w:val="en-US"/>
        </w:rPr>
        <w:t xml:space="preserve">The data from recombinant </w:t>
      </w:r>
      <w:r w:rsidR="00C57034">
        <w:rPr>
          <w:sz w:val="18"/>
          <w:lang w:val="en-US"/>
        </w:rPr>
        <w:t>protein</w:t>
      </w:r>
      <w:r w:rsidR="006B73FD">
        <w:rPr>
          <w:sz w:val="18"/>
          <w:lang w:val="en-US"/>
        </w:rPr>
        <w:t xml:space="preserve"> </w:t>
      </w:r>
      <w:r w:rsidR="00271F93">
        <w:rPr>
          <w:sz w:val="18"/>
          <w:lang w:val="en-US"/>
        </w:rPr>
        <w:t xml:space="preserve">production </w:t>
      </w:r>
      <w:r>
        <w:rPr>
          <w:sz w:val="18"/>
          <w:lang w:val="en-US"/>
        </w:rPr>
        <w:t xml:space="preserve">produced in </w:t>
      </w:r>
      <w:r w:rsidRPr="00F36F7D">
        <w:rPr>
          <w:i/>
          <w:sz w:val="18"/>
          <w:lang w:val="en-US"/>
        </w:rPr>
        <w:t>E. coli</w:t>
      </w:r>
      <w:r w:rsidR="00C57034">
        <w:rPr>
          <w:i/>
          <w:sz w:val="18"/>
          <w:lang w:val="en-US"/>
        </w:rPr>
        <w:t xml:space="preserve"> </w:t>
      </w:r>
      <w:r w:rsidR="00C57034" w:rsidRPr="009455C7">
        <w:rPr>
          <w:sz w:val="18"/>
          <w:lang w:val="en-US"/>
        </w:rPr>
        <w:t>CH</w:t>
      </w:r>
      <w:r w:rsidR="009455C7" w:rsidRPr="009455C7">
        <w:rPr>
          <w:sz w:val="18"/>
          <w:lang w:val="en-US"/>
        </w:rPr>
        <w:t>1</w:t>
      </w:r>
      <w:r w:rsidR="00C57034" w:rsidRPr="009455C7">
        <w:rPr>
          <w:sz w:val="18"/>
          <w:lang w:val="en-US"/>
        </w:rPr>
        <w:t>0</w:t>
      </w:r>
      <w:r w:rsidR="00C57034" w:rsidRPr="00896AA0">
        <w:rPr>
          <w:sz w:val="18"/>
          <w:lang w:val="en-US"/>
        </w:rPr>
        <w:t>-12</w:t>
      </w:r>
      <w:r>
        <w:rPr>
          <w:sz w:val="18"/>
          <w:lang w:val="en-US"/>
        </w:rPr>
        <w:t xml:space="preserve"> fed-batch cultures w</w:t>
      </w:r>
      <w:r w:rsidR="00C57034">
        <w:rPr>
          <w:sz w:val="18"/>
          <w:lang w:val="en-US"/>
        </w:rPr>
        <w:t>ere</w:t>
      </w:r>
      <w:r>
        <w:rPr>
          <w:sz w:val="18"/>
          <w:lang w:val="en-US"/>
        </w:rPr>
        <w:t xml:space="preserve"> used to </w:t>
      </w:r>
      <w:r w:rsidR="00F51289">
        <w:rPr>
          <w:sz w:val="18"/>
          <w:lang w:val="en-US"/>
        </w:rPr>
        <w:t xml:space="preserve">build </w:t>
      </w:r>
      <w:r>
        <w:rPr>
          <w:sz w:val="18"/>
          <w:lang w:val="en-US"/>
        </w:rPr>
        <w:t xml:space="preserve">two </w:t>
      </w:r>
      <w:r w:rsidR="00C57034">
        <w:rPr>
          <w:sz w:val="18"/>
          <w:lang w:val="en-US"/>
        </w:rPr>
        <w:t xml:space="preserve">dynamic </w:t>
      </w:r>
      <w:r>
        <w:rPr>
          <w:sz w:val="18"/>
          <w:lang w:val="en-US"/>
        </w:rPr>
        <w:t xml:space="preserve">models to </w:t>
      </w:r>
      <w:r w:rsidR="007F43A0">
        <w:rPr>
          <w:sz w:val="18"/>
          <w:lang w:val="en-US"/>
        </w:rPr>
        <w:t>optimize</w:t>
      </w:r>
      <w:r>
        <w:rPr>
          <w:sz w:val="18"/>
          <w:lang w:val="en-US"/>
        </w:rPr>
        <w:t xml:space="preserve"> the nanobody production</w:t>
      </w:r>
      <w:r w:rsidR="007F43A0">
        <w:rPr>
          <w:sz w:val="18"/>
          <w:lang w:val="en-US"/>
        </w:rPr>
        <w:t xml:space="preserve"> for future cultures</w:t>
      </w:r>
      <w:r>
        <w:rPr>
          <w:sz w:val="18"/>
          <w:lang w:val="en-US"/>
        </w:rPr>
        <w:t xml:space="preserve">. </w:t>
      </w:r>
      <w:r w:rsidR="00987B4C" w:rsidRPr="00EA76F7">
        <w:rPr>
          <w:sz w:val="18"/>
          <w:lang w:val="en-US"/>
        </w:rPr>
        <w:t xml:space="preserve">In this study, two </w:t>
      </w:r>
      <w:r w:rsidR="00C57034">
        <w:rPr>
          <w:sz w:val="18"/>
          <w:lang w:val="en-US"/>
        </w:rPr>
        <w:t xml:space="preserve">dynamic </w:t>
      </w:r>
      <w:r w:rsidR="00987B4C" w:rsidRPr="00EA76F7">
        <w:rPr>
          <w:sz w:val="18"/>
          <w:lang w:val="en-US"/>
        </w:rPr>
        <w:t>models were built</w:t>
      </w:r>
      <w:r w:rsidR="00EA76F7" w:rsidRPr="00EA76F7">
        <w:rPr>
          <w:sz w:val="18"/>
          <w:lang w:val="en-US"/>
        </w:rPr>
        <w:t>, a kinetic</w:t>
      </w:r>
      <w:r w:rsidR="00EA76F7">
        <w:rPr>
          <w:sz w:val="18"/>
          <w:lang w:val="en-US"/>
        </w:rPr>
        <w:t xml:space="preserve"> approach</w:t>
      </w:r>
      <w:r w:rsidR="00EA76F7" w:rsidRPr="00EA76F7">
        <w:rPr>
          <w:sz w:val="18"/>
          <w:lang w:val="en-US"/>
        </w:rPr>
        <w:t xml:space="preserve"> and a hybrid approach </w:t>
      </w:r>
      <w:r w:rsidR="00B801FD">
        <w:rPr>
          <w:sz w:val="18"/>
          <w:lang w:val="en-US"/>
        </w:rPr>
        <w:t>based on</w:t>
      </w:r>
      <w:r w:rsidR="00B801FD" w:rsidRPr="00EA76F7">
        <w:rPr>
          <w:sz w:val="18"/>
          <w:lang w:val="en-US"/>
        </w:rPr>
        <w:t xml:space="preserve"> </w:t>
      </w:r>
      <w:r w:rsidR="00EA76F7" w:rsidRPr="00EA76F7">
        <w:rPr>
          <w:sz w:val="18"/>
          <w:lang w:val="en-US"/>
        </w:rPr>
        <w:t>SVM</w:t>
      </w:r>
      <w:r w:rsidR="00987B4C" w:rsidRPr="00EA76F7">
        <w:rPr>
          <w:sz w:val="18"/>
          <w:lang w:val="en-US"/>
        </w:rPr>
        <w:t xml:space="preserve">. </w:t>
      </w:r>
      <w:r w:rsidR="005A0D8A">
        <w:rPr>
          <w:sz w:val="18"/>
          <w:lang w:val="en-US"/>
        </w:rPr>
        <w:t>The h</w:t>
      </w:r>
      <w:r w:rsidR="005A0D8A" w:rsidRPr="00EA76F7">
        <w:rPr>
          <w:sz w:val="18"/>
          <w:lang w:val="en-US"/>
        </w:rPr>
        <w:t xml:space="preserve">ybrid </w:t>
      </w:r>
      <w:r w:rsidR="00EA76F7" w:rsidRPr="00EA76F7">
        <w:rPr>
          <w:sz w:val="18"/>
          <w:lang w:val="en-US"/>
        </w:rPr>
        <w:t xml:space="preserve">approach </w:t>
      </w:r>
      <w:r w:rsidR="00B801FD">
        <w:rPr>
          <w:sz w:val="18"/>
          <w:lang w:val="en-US"/>
        </w:rPr>
        <w:t>reached</w:t>
      </w:r>
      <w:r w:rsidR="00B801FD" w:rsidRPr="00EA76F7">
        <w:rPr>
          <w:sz w:val="18"/>
          <w:lang w:val="en-US"/>
        </w:rPr>
        <w:t xml:space="preserve"> </w:t>
      </w:r>
      <w:r w:rsidR="00EA76F7" w:rsidRPr="00EA76F7">
        <w:rPr>
          <w:sz w:val="18"/>
          <w:lang w:val="en-US"/>
        </w:rPr>
        <w:t xml:space="preserve">a better </w:t>
      </w:r>
      <w:r w:rsidR="00987B4C" w:rsidRPr="00EA76F7">
        <w:rPr>
          <w:sz w:val="18"/>
          <w:lang w:val="en-US"/>
        </w:rPr>
        <w:t>accuracy</w:t>
      </w:r>
      <w:r w:rsidR="00A70831" w:rsidRPr="00EA76F7">
        <w:rPr>
          <w:sz w:val="18"/>
          <w:lang w:val="en-US"/>
        </w:rPr>
        <w:t xml:space="preserve"> </w:t>
      </w:r>
      <w:r w:rsidR="00EA76F7" w:rsidRPr="00EA76F7">
        <w:rPr>
          <w:sz w:val="18"/>
          <w:lang w:val="en-US"/>
        </w:rPr>
        <w:t xml:space="preserve">to predict </w:t>
      </w:r>
      <w:r w:rsidR="00987B4C" w:rsidRPr="00EA76F7">
        <w:rPr>
          <w:sz w:val="18"/>
          <w:lang w:val="en-US"/>
        </w:rPr>
        <w:t>nanobody</w:t>
      </w:r>
      <w:r w:rsidR="00EA76F7" w:rsidRPr="00EA76F7">
        <w:rPr>
          <w:sz w:val="18"/>
          <w:lang w:val="en-US"/>
        </w:rPr>
        <w:t xml:space="preserve"> production compare</w:t>
      </w:r>
      <w:r w:rsidR="005A0D8A">
        <w:rPr>
          <w:sz w:val="18"/>
          <w:lang w:val="en-US"/>
        </w:rPr>
        <w:t>d</w:t>
      </w:r>
      <w:r w:rsidR="00EA76F7" w:rsidRPr="00EA76F7">
        <w:rPr>
          <w:sz w:val="18"/>
          <w:lang w:val="en-US"/>
        </w:rPr>
        <w:t xml:space="preserve"> to </w:t>
      </w:r>
      <w:r w:rsidR="005A0D8A">
        <w:rPr>
          <w:sz w:val="18"/>
          <w:lang w:val="en-US"/>
        </w:rPr>
        <w:t xml:space="preserve">the </w:t>
      </w:r>
      <w:r w:rsidR="00EA76F7" w:rsidRPr="00EA76F7">
        <w:rPr>
          <w:sz w:val="18"/>
          <w:lang w:val="en-US"/>
        </w:rPr>
        <w:t xml:space="preserve">kinetic approach. </w:t>
      </w:r>
      <w:r w:rsidR="00EA76F7">
        <w:rPr>
          <w:sz w:val="18"/>
          <w:lang w:val="en-US"/>
        </w:rPr>
        <w:t>The protein</w:t>
      </w:r>
      <w:r w:rsidR="00234C31">
        <w:rPr>
          <w:sz w:val="18"/>
          <w:lang w:val="en-US"/>
        </w:rPr>
        <w:t xml:space="preserve"> concentration</w:t>
      </w:r>
      <w:r w:rsidR="00EA76F7">
        <w:rPr>
          <w:sz w:val="18"/>
          <w:lang w:val="en-US"/>
        </w:rPr>
        <w:t xml:space="preserve"> predictions were better by </w:t>
      </w:r>
      <w:r w:rsidR="00B411B3">
        <w:rPr>
          <w:sz w:val="18"/>
          <w:lang w:val="en-US"/>
        </w:rPr>
        <w:t xml:space="preserve">retraining </w:t>
      </w:r>
      <w:r w:rsidR="00EA76F7">
        <w:rPr>
          <w:sz w:val="18"/>
          <w:lang w:val="en-US"/>
        </w:rPr>
        <w:t>the hybrid model using new experimental data</w:t>
      </w:r>
      <w:r w:rsidR="00F36F7D" w:rsidRPr="00F36F7D">
        <w:rPr>
          <w:sz w:val="18"/>
          <w:lang w:val="en-US"/>
        </w:rPr>
        <w:t xml:space="preserve"> with NRMSE values between 0.11 and 0.85.</w:t>
      </w:r>
      <w:r w:rsidR="00ED7909">
        <w:rPr>
          <w:sz w:val="18"/>
          <w:lang w:val="en-US"/>
        </w:rPr>
        <w:t xml:space="preserve"> </w:t>
      </w:r>
      <w:r w:rsidR="00ED7909" w:rsidRPr="00ED7909">
        <w:rPr>
          <w:sz w:val="18"/>
          <w:lang w:val="en-US"/>
        </w:rPr>
        <w:t xml:space="preserve">Finally, this approach shows that it is possible to accurately simulate protein production from two different </w:t>
      </w:r>
      <w:r w:rsidR="009455C7" w:rsidRPr="009455C7">
        <w:rPr>
          <w:i/>
          <w:sz w:val="18"/>
          <w:lang w:val="en-US"/>
        </w:rPr>
        <w:t>E. coli</w:t>
      </w:r>
      <w:r w:rsidR="009455C7">
        <w:rPr>
          <w:sz w:val="18"/>
          <w:lang w:val="en-US"/>
        </w:rPr>
        <w:t xml:space="preserve"> </w:t>
      </w:r>
      <w:r w:rsidR="00ED7909" w:rsidRPr="00ED7909">
        <w:rPr>
          <w:sz w:val="18"/>
          <w:lang w:val="en-US"/>
        </w:rPr>
        <w:t>strains.</w:t>
      </w:r>
    </w:p>
    <w:p w14:paraId="6CC26831" w14:textId="6357FE01" w:rsidR="00ED7909" w:rsidRPr="00E73558" w:rsidRDefault="00ED7909" w:rsidP="00896AA0">
      <w:pPr>
        <w:pStyle w:val="Els-1storder-head"/>
        <w:numPr>
          <w:ilvl w:val="0"/>
          <w:numId w:val="0"/>
        </w:numPr>
        <w:spacing w:before="120"/>
      </w:pPr>
      <w:r w:rsidRPr="00896AA0">
        <w:t xml:space="preserve">Acknowledgments </w:t>
      </w:r>
    </w:p>
    <w:p w14:paraId="79241A01" w14:textId="77777777" w:rsidR="00ED7909" w:rsidRPr="00EA76F7" w:rsidRDefault="00ED7909" w:rsidP="00896AA0">
      <w:pPr>
        <w:rPr>
          <w:sz w:val="18"/>
          <w:lang w:val="en-US"/>
        </w:rPr>
      </w:pPr>
      <w:r w:rsidRPr="007F21A8">
        <w:rPr>
          <w:sz w:val="18"/>
          <w:lang w:val="en-US"/>
        </w:rPr>
        <w:t>This work was funded (or co-funded) by the European Union under the Horizon Europe project Bioindustry 4.0, grant n. 101094287</w:t>
      </w:r>
    </w:p>
    <w:p w14:paraId="771CB0F6" w14:textId="77777777" w:rsidR="008D2649" w:rsidRPr="00896AA0" w:rsidRDefault="008D2649" w:rsidP="00896AA0">
      <w:pPr>
        <w:pStyle w:val="Els-1storder-head"/>
        <w:numPr>
          <w:ilvl w:val="0"/>
          <w:numId w:val="0"/>
        </w:numPr>
        <w:spacing w:before="120"/>
        <w:rPr>
          <w:lang w:val="fr-FR"/>
        </w:rPr>
      </w:pPr>
      <w:r w:rsidRPr="00896AA0">
        <w:rPr>
          <w:lang w:val="fr-FR"/>
        </w:rPr>
        <w:t>References</w:t>
      </w:r>
    </w:p>
    <w:p w14:paraId="22BDC0C2" w14:textId="77777777" w:rsidR="00276E73" w:rsidRPr="00896AA0" w:rsidRDefault="00896E4F" w:rsidP="00896E4F">
      <w:pPr>
        <w:pStyle w:val="Els-referenceno-number"/>
        <w:jc w:val="both"/>
        <w:rPr>
          <w:lang w:val="es-419"/>
        </w:rPr>
      </w:pPr>
      <w:r w:rsidRPr="00896AA0">
        <w:rPr>
          <w:lang w:val="es-419"/>
        </w:rPr>
        <w:t xml:space="preserve">S.M. </w:t>
      </w:r>
      <w:r w:rsidR="00276E73" w:rsidRPr="00896AA0">
        <w:rPr>
          <w:lang w:val="es-419"/>
        </w:rPr>
        <w:t xml:space="preserve">Alonso Villela, </w:t>
      </w:r>
      <w:r w:rsidRPr="00896AA0">
        <w:rPr>
          <w:lang w:val="es-419"/>
        </w:rPr>
        <w:t>H.</w:t>
      </w:r>
      <w:r w:rsidR="00276E73" w:rsidRPr="00896AA0">
        <w:rPr>
          <w:lang w:val="es-419"/>
        </w:rPr>
        <w:t xml:space="preserve"> Kraïem, </w:t>
      </w:r>
      <w:r w:rsidRPr="00896AA0">
        <w:rPr>
          <w:lang w:val="es-419"/>
        </w:rPr>
        <w:t>B.</w:t>
      </w:r>
      <w:r w:rsidR="00276E73" w:rsidRPr="00896AA0">
        <w:rPr>
          <w:lang w:val="es-419"/>
        </w:rPr>
        <w:t xml:space="preserve"> Bouhaouala‐Zahar, </w:t>
      </w:r>
      <w:r w:rsidRPr="00896AA0">
        <w:rPr>
          <w:lang w:val="es-419"/>
        </w:rPr>
        <w:t>C.</w:t>
      </w:r>
      <w:r w:rsidR="00276E73" w:rsidRPr="00896AA0">
        <w:rPr>
          <w:lang w:val="es-419"/>
        </w:rPr>
        <w:t xml:space="preserve"> Bideaux, C.</w:t>
      </w:r>
      <w:r w:rsidRPr="00896AA0">
        <w:rPr>
          <w:lang w:val="es-419"/>
        </w:rPr>
        <w:t xml:space="preserve">A. </w:t>
      </w:r>
      <w:r w:rsidR="00276E73" w:rsidRPr="00896AA0">
        <w:rPr>
          <w:lang w:val="es-419"/>
        </w:rPr>
        <w:t xml:space="preserve">Aceves Lara, </w:t>
      </w:r>
      <w:r w:rsidRPr="00896AA0">
        <w:rPr>
          <w:lang w:val="es-419"/>
        </w:rPr>
        <w:t>L.</w:t>
      </w:r>
      <w:r w:rsidR="00276E73" w:rsidRPr="00896AA0">
        <w:rPr>
          <w:lang w:val="es-419"/>
        </w:rPr>
        <w:t xml:space="preserve"> Fillaudeau, 2020. A protocol for recombinant protein quantification by densitometry. MicrobiologyOpen</w:t>
      </w:r>
      <w:r w:rsidR="00F94B11" w:rsidRPr="00896AA0">
        <w:rPr>
          <w:lang w:val="es-419"/>
        </w:rPr>
        <w:t>,</w:t>
      </w:r>
      <w:r w:rsidR="00276E73" w:rsidRPr="00896AA0">
        <w:rPr>
          <w:lang w:val="es-419"/>
        </w:rPr>
        <w:t xml:space="preserve"> 9, 1175–1182.</w:t>
      </w:r>
    </w:p>
    <w:p w14:paraId="6498A1D3" w14:textId="77777777" w:rsidR="00276E73" w:rsidRDefault="00896E4F" w:rsidP="00896E4F">
      <w:pPr>
        <w:pStyle w:val="Els-referenceno-number"/>
        <w:jc w:val="both"/>
        <w:rPr>
          <w:noProof w:val="0"/>
          <w:lang w:val="en-US"/>
        </w:rPr>
      </w:pPr>
      <w:r w:rsidRPr="00896AA0">
        <w:rPr>
          <w:lang w:val="es-419"/>
        </w:rPr>
        <w:t xml:space="preserve">S.M. </w:t>
      </w:r>
      <w:r w:rsidR="00276E73" w:rsidRPr="00896AA0">
        <w:rPr>
          <w:lang w:val="es-419"/>
        </w:rPr>
        <w:t xml:space="preserve">Alonso Villela, </w:t>
      </w:r>
      <w:r w:rsidRPr="00896AA0">
        <w:rPr>
          <w:lang w:val="es-419"/>
        </w:rPr>
        <w:t>H.</w:t>
      </w:r>
      <w:r w:rsidR="00276E73" w:rsidRPr="00896AA0">
        <w:rPr>
          <w:lang w:val="es-419"/>
        </w:rPr>
        <w:t xml:space="preserve"> Ghezal-Kraïem, </w:t>
      </w:r>
      <w:r w:rsidRPr="00896AA0">
        <w:rPr>
          <w:lang w:val="es-419"/>
        </w:rPr>
        <w:t>B.</w:t>
      </w:r>
      <w:r w:rsidR="00276E73" w:rsidRPr="00896AA0">
        <w:rPr>
          <w:lang w:val="es-419"/>
        </w:rPr>
        <w:t xml:space="preserve"> Bouhaouala-Zahar, </w:t>
      </w:r>
      <w:r w:rsidRPr="00896AA0">
        <w:rPr>
          <w:lang w:val="es-419"/>
        </w:rPr>
        <w:t>C.</w:t>
      </w:r>
      <w:r w:rsidR="00276E73" w:rsidRPr="00896AA0">
        <w:rPr>
          <w:lang w:val="es-419"/>
        </w:rPr>
        <w:t xml:space="preserve"> Bideaux, C.</w:t>
      </w:r>
      <w:r w:rsidRPr="00896AA0">
        <w:rPr>
          <w:lang w:val="es-419"/>
        </w:rPr>
        <w:t>A.</w:t>
      </w:r>
      <w:r w:rsidR="00276E73" w:rsidRPr="00896AA0">
        <w:rPr>
          <w:lang w:val="es-419"/>
        </w:rPr>
        <w:t xml:space="preserve"> Aceves Lara, </w:t>
      </w:r>
      <w:r w:rsidRPr="00896AA0">
        <w:rPr>
          <w:lang w:val="es-419"/>
        </w:rPr>
        <w:t>L.</w:t>
      </w:r>
      <w:r w:rsidR="00276E73" w:rsidRPr="00896AA0">
        <w:rPr>
          <w:lang w:val="es-419"/>
        </w:rPr>
        <w:t xml:space="preserve"> Fillaudeau, 2021. </w:t>
      </w:r>
      <w:r w:rsidR="00276E73" w:rsidRPr="00276E73">
        <w:rPr>
          <w:noProof w:val="0"/>
          <w:lang w:val="en-US"/>
        </w:rPr>
        <w:t>Effect of temperature on the production of a recombinant antivenom in fed-batch mode. Appl Microbiol Biotechnol</w:t>
      </w:r>
      <w:r w:rsidR="00F94B11">
        <w:rPr>
          <w:noProof w:val="0"/>
          <w:lang w:val="en-US"/>
        </w:rPr>
        <w:t>,</w:t>
      </w:r>
      <w:r w:rsidR="00276E73" w:rsidRPr="00276E73">
        <w:rPr>
          <w:noProof w:val="0"/>
          <w:lang w:val="en-US"/>
        </w:rPr>
        <w:t xml:space="preserve"> 105, 1017–1030.</w:t>
      </w:r>
    </w:p>
    <w:p w14:paraId="4E850334" w14:textId="77777777" w:rsidR="00276E73" w:rsidRDefault="00896E4F" w:rsidP="00896E4F">
      <w:pPr>
        <w:pStyle w:val="Els-referenceno-number"/>
        <w:jc w:val="both"/>
        <w:rPr>
          <w:noProof w:val="0"/>
          <w:lang w:val="en-US"/>
        </w:rPr>
      </w:pPr>
      <w:r>
        <w:rPr>
          <w:noProof w:val="0"/>
          <w:lang w:val="en-US"/>
        </w:rPr>
        <w:t xml:space="preserve">S.M. </w:t>
      </w:r>
      <w:r w:rsidR="00276E73" w:rsidRPr="00276E73">
        <w:rPr>
          <w:noProof w:val="0"/>
          <w:lang w:val="en-US"/>
        </w:rPr>
        <w:t xml:space="preserve">Alonso Villela, </w:t>
      </w:r>
      <w:r>
        <w:rPr>
          <w:noProof w:val="0"/>
          <w:lang w:val="en-US"/>
        </w:rPr>
        <w:t>H.</w:t>
      </w:r>
      <w:r w:rsidR="00276E73" w:rsidRPr="00276E73">
        <w:rPr>
          <w:noProof w:val="0"/>
          <w:lang w:val="en-US"/>
        </w:rPr>
        <w:t xml:space="preserve"> Kraïem-Ghezal, </w:t>
      </w:r>
      <w:r>
        <w:rPr>
          <w:noProof w:val="0"/>
          <w:lang w:val="en-US"/>
        </w:rPr>
        <w:t>B.</w:t>
      </w:r>
      <w:r w:rsidR="00276E73" w:rsidRPr="00276E73">
        <w:rPr>
          <w:noProof w:val="0"/>
          <w:lang w:val="en-US"/>
        </w:rPr>
        <w:t xml:space="preserve"> Bouhaouala-Zahar, </w:t>
      </w:r>
      <w:r>
        <w:rPr>
          <w:noProof w:val="0"/>
          <w:lang w:val="en-US"/>
        </w:rPr>
        <w:t>C.</w:t>
      </w:r>
      <w:r w:rsidR="00276E73" w:rsidRPr="00276E73">
        <w:rPr>
          <w:noProof w:val="0"/>
          <w:lang w:val="en-US"/>
        </w:rPr>
        <w:t xml:space="preserve"> Bideaux, C.</w:t>
      </w:r>
      <w:r>
        <w:rPr>
          <w:noProof w:val="0"/>
          <w:lang w:val="en-US"/>
        </w:rPr>
        <w:t>A.</w:t>
      </w:r>
      <w:r w:rsidR="00276E73" w:rsidRPr="00276E73">
        <w:rPr>
          <w:noProof w:val="0"/>
          <w:lang w:val="en-US"/>
        </w:rPr>
        <w:t xml:space="preserve"> Aceves Lara, </w:t>
      </w:r>
      <w:r>
        <w:rPr>
          <w:noProof w:val="0"/>
          <w:lang w:val="en-US"/>
        </w:rPr>
        <w:t>L.</w:t>
      </w:r>
      <w:r w:rsidR="00276E73" w:rsidRPr="00276E73">
        <w:rPr>
          <w:noProof w:val="0"/>
          <w:lang w:val="en-US"/>
        </w:rPr>
        <w:t xml:space="preserve"> Fillaudeau, 2023. Production of recombinant scorpion antivenoms in </w:t>
      </w:r>
      <w:r w:rsidR="00276E73" w:rsidRPr="00F36F7D">
        <w:rPr>
          <w:i/>
          <w:noProof w:val="0"/>
          <w:lang w:val="en-US"/>
        </w:rPr>
        <w:t>E. coli</w:t>
      </w:r>
      <w:r w:rsidR="00276E73" w:rsidRPr="00276E73">
        <w:rPr>
          <w:noProof w:val="0"/>
          <w:lang w:val="en-US"/>
        </w:rPr>
        <w:t>: current state and perspectives. Appl Microbiol Biotechnol</w:t>
      </w:r>
      <w:r w:rsidR="00F94B11">
        <w:rPr>
          <w:noProof w:val="0"/>
          <w:lang w:val="en-US"/>
        </w:rPr>
        <w:t>,</w:t>
      </w:r>
      <w:r w:rsidR="00276E73" w:rsidRPr="00276E73">
        <w:rPr>
          <w:noProof w:val="0"/>
          <w:lang w:val="en-US"/>
        </w:rPr>
        <w:t xml:space="preserve"> </w:t>
      </w:r>
      <w:r w:rsidR="006C59C6" w:rsidRPr="006C59C6">
        <w:rPr>
          <w:noProof w:val="0"/>
          <w:lang w:val="en-US"/>
        </w:rPr>
        <w:t>107, 4133–4152</w:t>
      </w:r>
    </w:p>
    <w:p w14:paraId="5FD8BCC7" w14:textId="0FED8FD5" w:rsidR="00274E19" w:rsidRPr="00274E19" w:rsidRDefault="00274E19" w:rsidP="00274E19">
      <w:pPr>
        <w:pStyle w:val="Els-referenceno-number"/>
        <w:rPr>
          <w:noProof w:val="0"/>
          <w:lang w:val="en-US"/>
        </w:rPr>
      </w:pPr>
      <w:r w:rsidRPr="00274E19">
        <w:rPr>
          <w:noProof w:val="0"/>
          <w:lang w:val="en-US"/>
        </w:rPr>
        <w:t>S</w:t>
      </w:r>
      <w:r>
        <w:rPr>
          <w:noProof w:val="0"/>
          <w:lang w:val="en-US"/>
        </w:rPr>
        <w:t>.</w:t>
      </w:r>
      <w:r w:rsidRPr="00274E19">
        <w:rPr>
          <w:noProof w:val="0"/>
          <w:lang w:val="en-US"/>
        </w:rPr>
        <w:t xml:space="preserve"> Badr, K</w:t>
      </w:r>
      <w:r>
        <w:rPr>
          <w:noProof w:val="0"/>
          <w:lang w:val="en-US"/>
        </w:rPr>
        <w:t>.</w:t>
      </w:r>
      <w:r w:rsidRPr="00274E19">
        <w:rPr>
          <w:noProof w:val="0"/>
          <w:lang w:val="en-US"/>
        </w:rPr>
        <w:t xml:space="preserve"> Oishi, K</w:t>
      </w:r>
      <w:r>
        <w:rPr>
          <w:noProof w:val="0"/>
          <w:lang w:val="en-US"/>
        </w:rPr>
        <w:t>.</w:t>
      </w:r>
      <w:r w:rsidRPr="00274E19">
        <w:rPr>
          <w:noProof w:val="0"/>
          <w:lang w:val="en-US"/>
        </w:rPr>
        <w:t xml:space="preserve"> Okamura, S</w:t>
      </w:r>
      <w:r>
        <w:rPr>
          <w:noProof w:val="0"/>
          <w:lang w:val="en-US"/>
        </w:rPr>
        <w:t>.</w:t>
      </w:r>
      <w:r w:rsidRPr="00274E19">
        <w:rPr>
          <w:noProof w:val="0"/>
          <w:lang w:val="en-US"/>
        </w:rPr>
        <w:t xml:space="preserve"> Murakami, H</w:t>
      </w:r>
      <w:r>
        <w:rPr>
          <w:noProof w:val="0"/>
          <w:lang w:val="en-US"/>
        </w:rPr>
        <w:t>.</w:t>
      </w:r>
      <w:r w:rsidRPr="00274E19">
        <w:rPr>
          <w:noProof w:val="0"/>
          <w:lang w:val="en-US"/>
        </w:rPr>
        <w:t xml:space="preserve"> Sugiyama,</w:t>
      </w:r>
      <w:r w:rsidR="00626247">
        <w:rPr>
          <w:noProof w:val="0"/>
          <w:lang w:val="en-US"/>
        </w:rPr>
        <w:t xml:space="preserve"> 2023</w:t>
      </w:r>
      <w:r w:rsidR="009455C7">
        <w:rPr>
          <w:noProof w:val="0"/>
          <w:lang w:val="en-US"/>
        </w:rPr>
        <w:t>.</w:t>
      </w:r>
      <w:r>
        <w:rPr>
          <w:noProof w:val="0"/>
          <w:lang w:val="en-US"/>
        </w:rPr>
        <w:t xml:space="preserve"> </w:t>
      </w:r>
      <w:r w:rsidRPr="00274E19">
        <w:rPr>
          <w:noProof w:val="0"/>
          <w:lang w:val="en-US"/>
        </w:rPr>
        <w:t>Hybrid modelling and data-driven parameterization of monoclonal antibody cultivation processes: Shifts in cell metabolic behavior,</w:t>
      </w:r>
      <w:r>
        <w:rPr>
          <w:noProof w:val="0"/>
          <w:lang w:val="en-US"/>
        </w:rPr>
        <w:t xml:space="preserve"> </w:t>
      </w:r>
      <w:r w:rsidR="00D233B0" w:rsidRPr="00274E19">
        <w:rPr>
          <w:noProof w:val="0"/>
          <w:lang w:val="en-US"/>
        </w:rPr>
        <w:t>Comput Aided Chem Eng</w:t>
      </w:r>
      <w:r w:rsidRPr="00274E19">
        <w:rPr>
          <w:noProof w:val="0"/>
          <w:lang w:val="en-US"/>
        </w:rPr>
        <w:t>,</w:t>
      </w:r>
      <w:r>
        <w:rPr>
          <w:noProof w:val="0"/>
          <w:lang w:val="en-US"/>
        </w:rPr>
        <w:t xml:space="preserve"> </w:t>
      </w:r>
      <w:r w:rsidRPr="00274E19">
        <w:rPr>
          <w:noProof w:val="0"/>
          <w:lang w:val="en-US"/>
        </w:rPr>
        <w:t>52,</w:t>
      </w:r>
      <w:r>
        <w:rPr>
          <w:noProof w:val="0"/>
          <w:lang w:val="en-US"/>
        </w:rPr>
        <w:t xml:space="preserve"> </w:t>
      </w:r>
      <w:r w:rsidRPr="00274E19">
        <w:rPr>
          <w:noProof w:val="0"/>
          <w:lang w:val="en-US"/>
        </w:rPr>
        <w:t>985-990</w:t>
      </w:r>
      <w:r>
        <w:rPr>
          <w:noProof w:val="0"/>
          <w:lang w:val="en-US"/>
        </w:rPr>
        <w:t>.</w:t>
      </w:r>
    </w:p>
    <w:p w14:paraId="18CF04CC" w14:textId="27B38E8F" w:rsidR="00A153C4" w:rsidRDefault="005D6CEE" w:rsidP="00896E4F">
      <w:pPr>
        <w:pStyle w:val="Els-referenceno-number"/>
        <w:jc w:val="both"/>
        <w:rPr>
          <w:noProof w:val="0"/>
          <w:lang w:val="en-US"/>
        </w:rPr>
      </w:pPr>
      <w:r w:rsidRPr="00896AA0">
        <w:rPr>
          <w:lang w:val="es-419"/>
        </w:rPr>
        <w:t xml:space="preserve">B. </w:t>
      </w:r>
      <w:r w:rsidR="00A153C4" w:rsidRPr="00896AA0">
        <w:rPr>
          <w:lang w:val="es-419"/>
        </w:rPr>
        <w:t>Bouhaouala-Zahar,</w:t>
      </w:r>
      <w:r w:rsidRPr="00896AA0">
        <w:rPr>
          <w:lang w:val="es-419"/>
        </w:rPr>
        <w:t xml:space="preserve"> R.</w:t>
      </w:r>
      <w:r w:rsidR="00A153C4" w:rsidRPr="00896AA0">
        <w:rPr>
          <w:lang w:val="es-419"/>
        </w:rPr>
        <w:t xml:space="preserve"> Ben Abderrazek,</w:t>
      </w:r>
      <w:r w:rsidRPr="00896AA0">
        <w:rPr>
          <w:lang w:val="es-419"/>
        </w:rPr>
        <w:t xml:space="preserve"> I.</w:t>
      </w:r>
      <w:r w:rsidR="00A153C4" w:rsidRPr="00896AA0">
        <w:rPr>
          <w:lang w:val="es-419"/>
        </w:rPr>
        <w:t xml:space="preserve"> Hmila,</w:t>
      </w:r>
      <w:r w:rsidRPr="00896AA0">
        <w:rPr>
          <w:lang w:val="es-419"/>
        </w:rPr>
        <w:t xml:space="preserve"> N.</w:t>
      </w:r>
      <w:r w:rsidR="00A153C4" w:rsidRPr="00896AA0">
        <w:rPr>
          <w:lang w:val="es-419"/>
        </w:rPr>
        <w:t xml:space="preserve"> Abidi,</w:t>
      </w:r>
      <w:r w:rsidRPr="00896AA0">
        <w:rPr>
          <w:lang w:val="es-419"/>
        </w:rPr>
        <w:t xml:space="preserve"> S.</w:t>
      </w:r>
      <w:r w:rsidR="00A153C4" w:rsidRPr="00896AA0">
        <w:rPr>
          <w:lang w:val="es-419"/>
        </w:rPr>
        <w:t xml:space="preserve"> Muyldermans,</w:t>
      </w:r>
      <w:r w:rsidRPr="00896AA0">
        <w:rPr>
          <w:lang w:val="es-419"/>
        </w:rPr>
        <w:t xml:space="preserve"> M.</w:t>
      </w:r>
      <w:r w:rsidR="00A153C4" w:rsidRPr="00896AA0">
        <w:rPr>
          <w:lang w:val="es-419"/>
        </w:rPr>
        <w:t xml:space="preserve"> El Ayeb, 2011</w:t>
      </w:r>
      <w:r w:rsidR="009455C7" w:rsidRPr="009455C7">
        <w:rPr>
          <w:noProof w:val="0"/>
          <w:lang w:val="es-419"/>
        </w:rPr>
        <w:t>.</w:t>
      </w:r>
      <w:r w:rsidR="00A153C4" w:rsidRPr="00896AA0">
        <w:rPr>
          <w:lang w:val="es-419"/>
        </w:rPr>
        <w:t xml:space="preserve"> </w:t>
      </w:r>
      <w:r w:rsidR="00A153C4" w:rsidRPr="00A153C4">
        <w:rPr>
          <w:noProof w:val="0"/>
          <w:lang w:val="en-US"/>
        </w:rPr>
        <w:t>Immunological aspects of scorpion toxins: current status and perspectives. Inflamm Allergy Drug Targets 10</w:t>
      </w:r>
      <w:r>
        <w:rPr>
          <w:noProof w:val="0"/>
          <w:lang w:val="en-US"/>
        </w:rPr>
        <w:t xml:space="preserve">, </w:t>
      </w:r>
      <w:r w:rsidR="00A153C4" w:rsidRPr="00A153C4">
        <w:rPr>
          <w:noProof w:val="0"/>
          <w:lang w:val="en-US"/>
        </w:rPr>
        <w:t>358–368</w:t>
      </w:r>
    </w:p>
    <w:p w14:paraId="58F7CC2B" w14:textId="2E70D5EC" w:rsidR="00276E73" w:rsidRPr="0003407B" w:rsidRDefault="00896E4F" w:rsidP="00896E4F">
      <w:pPr>
        <w:pStyle w:val="Els-referenceno-number"/>
        <w:jc w:val="both"/>
        <w:rPr>
          <w:noProof w:val="0"/>
          <w:lang w:val="en-US"/>
        </w:rPr>
      </w:pPr>
      <w:r w:rsidRPr="00896AA0">
        <w:rPr>
          <w:lang w:val="fr-FR"/>
        </w:rPr>
        <w:t xml:space="preserve">J.P. </w:t>
      </w:r>
      <w:r w:rsidR="00276E73" w:rsidRPr="00896AA0">
        <w:rPr>
          <w:lang w:val="fr-FR"/>
        </w:rPr>
        <w:t xml:space="preserve">Chippaux, </w:t>
      </w:r>
      <w:r w:rsidRPr="00896AA0">
        <w:rPr>
          <w:lang w:val="fr-FR"/>
        </w:rPr>
        <w:t>M.</w:t>
      </w:r>
      <w:r w:rsidR="00276E73" w:rsidRPr="00896AA0">
        <w:rPr>
          <w:lang w:val="fr-FR"/>
        </w:rPr>
        <w:t xml:space="preserve"> Goyffon, 2008</w:t>
      </w:r>
      <w:r w:rsidR="009455C7" w:rsidRPr="009455C7">
        <w:rPr>
          <w:noProof w:val="0"/>
          <w:lang w:val="fr-FR"/>
        </w:rPr>
        <w:t>.</w:t>
      </w:r>
      <w:r w:rsidR="00276E73" w:rsidRPr="00896AA0">
        <w:rPr>
          <w:lang w:val="fr-FR"/>
        </w:rPr>
        <w:t xml:space="preserve"> </w:t>
      </w:r>
      <w:r w:rsidR="00276E73" w:rsidRPr="00276E73">
        <w:rPr>
          <w:noProof w:val="0"/>
          <w:lang w:val="en-US"/>
        </w:rPr>
        <w:t xml:space="preserve">Epidemiology of scorpionism: A global appraisal. </w:t>
      </w:r>
      <w:r w:rsidR="00276E73" w:rsidRPr="0003407B">
        <w:rPr>
          <w:noProof w:val="0"/>
          <w:lang w:val="en-US"/>
        </w:rPr>
        <w:t>Acta Trop</w:t>
      </w:r>
      <w:r w:rsidR="00F94B11" w:rsidRPr="0003407B">
        <w:rPr>
          <w:noProof w:val="0"/>
          <w:lang w:val="en-US"/>
        </w:rPr>
        <w:t>,</w:t>
      </w:r>
      <w:r w:rsidR="00276E73" w:rsidRPr="0003407B">
        <w:rPr>
          <w:noProof w:val="0"/>
          <w:lang w:val="en-US"/>
        </w:rPr>
        <w:t xml:space="preserve"> 107, 71–79. </w:t>
      </w:r>
    </w:p>
    <w:p w14:paraId="35606118" w14:textId="39CB8DA2" w:rsidR="00276E73" w:rsidRPr="00276E73" w:rsidRDefault="00896E4F" w:rsidP="00896E4F">
      <w:pPr>
        <w:pStyle w:val="Els-referenceno-number"/>
        <w:jc w:val="both"/>
        <w:rPr>
          <w:noProof w:val="0"/>
          <w:lang w:val="en-US"/>
        </w:rPr>
      </w:pPr>
      <w:r w:rsidRPr="00896E4F">
        <w:rPr>
          <w:noProof w:val="0"/>
          <w:lang w:val="en-US"/>
        </w:rPr>
        <w:t xml:space="preserve">K. </w:t>
      </w:r>
      <w:r w:rsidR="00276E73" w:rsidRPr="00896E4F">
        <w:rPr>
          <w:noProof w:val="0"/>
          <w:lang w:val="en-US"/>
        </w:rPr>
        <w:t xml:space="preserve">Deffar, </w:t>
      </w:r>
      <w:r>
        <w:rPr>
          <w:noProof w:val="0"/>
          <w:lang w:val="en-US"/>
        </w:rPr>
        <w:t>H.</w:t>
      </w:r>
      <w:r w:rsidR="00276E73" w:rsidRPr="00896E4F">
        <w:rPr>
          <w:noProof w:val="0"/>
          <w:lang w:val="en-US"/>
        </w:rPr>
        <w:t xml:space="preserve"> Shi, </w:t>
      </w:r>
      <w:r>
        <w:rPr>
          <w:noProof w:val="0"/>
          <w:lang w:val="en-US"/>
        </w:rPr>
        <w:t>L.</w:t>
      </w:r>
      <w:r w:rsidR="00276E73" w:rsidRPr="00896E4F">
        <w:rPr>
          <w:noProof w:val="0"/>
          <w:lang w:val="en-US"/>
        </w:rPr>
        <w:t xml:space="preserve"> Li, </w:t>
      </w:r>
      <w:r>
        <w:rPr>
          <w:noProof w:val="0"/>
          <w:lang w:val="en-US"/>
        </w:rPr>
        <w:t>X.</w:t>
      </w:r>
      <w:r w:rsidR="00276E73" w:rsidRPr="00896E4F">
        <w:rPr>
          <w:noProof w:val="0"/>
          <w:lang w:val="en-US"/>
        </w:rPr>
        <w:t xml:space="preserve"> Wang, X. Zhu, 2009</w:t>
      </w:r>
      <w:r w:rsidR="009455C7">
        <w:rPr>
          <w:noProof w:val="0"/>
          <w:lang w:val="en-US"/>
        </w:rPr>
        <w:t>.</w:t>
      </w:r>
      <w:r w:rsidR="00276E73" w:rsidRPr="00896E4F">
        <w:rPr>
          <w:noProof w:val="0"/>
          <w:lang w:val="en-US"/>
        </w:rPr>
        <w:t xml:space="preserve"> </w:t>
      </w:r>
      <w:r w:rsidR="00276E73" w:rsidRPr="00276E73">
        <w:rPr>
          <w:noProof w:val="0"/>
          <w:lang w:val="en-US"/>
        </w:rPr>
        <w:t>Nanobodies - the new concept in antibody engineering. Afr</w:t>
      </w:r>
      <w:r w:rsidR="00F94B11">
        <w:rPr>
          <w:noProof w:val="0"/>
          <w:lang w:val="en-US"/>
        </w:rPr>
        <w:t xml:space="preserve"> </w:t>
      </w:r>
      <w:r w:rsidR="00276E73" w:rsidRPr="00276E73">
        <w:rPr>
          <w:noProof w:val="0"/>
          <w:lang w:val="en-US"/>
        </w:rPr>
        <w:t>J Biotechnol</w:t>
      </w:r>
      <w:r w:rsidR="00F94B11">
        <w:rPr>
          <w:noProof w:val="0"/>
          <w:lang w:val="en-US"/>
        </w:rPr>
        <w:t>,</w:t>
      </w:r>
      <w:r w:rsidR="00276E73" w:rsidRPr="00276E73">
        <w:rPr>
          <w:noProof w:val="0"/>
          <w:lang w:val="en-US"/>
        </w:rPr>
        <w:t xml:space="preserve"> 8, 2645–2652.</w:t>
      </w:r>
    </w:p>
    <w:p w14:paraId="4D799688" w14:textId="510563F4" w:rsidR="00A153C4" w:rsidRPr="00896AA0" w:rsidRDefault="00A153C4" w:rsidP="00896E4F">
      <w:pPr>
        <w:pStyle w:val="Els-referenceno-number"/>
        <w:jc w:val="both"/>
        <w:rPr>
          <w:noProof w:val="0"/>
          <w:lang w:val="fr-FR"/>
        </w:rPr>
      </w:pPr>
      <w:r>
        <w:rPr>
          <w:noProof w:val="0"/>
          <w:lang w:val="en-US"/>
        </w:rPr>
        <w:t xml:space="preserve">I. </w:t>
      </w:r>
      <w:r w:rsidRPr="00A153C4">
        <w:rPr>
          <w:noProof w:val="0"/>
          <w:lang w:val="en-US"/>
        </w:rPr>
        <w:t xml:space="preserve">Hmila, </w:t>
      </w:r>
      <w:r w:rsidR="005D6CEE">
        <w:rPr>
          <w:noProof w:val="0"/>
          <w:lang w:val="en-US"/>
        </w:rPr>
        <w:t xml:space="preserve">D. </w:t>
      </w:r>
      <w:r w:rsidRPr="00A153C4">
        <w:rPr>
          <w:noProof w:val="0"/>
          <w:lang w:val="en-US"/>
        </w:rPr>
        <w:t xml:space="preserve">Saerens, </w:t>
      </w:r>
      <w:r w:rsidR="005D6CEE">
        <w:rPr>
          <w:noProof w:val="0"/>
          <w:lang w:val="en-US"/>
        </w:rPr>
        <w:t>R.B.</w:t>
      </w:r>
      <w:r w:rsidRPr="00A153C4">
        <w:rPr>
          <w:noProof w:val="0"/>
          <w:lang w:val="en-US"/>
        </w:rPr>
        <w:t xml:space="preserve"> Abderrazek, </w:t>
      </w:r>
      <w:r w:rsidR="005D6CEE">
        <w:rPr>
          <w:noProof w:val="0"/>
          <w:lang w:val="en-US"/>
        </w:rPr>
        <w:t>C.</w:t>
      </w:r>
      <w:r w:rsidRPr="00A153C4">
        <w:rPr>
          <w:noProof w:val="0"/>
          <w:lang w:val="en-US"/>
        </w:rPr>
        <w:t xml:space="preserve"> Vincke, </w:t>
      </w:r>
      <w:r w:rsidR="005D6CEE">
        <w:rPr>
          <w:noProof w:val="0"/>
          <w:lang w:val="en-US"/>
        </w:rPr>
        <w:t xml:space="preserve">N. </w:t>
      </w:r>
      <w:r w:rsidRPr="00A153C4">
        <w:rPr>
          <w:noProof w:val="0"/>
          <w:lang w:val="en-US"/>
        </w:rPr>
        <w:t xml:space="preserve">Abidi, </w:t>
      </w:r>
      <w:r w:rsidR="005D6CEE">
        <w:rPr>
          <w:noProof w:val="0"/>
          <w:lang w:val="en-US"/>
        </w:rPr>
        <w:t>Z.</w:t>
      </w:r>
      <w:r w:rsidRPr="00A153C4">
        <w:rPr>
          <w:noProof w:val="0"/>
          <w:lang w:val="en-US"/>
        </w:rPr>
        <w:t xml:space="preserve"> Benlasfar, </w:t>
      </w:r>
      <w:r w:rsidR="005D6CEE">
        <w:rPr>
          <w:noProof w:val="0"/>
          <w:lang w:val="en-US"/>
        </w:rPr>
        <w:t>J.</w:t>
      </w:r>
      <w:r w:rsidRPr="00A153C4">
        <w:rPr>
          <w:noProof w:val="0"/>
          <w:lang w:val="en-US"/>
        </w:rPr>
        <w:t xml:space="preserve"> Govaert, </w:t>
      </w:r>
      <w:r w:rsidR="005D6CEE">
        <w:rPr>
          <w:noProof w:val="0"/>
          <w:lang w:val="en-US"/>
        </w:rPr>
        <w:t>M.E.</w:t>
      </w:r>
      <w:r w:rsidRPr="00A153C4">
        <w:rPr>
          <w:noProof w:val="0"/>
          <w:lang w:val="en-US"/>
        </w:rPr>
        <w:t xml:space="preserve"> Ayeb, </w:t>
      </w:r>
      <w:r w:rsidR="005D6CEE">
        <w:rPr>
          <w:noProof w:val="0"/>
          <w:lang w:val="en-US"/>
        </w:rPr>
        <w:t>B.</w:t>
      </w:r>
      <w:r w:rsidRPr="00A153C4">
        <w:rPr>
          <w:noProof w:val="0"/>
          <w:lang w:val="en-US"/>
        </w:rPr>
        <w:t xml:space="preserve"> Bouhaouala‐Zahar, </w:t>
      </w:r>
      <w:r w:rsidR="005D6CEE">
        <w:rPr>
          <w:noProof w:val="0"/>
          <w:lang w:val="en-US"/>
        </w:rPr>
        <w:t>S.</w:t>
      </w:r>
      <w:r w:rsidRPr="00A153C4">
        <w:rPr>
          <w:noProof w:val="0"/>
          <w:lang w:val="en-US"/>
        </w:rPr>
        <w:t xml:space="preserve"> Muyldermans, </w:t>
      </w:r>
      <w:r w:rsidR="00F34842">
        <w:rPr>
          <w:noProof w:val="0"/>
          <w:lang w:val="en-US"/>
        </w:rPr>
        <w:t>2010</w:t>
      </w:r>
      <w:r w:rsidR="009455C7">
        <w:rPr>
          <w:noProof w:val="0"/>
          <w:lang w:val="en-US"/>
        </w:rPr>
        <w:t>.</w:t>
      </w:r>
      <w:r w:rsidR="00F34842">
        <w:rPr>
          <w:noProof w:val="0"/>
          <w:lang w:val="en-US"/>
        </w:rPr>
        <w:t xml:space="preserve"> </w:t>
      </w:r>
      <w:r w:rsidRPr="00A153C4">
        <w:rPr>
          <w:noProof w:val="0"/>
          <w:lang w:val="en-US"/>
        </w:rPr>
        <w:t xml:space="preserve">A Bispecific Nanobody to Provide Full Protection against Lethal Scorpion Envenoming. </w:t>
      </w:r>
      <w:r w:rsidRPr="00896AA0">
        <w:rPr>
          <w:noProof w:val="0"/>
          <w:lang w:val="fr-FR"/>
        </w:rPr>
        <w:t>FASEB j, 24 (9), 3479–3489</w:t>
      </w:r>
    </w:p>
    <w:p w14:paraId="4C90BDD1" w14:textId="56D87B41" w:rsidR="00276E73" w:rsidRDefault="00896E4F" w:rsidP="00896E4F">
      <w:pPr>
        <w:pStyle w:val="Els-referenceno-number"/>
        <w:jc w:val="both"/>
        <w:rPr>
          <w:noProof w:val="0"/>
          <w:lang w:val="en-US"/>
        </w:rPr>
      </w:pPr>
      <w:r w:rsidRPr="00896AA0">
        <w:rPr>
          <w:lang w:val="fr-FR"/>
        </w:rPr>
        <w:t xml:space="preserve">X. </w:t>
      </w:r>
      <w:r w:rsidR="00276E73" w:rsidRPr="00896AA0">
        <w:rPr>
          <w:lang w:val="fr-FR"/>
        </w:rPr>
        <w:t xml:space="preserve">Hua, </w:t>
      </w:r>
      <w:r w:rsidRPr="00896AA0">
        <w:rPr>
          <w:lang w:val="fr-FR"/>
        </w:rPr>
        <w:t>D.</w:t>
      </w:r>
      <w:r w:rsidR="00276E73" w:rsidRPr="00896AA0">
        <w:rPr>
          <w:lang w:val="fr-FR"/>
        </w:rPr>
        <w:t xml:space="preserve"> Fan, </w:t>
      </w:r>
      <w:r w:rsidRPr="00896AA0">
        <w:rPr>
          <w:lang w:val="fr-FR"/>
        </w:rPr>
        <w:t>Y.</w:t>
      </w:r>
      <w:r w:rsidR="00276E73" w:rsidRPr="00896AA0">
        <w:rPr>
          <w:lang w:val="fr-FR"/>
        </w:rPr>
        <w:t xml:space="preserve"> Luo, </w:t>
      </w:r>
      <w:r w:rsidRPr="00896AA0">
        <w:rPr>
          <w:lang w:val="fr-FR"/>
        </w:rPr>
        <w:t>X.</w:t>
      </w:r>
      <w:r w:rsidR="00276E73" w:rsidRPr="00896AA0">
        <w:rPr>
          <w:lang w:val="fr-FR"/>
        </w:rPr>
        <w:t xml:space="preserve"> Zhang, </w:t>
      </w:r>
      <w:r w:rsidRPr="00896AA0">
        <w:rPr>
          <w:lang w:val="fr-FR"/>
        </w:rPr>
        <w:t>H.</w:t>
      </w:r>
      <w:r w:rsidR="00276E73" w:rsidRPr="00896AA0">
        <w:rPr>
          <w:lang w:val="fr-FR"/>
        </w:rPr>
        <w:t xml:space="preserve"> Shi, </w:t>
      </w:r>
      <w:r w:rsidRPr="00896AA0">
        <w:rPr>
          <w:lang w:val="fr-FR"/>
        </w:rPr>
        <w:t>Y.</w:t>
      </w:r>
      <w:r w:rsidR="00276E73" w:rsidRPr="00896AA0">
        <w:rPr>
          <w:lang w:val="fr-FR"/>
        </w:rPr>
        <w:t xml:space="preserve"> Mi, </w:t>
      </w:r>
      <w:r w:rsidRPr="00896AA0">
        <w:rPr>
          <w:lang w:val="fr-FR"/>
        </w:rPr>
        <w:t>X.</w:t>
      </w:r>
      <w:r w:rsidR="00276E73" w:rsidRPr="00896AA0">
        <w:rPr>
          <w:lang w:val="fr-FR"/>
        </w:rPr>
        <w:t xml:space="preserve"> Ma, </w:t>
      </w:r>
      <w:r w:rsidRPr="00896AA0">
        <w:rPr>
          <w:lang w:val="fr-FR"/>
        </w:rPr>
        <w:t>L.</w:t>
      </w:r>
      <w:r w:rsidR="00276E73" w:rsidRPr="00896AA0">
        <w:rPr>
          <w:lang w:val="fr-FR"/>
        </w:rPr>
        <w:t xml:space="preserve"> Shang, </w:t>
      </w:r>
      <w:r w:rsidRPr="00896AA0">
        <w:rPr>
          <w:lang w:val="fr-FR"/>
        </w:rPr>
        <w:t>G.</w:t>
      </w:r>
      <w:r w:rsidR="00276E73" w:rsidRPr="00896AA0">
        <w:rPr>
          <w:lang w:val="fr-FR"/>
        </w:rPr>
        <w:t xml:space="preserve"> Zhao, 2006</w:t>
      </w:r>
      <w:r w:rsidR="009455C7" w:rsidRPr="009455C7">
        <w:rPr>
          <w:noProof w:val="0"/>
          <w:lang w:val="fr-FR"/>
        </w:rPr>
        <w:t>.</w:t>
      </w:r>
      <w:r w:rsidR="00276E73" w:rsidRPr="00896AA0">
        <w:rPr>
          <w:lang w:val="fr-FR"/>
        </w:rPr>
        <w:t xml:space="preserve"> </w:t>
      </w:r>
      <w:r w:rsidR="00276E73" w:rsidRPr="00276E73">
        <w:rPr>
          <w:noProof w:val="0"/>
          <w:lang w:val="en-US"/>
        </w:rPr>
        <w:t xml:space="preserve">Kinetics of High Cell Density Fed-batch Culture of Recombinant </w:t>
      </w:r>
      <w:r w:rsidR="00276E73" w:rsidRPr="00F36F7D">
        <w:rPr>
          <w:i/>
          <w:noProof w:val="0"/>
          <w:lang w:val="en-US"/>
        </w:rPr>
        <w:t>Escherichia coli</w:t>
      </w:r>
      <w:r w:rsidR="00276E73" w:rsidRPr="00276E73">
        <w:rPr>
          <w:noProof w:val="0"/>
          <w:lang w:val="en-US"/>
        </w:rPr>
        <w:t xml:space="preserve"> Producing Human-like Collagen. Chin J Chem Eng</w:t>
      </w:r>
      <w:r w:rsidR="00F94B11">
        <w:rPr>
          <w:noProof w:val="0"/>
          <w:lang w:val="en-US"/>
        </w:rPr>
        <w:t>,</w:t>
      </w:r>
      <w:r w:rsidR="00276E73" w:rsidRPr="00276E73">
        <w:rPr>
          <w:noProof w:val="0"/>
          <w:lang w:val="en-US"/>
        </w:rPr>
        <w:t xml:space="preserve"> 14, 242–247. </w:t>
      </w:r>
    </w:p>
    <w:p w14:paraId="67CECFAB" w14:textId="71486FB0" w:rsidR="00274E19" w:rsidRPr="00274E19" w:rsidRDefault="00274E19" w:rsidP="00274E19">
      <w:pPr>
        <w:pStyle w:val="Els-referenceno-number"/>
        <w:jc w:val="both"/>
        <w:rPr>
          <w:noProof w:val="0"/>
          <w:lang w:val="en-US"/>
        </w:rPr>
      </w:pPr>
      <w:r>
        <w:rPr>
          <w:noProof w:val="0"/>
          <w:lang w:val="en-US"/>
        </w:rPr>
        <w:t>S.</w:t>
      </w:r>
      <w:r w:rsidRPr="00274E19">
        <w:rPr>
          <w:noProof w:val="0"/>
          <w:lang w:val="en-US"/>
        </w:rPr>
        <w:t xml:space="preserve"> Kaya, H</w:t>
      </w:r>
      <w:r>
        <w:rPr>
          <w:noProof w:val="0"/>
          <w:lang w:val="en-US"/>
        </w:rPr>
        <w:t>.</w:t>
      </w:r>
      <w:r w:rsidRPr="00274E19">
        <w:rPr>
          <w:noProof w:val="0"/>
          <w:lang w:val="en-US"/>
        </w:rPr>
        <w:t xml:space="preserve"> Kaya, A</w:t>
      </w:r>
      <w:r>
        <w:rPr>
          <w:noProof w:val="0"/>
          <w:lang w:val="en-US"/>
        </w:rPr>
        <w:t>.</w:t>
      </w:r>
      <w:r w:rsidRPr="00274E19">
        <w:rPr>
          <w:noProof w:val="0"/>
          <w:lang w:val="en-US"/>
        </w:rPr>
        <w:t>W. Rogersa, D</w:t>
      </w:r>
      <w:r>
        <w:rPr>
          <w:noProof w:val="0"/>
          <w:lang w:val="en-US"/>
        </w:rPr>
        <w:t>.</w:t>
      </w:r>
      <w:r w:rsidRPr="00274E19">
        <w:rPr>
          <w:noProof w:val="0"/>
          <w:lang w:val="en-US"/>
        </w:rPr>
        <w:t xml:space="preserve"> Zhang</w:t>
      </w:r>
      <w:r>
        <w:rPr>
          <w:noProof w:val="0"/>
          <w:lang w:val="en-US"/>
        </w:rPr>
        <w:t>, 2023</w:t>
      </w:r>
      <w:r w:rsidR="009455C7">
        <w:rPr>
          <w:noProof w:val="0"/>
          <w:lang w:val="en-US"/>
        </w:rPr>
        <w:t>.</w:t>
      </w:r>
      <w:r>
        <w:rPr>
          <w:noProof w:val="0"/>
          <w:lang w:val="en-US"/>
        </w:rPr>
        <w:t xml:space="preserve"> </w:t>
      </w:r>
      <w:r w:rsidRPr="00274E19">
        <w:rPr>
          <w:noProof w:val="0"/>
          <w:lang w:val="en-US"/>
        </w:rPr>
        <w:t>Integrating hybrid modelling and transfer learning for new bioprocess predictive modelling</w:t>
      </w:r>
      <w:r>
        <w:rPr>
          <w:noProof w:val="0"/>
          <w:lang w:val="en-US"/>
        </w:rPr>
        <w:t xml:space="preserve">, </w:t>
      </w:r>
      <w:r w:rsidRPr="00274E19">
        <w:rPr>
          <w:noProof w:val="0"/>
          <w:lang w:val="en-US"/>
        </w:rPr>
        <w:t>Comput Aided Chem Eng,</w:t>
      </w:r>
      <w:r>
        <w:rPr>
          <w:noProof w:val="0"/>
          <w:lang w:val="en-US"/>
        </w:rPr>
        <w:t xml:space="preserve"> </w:t>
      </w:r>
      <w:r w:rsidRPr="00274E19">
        <w:rPr>
          <w:noProof w:val="0"/>
          <w:lang w:val="en-US"/>
        </w:rPr>
        <w:t>52, 985-990</w:t>
      </w:r>
      <w:r>
        <w:rPr>
          <w:noProof w:val="0"/>
          <w:lang w:val="en-US"/>
        </w:rPr>
        <w:t>.</w:t>
      </w:r>
    </w:p>
    <w:p w14:paraId="0401BDAC" w14:textId="02F1B28B" w:rsidR="008D2649" w:rsidRPr="002C2FAE" w:rsidRDefault="001A5CE7" w:rsidP="00DE42F5">
      <w:pPr>
        <w:pStyle w:val="Els-referenceno-number"/>
        <w:jc w:val="both"/>
        <w:rPr>
          <w:noProof w:val="0"/>
          <w:lang w:val="en-US"/>
        </w:rPr>
      </w:pPr>
      <w:r>
        <w:rPr>
          <w:noProof w:val="0"/>
          <w:lang w:val="en-US"/>
        </w:rPr>
        <w:t xml:space="preserve">Z.Y. </w:t>
      </w:r>
      <w:r w:rsidR="00276E73" w:rsidRPr="00276E73">
        <w:rPr>
          <w:noProof w:val="0"/>
          <w:lang w:val="en-US"/>
        </w:rPr>
        <w:t xml:space="preserve">Zheng, </w:t>
      </w:r>
      <w:r>
        <w:rPr>
          <w:noProof w:val="0"/>
          <w:lang w:val="en-US"/>
        </w:rPr>
        <w:t xml:space="preserve">S.J. </w:t>
      </w:r>
      <w:r w:rsidR="00276E73" w:rsidRPr="00276E73">
        <w:rPr>
          <w:noProof w:val="0"/>
          <w:lang w:val="en-US"/>
        </w:rPr>
        <w:t xml:space="preserve">Yao, </w:t>
      </w:r>
      <w:r>
        <w:rPr>
          <w:noProof w:val="0"/>
          <w:lang w:val="en-US"/>
        </w:rPr>
        <w:t>D.Q.</w:t>
      </w:r>
      <w:r w:rsidR="00276E73" w:rsidRPr="00276E73">
        <w:rPr>
          <w:noProof w:val="0"/>
          <w:lang w:val="en-US"/>
        </w:rPr>
        <w:t xml:space="preserve"> Lin, 2005</w:t>
      </w:r>
      <w:r w:rsidR="009455C7">
        <w:rPr>
          <w:noProof w:val="0"/>
          <w:lang w:val="en-US"/>
        </w:rPr>
        <w:t>.</w:t>
      </w:r>
      <w:r w:rsidR="00276E73" w:rsidRPr="00276E73">
        <w:rPr>
          <w:noProof w:val="0"/>
          <w:lang w:val="en-US"/>
        </w:rPr>
        <w:t xml:space="preserve"> Using a kinetic model that considers cell segregation to optimize hEGF expression in fed-batch cultures of recombinant </w:t>
      </w:r>
      <w:r w:rsidR="00276E73" w:rsidRPr="00F36F7D">
        <w:rPr>
          <w:i/>
          <w:noProof w:val="0"/>
          <w:lang w:val="en-US"/>
        </w:rPr>
        <w:t>Escherichia coli</w:t>
      </w:r>
      <w:r w:rsidR="00276E73" w:rsidRPr="00276E73">
        <w:rPr>
          <w:noProof w:val="0"/>
          <w:lang w:val="en-US"/>
        </w:rPr>
        <w:t>. Bioprocess Biosyst Eng</w:t>
      </w:r>
      <w:r>
        <w:rPr>
          <w:noProof w:val="0"/>
          <w:lang w:val="en-US"/>
        </w:rPr>
        <w:t>,</w:t>
      </w:r>
      <w:r w:rsidR="00276E73" w:rsidRPr="00276E73">
        <w:rPr>
          <w:noProof w:val="0"/>
          <w:lang w:val="en-US"/>
        </w:rPr>
        <w:t xml:space="preserve"> 27, 143–152.</w:t>
      </w:r>
    </w:p>
    <w:sectPr w:rsidR="008D2649" w:rsidRPr="002C2FAE" w:rsidSect="008B0184">
      <w:headerReference w:type="even" r:id="rId17"/>
      <w:headerReference w:type="default" r:id="rId18"/>
      <w:headerReference w:type="first" r:id="rId19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0986" w14:textId="77777777" w:rsidR="00D41651" w:rsidRDefault="00D41651">
      <w:r>
        <w:separator/>
      </w:r>
    </w:p>
  </w:endnote>
  <w:endnote w:type="continuationSeparator" w:id="0">
    <w:p w14:paraId="63F40DEA" w14:textId="77777777" w:rsidR="00D41651" w:rsidRDefault="00D41651">
      <w:r>
        <w:continuationSeparator/>
      </w:r>
    </w:p>
  </w:endnote>
  <w:endnote w:type="continuationNotice" w:id="1">
    <w:p w14:paraId="7565B808" w14:textId="77777777" w:rsidR="00D41651" w:rsidRDefault="00D41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DD68" w14:textId="77777777" w:rsidR="00D41651" w:rsidRDefault="00D41651">
      <w:r>
        <w:separator/>
      </w:r>
    </w:p>
  </w:footnote>
  <w:footnote w:type="continuationSeparator" w:id="0">
    <w:p w14:paraId="4127C4FE" w14:textId="77777777" w:rsidR="00D41651" w:rsidRDefault="00D41651">
      <w:r>
        <w:continuationSeparator/>
      </w:r>
    </w:p>
  </w:footnote>
  <w:footnote w:type="continuationNotice" w:id="1">
    <w:p w14:paraId="496A4507" w14:textId="77777777" w:rsidR="00D41651" w:rsidRDefault="00D41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1D9" w14:textId="77777777" w:rsidR="00E73558" w:rsidRPr="00EC27B6" w:rsidRDefault="00E73558">
    <w:pPr>
      <w:pStyle w:val="En-tte"/>
      <w:tabs>
        <w:tab w:val="clear" w:pos="7200"/>
        <w:tab w:val="right" w:pos="7088"/>
      </w:tabs>
      <w:rPr>
        <w:lang w:val="fr-FR"/>
      </w:rPr>
    </w:pPr>
    <w:r>
      <w:rPr>
        <w:rStyle w:val="Numrodepage"/>
      </w:rPr>
      <w:tab/>
    </w:r>
    <w:r>
      <w:rPr>
        <w:rStyle w:val="Numrodepage"/>
        <w:i/>
      </w:rPr>
      <w:tab/>
    </w:r>
    <w:r w:rsidRPr="00EC27B6">
      <w:rPr>
        <w:i/>
        <w:lang w:val="fr-FR"/>
      </w:rPr>
      <w:t>D. C. Corrales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386A" w14:textId="410F3807" w:rsidR="00E73558" w:rsidRPr="008A1BCA" w:rsidRDefault="00E73558">
    <w:pPr>
      <w:pStyle w:val="En-tte"/>
      <w:tabs>
        <w:tab w:val="clear" w:pos="7200"/>
        <w:tab w:val="right" w:pos="7088"/>
      </w:tabs>
      <w:jc w:val="right"/>
      <w:rPr>
        <w:i/>
        <w:sz w:val="24"/>
      </w:rPr>
    </w:pPr>
    <w:r w:rsidRPr="008A1BCA">
      <w:rPr>
        <w:i/>
        <w:color w:val="000000" w:themeColor="text1"/>
      </w:rPr>
      <w:t xml:space="preserve">Dynamic Hybrid Model for Nanobody-based Antivenom Production (scorpion antivenon) with </w:t>
    </w:r>
    <w:r w:rsidRPr="00896AA0">
      <w:rPr>
        <w:i/>
        <w:color w:val="000000" w:themeColor="text1"/>
      </w:rPr>
      <w:t>E. coli</w:t>
    </w:r>
    <w:r w:rsidRPr="008A1BCA">
      <w:rPr>
        <w:i/>
        <w:color w:val="000000" w:themeColor="text1"/>
      </w:rPr>
      <w:t xml:space="preserve"> CH10-12 and </w:t>
    </w:r>
    <w:r w:rsidRPr="00896AA0">
      <w:rPr>
        <w:i/>
        <w:color w:val="000000" w:themeColor="text1"/>
      </w:rPr>
      <w:t>E. coli</w:t>
    </w:r>
    <w:r w:rsidRPr="008A1BCA">
      <w:rPr>
        <w:i/>
        <w:color w:val="000000" w:themeColor="text1"/>
      </w:rPr>
      <w:t xml:space="preserve"> NbF12-10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191F" w14:textId="77777777" w:rsidR="00E73558" w:rsidRPr="003B50B5" w:rsidRDefault="00E73558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52FC9FCA" w14:textId="77777777" w:rsidR="00E73558" w:rsidRDefault="00E73558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82588"/>
    <w:multiLevelType w:val="hybridMultilevel"/>
    <w:tmpl w:val="142AEB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05B2DF3"/>
    <w:multiLevelType w:val="hybridMultilevel"/>
    <w:tmpl w:val="6EA4EE4A"/>
    <w:lvl w:ilvl="0" w:tplc="123C0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EF05E0"/>
    <w:multiLevelType w:val="hybridMultilevel"/>
    <w:tmpl w:val="9C8E80B6"/>
    <w:lvl w:ilvl="0" w:tplc="B2001DB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C4EEA"/>
    <w:multiLevelType w:val="hybridMultilevel"/>
    <w:tmpl w:val="B3D4701C"/>
    <w:lvl w:ilvl="0" w:tplc="01AA43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11"/>
  </w:num>
  <w:num w:numId="10">
    <w:abstractNumId w:val="16"/>
  </w:num>
  <w:num w:numId="11">
    <w:abstractNumId w:val="14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4"/>
  </w:num>
  <w:num w:numId="25">
    <w:abstractNumId w:val="4"/>
  </w:num>
  <w:num w:numId="26">
    <w:abstractNumId w:val="8"/>
  </w:num>
  <w:num w:numId="27">
    <w:abstractNumId w:val="15"/>
  </w:num>
  <w:num w:numId="28">
    <w:abstractNumId w:val="17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4"/>
  </w:num>
  <w:num w:numId="51">
    <w:abstractNumId w:val="4"/>
  </w:num>
  <w:num w:numId="5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419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37"/>
    <w:rsid w:val="00011A2E"/>
    <w:rsid w:val="00020959"/>
    <w:rsid w:val="000216BD"/>
    <w:rsid w:val="000242EB"/>
    <w:rsid w:val="0003407B"/>
    <w:rsid w:val="000342B2"/>
    <w:rsid w:val="00036C7C"/>
    <w:rsid w:val="0004425F"/>
    <w:rsid w:val="00053E67"/>
    <w:rsid w:val="00062CFE"/>
    <w:rsid w:val="00071F73"/>
    <w:rsid w:val="0007411D"/>
    <w:rsid w:val="000849B9"/>
    <w:rsid w:val="00085361"/>
    <w:rsid w:val="0008558E"/>
    <w:rsid w:val="00086072"/>
    <w:rsid w:val="000C2C9F"/>
    <w:rsid w:val="000C3C26"/>
    <w:rsid w:val="000D3D9B"/>
    <w:rsid w:val="000E43D0"/>
    <w:rsid w:val="0010596D"/>
    <w:rsid w:val="001231D7"/>
    <w:rsid w:val="001600F5"/>
    <w:rsid w:val="0016032F"/>
    <w:rsid w:val="0017453A"/>
    <w:rsid w:val="00180D56"/>
    <w:rsid w:val="00183815"/>
    <w:rsid w:val="00183D3C"/>
    <w:rsid w:val="001856A9"/>
    <w:rsid w:val="001879F6"/>
    <w:rsid w:val="00197883"/>
    <w:rsid w:val="001A28A1"/>
    <w:rsid w:val="001A494B"/>
    <w:rsid w:val="001A5CE7"/>
    <w:rsid w:val="001B1CBC"/>
    <w:rsid w:val="001B39F7"/>
    <w:rsid w:val="001C0148"/>
    <w:rsid w:val="001C2050"/>
    <w:rsid w:val="001C757E"/>
    <w:rsid w:val="001D0FCF"/>
    <w:rsid w:val="001F2E81"/>
    <w:rsid w:val="001F3C24"/>
    <w:rsid w:val="001F4905"/>
    <w:rsid w:val="0020390F"/>
    <w:rsid w:val="00214FE1"/>
    <w:rsid w:val="002221A9"/>
    <w:rsid w:val="00230972"/>
    <w:rsid w:val="00234C31"/>
    <w:rsid w:val="00253B8F"/>
    <w:rsid w:val="00264926"/>
    <w:rsid w:val="00271673"/>
    <w:rsid w:val="00271F93"/>
    <w:rsid w:val="00274E19"/>
    <w:rsid w:val="00275312"/>
    <w:rsid w:val="00276E73"/>
    <w:rsid w:val="0029375A"/>
    <w:rsid w:val="002B26C5"/>
    <w:rsid w:val="002B619E"/>
    <w:rsid w:val="002C2FAE"/>
    <w:rsid w:val="002C493A"/>
    <w:rsid w:val="002C7417"/>
    <w:rsid w:val="002E5E71"/>
    <w:rsid w:val="002F4391"/>
    <w:rsid w:val="003007BA"/>
    <w:rsid w:val="00317866"/>
    <w:rsid w:val="00320761"/>
    <w:rsid w:val="0032114B"/>
    <w:rsid w:val="003534DB"/>
    <w:rsid w:val="0035426F"/>
    <w:rsid w:val="003607B7"/>
    <w:rsid w:val="00361F25"/>
    <w:rsid w:val="0036402B"/>
    <w:rsid w:val="0036768D"/>
    <w:rsid w:val="003720A2"/>
    <w:rsid w:val="003839AE"/>
    <w:rsid w:val="003863EF"/>
    <w:rsid w:val="00393394"/>
    <w:rsid w:val="003A339C"/>
    <w:rsid w:val="003D1582"/>
    <w:rsid w:val="003D7E4C"/>
    <w:rsid w:val="003E41C2"/>
    <w:rsid w:val="003F7535"/>
    <w:rsid w:val="004021D2"/>
    <w:rsid w:val="00404ADC"/>
    <w:rsid w:val="00411FA9"/>
    <w:rsid w:val="00425025"/>
    <w:rsid w:val="00452140"/>
    <w:rsid w:val="00480333"/>
    <w:rsid w:val="0048236E"/>
    <w:rsid w:val="004963AB"/>
    <w:rsid w:val="0049772C"/>
    <w:rsid w:val="004C0244"/>
    <w:rsid w:val="004C6EA6"/>
    <w:rsid w:val="004E244A"/>
    <w:rsid w:val="004E40A8"/>
    <w:rsid w:val="004E50F5"/>
    <w:rsid w:val="004F3AAB"/>
    <w:rsid w:val="00506BE2"/>
    <w:rsid w:val="00507282"/>
    <w:rsid w:val="00511611"/>
    <w:rsid w:val="005144E8"/>
    <w:rsid w:val="0053370C"/>
    <w:rsid w:val="005343FA"/>
    <w:rsid w:val="00534E02"/>
    <w:rsid w:val="00540828"/>
    <w:rsid w:val="00552EEB"/>
    <w:rsid w:val="00557F02"/>
    <w:rsid w:val="00563414"/>
    <w:rsid w:val="005A0D8A"/>
    <w:rsid w:val="005A2A75"/>
    <w:rsid w:val="005A48B1"/>
    <w:rsid w:val="005A65C3"/>
    <w:rsid w:val="005B0354"/>
    <w:rsid w:val="005D5DF5"/>
    <w:rsid w:val="005D6CEE"/>
    <w:rsid w:val="005D7614"/>
    <w:rsid w:val="005E74CD"/>
    <w:rsid w:val="005F15A9"/>
    <w:rsid w:val="00621945"/>
    <w:rsid w:val="00621AE2"/>
    <w:rsid w:val="00626247"/>
    <w:rsid w:val="006416D2"/>
    <w:rsid w:val="00644AAC"/>
    <w:rsid w:val="006502EF"/>
    <w:rsid w:val="00651D81"/>
    <w:rsid w:val="00664B10"/>
    <w:rsid w:val="006650A3"/>
    <w:rsid w:val="00685889"/>
    <w:rsid w:val="00685CEC"/>
    <w:rsid w:val="006A337E"/>
    <w:rsid w:val="006A5B1B"/>
    <w:rsid w:val="006A69BF"/>
    <w:rsid w:val="006B1450"/>
    <w:rsid w:val="006B4FAF"/>
    <w:rsid w:val="006B73FD"/>
    <w:rsid w:val="006C2791"/>
    <w:rsid w:val="006C3183"/>
    <w:rsid w:val="006C37BB"/>
    <w:rsid w:val="006C59C6"/>
    <w:rsid w:val="006E196A"/>
    <w:rsid w:val="006F3A92"/>
    <w:rsid w:val="006F49B3"/>
    <w:rsid w:val="007005C6"/>
    <w:rsid w:val="00704D07"/>
    <w:rsid w:val="00711DF4"/>
    <w:rsid w:val="0071320C"/>
    <w:rsid w:val="0072151C"/>
    <w:rsid w:val="00722792"/>
    <w:rsid w:val="00736BE3"/>
    <w:rsid w:val="007455EE"/>
    <w:rsid w:val="0075518F"/>
    <w:rsid w:val="007925ED"/>
    <w:rsid w:val="007C23B0"/>
    <w:rsid w:val="007C291C"/>
    <w:rsid w:val="007D70A1"/>
    <w:rsid w:val="007E5B79"/>
    <w:rsid w:val="007F2E9B"/>
    <w:rsid w:val="007F43A0"/>
    <w:rsid w:val="0080310C"/>
    <w:rsid w:val="008132E8"/>
    <w:rsid w:val="008167D3"/>
    <w:rsid w:val="0081781A"/>
    <w:rsid w:val="00823407"/>
    <w:rsid w:val="00824C33"/>
    <w:rsid w:val="008301FD"/>
    <w:rsid w:val="00831707"/>
    <w:rsid w:val="008340D8"/>
    <w:rsid w:val="008652E5"/>
    <w:rsid w:val="008751BA"/>
    <w:rsid w:val="00875B55"/>
    <w:rsid w:val="0088300E"/>
    <w:rsid w:val="00896AA0"/>
    <w:rsid w:val="00896E4F"/>
    <w:rsid w:val="008A1BCA"/>
    <w:rsid w:val="008A5686"/>
    <w:rsid w:val="008B0184"/>
    <w:rsid w:val="008B1FAD"/>
    <w:rsid w:val="008C5220"/>
    <w:rsid w:val="008C5D02"/>
    <w:rsid w:val="008C7395"/>
    <w:rsid w:val="008D2649"/>
    <w:rsid w:val="008D5599"/>
    <w:rsid w:val="008F0211"/>
    <w:rsid w:val="009024B0"/>
    <w:rsid w:val="0090568D"/>
    <w:rsid w:val="00911681"/>
    <w:rsid w:val="009125C9"/>
    <w:rsid w:val="009137D1"/>
    <w:rsid w:val="00913879"/>
    <w:rsid w:val="00915D29"/>
    <w:rsid w:val="00917661"/>
    <w:rsid w:val="009455C7"/>
    <w:rsid w:val="009529BC"/>
    <w:rsid w:val="00957C87"/>
    <w:rsid w:val="00961FA4"/>
    <w:rsid w:val="00970E5D"/>
    <w:rsid w:val="0097116E"/>
    <w:rsid w:val="00972DBB"/>
    <w:rsid w:val="0097701C"/>
    <w:rsid w:val="00980A65"/>
    <w:rsid w:val="00987B4C"/>
    <w:rsid w:val="00991982"/>
    <w:rsid w:val="009B0858"/>
    <w:rsid w:val="009B409F"/>
    <w:rsid w:val="009C07C6"/>
    <w:rsid w:val="009D302E"/>
    <w:rsid w:val="009F65B9"/>
    <w:rsid w:val="00A070B7"/>
    <w:rsid w:val="00A153C4"/>
    <w:rsid w:val="00A209E0"/>
    <w:rsid w:val="00A20A91"/>
    <w:rsid w:val="00A25E70"/>
    <w:rsid w:val="00A261DF"/>
    <w:rsid w:val="00A32D6F"/>
    <w:rsid w:val="00A33765"/>
    <w:rsid w:val="00A3581C"/>
    <w:rsid w:val="00A36DA3"/>
    <w:rsid w:val="00A5099D"/>
    <w:rsid w:val="00A56153"/>
    <w:rsid w:val="00A63269"/>
    <w:rsid w:val="00A64826"/>
    <w:rsid w:val="00A70831"/>
    <w:rsid w:val="00A92377"/>
    <w:rsid w:val="00AB29ED"/>
    <w:rsid w:val="00AC11B4"/>
    <w:rsid w:val="00AD15EE"/>
    <w:rsid w:val="00AE4BD8"/>
    <w:rsid w:val="00B0073B"/>
    <w:rsid w:val="00B03FD9"/>
    <w:rsid w:val="00B15BB2"/>
    <w:rsid w:val="00B20BBF"/>
    <w:rsid w:val="00B231AC"/>
    <w:rsid w:val="00B232DD"/>
    <w:rsid w:val="00B411B3"/>
    <w:rsid w:val="00B4224A"/>
    <w:rsid w:val="00B4388F"/>
    <w:rsid w:val="00B525CC"/>
    <w:rsid w:val="00B531D2"/>
    <w:rsid w:val="00B63237"/>
    <w:rsid w:val="00B65527"/>
    <w:rsid w:val="00B801FD"/>
    <w:rsid w:val="00B83DDF"/>
    <w:rsid w:val="00B84802"/>
    <w:rsid w:val="00BA5608"/>
    <w:rsid w:val="00BA7807"/>
    <w:rsid w:val="00BD1A28"/>
    <w:rsid w:val="00BF1CF4"/>
    <w:rsid w:val="00C16828"/>
    <w:rsid w:val="00C26945"/>
    <w:rsid w:val="00C53A74"/>
    <w:rsid w:val="00C53CCD"/>
    <w:rsid w:val="00C57034"/>
    <w:rsid w:val="00C67621"/>
    <w:rsid w:val="00C8695F"/>
    <w:rsid w:val="00C919F8"/>
    <w:rsid w:val="00C92484"/>
    <w:rsid w:val="00C960DC"/>
    <w:rsid w:val="00CA673A"/>
    <w:rsid w:val="00CA6CE4"/>
    <w:rsid w:val="00CC17FE"/>
    <w:rsid w:val="00CC18DF"/>
    <w:rsid w:val="00CE27B1"/>
    <w:rsid w:val="00D0213B"/>
    <w:rsid w:val="00D02C75"/>
    <w:rsid w:val="00D10E22"/>
    <w:rsid w:val="00D13D2C"/>
    <w:rsid w:val="00D22E5D"/>
    <w:rsid w:val="00D233B0"/>
    <w:rsid w:val="00D41651"/>
    <w:rsid w:val="00D46D12"/>
    <w:rsid w:val="00D532D0"/>
    <w:rsid w:val="00D5384A"/>
    <w:rsid w:val="00D54081"/>
    <w:rsid w:val="00D82264"/>
    <w:rsid w:val="00D83396"/>
    <w:rsid w:val="00D839A0"/>
    <w:rsid w:val="00D8758A"/>
    <w:rsid w:val="00D910F3"/>
    <w:rsid w:val="00D959F3"/>
    <w:rsid w:val="00D96E66"/>
    <w:rsid w:val="00D97779"/>
    <w:rsid w:val="00DA1BD9"/>
    <w:rsid w:val="00DB5B34"/>
    <w:rsid w:val="00DC2F94"/>
    <w:rsid w:val="00DD3D9E"/>
    <w:rsid w:val="00DD7908"/>
    <w:rsid w:val="00DE42F5"/>
    <w:rsid w:val="00E00F46"/>
    <w:rsid w:val="00E10BFE"/>
    <w:rsid w:val="00E21095"/>
    <w:rsid w:val="00E2120B"/>
    <w:rsid w:val="00E22E69"/>
    <w:rsid w:val="00E23EB9"/>
    <w:rsid w:val="00E27EBC"/>
    <w:rsid w:val="00E30139"/>
    <w:rsid w:val="00E422F7"/>
    <w:rsid w:val="00E43F88"/>
    <w:rsid w:val="00E53286"/>
    <w:rsid w:val="00E637DF"/>
    <w:rsid w:val="00E66EAA"/>
    <w:rsid w:val="00E73558"/>
    <w:rsid w:val="00E758EA"/>
    <w:rsid w:val="00E82297"/>
    <w:rsid w:val="00EA1586"/>
    <w:rsid w:val="00EA76F7"/>
    <w:rsid w:val="00EB6B5D"/>
    <w:rsid w:val="00EC27B6"/>
    <w:rsid w:val="00EC5558"/>
    <w:rsid w:val="00EC6D3D"/>
    <w:rsid w:val="00ED2D17"/>
    <w:rsid w:val="00ED6073"/>
    <w:rsid w:val="00ED7909"/>
    <w:rsid w:val="00EF1D80"/>
    <w:rsid w:val="00EF39FD"/>
    <w:rsid w:val="00EF5AA3"/>
    <w:rsid w:val="00F044C6"/>
    <w:rsid w:val="00F06842"/>
    <w:rsid w:val="00F107FD"/>
    <w:rsid w:val="00F23F3F"/>
    <w:rsid w:val="00F34842"/>
    <w:rsid w:val="00F36F7D"/>
    <w:rsid w:val="00F40651"/>
    <w:rsid w:val="00F45B27"/>
    <w:rsid w:val="00F51289"/>
    <w:rsid w:val="00F57368"/>
    <w:rsid w:val="00F61A0A"/>
    <w:rsid w:val="00F63E6E"/>
    <w:rsid w:val="00F924E8"/>
    <w:rsid w:val="00F94B11"/>
    <w:rsid w:val="00FA2238"/>
    <w:rsid w:val="00FA2334"/>
    <w:rsid w:val="00FA27A4"/>
    <w:rsid w:val="00FA2B8B"/>
    <w:rsid w:val="00FB1E60"/>
    <w:rsid w:val="00FB64A8"/>
    <w:rsid w:val="00FC17FB"/>
    <w:rsid w:val="00FC191E"/>
    <w:rsid w:val="00FD1215"/>
    <w:rsid w:val="00FD1B64"/>
    <w:rsid w:val="00FD6B98"/>
    <w:rsid w:val="00FD728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9B6E2"/>
  <w15:docId w15:val="{C6FD484A-5CC3-43E0-AD19-5AB22AFB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73B"/>
    <w:pPr>
      <w:jc w:val="both"/>
    </w:pPr>
    <w:rPr>
      <w:lang w:eastAsia="en-US"/>
    </w:rPr>
  </w:style>
  <w:style w:type="paragraph" w:styleId="Titre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Appeldenotedefin">
    <w:name w:val="endnote reference"/>
    <w:basedOn w:val="Policepardfaut"/>
    <w:semiHidden/>
    <w:rsid w:val="008B0184"/>
    <w:rPr>
      <w:vertAlign w:val="superscript"/>
    </w:rPr>
  </w:style>
  <w:style w:type="paragraph" w:styleId="En-tt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eddepage">
    <w:name w:val="footer"/>
    <w:basedOn w:val="En-tte"/>
    <w:rsid w:val="008B0184"/>
  </w:style>
  <w:style w:type="character" w:styleId="Appelnotedebasdep">
    <w:name w:val="footnote reference"/>
    <w:semiHidden/>
    <w:rsid w:val="008B0184"/>
    <w:rPr>
      <w:vertAlign w:val="superscript"/>
    </w:rPr>
  </w:style>
  <w:style w:type="paragraph" w:styleId="Notedebasdepage">
    <w:name w:val="footnote text"/>
    <w:basedOn w:val="Normal"/>
    <w:semiHidden/>
    <w:rsid w:val="008B0184"/>
    <w:rPr>
      <w:rFonts w:ascii="Univers" w:hAnsi="Univers"/>
    </w:rPr>
  </w:style>
  <w:style w:type="character" w:styleId="Lienhypertexte">
    <w:name w:val="Hyperlink"/>
    <w:basedOn w:val="Policepardfaut"/>
    <w:rsid w:val="008B0184"/>
    <w:rPr>
      <w:color w:val="0000FF"/>
      <w:u w:val="single"/>
    </w:rPr>
  </w:style>
  <w:style w:type="character" w:customStyle="1" w:styleId="MTEquationSection">
    <w:name w:val="MTEquationSection"/>
    <w:basedOn w:val="Policepardfaut"/>
    <w:rsid w:val="008B0184"/>
    <w:rPr>
      <w:vanish/>
      <w:color w:val="FF0000"/>
    </w:rPr>
  </w:style>
  <w:style w:type="character" w:styleId="Numrodepage">
    <w:name w:val="page number"/>
    <w:basedOn w:val="Policepardfau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Policepardfaut"/>
    <w:rsid w:val="008B0184"/>
    <w:rPr>
      <w:sz w:val="18"/>
      <w:lang w:val="en-US" w:eastAsia="en-US" w:bidi="ar-SA"/>
    </w:rPr>
  </w:style>
  <w:style w:type="character" w:styleId="Marquedecommentaire">
    <w:name w:val="annotation reference"/>
    <w:basedOn w:val="Policepardfaut"/>
    <w:semiHidden/>
    <w:rsid w:val="008B0184"/>
    <w:rPr>
      <w:sz w:val="16"/>
      <w:szCs w:val="16"/>
    </w:rPr>
  </w:style>
  <w:style w:type="paragraph" w:styleId="Commentaire">
    <w:name w:val="annotation text"/>
    <w:basedOn w:val="Normal"/>
    <w:semiHidden/>
    <w:rsid w:val="008B0184"/>
  </w:style>
  <w:style w:type="paragraph" w:styleId="Objetducommentaire">
    <w:name w:val="annotation subject"/>
    <w:basedOn w:val="Commentaire"/>
    <w:next w:val="Commentaire"/>
    <w:semiHidden/>
    <w:rsid w:val="008B0184"/>
    <w:rPr>
      <w:b/>
      <w:bCs/>
    </w:rPr>
  </w:style>
  <w:style w:type="paragraph" w:styleId="Textedebulles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Policepardfau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2C493A"/>
    <w:pPr>
      <w:ind w:left="720" w:hanging="720"/>
    </w:pPr>
  </w:style>
  <w:style w:type="paragraph" w:styleId="Rvision">
    <w:name w:val="Revision"/>
    <w:hidden/>
    <w:uiPriority w:val="99"/>
    <w:semiHidden/>
    <w:rsid w:val="002C493A"/>
    <w:rPr>
      <w:lang w:eastAsia="en-US"/>
    </w:rPr>
  </w:style>
  <w:style w:type="paragraph" w:customStyle="1" w:styleId="CETEquation">
    <w:name w:val="CET Equation"/>
    <w:basedOn w:val="Normal"/>
    <w:next w:val="Normal"/>
    <w:qFormat/>
    <w:rsid w:val="0032114B"/>
    <w:pPr>
      <w:tabs>
        <w:tab w:val="right" w:pos="7100"/>
      </w:tabs>
      <w:spacing w:before="120" w:after="120" w:line="264" w:lineRule="auto"/>
      <w:jc w:val="left"/>
    </w:pPr>
    <w:rPr>
      <w:rFonts w:ascii="Arial" w:hAnsi="Arial"/>
      <w:sz w:val="18"/>
    </w:rPr>
  </w:style>
  <w:style w:type="table" w:styleId="Grilledutableau">
    <w:name w:val="Table Grid"/>
    <w:basedOn w:val="TableauNormal"/>
    <w:uiPriority w:val="39"/>
    <w:rsid w:val="003211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568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A5686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6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51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ves@insa-toulouse.fr" TargetMode="External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70DE71-99CA-45E6-86DB-FF13F77E2818}">
  <we:reference id="4b785c87-866c-4bad-85d8-5d1ae467ac9a" version="3.12.0.0" store="EXCatalog" storeType="EXCatalog"/>
  <we:alternateReferences>
    <we:reference id="WA104381909" version="3.12.0.0" store="fr-F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F652-9C3B-4E51-8A84-B3122EB4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9</TotalTime>
  <Pages>6</Pages>
  <Words>2354</Words>
  <Characters>12951</Characters>
  <Application>Microsoft Office Word</Application>
  <DocSecurity>0</DocSecurity>
  <Lines>107</Lines>
  <Paragraphs>30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Kostas;Susana Alonso</dc:creator>
  <cp:keywords>CACE, hybrid model</cp:keywords>
  <dc:description/>
  <cp:lastModifiedBy>Cesar-Arturo Aceves-Lara</cp:lastModifiedBy>
  <cp:revision>4</cp:revision>
  <cp:lastPrinted>2004-12-17T09:20:00Z</cp:lastPrinted>
  <dcterms:created xsi:type="dcterms:W3CDTF">2023-12-19T17:04:00Z</dcterms:created>
  <dcterms:modified xsi:type="dcterms:W3CDTF">2023-12-19T17:13:00Z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ZOTERO_PREF_1">
    <vt:lpwstr>&lt;data data-version="3" zotero-version="6.0.5"&gt;&lt;session id="4WIoSmle"/&gt;&lt;style id="http://www.zotero.org/styles/elsevier-harvard" hasBibliography="1" bibliographyStyleHasBeenSet="1"/&gt;&lt;prefs&gt;&lt;pref name="fieldType" value="Field"/&gt;&lt;/prefs&gt;&lt;/data&gt;</vt:lpwstr>
  </property>
</Properties>
</file>