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E67F" w14:textId="49960BD3" w:rsidR="00DD3D9E" w:rsidRPr="00D5249C" w:rsidRDefault="00413ABD">
      <w:pPr>
        <w:pStyle w:val="Els-Title"/>
        <w:rPr>
          <w:color w:val="000000" w:themeColor="text1"/>
        </w:rPr>
      </w:pPr>
      <w:bookmarkStart w:id="0" w:name="_Hlk149664561"/>
      <w:r w:rsidRPr="00D5249C">
        <w:rPr>
          <w:color w:val="000000" w:themeColor="text1"/>
        </w:rPr>
        <w:t>Green Hydrogen Production from Solar-powered Electrolysis: A Novel Optimization Methodology</w:t>
      </w:r>
      <w:bookmarkEnd w:id="0"/>
    </w:p>
    <w:p w14:paraId="4E555FA7" w14:textId="77777777" w:rsidR="00413ABD" w:rsidRPr="00D5249C" w:rsidRDefault="00413ABD" w:rsidP="00413ABD">
      <w:pPr>
        <w:pStyle w:val="Els-Author"/>
        <w:rPr>
          <w:noProof w:val="0"/>
          <w:lang w:val="en-US"/>
        </w:rPr>
      </w:pPr>
      <w:r w:rsidRPr="00D5249C">
        <w:rPr>
          <w:noProof w:val="0"/>
          <w:lang w:val="en-US"/>
        </w:rPr>
        <w:t>Andrea Isella, Davide Manca*</w:t>
      </w:r>
    </w:p>
    <w:p w14:paraId="3C4370EB" w14:textId="77777777" w:rsidR="00413ABD" w:rsidRPr="00D5249C" w:rsidRDefault="00413ABD" w:rsidP="00413ABD">
      <w:pPr>
        <w:pStyle w:val="Els-Affiliation"/>
        <w:rPr>
          <w:noProof w:val="0"/>
          <w:lang w:val="en-US"/>
        </w:rPr>
      </w:pPr>
      <w:r w:rsidRPr="00D5249C">
        <w:rPr>
          <w:noProof w:val="0"/>
          <w:lang w:val="en-US"/>
        </w:rPr>
        <w:t>PSE‐Lab, Process Systems Engineering Laboratory, Dipartimento di Chimica, Materiali e Ingegneria Chimica “Giulio Natta”, Politecnico di Milano, Piazza Leonardo da Vinci 32, 20133 Milano, Italy</w:t>
      </w:r>
    </w:p>
    <w:p w14:paraId="024FCCC1" w14:textId="2B50BB22" w:rsidR="00413ABD" w:rsidRPr="00D5249C" w:rsidRDefault="00413ABD" w:rsidP="00413ABD">
      <w:pPr>
        <w:pStyle w:val="Els-Affiliation"/>
        <w:rPr>
          <w:noProof w:val="0"/>
          <w:lang w:val="en-US"/>
        </w:rPr>
      </w:pPr>
      <w:r w:rsidRPr="00D5249C">
        <w:rPr>
          <w:i w:val="0"/>
          <w:iCs/>
          <w:noProof w:val="0"/>
          <w:lang w:val="en-US"/>
        </w:rPr>
        <w:t>*</w:t>
      </w:r>
      <w:r w:rsidRPr="00D5249C">
        <w:rPr>
          <w:noProof w:val="0"/>
          <w:lang w:val="en-US"/>
        </w:rPr>
        <w:t>davide.manca@polimi.it</w:t>
      </w:r>
    </w:p>
    <w:p w14:paraId="144DE684" w14:textId="77777777" w:rsidR="008D2649" w:rsidRPr="00D5249C" w:rsidRDefault="008D2649" w:rsidP="008D2649">
      <w:pPr>
        <w:pStyle w:val="Els-Abstract"/>
      </w:pPr>
      <w:r w:rsidRPr="00D5249C">
        <w:t>Abstract</w:t>
      </w:r>
    </w:p>
    <w:p w14:paraId="144DE686" w14:textId="452CBBEC" w:rsidR="008D2649" w:rsidRPr="00D5249C" w:rsidRDefault="00413ABD" w:rsidP="008D2649">
      <w:pPr>
        <w:pStyle w:val="Els-body-text"/>
        <w:spacing w:after="120"/>
      </w:pPr>
      <w:r w:rsidRPr="00D5249C">
        <w:t>Today, hydrogen production still relies primarily on fossil fuels. Indeed, over 99% of the hydrogen produced in 2022 was synthesized via highly carbon-intensive processes such as steam methane reforming and coal gasification (IEA, 2023). This represents a primary problem in the chemical engineering scenario as hydrogen is the raw material of a plethora of commodities that are produced in tremendous amounts every year.</w:t>
      </w:r>
      <w:r w:rsidR="009A733E" w:rsidRPr="00D5249C">
        <w:t xml:space="preserve"> </w:t>
      </w:r>
      <w:r w:rsidR="00EB6DF3" w:rsidRPr="00D5249C">
        <w:t>Thus, hydrogen production</w:t>
      </w:r>
      <w:r w:rsidRPr="00D5249C">
        <w:t xml:space="preserve"> is accountable for the vast majority of chemical industry carbon dioxide emissions along with the oil refining sector (Isella and Manca, 2022). In this perspective, being ever closer to entering a fully green economy, renewable-powered water electrolysis represents an increasingly valid alternative to produce hydrogen. However, properly sizing the renewable power plant (</w:t>
      </w:r>
      <w:r w:rsidRPr="00D5249C">
        <w:rPr>
          <w:i/>
          <w:iCs/>
        </w:rPr>
        <w:t>e.g.</w:t>
      </w:r>
      <w:r w:rsidRPr="00D5249C">
        <w:t xml:space="preserve">, a solar or wind farm) and the electrolyzer may be challenging since many features should be considered. Facilitating such a task is the main aim of this work, which proposes a novel methodology to </w:t>
      </w:r>
      <w:r w:rsidR="00552717" w:rsidRPr="00D5249C">
        <w:t xml:space="preserve">optimally </w:t>
      </w:r>
      <w:r w:rsidRPr="00D5249C">
        <w:t xml:space="preserve">design green hydrogen production facilities. Specifically, starting from renewable energy availability time profiles in the location of interest, </w:t>
      </w:r>
      <w:r w:rsidR="000450F1" w:rsidRPr="00D5249C">
        <w:t xml:space="preserve">this </w:t>
      </w:r>
      <w:r w:rsidRPr="00D5249C">
        <w:t xml:space="preserve">criterion allows for the optimal evaluation of the installed capacities of both renewable power plant and electrolyzer which minimize the plant's total costs (both capital and operative </w:t>
      </w:r>
      <w:r w:rsidR="006230DC" w:rsidRPr="00D5249C">
        <w:t>expenditures</w:t>
      </w:r>
      <w:r w:rsidRPr="00D5249C">
        <w:t>)</w:t>
      </w:r>
      <w:r w:rsidR="008D2649" w:rsidRPr="00D5249C">
        <w:t>.</w:t>
      </w:r>
    </w:p>
    <w:p w14:paraId="144DE687" w14:textId="02B8A55E" w:rsidR="008D2649" w:rsidRPr="00D5249C" w:rsidRDefault="008D2649" w:rsidP="008D2649">
      <w:pPr>
        <w:pStyle w:val="Els-body-text"/>
        <w:spacing w:after="120"/>
      </w:pPr>
      <w:r w:rsidRPr="00D5249C">
        <w:rPr>
          <w:b/>
          <w:bCs/>
        </w:rPr>
        <w:t>Keywords</w:t>
      </w:r>
      <w:r w:rsidRPr="00D5249C">
        <w:t xml:space="preserve">: </w:t>
      </w:r>
      <w:r w:rsidR="00413ABD" w:rsidRPr="00D5249C">
        <w:t>photovoltaics, electrolyzers, renewable energy, environmental sustainability, climate change mitigation</w:t>
      </w:r>
      <w:r w:rsidRPr="00D5249C">
        <w:t>.</w:t>
      </w:r>
    </w:p>
    <w:p w14:paraId="144DE689" w14:textId="16137F2F" w:rsidR="008D2649" w:rsidRPr="00D5249C" w:rsidRDefault="00413ABD" w:rsidP="008D2649">
      <w:pPr>
        <w:pStyle w:val="Els-1storder-head"/>
      </w:pPr>
      <w:r w:rsidRPr="00D5249C">
        <w:t>Introduction</w:t>
      </w:r>
    </w:p>
    <w:p w14:paraId="144DE698" w14:textId="25ED034F" w:rsidR="008D2649" w:rsidRPr="00D5249C" w:rsidRDefault="00413ABD" w:rsidP="008D2649">
      <w:pPr>
        <w:pStyle w:val="Els-body-text"/>
      </w:pPr>
      <w:r w:rsidRPr="00D5249C">
        <w:t>In 2022, about 95</w:t>
      </w:r>
      <w:r w:rsidR="005A107A" w:rsidRPr="00D5249C">
        <w:t> </w:t>
      </w:r>
      <w:r w:rsidRPr="00D5249C">
        <w:t xml:space="preserve">Mt/y of hydrogen were produced globally. </w:t>
      </w:r>
      <w:r w:rsidR="00164F7E" w:rsidRPr="00D5249C">
        <w:t>Like</w:t>
      </w:r>
      <w:r w:rsidRPr="00D5249C">
        <w:t xml:space="preserve"> the previous year, low-emission hydrogen was less than 1% and almost entirely based on conventional fossil routes combined with carbon capture, storage, and utilization (CCUS) technologies. Water electrolysis, instead, simply accounts for 0.1% of current hydrogen production worldwide</w:t>
      </w:r>
      <w:r w:rsidR="00DB77D7" w:rsidRPr="00D5249C">
        <w:t xml:space="preserve"> (IEA, 2023)</w:t>
      </w:r>
      <w:r w:rsidRPr="00D5249C">
        <w:t xml:space="preserve">, but installed capacity and industrial facilities </w:t>
      </w:r>
      <w:r w:rsidR="00FF5AFA" w:rsidRPr="00D5249C">
        <w:t xml:space="preserve">are rapidly </w:t>
      </w:r>
      <w:r w:rsidRPr="00D5249C">
        <w:t xml:space="preserve">increasing. </w:t>
      </w:r>
      <w:r w:rsidR="006762B5" w:rsidRPr="00D5249C">
        <w:t>T</w:t>
      </w:r>
      <w:r w:rsidR="00DB77D7" w:rsidRPr="00D5249C">
        <w:t>hat is the case of the</w:t>
      </w:r>
      <w:r w:rsidR="008B4493" w:rsidRPr="00D5249C">
        <w:t xml:space="preserve"> REPowerEU Plan </w:t>
      </w:r>
      <w:r w:rsidR="005B5465" w:rsidRPr="00D5249C">
        <w:t>by</w:t>
      </w:r>
      <w:r w:rsidR="008B4493" w:rsidRPr="00D5249C">
        <w:t xml:space="preserve"> the</w:t>
      </w:r>
      <w:r w:rsidR="00DB77D7" w:rsidRPr="00D5249C">
        <w:t xml:space="preserve"> European </w:t>
      </w:r>
      <w:r w:rsidR="008B4493" w:rsidRPr="00D5249C">
        <w:t>Commission</w:t>
      </w:r>
      <w:r w:rsidR="00DB77D7" w:rsidRPr="00D5249C">
        <w:t xml:space="preserve">, </w:t>
      </w:r>
      <w:r w:rsidR="005B5465" w:rsidRPr="00D5249C">
        <w:t>which set the</w:t>
      </w:r>
      <w:r w:rsidR="00DB77D7" w:rsidRPr="00D5249C">
        <w:t xml:space="preserve"> objective to </w:t>
      </w:r>
      <w:r w:rsidR="006762B5" w:rsidRPr="00D5249C">
        <w:t>deliver</w:t>
      </w:r>
      <w:r w:rsidR="00DB77D7" w:rsidRPr="00D5249C">
        <w:t xml:space="preserve"> </w:t>
      </w:r>
      <w:r w:rsidR="005B5465" w:rsidRPr="00D5249C">
        <w:t>65 GW</w:t>
      </w:r>
      <w:r w:rsidR="006762B5" w:rsidRPr="00D5249C">
        <w:t xml:space="preserve"> of electrolysis capacity in Europe by 2030</w:t>
      </w:r>
      <w:r w:rsidR="005B5465" w:rsidRPr="00D5249C">
        <w:t>, plus</w:t>
      </w:r>
      <w:r w:rsidR="00DB77D7" w:rsidRPr="00D5249C">
        <w:t xml:space="preserve"> </w:t>
      </w:r>
      <w:r w:rsidR="005B5465" w:rsidRPr="00D5249C">
        <w:t>41 GW of wind and 62 GW of solar in additional capacity</w:t>
      </w:r>
      <w:r w:rsidR="00772920" w:rsidRPr="00D5249C">
        <w:t xml:space="preserve"> for the related </w:t>
      </w:r>
      <w:r w:rsidR="004D6A77" w:rsidRPr="00D5249C">
        <w:t>renewable electric</w:t>
      </w:r>
      <w:r w:rsidR="006762B5" w:rsidRPr="00D5249C">
        <w:t xml:space="preserve">ity </w:t>
      </w:r>
      <w:r w:rsidR="00772920" w:rsidRPr="00D5249C">
        <w:t xml:space="preserve">supply </w:t>
      </w:r>
      <w:r w:rsidR="008B4493" w:rsidRPr="00D5249C">
        <w:t>(European Commission, 2022)</w:t>
      </w:r>
      <w:r w:rsidR="00DB77D7" w:rsidRPr="00D5249C">
        <w:t xml:space="preserve">. </w:t>
      </w:r>
      <w:r w:rsidR="00772920" w:rsidRPr="00D5249C">
        <w:t>Producing</w:t>
      </w:r>
      <w:r w:rsidRPr="00D5249C">
        <w:t xml:space="preserve"> hydrogen through renewable-powered electrolyzers is</w:t>
      </w:r>
      <w:r w:rsidR="00772920" w:rsidRPr="00D5249C">
        <w:t xml:space="preserve"> indeed</w:t>
      </w:r>
      <w:r w:rsidRPr="00D5249C">
        <w:t xml:space="preserve"> the only available-to-date synthetic pathway that allows total decoupling of hydrogen production from fossil feedstocks. This allows for eliminating at the same time both upstream Scope 3 (</w:t>
      </w:r>
      <w:r w:rsidRPr="00D5249C">
        <w:rPr>
          <w:i/>
          <w:iCs/>
        </w:rPr>
        <w:t>i.e.</w:t>
      </w:r>
      <w:r w:rsidRPr="00D5249C">
        <w:t xml:space="preserve"> corporate value chain) emissions associated with fossil fuel extraction and all Scope 1 (</w:t>
      </w:r>
      <w:r w:rsidRPr="00D5249C">
        <w:rPr>
          <w:i/>
          <w:iCs/>
        </w:rPr>
        <w:t>i.e.</w:t>
      </w:r>
      <w:r w:rsidRPr="00D5249C">
        <w:t xml:space="preserve"> direct) and 2 (</w:t>
      </w:r>
      <w:r w:rsidRPr="00D5249C">
        <w:rPr>
          <w:i/>
          <w:iCs/>
        </w:rPr>
        <w:t>i.e.</w:t>
      </w:r>
      <w:r w:rsidRPr="00D5249C">
        <w:t xml:space="preserve"> indirect) emissions, given that renewable sources and electricity are used for meeting the energy demand of the whole process (MPP, 2022)</w:t>
      </w:r>
      <w:r w:rsidR="008D2649" w:rsidRPr="00D5249C">
        <w:t>.</w:t>
      </w:r>
      <w:r w:rsidR="00E6618F" w:rsidRPr="00D5249C">
        <w:t xml:space="preserve"> The primary drawback of entirely renewable-based (</w:t>
      </w:r>
      <w:r w:rsidR="00E6618F" w:rsidRPr="00D5249C">
        <w:rPr>
          <w:i/>
          <w:iCs/>
        </w:rPr>
        <w:t>i.e.</w:t>
      </w:r>
      <w:r w:rsidR="00E6618F" w:rsidRPr="00D5249C">
        <w:t xml:space="preserve"> </w:t>
      </w:r>
      <w:r w:rsidR="00E6618F" w:rsidRPr="00D5249C">
        <w:lastRenderedPageBreak/>
        <w:t xml:space="preserve">“green”) processes, however, relies upon their complete dependence on renewable power generation (such as solar, wind, </w:t>
      </w:r>
      <w:r w:rsidR="007260F8" w:rsidRPr="00D5249C">
        <w:t>hydropower</w:t>
      </w:r>
      <w:r w:rsidR="00E6618F" w:rsidRPr="00D5249C">
        <w:t xml:space="preserve">, etc.). Indeed, </w:t>
      </w:r>
      <w:r w:rsidR="007260F8" w:rsidRPr="00D5249C">
        <w:t xml:space="preserve">being these </w:t>
      </w:r>
      <w:r w:rsidR="00EB6DF3" w:rsidRPr="00D5249C">
        <w:t xml:space="preserve">energy </w:t>
      </w:r>
      <w:r w:rsidR="007260F8" w:rsidRPr="00D5249C">
        <w:t xml:space="preserve">sources </w:t>
      </w:r>
      <w:r w:rsidR="00257131" w:rsidRPr="00D5249C">
        <w:t xml:space="preserve">generally </w:t>
      </w:r>
      <w:r w:rsidR="00E6618F" w:rsidRPr="00D5249C">
        <w:t xml:space="preserve">strongly </w:t>
      </w:r>
      <w:r w:rsidR="007260F8" w:rsidRPr="00D5249C">
        <w:t xml:space="preserve">subject to daily (even hourly) fluctuations and seasonal behavior, they tend to </w:t>
      </w:r>
      <w:r w:rsidR="00186A63" w:rsidRPr="00D5249C">
        <w:t>convey</w:t>
      </w:r>
      <w:r w:rsidR="007260F8" w:rsidRPr="00D5249C">
        <w:t xml:space="preserve"> such discontinuous trends to the whole process they are connected to. </w:t>
      </w:r>
      <w:r w:rsidR="004D6A77" w:rsidRPr="00D5249C">
        <w:t>F</w:t>
      </w:r>
      <w:r w:rsidR="007260F8" w:rsidRPr="00D5249C">
        <w:t>e</w:t>
      </w:r>
      <w:r w:rsidR="004B3FF5" w:rsidRPr="00D5249C">
        <w:t>eding green (</w:t>
      </w:r>
      <w:r w:rsidR="004B3FF5" w:rsidRPr="00D5249C">
        <w:rPr>
          <w:i/>
          <w:iCs/>
        </w:rPr>
        <w:t>i.e.</w:t>
      </w:r>
      <w:r w:rsidR="004B3FF5" w:rsidRPr="00D5249C">
        <w:t xml:space="preserve"> intermittent) electric power </w:t>
      </w:r>
      <w:r w:rsidR="007260F8" w:rsidRPr="00D5249C">
        <w:t xml:space="preserve">to </w:t>
      </w:r>
      <w:r w:rsidR="00F67651" w:rsidRPr="00D5249C">
        <w:t>an</w:t>
      </w:r>
      <w:r w:rsidR="007260F8" w:rsidRPr="00D5249C">
        <w:t xml:space="preserve"> electrolyzer</w:t>
      </w:r>
      <w:r w:rsidR="00433CC3" w:rsidRPr="00D5249C">
        <w:t xml:space="preserve"> </w:t>
      </w:r>
      <w:r w:rsidR="004B3FF5" w:rsidRPr="00D5249C">
        <w:t>results</w:t>
      </w:r>
      <w:r w:rsidR="004D6A77" w:rsidRPr="00D5249C">
        <w:t xml:space="preserve"> in fact</w:t>
      </w:r>
      <w:r w:rsidR="004B3FF5" w:rsidRPr="00D5249C">
        <w:t xml:space="preserve"> in</w:t>
      </w:r>
      <w:r w:rsidR="00433CC3" w:rsidRPr="00D5249C">
        <w:t xml:space="preserve"> equally </w:t>
      </w:r>
      <w:r w:rsidR="004B3FF5" w:rsidRPr="00D5249C">
        <w:t>intermittent</w:t>
      </w:r>
      <w:r w:rsidR="00433CC3" w:rsidRPr="00D5249C">
        <w:t xml:space="preserve"> green hydrogen mass </w:t>
      </w:r>
      <w:r w:rsidR="00F67651" w:rsidRPr="00D5249C">
        <w:t>flows</w:t>
      </w:r>
      <w:r w:rsidR="00433CC3" w:rsidRPr="00D5249C">
        <w:t xml:space="preserve"> </w:t>
      </w:r>
      <w:r w:rsidR="00F67651" w:rsidRPr="00D5249C">
        <w:t>generated</w:t>
      </w:r>
      <w:r w:rsidR="00433CC3" w:rsidRPr="00D5249C">
        <w:t xml:space="preserve"> from such a unit.</w:t>
      </w:r>
      <w:r w:rsidR="00263C11" w:rsidRPr="00D5249C">
        <w:t xml:space="preserve"> Moreover, the </w:t>
      </w:r>
      <w:r w:rsidR="00186A63" w:rsidRPr="00D5249C">
        <w:t>overall trends</w:t>
      </w:r>
      <w:r w:rsidR="00263C11" w:rsidRPr="00D5249C">
        <w:t xml:space="preserve"> provided by renewable energy sources </w:t>
      </w:r>
      <w:r w:rsidR="00186A63" w:rsidRPr="00D5249C">
        <w:t xml:space="preserve">can also vary from year to year, causing even more difficulties in </w:t>
      </w:r>
      <w:r w:rsidR="00570162" w:rsidRPr="00D5249C">
        <w:t>properly</w:t>
      </w:r>
      <w:r w:rsidR="00186A63" w:rsidRPr="00D5249C">
        <w:t xml:space="preserve"> estimating </w:t>
      </w:r>
      <w:r w:rsidR="00570162" w:rsidRPr="00D5249C">
        <w:t>essential</w:t>
      </w:r>
      <w:r w:rsidR="00186A63" w:rsidRPr="00D5249C">
        <w:t xml:space="preserve"> sizes such as the power capacities for the renewable power plant and the electrolyzer.</w:t>
      </w:r>
      <w:r w:rsidR="00BE55FE" w:rsidRPr="00D5249C">
        <w:t xml:space="preserve"> </w:t>
      </w:r>
      <w:r w:rsidR="00570162" w:rsidRPr="00D5249C">
        <w:t>T</w:t>
      </w:r>
      <w:r w:rsidR="00BE55FE" w:rsidRPr="00D5249C">
        <w:t xml:space="preserve">his work </w:t>
      </w:r>
      <w:r w:rsidR="00570162" w:rsidRPr="00D5249C">
        <w:t>introduces</w:t>
      </w:r>
      <w:r w:rsidR="00BE55FE" w:rsidRPr="00D5249C">
        <w:t xml:space="preserve"> a </w:t>
      </w:r>
      <w:r w:rsidR="00570162" w:rsidRPr="00D5249C">
        <w:t>new</w:t>
      </w:r>
      <w:r w:rsidR="00BE55FE" w:rsidRPr="00D5249C">
        <w:t xml:space="preserve"> </w:t>
      </w:r>
      <w:r w:rsidR="00570162" w:rsidRPr="00D5249C">
        <w:t>criterion</w:t>
      </w:r>
      <w:r w:rsidR="00BE55FE" w:rsidRPr="00D5249C">
        <w:t xml:space="preserve"> to design green hydrogen production facilities both optimally (</w:t>
      </w:r>
      <w:r w:rsidR="00BE55FE" w:rsidRPr="00D5249C">
        <w:rPr>
          <w:i/>
          <w:iCs/>
        </w:rPr>
        <w:t>i.e.</w:t>
      </w:r>
      <w:r w:rsidR="00BE55FE" w:rsidRPr="00D5249C">
        <w:t xml:space="preserve"> providing </w:t>
      </w:r>
      <w:r w:rsidR="00E95578" w:rsidRPr="00D5249C">
        <w:t>the installed capacities</w:t>
      </w:r>
      <w:r w:rsidR="00BE55FE" w:rsidRPr="00D5249C">
        <w:t xml:space="preserve"> that minimize</w:t>
      </w:r>
      <w:r w:rsidR="00E95578" w:rsidRPr="00D5249C">
        <w:t xml:space="preserve"> the </w:t>
      </w:r>
      <w:r w:rsidR="003219E6" w:rsidRPr="00D5249C">
        <w:t>levelized</w:t>
      </w:r>
      <w:r w:rsidR="00E95578" w:rsidRPr="00D5249C">
        <w:t xml:space="preserve"> cost of hydrogen</w:t>
      </w:r>
      <w:r w:rsidR="003219E6" w:rsidRPr="00D5249C">
        <w:t>, LCOH</w:t>
      </w:r>
      <w:r w:rsidR="0078689C" w:rsidRPr="00D5249C">
        <w:t>, or of the final product, LCOX</w:t>
      </w:r>
      <w:r w:rsidR="00570162" w:rsidRPr="00D5249C">
        <w:t xml:space="preserve">, for a specific </w:t>
      </w:r>
      <w:r w:rsidR="00B626EB" w:rsidRPr="00D5249C">
        <w:t xml:space="preserve">location and </w:t>
      </w:r>
      <w:r w:rsidR="00570162" w:rsidRPr="00D5249C">
        <w:t>time horizo</w:t>
      </w:r>
      <w:r w:rsidR="00B626EB" w:rsidRPr="00D5249C">
        <w:t>n</w:t>
      </w:r>
      <w:r w:rsidR="00BE55FE" w:rsidRPr="00D5249C">
        <w:t>) and robustly (</w:t>
      </w:r>
      <w:r w:rsidR="00BE55FE" w:rsidRPr="00D5249C">
        <w:rPr>
          <w:i/>
          <w:iCs/>
        </w:rPr>
        <w:t>i.e.</w:t>
      </w:r>
      <w:r w:rsidR="00BE55FE" w:rsidRPr="00D5249C">
        <w:t xml:space="preserve"> providing </w:t>
      </w:r>
      <w:r w:rsidR="00E95578" w:rsidRPr="00D5249C">
        <w:t>the installed capacities</w:t>
      </w:r>
      <w:r w:rsidR="00BE55FE" w:rsidRPr="00D5249C">
        <w:t xml:space="preserve"> </w:t>
      </w:r>
      <w:r w:rsidR="00E95578" w:rsidRPr="00D5249C">
        <w:t>needed</w:t>
      </w:r>
      <w:r w:rsidR="00BE55FE" w:rsidRPr="00D5249C">
        <w:t xml:space="preserve"> to satisfy </w:t>
      </w:r>
      <w:r w:rsidR="00E95578" w:rsidRPr="00D5249C">
        <w:t xml:space="preserve">the same requirements </w:t>
      </w:r>
      <w:r w:rsidR="00346A9D" w:rsidRPr="00D5249C">
        <w:t xml:space="preserve">throughout </w:t>
      </w:r>
      <w:r w:rsidR="00D47BA5" w:rsidRPr="00D5249C">
        <w:t xml:space="preserve">several </w:t>
      </w:r>
      <w:r w:rsidR="00BE55FE" w:rsidRPr="00D5249C">
        <w:t>years</w:t>
      </w:r>
      <w:r w:rsidR="00E95578" w:rsidRPr="00D5249C">
        <w:t xml:space="preserve"> of operation</w:t>
      </w:r>
      <w:r w:rsidR="00BE55FE" w:rsidRPr="00D5249C">
        <w:t>).</w:t>
      </w:r>
    </w:p>
    <w:p w14:paraId="144DE6A1" w14:textId="046133F9" w:rsidR="008D2649" w:rsidRPr="00D5249C" w:rsidRDefault="008D2649" w:rsidP="008D2649">
      <w:pPr>
        <w:pStyle w:val="Els-1storder-head"/>
        <w:spacing w:after="120"/>
      </w:pPr>
      <w:r w:rsidRPr="00D5249C">
        <w:t>Me</w:t>
      </w:r>
      <w:r w:rsidR="003432FC" w:rsidRPr="00D5249C">
        <w:t>thodology</w:t>
      </w:r>
    </w:p>
    <w:p w14:paraId="145AC7DE" w14:textId="6A6BA12D" w:rsidR="00232EE5" w:rsidRPr="00D5249C" w:rsidRDefault="00903CCE" w:rsidP="008D2649">
      <w:pPr>
        <w:pStyle w:val="Els-body-text"/>
      </w:pPr>
      <w:r w:rsidRPr="00D5249C">
        <w:t>Solar-powered green hydrogen production facilities (</w:t>
      </w:r>
      <w:r w:rsidRPr="00D5249C">
        <w:rPr>
          <w:i/>
          <w:iCs/>
        </w:rPr>
        <w:t>i.e.</w:t>
      </w:r>
      <w:r w:rsidRPr="00D5249C">
        <w:t xml:space="preserve"> renewable power from solar energy only), which represent the control volume of our methodology, call for a solar power plant to produce the renewable energy needed for electrolysis; an electrolyzer to convert the renewable electric energy harvested by the solar farm into green hydrogen mass flows; and a hydrogen buffer storage to provide the produced hydrogen to downstream processes/utilizations</w:t>
      </w:r>
      <w:r w:rsidR="00232EE5" w:rsidRPr="00D5249C">
        <w:t>.</w:t>
      </w:r>
    </w:p>
    <w:p w14:paraId="5EA410EE" w14:textId="55D55F60" w:rsidR="00A827E8" w:rsidRPr="00D5249C" w:rsidRDefault="00AD02EC" w:rsidP="008D2649">
      <w:pPr>
        <w:pStyle w:val="Els-body-text"/>
      </w:pPr>
      <w:r w:rsidRPr="00D5249C">
        <w:t>Consequently, t</w:t>
      </w:r>
      <w:r w:rsidR="00A827E8" w:rsidRPr="00D5249C">
        <w:t>o optimally design green hydrogen production facilities, the following optimization procedure is proposed:</w:t>
      </w:r>
    </w:p>
    <w:p w14:paraId="75B8C9C0" w14:textId="37DF90C9" w:rsidR="0021519E" w:rsidRPr="00D5249C" w:rsidRDefault="00FA5621" w:rsidP="00EB008D">
      <w:pPr>
        <w:pStyle w:val="Els-body-text"/>
        <w:spacing w:before="120" w:after="80"/>
      </w:pPr>
      <w:r w:rsidRPr="00D5249C">
        <w:rPr>
          <w:position w:val="-102"/>
        </w:rPr>
        <w:object w:dxaOrig="7020" w:dyaOrig="2140" w14:anchorId="79C75A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.35pt;height:107.7pt" o:ole="">
            <v:imagedata r:id="rId8" o:title=""/>
          </v:shape>
          <o:OLEObject Type="Embed" ProgID="Equation.DSMT4" ShapeID="_x0000_i1025" DrawAspect="Content" ObjectID="_1764861642" r:id="rId9"/>
        </w:object>
      </w:r>
    </w:p>
    <w:p w14:paraId="144DE6A4" w14:textId="72C25283" w:rsidR="008D2649" w:rsidRPr="00D5249C" w:rsidRDefault="00194E1E" w:rsidP="008D2649">
      <w:pPr>
        <w:pStyle w:val="Els-body-text"/>
      </w:pPr>
      <w:r w:rsidRPr="00D5249C">
        <w:t>Namely</w:t>
      </w:r>
      <w:r w:rsidR="001E23F4" w:rsidRPr="00D5249C">
        <w:t xml:space="preserve">, </w:t>
      </w:r>
      <w:r w:rsidR="00FA5621" w:rsidRPr="00D5249C">
        <w:rPr>
          <w:position w:val="-10"/>
        </w:rPr>
        <w:object w:dxaOrig="380" w:dyaOrig="320" w14:anchorId="3D97970F">
          <v:shape id="_x0000_i1026" type="#_x0000_t75" style="width:18.45pt;height:16.15pt" o:ole="">
            <v:imagedata r:id="rId10" o:title=""/>
          </v:shape>
          <o:OLEObject Type="Embed" ProgID="Equation.DSMT4" ShapeID="_x0000_i1026" DrawAspect="Content" ObjectID="_1764861643" r:id="rId11"/>
        </w:object>
      </w:r>
      <w:r w:rsidR="001E23F4" w:rsidRPr="00D5249C">
        <w:t xml:space="preserve">and </w:t>
      </w:r>
      <w:r w:rsidR="00FA5621" w:rsidRPr="00D5249C">
        <w:rPr>
          <w:position w:val="-10"/>
        </w:rPr>
        <w:object w:dxaOrig="380" w:dyaOrig="320" w14:anchorId="57923972">
          <v:shape id="_x0000_i1027" type="#_x0000_t75" style="width:18.45pt;height:16.15pt" o:ole="">
            <v:imagedata r:id="rId12" o:title=""/>
          </v:shape>
          <o:OLEObject Type="Embed" ProgID="Equation.DSMT4" ShapeID="_x0000_i1027" DrawAspect="Content" ObjectID="_1764861644" r:id="rId13"/>
        </w:object>
      </w:r>
      <w:r w:rsidR="001E23F4" w:rsidRPr="00D5249C">
        <w:t xml:space="preserve"> are the installed capacities of the solar plant and the</w:t>
      </w:r>
      <w:r w:rsidRPr="00D5249C">
        <w:t xml:space="preserve"> </w:t>
      </w:r>
      <w:r w:rsidR="001E23F4" w:rsidRPr="00D5249C">
        <w:t xml:space="preserve">electrolyzer, respectively; </w:t>
      </w:r>
      <w:r w:rsidR="00FA5621" w:rsidRPr="00D5249C">
        <w:rPr>
          <w:position w:val="-10"/>
        </w:rPr>
        <w:object w:dxaOrig="560" w:dyaOrig="300" w14:anchorId="22FA59B9">
          <v:shape id="_x0000_i1028" type="#_x0000_t75" style="width:28.2pt;height:15pt" o:ole="">
            <v:imagedata r:id="rId14" o:title=""/>
          </v:shape>
          <o:OLEObject Type="Embed" ProgID="Equation.DSMT4" ShapeID="_x0000_i1028" DrawAspect="Content" ObjectID="_1764861645" r:id="rId15"/>
        </w:object>
      </w:r>
      <w:r w:rsidR="001E23F4" w:rsidRPr="00D5249C">
        <w:t xml:space="preserve"> is the instantaneous renewable power generated by the solar plant while </w:t>
      </w:r>
      <w:r w:rsidR="00FA5621" w:rsidRPr="00D5249C">
        <w:rPr>
          <w:position w:val="-10"/>
        </w:rPr>
        <w:object w:dxaOrig="540" w:dyaOrig="300" w14:anchorId="7A238FD1">
          <v:shape id="_x0000_i1029" type="#_x0000_t75" style="width:27.05pt;height:15pt" o:ole="">
            <v:imagedata r:id="rId16" o:title=""/>
          </v:shape>
          <o:OLEObject Type="Embed" ProgID="Equation.DSMT4" ShapeID="_x0000_i1029" DrawAspect="Content" ObjectID="_1764861646" r:id="rId17"/>
        </w:object>
      </w:r>
      <w:r w:rsidR="005360EA" w:rsidRPr="00D5249C">
        <w:t xml:space="preserve"> </w:t>
      </w:r>
      <w:r w:rsidR="001E23F4" w:rsidRPr="00D5249C">
        <w:t xml:space="preserve">is the instantaneous </w:t>
      </w:r>
      <w:r w:rsidR="00181BD4" w:rsidRPr="00D5249C">
        <w:t xml:space="preserve">power </w:t>
      </w:r>
      <w:r w:rsidR="001E23F4" w:rsidRPr="00D5249C">
        <w:t>consum</w:t>
      </w:r>
      <w:r w:rsidR="00181BD4" w:rsidRPr="00D5249C">
        <w:t>ed</w:t>
      </w:r>
      <w:r w:rsidR="001E23F4" w:rsidRPr="00D5249C">
        <w:t xml:space="preserve"> by the electrolyzer, </w:t>
      </w:r>
      <w:r w:rsidR="00181BD4" w:rsidRPr="00D5249C">
        <w:t>that</w:t>
      </w:r>
      <w:r w:rsidR="001E23F4" w:rsidRPr="00D5249C">
        <w:t xml:space="preserve"> corresponds </w:t>
      </w:r>
      <w:r w:rsidR="005360EA" w:rsidRPr="00D5249C">
        <w:t xml:space="preserve">to </w:t>
      </w:r>
      <w:r w:rsidR="00181BD4" w:rsidRPr="00D5249C">
        <w:t>the</w:t>
      </w:r>
      <w:r w:rsidR="005360EA" w:rsidRPr="00D5249C">
        <w:t xml:space="preserve"> </w:t>
      </w:r>
      <w:r w:rsidR="00181BD4" w:rsidRPr="00D5249C">
        <w:t>electricity</w:t>
      </w:r>
      <w:r w:rsidR="009841F5" w:rsidRPr="00D5249C">
        <w:t xml:space="preserve"> </w:t>
      </w:r>
      <w:r w:rsidR="00181BD4" w:rsidRPr="00D5249C">
        <w:t xml:space="preserve">generated by the solar plant </w:t>
      </w:r>
      <w:r w:rsidR="005360EA" w:rsidRPr="00D5249C">
        <w:t>but</w:t>
      </w:r>
      <w:r w:rsidR="00E47F96" w:rsidRPr="00D5249C">
        <w:t xml:space="preserve"> is</w:t>
      </w:r>
      <w:r w:rsidR="005360EA" w:rsidRPr="00D5249C">
        <w:t xml:space="preserve"> </w:t>
      </w:r>
      <w:r w:rsidR="0075606D" w:rsidRPr="00D5249C">
        <w:t xml:space="preserve">bounded above by </w:t>
      </w:r>
      <w:r w:rsidR="005360EA" w:rsidRPr="00D5249C">
        <w:t xml:space="preserve">the </w:t>
      </w:r>
      <w:r w:rsidRPr="00D5249C">
        <w:t xml:space="preserve">nominal </w:t>
      </w:r>
      <w:r w:rsidR="005360EA" w:rsidRPr="00D5249C">
        <w:t>capacity</w:t>
      </w:r>
      <w:r w:rsidRPr="00D5249C">
        <w:t xml:space="preserve"> of the </w:t>
      </w:r>
      <w:r w:rsidR="00181BD4" w:rsidRPr="00D5249C">
        <w:t>electrolyzer itself</w:t>
      </w:r>
      <w:r w:rsidR="005360EA" w:rsidRPr="00D5249C">
        <w:t xml:space="preserve">; </w:t>
      </w:r>
      <w:r w:rsidR="00FA5621" w:rsidRPr="00D5249C">
        <w:rPr>
          <w:position w:val="-14"/>
        </w:rPr>
        <w:object w:dxaOrig="499" w:dyaOrig="360" w14:anchorId="10E6CE5E">
          <v:shape id="_x0000_i1030" type="#_x0000_t75" style="width:25.9pt;height:18.45pt" o:ole="">
            <v:imagedata r:id="rId18" o:title=""/>
          </v:shape>
          <o:OLEObject Type="Embed" ProgID="Equation.DSMT4" ShapeID="_x0000_i1030" DrawAspect="Content" ObjectID="_1764861647" r:id="rId19"/>
        </w:object>
      </w:r>
      <w:r w:rsidR="005360EA" w:rsidRPr="00D5249C">
        <w:t xml:space="preserve"> and </w:t>
      </w:r>
      <w:r w:rsidR="00FA5621" w:rsidRPr="00D5249C">
        <w:rPr>
          <w:position w:val="-10"/>
        </w:rPr>
        <w:object w:dxaOrig="480" w:dyaOrig="320" w14:anchorId="426D3D53">
          <v:shape id="_x0000_i1031" type="#_x0000_t75" style="width:23.6pt;height:16.15pt" o:ole="">
            <v:imagedata r:id="rId20" o:title=""/>
          </v:shape>
          <o:OLEObject Type="Embed" ProgID="Equation.DSMT4" ShapeID="_x0000_i1031" DrawAspect="Content" ObjectID="_1764861648" r:id="rId21"/>
        </w:object>
      </w:r>
      <w:r w:rsidR="005360EA" w:rsidRPr="00D5249C">
        <w:t xml:space="preserve"> are the target green hydrogen production rate and the electric power </w:t>
      </w:r>
      <w:r w:rsidR="00114F89" w:rsidRPr="00D5249C">
        <w:t>required</w:t>
      </w:r>
      <w:r w:rsidR="005360EA" w:rsidRPr="00D5249C">
        <w:t xml:space="preserve"> </w:t>
      </w:r>
      <w:r w:rsidR="00114F89" w:rsidRPr="00D5249C">
        <w:t>by</w:t>
      </w:r>
      <w:r w:rsidR="005360EA" w:rsidRPr="00D5249C">
        <w:t xml:space="preserve"> the electrolyzer to </w:t>
      </w:r>
      <w:r w:rsidR="00114F89" w:rsidRPr="00D5249C">
        <w:t>generate</w:t>
      </w:r>
      <w:r w:rsidR="005360EA" w:rsidRPr="00D5249C">
        <w:t xml:space="preserve"> it, respectively</w:t>
      </w:r>
      <w:r w:rsidR="002F7A60" w:rsidRPr="00D5249C">
        <w:t xml:space="preserve">; </w:t>
      </w:r>
      <w:r w:rsidR="00FA5621" w:rsidRPr="00D5249C">
        <w:rPr>
          <w:position w:val="-14"/>
        </w:rPr>
        <w:object w:dxaOrig="560" w:dyaOrig="360" w14:anchorId="0C2971FC">
          <v:shape id="_x0000_i1032" type="#_x0000_t75" style="width:28.2pt;height:18.45pt" o:ole="">
            <v:imagedata r:id="rId22" o:title=""/>
          </v:shape>
          <o:OLEObject Type="Embed" ProgID="Equation.DSMT4" ShapeID="_x0000_i1032" DrawAspect="Content" ObjectID="_1764861649" r:id="rId23"/>
        </w:object>
      </w:r>
      <w:r w:rsidR="00114F89" w:rsidRPr="00D5249C">
        <w:t xml:space="preserve"> is the </w:t>
      </w:r>
      <w:r w:rsidR="005E2211" w:rsidRPr="00D5249C">
        <w:t xml:space="preserve">green </w:t>
      </w:r>
      <w:r w:rsidR="00114F89" w:rsidRPr="00D5249C">
        <w:t>hydrogen mass flow withdrawn from the storage for downstream u</w:t>
      </w:r>
      <w:r w:rsidR="005E2211" w:rsidRPr="00D5249C">
        <w:t>tilization</w:t>
      </w:r>
      <w:r w:rsidR="002F7A60" w:rsidRPr="00D5249C">
        <w:t xml:space="preserve">, and </w:t>
      </w:r>
      <w:r w:rsidR="00FA5621" w:rsidRPr="00D5249C">
        <w:rPr>
          <w:position w:val="-10"/>
        </w:rPr>
        <w:object w:dxaOrig="260" w:dyaOrig="300" w14:anchorId="0EE54B41">
          <v:shape id="_x0000_i1033" type="#_x0000_t75" style="width:12.65pt;height:15pt" o:ole="">
            <v:imagedata r:id="rId24" o:title=""/>
          </v:shape>
          <o:OLEObject Type="Embed" ProgID="Equation.DSMT4" ShapeID="_x0000_i1033" DrawAspect="Content" ObjectID="_1764861650" r:id="rId25"/>
        </w:object>
      </w:r>
      <w:r w:rsidR="002F7A60" w:rsidRPr="00D5249C">
        <w:t xml:space="preserve"> </w:t>
      </w:r>
      <w:r w:rsidR="00181BD4" w:rsidRPr="00D5249C">
        <w:t>is</w:t>
      </w:r>
      <w:r w:rsidR="002F7A60" w:rsidRPr="00D5249C">
        <w:t xml:space="preserve"> the total timespan </w:t>
      </w:r>
      <w:r w:rsidR="00181BD4" w:rsidRPr="00D5249C">
        <w:t>covered by</w:t>
      </w:r>
      <w:r w:rsidR="002F7A60" w:rsidRPr="00D5249C">
        <w:t xml:space="preserve"> the optimization procedure (</w:t>
      </w:r>
      <w:r w:rsidR="002F7A60" w:rsidRPr="00D5249C">
        <w:rPr>
          <w:i/>
          <w:iCs/>
        </w:rPr>
        <w:t>e.g.</w:t>
      </w:r>
      <w:r w:rsidR="002F7A60" w:rsidRPr="00D5249C">
        <w:t xml:space="preserve">, </w:t>
      </w:r>
      <w:r w:rsidR="00D50DFC" w:rsidRPr="00D5249C">
        <w:t>one</w:t>
      </w:r>
      <w:r w:rsidR="002F7A60" w:rsidRPr="00D5249C">
        <w:t xml:space="preserve"> year)</w:t>
      </w:r>
      <w:r w:rsidR="00BF02E0" w:rsidRPr="00D5249C">
        <w:t>.</w:t>
      </w:r>
      <w:r w:rsidR="00181BD4" w:rsidRPr="00D5249C">
        <w:t xml:space="preserve"> </w:t>
      </w:r>
      <w:r w:rsidR="001E23F4" w:rsidRPr="00D5249C">
        <w:t>Finally,</w:t>
      </w:r>
      <w:r w:rsidR="00927A6F" w:rsidRPr="00D5249C">
        <w:t xml:space="preserve"> </w:t>
      </w:r>
      <w:r w:rsidR="00FA5621" w:rsidRPr="00D5249C">
        <w:rPr>
          <w:position w:val="-12"/>
        </w:rPr>
        <w:object w:dxaOrig="1520" w:dyaOrig="340" w14:anchorId="17EB63D0">
          <v:shape id="_x0000_i1034" type="#_x0000_t75" style="width:76.05pt;height:17.3pt" o:ole="">
            <v:imagedata r:id="rId26" o:title=""/>
          </v:shape>
          <o:OLEObject Type="Embed" ProgID="Equation.DSMT4" ShapeID="_x0000_i1034" DrawAspect="Content" ObjectID="_1764861651" r:id="rId27"/>
        </w:object>
      </w:r>
      <w:r w:rsidR="00927A6F" w:rsidRPr="00D5249C">
        <w:t xml:space="preserve">, </w:t>
      </w:r>
      <w:bookmarkStart w:id="1" w:name="MTBlankEqn"/>
      <w:r w:rsidR="00FA5621" w:rsidRPr="00D5249C">
        <w:rPr>
          <w:position w:val="-12"/>
        </w:rPr>
        <w:object w:dxaOrig="1500" w:dyaOrig="340" w14:anchorId="5265C0A3">
          <v:shape id="_x0000_i1035" type="#_x0000_t75" style="width:75.45pt;height:17.3pt" o:ole="">
            <v:imagedata r:id="rId28" o:title=""/>
          </v:shape>
          <o:OLEObject Type="Embed" ProgID="Equation.DSMT4" ShapeID="_x0000_i1035" DrawAspect="Content" ObjectID="_1764861652" r:id="rId29"/>
        </w:object>
      </w:r>
      <w:bookmarkEnd w:id="1"/>
      <w:r w:rsidR="00927A6F" w:rsidRPr="00D5249C">
        <w:t xml:space="preserve">, and </w:t>
      </w:r>
      <w:r w:rsidR="00FA5621" w:rsidRPr="00D5249C">
        <w:rPr>
          <w:position w:val="-12"/>
        </w:rPr>
        <w:object w:dxaOrig="1500" w:dyaOrig="340" w14:anchorId="4AAC1A44">
          <v:shape id="_x0000_i1036" type="#_x0000_t75" style="width:75.45pt;height:17.3pt" o:ole="">
            <v:imagedata r:id="rId30" o:title=""/>
          </v:shape>
          <o:OLEObject Type="Embed" ProgID="Equation.DSMT4" ShapeID="_x0000_i1036" DrawAspect="Content" ObjectID="_1764861653" r:id="rId31"/>
        </w:object>
      </w:r>
      <w:r w:rsidR="00927A6F" w:rsidRPr="00D5249C">
        <w:t xml:space="preserve"> are the capital and operative costs of the solar plant, the electrolyzer, and the hydrogen storage system, respectively</w:t>
      </w:r>
      <w:r w:rsidR="001E23F4" w:rsidRPr="00D5249C">
        <w:t xml:space="preserve">, whose sum constitutes the objective function </w:t>
      </w:r>
      <w:r w:rsidR="00952533" w:rsidRPr="00D5249C">
        <w:t>to</w:t>
      </w:r>
      <w:r w:rsidR="001E23F4" w:rsidRPr="00D5249C">
        <w:t xml:space="preserve"> </w:t>
      </w:r>
      <w:r w:rsidR="00952533" w:rsidRPr="00D5249C">
        <w:t>minimize</w:t>
      </w:r>
      <w:r w:rsidR="008D2649" w:rsidRPr="00D5249C">
        <w:t>.</w:t>
      </w:r>
    </w:p>
    <w:p w14:paraId="3461ECAE" w14:textId="7D84CB76" w:rsidR="005C0710" w:rsidRPr="00D5249C" w:rsidRDefault="001D2D2C" w:rsidP="006D74D3">
      <w:pPr>
        <w:pStyle w:val="Els-body-text"/>
      </w:pPr>
      <w:r w:rsidRPr="00D5249C">
        <w:lastRenderedPageBreak/>
        <w:t>F</w:t>
      </w:r>
      <w:r w:rsidR="00AC3D62" w:rsidRPr="00D5249C">
        <w:t xml:space="preserve">ew input data are needed: </w:t>
      </w:r>
      <w:r w:rsidRPr="00D5249C">
        <w:t xml:space="preserve">namely, </w:t>
      </w:r>
      <w:r w:rsidR="00AC3D62" w:rsidRPr="00D5249C">
        <w:t>the power generation solar profiles from the location of interest (and the installed capacity of such a reference dataset), and</w:t>
      </w:r>
      <w:r w:rsidR="003C3F0B" w:rsidRPr="00D5249C">
        <w:t xml:space="preserve"> </w:t>
      </w:r>
      <w:r w:rsidR="00AC3D62" w:rsidRPr="00D5249C">
        <w:t xml:space="preserve">techno-economic data regarding the </w:t>
      </w:r>
      <w:r w:rsidR="00933DBD" w:rsidRPr="00D5249C">
        <w:t>costs (</w:t>
      </w:r>
      <w:r w:rsidR="00933DBD" w:rsidRPr="00D5249C">
        <w:rPr>
          <w:i/>
          <w:iCs/>
        </w:rPr>
        <w:t>i.e.</w:t>
      </w:r>
      <w:r w:rsidR="00933DBD" w:rsidRPr="00D5249C">
        <w:t xml:space="preserve"> Ca</w:t>
      </w:r>
      <w:r w:rsidR="00AC3D62" w:rsidRPr="00D5249C">
        <w:t>pEx</w:t>
      </w:r>
      <w:r w:rsidR="00933DBD" w:rsidRPr="00D5249C">
        <w:t xml:space="preserve"> and Op</w:t>
      </w:r>
      <w:r w:rsidR="00AC3D62" w:rsidRPr="00D5249C">
        <w:t>Ex</w:t>
      </w:r>
      <w:r w:rsidR="00933DBD" w:rsidRPr="00D5249C">
        <w:t>)</w:t>
      </w:r>
      <w:r w:rsidR="00AC3D62" w:rsidRPr="00D5249C">
        <w:t xml:space="preserve"> </w:t>
      </w:r>
      <w:r w:rsidRPr="00D5249C">
        <w:t xml:space="preserve">and the operative requirements </w:t>
      </w:r>
      <w:r w:rsidR="00AC3D62" w:rsidRPr="00D5249C">
        <w:t>of solar plants, electrolyzers, and hydrogen storage systems to</w:t>
      </w:r>
      <w:r w:rsidR="00B61999" w:rsidRPr="00D5249C">
        <w:t xml:space="preserve"> be</w:t>
      </w:r>
      <w:r w:rsidR="00AC3D62" w:rsidRPr="00D5249C">
        <w:t xml:space="preserve"> </w:t>
      </w:r>
      <w:r w:rsidRPr="00D5249C">
        <w:t>install</w:t>
      </w:r>
      <w:r w:rsidR="00B61999" w:rsidRPr="00D5249C">
        <w:t>ed</w:t>
      </w:r>
      <w:r w:rsidR="00AC3D62" w:rsidRPr="00D5249C">
        <w:t xml:space="preserve">. </w:t>
      </w:r>
      <w:r w:rsidR="003C3F0B" w:rsidRPr="00D5249C">
        <w:t>To</w:t>
      </w:r>
      <w:r w:rsidRPr="00D5249C">
        <w:t xml:space="preserve"> solve the optimization problem</w:t>
      </w:r>
      <w:r w:rsidR="00AC3D62" w:rsidRPr="00D5249C">
        <w:t xml:space="preserve">, </w:t>
      </w:r>
      <w:r w:rsidR="008262CF" w:rsidRPr="00D5249C">
        <w:t xml:space="preserve">one </w:t>
      </w:r>
      <w:r w:rsidR="00AC3D62" w:rsidRPr="00D5249C">
        <w:t xml:space="preserve">may </w:t>
      </w:r>
      <w:r w:rsidR="008262CF" w:rsidRPr="00D5249C">
        <w:t xml:space="preserve">simply consider a grid search minimization </w:t>
      </w:r>
      <w:r w:rsidR="005C0710" w:rsidRPr="00D5249C">
        <w:t xml:space="preserve">within </w:t>
      </w:r>
      <w:r w:rsidR="0088559B" w:rsidRPr="00D5249C">
        <w:t xml:space="preserve">an arbitrarily </w:t>
      </w:r>
      <w:r w:rsidR="005C0710" w:rsidRPr="00D5249C">
        <w:t xml:space="preserve">defined </w:t>
      </w:r>
      <w:r w:rsidR="0088559B" w:rsidRPr="00D5249C">
        <w:t>investigation</w:t>
      </w:r>
      <w:r w:rsidR="005C0710" w:rsidRPr="00D5249C">
        <w:t xml:space="preserve"> </w:t>
      </w:r>
      <w:r w:rsidR="002B5334" w:rsidRPr="00D5249C">
        <w:t xml:space="preserve">domain </w:t>
      </w:r>
      <w:r w:rsidR="0088559B" w:rsidRPr="00D5249C">
        <w:t xml:space="preserve">of solar </w:t>
      </w:r>
      <w:r w:rsidR="0064044A" w:rsidRPr="00D5249C">
        <w:t>plant</w:t>
      </w:r>
      <w:r w:rsidR="0088559B" w:rsidRPr="00D5249C">
        <w:t xml:space="preserve"> installed capacities</w:t>
      </w:r>
      <w:r w:rsidR="005C0710" w:rsidRPr="00D5249C">
        <w:t xml:space="preserve"> (</w:t>
      </w:r>
      <w:r w:rsidR="005C0710" w:rsidRPr="00D5249C">
        <w:rPr>
          <w:i/>
          <w:iCs/>
        </w:rPr>
        <w:t>i.e.</w:t>
      </w:r>
      <w:r w:rsidR="005C0710" w:rsidRPr="00D5249C">
        <w:t xml:space="preserve"> ranging from </w:t>
      </w:r>
      <w:r w:rsidR="0088559B" w:rsidRPr="00D5249C">
        <w:t xml:space="preserve">the </w:t>
      </w:r>
      <w:r w:rsidR="005C0710" w:rsidRPr="00D5249C">
        <w:t xml:space="preserve">minimum to </w:t>
      </w:r>
      <w:r w:rsidR="0088559B" w:rsidRPr="00D5249C">
        <w:t>the</w:t>
      </w:r>
      <w:r w:rsidR="005C0710" w:rsidRPr="00D5249C">
        <w:t xml:space="preserve"> maximum installed capacity</w:t>
      </w:r>
      <w:r w:rsidR="0088559B" w:rsidRPr="00D5249C">
        <w:t xml:space="preserve"> values defined by the user</w:t>
      </w:r>
      <w:r w:rsidR="005C0710" w:rsidRPr="00D5249C">
        <w:t>)</w:t>
      </w:r>
      <w:r w:rsidR="0015428B" w:rsidRPr="00D5249C">
        <w:t xml:space="preserve"> and according to the physical limit of non-negative installed capacities</w:t>
      </w:r>
      <w:r w:rsidR="005C0710" w:rsidRPr="00D5249C">
        <w:t>. Specifically, for each point of the grid</w:t>
      </w:r>
      <w:r w:rsidR="0088559B" w:rsidRPr="00D5249C">
        <w:t xml:space="preserve"> (</w:t>
      </w:r>
      <w:r w:rsidR="0088559B" w:rsidRPr="00D5249C">
        <w:rPr>
          <w:i/>
          <w:iCs/>
        </w:rPr>
        <w:t>i.e.</w:t>
      </w:r>
      <w:r w:rsidR="0088559B" w:rsidRPr="00D5249C">
        <w:t xml:space="preserve"> for each different configuration of solar </w:t>
      </w:r>
      <w:r w:rsidR="0064044A" w:rsidRPr="00D5249C">
        <w:t>plant</w:t>
      </w:r>
      <w:r w:rsidR="0088559B" w:rsidRPr="00D5249C">
        <w:t xml:space="preserve"> installed capacity)</w:t>
      </w:r>
      <w:r w:rsidR="005C0710" w:rsidRPr="00D5249C">
        <w:t xml:space="preserve">: (i) the corresponding power generation profile is estimated by scaling up/down the reference </w:t>
      </w:r>
      <w:r w:rsidRPr="00D5249C">
        <w:t xml:space="preserve">solar </w:t>
      </w:r>
      <w:r w:rsidR="005C0710" w:rsidRPr="00D5249C">
        <w:t>power profiles to the</w:t>
      </w:r>
      <w:r w:rsidR="0088559B" w:rsidRPr="00D5249C">
        <w:t xml:space="preserve"> actual </w:t>
      </w:r>
      <w:r w:rsidRPr="00D5249C">
        <w:t xml:space="preserve">solar plant </w:t>
      </w:r>
      <w:r w:rsidR="005C0710" w:rsidRPr="00D5249C">
        <w:t>installed capacity; (ii) the corresponding electrolyzer size is estimated through Equation (1b) and</w:t>
      </w:r>
      <w:r w:rsidRPr="00D5249C">
        <w:t>,</w:t>
      </w:r>
      <w:r w:rsidR="005C0710" w:rsidRPr="00D5249C">
        <w:t xml:space="preserve"> if no solution is found, it means that the </w:t>
      </w:r>
      <w:r w:rsidR="0064044A" w:rsidRPr="00D5249C">
        <w:t xml:space="preserve">solar plant </w:t>
      </w:r>
      <w:r w:rsidR="005C0710" w:rsidRPr="00D5249C">
        <w:t>installed capacit</w:t>
      </w:r>
      <w:r w:rsidR="0088559B" w:rsidRPr="00D5249C">
        <w:t>y</w:t>
      </w:r>
      <w:r w:rsidR="005C0710" w:rsidRPr="00D5249C">
        <w:t xml:space="preserve"> of such </w:t>
      </w:r>
      <w:r w:rsidRPr="00D5249C">
        <w:t xml:space="preserve">a </w:t>
      </w:r>
      <w:r w:rsidR="005C0710" w:rsidRPr="00D5249C">
        <w:t xml:space="preserve">configuration </w:t>
      </w:r>
      <w:r w:rsidR="0064044A" w:rsidRPr="00D5249C">
        <w:t xml:space="preserve">cannot produce the sufficient amount of electric energy required by the electrolyzer to </w:t>
      </w:r>
      <w:r w:rsidR="009F0D96" w:rsidRPr="00D5249C">
        <w:t xml:space="preserve">meet </w:t>
      </w:r>
      <w:r w:rsidRPr="00D5249C">
        <w:t>the target specifications</w:t>
      </w:r>
      <w:r w:rsidR="005C0710" w:rsidRPr="00D5249C">
        <w:t xml:space="preserve"> (</w:t>
      </w:r>
      <w:r w:rsidR="005C0710" w:rsidRPr="00D5249C">
        <w:rPr>
          <w:i/>
          <w:iCs/>
        </w:rPr>
        <w:t>i.e.</w:t>
      </w:r>
      <w:r w:rsidR="005C0710" w:rsidRPr="00D5249C">
        <w:t xml:space="preserve"> it falls into the unfeasibility region and must be discarded); (iii)</w:t>
      </w:r>
      <w:r w:rsidR="0064044A" w:rsidRPr="00D5249C">
        <w:t xml:space="preserve"> t</w:t>
      </w:r>
      <w:r w:rsidR="005C0710" w:rsidRPr="00D5249C">
        <w:t xml:space="preserve">he power consumption profile of the electrolyzer is </w:t>
      </w:r>
      <w:r w:rsidRPr="00D5249C">
        <w:t xml:space="preserve">then </w:t>
      </w:r>
      <w:r w:rsidR="005C0710" w:rsidRPr="00D5249C">
        <w:t xml:space="preserve">estimated through </w:t>
      </w:r>
      <w:r w:rsidR="003F1FD9" w:rsidRPr="00D5249C">
        <w:t>Equation (1d)</w:t>
      </w:r>
      <w:r w:rsidR="0064044A" w:rsidRPr="00D5249C">
        <w:t>; (iv) t</w:t>
      </w:r>
      <w:r w:rsidR="005C0710" w:rsidRPr="00D5249C">
        <w:t xml:space="preserve">he green hydrogen profile originating from the electrolyzer is </w:t>
      </w:r>
      <w:r w:rsidR="000A6E34" w:rsidRPr="00D5249C">
        <w:t xml:space="preserve">evaluated </w:t>
      </w:r>
      <w:r w:rsidR="005C0710" w:rsidRPr="00D5249C">
        <w:t xml:space="preserve">from the electrolyzer consumption profile and </w:t>
      </w:r>
      <w:r w:rsidR="0064044A" w:rsidRPr="00D5249C">
        <w:t>its operating</w:t>
      </w:r>
      <w:r w:rsidR="005C0710" w:rsidRPr="00D5249C">
        <w:t xml:space="preserve"> specifications given as input data</w:t>
      </w:r>
      <w:r w:rsidR="0064044A" w:rsidRPr="00D5249C">
        <w:t xml:space="preserve">; </w:t>
      </w:r>
      <w:r w:rsidR="005C0710" w:rsidRPr="00D5249C">
        <w:t>(</w:t>
      </w:r>
      <w:r w:rsidR="0064044A" w:rsidRPr="00D5249C">
        <w:t>v</w:t>
      </w:r>
      <w:r w:rsidR="005C0710" w:rsidRPr="00D5249C">
        <w:t xml:space="preserve">) The green hydrogen storage size and its outlet mass flow profile are estimated </w:t>
      </w:r>
      <w:r w:rsidR="0064044A" w:rsidRPr="00D5249C">
        <w:t xml:space="preserve">according to Equation (1c); and </w:t>
      </w:r>
      <w:r w:rsidR="005C0710" w:rsidRPr="00D5249C">
        <w:t>(</w:t>
      </w:r>
      <w:r w:rsidR="0064044A" w:rsidRPr="00D5249C">
        <w:t>vi</w:t>
      </w:r>
      <w:r w:rsidR="005C0710" w:rsidRPr="00D5249C">
        <w:t xml:space="preserve">) </w:t>
      </w:r>
      <w:r w:rsidR="0064044A" w:rsidRPr="00D5249C">
        <w:t>t</w:t>
      </w:r>
      <w:r w:rsidR="005C0710" w:rsidRPr="00D5249C">
        <w:t>he C</w:t>
      </w:r>
      <w:r w:rsidR="0064044A" w:rsidRPr="00D5249C">
        <w:t>ap</w:t>
      </w:r>
      <w:r w:rsidR="005C0710" w:rsidRPr="00D5249C">
        <w:t>E</w:t>
      </w:r>
      <w:r w:rsidR="0064044A" w:rsidRPr="00D5249C">
        <w:t>x</w:t>
      </w:r>
      <w:r w:rsidR="005C0710" w:rsidRPr="00D5249C">
        <w:t xml:space="preserve"> and O</w:t>
      </w:r>
      <w:r w:rsidR="0064044A" w:rsidRPr="00D5249C">
        <w:t>p</w:t>
      </w:r>
      <w:r w:rsidR="005C0710" w:rsidRPr="00D5249C">
        <w:t>E</w:t>
      </w:r>
      <w:r w:rsidR="0064044A" w:rsidRPr="00D5249C">
        <w:t>x</w:t>
      </w:r>
      <w:r w:rsidR="005C0710" w:rsidRPr="00D5249C">
        <w:t xml:space="preserve"> of the corresponding </w:t>
      </w:r>
      <w:r w:rsidR="003F1FD9" w:rsidRPr="00D5249C">
        <w:t>solar</w:t>
      </w:r>
      <w:r w:rsidR="005C0710" w:rsidRPr="00D5249C">
        <w:t xml:space="preserve"> plant, electrolyzer, and hydrogen storage are estimated.</w:t>
      </w:r>
      <w:r w:rsidR="00C24E3D" w:rsidRPr="00D5249C">
        <w:t xml:space="preserve"> </w:t>
      </w:r>
      <w:r w:rsidR="00323394" w:rsidRPr="00D5249C">
        <w:t xml:space="preserve">Precisely, </w:t>
      </w:r>
      <w:r w:rsidR="00094ACE" w:rsidRPr="00D5249C">
        <w:t xml:space="preserve">for each process unit, </w:t>
      </w:r>
      <w:r w:rsidR="00323394" w:rsidRPr="00D5249C">
        <w:t>such costs</w:t>
      </w:r>
      <w:r w:rsidR="0015428B" w:rsidRPr="00D5249C">
        <w:t xml:space="preserve"> are evaluated by multiplying the intensive input costs data (</w:t>
      </w:r>
      <w:r w:rsidR="0015428B" w:rsidRPr="00D5249C">
        <w:rPr>
          <w:i/>
          <w:iCs/>
        </w:rPr>
        <w:t>e.g.</w:t>
      </w:r>
      <w:r w:rsidR="0015428B" w:rsidRPr="00D5249C">
        <w:t>, CapEx and OpEx per MW installed</w:t>
      </w:r>
      <w:r w:rsidR="004F651D" w:rsidRPr="00D5249C">
        <w:t>, or per t</w:t>
      </w:r>
      <w:r w:rsidR="004F651D" w:rsidRPr="00D5249C">
        <w:rPr>
          <w:vertAlign w:val="subscript"/>
        </w:rPr>
        <w:t>H2</w:t>
      </w:r>
      <w:r w:rsidR="004F651D" w:rsidRPr="00D5249C">
        <w:t xml:space="preserve"> stored</w:t>
      </w:r>
      <w:r w:rsidR="0015428B" w:rsidRPr="00D5249C">
        <w:t xml:space="preserve">) by </w:t>
      </w:r>
      <w:r w:rsidR="00094ACE" w:rsidRPr="00D5249C">
        <w:t>the</w:t>
      </w:r>
      <w:r w:rsidR="0015428B" w:rsidRPr="00D5249C">
        <w:t xml:space="preserve"> </w:t>
      </w:r>
      <w:r w:rsidR="004F651D" w:rsidRPr="00D5249C">
        <w:t>computed</w:t>
      </w:r>
      <w:r w:rsidR="0015428B" w:rsidRPr="00D5249C">
        <w:t xml:space="preserve"> sizes</w:t>
      </w:r>
      <w:r w:rsidR="00323394" w:rsidRPr="00D5249C">
        <w:t xml:space="preserve">. </w:t>
      </w:r>
      <w:r w:rsidR="00C24E3D" w:rsidRPr="00D5249C">
        <w:t xml:space="preserve">At the end of the whole procedure, once every single solar plant installed capacity scenario has been assessed, the optimal configuration is the one </w:t>
      </w:r>
      <w:r w:rsidR="0086653D" w:rsidRPr="00D5249C">
        <w:t>satisfying</w:t>
      </w:r>
      <w:r w:rsidR="00C24E3D" w:rsidRPr="00D5249C">
        <w:t xml:space="preserve"> Equation (1a), </w:t>
      </w:r>
      <w:r w:rsidR="00C24E3D" w:rsidRPr="00D5249C">
        <w:rPr>
          <w:i/>
          <w:iCs/>
        </w:rPr>
        <w:t>i.e.</w:t>
      </w:r>
      <w:r w:rsidR="00C24E3D" w:rsidRPr="00D5249C">
        <w:t xml:space="preserve"> resulting in the lowest total costs.</w:t>
      </w:r>
    </w:p>
    <w:p w14:paraId="144DE6A5" w14:textId="49948593" w:rsidR="008D2649" w:rsidRPr="00D5249C" w:rsidRDefault="00930D2A" w:rsidP="008D2649">
      <w:pPr>
        <w:pStyle w:val="Els-1storder-head"/>
        <w:spacing w:after="120"/>
      </w:pPr>
      <w:r w:rsidRPr="00D5249C">
        <w:t>Case study</w:t>
      </w:r>
    </w:p>
    <w:p w14:paraId="144DE6AA" w14:textId="3E13187C" w:rsidR="008D2649" w:rsidRPr="00D5249C" w:rsidRDefault="00C332AA" w:rsidP="00022C98">
      <w:pPr>
        <w:pStyle w:val="Els-body-text"/>
      </w:pPr>
      <w:r w:rsidRPr="00D5249C">
        <w:t>Our</w:t>
      </w:r>
      <w:r w:rsidR="003F0920" w:rsidRPr="00D5249C">
        <w:t xml:space="preserve"> methodology </w:t>
      </w:r>
      <w:r w:rsidR="00AE7309" w:rsidRPr="00D5249C">
        <w:t>is</w:t>
      </w:r>
      <w:r w:rsidRPr="00D5249C">
        <w:t xml:space="preserve"> now</w:t>
      </w:r>
      <w:r w:rsidR="00AE7309" w:rsidRPr="00D5249C">
        <w:t xml:space="preserve"> </w:t>
      </w:r>
      <w:r w:rsidR="003F0920" w:rsidRPr="00D5249C">
        <w:t xml:space="preserve">validated </w:t>
      </w:r>
      <w:r w:rsidR="002F7A60" w:rsidRPr="00D5249C">
        <w:t xml:space="preserve">by </w:t>
      </w:r>
      <w:r w:rsidR="006654BF" w:rsidRPr="00D5249C">
        <w:t>performing</w:t>
      </w:r>
      <w:r w:rsidR="003F0920" w:rsidRPr="00D5249C">
        <w:t xml:space="preserve"> a </w:t>
      </w:r>
      <w:r w:rsidR="006654BF" w:rsidRPr="00D5249C">
        <w:t xml:space="preserve">feasibility study </w:t>
      </w:r>
      <w:r w:rsidRPr="00D5249C">
        <w:t>of</w:t>
      </w:r>
      <w:r w:rsidR="006654BF" w:rsidRPr="00D5249C">
        <w:t xml:space="preserve"> a</w:t>
      </w:r>
      <w:r w:rsidR="00A034D2" w:rsidRPr="00D5249C">
        <w:t xml:space="preserve"> </w:t>
      </w:r>
      <w:r w:rsidR="003F0920" w:rsidRPr="00D5249C">
        <w:t xml:space="preserve">green hydrogen production </w:t>
      </w:r>
      <w:r w:rsidR="006654BF" w:rsidRPr="00D5249C">
        <w:t>plant</w:t>
      </w:r>
      <w:r w:rsidR="003F0920" w:rsidRPr="00D5249C">
        <w:t xml:space="preserve"> in California</w:t>
      </w:r>
      <w:r w:rsidR="006654BF" w:rsidRPr="00D5249C">
        <w:t>, USA</w:t>
      </w:r>
      <w:r w:rsidR="008D2649" w:rsidRPr="00D5249C">
        <w:t>.</w:t>
      </w:r>
      <w:r w:rsidR="003F0920" w:rsidRPr="00D5249C">
        <w:t xml:space="preserve"> As we want to estimate the lowest LCOH attainable </w:t>
      </w:r>
      <w:r w:rsidR="00A034D2" w:rsidRPr="00D5249C">
        <w:t>with</w:t>
      </w:r>
      <w:r w:rsidR="003F0920" w:rsidRPr="00D5249C">
        <w:t xml:space="preserve"> our criterion, we consider the system depicted in </w:t>
      </w:r>
      <w:r w:rsidR="0048395E" w:rsidRPr="00D5249C">
        <w:fldChar w:fldCharType="begin"/>
      </w:r>
      <w:r w:rsidR="0048395E" w:rsidRPr="00D5249C">
        <w:instrText xml:space="preserve"> REF _Ref150247855 \h </w:instrText>
      </w:r>
      <w:r w:rsidR="00022C98" w:rsidRPr="00D5249C">
        <w:instrText xml:space="preserve"> \* MERGEFORMAT </w:instrText>
      </w:r>
      <w:r w:rsidR="0048395E" w:rsidRPr="00D5249C">
        <w:fldChar w:fldCharType="separate"/>
      </w:r>
      <w:r w:rsidR="0048395E" w:rsidRPr="00D5249C">
        <w:t>Figure 1</w:t>
      </w:r>
      <w:r w:rsidR="0048395E" w:rsidRPr="00D5249C">
        <w:fldChar w:fldCharType="end"/>
      </w:r>
      <w:r w:rsidR="003F0920" w:rsidRPr="00D5249C">
        <w:t xml:space="preserve">, which refers to the green hydrogen generation section and </w:t>
      </w:r>
      <w:r w:rsidR="00FA745C" w:rsidRPr="00D5249C">
        <w:t>neglects</w:t>
      </w:r>
      <w:r w:rsidR="003F0920" w:rsidRPr="00D5249C">
        <w:t xml:space="preserve"> any further downstream </w:t>
      </w:r>
      <w:r w:rsidR="002F7A60" w:rsidRPr="00D5249C">
        <w:t>utilization feature</w:t>
      </w:r>
      <w:r w:rsidR="003F0920" w:rsidRPr="00D5249C">
        <w:t xml:space="preserve"> (that is why no </w:t>
      </w:r>
      <w:r w:rsidR="00A034D2" w:rsidRPr="00D5249C">
        <w:t xml:space="preserve">hydrogen </w:t>
      </w:r>
      <w:r w:rsidR="003F0920" w:rsidRPr="00D5249C">
        <w:t>storage</w:t>
      </w:r>
      <w:r w:rsidR="002F7A60" w:rsidRPr="00D5249C">
        <w:t xml:space="preserve"> </w:t>
      </w:r>
      <w:r w:rsidR="00E750E8" w:rsidRPr="00D5249C">
        <w:t xml:space="preserve">has </w:t>
      </w:r>
      <w:r w:rsidR="003F0920" w:rsidRPr="00D5249C">
        <w:t>been included</w:t>
      </w:r>
      <w:r w:rsidR="008232EC" w:rsidRPr="00D5249C">
        <w:t xml:space="preserve"> </w:t>
      </w:r>
      <w:r w:rsidR="00197676" w:rsidRPr="00D5249C">
        <w:t xml:space="preserve">neither </w:t>
      </w:r>
      <w:r w:rsidR="008232EC" w:rsidRPr="00D5249C">
        <w:t xml:space="preserve">in the system </w:t>
      </w:r>
      <w:r w:rsidR="00197676" w:rsidRPr="00D5249C">
        <w:t xml:space="preserve">nor </w:t>
      </w:r>
      <w:r w:rsidR="007758C8" w:rsidRPr="00D5249C">
        <w:t xml:space="preserve">in </w:t>
      </w:r>
      <w:r w:rsidR="008232EC" w:rsidRPr="00D5249C">
        <w:t>the objective function</w:t>
      </w:r>
      <w:r w:rsidR="003F0920" w:rsidRPr="00D5249C">
        <w:t xml:space="preserve">, as its operation </w:t>
      </w:r>
      <w:r w:rsidR="002F7A60" w:rsidRPr="00D5249C">
        <w:t xml:space="preserve">completely </w:t>
      </w:r>
      <w:r w:rsidR="003F0920" w:rsidRPr="00D5249C">
        <w:t>depends on the user</w:t>
      </w:r>
      <w:r w:rsidR="00BD2875" w:rsidRPr="00D5249C">
        <w:t>’s</w:t>
      </w:r>
      <w:r w:rsidR="003F0920" w:rsidRPr="00D5249C">
        <w:t xml:space="preserve"> </w:t>
      </w:r>
      <w:r w:rsidR="00BD2875" w:rsidRPr="00D5249C">
        <w:t>requirements</w:t>
      </w:r>
      <w:r w:rsidR="003F0920" w:rsidRPr="00D5249C">
        <w:t>).</w:t>
      </w:r>
    </w:p>
    <w:p w14:paraId="687E5F79" w14:textId="3FF42F77" w:rsidR="00D818D8" w:rsidRPr="00D5249C" w:rsidRDefault="00FB5EF7" w:rsidP="005775ED">
      <w:pPr>
        <w:pStyle w:val="Els-body-text"/>
        <w:keepNext/>
        <w:spacing w:before="120" w:after="120" w:line="264" w:lineRule="auto"/>
        <w:jc w:val="center"/>
      </w:pPr>
      <w:r w:rsidRPr="00D5249C">
        <w:rPr>
          <w:noProof/>
        </w:rPr>
        <w:drawing>
          <wp:inline distT="0" distB="0" distL="0" distR="0" wp14:anchorId="089EB09E" wp14:editId="080A1D6A">
            <wp:extent cx="4500000" cy="807119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807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1E478D" w14:textId="78C3568C" w:rsidR="00D818D8" w:rsidRPr="00D5249C" w:rsidRDefault="00D818D8" w:rsidP="00D818D8">
      <w:pPr>
        <w:pStyle w:val="Didascalia"/>
        <w:jc w:val="both"/>
      </w:pPr>
      <w:bookmarkStart w:id="2" w:name="_Ref150247855"/>
      <w:r w:rsidRPr="00D5249C">
        <w:rPr>
          <w:b/>
          <w:bCs/>
        </w:rPr>
        <w:t xml:space="preserve">Figure </w:t>
      </w:r>
      <w:r w:rsidRPr="00D5249C">
        <w:rPr>
          <w:b/>
          <w:bCs/>
        </w:rPr>
        <w:fldChar w:fldCharType="begin"/>
      </w:r>
      <w:r w:rsidRPr="00D5249C">
        <w:rPr>
          <w:b/>
          <w:bCs/>
        </w:rPr>
        <w:instrText xml:space="preserve"> SEQ Figure \* ARABIC </w:instrText>
      </w:r>
      <w:r w:rsidRPr="00D5249C">
        <w:rPr>
          <w:b/>
          <w:bCs/>
        </w:rPr>
        <w:fldChar w:fldCharType="separate"/>
      </w:r>
      <w:r w:rsidR="00793742" w:rsidRPr="00D5249C">
        <w:rPr>
          <w:b/>
          <w:bCs/>
        </w:rPr>
        <w:t>1</w:t>
      </w:r>
      <w:r w:rsidRPr="00D5249C">
        <w:rPr>
          <w:b/>
          <w:bCs/>
        </w:rPr>
        <w:fldChar w:fldCharType="end"/>
      </w:r>
      <w:bookmarkEnd w:id="2"/>
      <w:r w:rsidRPr="00D5249C">
        <w:rPr>
          <w:b/>
          <w:bCs/>
        </w:rPr>
        <w:t>:</w:t>
      </w:r>
      <w:r w:rsidRPr="00D5249C">
        <w:t xml:space="preserve"> System </w:t>
      </w:r>
      <w:r w:rsidR="00D52E18" w:rsidRPr="00D5249C">
        <w:t>and control volume</w:t>
      </w:r>
      <w:r w:rsidRPr="00D5249C">
        <w:t xml:space="preserve"> of the case study</w:t>
      </w:r>
      <w:r w:rsidR="00D15F15" w:rsidRPr="00D5249C">
        <w:t>.</w:t>
      </w:r>
    </w:p>
    <w:p w14:paraId="1732F2AE" w14:textId="2BEED41D" w:rsidR="00B36319" w:rsidRPr="00D5249C" w:rsidRDefault="009C7418" w:rsidP="00D41614">
      <w:pPr>
        <w:pStyle w:val="Els-body-text"/>
      </w:pPr>
      <w:r w:rsidRPr="00D5249C">
        <w:t>Specifically, an average yearly target production rate equal to 1</w:t>
      </w:r>
      <w:r w:rsidR="005A107A" w:rsidRPr="00D5249C">
        <w:t> </w:t>
      </w:r>
      <w:r w:rsidRPr="00D5249C">
        <w:t>t</w:t>
      </w:r>
      <w:r w:rsidRPr="00D5249C">
        <w:rPr>
          <w:vertAlign w:val="subscript"/>
        </w:rPr>
        <w:t>H2</w:t>
      </w:r>
      <w:r w:rsidRPr="00D5249C">
        <w:t xml:space="preserve">/h </w:t>
      </w:r>
      <w:r w:rsidR="002C4158" w:rsidRPr="00D5249C">
        <w:t>is</w:t>
      </w:r>
      <w:r w:rsidRPr="00D5249C">
        <w:t xml:space="preserve"> assumed, and Californian solar </w:t>
      </w:r>
      <w:r w:rsidR="001D0BA5" w:rsidRPr="00D5249C">
        <w:t xml:space="preserve">hourly </w:t>
      </w:r>
      <w:r w:rsidRPr="00D5249C">
        <w:t xml:space="preserve">profiles from 2022 (CAISO, 2023) </w:t>
      </w:r>
      <w:r w:rsidR="002C4158" w:rsidRPr="00D5249C">
        <w:t>are</w:t>
      </w:r>
      <w:r w:rsidRPr="00D5249C">
        <w:t xml:space="preserve"> considered </w:t>
      </w:r>
      <w:r w:rsidR="002F7A60" w:rsidRPr="00D5249C">
        <w:t>as input data.</w:t>
      </w:r>
      <w:r w:rsidR="008262CF" w:rsidRPr="00D5249C">
        <w:t xml:space="preserve"> </w:t>
      </w:r>
      <w:r w:rsidR="001D0BA5" w:rsidRPr="00D5249C">
        <w:t>Furthermore</w:t>
      </w:r>
      <w:r w:rsidR="008262CF" w:rsidRPr="00D5249C">
        <w:t xml:space="preserve">, </w:t>
      </w:r>
      <w:r w:rsidR="00066879" w:rsidRPr="00D5249C">
        <w:fldChar w:fldCharType="begin"/>
      </w:r>
      <w:r w:rsidR="00066879" w:rsidRPr="00D5249C">
        <w:instrText xml:space="preserve"> REF _Ref150265408 \h </w:instrText>
      </w:r>
      <w:r w:rsidR="00E6628F" w:rsidRPr="00D5249C">
        <w:instrText xml:space="preserve"> \* MERGEFORMAT </w:instrText>
      </w:r>
      <w:r w:rsidR="00066879" w:rsidRPr="00D5249C">
        <w:fldChar w:fldCharType="separate"/>
      </w:r>
      <w:r w:rsidR="00066879" w:rsidRPr="00D5249C">
        <w:t>Table 1</w:t>
      </w:r>
      <w:r w:rsidR="00066879" w:rsidRPr="00D5249C">
        <w:fldChar w:fldCharType="end"/>
      </w:r>
      <w:r w:rsidR="00066879" w:rsidRPr="00D5249C">
        <w:t xml:space="preserve"> reports </w:t>
      </w:r>
      <w:r w:rsidR="008262CF" w:rsidRPr="00D5249C">
        <w:t>the</w:t>
      </w:r>
      <w:r w:rsidR="00066879" w:rsidRPr="00D5249C">
        <w:t xml:space="preserve"> reference </w:t>
      </w:r>
      <w:r w:rsidR="008262CF" w:rsidRPr="00D5249C">
        <w:t xml:space="preserve">techno-economic data </w:t>
      </w:r>
      <w:r w:rsidR="001D0BA5" w:rsidRPr="00D5249C">
        <w:t>for</w:t>
      </w:r>
      <w:r w:rsidR="008262CF" w:rsidRPr="00D5249C">
        <w:t xml:space="preserve"> the </w:t>
      </w:r>
      <w:r w:rsidR="00066879" w:rsidRPr="00D5249C">
        <w:t xml:space="preserve">(photovoltaic, PV) </w:t>
      </w:r>
      <w:r w:rsidR="008262CF" w:rsidRPr="00D5249C">
        <w:t>solar plant and</w:t>
      </w:r>
      <w:r w:rsidR="00066879" w:rsidRPr="00D5249C">
        <w:t xml:space="preserve"> the</w:t>
      </w:r>
      <w:r w:rsidR="008262CF" w:rsidRPr="00D5249C">
        <w:t xml:space="preserve"> </w:t>
      </w:r>
      <w:r w:rsidR="00066879" w:rsidRPr="00D5249C">
        <w:t xml:space="preserve">(alkaline) </w:t>
      </w:r>
      <w:r w:rsidR="008262CF" w:rsidRPr="00D5249C">
        <w:t>electrolyzer.</w:t>
      </w:r>
    </w:p>
    <w:p w14:paraId="613FF126" w14:textId="60126396" w:rsidR="00D41614" w:rsidRPr="00D5249C" w:rsidRDefault="00D41614" w:rsidP="00D41614">
      <w:pPr>
        <w:pStyle w:val="Didascalia"/>
        <w:keepNext/>
      </w:pPr>
      <w:bookmarkStart w:id="3" w:name="_Ref150265408"/>
      <w:r w:rsidRPr="00D5249C">
        <w:rPr>
          <w:b/>
          <w:bCs/>
        </w:rPr>
        <w:lastRenderedPageBreak/>
        <w:t xml:space="preserve">Table </w:t>
      </w:r>
      <w:r w:rsidRPr="00D5249C">
        <w:rPr>
          <w:b/>
          <w:bCs/>
        </w:rPr>
        <w:fldChar w:fldCharType="begin"/>
      </w:r>
      <w:r w:rsidRPr="00D5249C">
        <w:rPr>
          <w:b/>
          <w:bCs/>
        </w:rPr>
        <w:instrText xml:space="preserve"> SEQ Table \* ARABIC </w:instrText>
      </w:r>
      <w:r w:rsidRPr="00D5249C">
        <w:rPr>
          <w:b/>
          <w:bCs/>
        </w:rPr>
        <w:fldChar w:fldCharType="separate"/>
      </w:r>
      <w:r w:rsidRPr="00D5249C">
        <w:rPr>
          <w:b/>
          <w:bCs/>
        </w:rPr>
        <w:t>1</w:t>
      </w:r>
      <w:r w:rsidRPr="00D5249C">
        <w:rPr>
          <w:b/>
          <w:bCs/>
        </w:rPr>
        <w:fldChar w:fldCharType="end"/>
      </w:r>
      <w:bookmarkEnd w:id="3"/>
      <w:r w:rsidRPr="00D5249C">
        <w:rPr>
          <w:b/>
          <w:bCs/>
        </w:rPr>
        <w:t>:</w:t>
      </w:r>
      <w:r w:rsidRPr="00D5249C">
        <w:t xml:space="preserve"> Techno-economic data for the case study. From DEA (2022) and Nel Hydrogen (2021).</w:t>
      </w:r>
    </w:p>
    <w:tbl>
      <w:tblPr>
        <w:tblStyle w:val="Tabellasemplice-2"/>
        <w:tblW w:w="5000" w:type="pct"/>
        <w:tblLayout w:type="fixed"/>
        <w:tblLook w:val="0620" w:firstRow="1" w:lastRow="0" w:firstColumn="0" w:lastColumn="0" w:noHBand="1" w:noVBand="1"/>
      </w:tblPr>
      <w:tblGrid>
        <w:gridCol w:w="1420"/>
        <w:gridCol w:w="707"/>
        <w:gridCol w:w="1559"/>
        <w:gridCol w:w="1559"/>
        <w:gridCol w:w="1841"/>
      </w:tblGrid>
      <w:tr w:rsidR="00B36319" w:rsidRPr="00D5249C" w14:paraId="29287B8B" w14:textId="77777777" w:rsidTr="00FD6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1002" w:type="pct"/>
            <w:tcBorders>
              <w:top w:val="nil"/>
            </w:tcBorders>
            <w:vAlign w:val="center"/>
          </w:tcPr>
          <w:p w14:paraId="1894BE54" w14:textId="4FE4ED38" w:rsidR="00B36319" w:rsidRPr="00D5249C" w:rsidRDefault="00B36319" w:rsidP="00FF33E1">
            <w:pPr>
              <w:pStyle w:val="Els-table-text"/>
              <w:keepNext w:val="0"/>
              <w:spacing w:before="120" w:after="120" w:line="200" w:lineRule="exact"/>
              <w:jc w:val="center"/>
              <w:rPr>
                <w:b w:val="0"/>
                <w:bCs w:val="0"/>
                <w:i/>
                <w:iCs/>
              </w:rPr>
            </w:pPr>
          </w:p>
        </w:tc>
        <w:tc>
          <w:tcPr>
            <w:tcW w:w="499" w:type="pct"/>
            <w:vAlign w:val="center"/>
          </w:tcPr>
          <w:p w14:paraId="7DFF70C8" w14:textId="77777777" w:rsidR="00FD67ED" w:rsidRPr="00D5249C" w:rsidRDefault="00B36319" w:rsidP="00FD67ED">
            <w:pPr>
              <w:pStyle w:val="Els-table-text"/>
              <w:keepNext w:val="0"/>
              <w:spacing w:before="120" w:after="0" w:line="200" w:lineRule="exact"/>
              <w:jc w:val="center"/>
              <w:rPr>
                <w:b w:val="0"/>
                <w:bCs w:val="0"/>
              </w:rPr>
            </w:pPr>
            <w:r w:rsidRPr="00D5249C">
              <w:t>Life</w:t>
            </w:r>
          </w:p>
          <w:p w14:paraId="1D564A13" w14:textId="44C61424" w:rsidR="00B36319" w:rsidRPr="00D5249C" w:rsidRDefault="00B36319" w:rsidP="00FD67ED">
            <w:pPr>
              <w:pStyle w:val="Els-table-text"/>
              <w:keepNext w:val="0"/>
              <w:spacing w:after="120" w:line="200" w:lineRule="exact"/>
              <w:jc w:val="center"/>
              <w:rPr>
                <w:b w:val="0"/>
                <w:bCs w:val="0"/>
              </w:rPr>
            </w:pPr>
            <w:r w:rsidRPr="00D5249C">
              <w:rPr>
                <w:b w:val="0"/>
                <w:bCs w:val="0"/>
              </w:rPr>
              <w:t>[y]</w:t>
            </w:r>
          </w:p>
        </w:tc>
        <w:tc>
          <w:tcPr>
            <w:tcW w:w="1100" w:type="pct"/>
            <w:vAlign w:val="center"/>
          </w:tcPr>
          <w:p w14:paraId="12647F2A" w14:textId="330B5B7C" w:rsidR="00B36319" w:rsidRPr="00D5249C" w:rsidRDefault="00B36319" w:rsidP="00FF33E1">
            <w:pPr>
              <w:pStyle w:val="Els-table-text"/>
              <w:keepNext w:val="0"/>
              <w:spacing w:before="120" w:after="120" w:line="200" w:lineRule="exact"/>
              <w:jc w:val="center"/>
              <w:rPr>
                <w:b w:val="0"/>
                <w:bCs w:val="0"/>
              </w:rPr>
            </w:pPr>
            <w:r w:rsidRPr="00D5249C">
              <w:t>CapEx</w:t>
            </w:r>
            <w:r w:rsidRPr="00D5249C">
              <w:rPr>
                <w:b w:val="0"/>
                <w:bCs w:val="0"/>
              </w:rPr>
              <w:t xml:space="preserve"> [€</w:t>
            </w:r>
            <w:r w:rsidR="0054492D" w:rsidRPr="00D5249C">
              <w:rPr>
                <w:b w:val="0"/>
                <w:bCs w:val="0"/>
                <w:vertAlign w:val="subscript"/>
              </w:rPr>
              <w:t>2020</w:t>
            </w:r>
            <w:r w:rsidRPr="00D5249C">
              <w:rPr>
                <w:b w:val="0"/>
                <w:bCs w:val="0"/>
              </w:rPr>
              <w:t>/MW</w:t>
            </w:r>
            <w:r w:rsidR="00F54F4D" w:rsidRPr="00D5249C">
              <w:rPr>
                <w:b w:val="0"/>
                <w:bCs w:val="0"/>
              </w:rPr>
              <w:t>e</w:t>
            </w:r>
            <w:r w:rsidRPr="00D5249C">
              <w:rPr>
                <w:b w:val="0"/>
                <w:bCs w:val="0"/>
              </w:rPr>
              <w:t>]</w:t>
            </w:r>
          </w:p>
        </w:tc>
        <w:tc>
          <w:tcPr>
            <w:tcW w:w="1100" w:type="pct"/>
            <w:vAlign w:val="center"/>
          </w:tcPr>
          <w:p w14:paraId="0F5E18BC" w14:textId="02E97806" w:rsidR="00B36319" w:rsidRPr="00D5249C" w:rsidRDefault="00B36319" w:rsidP="00FF33E1">
            <w:pPr>
              <w:pStyle w:val="Els-table-text"/>
              <w:keepNext w:val="0"/>
              <w:spacing w:before="120" w:after="120" w:line="200" w:lineRule="exact"/>
              <w:jc w:val="center"/>
              <w:rPr>
                <w:b w:val="0"/>
                <w:bCs w:val="0"/>
              </w:rPr>
            </w:pPr>
            <w:r w:rsidRPr="00D5249C">
              <w:t>OpEx</w:t>
            </w:r>
            <w:r w:rsidRPr="00D5249C">
              <w:rPr>
                <w:b w:val="0"/>
                <w:bCs w:val="0"/>
              </w:rPr>
              <w:t xml:space="preserve"> [€</w:t>
            </w:r>
            <w:r w:rsidR="0054492D" w:rsidRPr="00D5249C">
              <w:rPr>
                <w:b w:val="0"/>
                <w:bCs w:val="0"/>
                <w:vertAlign w:val="subscript"/>
              </w:rPr>
              <w:t>2020</w:t>
            </w:r>
            <w:r w:rsidRPr="00D5249C">
              <w:rPr>
                <w:b w:val="0"/>
                <w:bCs w:val="0"/>
              </w:rPr>
              <w:t>/MW</w:t>
            </w:r>
            <w:r w:rsidR="00F54F4D" w:rsidRPr="00D5249C">
              <w:rPr>
                <w:b w:val="0"/>
                <w:bCs w:val="0"/>
              </w:rPr>
              <w:t>e/y</w:t>
            </w:r>
            <w:r w:rsidRPr="00D5249C">
              <w:rPr>
                <w:b w:val="0"/>
                <w:bCs w:val="0"/>
              </w:rPr>
              <w:t>]</w:t>
            </w:r>
          </w:p>
        </w:tc>
        <w:tc>
          <w:tcPr>
            <w:tcW w:w="1299" w:type="pct"/>
            <w:vAlign w:val="center"/>
          </w:tcPr>
          <w:p w14:paraId="346F33F1" w14:textId="1316EE29" w:rsidR="00B36319" w:rsidRPr="00D5249C" w:rsidRDefault="00DE31A3" w:rsidP="00FF33E1">
            <w:pPr>
              <w:pStyle w:val="Els-table-text"/>
              <w:spacing w:after="0" w:line="200" w:lineRule="exact"/>
              <w:jc w:val="center"/>
              <w:rPr>
                <w:b w:val="0"/>
                <w:bCs w:val="0"/>
              </w:rPr>
            </w:pPr>
            <w:r w:rsidRPr="00D5249C">
              <w:t>Power c</w:t>
            </w:r>
            <w:r w:rsidR="00F54F4D" w:rsidRPr="00D5249C">
              <w:t>ons</w:t>
            </w:r>
            <w:r w:rsidRPr="00D5249C">
              <w:t>umption</w:t>
            </w:r>
            <w:r w:rsidR="008A40DC" w:rsidRPr="00D5249C">
              <w:rPr>
                <w:b w:val="0"/>
                <w:bCs w:val="0"/>
              </w:rPr>
              <w:t xml:space="preserve"> [</w:t>
            </w:r>
            <w:r w:rsidRPr="00D5249C">
              <w:rPr>
                <w:b w:val="0"/>
                <w:bCs w:val="0"/>
              </w:rPr>
              <w:t>kWh/Nm</w:t>
            </w:r>
            <w:r w:rsidRPr="00D5249C">
              <w:rPr>
                <w:b w:val="0"/>
                <w:bCs w:val="0"/>
                <w:vertAlign w:val="superscript"/>
              </w:rPr>
              <w:t>3</w:t>
            </w:r>
            <w:r w:rsidRPr="00D5249C">
              <w:rPr>
                <w:b w:val="0"/>
                <w:bCs w:val="0"/>
                <w:vertAlign w:val="subscript"/>
              </w:rPr>
              <w:t>H2</w:t>
            </w:r>
            <w:r w:rsidRPr="00D5249C">
              <w:rPr>
                <w:b w:val="0"/>
                <w:bCs w:val="0"/>
              </w:rPr>
              <w:t>]</w:t>
            </w:r>
          </w:p>
        </w:tc>
      </w:tr>
      <w:tr w:rsidR="00B36319" w:rsidRPr="00D5249C" w14:paraId="417A38E1" w14:textId="77777777" w:rsidTr="00FD67ED">
        <w:trPr>
          <w:trHeight w:val="283"/>
        </w:trPr>
        <w:tc>
          <w:tcPr>
            <w:tcW w:w="1002" w:type="pct"/>
            <w:vAlign w:val="center"/>
          </w:tcPr>
          <w:p w14:paraId="111858EB" w14:textId="0FAD3838" w:rsidR="00B36319" w:rsidRPr="00D5249C" w:rsidRDefault="00B36319" w:rsidP="00FF33E1">
            <w:pPr>
              <w:pStyle w:val="Els-table-text"/>
              <w:keepNext w:val="0"/>
              <w:spacing w:after="0" w:line="200" w:lineRule="exact"/>
              <w:jc w:val="center"/>
              <w:rPr>
                <w:b/>
                <w:bCs/>
              </w:rPr>
            </w:pPr>
            <w:r w:rsidRPr="00D5249C">
              <w:rPr>
                <w:b/>
                <w:bCs/>
              </w:rPr>
              <w:t>Solar plant</w:t>
            </w:r>
          </w:p>
        </w:tc>
        <w:tc>
          <w:tcPr>
            <w:tcW w:w="499" w:type="pct"/>
            <w:vAlign w:val="center"/>
          </w:tcPr>
          <w:p w14:paraId="6E17E58B" w14:textId="19F27B4B" w:rsidR="00B36319" w:rsidRPr="00D5249C" w:rsidRDefault="00B36319" w:rsidP="00FF33E1">
            <w:pPr>
              <w:pStyle w:val="Els-table-text"/>
              <w:keepNext w:val="0"/>
              <w:spacing w:after="0" w:line="200" w:lineRule="exact"/>
              <w:jc w:val="center"/>
            </w:pPr>
            <w:r w:rsidRPr="00D5249C">
              <w:t>20</w:t>
            </w:r>
          </w:p>
        </w:tc>
        <w:tc>
          <w:tcPr>
            <w:tcW w:w="1100" w:type="pct"/>
            <w:vAlign w:val="center"/>
          </w:tcPr>
          <w:p w14:paraId="25CDEBDA" w14:textId="51AE352D" w:rsidR="00B36319" w:rsidRPr="00D5249C" w:rsidRDefault="0054492D" w:rsidP="00FF33E1">
            <w:pPr>
              <w:pStyle w:val="Els-table-text"/>
              <w:keepNext w:val="0"/>
              <w:spacing w:after="0" w:line="200" w:lineRule="exact"/>
              <w:jc w:val="center"/>
            </w:pPr>
            <w:r w:rsidRPr="00D5249C">
              <w:t>520</w:t>
            </w:r>
            <w:r w:rsidR="00F54F4D" w:rsidRPr="00D5249C">
              <w:t>,00</w:t>
            </w:r>
            <w:r w:rsidRPr="00D5249C">
              <w:t>0</w:t>
            </w:r>
          </w:p>
        </w:tc>
        <w:tc>
          <w:tcPr>
            <w:tcW w:w="1100" w:type="pct"/>
            <w:vAlign w:val="center"/>
          </w:tcPr>
          <w:p w14:paraId="7359BA1C" w14:textId="3BDD1522" w:rsidR="00B36319" w:rsidRPr="00D5249C" w:rsidRDefault="0054492D" w:rsidP="00FF33E1">
            <w:pPr>
              <w:pStyle w:val="Els-table-text"/>
              <w:keepNext w:val="0"/>
              <w:spacing w:after="0" w:line="200" w:lineRule="exact"/>
              <w:jc w:val="center"/>
            </w:pPr>
            <w:r w:rsidRPr="00D5249C">
              <w:t>9,700</w:t>
            </w:r>
          </w:p>
        </w:tc>
        <w:tc>
          <w:tcPr>
            <w:tcW w:w="1299" w:type="pct"/>
            <w:vAlign w:val="center"/>
          </w:tcPr>
          <w:p w14:paraId="67DDC277" w14:textId="54FBF403" w:rsidR="00B36319" w:rsidRPr="00D5249C" w:rsidRDefault="00F54F4D" w:rsidP="00F54F4D">
            <w:pPr>
              <w:pStyle w:val="Els-table-text"/>
              <w:keepNext w:val="0"/>
              <w:spacing w:after="0" w:line="200" w:lineRule="exact"/>
              <w:jc w:val="center"/>
            </w:pPr>
            <w:r w:rsidRPr="00D5249C">
              <w:t>–</w:t>
            </w:r>
          </w:p>
        </w:tc>
      </w:tr>
      <w:tr w:rsidR="00B36319" w:rsidRPr="00D5249C" w14:paraId="1F05922A" w14:textId="77777777" w:rsidTr="00FD67ED">
        <w:trPr>
          <w:trHeight w:val="283"/>
        </w:trPr>
        <w:tc>
          <w:tcPr>
            <w:tcW w:w="1002" w:type="pct"/>
            <w:vAlign w:val="center"/>
          </w:tcPr>
          <w:p w14:paraId="573736EC" w14:textId="44747F24" w:rsidR="00B36319" w:rsidRPr="00D5249C" w:rsidRDefault="00B36319" w:rsidP="00FF33E1">
            <w:pPr>
              <w:pStyle w:val="Els-table-text"/>
              <w:keepNext w:val="0"/>
              <w:spacing w:after="0" w:line="200" w:lineRule="exact"/>
              <w:jc w:val="center"/>
              <w:rPr>
                <w:b/>
                <w:bCs/>
              </w:rPr>
            </w:pPr>
            <w:r w:rsidRPr="00D5249C">
              <w:rPr>
                <w:b/>
                <w:bCs/>
              </w:rPr>
              <w:t>Electrolyzer</w:t>
            </w:r>
          </w:p>
        </w:tc>
        <w:tc>
          <w:tcPr>
            <w:tcW w:w="499" w:type="pct"/>
            <w:vAlign w:val="center"/>
          </w:tcPr>
          <w:p w14:paraId="7C42E84D" w14:textId="2CA32BBD" w:rsidR="00B36319" w:rsidRPr="00D5249C" w:rsidRDefault="00B36319" w:rsidP="00FF33E1">
            <w:pPr>
              <w:pStyle w:val="Els-table-text"/>
              <w:keepNext w:val="0"/>
              <w:spacing w:after="0" w:line="200" w:lineRule="exact"/>
              <w:jc w:val="center"/>
            </w:pPr>
            <w:r w:rsidRPr="00D5249C">
              <w:t>10</w:t>
            </w:r>
          </w:p>
        </w:tc>
        <w:tc>
          <w:tcPr>
            <w:tcW w:w="1100" w:type="pct"/>
            <w:vAlign w:val="center"/>
          </w:tcPr>
          <w:p w14:paraId="2DD6D9BF" w14:textId="146B333F" w:rsidR="00B36319" w:rsidRPr="00D5249C" w:rsidRDefault="00F54F4D" w:rsidP="00FF33E1">
            <w:pPr>
              <w:pStyle w:val="Els-table-text"/>
              <w:keepNext w:val="0"/>
              <w:spacing w:after="0" w:line="200" w:lineRule="exact"/>
              <w:jc w:val="center"/>
            </w:pPr>
            <w:r w:rsidRPr="00D5249C">
              <w:t>700,000</w:t>
            </w:r>
          </w:p>
        </w:tc>
        <w:tc>
          <w:tcPr>
            <w:tcW w:w="1100" w:type="pct"/>
            <w:vAlign w:val="center"/>
          </w:tcPr>
          <w:p w14:paraId="1075B49C" w14:textId="5F48F784" w:rsidR="00B36319" w:rsidRPr="00D5249C" w:rsidRDefault="008A40DC" w:rsidP="00FF33E1">
            <w:pPr>
              <w:pStyle w:val="Els-table-text"/>
              <w:keepNext w:val="0"/>
              <w:spacing w:after="0" w:line="200" w:lineRule="exact"/>
              <w:jc w:val="center"/>
            </w:pPr>
            <w:r w:rsidRPr="00D5249C">
              <w:t>2% of [CapEx/y]</w:t>
            </w:r>
          </w:p>
        </w:tc>
        <w:tc>
          <w:tcPr>
            <w:tcW w:w="1299" w:type="pct"/>
            <w:vAlign w:val="center"/>
          </w:tcPr>
          <w:p w14:paraId="266C2CF6" w14:textId="341169F6" w:rsidR="00B36319" w:rsidRPr="00D5249C" w:rsidRDefault="00DE31A3" w:rsidP="00FF33E1">
            <w:pPr>
              <w:pStyle w:val="Els-table-text"/>
              <w:keepNext w:val="0"/>
              <w:spacing w:after="0" w:line="200" w:lineRule="exact"/>
              <w:jc w:val="center"/>
            </w:pPr>
            <w:r w:rsidRPr="00D5249C">
              <w:t>4.5</w:t>
            </w:r>
          </w:p>
        </w:tc>
      </w:tr>
    </w:tbl>
    <w:p w14:paraId="76FC7FDE" w14:textId="0E4269F2" w:rsidR="009841F5" w:rsidRPr="00D5249C" w:rsidRDefault="009841F5" w:rsidP="00F54F4D">
      <w:pPr>
        <w:pStyle w:val="Els-body-text"/>
        <w:spacing w:before="120"/>
      </w:pPr>
      <w:r w:rsidRPr="00D5249C">
        <w:t>Th</w:t>
      </w:r>
      <w:r w:rsidR="00FC09CC" w:rsidRPr="00D5249C">
        <w:t>us</w:t>
      </w:r>
      <w:r w:rsidRPr="00D5249C">
        <w:t xml:space="preserve">, </w:t>
      </w:r>
      <w:r w:rsidR="00495CCD" w:rsidRPr="00D5249C">
        <w:t>we appl</w:t>
      </w:r>
      <w:r w:rsidR="00190E1C" w:rsidRPr="00D5249C">
        <w:t>y</w:t>
      </w:r>
      <w:r w:rsidRPr="00D5249C">
        <w:t xml:space="preserve"> </w:t>
      </w:r>
      <w:r w:rsidR="00190E1C" w:rsidRPr="00D5249C">
        <w:t>the</w:t>
      </w:r>
      <w:r w:rsidRPr="00D5249C">
        <w:t xml:space="preserve"> optimization procedure </w:t>
      </w:r>
      <w:r w:rsidR="00190E1C" w:rsidRPr="00D5249C">
        <w:t>described</w:t>
      </w:r>
      <w:r w:rsidRPr="00D5249C">
        <w:t xml:space="preserve"> </w:t>
      </w:r>
      <w:r w:rsidR="00190E1C" w:rsidRPr="00D5249C">
        <w:t>by</w:t>
      </w:r>
      <w:r w:rsidRPr="00D5249C">
        <w:t xml:space="preserve"> Equation (1)</w:t>
      </w:r>
      <w:r w:rsidR="00495CCD" w:rsidRPr="00D5249C">
        <w:t xml:space="preserve"> </w:t>
      </w:r>
      <w:r w:rsidR="00B03DE9" w:rsidRPr="00D5249C">
        <w:t>by implementing it on MATLAB™ R2022a and selecting</w:t>
      </w:r>
      <w:r w:rsidR="003D2D50" w:rsidRPr="00D5249C">
        <w:t xml:space="preserve"> a</w:t>
      </w:r>
      <w:r w:rsidR="00FC09CC" w:rsidRPr="00D5249C">
        <w:t>n investigation</w:t>
      </w:r>
      <w:r w:rsidR="003D2D50" w:rsidRPr="00D5249C">
        <w:t xml:space="preserve"> region ranging from </w:t>
      </w:r>
      <w:r w:rsidR="00FA5621" w:rsidRPr="00D5249C">
        <w:rPr>
          <w:position w:val="-10"/>
        </w:rPr>
        <w:object w:dxaOrig="400" w:dyaOrig="320" w14:anchorId="32C612B7">
          <v:shape id="_x0000_i1037" type="#_x0000_t75" style="width:19.6pt;height:16.15pt" o:ole="">
            <v:imagedata r:id="rId33" o:title=""/>
          </v:shape>
          <o:OLEObject Type="Embed" ProgID="Equation.DSMT4" ShapeID="_x0000_i1037" DrawAspect="Content" ObjectID="_1764861654" r:id="rId34"/>
        </w:object>
      </w:r>
      <w:r w:rsidR="003D2D50" w:rsidRPr="00D5249C">
        <w:t>= 0</w:t>
      </w:r>
      <w:r w:rsidR="005A107A" w:rsidRPr="00D5249C">
        <w:t> </w:t>
      </w:r>
      <w:r w:rsidR="003D2D50" w:rsidRPr="00D5249C">
        <w:t xml:space="preserve">MW to </w:t>
      </w:r>
      <w:r w:rsidR="00FA5621" w:rsidRPr="00D5249C">
        <w:rPr>
          <w:position w:val="-10"/>
        </w:rPr>
        <w:object w:dxaOrig="420" w:dyaOrig="320" w14:anchorId="0180D0B4">
          <v:shape id="_x0000_i1038" type="#_x0000_t75" style="width:21.3pt;height:16.15pt" o:ole="">
            <v:imagedata r:id="rId35" o:title=""/>
          </v:shape>
          <o:OLEObject Type="Embed" ProgID="Equation.DSMT4" ShapeID="_x0000_i1038" DrawAspect="Content" ObjectID="_1764861655" r:id="rId36"/>
        </w:object>
      </w:r>
      <w:r w:rsidR="003D2D50" w:rsidRPr="00D5249C">
        <w:t> = 300</w:t>
      </w:r>
      <w:r w:rsidR="005A107A" w:rsidRPr="00D5249C">
        <w:t> </w:t>
      </w:r>
      <w:r w:rsidR="003D2D50" w:rsidRPr="00D5249C">
        <w:t>MW.</w:t>
      </w:r>
      <w:r w:rsidR="008D13CE" w:rsidRPr="00D5249C">
        <w:t xml:space="preserve"> Moreover, to directly estimate the LCOH values corresponding to each solar installed capacity, </w:t>
      </w:r>
      <w:r w:rsidR="00E304D5" w:rsidRPr="00D5249C">
        <w:t>the objective function (</w:t>
      </w:r>
      <w:r w:rsidR="00E304D5" w:rsidRPr="00D5249C">
        <w:rPr>
          <w:i/>
          <w:iCs/>
        </w:rPr>
        <w:t>i.e.</w:t>
      </w:r>
      <w:r w:rsidR="00E304D5" w:rsidRPr="00D5249C">
        <w:t xml:space="preserve"> </w:t>
      </w:r>
      <w:r w:rsidR="008D13CE" w:rsidRPr="00D5249C">
        <w:t>Equation (1a)</w:t>
      </w:r>
      <w:r w:rsidR="00E304D5" w:rsidRPr="00D5249C">
        <w:t>)</w:t>
      </w:r>
      <w:r w:rsidR="008D13CE" w:rsidRPr="00D5249C">
        <w:t xml:space="preserve"> </w:t>
      </w:r>
      <w:r w:rsidR="00190E1C" w:rsidRPr="00D5249C">
        <w:t xml:space="preserve">is divided </w:t>
      </w:r>
      <w:r w:rsidR="008D13CE" w:rsidRPr="00D5249C">
        <w:t xml:space="preserve">by the target hydrogen production rate. </w:t>
      </w:r>
      <w:r w:rsidR="00856E3D" w:rsidRPr="00D5249C">
        <w:t xml:space="preserve">Panels </w:t>
      </w:r>
      <w:r w:rsidR="00E401D3" w:rsidRPr="00D5249C">
        <w:t>A</w:t>
      </w:r>
      <w:r w:rsidR="008D13CE" w:rsidRPr="00D5249C">
        <w:t xml:space="preserve"> and </w:t>
      </w:r>
      <w:r w:rsidR="00E401D3" w:rsidRPr="00D5249C">
        <w:t>B</w:t>
      </w:r>
      <w:r w:rsidR="008D13CE" w:rsidRPr="00D5249C">
        <w:t xml:space="preserve"> </w:t>
      </w:r>
      <w:r w:rsidR="00856E3D" w:rsidRPr="00D5249C">
        <w:t xml:space="preserve">of </w:t>
      </w:r>
      <w:r w:rsidR="00195D6B" w:rsidRPr="00D5249C">
        <w:fldChar w:fldCharType="begin"/>
      </w:r>
      <w:r w:rsidR="00195D6B" w:rsidRPr="00D5249C">
        <w:instrText xml:space="preserve"> REF _Ref150267371 \h </w:instrText>
      </w:r>
      <w:r w:rsidR="00C415E9" w:rsidRPr="00D5249C">
        <w:instrText xml:space="preserve"> \* MERGEFORMAT </w:instrText>
      </w:r>
      <w:r w:rsidR="00195D6B" w:rsidRPr="00D5249C">
        <w:fldChar w:fldCharType="separate"/>
      </w:r>
      <w:r w:rsidR="00195D6B" w:rsidRPr="00D5249C">
        <w:t>Figure 2</w:t>
      </w:r>
      <w:r w:rsidR="00195D6B" w:rsidRPr="00D5249C">
        <w:fldChar w:fldCharType="end"/>
      </w:r>
      <w:r w:rsidR="00856E3D" w:rsidRPr="00D5249C">
        <w:t xml:space="preserve"> </w:t>
      </w:r>
      <w:r w:rsidR="008D13CE" w:rsidRPr="00D5249C">
        <w:t xml:space="preserve">show the </w:t>
      </w:r>
      <w:r w:rsidR="00190E1C" w:rsidRPr="00D5249C">
        <w:t>final</w:t>
      </w:r>
      <w:r w:rsidR="00490232" w:rsidRPr="00D5249C">
        <w:t xml:space="preserve"> </w:t>
      </w:r>
      <w:r w:rsidR="008D13CE" w:rsidRPr="00D5249C">
        <w:t>results of the assessment.</w:t>
      </w:r>
    </w:p>
    <w:p w14:paraId="67FB790E" w14:textId="331AC1D6" w:rsidR="00195D6B" w:rsidRPr="00D5249C" w:rsidRDefault="005A0789" w:rsidP="00195D6B">
      <w:pPr>
        <w:pStyle w:val="Els-body-text"/>
        <w:keepNext/>
        <w:spacing w:before="120"/>
      </w:pPr>
      <w:r w:rsidRPr="00D5249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FF079" wp14:editId="2E048BB2">
                <wp:simplePos x="0" y="0"/>
                <wp:positionH relativeFrom="column">
                  <wp:posOffset>1736725</wp:posOffset>
                </wp:positionH>
                <wp:positionV relativeFrom="paragraph">
                  <wp:posOffset>1268994</wp:posOffset>
                </wp:positionV>
                <wp:extent cx="301625" cy="258445"/>
                <wp:effectExtent l="0" t="0" r="22225" b="2730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45A043" w14:textId="77777777" w:rsidR="008961D5" w:rsidRPr="00116493" w:rsidRDefault="008961D5" w:rsidP="008961D5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1649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BFF079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136.75pt;margin-top:99.9pt;width:23.75pt;height:20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" fillcolor="white [3201]" strokeweight=".5pt">
                <v:textbox>
                  <w:txbxContent>
                    <w:p w14:paraId="1B45A043" w14:textId="77777777" w:rsidR="008961D5" w:rsidRPr="00116493" w:rsidRDefault="008961D5" w:rsidP="008961D5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16493">
                        <w:rPr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8961D5" w:rsidRPr="00D5249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4F37B6" wp14:editId="78968731">
                <wp:simplePos x="0" y="0"/>
                <wp:positionH relativeFrom="column">
                  <wp:posOffset>4067175</wp:posOffset>
                </wp:positionH>
                <wp:positionV relativeFrom="paragraph">
                  <wp:posOffset>219075</wp:posOffset>
                </wp:positionV>
                <wp:extent cx="301625" cy="258445"/>
                <wp:effectExtent l="0" t="0" r="22225" b="2730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357F56" w14:textId="77777777" w:rsidR="008961D5" w:rsidRPr="00116493" w:rsidRDefault="008961D5" w:rsidP="008961D5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4F37B6" id="Casella di testo 6" o:spid="_x0000_s1027" type="#_x0000_t202" style="position:absolute;left:0;text-align:left;margin-left:320.25pt;margin-top:17.25pt;width:23.75pt;height:20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" fillcolor="white [3201]" strokeweight=".5pt">
                <v:textbox>
                  <w:txbxContent>
                    <w:p w14:paraId="07357F56" w14:textId="77777777" w:rsidR="008961D5" w:rsidRPr="00116493" w:rsidRDefault="008961D5" w:rsidP="008961D5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213782" w:rsidRPr="00D5249C">
        <w:rPr>
          <w:noProof/>
        </w:rPr>
        <w:drawing>
          <wp:inline distT="0" distB="0" distL="0" distR="0" wp14:anchorId="248AF8EC" wp14:editId="2089741F">
            <wp:extent cx="2143289" cy="1728000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143289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294C" w:rsidRPr="00D5249C">
        <w:t xml:space="preserve"> </w:t>
      </w:r>
      <w:r w:rsidR="00491BEC" w:rsidRPr="00D5249C">
        <w:t xml:space="preserve"> </w:t>
      </w:r>
      <w:r w:rsidR="00491BEC" w:rsidRPr="00D5249C">
        <w:rPr>
          <w:noProof/>
        </w:rPr>
        <w:drawing>
          <wp:inline distT="0" distB="0" distL="0" distR="0" wp14:anchorId="61B7B5A0" wp14:editId="55463352">
            <wp:extent cx="2234085" cy="1764000"/>
            <wp:effectExtent l="0" t="0" r="0" b="825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234085" cy="17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78FB7" w14:textId="433F9457" w:rsidR="00FC09CC" w:rsidRPr="00D5249C" w:rsidRDefault="00195D6B" w:rsidP="00195D6B">
      <w:pPr>
        <w:pStyle w:val="Didascalia"/>
        <w:jc w:val="both"/>
      </w:pPr>
      <w:bookmarkStart w:id="4" w:name="_Ref150267371"/>
      <w:r w:rsidRPr="00D5249C">
        <w:rPr>
          <w:b/>
          <w:bCs/>
        </w:rPr>
        <w:t xml:space="preserve">Figure </w:t>
      </w:r>
      <w:r w:rsidRPr="00D5249C">
        <w:rPr>
          <w:b/>
          <w:bCs/>
        </w:rPr>
        <w:fldChar w:fldCharType="begin"/>
      </w:r>
      <w:r w:rsidRPr="00D5249C">
        <w:rPr>
          <w:b/>
          <w:bCs/>
        </w:rPr>
        <w:instrText xml:space="preserve"> SEQ Figure \* ARABIC </w:instrText>
      </w:r>
      <w:r w:rsidRPr="00D5249C">
        <w:rPr>
          <w:b/>
          <w:bCs/>
        </w:rPr>
        <w:fldChar w:fldCharType="separate"/>
      </w:r>
      <w:r w:rsidR="00793742" w:rsidRPr="00D5249C">
        <w:rPr>
          <w:b/>
          <w:bCs/>
        </w:rPr>
        <w:t>2</w:t>
      </w:r>
      <w:r w:rsidRPr="00D5249C">
        <w:rPr>
          <w:b/>
          <w:bCs/>
        </w:rPr>
        <w:fldChar w:fldCharType="end"/>
      </w:r>
      <w:bookmarkEnd w:id="4"/>
      <w:r w:rsidRPr="00D5249C">
        <w:rPr>
          <w:b/>
          <w:bCs/>
        </w:rPr>
        <w:t>:</w:t>
      </w:r>
      <w:r w:rsidRPr="00D5249C">
        <w:t xml:space="preserve"> </w:t>
      </w:r>
      <w:r w:rsidR="008961D5" w:rsidRPr="00D5249C">
        <w:t>Optimization r</w:t>
      </w:r>
      <w:r w:rsidRPr="00D5249C">
        <w:t>esults</w:t>
      </w:r>
      <w:r w:rsidR="008961D5" w:rsidRPr="00D5249C">
        <w:t>. (Panel A) Objective function. (Panel B) Optimal configuration.</w:t>
      </w:r>
    </w:p>
    <w:p w14:paraId="57481B30" w14:textId="54CD7757" w:rsidR="00E304D5" w:rsidRPr="00D5249C" w:rsidRDefault="009B0D41" w:rsidP="00022C98">
      <w:pPr>
        <w:pStyle w:val="Els-body-text"/>
      </w:pPr>
      <w:r w:rsidRPr="00D5249C">
        <w:t>Focusing on</w:t>
      </w:r>
      <w:r w:rsidR="00E304D5" w:rsidRPr="00D5249C">
        <w:t xml:space="preserve"> </w:t>
      </w:r>
      <w:r w:rsidR="00856E3D" w:rsidRPr="00D5249C">
        <w:t xml:space="preserve">Panel </w:t>
      </w:r>
      <w:r w:rsidR="00E401D3" w:rsidRPr="00D5249C">
        <w:t>A</w:t>
      </w:r>
      <w:r w:rsidR="00E304D5" w:rsidRPr="00D5249C">
        <w:t xml:space="preserve">, the objective function predictably </w:t>
      </w:r>
      <w:r w:rsidR="00D41614" w:rsidRPr="00D5249C">
        <w:t>interrupt</w:t>
      </w:r>
      <w:r w:rsidR="00E304D5" w:rsidRPr="00D5249C">
        <w:t xml:space="preserve">s way before </w:t>
      </w:r>
      <w:r w:rsidR="00FA5621" w:rsidRPr="00D5249C">
        <w:rPr>
          <w:position w:val="-10"/>
        </w:rPr>
        <w:object w:dxaOrig="400" w:dyaOrig="320" w14:anchorId="562B9343">
          <v:shape id="_x0000_i1039" type="#_x0000_t75" style="width:19.6pt;height:16.15pt" o:ole="">
            <v:imagedata r:id="rId39" o:title=""/>
          </v:shape>
          <o:OLEObject Type="Embed" ProgID="Equation.DSMT4" ShapeID="_x0000_i1039" DrawAspect="Content" ObjectID="_1764861656" r:id="rId40"/>
        </w:object>
      </w:r>
      <w:r w:rsidRPr="00D5249C">
        <w:t>(</w:t>
      </w:r>
      <w:r w:rsidRPr="00D5249C">
        <w:rPr>
          <w:i/>
          <w:iCs/>
        </w:rPr>
        <w:t>i.e.</w:t>
      </w:r>
      <w:r w:rsidRPr="00D5249C">
        <w:t xml:space="preserve"> 0</w:t>
      </w:r>
      <w:r w:rsidR="005A107A" w:rsidRPr="00D5249C">
        <w:t> </w:t>
      </w:r>
      <w:r w:rsidRPr="00D5249C">
        <w:t>MW)</w:t>
      </w:r>
      <w:r w:rsidR="00E401D3" w:rsidRPr="00D5249C">
        <w:t xml:space="preserve">, </w:t>
      </w:r>
      <w:r w:rsidR="00EC2BBA" w:rsidRPr="00D5249C">
        <w:t xml:space="preserve">as </w:t>
      </w:r>
      <w:r w:rsidR="00E304D5" w:rsidRPr="00D5249C">
        <w:t xml:space="preserve">too small installed capacities of the solar plant </w:t>
      </w:r>
      <w:bookmarkStart w:id="5" w:name="_Hlk150261260"/>
      <w:r w:rsidR="00E304D5" w:rsidRPr="00D5249C">
        <w:t xml:space="preserve">cannot produce the sufficient amount of electric energy required by the electrolyzer to </w:t>
      </w:r>
      <w:bookmarkEnd w:id="5"/>
      <w:r w:rsidR="000D53B6" w:rsidRPr="00D5249C">
        <w:t xml:space="preserve">meet </w:t>
      </w:r>
      <w:r w:rsidR="00EC2BBA" w:rsidRPr="00D5249C">
        <w:t xml:space="preserve">the </w:t>
      </w:r>
      <w:r w:rsidR="00501841" w:rsidRPr="00D5249C">
        <w:t>1</w:t>
      </w:r>
      <w:r w:rsidR="005A107A" w:rsidRPr="00D5249C">
        <w:t> </w:t>
      </w:r>
      <w:r w:rsidR="00501841" w:rsidRPr="00D5249C">
        <w:t>t</w:t>
      </w:r>
      <w:r w:rsidR="00501841" w:rsidRPr="00D5249C">
        <w:rPr>
          <w:vertAlign w:val="subscript"/>
        </w:rPr>
        <w:t>H2</w:t>
      </w:r>
      <w:r w:rsidR="00501841" w:rsidRPr="00D5249C">
        <w:t xml:space="preserve">/h yearly average </w:t>
      </w:r>
      <w:r w:rsidR="00EC2BBA" w:rsidRPr="00D5249C">
        <w:t>production rate specification</w:t>
      </w:r>
      <w:r w:rsidR="00FC09CC" w:rsidRPr="00D5249C">
        <w:t xml:space="preserve"> (see step (ii) in the previous</w:t>
      </w:r>
      <w:r w:rsidR="00D41614" w:rsidRPr="00D5249C">
        <w:t xml:space="preserve"> section</w:t>
      </w:r>
      <w:r w:rsidR="00FC09CC" w:rsidRPr="00D5249C">
        <w:t>)</w:t>
      </w:r>
      <w:r w:rsidR="00D41614" w:rsidRPr="00D5249C">
        <w:t xml:space="preserve">: precisely, </w:t>
      </w:r>
      <w:r w:rsidR="00553F86" w:rsidRPr="00D5249C">
        <w:t>190</w:t>
      </w:r>
      <w:r w:rsidR="005A107A" w:rsidRPr="00D5249C">
        <w:t> </w:t>
      </w:r>
      <w:r w:rsidR="00553F86" w:rsidRPr="00D5249C">
        <w:t xml:space="preserve">MW </w:t>
      </w:r>
      <w:r w:rsidR="00D41614" w:rsidRPr="00D5249C">
        <w:t xml:space="preserve">is the smallest </w:t>
      </w:r>
      <w:r w:rsidR="00553F86" w:rsidRPr="00D5249C">
        <w:t xml:space="preserve">feasible </w:t>
      </w:r>
      <w:r w:rsidR="00D41614" w:rsidRPr="00D5249C">
        <w:t>solar plant installed capacity</w:t>
      </w:r>
      <w:r w:rsidR="00EC2BBA" w:rsidRPr="00D5249C">
        <w:t>.</w:t>
      </w:r>
      <w:r w:rsidR="00E401D3" w:rsidRPr="00D5249C">
        <w:t xml:space="preserve"> </w:t>
      </w:r>
      <w:r w:rsidR="00304A60" w:rsidRPr="00D5249C">
        <w:t>However, that is not the</w:t>
      </w:r>
      <w:r w:rsidR="00537BCA" w:rsidRPr="00D5249C">
        <w:t xml:space="preserve"> </w:t>
      </w:r>
      <w:r w:rsidR="00C23549" w:rsidRPr="00D5249C">
        <w:t>optimal</w:t>
      </w:r>
      <w:r w:rsidR="00537BCA" w:rsidRPr="00D5249C">
        <w:t xml:space="preserve"> point </w:t>
      </w:r>
      <w:r w:rsidR="00304A60" w:rsidRPr="00D5249C">
        <w:t xml:space="preserve">as </w:t>
      </w:r>
      <w:r w:rsidR="00537BCA" w:rsidRPr="00D5249C">
        <w:t xml:space="preserve">smaller solar plants </w:t>
      </w:r>
      <w:r w:rsidR="00243E55" w:rsidRPr="00D5249C">
        <w:t xml:space="preserve">typically </w:t>
      </w:r>
      <w:r w:rsidR="00537BCA" w:rsidRPr="00D5249C">
        <w:t xml:space="preserve">call for bigger electrolyzers: </w:t>
      </w:r>
      <w:r w:rsidR="00304A60" w:rsidRPr="00D5249C">
        <w:t>indeed,</w:t>
      </w:r>
      <w:r w:rsidR="00537BCA" w:rsidRPr="00D5249C">
        <w:t xml:space="preserve"> when less renewable energy is produced, the electrolyzer must </w:t>
      </w:r>
      <w:r w:rsidR="00304A60" w:rsidRPr="00D5249C">
        <w:t xml:space="preserve">be oversized to </w:t>
      </w:r>
      <w:r w:rsidR="00537BCA" w:rsidRPr="00D5249C">
        <w:t xml:space="preserve">consume </w:t>
      </w:r>
      <w:r w:rsidR="00304A60" w:rsidRPr="00D5249C">
        <w:t>the highest possible fraction of it</w:t>
      </w:r>
      <w:r w:rsidR="00537BCA" w:rsidRPr="00D5249C">
        <w:t xml:space="preserve">. </w:t>
      </w:r>
      <w:r w:rsidR="00304A60" w:rsidRPr="00D5249C">
        <w:t xml:space="preserve">Such a trade-off </w:t>
      </w:r>
      <w:r w:rsidR="00243E55" w:rsidRPr="00D5249C">
        <w:t>leads to an optimal configuration corresponding to a solar plant installed capacity of 200</w:t>
      </w:r>
      <w:r w:rsidR="005A107A" w:rsidRPr="00D5249C">
        <w:t> </w:t>
      </w:r>
      <w:r w:rsidR="00243E55" w:rsidRPr="00D5249C">
        <w:t>MW, which calls for an electrolyzer installed capacity equal to 131.67</w:t>
      </w:r>
      <w:r w:rsidR="005A107A" w:rsidRPr="00D5249C">
        <w:t> </w:t>
      </w:r>
      <w:r w:rsidR="00243E55" w:rsidRPr="00D5249C">
        <w:t xml:space="preserve">MW and ensures an LCOH </w:t>
      </w:r>
      <w:r w:rsidR="008203E1" w:rsidRPr="00D5249C">
        <w:t xml:space="preserve">of </w:t>
      </w:r>
      <w:r w:rsidR="00243E55" w:rsidRPr="00D5249C">
        <w:t>2.02</w:t>
      </w:r>
      <w:r w:rsidR="005A107A" w:rsidRPr="00D5249C">
        <w:t> </w:t>
      </w:r>
      <w:r w:rsidR="00243E55" w:rsidRPr="00D5249C">
        <w:t xml:space="preserve">€/kg, </w:t>
      </w:r>
      <w:r w:rsidR="00243E55" w:rsidRPr="00D5249C">
        <w:rPr>
          <w:i/>
          <w:iCs/>
        </w:rPr>
        <w:t>i.e.</w:t>
      </w:r>
      <w:r w:rsidR="00243E55" w:rsidRPr="00D5249C">
        <w:t xml:space="preserve"> the cheapest one. </w:t>
      </w:r>
      <w:r w:rsidR="00996BC0" w:rsidRPr="00D5249C">
        <w:t xml:space="preserve">By focusing on Panel B, instead, </w:t>
      </w:r>
      <w:r w:rsidR="00C22A4D" w:rsidRPr="00D5249C">
        <w:t xml:space="preserve">the effect of Equation (1b) </w:t>
      </w:r>
      <w:r w:rsidR="00756547" w:rsidRPr="00D5249C">
        <w:t>with</w:t>
      </w:r>
      <w:r w:rsidR="00C22A4D" w:rsidRPr="00D5249C">
        <w:t>in the optimization routine</w:t>
      </w:r>
      <w:r w:rsidR="00243E55" w:rsidRPr="00D5249C">
        <w:t xml:space="preserve"> becomes evident</w:t>
      </w:r>
      <w:r w:rsidR="00304A60" w:rsidRPr="00D5249C">
        <w:t xml:space="preserve">. </w:t>
      </w:r>
      <w:r w:rsidR="003517EF" w:rsidRPr="00D5249C">
        <w:t>Indeed, t</w:t>
      </w:r>
      <w:r w:rsidR="00304A60" w:rsidRPr="00D5249C">
        <w:t>he</w:t>
      </w:r>
      <w:r w:rsidR="00C22A4D" w:rsidRPr="00D5249C">
        <w:t xml:space="preserve"> winning configuration shows </w:t>
      </w:r>
      <w:r w:rsidR="007D7CBE" w:rsidRPr="00D5249C">
        <w:t>an</w:t>
      </w:r>
      <w:r w:rsidR="00C22A4D" w:rsidRPr="00D5249C">
        <w:t xml:space="preserve"> average </w:t>
      </w:r>
      <w:r w:rsidR="006F5797" w:rsidRPr="00D5249C">
        <w:t xml:space="preserve">electrolyzer </w:t>
      </w:r>
      <w:r w:rsidR="00C22A4D" w:rsidRPr="00D5249C">
        <w:t xml:space="preserve">consumption </w:t>
      </w:r>
      <w:r w:rsidR="007D7CBE" w:rsidRPr="00D5249C">
        <w:t xml:space="preserve">rate equal to </w:t>
      </w:r>
      <w:r w:rsidR="00C22A4D" w:rsidRPr="00D5249C">
        <w:t>50.06</w:t>
      </w:r>
      <w:r w:rsidR="005A107A" w:rsidRPr="00D5249C">
        <w:t> </w:t>
      </w:r>
      <w:r w:rsidR="00C22A4D" w:rsidRPr="00D5249C">
        <w:t>MW</w:t>
      </w:r>
      <w:r w:rsidR="007D7CBE" w:rsidRPr="00D5249C">
        <w:t xml:space="preserve"> (</w:t>
      </w:r>
      <w:r w:rsidR="007D7CBE" w:rsidRPr="00D5249C">
        <w:rPr>
          <w:i/>
          <w:iCs/>
        </w:rPr>
        <w:t>i.e.</w:t>
      </w:r>
      <w:r w:rsidR="007D7CBE" w:rsidRPr="00D5249C">
        <w:t xml:space="preserve"> </w:t>
      </w:r>
      <w:r w:rsidR="00FA5621" w:rsidRPr="00D5249C">
        <w:rPr>
          <w:position w:val="-10"/>
        </w:rPr>
        <w:object w:dxaOrig="480" w:dyaOrig="320" w14:anchorId="1954F11C">
          <v:shape id="_x0000_i1040" type="#_x0000_t75" style="width:23.6pt;height:16.15pt" o:ole="">
            <v:imagedata r:id="rId41" o:title=""/>
          </v:shape>
          <o:OLEObject Type="Embed" ProgID="Equation.DSMT4" ShapeID="_x0000_i1040" DrawAspect="Content" ObjectID="_1764861657" r:id="rId42"/>
        </w:object>
      </w:r>
      <w:r w:rsidR="007D7CBE" w:rsidRPr="00D5249C">
        <w:t>)</w:t>
      </w:r>
      <w:r w:rsidR="00C22A4D" w:rsidRPr="00D5249C">
        <w:t>,</w:t>
      </w:r>
      <w:r w:rsidR="007D7CBE" w:rsidRPr="00D5249C">
        <w:t xml:space="preserve"> </w:t>
      </w:r>
      <w:r w:rsidR="00243E55" w:rsidRPr="00D5249C">
        <w:t>that is (</w:t>
      </w:r>
      <w:r w:rsidR="00C22A4D" w:rsidRPr="00D5249C">
        <w:t xml:space="preserve">considering the power consumption specification of the electrolyzer as reported in </w:t>
      </w:r>
      <w:r w:rsidR="00C22A4D" w:rsidRPr="00D5249C">
        <w:fldChar w:fldCharType="begin"/>
      </w:r>
      <w:r w:rsidR="00C22A4D" w:rsidRPr="00D5249C">
        <w:instrText xml:space="preserve"> REF _Ref150265408 \h </w:instrText>
      </w:r>
      <w:r w:rsidR="00B54E20" w:rsidRPr="00D5249C">
        <w:instrText xml:space="preserve"> \* MERGEFORMAT </w:instrText>
      </w:r>
      <w:r w:rsidR="00C22A4D" w:rsidRPr="00D5249C">
        <w:fldChar w:fldCharType="separate"/>
      </w:r>
      <w:r w:rsidR="00C22A4D" w:rsidRPr="00D5249C">
        <w:t>Table 1</w:t>
      </w:r>
      <w:r w:rsidR="00C22A4D" w:rsidRPr="00D5249C">
        <w:fldChar w:fldCharType="end"/>
      </w:r>
      <w:r w:rsidR="00243E55" w:rsidRPr="00D5249C">
        <w:t>)</w:t>
      </w:r>
      <w:r w:rsidR="00C22A4D" w:rsidRPr="00D5249C">
        <w:t xml:space="preserve"> </w:t>
      </w:r>
      <w:r w:rsidR="00243E55" w:rsidRPr="00D5249C">
        <w:t>the</w:t>
      </w:r>
      <w:r w:rsidR="007D7CBE" w:rsidRPr="00D5249C">
        <w:t xml:space="preserve"> </w:t>
      </w:r>
      <w:r w:rsidR="00930D2A" w:rsidRPr="00D5249C">
        <w:t xml:space="preserve">required electric </w:t>
      </w:r>
      <w:r w:rsidR="00243E55" w:rsidRPr="00D5249C">
        <w:t xml:space="preserve">power </w:t>
      </w:r>
      <w:r w:rsidR="00930D2A" w:rsidRPr="00D5249C">
        <w:t>input for</w:t>
      </w:r>
      <w:r w:rsidR="00C22A4D" w:rsidRPr="00D5249C">
        <w:t xml:space="preserve"> a production rate of 1</w:t>
      </w:r>
      <w:r w:rsidR="005A107A" w:rsidRPr="00D5249C">
        <w:t> </w:t>
      </w:r>
      <w:r w:rsidR="00C22A4D" w:rsidRPr="00D5249C">
        <w:t>t</w:t>
      </w:r>
      <w:r w:rsidR="00C22A4D" w:rsidRPr="00D5249C">
        <w:rPr>
          <w:vertAlign w:val="subscript"/>
        </w:rPr>
        <w:t>H2</w:t>
      </w:r>
      <w:r w:rsidR="00C22A4D" w:rsidRPr="00D5249C">
        <w:t>/h.</w:t>
      </w:r>
      <w:r w:rsidR="007D7CBE" w:rsidRPr="00D5249C">
        <w:t xml:space="preserve"> </w:t>
      </w:r>
      <w:r w:rsidR="00B26211" w:rsidRPr="00D5249C">
        <w:t>Interestingly</w:t>
      </w:r>
      <w:r w:rsidR="007D7CBE" w:rsidRPr="00D5249C">
        <w:t xml:space="preserve">, </w:t>
      </w:r>
      <w:r w:rsidR="00930D2A" w:rsidRPr="00D5249C">
        <w:t>such an</w:t>
      </w:r>
      <w:r w:rsidR="007D7CBE" w:rsidRPr="00D5249C">
        <w:t xml:space="preserve"> optimal configuration </w:t>
      </w:r>
      <w:r w:rsidR="00930D2A" w:rsidRPr="00D5249C">
        <w:t>calls</w:t>
      </w:r>
      <w:r w:rsidR="007D7CBE" w:rsidRPr="00D5249C">
        <w:t xml:space="preserve"> for an electrolyzer sized to </w:t>
      </w:r>
      <w:r w:rsidR="00B26211" w:rsidRPr="00D5249C">
        <w:t xml:space="preserve">fully accommodate the solar </w:t>
      </w:r>
      <w:r w:rsidR="00E56704" w:rsidRPr="00D5249C">
        <w:t xml:space="preserve">production </w:t>
      </w:r>
      <w:r w:rsidR="00B26211" w:rsidRPr="00D5249C">
        <w:t xml:space="preserve">profiles in the </w:t>
      </w:r>
      <w:r w:rsidR="00460B41" w:rsidRPr="00D5249C">
        <w:t>off-</w:t>
      </w:r>
      <w:r w:rsidR="00B26211" w:rsidRPr="00D5249C">
        <w:t>season (</w:t>
      </w:r>
      <w:r w:rsidR="00B26211" w:rsidRPr="00D5249C">
        <w:rPr>
          <w:i/>
          <w:iCs/>
        </w:rPr>
        <w:t>i.e.</w:t>
      </w:r>
      <w:r w:rsidR="00B26211" w:rsidRPr="00D5249C">
        <w:t xml:space="preserve"> </w:t>
      </w:r>
      <w:r w:rsidR="00E56704" w:rsidRPr="00D5249C">
        <w:t>winter</w:t>
      </w:r>
      <w:r w:rsidR="00B26211" w:rsidRPr="00D5249C">
        <w:t xml:space="preserve">) </w:t>
      </w:r>
      <w:r w:rsidR="00E56704" w:rsidRPr="00D5249C">
        <w:t>while</w:t>
      </w:r>
      <w:r w:rsidR="00B26211" w:rsidRPr="00D5249C">
        <w:t xml:space="preserve"> </w:t>
      </w:r>
      <w:r w:rsidR="00E56704" w:rsidRPr="00D5249C">
        <w:t>curtailing</w:t>
      </w:r>
      <w:r w:rsidR="00B26211" w:rsidRPr="00D5249C">
        <w:t xml:space="preserve"> the high</w:t>
      </w:r>
      <w:r w:rsidR="00460B41" w:rsidRPr="00D5249C">
        <w:t>-</w:t>
      </w:r>
      <w:r w:rsidR="00B26211" w:rsidRPr="00D5249C">
        <w:t>season (</w:t>
      </w:r>
      <w:r w:rsidR="00B26211" w:rsidRPr="00D5249C">
        <w:rPr>
          <w:i/>
          <w:iCs/>
        </w:rPr>
        <w:t>i.e.</w:t>
      </w:r>
      <w:r w:rsidR="00B26211" w:rsidRPr="00D5249C">
        <w:t xml:space="preserve"> summer) production peaks.</w:t>
      </w:r>
    </w:p>
    <w:p w14:paraId="144DE6B5" w14:textId="202143D2" w:rsidR="008D2649" w:rsidRPr="00D5249C" w:rsidRDefault="00E12BB6" w:rsidP="00D5249C">
      <w:pPr>
        <w:pStyle w:val="Els-1storder-head"/>
        <w:keepNext w:val="0"/>
        <w:widowControl w:val="0"/>
        <w:spacing w:after="120"/>
      </w:pPr>
      <w:r w:rsidRPr="00D5249C">
        <w:t>Sensitivity analysis</w:t>
      </w:r>
    </w:p>
    <w:p w14:paraId="144DE6B9" w14:textId="06D54184" w:rsidR="008D2649" w:rsidRPr="00D5249C" w:rsidRDefault="00CA3653" w:rsidP="00D5249C">
      <w:pPr>
        <w:pStyle w:val="Els-body-text"/>
        <w:widowControl w:val="0"/>
        <w:spacing w:after="120"/>
      </w:pPr>
      <w:r w:rsidRPr="00D5249C">
        <w:t>To</w:t>
      </w:r>
      <w:r w:rsidR="008D2649" w:rsidRPr="00D5249C">
        <w:t xml:space="preserve"> give </w:t>
      </w:r>
      <w:r w:rsidR="00E12BB6" w:rsidRPr="00D5249C">
        <w:t xml:space="preserve">more robustness to the results reported in the </w:t>
      </w:r>
      <w:r w:rsidR="00084BCF" w:rsidRPr="00D5249C">
        <w:t>preceding</w:t>
      </w:r>
      <w:r w:rsidR="00E12BB6" w:rsidRPr="00D5249C">
        <w:t xml:space="preserve"> section, the same case </w:t>
      </w:r>
      <w:r w:rsidR="00E12BB6" w:rsidRPr="00D5249C">
        <w:lastRenderedPageBreak/>
        <w:t>study was assessed by also considering Californian solar hourly profiles from the previous 4 years (</w:t>
      </w:r>
      <w:r w:rsidR="00E12BB6" w:rsidRPr="00D5249C">
        <w:rPr>
          <w:i/>
          <w:iCs/>
        </w:rPr>
        <w:t>i.e.</w:t>
      </w:r>
      <w:r w:rsidR="00E12BB6" w:rsidRPr="00D5249C">
        <w:t xml:space="preserve"> since 2018)</w:t>
      </w:r>
      <w:r w:rsidR="008D2649" w:rsidRPr="00D5249C">
        <w:t>.</w:t>
      </w:r>
      <w:r w:rsidR="00E12BB6" w:rsidRPr="00D5249C">
        <w:t xml:space="preserve"> By doing </w:t>
      </w:r>
      <w:r w:rsidR="006A027B" w:rsidRPr="00D5249C">
        <w:t>so</w:t>
      </w:r>
      <w:r w:rsidR="00E12BB6" w:rsidRPr="00D5249C">
        <w:t xml:space="preserve">, the proposed optimization methodology gives the optimal values for each one of the investigated years, allowing the user to </w:t>
      </w:r>
      <w:r w:rsidR="00A77E88" w:rsidRPr="00D5249C">
        <w:t xml:space="preserve">compare them and </w:t>
      </w:r>
      <w:r w:rsidR="00E12BB6" w:rsidRPr="00D5249C">
        <w:t xml:space="preserve">evaluate how the </w:t>
      </w:r>
      <w:r w:rsidR="00084BCF" w:rsidRPr="00D5249C">
        <w:t>final</w:t>
      </w:r>
      <w:r w:rsidR="00E12BB6" w:rsidRPr="00D5249C">
        <w:t xml:space="preserve"> install</w:t>
      </w:r>
      <w:r w:rsidR="00084BCF" w:rsidRPr="00D5249C">
        <w:t>ed</w:t>
      </w:r>
      <w:r w:rsidR="00E12BB6" w:rsidRPr="00D5249C">
        <w:t xml:space="preserve"> capacities </w:t>
      </w:r>
      <w:r w:rsidR="00BC5844" w:rsidRPr="00D5249C">
        <w:t xml:space="preserve">should </w:t>
      </w:r>
      <w:r w:rsidR="00084BCF" w:rsidRPr="00D5249C">
        <w:t>change</w:t>
      </w:r>
      <w:r w:rsidR="00E12BB6" w:rsidRPr="00D5249C">
        <w:t xml:space="preserve"> from year to year</w:t>
      </w:r>
      <w:r w:rsidR="00875B5D" w:rsidRPr="00D5249C">
        <w:t xml:space="preserve"> to minimize the overall production costs. </w:t>
      </w:r>
      <w:r w:rsidR="00665351" w:rsidRPr="00D5249C">
        <w:t>Indeed</w:t>
      </w:r>
      <w:r w:rsidR="00AE2FFA" w:rsidRPr="00D5249C">
        <w:t xml:space="preserve">, due to the high variability that characterizes renewable power generation, the design of renewable-based plants </w:t>
      </w:r>
      <w:r w:rsidR="00665351" w:rsidRPr="00D5249C">
        <w:t>strongly</w:t>
      </w:r>
      <w:r w:rsidR="00AE2FFA" w:rsidRPr="00D5249C">
        <w:t xml:space="preserve"> </w:t>
      </w:r>
      <w:r w:rsidR="00665351" w:rsidRPr="00D5249C">
        <w:t>reflects</w:t>
      </w:r>
      <w:r w:rsidR="00A35AF7" w:rsidRPr="00D5249C">
        <w:t xml:space="preserve"> (and </w:t>
      </w:r>
      <w:r w:rsidR="00665351" w:rsidRPr="00D5249C">
        <w:t>suffers</w:t>
      </w:r>
      <w:r w:rsidR="00A35AF7" w:rsidRPr="00D5249C">
        <w:t xml:space="preserve"> from) such</w:t>
      </w:r>
      <w:r w:rsidR="00AE2FFA" w:rsidRPr="00D5249C">
        <w:t xml:space="preserve"> </w:t>
      </w:r>
      <w:r w:rsidR="00665351" w:rsidRPr="00D5249C">
        <w:t>an undesirable</w:t>
      </w:r>
      <w:r w:rsidR="00A35AF7" w:rsidRPr="00D5249C">
        <w:t xml:space="preserve"> behavior</w:t>
      </w:r>
      <w:r w:rsidR="00AE2FFA" w:rsidRPr="00D5249C">
        <w:t>.</w:t>
      </w:r>
      <w:r w:rsidR="00A35AF7" w:rsidRPr="00D5249C">
        <w:t xml:space="preserve"> </w:t>
      </w:r>
      <w:r w:rsidR="00296E4C" w:rsidRPr="00D5249C">
        <w:t>As an example, t</w:t>
      </w:r>
      <w:r w:rsidR="00A35AF7" w:rsidRPr="00D5249C">
        <w:t xml:space="preserve">he capacity factor </w:t>
      </w:r>
      <w:r w:rsidR="00296E4C" w:rsidRPr="00D5249C">
        <w:t xml:space="preserve">of renewable </w:t>
      </w:r>
      <w:r w:rsidR="003A652E" w:rsidRPr="00D5249C">
        <w:t>power plants</w:t>
      </w:r>
      <w:r w:rsidR="00296E4C" w:rsidRPr="00D5249C">
        <w:t xml:space="preserve"> </w:t>
      </w:r>
      <w:r w:rsidR="00FD6DE3" w:rsidRPr="00D5249C">
        <w:t xml:space="preserve">(CF, </w:t>
      </w:r>
      <w:r w:rsidR="00FD6DE3" w:rsidRPr="00D5249C">
        <w:rPr>
          <w:i/>
          <w:iCs/>
        </w:rPr>
        <w:t>i.e.</w:t>
      </w:r>
      <w:r w:rsidR="00FD6DE3" w:rsidRPr="00D5249C">
        <w:t xml:space="preserve"> the dimensionless ratio of the actual electrical energy output over a certain time to the electrical energy output if theoretically operating at full capacity over </w:t>
      </w:r>
      <w:r w:rsidR="00D5249C">
        <w:t xml:space="preserve">the </w:t>
      </w:r>
      <w:r w:rsidR="00FD6DE3" w:rsidRPr="00D5249C">
        <w:t xml:space="preserve">same period) </w:t>
      </w:r>
      <w:r w:rsidR="00B626EB" w:rsidRPr="00D5249C">
        <w:t>might</w:t>
      </w:r>
      <w:r w:rsidR="00A35AF7" w:rsidRPr="00D5249C">
        <w:t xml:space="preserve"> </w:t>
      </w:r>
      <w:r w:rsidR="00F15E19" w:rsidRPr="00D5249C">
        <w:t>change</w:t>
      </w:r>
      <w:r w:rsidR="00A35AF7" w:rsidRPr="00D5249C">
        <w:t xml:space="preserve"> </w:t>
      </w:r>
      <w:r w:rsidR="00B626EB" w:rsidRPr="00D5249C">
        <w:t>considerably over</w:t>
      </w:r>
      <w:r w:rsidR="00A35AF7" w:rsidRPr="00D5249C">
        <w:t xml:space="preserve"> the years</w:t>
      </w:r>
      <w:r w:rsidR="00D5249C">
        <w:t>. However,</w:t>
      </w:r>
      <w:r w:rsidR="00A35AF7" w:rsidRPr="00D5249C">
        <w:t xml:space="preserve"> </w:t>
      </w:r>
      <w:r w:rsidR="00F15E19" w:rsidRPr="00D5249C">
        <w:t xml:space="preserve">it </w:t>
      </w:r>
      <w:r w:rsidR="00D5249C">
        <w:t xml:space="preserve">is reasonable to expect that it </w:t>
      </w:r>
      <w:r w:rsidR="00F15E19" w:rsidRPr="00D5249C">
        <w:t xml:space="preserve">should </w:t>
      </w:r>
      <w:r w:rsidR="00B626EB" w:rsidRPr="00D5249C">
        <w:t>oscillate</w:t>
      </w:r>
      <w:r w:rsidR="00A83B34" w:rsidRPr="00D5249C">
        <w:t xml:space="preserve"> around</w:t>
      </w:r>
      <w:r w:rsidR="00F15E19" w:rsidRPr="00D5249C">
        <w:t xml:space="preserve"> a</w:t>
      </w:r>
      <w:r w:rsidR="00B626EB" w:rsidRPr="00D5249C">
        <w:t xml:space="preserve"> characteristic </w:t>
      </w:r>
      <w:r w:rsidR="001A1977" w:rsidRPr="00D5249C">
        <w:t xml:space="preserve">value </w:t>
      </w:r>
      <w:r w:rsidR="00B626EB" w:rsidRPr="00D5249C">
        <w:t>according to</w:t>
      </w:r>
      <w:r w:rsidR="00F15E19" w:rsidRPr="00D5249C">
        <w:t xml:space="preserve"> th</w:t>
      </w:r>
      <w:r w:rsidR="003A652E" w:rsidRPr="00D5249C">
        <w:t xml:space="preserve">e geographical </w:t>
      </w:r>
      <w:r w:rsidR="001A1977" w:rsidRPr="00D5249C">
        <w:t>location</w:t>
      </w:r>
      <w:r w:rsidR="00A35AF7" w:rsidRPr="00D5249C">
        <w:t>.</w:t>
      </w:r>
    </w:p>
    <w:p w14:paraId="4B520322" w14:textId="77777777" w:rsidR="00117D58" w:rsidRPr="00D5249C" w:rsidRDefault="00117D58" w:rsidP="00117D58">
      <w:pPr>
        <w:pStyle w:val="Els-body-text"/>
        <w:keepNext/>
        <w:spacing w:after="120"/>
      </w:pPr>
      <w:r w:rsidRPr="00D5249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4F0CCA" wp14:editId="07AA6845">
                <wp:simplePos x="0" y="0"/>
                <wp:positionH relativeFrom="column">
                  <wp:posOffset>3883059</wp:posOffset>
                </wp:positionH>
                <wp:positionV relativeFrom="paragraph">
                  <wp:posOffset>3375334</wp:posOffset>
                </wp:positionV>
                <wp:extent cx="301625" cy="258445"/>
                <wp:effectExtent l="0" t="0" r="22225" b="27305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817BD" w14:textId="77777777" w:rsidR="00117D58" w:rsidRPr="00116493" w:rsidRDefault="00117D58" w:rsidP="00117D58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4F0CCA" id="Casella di testo 9" o:spid="_x0000_s1028" type="#_x0000_t202" style="position:absolute;left:0;text-align:left;margin-left:305.75pt;margin-top:265.75pt;width:23.75pt;height:20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" fillcolor="white [3201]" strokeweight=".5pt">
                <v:textbox>
                  <w:txbxContent>
                    <w:p w14:paraId="1A5817BD" w14:textId="77777777" w:rsidR="00117D58" w:rsidRPr="00116493" w:rsidRDefault="00117D58" w:rsidP="00117D58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D5249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6ECC1A" wp14:editId="4898BB4A">
                <wp:simplePos x="0" y="0"/>
                <wp:positionH relativeFrom="column">
                  <wp:posOffset>2643814</wp:posOffset>
                </wp:positionH>
                <wp:positionV relativeFrom="paragraph">
                  <wp:posOffset>1305251</wp:posOffset>
                </wp:positionV>
                <wp:extent cx="301625" cy="258445"/>
                <wp:effectExtent l="0" t="0" r="22225" b="2730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935C7E" w14:textId="77777777" w:rsidR="00117D58" w:rsidRPr="00116493" w:rsidRDefault="00117D58" w:rsidP="00117D58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6ECC1A" id="Casella di testo 3" o:spid="_x0000_s1029" type="#_x0000_t202" style="position:absolute;left:0;text-align:left;margin-left:208.15pt;margin-top:102.8pt;width:23.75pt;height:20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" fillcolor="white [3201]" strokeweight=".5pt">
                <v:textbox>
                  <w:txbxContent>
                    <w:p w14:paraId="40935C7E" w14:textId="77777777" w:rsidR="00117D58" w:rsidRPr="00116493" w:rsidRDefault="00117D58" w:rsidP="00117D58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D5249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55E86A" wp14:editId="48C1FEE0">
                <wp:simplePos x="0" y="0"/>
                <wp:positionH relativeFrom="column">
                  <wp:posOffset>1724660</wp:posOffset>
                </wp:positionH>
                <wp:positionV relativeFrom="paragraph">
                  <wp:posOffset>204556</wp:posOffset>
                </wp:positionV>
                <wp:extent cx="301625" cy="258445"/>
                <wp:effectExtent l="0" t="0" r="22225" b="2730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501567" w14:textId="77777777" w:rsidR="00117D58" w:rsidRPr="00116493" w:rsidRDefault="00117D58" w:rsidP="00117D58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1649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5E86A" id="Casella di testo 2" o:spid="_x0000_s1030" type="#_x0000_t202" style="position:absolute;left:0;text-align:left;margin-left:135.8pt;margin-top:16.1pt;width:23.75pt;height:20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" fillcolor="white [3201]" strokeweight=".5pt">
                <v:textbox>
                  <w:txbxContent>
                    <w:p w14:paraId="70501567" w14:textId="77777777" w:rsidR="00117D58" w:rsidRPr="00116493" w:rsidRDefault="00117D58" w:rsidP="00117D58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16493">
                        <w:rPr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D5249C">
        <w:rPr>
          <w:noProof/>
        </w:rPr>
        <w:drawing>
          <wp:inline distT="0" distB="0" distL="0" distR="0" wp14:anchorId="555BC572" wp14:editId="3CB279BC">
            <wp:extent cx="4500000" cy="398525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3"/>
                    <a:srcRect l="4986" t="4147" r="4297" b="4416"/>
                    <a:stretch/>
                  </pic:blipFill>
                  <pic:spPr bwMode="auto">
                    <a:xfrm>
                      <a:off x="0" y="0"/>
                      <a:ext cx="4500000" cy="3985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546BC6" w14:textId="7E3C875F" w:rsidR="00C7009E" w:rsidRPr="00D5249C" w:rsidRDefault="00793742" w:rsidP="00793742">
      <w:pPr>
        <w:pStyle w:val="Didascalia"/>
        <w:jc w:val="both"/>
      </w:pPr>
      <w:bookmarkStart w:id="6" w:name="_Ref150413408"/>
      <w:r w:rsidRPr="00D5249C">
        <w:rPr>
          <w:b/>
          <w:bCs/>
        </w:rPr>
        <w:t xml:space="preserve">Figure </w:t>
      </w:r>
      <w:r w:rsidRPr="00D5249C">
        <w:rPr>
          <w:b/>
          <w:bCs/>
        </w:rPr>
        <w:fldChar w:fldCharType="begin"/>
      </w:r>
      <w:r w:rsidRPr="00D5249C">
        <w:rPr>
          <w:b/>
          <w:bCs/>
        </w:rPr>
        <w:instrText xml:space="preserve"> SEQ Figure \* ARABIC </w:instrText>
      </w:r>
      <w:r w:rsidRPr="00D5249C">
        <w:rPr>
          <w:b/>
          <w:bCs/>
        </w:rPr>
        <w:fldChar w:fldCharType="separate"/>
      </w:r>
      <w:r w:rsidRPr="00D5249C">
        <w:rPr>
          <w:b/>
          <w:bCs/>
        </w:rPr>
        <w:t>3</w:t>
      </w:r>
      <w:r w:rsidRPr="00D5249C">
        <w:rPr>
          <w:b/>
          <w:bCs/>
        </w:rPr>
        <w:fldChar w:fldCharType="end"/>
      </w:r>
      <w:bookmarkEnd w:id="6"/>
      <w:r w:rsidRPr="00D5249C">
        <w:rPr>
          <w:b/>
          <w:bCs/>
        </w:rPr>
        <w:t>:</w:t>
      </w:r>
      <w:r w:rsidRPr="00D5249C">
        <w:t xml:space="preserve"> (Panel A) Objective function profiles re</w:t>
      </w:r>
      <w:r w:rsidR="00AD328B" w:rsidRPr="00D5249C">
        <w:t>sult</w:t>
      </w:r>
      <w:r w:rsidRPr="00D5249C">
        <w:t xml:space="preserve">ing </w:t>
      </w:r>
      <w:r w:rsidR="00AD328B" w:rsidRPr="00D5249C">
        <w:t>from</w:t>
      </w:r>
      <w:r w:rsidRPr="00D5249C">
        <w:t xml:space="preserve"> the 2018-to-2022 assessment</w:t>
      </w:r>
      <w:r w:rsidR="00D102AF" w:rsidRPr="00D5249C">
        <w:t xml:space="preserve"> (the </w:t>
      </w:r>
      <w:r w:rsidR="003E1A9E" w:rsidRPr="00D5249C">
        <w:t xml:space="preserve">corresponding yearly solar </w:t>
      </w:r>
      <w:r w:rsidR="00D102AF" w:rsidRPr="00D5249C">
        <w:t>capacity factors are report</w:t>
      </w:r>
      <w:r w:rsidR="003E1A9E" w:rsidRPr="00D5249C">
        <w:t>ed within the legend)</w:t>
      </w:r>
      <w:r w:rsidRPr="00D5249C">
        <w:t>; (Panel</w:t>
      </w:r>
      <w:r w:rsidR="00AD328B" w:rsidRPr="00D5249C">
        <w:t> </w:t>
      </w:r>
      <w:r w:rsidRPr="00D5249C">
        <w:t xml:space="preserve">B) </w:t>
      </w:r>
      <w:r w:rsidR="00AD328B" w:rsidRPr="00D5249C">
        <w:t>I</w:t>
      </w:r>
      <w:r w:rsidRPr="00D5249C">
        <w:t xml:space="preserve">nvestigated </w:t>
      </w:r>
      <w:r w:rsidR="00E73420" w:rsidRPr="00D5249C">
        <w:t>s</w:t>
      </w:r>
      <w:r w:rsidRPr="00D5249C">
        <w:t>olar plant installed capacities</w:t>
      </w:r>
      <w:r w:rsidR="00AD328B" w:rsidRPr="00D5249C">
        <w:t xml:space="preserve"> and corresponding electrolyzer installed capacities; (Panel C) Objective function dependence on solar plant installed capacit</w:t>
      </w:r>
      <w:r w:rsidR="004D7182" w:rsidRPr="00D5249C">
        <w:t>ies</w:t>
      </w:r>
      <w:r w:rsidR="00AD328B" w:rsidRPr="00D5249C">
        <w:t>.</w:t>
      </w:r>
      <w:r w:rsidR="003E1A9E" w:rsidRPr="00D5249C">
        <w:t xml:space="preserve"> </w:t>
      </w:r>
      <w:r w:rsidR="004D7182" w:rsidRPr="00D5249C">
        <w:t>B</w:t>
      </w:r>
      <w:r w:rsidR="003E1A9E" w:rsidRPr="00D5249C">
        <w:t xml:space="preserve">lack crosses </w:t>
      </w:r>
      <w:r w:rsidR="004D7182" w:rsidRPr="00D5249C">
        <w:t>refer</w:t>
      </w:r>
      <w:r w:rsidR="003E1A9E" w:rsidRPr="00D5249C">
        <w:t xml:space="preserve"> to the minima points, </w:t>
      </w:r>
      <w:r w:rsidR="003E1A9E" w:rsidRPr="00D5249C">
        <w:rPr>
          <w:i/>
          <w:iCs/>
        </w:rPr>
        <w:t>i.e.</w:t>
      </w:r>
      <w:r w:rsidR="003E1A9E" w:rsidRPr="00D5249C">
        <w:t xml:space="preserve"> the economically optimal configuration for each year.</w:t>
      </w:r>
    </w:p>
    <w:p w14:paraId="4B3DE313" w14:textId="6E027D71" w:rsidR="00C7009E" w:rsidRPr="00D5249C" w:rsidRDefault="00117D58" w:rsidP="00D5249C">
      <w:pPr>
        <w:pStyle w:val="Els-body-text"/>
        <w:widowControl w:val="0"/>
        <w:spacing w:after="120"/>
      </w:pPr>
      <w:r w:rsidRPr="00D5249C">
        <w:fldChar w:fldCharType="begin"/>
      </w:r>
      <w:r w:rsidRPr="00D5249C">
        <w:instrText xml:space="preserve"> REF _Ref150413408 \h  \* MERGEFORMAT </w:instrText>
      </w:r>
      <w:r w:rsidRPr="00D5249C">
        <w:fldChar w:fldCharType="separate"/>
      </w:r>
      <w:r w:rsidRPr="00D5249C">
        <w:t>Figure 3</w:t>
      </w:r>
      <w:r w:rsidRPr="00D5249C">
        <w:fldChar w:fldCharType="end"/>
      </w:r>
      <w:r w:rsidRPr="00D5249C">
        <w:t xml:space="preserve"> shows the results of such a 5-year assessment: precisely, Panel A displays the topology of the multiple objective functions concerning both solar plant and electrolyzer installed capacities; Panel B focuses on the trade-off between the required solar plant and electrolyzer installed capacities; and Panel C highlights the objective function </w:t>
      </w:r>
      <w:r w:rsidRPr="00D5249C">
        <w:lastRenderedPageBreak/>
        <w:t xml:space="preserve">dependence on the solar plant installed capacity (analogously to Panel A of </w:t>
      </w:r>
      <w:r w:rsidRPr="00D5249C">
        <w:fldChar w:fldCharType="begin"/>
      </w:r>
      <w:r w:rsidRPr="00D5249C">
        <w:instrText xml:space="preserve"> REF _Ref150267371 \h  \* MERGEFORMAT </w:instrText>
      </w:r>
      <w:r w:rsidRPr="00D5249C">
        <w:fldChar w:fldCharType="separate"/>
      </w:r>
      <w:r w:rsidRPr="00D5249C">
        <w:t>Figure 2</w:t>
      </w:r>
      <w:r w:rsidRPr="00D5249C">
        <w:fldChar w:fldCharType="end"/>
      </w:r>
      <w:r w:rsidRPr="00D5249C">
        <w:t xml:space="preserve">). </w:t>
      </w:r>
      <w:r w:rsidR="00022939" w:rsidRPr="00D5249C">
        <w:t>As expected, the variability of the input solar power profiles (</w:t>
      </w:r>
      <w:r w:rsidR="00476C5B" w:rsidRPr="00D5249C">
        <w:t>as it</w:t>
      </w:r>
      <w:r w:rsidR="00022939" w:rsidRPr="00D5249C">
        <w:t xml:space="preserve"> can be </w:t>
      </w:r>
      <w:r w:rsidR="00476C5B" w:rsidRPr="00D5249C">
        <w:t>partially</w:t>
      </w:r>
      <w:r w:rsidR="00022939" w:rsidRPr="00D5249C">
        <w:t xml:space="preserve"> </w:t>
      </w:r>
      <w:r w:rsidR="00476C5B" w:rsidRPr="00D5249C">
        <w:t xml:space="preserve">verified from the different capacity factors associated with each investigated year, as they are an index of how much renewable power has been harvested over a certain time frame but </w:t>
      </w:r>
      <w:r w:rsidR="0048483B" w:rsidRPr="00D5249C">
        <w:t>do</w:t>
      </w:r>
      <w:r w:rsidR="00476C5B" w:rsidRPr="00D5249C">
        <w:t xml:space="preserve"> not give any information </w:t>
      </w:r>
      <w:r w:rsidR="0048483B" w:rsidRPr="00D5249C">
        <w:t>concerning</w:t>
      </w:r>
      <w:r w:rsidR="00476C5B" w:rsidRPr="00D5249C">
        <w:t xml:space="preserve"> the </w:t>
      </w:r>
      <w:r w:rsidR="0048483B" w:rsidRPr="00D5249C">
        <w:t>distribution of the power p</w:t>
      </w:r>
      <w:r w:rsidR="00476C5B" w:rsidRPr="00D5249C">
        <w:t>r</w:t>
      </w:r>
      <w:r w:rsidR="0048483B" w:rsidRPr="00D5249C">
        <w:t>oduc</w:t>
      </w:r>
      <w:r w:rsidR="00476C5B" w:rsidRPr="00D5249C">
        <w:t>tion throughout that period) reflects on the optimal results</w:t>
      </w:r>
      <w:r w:rsidR="00C7009E" w:rsidRPr="00D5249C">
        <w:t>.</w:t>
      </w:r>
      <w:r w:rsidR="00476C5B" w:rsidRPr="00D5249C">
        <w:t xml:space="preserve"> </w:t>
      </w:r>
      <w:r w:rsidR="00C332AA" w:rsidRPr="00D5249C">
        <w:t>Indeed</w:t>
      </w:r>
      <w:r w:rsidR="0048483B" w:rsidRPr="00D5249C">
        <w:t>, the optimal solar plant installed capacity is 200</w:t>
      </w:r>
      <w:r w:rsidR="005A107A" w:rsidRPr="00D5249C">
        <w:t> </w:t>
      </w:r>
      <w:r w:rsidR="0048483B" w:rsidRPr="00D5249C">
        <w:t>MW for 2018, 2021, and 2022 but rises to 210</w:t>
      </w:r>
      <w:r w:rsidR="005A107A" w:rsidRPr="00D5249C">
        <w:t> </w:t>
      </w:r>
      <w:r w:rsidR="0048483B" w:rsidRPr="00D5249C">
        <w:t>MW for 2019 and 2020. Analogously, different electrolyzer installed capacities have been obtained:</w:t>
      </w:r>
      <w:r w:rsidR="001C4931" w:rsidRPr="00D5249C">
        <w:t xml:space="preserve"> 137.1</w:t>
      </w:r>
      <w:r w:rsidR="00480D08" w:rsidRPr="00D5249C">
        <w:t>1</w:t>
      </w:r>
      <w:r w:rsidR="005A107A" w:rsidRPr="00D5249C">
        <w:t> </w:t>
      </w:r>
      <w:r w:rsidR="001C4931" w:rsidRPr="00D5249C">
        <w:t>MW in 2018; 137.5</w:t>
      </w:r>
      <w:r w:rsidR="00480D08" w:rsidRPr="00D5249C">
        <w:t>2</w:t>
      </w:r>
      <w:r w:rsidR="005A107A" w:rsidRPr="00D5249C">
        <w:t> </w:t>
      </w:r>
      <w:r w:rsidR="001C4931" w:rsidRPr="00D5249C">
        <w:t>MW in 2019; 135.2</w:t>
      </w:r>
      <w:r w:rsidR="00480D08" w:rsidRPr="00D5249C">
        <w:t>1</w:t>
      </w:r>
      <w:r w:rsidR="005A107A" w:rsidRPr="00D5249C">
        <w:t> </w:t>
      </w:r>
      <w:r w:rsidR="001C4931" w:rsidRPr="00D5249C">
        <w:t>MW in 2020; 136.0</w:t>
      </w:r>
      <w:r w:rsidR="00480D08" w:rsidRPr="00D5249C">
        <w:t>4</w:t>
      </w:r>
      <w:r w:rsidR="005A107A" w:rsidRPr="00D5249C">
        <w:t> </w:t>
      </w:r>
      <w:r w:rsidR="001C4931" w:rsidRPr="00D5249C">
        <w:t>MW in 2021; and 131.</w:t>
      </w:r>
      <w:r w:rsidR="00480D08" w:rsidRPr="00D5249C">
        <w:t>6</w:t>
      </w:r>
      <w:r w:rsidR="001C4931" w:rsidRPr="00D5249C">
        <w:t>7</w:t>
      </w:r>
      <w:r w:rsidR="005A107A" w:rsidRPr="00D5249C">
        <w:t> </w:t>
      </w:r>
      <w:r w:rsidR="001C4931" w:rsidRPr="00D5249C">
        <w:t>MW in 2022.</w:t>
      </w:r>
      <w:r w:rsidR="0055091F" w:rsidRPr="00D5249C">
        <w:t xml:space="preserve"> This </w:t>
      </w:r>
      <w:r w:rsidR="00E73420" w:rsidRPr="00D5249C">
        <w:t>implies</w:t>
      </w:r>
      <w:r w:rsidR="0055091F" w:rsidRPr="00D5249C">
        <w:t xml:space="preserve"> that</w:t>
      </w:r>
      <w:r w:rsidR="009803E5" w:rsidRPr="00D5249C">
        <w:t xml:space="preserve"> a lower-than-average</w:t>
      </w:r>
      <w:r w:rsidR="0055091F" w:rsidRPr="00D5249C">
        <w:t xml:space="preserve"> solar power </w:t>
      </w:r>
      <w:r w:rsidR="009803E5" w:rsidRPr="00D5249C">
        <w:t>availability</w:t>
      </w:r>
      <w:r w:rsidR="0055091F" w:rsidRPr="00D5249C">
        <w:t xml:space="preserve"> </w:t>
      </w:r>
      <w:r w:rsidR="009803E5" w:rsidRPr="00D5249C">
        <w:t xml:space="preserve">occurred </w:t>
      </w:r>
      <w:r w:rsidR="00E73420" w:rsidRPr="00D5249C">
        <w:t xml:space="preserve">in 2019 and 2020 </w:t>
      </w:r>
      <w:r w:rsidR="0055091F" w:rsidRPr="00D5249C">
        <w:t xml:space="preserve">(as it </w:t>
      </w:r>
      <w:r w:rsidR="009803E5" w:rsidRPr="00D5249C">
        <w:t>could</w:t>
      </w:r>
      <w:r w:rsidR="0055091F" w:rsidRPr="00D5249C">
        <w:t xml:space="preserve"> also be </w:t>
      </w:r>
      <w:r w:rsidR="0065467C" w:rsidRPr="00D5249C">
        <w:t>inferred</w:t>
      </w:r>
      <w:r w:rsidR="0055091F" w:rsidRPr="00D5249C">
        <w:t xml:space="preserve"> </w:t>
      </w:r>
      <w:r w:rsidR="009803E5" w:rsidRPr="00D5249C">
        <w:rPr>
          <w:i/>
          <w:iCs/>
        </w:rPr>
        <w:t>a priori</w:t>
      </w:r>
      <w:r w:rsidR="009803E5" w:rsidRPr="00D5249C">
        <w:t xml:space="preserve"> </w:t>
      </w:r>
      <w:r w:rsidR="0055091F" w:rsidRPr="00D5249C">
        <w:t>from the</w:t>
      </w:r>
      <w:r w:rsidR="0065467C" w:rsidRPr="00D5249C">
        <w:t>ir</w:t>
      </w:r>
      <w:r w:rsidR="0055091F" w:rsidRPr="00D5249C">
        <w:t xml:space="preserve"> respective capacity factors</w:t>
      </w:r>
      <w:r w:rsidR="00EE401D" w:rsidRPr="00D5249C">
        <w:t xml:space="preserve">, which are the </w:t>
      </w:r>
      <w:r w:rsidR="000D4AE5" w:rsidRPr="00D5249C">
        <w:t>smallest</w:t>
      </w:r>
      <w:r w:rsidR="00EE401D" w:rsidRPr="00D5249C">
        <w:t xml:space="preserve"> one</w:t>
      </w:r>
      <w:r w:rsidR="000D4AE5" w:rsidRPr="00D5249C">
        <w:t>s</w:t>
      </w:r>
      <w:r w:rsidR="00E73420" w:rsidRPr="00D5249C">
        <w:t xml:space="preserve"> provided</w:t>
      </w:r>
      <w:r w:rsidR="0055091F" w:rsidRPr="00D5249C">
        <w:t>)</w:t>
      </w:r>
      <w:r w:rsidR="0065467C" w:rsidRPr="00D5249C">
        <w:t>,</w:t>
      </w:r>
      <w:r w:rsidR="009803E5" w:rsidRPr="00D5249C">
        <w:t xml:space="preserve"> and </w:t>
      </w:r>
      <w:r w:rsidR="000D4AE5" w:rsidRPr="00D5249C">
        <w:t>therefore</w:t>
      </w:r>
      <w:r w:rsidR="009803E5" w:rsidRPr="00D5249C">
        <w:t xml:space="preserve"> higher installed solar plant capacit</w:t>
      </w:r>
      <w:r w:rsidR="000D4AE5" w:rsidRPr="00D5249C">
        <w:t>ies are</w:t>
      </w:r>
      <w:r w:rsidR="009803E5" w:rsidRPr="00D5249C">
        <w:t xml:space="preserve"> </w:t>
      </w:r>
      <w:r w:rsidR="0065467C" w:rsidRPr="00D5249C">
        <w:t>needed</w:t>
      </w:r>
      <w:r w:rsidR="009803E5" w:rsidRPr="00D5249C">
        <w:t xml:space="preserve"> to </w:t>
      </w:r>
      <w:r w:rsidR="00E0043B" w:rsidRPr="00D5249C">
        <w:t xml:space="preserve">meet </w:t>
      </w:r>
      <w:r w:rsidR="009803E5" w:rsidRPr="00D5249C">
        <w:t>the specified production requirements.</w:t>
      </w:r>
    </w:p>
    <w:p w14:paraId="144DE6BA" w14:textId="77777777" w:rsidR="008D2649" w:rsidRPr="00D5249C" w:rsidRDefault="008D2649" w:rsidP="008D2649">
      <w:pPr>
        <w:pStyle w:val="Els-1storder-head"/>
        <w:spacing w:after="120"/>
      </w:pPr>
      <w:r w:rsidRPr="00D5249C">
        <w:t>Conclusions</w:t>
      </w:r>
    </w:p>
    <w:p w14:paraId="144DE6BE" w14:textId="47B9F8D3" w:rsidR="008D2649" w:rsidRPr="00D5249C" w:rsidRDefault="00E925D4" w:rsidP="008D2649">
      <w:pPr>
        <w:pStyle w:val="Els-body-text"/>
        <w:spacing w:after="120"/>
      </w:pPr>
      <w:r w:rsidRPr="00D5249C">
        <w:t xml:space="preserve">By entering the so-called “green economy”, the manufacturing sector increasingly pushes for decarbonization. Green hydrogen might then represent the </w:t>
      </w:r>
      <w:r w:rsidR="00E83A81" w:rsidRPr="00D5249C">
        <w:t>key raw material</w:t>
      </w:r>
      <w:r w:rsidRPr="00D5249C">
        <w:t xml:space="preserve"> for many processes that </w:t>
      </w:r>
      <w:r w:rsidR="00E83A81" w:rsidRPr="00D5249C">
        <w:t xml:space="preserve">currently </w:t>
      </w:r>
      <w:r w:rsidRPr="00D5249C">
        <w:t xml:space="preserve">depend </w:t>
      </w:r>
      <w:r w:rsidR="00E83A81" w:rsidRPr="00D5249C">
        <w:t xml:space="preserve">heavily </w:t>
      </w:r>
      <w:r w:rsidRPr="00D5249C">
        <w:t xml:space="preserve">on fossil fuels </w:t>
      </w:r>
      <w:r w:rsidR="00E83A81" w:rsidRPr="00D5249C">
        <w:t>in procuring hydrogen feedstocks</w:t>
      </w:r>
      <w:r w:rsidRPr="00D5249C">
        <w:t xml:space="preserve">. </w:t>
      </w:r>
      <w:r w:rsidR="0006021D" w:rsidRPr="00D5249C">
        <w:t>This work presented a novel methodology to design green hydrogen production facilities both optimally (</w:t>
      </w:r>
      <w:r w:rsidR="0006021D" w:rsidRPr="00D5249C">
        <w:rPr>
          <w:i/>
          <w:iCs/>
        </w:rPr>
        <w:t>i.e.</w:t>
      </w:r>
      <w:r w:rsidR="0006021D" w:rsidRPr="00D5249C">
        <w:t xml:space="preserve"> providing the installed capacities that currently minimize the levelized cost of hydrogen or other downstream </w:t>
      </w:r>
      <w:r w:rsidR="003517EF" w:rsidRPr="00D5249C">
        <w:t>chemicals</w:t>
      </w:r>
      <w:r w:rsidR="0006021D" w:rsidRPr="00D5249C">
        <w:t>, if any) and robustly (</w:t>
      </w:r>
      <w:r w:rsidR="0006021D" w:rsidRPr="00D5249C">
        <w:rPr>
          <w:i/>
          <w:iCs/>
        </w:rPr>
        <w:t>i.e.</w:t>
      </w:r>
      <w:r w:rsidR="0006021D" w:rsidRPr="00D5249C">
        <w:t xml:space="preserve"> also providing the </w:t>
      </w:r>
      <w:r w:rsidR="0068197B" w:rsidRPr="00D5249C">
        <w:t>optimal results</w:t>
      </w:r>
      <w:r w:rsidR="0006021D" w:rsidRPr="00D5249C">
        <w:t xml:space="preserve"> </w:t>
      </w:r>
      <w:r w:rsidR="0068197B" w:rsidRPr="00D5249C">
        <w:t>referring to</w:t>
      </w:r>
      <w:r w:rsidR="0006021D" w:rsidRPr="00D5249C">
        <w:t xml:space="preserve"> multiple years of operation)</w:t>
      </w:r>
      <w:r w:rsidR="008D2649" w:rsidRPr="00D5249C">
        <w:t>.</w:t>
      </w:r>
      <w:r w:rsidR="0006021D" w:rsidRPr="00D5249C">
        <w:t xml:space="preserve"> It requires </w:t>
      </w:r>
      <w:r w:rsidR="0068197B" w:rsidRPr="00D5249C">
        <w:t xml:space="preserve">just </w:t>
      </w:r>
      <w:r w:rsidR="0006021D" w:rsidRPr="00D5249C">
        <w:t>a few input data: namely, the input solar power profiles from the location of interest and the techno-economic data (such as</w:t>
      </w:r>
      <w:r w:rsidR="00E83A81" w:rsidRPr="00D5249C">
        <w:t xml:space="preserve"> the</w:t>
      </w:r>
      <w:r w:rsidR="0006021D" w:rsidRPr="00D5249C">
        <w:t xml:space="preserve"> costs and </w:t>
      </w:r>
      <w:r w:rsidR="00E83A81" w:rsidRPr="00D5249C">
        <w:t xml:space="preserve">the </w:t>
      </w:r>
      <w:r w:rsidR="0006021D" w:rsidRPr="00D5249C">
        <w:t xml:space="preserve">operative variables) of the main </w:t>
      </w:r>
      <w:r w:rsidR="00B044B0" w:rsidRPr="00D5249C">
        <w:t xml:space="preserve">process </w:t>
      </w:r>
      <w:r w:rsidR="0006021D" w:rsidRPr="00D5249C">
        <w:t>units to be installed (</w:t>
      </w:r>
      <w:r w:rsidR="0006021D" w:rsidRPr="00D5249C">
        <w:rPr>
          <w:i/>
          <w:iCs/>
        </w:rPr>
        <w:t>i.e.</w:t>
      </w:r>
      <w:r w:rsidR="0006021D" w:rsidRPr="00D5249C">
        <w:t xml:space="preserve"> the solar plant and the electrolyzer). </w:t>
      </w:r>
      <w:r w:rsidR="00564B12" w:rsidRPr="00D5249C">
        <w:t>In this regard, a</w:t>
      </w:r>
      <w:r w:rsidR="0006021D" w:rsidRPr="00D5249C">
        <w:t xml:space="preserve"> case study was assessed, </w:t>
      </w:r>
      <w:r w:rsidR="00564B12" w:rsidRPr="00D5249C">
        <w:t xml:space="preserve">first considering a 1-year time frame and </w:t>
      </w:r>
      <w:r w:rsidR="00022FB6" w:rsidRPr="00D5249C">
        <w:t xml:space="preserve">then </w:t>
      </w:r>
      <w:r w:rsidR="00564B12" w:rsidRPr="00D5249C">
        <w:t xml:space="preserve">a 5-year one. By doing so, more conservative estimations for the installed </w:t>
      </w:r>
      <w:r w:rsidR="00496463" w:rsidRPr="00D5249C">
        <w:t>capacity</w:t>
      </w:r>
      <w:r w:rsidR="00564B12" w:rsidRPr="00D5249C">
        <w:t xml:space="preserve"> requirements for both the solar plant and the electrolyzer were made possible, as </w:t>
      </w:r>
      <w:r w:rsidR="00496463" w:rsidRPr="00D5249C">
        <w:t>the methodology was able to consider the different solar power availability of each year</w:t>
      </w:r>
      <w:r w:rsidR="00564B12" w:rsidRPr="00D5249C">
        <w:t>.</w:t>
      </w:r>
    </w:p>
    <w:p w14:paraId="144DE6BF" w14:textId="608D0AD6" w:rsidR="008D2649" w:rsidRPr="00D5249C" w:rsidRDefault="008D2649" w:rsidP="008D2649">
      <w:pPr>
        <w:pStyle w:val="Els-reference-head"/>
      </w:pPr>
      <w:r w:rsidRPr="00D5249C">
        <w:t>References</w:t>
      </w:r>
    </w:p>
    <w:p w14:paraId="37ADB050" w14:textId="58E7231C" w:rsidR="009F0811" w:rsidRPr="00D5249C" w:rsidRDefault="009F0811" w:rsidP="00413ABD">
      <w:pPr>
        <w:pStyle w:val="Els-referenceno-number"/>
        <w:rPr>
          <w:noProof w:val="0"/>
          <w:lang w:val="en-US"/>
        </w:rPr>
      </w:pPr>
      <w:r w:rsidRPr="00D5249C">
        <w:rPr>
          <w:noProof w:val="0"/>
          <w:lang w:val="en-US"/>
        </w:rPr>
        <w:t xml:space="preserve">CAISO (2023). </w:t>
      </w:r>
      <w:r w:rsidR="00D818D8" w:rsidRPr="00D5249C">
        <w:rPr>
          <w:noProof w:val="0"/>
          <w:lang w:val="en-US"/>
        </w:rPr>
        <w:t>California Independent System Operator</w:t>
      </w:r>
      <w:r w:rsidRPr="00D5249C">
        <w:rPr>
          <w:noProof w:val="0"/>
          <w:lang w:val="en-US"/>
        </w:rPr>
        <w:t xml:space="preserve">. Available at: </w:t>
      </w:r>
      <w:hyperlink r:id="rId44" w:history="1">
        <w:r w:rsidR="00D818D8" w:rsidRPr="00D5249C">
          <w:rPr>
            <w:rStyle w:val="Collegamentoipertestuale"/>
            <w:noProof w:val="0"/>
            <w:lang w:val="en-US"/>
          </w:rPr>
          <w:t>http://www.caiso.com/Pages/default.aspx</w:t>
        </w:r>
      </w:hyperlink>
      <w:r w:rsidR="00D818D8" w:rsidRPr="00D5249C">
        <w:rPr>
          <w:noProof w:val="0"/>
          <w:lang w:val="en-US"/>
        </w:rPr>
        <w:t xml:space="preserve"> </w:t>
      </w:r>
      <w:r w:rsidRPr="00D5249C">
        <w:rPr>
          <w:noProof w:val="0"/>
          <w:lang w:val="en-US"/>
        </w:rPr>
        <w:t>(accessed Nov 7</w:t>
      </w:r>
      <w:r w:rsidRPr="00D5249C">
        <w:rPr>
          <w:noProof w:val="0"/>
          <w:vertAlign w:val="superscript"/>
          <w:lang w:val="en-US"/>
        </w:rPr>
        <w:t>th</w:t>
      </w:r>
      <w:r w:rsidRPr="00D5249C">
        <w:rPr>
          <w:noProof w:val="0"/>
          <w:lang w:val="en-US"/>
        </w:rPr>
        <w:t>, 2023).</w:t>
      </w:r>
    </w:p>
    <w:p w14:paraId="363AD90A" w14:textId="63A3C090" w:rsidR="00997B4E" w:rsidRPr="00D5249C" w:rsidRDefault="00997B4E" w:rsidP="00413ABD">
      <w:pPr>
        <w:pStyle w:val="Els-referenceno-number"/>
        <w:rPr>
          <w:noProof w:val="0"/>
          <w:lang w:val="en-US"/>
        </w:rPr>
      </w:pPr>
      <w:r w:rsidRPr="00D5249C">
        <w:rPr>
          <w:noProof w:val="0"/>
          <w:lang w:val="en-US"/>
        </w:rPr>
        <w:t xml:space="preserve">DEA (2022). </w:t>
      </w:r>
      <w:r w:rsidR="009C30C7" w:rsidRPr="00D5249C">
        <w:rPr>
          <w:noProof w:val="0"/>
          <w:lang w:val="en-US"/>
        </w:rPr>
        <w:t xml:space="preserve">Technology Data for Generation of Electricity and District Heating. </w:t>
      </w:r>
      <w:r w:rsidRPr="00D5249C">
        <w:rPr>
          <w:noProof w:val="0"/>
          <w:lang w:val="en-US"/>
        </w:rPr>
        <w:t>Danish Energy Agency.</w:t>
      </w:r>
      <w:r w:rsidR="009C30C7" w:rsidRPr="00D5249C">
        <w:rPr>
          <w:noProof w:val="0"/>
          <w:lang w:val="en-US"/>
        </w:rPr>
        <w:t xml:space="preserve"> Available at: </w:t>
      </w:r>
      <w:hyperlink r:id="rId45" w:history="1">
        <w:r w:rsidR="000A4A1C" w:rsidRPr="00D5249C">
          <w:rPr>
            <w:rStyle w:val="Collegamentoipertestuale"/>
            <w:noProof w:val="0"/>
            <w:lang w:val="en-US"/>
          </w:rPr>
          <w:t>https://ens.dk/en/our-services/projections-and-models/technology-data/technology-data-generation-electricity-and</w:t>
        </w:r>
      </w:hyperlink>
      <w:r w:rsidR="000A4A1C" w:rsidRPr="00D5249C">
        <w:rPr>
          <w:noProof w:val="0"/>
          <w:lang w:val="en-US"/>
        </w:rPr>
        <w:t xml:space="preserve"> </w:t>
      </w:r>
      <w:r w:rsidR="009C30C7" w:rsidRPr="00D5249C">
        <w:rPr>
          <w:noProof w:val="0"/>
          <w:lang w:val="en-US"/>
        </w:rPr>
        <w:t xml:space="preserve">(accessed </w:t>
      </w:r>
      <w:r w:rsidR="002959BB" w:rsidRPr="00D5249C">
        <w:rPr>
          <w:noProof w:val="0"/>
          <w:lang w:val="en-US"/>
        </w:rPr>
        <w:t>Oct 30</w:t>
      </w:r>
      <w:r w:rsidR="009C30C7" w:rsidRPr="00D5249C">
        <w:rPr>
          <w:noProof w:val="0"/>
          <w:vertAlign w:val="superscript"/>
          <w:lang w:val="en-US"/>
        </w:rPr>
        <w:t>th</w:t>
      </w:r>
      <w:r w:rsidR="009C30C7" w:rsidRPr="00D5249C">
        <w:rPr>
          <w:noProof w:val="0"/>
          <w:lang w:val="en-US"/>
        </w:rPr>
        <w:t>, 2023).</w:t>
      </w:r>
    </w:p>
    <w:p w14:paraId="75624702" w14:textId="1BE8D18E" w:rsidR="00054DE5" w:rsidRPr="00D5249C" w:rsidRDefault="00054DE5" w:rsidP="00054DE5">
      <w:pPr>
        <w:pStyle w:val="Els-referenceno-number"/>
        <w:rPr>
          <w:noProof w:val="0"/>
          <w:lang w:val="en-US"/>
        </w:rPr>
      </w:pPr>
      <w:r w:rsidRPr="00D5249C">
        <w:rPr>
          <w:noProof w:val="0"/>
          <w:lang w:val="en-US"/>
        </w:rPr>
        <w:t xml:space="preserve">European Commission (2022). REPowerEU: Affordable, secure and sustainable energy for Europe. </w:t>
      </w:r>
      <w:r w:rsidR="005A107A" w:rsidRPr="00D5249C">
        <w:rPr>
          <w:noProof w:val="0"/>
          <w:lang w:val="en-US"/>
        </w:rPr>
        <w:t xml:space="preserve">European Commission. </w:t>
      </w:r>
      <w:r w:rsidRPr="00D5249C">
        <w:rPr>
          <w:noProof w:val="0"/>
          <w:lang w:val="en-US"/>
        </w:rPr>
        <w:t xml:space="preserve">Available at: </w:t>
      </w:r>
      <w:hyperlink r:id="rId46" w:history="1">
        <w:r w:rsidRPr="00D5249C">
          <w:rPr>
            <w:rStyle w:val="Collegamentoipertestuale"/>
            <w:noProof w:val="0"/>
            <w:lang w:val="en-US"/>
          </w:rPr>
          <w:t>https://commission.europa.eu/strategy-and-policy/priorities-2019-2024/european-green-deal/repowereu-affordable-secure-and-sustainable-energy-europe_en</w:t>
        </w:r>
      </w:hyperlink>
      <w:r w:rsidRPr="00D5249C">
        <w:rPr>
          <w:noProof w:val="0"/>
          <w:lang w:val="en-US"/>
        </w:rPr>
        <w:t xml:space="preserve"> (accessed Dec 13</w:t>
      </w:r>
      <w:r w:rsidRPr="00D5249C">
        <w:rPr>
          <w:noProof w:val="0"/>
          <w:vertAlign w:val="superscript"/>
          <w:lang w:val="en-US"/>
        </w:rPr>
        <w:t>th</w:t>
      </w:r>
      <w:r w:rsidRPr="00D5249C">
        <w:rPr>
          <w:noProof w:val="0"/>
          <w:lang w:val="en-US"/>
        </w:rPr>
        <w:t>, 2023).</w:t>
      </w:r>
    </w:p>
    <w:p w14:paraId="3403432C" w14:textId="1A5EFA40" w:rsidR="00413ABD" w:rsidRPr="00D5249C" w:rsidRDefault="00413ABD" w:rsidP="00413ABD">
      <w:pPr>
        <w:pStyle w:val="Els-referenceno-number"/>
        <w:rPr>
          <w:noProof w:val="0"/>
          <w:lang w:val="en-US"/>
        </w:rPr>
      </w:pPr>
      <w:r w:rsidRPr="00D5249C">
        <w:rPr>
          <w:noProof w:val="0"/>
          <w:lang w:val="en-US"/>
        </w:rPr>
        <w:t>IEA (2023). Global Hydrogen Review 2023</w:t>
      </w:r>
      <w:r w:rsidR="00FD1F70" w:rsidRPr="00D5249C">
        <w:rPr>
          <w:noProof w:val="0"/>
          <w:lang w:val="en-US"/>
        </w:rPr>
        <w:t>. International Energy Agency</w:t>
      </w:r>
      <w:r w:rsidRPr="00D5249C">
        <w:rPr>
          <w:noProof w:val="0"/>
          <w:lang w:val="en-US"/>
        </w:rPr>
        <w:t xml:space="preserve">. Available at: </w:t>
      </w:r>
      <w:hyperlink r:id="rId47" w:history="1">
        <w:r w:rsidRPr="00D5249C">
          <w:rPr>
            <w:rStyle w:val="Collegamentoipertestuale"/>
            <w:noProof w:val="0"/>
            <w:lang w:val="en-US"/>
          </w:rPr>
          <w:t>https://www.iea.org/reports/global-hydrogen-review-2023</w:t>
        </w:r>
      </w:hyperlink>
      <w:r w:rsidRPr="00D5249C">
        <w:rPr>
          <w:noProof w:val="0"/>
          <w:lang w:val="en-US"/>
        </w:rPr>
        <w:t xml:space="preserve"> (accessed Oct </w:t>
      </w:r>
      <w:r w:rsidR="002959BB" w:rsidRPr="00D5249C">
        <w:rPr>
          <w:noProof w:val="0"/>
          <w:lang w:val="en-US"/>
        </w:rPr>
        <w:t>19</w:t>
      </w:r>
      <w:r w:rsidRPr="00D5249C">
        <w:rPr>
          <w:noProof w:val="0"/>
          <w:vertAlign w:val="superscript"/>
          <w:lang w:val="en-US"/>
        </w:rPr>
        <w:t>th</w:t>
      </w:r>
      <w:r w:rsidRPr="00D5249C">
        <w:rPr>
          <w:noProof w:val="0"/>
          <w:lang w:val="en-US"/>
        </w:rPr>
        <w:t>, 2023).</w:t>
      </w:r>
    </w:p>
    <w:p w14:paraId="7C34C021" w14:textId="77777777" w:rsidR="00413ABD" w:rsidRPr="00D5249C" w:rsidRDefault="00413ABD" w:rsidP="00413ABD">
      <w:pPr>
        <w:pStyle w:val="Els-referenceno-number"/>
        <w:rPr>
          <w:noProof w:val="0"/>
          <w:lang w:val="en-US"/>
        </w:rPr>
      </w:pPr>
      <w:r w:rsidRPr="00D5249C">
        <w:rPr>
          <w:noProof w:val="0"/>
          <w:lang w:val="en-US"/>
        </w:rPr>
        <w:t>Isella, A., &amp; Manca, D. (2022). GHG Emissions by (Petro)Chemical Processes and Decarbonization Priorities—A Review. Energies, 15(20), 7560.</w:t>
      </w:r>
    </w:p>
    <w:p w14:paraId="62D6C5E9" w14:textId="77777777" w:rsidR="009C30C7" w:rsidRPr="00D5249C" w:rsidRDefault="00413ABD" w:rsidP="00413ABD">
      <w:pPr>
        <w:pStyle w:val="Els-referenceno-number"/>
        <w:rPr>
          <w:noProof w:val="0"/>
          <w:lang w:val="en-US"/>
        </w:rPr>
      </w:pPr>
      <w:r w:rsidRPr="00D5249C">
        <w:rPr>
          <w:noProof w:val="0"/>
          <w:lang w:val="en-US"/>
        </w:rPr>
        <w:t xml:space="preserve">MPP (2022). Making Net-Zero 1.5°C-Aligned Ammonia Possible. Mission Possible Partnership. Available at: </w:t>
      </w:r>
      <w:hyperlink r:id="rId48" w:history="1">
        <w:r w:rsidRPr="00D5249C">
          <w:rPr>
            <w:rStyle w:val="Collegamentoipertestuale"/>
            <w:noProof w:val="0"/>
            <w:lang w:val="en-US"/>
          </w:rPr>
          <w:t>https://www.energy-transitions.org/publications/making-net-zero-ammonia-possible/</w:t>
        </w:r>
      </w:hyperlink>
      <w:r w:rsidRPr="00D5249C">
        <w:rPr>
          <w:noProof w:val="0"/>
          <w:lang w:val="en-US"/>
        </w:rPr>
        <w:t xml:space="preserve"> (accessed Oct 20</w:t>
      </w:r>
      <w:r w:rsidRPr="00D5249C">
        <w:rPr>
          <w:noProof w:val="0"/>
          <w:vertAlign w:val="superscript"/>
          <w:lang w:val="en-US"/>
        </w:rPr>
        <w:t>th</w:t>
      </w:r>
      <w:r w:rsidRPr="00D5249C">
        <w:rPr>
          <w:noProof w:val="0"/>
          <w:lang w:val="en-US"/>
        </w:rPr>
        <w:t>, 2023)</w:t>
      </w:r>
      <w:r w:rsidR="009C30C7" w:rsidRPr="00D5249C">
        <w:rPr>
          <w:noProof w:val="0"/>
          <w:lang w:val="en-US"/>
        </w:rPr>
        <w:t>.</w:t>
      </w:r>
    </w:p>
    <w:p w14:paraId="144DE6C3" w14:textId="6F453A02" w:rsidR="008D2649" w:rsidRPr="00D5249C" w:rsidRDefault="009C30C7" w:rsidP="004770F8">
      <w:pPr>
        <w:pStyle w:val="Els-referenceno-number"/>
        <w:rPr>
          <w:noProof w:val="0"/>
          <w:lang w:val="en-US"/>
        </w:rPr>
      </w:pPr>
      <w:r w:rsidRPr="00D5249C">
        <w:rPr>
          <w:noProof w:val="0"/>
          <w:lang w:val="en-US"/>
        </w:rPr>
        <w:t xml:space="preserve">Nel Hydrogen (2021). Nel Hydrogen Electrolyzers The World’s Most Efficient and Reliable Electrolysers. Available at: </w:t>
      </w:r>
      <w:hyperlink r:id="rId49" w:history="1">
        <w:r w:rsidRPr="00D5249C">
          <w:rPr>
            <w:rStyle w:val="Collegamentoipertestuale"/>
            <w:noProof w:val="0"/>
            <w:lang w:val="en-US"/>
          </w:rPr>
          <w:t>https://nelhydrogen.com/wp-content/uploads/2020/03/Electrolysers-Brochure-Rev-D.pdf</w:t>
        </w:r>
      </w:hyperlink>
      <w:r w:rsidRPr="00D5249C">
        <w:rPr>
          <w:noProof w:val="0"/>
          <w:lang w:val="en-US"/>
        </w:rPr>
        <w:t xml:space="preserve"> (accessed Oct 30</w:t>
      </w:r>
      <w:r w:rsidRPr="00D5249C">
        <w:rPr>
          <w:noProof w:val="0"/>
          <w:vertAlign w:val="superscript"/>
          <w:lang w:val="en-US"/>
        </w:rPr>
        <w:t>th</w:t>
      </w:r>
      <w:r w:rsidRPr="00D5249C">
        <w:rPr>
          <w:noProof w:val="0"/>
          <w:lang w:val="en-US"/>
        </w:rPr>
        <w:t>, 2023)</w:t>
      </w:r>
      <w:r w:rsidR="00413ABD" w:rsidRPr="00D5249C">
        <w:rPr>
          <w:noProof w:val="0"/>
          <w:lang w:val="en-US"/>
        </w:rPr>
        <w:t>.</w:t>
      </w:r>
    </w:p>
    <w:sectPr w:rsidR="008D2649" w:rsidRPr="00D5249C" w:rsidSect="008B0184">
      <w:headerReference w:type="even" r:id="rId50"/>
      <w:headerReference w:type="default" r:id="rId51"/>
      <w:headerReference w:type="first" r:id="rId52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4B7CF" w14:textId="77777777" w:rsidR="00AF56AC" w:rsidRDefault="00AF56AC">
      <w:r>
        <w:separator/>
      </w:r>
    </w:p>
  </w:endnote>
  <w:endnote w:type="continuationSeparator" w:id="0">
    <w:p w14:paraId="1D98A3F4" w14:textId="77777777" w:rsidR="00AF56AC" w:rsidRDefault="00AF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8E322" w14:textId="77777777" w:rsidR="00AF56AC" w:rsidRDefault="00AF56AC">
      <w:r>
        <w:separator/>
      </w:r>
    </w:p>
  </w:footnote>
  <w:footnote w:type="continuationSeparator" w:id="0">
    <w:p w14:paraId="7E5FA05F" w14:textId="77777777" w:rsidR="00AF56AC" w:rsidRDefault="00AF5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9" w14:textId="4A54F46B" w:rsidR="00DD3D9E" w:rsidRDefault="00DD3D9E">
    <w:pPr>
      <w:pStyle w:val="Intestazione"/>
      <w:tabs>
        <w:tab w:val="clear" w:pos="7200"/>
        <w:tab w:val="right" w:pos="7088"/>
      </w:tabs>
    </w:pPr>
    <w:r>
      <w:rPr>
        <w:rStyle w:val="Numeropagina"/>
      </w:rPr>
      <w:tab/>
    </w:r>
    <w:r>
      <w:rPr>
        <w:rStyle w:val="Numeropagina"/>
        <w:i/>
      </w:rPr>
      <w:tab/>
    </w:r>
    <w:r w:rsidR="00413ABD">
      <w:rPr>
        <w:i/>
      </w:rPr>
      <w:t>A. Isella and D. Manca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A" w14:textId="12CBF2DA" w:rsidR="00DD3D9E" w:rsidRDefault="002E54A6" w:rsidP="002E54A6">
    <w:pPr>
      <w:pStyle w:val="Intestazione"/>
      <w:tabs>
        <w:tab w:val="clear" w:pos="7200"/>
        <w:tab w:val="right" w:pos="7088"/>
      </w:tabs>
      <w:rPr>
        <w:sz w:val="24"/>
      </w:rPr>
    </w:pPr>
    <w:r w:rsidRPr="002E54A6">
      <w:rPr>
        <w:i/>
      </w:rPr>
      <w:t>Green Hydrogen Production from Solar-powered Electrolysis</w:t>
    </w:r>
    <w:r w:rsidR="00DD3D9E">
      <w:rPr>
        <w:rStyle w:val="Numeropagina"/>
        <w:i/>
        <w:sz w:val="24"/>
      </w:rPr>
      <w:tab/>
    </w:r>
    <w:r w:rsidR="00DD3D9E">
      <w:rPr>
        <w:rStyle w:val="Numeropagina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B" w14:textId="77777777" w:rsidR="00F06842" w:rsidRPr="003B50B5" w:rsidRDefault="00F06842" w:rsidP="00F06842">
    <w:pPr>
      <w:pStyle w:val="ElsevierBodyTextCentredNospace"/>
      <w:jc w:val="left"/>
      <w:rPr>
        <w:noProof/>
        <w:sz w:val="18"/>
        <w:szCs w:val="18"/>
      </w:rPr>
    </w:pPr>
    <w:r w:rsidRPr="0068162C">
      <w:rPr>
        <w:color w:val="auto"/>
        <w:sz w:val="18"/>
        <w:szCs w:val="18"/>
      </w:rPr>
      <w:t>Flavio Manenti, Gintaras V. Reklaitis (Eds.),</w:t>
    </w:r>
    <w:r>
      <w:rPr>
        <w:color w:val="auto"/>
      </w:rPr>
      <w:t xml:space="preserve"> </w:t>
    </w:r>
    <w:r w:rsidRPr="003B50B5">
      <w:rPr>
        <w:noProof/>
        <w:sz w:val="18"/>
        <w:szCs w:val="18"/>
      </w:rPr>
      <w:t xml:space="preserve">Proceedings </w:t>
    </w:r>
    <w:r>
      <w:rPr>
        <w:noProof/>
        <w:sz w:val="18"/>
        <w:szCs w:val="18"/>
      </w:rPr>
      <w:t>o</w:t>
    </w:r>
    <w:r w:rsidRPr="003B50B5">
      <w:rPr>
        <w:noProof/>
        <w:sz w:val="18"/>
        <w:szCs w:val="18"/>
      </w:rPr>
      <w:t xml:space="preserve">f </w:t>
    </w:r>
    <w:r w:rsidRPr="00F06842">
      <w:rPr>
        <w:noProof/>
        <w:sz w:val="18"/>
        <w:szCs w:val="18"/>
      </w:rPr>
      <w:t xml:space="preserve">the </w:t>
    </w:r>
    <w:r w:rsidRPr="00F06842">
      <w:rPr>
        <w:rStyle w:val="underline1"/>
        <w:sz w:val="18"/>
        <w:szCs w:val="18"/>
        <w:u w:val="none"/>
      </w:rPr>
      <w:t>34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European Symposium on Computer Aided Process Engineering / 15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International Symposium on Process Systems Engineerin</w:t>
    </w:r>
    <w:r w:rsidRPr="003B50B5">
      <w:rPr>
        <w:rStyle w:val="underline1"/>
        <w:sz w:val="18"/>
        <w:szCs w:val="18"/>
      </w:rPr>
      <w:t>g</w:t>
    </w:r>
    <w:r w:rsidRPr="003B50B5">
      <w:rPr>
        <w:noProof/>
        <w:sz w:val="18"/>
        <w:szCs w:val="18"/>
      </w:rPr>
      <w:t xml:space="preserve"> (ESCAPE34/PSE</w:t>
    </w:r>
    <w:r>
      <w:rPr>
        <w:noProof/>
        <w:sz w:val="18"/>
        <w:szCs w:val="18"/>
      </w:rPr>
      <w:t>24</w:t>
    </w:r>
    <w:r w:rsidRPr="003B50B5">
      <w:rPr>
        <w:noProof/>
        <w:sz w:val="18"/>
        <w:szCs w:val="18"/>
      </w:rPr>
      <w:t xml:space="preserve">), June </w:t>
    </w:r>
    <w:r>
      <w:rPr>
        <w:noProof/>
        <w:sz w:val="18"/>
        <w:szCs w:val="18"/>
      </w:rPr>
      <w:t>2-6</w:t>
    </w:r>
    <w:r w:rsidRPr="003B50B5">
      <w:rPr>
        <w:noProof/>
        <w:sz w:val="18"/>
        <w:szCs w:val="18"/>
      </w:rPr>
      <w:t>, 2024,</w:t>
    </w:r>
    <w:r w:rsidRPr="003B50B5">
      <w:rPr>
        <w:sz w:val="18"/>
        <w:szCs w:val="18"/>
      </w:rPr>
      <w:t xml:space="preserve"> Florence</w:t>
    </w:r>
    <w:r w:rsidRPr="003B50B5">
      <w:rPr>
        <w:noProof/>
        <w:sz w:val="18"/>
        <w:szCs w:val="18"/>
      </w:rPr>
      <w:t>, Italy</w:t>
    </w:r>
  </w:p>
  <w:p w14:paraId="144DE6CC" w14:textId="77777777" w:rsidR="00DD3D9E" w:rsidRDefault="00F06842" w:rsidP="00F06842">
    <w:pPr>
      <w:tabs>
        <w:tab w:val="right" w:pos="7086"/>
      </w:tabs>
    </w:pPr>
    <w:r w:rsidRPr="001E6A29">
      <w:rPr>
        <w:sz w:val="18"/>
        <w:szCs w:val="18"/>
      </w:rPr>
      <w:t>© 202</w:t>
    </w:r>
    <w:r>
      <w:rPr>
        <w:sz w:val="18"/>
        <w:szCs w:val="18"/>
      </w:rPr>
      <w:t>4</w:t>
    </w:r>
    <w:r w:rsidRPr="001E6A29">
      <w:rPr>
        <w:sz w:val="18"/>
        <w:szCs w:val="18"/>
      </w:rPr>
      <w:t xml:space="preserve"> Elsevier B.V. All rights reserved.</w:t>
    </w:r>
    <w:r w:rsidR="00DD3D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2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3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" w15:restartNumberingAfterBreak="0">
    <w:nsid w:val="2438217E"/>
    <w:multiLevelType w:val="multilevel"/>
    <w:tmpl w:val="B324223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6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8B613E"/>
    <w:multiLevelType w:val="hybridMultilevel"/>
    <w:tmpl w:val="C7209782"/>
    <w:lvl w:ilvl="0" w:tplc="C3DC7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2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5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0"/>
  </w:num>
  <w:num w:numId="6">
    <w:abstractNumId w:val="6"/>
  </w:num>
  <w:num w:numId="7">
    <w:abstractNumId w:val="13"/>
  </w:num>
  <w:num w:numId="8">
    <w:abstractNumId w:val="1"/>
  </w:num>
  <w:num w:numId="9">
    <w:abstractNumId w:val="11"/>
  </w:num>
  <w:num w:numId="10">
    <w:abstractNumId w:val="15"/>
  </w:num>
  <w:num w:numId="11">
    <w:abstractNumId w:val="14"/>
  </w:num>
  <w:num w:numId="12">
    <w:abstractNumId w:val="5"/>
  </w:num>
  <w:num w:numId="13">
    <w:abstractNumId w:val="9"/>
  </w:num>
  <w:num w:numId="14">
    <w:abstractNumId w:val="2"/>
  </w:num>
  <w:num w:numId="15">
    <w:abstractNumId w:val="7"/>
  </w:num>
  <w:num w:numId="16">
    <w:abstractNumId w:val="3"/>
  </w:num>
  <w:num w:numId="17">
    <w:abstractNumId w:val="4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yMTQ3M7cwNLEEspV0lIJTi4sz8/NACgxrAexJ9UMsAAAA"/>
  </w:docVars>
  <w:rsids>
    <w:rsidRoot w:val="00B63237"/>
    <w:rsid w:val="0000026D"/>
    <w:rsid w:val="000039AF"/>
    <w:rsid w:val="00022939"/>
    <w:rsid w:val="00022C98"/>
    <w:rsid w:val="00022FB6"/>
    <w:rsid w:val="000252C6"/>
    <w:rsid w:val="000279E7"/>
    <w:rsid w:val="000450F1"/>
    <w:rsid w:val="00054DE5"/>
    <w:rsid w:val="0006021D"/>
    <w:rsid w:val="00066879"/>
    <w:rsid w:val="00084BCF"/>
    <w:rsid w:val="00094ACE"/>
    <w:rsid w:val="0009709E"/>
    <w:rsid w:val="00097DF0"/>
    <w:rsid w:val="000A4A1C"/>
    <w:rsid w:val="000A6E34"/>
    <w:rsid w:val="000C6643"/>
    <w:rsid w:val="000D3D9B"/>
    <w:rsid w:val="000D4AE5"/>
    <w:rsid w:val="000D53B6"/>
    <w:rsid w:val="000E08BC"/>
    <w:rsid w:val="000E1B56"/>
    <w:rsid w:val="000E2384"/>
    <w:rsid w:val="000E3E67"/>
    <w:rsid w:val="00105894"/>
    <w:rsid w:val="00114F89"/>
    <w:rsid w:val="00117D58"/>
    <w:rsid w:val="00117E60"/>
    <w:rsid w:val="00121869"/>
    <w:rsid w:val="00141806"/>
    <w:rsid w:val="0015428B"/>
    <w:rsid w:val="0016032F"/>
    <w:rsid w:val="00160B51"/>
    <w:rsid w:val="00164F7E"/>
    <w:rsid w:val="00181BD4"/>
    <w:rsid w:val="00186A63"/>
    <w:rsid w:val="001879F6"/>
    <w:rsid w:val="00190E1C"/>
    <w:rsid w:val="001942B7"/>
    <w:rsid w:val="00194E1E"/>
    <w:rsid w:val="00195D6B"/>
    <w:rsid w:val="00197676"/>
    <w:rsid w:val="001A1977"/>
    <w:rsid w:val="001A4995"/>
    <w:rsid w:val="001C0148"/>
    <w:rsid w:val="001C14D4"/>
    <w:rsid w:val="001C4931"/>
    <w:rsid w:val="001C757E"/>
    <w:rsid w:val="001D0BA5"/>
    <w:rsid w:val="001D2D2C"/>
    <w:rsid w:val="001E23F4"/>
    <w:rsid w:val="001E42B1"/>
    <w:rsid w:val="001F0C2C"/>
    <w:rsid w:val="0020373D"/>
    <w:rsid w:val="0020390F"/>
    <w:rsid w:val="00213782"/>
    <w:rsid w:val="0021519E"/>
    <w:rsid w:val="00223D88"/>
    <w:rsid w:val="00224655"/>
    <w:rsid w:val="00232EE5"/>
    <w:rsid w:val="002405C9"/>
    <w:rsid w:val="00241D8C"/>
    <w:rsid w:val="00243E55"/>
    <w:rsid w:val="00257131"/>
    <w:rsid w:val="00263C11"/>
    <w:rsid w:val="00264926"/>
    <w:rsid w:val="002959BB"/>
    <w:rsid w:val="00296E4C"/>
    <w:rsid w:val="002B5334"/>
    <w:rsid w:val="002C4158"/>
    <w:rsid w:val="002E54A6"/>
    <w:rsid w:val="002F7A60"/>
    <w:rsid w:val="00300BC0"/>
    <w:rsid w:val="00304A60"/>
    <w:rsid w:val="003219E6"/>
    <w:rsid w:val="00323394"/>
    <w:rsid w:val="003317F1"/>
    <w:rsid w:val="003432FC"/>
    <w:rsid w:val="00346A9D"/>
    <w:rsid w:val="003517EF"/>
    <w:rsid w:val="00387ACD"/>
    <w:rsid w:val="00394DE7"/>
    <w:rsid w:val="00395883"/>
    <w:rsid w:val="003A652E"/>
    <w:rsid w:val="003C3F0B"/>
    <w:rsid w:val="003D1582"/>
    <w:rsid w:val="003D2D50"/>
    <w:rsid w:val="003D7E4C"/>
    <w:rsid w:val="003E1A9E"/>
    <w:rsid w:val="003E41C2"/>
    <w:rsid w:val="003F0920"/>
    <w:rsid w:val="003F1FD9"/>
    <w:rsid w:val="004004C4"/>
    <w:rsid w:val="00402960"/>
    <w:rsid w:val="00403D0F"/>
    <w:rsid w:val="00413ABD"/>
    <w:rsid w:val="00420893"/>
    <w:rsid w:val="00424A69"/>
    <w:rsid w:val="0042764A"/>
    <w:rsid w:val="0043266F"/>
    <w:rsid w:val="00433CC3"/>
    <w:rsid w:val="00452ECE"/>
    <w:rsid w:val="00460B41"/>
    <w:rsid w:val="004627A3"/>
    <w:rsid w:val="00476C5B"/>
    <w:rsid w:val="004770F8"/>
    <w:rsid w:val="00480D08"/>
    <w:rsid w:val="0048395E"/>
    <w:rsid w:val="0048483B"/>
    <w:rsid w:val="00490232"/>
    <w:rsid w:val="00491BEC"/>
    <w:rsid w:val="004959AF"/>
    <w:rsid w:val="00495CCD"/>
    <w:rsid w:val="00496463"/>
    <w:rsid w:val="0049772C"/>
    <w:rsid w:val="004A1B79"/>
    <w:rsid w:val="004B3FF5"/>
    <w:rsid w:val="004B540A"/>
    <w:rsid w:val="004C2082"/>
    <w:rsid w:val="004D6A77"/>
    <w:rsid w:val="004D7182"/>
    <w:rsid w:val="004E781E"/>
    <w:rsid w:val="004F651D"/>
    <w:rsid w:val="00501841"/>
    <w:rsid w:val="00501D6B"/>
    <w:rsid w:val="005173F3"/>
    <w:rsid w:val="005351CB"/>
    <w:rsid w:val="005360EA"/>
    <w:rsid w:val="00537BCA"/>
    <w:rsid w:val="0054492D"/>
    <w:rsid w:val="0055091F"/>
    <w:rsid w:val="00552717"/>
    <w:rsid w:val="00552EEB"/>
    <w:rsid w:val="00553F86"/>
    <w:rsid w:val="00564B12"/>
    <w:rsid w:val="005662BA"/>
    <w:rsid w:val="00570162"/>
    <w:rsid w:val="005712FB"/>
    <w:rsid w:val="005775ED"/>
    <w:rsid w:val="00595B2C"/>
    <w:rsid w:val="005A0789"/>
    <w:rsid w:val="005A107A"/>
    <w:rsid w:val="005B294C"/>
    <w:rsid w:val="005B4515"/>
    <w:rsid w:val="005B4E76"/>
    <w:rsid w:val="005B5465"/>
    <w:rsid w:val="005C0710"/>
    <w:rsid w:val="005E2211"/>
    <w:rsid w:val="005F6F33"/>
    <w:rsid w:val="006230DC"/>
    <w:rsid w:val="00625359"/>
    <w:rsid w:val="00630BAD"/>
    <w:rsid w:val="0064044A"/>
    <w:rsid w:val="00640B1E"/>
    <w:rsid w:val="00642FB3"/>
    <w:rsid w:val="00645107"/>
    <w:rsid w:val="00654252"/>
    <w:rsid w:val="0065467C"/>
    <w:rsid w:val="00655B20"/>
    <w:rsid w:val="00665351"/>
    <w:rsid w:val="006654BF"/>
    <w:rsid w:val="006762B5"/>
    <w:rsid w:val="0068197B"/>
    <w:rsid w:val="006A027B"/>
    <w:rsid w:val="006A640B"/>
    <w:rsid w:val="006A69BF"/>
    <w:rsid w:val="006C4AD1"/>
    <w:rsid w:val="006D7218"/>
    <w:rsid w:val="006D74D3"/>
    <w:rsid w:val="006F5797"/>
    <w:rsid w:val="006F6E68"/>
    <w:rsid w:val="00711DF4"/>
    <w:rsid w:val="007142D2"/>
    <w:rsid w:val="007260F8"/>
    <w:rsid w:val="007442E7"/>
    <w:rsid w:val="0075606D"/>
    <w:rsid w:val="00756547"/>
    <w:rsid w:val="007567DE"/>
    <w:rsid w:val="00772920"/>
    <w:rsid w:val="007758C8"/>
    <w:rsid w:val="0078689C"/>
    <w:rsid w:val="00793742"/>
    <w:rsid w:val="007A7C0E"/>
    <w:rsid w:val="007D70A1"/>
    <w:rsid w:val="007D7CBE"/>
    <w:rsid w:val="007E2513"/>
    <w:rsid w:val="007E780B"/>
    <w:rsid w:val="007F2CA8"/>
    <w:rsid w:val="008132E8"/>
    <w:rsid w:val="008203E1"/>
    <w:rsid w:val="008232EC"/>
    <w:rsid w:val="00823407"/>
    <w:rsid w:val="008262CF"/>
    <w:rsid w:val="00856E3D"/>
    <w:rsid w:val="00863AAB"/>
    <w:rsid w:val="008644AF"/>
    <w:rsid w:val="0086653D"/>
    <w:rsid w:val="00875B5D"/>
    <w:rsid w:val="0088559B"/>
    <w:rsid w:val="00887052"/>
    <w:rsid w:val="008961D5"/>
    <w:rsid w:val="008A40DC"/>
    <w:rsid w:val="008B0184"/>
    <w:rsid w:val="008B4493"/>
    <w:rsid w:val="008C5D02"/>
    <w:rsid w:val="008D0CFD"/>
    <w:rsid w:val="008D13CE"/>
    <w:rsid w:val="008D1F69"/>
    <w:rsid w:val="008D2649"/>
    <w:rsid w:val="008E2042"/>
    <w:rsid w:val="008E2630"/>
    <w:rsid w:val="008F1A42"/>
    <w:rsid w:val="008F5326"/>
    <w:rsid w:val="00903CCE"/>
    <w:rsid w:val="0090568D"/>
    <w:rsid w:val="009125C9"/>
    <w:rsid w:val="00913879"/>
    <w:rsid w:val="00915B88"/>
    <w:rsid w:val="00917661"/>
    <w:rsid w:val="00927A6F"/>
    <w:rsid w:val="00930D2A"/>
    <w:rsid w:val="00933DBD"/>
    <w:rsid w:val="00940F03"/>
    <w:rsid w:val="009439AC"/>
    <w:rsid w:val="00952533"/>
    <w:rsid w:val="00961298"/>
    <w:rsid w:val="00970E5D"/>
    <w:rsid w:val="0097701C"/>
    <w:rsid w:val="009803E5"/>
    <w:rsid w:val="00980A65"/>
    <w:rsid w:val="009841F5"/>
    <w:rsid w:val="0098756C"/>
    <w:rsid w:val="00990CF0"/>
    <w:rsid w:val="00994982"/>
    <w:rsid w:val="00996BC0"/>
    <w:rsid w:val="00997B4E"/>
    <w:rsid w:val="009A246A"/>
    <w:rsid w:val="009A733E"/>
    <w:rsid w:val="009B0D41"/>
    <w:rsid w:val="009B2A23"/>
    <w:rsid w:val="009B4428"/>
    <w:rsid w:val="009C30C7"/>
    <w:rsid w:val="009C7418"/>
    <w:rsid w:val="009E3944"/>
    <w:rsid w:val="009E5CB7"/>
    <w:rsid w:val="009F0811"/>
    <w:rsid w:val="009F0D96"/>
    <w:rsid w:val="00A02A6C"/>
    <w:rsid w:val="00A034D2"/>
    <w:rsid w:val="00A05865"/>
    <w:rsid w:val="00A10BED"/>
    <w:rsid w:val="00A25E70"/>
    <w:rsid w:val="00A3054B"/>
    <w:rsid w:val="00A31593"/>
    <w:rsid w:val="00A33765"/>
    <w:rsid w:val="00A34962"/>
    <w:rsid w:val="00A35AF7"/>
    <w:rsid w:val="00A4504F"/>
    <w:rsid w:val="00A548B5"/>
    <w:rsid w:val="00A63269"/>
    <w:rsid w:val="00A77E88"/>
    <w:rsid w:val="00A827E8"/>
    <w:rsid w:val="00A83B34"/>
    <w:rsid w:val="00A903F3"/>
    <w:rsid w:val="00A92377"/>
    <w:rsid w:val="00AB29ED"/>
    <w:rsid w:val="00AC3D62"/>
    <w:rsid w:val="00AC6D2D"/>
    <w:rsid w:val="00AD02EC"/>
    <w:rsid w:val="00AD2CFB"/>
    <w:rsid w:val="00AD328B"/>
    <w:rsid w:val="00AE02B1"/>
    <w:rsid w:val="00AE2921"/>
    <w:rsid w:val="00AE2FFA"/>
    <w:rsid w:val="00AE4BD8"/>
    <w:rsid w:val="00AE6774"/>
    <w:rsid w:val="00AE7309"/>
    <w:rsid w:val="00AE7A45"/>
    <w:rsid w:val="00AF4CCF"/>
    <w:rsid w:val="00AF56AC"/>
    <w:rsid w:val="00B03DE9"/>
    <w:rsid w:val="00B044B0"/>
    <w:rsid w:val="00B25AE1"/>
    <w:rsid w:val="00B26211"/>
    <w:rsid w:val="00B36319"/>
    <w:rsid w:val="00B4388F"/>
    <w:rsid w:val="00B47017"/>
    <w:rsid w:val="00B54E20"/>
    <w:rsid w:val="00B61999"/>
    <w:rsid w:val="00B626EB"/>
    <w:rsid w:val="00B63237"/>
    <w:rsid w:val="00BA7EC2"/>
    <w:rsid w:val="00BB7C0B"/>
    <w:rsid w:val="00BC5844"/>
    <w:rsid w:val="00BD0148"/>
    <w:rsid w:val="00BD18D0"/>
    <w:rsid w:val="00BD198C"/>
    <w:rsid w:val="00BD2875"/>
    <w:rsid w:val="00BD5733"/>
    <w:rsid w:val="00BE55FE"/>
    <w:rsid w:val="00BF02E0"/>
    <w:rsid w:val="00BF7C61"/>
    <w:rsid w:val="00C10A72"/>
    <w:rsid w:val="00C22A4D"/>
    <w:rsid w:val="00C23549"/>
    <w:rsid w:val="00C24E3D"/>
    <w:rsid w:val="00C332AA"/>
    <w:rsid w:val="00C415E9"/>
    <w:rsid w:val="00C4699D"/>
    <w:rsid w:val="00C549A5"/>
    <w:rsid w:val="00C7009E"/>
    <w:rsid w:val="00C91340"/>
    <w:rsid w:val="00C960DC"/>
    <w:rsid w:val="00CA0F0F"/>
    <w:rsid w:val="00CA3653"/>
    <w:rsid w:val="00CB1421"/>
    <w:rsid w:val="00CF36E8"/>
    <w:rsid w:val="00CF4388"/>
    <w:rsid w:val="00D02C75"/>
    <w:rsid w:val="00D102AF"/>
    <w:rsid w:val="00D10E22"/>
    <w:rsid w:val="00D13D2C"/>
    <w:rsid w:val="00D15F15"/>
    <w:rsid w:val="00D207C4"/>
    <w:rsid w:val="00D26C07"/>
    <w:rsid w:val="00D41614"/>
    <w:rsid w:val="00D47BA5"/>
    <w:rsid w:val="00D50DFC"/>
    <w:rsid w:val="00D5249C"/>
    <w:rsid w:val="00D52E18"/>
    <w:rsid w:val="00D818D8"/>
    <w:rsid w:val="00D94A64"/>
    <w:rsid w:val="00DA59C8"/>
    <w:rsid w:val="00DB4CC1"/>
    <w:rsid w:val="00DB77D7"/>
    <w:rsid w:val="00DC2F94"/>
    <w:rsid w:val="00DC458F"/>
    <w:rsid w:val="00DD3D9E"/>
    <w:rsid w:val="00DD7908"/>
    <w:rsid w:val="00DE31A3"/>
    <w:rsid w:val="00DF3F85"/>
    <w:rsid w:val="00E0043B"/>
    <w:rsid w:val="00E1159E"/>
    <w:rsid w:val="00E12BB6"/>
    <w:rsid w:val="00E30229"/>
    <w:rsid w:val="00E304D5"/>
    <w:rsid w:val="00E401D3"/>
    <w:rsid w:val="00E4449F"/>
    <w:rsid w:val="00E47F96"/>
    <w:rsid w:val="00E51DD0"/>
    <w:rsid w:val="00E55769"/>
    <w:rsid w:val="00E56704"/>
    <w:rsid w:val="00E6618F"/>
    <w:rsid w:val="00E6628F"/>
    <w:rsid w:val="00E73420"/>
    <w:rsid w:val="00E750E8"/>
    <w:rsid w:val="00E82297"/>
    <w:rsid w:val="00E83A81"/>
    <w:rsid w:val="00E925D4"/>
    <w:rsid w:val="00E95578"/>
    <w:rsid w:val="00EB008D"/>
    <w:rsid w:val="00EB6DF3"/>
    <w:rsid w:val="00EC2BBA"/>
    <w:rsid w:val="00ED0BF7"/>
    <w:rsid w:val="00ED1FE6"/>
    <w:rsid w:val="00EE401D"/>
    <w:rsid w:val="00EE6F18"/>
    <w:rsid w:val="00EF39FD"/>
    <w:rsid w:val="00F020D9"/>
    <w:rsid w:val="00F06842"/>
    <w:rsid w:val="00F107FD"/>
    <w:rsid w:val="00F15E19"/>
    <w:rsid w:val="00F36A37"/>
    <w:rsid w:val="00F45F9B"/>
    <w:rsid w:val="00F54F4D"/>
    <w:rsid w:val="00F67651"/>
    <w:rsid w:val="00F72F12"/>
    <w:rsid w:val="00F73C50"/>
    <w:rsid w:val="00F97C4B"/>
    <w:rsid w:val="00FA5621"/>
    <w:rsid w:val="00FA745C"/>
    <w:rsid w:val="00FB5EF7"/>
    <w:rsid w:val="00FB64A8"/>
    <w:rsid w:val="00FC09CC"/>
    <w:rsid w:val="00FD1F70"/>
    <w:rsid w:val="00FD67ED"/>
    <w:rsid w:val="00FD6DE3"/>
    <w:rsid w:val="00FE6268"/>
    <w:rsid w:val="00FF20A0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44DE67F"/>
  <w15:docId w15:val="{90F2D0F2-41A0-4275-BF6A-1F6BCDED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B0184"/>
    <w:rPr>
      <w:lang w:eastAsia="en-US"/>
    </w:rPr>
  </w:style>
  <w:style w:type="paragraph" w:styleId="Titolo3">
    <w:name w:val="heading 3"/>
    <w:basedOn w:val="Normale"/>
    <w:next w:val="Normale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Rimandonotadichiusura">
    <w:name w:val="endnote reference"/>
    <w:basedOn w:val="Carpredefinitoparagrafo"/>
    <w:semiHidden/>
    <w:rsid w:val="008B0184"/>
    <w:rPr>
      <w:vertAlign w:val="superscript"/>
    </w:rPr>
  </w:style>
  <w:style w:type="paragraph" w:styleId="Intestazione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Pidipagina">
    <w:name w:val="footer"/>
    <w:basedOn w:val="Intestazione"/>
    <w:rsid w:val="008B0184"/>
  </w:style>
  <w:style w:type="character" w:styleId="Rimandonotaapidipagina">
    <w:name w:val="footnote reference"/>
    <w:semiHidden/>
    <w:rsid w:val="008B0184"/>
    <w:rPr>
      <w:vertAlign w:val="superscript"/>
    </w:rPr>
  </w:style>
  <w:style w:type="paragraph" w:styleId="Testonotaapidipagina">
    <w:name w:val="footnote text"/>
    <w:basedOn w:val="Normale"/>
    <w:semiHidden/>
    <w:rsid w:val="008B0184"/>
    <w:rPr>
      <w:rFonts w:ascii="Univers" w:hAnsi="Univers"/>
    </w:rPr>
  </w:style>
  <w:style w:type="character" w:styleId="Collegamentoipertestuale">
    <w:name w:val="Hyperlink"/>
    <w:basedOn w:val="Carpredefinitoparagrafo"/>
    <w:rsid w:val="008B0184"/>
    <w:rPr>
      <w:color w:val="0000FF"/>
      <w:u w:val="single"/>
    </w:rPr>
  </w:style>
  <w:style w:type="character" w:customStyle="1" w:styleId="MTEquationSection">
    <w:name w:val="MTEquationSection"/>
    <w:basedOn w:val="Carpredefinitoparagrafo"/>
    <w:rsid w:val="008B0184"/>
    <w:rPr>
      <w:vanish/>
      <w:color w:val="FF0000"/>
    </w:rPr>
  </w:style>
  <w:style w:type="character" w:styleId="Numeropagina">
    <w:name w:val="page number"/>
    <w:basedOn w:val="Carpredefinitoparagrafo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Carpredefinitoparagrafo"/>
    <w:rsid w:val="008B0184"/>
    <w:rPr>
      <w:sz w:val="18"/>
      <w:lang w:val="en-US" w:eastAsia="en-US" w:bidi="ar-SA"/>
    </w:rPr>
  </w:style>
  <w:style w:type="character" w:styleId="Rimandocommento">
    <w:name w:val="annotation reference"/>
    <w:basedOn w:val="Carpredefinitoparagrafo"/>
    <w:semiHidden/>
    <w:rsid w:val="008B0184"/>
    <w:rPr>
      <w:sz w:val="16"/>
      <w:szCs w:val="16"/>
    </w:rPr>
  </w:style>
  <w:style w:type="paragraph" w:styleId="Testocommento">
    <w:name w:val="annotation text"/>
    <w:basedOn w:val="Normale"/>
    <w:semiHidden/>
    <w:rsid w:val="008B0184"/>
  </w:style>
  <w:style w:type="paragraph" w:styleId="Soggettocommento">
    <w:name w:val="annotation subject"/>
    <w:basedOn w:val="Testocommento"/>
    <w:next w:val="Testocommento"/>
    <w:semiHidden/>
    <w:rsid w:val="008B0184"/>
    <w:rPr>
      <w:b/>
      <w:bCs/>
    </w:rPr>
  </w:style>
  <w:style w:type="paragraph" w:styleId="Testofumetto">
    <w:name w:val="Balloon Text"/>
    <w:basedOn w:val="Normale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8B0184"/>
    <w:pPr>
      <w:numPr>
        <w:ilvl w:val="0"/>
        <w:numId w:val="0"/>
      </w:numPr>
    </w:pPr>
  </w:style>
  <w:style w:type="character" w:customStyle="1" w:styleId="underline1">
    <w:name w:val="underline1"/>
    <w:basedOn w:val="Carpredefinitoparagrafo"/>
    <w:rsid w:val="00F06842"/>
    <w:rPr>
      <w:u w:val="single"/>
    </w:rPr>
  </w:style>
  <w:style w:type="paragraph" w:customStyle="1" w:styleId="ElsevierBodyTextCentredNospace">
    <w:name w:val="Elsevier Body Text Centred No space"/>
    <w:basedOn w:val="Normale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8D8"/>
    <w:rPr>
      <w:color w:val="605E5C"/>
      <w:shd w:val="clear" w:color="auto" w:fill="E1DFDD"/>
    </w:rPr>
  </w:style>
  <w:style w:type="table" w:styleId="Tabellasemplice-2">
    <w:name w:val="Plain Table 2"/>
    <w:basedOn w:val="Tabellanormale"/>
    <w:uiPriority w:val="42"/>
    <w:rsid w:val="00B3631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e">
    <w:name w:val="Revision"/>
    <w:hidden/>
    <w:uiPriority w:val="99"/>
    <w:semiHidden/>
    <w:rsid w:val="00903CC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8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6.bin"/><Relationship Id="rId47" Type="http://schemas.openxmlformats.org/officeDocument/2006/relationships/hyperlink" Target="https://www.iea.org/reports/global-hydrogen-review-2023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png"/><Relationship Id="rId37" Type="http://schemas.openxmlformats.org/officeDocument/2006/relationships/image" Target="media/image16.png"/><Relationship Id="rId40" Type="http://schemas.openxmlformats.org/officeDocument/2006/relationships/oleObject" Target="embeddings/oleObject15.bin"/><Relationship Id="rId45" Type="http://schemas.openxmlformats.org/officeDocument/2006/relationships/hyperlink" Target="https://ens.dk/en/our-services/projections-and-models/technology-data/technology-data-generation-electricity-and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hyperlink" Target="http://www.caiso.com/Pages/default.aspx" TargetMode="External"/><Relationship Id="rId5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43" Type="http://schemas.openxmlformats.org/officeDocument/2006/relationships/image" Target="media/image20.png"/><Relationship Id="rId48" Type="http://schemas.openxmlformats.org/officeDocument/2006/relationships/hyperlink" Target="https://www.energy-transitions.org/publications/making-net-zero-ammonia-possible/" TargetMode="External"/><Relationship Id="rId8" Type="http://schemas.openxmlformats.org/officeDocument/2006/relationships/image" Target="media/image1.wmf"/><Relationship Id="rId51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image" Target="media/image17.png"/><Relationship Id="rId46" Type="http://schemas.openxmlformats.org/officeDocument/2006/relationships/hyperlink" Target="https://commission.europa.eu/strategy-and-policy/priorities-2019-2024/european-green-deal/repowereu-affordable-secure-and-sustainable-energy-europe_en" TargetMode="External"/><Relationship Id="rId20" Type="http://schemas.openxmlformats.org/officeDocument/2006/relationships/image" Target="media/image7.wmf"/><Relationship Id="rId41" Type="http://schemas.openxmlformats.org/officeDocument/2006/relationships/image" Target="media/image19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49" Type="http://schemas.openxmlformats.org/officeDocument/2006/relationships/hyperlink" Target="https://nelhydrogen.com/wp-content/uploads/2020/03/Electrolysers-Brochure-Rev-D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3E2F4-26EE-44BD-8E75-3C13B71A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Chapter.dotx</Template>
  <TotalTime>1277</TotalTime>
  <Pages>6</Pages>
  <Words>2417</Words>
  <Characters>15863</Characters>
  <Application>Microsoft Office Word</Application>
  <DocSecurity>0</DocSecurity>
  <Lines>255</Lines>
  <Paragraphs>63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Chapter</vt:lpstr>
      <vt:lpstr>Chapter</vt:lpstr>
    </vt:vector>
  </TitlesOfParts>
  <Company>Elsevier Science</Company>
  <LinksUpToDate>false</LinksUpToDate>
  <CharactersWithSpaces>18217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subject/>
  <dc:creator>andrea.isella@polimi.it</dc:creator>
  <cp:keywords/>
  <dc:description/>
  <cp:lastModifiedBy>Davide Manca</cp:lastModifiedBy>
  <cp:revision>161</cp:revision>
  <cp:lastPrinted>2004-12-17T09:20:00Z</cp:lastPrinted>
  <dcterms:created xsi:type="dcterms:W3CDTF">2023-10-02T07:50:00Z</dcterms:created>
  <dcterms:modified xsi:type="dcterms:W3CDTF">2023-12-23T17:34:00Z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  <property fmtid="{D5CDD505-2E9C-101B-9397-08002B2CF9AE}" pid="10" name="MTWinEqns">
    <vt:bool>true</vt:bool>
  </property>
</Properties>
</file>