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AA345C3" w:rsidR="00DD3D9E" w:rsidRPr="00B4388F" w:rsidRDefault="005F637B">
      <w:pPr>
        <w:pStyle w:val="Els-Title"/>
        <w:rPr>
          <w:color w:val="000000" w:themeColor="text1"/>
        </w:rPr>
      </w:pPr>
      <w:r w:rsidRPr="0060760A">
        <w:rPr>
          <w:sz w:val="28"/>
          <w:szCs w:val="28"/>
        </w:rPr>
        <w:t>On Numerical Stability of Relaxations of Generalized Disjunctive Programs</w:t>
      </w:r>
    </w:p>
    <w:p w14:paraId="144DE680" w14:textId="2DC5CCAC" w:rsidR="00DD3D9E" w:rsidRDefault="0092494D">
      <w:pPr>
        <w:pStyle w:val="Els-Author"/>
      </w:pPr>
      <w:r>
        <w:t>Miloš Bogataj</w:t>
      </w:r>
      <w:r w:rsidRPr="0092494D">
        <w:rPr>
          <w:vertAlign w:val="superscript"/>
        </w:rPr>
        <w:t>a</w:t>
      </w:r>
      <w:r>
        <w:t>, Zdravko Kravanja</w:t>
      </w:r>
      <w:r w:rsidRPr="0092494D">
        <w:rPr>
          <w:vertAlign w:val="superscript"/>
        </w:rPr>
        <w:t>a</w:t>
      </w:r>
    </w:p>
    <w:p w14:paraId="144DE682" w14:textId="490C1C4B" w:rsidR="00DD3D9E" w:rsidRDefault="0092494D" w:rsidP="0092494D">
      <w:pPr>
        <w:pStyle w:val="Els-Affiliation"/>
      </w:pPr>
      <w:r>
        <w:t xml:space="preserve">Faculty of Chemistry and Chemical Engineering, University of Maribor, Smetanova ulica 17, SI-2000 Maribor, Slovenia </w:t>
      </w:r>
    </w:p>
    <w:p w14:paraId="144DE683" w14:textId="5672874B" w:rsidR="008D2649" w:rsidRPr="00A94774" w:rsidRDefault="0092494D" w:rsidP="008D2649">
      <w:pPr>
        <w:pStyle w:val="Els-Affiliation"/>
        <w:spacing w:after="120"/>
      </w:pPr>
      <w:r>
        <w:t>milos.bogataj@um.si</w:t>
      </w:r>
    </w:p>
    <w:p w14:paraId="144DE684" w14:textId="77777777" w:rsidR="008D2649" w:rsidRDefault="008D2649" w:rsidP="008D2649">
      <w:pPr>
        <w:pStyle w:val="Els-Abstract"/>
      </w:pPr>
      <w:r>
        <w:t>Abstract</w:t>
      </w:r>
    </w:p>
    <w:p w14:paraId="69B0FB29" w14:textId="42108142" w:rsidR="00D175E1" w:rsidRDefault="00B52E23" w:rsidP="008D2649">
      <w:pPr>
        <w:pStyle w:val="Els-body-text"/>
        <w:spacing w:after="120"/>
        <w:rPr>
          <w:lang w:val="en-GB"/>
        </w:rPr>
      </w:pPr>
      <w:r w:rsidRPr="00B52E23">
        <w:rPr>
          <w:lang w:val="en-GB"/>
        </w:rPr>
        <w:t xml:space="preserve">In this paper we present an approach that guarantees equally tight, if not tighter, continuous relaxations of mixed-integer (non)linear programs obtained by </w:t>
      </w:r>
      <w:r w:rsidR="00CA0B1F">
        <w:rPr>
          <w:lang w:val="en-GB"/>
        </w:rPr>
        <w:t>the reformulation of</w:t>
      </w:r>
      <w:r w:rsidRPr="00B52E23">
        <w:rPr>
          <w:lang w:val="en-GB"/>
        </w:rPr>
        <w:t xml:space="preserve"> </w:t>
      </w:r>
      <w:r w:rsidR="00F335FA">
        <w:rPr>
          <w:lang w:val="en-GB"/>
        </w:rPr>
        <w:t>G</w:t>
      </w:r>
      <w:r w:rsidRPr="00B52E23">
        <w:rPr>
          <w:lang w:val="en-GB"/>
        </w:rPr>
        <w:t xml:space="preserve">eneralized </w:t>
      </w:r>
      <w:r w:rsidR="00F335FA">
        <w:rPr>
          <w:lang w:val="en-GB"/>
        </w:rPr>
        <w:t>D</w:t>
      </w:r>
      <w:r w:rsidRPr="00B52E23">
        <w:rPr>
          <w:lang w:val="en-GB"/>
        </w:rPr>
        <w:t xml:space="preserve">isjunctive </w:t>
      </w:r>
      <w:r w:rsidR="00F335FA">
        <w:rPr>
          <w:lang w:val="en-GB"/>
        </w:rPr>
        <w:t>P</w:t>
      </w:r>
      <w:r w:rsidRPr="00B52E23">
        <w:rPr>
          <w:lang w:val="en-GB"/>
        </w:rPr>
        <w:t xml:space="preserve">rograms </w:t>
      </w:r>
      <w:r w:rsidR="00B85DFA">
        <w:rPr>
          <w:lang w:val="en-GB"/>
        </w:rPr>
        <w:t>than</w:t>
      </w:r>
      <w:r w:rsidRPr="00B52E23">
        <w:rPr>
          <w:lang w:val="en-GB"/>
        </w:rPr>
        <w:t xml:space="preserve"> those obtained by the Hull Reformulation.</w:t>
      </w:r>
      <w:r>
        <w:rPr>
          <w:lang w:val="en-GB"/>
        </w:rPr>
        <w:t xml:space="preserve"> </w:t>
      </w:r>
      <w:r w:rsidR="00B73C4C">
        <w:rPr>
          <w:lang w:val="en-GB"/>
        </w:rPr>
        <w:t>The approach allows to solve</w:t>
      </w:r>
      <w:r w:rsidR="00535854">
        <w:rPr>
          <w:lang w:val="en-GB"/>
        </w:rPr>
        <w:t xml:space="preserve"> cases</w:t>
      </w:r>
      <w:r w:rsidR="00C748B8">
        <w:rPr>
          <w:lang w:val="en-GB"/>
        </w:rPr>
        <w:t xml:space="preserve"> </w:t>
      </w:r>
      <w:r w:rsidR="006D065E">
        <w:rPr>
          <w:lang w:val="en-GB"/>
        </w:rPr>
        <w:t>where the</w:t>
      </w:r>
      <w:r w:rsidR="00B85DFA">
        <w:rPr>
          <w:lang w:val="en-GB"/>
        </w:rPr>
        <w:t xml:space="preserve"> the</w:t>
      </w:r>
      <w:r w:rsidR="00C748B8">
        <w:rPr>
          <w:lang w:val="en-GB"/>
        </w:rPr>
        <w:t xml:space="preserve"> functions are not defined at </w:t>
      </w:r>
      <w:r w:rsidR="0095778E">
        <w:rPr>
          <w:lang w:val="en-GB"/>
        </w:rPr>
        <w:t xml:space="preserve">a </w:t>
      </w:r>
      <w:r w:rsidR="00535854">
        <w:rPr>
          <w:lang w:val="en-GB"/>
        </w:rPr>
        <w:t xml:space="preserve">particular point or </w:t>
      </w:r>
      <w:r w:rsidR="00C27D80">
        <w:rPr>
          <w:lang w:val="en-GB"/>
        </w:rPr>
        <w:t xml:space="preserve">even </w:t>
      </w:r>
      <w:r w:rsidR="00535854">
        <w:rPr>
          <w:lang w:val="en-GB"/>
        </w:rPr>
        <w:t xml:space="preserve">over a larger part of the domain of </w:t>
      </w:r>
      <w:r w:rsidR="006D065E">
        <w:rPr>
          <w:lang w:val="en-GB"/>
        </w:rPr>
        <w:t xml:space="preserve">the </w:t>
      </w:r>
      <w:r w:rsidR="00535854">
        <w:rPr>
          <w:lang w:val="en-GB"/>
        </w:rPr>
        <w:t>global variables</w:t>
      </w:r>
      <w:r w:rsidR="00C748B8">
        <w:rPr>
          <w:lang w:val="en-GB"/>
        </w:rPr>
        <w:t>.</w:t>
      </w:r>
      <w:r w:rsidR="00E55890" w:rsidRPr="00E55890">
        <w:rPr>
          <w:lang w:val="en-GB"/>
        </w:rPr>
        <w:t xml:space="preserve"> </w:t>
      </w:r>
      <w:r w:rsidR="0095778E">
        <w:rPr>
          <w:lang w:val="en-GB"/>
        </w:rPr>
        <w:t>The numerical difficulties are avoided</w:t>
      </w:r>
      <w:r w:rsidR="00AB0026">
        <w:rPr>
          <w:lang w:val="en-GB"/>
        </w:rPr>
        <w:t xml:space="preserve"> </w:t>
      </w:r>
      <w:r w:rsidR="001C4BD3">
        <w:rPr>
          <w:lang w:val="en-GB"/>
        </w:rPr>
        <w:t>by</w:t>
      </w:r>
      <w:r w:rsidR="0095778E">
        <w:rPr>
          <w:lang w:val="en-GB"/>
        </w:rPr>
        <w:t xml:space="preserve"> </w:t>
      </w:r>
      <w:r w:rsidR="00B9227A">
        <w:rPr>
          <w:lang w:val="en-GB"/>
        </w:rPr>
        <w:t xml:space="preserve">the </w:t>
      </w:r>
      <w:r w:rsidR="0095778E">
        <w:rPr>
          <w:lang w:val="en-GB"/>
        </w:rPr>
        <w:t>translation of variables.</w:t>
      </w:r>
      <w:r w:rsidR="00DC28FE">
        <w:rPr>
          <w:lang w:val="en-GB"/>
        </w:rPr>
        <w:t xml:space="preserve"> An algorithm is presented </w:t>
      </w:r>
      <w:r w:rsidR="00A47CA7">
        <w:rPr>
          <w:lang w:val="en-GB"/>
        </w:rPr>
        <w:t>that</w:t>
      </w:r>
      <w:r w:rsidR="00DC28FE">
        <w:rPr>
          <w:lang w:val="en-GB"/>
        </w:rPr>
        <w:t xml:space="preserve"> </w:t>
      </w:r>
      <w:r w:rsidR="00307EA8">
        <w:rPr>
          <w:lang w:val="en-GB"/>
        </w:rPr>
        <w:t>optimize</w:t>
      </w:r>
      <w:r w:rsidR="002F2486">
        <w:rPr>
          <w:lang w:val="en-GB"/>
        </w:rPr>
        <w:t>s</w:t>
      </w:r>
      <w:r w:rsidR="00DC28FE">
        <w:rPr>
          <w:lang w:val="en-GB"/>
        </w:rPr>
        <w:t xml:space="preserve"> the values of </w:t>
      </w:r>
      <w:r w:rsidR="002F2486">
        <w:rPr>
          <w:lang w:val="en-GB"/>
        </w:rPr>
        <w:t xml:space="preserve">the </w:t>
      </w:r>
      <w:r w:rsidR="00307EA8">
        <w:rPr>
          <w:lang w:val="en-GB"/>
        </w:rPr>
        <w:t xml:space="preserve">non-zero points to which the disaggregated variables are driven when the corresponding binary variables </w:t>
      </w:r>
      <w:r w:rsidR="00852E00">
        <w:rPr>
          <w:lang w:val="en-GB"/>
        </w:rPr>
        <w:t>are zero.</w:t>
      </w:r>
      <w:r w:rsidR="001F50FC">
        <w:rPr>
          <w:lang w:val="en-GB"/>
        </w:rPr>
        <w:t xml:space="preserve"> </w:t>
      </w:r>
      <w:r w:rsidR="00015BFC">
        <w:rPr>
          <w:lang w:val="en-GB"/>
        </w:rPr>
        <w:t>T</w:t>
      </w:r>
      <w:r w:rsidR="00015BFC" w:rsidRPr="001F50FC">
        <w:rPr>
          <w:lang w:val="en-GB"/>
        </w:rPr>
        <w:t xml:space="preserve">he different MINLP reformulations </w:t>
      </w:r>
      <w:r w:rsidR="00015BFC">
        <w:rPr>
          <w:lang w:val="en-GB"/>
        </w:rPr>
        <w:t>obtained, i.e.,</w:t>
      </w:r>
      <w:r w:rsidR="00E6492F">
        <w:rPr>
          <w:lang w:val="en-GB"/>
        </w:rPr>
        <w:t xml:space="preserve"> </w:t>
      </w:r>
      <w:r w:rsidR="00BD77E9">
        <w:rPr>
          <w:lang w:val="en-GB"/>
        </w:rPr>
        <w:t xml:space="preserve">the </w:t>
      </w:r>
      <w:r w:rsidR="00015BFC">
        <w:rPr>
          <w:lang w:val="en-GB"/>
        </w:rPr>
        <w:t>proposed reformulation,</w:t>
      </w:r>
      <w:r w:rsidR="00015BFC" w:rsidRPr="001F50FC">
        <w:rPr>
          <w:lang w:val="en-GB"/>
        </w:rPr>
        <w:t xml:space="preserve"> Big-M</w:t>
      </w:r>
      <w:r w:rsidR="00015BFC">
        <w:rPr>
          <w:lang w:val="en-GB"/>
        </w:rPr>
        <w:t xml:space="preserve"> reformulation</w:t>
      </w:r>
      <w:r w:rsidR="00015BFC" w:rsidRPr="001F50FC">
        <w:rPr>
          <w:lang w:val="en-GB"/>
        </w:rPr>
        <w:t xml:space="preserve">, </w:t>
      </w:r>
      <w:r w:rsidR="00015BFC">
        <w:rPr>
          <w:lang w:val="en-GB"/>
        </w:rPr>
        <w:t>and Hull reformulation</w:t>
      </w:r>
      <w:r w:rsidR="00E6492F">
        <w:rPr>
          <w:lang w:val="en-GB"/>
        </w:rPr>
        <w:t>,</w:t>
      </w:r>
      <w:r w:rsidR="00015BFC">
        <w:rPr>
          <w:lang w:val="en-GB"/>
        </w:rPr>
        <w:t xml:space="preserve"> are </w:t>
      </w:r>
      <w:r w:rsidR="005B2C88">
        <w:rPr>
          <w:lang w:val="en-GB"/>
        </w:rPr>
        <w:t xml:space="preserve">discussed and </w:t>
      </w:r>
      <w:r w:rsidR="00015BFC">
        <w:rPr>
          <w:lang w:val="en-GB"/>
        </w:rPr>
        <w:t>compared</w:t>
      </w:r>
      <w:r w:rsidR="005B2C88">
        <w:rPr>
          <w:lang w:val="en-GB"/>
        </w:rPr>
        <w:t xml:space="preserve"> in terms of </w:t>
      </w:r>
      <w:r w:rsidR="0056082E">
        <w:rPr>
          <w:lang w:val="en-GB"/>
        </w:rPr>
        <w:t xml:space="preserve">their </w:t>
      </w:r>
      <w:r w:rsidR="00BD4035">
        <w:rPr>
          <w:lang w:val="en-GB"/>
        </w:rPr>
        <w:t xml:space="preserve">efficiency </w:t>
      </w:r>
      <w:r w:rsidR="00B153B6">
        <w:rPr>
          <w:lang w:val="en-GB"/>
        </w:rPr>
        <w:t>based on</w:t>
      </w:r>
      <w:r w:rsidR="001F50FC" w:rsidRPr="001F50FC">
        <w:rPr>
          <w:lang w:val="en-GB"/>
        </w:rPr>
        <w:t xml:space="preserve"> </w:t>
      </w:r>
      <w:r w:rsidR="009561D8">
        <w:rPr>
          <w:lang w:val="en-GB"/>
        </w:rPr>
        <w:t xml:space="preserve">the </w:t>
      </w:r>
      <w:r w:rsidR="001F50FC" w:rsidRPr="001F50FC">
        <w:rPr>
          <w:lang w:val="en-GB"/>
        </w:rPr>
        <w:t>results of numerical studies</w:t>
      </w:r>
      <w:r w:rsidR="00621E0D">
        <w:rPr>
          <w:lang w:val="en-GB"/>
        </w:rPr>
        <w:t>.</w:t>
      </w:r>
      <w:r w:rsidR="00852E00">
        <w:rPr>
          <w:lang w:val="en-GB"/>
        </w:rPr>
        <w:t xml:space="preserve"> </w:t>
      </w:r>
      <w:r w:rsidR="00307EA8">
        <w:rPr>
          <w:lang w:val="en-GB"/>
        </w:rPr>
        <w:t xml:space="preserve"> </w:t>
      </w:r>
      <w:r w:rsidR="0095778E">
        <w:rPr>
          <w:lang w:val="en-GB"/>
        </w:rPr>
        <w:t xml:space="preserve"> </w:t>
      </w:r>
    </w:p>
    <w:p w14:paraId="5F911482" w14:textId="651E1A17" w:rsidR="0092494D" w:rsidRDefault="008D2649" w:rsidP="008D2649">
      <w:pPr>
        <w:pStyle w:val="Els-body-text"/>
        <w:spacing w:after="120"/>
        <w:rPr>
          <w:lang w:val="en-GB"/>
        </w:rPr>
      </w:pPr>
      <w:r>
        <w:rPr>
          <w:b/>
          <w:bCs/>
          <w:lang w:val="en-GB"/>
        </w:rPr>
        <w:t>Keywords</w:t>
      </w:r>
      <w:r>
        <w:rPr>
          <w:lang w:val="en-GB"/>
        </w:rPr>
        <w:t xml:space="preserve">: </w:t>
      </w:r>
      <w:r w:rsidR="008A27AF">
        <w:rPr>
          <w:lang w:val="en-GB"/>
        </w:rPr>
        <w:t>Generalized Disjunctive Programming, Mixed-</w:t>
      </w:r>
      <w:r w:rsidR="007351C3">
        <w:rPr>
          <w:lang w:val="en-GB"/>
        </w:rPr>
        <w:t>I</w:t>
      </w:r>
      <w:r w:rsidR="008A27AF">
        <w:rPr>
          <w:lang w:val="en-GB"/>
        </w:rPr>
        <w:t xml:space="preserve">nteger </w:t>
      </w:r>
      <w:r w:rsidR="007351C3">
        <w:rPr>
          <w:lang w:val="en-GB"/>
        </w:rPr>
        <w:t>N</w:t>
      </w:r>
      <w:r w:rsidR="008A27AF">
        <w:rPr>
          <w:lang w:val="en-GB"/>
        </w:rPr>
        <w:t xml:space="preserve">onlinear </w:t>
      </w:r>
      <w:r w:rsidR="007351C3">
        <w:rPr>
          <w:lang w:val="en-GB"/>
        </w:rPr>
        <w:t>P</w:t>
      </w:r>
      <w:r w:rsidR="008A27AF">
        <w:rPr>
          <w:lang w:val="en-GB"/>
        </w:rPr>
        <w:t xml:space="preserve">rogramming, </w:t>
      </w:r>
      <w:r w:rsidR="005641D7">
        <w:rPr>
          <w:lang w:val="en-GB"/>
        </w:rPr>
        <w:t>Continu</w:t>
      </w:r>
      <w:r w:rsidR="0061170D">
        <w:rPr>
          <w:lang w:val="en-GB"/>
        </w:rPr>
        <w:t>ous Relaxation, Hull Reformulation, Big-M</w:t>
      </w:r>
      <w:r>
        <w:rPr>
          <w:lang w:val="en-GB"/>
        </w:rPr>
        <w:t>.</w:t>
      </w:r>
    </w:p>
    <w:p w14:paraId="144DE689" w14:textId="0B2BB318" w:rsidR="008D2649" w:rsidRDefault="0092494D" w:rsidP="008D2649">
      <w:pPr>
        <w:pStyle w:val="Els-1storder-head"/>
      </w:pPr>
      <w:r>
        <w:t>Introduction</w:t>
      </w:r>
    </w:p>
    <w:p w14:paraId="5D755E59" w14:textId="29C6726A" w:rsidR="00645CFB" w:rsidRDefault="00570E42" w:rsidP="00A30E00">
      <w:pPr>
        <w:jc w:val="both"/>
      </w:pPr>
      <w:r w:rsidRPr="00570E42">
        <w:t xml:space="preserve">This </w:t>
      </w:r>
      <w:r w:rsidR="007A69B0">
        <w:t>Generalized Disjunctive Programming (GDP)</w:t>
      </w:r>
      <w:r w:rsidRPr="00570E42">
        <w:t xml:space="preserve"> paradigm finds applications in various fields</w:t>
      </w:r>
      <w:r w:rsidR="00E266BE">
        <w:t xml:space="preserve"> of engineering</w:t>
      </w:r>
      <w:r w:rsidRPr="00570E42">
        <w:t xml:space="preserve"> where decision</w:t>
      </w:r>
      <w:r w:rsidR="00E83382">
        <w:t>s</w:t>
      </w:r>
      <w:r w:rsidRPr="00570E42">
        <w:t xml:space="preserve"> </w:t>
      </w:r>
      <w:r w:rsidR="00B149D9">
        <w:t>involve</w:t>
      </w:r>
      <w:r w:rsidRPr="00570E42">
        <w:t xml:space="preserve"> </w:t>
      </w:r>
      <w:r w:rsidR="005025B5">
        <w:t xml:space="preserve">simultaneous </w:t>
      </w:r>
      <w:r w:rsidR="00E83382">
        <w:t>continuous</w:t>
      </w:r>
      <w:r w:rsidRPr="00570E42">
        <w:t xml:space="preserve"> and discrete interactions.</w:t>
      </w:r>
      <w:r w:rsidR="0077382F">
        <w:t xml:space="preserve"> </w:t>
      </w:r>
      <w:r w:rsidR="00E80944">
        <w:t>It was</w:t>
      </w:r>
      <w:r w:rsidR="00E80944" w:rsidRPr="00E80944">
        <w:t xml:space="preserve"> introduced as an alternative representation of the Mixed-Integer Nonlinear Programming (MINLP) model</w:t>
      </w:r>
      <w:r w:rsidR="00E80944">
        <w:t xml:space="preserve"> </w:t>
      </w:r>
      <w:r w:rsidR="00E80944" w:rsidRPr="00E80944">
        <w:t>(</w:t>
      </w:r>
      <w:r w:rsidR="00D25D69">
        <w:t>T</w:t>
      </w:r>
      <w:r w:rsidR="00D87D01" w:rsidRPr="00D87D01">
        <w:t>ü</w:t>
      </w:r>
      <w:r w:rsidR="00D25D69">
        <w:t>rkay and Grossmann</w:t>
      </w:r>
      <w:r w:rsidR="002428D3">
        <w:t xml:space="preserve">, 1996; </w:t>
      </w:r>
      <w:r w:rsidR="00E80944" w:rsidRPr="00E80944">
        <w:t>Lee &amp; Grossmann, 2000</w:t>
      </w:r>
      <w:r w:rsidR="00A2215C">
        <w:t>; Grossmann and Lee,</w:t>
      </w:r>
      <w:r w:rsidR="00E80944" w:rsidRPr="00E80944">
        <w:t xml:space="preserve"> 2003).</w:t>
      </w:r>
      <w:r w:rsidR="0090387E">
        <w:t xml:space="preserve"> </w:t>
      </w:r>
      <w:r w:rsidR="00E80944" w:rsidRPr="00E80944">
        <w:t>Although the GDP framework provides a higher-level representation of the relationships between the discrete and continuous aspects of a model, solving these models directly is not straightforward.</w:t>
      </w:r>
      <w:r w:rsidR="00634027">
        <w:t xml:space="preserve"> </w:t>
      </w:r>
      <w:r w:rsidR="00A30E00">
        <w:t xml:space="preserve">Commonly, a reformulation of GDP into its MINLP counterpart is used. </w:t>
      </w:r>
      <w:r w:rsidR="006E024F">
        <w:t xml:space="preserve">This can </w:t>
      </w:r>
      <w:r w:rsidR="00025AF5">
        <w:t>be achieved</w:t>
      </w:r>
      <w:r w:rsidR="006E024F">
        <w:t xml:space="preserve"> by either </w:t>
      </w:r>
      <w:r w:rsidR="001276DC">
        <w:t xml:space="preserve">the </w:t>
      </w:r>
      <w:r w:rsidR="006E024F">
        <w:t>Big-M reformulation</w:t>
      </w:r>
      <w:r w:rsidR="00E7000B">
        <w:t xml:space="preserve"> (BMR)</w:t>
      </w:r>
      <w:r w:rsidR="00025AF5">
        <w:t xml:space="preserve"> or Hull Reformulation (HR). </w:t>
      </w:r>
      <w:r w:rsidR="00A30E00">
        <w:t xml:space="preserve">The </w:t>
      </w:r>
      <w:r w:rsidR="00543D95">
        <w:t>lat</w:t>
      </w:r>
      <w:r w:rsidR="00463A98">
        <w:t>t</w:t>
      </w:r>
      <w:r w:rsidR="00543D95">
        <w:t>er</w:t>
      </w:r>
      <w:r w:rsidR="00A30E00">
        <w:t xml:space="preserve"> </w:t>
      </w:r>
      <w:r w:rsidR="00B244AB">
        <w:t xml:space="preserve">generally </w:t>
      </w:r>
      <w:r w:rsidR="00A30E00">
        <w:t xml:space="preserve">provides </w:t>
      </w:r>
      <w:r w:rsidR="00B244AB">
        <w:t>tighter</w:t>
      </w:r>
      <w:r w:rsidR="00A30E00">
        <w:t xml:space="preserve"> continuous relaxation of the obtained MINLP (Lee </w:t>
      </w:r>
      <w:r w:rsidR="00424F80">
        <w:t>and</w:t>
      </w:r>
      <w:r w:rsidR="00A30E00">
        <w:t xml:space="preserve"> Grossman</w:t>
      </w:r>
      <w:r w:rsidR="00BC087B">
        <w:t>n</w:t>
      </w:r>
      <w:r w:rsidR="00A30E00">
        <w:t>, 2000)</w:t>
      </w:r>
      <w:r w:rsidR="00463A98">
        <w:t>; however,</w:t>
      </w:r>
      <w:r w:rsidR="000B3570">
        <w:t xml:space="preserve"> at an expense of </w:t>
      </w:r>
      <w:r w:rsidR="00136746">
        <w:t>increased model size</w:t>
      </w:r>
      <w:r w:rsidR="00A30E00">
        <w:t xml:space="preserve">. </w:t>
      </w:r>
      <w:r w:rsidR="00B244AB">
        <w:t>In addition</w:t>
      </w:r>
      <w:r w:rsidR="00A30E00">
        <w:t>, if a constraint</w:t>
      </w:r>
      <w:r w:rsidR="0039114E">
        <w:t xml:space="preserve"> </w:t>
      </w:r>
      <w:r w:rsidR="0039114E">
        <w:rPr>
          <w:i/>
          <w:iCs/>
        </w:rPr>
        <w:t>r</w:t>
      </w:r>
      <w:r w:rsidR="0039114E">
        <w:t>(</w:t>
      </w:r>
      <w:r w:rsidR="00301FE2" w:rsidRPr="00301FE2">
        <w:rPr>
          <w:i/>
          <w:iCs/>
        </w:rPr>
        <w:t>x</w:t>
      </w:r>
      <w:r w:rsidR="0039114E">
        <w:t xml:space="preserve">) </w:t>
      </w:r>
      <w:r w:rsidR="00DD4404">
        <w:t xml:space="preserve">≤ 0 </w:t>
      </w:r>
      <w:r w:rsidR="00E81BB3">
        <w:t>in a</w:t>
      </w:r>
      <w:r w:rsidR="0039114E">
        <w:t xml:space="preserve"> disjunction of a </w:t>
      </w:r>
      <w:r w:rsidR="00A30E00">
        <w:t xml:space="preserve">GDP is nonlinear, it requires the introduction of the perspective function </w:t>
      </w:r>
      <w:proofErr w:type="spellStart"/>
      <w:r w:rsidR="00AD57F8" w:rsidRPr="0015174E">
        <w:rPr>
          <w:i/>
          <w:iCs/>
        </w:rPr>
        <w:t>y</w:t>
      </w:r>
      <w:r w:rsidR="00DD4404">
        <w:rPr>
          <w:i/>
          <w:iCs/>
        </w:rPr>
        <w:t>r</w:t>
      </w:r>
      <w:proofErr w:type="spellEnd"/>
      <w:r w:rsidR="0015174E">
        <w:t>(</w:t>
      </w:r>
      <w:r w:rsidR="0015174E" w:rsidRPr="00DD4404">
        <w:rPr>
          <w:i/>
          <w:iCs/>
        </w:rPr>
        <w:t>x</w:t>
      </w:r>
      <w:r w:rsidR="0015174E">
        <w:t>/</w:t>
      </w:r>
      <w:r w:rsidR="0015174E" w:rsidRPr="0015174E">
        <w:rPr>
          <w:i/>
          <w:iCs/>
        </w:rPr>
        <w:t>y</w:t>
      </w:r>
      <w:r w:rsidR="0015174E">
        <w:t>)</w:t>
      </w:r>
      <w:r w:rsidR="00C1000B">
        <w:t>,</w:t>
      </w:r>
      <w:r w:rsidR="00A30E00">
        <w:t xml:space="preserve"> </w:t>
      </w:r>
      <w:r w:rsidR="00E81BB3">
        <w:t xml:space="preserve">where </w:t>
      </w:r>
      <w:r w:rsidR="00E81BB3" w:rsidRPr="00F31CEC">
        <w:rPr>
          <w:i/>
          <w:iCs/>
        </w:rPr>
        <w:t>y</w:t>
      </w:r>
      <w:r w:rsidR="00E81BB3">
        <w:t xml:space="preserve"> is a binary variable</w:t>
      </w:r>
      <w:r w:rsidR="00C1000B">
        <w:t>,</w:t>
      </w:r>
      <w:r w:rsidR="00F31CEC">
        <w:t xml:space="preserve"> </w:t>
      </w:r>
      <w:r w:rsidR="00A30E00">
        <w:t>or its numerically more stable approximation</w:t>
      </w:r>
      <w:r w:rsidR="00273314">
        <w:t>,</w:t>
      </w:r>
      <w:r w:rsidR="00F31CEC">
        <w:t xml:space="preserve"> Eq.</w:t>
      </w:r>
      <w:r w:rsidR="00645CFB">
        <w:t xml:space="preserve"> </w:t>
      </w:r>
      <w:r w:rsidR="00F31CEC">
        <w:t>1</w:t>
      </w:r>
      <w:r w:rsidR="00273314">
        <w:t>,</w:t>
      </w:r>
      <w:r w:rsidR="00645CFB">
        <w:t xml:space="preserve"> (Sawaya and Grossmann, 2007).</w:t>
      </w:r>
      <w:r w:rsidR="00D90A97">
        <w:t xml:space="preserve"> </w:t>
      </w:r>
      <w:r w:rsidR="0025388C">
        <w:t xml:space="preserve"> </w:t>
      </w:r>
    </w:p>
    <w:p w14:paraId="24380D85" w14:textId="545E3D54" w:rsidR="00645CFB" w:rsidRPr="008D2703" w:rsidRDefault="00616604" w:rsidP="008D2703">
      <w:pPr>
        <w:pStyle w:val="Els-equation"/>
        <w:rPr>
          <w:i w:val="0"/>
          <w:iCs/>
        </w:rPr>
      </w:pPr>
      <w:r w:rsidRPr="0060457C">
        <w:rPr>
          <w:position w:val="-14"/>
        </w:rPr>
        <w:object w:dxaOrig="4920" w:dyaOrig="380" w14:anchorId="7FA5D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1pt;height:18.8pt" o:ole="">
            <v:imagedata r:id="rId8" o:title=""/>
          </v:shape>
          <o:OLEObject Type="Embed" ProgID="Equation.DSMT4" ShapeID="_x0000_i1025" DrawAspect="Content" ObjectID="_1762672685" r:id="rId9"/>
        </w:object>
      </w:r>
      <w:r>
        <w:t xml:space="preserve"> </w:t>
      </w:r>
      <w:r w:rsidR="008D2703">
        <w:rPr>
          <w:i w:val="0"/>
          <w:iCs/>
        </w:rPr>
        <w:tab/>
      </w:r>
      <w:r>
        <w:t xml:space="preserve"> </w:t>
      </w:r>
      <w:r w:rsidRPr="008D2703">
        <w:rPr>
          <w:i w:val="0"/>
          <w:iCs/>
        </w:rPr>
        <w:t>(1)</w:t>
      </w:r>
    </w:p>
    <w:p w14:paraId="45BA6388" w14:textId="1EE1D4ED" w:rsidR="008674BF" w:rsidRDefault="00A30E00" w:rsidP="00A30E00">
      <w:pPr>
        <w:jc w:val="both"/>
      </w:pPr>
      <w:r>
        <w:t xml:space="preserve">One of the downsides is that either of the </w:t>
      </w:r>
      <w:r w:rsidR="00136746">
        <w:t xml:space="preserve">perspective function </w:t>
      </w:r>
      <w:r>
        <w:t>formulations introduces additional nonlinear terms for each linear term originally present in</w:t>
      </w:r>
      <w:r w:rsidR="00FB5035">
        <w:t xml:space="preserve"> </w:t>
      </w:r>
      <w:r w:rsidR="00FB5035">
        <w:rPr>
          <w:i/>
          <w:iCs/>
        </w:rPr>
        <w:t>r</w:t>
      </w:r>
      <w:r w:rsidR="00FB5035">
        <w:t>(</w:t>
      </w:r>
      <w:r w:rsidR="00FB5035" w:rsidRPr="00301FE2">
        <w:rPr>
          <w:i/>
          <w:iCs/>
        </w:rPr>
        <w:t>x</w:t>
      </w:r>
      <w:r w:rsidR="00FB5035">
        <w:t>)</w:t>
      </w:r>
      <w:r>
        <w:t>.</w:t>
      </w:r>
      <w:r w:rsidR="00C90AE0">
        <w:t xml:space="preserve"> </w:t>
      </w:r>
      <w:r>
        <w:t xml:space="preserve">To avoid this, Bogataj </w:t>
      </w:r>
      <w:r w:rsidR="00FB5035">
        <w:t>and</w:t>
      </w:r>
      <w:r>
        <w:t xml:space="preserve"> Kravanja (2018) introduced </w:t>
      </w:r>
      <w:r w:rsidR="00C90AE0">
        <w:t>a</w:t>
      </w:r>
      <w:r>
        <w:t xml:space="preserve"> reformulation that preserves the nonlinear functions in </w:t>
      </w:r>
      <w:r w:rsidR="00192F13">
        <w:t>their</w:t>
      </w:r>
      <w:r>
        <w:t xml:space="preserve"> original form. The reformulation is based on the translation of variables </w:t>
      </w:r>
      <w:r>
        <w:lastRenderedPageBreak/>
        <w:t xml:space="preserve">introduced by </w:t>
      </w:r>
      <w:proofErr w:type="spellStart"/>
      <w:r>
        <w:t>Ropotar</w:t>
      </w:r>
      <w:proofErr w:type="spellEnd"/>
      <w:r>
        <w:t xml:space="preserve"> and Kravanja (2009). </w:t>
      </w:r>
      <w:r w:rsidRPr="008D6F1F">
        <w:t xml:space="preserve">So far, however, the continuous relaxations obtained by </w:t>
      </w:r>
      <w:r w:rsidR="00B06C1A">
        <w:t>HR</w:t>
      </w:r>
      <w:r w:rsidRPr="008D6F1F">
        <w:t xml:space="preserve"> have generally been</w:t>
      </w:r>
      <w:r>
        <w:t xml:space="preserve"> tighter.   </w:t>
      </w:r>
    </w:p>
    <w:p w14:paraId="37CF98FD" w14:textId="3A2489E5" w:rsidR="0092494D" w:rsidRPr="00A30E00" w:rsidRDefault="008674BF" w:rsidP="00424F80">
      <w:pPr>
        <w:jc w:val="both"/>
      </w:pPr>
      <w:r>
        <w:t>In this work</w:t>
      </w:r>
      <w:r w:rsidR="00600514">
        <w:t xml:space="preserve"> we focus on </w:t>
      </w:r>
      <w:r w:rsidR="00C06647">
        <w:t>reformulation of nonlinear GDPs that contain problematic functions</w:t>
      </w:r>
      <w:r w:rsidR="002776CD">
        <w:t xml:space="preserve"> that are undefined either </w:t>
      </w:r>
      <w:r w:rsidR="00477CC2">
        <w:t xml:space="preserve">at </w:t>
      </w:r>
      <w:r w:rsidR="002776CD">
        <w:t xml:space="preserve">a single point or over a larger part of the domain of global variables. </w:t>
      </w:r>
      <w:r w:rsidR="0079497F">
        <w:t xml:space="preserve">The most common examples of such functions in engineering are logarithmic and </w:t>
      </w:r>
      <w:r w:rsidR="00B638E5">
        <w:t>rational functions, the simples being 1/</w:t>
      </w:r>
      <w:r w:rsidR="00B638E5" w:rsidRPr="00B638E5">
        <w:rPr>
          <w:i/>
          <w:iCs/>
        </w:rPr>
        <w:t>x</w:t>
      </w:r>
      <w:r w:rsidR="0079497F">
        <w:t>.</w:t>
      </w:r>
      <w:r w:rsidR="00C06647">
        <w:t xml:space="preserve"> </w:t>
      </w:r>
      <w:r>
        <w:t xml:space="preserve"> </w:t>
      </w:r>
      <w:r w:rsidR="00A30E00">
        <w:t xml:space="preserve">      </w:t>
      </w:r>
    </w:p>
    <w:p w14:paraId="02C2C66D" w14:textId="7C5A0AD1" w:rsidR="0092494D" w:rsidRDefault="0092494D" w:rsidP="0092494D">
      <w:pPr>
        <w:pStyle w:val="Els-1storder-head"/>
      </w:pPr>
      <w:r>
        <w:t>Proposed reformulation</w:t>
      </w:r>
    </w:p>
    <w:p w14:paraId="2CFC8F32" w14:textId="028C2B57" w:rsidR="00AB7580" w:rsidRDefault="00BB49BC" w:rsidP="00BB49BC">
      <w:pPr>
        <w:pStyle w:val="Els-body-text"/>
      </w:pPr>
      <w:r>
        <w:t xml:space="preserve">The proposed GDP to MINLP reformulation addresses three goals. The first goal is to provide a reformulation that avoids numerical difficulties that arise when one or more constraints in the disjunctive terms are undefined at a particular point or over a larger part of the domain of global variables. The second goal is to provide a reformulation that preserves the form of the </w:t>
      </w:r>
      <w:r w:rsidR="004F0D9A">
        <w:t xml:space="preserve">local </w:t>
      </w:r>
      <w:r>
        <w:t xml:space="preserve">constraints. The third and final goal is to provide a reformulation that guarantees a tight continuous relaxation of the resulting MINLP. To keep the derivation </w:t>
      </w:r>
      <w:r w:rsidR="005E05AF">
        <w:t>short</w:t>
      </w:r>
      <w:r>
        <w:t xml:space="preserve">, </w:t>
      </w:r>
      <w:r w:rsidR="005E05AF">
        <w:t xml:space="preserve">let us </w:t>
      </w:r>
      <w:r>
        <w:t xml:space="preserve">consider the following </w:t>
      </w:r>
      <w:r w:rsidR="00AB7580">
        <w:t>problem (GDP)</w:t>
      </w:r>
      <w:r w:rsidR="00736A6B">
        <w:t>, which</w:t>
      </w:r>
      <w:r w:rsidR="0033206F">
        <w:t xml:space="preserve"> </w:t>
      </w:r>
      <w:r w:rsidR="00736A6B">
        <w:t>consists</w:t>
      </w:r>
      <w:r w:rsidR="0033206F">
        <w:t xml:space="preserve"> of an objective function </w:t>
      </w:r>
      <w:r w:rsidR="0033206F" w:rsidRPr="003B502C">
        <w:rPr>
          <w:i/>
          <w:iCs/>
        </w:rPr>
        <w:t>f</w:t>
      </w:r>
      <w:r w:rsidR="0033206F">
        <w:t>(</w:t>
      </w:r>
      <w:r w:rsidR="0033206F" w:rsidRPr="003B502C">
        <w:rPr>
          <w:b/>
          <w:bCs/>
        </w:rPr>
        <w:t>x</w:t>
      </w:r>
      <w:r w:rsidR="0033206F">
        <w:t xml:space="preserve">), </w:t>
      </w:r>
      <w:r w:rsidR="000926BD">
        <w:t xml:space="preserve">a </w:t>
      </w:r>
      <w:r w:rsidR="003B502C">
        <w:t xml:space="preserve">global constraint </w:t>
      </w:r>
      <w:r w:rsidR="003B502C" w:rsidRPr="003B502C">
        <w:rPr>
          <w:i/>
          <w:iCs/>
        </w:rPr>
        <w:t>g</w:t>
      </w:r>
      <w:r w:rsidR="003B502C">
        <w:t>(</w:t>
      </w:r>
      <w:r w:rsidR="003B502C" w:rsidRPr="003B502C">
        <w:rPr>
          <w:b/>
          <w:bCs/>
        </w:rPr>
        <w:t>x</w:t>
      </w:r>
      <w:r w:rsidR="003B502C">
        <w:t>) and a disjunction</w:t>
      </w:r>
      <w:r w:rsidR="00412031">
        <w:t xml:space="preserve"> with two terms</w:t>
      </w:r>
      <w:r w:rsidR="003B502C">
        <w:t xml:space="preserve"> containing local constraints </w:t>
      </w:r>
      <w:r w:rsidR="003B502C" w:rsidRPr="003B502C">
        <w:rPr>
          <w:i/>
          <w:iCs/>
        </w:rPr>
        <w:t>r</w:t>
      </w:r>
      <w:r w:rsidR="003B502C" w:rsidRPr="003B502C">
        <w:rPr>
          <w:vertAlign w:val="subscript"/>
        </w:rPr>
        <w:t>1</w:t>
      </w:r>
      <w:r w:rsidR="003B502C">
        <w:t>(</w:t>
      </w:r>
      <w:r w:rsidR="003B502C" w:rsidRPr="003B502C">
        <w:rPr>
          <w:b/>
          <w:bCs/>
        </w:rPr>
        <w:t>x</w:t>
      </w:r>
      <w:r w:rsidR="003B502C">
        <w:t xml:space="preserve">) and </w:t>
      </w:r>
      <w:r w:rsidR="003B502C" w:rsidRPr="003B502C">
        <w:rPr>
          <w:i/>
          <w:iCs/>
        </w:rPr>
        <w:t>r</w:t>
      </w:r>
      <w:r w:rsidR="003B502C" w:rsidRPr="003B502C">
        <w:rPr>
          <w:vertAlign w:val="subscript"/>
        </w:rPr>
        <w:t>2</w:t>
      </w:r>
      <w:r w:rsidR="003B502C">
        <w:t>(</w:t>
      </w:r>
      <w:r w:rsidR="003B502C" w:rsidRPr="003B502C">
        <w:rPr>
          <w:b/>
          <w:bCs/>
        </w:rPr>
        <w:t>x</w:t>
      </w:r>
      <w:r w:rsidR="003B502C">
        <w:t>)</w:t>
      </w:r>
      <w:r w:rsidR="00AB7580">
        <w:t>.</w:t>
      </w:r>
    </w:p>
    <w:p w14:paraId="0AF3C8B9" w14:textId="737F03E3" w:rsidR="00BB49BC" w:rsidRPr="000A1210" w:rsidRDefault="00865387" w:rsidP="000A1210">
      <w:pPr>
        <w:pStyle w:val="Els-equation"/>
        <w:rPr>
          <w:i w:val="0"/>
          <w:iCs/>
        </w:rPr>
      </w:pPr>
      <w:r w:rsidRPr="00865387">
        <w:rPr>
          <w:position w:val="-102"/>
        </w:rPr>
        <w:object w:dxaOrig="4020" w:dyaOrig="1760" w14:anchorId="3890B896">
          <v:shape id="_x0000_i1040" type="#_x0000_t75" style="width:200.95pt;height:87.6pt" o:ole="">
            <v:imagedata r:id="rId10" o:title=""/>
          </v:shape>
          <o:OLEObject Type="Embed" ProgID="Equation.DSMT4" ShapeID="_x0000_i1040" DrawAspect="Content" ObjectID="_1762672686" r:id="rId11"/>
        </w:object>
      </w:r>
      <w:r w:rsidR="000A1210">
        <w:tab/>
      </w:r>
      <w:r w:rsidR="009B6911" w:rsidRPr="000A1210">
        <w:rPr>
          <w:i w:val="0"/>
          <w:iCs/>
        </w:rPr>
        <w:t>(GDP)</w:t>
      </w:r>
    </w:p>
    <w:p w14:paraId="6088D44E" w14:textId="489C4B02" w:rsidR="00D93247" w:rsidRDefault="001332B9" w:rsidP="00BB49BC">
      <w:pPr>
        <w:pStyle w:val="Els-body-text"/>
      </w:pPr>
      <w:r>
        <w:t xml:space="preserve">The proposed </w:t>
      </w:r>
      <w:r w:rsidR="00707D72">
        <w:t>M</w:t>
      </w:r>
      <w:r w:rsidR="007C3459">
        <w:t>ixed-</w:t>
      </w:r>
      <w:r w:rsidR="00707D72">
        <w:t>I</w:t>
      </w:r>
      <w:r w:rsidR="007C3459">
        <w:t xml:space="preserve">nteger </w:t>
      </w:r>
      <w:r w:rsidR="00707D72">
        <w:t>R</w:t>
      </w:r>
      <w:r>
        <w:t>eformulation</w:t>
      </w:r>
      <w:r w:rsidR="007C3459">
        <w:t xml:space="preserve"> (MIR)</w:t>
      </w:r>
      <w:r>
        <w:t xml:space="preserve"> </w:t>
      </w:r>
      <w:r w:rsidR="00741F9E">
        <w:t>follow</w:t>
      </w:r>
      <w:r w:rsidR="006D0C38">
        <w:t>s</w:t>
      </w:r>
      <w:r w:rsidR="00684CAF">
        <w:t xml:space="preserve"> </w:t>
      </w:r>
      <w:r w:rsidR="00B26B98">
        <w:t xml:space="preserve">the </w:t>
      </w:r>
      <w:r w:rsidR="00FA0FBE">
        <w:t xml:space="preserve">general </w:t>
      </w:r>
      <w:r w:rsidR="00B26B98">
        <w:t xml:space="preserve">idea of </w:t>
      </w:r>
      <w:r w:rsidR="008D6F41">
        <w:t>HR</w:t>
      </w:r>
      <w:r w:rsidR="009D11EC">
        <w:t>.</w:t>
      </w:r>
      <w:r w:rsidR="006D0C38">
        <w:t xml:space="preserve"> </w:t>
      </w:r>
      <w:r w:rsidR="009D11EC">
        <w:t>H</w:t>
      </w:r>
      <w:r w:rsidR="006D0C38">
        <w:t>owever,</w:t>
      </w:r>
      <w:r w:rsidR="008D6F41">
        <w:t xml:space="preserve"> </w:t>
      </w:r>
      <w:r w:rsidR="006D0C38">
        <w:t>three</w:t>
      </w:r>
      <w:r w:rsidR="008D6F41">
        <w:t xml:space="preserve"> major exceptions</w:t>
      </w:r>
      <w:r w:rsidR="00B26B98">
        <w:t xml:space="preserve"> are noticeable</w:t>
      </w:r>
      <w:r w:rsidR="008D6F41">
        <w:t>. First</w:t>
      </w:r>
      <w:r w:rsidR="006D0C38">
        <w:t>,</w:t>
      </w:r>
      <w:r w:rsidR="008D6F41">
        <w:t xml:space="preserve"> the local constraints are expressed with disaggregated variables</w:t>
      </w:r>
      <w:r w:rsidR="00147705">
        <w:t xml:space="preserve"> </w:t>
      </w:r>
      <w:proofErr w:type="spellStart"/>
      <w:r w:rsidR="00BF09C4" w:rsidRPr="00BF09C4">
        <w:rPr>
          <w:b/>
          <w:bCs/>
        </w:rPr>
        <w:t>x</w:t>
      </w:r>
      <w:r w:rsidR="00BF09C4" w:rsidRPr="00BF09C4">
        <w:rPr>
          <w:vertAlign w:val="superscript"/>
        </w:rPr>
        <w:t>D</w:t>
      </w:r>
      <w:proofErr w:type="spellEnd"/>
      <w:r w:rsidR="008D6F41">
        <w:t xml:space="preserve"> </w:t>
      </w:r>
      <w:r w:rsidR="008B1528">
        <w:t xml:space="preserve">without the use of the perspective function. </w:t>
      </w:r>
      <w:r w:rsidR="00837DE5">
        <w:t>Second</w:t>
      </w:r>
      <w:r w:rsidR="00B06283">
        <w:t>,</w:t>
      </w:r>
      <w:r w:rsidR="00837DE5">
        <w:t xml:space="preserve"> the bounding constraints on disaggregated variables</w:t>
      </w:r>
      <w:r w:rsidR="00EB411F">
        <w:t xml:space="preserve"> (</w:t>
      </w:r>
      <w:proofErr w:type="spellStart"/>
      <w:r w:rsidR="00EB411F">
        <w:t>E</w:t>
      </w:r>
      <w:r w:rsidR="00476DA8">
        <w:t>qs</w:t>
      </w:r>
      <w:proofErr w:type="spellEnd"/>
      <w:r w:rsidR="00476DA8">
        <w:t>. 2–3</w:t>
      </w:r>
      <w:r w:rsidR="00EB411F">
        <w:t>)</w:t>
      </w:r>
      <w:r w:rsidR="00837DE5">
        <w:t xml:space="preserve"> </w:t>
      </w:r>
      <w:r w:rsidR="00496D22">
        <w:t xml:space="preserve">are augmented to </w:t>
      </w:r>
      <w:r w:rsidR="00B06283">
        <w:t>fix disag</w:t>
      </w:r>
      <w:r w:rsidR="008234B6">
        <w:t>g</w:t>
      </w:r>
      <w:r w:rsidR="00B06283">
        <w:t xml:space="preserve">regated variables to </w:t>
      </w:r>
      <w:r w:rsidR="00C70EE2">
        <w:t xml:space="preserve">predetermined </w:t>
      </w:r>
      <w:r w:rsidR="00B06283">
        <w:t>non</w:t>
      </w:r>
      <w:r w:rsidR="00332D4D">
        <w:t>-</w:t>
      </w:r>
      <w:r w:rsidR="00B06283">
        <w:t xml:space="preserve">zero values </w:t>
      </w:r>
      <w:proofErr w:type="spellStart"/>
      <w:r w:rsidR="00B06283" w:rsidRPr="00BF09C4">
        <w:rPr>
          <w:b/>
          <w:bCs/>
        </w:rPr>
        <w:t>x</w:t>
      </w:r>
      <w:r w:rsidR="00B06283" w:rsidRPr="008234B6">
        <w:rPr>
          <w:vertAlign w:val="superscript"/>
        </w:rPr>
        <w:t>F</w:t>
      </w:r>
      <w:proofErr w:type="spellEnd"/>
      <w:r w:rsidR="00B06283">
        <w:t xml:space="preserve"> if </w:t>
      </w:r>
      <w:proofErr w:type="spellStart"/>
      <w:r w:rsidR="007160DB" w:rsidRPr="007160DB">
        <w:rPr>
          <w:i/>
          <w:iCs/>
        </w:rPr>
        <w:t>y</w:t>
      </w:r>
      <w:r w:rsidR="003C0754" w:rsidRPr="00C70EE2">
        <w:rPr>
          <w:i/>
          <w:iCs/>
          <w:vertAlign w:val="subscript"/>
        </w:rPr>
        <w:t>j</w:t>
      </w:r>
      <w:proofErr w:type="spellEnd"/>
      <w:r w:rsidR="00B06283" w:rsidRPr="00C70EE2">
        <w:rPr>
          <w:vertAlign w:val="subscript"/>
        </w:rPr>
        <w:t xml:space="preserve"> </w:t>
      </w:r>
      <w:r w:rsidR="00B06283">
        <w:t>=</w:t>
      </w:r>
      <w:r w:rsidR="007160DB">
        <w:t xml:space="preserve"> </w:t>
      </w:r>
      <w:proofErr w:type="gramStart"/>
      <w:r w:rsidR="00B06283">
        <w:t>0</w:t>
      </w:r>
      <w:r w:rsidR="007160DB">
        <w:t xml:space="preserve">, </w:t>
      </w:r>
      <w:r w:rsidR="00B06283">
        <w:t>and</w:t>
      </w:r>
      <w:proofErr w:type="gramEnd"/>
      <w:r w:rsidR="00B06283">
        <w:t xml:space="preserve"> </w:t>
      </w:r>
      <w:r w:rsidR="00496D22">
        <w:t xml:space="preserve">allow </w:t>
      </w:r>
      <w:r w:rsidR="00C70EE2">
        <w:t>them</w:t>
      </w:r>
      <w:r w:rsidR="00496D22">
        <w:t xml:space="preserve"> to take any value between </w:t>
      </w:r>
      <w:r w:rsidR="004448E0">
        <w:t>the</w:t>
      </w:r>
      <w:r w:rsidR="00496D22">
        <w:t xml:space="preserve"> lower and upper bound</w:t>
      </w:r>
      <w:r w:rsidR="004448E0">
        <w:t>s</w:t>
      </w:r>
      <w:r w:rsidR="00496D22">
        <w:t xml:space="preserve"> if </w:t>
      </w:r>
      <w:proofErr w:type="spellStart"/>
      <w:r w:rsidR="00496D22" w:rsidRPr="00B06283">
        <w:rPr>
          <w:i/>
          <w:iCs/>
        </w:rPr>
        <w:t>y</w:t>
      </w:r>
      <w:r w:rsidR="007F19E3" w:rsidRPr="007F19E3">
        <w:rPr>
          <w:i/>
          <w:iCs/>
          <w:vertAlign w:val="subscript"/>
        </w:rPr>
        <w:t>j</w:t>
      </w:r>
      <w:proofErr w:type="spellEnd"/>
      <w:r w:rsidR="00496D22">
        <w:t xml:space="preserve"> =1</w:t>
      </w:r>
      <w:r w:rsidR="002E7388">
        <w:t>. Third, the aggregation constraint</w:t>
      </w:r>
      <w:r w:rsidR="00476DA8">
        <w:t xml:space="preserve"> (Eq. 4)</w:t>
      </w:r>
      <w:r w:rsidR="005D5B0E">
        <w:t xml:space="preserve"> is augmented </w:t>
      </w:r>
      <w:r w:rsidR="003E4E49">
        <w:t>so that</w:t>
      </w:r>
      <w:r w:rsidR="00F01E77">
        <w:t xml:space="preserve"> the value </w:t>
      </w:r>
      <w:proofErr w:type="spellStart"/>
      <w:proofErr w:type="gramStart"/>
      <w:r w:rsidR="00F01E77" w:rsidRPr="00D4074C">
        <w:rPr>
          <w:i/>
          <w:iCs/>
        </w:rPr>
        <w:t>x</w:t>
      </w:r>
      <w:r w:rsidR="00F01E77" w:rsidRPr="00D4074C">
        <w:rPr>
          <w:vertAlign w:val="superscript"/>
        </w:rPr>
        <w:t>F</w:t>
      </w:r>
      <w:r w:rsidR="00E207D2" w:rsidRPr="00C16E7A">
        <w:rPr>
          <w:i/>
          <w:iCs/>
          <w:vertAlign w:val="subscript"/>
        </w:rPr>
        <w:t>i,j</w:t>
      </w:r>
      <w:proofErr w:type="spellEnd"/>
      <w:proofErr w:type="gramEnd"/>
      <w:r w:rsidR="00F01E77">
        <w:t xml:space="preserve"> </w:t>
      </w:r>
      <w:r w:rsidR="003E4E49">
        <w:t xml:space="preserve">is subtracted </w:t>
      </w:r>
      <w:r w:rsidR="00F01E77">
        <w:t>f</w:t>
      </w:r>
      <w:r w:rsidR="00FA6EEF">
        <w:t>ro</w:t>
      </w:r>
      <w:r w:rsidR="00F01E77">
        <w:t xml:space="preserve">m the value of </w:t>
      </w:r>
      <w:r w:rsidR="0032367F">
        <w:t xml:space="preserve">the </w:t>
      </w:r>
      <w:r w:rsidR="00C16E7A">
        <w:t xml:space="preserve">corresponding </w:t>
      </w:r>
      <w:r w:rsidR="0032367F">
        <w:t xml:space="preserve">disaggregated variable </w:t>
      </w:r>
      <w:r w:rsidR="003E4E49">
        <w:t>if</w:t>
      </w:r>
      <w:r w:rsidR="0032367F">
        <w:t xml:space="preserve"> </w:t>
      </w:r>
      <w:proofErr w:type="spellStart"/>
      <w:r w:rsidR="0032367F">
        <w:t>y</w:t>
      </w:r>
      <w:r w:rsidR="0032367F" w:rsidRPr="0032367F">
        <w:rPr>
          <w:i/>
          <w:iCs/>
          <w:vertAlign w:val="subscript"/>
        </w:rPr>
        <w:t>j</w:t>
      </w:r>
      <w:proofErr w:type="spellEnd"/>
      <w:r w:rsidR="0032367F">
        <w:rPr>
          <w:i/>
          <w:iCs/>
          <w:vertAlign w:val="subscript"/>
        </w:rPr>
        <w:t xml:space="preserve"> </w:t>
      </w:r>
      <w:r w:rsidR="0032367F">
        <w:t>= 0.</w:t>
      </w:r>
      <w:r w:rsidR="00793896">
        <w:t xml:space="preserve"> </w:t>
      </w:r>
      <w:r w:rsidR="002E7388">
        <w:t xml:space="preserve"> </w:t>
      </w:r>
      <w:r w:rsidR="00496D22">
        <w:t xml:space="preserve"> </w:t>
      </w:r>
    </w:p>
    <w:p w14:paraId="3E8A768E" w14:textId="27B242DC" w:rsidR="0092494D" w:rsidRPr="0092494D" w:rsidRDefault="00EB411F" w:rsidP="00C76013">
      <w:pPr>
        <w:pStyle w:val="Els-equation"/>
      </w:pPr>
      <w:r w:rsidRPr="00EB411F">
        <w:rPr>
          <w:position w:val="-192"/>
        </w:rPr>
        <w:object w:dxaOrig="5640" w:dyaOrig="3320" w14:anchorId="61C71E8E">
          <v:shape id="_x0000_i1027" type="#_x0000_t75" style="width:281.55pt;height:165.5pt" o:ole="">
            <v:imagedata r:id="rId12" o:title=""/>
          </v:shape>
          <o:OLEObject Type="Embed" ProgID="Equation.DSMT4" ShapeID="_x0000_i1027" DrawAspect="Content" ObjectID="_1762672687" r:id="rId13"/>
        </w:object>
      </w:r>
      <w:r w:rsidR="0061751C">
        <w:tab/>
      </w:r>
      <w:r w:rsidR="00DE03BB">
        <w:t xml:space="preserve"> </w:t>
      </w:r>
      <w:r w:rsidR="00DE03BB" w:rsidRPr="00607AF1">
        <w:rPr>
          <w:i w:val="0"/>
          <w:iCs/>
        </w:rPr>
        <w:t>(MI</w:t>
      </w:r>
      <w:r w:rsidR="007E6105">
        <w:rPr>
          <w:i w:val="0"/>
          <w:iCs/>
        </w:rPr>
        <w:t>R</w:t>
      </w:r>
      <w:r w:rsidR="00DE03BB" w:rsidRPr="00607AF1">
        <w:rPr>
          <w:i w:val="0"/>
          <w:iCs/>
        </w:rPr>
        <w:t>)</w:t>
      </w:r>
    </w:p>
    <w:p w14:paraId="144DE699" w14:textId="162D1FD6" w:rsidR="008D2649" w:rsidRDefault="0092494D" w:rsidP="008D2649">
      <w:pPr>
        <w:pStyle w:val="Els-1storder-head"/>
      </w:pPr>
      <w:r>
        <w:lastRenderedPageBreak/>
        <w:t>Illustrative Example</w:t>
      </w:r>
    </w:p>
    <w:p w14:paraId="2AF476E7" w14:textId="449215FA" w:rsidR="007D3FE5" w:rsidRDefault="00830B8F" w:rsidP="002A555E">
      <w:pPr>
        <w:pStyle w:val="Els-body-text"/>
        <w:spacing w:after="120"/>
      </w:pPr>
      <w:r>
        <w:t>The example considered in this wor</w:t>
      </w:r>
      <w:r w:rsidR="00C205A0">
        <w:t>k</w:t>
      </w:r>
      <w:r w:rsidR="007D3FE5">
        <w:t xml:space="preserve"> </w:t>
      </w:r>
      <w:r w:rsidR="00C205A0">
        <w:t xml:space="preserve">is a </w:t>
      </w:r>
      <w:r w:rsidR="007D3FE5">
        <w:t>convex nonlinear GDP example composed of a quadratic objective function, and a single disjunctio</w:t>
      </w:r>
      <w:r w:rsidR="00FC7BA9">
        <w:t xml:space="preserve">n with three terms </w:t>
      </w:r>
      <w:r w:rsidR="00FC7BA9" w:rsidRPr="00B376E6">
        <w:t>(GDP</w:t>
      </w:r>
      <w:r w:rsidR="001E66BD">
        <w:t>-E</w:t>
      </w:r>
      <w:r w:rsidR="00FC7BA9" w:rsidRPr="00B376E6">
        <w:t>)</w:t>
      </w:r>
      <w:r w:rsidR="007D3FE5">
        <w:t xml:space="preserve">. The optimal solution to the problem is </w:t>
      </w:r>
      <w:bookmarkStart w:id="0" w:name="_Hlk151911409"/>
      <w:r w:rsidR="007D3FE5" w:rsidRPr="00B36A0C">
        <w:rPr>
          <w:i/>
          <w:iCs/>
        </w:rPr>
        <w:t>Z</w:t>
      </w:r>
      <w:r w:rsidR="007D3FE5">
        <w:t xml:space="preserve"> = </w:t>
      </w:r>
      <w:r w:rsidR="007D3FE5" w:rsidRPr="00411660">
        <w:t>6.823</w:t>
      </w:r>
      <w:r w:rsidR="007D3FE5">
        <w:t xml:space="preserve">7, </w:t>
      </w:r>
      <w:r w:rsidR="007D3FE5" w:rsidRPr="000A6354">
        <w:rPr>
          <w:b/>
          <w:bCs/>
        </w:rPr>
        <w:t>x</w:t>
      </w:r>
      <w:r w:rsidR="007D3FE5">
        <w:t xml:space="preserve"> = (</w:t>
      </w:r>
      <w:r w:rsidR="007D3FE5" w:rsidRPr="00B47C7A">
        <w:t>3.7069</w:t>
      </w:r>
      <w:r w:rsidR="007D3FE5">
        <w:t xml:space="preserve">, </w:t>
      </w:r>
      <w:r w:rsidR="007D3FE5" w:rsidRPr="00B47C7A">
        <w:t>4.1506</w:t>
      </w:r>
      <w:r w:rsidR="007D3FE5">
        <w:t xml:space="preserve">), </w:t>
      </w:r>
      <w:r w:rsidR="007D3FE5" w:rsidRPr="008C0F21">
        <w:rPr>
          <w:b/>
          <w:bCs/>
        </w:rPr>
        <w:t>Y</w:t>
      </w:r>
      <w:r w:rsidR="007D3FE5" w:rsidRPr="000A6354">
        <w:rPr>
          <w:b/>
          <w:bCs/>
          <w:i/>
          <w:iCs/>
        </w:rPr>
        <w:t xml:space="preserve"> </w:t>
      </w:r>
      <w:r w:rsidR="007D3FE5">
        <w:t>= (</w:t>
      </w:r>
      <w:r w:rsidR="007D3FE5" w:rsidRPr="005A0710">
        <w:rPr>
          <w:i/>
          <w:iCs/>
        </w:rPr>
        <w:t>False</w:t>
      </w:r>
      <w:r w:rsidR="007D3FE5">
        <w:rPr>
          <w:i/>
          <w:iCs/>
        </w:rPr>
        <w:t>,</w:t>
      </w:r>
      <w:r w:rsidR="007D3FE5" w:rsidRPr="005A0710">
        <w:rPr>
          <w:i/>
          <w:iCs/>
        </w:rPr>
        <w:t xml:space="preserve"> True, False</w:t>
      </w:r>
      <w:r w:rsidR="007D3FE5">
        <w:t xml:space="preserve">). </w:t>
      </w:r>
      <w:bookmarkEnd w:id="0"/>
      <w:r w:rsidR="007D3FE5">
        <w:t xml:space="preserve">The </w:t>
      </w:r>
      <w:r w:rsidR="00D90EC7">
        <w:t>problematic</w:t>
      </w:r>
      <w:r w:rsidR="007D3FE5">
        <w:t xml:space="preserve"> constraints within each term are those with logarithmic functions.</w:t>
      </w:r>
      <w:r w:rsidR="00594A45">
        <w:t xml:space="preserve"> </w:t>
      </w:r>
      <w:r w:rsidR="007D3FE5">
        <w:t xml:space="preserve"> </w:t>
      </w:r>
    </w:p>
    <w:p w14:paraId="0ACFFA53" w14:textId="765CBEEB" w:rsidR="002D5C63" w:rsidRPr="00E92D94" w:rsidRDefault="007F5E34" w:rsidP="00DD5F90">
      <w:pPr>
        <w:pStyle w:val="Els-body-text"/>
      </w:pPr>
      <w:r w:rsidRPr="007F5E34">
        <w:rPr>
          <w:position w:val="-146"/>
        </w:rPr>
        <w:object w:dxaOrig="6220" w:dyaOrig="3000" w14:anchorId="3ECF1F67">
          <v:shape id="_x0000_i1037" type="#_x0000_t75" style="width:311.65pt;height:149.9pt" o:ole="">
            <v:imagedata r:id="rId14" o:title=""/>
          </v:shape>
          <o:OLEObject Type="Embed" ProgID="Equation.DSMT4" ShapeID="_x0000_i1037" DrawAspect="Content" ObjectID="_1762672688" r:id="rId15"/>
        </w:object>
      </w:r>
      <w:r w:rsidR="002A555E">
        <w:t xml:space="preserve"> </w:t>
      </w:r>
      <w:r w:rsidR="002A555E" w:rsidRPr="00B376E6">
        <w:t>(GDP</w:t>
      </w:r>
      <w:r w:rsidR="001E66BD">
        <w:t>-E</w:t>
      </w:r>
      <w:r w:rsidR="002A555E" w:rsidRPr="00B376E6">
        <w:t>)</w:t>
      </w:r>
    </w:p>
    <w:p w14:paraId="3EFF6005" w14:textId="77777777" w:rsidR="002D5C63" w:rsidRPr="00DD5F90" w:rsidRDefault="002D5C63" w:rsidP="00DD5F90">
      <w:pPr>
        <w:pStyle w:val="Els-body-text"/>
        <w:rPr>
          <w:lang w:val="en-GB"/>
        </w:rPr>
      </w:pPr>
    </w:p>
    <w:p w14:paraId="144DE6A1" w14:textId="28BEFC67" w:rsidR="008D2649" w:rsidRDefault="0092494D" w:rsidP="008D2649">
      <w:pPr>
        <w:pStyle w:val="Els-1storder-head"/>
        <w:spacing w:after="120"/>
        <w:rPr>
          <w:lang w:val="en-GB"/>
        </w:rPr>
      </w:pPr>
      <w:r>
        <w:rPr>
          <w:lang w:val="en-GB"/>
        </w:rPr>
        <w:t>Numerical results</w:t>
      </w:r>
    </w:p>
    <w:p w14:paraId="33D5545E" w14:textId="6201A78B" w:rsidR="002C3A2F" w:rsidRDefault="002C3A2F" w:rsidP="002C3A2F">
      <w:pPr>
        <w:pStyle w:val="Els-body-text"/>
        <w:spacing w:after="120"/>
      </w:pPr>
      <w:r w:rsidRPr="00A70F41">
        <w:rPr>
          <w:i/>
          <w:iCs/>
        </w:rPr>
        <w:t>Big-M reformulation</w:t>
      </w:r>
      <w:r>
        <w:rPr>
          <w:i/>
          <w:iCs/>
        </w:rPr>
        <w:t xml:space="preserve"> (BMR)</w:t>
      </w:r>
      <w:r w:rsidRPr="00A70F41">
        <w:rPr>
          <w:i/>
          <w:iCs/>
        </w:rPr>
        <w:t>:</w:t>
      </w:r>
      <w:r>
        <w:t xml:space="preserve"> </w:t>
      </w:r>
      <w:r w:rsidRPr="00D169F3">
        <w:t xml:space="preserve">The most important thing when applying the </w:t>
      </w:r>
      <w:r>
        <w:t>BMR</w:t>
      </w:r>
      <w:r w:rsidRPr="00D169F3">
        <w:t xml:space="preserve"> is to determine the appropriate values </w:t>
      </w:r>
      <w:r>
        <w:t>of</w:t>
      </w:r>
      <w:r w:rsidRPr="00D169F3">
        <w:t xml:space="preserve"> Big</w:t>
      </w:r>
      <w:r>
        <w:t>-</w:t>
      </w:r>
      <w:r w:rsidRPr="00D169F3">
        <w:t xml:space="preserve">M parameters. They should be large enough to make a particular constraint redundant when </w:t>
      </w:r>
      <w:r w:rsidRPr="00D169F3">
        <w:rPr>
          <w:i/>
          <w:iCs/>
        </w:rPr>
        <w:t>y</w:t>
      </w:r>
      <w:r w:rsidRPr="00D169F3">
        <w:t xml:space="preserve"> = 0, so that the entire feasible region of the problem is preserved. At the same time, they should be small enough to ensure a tight continuous relaxation of the problem.</w:t>
      </w:r>
      <w:r>
        <w:t xml:space="preserve"> A common approach is to maximize the value of each constraint </w:t>
      </w:r>
      <w:r w:rsidRPr="003D72FE">
        <w:rPr>
          <w:i/>
          <w:iCs/>
        </w:rPr>
        <w:t>r</w:t>
      </w:r>
      <w:r>
        <w:t>(</w:t>
      </w:r>
      <w:r w:rsidRPr="003D72FE">
        <w:rPr>
          <w:b/>
          <w:bCs/>
        </w:rPr>
        <w:t>x</w:t>
      </w:r>
      <w:r>
        <w:t>) ≤ 0,</w:t>
      </w:r>
      <w:r w:rsidR="00594A45">
        <w:t xml:space="preserve"> </w:t>
      </w:r>
      <w:proofErr w:type="spellStart"/>
      <w:r>
        <w:t>s.t.</w:t>
      </w:r>
      <w:proofErr w:type="spellEnd"/>
      <w:r>
        <w:t xml:space="preserve"> </w:t>
      </w:r>
      <w:proofErr w:type="spellStart"/>
      <w:r w:rsidRPr="00B54A3A">
        <w:rPr>
          <w:b/>
          <w:bCs/>
        </w:rPr>
        <w:t>x</w:t>
      </w:r>
      <w:r w:rsidRPr="00B54A3A">
        <w:rPr>
          <w:vertAlign w:val="superscript"/>
        </w:rPr>
        <w:t>LO</w:t>
      </w:r>
      <w:proofErr w:type="spellEnd"/>
      <w:r>
        <w:t xml:space="preserve"> ≤ </w:t>
      </w:r>
      <w:r w:rsidRPr="00B54A3A">
        <w:rPr>
          <w:b/>
          <w:bCs/>
        </w:rPr>
        <w:t>x</w:t>
      </w:r>
      <w:r>
        <w:rPr>
          <w:b/>
          <w:bCs/>
        </w:rPr>
        <w:t xml:space="preserve"> </w:t>
      </w:r>
      <w:r>
        <w:t xml:space="preserve">≤ </w:t>
      </w:r>
      <w:proofErr w:type="spellStart"/>
      <w:r w:rsidRPr="00B54A3A">
        <w:rPr>
          <w:b/>
          <w:bCs/>
        </w:rPr>
        <w:t>x</w:t>
      </w:r>
      <w:r>
        <w:rPr>
          <w:vertAlign w:val="superscript"/>
        </w:rPr>
        <w:t>UP</w:t>
      </w:r>
      <w:proofErr w:type="spellEnd"/>
      <w:r>
        <w:t xml:space="preserve"> by which the following Big-M parameters </w:t>
      </w:r>
      <w:proofErr w:type="spellStart"/>
      <w:r w:rsidRPr="00B96899">
        <w:rPr>
          <w:i/>
          <w:iCs/>
        </w:rPr>
        <w:t>M</w:t>
      </w:r>
      <w:r w:rsidR="00A279BC">
        <w:rPr>
          <w:i/>
          <w:iCs/>
          <w:vertAlign w:val="subscript"/>
        </w:rPr>
        <w:t>j</w:t>
      </w:r>
      <w:r w:rsidR="00DA741E">
        <w:rPr>
          <w:i/>
          <w:iCs/>
          <w:vertAlign w:val="subscript"/>
        </w:rPr>
        <w:t>,k</w:t>
      </w:r>
      <w:proofErr w:type="spellEnd"/>
      <w:r>
        <w:t xml:space="preserve"> = (14</w:t>
      </w:r>
      <w:r w:rsidRPr="009816A9">
        <w:rPr>
          <w:vertAlign w:val="subscript"/>
        </w:rPr>
        <w:t>1</w:t>
      </w:r>
      <w:r>
        <w:rPr>
          <w:vertAlign w:val="subscript"/>
        </w:rPr>
        <w:t>,</w:t>
      </w:r>
      <w:r w:rsidRPr="009816A9">
        <w:rPr>
          <w:vertAlign w:val="subscript"/>
        </w:rPr>
        <w:t>1</w:t>
      </w:r>
      <w:r>
        <w:t>, 49</w:t>
      </w:r>
      <w:r w:rsidRPr="00E56437">
        <w:rPr>
          <w:vertAlign w:val="subscript"/>
        </w:rPr>
        <w:t>1</w:t>
      </w:r>
      <w:r>
        <w:rPr>
          <w:vertAlign w:val="subscript"/>
        </w:rPr>
        <w:t>,</w:t>
      </w:r>
      <w:r w:rsidRPr="00E56437">
        <w:rPr>
          <w:vertAlign w:val="subscript"/>
        </w:rPr>
        <w:t>2</w:t>
      </w:r>
      <w:r>
        <w:t>, 14</w:t>
      </w:r>
      <w:r w:rsidRPr="00E56437">
        <w:rPr>
          <w:vertAlign w:val="subscript"/>
        </w:rPr>
        <w:t>2</w:t>
      </w:r>
      <w:r>
        <w:rPr>
          <w:vertAlign w:val="subscript"/>
        </w:rPr>
        <w:t>,</w:t>
      </w:r>
      <w:r w:rsidRPr="00E56437">
        <w:rPr>
          <w:vertAlign w:val="subscript"/>
        </w:rPr>
        <w:t>1</w:t>
      </w:r>
      <w:r>
        <w:t>, 8</w:t>
      </w:r>
      <w:r w:rsidRPr="00EB7FB4">
        <w:rPr>
          <w:vertAlign w:val="subscript"/>
        </w:rPr>
        <w:t>2,2</w:t>
      </w:r>
      <w:r>
        <w:t>, 11</w:t>
      </w:r>
      <w:r w:rsidRPr="00EB7FB4">
        <w:rPr>
          <w:vertAlign w:val="subscript"/>
        </w:rPr>
        <w:t>3,1</w:t>
      </w:r>
      <w:r>
        <w:t>, 44.75</w:t>
      </w:r>
      <w:r w:rsidRPr="00EB7FB4">
        <w:rPr>
          <w:vertAlign w:val="subscript"/>
        </w:rPr>
        <w:t>3,2</w:t>
      </w:r>
      <w:r>
        <w:t xml:space="preserve">), where </w:t>
      </w:r>
      <w:r w:rsidR="00DA741E">
        <w:rPr>
          <w:i/>
          <w:iCs/>
        </w:rPr>
        <w:t>j</w:t>
      </w:r>
      <w:r>
        <w:t xml:space="preserve"> =</w:t>
      </w:r>
      <w:r w:rsidR="00132EC4">
        <w:t xml:space="preserve"> </w:t>
      </w:r>
      <w:r>
        <w:t>1, 2 ,</w:t>
      </w:r>
      <w:r w:rsidR="00DA741E">
        <w:t xml:space="preserve"> </w:t>
      </w:r>
      <w:r>
        <w:t xml:space="preserve">3 is the term in disjunction and </w:t>
      </w:r>
      <w:r w:rsidR="00DA741E">
        <w:br/>
      </w:r>
      <w:r w:rsidR="00DA741E">
        <w:rPr>
          <w:i/>
          <w:iCs/>
        </w:rPr>
        <w:t>k</w:t>
      </w:r>
      <w:r>
        <w:t xml:space="preserve"> = 1, 2 is </w:t>
      </w:r>
      <w:r w:rsidRPr="00EE3A2D">
        <w:t xml:space="preserve">index </w:t>
      </w:r>
      <w:r>
        <w:t xml:space="preserve">of a constraint in the particular term of the disjunction. Note, however, that the constraints containing logarithmic functions are not easily subjected to this approach. For example, in constraint </w:t>
      </w:r>
      <w:r w:rsidRPr="00572C92">
        <w:rPr>
          <w:i/>
          <w:iCs/>
        </w:rPr>
        <w:t>r</w:t>
      </w:r>
      <w:r w:rsidRPr="00572C92">
        <w:rPr>
          <w:vertAlign w:val="subscript"/>
        </w:rPr>
        <w:t>1</w:t>
      </w:r>
      <w:r>
        <w:rPr>
          <w:vertAlign w:val="subscript"/>
        </w:rPr>
        <w:t>,</w:t>
      </w:r>
      <w:r w:rsidRPr="00572C92">
        <w:rPr>
          <w:vertAlign w:val="subscript"/>
        </w:rPr>
        <w:t>1</w:t>
      </w:r>
      <w:r>
        <w:t>(</w:t>
      </w:r>
      <w:r w:rsidRPr="005167DD">
        <w:rPr>
          <w:b/>
          <w:bCs/>
        </w:rPr>
        <w:t>x</w:t>
      </w:r>
      <w:r>
        <w:t>), the term –log(</w:t>
      </w:r>
      <w:r w:rsidRPr="00A32897">
        <w:rPr>
          <w:i/>
          <w:iCs/>
        </w:rPr>
        <w:t>x</w:t>
      </w:r>
      <w:r w:rsidRPr="00A32897">
        <w:rPr>
          <w:vertAlign w:val="subscript"/>
        </w:rPr>
        <w:t>1</w:t>
      </w:r>
      <w:r>
        <w:t xml:space="preserve">) approaches ∞ as </w:t>
      </w:r>
      <w:r w:rsidRPr="00A32897">
        <w:rPr>
          <w:i/>
          <w:iCs/>
        </w:rPr>
        <w:t>x</w:t>
      </w:r>
      <w:r w:rsidRPr="00A32897">
        <w:rPr>
          <w:vertAlign w:val="subscript"/>
        </w:rPr>
        <w:t>1</w:t>
      </w:r>
      <w:r>
        <w:t xml:space="preserve"> approaches 0, and becomes the dominant term in the constraint, thus making the Big-M parameter seemingly infinite. To avoid this, the Big-M parameter was determined by bounding the critical variable to the </w:t>
      </w:r>
      <w:r>
        <w:rPr>
          <w:i/>
          <w:iCs/>
        </w:rPr>
        <w:t>δ</w:t>
      </w:r>
      <w:r>
        <w:t>-vicinity (</w:t>
      </w:r>
      <w:r>
        <w:rPr>
          <w:i/>
          <w:iCs/>
        </w:rPr>
        <w:t xml:space="preserve">δ = </w:t>
      </w:r>
      <w:r w:rsidRPr="00A75798">
        <w:t>10</w:t>
      </w:r>
      <w:r w:rsidRPr="00A75798">
        <w:rPr>
          <w:i/>
          <w:iCs/>
          <w:vertAlign w:val="superscript"/>
        </w:rPr>
        <w:t>–</w:t>
      </w:r>
      <w:r w:rsidRPr="00A75798">
        <w:rPr>
          <w:vertAlign w:val="superscript"/>
        </w:rPr>
        <w:t>9</w:t>
      </w:r>
      <w:r>
        <w:t xml:space="preserve">) of a point at which the function is undefined. Nevertheless, solving the problem using BMR when the domains of </w:t>
      </w:r>
      <w:r w:rsidR="00D253DF">
        <w:t>problematic</w:t>
      </w:r>
      <w:r>
        <w:t xml:space="preserve"> constraints do not coincide leads to reduction of feasible region and potential cut-off of the optimal solution. In the given example, a solution </w:t>
      </w:r>
      <w:r w:rsidRPr="00942137">
        <w:rPr>
          <w:i/>
          <w:iCs/>
        </w:rPr>
        <w:t>Z</w:t>
      </w:r>
      <w:r w:rsidRPr="00942137">
        <w:t xml:space="preserve"> = </w:t>
      </w:r>
      <w:r w:rsidRPr="00301DA8">
        <w:t>13.581</w:t>
      </w:r>
      <w:r>
        <w:t>2</w:t>
      </w:r>
      <w:r w:rsidRPr="00942137">
        <w:t xml:space="preserve">, </w:t>
      </w:r>
      <w:r w:rsidRPr="00942137">
        <w:rPr>
          <w:b/>
          <w:bCs/>
        </w:rPr>
        <w:t>x</w:t>
      </w:r>
      <w:r w:rsidRPr="00942137">
        <w:t xml:space="preserve"> = (</w:t>
      </w:r>
      <w:r w:rsidRPr="00B44F51">
        <w:t>6.1253</w:t>
      </w:r>
      <w:r w:rsidRPr="00942137">
        <w:t xml:space="preserve">, </w:t>
      </w:r>
      <w:r w:rsidRPr="00B44F51">
        <w:t>2.0981</w:t>
      </w:r>
      <w:r w:rsidRPr="00942137">
        <w:t xml:space="preserve">), </w:t>
      </w:r>
      <w:r>
        <w:rPr>
          <w:b/>
          <w:bCs/>
        </w:rPr>
        <w:t>y</w:t>
      </w:r>
      <w:r w:rsidRPr="00942137">
        <w:rPr>
          <w:b/>
          <w:bCs/>
          <w:i/>
          <w:iCs/>
        </w:rPr>
        <w:t xml:space="preserve"> </w:t>
      </w:r>
      <w:r w:rsidRPr="00942137">
        <w:t>= (0, 0, 1)</w:t>
      </w:r>
      <w:r>
        <w:t xml:space="preserve"> was identified as optimal</w:t>
      </w:r>
      <w:r w:rsidRPr="00942137">
        <w:t>.</w:t>
      </w:r>
      <w:r>
        <w:t xml:space="preserve"> The reason is that no matter how large the Big-M parameters associated with the critical functions are, the only part of the feasible region in which all the critical functions are defined is when </w:t>
      </w:r>
      <w:r w:rsidRPr="000A2805">
        <w:rPr>
          <w:i/>
          <w:iCs/>
        </w:rPr>
        <w:t>x</w:t>
      </w:r>
      <w:r w:rsidRPr="000A2805">
        <w:rPr>
          <w:vertAlign w:val="subscript"/>
        </w:rPr>
        <w:t>1</w:t>
      </w:r>
      <w:r>
        <w:t xml:space="preserve"> ≥ 6.0000 +</w:t>
      </w:r>
      <w:r w:rsidRPr="000A2805">
        <w:rPr>
          <w:i/>
          <w:iCs/>
        </w:rPr>
        <w:t xml:space="preserve"> </w:t>
      </w:r>
      <w:r w:rsidR="00C334E1">
        <w:rPr>
          <w:i/>
          <w:iCs/>
        </w:rPr>
        <w:t>δ</w:t>
      </w:r>
      <w:r>
        <w:rPr>
          <w:i/>
          <w:iCs/>
        </w:rPr>
        <w:t>.</w:t>
      </w:r>
      <w:r w:rsidR="00594A45">
        <w:t xml:space="preserve"> </w:t>
      </w:r>
    </w:p>
    <w:p w14:paraId="1A127BDC" w14:textId="304A02D8" w:rsidR="002C3A2F" w:rsidRDefault="002C3A2F" w:rsidP="002C3A2F">
      <w:pPr>
        <w:pStyle w:val="Els-body-text"/>
        <w:spacing w:after="120"/>
      </w:pPr>
      <w:r>
        <w:rPr>
          <w:i/>
          <w:iCs/>
        </w:rPr>
        <w:t xml:space="preserve">Modified </w:t>
      </w:r>
      <w:r w:rsidRPr="005F19AA">
        <w:rPr>
          <w:i/>
          <w:iCs/>
        </w:rPr>
        <w:t>Hull Reformulation</w:t>
      </w:r>
      <w:r>
        <w:rPr>
          <w:i/>
          <w:iCs/>
        </w:rPr>
        <w:t xml:space="preserve"> (MHR)</w:t>
      </w:r>
      <w:r w:rsidRPr="005F19AA">
        <w:rPr>
          <w:i/>
          <w:iCs/>
        </w:rPr>
        <w:t>:</w:t>
      </w:r>
      <w:r>
        <w:t xml:space="preserve"> </w:t>
      </w:r>
      <w:r w:rsidRPr="002D7B78">
        <w:t>The HR</w:t>
      </w:r>
      <w:r>
        <w:t xml:space="preserve"> </w:t>
      </w:r>
      <w:r w:rsidRPr="00605A25">
        <w:t>(</w:t>
      </w:r>
      <w:r w:rsidR="001F0931" w:rsidRPr="00605A25">
        <w:t>Lee and Grossmann, 2000</w:t>
      </w:r>
      <w:r w:rsidRPr="00605A25">
        <w:t>)</w:t>
      </w:r>
      <w:r w:rsidRPr="002D7B78">
        <w:t xml:space="preserve"> requires that</w:t>
      </w:r>
      <w:r w:rsidR="000A431D">
        <w:t xml:space="preserve"> </w:t>
      </w:r>
      <w:r w:rsidR="00DD0B72">
        <w:t xml:space="preserve">the </w:t>
      </w:r>
      <w:r w:rsidRPr="002D7B78">
        <w:t>continuous variables assume the value 0 if a disjunctive term is not selected, i.e.</w:t>
      </w:r>
      <w:r>
        <w:t>,</w:t>
      </w:r>
      <w:r w:rsidRPr="002D7B78">
        <w:t xml:space="preserve"> </w:t>
      </w:r>
      <w:r w:rsidRPr="002D67D5">
        <w:rPr>
          <w:i/>
          <w:iCs/>
        </w:rPr>
        <w:t>y</w:t>
      </w:r>
      <w:r w:rsidRPr="002D7B78">
        <w:t xml:space="preserve"> = 0.</w:t>
      </w:r>
      <w:r>
        <w:t xml:space="preserve"> Therefore, it is required that all constraints in disjunctions are defined at 0. This is clearly a difficulty in the given example. To overcome this problem, we propose a modified formulation of the perspective function </w:t>
      </w:r>
      <w:r w:rsidR="003C13C2">
        <w:t>(</w:t>
      </w:r>
      <w:r w:rsidRPr="00F809A6">
        <w:t xml:space="preserve">Eq. </w:t>
      </w:r>
      <w:r w:rsidR="00561803">
        <w:t>5</w:t>
      </w:r>
      <w:r w:rsidR="003C13C2" w:rsidRPr="00F809A6">
        <w:t>)</w:t>
      </w:r>
      <w:r w:rsidRPr="00F809A6">
        <w:t>.</w:t>
      </w:r>
      <w:r>
        <w:t xml:space="preserve"> The </w:t>
      </w:r>
      <w:r w:rsidR="003E485F">
        <w:t xml:space="preserve">bounding constraints on the disaggregated variables and the </w:t>
      </w:r>
      <w:r>
        <w:t xml:space="preserve">aggregating constraint are the same as in </w:t>
      </w:r>
      <w:r w:rsidR="00560FD0">
        <w:t>MIR</w:t>
      </w:r>
      <w:r>
        <w:t xml:space="preserve">. Eq. </w:t>
      </w:r>
      <w:r w:rsidR="00561803">
        <w:t>5</w:t>
      </w:r>
      <w:r>
        <w:t xml:space="preserve"> is an extension of the one proposed by </w:t>
      </w:r>
      <w:r w:rsidRPr="007D375C">
        <w:t>Sawaya (2006)</w:t>
      </w:r>
      <w:r>
        <w:t xml:space="preserve"> and allows continuous variables to </w:t>
      </w:r>
      <w:r>
        <w:lastRenderedPageBreak/>
        <w:t xml:space="preserve">take values different than 0 when </w:t>
      </w:r>
      <w:r w:rsidRPr="0056751A">
        <w:rPr>
          <w:i/>
          <w:iCs/>
        </w:rPr>
        <w:t>y</w:t>
      </w:r>
      <w:r>
        <w:t xml:space="preserve"> = 0. It is also easy to show the reformulation </w:t>
      </w:r>
      <w:r w:rsidR="009042B8">
        <w:t xml:space="preserve">is </w:t>
      </w:r>
      <w:r w:rsidRPr="009042B8">
        <w:t xml:space="preserve">identical to the </w:t>
      </w:r>
      <w:r>
        <w:t xml:space="preserve">HR when parameter </w:t>
      </w:r>
      <w:proofErr w:type="spellStart"/>
      <w:r w:rsidRPr="006D5A51">
        <w:rPr>
          <w:i/>
          <w:iCs/>
        </w:rPr>
        <w:t>x</w:t>
      </w:r>
      <w:r w:rsidRPr="006D5A51">
        <w:rPr>
          <w:vertAlign w:val="superscript"/>
        </w:rPr>
        <w:t>F</w:t>
      </w:r>
      <w:proofErr w:type="spellEnd"/>
      <w:r>
        <w:t xml:space="preserve"> is 0.</w:t>
      </w:r>
    </w:p>
    <w:p w14:paraId="52265501" w14:textId="4623C145" w:rsidR="002C3A2F" w:rsidRDefault="00B06416" w:rsidP="002E66E8">
      <w:pPr>
        <w:pStyle w:val="Els-equation"/>
      </w:pPr>
      <w:r w:rsidRPr="00B06416">
        <w:rPr>
          <w:position w:val="-16"/>
        </w:rPr>
        <w:object w:dxaOrig="5460" w:dyaOrig="420" w14:anchorId="2382247C">
          <v:shape id="_x0000_i1029" type="#_x0000_t75" style="width:272.95pt;height:20.95pt" o:ole="">
            <v:imagedata r:id="rId16" o:title=""/>
          </v:shape>
          <o:OLEObject Type="Embed" ProgID="Equation.DSMT4" ShapeID="_x0000_i1029" DrawAspect="Content" ObjectID="_1762672689" r:id="rId17"/>
        </w:object>
      </w:r>
      <w:r w:rsidR="00824AA8">
        <w:tab/>
      </w:r>
      <w:r w:rsidR="002C3A2F" w:rsidRPr="002E66E8">
        <w:rPr>
          <w:i w:val="0"/>
        </w:rPr>
        <w:t>(</w:t>
      </w:r>
      <w:r w:rsidR="009B6E91">
        <w:rPr>
          <w:i w:val="0"/>
        </w:rPr>
        <w:t>5</w:t>
      </w:r>
      <w:r w:rsidR="002C3A2F" w:rsidRPr="002E66E8">
        <w:rPr>
          <w:i w:val="0"/>
        </w:rPr>
        <w:t>)</w:t>
      </w:r>
    </w:p>
    <w:p w14:paraId="2397D60A" w14:textId="6BE8B790" w:rsidR="002C3A2F" w:rsidRDefault="002C3A2F" w:rsidP="002C3A2F">
      <w:pPr>
        <w:pStyle w:val="Els-body-text"/>
        <w:spacing w:after="120"/>
      </w:pPr>
      <w:r>
        <w:t>The GDP</w:t>
      </w:r>
      <w:r w:rsidR="001E66BD">
        <w:t>-E</w:t>
      </w:r>
      <w:r>
        <w:t xml:space="preserve"> was formulated as an MINLP using </w:t>
      </w:r>
      <w:r w:rsidR="005031E5">
        <w:t>BMR</w:t>
      </w:r>
      <w:r>
        <w:t>, MHR (</w:t>
      </w:r>
      <w:r w:rsidRPr="0096210A">
        <w:rPr>
          <w:i/>
          <w:iCs/>
        </w:rPr>
        <w:t>ε</w:t>
      </w:r>
      <w:r>
        <w:rPr>
          <w:i/>
          <w:iCs/>
        </w:rPr>
        <w:t xml:space="preserve"> =</w:t>
      </w:r>
      <w:r w:rsidRPr="00B32A9F">
        <w:t>10</w:t>
      </w:r>
      <w:r w:rsidRPr="00B32A9F">
        <w:rPr>
          <w:vertAlign w:val="superscript"/>
        </w:rPr>
        <w:t>–6</w:t>
      </w:r>
      <w:r>
        <w:t xml:space="preserve">) and the proposed </w:t>
      </w:r>
      <w:r w:rsidR="00560FD0">
        <w:t>MIR</w:t>
      </w:r>
      <w:r>
        <w:t xml:space="preserve">. First, apart from the </w:t>
      </w:r>
      <w:r w:rsidR="00CD6983">
        <w:t>BMR</w:t>
      </w:r>
      <w:r>
        <w:t xml:space="preserve">, the models were solved with 10,000 uniformly distributed values of the parameter </w:t>
      </w:r>
      <w:proofErr w:type="spellStart"/>
      <w:r w:rsidRPr="00C24DF7">
        <w:rPr>
          <w:i/>
          <w:iCs/>
        </w:rPr>
        <w:t>x</w:t>
      </w:r>
      <w:r w:rsidRPr="00C24DF7">
        <w:rPr>
          <w:vertAlign w:val="superscript"/>
        </w:rPr>
        <w:t>F</w:t>
      </w:r>
      <w:proofErr w:type="spellEnd"/>
      <w:r>
        <w:t xml:space="preserve"> per disjunctive term. All </w:t>
      </w:r>
      <w:proofErr w:type="spellStart"/>
      <w:r w:rsidRPr="00C24DF7">
        <w:rPr>
          <w:i/>
          <w:iCs/>
        </w:rPr>
        <w:t>x</w:t>
      </w:r>
      <w:r w:rsidRPr="00C24DF7">
        <w:rPr>
          <w:vertAlign w:val="superscript"/>
        </w:rPr>
        <w:t>F</w:t>
      </w:r>
      <w:proofErr w:type="spellEnd"/>
      <w:r>
        <w:t xml:space="preserve"> values were feasible points. The distribution of the obtained objective functions is shown in Figure 1. The results show that the values of </w:t>
      </w:r>
      <w:proofErr w:type="spellStart"/>
      <w:r w:rsidRPr="00C24DF7">
        <w:rPr>
          <w:i/>
          <w:iCs/>
        </w:rPr>
        <w:t>x</w:t>
      </w:r>
      <w:r w:rsidRPr="00C24DF7">
        <w:rPr>
          <w:vertAlign w:val="superscript"/>
        </w:rPr>
        <w:t>F</w:t>
      </w:r>
      <w:proofErr w:type="spellEnd"/>
      <w:r>
        <w:t xml:space="preserve"> clearly affect the tightness of the continuous relaxation in both MINLP reformulations, indicating that neither reformulation yields a strict hull relaxation. While </w:t>
      </w:r>
      <w:r w:rsidR="00560FD0">
        <w:t>MIR</w:t>
      </w:r>
      <w:r>
        <w:t xml:space="preserve"> leads to tighter relaxations (3.850 ≤ </w:t>
      </w:r>
      <w:r w:rsidRPr="007344BA">
        <w:rPr>
          <w:i/>
          <w:iCs/>
        </w:rPr>
        <w:t>Z</w:t>
      </w:r>
      <w:r w:rsidRPr="00D373C3">
        <w:rPr>
          <w:vertAlign w:val="subscript"/>
        </w:rPr>
        <w:t>R</w:t>
      </w:r>
      <w:r>
        <w:t xml:space="preserve"> ≤ </w:t>
      </w:r>
      <w:r w:rsidRPr="00D93276">
        <w:t>5.085</w:t>
      </w:r>
      <w:r>
        <w:t xml:space="preserve">) compared to the MHR (3.466 ≤ </w:t>
      </w:r>
      <w:r w:rsidRPr="007344BA">
        <w:rPr>
          <w:i/>
          <w:iCs/>
        </w:rPr>
        <w:t>Z</w:t>
      </w:r>
      <w:r w:rsidRPr="00D373C3">
        <w:rPr>
          <w:vertAlign w:val="subscript"/>
        </w:rPr>
        <w:t>R</w:t>
      </w:r>
      <w:r>
        <w:t xml:space="preserve"> ≤ 3.527), the deviation around the mean value is significantly lower in the latter case. We attribute the “looseness” of the MHR to the effect of the last term </w:t>
      </w:r>
      <w:r w:rsidRPr="006A76F4">
        <w:t xml:space="preserve">in Eq. </w:t>
      </w:r>
      <w:r w:rsidR="009B6E91">
        <w:t>5</w:t>
      </w:r>
      <w:r w:rsidRPr="006A76F4">
        <w:t>, which</w:t>
      </w:r>
      <w:r>
        <w:t xml:space="preserve"> acts as a considerably large Big-M parameter for small </w:t>
      </w:r>
      <w:r w:rsidRPr="0096210A">
        <w:rPr>
          <w:i/>
          <w:iCs/>
        </w:rPr>
        <w:t>ε</w:t>
      </w:r>
      <w:r>
        <w:t xml:space="preserve"> and large </w:t>
      </w:r>
      <w:proofErr w:type="spellStart"/>
      <w:r w:rsidRPr="0096210A">
        <w:rPr>
          <w:i/>
          <w:iCs/>
        </w:rPr>
        <w:t>x</w:t>
      </w:r>
      <w:r w:rsidRPr="0096210A">
        <w:rPr>
          <w:vertAlign w:val="superscript"/>
        </w:rPr>
        <w:t>F</w:t>
      </w:r>
      <w:proofErr w:type="spellEnd"/>
      <w:r>
        <w:t xml:space="preserve"> values.</w:t>
      </w:r>
      <w:r w:rsidR="00594A45">
        <w:t xml:space="preserve"> </w:t>
      </w:r>
      <w: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tblGrid>
      <w:tr w:rsidR="0025082E" w14:paraId="52869367" w14:textId="77777777" w:rsidTr="0025082E">
        <w:trPr>
          <w:jc w:val="center"/>
        </w:trPr>
        <w:tc>
          <w:tcPr>
            <w:tcW w:w="4070" w:type="dxa"/>
            <w:vAlign w:val="center"/>
          </w:tcPr>
          <w:p w14:paraId="12FB0CD6" w14:textId="77777777" w:rsidR="0025082E" w:rsidRPr="00971A7E" w:rsidRDefault="0025082E" w:rsidP="0025082E">
            <w:pPr>
              <w:pStyle w:val="Els-body-text"/>
              <w:jc w:val="center"/>
            </w:pPr>
            <w:r w:rsidRPr="00971A7E">
              <w:rPr>
                <w:noProof/>
              </w:rPr>
              <w:drawing>
                <wp:inline distT="0" distB="0" distL="0" distR="0" wp14:anchorId="55F32C46" wp14:editId="70059E73">
                  <wp:extent cx="2520000" cy="1911356"/>
                  <wp:effectExtent l="0" t="0" r="0" b="0"/>
                  <wp:docPr id="1191150923" name="Picture 1191150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0000" cy="1911356"/>
                          </a:xfrm>
                          <a:prstGeom prst="rect">
                            <a:avLst/>
                          </a:prstGeom>
                          <a:noFill/>
                          <a:ln>
                            <a:noFill/>
                          </a:ln>
                        </pic:spPr>
                      </pic:pic>
                    </a:graphicData>
                  </a:graphic>
                </wp:inline>
              </w:drawing>
            </w:r>
          </w:p>
        </w:tc>
      </w:tr>
      <w:tr w:rsidR="0025082E" w14:paraId="59926F4F" w14:textId="77777777" w:rsidTr="0025082E">
        <w:trPr>
          <w:jc w:val="center"/>
        </w:trPr>
        <w:tc>
          <w:tcPr>
            <w:tcW w:w="4070" w:type="dxa"/>
            <w:vAlign w:val="center"/>
          </w:tcPr>
          <w:p w14:paraId="0FD1BC2D" w14:textId="3D5B954F" w:rsidR="0025082E" w:rsidRPr="00971A7E" w:rsidRDefault="003D3451" w:rsidP="00AB131B">
            <w:pPr>
              <w:pStyle w:val="Els-body-text"/>
              <w:spacing w:after="80"/>
              <w:jc w:val="center"/>
              <w:rPr>
                <w:rFonts w:ascii="Times New Roman" w:hAnsi="Times New Roman" w:cs="Times New Roman"/>
                <w:sz w:val="20"/>
                <w:szCs w:val="20"/>
              </w:rPr>
            </w:pPr>
            <w:r>
              <w:rPr>
                <w:rFonts w:ascii="Times New Roman" w:hAnsi="Times New Roman" w:cs="Times New Roman"/>
                <w:sz w:val="20"/>
                <w:szCs w:val="20"/>
              </w:rPr>
              <w:t xml:space="preserve">           </w:t>
            </w:r>
            <w:r w:rsidR="0025082E" w:rsidRPr="00971A7E">
              <w:rPr>
                <w:rFonts w:ascii="Times New Roman" w:hAnsi="Times New Roman" w:cs="Times New Roman"/>
                <w:sz w:val="20"/>
                <w:szCs w:val="20"/>
              </w:rPr>
              <w:t>(a)</w:t>
            </w:r>
          </w:p>
        </w:tc>
      </w:tr>
      <w:tr w:rsidR="0025082E" w14:paraId="4B9EAA7D" w14:textId="77777777" w:rsidTr="0025082E">
        <w:trPr>
          <w:jc w:val="center"/>
        </w:trPr>
        <w:tc>
          <w:tcPr>
            <w:tcW w:w="4070" w:type="dxa"/>
            <w:vAlign w:val="center"/>
          </w:tcPr>
          <w:p w14:paraId="58707414" w14:textId="4B80DBBD" w:rsidR="0025082E" w:rsidRPr="00971A7E" w:rsidRDefault="0025082E" w:rsidP="00AB131B">
            <w:pPr>
              <w:pStyle w:val="Els-body-text"/>
              <w:jc w:val="center"/>
            </w:pPr>
            <w:r w:rsidRPr="00971A7E">
              <w:rPr>
                <w:noProof/>
              </w:rPr>
              <w:drawing>
                <wp:inline distT="0" distB="0" distL="0" distR="0" wp14:anchorId="297ACE4F" wp14:editId="419E535E">
                  <wp:extent cx="2520000" cy="1911356"/>
                  <wp:effectExtent l="0" t="0" r="0" b="0"/>
                  <wp:docPr id="356036516" name="Picture 35603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0" cy="1911356"/>
                          </a:xfrm>
                          <a:prstGeom prst="rect">
                            <a:avLst/>
                          </a:prstGeom>
                          <a:noFill/>
                          <a:ln>
                            <a:noFill/>
                          </a:ln>
                        </pic:spPr>
                      </pic:pic>
                    </a:graphicData>
                  </a:graphic>
                </wp:inline>
              </w:drawing>
            </w:r>
          </w:p>
        </w:tc>
      </w:tr>
      <w:tr w:rsidR="0025082E" w14:paraId="6E0C1264" w14:textId="77777777" w:rsidTr="0025082E">
        <w:trPr>
          <w:jc w:val="center"/>
        </w:trPr>
        <w:tc>
          <w:tcPr>
            <w:tcW w:w="4070" w:type="dxa"/>
            <w:vAlign w:val="center"/>
          </w:tcPr>
          <w:p w14:paraId="073A6E63" w14:textId="12384725" w:rsidR="0025082E" w:rsidRPr="00971A7E" w:rsidRDefault="003D3451" w:rsidP="00971A7E">
            <w:pPr>
              <w:pStyle w:val="Els-body-text"/>
              <w:jc w:val="center"/>
            </w:pPr>
            <w:r>
              <w:rPr>
                <w:rFonts w:ascii="Times New Roman" w:hAnsi="Times New Roman" w:cs="Times New Roman"/>
                <w:sz w:val="20"/>
                <w:szCs w:val="20"/>
              </w:rPr>
              <w:t xml:space="preserve">           </w:t>
            </w:r>
            <w:r w:rsidR="0025082E" w:rsidRPr="00971A7E">
              <w:rPr>
                <w:rFonts w:ascii="Times New Roman" w:hAnsi="Times New Roman" w:cs="Times New Roman"/>
                <w:sz w:val="20"/>
                <w:szCs w:val="20"/>
              </w:rPr>
              <w:t>(b)</w:t>
            </w:r>
          </w:p>
        </w:tc>
      </w:tr>
    </w:tbl>
    <w:p w14:paraId="61C50D21" w14:textId="7EBC0E6E" w:rsidR="002C3A2F" w:rsidRDefault="002C3A2F" w:rsidP="00971A7E">
      <w:pPr>
        <w:pStyle w:val="Caption"/>
        <w:jc w:val="center"/>
      </w:pPr>
      <w:r w:rsidRPr="00774FC7">
        <w:rPr>
          <w:b/>
          <w:bCs/>
        </w:rPr>
        <w:t>Figure 1:</w:t>
      </w:r>
      <w:r w:rsidRPr="00411660">
        <w:t xml:space="preserve"> Distribution of objective function values obtained </w:t>
      </w:r>
      <w:r>
        <w:t>from</w:t>
      </w:r>
      <w:r w:rsidRPr="00411660">
        <w:t xml:space="preserve"> 10,000 randomly selected </w:t>
      </w:r>
      <w:proofErr w:type="spellStart"/>
      <w:r w:rsidRPr="00411660">
        <w:rPr>
          <w:i/>
          <w:iCs/>
        </w:rPr>
        <w:t>x</w:t>
      </w:r>
      <w:r w:rsidRPr="00411660">
        <w:rPr>
          <w:vertAlign w:val="superscript"/>
        </w:rPr>
        <w:t>F</w:t>
      </w:r>
      <w:proofErr w:type="spellEnd"/>
      <w:r>
        <w:t xml:space="preserve"> points: (a) </w:t>
      </w:r>
      <w:r w:rsidR="00560FD0">
        <w:t>MIR</w:t>
      </w:r>
      <w:r>
        <w:t>, (b) MHR.</w:t>
      </w:r>
    </w:p>
    <w:p w14:paraId="5F958640" w14:textId="168820A4" w:rsidR="002C3A2F" w:rsidRDefault="002C3A2F" w:rsidP="002C3A2F">
      <w:pPr>
        <w:pStyle w:val="Els-body-text"/>
        <w:spacing w:after="120"/>
      </w:pPr>
      <w:r>
        <w:t xml:space="preserve">Second, each of the 10,000 </w:t>
      </w:r>
      <w:proofErr w:type="spellStart"/>
      <w:r w:rsidRPr="00C24DF7">
        <w:rPr>
          <w:i/>
          <w:iCs/>
        </w:rPr>
        <w:t>x</w:t>
      </w:r>
      <w:r w:rsidRPr="00C24DF7">
        <w:rPr>
          <w:vertAlign w:val="superscript"/>
        </w:rPr>
        <w:t>F</w:t>
      </w:r>
      <w:proofErr w:type="spellEnd"/>
      <w:r>
        <w:t xml:space="preserve"> values were optimized with the goal of obtaining the tightest possible continuous relaxation of the MINLP problem. The optimization was based on an algorithm that iterates between two </w:t>
      </w:r>
      <w:r w:rsidR="00020730">
        <w:t xml:space="preserve">nonlinear </w:t>
      </w:r>
      <w:r w:rsidR="00680584">
        <w:t>problems (</w:t>
      </w:r>
      <w:r>
        <w:t>NLPs</w:t>
      </w:r>
      <w:r w:rsidR="00680584">
        <w:t>)</w:t>
      </w:r>
      <w:r>
        <w:t xml:space="preserve">. The first </w:t>
      </w:r>
      <w:r>
        <w:lastRenderedPageBreak/>
        <w:t xml:space="preserve">NLP is relaxed MINLP with respect to MHR or </w:t>
      </w:r>
      <w:r w:rsidR="00560FD0">
        <w:t>MIR</w:t>
      </w:r>
      <w:r>
        <w:t xml:space="preserve">. Note that the problem is convex if GDP is convex. The second NLP corresponds to its nonconvex derivative, in which the aggregating constraint is replaced by </w:t>
      </w:r>
      <w:r w:rsidRPr="00743331">
        <w:t xml:space="preserve">Eq. </w:t>
      </w:r>
      <w:r w:rsidR="00FC3556">
        <w:t>6</w:t>
      </w:r>
      <w:r>
        <w:t xml:space="preserve"> and the bounding constraints </w:t>
      </w:r>
      <w:r w:rsidR="00743331">
        <w:t xml:space="preserve">on disaggregated variables </w:t>
      </w:r>
      <w:r>
        <w:t xml:space="preserve">are omitted. The algorithm iterates between the two NLPs and resets the value of the parameters </w:t>
      </w:r>
      <w:proofErr w:type="spellStart"/>
      <w:r w:rsidRPr="00CD5BB3">
        <w:rPr>
          <w:i/>
          <w:iCs/>
        </w:rPr>
        <w:t>x</w:t>
      </w:r>
      <w:r w:rsidRPr="00F85F75">
        <w:rPr>
          <w:vertAlign w:val="superscript"/>
        </w:rPr>
        <w:t>F</w:t>
      </w:r>
      <w:proofErr w:type="spellEnd"/>
      <w:r>
        <w:t xml:space="preserve"> to the current solution (values of the disaggregated variables) of the optimization problem. The algorithm terminates once the difference between the values of the objective functions is less than tolerance (</w:t>
      </w:r>
      <w:proofErr w:type="gramStart"/>
      <w:r>
        <w:t>e.g.</w:t>
      </w:r>
      <w:proofErr w:type="gramEnd"/>
      <w:r>
        <w:t xml:space="preserve"> 10</w:t>
      </w:r>
      <w:r w:rsidRPr="00C614F3">
        <w:rPr>
          <w:vertAlign w:val="superscript"/>
        </w:rPr>
        <w:t>–5</w:t>
      </w:r>
      <w:r>
        <w:t>).</w:t>
      </w:r>
      <w:r w:rsidR="00594A45">
        <w:t xml:space="preserve">  </w:t>
      </w:r>
      <w:r>
        <w:t xml:space="preserve"> </w:t>
      </w:r>
    </w:p>
    <w:p w14:paraId="064C283C" w14:textId="5847FFCC" w:rsidR="002C3A2F" w:rsidRPr="00744BFC" w:rsidRDefault="00B06416" w:rsidP="00774FC7">
      <w:pPr>
        <w:pStyle w:val="Els-equation"/>
        <w:rPr>
          <w:rFonts w:cstheme="minorBidi"/>
        </w:rPr>
      </w:pPr>
      <w:r w:rsidRPr="00B06416">
        <w:rPr>
          <w:position w:val="-28"/>
        </w:rPr>
        <w:object w:dxaOrig="1180" w:dyaOrig="520" w14:anchorId="245A35F9">
          <v:shape id="_x0000_i1030" type="#_x0000_t75" style="width:59.65pt;height:26.35pt" o:ole="">
            <v:imagedata r:id="rId20" o:title=""/>
          </v:shape>
          <o:OLEObject Type="Embed" ProgID="Equation.DSMT4" ShapeID="_x0000_i1030" DrawAspect="Content" ObjectID="_1762672690" r:id="rId21"/>
        </w:object>
      </w:r>
      <w:r w:rsidR="00594A45">
        <w:t xml:space="preserve"> </w:t>
      </w:r>
      <w:r w:rsidR="002C3A2F">
        <w:tab/>
      </w:r>
      <w:r w:rsidR="002C3A2F" w:rsidRPr="00774FC7">
        <w:rPr>
          <w:i w:val="0"/>
          <w:iCs/>
        </w:rPr>
        <w:t>(</w:t>
      </w:r>
      <w:r w:rsidR="00FC3556">
        <w:rPr>
          <w:i w:val="0"/>
          <w:iCs/>
        </w:rPr>
        <w:t>6</w:t>
      </w:r>
      <w:r w:rsidR="002C3A2F" w:rsidRPr="00774FC7">
        <w:rPr>
          <w:i w:val="0"/>
          <w:iCs/>
        </w:rPr>
        <w:t>)</w:t>
      </w:r>
    </w:p>
    <w:p w14:paraId="32B03740" w14:textId="08E7F507" w:rsidR="002C3A2F" w:rsidRDefault="002C3A2F" w:rsidP="002C3A2F">
      <w:pPr>
        <w:pStyle w:val="Els-body-text"/>
        <w:spacing w:after="120"/>
      </w:pPr>
      <w:r w:rsidRPr="006D3A71">
        <w:t xml:space="preserve">The proposed algorithm was used to obtain the values of the </w:t>
      </w:r>
      <w:proofErr w:type="spellStart"/>
      <w:r w:rsidRPr="00766D0D">
        <w:rPr>
          <w:i/>
          <w:iCs/>
        </w:rPr>
        <w:t>x</w:t>
      </w:r>
      <w:r w:rsidRPr="00766D0D">
        <w:rPr>
          <w:vertAlign w:val="superscript"/>
        </w:rPr>
        <w:t>F</w:t>
      </w:r>
      <w:proofErr w:type="spellEnd"/>
      <w:r w:rsidRPr="006D3A71">
        <w:t xml:space="preserve"> parameters shown in Table 1. Regardless of the initial random value, the same optimal values were obtained in all 10,000 cases. Note that none of the values listed in Table 1 correspond to the optimal solution of the GDP problem or to the minimum of a particular disjunction with respect to the objective function. The values of the objective functions when solving the continuous relaxation of the corresponding MINLPs are 3.6604 for MHR and 5.1928 for </w:t>
      </w:r>
      <w:r w:rsidR="00560FD0">
        <w:t>MIR</w:t>
      </w:r>
      <w:r w:rsidRPr="006D3A71">
        <w:t xml:space="preserve">. Thus, in both cases, the continuous relaxation is tightened. The optimization of the </w:t>
      </w:r>
      <w:proofErr w:type="spellStart"/>
      <w:r w:rsidRPr="00766D0D">
        <w:rPr>
          <w:i/>
          <w:iCs/>
        </w:rPr>
        <w:t>x</w:t>
      </w:r>
      <w:r w:rsidRPr="00766D0D">
        <w:rPr>
          <w:vertAlign w:val="superscript"/>
        </w:rPr>
        <w:t>F</w:t>
      </w:r>
      <w:proofErr w:type="spellEnd"/>
      <w:r w:rsidRPr="006D3A71">
        <w:t xml:space="preserve"> parameters took on average 1 pass (2 NLPs) in the case of </w:t>
      </w:r>
      <w:r w:rsidR="00560FD0">
        <w:t>MIR</w:t>
      </w:r>
      <w:r w:rsidRPr="006D3A71">
        <w:t xml:space="preserve"> and 3 passes (6 NLPs) in the case of MHR.</w:t>
      </w:r>
      <w:r w:rsidR="00594A45">
        <w:t xml:space="preserve"> </w:t>
      </w:r>
      <w:r w:rsidRPr="00B50863">
        <w:t xml:space="preserve">As a sidenote, the optimal values of the </w:t>
      </w:r>
      <w:proofErr w:type="spellStart"/>
      <w:r w:rsidRPr="00766D0D">
        <w:rPr>
          <w:i/>
          <w:iCs/>
        </w:rPr>
        <w:t>x</w:t>
      </w:r>
      <w:r w:rsidRPr="00766D0D">
        <w:rPr>
          <w:vertAlign w:val="superscript"/>
        </w:rPr>
        <w:t>F</w:t>
      </w:r>
      <w:proofErr w:type="spellEnd"/>
      <w:r w:rsidRPr="00B50863">
        <w:t xml:space="preserve"> parameters can also be determined by iteratively solving the convex</w:t>
      </w:r>
      <w:r>
        <w:t>,</w:t>
      </w:r>
      <w:r w:rsidRPr="00B50863">
        <w:t xml:space="preserve"> relaxed MINLP</w:t>
      </w:r>
      <w:r w:rsidR="00CF3C29">
        <w:t xml:space="preserve"> alone</w:t>
      </w:r>
      <w:r w:rsidRPr="00B50863">
        <w:t xml:space="preserve">. In our experience, however, up to 20 NLPs must be solved before the algorithm terminates. This is not problematic for the small example considered in this paper but can contribute significantly to the solution time </w:t>
      </w:r>
      <w:r w:rsidR="002933C1">
        <w:t>of</w:t>
      </w:r>
      <w:r w:rsidRPr="00B50863">
        <w:t xml:space="preserve"> larger problems.</w:t>
      </w:r>
    </w:p>
    <w:p w14:paraId="2D446798" w14:textId="77777777" w:rsidR="002C3A2F" w:rsidRDefault="002C3A2F" w:rsidP="007F28E9">
      <w:pPr>
        <w:pStyle w:val="Els-caption"/>
      </w:pPr>
      <w:r w:rsidRPr="00774FC7">
        <w:rPr>
          <w:b/>
          <w:bCs/>
        </w:rPr>
        <w:t>Table 1:</w:t>
      </w:r>
      <w:r>
        <w:t xml:space="preserve"> Values of optimal </w:t>
      </w:r>
      <w:proofErr w:type="spellStart"/>
      <w:r w:rsidRPr="00766D0D">
        <w:rPr>
          <w:i/>
          <w:iCs/>
        </w:rPr>
        <w:t>x</w:t>
      </w:r>
      <w:r w:rsidRPr="00766D0D">
        <w:rPr>
          <w:vertAlign w:val="superscript"/>
        </w:rPr>
        <w:t>F</w:t>
      </w:r>
      <w:proofErr w:type="spellEnd"/>
      <w:r>
        <w:t xml:space="preserve"> parameters.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666"/>
        <w:gridCol w:w="666"/>
        <w:gridCol w:w="666"/>
        <w:gridCol w:w="766"/>
        <w:gridCol w:w="666"/>
        <w:gridCol w:w="666"/>
      </w:tblGrid>
      <w:tr w:rsidR="00D31826" w:rsidRPr="00D31826" w14:paraId="2402947F" w14:textId="77777777" w:rsidTr="00D015F2">
        <w:tc>
          <w:tcPr>
            <w:tcW w:w="0" w:type="auto"/>
            <w:gridSpan w:val="7"/>
            <w:tcBorders>
              <w:top w:val="single" w:sz="4" w:space="0" w:color="auto"/>
              <w:bottom w:val="single" w:sz="4" w:space="0" w:color="auto"/>
            </w:tcBorders>
          </w:tcPr>
          <w:p w14:paraId="344707CA" w14:textId="77777777" w:rsidR="002C3A2F" w:rsidRPr="00D31826" w:rsidRDefault="002C3A2F" w:rsidP="00D31826">
            <w:pPr>
              <w:pStyle w:val="Els-body-text"/>
              <w:jc w:val="center"/>
              <w:rPr>
                <w:rFonts w:ascii="Times New Roman" w:hAnsi="Times New Roman" w:cs="Times New Roman"/>
                <w:b/>
                <w:bCs/>
                <w:sz w:val="20"/>
                <w:szCs w:val="20"/>
              </w:rPr>
            </w:pPr>
            <w:r w:rsidRPr="00D31826">
              <w:rPr>
                <w:rFonts w:ascii="Times New Roman" w:hAnsi="Times New Roman" w:cs="Times New Roman"/>
                <w:b/>
                <w:bCs/>
                <w:sz w:val="20"/>
                <w:szCs w:val="20"/>
              </w:rPr>
              <w:t>MHR</w:t>
            </w:r>
          </w:p>
        </w:tc>
      </w:tr>
      <w:tr w:rsidR="004B72ED" w:rsidRPr="00D31826" w14:paraId="4EEC98E7" w14:textId="77777777" w:rsidTr="00D015F2">
        <w:tc>
          <w:tcPr>
            <w:tcW w:w="0" w:type="auto"/>
            <w:tcBorders>
              <w:top w:val="single" w:sz="4" w:space="0" w:color="auto"/>
              <w:bottom w:val="single" w:sz="4" w:space="0" w:color="auto"/>
            </w:tcBorders>
          </w:tcPr>
          <w:p w14:paraId="120783E3" w14:textId="7A48B439" w:rsidR="002C3A2F" w:rsidRPr="00D31826" w:rsidRDefault="002C3A2F" w:rsidP="002F420C">
            <w:pPr>
              <w:jc w:val="center"/>
              <w:rPr>
                <w:rFonts w:ascii="Times New Roman" w:hAnsi="Times New Roman" w:cs="Times New Roman"/>
                <w:b/>
                <w:bCs/>
                <w:sz w:val="20"/>
                <w:szCs w:val="20"/>
              </w:rPr>
            </w:pPr>
            <w:proofErr w:type="spellStart"/>
            <w:proofErr w:type="gramStart"/>
            <w:r w:rsidRPr="00D31826">
              <w:rPr>
                <w:rFonts w:ascii="Times New Roman" w:hAnsi="Times New Roman" w:cs="Times New Roman"/>
                <w:b/>
                <w:bCs/>
                <w:i/>
                <w:iCs/>
                <w:sz w:val="20"/>
                <w:szCs w:val="20"/>
              </w:rPr>
              <w:t>x</w:t>
            </w:r>
            <w:r w:rsidRPr="00D31826">
              <w:rPr>
                <w:rFonts w:ascii="Times New Roman" w:hAnsi="Times New Roman" w:cs="Times New Roman"/>
                <w:b/>
                <w:bCs/>
                <w:sz w:val="20"/>
                <w:szCs w:val="20"/>
                <w:vertAlign w:val="superscript"/>
              </w:rPr>
              <w:t>F</w:t>
            </w:r>
            <w:r w:rsidR="005A7466">
              <w:rPr>
                <w:rFonts w:ascii="Times New Roman" w:hAnsi="Times New Roman" w:cs="Times New Roman"/>
                <w:b/>
                <w:bCs/>
                <w:i/>
                <w:iCs/>
                <w:sz w:val="20"/>
                <w:szCs w:val="20"/>
                <w:vertAlign w:val="subscript"/>
              </w:rPr>
              <w:t>i</w:t>
            </w:r>
            <w:r w:rsidRPr="00D31826">
              <w:rPr>
                <w:rFonts w:ascii="Times New Roman" w:hAnsi="Times New Roman" w:cs="Times New Roman"/>
                <w:b/>
                <w:bCs/>
                <w:i/>
                <w:iCs/>
                <w:sz w:val="20"/>
                <w:szCs w:val="20"/>
                <w:vertAlign w:val="subscript"/>
              </w:rPr>
              <w:t>,</w:t>
            </w:r>
            <w:r w:rsidR="005A7466">
              <w:rPr>
                <w:rFonts w:ascii="Times New Roman" w:hAnsi="Times New Roman" w:cs="Times New Roman"/>
                <w:b/>
                <w:bCs/>
                <w:i/>
                <w:iCs/>
                <w:sz w:val="20"/>
                <w:szCs w:val="20"/>
                <w:vertAlign w:val="subscript"/>
              </w:rPr>
              <w:t>j</w:t>
            </w:r>
            <w:proofErr w:type="spellEnd"/>
            <w:proofErr w:type="gramEnd"/>
          </w:p>
        </w:tc>
        <w:tc>
          <w:tcPr>
            <w:tcW w:w="0" w:type="auto"/>
            <w:tcBorders>
              <w:top w:val="single" w:sz="4" w:space="0" w:color="auto"/>
              <w:bottom w:val="single" w:sz="4" w:space="0" w:color="auto"/>
            </w:tcBorders>
          </w:tcPr>
          <w:p w14:paraId="455B5456" w14:textId="77777777" w:rsidR="002C3A2F" w:rsidRPr="00D31826" w:rsidRDefault="002C3A2F" w:rsidP="002F420C">
            <w:pPr>
              <w:pStyle w:val="Els-body-text"/>
              <w:jc w:val="center"/>
              <w:rPr>
                <w:rFonts w:ascii="Times New Roman" w:hAnsi="Times New Roman" w:cs="Times New Roman"/>
                <w:sz w:val="20"/>
                <w:szCs w:val="20"/>
              </w:rPr>
            </w:pPr>
            <w:r w:rsidRPr="00D84026">
              <w:rPr>
                <w:rFonts w:ascii="Times New Roman" w:hAnsi="Times New Roman" w:cs="Times New Roman"/>
                <w:i/>
                <w:iCs/>
                <w:sz w:val="20"/>
                <w:szCs w:val="20"/>
              </w:rPr>
              <w:t>x</w:t>
            </w:r>
            <w:r w:rsidRPr="00D84026">
              <w:rPr>
                <w:rFonts w:ascii="Times New Roman" w:hAnsi="Times New Roman" w:cs="Times New Roman"/>
                <w:sz w:val="20"/>
                <w:szCs w:val="20"/>
                <w:vertAlign w:val="superscript"/>
              </w:rPr>
              <w:t>F</w:t>
            </w:r>
            <w:r w:rsidRPr="00D84026">
              <w:rPr>
                <w:rFonts w:ascii="Times New Roman" w:hAnsi="Times New Roman" w:cs="Times New Roman"/>
                <w:sz w:val="20"/>
                <w:szCs w:val="20"/>
                <w:vertAlign w:val="subscript"/>
              </w:rPr>
              <w:t>1,1</w:t>
            </w:r>
          </w:p>
        </w:tc>
        <w:tc>
          <w:tcPr>
            <w:tcW w:w="0" w:type="auto"/>
            <w:tcBorders>
              <w:top w:val="single" w:sz="4" w:space="0" w:color="auto"/>
              <w:bottom w:val="single" w:sz="4" w:space="0" w:color="auto"/>
            </w:tcBorders>
          </w:tcPr>
          <w:p w14:paraId="5BBF3BE9" w14:textId="77777777" w:rsidR="002C3A2F" w:rsidRPr="00D31826" w:rsidRDefault="002C3A2F" w:rsidP="002F420C">
            <w:pPr>
              <w:pStyle w:val="Els-body-text"/>
              <w:jc w:val="center"/>
              <w:rPr>
                <w:rFonts w:ascii="Times New Roman" w:hAnsi="Times New Roman" w:cs="Times New Roman"/>
                <w:sz w:val="20"/>
                <w:szCs w:val="20"/>
              </w:rPr>
            </w:pPr>
            <w:r w:rsidRPr="00D84026">
              <w:rPr>
                <w:rFonts w:ascii="Times New Roman" w:hAnsi="Times New Roman" w:cs="Times New Roman"/>
                <w:i/>
                <w:iCs/>
                <w:sz w:val="20"/>
                <w:szCs w:val="20"/>
              </w:rPr>
              <w:t>x</w:t>
            </w:r>
            <w:r w:rsidRPr="00D84026">
              <w:rPr>
                <w:rFonts w:ascii="Times New Roman" w:hAnsi="Times New Roman" w:cs="Times New Roman"/>
                <w:sz w:val="20"/>
                <w:szCs w:val="20"/>
                <w:vertAlign w:val="superscript"/>
              </w:rPr>
              <w:t>F</w:t>
            </w:r>
            <w:r w:rsidRPr="00D84026">
              <w:rPr>
                <w:rFonts w:ascii="Times New Roman" w:hAnsi="Times New Roman" w:cs="Times New Roman"/>
                <w:sz w:val="20"/>
                <w:szCs w:val="20"/>
                <w:vertAlign w:val="subscript"/>
              </w:rPr>
              <w:t>1,2</w:t>
            </w:r>
          </w:p>
        </w:tc>
        <w:tc>
          <w:tcPr>
            <w:tcW w:w="0" w:type="auto"/>
            <w:tcBorders>
              <w:top w:val="single" w:sz="4" w:space="0" w:color="auto"/>
              <w:bottom w:val="single" w:sz="4" w:space="0" w:color="auto"/>
            </w:tcBorders>
          </w:tcPr>
          <w:p w14:paraId="526A3D39" w14:textId="77777777" w:rsidR="002C3A2F" w:rsidRPr="00D31826" w:rsidRDefault="002C3A2F" w:rsidP="002F420C">
            <w:pPr>
              <w:pStyle w:val="Els-body-text"/>
              <w:jc w:val="center"/>
              <w:rPr>
                <w:rFonts w:ascii="Times New Roman" w:hAnsi="Times New Roman" w:cs="Times New Roman"/>
                <w:sz w:val="20"/>
                <w:szCs w:val="20"/>
              </w:rPr>
            </w:pPr>
            <w:r w:rsidRPr="00D84026">
              <w:rPr>
                <w:rFonts w:ascii="Times New Roman" w:hAnsi="Times New Roman" w:cs="Times New Roman"/>
                <w:i/>
                <w:iCs/>
                <w:sz w:val="20"/>
                <w:szCs w:val="20"/>
              </w:rPr>
              <w:t>x</w:t>
            </w:r>
            <w:r w:rsidRPr="00D84026">
              <w:rPr>
                <w:rFonts w:ascii="Times New Roman" w:hAnsi="Times New Roman" w:cs="Times New Roman"/>
                <w:sz w:val="20"/>
                <w:szCs w:val="20"/>
                <w:vertAlign w:val="superscript"/>
              </w:rPr>
              <w:t>F</w:t>
            </w:r>
            <w:r w:rsidRPr="00D84026">
              <w:rPr>
                <w:rFonts w:ascii="Times New Roman" w:hAnsi="Times New Roman" w:cs="Times New Roman"/>
                <w:sz w:val="20"/>
                <w:szCs w:val="20"/>
                <w:vertAlign w:val="subscript"/>
              </w:rPr>
              <w:t>1,3</w:t>
            </w:r>
          </w:p>
        </w:tc>
        <w:tc>
          <w:tcPr>
            <w:tcW w:w="0" w:type="auto"/>
            <w:tcBorders>
              <w:top w:val="single" w:sz="4" w:space="0" w:color="auto"/>
              <w:bottom w:val="single" w:sz="4" w:space="0" w:color="auto"/>
            </w:tcBorders>
          </w:tcPr>
          <w:p w14:paraId="50BB9CE8" w14:textId="77777777" w:rsidR="002C3A2F" w:rsidRPr="00D31826" w:rsidRDefault="002C3A2F" w:rsidP="002F420C">
            <w:pPr>
              <w:pStyle w:val="Els-body-text"/>
              <w:jc w:val="center"/>
              <w:rPr>
                <w:rFonts w:ascii="Times New Roman" w:hAnsi="Times New Roman" w:cs="Times New Roman"/>
                <w:sz w:val="20"/>
                <w:szCs w:val="20"/>
              </w:rPr>
            </w:pPr>
            <w:r w:rsidRPr="00D84026">
              <w:rPr>
                <w:rFonts w:ascii="Times New Roman" w:hAnsi="Times New Roman" w:cs="Times New Roman"/>
                <w:i/>
                <w:iCs/>
                <w:sz w:val="20"/>
                <w:szCs w:val="20"/>
              </w:rPr>
              <w:t>x</w:t>
            </w:r>
            <w:r w:rsidRPr="00D84026">
              <w:rPr>
                <w:rFonts w:ascii="Times New Roman" w:hAnsi="Times New Roman" w:cs="Times New Roman"/>
                <w:sz w:val="20"/>
                <w:szCs w:val="20"/>
                <w:vertAlign w:val="superscript"/>
              </w:rPr>
              <w:t>F</w:t>
            </w:r>
            <w:r w:rsidRPr="00D84026">
              <w:rPr>
                <w:rFonts w:ascii="Times New Roman" w:hAnsi="Times New Roman" w:cs="Times New Roman"/>
                <w:sz w:val="20"/>
                <w:szCs w:val="20"/>
                <w:vertAlign w:val="subscript"/>
              </w:rPr>
              <w:t>2,1</w:t>
            </w:r>
          </w:p>
        </w:tc>
        <w:tc>
          <w:tcPr>
            <w:tcW w:w="0" w:type="auto"/>
            <w:tcBorders>
              <w:top w:val="single" w:sz="4" w:space="0" w:color="auto"/>
              <w:bottom w:val="single" w:sz="4" w:space="0" w:color="auto"/>
            </w:tcBorders>
          </w:tcPr>
          <w:p w14:paraId="487F4B05" w14:textId="77777777" w:rsidR="002C3A2F" w:rsidRPr="00D31826" w:rsidRDefault="002C3A2F" w:rsidP="002F420C">
            <w:pPr>
              <w:pStyle w:val="Els-body-text"/>
              <w:jc w:val="center"/>
              <w:rPr>
                <w:rFonts w:ascii="Times New Roman" w:hAnsi="Times New Roman" w:cs="Times New Roman"/>
                <w:sz w:val="20"/>
                <w:szCs w:val="20"/>
              </w:rPr>
            </w:pPr>
            <w:r w:rsidRPr="00D84026">
              <w:rPr>
                <w:rFonts w:ascii="Times New Roman" w:hAnsi="Times New Roman" w:cs="Times New Roman"/>
                <w:i/>
                <w:iCs/>
                <w:sz w:val="20"/>
                <w:szCs w:val="20"/>
              </w:rPr>
              <w:t>x</w:t>
            </w:r>
            <w:r w:rsidRPr="00D84026">
              <w:rPr>
                <w:rFonts w:ascii="Times New Roman" w:hAnsi="Times New Roman" w:cs="Times New Roman"/>
                <w:sz w:val="20"/>
                <w:szCs w:val="20"/>
                <w:vertAlign w:val="superscript"/>
              </w:rPr>
              <w:t>F</w:t>
            </w:r>
            <w:r w:rsidRPr="00D84026">
              <w:rPr>
                <w:rFonts w:ascii="Times New Roman" w:hAnsi="Times New Roman" w:cs="Times New Roman"/>
                <w:sz w:val="20"/>
                <w:szCs w:val="20"/>
                <w:vertAlign w:val="subscript"/>
              </w:rPr>
              <w:t>2,2</w:t>
            </w:r>
          </w:p>
        </w:tc>
        <w:tc>
          <w:tcPr>
            <w:tcW w:w="0" w:type="auto"/>
            <w:tcBorders>
              <w:top w:val="single" w:sz="4" w:space="0" w:color="auto"/>
              <w:bottom w:val="single" w:sz="4" w:space="0" w:color="auto"/>
            </w:tcBorders>
          </w:tcPr>
          <w:p w14:paraId="566DD761" w14:textId="77777777" w:rsidR="002C3A2F" w:rsidRPr="00D31826" w:rsidRDefault="002C3A2F" w:rsidP="002F420C">
            <w:pPr>
              <w:pStyle w:val="Els-body-text"/>
              <w:jc w:val="center"/>
              <w:rPr>
                <w:rFonts w:ascii="Times New Roman" w:hAnsi="Times New Roman" w:cs="Times New Roman"/>
                <w:sz w:val="20"/>
                <w:szCs w:val="20"/>
              </w:rPr>
            </w:pPr>
            <w:r w:rsidRPr="00D84026">
              <w:rPr>
                <w:rFonts w:ascii="Times New Roman" w:hAnsi="Times New Roman" w:cs="Times New Roman"/>
                <w:i/>
                <w:iCs/>
                <w:sz w:val="20"/>
                <w:szCs w:val="20"/>
              </w:rPr>
              <w:t>x</w:t>
            </w:r>
            <w:r w:rsidRPr="00D84026">
              <w:rPr>
                <w:rFonts w:ascii="Times New Roman" w:hAnsi="Times New Roman" w:cs="Times New Roman"/>
                <w:sz w:val="20"/>
                <w:szCs w:val="20"/>
                <w:vertAlign w:val="superscript"/>
              </w:rPr>
              <w:t>F</w:t>
            </w:r>
            <w:r w:rsidRPr="00D84026">
              <w:rPr>
                <w:rFonts w:ascii="Times New Roman" w:hAnsi="Times New Roman" w:cs="Times New Roman"/>
                <w:sz w:val="20"/>
                <w:szCs w:val="20"/>
                <w:vertAlign w:val="subscript"/>
              </w:rPr>
              <w:t>2,3</w:t>
            </w:r>
          </w:p>
        </w:tc>
      </w:tr>
      <w:tr w:rsidR="004B72ED" w:rsidRPr="00D31826" w14:paraId="6E044A9F" w14:textId="77777777" w:rsidTr="00D015F2">
        <w:tc>
          <w:tcPr>
            <w:tcW w:w="0" w:type="auto"/>
            <w:tcBorders>
              <w:top w:val="single" w:sz="4" w:space="0" w:color="auto"/>
              <w:bottom w:val="single" w:sz="4" w:space="0" w:color="auto"/>
            </w:tcBorders>
          </w:tcPr>
          <w:p w14:paraId="65B2A8A3" w14:textId="77777777" w:rsidR="002C3A2F" w:rsidRPr="00D31826" w:rsidRDefault="002C3A2F" w:rsidP="00D015F2">
            <w:pPr>
              <w:rPr>
                <w:rFonts w:ascii="Times New Roman" w:hAnsi="Times New Roman" w:cs="Times New Roman"/>
                <w:sz w:val="20"/>
                <w:szCs w:val="20"/>
              </w:rPr>
            </w:pPr>
          </w:p>
        </w:tc>
        <w:tc>
          <w:tcPr>
            <w:tcW w:w="0" w:type="auto"/>
            <w:tcBorders>
              <w:top w:val="single" w:sz="4" w:space="0" w:color="auto"/>
              <w:bottom w:val="single" w:sz="4" w:space="0" w:color="auto"/>
            </w:tcBorders>
          </w:tcPr>
          <w:p w14:paraId="11FC6370" w14:textId="77777777" w:rsidR="002C3A2F" w:rsidRPr="00D31826" w:rsidRDefault="002C3A2F" w:rsidP="00D31826">
            <w:pPr>
              <w:pStyle w:val="Els-body-text"/>
              <w:rPr>
                <w:rFonts w:ascii="Times New Roman" w:hAnsi="Times New Roman" w:cs="Times New Roman"/>
                <w:sz w:val="20"/>
                <w:szCs w:val="20"/>
              </w:rPr>
            </w:pPr>
            <w:r w:rsidRPr="00D31826">
              <w:rPr>
                <w:rFonts w:ascii="Times New Roman" w:hAnsi="Times New Roman" w:cs="Times New Roman"/>
                <w:sz w:val="20"/>
                <w:szCs w:val="20"/>
              </w:rPr>
              <w:t>0.811</w:t>
            </w:r>
          </w:p>
        </w:tc>
        <w:tc>
          <w:tcPr>
            <w:tcW w:w="0" w:type="auto"/>
            <w:tcBorders>
              <w:top w:val="single" w:sz="4" w:space="0" w:color="auto"/>
              <w:bottom w:val="single" w:sz="4" w:space="0" w:color="auto"/>
            </w:tcBorders>
          </w:tcPr>
          <w:p w14:paraId="1A7F7A95" w14:textId="77777777" w:rsidR="002C3A2F" w:rsidRPr="00D31826" w:rsidRDefault="002C3A2F" w:rsidP="00D31826">
            <w:pPr>
              <w:pStyle w:val="Els-body-text"/>
              <w:rPr>
                <w:rFonts w:ascii="Times New Roman" w:hAnsi="Times New Roman" w:cs="Times New Roman"/>
                <w:sz w:val="20"/>
                <w:szCs w:val="20"/>
              </w:rPr>
            </w:pPr>
            <w:r w:rsidRPr="00D31826">
              <w:rPr>
                <w:rFonts w:ascii="Times New Roman" w:hAnsi="Times New Roman" w:cs="Times New Roman"/>
                <w:sz w:val="20"/>
                <w:szCs w:val="20"/>
              </w:rPr>
              <w:t>0.989</w:t>
            </w:r>
          </w:p>
        </w:tc>
        <w:tc>
          <w:tcPr>
            <w:tcW w:w="0" w:type="auto"/>
            <w:tcBorders>
              <w:top w:val="single" w:sz="4" w:space="0" w:color="auto"/>
              <w:bottom w:val="single" w:sz="4" w:space="0" w:color="auto"/>
            </w:tcBorders>
          </w:tcPr>
          <w:p w14:paraId="278E7721" w14:textId="77777777" w:rsidR="002C3A2F" w:rsidRPr="00D31826" w:rsidRDefault="002C3A2F" w:rsidP="00D31826">
            <w:pPr>
              <w:pStyle w:val="Els-body-text"/>
              <w:rPr>
                <w:rFonts w:ascii="Times New Roman" w:hAnsi="Times New Roman" w:cs="Times New Roman"/>
                <w:sz w:val="20"/>
                <w:szCs w:val="20"/>
              </w:rPr>
            </w:pPr>
            <w:r w:rsidRPr="00D31826">
              <w:rPr>
                <w:rFonts w:ascii="Times New Roman" w:hAnsi="Times New Roman" w:cs="Times New Roman"/>
                <w:sz w:val="20"/>
                <w:szCs w:val="20"/>
              </w:rPr>
              <w:t>4.156</w:t>
            </w:r>
          </w:p>
        </w:tc>
        <w:tc>
          <w:tcPr>
            <w:tcW w:w="0" w:type="auto"/>
            <w:tcBorders>
              <w:top w:val="single" w:sz="4" w:space="0" w:color="auto"/>
              <w:bottom w:val="single" w:sz="4" w:space="0" w:color="auto"/>
            </w:tcBorders>
          </w:tcPr>
          <w:p w14:paraId="1F7CEE07" w14:textId="77777777" w:rsidR="002C3A2F" w:rsidRPr="00D31826" w:rsidRDefault="002C3A2F" w:rsidP="00D31826">
            <w:pPr>
              <w:pStyle w:val="Els-body-text"/>
              <w:rPr>
                <w:rFonts w:ascii="Times New Roman" w:hAnsi="Times New Roman" w:cs="Times New Roman"/>
                <w:sz w:val="20"/>
                <w:szCs w:val="20"/>
              </w:rPr>
            </w:pPr>
            <w:r w:rsidRPr="00D31826">
              <w:rPr>
                <w:rFonts w:ascii="Times New Roman" w:hAnsi="Times New Roman" w:cs="Times New Roman"/>
                <w:sz w:val="20"/>
                <w:szCs w:val="20"/>
              </w:rPr>
              <w:t>–0.932</w:t>
            </w:r>
          </w:p>
        </w:tc>
        <w:tc>
          <w:tcPr>
            <w:tcW w:w="0" w:type="auto"/>
            <w:tcBorders>
              <w:top w:val="single" w:sz="4" w:space="0" w:color="auto"/>
              <w:bottom w:val="single" w:sz="4" w:space="0" w:color="auto"/>
            </w:tcBorders>
          </w:tcPr>
          <w:p w14:paraId="16C44F7F" w14:textId="77777777" w:rsidR="002C3A2F" w:rsidRPr="00D31826" w:rsidRDefault="002C3A2F" w:rsidP="00D31826">
            <w:pPr>
              <w:pStyle w:val="Els-body-text"/>
              <w:rPr>
                <w:rFonts w:ascii="Times New Roman" w:hAnsi="Times New Roman" w:cs="Times New Roman"/>
                <w:sz w:val="20"/>
                <w:szCs w:val="20"/>
              </w:rPr>
            </w:pPr>
            <w:r w:rsidRPr="00D31826">
              <w:rPr>
                <w:rFonts w:ascii="Times New Roman" w:hAnsi="Times New Roman" w:cs="Times New Roman"/>
                <w:sz w:val="20"/>
                <w:szCs w:val="20"/>
              </w:rPr>
              <w:t>5.000</w:t>
            </w:r>
          </w:p>
        </w:tc>
        <w:tc>
          <w:tcPr>
            <w:tcW w:w="0" w:type="auto"/>
            <w:tcBorders>
              <w:top w:val="single" w:sz="4" w:space="0" w:color="auto"/>
              <w:bottom w:val="single" w:sz="4" w:space="0" w:color="auto"/>
            </w:tcBorders>
          </w:tcPr>
          <w:p w14:paraId="042A8385" w14:textId="77777777" w:rsidR="002C3A2F" w:rsidRPr="00D31826" w:rsidRDefault="002C3A2F" w:rsidP="00D31826">
            <w:pPr>
              <w:pStyle w:val="Els-body-text"/>
              <w:rPr>
                <w:rFonts w:ascii="Times New Roman" w:hAnsi="Times New Roman" w:cs="Times New Roman"/>
                <w:sz w:val="20"/>
                <w:szCs w:val="20"/>
              </w:rPr>
            </w:pPr>
            <w:r w:rsidRPr="00D31826">
              <w:rPr>
                <w:rFonts w:ascii="Times New Roman" w:hAnsi="Times New Roman" w:cs="Times New Roman"/>
                <w:sz w:val="20"/>
                <w:szCs w:val="20"/>
              </w:rPr>
              <w:t>2.012</w:t>
            </w:r>
          </w:p>
        </w:tc>
      </w:tr>
      <w:tr w:rsidR="00D31826" w:rsidRPr="00D31826" w14:paraId="30FE753D" w14:textId="77777777" w:rsidTr="00D015F2">
        <w:tc>
          <w:tcPr>
            <w:tcW w:w="0" w:type="auto"/>
            <w:gridSpan w:val="7"/>
            <w:tcBorders>
              <w:top w:val="single" w:sz="4" w:space="0" w:color="auto"/>
              <w:bottom w:val="single" w:sz="4" w:space="0" w:color="auto"/>
            </w:tcBorders>
          </w:tcPr>
          <w:p w14:paraId="35AFB6A4" w14:textId="0239523E" w:rsidR="002C3A2F" w:rsidRPr="00D31826" w:rsidRDefault="00560FD0" w:rsidP="00D31826">
            <w:pPr>
              <w:pStyle w:val="Els-body-text"/>
              <w:jc w:val="center"/>
              <w:rPr>
                <w:rFonts w:ascii="Times New Roman" w:hAnsi="Times New Roman" w:cs="Times New Roman"/>
                <w:b/>
                <w:bCs/>
                <w:sz w:val="20"/>
                <w:szCs w:val="20"/>
              </w:rPr>
            </w:pPr>
            <w:r>
              <w:rPr>
                <w:rFonts w:ascii="Times New Roman" w:hAnsi="Times New Roman" w:cs="Times New Roman"/>
                <w:b/>
                <w:bCs/>
                <w:sz w:val="20"/>
                <w:szCs w:val="20"/>
              </w:rPr>
              <w:t>MIR</w:t>
            </w:r>
          </w:p>
        </w:tc>
      </w:tr>
      <w:tr w:rsidR="00D84026" w:rsidRPr="00D31826" w14:paraId="458C068F" w14:textId="77777777" w:rsidTr="00D015F2">
        <w:tc>
          <w:tcPr>
            <w:tcW w:w="0" w:type="auto"/>
            <w:tcBorders>
              <w:top w:val="single" w:sz="4" w:space="0" w:color="auto"/>
              <w:bottom w:val="single" w:sz="4" w:space="0" w:color="auto"/>
            </w:tcBorders>
          </w:tcPr>
          <w:p w14:paraId="2CE47FD3" w14:textId="06332600" w:rsidR="00D84026" w:rsidRPr="00D31826" w:rsidRDefault="00D84026" w:rsidP="002F420C">
            <w:pPr>
              <w:jc w:val="center"/>
              <w:rPr>
                <w:rFonts w:ascii="Times New Roman" w:hAnsi="Times New Roman" w:cs="Times New Roman"/>
                <w:sz w:val="20"/>
                <w:szCs w:val="20"/>
              </w:rPr>
            </w:pPr>
            <w:proofErr w:type="spellStart"/>
            <w:proofErr w:type="gramStart"/>
            <w:r w:rsidRPr="00D31826">
              <w:rPr>
                <w:rFonts w:ascii="Times New Roman" w:hAnsi="Times New Roman" w:cs="Times New Roman"/>
                <w:b/>
                <w:bCs/>
                <w:i/>
                <w:iCs/>
                <w:sz w:val="20"/>
                <w:szCs w:val="20"/>
              </w:rPr>
              <w:t>x</w:t>
            </w:r>
            <w:r w:rsidRPr="00D31826">
              <w:rPr>
                <w:rFonts w:ascii="Times New Roman" w:hAnsi="Times New Roman" w:cs="Times New Roman"/>
                <w:b/>
                <w:bCs/>
                <w:sz w:val="20"/>
                <w:szCs w:val="20"/>
                <w:vertAlign w:val="superscript"/>
              </w:rPr>
              <w:t>F</w:t>
            </w:r>
            <w:r w:rsidR="005A7466">
              <w:rPr>
                <w:rFonts w:ascii="Times New Roman" w:hAnsi="Times New Roman" w:cs="Times New Roman"/>
                <w:b/>
                <w:bCs/>
                <w:i/>
                <w:iCs/>
                <w:sz w:val="20"/>
                <w:szCs w:val="20"/>
                <w:vertAlign w:val="subscript"/>
              </w:rPr>
              <w:t>i</w:t>
            </w:r>
            <w:r w:rsidRPr="00D31826">
              <w:rPr>
                <w:rFonts w:ascii="Times New Roman" w:hAnsi="Times New Roman" w:cs="Times New Roman"/>
                <w:b/>
                <w:bCs/>
                <w:i/>
                <w:iCs/>
                <w:sz w:val="20"/>
                <w:szCs w:val="20"/>
                <w:vertAlign w:val="subscript"/>
              </w:rPr>
              <w:t>,</w:t>
            </w:r>
            <w:r w:rsidR="005A7466">
              <w:rPr>
                <w:rFonts w:ascii="Times New Roman" w:hAnsi="Times New Roman" w:cs="Times New Roman"/>
                <w:b/>
                <w:bCs/>
                <w:i/>
                <w:iCs/>
                <w:sz w:val="20"/>
                <w:szCs w:val="20"/>
                <w:vertAlign w:val="subscript"/>
              </w:rPr>
              <w:t>j</w:t>
            </w:r>
            <w:proofErr w:type="spellEnd"/>
            <w:proofErr w:type="gramEnd"/>
          </w:p>
        </w:tc>
        <w:tc>
          <w:tcPr>
            <w:tcW w:w="0" w:type="auto"/>
            <w:tcBorders>
              <w:top w:val="single" w:sz="4" w:space="0" w:color="auto"/>
              <w:bottom w:val="single" w:sz="4" w:space="0" w:color="auto"/>
            </w:tcBorders>
          </w:tcPr>
          <w:p w14:paraId="55089340" w14:textId="58B02A23" w:rsidR="00D84026" w:rsidRPr="00D31826" w:rsidRDefault="00D84026" w:rsidP="002F420C">
            <w:pPr>
              <w:pStyle w:val="Els-body-text"/>
              <w:jc w:val="center"/>
              <w:rPr>
                <w:rFonts w:ascii="Times New Roman" w:hAnsi="Times New Roman" w:cs="Times New Roman"/>
                <w:sz w:val="20"/>
                <w:szCs w:val="20"/>
              </w:rPr>
            </w:pPr>
            <w:r w:rsidRPr="00D84026">
              <w:rPr>
                <w:rFonts w:ascii="Times New Roman" w:hAnsi="Times New Roman" w:cs="Times New Roman"/>
                <w:i/>
                <w:iCs/>
                <w:sz w:val="20"/>
                <w:szCs w:val="20"/>
              </w:rPr>
              <w:t>x</w:t>
            </w:r>
            <w:r w:rsidRPr="00D84026">
              <w:rPr>
                <w:rFonts w:ascii="Times New Roman" w:hAnsi="Times New Roman" w:cs="Times New Roman"/>
                <w:sz w:val="20"/>
                <w:szCs w:val="20"/>
                <w:vertAlign w:val="superscript"/>
              </w:rPr>
              <w:t>F</w:t>
            </w:r>
            <w:r w:rsidRPr="00D84026">
              <w:rPr>
                <w:rFonts w:ascii="Times New Roman" w:hAnsi="Times New Roman" w:cs="Times New Roman"/>
                <w:sz w:val="20"/>
                <w:szCs w:val="20"/>
                <w:vertAlign w:val="subscript"/>
              </w:rPr>
              <w:t>1,1</w:t>
            </w:r>
          </w:p>
        </w:tc>
        <w:tc>
          <w:tcPr>
            <w:tcW w:w="0" w:type="auto"/>
            <w:tcBorders>
              <w:top w:val="single" w:sz="4" w:space="0" w:color="auto"/>
              <w:bottom w:val="single" w:sz="4" w:space="0" w:color="auto"/>
            </w:tcBorders>
          </w:tcPr>
          <w:p w14:paraId="4505D0AC" w14:textId="27D148AC" w:rsidR="00D84026" w:rsidRPr="00D31826" w:rsidRDefault="00D84026" w:rsidP="002F420C">
            <w:pPr>
              <w:pStyle w:val="Els-body-text"/>
              <w:jc w:val="center"/>
              <w:rPr>
                <w:rFonts w:ascii="Times New Roman" w:hAnsi="Times New Roman" w:cs="Times New Roman"/>
                <w:sz w:val="20"/>
                <w:szCs w:val="20"/>
              </w:rPr>
            </w:pPr>
            <w:r w:rsidRPr="00D84026">
              <w:rPr>
                <w:rFonts w:ascii="Times New Roman" w:hAnsi="Times New Roman" w:cs="Times New Roman"/>
                <w:i/>
                <w:iCs/>
                <w:sz w:val="20"/>
                <w:szCs w:val="20"/>
              </w:rPr>
              <w:t>x</w:t>
            </w:r>
            <w:r w:rsidRPr="00D84026">
              <w:rPr>
                <w:rFonts w:ascii="Times New Roman" w:hAnsi="Times New Roman" w:cs="Times New Roman"/>
                <w:sz w:val="20"/>
                <w:szCs w:val="20"/>
                <w:vertAlign w:val="superscript"/>
              </w:rPr>
              <w:t>F</w:t>
            </w:r>
            <w:r w:rsidRPr="00D84026">
              <w:rPr>
                <w:rFonts w:ascii="Times New Roman" w:hAnsi="Times New Roman" w:cs="Times New Roman"/>
                <w:sz w:val="20"/>
                <w:szCs w:val="20"/>
                <w:vertAlign w:val="subscript"/>
              </w:rPr>
              <w:t>1,2</w:t>
            </w:r>
          </w:p>
        </w:tc>
        <w:tc>
          <w:tcPr>
            <w:tcW w:w="0" w:type="auto"/>
            <w:tcBorders>
              <w:top w:val="single" w:sz="4" w:space="0" w:color="auto"/>
              <w:bottom w:val="single" w:sz="4" w:space="0" w:color="auto"/>
            </w:tcBorders>
          </w:tcPr>
          <w:p w14:paraId="0B2328D6" w14:textId="3074F42C" w:rsidR="00D84026" w:rsidRPr="00D31826" w:rsidRDefault="00D84026" w:rsidP="002F420C">
            <w:pPr>
              <w:pStyle w:val="Els-body-text"/>
              <w:jc w:val="center"/>
              <w:rPr>
                <w:rFonts w:ascii="Times New Roman" w:hAnsi="Times New Roman" w:cs="Times New Roman"/>
                <w:sz w:val="20"/>
                <w:szCs w:val="20"/>
              </w:rPr>
            </w:pPr>
            <w:r w:rsidRPr="00D84026">
              <w:rPr>
                <w:rFonts w:ascii="Times New Roman" w:hAnsi="Times New Roman" w:cs="Times New Roman"/>
                <w:i/>
                <w:iCs/>
                <w:sz w:val="20"/>
                <w:szCs w:val="20"/>
              </w:rPr>
              <w:t>x</w:t>
            </w:r>
            <w:r w:rsidRPr="00D84026">
              <w:rPr>
                <w:rFonts w:ascii="Times New Roman" w:hAnsi="Times New Roman" w:cs="Times New Roman"/>
                <w:sz w:val="20"/>
                <w:szCs w:val="20"/>
                <w:vertAlign w:val="superscript"/>
              </w:rPr>
              <w:t>F</w:t>
            </w:r>
            <w:r w:rsidRPr="00D84026">
              <w:rPr>
                <w:rFonts w:ascii="Times New Roman" w:hAnsi="Times New Roman" w:cs="Times New Roman"/>
                <w:sz w:val="20"/>
                <w:szCs w:val="20"/>
                <w:vertAlign w:val="subscript"/>
              </w:rPr>
              <w:t>1,3</w:t>
            </w:r>
          </w:p>
        </w:tc>
        <w:tc>
          <w:tcPr>
            <w:tcW w:w="0" w:type="auto"/>
            <w:tcBorders>
              <w:top w:val="single" w:sz="4" w:space="0" w:color="auto"/>
              <w:bottom w:val="single" w:sz="4" w:space="0" w:color="auto"/>
            </w:tcBorders>
          </w:tcPr>
          <w:p w14:paraId="5EE23EC1" w14:textId="4192ED00" w:rsidR="00D84026" w:rsidRPr="00D31826" w:rsidRDefault="00D84026" w:rsidP="002F420C">
            <w:pPr>
              <w:pStyle w:val="Els-body-text"/>
              <w:jc w:val="center"/>
              <w:rPr>
                <w:rFonts w:ascii="Times New Roman" w:hAnsi="Times New Roman" w:cs="Times New Roman"/>
                <w:sz w:val="20"/>
                <w:szCs w:val="20"/>
              </w:rPr>
            </w:pPr>
            <w:r w:rsidRPr="00D84026">
              <w:rPr>
                <w:rFonts w:ascii="Times New Roman" w:hAnsi="Times New Roman" w:cs="Times New Roman"/>
                <w:i/>
                <w:iCs/>
                <w:sz w:val="20"/>
                <w:szCs w:val="20"/>
              </w:rPr>
              <w:t>x</w:t>
            </w:r>
            <w:r w:rsidRPr="00D84026">
              <w:rPr>
                <w:rFonts w:ascii="Times New Roman" w:hAnsi="Times New Roman" w:cs="Times New Roman"/>
                <w:sz w:val="20"/>
                <w:szCs w:val="20"/>
                <w:vertAlign w:val="superscript"/>
              </w:rPr>
              <w:t>F</w:t>
            </w:r>
            <w:r w:rsidRPr="00D84026">
              <w:rPr>
                <w:rFonts w:ascii="Times New Roman" w:hAnsi="Times New Roman" w:cs="Times New Roman"/>
                <w:sz w:val="20"/>
                <w:szCs w:val="20"/>
                <w:vertAlign w:val="subscript"/>
              </w:rPr>
              <w:t>2,1</w:t>
            </w:r>
          </w:p>
        </w:tc>
        <w:tc>
          <w:tcPr>
            <w:tcW w:w="0" w:type="auto"/>
            <w:tcBorders>
              <w:top w:val="single" w:sz="4" w:space="0" w:color="auto"/>
              <w:bottom w:val="single" w:sz="4" w:space="0" w:color="auto"/>
            </w:tcBorders>
          </w:tcPr>
          <w:p w14:paraId="288E67FA" w14:textId="1F407555" w:rsidR="00D84026" w:rsidRPr="00D31826" w:rsidRDefault="00D84026" w:rsidP="002F420C">
            <w:pPr>
              <w:pStyle w:val="Els-body-text"/>
              <w:jc w:val="center"/>
              <w:rPr>
                <w:rFonts w:ascii="Times New Roman" w:hAnsi="Times New Roman" w:cs="Times New Roman"/>
                <w:sz w:val="20"/>
                <w:szCs w:val="20"/>
              </w:rPr>
            </w:pPr>
            <w:r w:rsidRPr="00D84026">
              <w:rPr>
                <w:rFonts w:ascii="Times New Roman" w:hAnsi="Times New Roman" w:cs="Times New Roman"/>
                <w:i/>
                <w:iCs/>
                <w:sz w:val="20"/>
                <w:szCs w:val="20"/>
              </w:rPr>
              <w:t>x</w:t>
            </w:r>
            <w:r w:rsidRPr="00D84026">
              <w:rPr>
                <w:rFonts w:ascii="Times New Roman" w:hAnsi="Times New Roman" w:cs="Times New Roman"/>
                <w:sz w:val="20"/>
                <w:szCs w:val="20"/>
                <w:vertAlign w:val="superscript"/>
              </w:rPr>
              <w:t>F</w:t>
            </w:r>
            <w:r w:rsidRPr="00D84026">
              <w:rPr>
                <w:rFonts w:ascii="Times New Roman" w:hAnsi="Times New Roman" w:cs="Times New Roman"/>
                <w:sz w:val="20"/>
                <w:szCs w:val="20"/>
                <w:vertAlign w:val="subscript"/>
              </w:rPr>
              <w:t>2,2</w:t>
            </w:r>
          </w:p>
        </w:tc>
        <w:tc>
          <w:tcPr>
            <w:tcW w:w="0" w:type="auto"/>
            <w:tcBorders>
              <w:top w:val="single" w:sz="4" w:space="0" w:color="auto"/>
              <w:bottom w:val="single" w:sz="4" w:space="0" w:color="auto"/>
            </w:tcBorders>
          </w:tcPr>
          <w:p w14:paraId="7A37B0F1" w14:textId="268D2F5E" w:rsidR="00D84026" w:rsidRPr="00D31826" w:rsidRDefault="00D84026" w:rsidP="002F420C">
            <w:pPr>
              <w:pStyle w:val="Els-body-text"/>
              <w:jc w:val="center"/>
              <w:rPr>
                <w:rFonts w:ascii="Times New Roman" w:hAnsi="Times New Roman" w:cs="Times New Roman"/>
                <w:sz w:val="20"/>
                <w:szCs w:val="20"/>
              </w:rPr>
            </w:pPr>
            <w:r w:rsidRPr="00D84026">
              <w:rPr>
                <w:rFonts w:ascii="Times New Roman" w:hAnsi="Times New Roman" w:cs="Times New Roman"/>
                <w:i/>
                <w:iCs/>
                <w:sz w:val="20"/>
                <w:szCs w:val="20"/>
              </w:rPr>
              <w:t>x</w:t>
            </w:r>
            <w:r w:rsidRPr="00D84026">
              <w:rPr>
                <w:rFonts w:ascii="Times New Roman" w:hAnsi="Times New Roman" w:cs="Times New Roman"/>
                <w:sz w:val="20"/>
                <w:szCs w:val="20"/>
                <w:vertAlign w:val="superscript"/>
              </w:rPr>
              <w:t>F</w:t>
            </w:r>
            <w:r w:rsidRPr="00D84026">
              <w:rPr>
                <w:rFonts w:ascii="Times New Roman" w:hAnsi="Times New Roman" w:cs="Times New Roman"/>
                <w:sz w:val="20"/>
                <w:szCs w:val="20"/>
                <w:vertAlign w:val="subscript"/>
              </w:rPr>
              <w:t>2,3</w:t>
            </w:r>
          </w:p>
        </w:tc>
      </w:tr>
      <w:tr w:rsidR="00D31826" w:rsidRPr="00D31826" w14:paraId="14532D07" w14:textId="77777777" w:rsidTr="00D015F2">
        <w:tc>
          <w:tcPr>
            <w:tcW w:w="0" w:type="auto"/>
            <w:tcBorders>
              <w:top w:val="single" w:sz="4" w:space="0" w:color="auto"/>
              <w:bottom w:val="single" w:sz="4" w:space="0" w:color="auto"/>
            </w:tcBorders>
          </w:tcPr>
          <w:p w14:paraId="27E48347" w14:textId="77777777" w:rsidR="002C3A2F" w:rsidRPr="00D31826" w:rsidRDefault="002C3A2F" w:rsidP="00D015F2">
            <w:pPr>
              <w:rPr>
                <w:rFonts w:ascii="Times New Roman" w:hAnsi="Times New Roman" w:cs="Times New Roman"/>
                <w:sz w:val="20"/>
                <w:szCs w:val="20"/>
              </w:rPr>
            </w:pPr>
          </w:p>
        </w:tc>
        <w:tc>
          <w:tcPr>
            <w:tcW w:w="0" w:type="auto"/>
            <w:tcBorders>
              <w:top w:val="single" w:sz="4" w:space="0" w:color="auto"/>
              <w:bottom w:val="single" w:sz="4" w:space="0" w:color="auto"/>
            </w:tcBorders>
          </w:tcPr>
          <w:p w14:paraId="048D00C8" w14:textId="77777777" w:rsidR="002C3A2F" w:rsidRPr="00D31826" w:rsidRDefault="002C3A2F" w:rsidP="00D31826">
            <w:pPr>
              <w:pStyle w:val="Els-body-text"/>
              <w:rPr>
                <w:rFonts w:ascii="Times New Roman" w:hAnsi="Times New Roman" w:cs="Times New Roman"/>
                <w:sz w:val="20"/>
                <w:szCs w:val="20"/>
              </w:rPr>
            </w:pPr>
            <w:r w:rsidRPr="00D31826">
              <w:rPr>
                <w:rFonts w:ascii="Times New Roman" w:hAnsi="Times New Roman" w:cs="Times New Roman"/>
                <w:sz w:val="20"/>
                <w:szCs w:val="20"/>
              </w:rPr>
              <w:t>0.305</w:t>
            </w:r>
          </w:p>
        </w:tc>
        <w:tc>
          <w:tcPr>
            <w:tcW w:w="0" w:type="auto"/>
            <w:tcBorders>
              <w:top w:val="single" w:sz="4" w:space="0" w:color="auto"/>
              <w:bottom w:val="single" w:sz="4" w:space="0" w:color="auto"/>
            </w:tcBorders>
          </w:tcPr>
          <w:p w14:paraId="30639ECC" w14:textId="77777777" w:rsidR="002C3A2F" w:rsidRPr="00D31826" w:rsidRDefault="002C3A2F" w:rsidP="00D31826">
            <w:pPr>
              <w:pStyle w:val="Els-body-text"/>
              <w:rPr>
                <w:rFonts w:ascii="Times New Roman" w:hAnsi="Times New Roman" w:cs="Times New Roman"/>
                <w:sz w:val="20"/>
                <w:szCs w:val="20"/>
              </w:rPr>
            </w:pPr>
            <w:r w:rsidRPr="00D31826">
              <w:rPr>
                <w:rFonts w:ascii="Times New Roman" w:hAnsi="Times New Roman" w:cs="Times New Roman"/>
                <w:sz w:val="20"/>
                <w:szCs w:val="20"/>
              </w:rPr>
              <w:t>3.206</w:t>
            </w:r>
          </w:p>
        </w:tc>
        <w:tc>
          <w:tcPr>
            <w:tcW w:w="0" w:type="auto"/>
            <w:tcBorders>
              <w:top w:val="single" w:sz="4" w:space="0" w:color="auto"/>
              <w:bottom w:val="single" w:sz="4" w:space="0" w:color="auto"/>
            </w:tcBorders>
          </w:tcPr>
          <w:p w14:paraId="78CFBD0A" w14:textId="77777777" w:rsidR="002C3A2F" w:rsidRPr="00D31826" w:rsidRDefault="002C3A2F" w:rsidP="00D31826">
            <w:pPr>
              <w:pStyle w:val="Els-body-text"/>
              <w:rPr>
                <w:rFonts w:ascii="Times New Roman" w:hAnsi="Times New Roman" w:cs="Times New Roman"/>
                <w:sz w:val="20"/>
                <w:szCs w:val="20"/>
              </w:rPr>
            </w:pPr>
            <w:r w:rsidRPr="00D31826">
              <w:rPr>
                <w:rFonts w:ascii="Times New Roman" w:hAnsi="Times New Roman" w:cs="Times New Roman"/>
                <w:sz w:val="20"/>
                <w:szCs w:val="20"/>
              </w:rPr>
              <w:t>6.050</w:t>
            </w:r>
          </w:p>
        </w:tc>
        <w:tc>
          <w:tcPr>
            <w:tcW w:w="0" w:type="auto"/>
            <w:tcBorders>
              <w:top w:val="single" w:sz="4" w:space="0" w:color="auto"/>
              <w:bottom w:val="single" w:sz="4" w:space="0" w:color="auto"/>
            </w:tcBorders>
          </w:tcPr>
          <w:p w14:paraId="54942D08" w14:textId="77777777" w:rsidR="002C3A2F" w:rsidRPr="00D31826" w:rsidRDefault="002C3A2F" w:rsidP="00D31826">
            <w:pPr>
              <w:pStyle w:val="Els-body-text"/>
              <w:rPr>
                <w:rFonts w:ascii="Times New Roman" w:hAnsi="Times New Roman" w:cs="Times New Roman"/>
                <w:sz w:val="20"/>
                <w:szCs w:val="20"/>
              </w:rPr>
            </w:pPr>
            <w:r w:rsidRPr="00D31826">
              <w:rPr>
                <w:rFonts w:ascii="Times New Roman" w:hAnsi="Times New Roman" w:cs="Times New Roman"/>
                <w:sz w:val="20"/>
                <w:szCs w:val="20"/>
              </w:rPr>
              <w:t>–0.516</w:t>
            </w:r>
          </w:p>
        </w:tc>
        <w:tc>
          <w:tcPr>
            <w:tcW w:w="0" w:type="auto"/>
            <w:tcBorders>
              <w:top w:val="single" w:sz="4" w:space="0" w:color="auto"/>
              <w:bottom w:val="single" w:sz="4" w:space="0" w:color="auto"/>
            </w:tcBorders>
          </w:tcPr>
          <w:p w14:paraId="5390643F" w14:textId="77777777" w:rsidR="002C3A2F" w:rsidRPr="00D31826" w:rsidRDefault="002C3A2F" w:rsidP="00D31826">
            <w:pPr>
              <w:pStyle w:val="Els-body-text"/>
              <w:rPr>
                <w:rFonts w:ascii="Times New Roman" w:hAnsi="Times New Roman" w:cs="Times New Roman"/>
                <w:sz w:val="20"/>
                <w:szCs w:val="20"/>
              </w:rPr>
            </w:pPr>
            <w:r w:rsidRPr="00D31826">
              <w:rPr>
                <w:rFonts w:ascii="Times New Roman" w:hAnsi="Times New Roman" w:cs="Times New Roman"/>
                <w:sz w:val="20"/>
                <w:szCs w:val="20"/>
              </w:rPr>
              <w:t>4.685</w:t>
            </w:r>
          </w:p>
        </w:tc>
        <w:tc>
          <w:tcPr>
            <w:tcW w:w="0" w:type="auto"/>
            <w:tcBorders>
              <w:top w:val="single" w:sz="4" w:space="0" w:color="auto"/>
              <w:bottom w:val="single" w:sz="4" w:space="0" w:color="auto"/>
            </w:tcBorders>
          </w:tcPr>
          <w:p w14:paraId="6562A4A5" w14:textId="77777777" w:rsidR="002C3A2F" w:rsidRPr="00D31826" w:rsidRDefault="002C3A2F" w:rsidP="00D31826">
            <w:pPr>
              <w:pStyle w:val="Els-body-text"/>
              <w:rPr>
                <w:rFonts w:ascii="Times New Roman" w:hAnsi="Times New Roman" w:cs="Times New Roman"/>
                <w:sz w:val="20"/>
                <w:szCs w:val="20"/>
              </w:rPr>
            </w:pPr>
            <w:r w:rsidRPr="00D31826">
              <w:rPr>
                <w:rFonts w:ascii="Times New Roman" w:hAnsi="Times New Roman" w:cs="Times New Roman"/>
                <w:sz w:val="20"/>
                <w:szCs w:val="20"/>
              </w:rPr>
              <w:t>1.702</w:t>
            </w:r>
          </w:p>
        </w:tc>
      </w:tr>
    </w:tbl>
    <w:p w14:paraId="5C06BECF" w14:textId="77777777" w:rsidR="0092494D" w:rsidRDefault="0092494D" w:rsidP="0092494D">
      <w:pPr>
        <w:pStyle w:val="Els-body-text"/>
        <w:rPr>
          <w:lang w:val="en-GB"/>
        </w:rPr>
      </w:pPr>
    </w:p>
    <w:p w14:paraId="585C7CDC" w14:textId="70C95413" w:rsidR="00842713" w:rsidRDefault="00A21F5E" w:rsidP="0092494D">
      <w:pPr>
        <w:pStyle w:val="Els-body-text"/>
        <w:rPr>
          <w:lang w:val="en-GB"/>
        </w:rPr>
      </w:pPr>
      <w:r>
        <w:rPr>
          <w:lang w:val="en-GB"/>
        </w:rPr>
        <w:t xml:space="preserve">In addition to the </w:t>
      </w:r>
      <w:r w:rsidR="00D455F8">
        <w:rPr>
          <w:lang w:val="en-GB"/>
        </w:rPr>
        <w:t xml:space="preserve">illustrative </w:t>
      </w:r>
      <w:r>
        <w:rPr>
          <w:lang w:val="en-GB"/>
        </w:rPr>
        <w:t xml:space="preserve">example </w:t>
      </w:r>
      <w:r w:rsidR="002A1BCB">
        <w:rPr>
          <w:lang w:val="en-GB"/>
        </w:rPr>
        <w:t>presented in Ch</w:t>
      </w:r>
      <w:r w:rsidR="00BA248B">
        <w:rPr>
          <w:lang w:val="en-GB"/>
        </w:rPr>
        <w:t>apter</w:t>
      </w:r>
      <w:r w:rsidR="002A1BCB">
        <w:rPr>
          <w:lang w:val="en-GB"/>
        </w:rPr>
        <w:t xml:space="preserve"> 3, the proposed approach was tested </w:t>
      </w:r>
      <w:r w:rsidR="00FE3BCD">
        <w:rPr>
          <w:lang w:val="en-GB"/>
        </w:rPr>
        <w:t>on several examples from the literature</w:t>
      </w:r>
      <w:r w:rsidR="006917C4">
        <w:rPr>
          <w:lang w:val="en-GB"/>
        </w:rPr>
        <w:t xml:space="preserve">, such as </w:t>
      </w:r>
      <w:r w:rsidR="00CD00D5">
        <w:rPr>
          <w:lang w:val="en-GB"/>
        </w:rPr>
        <w:t>dif</w:t>
      </w:r>
      <w:r w:rsidR="00AA02FF">
        <w:rPr>
          <w:lang w:val="en-GB"/>
        </w:rPr>
        <w:t>f</w:t>
      </w:r>
      <w:r w:rsidR="00CD00D5">
        <w:rPr>
          <w:lang w:val="en-GB"/>
        </w:rPr>
        <w:t>erent</w:t>
      </w:r>
      <w:r w:rsidR="00FA7621">
        <w:rPr>
          <w:lang w:val="en-GB"/>
        </w:rPr>
        <w:t xml:space="preserve"> instances </w:t>
      </w:r>
      <w:r w:rsidR="00F9577D">
        <w:rPr>
          <w:lang w:val="en-GB"/>
        </w:rPr>
        <w:t xml:space="preserve">of </w:t>
      </w:r>
      <w:r w:rsidR="00876BDA">
        <w:rPr>
          <w:lang w:val="en-GB"/>
        </w:rPr>
        <w:t>illustrative examples</w:t>
      </w:r>
      <w:r w:rsidR="00371800">
        <w:rPr>
          <w:lang w:val="en-GB"/>
        </w:rPr>
        <w:t>,</w:t>
      </w:r>
      <w:r w:rsidR="00FB308C">
        <w:rPr>
          <w:lang w:val="en-GB"/>
        </w:rPr>
        <w:t xml:space="preserve"> </w:t>
      </w:r>
      <w:r w:rsidR="00371800">
        <w:rPr>
          <w:lang w:val="en-GB"/>
        </w:rPr>
        <w:t>e.g.,</w:t>
      </w:r>
      <w:r w:rsidR="00CD412A">
        <w:rPr>
          <w:lang w:val="en-GB"/>
        </w:rPr>
        <w:t xml:space="preserve"> </w:t>
      </w:r>
      <w:r w:rsidR="00FB308C">
        <w:rPr>
          <w:lang w:val="en-GB"/>
        </w:rPr>
        <w:t>C</w:t>
      </w:r>
      <w:r w:rsidR="00CD412A">
        <w:rPr>
          <w:lang w:val="en-GB"/>
        </w:rPr>
        <w:t>ircles (Lee and Grossmann</w:t>
      </w:r>
      <w:r w:rsidR="00057C81">
        <w:rPr>
          <w:lang w:val="en-GB"/>
        </w:rPr>
        <w:t xml:space="preserve">, </w:t>
      </w:r>
      <w:r w:rsidR="00F9577D">
        <w:rPr>
          <w:lang w:val="en-GB"/>
        </w:rPr>
        <w:t>2000</w:t>
      </w:r>
      <w:r w:rsidR="00CD412A">
        <w:rPr>
          <w:lang w:val="en-GB"/>
        </w:rPr>
        <w:t xml:space="preserve">), </w:t>
      </w:r>
      <w:r w:rsidR="00C839F6">
        <w:rPr>
          <w:lang w:val="en-GB"/>
        </w:rPr>
        <w:t>and various instances</w:t>
      </w:r>
      <w:r w:rsidR="00B87E73">
        <w:rPr>
          <w:lang w:val="en-GB"/>
        </w:rPr>
        <w:t xml:space="preserve"> of a</w:t>
      </w:r>
      <w:r w:rsidR="00C839F6">
        <w:rPr>
          <w:lang w:val="en-GB"/>
        </w:rPr>
        <w:t xml:space="preserve"> </w:t>
      </w:r>
      <w:r w:rsidR="00BE4FF4">
        <w:rPr>
          <w:lang w:val="en-GB"/>
        </w:rPr>
        <w:t>Strip Packing Problem</w:t>
      </w:r>
      <w:r w:rsidR="00F9577D">
        <w:rPr>
          <w:lang w:val="en-GB"/>
        </w:rPr>
        <w:t xml:space="preserve"> (</w:t>
      </w:r>
      <w:r w:rsidR="000F679A">
        <w:rPr>
          <w:lang w:val="en-GB"/>
        </w:rPr>
        <w:t>Trespalacios and Grossmann, 20</w:t>
      </w:r>
      <w:r w:rsidR="00EC0771">
        <w:rPr>
          <w:lang w:val="en-GB"/>
        </w:rPr>
        <w:t>16</w:t>
      </w:r>
      <w:r w:rsidR="00F9577D">
        <w:rPr>
          <w:lang w:val="en-GB"/>
        </w:rPr>
        <w:t>)</w:t>
      </w:r>
      <w:r w:rsidR="00FB308C">
        <w:rPr>
          <w:lang w:val="en-GB"/>
        </w:rPr>
        <w:t xml:space="preserve">, </w:t>
      </w:r>
      <w:r w:rsidR="00B87E73">
        <w:rPr>
          <w:lang w:val="en-GB"/>
        </w:rPr>
        <w:t xml:space="preserve">and </w:t>
      </w:r>
      <w:r w:rsidR="006917C4">
        <w:rPr>
          <w:lang w:val="en-GB"/>
        </w:rPr>
        <w:t>Proces</w:t>
      </w:r>
      <w:r w:rsidR="00553617">
        <w:rPr>
          <w:lang w:val="en-GB"/>
        </w:rPr>
        <w:t>s</w:t>
      </w:r>
      <w:r w:rsidR="006917C4">
        <w:rPr>
          <w:lang w:val="en-GB"/>
        </w:rPr>
        <w:t xml:space="preserve"> Synthe</w:t>
      </w:r>
      <w:r w:rsidR="00FA7621">
        <w:rPr>
          <w:lang w:val="en-GB"/>
        </w:rPr>
        <w:t>sys</w:t>
      </w:r>
      <w:r w:rsidR="00B87E73">
        <w:rPr>
          <w:lang w:val="en-GB"/>
        </w:rPr>
        <w:t xml:space="preserve"> Problem</w:t>
      </w:r>
      <w:r w:rsidR="00553617">
        <w:rPr>
          <w:lang w:val="en-GB"/>
        </w:rPr>
        <w:t xml:space="preserve"> </w:t>
      </w:r>
      <w:r w:rsidR="00FA7621">
        <w:rPr>
          <w:lang w:val="en-GB"/>
        </w:rPr>
        <w:t>(</w:t>
      </w:r>
      <w:r w:rsidR="00141366" w:rsidRPr="00141366">
        <w:rPr>
          <w:lang w:val="en-GB"/>
        </w:rPr>
        <w:t>T</w:t>
      </w:r>
      <w:r w:rsidR="00F912B1" w:rsidRPr="00F912B1">
        <w:rPr>
          <w:lang w:val="en-GB"/>
        </w:rPr>
        <w:t>ü</w:t>
      </w:r>
      <w:r w:rsidR="00141366" w:rsidRPr="00141366">
        <w:rPr>
          <w:lang w:val="en-GB"/>
        </w:rPr>
        <w:t>rkay and Grossmann</w:t>
      </w:r>
      <w:r w:rsidR="00936BC1">
        <w:rPr>
          <w:lang w:val="en-GB"/>
        </w:rPr>
        <w:t xml:space="preserve">, </w:t>
      </w:r>
      <w:r w:rsidR="00362845">
        <w:rPr>
          <w:lang w:val="en-GB"/>
        </w:rPr>
        <w:t>1996</w:t>
      </w:r>
      <w:r w:rsidR="00B06137">
        <w:rPr>
          <w:lang w:val="en-GB"/>
        </w:rPr>
        <w:t xml:space="preserve">, Sawaya and </w:t>
      </w:r>
      <w:r w:rsidR="00911135">
        <w:rPr>
          <w:lang w:val="en-GB"/>
        </w:rPr>
        <w:t>Grossmann, 2007</w:t>
      </w:r>
      <w:r w:rsidR="00FA7621">
        <w:rPr>
          <w:lang w:val="en-GB"/>
        </w:rPr>
        <w:t>)</w:t>
      </w:r>
      <w:r w:rsidR="002F6659">
        <w:rPr>
          <w:lang w:val="en-GB"/>
        </w:rPr>
        <w:t>.</w:t>
      </w:r>
      <w:r w:rsidR="001B7C64">
        <w:rPr>
          <w:lang w:val="en-GB"/>
        </w:rPr>
        <w:t xml:space="preserve"> </w:t>
      </w:r>
      <w:r w:rsidR="002233B3">
        <w:rPr>
          <w:lang w:val="en-GB"/>
        </w:rPr>
        <w:t xml:space="preserve">The </w:t>
      </w:r>
      <w:r w:rsidR="001F4BEF">
        <w:rPr>
          <w:lang w:val="en-GB"/>
        </w:rPr>
        <w:t>aim</w:t>
      </w:r>
      <w:r w:rsidR="002233B3">
        <w:rPr>
          <w:lang w:val="en-GB"/>
        </w:rPr>
        <w:t xml:space="preserve"> was to cover </w:t>
      </w:r>
      <w:r w:rsidR="00DB3A32">
        <w:rPr>
          <w:lang w:val="en-GB"/>
        </w:rPr>
        <w:t xml:space="preserve">the </w:t>
      </w:r>
      <w:r w:rsidR="001F4BEF">
        <w:rPr>
          <w:lang w:val="en-GB"/>
        </w:rPr>
        <w:t>diversity</w:t>
      </w:r>
      <w:r w:rsidR="00DB3A32">
        <w:rPr>
          <w:lang w:val="en-GB"/>
        </w:rPr>
        <w:t xml:space="preserve"> of </w:t>
      </w:r>
      <w:r w:rsidR="00FB3ECF">
        <w:rPr>
          <w:lang w:val="en-GB"/>
        </w:rPr>
        <w:t>GDPs</w:t>
      </w:r>
      <w:r w:rsidR="00E21955">
        <w:rPr>
          <w:lang w:val="en-GB"/>
        </w:rPr>
        <w:t>, i.e.,</w:t>
      </w:r>
      <w:r w:rsidR="002C0BAA">
        <w:rPr>
          <w:lang w:val="en-GB"/>
        </w:rPr>
        <w:t xml:space="preserve"> </w:t>
      </w:r>
      <w:r w:rsidR="00F71460">
        <w:rPr>
          <w:lang w:val="en-GB"/>
        </w:rPr>
        <w:t>from purely linear GDP</w:t>
      </w:r>
      <w:r w:rsidR="004F0F74">
        <w:rPr>
          <w:lang w:val="en-GB"/>
        </w:rPr>
        <w:t>s</w:t>
      </w:r>
      <w:r w:rsidR="00F71460">
        <w:rPr>
          <w:lang w:val="en-GB"/>
        </w:rPr>
        <w:t xml:space="preserve"> to purely nonlinear GDP</w:t>
      </w:r>
      <w:r w:rsidR="004F0F74">
        <w:rPr>
          <w:lang w:val="en-GB"/>
        </w:rPr>
        <w:t>s</w:t>
      </w:r>
      <w:r w:rsidR="00E479DA">
        <w:rPr>
          <w:lang w:val="en-GB"/>
        </w:rPr>
        <w:t xml:space="preserve">. </w:t>
      </w:r>
      <w:r w:rsidR="00471AE7" w:rsidRPr="00471AE7">
        <w:rPr>
          <w:lang w:val="en-GB"/>
        </w:rPr>
        <w:t xml:space="preserve">The results of these experiments show that the proposed MIR in conjunction with the proposed algorithm </w:t>
      </w:r>
      <w:r w:rsidR="00B3635D">
        <w:rPr>
          <w:lang w:val="en-GB"/>
        </w:rPr>
        <w:t>to</w:t>
      </w:r>
      <w:r w:rsidR="00471AE7" w:rsidRPr="00471AE7">
        <w:rPr>
          <w:lang w:val="en-GB"/>
        </w:rPr>
        <w:t xml:space="preserve"> optimiz</w:t>
      </w:r>
      <w:r w:rsidR="00B3635D">
        <w:rPr>
          <w:lang w:val="en-GB"/>
        </w:rPr>
        <w:t>e</w:t>
      </w:r>
      <w:r w:rsidR="00471AE7" w:rsidRPr="00471AE7">
        <w:rPr>
          <w:lang w:val="en-GB"/>
        </w:rPr>
        <w:t xml:space="preserve"> </w:t>
      </w:r>
      <w:proofErr w:type="spellStart"/>
      <w:r w:rsidR="00471AE7" w:rsidRPr="00471AE7">
        <w:rPr>
          <w:i/>
          <w:iCs/>
          <w:lang w:val="en-GB"/>
        </w:rPr>
        <w:t>x</w:t>
      </w:r>
      <w:r w:rsidR="00471AE7" w:rsidRPr="00471AE7">
        <w:rPr>
          <w:vertAlign w:val="superscript"/>
          <w:lang w:val="en-GB"/>
        </w:rPr>
        <w:t>F</w:t>
      </w:r>
      <w:proofErr w:type="spellEnd"/>
      <w:r w:rsidR="00471AE7" w:rsidRPr="00471AE7">
        <w:rPr>
          <w:lang w:val="en-GB"/>
        </w:rPr>
        <w:t xml:space="preserve"> values provides as tight a continuous relaxation as HR</w:t>
      </w:r>
      <w:r w:rsidR="00F273E9">
        <w:rPr>
          <w:lang w:val="en-GB"/>
        </w:rPr>
        <w:t>,</w:t>
      </w:r>
      <w:r w:rsidR="00F0262A">
        <w:rPr>
          <w:lang w:val="en-GB"/>
        </w:rPr>
        <w:t xml:space="preserve"> regardless of the </w:t>
      </w:r>
      <w:r w:rsidR="007F6241">
        <w:rPr>
          <w:lang w:val="en-GB"/>
        </w:rPr>
        <w:t>GDP</w:t>
      </w:r>
      <w:r w:rsidR="00F0262A">
        <w:rPr>
          <w:lang w:val="en-GB"/>
        </w:rPr>
        <w:t xml:space="preserve"> type</w:t>
      </w:r>
      <w:r w:rsidR="00471AE7" w:rsidRPr="00471AE7">
        <w:rPr>
          <w:lang w:val="en-GB"/>
        </w:rPr>
        <w:t>.</w:t>
      </w:r>
      <w:r w:rsidR="00DB2AE2">
        <w:rPr>
          <w:lang w:val="en-GB"/>
        </w:rPr>
        <w:t xml:space="preserve"> </w:t>
      </w:r>
      <w:r w:rsidR="00CB4538">
        <w:rPr>
          <w:lang w:val="en-GB"/>
        </w:rPr>
        <w:t xml:space="preserve"> </w:t>
      </w:r>
      <w:r w:rsidR="002233B3">
        <w:rPr>
          <w:lang w:val="en-GB"/>
        </w:rPr>
        <w:t xml:space="preserve"> </w:t>
      </w:r>
      <w:r w:rsidR="00876BDA">
        <w:rPr>
          <w:lang w:val="en-GB"/>
        </w:rPr>
        <w:t xml:space="preserve"> </w:t>
      </w:r>
    </w:p>
    <w:p w14:paraId="144DE6A5" w14:textId="156FB5FA" w:rsidR="008D2649" w:rsidRDefault="0092494D" w:rsidP="008D2649">
      <w:pPr>
        <w:pStyle w:val="Els-1storder-head"/>
        <w:spacing w:after="120"/>
        <w:rPr>
          <w:lang w:val="en-GB"/>
        </w:rPr>
      </w:pPr>
      <w:r>
        <w:rPr>
          <w:lang w:val="en-GB"/>
        </w:rPr>
        <w:t>Conclusions</w:t>
      </w:r>
    </w:p>
    <w:p w14:paraId="05DC33AD" w14:textId="32F7BFD2" w:rsidR="00B836C8" w:rsidRDefault="00020FA3" w:rsidP="004A7028">
      <w:pPr>
        <w:pStyle w:val="Els-body-text"/>
        <w:rPr>
          <w:lang w:val="en-GB"/>
        </w:rPr>
      </w:pPr>
      <w:r w:rsidRPr="00020FA3">
        <w:rPr>
          <w:lang w:val="en-GB"/>
        </w:rPr>
        <w:t xml:space="preserve">In this paper, we have presented an approach to reformulate GDP problems into MI(N)LP problems. The strength of the proposed approach is that the points at which the local constraints in disjunctions are not defined, if such constraints exist, </w:t>
      </w:r>
      <w:r w:rsidR="006B4D39">
        <w:rPr>
          <w:lang w:val="en-GB"/>
        </w:rPr>
        <w:t>do</w:t>
      </w:r>
      <w:r w:rsidRPr="00020FA3">
        <w:rPr>
          <w:lang w:val="en-GB"/>
        </w:rPr>
        <w:t xml:space="preserve"> not </w:t>
      </w:r>
      <w:r w:rsidR="006B4D39">
        <w:rPr>
          <w:lang w:val="en-GB"/>
        </w:rPr>
        <w:t xml:space="preserve">pose </w:t>
      </w:r>
      <w:r w:rsidRPr="00020FA3">
        <w:rPr>
          <w:lang w:val="en-GB"/>
        </w:rPr>
        <w:t xml:space="preserve">a numerical problem. </w:t>
      </w:r>
      <w:r w:rsidR="00521877">
        <w:rPr>
          <w:lang w:val="en-GB"/>
        </w:rPr>
        <w:t xml:space="preserve">According to the </w:t>
      </w:r>
      <w:r w:rsidR="00856214">
        <w:rPr>
          <w:lang w:val="en-GB"/>
        </w:rPr>
        <w:t xml:space="preserve">results </w:t>
      </w:r>
      <w:r w:rsidR="00521877">
        <w:rPr>
          <w:lang w:val="en-GB"/>
        </w:rPr>
        <w:t>obtained</w:t>
      </w:r>
      <w:r w:rsidR="00856214">
        <w:rPr>
          <w:lang w:val="en-GB"/>
        </w:rPr>
        <w:t>,</w:t>
      </w:r>
      <w:r w:rsidR="00F47311">
        <w:rPr>
          <w:lang w:val="en-GB"/>
        </w:rPr>
        <w:t xml:space="preserve"> it provides at least as tight </w:t>
      </w:r>
      <w:r w:rsidR="00621C63">
        <w:rPr>
          <w:lang w:val="en-GB"/>
        </w:rPr>
        <w:t xml:space="preserve">a </w:t>
      </w:r>
      <w:r w:rsidR="00F47311">
        <w:rPr>
          <w:lang w:val="en-GB"/>
        </w:rPr>
        <w:t>continuous relaxation as HR.</w:t>
      </w:r>
      <w:r w:rsidR="00521877">
        <w:rPr>
          <w:lang w:val="en-GB"/>
        </w:rPr>
        <w:t xml:space="preserve"> </w:t>
      </w:r>
      <w:r w:rsidRPr="00020FA3">
        <w:rPr>
          <w:lang w:val="en-GB"/>
        </w:rPr>
        <w:t>Moreover, the proposed approach avoids the use of the perspective function when local constraints are nonlinear</w:t>
      </w:r>
      <w:r w:rsidR="00347FD9">
        <w:rPr>
          <w:lang w:val="en-GB"/>
        </w:rPr>
        <w:t>;</w:t>
      </w:r>
      <w:r w:rsidRPr="00020FA3">
        <w:rPr>
          <w:lang w:val="en-GB"/>
        </w:rPr>
        <w:t xml:space="preserve"> </w:t>
      </w:r>
      <w:r w:rsidR="00347FD9">
        <w:rPr>
          <w:lang w:val="en-GB"/>
        </w:rPr>
        <w:t>therefore,</w:t>
      </w:r>
      <w:r w:rsidRPr="00020FA3">
        <w:rPr>
          <w:lang w:val="en-GB"/>
        </w:rPr>
        <w:t xml:space="preserve"> the reformulation of </w:t>
      </w:r>
      <w:r w:rsidRPr="00020FA3">
        <w:rPr>
          <w:lang w:val="en-GB"/>
        </w:rPr>
        <w:lastRenderedPageBreak/>
        <w:t xml:space="preserve">GDP is identical for linear and nonlinear constraints. We could argue that this </w:t>
      </w:r>
      <w:r w:rsidR="006A74C1">
        <w:rPr>
          <w:lang w:val="en-GB"/>
        </w:rPr>
        <w:t>simplifies</w:t>
      </w:r>
      <w:r w:rsidRPr="00020FA3">
        <w:rPr>
          <w:lang w:val="en-GB"/>
        </w:rPr>
        <w:t xml:space="preserve"> </w:t>
      </w:r>
      <w:r w:rsidR="006A74C1">
        <w:rPr>
          <w:lang w:val="en-GB"/>
        </w:rPr>
        <w:t xml:space="preserve">the </w:t>
      </w:r>
      <w:r w:rsidRPr="00020FA3">
        <w:rPr>
          <w:lang w:val="en-GB"/>
        </w:rPr>
        <w:t>implementation of the proposed approach compared to HR.</w:t>
      </w:r>
      <w:r>
        <w:rPr>
          <w:lang w:val="en-GB"/>
        </w:rPr>
        <w:t xml:space="preserve"> </w:t>
      </w:r>
      <w:r w:rsidR="0093693E">
        <w:rPr>
          <w:lang w:val="en-GB"/>
        </w:rPr>
        <w:t>More importantly,</w:t>
      </w:r>
      <w:r>
        <w:rPr>
          <w:lang w:val="en-GB"/>
        </w:rPr>
        <w:t xml:space="preserve"> the </w:t>
      </w:r>
      <w:r w:rsidR="009B6EAE">
        <w:rPr>
          <w:lang w:val="en-GB"/>
        </w:rPr>
        <w:t>proposed re</w:t>
      </w:r>
      <w:r>
        <w:rPr>
          <w:lang w:val="en-GB"/>
        </w:rPr>
        <w:t>formulation does not introduce additional nonlinearities</w:t>
      </w:r>
      <w:r w:rsidR="009B6EAE">
        <w:rPr>
          <w:lang w:val="en-GB"/>
        </w:rPr>
        <w:t>.</w:t>
      </w:r>
      <w:r w:rsidR="008E0A49">
        <w:rPr>
          <w:lang w:val="en-GB"/>
        </w:rPr>
        <w:t xml:space="preserve"> </w:t>
      </w:r>
      <w:r w:rsidR="002410BC">
        <w:rPr>
          <w:lang w:val="en-GB"/>
        </w:rPr>
        <w:t>A</w:t>
      </w:r>
      <w:r w:rsidR="008E0A49">
        <w:rPr>
          <w:lang w:val="en-GB"/>
        </w:rPr>
        <w:t xml:space="preserve"> drawback </w:t>
      </w:r>
      <w:r w:rsidR="002410BC">
        <w:rPr>
          <w:lang w:val="en-GB"/>
        </w:rPr>
        <w:t xml:space="preserve">of the proposed approach </w:t>
      </w:r>
      <w:r w:rsidR="008E0A49">
        <w:rPr>
          <w:lang w:val="en-GB"/>
        </w:rPr>
        <w:t>is that, at the time of this publicati</w:t>
      </w:r>
      <w:r w:rsidR="00506048">
        <w:rPr>
          <w:lang w:val="en-GB"/>
        </w:rPr>
        <w:t>on, an algorithmic approach is needed to determine</w:t>
      </w:r>
      <w:r w:rsidR="00B74A80">
        <w:rPr>
          <w:lang w:val="en-GB"/>
        </w:rPr>
        <w:t xml:space="preserve"> the values of </w:t>
      </w:r>
      <w:r w:rsidR="00B836C8">
        <w:rPr>
          <w:lang w:val="en-GB"/>
        </w:rPr>
        <w:t xml:space="preserve">the </w:t>
      </w:r>
      <w:proofErr w:type="spellStart"/>
      <w:r w:rsidR="00B836C8" w:rsidRPr="00B836C8">
        <w:rPr>
          <w:i/>
          <w:iCs/>
          <w:lang w:val="en-GB"/>
        </w:rPr>
        <w:t>x</w:t>
      </w:r>
      <w:r w:rsidR="00B836C8" w:rsidRPr="00B836C8">
        <w:rPr>
          <w:vertAlign w:val="superscript"/>
          <w:lang w:val="en-GB"/>
        </w:rPr>
        <w:t>F</w:t>
      </w:r>
      <w:proofErr w:type="spellEnd"/>
      <w:r w:rsidR="00B836C8">
        <w:rPr>
          <w:lang w:val="en-GB"/>
        </w:rPr>
        <w:t xml:space="preserve"> parameters.</w:t>
      </w:r>
    </w:p>
    <w:p w14:paraId="289B6087" w14:textId="70B3BDB5" w:rsidR="005B234E" w:rsidRPr="004A7028" w:rsidRDefault="00963591" w:rsidP="004A7028">
      <w:pPr>
        <w:pStyle w:val="Els-body-text"/>
        <w:rPr>
          <w:lang w:val="en-GB"/>
        </w:rPr>
      </w:pPr>
      <w:r w:rsidRPr="00963591">
        <w:rPr>
          <w:lang w:val="en-GB"/>
        </w:rPr>
        <w:t>This research provided some answers and new insights into GDP to MI(N)LP reformulations</w:t>
      </w:r>
      <w:r w:rsidR="00C95AAD">
        <w:rPr>
          <w:lang w:val="en-GB"/>
        </w:rPr>
        <w:t>.</w:t>
      </w:r>
      <w:r w:rsidRPr="00963591">
        <w:rPr>
          <w:lang w:val="en-GB"/>
        </w:rPr>
        <w:t xml:space="preserve"> </w:t>
      </w:r>
      <w:r w:rsidR="00C95AAD">
        <w:rPr>
          <w:lang w:val="en-GB"/>
        </w:rPr>
        <w:t>H</w:t>
      </w:r>
      <w:r w:rsidRPr="00963591">
        <w:rPr>
          <w:lang w:val="en-GB"/>
        </w:rPr>
        <w:t xml:space="preserve">owever, it also </w:t>
      </w:r>
      <w:proofErr w:type="gramStart"/>
      <w:r w:rsidRPr="00963591">
        <w:rPr>
          <w:lang w:val="en-GB"/>
        </w:rPr>
        <w:t>opened up</w:t>
      </w:r>
      <w:proofErr w:type="gramEnd"/>
      <w:r w:rsidRPr="00963591">
        <w:rPr>
          <w:lang w:val="en-GB"/>
        </w:rPr>
        <w:t xml:space="preserve"> several additional topics for future research. The first is to determine whether an algorithmic approach can be avoided when determining the optimal values of the </w:t>
      </w:r>
      <w:proofErr w:type="spellStart"/>
      <w:r w:rsidRPr="00B836C8">
        <w:rPr>
          <w:i/>
          <w:iCs/>
          <w:lang w:val="en-GB"/>
        </w:rPr>
        <w:t>x</w:t>
      </w:r>
      <w:r w:rsidRPr="00B836C8">
        <w:rPr>
          <w:vertAlign w:val="superscript"/>
          <w:lang w:val="en-GB"/>
        </w:rPr>
        <w:t>F</w:t>
      </w:r>
      <w:proofErr w:type="spellEnd"/>
      <w:r w:rsidRPr="00963591">
        <w:rPr>
          <w:lang w:val="en-GB"/>
        </w:rPr>
        <w:t xml:space="preserve"> parameters. </w:t>
      </w:r>
      <w:r w:rsidR="00BE6D3D" w:rsidRPr="00BE6D3D">
        <w:rPr>
          <w:lang w:val="en-GB"/>
        </w:rPr>
        <w:t xml:space="preserve">Furthermore, it </w:t>
      </w:r>
      <w:r w:rsidR="002E0EBB">
        <w:rPr>
          <w:lang w:val="en-GB"/>
        </w:rPr>
        <w:t>is</w:t>
      </w:r>
      <w:r w:rsidR="00BE6D3D" w:rsidRPr="00BE6D3D">
        <w:rPr>
          <w:lang w:val="en-GB"/>
        </w:rPr>
        <w:t xml:space="preserve"> tempting to answer the question whether and under which conditions the optimal values of the </w:t>
      </w:r>
      <w:proofErr w:type="spellStart"/>
      <w:r w:rsidR="00BE6D3D" w:rsidRPr="00B836C8">
        <w:rPr>
          <w:i/>
          <w:iCs/>
          <w:lang w:val="en-GB"/>
        </w:rPr>
        <w:t>x</w:t>
      </w:r>
      <w:r w:rsidR="00BE6D3D" w:rsidRPr="00B836C8">
        <w:rPr>
          <w:vertAlign w:val="superscript"/>
          <w:lang w:val="en-GB"/>
        </w:rPr>
        <w:t>F</w:t>
      </w:r>
      <w:proofErr w:type="spellEnd"/>
      <w:r w:rsidR="00BE6D3D" w:rsidRPr="00BE6D3D">
        <w:rPr>
          <w:lang w:val="en-GB"/>
        </w:rPr>
        <w:t xml:space="preserve"> parameters can be used to tighten the bounds on disaggregated variables.</w:t>
      </w:r>
      <w:r w:rsidR="00BE6D3D">
        <w:rPr>
          <w:lang w:val="en-GB"/>
        </w:rPr>
        <w:t xml:space="preserve"> </w:t>
      </w:r>
      <w:proofErr w:type="gramStart"/>
      <w:r w:rsidRPr="00963591">
        <w:rPr>
          <w:lang w:val="en-GB"/>
        </w:rPr>
        <w:t>Last but not least</w:t>
      </w:r>
      <w:proofErr w:type="gramEnd"/>
      <w:r w:rsidRPr="00963591">
        <w:rPr>
          <w:lang w:val="en-GB"/>
        </w:rPr>
        <w:t xml:space="preserve">, </w:t>
      </w:r>
      <w:r w:rsidR="007732CA">
        <w:rPr>
          <w:lang w:val="en-GB"/>
        </w:rPr>
        <w:t xml:space="preserve">future research will </w:t>
      </w:r>
      <w:r w:rsidR="008163A4">
        <w:rPr>
          <w:lang w:val="en-GB"/>
        </w:rPr>
        <w:t>try</w:t>
      </w:r>
      <w:r w:rsidRPr="00963591">
        <w:rPr>
          <w:lang w:val="en-GB"/>
        </w:rPr>
        <w:t xml:space="preserve"> </w:t>
      </w:r>
      <w:r w:rsidR="008163A4">
        <w:rPr>
          <w:lang w:val="en-GB"/>
        </w:rPr>
        <w:t xml:space="preserve">to </w:t>
      </w:r>
      <w:r w:rsidRPr="00963591">
        <w:rPr>
          <w:lang w:val="en-GB"/>
        </w:rPr>
        <w:t xml:space="preserve">determine the role of </w:t>
      </w:r>
      <w:proofErr w:type="spellStart"/>
      <w:r w:rsidRPr="00B836C8">
        <w:rPr>
          <w:i/>
          <w:iCs/>
          <w:lang w:val="en-GB"/>
        </w:rPr>
        <w:t>x</w:t>
      </w:r>
      <w:r w:rsidRPr="00B836C8">
        <w:rPr>
          <w:vertAlign w:val="superscript"/>
          <w:lang w:val="en-GB"/>
        </w:rPr>
        <w:t>F</w:t>
      </w:r>
      <w:proofErr w:type="spellEnd"/>
      <w:r w:rsidRPr="00963591">
        <w:rPr>
          <w:lang w:val="en-GB"/>
        </w:rPr>
        <w:t xml:space="preserve"> parameters in the </w:t>
      </w:r>
      <w:r w:rsidR="008D029C" w:rsidRPr="001044EE">
        <w:rPr>
          <w:lang w:val="en-GB"/>
        </w:rPr>
        <w:t>Logic-Based</w:t>
      </w:r>
      <w:r w:rsidR="002A05E2" w:rsidRPr="001044EE">
        <w:rPr>
          <w:lang w:val="en-GB"/>
        </w:rPr>
        <w:t xml:space="preserve"> </w:t>
      </w:r>
      <w:r w:rsidRPr="001044EE">
        <w:rPr>
          <w:lang w:val="en-GB"/>
        </w:rPr>
        <w:t>O</w:t>
      </w:r>
      <w:r w:rsidR="008D029C" w:rsidRPr="001044EE">
        <w:rPr>
          <w:lang w:val="en-GB"/>
        </w:rPr>
        <w:t xml:space="preserve">uter </w:t>
      </w:r>
      <w:r w:rsidRPr="001044EE">
        <w:rPr>
          <w:lang w:val="en-GB"/>
        </w:rPr>
        <w:t>A</w:t>
      </w:r>
      <w:r w:rsidR="008D029C" w:rsidRPr="001044EE">
        <w:rPr>
          <w:lang w:val="en-GB"/>
        </w:rPr>
        <w:t>pproximation</w:t>
      </w:r>
      <w:r w:rsidRPr="001044EE">
        <w:rPr>
          <w:lang w:val="en-GB"/>
        </w:rPr>
        <w:t xml:space="preserve"> algorithm,</w:t>
      </w:r>
      <w:r w:rsidRPr="00963591">
        <w:rPr>
          <w:lang w:val="en-GB"/>
        </w:rPr>
        <w:t xml:space="preserve"> namely their potential role in providing valid</w:t>
      </w:r>
      <w:r w:rsidR="004019CA">
        <w:rPr>
          <w:lang w:val="en-GB"/>
        </w:rPr>
        <w:t xml:space="preserve"> and good</w:t>
      </w:r>
      <w:r w:rsidRPr="00963591">
        <w:rPr>
          <w:lang w:val="en-GB"/>
        </w:rPr>
        <w:t xml:space="preserve"> linearization points.</w:t>
      </w:r>
    </w:p>
    <w:p w14:paraId="01A362A6" w14:textId="45DE06AC" w:rsidR="0092494D" w:rsidRDefault="0092494D" w:rsidP="0092494D">
      <w:pPr>
        <w:pStyle w:val="Els-reference-head"/>
      </w:pPr>
      <w:r>
        <w:t>Acknowledgements</w:t>
      </w:r>
    </w:p>
    <w:p w14:paraId="7299A3B8" w14:textId="163BC8A5" w:rsidR="0092494D" w:rsidRPr="0092494D" w:rsidRDefault="0092494D" w:rsidP="0092494D">
      <w:pPr>
        <w:pStyle w:val="Els-referenceno-number"/>
      </w:pPr>
      <w:r w:rsidRPr="0092494D">
        <w:t>The authors would like to acknowledge</w:t>
      </w:r>
      <w:r w:rsidR="00BC0511">
        <w:t xml:space="preserve"> Slovenian Research and Innovation Agency</w:t>
      </w:r>
      <w:r w:rsidR="00F46E80">
        <w:t xml:space="preserve"> (ARIS)</w:t>
      </w:r>
      <w:r w:rsidR="00BC0511">
        <w:t xml:space="preserve">, Programme </w:t>
      </w:r>
      <w:r w:rsidR="00B90A5F" w:rsidRPr="00B90A5F">
        <w:t>P2-0414</w:t>
      </w:r>
      <w:r w:rsidR="00B90A5F">
        <w:t>.</w:t>
      </w:r>
    </w:p>
    <w:p w14:paraId="144DE6BF" w14:textId="608D0AD6" w:rsidR="008D2649" w:rsidRDefault="008D2649" w:rsidP="008D2649">
      <w:pPr>
        <w:pStyle w:val="Els-reference-head"/>
      </w:pPr>
      <w:r>
        <w:t>References</w:t>
      </w:r>
    </w:p>
    <w:p w14:paraId="71CBE0E0" w14:textId="18E0264C" w:rsidR="0035641B" w:rsidRDefault="0035641B" w:rsidP="008D2649">
      <w:pPr>
        <w:pStyle w:val="Els-referenceno-number"/>
        <w:rPr>
          <w:lang w:val="en-US"/>
        </w:rPr>
      </w:pPr>
      <w:r>
        <w:rPr>
          <w:lang w:val="en-US"/>
        </w:rPr>
        <w:t xml:space="preserve">F. </w:t>
      </w:r>
      <w:r w:rsidRPr="0035641B">
        <w:rPr>
          <w:lang w:val="en-US"/>
        </w:rPr>
        <w:t xml:space="preserve">Trespalacios, </w:t>
      </w:r>
      <w:r>
        <w:rPr>
          <w:lang w:val="en-US"/>
        </w:rPr>
        <w:t xml:space="preserve">I.E. </w:t>
      </w:r>
      <w:r w:rsidRPr="0035641B">
        <w:rPr>
          <w:lang w:val="en-US"/>
        </w:rPr>
        <w:t>Grossmann</w:t>
      </w:r>
      <w:r>
        <w:rPr>
          <w:lang w:val="en-US"/>
        </w:rPr>
        <w:t xml:space="preserve">, </w:t>
      </w:r>
      <w:r w:rsidRPr="0035641B">
        <w:rPr>
          <w:lang w:val="en-US"/>
        </w:rPr>
        <w:t>2016</w:t>
      </w:r>
      <w:r>
        <w:rPr>
          <w:lang w:val="en-US"/>
        </w:rPr>
        <w:t>,</w:t>
      </w:r>
      <w:r w:rsidRPr="0035641B">
        <w:rPr>
          <w:lang w:val="en-US"/>
        </w:rPr>
        <w:t xml:space="preserve"> Symmetry breaking for generalized disjunctive</w:t>
      </w:r>
      <w:r>
        <w:rPr>
          <w:lang w:val="en-US"/>
        </w:rPr>
        <w:t xml:space="preserve"> </w:t>
      </w:r>
      <w:r w:rsidRPr="0035641B">
        <w:rPr>
          <w:lang w:val="en-US"/>
        </w:rPr>
        <w:t>programming formulation of the strip packing problem. Annals of Operations Research, 258(2), 747–759</w:t>
      </w:r>
    </w:p>
    <w:p w14:paraId="74E6FE65" w14:textId="4FA452B0" w:rsidR="006B1D9E" w:rsidRDefault="006B1D9E" w:rsidP="008D2649">
      <w:pPr>
        <w:pStyle w:val="Els-referenceno-number"/>
        <w:rPr>
          <w:lang w:val="en-US"/>
        </w:rPr>
      </w:pPr>
      <w:r>
        <w:rPr>
          <w:lang w:val="en-US"/>
        </w:rPr>
        <w:t xml:space="preserve">I.E. </w:t>
      </w:r>
      <w:r w:rsidRPr="006B1D9E">
        <w:rPr>
          <w:lang w:val="en-US"/>
        </w:rPr>
        <w:t>Grossmann,</w:t>
      </w:r>
      <w:r w:rsidR="00FC2CC6">
        <w:rPr>
          <w:lang w:val="en-US"/>
        </w:rPr>
        <w:t xml:space="preserve"> S.</w:t>
      </w:r>
      <w:r w:rsidRPr="006B1D9E">
        <w:rPr>
          <w:lang w:val="en-US"/>
        </w:rPr>
        <w:t xml:space="preserve"> Lee, 2003, Generalized convex disjunctive programming: Nonlinear convex hull relaxation. Computational optimization and applications, 26(1):83–100.</w:t>
      </w:r>
    </w:p>
    <w:p w14:paraId="6F112F96" w14:textId="5C8E2B5E" w:rsidR="00D6179C" w:rsidRPr="00D6179C" w:rsidRDefault="00D6179C" w:rsidP="00D6179C">
      <w:pPr>
        <w:pStyle w:val="Els-referenceno-number"/>
        <w:rPr>
          <w:lang w:val="en-US"/>
        </w:rPr>
      </w:pPr>
      <w:r>
        <w:rPr>
          <w:lang w:val="en-US"/>
        </w:rPr>
        <w:t xml:space="preserve">M. </w:t>
      </w:r>
      <w:r w:rsidRPr="00D6179C">
        <w:rPr>
          <w:lang w:val="en-US"/>
        </w:rPr>
        <w:t xml:space="preserve">Bogataj, </w:t>
      </w:r>
      <w:r>
        <w:rPr>
          <w:lang w:val="en-US"/>
        </w:rPr>
        <w:t xml:space="preserve">Z. </w:t>
      </w:r>
      <w:r w:rsidRPr="00D6179C">
        <w:rPr>
          <w:lang w:val="en-US"/>
        </w:rPr>
        <w:t xml:space="preserve">Kravanja Z., 2018, Alternative mixed-integer reformulation of Generalized Disjunctive Programs, Computer-aided chemical engineering 43, 549–544. </w:t>
      </w:r>
    </w:p>
    <w:p w14:paraId="6B768F31" w14:textId="3E2D833C" w:rsidR="00D6179C" w:rsidRDefault="00D6179C" w:rsidP="00D6179C">
      <w:pPr>
        <w:pStyle w:val="Els-referenceno-number"/>
        <w:rPr>
          <w:lang w:val="en-US"/>
        </w:rPr>
      </w:pPr>
      <w:r>
        <w:rPr>
          <w:lang w:val="en-US"/>
        </w:rPr>
        <w:t xml:space="preserve">M. </w:t>
      </w:r>
      <w:r w:rsidRPr="00D6179C">
        <w:rPr>
          <w:lang w:val="en-US"/>
        </w:rPr>
        <w:t xml:space="preserve">Ropotar, </w:t>
      </w:r>
      <w:r>
        <w:rPr>
          <w:lang w:val="en-US"/>
        </w:rPr>
        <w:t xml:space="preserve">Z. </w:t>
      </w:r>
      <w:r w:rsidRPr="00D6179C">
        <w:rPr>
          <w:lang w:val="en-US"/>
        </w:rPr>
        <w:t>Kravanja Z., 2009, Translation of Variables and Implementation of Efficient Logic-Based Techniques in the MINLP Process Synthesizer MIPSYN, AIChE Journal, 55 (11), 2896– 2913.</w:t>
      </w:r>
    </w:p>
    <w:p w14:paraId="07BB0FEF" w14:textId="441C3910" w:rsidR="002428D3" w:rsidRDefault="000C3D01" w:rsidP="00D6179C">
      <w:pPr>
        <w:pStyle w:val="Els-referenceno-number"/>
        <w:rPr>
          <w:lang w:val="en-US"/>
        </w:rPr>
      </w:pPr>
      <w:r w:rsidRPr="000C3D01">
        <w:t xml:space="preserve">M. Türkay, I.E, Grossmann, 1996, </w:t>
      </w:r>
      <w:r w:rsidRPr="000C3D01">
        <w:rPr>
          <w:lang w:val="en-US"/>
        </w:rPr>
        <w:t xml:space="preserve">Logic-based MINLP algorithms for the optimal synthesis of process networks. Computers &amp; Chemical Engineering, 20(8), 959–978. </w:t>
      </w:r>
    </w:p>
    <w:p w14:paraId="371063DE" w14:textId="77777777" w:rsidR="00340858" w:rsidRDefault="00340858" w:rsidP="00340858">
      <w:pPr>
        <w:pStyle w:val="Els-referenceno-number"/>
        <w:rPr>
          <w:lang w:val="en-US"/>
        </w:rPr>
      </w:pPr>
      <w:r>
        <w:rPr>
          <w:lang w:val="en-US"/>
        </w:rPr>
        <w:t xml:space="preserve">N. </w:t>
      </w:r>
      <w:r w:rsidRPr="001B2B8A">
        <w:rPr>
          <w:lang w:val="en-US"/>
        </w:rPr>
        <w:t xml:space="preserve">Sawaya, </w:t>
      </w:r>
      <w:r>
        <w:rPr>
          <w:lang w:val="en-US"/>
        </w:rPr>
        <w:t xml:space="preserve">2006, </w:t>
      </w:r>
      <w:r w:rsidRPr="001B2B8A">
        <w:rPr>
          <w:lang w:val="en-US"/>
        </w:rPr>
        <w:t>Thesis: Reformulations, relaxations and cutting planes for generalized disjunctive programming, Carnegie Mellon University</w:t>
      </w:r>
      <w:r>
        <w:rPr>
          <w:lang w:val="en-US"/>
        </w:rPr>
        <w:t>.</w:t>
      </w:r>
    </w:p>
    <w:p w14:paraId="0AD41E08" w14:textId="77777777" w:rsidR="00340858" w:rsidRDefault="00340858" w:rsidP="00340858">
      <w:pPr>
        <w:pStyle w:val="Els-referenceno-number"/>
        <w:rPr>
          <w:lang w:val="en-US"/>
        </w:rPr>
      </w:pPr>
      <w:r>
        <w:rPr>
          <w:lang w:val="en-US"/>
        </w:rPr>
        <w:t xml:space="preserve">N.W. </w:t>
      </w:r>
      <w:r w:rsidRPr="00D54770">
        <w:rPr>
          <w:lang w:val="en-US"/>
        </w:rPr>
        <w:t xml:space="preserve">Sawaya, </w:t>
      </w:r>
      <w:r>
        <w:rPr>
          <w:lang w:val="en-US"/>
        </w:rPr>
        <w:t xml:space="preserve">I.E. </w:t>
      </w:r>
      <w:r w:rsidRPr="00D54770">
        <w:rPr>
          <w:lang w:val="en-US"/>
        </w:rPr>
        <w:t>Grossmann</w:t>
      </w:r>
      <w:r>
        <w:rPr>
          <w:lang w:val="en-US"/>
        </w:rPr>
        <w:t>,</w:t>
      </w:r>
      <w:r w:rsidRPr="00D54770">
        <w:rPr>
          <w:lang w:val="en-US"/>
        </w:rPr>
        <w:t xml:space="preserve"> 2007</w:t>
      </w:r>
      <w:r>
        <w:rPr>
          <w:lang w:val="en-US"/>
        </w:rPr>
        <w:t xml:space="preserve">, </w:t>
      </w:r>
      <w:r w:rsidRPr="00D54770">
        <w:rPr>
          <w:lang w:val="en-US"/>
        </w:rPr>
        <w:t>Computational implementation of non-linear convex hull</w:t>
      </w:r>
      <w:r>
        <w:rPr>
          <w:lang w:val="en-US"/>
        </w:rPr>
        <w:t xml:space="preserve"> </w:t>
      </w:r>
      <w:r w:rsidRPr="00D54770">
        <w:rPr>
          <w:lang w:val="en-US"/>
        </w:rPr>
        <w:t>reformulation. Computers &amp; Chemical Engineering, 31(7), 856–866.</w:t>
      </w:r>
    </w:p>
    <w:p w14:paraId="144DE6C3" w14:textId="6F120E2A" w:rsidR="008D2649" w:rsidRDefault="00340858" w:rsidP="00563093">
      <w:pPr>
        <w:pStyle w:val="Els-referenceno-number"/>
        <w:rPr>
          <w:lang w:val="en-US"/>
        </w:rPr>
      </w:pPr>
      <w:r w:rsidRPr="001F2051">
        <w:t>S. Lee, I.E. Grossmann, 2000,</w:t>
      </w:r>
      <w:r>
        <w:t xml:space="preserve"> </w:t>
      </w:r>
      <w:r w:rsidRPr="001F2051">
        <w:rPr>
          <w:lang w:val="en-US"/>
        </w:rPr>
        <w:t>New algorithms for nonlinear generalized disjunctive programming.</w:t>
      </w:r>
      <w:r>
        <w:rPr>
          <w:lang w:val="en-US"/>
        </w:rPr>
        <w:t xml:space="preserve"> </w:t>
      </w:r>
      <w:r w:rsidRPr="001F2051">
        <w:rPr>
          <w:lang w:val="en-US"/>
        </w:rPr>
        <w:t xml:space="preserve">Computers </w:t>
      </w:r>
      <w:r>
        <w:rPr>
          <w:lang w:val="en-US"/>
        </w:rPr>
        <w:t xml:space="preserve">&amp; </w:t>
      </w:r>
      <w:r w:rsidRPr="001F2051">
        <w:rPr>
          <w:lang w:val="en-US"/>
        </w:rPr>
        <w:t>Chemical Engineering, 24, 2125–2141.</w:t>
      </w:r>
    </w:p>
    <w:sectPr w:rsidR="008D2649" w:rsidSect="008B0184">
      <w:headerReference w:type="even" r:id="rId22"/>
      <w:headerReference w:type="default" r:id="rId23"/>
      <w:headerReference w:type="first" r:id="rId2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380DD" w14:textId="77777777" w:rsidR="0042217D" w:rsidRDefault="0042217D">
      <w:r>
        <w:separator/>
      </w:r>
    </w:p>
  </w:endnote>
  <w:endnote w:type="continuationSeparator" w:id="0">
    <w:p w14:paraId="3035D1B1" w14:textId="77777777" w:rsidR="0042217D" w:rsidRDefault="0042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2E73" w14:textId="77777777" w:rsidR="0042217D" w:rsidRDefault="0042217D">
      <w:r>
        <w:separator/>
      </w:r>
    </w:p>
  </w:footnote>
  <w:footnote w:type="continuationSeparator" w:id="0">
    <w:p w14:paraId="501C267B" w14:textId="77777777" w:rsidR="0042217D" w:rsidRDefault="00422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EBE902" w:rsidR="00DD3D9E" w:rsidRDefault="00DD3D9E">
    <w:pPr>
      <w:pStyle w:val="Header"/>
      <w:tabs>
        <w:tab w:val="clear" w:pos="7200"/>
        <w:tab w:val="right" w:pos="7088"/>
      </w:tabs>
    </w:pPr>
    <w:r>
      <w:rPr>
        <w:rStyle w:val="PageNumber"/>
      </w:rPr>
      <w:tab/>
    </w:r>
    <w:r>
      <w:rPr>
        <w:rStyle w:val="PageNumber"/>
        <w:i/>
      </w:rPr>
      <w:tab/>
    </w:r>
    <w:r w:rsidR="00083433">
      <w:rPr>
        <w:rStyle w:val="PageNumber"/>
        <w:i/>
      </w:rPr>
      <w:t>M. Bogataj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7CCA9DA" w:rsidR="00DD3D9E" w:rsidRDefault="00083433" w:rsidP="00083433">
    <w:pPr>
      <w:pStyle w:val="Header"/>
      <w:tabs>
        <w:tab w:val="clear" w:pos="7200"/>
        <w:tab w:val="right" w:pos="7088"/>
      </w:tabs>
      <w:rPr>
        <w:sz w:val="24"/>
      </w:rPr>
    </w:pPr>
    <w:r w:rsidRPr="00083433">
      <w:rPr>
        <w:i/>
      </w:rPr>
      <w:t>On Numerical Stability of Relaxations of Generalized Disjunctive Programs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679F"/>
    <w:rsid w:val="00006D48"/>
    <w:rsid w:val="00015BFC"/>
    <w:rsid w:val="00020730"/>
    <w:rsid w:val="00020FA3"/>
    <w:rsid w:val="0002264C"/>
    <w:rsid w:val="00025AF5"/>
    <w:rsid w:val="00030CCF"/>
    <w:rsid w:val="00034CE8"/>
    <w:rsid w:val="00055F7B"/>
    <w:rsid w:val="00057C81"/>
    <w:rsid w:val="0007705B"/>
    <w:rsid w:val="00083433"/>
    <w:rsid w:val="000926BD"/>
    <w:rsid w:val="00093390"/>
    <w:rsid w:val="0009782D"/>
    <w:rsid w:val="000A1210"/>
    <w:rsid w:val="000A431D"/>
    <w:rsid w:val="000B3570"/>
    <w:rsid w:val="000C3D01"/>
    <w:rsid w:val="000D3D9B"/>
    <w:rsid w:val="000F679A"/>
    <w:rsid w:val="001044EE"/>
    <w:rsid w:val="00110DCD"/>
    <w:rsid w:val="001268A9"/>
    <w:rsid w:val="001276DC"/>
    <w:rsid w:val="00132EC4"/>
    <w:rsid w:val="001332B9"/>
    <w:rsid w:val="00136746"/>
    <w:rsid w:val="0014112B"/>
    <w:rsid w:val="00141366"/>
    <w:rsid w:val="00143A94"/>
    <w:rsid w:val="00147705"/>
    <w:rsid w:val="0015174E"/>
    <w:rsid w:val="00156626"/>
    <w:rsid w:val="0016032F"/>
    <w:rsid w:val="001624BF"/>
    <w:rsid w:val="00170E3E"/>
    <w:rsid w:val="00173366"/>
    <w:rsid w:val="001778DB"/>
    <w:rsid w:val="00181689"/>
    <w:rsid w:val="001879F6"/>
    <w:rsid w:val="00192F13"/>
    <w:rsid w:val="00193965"/>
    <w:rsid w:val="001B1B94"/>
    <w:rsid w:val="001B2B8A"/>
    <w:rsid w:val="001B397F"/>
    <w:rsid w:val="001B7C64"/>
    <w:rsid w:val="001C0148"/>
    <w:rsid w:val="001C4BD3"/>
    <w:rsid w:val="001C757E"/>
    <w:rsid w:val="001E2D03"/>
    <w:rsid w:val="001E66BD"/>
    <w:rsid w:val="001F0931"/>
    <w:rsid w:val="001F2051"/>
    <w:rsid w:val="001F46A1"/>
    <w:rsid w:val="001F4BEF"/>
    <w:rsid w:val="001F50FC"/>
    <w:rsid w:val="001F6E7E"/>
    <w:rsid w:val="001F7736"/>
    <w:rsid w:val="0020390F"/>
    <w:rsid w:val="00216255"/>
    <w:rsid w:val="002233B3"/>
    <w:rsid w:val="002342D4"/>
    <w:rsid w:val="002410BC"/>
    <w:rsid w:val="002428D3"/>
    <w:rsid w:val="0025082E"/>
    <w:rsid w:val="0025388C"/>
    <w:rsid w:val="00264926"/>
    <w:rsid w:val="00273314"/>
    <w:rsid w:val="002742FF"/>
    <w:rsid w:val="002776CD"/>
    <w:rsid w:val="0028050E"/>
    <w:rsid w:val="00280FA0"/>
    <w:rsid w:val="00283660"/>
    <w:rsid w:val="002865F3"/>
    <w:rsid w:val="002933C1"/>
    <w:rsid w:val="002A05E2"/>
    <w:rsid w:val="002A1BCB"/>
    <w:rsid w:val="002A555E"/>
    <w:rsid w:val="002A6A2F"/>
    <w:rsid w:val="002C0BAA"/>
    <w:rsid w:val="002C0BBA"/>
    <w:rsid w:val="002C3A2F"/>
    <w:rsid w:val="002C52AF"/>
    <w:rsid w:val="002D5C63"/>
    <w:rsid w:val="002E0EBB"/>
    <w:rsid w:val="002E66E8"/>
    <w:rsid w:val="002E7388"/>
    <w:rsid w:val="002F2486"/>
    <w:rsid w:val="002F420C"/>
    <w:rsid w:val="002F6659"/>
    <w:rsid w:val="00301FE2"/>
    <w:rsid w:val="0030538C"/>
    <w:rsid w:val="00307EA8"/>
    <w:rsid w:val="0032367F"/>
    <w:rsid w:val="0033206F"/>
    <w:rsid w:val="00332D4D"/>
    <w:rsid w:val="0033306F"/>
    <w:rsid w:val="00340858"/>
    <w:rsid w:val="00343875"/>
    <w:rsid w:val="0034545A"/>
    <w:rsid w:val="00347FD9"/>
    <w:rsid w:val="0035641B"/>
    <w:rsid w:val="00362845"/>
    <w:rsid w:val="00363822"/>
    <w:rsid w:val="00371800"/>
    <w:rsid w:val="003761BA"/>
    <w:rsid w:val="00387940"/>
    <w:rsid w:val="0039114E"/>
    <w:rsid w:val="003B2153"/>
    <w:rsid w:val="003B4128"/>
    <w:rsid w:val="003B502C"/>
    <w:rsid w:val="003C0754"/>
    <w:rsid w:val="003C13C2"/>
    <w:rsid w:val="003C3FBD"/>
    <w:rsid w:val="003D1582"/>
    <w:rsid w:val="003D3451"/>
    <w:rsid w:val="003D7E4C"/>
    <w:rsid w:val="003E41C2"/>
    <w:rsid w:val="003E485F"/>
    <w:rsid w:val="003E4E49"/>
    <w:rsid w:val="00400EDC"/>
    <w:rsid w:val="004019CA"/>
    <w:rsid w:val="00401E11"/>
    <w:rsid w:val="00412031"/>
    <w:rsid w:val="00416466"/>
    <w:rsid w:val="00417A9E"/>
    <w:rsid w:val="0042217D"/>
    <w:rsid w:val="00424F80"/>
    <w:rsid w:val="00434C86"/>
    <w:rsid w:val="004448E0"/>
    <w:rsid w:val="00454037"/>
    <w:rsid w:val="004602F3"/>
    <w:rsid w:val="00463A98"/>
    <w:rsid w:val="00471AE7"/>
    <w:rsid w:val="00476DA8"/>
    <w:rsid w:val="00477CC2"/>
    <w:rsid w:val="00481A83"/>
    <w:rsid w:val="0048491D"/>
    <w:rsid w:val="00486E3D"/>
    <w:rsid w:val="00496D22"/>
    <w:rsid w:val="0049772C"/>
    <w:rsid w:val="004A4D50"/>
    <w:rsid w:val="004A5457"/>
    <w:rsid w:val="004A7028"/>
    <w:rsid w:val="004B72ED"/>
    <w:rsid w:val="004C2D1B"/>
    <w:rsid w:val="004C52C5"/>
    <w:rsid w:val="004C637E"/>
    <w:rsid w:val="004D3C90"/>
    <w:rsid w:val="004F0D9A"/>
    <w:rsid w:val="004F0F74"/>
    <w:rsid w:val="005025B5"/>
    <w:rsid w:val="005031E5"/>
    <w:rsid w:val="00506048"/>
    <w:rsid w:val="00521877"/>
    <w:rsid w:val="00533115"/>
    <w:rsid w:val="00535854"/>
    <w:rsid w:val="005366E8"/>
    <w:rsid w:val="00542EEB"/>
    <w:rsid w:val="00543D95"/>
    <w:rsid w:val="00545A3A"/>
    <w:rsid w:val="00545F7D"/>
    <w:rsid w:val="00552EEB"/>
    <w:rsid w:val="00553617"/>
    <w:rsid w:val="0056082E"/>
    <w:rsid w:val="00560FD0"/>
    <w:rsid w:val="00561803"/>
    <w:rsid w:val="00563093"/>
    <w:rsid w:val="005641D7"/>
    <w:rsid w:val="005643D2"/>
    <w:rsid w:val="00570E42"/>
    <w:rsid w:val="00594A45"/>
    <w:rsid w:val="00595755"/>
    <w:rsid w:val="005A7466"/>
    <w:rsid w:val="005B234E"/>
    <w:rsid w:val="005B2C88"/>
    <w:rsid w:val="005C09A3"/>
    <w:rsid w:val="005D0958"/>
    <w:rsid w:val="005D5B0E"/>
    <w:rsid w:val="005E05AF"/>
    <w:rsid w:val="005F637B"/>
    <w:rsid w:val="00600514"/>
    <w:rsid w:val="0060457C"/>
    <w:rsid w:val="00605A25"/>
    <w:rsid w:val="00607AF1"/>
    <w:rsid w:val="0061170D"/>
    <w:rsid w:val="00612CB3"/>
    <w:rsid w:val="00616604"/>
    <w:rsid w:val="0061751C"/>
    <w:rsid w:val="00621C63"/>
    <w:rsid w:val="00621E0D"/>
    <w:rsid w:val="006307C7"/>
    <w:rsid w:val="00634027"/>
    <w:rsid w:val="00645CFB"/>
    <w:rsid w:val="0064647C"/>
    <w:rsid w:val="00654D7C"/>
    <w:rsid w:val="00680584"/>
    <w:rsid w:val="00684CAF"/>
    <w:rsid w:val="006917C4"/>
    <w:rsid w:val="006A69BF"/>
    <w:rsid w:val="006A74C1"/>
    <w:rsid w:val="006A76F4"/>
    <w:rsid w:val="006B1D9E"/>
    <w:rsid w:val="006B4D39"/>
    <w:rsid w:val="006C217A"/>
    <w:rsid w:val="006D065E"/>
    <w:rsid w:val="006D0C38"/>
    <w:rsid w:val="006E024F"/>
    <w:rsid w:val="006E5BDB"/>
    <w:rsid w:val="00707D72"/>
    <w:rsid w:val="00711DF4"/>
    <w:rsid w:val="00713258"/>
    <w:rsid w:val="00713B19"/>
    <w:rsid w:val="007160DB"/>
    <w:rsid w:val="007161EB"/>
    <w:rsid w:val="00716878"/>
    <w:rsid w:val="007217CF"/>
    <w:rsid w:val="0072306F"/>
    <w:rsid w:val="007351C3"/>
    <w:rsid w:val="00736A6B"/>
    <w:rsid w:val="00741F9E"/>
    <w:rsid w:val="00742784"/>
    <w:rsid w:val="00743331"/>
    <w:rsid w:val="00767AD2"/>
    <w:rsid w:val="007732CA"/>
    <w:rsid w:val="0077382F"/>
    <w:rsid w:val="00774FC7"/>
    <w:rsid w:val="00787585"/>
    <w:rsid w:val="00792FBE"/>
    <w:rsid w:val="00793896"/>
    <w:rsid w:val="0079497F"/>
    <w:rsid w:val="00797E1B"/>
    <w:rsid w:val="007A1CE8"/>
    <w:rsid w:val="007A3500"/>
    <w:rsid w:val="007A69B0"/>
    <w:rsid w:val="007A7C3A"/>
    <w:rsid w:val="007B10C8"/>
    <w:rsid w:val="007C3459"/>
    <w:rsid w:val="007C4ABF"/>
    <w:rsid w:val="007D30DF"/>
    <w:rsid w:val="007D375C"/>
    <w:rsid w:val="007D3FE5"/>
    <w:rsid w:val="007D70A1"/>
    <w:rsid w:val="007E346E"/>
    <w:rsid w:val="007E6105"/>
    <w:rsid w:val="007F19E3"/>
    <w:rsid w:val="007F28E9"/>
    <w:rsid w:val="007F5E34"/>
    <w:rsid w:val="007F6241"/>
    <w:rsid w:val="007F78F6"/>
    <w:rsid w:val="00810135"/>
    <w:rsid w:val="008132E8"/>
    <w:rsid w:val="008163A4"/>
    <w:rsid w:val="00816783"/>
    <w:rsid w:val="00823407"/>
    <w:rsid w:val="008234B6"/>
    <w:rsid w:val="00824AA8"/>
    <w:rsid w:val="00830B8F"/>
    <w:rsid w:val="00833D44"/>
    <w:rsid w:val="00834645"/>
    <w:rsid w:val="00834B0C"/>
    <w:rsid w:val="00837DE5"/>
    <w:rsid w:val="00842713"/>
    <w:rsid w:val="00845125"/>
    <w:rsid w:val="00845C2A"/>
    <w:rsid w:val="00850F1A"/>
    <w:rsid w:val="00852E00"/>
    <w:rsid w:val="00856214"/>
    <w:rsid w:val="00863DBF"/>
    <w:rsid w:val="00865387"/>
    <w:rsid w:val="008674BF"/>
    <w:rsid w:val="00872A19"/>
    <w:rsid w:val="00876117"/>
    <w:rsid w:val="00876BDA"/>
    <w:rsid w:val="008866BF"/>
    <w:rsid w:val="00886992"/>
    <w:rsid w:val="008A27AF"/>
    <w:rsid w:val="008A2D99"/>
    <w:rsid w:val="008B0184"/>
    <w:rsid w:val="008B0FF2"/>
    <w:rsid w:val="008B1528"/>
    <w:rsid w:val="008B4ADD"/>
    <w:rsid w:val="008C0623"/>
    <w:rsid w:val="008C5D02"/>
    <w:rsid w:val="008D029C"/>
    <w:rsid w:val="008D2649"/>
    <w:rsid w:val="008D2703"/>
    <w:rsid w:val="008D4844"/>
    <w:rsid w:val="008D4D2A"/>
    <w:rsid w:val="008D6F41"/>
    <w:rsid w:val="008E0A49"/>
    <w:rsid w:val="008E134C"/>
    <w:rsid w:val="008E19F3"/>
    <w:rsid w:val="008F2BF7"/>
    <w:rsid w:val="008F7A44"/>
    <w:rsid w:val="0090178F"/>
    <w:rsid w:val="0090387E"/>
    <w:rsid w:val="00903C31"/>
    <w:rsid w:val="009042B8"/>
    <w:rsid w:val="0090568D"/>
    <w:rsid w:val="00905E38"/>
    <w:rsid w:val="0090613B"/>
    <w:rsid w:val="00911135"/>
    <w:rsid w:val="009125C9"/>
    <w:rsid w:val="00913879"/>
    <w:rsid w:val="00917661"/>
    <w:rsid w:val="0092494D"/>
    <w:rsid w:val="0093693E"/>
    <w:rsid w:val="00936BC1"/>
    <w:rsid w:val="00947BC5"/>
    <w:rsid w:val="009561D8"/>
    <w:rsid w:val="0095778E"/>
    <w:rsid w:val="00963591"/>
    <w:rsid w:val="00963930"/>
    <w:rsid w:val="0097059D"/>
    <w:rsid w:val="00970E5D"/>
    <w:rsid w:val="00971A7E"/>
    <w:rsid w:val="00972B75"/>
    <w:rsid w:val="00974874"/>
    <w:rsid w:val="0097701C"/>
    <w:rsid w:val="00980A65"/>
    <w:rsid w:val="0098546C"/>
    <w:rsid w:val="0099258D"/>
    <w:rsid w:val="00997402"/>
    <w:rsid w:val="009B5F52"/>
    <w:rsid w:val="009B6911"/>
    <w:rsid w:val="009B6E91"/>
    <w:rsid w:val="009B6EAE"/>
    <w:rsid w:val="009C66EA"/>
    <w:rsid w:val="009C69B1"/>
    <w:rsid w:val="009D11EC"/>
    <w:rsid w:val="009D14D2"/>
    <w:rsid w:val="009E31C1"/>
    <w:rsid w:val="009E4190"/>
    <w:rsid w:val="009E725A"/>
    <w:rsid w:val="009F17CD"/>
    <w:rsid w:val="00A06A27"/>
    <w:rsid w:val="00A14A89"/>
    <w:rsid w:val="00A21F5E"/>
    <w:rsid w:val="00A2215C"/>
    <w:rsid w:val="00A25E70"/>
    <w:rsid w:val="00A279BC"/>
    <w:rsid w:val="00A30E00"/>
    <w:rsid w:val="00A33765"/>
    <w:rsid w:val="00A33C07"/>
    <w:rsid w:val="00A47CA7"/>
    <w:rsid w:val="00A54FDB"/>
    <w:rsid w:val="00A63269"/>
    <w:rsid w:val="00A86A6E"/>
    <w:rsid w:val="00A92377"/>
    <w:rsid w:val="00AA02FF"/>
    <w:rsid w:val="00AA1255"/>
    <w:rsid w:val="00AB0026"/>
    <w:rsid w:val="00AB131B"/>
    <w:rsid w:val="00AB29ED"/>
    <w:rsid w:val="00AB7580"/>
    <w:rsid w:val="00AD374E"/>
    <w:rsid w:val="00AD57F8"/>
    <w:rsid w:val="00AD654B"/>
    <w:rsid w:val="00AE4BD8"/>
    <w:rsid w:val="00AF025C"/>
    <w:rsid w:val="00B06137"/>
    <w:rsid w:val="00B06283"/>
    <w:rsid w:val="00B06416"/>
    <w:rsid w:val="00B06C1A"/>
    <w:rsid w:val="00B149D9"/>
    <w:rsid w:val="00B153B6"/>
    <w:rsid w:val="00B244AB"/>
    <w:rsid w:val="00B26B98"/>
    <w:rsid w:val="00B270F9"/>
    <w:rsid w:val="00B3197E"/>
    <w:rsid w:val="00B3635D"/>
    <w:rsid w:val="00B376E6"/>
    <w:rsid w:val="00B427BB"/>
    <w:rsid w:val="00B4388F"/>
    <w:rsid w:val="00B52E23"/>
    <w:rsid w:val="00B624AA"/>
    <w:rsid w:val="00B63237"/>
    <w:rsid w:val="00B638E5"/>
    <w:rsid w:val="00B64032"/>
    <w:rsid w:val="00B6657B"/>
    <w:rsid w:val="00B73C4C"/>
    <w:rsid w:val="00B74A80"/>
    <w:rsid w:val="00B82D29"/>
    <w:rsid w:val="00B836C8"/>
    <w:rsid w:val="00B85DFA"/>
    <w:rsid w:val="00B87E73"/>
    <w:rsid w:val="00B90A5F"/>
    <w:rsid w:val="00B91EE6"/>
    <w:rsid w:val="00B9227A"/>
    <w:rsid w:val="00BA248B"/>
    <w:rsid w:val="00BB49BC"/>
    <w:rsid w:val="00BC0511"/>
    <w:rsid w:val="00BC087B"/>
    <w:rsid w:val="00BD4035"/>
    <w:rsid w:val="00BD4ABD"/>
    <w:rsid w:val="00BD7328"/>
    <w:rsid w:val="00BD77E9"/>
    <w:rsid w:val="00BE4038"/>
    <w:rsid w:val="00BE4FF4"/>
    <w:rsid w:val="00BE6D3D"/>
    <w:rsid w:val="00BF09C4"/>
    <w:rsid w:val="00C00414"/>
    <w:rsid w:val="00C03C8F"/>
    <w:rsid w:val="00C05F6C"/>
    <w:rsid w:val="00C06647"/>
    <w:rsid w:val="00C1000B"/>
    <w:rsid w:val="00C1085B"/>
    <w:rsid w:val="00C16E7A"/>
    <w:rsid w:val="00C205A0"/>
    <w:rsid w:val="00C27D80"/>
    <w:rsid w:val="00C334E1"/>
    <w:rsid w:val="00C67F73"/>
    <w:rsid w:val="00C70EE2"/>
    <w:rsid w:val="00C748B8"/>
    <w:rsid w:val="00C76013"/>
    <w:rsid w:val="00C839F6"/>
    <w:rsid w:val="00C84B30"/>
    <w:rsid w:val="00C85BA1"/>
    <w:rsid w:val="00C90AE0"/>
    <w:rsid w:val="00C938C6"/>
    <w:rsid w:val="00C95AAD"/>
    <w:rsid w:val="00C960DC"/>
    <w:rsid w:val="00CA0B1F"/>
    <w:rsid w:val="00CA2A3A"/>
    <w:rsid w:val="00CB4538"/>
    <w:rsid w:val="00CC6CB3"/>
    <w:rsid w:val="00CD00D5"/>
    <w:rsid w:val="00CD412A"/>
    <w:rsid w:val="00CD6983"/>
    <w:rsid w:val="00CF3C29"/>
    <w:rsid w:val="00CF40D7"/>
    <w:rsid w:val="00CF5201"/>
    <w:rsid w:val="00D025B7"/>
    <w:rsid w:val="00D02C75"/>
    <w:rsid w:val="00D06C14"/>
    <w:rsid w:val="00D071C2"/>
    <w:rsid w:val="00D10E22"/>
    <w:rsid w:val="00D111DF"/>
    <w:rsid w:val="00D13D2C"/>
    <w:rsid w:val="00D175E1"/>
    <w:rsid w:val="00D17C75"/>
    <w:rsid w:val="00D253DF"/>
    <w:rsid w:val="00D25D69"/>
    <w:rsid w:val="00D31826"/>
    <w:rsid w:val="00D4074C"/>
    <w:rsid w:val="00D455F8"/>
    <w:rsid w:val="00D54770"/>
    <w:rsid w:val="00D6179C"/>
    <w:rsid w:val="00D66031"/>
    <w:rsid w:val="00D73411"/>
    <w:rsid w:val="00D84026"/>
    <w:rsid w:val="00D87D01"/>
    <w:rsid w:val="00D90A97"/>
    <w:rsid w:val="00D90EC7"/>
    <w:rsid w:val="00D913E9"/>
    <w:rsid w:val="00D93247"/>
    <w:rsid w:val="00DA0167"/>
    <w:rsid w:val="00DA0AE5"/>
    <w:rsid w:val="00DA741E"/>
    <w:rsid w:val="00DA77D0"/>
    <w:rsid w:val="00DB12E8"/>
    <w:rsid w:val="00DB2AE2"/>
    <w:rsid w:val="00DB3A32"/>
    <w:rsid w:val="00DB6F00"/>
    <w:rsid w:val="00DC28FE"/>
    <w:rsid w:val="00DC2F94"/>
    <w:rsid w:val="00DD0B72"/>
    <w:rsid w:val="00DD3D9E"/>
    <w:rsid w:val="00DD4404"/>
    <w:rsid w:val="00DD5F90"/>
    <w:rsid w:val="00DD7908"/>
    <w:rsid w:val="00DE03BB"/>
    <w:rsid w:val="00DE1D9E"/>
    <w:rsid w:val="00DF0241"/>
    <w:rsid w:val="00DF09A8"/>
    <w:rsid w:val="00DF56B4"/>
    <w:rsid w:val="00E01E20"/>
    <w:rsid w:val="00E138A0"/>
    <w:rsid w:val="00E207D2"/>
    <w:rsid w:val="00E21955"/>
    <w:rsid w:val="00E266BE"/>
    <w:rsid w:val="00E356DA"/>
    <w:rsid w:val="00E41EEA"/>
    <w:rsid w:val="00E479DA"/>
    <w:rsid w:val="00E5211D"/>
    <w:rsid w:val="00E55890"/>
    <w:rsid w:val="00E6492F"/>
    <w:rsid w:val="00E7000B"/>
    <w:rsid w:val="00E80944"/>
    <w:rsid w:val="00E81BB3"/>
    <w:rsid w:val="00E82297"/>
    <w:rsid w:val="00E83382"/>
    <w:rsid w:val="00E840B6"/>
    <w:rsid w:val="00E92D94"/>
    <w:rsid w:val="00EA2FAC"/>
    <w:rsid w:val="00EA4013"/>
    <w:rsid w:val="00EB411F"/>
    <w:rsid w:val="00EC0771"/>
    <w:rsid w:val="00EC2B6B"/>
    <w:rsid w:val="00ED0D01"/>
    <w:rsid w:val="00ED4EF8"/>
    <w:rsid w:val="00ED6ECC"/>
    <w:rsid w:val="00EF39FD"/>
    <w:rsid w:val="00EF3D97"/>
    <w:rsid w:val="00EF613C"/>
    <w:rsid w:val="00F01E77"/>
    <w:rsid w:val="00F0262A"/>
    <w:rsid w:val="00F06842"/>
    <w:rsid w:val="00F107FD"/>
    <w:rsid w:val="00F1155A"/>
    <w:rsid w:val="00F273E9"/>
    <w:rsid w:val="00F31CEC"/>
    <w:rsid w:val="00F335FA"/>
    <w:rsid w:val="00F45168"/>
    <w:rsid w:val="00F46E80"/>
    <w:rsid w:val="00F47311"/>
    <w:rsid w:val="00F51FD6"/>
    <w:rsid w:val="00F71460"/>
    <w:rsid w:val="00F809A6"/>
    <w:rsid w:val="00F912B1"/>
    <w:rsid w:val="00F94D72"/>
    <w:rsid w:val="00F9577D"/>
    <w:rsid w:val="00FA0FBE"/>
    <w:rsid w:val="00FA551E"/>
    <w:rsid w:val="00FA6EEF"/>
    <w:rsid w:val="00FA7621"/>
    <w:rsid w:val="00FB308C"/>
    <w:rsid w:val="00FB3ECF"/>
    <w:rsid w:val="00FB5035"/>
    <w:rsid w:val="00FB57E3"/>
    <w:rsid w:val="00FB64A8"/>
    <w:rsid w:val="00FC2CC6"/>
    <w:rsid w:val="00FC3556"/>
    <w:rsid w:val="00FC39FA"/>
    <w:rsid w:val="00FC5486"/>
    <w:rsid w:val="00FC7BA9"/>
    <w:rsid w:val="00FD4D02"/>
    <w:rsid w:val="00FE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uiPriority w:val="39"/>
    <w:rsid w:val="002C3A2F"/>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2181</Words>
  <Characters>12433</Characters>
  <Application>Microsoft Office Word</Application>
  <DocSecurity>0</DocSecurity>
  <Lines>103</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Miloš Bogataj</cp:lastModifiedBy>
  <cp:revision>2</cp:revision>
  <cp:lastPrinted>2004-12-17T09:20:00Z</cp:lastPrinted>
  <dcterms:created xsi:type="dcterms:W3CDTF">2023-11-28T09:30:00Z</dcterms:created>
  <dcterms:modified xsi:type="dcterms:W3CDTF">2023-11-28T09:30:00Z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TWinEqns">
    <vt:bool>true</vt:bool>
  </property>
</Properties>
</file>