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0F657557" w:rsidR="00DD3D9E" w:rsidRPr="00194178" w:rsidRDefault="00194178" w:rsidP="00EC125A">
      <w:pPr>
        <w:pStyle w:val="Els-Title"/>
        <w:rPr>
          <w:color w:val="000000" w:themeColor="text1"/>
          <w:lang w:val="en-GB"/>
        </w:rPr>
      </w:pPr>
      <w:r w:rsidRPr="00194178">
        <w:rPr>
          <w:color w:val="000000" w:themeColor="text1"/>
          <w:lang w:val="en-GB"/>
        </w:rPr>
        <w:t xml:space="preserve">Dynamic simulation and </w:t>
      </w:r>
      <w:r w:rsidR="00EB2CFE">
        <w:rPr>
          <w:color w:val="000000" w:themeColor="text1"/>
          <w:lang w:val="en-GB"/>
        </w:rPr>
        <w:t>evaluation</w:t>
      </w:r>
      <w:r w:rsidR="00EC125A">
        <w:rPr>
          <w:color w:val="000000" w:themeColor="text1"/>
          <w:lang w:val="en-GB"/>
        </w:rPr>
        <w:t xml:space="preserve"> </w:t>
      </w:r>
      <w:r w:rsidR="00612AAB">
        <w:rPr>
          <w:color w:val="000000" w:themeColor="text1"/>
          <w:lang w:val="en-GB"/>
        </w:rPr>
        <w:t>of integrated chromatograph</w:t>
      </w:r>
      <w:r w:rsidR="00386E6A">
        <w:rPr>
          <w:color w:val="000000" w:themeColor="text1"/>
          <w:lang w:val="en-GB"/>
        </w:rPr>
        <w:t>y</w:t>
      </w:r>
      <w:r w:rsidRPr="00194178">
        <w:rPr>
          <w:color w:val="000000" w:themeColor="text1"/>
          <w:lang w:val="en-GB"/>
        </w:rPr>
        <w:t>-ultrafilt</w:t>
      </w:r>
      <w:r w:rsidR="00612AAB">
        <w:rPr>
          <w:color w:val="000000" w:themeColor="text1"/>
          <w:lang w:val="en-GB"/>
        </w:rPr>
        <w:t>ration</w:t>
      </w:r>
      <w:r w:rsidR="00386E6A">
        <w:rPr>
          <w:color w:val="000000" w:themeColor="text1"/>
          <w:lang w:val="en-GB"/>
        </w:rPr>
        <w:t xml:space="preserve"> in</w:t>
      </w:r>
      <w:r w:rsidRPr="00194178">
        <w:rPr>
          <w:color w:val="000000" w:themeColor="text1"/>
          <w:lang w:val="en-GB"/>
        </w:rPr>
        <w:t xml:space="preserve"> mAb </w:t>
      </w:r>
      <w:r w:rsidR="00EB2CFE">
        <w:rPr>
          <w:color w:val="000000" w:themeColor="text1"/>
          <w:lang w:val="en-GB"/>
        </w:rPr>
        <w:t>production</w:t>
      </w:r>
    </w:p>
    <w:p w14:paraId="144DE680" w14:textId="47213E33" w:rsidR="00DD3D9E" w:rsidRPr="002C4F1C" w:rsidRDefault="002C4F1C">
      <w:pPr>
        <w:pStyle w:val="Els-Author"/>
      </w:pPr>
      <w:r>
        <w:t xml:space="preserve">Wil Jones, Dimitrios </w:t>
      </w:r>
      <w:r w:rsidR="00052D3D">
        <w:t xml:space="preserve">I. </w:t>
      </w:r>
      <w:r>
        <w:t>Gerogiorgis</w:t>
      </w:r>
      <w:r>
        <w:rPr>
          <w:rFonts w:ascii="Arial Narrow" w:hAnsi="Arial Narrow"/>
        </w:rPr>
        <w:t>*</w:t>
      </w:r>
    </w:p>
    <w:p w14:paraId="144DE682" w14:textId="2A46AFB7" w:rsidR="00DD3D9E" w:rsidRDefault="002C4F1C" w:rsidP="002C4F1C">
      <w:pPr>
        <w:pStyle w:val="Els-Affiliation"/>
      </w:pPr>
      <w:r w:rsidRPr="002C4F1C">
        <w:rPr>
          <w:iCs/>
        </w:rPr>
        <w:t xml:space="preserve">Institute </w:t>
      </w:r>
      <w:r w:rsidR="004F343D">
        <w:rPr>
          <w:iCs/>
        </w:rPr>
        <w:t>for</w:t>
      </w:r>
      <w:r w:rsidRPr="002C4F1C">
        <w:rPr>
          <w:iCs/>
        </w:rPr>
        <w:t xml:space="preserve"> Materials and Processes (IMP), School of Engineering, University of Edinburgh, EH9 3FB, U</w:t>
      </w:r>
      <w:r w:rsidR="004F343D">
        <w:rPr>
          <w:iCs/>
        </w:rPr>
        <w:t>K</w:t>
      </w:r>
    </w:p>
    <w:p w14:paraId="144DE683" w14:textId="208E0B77" w:rsidR="008D2649" w:rsidRPr="00A94774" w:rsidRDefault="002C4F1C" w:rsidP="008E28DC">
      <w:pPr>
        <w:pStyle w:val="Els-Affiliation"/>
        <w:tabs>
          <w:tab w:val="right" w:pos="7087"/>
        </w:tabs>
        <w:spacing w:after="120"/>
      </w:pPr>
      <w:r w:rsidRPr="002C4F1C">
        <w:rPr>
          <w:iCs/>
        </w:rPr>
        <w:t>*D.Gerogiorgis@ed.ac.uk</w:t>
      </w:r>
      <w:r w:rsidR="008E28DC">
        <w:rPr>
          <w:iCs/>
        </w:rPr>
        <w:tab/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0387B1B2" w14:textId="7086EB14" w:rsidR="00194178" w:rsidRPr="00194178" w:rsidRDefault="00912444" w:rsidP="00855C4B">
      <w:pPr>
        <w:pStyle w:val="Els-body-text"/>
        <w:spacing w:after="120"/>
      </w:pPr>
      <w:r>
        <w:t xml:space="preserve">Dynamic simulation and optimisation offer the opportunity to identify process operating strategies for rapid-scale up of production platforms from benchtop to industrial scale. The challenge of process scalability is especially </w:t>
      </w:r>
      <w:r w:rsidR="004F343D">
        <w:t>critical for</w:t>
      </w:r>
      <w:r>
        <w:t xml:space="preserve"> downstream separation units, </w:t>
      </w:r>
      <w:r w:rsidR="004F343D">
        <w:t xml:space="preserve">as the latter </w:t>
      </w:r>
      <w:r>
        <w:t xml:space="preserve">account for </w:t>
      </w:r>
      <w:r w:rsidR="004F343D">
        <w:t xml:space="preserve">ca. </w:t>
      </w:r>
      <w:r>
        <w:t xml:space="preserve">60% of total mAb manufacturing costs </w:t>
      </w:r>
      <w:r w:rsidR="00855C4B">
        <w:t>(DiLeo et al., 2017).</w:t>
      </w:r>
      <w:r>
        <w:t xml:space="preserve"> Two key operations of interest are polishing chromatography and ultrafiltration which are typically operated sequentially</w:t>
      </w:r>
      <w:r w:rsidR="004F343D">
        <w:t xml:space="preserve"> in</w:t>
      </w:r>
      <w:r>
        <w:t xml:space="preserve"> flowsheets. This paper addresses</w:t>
      </w:r>
      <w:r w:rsidR="009F722C">
        <w:t xml:space="preserve"> how</w:t>
      </w:r>
      <w:r>
        <w:t xml:space="preserve"> robust simulation and optimisation of</w:t>
      </w:r>
      <w:r w:rsidR="009F722C">
        <w:t xml:space="preserve"> polishing-ultrafilter </w:t>
      </w:r>
      <w:r w:rsidR="004F343D">
        <w:t>systems can</w:t>
      </w:r>
      <w:r w:rsidR="009F722C">
        <w:t xml:space="preserve"> elucidate key operating decisions (pH, elution and pressure drop manipulation strategies), as well as key design decisions (ultrafilter configuration) in pursuit of </w:t>
      </w:r>
      <w:r w:rsidR="003C403A">
        <w:t xml:space="preserve">lower </w:t>
      </w:r>
      <w:r w:rsidR="009F722C">
        <w:t xml:space="preserve">capital and operational expenditure </w:t>
      </w:r>
      <w:r w:rsidR="003C403A">
        <w:t xml:space="preserve">for monoclonal antibody (mAb) </w:t>
      </w:r>
      <w:r w:rsidR="009F722C">
        <w:t xml:space="preserve">separation. </w:t>
      </w:r>
      <w:r w:rsidR="003C403A">
        <w:t>Moreover,</w:t>
      </w:r>
      <w:r w:rsidR="00855C4B">
        <w:t xml:space="preserve"> </w:t>
      </w:r>
      <w:r w:rsidR="003C403A">
        <w:t xml:space="preserve">mAb yield and titer </w:t>
      </w:r>
      <w:r w:rsidR="00855C4B">
        <w:t>specification constraints are</w:t>
      </w:r>
      <w:r w:rsidR="009F722C">
        <w:t xml:space="preserve"> </w:t>
      </w:r>
      <w:r w:rsidR="00855C4B">
        <w:t xml:space="preserve">simultaneously considered </w:t>
      </w:r>
      <w:r w:rsidR="003C403A">
        <w:t xml:space="preserve">with </w:t>
      </w:r>
      <w:r w:rsidR="00855C4B">
        <w:t>t</w:t>
      </w:r>
      <w:r w:rsidR="003C403A">
        <w:t>he CapEx and OpEx reduction</w:t>
      </w:r>
      <w:r w:rsidR="00855C4B">
        <w:t xml:space="preserve"> objectiv</w:t>
      </w:r>
      <w:r w:rsidR="003C403A">
        <w:t>e.</w:t>
      </w:r>
    </w:p>
    <w:p w14:paraId="144DE687" w14:textId="2E8900CD" w:rsidR="008D2649" w:rsidRDefault="008D2649" w:rsidP="00194178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91557D">
        <w:rPr>
          <w:lang w:val="en-GB"/>
        </w:rPr>
        <w:t xml:space="preserve">Dynamic simulation; </w:t>
      </w:r>
      <w:r w:rsidR="004F343D">
        <w:rPr>
          <w:lang w:val="en-GB"/>
        </w:rPr>
        <w:t>p</w:t>
      </w:r>
      <w:r w:rsidR="0091557D">
        <w:rPr>
          <w:lang w:val="en-GB"/>
        </w:rPr>
        <w:t>olishing c</w:t>
      </w:r>
      <w:r w:rsidR="00823C48">
        <w:rPr>
          <w:lang w:val="en-GB"/>
        </w:rPr>
        <w:t xml:space="preserve">hromatography; </w:t>
      </w:r>
      <w:r w:rsidR="004F343D">
        <w:rPr>
          <w:lang w:val="en-GB"/>
        </w:rPr>
        <w:t>u</w:t>
      </w:r>
      <w:r w:rsidR="00823C48">
        <w:rPr>
          <w:lang w:val="en-GB"/>
        </w:rPr>
        <w:t>ltrafiltration;</w:t>
      </w:r>
      <w:r w:rsidR="00194178">
        <w:rPr>
          <w:lang w:val="en-GB"/>
        </w:rPr>
        <w:t xml:space="preserve"> mAbs</w:t>
      </w:r>
      <w:r w:rsidR="003C403A">
        <w:rPr>
          <w:lang w:val="en-GB"/>
        </w:rPr>
        <w:t>.</w:t>
      </w:r>
    </w:p>
    <w:p w14:paraId="144DE689" w14:textId="14252079" w:rsidR="008D2649" w:rsidRDefault="000136F1" w:rsidP="008D2649">
      <w:pPr>
        <w:pStyle w:val="Els-1storder-head"/>
      </w:pPr>
      <w:r>
        <w:t>Introduction</w:t>
      </w:r>
    </w:p>
    <w:p w14:paraId="3C69E536" w14:textId="55FC58A1" w:rsidR="004E213C" w:rsidRPr="00194178" w:rsidRDefault="004E213C" w:rsidP="004E213C">
      <w:pPr>
        <w:pStyle w:val="Els-body-text"/>
        <w:spacing w:after="120"/>
      </w:pPr>
      <w:r w:rsidRPr="00194178">
        <w:t xml:space="preserve">Bioprocess systems engineering </w:t>
      </w:r>
      <w:r w:rsidR="004F343D">
        <w:t xml:space="preserve">has capitalised on benefits from </w:t>
      </w:r>
      <w:r w:rsidRPr="00194178">
        <w:t>dynamic modelling, simulation, and optimisation</w:t>
      </w:r>
      <w:r w:rsidR="004F343D">
        <w:t>: the latter facilitate</w:t>
      </w:r>
      <w:r w:rsidRPr="00194178">
        <w:t xml:space="preserve"> rapid scale-up of mAb production</w:t>
      </w:r>
      <w:r w:rsidR="004F343D">
        <w:t xml:space="preserve">, </w:t>
      </w:r>
      <w:r w:rsidRPr="00194178">
        <w:t>from laboratory and pilot sca</w:t>
      </w:r>
      <w:r>
        <w:t xml:space="preserve">les </w:t>
      </w:r>
      <w:r w:rsidR="004F343D">
        <w:t xml:space="preserve">all the way to </w:t>
      </w:r>
      <w:r>
        <w:t xml:space="preserve">industrial </w:t>
      </w:r>
      <w:r w:rsidR="004F343D">
        <w:t>platforms</w:t>
      </w:r>
      <w:r>
        <w:t xml:space="preserve"> (Badr and Sugiyama, 2020)</w:t>
      </w:r>
      <w:r w:rsidRPr="00194178">
        <w:t>. Despite significant development</w:t>
      </w:r>
      <w:r w:rsidR="004F343D">
        <w:t>s in</w:t>
      </w:r>
      <w:r w:rsidRPr="00194178">
        <w:t xml:space="preserve"> upstream unit operations over the past few decades, leading to titers </w:t>
      </w:r>
      <w:r w:rsidR="009140C3">
        <w:t>as high as</w:t>
      </w:r>
      <w:r w:rsidRPr="00194178">
        <w:t xml:space="preserve"> 3–5 g L</w:t>
      </w:r>
      <w:r w:rsidRPr="00194178">
        <w:rPr>
          <w:vertAlign w:val="superscript"/>
        </w:rPr>
        <w:t>–1</w:t>
      </w:r>
      <w:r w:rsidR="00823C48">
        <w:t xml:space="preserve"> (Chon</w:t>
      </w:r>
      <w:r>
        <w:t xml:space="preserve"> and Zarbis-Papastoitsis, 2011)</w:t>
      </w:r>
      <w:r w:rsidRPr="00194178">
        <w:t xml:space="preserve">, </w:t>
      </w:r>
      <w:r w:rsidR="009140C3">
        <w:t xml:space="preserve">major </w:t>
      </w:r>
      <w:r w:rsidRPr="00194178">
        <w:t xml:space="preserve">downstream separation </w:t>
      </w:r>
      <w:r w:rsidR="009140C3">
        <w:t>breakthroughs</w:t>
      </w:r>
      <w:r w:rsidRPr="00194178">
        <w:t xml:space="preserve"> </w:t>
      </w:r>
      <w:r w:rsidR="009140C3">
        <w:t xml:space="preserve">only emerged in the </w:t>
      </w:r>
      <w:r w:rsidR="003C403A">
        <w:t>last one</w:t>
      </w:r>
      <w:r>
        <w:t xml:space="preserve"> (DiLeo et al., 2017)</w:t>
      </w:r>
      <w:r w:rsidRPr="00194178">
        <w:t>. Two key downstream se</w:t>
      </w:r>
      <w:r w:rsidR="003C403A">
        <w:t>parat</w:t>
      </w:r>
      <w:r w:rsidRPr="00194178">
        <w:t xml:space="preserve">ion </w:t>
      </w:r>
      <w:r w:rsidR="003C403A">
        <w:t>pillars</w:t>
      </w:r>
      <w:r w:rsidRPr="00194178">
        <w:t xml:space="preserve"> are </w:t>
      </w:r>
      <w:r w:rsidRPr="003C403A">
        <w:rPr>
          <w:i/>
          <w:iCs/>
        </w:rPr>
        <w:t>polishing chromatography</w:t>
      </w:r>
      <w:r w:rsidR="003C403A">
        <w:t xml:space="preserve"> and </w:t>
      </w:r>
      <w:r w:rsidRPr="003C403A">
        <w:rPr>
          <w:i/>
          <w:iCs/>
        </w:rPr>
        <w:t>ultrafiltration</w:t>
      </w:r>
      <w:r w:rsidRPr="00194178">
        <w:t>. Polishing chromatography is used to remove undesirable by-products, e.g. misfolded</w:t>
      </w:r>
      <w:r>
        <w:t xml:space="preserve"> and charge variant proteins (Rathore et al., 2018)</w:t>
      </w:r>
      <w:r w:rsidRPr="00194178">
        <w:t xml:space="preserve">, whilst ultrafiltration is </w:t>
      </w:r>
      <w:r w:rsidR="003C403A">
        <w:t>routinely used</w:t>
      </w:r>
      <w:r w:rsidRPr="00194178">
        <w:t xml:space="preserve"> with diafiltration post polishing</w:t>
      </w:r>
      <w:r w:rsidR="003C403A">
        <w:t>,</w:t>
      </w:r>
      <w:r w:rsidRPr="00194178">
        <w:t xml:space="preserve"> to </w:t>
      </w:r>
      <w:r w:rsidR="003C403A">
        <w:t>purify</w:t>
      </w:r>
      <w:r w:rsidRPr="00194178">
        <w:t xml:space="preserve"> th</w:t>
      </w:r>
      <w:r>
        <w:t xml:space="preserve">e </w:t>
      </w:r>
      <w:r w:rsidR="003C403A">
        <w:t>mAb</w:t>
      </w:r>
      <w:r>
        <w:t>rug excipient formulation (Baek et al., 2017)</w:t>
      </w:r>
      <w:r w:rsidRPr="00194178">
        <w:t xml:space="preserve">. The operating strategies of polishing </w:t>
      </w:r>
      <w:r w:rsidR="003C403A">
        <w:t xml:space="preserve">chromatography </w:t>
      </w:r>
      <w:r w:rsidRPr="00194178">
        <w:t>columns and ultrafilters must ensure industrial specifications of mAb quality and throughput are met. Achieving these</w:t>
      </w:r>
      <w:r w:rsidR="003C403A">
        <w:t xml:space="preserve"> set targets</w:t>
      </w:r>
      <w:r w:rsidRPr="00194178">
        <w:t xml:space="preserve"> </w:t>
      </w:r>
      <w:r w:rsidR="003C403A">
        <w:t>can be</w:t>
      </w:r>
      <w:r w:rsidRPr="00194178">
        <w:t xml:space="preserve"> challenging</w:t>
      </w:r>
      <w:r w:rsidR="003C403A">
        <w:t xml:space="preserve">, given </w:t>
      </w:r>
      <w:r w:rsidRPr="00194178">
        <w:t>the inherent variability of bioprocess platforms.</w:t>
      </w:r>
    </w:p>
    <w:p w14:paraId="6F5B6DA3" w14:textId="3D1C620C" w:rsidR="004E213C" w:rsidRPr="004E213C" w:rsidRDefault="003C403A" w:rsidP="004E213C">
      <w:pPr>
        <w:pStyle w:val="Els-body-text"/>
        <w:spacing w:after="120"/>
      </w:pPr>
      <w:r>
        <w:t>This paper employs</w:t>
      </w:r>
      <w:r w:rsidR="004E213C" w:rsidRPr="00194178">
        <w:t xml:space="preserve"> dynamic simulation </w:t>
      </w:r>
      <w:r w:rsidR="00DF7537">
        <w:t>for a wide</w:t>
      </w:r>
      <w:r w:rsidR="004E213C" w:rsidRPr="00194178">
        <w:t xml:space="preserve"> array of integrated polishing-ultrafilter flowsheet operating strategies</w:t>
      </w:r>
      <w:r w:rsidR="00DF7537">
        <w:t>, to visualise and comparatively assess</w:t>
      </w:r>
      <w:r w:rsidR="004E213C" w:rsidRPr="00194178">
        <w:t xml:space="preserve"> their effectiveness at obtaining</w:t>
      </w:r>
      <w:r w:rsidR="00DF7537">
        <w:t xml:space="preserve"> products meeting</w:t>
      </w:r>
      <w:r w:rsidR="004E213C" w:rsidRPr="00194178">
        <w:t xml:space="preserve"> industrial specification</w:t>
      </w:r>
      <w:r w:rsidR="00DF7537">
        <w:t>s</w:t>
      </w:r>
      <w:r w:rsidR="004E213C" w:rsidRPr="00194178">
        <w:t xml:space="preserve"> for mAb recovery yield and titer. </w:t>
      </w:r>
      <w:r w:rsidR="00DF7537">
        <w:t>Our</w:t>
      </w:r>
      <w:r w:rsidR="004E213C" w:rsidRPr="00194178">
        <w:t xml:space="preserve"> </w:t>
      </w:r>
      <w:r w:rsidR="00DF7537">
        <w:t>comparative</w:t>
      </w:r>
      <w:r w:rsidR="004E213C" w:rsidRPr="00194178">
        <w:t xml:space="preserve"> </w:t>
      </w:r>
      <w:r w:rsidR="00DF7537">
        <w:t>analysis relies on published studies: a</w:t>
      </w:r>
      <w:r w:rsidR="004E213C" w:rsidRPr="00194178">
        <w:t xml:space="preserve"> pH-dependent </w:t>
      </w:r>
      <w:r w:rsidR="002D2596">
        <w:t>steric mass action model i</w:t>
      </w:r>
      <w:r w:rsidR="004E213C" w:rsidRPr="00194178">
        <w:t xml:space="preserve">s </w:t>
      </w:r>
      <w:r w:rsidR="00DF7537">
        <w:t>used</w:t>
      </w:r>
      <w:r w:rsidR="004E213C" w:rsidRPr="00194178">
        <w:t xml:space="preserve"> </w:t>
      </w:r>
      <w:r w:rsidR="004E213C">
        <w:t>for polishin</w:t>
      </w:r>
      <w:r w:rsidR="00D61EF9">
        <w:t>g</w:t>
      </w:r>
      <w:r w:rsidR="00DF7537">
        <w:t xml:space="preserve"> chromatography</w:t>
      </w:r>
      <w:r w:rsidR="00D61EF9">
        <w:t xml:space="preserve"> (Saleh et al., 2020</w:t>
      </w:r>
      <w:r w:rsidR="004E213C">
        <w:t>)</w:t>
      </w:r>
      <w:r w:rsidR="004E213C" w:rsidRPr="00194178">
        <w:t>,</w:t>
      </w:r>
      <w:r w:rsidR="00DF7537">
        <w:t xml:space="preserve"> and a Darcy’s law flow resistance (</w:t>
      </w:r>
      <w:r w:rsidR="004E213C" w:rsidRPr="00194178">
        <w:t>gel layer</w:t>
      </w:r>
      <w:r w:rsidR="00DF7537">
        <w:t>)</w:t>
      </w:r>
      <w:r w:rsidR="004E213C" w:rsidRPr="00194178">
        <w:t xml:space="preserve"> model is </w:t>
      </w:r>
      <w:r w:rsidR="004E213C">
        <w:t>employed for ultrafiltration (Thakur and Rathore, 2021)</w:t>
      </w:r>
      <w:r w:rsidR="004E213C" w:rsidRPr="00194178">
        <w:t xml:space="preserve">. </w:t>
      </w:r>
      <w:r w:rsidR="00DF7537">
        <w:t xml:space="preserve">Dynamic simulation of </w:t>
      </w:r>
      <w:r w:rsidR="00A2630D">
        <w:t>23 di</w:t>
      </w:r>
      <w:r w:rsidR="00CE36C3">
        <w:t>stinct</w:t>
      </w:r>
      <w:r w:rsidR="00A2630D">
        <w:t xml:space="preserve"> polishing chromatography elution profiles </w:t>
      </w:r>
      <w:r w:rsidR="00CE36C3">
        <w:t>enables</w:t>
      </w:r>
      <w:r w:rsidR="00C32D44">
        <w:t xml:space="preserve"> a</w:t>
      </w:r>
      <w:r w:rsidR="00717385">
        <w:t xml:space="preserve"> comparative </w:t>
      </w:r>
      <w:r w:rsidR="00C32D44">
        <w:t>analysis</w:t>
      </w:r>
      <w:r w:rsidR="004E213C" w:rsidRPr="00194178">
        <w:t xml:space="preserve"> of</w:t>
      </w:r>
      <w:r w:rsidR="00CE36C3">
        <w:t xml:space="preserve"> each of </w:t>
      </w:r>
      <w:r w:rsidR="00717385">
        <w:t xml:space="preserve">the best six </w:t>
      </w:r>
      <w:r w:rsidR="004E213C" w:rsidRPr="00194178">
        <w:t>operating strateg</w:t>
      </w:r>
      <w:r w:rsidR="00717385">
        <w:t>ies combined with three ultrafilter</w:t>
      </w:r>
      <w:r w:rsidR="00C32D44">
        <w:t xml:space="preserve"> configurations</w:t>
      </w:r>
      <w:r w:rsidR="00A2630D">
        <w:t>,</w:t>
      </w:r>
      <w:r w:rsidR="00717385">
        <w:t xml:space="preserve"> to</w:t>
      </w:r>
      <w:r w:rsidR="00CE36C3">
        <w:t xml:space="preserve"> identify</w:t>
      </w:r>
      <w:r w:rsidR="00717385">
        <w:t xml:space="preserve"> the elution-filter combination</w:t>
      </w:r>
      <w:r w:rsidR="00CE36C3">
        <w:t xml:space="preserve"> of max.</w:t>
      </w:r>
      <w:r w:rsidR="00C32D44">
        <w:t xml:space="preserve"> performance.</w:t>
      </w:r>
    </w:p>
    <w:p w14:paraId="144DE699" w14:textId="09A6C032" w:rsidR="008D2649" w:rsidRDefault="000136F1" w:rsidP="009F722C">
      <w:pPr>
        <w:pStyle w:val="Els-1storder-head"/>
        <w:spacing w:before="0" w:after="120"/>
      </w:pPr>
      <w:r>
        <w:lastRenderedPageBreak/>
        <w:t>Design</w:t>
      </w:r>
      <w:r w:rsidR="005819D7">
        <w:t xml:space="preserve"> of</w:t>
      </w:r>
      <w:r>
        <w:t xml:space="preserve"> Integrated Polishing</w:t>
      </w:r>
      <w:r w:rsidR="005819D7" w:rsidRPr="005819D7">
        <w:rPr>
          <w:lang w:val="en-GB"/>
        </w:rPr>
        <w:t xml:space="preserve"> </w:t>
      </w:r>
      <w:r w:rsidR="005819D7">
        <w:rPr>
          <w:lang w:val="en-GB"/>
        </w:rPr>
        <w:t>Chromatography</w:t>
      </w:r>
      <w:r>
        <w:t>-Ultrafilt</w:t>
      </w:r>
      <w:r w:rsidR="005819D7">
        <w:t>ration Systems</w:t>
      </w:r>
    </w:p>
    <w:p w14:paraId="144DE69A" w14:textId="4E82410B" w:rsidR="008D2649" w:rsidRDefault="005118ED" w:rsidP="00D707AA">
      <w:pPr>
        <w:pStyle w:val="Els-2ndorder-head"/>
        <w:spacing w:after="120"/>
      </w:pPr>
      <w:r>
        <w:t>Polishing Chromatography Model</w:t>
      </w:r>
      <w:r w:rsidR="00D61EF9">
        <w:t xml:space="preserve"> and Operating Strategy</w:t>
      </w:r>
    </w:p>
    <w:p w14:paraId="13C400E3" w14:textId="0F1F453F" w:rsidR="0063706A" w:rsidRDefault="00CE36C3" w:rsidP="00823C48">
      <w:pPr>
        <w:pStyle w:val="Els-body-text"/>
        <w:spacing w:after="120"/>
      </w:pPr>
      <w:r>
        <w:t>The</w:t>
      </w:r>
      <w:r w:rsidR="00D61EF9">
        <w:t xml:space="preserve"> complete system of</w:t>
      </w:r>
      <w:r>
        <w:t xml:space="preserve"> partial differential (PDE) and algebraic</w:t>
      </w:r>
      <w:r w:rsidR="00D61EF9">
        <w:t xml:space="preserve"> equations </w:t>
      </w:r>
      <w:r>
        <w:t>employed</w:t>
      </w:r>
      <w:r w:rsidR="00D61EF9">
        <w:t xml:space="preserve"> </w:t>
      </w:r>
      <w:r>
        <w:t>for</w:t>
      </w:r>
      <w:r w:rsidR="00D61EF9">
        <w:t xml:space="preserve"> polishing chromatography</w:t>
      </w:r>
      <w:r>
        <w:t xml:space="preserve"> dynamic simulations</w:t>
      </w:r>
      <w:r w:rsidR="00D61EF9">
        <w:t xml:space="preserve"> </w:t>
      </w:r>
      <w:r>
        <w:t xml:space="preserve">is given </w:t>
      </w:r>
      <w:r w:rsidR="00D61EF9">
        <w:t>in Eq</w:t>
      </w:r>
      <w:r>
        <w:t>s</w:t>
      </w:r>
      <w:r w:rsidR="00D61EF9">
        <w:t>. (1</w:t>
      </w:r>
      <w:r w:rsidR="00DF7537">
        <w:t>-</w:t>
      </w:r>
      <w:r w:rsidR="00D61EF9">
        <w:t>8)</w:t>
      </w:r>
      <w:r>
        <w:t xml:space="preserve"> below;</w:t>
      </w:r>
      <w:r w:rsidR="00D61EF9">
        <w:t xml:space="preserve"> detailed description</w:t>
      </w:r>
      <w:r>
        <w:t>s</w:t>
      </w:r>
      <w:r w:rsidR="00D61EF9">
        <w:t xml:space="preserve"> of </w:t>
      </w:r>
      <w:r>
        <w:t>all</w:t>
      </w:r>
      <w:r w:rsidR="00D61EF9">
        <w:t xml:space="preserve"> model</w:t>
      </w:r>
      <w:r>
        <w:t xml:space="preserve"> states and parameters are already published </w:t>
      </w:r>
      <w:r w:rsidR="00D61EF9">
        <w:t>(Saleh et al., 2020).</w:t>
      </w:r>
      <w:r w:rsidR="002D2596">
        <w:t xml:space="preserve"> All polishing steps a</w:t>
      </w:r>
      <w:r w:rsidR="008414C1">
        <w:t>re</w:t>
      </w:r>
      <w:r>
        <w:t xml:space="preserve"> considered in the context of</w:t>
      </w:r>
      <w:r w:rsidR="00823C48">
        <w:t xml:space="preserve"> a Poros HS </w:t>
      </w:r>
      <w:r w:rsidR="002D2596">
        <w:t>50 resin</w:t>
      </w:r>
      <w:r>
        <w:t xml:space="preserve"> in BPG 140</w:t>
      </w:r>
      <w:r w:rsidR="002D2596">
        <w:t xml:space="preserve"> columns</w:t>
      </w:r>
      <w:r>
        <w:t xml:space="preserve">, </w:t>
      </w:r>
      <w:r w:rsidR="00823C48">
        <w:t>14 cm in diameter</w:t>
      </w:r>
      <w:r>
        <w:t xml:space="preserve"> and</w:t>
      </w:r>
      <w:r w:rsidR="00823C48">
        <w:t xml:space="preserve"> 20.5 cm in length </w:t>
      </w:r>
      <w:r w:rsidR="008414C1">
        <w:t xml:space="preserve">(GE Healthcare, Uppsala, Sweden). </w:t>
      </w:r>
      <w:r>
        <w:t>M</w:t>
      </w:r>
      <w:r w:rsidR="00036062">
        <w:t>odel</w:t>
      </w:r>
      <w:r w:rsidR="00D707AA">
        <w:t xml:space="preserve"> p</w:t>
      </w:r>
      <w:r w:rsidR="008414C1">
        <w:t>arameter</w:t>
      </w:r>
      <w:r w:rsidR="00D707AA">
        <w:t>s</w:t>
      </w:r>
      <w:r w:rsidR="002D2596">
        <w:t xml:space="preserve"> a</w:t>
      </w:r>
      <w:r w:rsidR="008414C1">
        <w:t>r</w:t>
      </w:r>
      <w:r w:rsidR="00036062">
        <w:t>e estimated via the</w:t>
      </w:r>
      <w:r w:rsidR="008414C1">
        <w:t xml:space="preserve"> Yamamoto correlation and the inverse method.</w:t>
      </w:r>
    </w:p>
    <w:p w14:paraId="5331E7DB" w14:textId="63F90026" w:rsidR="00CE36C3" w:rsidRDefault="001433CC" w:rsidP="00036062">
      <w:pPr>
        <w:pStyle w:val="Els-body-text"/>
        <w:spacing w:after="120"/>
        <w:rPr>
          <w:lang w:val="en-GB"/>
        </w:rPr>
      </w:pPr>
      <w:r>
        <w:t>The</w:t>
      </w:r>
      <w:r w:rsidR="00D61EF9">
        <w:t xml:space="preserve"> inl</w:t>
      </w:r>
      <w:r w:rsidR="002D2596">
        <w:t>et feed concentration</w:t>
      </w:r>
      <w:r>
        <w:t xml:space="preserve"> has not been specified in the said model publication, in which the inlet has been</w:t>
      </w:r>
      <w:r w:rsidR="00D61EF9">
        <w:t xml:space="preserve"> assumed to consist of th</w:t>
      </w:r>
      <w:r w:rsidR="00CE36C3">
        <w:t>ree species (</w:t>
      </w:r>
      <w:r w:rsidR="00D61EF9">
        <w:t>main mAb variant, acidic charge variant</w:t>
      </w:r>
      <w:r>
        <w:t xml:space="preserve">, and </w:t>
      </w:r>
      <w:r w:rsidR="00D61EF9">
        <w:t>basic charge vari</w:t>
      </w:r>
      <w:r w:rsidR="002D2596">
        <w:t>ant</w:t>
      </w:r>
      <w:r>
        <w:t xml:space="preserve">; the </w:t>
      </w:r>
      <w:r w:rsidR="002D2596">
        <w:t>aggregate</w:t>
      </w:r>
      <w:r>
        <w:t xml:space="preserve"> mAb</w:t>
      </w:r>
      <w:r w:rsidR="002D2596">
        <w:t xml:space="preserve"> concentration i</w:t>
      </w:r>
      <w:r w:rsidR="00D61EF9">
        <w:t>s deemed negligible).</w:t>
      </w:r>
      <w:r>
        <w:t xml:space="preserve"> </w:t>
      </w:r>
      <w:r w:rsidR="00D61EF9">
        <w:t xml:space="preserve">Therefore, </w:t>
      </w:r>
      <w:r>
        <w:t>we hereby estimate</w:t>
      </w:r>
      <w:r w:rsidR="00D61EF9">
        <w:t xml:space="preserve"> a</w:t>
      </w:r>
      <w:r>
        <w:t>n</w:t>
      </w:r>
      <w:r w:rsidR="00D61EF9">
        <w:t xml:space="preserve"> inlet feed</w:t>
      </w:r>
      <w:r>
        <w:t xml:space="preserve"> concentration</w:t>
      </w:r>
      <w:r w:rsidR="00D61EF9">
        <w:t xml:space="preserve"> to the polishing</w:t>
      </w:r>
      <w:r w:rsidR="002D2596">
        <w:t xml:space="preserve"> column</w:t>
      </w:r>
      <w:r>
        <w:t xml:space="preserve"> using</w:t>
      </w:r>
      <w:r w:rsidR="0063706A">
        <w:t xml:space="preserve"> </w:t>
      </w:r>
      <w:r w:rsidR="008414C1">
        <w:t>data by Zhang et al. (2023)</w:t>
      </w:r>
      <w:r>
        <w:t>,</w:t>
      </w:r>
      <w:r w:rsidR="008414C1">
        <w:t xml:space="preserve"> </w:t>
      </w:r>
      <w:r w:rsidR="0063706A">
        <w:t xml:space="preserve">in which </w:t>
      </w:r>
      <w:r w:rsidR="0063706A">
        <w:rPr>
          <w:lang w:val="en-GB"/>
        </w:rPr>
        <w:t xml:space="preserve">two </w:t>
      </w:r>
      <w:r w:rsidR="008414C1" w:rsidRPr="008414C1">
        <w:rPr>
          <w:lang w:val="en-GB"/>
        </w:rPr>
        <w:t>acidic and two</w:t>
      </w:r>
      <w:r w:rsidR="002D2596">
        <w:rPr>
          <w:lang w:val="en-GB"/>
        </w:rPr>
        <w:t xml:space="preserve"> basic variants a</w:t>
      </w:r>
      <w:r w:rsidR="0063706A">
        <w:rPr>
          <w:lang w:val="en-GB"/>
        </w:rPr>
        <w:t>re considered.</w:t>
      </w:r>
      <w:r>
        <w:rPr>
          <w:lang w:val="en-GB"/>
        </w:rPr>
        <w:t xml:space="preserve"> The given p</w:t>
      </w:r>
      <w:r w:rsidR="008414C1" w:rsidRPr="008414C1">
        <w:rPr>
          <w:lang w:val="en-GB"/>
        </w:rPr>
        <w:t>ercentage contents for</w:t>
      </w:r>
      <w:r w:rsidR="0063706A">
        <w:rPr>
          <w:lang w:val="en-GB"/>
        </w:rPr>
        <w:t xml:space="preserve"> acidic and</w:t>
      </w:r>
      <w:r w:rsidR="002D2596">
        <w:rPr>
          <w:lang w:val="en-GB"/>
        </w:rPr>
        <w:t xml:space="preserve"> basic variants a</w:t>
      </w:r>
      <w:r w:rsidR="008414C1" w:rsidRPr="008414C1">
        <w:rPr>
          <w:lang w:val="en-GB"/>
        </w:rPr>
        <w:t>re su</w:t>
      </w:r>
      <w:r w:rsidR="0063706A">
        <w:rPr>
          <w:lang w:val="en-GB"/>
        </w:rPr>
        <w:t xml:space="preserve">mmed </w:t>
      </w:r>
      <w:r>
        <w:rPr>
          <w:lang w:val="en-GB"/>
        </w:rPr>
        <w:t xml:space="preserve">separately, </w:t>
      </w:r>
      <w:r w:rsidR="0063706A">
        <w:rPr>
          <w:lang w:val="en-GB"/>
        </w:rPr>
        <w:t xml:space="preserve">and </w:t>
      </w:r>
      <w:r w:rsidR="008414C1" w:rsidRPr="008414C1">
        <w:rPr>
          <w:lang w:val="en-GB"/>
        </w:rPr>
        <w:t>the largest of the coefficient</w:t>
      </w:r>
      <w:r>
        <w:rPr>
          <w:lang w:val="en-GB"/>
        </w:rPr>
        <w:t>s</w:t>
      </w:r>
      <w:r w:rsidR="008414C1" w:rsidRPr="008414C1">
        <w:rPr>
          <w:lang w:val="en-GB"/>
        </w:rPr>
        <w:t xml:space="preserve"> of variation of the </w:t>
      </w:r>
      <w:r w:rsidR="002D2596">
        <w:rPr>
          <w:lang w:val="en-GB"/>
        </w:rPr>
        <w:t xml:space="preserve">variants </w:t>
      </w:r>
      <w:r>
        <w:rPr>
          <w:lang w:val="en-GB"/>
        </w:rPr>
        <w:t>is</w:t>
      </w:r>
      <w:r w:rsidR="008414C1" w:rsidRPr="008414C1">
        <w:rPr>
          <w:lang w:val="en-GB"/>
        </w:rPr>
        <w:t xml:space="preserve"> taken </w:t>
      </w:r>
      <w:r>
        <w:rPr>
          <w:lang w:val="en-GB"/>
        </w:rPr>
        <w:t>to be that of entire inlet</w:t>
      </w:r>
      <w:r w:rsidR="0063706A">
        <w:rPr>
          <w:lang w:val="en-GB"/>
        </w:rPr>
        <w:t>.</w:t>
      </w:r>
    </w:p>
    <w:p w14:paraId="0244CE10" w14:textId="0391B971" w:rsidR="00273270" w:rsidRDefault="00CE36C3" w:rsidP="00036062">
      <w:pPr>
        <w:pStyle w:val="Els-body-text"/>
        <w:spacing w:after="120"/>
      </w:pPr>
      <w:r>
        <w:rPr>
          <w:lang w:val="en-GB"/>
        </w:rPr>
        <w:t>T</w:t>
      </w:r>
      <w:r w:rsidR="0063706A">
        <w:rPr>
          <w:lang w:val="en-GB"/>
        </w:rPr>
        <w:t>he</w:t>
      </w:r>
      <w:r>
        <w:rPr>
          <w:lang w:val="en-GB"/>
        </w:rPr>
        <w:t xml:space="preserve"> polishing chromatography</w:t>
      </w:r>
      <w:r w:rsidR="0063706A">
        <w:rPr>
          <w:lang w:val="en-GB"/>
        </w:rPr>
        <w:t xml:space="preserve"> elution strategies screened here are</w:t>
      </w:r>
      <w:r>
        <w:rPr>
          <w:lang w:val="en-GB"/>
        </w:rPr>
        <w:t xml:space="preserve"> by</w:t>
      </w:r>
      <w:r w:rsidR="0063706A">
        <w:rPr>
          <w:lang w:val="en-GB"/>
        </w:rPr>
        <w:t xml:space="preserve"> Saleh et al. (2020</w:t>
      </w:r>
      <w:r w:rsidR="00036062">
        <w:rPr>
          <w:lang w:val="en-GB"/>
        </w:rPr>
        <w:t>)</w:t>
      </w:r>
      <w:r w:rsidR="0063706A">
        <w:rPr>
          <w:lang w:val="en-GB"/>
        </w:rPr>
        <w:t xml:space="preserve">. </w:t>
      </w:r>
      <w:r>
        <w:rPr>
          <w:lang w:val="en-GB"/>
        </w:rPr>
        <w:t>T</w:t>
      </w:r>
      <w:r w:rsidR="0063706A">
        <w:rPr>
          <w:lang w:val="en-GB"/>
        </w:rPr>
        <w:t>o ensure th</w:t>
      </w:r>
      <w:r w:rsidR="001433CC">
        <w:rPr>
          <w:lang w:val="en-GB"/>
        </w:rPr>
        <w:t>at the elution step is our exclusive focus here,</w:t>
      </w:r>
      <w:r w:rsidR="0063706A">
        <w:rPr>
          <w:lang w:val="en-GB"/>
        </w:rPr>
        <w:t xml:space="preserve"> </w:t>
      </w:r>
      <w:r w:rsidR="001433CC">
        <w:rPr>
          <w:lang w:val="en-GB"/>
        </w:rPr>
        <w:t>we consider the operational</w:t>
      </w:r>
      <w:r w:rsidR="0063706A">
        <w:rPr>
          <w:lang w:val="en-GB"/>
        </w:rPr>
        <w:t xml:space="preserve"> template </w:t>
      </w:r>
      <w:r w:rsidR="001433CC">
        <w:rPr>
          <w:lang w:val="en-GB"/>
        </w:rPr>
        <w:t>of</w:t>
      </w:r>
      <w:r w:rsidR="0063706A">
        <w:rPr>
          <w:lang w:val="en-GB"/>
        </w:rPr>
        <w:t xml:space="preserve"> loading, washing and re-equilibrium steps </w:t>
      </w:r>
      <w:r w:rsidR="001433CC">
        <w:rPr>
          <w:lang w:val="en-GB"/>
        </w:rPr>
        <w:t>given in</w:t>
      </w:r>
      <w:r w:rsidR="00052D3D">
        <w:rPr>
          <w:lang w:val="en-GB"/>
        </w:rPr>
        <w:t xml:space="preserve"> </w:t>
      </w:r>
      <w:r w:rsidR="00D707AA" w:rsidRPr="00D707AA">
        <w:rPr>
          <w:lang w:val="en-GB"/>
        </w:rPr>
        <w:t>Müller-Späth</w:t>
      </w:r>
      <w:r w:rsidR="00D707AA">
        <w:rPr>
          <w:lang w:val="en-GB"/>
        </w:rPr>
        <w:t xml:space="preserve"> et al. (2</w:t>
      </w:r>
      <w:r w:rsidR="002712BB">
        <w:rPr>
          <w:lang w:val="en-GB"/>
        </w:rPr>
        <w:t>011)</w:t>
      </w:r>
      <w:r w:rsidR="001433CC">
        <w:rPr>
          <w:lang w:val="en-GB"/>
        </w:rPr>
        <w:t>:</w:t>
      </w:r>
      <w:r w:rsidR="002712BB">
        <w:rPr>
          <w:lang w:val="en-GB"/>
        </w:rPr>
        <w:t xml:space="preserve"> </w:t>
      </w:r>
      <w:r w:rsidR="001433CC">
        <w:rPr>
          <w:lang w:val="en-GB"/>
        </w:rPr>
        <w:t>their</w:t>
      </w:r>
      <w:r w:rsidR="002712BB">
        <w:rPr>
          <w:lang w:val="en-GB"/>
        </w:rPr>
        <w:t xml:space="preserve"> cation exchange</w:t>
      </w:r>
      <w:r w:rsidR="00D707AA">
        <w:rPr>
          <w:lang w:val="en-GB"/>
        </w:rPr>
        <w:t xml:space="preserve"> chromatography</w:t>
      </w:r>
      <w:r w:rsidR="001433CC">
        <w:rPr>
          <w:lang w:val="en-GB"/>
        </w:rPr>
        <w:t xml:space="preserve"> (CEX) cycle</w:t>
      </w:r>
      <w:r w:rsidR="002D2596">
        <w:rPr>
          <w:lang w:val="en-GB"/>
        </w:rPr>
        <w:t xml:space="preserve"> i</w:t>
      </w:r>
      <w:r w:rsidR="00036062">
        <w:rPr>
          <w:lang w:val="en-GB"/>
        </w:rPr>
        <w:t xml:space="preserve">s </w:t>
      </w:r>
      <w:r w:rsidR="001433CC">
        <w:rPr>
          <w:lang w:val="en-GB"/>
        </w:rPr>
        <w:t xml:space="preserve">followed </w:t>
      </w:r>
      <w:r w:rsidR="00036062">
        <w:rPr>
          <w:lang w:val="en-GB"/>
        </w:rPr>
        <w:t>here for every simulation</w:t>
      </w:r>
      <w:r w:rsidR="00D707AA">
        <w:rPr>
          <w:lang w:val="en-GB"/>
        </w:rPr>
        <w:t xml:space="preserve">. </w:t>
      </w:r>
      <w:r w:rsidR="00D707AA">
        <w:t xml:space="preserve">The pH </w:t>
      </w:r>
      <w:r>
        <w:t xml:space="preserve">is taken </w:t>
      </w:r>
      <w:r w:rsidR="009A6C07">
        <w:t>as</w:t>
      </w:r>
      <w:r w:rsidR="00D707AA">
        <w:t xml:space="preserve"> constant </w:t>
      </w:r>
      <w:r w:rsidR="002D2596">
        <w:t>throughout all steps</w:t>
      </w:r>
      <w:r>
        <w:t>,</w:t>
      </w:r>
      <w:r w:rsidR="002D2596">
        <w:t xml:space="preserve"> </w:t>
      </w:r>
      <w:r w:rsidR="00D707AA">
        <w:t>set</w:t>
      </w:r>
      <w:r w:rsidR="009A6C07">
        <w:t xml:space="preserve"> </w:t>
      </w:r>
      <w:r w:rsidR="00D707AA">
        <w:t xml:space="preserve">to the value at which elution </w:t>
      </w:r>
      <w:r>
        <w:t>occurs</w:t>
      </w:r>
      <w:r w:rsidR="00D707AA">
        <w:t>.</w:t>
      </w:r>
    </w:p>
    <w:tbl>
      <w:tblPr>
        <w:tblStyle w:val="TableGrid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680"/>
      </w:tblGrid>
      <w:tr w:rsidR="00D2202F" w:rsidRPr="00D2202F" w14:paraId="405B5250" w14:textId="77777777" w:rsidTr="00F20D90">
        <w:trPr>
          <w:trHeight w:val="567"/>
        </w:trPr>
        <w:tc>
          <w:tcPr>
            <w:tcW w:w="6407" w:type="dxa"/>
            <w:vAlign w:val="center"/>
          </w:tcPr>
          <w:p w14:paraId="74CFAC71" w14:textId="23B63BA2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col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ax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∂x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col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col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3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p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eff,i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x,t</m:t>
                        </m:r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p,i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(x,t))</m:t>
                    </m:r>
                  </m:e>
                </m:d>
              </m:oMath>
            </m:oMathPara>
          </w:p>
        </w:tc>
        <w:tc>
          <w:tcPr>
            <w:tcW w:w="680" w:type="dxa"/>
            <w:vAlign w:val="center"/>
          </w:tcPr>
          <w:p w14:paraId="5E17566C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(1)</w:t>
            </w:r>
          </w:p>
        </w:tc>
      </w:tr>
      <w:tr w:rsidR="00D2202F" w:rsidRPr="00D2202F" w14:paraId="4EDC7563" w14:textId="77777777" w:rsidTr="00F20D90">
        <w:trPr>
          <w:trHeight w:val="567"/>
        </w:trPr>
        <w:tc>
          <w:tcPr>
            <w:tcW w:w="6407" w:type="dxa"/>
            <w:vAlign w:val="center"/>
          </w:tcPr>
          <w:p w14:paraId="0A71A22E" w14:textId="3B46E670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p,i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3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p</m:t>
                            </m:r>
                          </m:sub>
                        </m:sSub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eff,i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p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x,t</m:t>
                        </m:r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p,i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(x,t))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p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∂t</m:t>
                    </m:r>
                  </m:den>
                </m:f>
              </m:oMath>
            </m:oMathPara>
          </w:p>
        </w:tc>
        <w:tc>
          <w:tcPr>
            <w:tcW w:w="680" w:type="dxa"/>
            <w:vAlign w:val="center"/>
          </w:tcPr>
          <w:p w14:paraId="44676D64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(2)</w:t>
            </w:r>
          </w:p>
        </w:tc>
      </w:tr>
      <w:tr w:rsidR="00D2202F" w:rsidRPr="00D2202F" w14:paraId="4D840045" w14:textId="77777777" w:rsidTr="00F20D90">
        <w:trPr>
          <w:trHeight w:val="567"/>
        </w:trPr>
        <w:tc>
          <w:tcPr>
            <w:tcW w:w="6407" w:type="dxa"/>
            <w:vAlign w:val="center"/>
          </w:tcPr>
          <w:p w14:paraId="7A902B8E" w14:textId="5F4CA846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u(t)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ax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0,t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in,i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(t))</m:t>
                </m:r>
              </m:oMath>
            </m:oMathPara>
          </w:p>
        </w:tc>
        <w:tc>
          <w:tcPr>
            <w:tcW w:w="680" w:type="dxa"/>
            <w:vAlign w:val="center"/>
          </w:tcPr>
          <w:p w14:paraId="07E3E990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(3)</w:t>
            </w:r>
          </w:p>
        </w:tc>
      </w:tr>
      <w:tr w:rsidR="00D2202F" w:rsidRPr="00D2202F" w14:paraId="66BE2043" w14:textId="77777777" w:rsidTr="00F20D90">
        <w:trPr>
          <w:trHeight w:val="567"/>
        </w:trPr>
        <w:tc>
          <w:tcPr>
            <w:tcW w:w="6407" w:type="dxa"/>
            <w:vAlign w:val="center"/>
          </w:tcPr>
          <w:p w14:paraId="5C0B316E" w14:textId="1875C0E9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L,t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=0</m:t>
                </m:r>
              </m:oMath>
            </m:oMathPara>
          </w:p>
        </w:tc>
        <w:tc>
          <w:tcPr>
            <w:tcW w:w="680" w:type="dxa"/>
            <w:vAlign w:val="center"/>
          </w:tcPr>
          <w:p w14:paraId="3474250D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(4)</w:t>
            </w:r>
          </w:p>
        </w:tc>
      </w:tr>
      <w:tr w:rsidR="00D2202F" w:rsidRPr="00D2202F" w14:paraId="6C1E7021" w14:textId="77777777" w:rsidTr="00F20D90">
        <w:tc>
          <w:tcPr>
            <w:tcW w:w="6407" w:type="dxa"/>
            <w:vAlign w:val="center"/>
          </w:tcPr>
          <w:p w14:paraId="26E8A18D" w14:textId="388F70C1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kin,i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x,t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eq,i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pH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-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k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GB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GB"/>
                                      </w:rPr>
                                      <m:t>v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m:t>pH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GB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GB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GB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GB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GB"/>
                              </w:rPr>
                              <m:t>pH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i</m:t>
                        </m:r>
                      </m:sub>
                    </m:sSub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p,i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s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(pH)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i</m:t>
                        </m:r>
                      </m:sub>
                    </m:sSub>
                  </m:sup>
                </m:sSup>
              </m:oMath>
            </m:oMathPara>
          </w:p>
        </w:tc>
        <w:tc>
          <w:tcPr>
            <w:tcW w:w="680" w:type="dxa"/>
            <w:vAlign w:val="center"/>
          </w:tcPr>
          <w:p w14:paraId="458A77B0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(5)</w:t>
            </w:r>
          </w:p>
        </w:tc>
      </w:tr>
      <w:tr w:rsidR="00D2202F" w:rsidRPr="00D2202F" w14:paraId="058A8EEB" w14:textId="77777777" w:rsidTr="00F20D90">
        <w:tc>
          <w:tcPr>
            <w:tcW w:w="6407" w:type="dxa"/>
            <w:vAlign w:val="center"/>
          </w:tcPr>
          <w:p w14:paraId="66C08FFB" w14:textId="4E652EAA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salt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Λ</m:t>
                </m:r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j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680" w:type="dxa"/>
            <w:vAlign w:val="center"/>
          </w:tcPr>
          <w:p w14:paraId="046082E7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(6)</w:t>
            </w:r>
          </w:p>
        </w:tc>
      </w:tr>
      <w:tr w:rsidR="00D2202F" w:rsidRPr="00D2202F" w14:paraId="6A0A961A" w14:textId="77777777" w:rsidTr="00F20D90">
        <w:trPr>
          <w:trHeight w:val="454"/>
        </w:trPr>
        <w:tc>
          <w:tcPr>
            <w:tcW w:w="6407" w:type="dxa"/>
            <w:vAlign w:val="center"/>
          </w:tcPr>
          <w:p w14:paraId="2F998D49" w14:textId="3D5E6289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eq,i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pH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eq0,i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eq1,i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pH+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eq2,i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pH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680" w:type="dxa"/>
            <w:vAlign w:val="center"/>
          </w:tcPr>
          <w:p w14:paraId="30CE0109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(7)</w:t>
            </w:r>
          </w:p>
        </w:tc>
      </w:tr>
      <w:tr w:rsidR="00D2202F" w:rsidRPr="00D2202F" w14:paraId="47E4FC5E" w14:textId="77777777" w:rsidTr="00F20D90">
        <w:trPr>
          <w:trHeight w:val="397"/>
        </w:trPr>
        <w:tc>
          <w:tcPr>
            <w:tcW w:w="6407" w:type="dxa"/>
            <w:vAlign w:val="center"/>
          </w:tcPr>
          <w:p w14:paraId="332D4980" w14:textId="6D161309" w:rsidR="00D2202F" w:rsidRPr="00D2202F" w:rsidRDefault="008529A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pH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0,i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 xml:space="preserve">+pH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1,i</m:t>
                    </m:r>
                  </m:sub>
                </m:sSub>
              </m:oMath>
            </m:oMathPara>
          </w:p>
        </w:tc>
        <w:tc>
          <w:tcPr>
            <w:tcW w:w="680" w:type="dxa"/>
            <w:vAlign w:val="center"/>
          </w:tcPr>
          <w:p w14:paraId="6B69761C" w14:textId="77777777" w:rsidR="00D2202F" w:rsidRPr="00D2202F" w:rsidRDefault="00D2202F" w:rsidP="00D2202F">
            <w:pPr>
              <w:pStyle w:val="Els-body-text"/>
              <w:rPr>
                <w:sz w:val="16"/>
                <w:szCs w:val="16"/>
                <w:lang w:val="en-GB"/>
              </w:rPr>
            </w:pPr>
            <w:r w:rsidRPr="00D2202F">
              <w:rPr>
                <w:sz w:val="16"/>
                <w:szCs w:val="16"/>
                <w:lang w:val="en-GB"/>
              </w:rPr>
              <w:t>(8)</w:t>
            </w:r>
          </w:p>
        </w:tc>
      </w:tr>
    </w:tbl>
    <w:p w14:paraId="144DE69D" w14:textId="1F838C7F" w:rsidR="008D2649" w:rsidRDefault="005118ED" w:rsidP="00F20D90">
      <w:pPr>
        <w:pStyle w:val="Els-2ndorder-head"/>
        <w:spacing w:before="280"/>
      </w:pPr>
      <w:r>
        <w:t>Single-Pass Tangential Flow Filtration</w:t>
      </w:r>
      <w:r w:rsidR="008F2398">
        <w:t xml:space="preserve"> (TFF)</w:t>
      </w:r>
      <w:r>
        <w:t xml:space="preserve"> Model</w:t>
      </w:r>
      <w:r w:rsidR="00D707AA">
        <w:t xml:space="preserve"> and Operating Strategy</w:t>
      </w:r>
    </w:p>
    <w:p w14:paraId="44139FF7" w14:textId="1EB5D5A2" w:rsidR="00273270" w:rsidRDefault="00D707AA" w:rsidP="00F63C56">
      <w:pPr>
        <w:pStyle w:val="Els-body-text"/>
        <w:spacing w:before="120"/>
      </w:pPr>
      <w:r>
        <w:t xml:space="preserve">The semi-empirical dynamic model for the ultrafiltration system is </w:t>
      </w:r>
      <w:r w:rsidR="009A6C07">
        <w:t xml:space="preserve">given </w:t>
      </w:r>
      <w:r>
        <w:t>in Eq</w:t>
      </w:r>
      <w:r w:rsidR="009A6C07">
        <w:t>s</w:t>
      </w:r>
      <w:r>
        <w:t>. (9</w:t>
      </w:r>
      <w:r w:rsidR="009A6C07">
        <w:t>-</w:t>
      </w:r>
      <w:r>
        <w:t xml:space="preserve">16). Darcy’s law </w:t>
      </w:r>
      <w:r w:rsidR="009A6C07">
        <w:t xml:space="preserve">therein </w:t>
      </w:r>
      <w:r>
        <w:t xml:space="preserve">underpins the flow dynamics through membrane filters, whilst Graetz-Laveque correlations define the gel thickness </w:t>
      </w:r>
      <w:r w:rsidR="00B5384F">
        <w:t>growth (Thakur and Rathore, 202</w:t>
      </w:r>
      <w:r w:rsidR="001175AA">
        <w:t>1).</w:t>
      </w:r>
      <w:r w:rsidR="002D2596">
        <w:t xml:space="preserve"> </w:t>
      </w:r>
      <w:r w:rsidR="009A6C07">
        <w:t xml:space="preserve">Therein and here, </w:t>
      </w:r>
      <w:r w:rsidR="00F63C56">
        <w:t>only negligible</w:t>
      </w:r>
      <w:r w:rsidR="009A6C07">
        <w:t xml:space="preserve"> mAb</w:t>
      </w:r>
      <w:r w:rsidR="00F63C56">
        <w:t xml:space="preserve"> amounts</w:t>
      </w:r>
      <w:r w:rsidR="009A6C07">
        <w:t xml:space="preserve"> may</w:t>
      </w:r>
      <w:r w:rsidR="00F63C56">
        <w:t xml:space="preserve"> permeate</w:t>
      </w:r>
      <w:r w:rsidR="009A6C07">
        <w:t xml:space="preserve"> the</w:t>
      </w:r>
      <w:r w:rsidR="00F63C56">
        <w:t xml:space="preserve"> membranes</w:t>
      </w:r>
      <w:r w:rsidR="009A6C07">
        <w:t xml:space="preserve"> (losses)</w:t>
      </w:r>
      <w:r w:rsidR="00F63C56">
        <w:t xml:space="preserve">. </w:t>
      </w:r>
      <w:r w:rsidR="009A6C07">
        <w:t>C</w:t>
      </w:r>
      <w:r w:rsidR="00F63C56">
        <w:t>ombinations of membrane</w:t>
      </w:r>
      <w:r w:rsidR="009A6C07">
        <w:t xml:space="preserve"> modules</w:t>
      </w:r>
      <w:r w:rsidR="00F63C56">
        <w:t xml:space="preserve"> in</w:t>
      </w:r>
      <w:r w:rsidR="009A6C07">
        <w:t xml:space="preserve"> </w:t>
      </w:r>
      <w:r w:rsidR="00F63C56">
        <w:t>parallel and in</w:t>
      </w:r>
      <w:r w:rsidR="009A6C07">
        <w:t xml:space="preserve"> </w:t>
      </w:r>
      <w:r w:rsidR="00F63C56">
        <w:t xml:space="preserve">series </w:t>
      </w:r>
      <w:r w:rsidR="009A6C07">
        <w:t>yield</w:t>
      </w:r>
      <w:r w:rsidR="00F63C56">
        <w:t xml:space="preserve"> tree configurations</w:t>
      </w:r>
      <w:r w:rsidR="009A6C07">
        <w:t>:</w:t>
      </w:r>
      <w:r w:rsidR="00F63C56">
        <w:t xml:space="preserve"> </w:t>
      </w:r>
      <w:r w:rsidR="009A6C07">
        <w:t>th</w:t>
      </w:r>
      <w:r w:rsidR="001B2110">
        <w:t xml:space="preserve">is is </w:t>
      </w:r>
      <w:r w:rsidR="009A6C07">
        <w:t xml:space="preserve">essential in mAb scale-up, to handle </w:t>
      </w:r>
      <w:r w:rsidR="001B2110">
        <w:t>la</w:t>
      </w:r>
      <w:r w:rsidR="008F2398">
        <w:t>/</w:t>
      </w:r>
      <w:r w:rsidR="001B2110">
        <w:t>rge</w:t>
      </w:r>
      <w:r w:rsidR="009A6C07">
        <w:t xml:space="preserve"> inlet</w:t>
      </w:r>
      <w:r w:rsidR="001B2110">
        <w:t>s</w:t>
      </w:r>
      <w:r w:rsidR="009A6C07">
        <w:t xml:space="preserve"> for industrial production capacity.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1"/>
        <w:gridCol w:w="555"/>
      </w:tblGrid>
      <w:tr w:rsidR="00273270" w:rsidRPr="00273270" w14:paraId="7AAF3DFF" w14:textId="77777777" w:rsidTr="00FA18BA">
        <w:trPr>
          <w:trHeight w:val="624"/>
        </w:trPr>
        <w:tc>
          <w:tcPr>
            <w:tcW w:w="8443" w:type="dxa"/>
            <w:vAlign w:val="center"/>
          </w:tcPr>
          <w:p w14:paraId="3F91CBFB" w14:textId="7D56E5E4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w:lastRenderedPageBreak/>
                  <m:t>K=C2∙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⁡log⁡</m:t>
                </m:r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∆P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C1</m:t>
                                </m:r>
                              </m:sup>
                            </m:sSup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+C3</m:t>
                    </m:r>
                  </m:e>
                </m:d>
              </m:oMath>
            </m:oMathPara>
          </w:p>
        </w:tc>
        <w:tc>
          <w:tcPr>
            <w:tcW w:w="583" w:type="dxa"/>
            <w:vAlign w:val="center"/>
          </w:tcPr>
          <w:p w14:paraId="574B314D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(9)</w:t>
            </w:r>
          </w:p>
        </w:tc>
      </w:tr>
      <w:tr w:rsidR="00273270" w:rsidRPr="00273270" w14:paraId="59A89317" w14:textId="77777777" w:rsidTr="00FA18BA">
        <w:trPr>
          <w:trHeight w:val="624"/>
        </w:trPr>
        <w:tc>
          <w:tcPr>
            <w:tcW w:w="8443" w:type="dxa"/>
            <w:vAlign w:val="center"/>
          </w:tcPr>
          <w:p w14:paraId="2FEA5679" w14:textId="6913E922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</w:rPr>
                  <m:t>=C4∙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⁡log⁡</m:t>
                </m:r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∆P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C1</m:t>
                                </m:r>
                              </m:sup>
                            </m:sSup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+C5</m:t>
                    </m:r>
                  </m:e>
                </m:d>
              </m:oMath>
            </m:oMathPara>
          </w:p>
        </w:tc>
        <w:tc>
          <w:tcPr>
            <w:tcW w:w="583" w:type="dxa"/>
            <w:vAlign w:val="center"/>
          </w:tcPr>
          <w:p w14:paraId="4C043D18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(10)</w:t>
            </w:r>
          </w:p>
        </w:tc>
      </w:tr>
      <w:tr w:rsidR="00273270" w:rsidRPr="00273270" w14:paraId="462D967B" w14:textId="77777777" w:rsidTr="00FA18BA">
        <w:trPr>
          <w:trHeight w:val="567"/>
        </w:trPr>
        <w:tc>
          <w:tcPr>
            <w:tcW w:w="8443" w:type="dxa"/>
            <w:vAlign w:val="center"/>
          </w:tcPr>
          <w:p w14:paraId="331FBD3C" w14:textId="7ED9B72E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=C8∙C7∙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u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∆P∙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o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C6</m:t>
                    </m:r>
                  </m:sup>
                </m:sSup>
              </m:oMath>
            </m:oMathPara>
          </w:p>
        </w:tc>
        <w:tc>
          <w:tcPr>
            <w:tcW w:w="583" w:type="dxa"/>
            <w:vAlign w:val="center"/>
          </w:tcPr>
          <w:p w14:paraId="63AB8581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(11)</w:t>
            </w:r>
          </w:p>
        </w:tc>
      </w:tr>
      <w:tr w:rsidR="00273270" w:rsidRPr="00273270" w14:paraId="5CD097C1" w14:textId="77777777" w:rsidTr="00FA18BA">
        <w:trPr>
          <w:trHeight w:val="283"/>
        </w:trPr>
        <w:tc>
          <w:tcPr>
            <w:tcW w:w="8443" w:type="dxa"/>
            <w:vAlign w:val="center"/>
          </w:tcPr>
          <w:p w14:paraId="5DF2C6BF" w14:textId="54227A06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583" w:type="dxa"/>
            <w:vAlign w:val="center"/>
          </w:tcPr>
          <w:p w14:paraId="45BF73F7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(12)</w:t>
            </w:r>
          </w:p>
        </w:tc>
      </w:tr>
      <w:tr w:rsidR="00273270" w:rsidRPr="00273270" w14:paraId="6F2EEFC7" w14:textId="77777777" w:rsidTr="00FA18BA">
        <w:trPr>
          <w:trHeight w:val="624"/>
        </w:trPr>
        <w:tc>
          <w:tcPr>
            <w:tcW w:w="8443" w:type="dxa"/>
            <w:vAlign w:val="center"/>
          </w:tcPr>
          <w:p w14:paraId="495ABCD3" w14:textId="234D094A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J=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∆P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μ(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583" w:type="dxa"/>
            <w:vAlign w:val="center"/>
          </w:tcPr>
          <w:p w14:paraId="390AD234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(13)</w:t>
            </w:r>
          </w:p>
        </w:tc>
      </w:tr>
      <w:tr w:rsidR="00273270" w:rsidRPr="00273270" w14:paraId="62E7602A" w14:textId="77777777" w:rsidTr="009A6C07">
        <w:trPr>
          <w:trHeight w:val="454"/>
        </w:trPr>
        <w:tc>
          <w:tcPr>
            <w:tcW w:w="8443" w:type="dxa"/>
            <w:vAlign w:val="center"/>
          </w:tcPr>
          <w:p w14:paraId="76B18BCB" w14:textId="5D9E83B4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RET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=u-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J∙XSA </m:t>
                    </m:r>
                  </m:e>
                </m:d>
              </m:oMath>
            </m:oMathPara>
          </w:p>
        </w:tc>
        <w:tc>
          <w:tcPr>
            <w:tcW w:w="583" w:type="dxa"/>
            <w:vAlign w:val="center"/>
          </w:tcPr>
          <w:p w14:paraId="144CD72C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(14)</w:t>
            </w:r>
          </w:p>
        </w:tc>
      </w:tr>
      <w:tr w:rsidR="00273270" w:rsidRPr="00273270" w14:paraId="72F61ADF" w14:textId="77777777" w:rsidTr="009A6C07">
        <w:trPr>
          <w:trHeight w:val="454"/>
        </w:trPr>
        <w:tc>
          <w:tcPr>
            <w:tcW w:w="8443" w:type="dxa"/>
            <w:vAlign w:val="center"/>
          </w:tcPr>
          <w:p w14:paraId="61611967" w14:textId="13606557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CF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RET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83" w:type="dxa"/>
            <w:vAlign w:val="center"/>
          </w:tcPr>
          <w:p w14:paraId="65185EB4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(15)</w:t>
            </w:r>
          </w:p>
        </w:tc>
      </w:tr>
      <w:tr w:rsidR="00273270" w:rsidRPr="00273270" w14:paraId="382DBCAB" w14:textId="77777777" w:rsidTr="009A6C07">
        <w:trPr>
          <w:trHeight w:val="454"/>
        </w:trPr>
        <w:tc>
          <w:tcPr>
            <w:tcW w:w="8443" w:type="dxa"/>
            <w:vAlign w:val="center"/>
          </w:tcPr>
          <w:p w14:paraId="6671C409" w14:textId="5BE15919" w:rsidR="00273270" w:rsidRPr="00273270" w:rsidRDefault="008529AF" w:rsidP="00273270">
            <w:pPr>
              <w:pStyle w:val="Els-body-text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=K(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583" w:type="dxa"/>
            <w:vAlign w:val="center"/>
          </w:tcPr>
          <w:p w14:paraId="357A842F" w14:textId="77777777" w:rsidR="00273270" w:rsidRPr="00273270" w:rsidRDefault="00273270" w:rsidP="00273270">
            <w:pPr>
              <w:pStyle w:val="Els-body-text"/>
              <w:rPr>
                <w:sz w:val="16"/>
                <w:szCs w:val="16"/>
              </w:rPr>
            </w:pPr>
            <w:r w:rsidRPr="00273270">
              <w:rPr>
                <w:sz w:val="16"/>
                <w:szCs w:val="16"/>
              </w:rPr>
              <w:t>(16)</w:t>
            </w:r>
          </w:p>
        </w:tc>
      </w:tr>
    </w:tbl>
    <w:p w14:paraId="144DE6A1" w14:textId="6D67F6DF" w:rsidR="008D2649" w:rsidRDefault="005118ED" w:rsidP="001B2110">
      <w:pPr>
        <w:pStyle w:val="Els-1storder-head"/>
        <w:spacing w:before="360" w:after="120"/>
        <w:rPr>
          <w:lang w:val="en-GB"/>
        </w:rPr>
      </w:pPr>
      <w:r>
        <w:rPr>
          <w:lang w:val="en-GB"/>
        </w:rPr>
        <w:t>Results</w:t>
      </w:r>
    </w:p>
    <w:p w14:paraId="5184894F" w14:textId="5BF295E4" w:rsidR="005118ED" w:rsidRDefault="005118ED" w:rsidP="005118ED">
      <w:pPr>
        <w:pStyle w:val="Els-2ndorder-head"/>
      </w:pPr>
      <w:r>
        <w:t xml:space="preserve">Polishing </w:t>
      </w:r>
      <w:r w:rsidR="005819D7">
        <w:t xml:space="preserve">Chromatography </w:t>
      </w:r>
      <w:r>
        <w:t>Column Outputs</w:t>
      </w:r>
      <w:r w:rsidR="00D42EDA">
        <w:t xml:space="preserve"> Evaluation</w:t>
      </w:r>
    </w:p>
    <w:p w14:paraId="77D62A4B" w14:textId="14E855E1" w:rsidR="001B2110" w:rsidRDefault="00DD1E1E" w:rsidP="00B5384F">
      <w:pPr>
        <w:pStyle w:val="Els-body-text"/>
        <w:spacing w:before="120" w:after="120"/>
      </w:pPr>
      <w:r>
        <w:t xml:space="preserve">The </w:t>
      </w:r>
      <w:r w:rsidR="001B2110">
        <w:t>detailed specifications</w:t>
      </w:r>
      <w:r>
        <w:t xml:space="preserve"> of all 23 elution strategies </w:t>
      </w:r>
      <w:r w:rsidR="001B2110">
        <w:t>simulated</w:t>
      </w:r>
      <w:r>
        <w:t xml:space="preserve"> here are </w:t>
      </w:r>
      <w:r w:rsidR="001B2110">
        <w:t>listed</w:t>
      </w:r>
      <w:r>
        <w:t xml:space="preserve"> in Table 1 belo</w:t>
      </w:r>
      <w:r w:rsidR="00222D87">
        <w:t>w</w:t>
      </w:r>
      <w:r w:rsidR="001B2110">
        <w:t>: these distinct operational options include 1</w:t>
      </w:r>
      <w:r>
        <w:t xml:space="preserve">6 gradient elutions and 7 step elutions. The total </w:t>
      </w:r>
      <w:r w:rsidR="001B2110">
        <w:t xml:space="preserve">protein feed </w:t>
      </w:r>
      <w:r>
        <w:t>concentration</w:t>
      </w:r>
      <w:r w:rsidR="002D2596">
        <w:t xml:space="preserve"> to the column i</w:t>
      </w:r>
      <w:r>
        <w:t>s taken as 2 g L</w:t>
      </w:r>
      <w:r>
        <w:rPr>
          <w:rFonts w:ascii="Arial Narrow" w:hAnsi="Arial Narrow"/>
          <w:vertAlign w:val="superscript"/>
        </w:rPr>
        <w:t>–</w:t>
      </w:r>
      <w:r>
        <w:rPr>
          <w:vertAlign w:val="superscript"/>
        </w:rPr>
        <w:t>1</w:t>
      </w:r>
      <w:r w:rsidR="001B2110">
        <w:t xml:space="preserve"> (</w:t>
      </w:r>
      <w:r>
        <w:t xml:space="preserve">the </w:t>
      </w:r>
      <w:r w:rsidR="001B2110">
        <w:t xml:space="preserve">mAb variant </w:t>
      </w:r>
      <w:r>
        <w:t xml:space="preserve">content </w:t>
      </w:r>
      <w:r w:rsidR="001B2110">
        <w:t>is</w:t>
      </w:r>
      <w:r>
        <w:t xml:space="preserve"> </w:t>
      </w:r>
      <w:r w:rsidR="00FA18BA">
        <w:t>0.300, 1.442</w:t>
      </w:r>
      <w:r w:rsidR="001B2110">
        <w:t xml:space="preserve"> and</w:t>
      </w:r>
      <w:r w:rsidR="00FA18BA">
        <w:t xml:space="preserve"> 0.258 g</w:t>
      </w:r>
      <w:r w:rsidR="001B2110">
        <w:t>.</w:t>
      </w:r>
      <w:r w:rsidR="00FA18BA">
        <w:t>L</w:t>
      </w:r>
      <w:r w:rsidR="00FA18BA">
        <w:rPr>
          <w:rFonts w:ascii="Arial Narrow" w:hAnsi="Arial Narrow"/>
          <w:vertAlign w:val="superscript"/>
        </w:rPr>
        <w:t>–</w:t>
      </w:r>
      <w:r w:rsidR="00FA18BA">
        <w:rPr>
          <w:vertAlign w:val="superscript"/>
        </w:rPr>
        <w:t>1</w:t>
      </w:r>
      <w:r w:rsidR="00FA18BA">
        <w:t xml:space="preserve"> for acidic, main and basic variants</w:t>
      </w:r>
      <w:r w:rsidR="001B2110">
        <w:t>,</w:t>
      </w:r>
      <w:r w:rsidR="00B5384F">
        <w:t xml:space="preserve"> respectively</w:t>
      </w:r>
      <w:r w:rsidR="001B2110">
        <w:t>)</w:t>
      </w:r>
      <w:r w:rsidR="00FA18BA">
        <w:t>.</w:t>
      </w:r>
      <w:r w:rsidR="00222D87">
        <w:t xml:space="preserve"> A minimum </w:t>
      </w:r>
      <w:r w:rsidR="00B5384F">
        <w:t>recovery yield</w:t>
      </w:r>
      <w:r w:rsidR="001B2110">
        <w:t xml:space="preserve"> level (90%)</w:t>
      </w:r>
      <w:r w:rsidR="002D2596">
        <w:t xml:space="preserve"> i</w:t>
      </w:r>
      <w:r w:rsidR="00222D87">
        <w:t xml:space="preserve">s </w:t>
      </w:r>
      <w:r w:rsidR="001B2110">
        <w:t>taken as required</w:t>
      </w:r>
      <w:r w:rsidR="00222D87">
        <w:t xml:space="preserve"> for industrial implementation</w:t>
      </w:r>
      <w:r w:rsidR="001B2110">
        <w:t>:</w:t>
      </w:r>
      <w:r w:rsidR="00222D87">
        <w:t xml:space="preserve"> this </w:t>
      </w:r>
      <w:r w:rsidR="001B2110">
        <w:t>specification</w:t>
      </w:r>
      <w:r w:rsidR="002D2596">
        <w:t xml:space="preserve"> i</w:t>
      </w:r>
      <w:r w:rsidR="00222D87">
        <w:t xml:space="preserve">s </w:t>
      </w:r>
      <w:r w:rsidR="001B2110">
        <w:t xml:space="preserve">only </w:t>
      </w:r>
      <w:r w:rsidR="00222D87">
        <w:t>achieved by 12 gradient elutions and 3 step elutions (Figure 1).</w:t>
      </w:r>
    </w:p>
    <w:p w14:paraId="036F9D36" w14:textId="6F34264B" w:rsidR="001B2110" w:rsidRPr="001B2110" w:rsidRDefault="001B2110" w:rsidP="00B5384F">
      <w:pPr>
        <w:pStyle w:val="Els-body-text"/>
        <w:spacing w:before="120" w:after="120"/>
        <w:rPr>
          <w:sz w:val="12"/>
          <w:szCs w:val="12"/>
        </w:rPr>
      </w:pPr>
    </w:p>
    <w:tbl>
      <w:tblPr>
        <w:tblStyle w:val="TableGrid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83"/>
        <w:gridCol w:w="863"/>
        <w:gridCol w:w="923"/>
        <w:gridCol w:w="873"/>
        <w:gridCol w:w="886"/>
        <w:gridCol w:w="863"/>
        <w:gridCol w:w="923"/>
      </w:tblGrid>
      <w:tr w:rsidR="00222D87" w14:paraId="5EE1AE39" w14:textId="77777777" w:rsidTr="008F2398">
        <w:trPr>
          <w:trHeight w:val="284"/>
        </w:trPr>
        <w:tc>
          <w:tcPr>
            <w:tcW w:w="7086" w:type="dxa"/>
            <w:gridSpan w:val="8"/>
            <w:tcBorders>
              <w:bottom w:val="single" w:sz="4" w:space="0" w:color="auto"/>
            </w:tcBorders>
            <w:vAlign w:val="center"/>
          </w:tcPr>
          <w:p w14:paraId="6755BA87" w14:textId="3372D663" w:rsidR="00222D87" w:rsidRDefault="00222D87" w:rsidP="00222D87">
            <w:pPr>
              <w:pStyle w:val="Els-body-text"/>
              <w:jc w:val="center"/>
            </w:pPr>
            <w:r w:rsidRPr="00222D87">
              <w:rPr>
                <w:b/>
                <w:bCs/>
              </w:rPr>
              <w:t>Table 1</w:t>
            </w:r>
            <w:r>
              <w:t xml:space="preserve">: </w:t>
            </w:r>
            <w:r w:rsidR="00A2630D">
              <w:t>Polishing chromatography e</w:t>
            </w:r>
            <w:r>
              <w:t xml:space="preserve">lution strategies </w:t>
            </w:r>
            <w:r w:rsidR="00A2630D">
              <w:t>considered</w:t>
            </w:r>
            <w:r>
              <w:t xml:space="preserve"> (Saleh et al., 2020).</w:t>
            </w:r>
          </w:p>
        </w:tc>
      </w:tr>
      <w:tr w:rsidR="00A8611E" w14:paraId="5C5AE6F4" w14:textId="77777777" w:rsidTr="008F2398">
        <w:trPr>
          <w:trHeight w:val="567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E34CE" w14:textId="17377D3D" w:rsidR="00A8611E" w:rsidRDefault="00A8611E" w:rsidP="00A8611E">
            <w:pPr>
              <w:pStyle w:val="Els-body-text"/>
              <w:jc w:val="center"/>
            </w:pPr>
            <w:r>
              <w:t>Elution Number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73CE" w14:textId="5EFA9E4F" w:rsidR="00A8611E" w:rsidRDefault="00A8611E" w:rsidP="00A8611E">
            <w:pPr>
              <w:pStyle w:val="Els-body-text"/>
              <w:jc w:val="center"/>
            </w:pPr>
            <w:r w:rsidRPr="00FA18BA">
              <w:rPr>
                <w:lang w:val="en-GB"/>
              </w:rPr>
              <w:t>Code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49601" w14:textId="7EAAE7AB" w:rsidR="00A8611E" w:rsidRDefault="00A8611E" w:rsidP="00A8611E">
            <w:pPr>
              <w:pStyle w:val="Els-body-text"/>
              <w:jc w:val="center"/>
            </w:pPr>
            <w:r>
              <w:t>pH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8BF" w14:textId="5F2A7D44" w:rsidR="00A8611E" w:rsidRDefault="00A8611E" w:rsidP="00A8611E">
            <w:pPr>
              <w:pStyle w:val="Els-body-text"/>
              <w:jc w:val="center"/>
            </w:pPr>
            <w:r>
              <w:t>Strategy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04919" w14:textId="4939C3FE" w:rsidR="00A8611E" w:rsidRDefault="00A8611E" w:rsidP="00A8611E">
            <w:pPr>
              <w:pStyle w:val="Els-body-text"/>
              <w:jc w:val="center"/>
            </w:pPr>
            <w:r>
              <w:t>Elution Number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0F229" w14:textId="0DF96901" w:rsidR="00A8611E" w:rsidRDefault="00A8611E" w:rsidP="00A8611E">
            <w:pPr>
              <w:pStyle w:val="Els-body-text"/>
              <w:jc w:val="center"/>
            </w:pPr>
            <w:r w:rsidRPr="00FA18BA">
              <w:rPr>
                <w:lang w:val="en-GB"/>
              </w:rPr>
              <w:t>Code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7EC5B" w14:textId="2C3750F0" w:rsidR="00A8611E" w:rsidRDefault="00A8611E" w:rsidP="00A8611E">
            <w:pPr>
              <w:pStyle w:val="Els-body-text"/>
              <w:jc w:val="center"/>
            </w:pPr>
            <w:r>
              <w:t>pH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03EE" w14:textId="5E3BACFA" w:rsidR="00A8611E" w:rsidRDefault="00A8611E" w:rsidP="00A8611E">
            <w:pPr>
              <w:pStyle w:val="Els-body-text"/>
              <w:jc w:val="center"/>
            </w:pPr>
            <w:r>
              <w:t>Strategy</w:t>
            </w:r>
          </w:p>
        </w:tc>
      </w:tr>
      <w:tr w:rsidR="00A8611E" w14:paraId="1C943294" w14:textId="77777777" w:rsidTr="008F2398">
        <w:trPr>
          <w:trHeight w:val="284"/>
        </w:trPr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14:paraId="0CAA9F67" w14:textId="46CC38D8" w:rsidR="00A8611E" w:rsidRDefault="00A8611E" w:rsidP="00A8611E">
            <w:pPr>
              <w:pStyle w:val="Els-body-text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14:paraId="265AF3E9" w14:textId="19633546" w:rsidR="00A8611E" w:rsidRDefault="00A8611E" w:rsidP="00A8611E">
            <w:pPr>
              <w:pStyle w:val="Els-body-text"/>
              <w:jc w:val="center"/>
            </w:pPr>
            <w:r>
              <w:t>C3a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6D6C29DD" w14:textId="54C4DACC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4C003F" w14:textId="3CCBB1AE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2391F" w14:textId="1CA074B8" w:rsidR="00A8611E" w:rsidRDefault="00A8611E" w:rsidP="00A8611E">
            <w:pPr>
              <w:pStyle w:val="Els-body-text"/>
              <w:jc w:val="center"/>
            </w:pPr>
            <w:r>
              <w:t>13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704611A2" w14:textId="4BE19332" w:rsidR="00A8611E" w:rsidRDefault="00A8611E" w:rsidP="00A8611E">
            <w:pPr>
              <w:pStyle w:val="Els-body-text"/>
              <w:jc w:val="center"/>
            </w:pPr>
            <w:r>
              <w:t>C5a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40DCFA51" w14:textId="59695791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B1F569B" w14:textId="57E32A5C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</w:tr>
      <w:tr w:rsidR="00A8611E" w14:paraId="52C93445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2A5D646B" w14:textId="23AD8C57" w:rsidR="00A8611E" w:rsidRDefault="00A8611E" w:rsidP="00A8611E">
            <w:pPr>
              <w:pStyle w:val="Els-body-text"/>
              <w:jc w:val="center"/>
            </w:pPr>
            <w:r>
              <w:t>2</w:t>
            </w:r>
          </w:p>
        </w:tc>
        <w:tc>
          <w:tcPr>
            <w:tcW w:w="883" w:type="dxa"/>
            <w:vAlign w:val="center"/>
          </w:tcPr>
          <w:p w14:paraId="7C6523F7" w14:textId="1B2C29AE" w:rsidR="00A8611E" w:rsidRDefault="00A8611E" w:rsidP="00A8611E">
            <w:pPr>
              <w:pStyle w:val="Els-body-text"/>
              <w:jc w:val="center"/>
            </w:pPr>
            <w:r>
              <w:t>C3b</w:t>
            </w:r>
          </w:p>
        </w:tc>
        <w:tc>
          <w:tcPr>
            <w:tcW w:w="863" w:type="dxa"/>
            <w:vAlign w:val="center"/>
          </w:tcPr>
          <w:p w14:paraId="2BF361D9" w14:textId="75A1E2B3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4F21B084" w14:textId="698EF254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5A7DA679" w14:textId="6D205CC9" w:rsidR="00A8611E" w:rsidRDefault="00A8611E" w:rsidP="00A8611E">
            <w:pPr>
              <w:pStyle w:val="Els-body-text"/>
              <w:jc w:val="center"/>
            </w:pPr>
            <w:r>
              <w:t>14</w:t>
            </w:r>
          </w:p>
        </w:tc>
        <w:tc>
          <w:tcPr>
            <w:tcW w:w="886" w:type="dxa"/>
            <w:vAlign w:val="center"/>
          </w:tcPr>
          <w:p w14:paraId="216846BA" w14:textId="42916A9C" w:rsidR="00A8611E" w:rsidRDefault="00A8611E" w:rsidP="00A8611E">
            <w:pPr>
              <w:pStyle w:val="Els-body-text"/>
              <w:jc w:val="center"/>
            </w:pPr>
            <w:r>
              <w:t>C5b</w:t>
            </w:r>
          </w:p>
        </w:tc>
        <w:tc>
          <w:tcPr>
            <w:tcW w:w="863" w:type="dxa"/>
            <w:vAlign w:val="center"/>
          </w:tcPr>
          <w:p w14:paraId="3FCE40C2" w14:textId="7300EB5E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vAlign w:val="center"/>
          </w:tcPr>
          <w:p w14:paraId="386E0E16" w14:textId="787BC8AB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</w:tr>
      <w:tr w:rsidR="00A8611E" w14:paraId="6771B269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0ED8871F" w14:textId="028AB81B" w:rsidR="00A8611E" w:rsidRDefault="00A8611E" w:rsidP="00A8611E">
            <w:pPr>
              <w:pStyle w:val="Els-body-text"/>
              <w:jc w:val="center"/>
            </w:pPr>
            <w:r>
              <w:t>3</w:t>
            </w:r>
          </w:p>
        </w:tc>
        <w:tc>
          <w:tcPr>
            <w:tcW w:w="883" w:type="dxa"/>
            <w:vAlign w:val="center"/>
          </w:tcPr>
          <w:p w14:paraId="0BE72432" w14:textId="43DF6A96" w:rsidR="00A8611E" w:rsidRDefault="00A8611E" w:rsidP="00A8611E">
            <w:pPr>
              <w:pStyle w:val="Els-body-text"/>
              <w:jc w:val="center"/>
            </w:pPr>
            <w:r>
              <w:t>C3c</w:t>
            </w:r>
          </w:p>
        </w:tc>
        <w:tc>
          <w:tcPr>
            <w:tcW w:w="863" w:type="dxa"/>
            <w:vAlign w:val="center"/>
          </w:tcPr>
          <w:p w14:paraId="46020A64" w14:textId="13635B10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3D643F92" w14:textId="32FD99CD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49E7A0BA" w14:textId="13B41DCE" w:rsidR="00A8611E" w:rsidRDefault="00A8611E" w:rsidP="00A8611E">
            <w:pPr>
              <w:pStyle w:val="Els-body-text"/>
              <w:jc w:val="center"/>
            </w:pPr>
            <w:r>
              <w:t>15</w:t>
            </w:r>
          </w:p>
        </w:tc>
        <w:tc>
          <w:tcPr>
            <w:tcW w:w="886" w:type="dxa"/>
            <w:vAlign w:val="center"/>
          </w:tcPr>
          <w:p w14:paraId="560DCD7F" w14:textId="0F508860" w:rsidR="00A8611E" w:rsidRDefault="00A8611E" w:rsidP="00A8611E">
            <w:pPr>
              <w:pStyle w:val="Els-body-text"/>
              <w:jc w:val="center"/>
            </w:pPr>
            <w:r>
              <w:t>C5c</w:t>
            </w:r>
          </w:p>
        </w:tc>
        <w:tc>
          <w:tcPr>
            <w:tcW w:w="863" w:type="dxa"/>
            <w:vAlign w:val="center"/>
          </w:tcPr>
          <w:p w14:paraId="4D5B95D3" w14:textId="6FDC0276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vAlign w:val="center"/>
          </w:tcPr>
          <w:p w14:paraId="6A915760" w14:textId="66971709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</w:tr>
      <w:tr w:rsidR="00A8611E" w14:paraId="1BDD161D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426681FC" w14:textId="0130B1D5" w:rsidR="00A8611E" w:rsidRDefault="00A8611E" w:rsidP="00A8611E">
            <w:pPr>
              <w:pStyle w:val="Els-body-text"/>
              <w:jc w:val="center"/>
            </w:pPr>
            <w:r>
              <w:t>4</w:t>
            </w:r>
          </w:p>
        </w:tc>
        <w:tc>
          <w:tcPr>
            <w:tcW w:w="883" w:type="dxa"/>
            <w:vAlign w:val="center"/>
          </w:tcPr>
          <w:p w14:paraId="0FD648C1" w14:textId="096931A8" w:rsidR="00A8611E" w:rsidRDefault="00A8611E" w:rsidP="00A8611E">
            <w:pPr>
              <w:pStyle w:val="Els-body-text"/>
              <w:jc w:val="center"/>
            </w:pPr>
            <w:r>
              <w:t>V7</w:t>
            </w:r>
          </w:p>
        </w:tc>
        <w:tc>
          <w:tcPr>
            <w:tcW w:w="863" w:type="dxa"/>
            <w:vAlign w:val="center"/>
          </w:tcPr>
          <w:p w14:paraId="030FD0E5" w14:textId="5C40D7F2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2AB1C917" w14:textId="57556BA7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017C3AF2" w14:textId="056149C4" w:rsidR="00A8611E" w:rsidRDefault="00A8611E" w:rsidP="00A8611E">
            <w:pPr>
              <w:pStyle w:val="Els-body-text"/>
              <w:jc w:val="center"/>
            </w:pPr>
            <w:r>
              <w:t>16</w:t>
            </w:r>
          </w:p>
        </w:tc>
        <w:tc>
          <w:tcPr>
            <w:tcW w:w="886" w:type="dxa"/>
            <w:vAlign w:val="center"/>
          </w:tcPr>
          <w:p w14:paraId="15EE0340" w14:textId="6BB2B60C" w:rsidR="00A8611E" w:rsidRDefault="00A8611E" w:rsidP="00A8611E">
            <w:pPr>
              <w:pStyle w:val="Els-body-text"/>
              <w:jc w:val="center"/>
            </w:pPr>
            <w:r>
              <w:t>V10</w:t>
            </w:r>
          </w:p>
        </w:tc>
        <w:tc>
          <w:tcPr>
            <w:tcW w:w="863" w:type="dxa"/>
            <w:vAlign w:val="center"/>
          </w:tcPr>
          <w:p w14:paraId="1BDA6799" w14:textId="44CEE926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vAlign w:val="center"/>
          </w:tcPr>
          <w:p w14:paraId="66FF5D9B" w14:textId="4D8FAC86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</w:tr>
      <w:tr w:rsidR="00A8611E" w14:paraId="7B511A17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0E233E0A" w14:textId="4422D65A" w:rsidR="00A8611E" w:rsidRDefault="00A8611E" w:rsidP="00A8611E">
            <w:pPr>
              <w:pStyle w:val="Els-body-text"/>
              <w:jc w:val="center"/>
            </w:pPr>
            <w:r>
              <w:t>5</w:t>
            </w:r>
          </w:p>
        </w:tc>
        <w:tc>
          <w:tcPr>
            <w:tcW w:w="883" w:type="dxa"/>
            <w:vAlign w:val="center"/>
          </w:tcPr>
          <w:p w14:paraId="0BA62763" w14:textId="30E1BD2E" w:rsidR="00A8611E" w:rsidRDefault="00A8611E" w:rsidP="00A8611E">
            <w:pPr>
              <w:pStyle w:val="Els-body-text"/>
              <w:jc w:val="center"/>
            </w:pPr>
            <w:r>
              <w:t>C1</w:t>
            </w:r>
          </w:p>
        </w:tc>
        <w:tc>
          <w:tcPr>
            <w:tcW w:w="863" w:type="dxa"/>
            <w:vAlign w:val="center"/>
          </w:tcPr>
          <w:p w14:paraId="3962DA95" w14:textId="63389F35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0041B412" w14:textId="10CD91E6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73A5C55E" w14:textId="3B46012D" w:rsidR="00A8611E" w:rsidRDefault="00A8611E" w:rsidP="00A8611E">
            <w:pPr>
              <w:pStyle w:val="Els-body-text"/>
              <w:jc w:val="center"/>
            </w:pPr>
            <w:r>
              <w:t>17</w:t>
            </w:r>
          </w:p>
        </w:tc>
        <w:tc>
          <w:tcPr>
            <w:tcW w:w="886" w:type="dxa"/>
            <w:vAlign w:val="center"/>
          </w:tcPr>
          <w:p w14:paraId="39919525" w14:textId="67EFF0B8" w:rsidR="00A8611E" w:rsidRDefault="00A8611E" w:rsidP="00A8611E">
            <w:pPr>
              <w:pStyle w:val="Els-body-text"/>
              <w:jc w:val="center"/>
            </w:pPr>
            <w:r>
              <w:t>V8</w:t>
            </w:r>
          </w:p>
        </w:tc>
        <w:tc>
          <w:tcPr>
            <w:tcW w:w="863" w:type="dxa"/>
            <w:vAlign w:val="center"/>
          </w:tcPr>
          <w:p w14:paraId="3A773E90" w14:textId="6E0F8ACB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vAlign w:val="center"/>
          </w:tcPr>
          <w:p w14:paraId="2113872F" w14:textId="24C52709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27B4631C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692C50A3" w14:textId="0786075A" w:rsidR="00A8611E" w:rsidRDefault="00A8611E" w:rsidP="00A8611E">
            <w:pPr>
              <w:pStyle w:val="Els-body-text"/>
              <w:jc w:val="center"/>
            </w:pPr>
            <w:r>
              <w:t>6</w:t>
            </w:r>
          </w:p>
        </w:tc>
        <w:tc>
          <w:tcPr>
            <w:tcW w:w="883" w:type="dxa"/>
            <w:vAlign w:val="center"/>
          </w:tcPr>
          <w:p w14:paraId="7162DD70" w14:textId="6865CAA4" w:rsidR="00A8611E" w:rsidRDefault="00A8611E" w:rsidP="00A8611E">
            <w:pPr>
              <w:pStyle w:val="Els-body-text"/>
              <w:jc w:val="center"/>
            </w:pPr>
            <w:r>
              <w:t>C4a</w:t>
            </w:r>
          </w:p>
        </w:tc>
        <w:tc>
          <w:tcPr>
            <w:tcW w:w="863" w:type="dxa"/>
            <w:vAlign w:val="center"/>
          </w:tcPr>
          <w:p w14:paraId="5CB29BBC" w14:textId="6FD6D5A9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78D5FFE7" w14:textId="20684F30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44C7489D" w14:textId="51D20E5B" w:rsidR="00A8611E" w:rsidRDefault="00A8611E" w:rsidP="00A8611E">
            <w:pPr>
              <w:pStyle w:val="Els-body-text"/>
              <w:jc w:val="center"/>
            </w:pPr>
            <w:r>
              <w:t>18</w:t>
            </w:r>
          </w:p>
        </w:tc>
        <w:tc>
          <w:tcPr>
            <w:tcW w:w="886" w:type="dxa"/>
            <w:vAlign w:val="center"/>
          </w:tcPr>
          <w:p w14:paraId="2C398714" w14:textId="4D31A08A" w:rsidR="00A8611E" w:rsidRDefault="00A8611E" w:rsidP="00A8611E">
            <w:pPr>
              <w:pStyle w:val="Els-body-text"/>
              <w:jc w:val="center"/>
            </w:pPr>
            <w:r>
              <w:t>V9</w:t>
            </w:r>
          </w:p>
        </w:tc>
        <w:tc>
          <w:tcPr>
            <w:tcW w:w="863" w:type="dxa"/>
            <w:vAlign w:val="center"/>
          </w:tcPr>
          <w:p w14:paraId="471FF8E4" w14:textId="5433FB7D" w:rsidR="00A8611E" w:rsidRDefault="00A8611E" w:rsidP="00A8611E">
            <w:pPr>
              <w:pStyle w:val="Els-body-text"/>
              <w:jc w:val="center"/>
            </w:pPr>
            <w:r>
              <w:t>5.5</w:t>
            </w:r>
          </w:p>
        </w:tc>
        <w:tc>
          <w:tcPr>
            <w:tcW w:w="923" w:type="dxa"/>
            <w:vAlign w:val="center"/>
          </w:tcPr>
          <w:p w14:paraId="35FFCE27" w14:textId="0BA8004B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5558CD91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7F59D393" w14:textId="3BD4BFAB" w:rsidR="00A8611E" w:rsidRDefault="00A8611E" w:rsidP="00A8611E">
            <w:pPr>
              <w:pStyle w:val="Els-body-text"/>
              <w:jc w:val="center"/>
            </w:pPr>
            <w:r>
              <w:t>7</w:t>
            </w:r>
          </w:p>
        </w:tc>
        <w:tc>
          <w:tcPr>
            <w:tcW w:w="883" w:type="dxa"/>
            <w:vAlign w:val="center"/>
          </w:tcPr>
          <w:p w14:paraId="4E4AFCB7" w14:textId="5AD70332" w:rsidR="00A8611E" w:rsidRDefault="00A8611E" w:rsidP="00A8611E">
            <w:pPr>
              <w:pStyle w:val="Els-body-text"/>
              <w:jc w:val="center"/>
            </w:pPr>
            <w:r>
              <w:t>C4b</w:t>
            </w:r>
          </w:p>
        </w:tc>
        <w:tc>
          <w:tcPr>
            <w:tcW w:w="863" w:type="dxa"/>
            <w:vAlign w:val="center"/>
          </w:tcPr>
          <w:p w14:paraId="59D2AE06" w14:textId="5BAAA0A4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2DCDE6A0" w14:textId="4B0D5715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4F15626A" w14:textId="28EBF709" w:rsidR="00A8611E" w:rsidRDefault="00A8611E" w:rsidP="00A8611E">
            <w:pPr>
              <w:pStyle w:val="Els-body-text"/>
              <w:jc w:val="center"/>
            </w:pPr>
            <w:r>
              <w:t>19</w:t>
            </w:r>
          </w:p>
        </w:tc>
        <w:tc>
          <w:tcPr>
            <w:tcW w:w="886" w:type="dxa"/>
            <w:vAlign w:val="center"/>
          </w:tcPr>
          <w:p w14:paraId="026D51A1" w14:textId="12AB68A9" w:rsidR="00A8611E" w:rsidRDefault="00A8611E" w:rsidP="00A8611E">
            <w:pPr>
              <w:pStyle w:val="Els-body-text"/>
              <w:jc w:val="center"/>
            </w:pPr>
            <w:r>
              <w:t>C2</w:t>
            </w:r>
          </w:p>
        </w:tc>
        <w:tc>
          <w:tcPr>
            <w:tcW w:w="863" w:type="dxa"/>
            <w:vAlign w:val="center"/>
          </w:tcPr>
          <w:p w14:paraId="6DA33935" w14:textId="72873938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vAlign w:val="center"/>
          </w:tcPr>
          <w:p w14:paraId="36E14E27" w14:textId="309C0CC9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42B5344A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1DE5AAEE" w14:textId="6BC9D0E5" w:rsidR="00A8611E" w:rsidRDefault="00A8611E" w:rsidP="00A8611E">
            <w:pPr>
              <w:pStyle w:val="Els-body-text"/>
              <w:jc w:val="center"/>
            </w:pPr>
            <w:r>
              <w:t>8</w:t>
            </w:r>
          </w:p>
        </w:tc>
        <w:tc>
          <w:tcPr>
            <w:tcW w:w="883" w:type="dxa"/>
            <w:vAlign w:val="center"/>
          </w:tcPr>
          <w:p w14:paraId="0EDB2CAE" w14:textId="45CDF0E9" w:rsidR="00A8611E" w:rsidRDefault="00A8611E" w:rsidP="00A8611E">
            <w:pPr>
              <w:pStyle w:val="Els-body-text"/>
              <w:jc w:val="center"/>
            </w:pPr>
            <w:r>
              <w:t>C4c</w:t>
            </w:r>
          </w:p>
        </w:tc>
        <w:tc>
          <w:tcPr>
            <w:tcW w:w="863" w:type="dxa"/>
            <w:vAlign w:val="center"/>
          </w:tcPr>
          <w:p w14:paraId="5D8C628E" w14:textId="7742B0D2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094DB5E1" w14:textId="026AFD84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054721BA" w14:textId="27F32D4D" w:rsidR="00A8611E" w:rsidRDefault="00A8611E" w:rsidP="00A8611E">
            <w:pPr>
              <w:pStyle w:val="Els-body-text"/>
              <w:jc w:val="center"/>
            </w:pPr>
            <w:r>
              <w:t>20</w:t>
            </w:r>
          </w:p>
        </w:tc>
        <w:tc>
          <w:tcPr>
            <w:tcW w:w="886" w:type="dxa"/>
            <w:vAlign w:val="center"/>
          </w:tcPr>
          <w:p w14:paraId="14E59DC3" w14:textId="6D3E64A4" w:rsidR="00A8611E" w:rsidRDefault="00A8611E" w:rsidP="00A8611E">
            <w:pPr>
              <w:pStyle w:val="Els-body-text"/>
              <w:jc w:val="center"/>
            </w:pPr>
            <w:r>
              <w:t>V3</w:t>
            </w:r>
          </w:p>
        </w:tc>
        <w:tc>
          <w:tcPr>
            <w:tcW w:w="863" w:type="dxa"/>
            <w:vAlign w:val="center"/>
          </w:tcPr>
          <w:p w14:paraId="295DF808" w14:textId="7E4F80F1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vAlign w:val="center"/>
          </w:tcPr>
          <w:p w14:paraId="47E1F65D" w14:textId="29D69D51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1F470D9A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3C6581E4" w14:textId="385FCFDC" w:rsidR="00A8611E" w:rsidRDefault="00A8611E" w:rsidP="00A8611E">
            <w:pPr>
              <w:pStyle w:val="Els-body-text"/>
              <w:jc w:val="center"/>
            </w:pPr>
            <w:r>
              <w:t>9</w:t>
            </w:r>
          </w:p>
        </w:tc>
        <w:tc>
          <w:tcPr>
            <w:tcW w:w="883" w:type="dxa"/>
            <w:vAlign w:val="center"/>
          </w:tcPr>
          <w:p w14:paraId="1D34D079" w14:textId="7D1C7793" w:rsidR="00A8611E" w:rsidRDefault="00A8611E" w:rsidP="00A8611E">
            <w:pPr>
              <w:pStyle w:val="Els-body-text"/>
              <w:jc w:val="center"/>
            </w:pPr>
            <w:r>
              <w:t>V1</w:t>
            </w:r>
          </w:p>
        </w:tc>
        <w:tc>
          <w:tcPr>
            <w:tcW w:w="863" w:type="dxa"/>
            <w:vAlign w:val="center"/>
          </w:tcPr>
          <w:p w14:paraId="3E665CFA" w14:textId="0C5F0C6F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0E2E7C70" w14:textId="6DADC4DE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28689D4B" w14:textId="075AB1D9" w:rsidR="00A8611E" w:rsidRDefault="00A8611E" w:rsidP="00A8611E">
            <w:pPr>
              <w:pStyle w:val="Els-body-text"/>
              <w:jc w:val="center"/>
            </w:pPr>
            <w:r>
              <w:t>21</w:t>
            </w:r>
          </w:p>
        </w:tc>
        <w:tc>
          <w:tcPr>
            <w:tcW w:w="886" w:type="dxa"/>
            <w:vAlign w:val="center"/>
          </w:tcPr>
          <w:p w14:paraId="50672076" w14:textId="7BFE0636" w:rsidR="00A8611E" w:rsidRDefault="00A8611E" w:rsidP="00A8611E">
            <w:pPr>
              <w:pStyle w:val="Els-body-text"/>
              <w:jc w:val="center"/>
            </w:pPr>
            <w:r>
              <w:t>V4</w:t>
            </w:r>
          </w:p>
        </w:tc>
        <w:tc>
          <w:tcPr>
            <w:tcW w:w="863" w:type="dxa"/>
            <w:vAlign w:val="center"/>
          </w:tcPr>
          <w:p w14:paraId="63C11509" w14:textId="61022001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vAlign w:val="center"/>
          </w:tcPr>
          <w:p w14:paraId="1F551D05" w14:textId="150108F3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7F7B526D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1E5E16CF" w14:textId="39852BA1" w:rsidR="00A8611E" w:rsidRDefault="00A8611E" w:rsidP="00A8611E">
            <w:pPr>
              <w:pStyle w:val="Els-body-text"/>
              <w:jc w:val="center"/>
            </w:pPr>
            <w:r>
              <w:t>10</w:t>
            </w:r>
          </w:p>
        </w:tc>
        <w:tc>
          <w:tcPr>
            <w:tcW w:w="883" w:type="dxa"/>
            <w:vAlign w:val="center"/>
          </w:tcPr>
          <w:p w14:paraId="1A9DD5B3" w14:textId="32A0401C" w:rsidR="00A8611E" w:rsidRDefault="00A8611E" w:rsidP="00A8611E">
            <w:pPr>
              <w:pStyle w:val="Els-body-text"/>
              <w:jc w:val="center"/>
            </w:pPr>
            <w:r>
              <w:t>V2</w:t>
            </w:r>
          </w:p>
        </w:tc>
        <w:tc>
          <w:tcPr>
            <w:tcW w:w="863" w:type="dxa"/>
            <w:vAlign w:val="center"/>
          </w:tcPr>
          <w:p w14:paraId="29D96295" w14:textId="1859AC00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341BE6FB" w14:textId="7809C50C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2D78F271" w14:textId="791A0BFE" w:rsidR="00A8611E" w:rsidRDefault="00A8611E" w:rsidP="00A8611E">
            <w:pPr>
              <w:pStyle w:val="Els-body-text"/>
              <w:jc w:val="center"/>
            </w:pPr>
            <w:r>
              <w:t>22</w:t>
            </w:r>
          </w:p>
        </w:tc>
        <w:tc>
          <w:tcPr>
            <w:tcW w:w="886" w:type="dxa"/>
            <w:vAlign w:val="center"/>
          </w:tcPr>
          <w:p w14:paraId="13F9A8ED" w14:textId="72E6B209" w:rsidR="00A8611E" w:rsidRDefault="00A8611E" w:rsidP="00A8611E">
            <w:pPr>
              <w:pStyle w:val="Els-body-text"/>
              <w:jc w:val="center"/>
            </w:pPr>
            <w:r>
              <w:t>V11</w:t>
            </w:r>
          </w:p>
        </w:tc>
        <w:tc>
          <w:tcPr>
            <w:tcW w:w="863" w:type="dxa"/>
            <w:vAlign w:val="center"/>
          </w:tcPr>
          <w:p w14:paraId="19BCF01B" w14:textId="4EA84B21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vAlign w:val="center"/>
          </w:tcPr>
          <w:p w14:paraId="6BD257B3" w14:textId="0150F468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4147F720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774315AD" w14:textId="05B26904" w:rsidR="00A8611E" w:rsidRDefault="00A8611E" w:rsidP="00A8611E">
            <w:pPr>
              <w:pStyle w:val="Els-body-text"/>
              <w:jc w:val="center"/>
            </w:pPr>
            <w:r>
              <w:t>11</w:t>
            </w:r>
          </w:p>
        </w:tc>
        <w:tc>
          <w:tcPr>
            <w:tcW w:w="883" w:type="dxa"/>
            <w:vAlign w:val="center"/>
          </w:tcPr>
          <w:p w14:paraId="63A398B0" w14:textId="42A973D8" w:rsidR="00A8611E" w:rsidRDefault="00A8611E" w:rsidP="00A8611E">
            <w:pPr>
              <w:pStyle w:val="Els-body-text"/>
              <w:jc w:val="center"/>
            </w:pPr>
            <w:r>
              <w:t>V5</w:t>
            </w:r>
          </w:p>
        </w:tc>
        <w:tc>
          <w:tcPr>
            <w:tcW w:w="863" w:type="dxa"/>
            <w:vAlign w:val="center"/>
          </w:tcPr>
          <w:p w14:paraId="2675C95B" w14:textId="32FA1565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1625881C" w14:textId="13A7C679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14:paraId="38E34A6D" w14:textId="127E7106" w:rsidR="00A8611E" w:rsidRDefault="00A8611E" w:rsidP="00A8611E">
            <w:pPr>
              <w:pStyle w:val="Els-body-text"/>
              <w:jc w:val="center"/>
            </w:pPr>
            <w:r>
              <w:t>23</w:t>
            </w:r>
          </w:p>
        </w:tc>
        <w:tc>
          <w:tcPr>
            <w:tcW w:w="886" w:type="dxa"/>
            <w:vAlign w:val="center"/>
          </w:tcPr>
          <w:p w14:paraId="02AB108B" w14:textId="64A746D7" w:rsidR="00A8611E" w:rsidRDefault="00A8611E" w:rsidP="00A8611E">
            <w:pPr>
              <w:pStyle w:val="Els-body-text"/>
              <w:jc w:val="center"/>
            </w:pPr>
            <w:r>
              <w:t>V12</w:t>
            </w:r>
          </w:p>
        </w:tc>
        <w:tc>
          <w:tcPr>
            <w:tcW w:w="863" w:type="dxa"/>
            <w:vAlign w:val="center"/>
          </w:tcPr>
          <w:p w14:paraId="3306530B" w14:textId="25088363" w:rsidR="00A8611E" w:rsidRDefault="00A8611E" w:rsidP="00A8611E">
            <w:pPr>
              <w:pStyle w:val="Els-body-text"/>
              <w:jc w:val="center"/>
            </w:pPr>
            <w:r>
              <w:t>6.1</w:t>
            </w:r>
          </w:p>
        </w:tc>
        <w:tc>
          <w:tcPr>
            <w:tcW w:w="923" w:type="dxa"/>
            <w:vAlign w:val="center"/>
          </w:tcPr>
          <w:p w14:paraId="77A648E8" w14:textId="005409BD" w:rsidR="00A8611E" w:rsidRDefault="00A8611E" w:rsidP="00A8611E">
            <w:pPr>
              <w:pStyle w:val="Els-body-text"/>
              <w:jc w:val="center"/>
            </w:pPr>
            <w:r>
              <w:t>Step</w:t>
            </w:r>
          </w:p>
        </w:tc>
      </w:tr>
      <w:tr w:rsidR="00A8611E" w14:paraId="771ECF2A" w14:textId="77777777" w:rsidTr="008F2398">
        <w:trPr>
          <w:trHeight w:val="284"/>
        </w:trPr>
        <w:tc>
          <w:tcPr>
            <w:tcW w:w="872" w:type="dxa"/>
            <w:vAlign w:val="center"/>
          </w:tcPr>
          <w:p w14:paraId="0F7A1EF3" w14:textId="7139B9DF" w:rsidR="00A8611E" w:rsidRDefault="00A8611E" w:rsidP="00A8611E">
            <w:pPr>
              <w:pStyle w:val="Els-body-text"/>
              <w:jc w:val="center"/>
            </w:pPr>
            <w:r>
              <w:t>12</w:t>
            </w:r>
          </w:p>
        </w:tc>
        <w:tc>
          <w:tcPr>
            <w:tcW w:w="883" w:type="dxa"/>
            <w:vAlign w:val="center"/>
          </w:tcPr>
          <w:p w14:paraId="5B01F810" w14:textId="71324F90" w:rsidR="00A8611E" w:rsidRDefault="00A8611E" w:rsidP="00A8611E">
            <w:pPr>
              <w:pStyle w:val="Els-body-text"/>
              <w:jc w:val="center"/>
            </w:pPr>
            <w:r>
              <w:t>V6</w:t>
            </w:r>
          </w:p>
        </w:tc>
        <w:tc>
          <w:tcPr>
            <w:tcW w:w="863" w:type="dxa"/>
            <w:vAlign w:val="center"/>
          </w:tcPr>
          <w:p w14:paraId="7C1F9F63" w14:textId="1FCC3E47" w:rsidR="00A8611E" w:rsidRDefault="00A8611E" w:rsidP="00A8611E">
            <w:pPr>
              <w:pStyle w:val="Els-body-text"/>
              <w:jc w:val="center"/>
            </w:pPr>
            <w:r>
              <w:t>5.8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759668F5" w14:textId="0FBA60C8" w:rsidR="00A8611E" w:rsidRDefault="00A8611E" w:rsidP="00A8611E">
            <w:pPr>
              <w:pStyle w:val="Els-body-text"/>
              <w:jc w:val="center"/>
            </w:pPr>
            <w:r>
              <w:t>Gradient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457578" w14:textId="77777777" w:rsidR="00A8611E" w:rsidRDefault="00A8611E" w:rsidP="00A8611E">
            <w:pPr>
              <w:pStyle w:val="Els-body-text"/>
              <w:jc w:val="center"/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51B836D0" w14:textId="77777777" w:rsidR="00A8611E" w:rsidRDefault="00A8611E" w:rsidP="00A8611E">
            <w:pPr>
              <w:pStyle w:val="Els-body-text"/>
              <w:jc w:val="center"/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B601435" w14:textId="77777777" w:rsidR="00A8611E" w:rsidRDefault="00A8611E" w:rsidP="00A8611E">
            <w:pPr>
              <w:pStyle w:val="Els-body-text"/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31BA893" w14:textId="14AC91BF" w:rsidR="00A8611E" w:rsidRDefault="00A8611E" w:rsidP="00A8611E">
            <w:pPr>
              <w:pStyle w:val="Els-body-tex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24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</w:tblGrid>
      <w:tr w:rsidR="00222D87" w14:paraId="1FFF9A84" w14:textId="77777777" w:rsidTr="00222D87">
        <w:tc>
          <w:tcPr>
            <w:tcW w:w="7086" w:type="dxa"/>
          </w:tcPr>
          <w:p w14:paraId="444B8379" w14:textId="77777777" w:rsidR="00222D87" w:rsidRDefault="00222D87" w:rsidP="00222D87">
            <w:pPr>
              <w:pStyle w:val="Els-body-tex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2B2BE79" wp14:editId="7D3A2122">
                  <wp:extent cx="4406597" cy="371518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611" cy="3730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87" w14:paraId="056805CA" w14:textId="77777777" w:rsidTr="00DF7537">
        <w:trPr>
          <w:trHeight w:val="241"/>
        </w:trPr>
        <w:tc>
          <w:tcPr>
            <w:tcW w:w="7086" w:type="dxa"/>
          </w:tcPr>
          <w:p w14:paraId="2BD78076" w14:textId="1B6054D1" w:rsidR="00222D87" w:rsidRDefault="00222D87" w:rsidP="00222D87">
            <w:pPr>
              <w:pStyle w:val="Els-body-text"/>
              <w:jc w:val="center"/>
            </w:pPr>
            <w:r w:rsidRPr="00DD1E1E">
              <w:rPr>
                <w:b/>
                <w:bCs/>
              </w:rPr>
              <w:t>Figure 1</w:t>
            </w:r>
            <w:r>
              <w:t xml:space="preserve">: Purity and yield values for </w:t>
            </w:r>
            <w:r w:rsidR="00DF7537">
              <w:t>all</w:t>
            </w:r>
            <w:r>
              <w:t xml:space="preserve"> polishing</w:t>
            </w:r>
            <w:r w:rsidR="00DF7537">
              <w:t xml:space="preserve"> chromatography</w:t>
            </w:r>
            <w:r>
              <w:t xml:space="preserve"> elution strategies.</w:t>
            </w:r>
          </w:p>
        </w:tc>
      </w:tr>
    </w:tbl>
    <w:p w14:paraId="3703CF5D" w14:textId="4F0CBA11" w:rsidR="005118ED" w:rsidRDefault="005118ED" w:rsidP="00BD7E0B">
      <w:pPr>
        <w:pStyle w:val="Els-2ndorder-head"/>
        <w:spacing w:before="240"/>
      </w:pPr>
      <w:r>
        <w:t xml:space="preserve">Ultrafiltration </w:t>
      </w:r>
      <w:r w:rsidR="008F2398">
        <w:t xml:space="preserve">Tangential Flow Filter (TFF) </w:t>
      </w:r>
      <w:r w:rsidR="006E7AAC">
        <w:t xml:space="preserve">Cascade </w:t>
      </w:r>
      <w:r>
        <w:t>Outputs</w:t>
      </w:r>
      <w:r w:rsidR="00D42EDA">
        <w:t xml:space="preserve"> Evaluation</w:t>
      </w:r>
    </w:p>
    <w:p w14:paraId="7BD7EC06" w14:textId="157222E2" w:rsidR="00743940" w:rsidRDefault="00A8611E" w:rsidP="00465992">
      <w:pPr>
        <w:pStyle w:val="Els-body-text"/>
        <w:spacing w:before="120"/>
        <w:rPr>
          <w:rFonts w:asciiTheme="majorBidi" w:hAnsiTheme="majorBidi" w:cstheme="majorBidi"/>
        </w:rPr>
      </w:pPr>
      <w:r w:rsidRPr="000D12A9">
        <w:rPr>
          <w:rFonts w:asciiTheme="majorBidi" w:hAnsiTheme="majorBidi" w:cstheme="majorBidi"/>
        </w:rPr>
        <w:t>Each of the 23 polishing column outputs seen in Figure 1 are integrated with a reputable</w:t>
      </w:r>
      <w:r w:rsidR="008F2398">
        <w:rPr>
          <w:rFonts w:asciiTheme="majorBidi" w:hAnsiTheme="majorBidi" w:cstheme="majorBidi"/>
        </w:rPr>
        <w:t>, commercial</w:t>
      </w:r>
      <w:r w:rsidRPr="000D12A9">
        <w:rPr>
          <w:rFonts w:asciiTheme="majorBidi" w:hAnsiTheme="majorBidi" w:cstheme="majorBidi"/>
        </w:rPr>
        <w:t xml:space="preserve"> 7-</w:t>
      </w:r>
      <w:r w:rsidR="008F2398">
        <w:rPr>
          <w:rFonts w:asciiTheme="majorBidi" w:hAnsiTheme="majorBidi" w:cstheme="majorBidi"/>
        </w:rPr>
        <w:t>stage</w:t>
      </w:r>
      <w:r w:rsidRPr="000D12A9">
        <w:rPr>
          <w:rFonts w:asciiTheme="majorBidi" w:hAnsiTheme="majorBidi" w:cstheme="majorBidi"/>
        </w:rPr>
        <w:t xml:space="preserve"> Pall Corporation </w:t>
      </w:r>
      <w:r w:rsidR="008F2398">
        <w:rPr>
          <w:rFonts w:asciiTheme="majorBidi" w:hAnsiTheme="majorBidi" w:cstheme="majorBidi"/>
        </w:rPr>
        <w:t xml:space="preserve">filter </w:t>
      </w:r>
      <w:r w:rsidRPr="000D12A9">
        <w:rPr>
          <w:rFonts w:asciiTheme="majorBidi" w:hAnsiTheme="majorBidi" w:cstheme="majorBidi"/>
        </w:rPr>
        <w:t xml:space="preserve">design. The Cadence Single-Pass TFF modular membrane units are </w:t>
      </w:r>
      <w:r w:rsidR="00D16E54" w:rsidRPr="000D12A9">
        <w:rPr>
          <w:rFonts w:asciiTheme="majorBidi" w:hAnsiTheme="majorBidi" w:cstheme="majorBidi"/>
        </w:rPr>
        <w:t>93 cm</w:t>
      </w:r>
      <w:r w:rsidR="00D16E54" w:rsidRPr="000D12A9">
        <w:rPr>
          <w:rFonts w:asciiTheme="majorBidi" w:hAnsiTheme="majorBidi" w:cstheme="majorBidi"/>
          <w:vertAlign w:val="superscript"/>
        </w:rPr>
        <w:t>2</w:t>
      </w:r>
      <w:r w:rsidR="00D16E54" w:rsidRPr="000D12A9">
        <w:rPr>
          <w:rFonts w:asciiTheme="majorBidi" w:hAnsiTheme="majorBidi" w:cstheme="majorBidi"/>
        </w:rPr>
        <w:t xml:space="preserve"> in cross sectional area and </w:t>
      </w:r>
      <w:r w:rsidRPr="000D12A9">
        <w:rPr>
          <w:rFonts w:asciiTheme="majorBidi" w:hAnsiTheme="majorBidi" w:cstheme="majorBidi"/>
        </w:rPr>
        <w:t>configured as 3-3-2-2-1-1-1, where the ‘-‘ denotes a series connection and the number value of parallel modules at each stage.</w:t>
      </w:r>
    </w:p>
    <w:p w14:paraId="66D0508E" w14:textId="2A17B3F5" w:rsidR="00F20D90" w:rsidRDefault="00A8611E" w:rsidP="00F20D90">
      <w:pPr>
        <w:pStyle w:val="Els-body-text"/>
        <w:spacing w:before="120"/>
      </w:pPr>
      <w:r w:rsidRPr="000D12A9">
        <w:rPr>
          <w:rFonts w:asciiTheme="majorBidi" w:hAnsiTheme="majorBidi" w:cstheme="majorBidi"/>
        </w:rPr>
        <w:t xml:space="preserve">The corresponding 23 outputs for </w:t>
      </w:r>
      <w:r w:rsidR="00D16E54" w:rsidRPr="000D12A9">
        <w:rPr>
          <w:rFonts w:asciiTheme="majorBidi" w:hAnsiTheme="majorBidi" w:cstheme="majorBidi"/>
        </w:rPr>
        <w:t xml:space="preserve">the polishing-ultrafilter </w:t>
      </w:r>
      <w:r w:rsidR="008F2398">
        <w:rPr>
          <w:rFonts w:asciiTheme="majorBidi" w:hAnsiTheme="majorBidi" w:cstheme="majorBidi"/>
        </w:rPr>
        <w:t>systems</w:t>
      </w:r>
      <w:r w:rsidR="00D16E54" w:rsidRPr="000D12A9">
        <w:rPr>
          <w:rFonts w:asciiTheme="majorBidi" w:hAnsiTheme="majorBidi" w:cstheme="majorBidi"/>
        </w:rPr>
        <w:t xml:space="preserve"> </w:t>
      </w:r>
      <w:r w:rsidR="008F2398">
        <w:rPr>
          <w:rFonts w:asciiTheme="majorBidi" w:hAnsiTheme="majorBidi" w:cstheme="majorBidi"/>
        </w:rPr>
        <w:t>are shown</w:t>
      </w:r>
      <w:r w:rsidR="00D16E54" w:rsidRPr="000D12A9">
        <w:rPr>
          <w:rFonts w:asciiTheme="majorBidi" w:hAnsiTheme="majorBidi" w:cstheme="majorBidi"/>
        </w:rPr>
        <w:t xml:space="preserve"> in Figure 2. </w:t>
      </w:r>
      <w:r w:rsidR="008F2398">
        <w:rPr>
          <w:rFonts w:asciiTheme="majorBidi" w:hAnsiTheme="majorBidi" w:cstheme="majorBidi"/>
        </w:rPr>
        <w:t>The</w:t>
      </w:r>
      <w:r w:rsidR="00D16E54" w:rsidRPr="000D12A9">
        <w:rPr>
          <w:rFonts w:asciiTheme="majorBidi" w:hAnsiTheme="majorBidi" w:cstheme="majorBidi"/>
        </w:rPr>
        <w:t xml:space="preserve"> outlet</w:t>
      </w:r>
      <w:r w:rsidR="008F2398">
        <w:rPr>
          <w:rFonts w:asciiTheme="majorBidi" w:hAnsiTheme="majorBidi" w:cstheme="majorBidi"/>
        </w:rPr>
        <w:t xml:space="preserve"> </w:t>
      </w:r>
      <w:r w:rsidR="00927338">
        <w:rPr>
          <w:rFonts w:asciiTheme="majorBidi" w:hAnsiTheme="majorBidi" w:cstheme="majorBidi"/>
        </w:rPr>
        <w:t xml:space="preserve">product </w:t>
      </w:r>
      <w:r w:rsidR="008F2398">
        <w:rPr>
          <w:rFonts w:asciiTheme="majorBidi" w:hAnsiTheme="majorBidi" w:cstheme="majorBidi"/>
        </w:rPr>
        <w:t xml:space="preserve">flow from </w:t>
      </w:r>
      <w:r w:rsidR="00927338">
        <w:rPr>
          <w:rFonts w:asciiTheme="majorBidi" w:hAnsiTheme="majorBidi" w:cstheme="majorBidi"/>
        </w:rPr>
        <w:t xml:space="preserve">a </w:t>
      </w:r>
      <w:r w:rsidR="00D16E54" w:rsidRPr="000D12A9">
        <w:rPr>
          <w:rFonts w:asciiTheme="majorBidi" w:hAnsiTheme="majorBidi" w:cstheme="majorBidi"/>
        </w:rPr>
        <w:t>polishing column is 1577.82 mLmin</w:t>
      </w:r>
      <w:r w:rsidR="00D16E54" w:rsidRPr="000D12A9">
        <w:rPr>
          <w:rFonts w:asciiTheme="majorBidi" w:hAnsiTheme="majorBidi" w:cstheme="majorBidi"/>
          <w:vertAlign w:val="superscript"/>
        </w:rPr>
        <w:t>–1</w:t>
      </w:r>
      <w:r w:rsidR="00927338">
        <w:rPr>
          <w:rFonts w:asciiTheme="majorBidi" w:hAnsiTheme="majorBidi" w:cstheme="majorBidi"/>
        </w:rPr>
        <w:t>:</w:t>
      </w:r>
      <w:r w:rsidR="00D16E54" w:rsidRPr="000D12A9">
        <w:rPr>
          <w:rFonts w:asciiTheme="majorBidi" w:hAnsiTheme="majorBidi" w:cstheme="majorBidi"/>
        </w:rPr>
        <w:t xml:space="preserve"> </w:t>
      </w:r>
      <w:r w:rsidR="00927338">
        <w:rPr>
          <w:rFonts w:asciiTheme="majorBidi" w:hAnsiTheme="majorBidi" w:cstheme="majorBidi"/>
        </w:rPr>
        <w:t>for the said</w:t>
      </w:r>
      <w:r w:rsidR="008F2398">
        <w:rPr>
          <w:rFonts w:asciiTheme="majorBidi" w:hAnsiTheme="majorBidi" w:cstheme="majorBidi"/>
        </w:rPr>
        <w:t xml:space="preserve"> 7-stage ultrafiltration, </w:t>
      </w:r>
      <w:r w:rsidR="00927338">
        <w:rPr>
          <w:rFonts w:asciiTheme="majorBidi" w:hAnsiTheme="majorBidi" w:cstheme="majorBidi"/>
        </w:rPr>
        <w:t xml:space="preserve">an inlet flow of </w:t>
      </w:r>
      <w:r w:rsidR="00D16E54" w:rsidRPr="000D12A9">
        <w:rPr>
          <w:rFonts w:asciiTheme="majorBidi" w:hAnsiTheme="majorBidi" w:cstheme="majorBidi"/>
        </w:rPr>
        <w:t>525.94 mLmin</w:t>
      </w:r>
      <w:r w:rsidR="00D16E54" w:rsidRPr="000D12A9">
        <w:rPr>
          <w:rFonts w:asciiTheme="majorBidi" w:hAnsiTheme="majorBidi" w:cstheme="majorBidi"/>
          <w:vertAlign w:val="superscript"/>
        </w:rPr>
        <w:t>–1</w:t>
      </w:r>
      <w:r w:rsidR="00927338">
        <w:rPr>
          <w:rFonts w:asciiTheme="majorBidi" w:hAnsiTheme="majorBidi" w:cstheme="majorBidi"/>
        </w:rPr>
        <w:t xml:space="preserve"> must thus be fed to each of the three units.</w:t>
      </w:r>
      <w:r w:rsidR="00F20D90">
        <w:rPr>
          <w:rFonts w:asciiTheme="majorBidi" w:hAnsiTheme="majorBidi" w:cstheme="majorBidi"/>
        </w:rPr>
        <w:t xml:space="preserve"> </w:t>
      </w:r>
      <w:r w:rsidR="00F20D90" w:rsidRPr="000D12A9">
        <w:rPr>
          <w:rFonts w:asciiTheme="majorBidi" w:hAnsiTheme="majorBidi" w:cstheme="majorBidi"/>
        </w:rPr>
        <w:t xml:space="preserve">A target </w:t>
      </w:r>
      <w:r w:rsidR="00F20D90">
        <w:rPr>
          <w:rFonts w:asciiTheme="majorBidi" w:hAnsiTheme="majorBidi" w:cstheme="majorBidi"/>
        </w:rPr>
        <w:t>concentration</w:t>
      </w:r>
      <w:r w:rsidR="00F20D90" w:rsidRPr="000D12A9">
        <w:rPr>
          <w:rFonts w:asciiTheme="majorBidi" w:hAnsiTheme="majorBidi" w:cstheme="majorBidi"/>
        </w:rPr>
        <w:t xml:space="preserve"> of </w:t>
      </w:r>
      <w:r w:rsidR="00F20D90">
        <w:rPr>
          <w:rFonts w:asciiTheme="majorBidi" w:hAnsiTheme="majorBidi" w:cstheme="majorBidi"/>
        </w:rPr>
        <w:t xml:space="preserve">ultrafilter design of </w:t>
      </w:r>
      <w:r w:rsidR="00F20D90" w:rsidRPr="000D12A9">
        <w:rPr>
          <w:rFonts w:asciiTheme="majorBidi" w:hAnsiTheme="majorBidi" w:cstheme="majorBidi"/>
        </w:rPr>
        <w:t>100 g L</w:t>
      </w:r>
      <w:r w:rsidR="00F20D90" w:rsidRPr="000D12A9">
        <w:rPr>
          <w:rFonts w:asciiTheme="majorBidi" w:hAnsiTheme="majorBidi" w:cstheme="majorBidi"/>
          <w:vertAlign w:val="superscript"/>
        </w:rPr>
        <w:t>–1</w:t>
      </w:r>
      <w:r w:rsidR="00F20D90">
        <w:rPr>
          <w:rFonts w:asciiTheme="majorBidi" w:hAnsiTheme="majorBidi" w:cstheme="majorBidi"/>
        </w:rPr>
        <w:t xml:space="preserve"> has been set (</w:t>
      </w:r>
      <w:r w:rsidR="00F20D90" w:rsidRPr="00465992">
        <w:t>Kollár</w:t>
      </w:r>
      <w:r w:rsidR="00F20D90">
        <w:t xml:space="preserve"> et al., 2020).</w:t>
      </w:r>
    </w:p>
    <w:p w14:paraId="52128348" w14:textId="3BF7121E" w:rsidR="0043319E" w:rsidRDefault="002D2596" w:rsidP="0043319E">
      <w:pPr>
        <w:pStyle w:val="Els-body-text"/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</w:t>
      </w:r>
      <w:r w:rsidR="00F20D90">
        <w:rPr>
          <w:rFonts w:asciiTheme="majorBidi" w:hAnsiTheme="majorBidi" w:cstheme="majorBidi"/>
        </w:rPr>
        <w:t xml:space="preserve"> shows </w:t>
      </w:r>
      <w:r w:rsidR="0043319E">
        <w:rPr>
          <w:rFonts w:asciiTheme="majorBidi" w:hAnsiTheme="majorBidi" w:cstheme="majorBidi"/>
        </w:rPr>
        <w:t xml:space="preserve">the few operational strategies which have achieved this effluent target, as </w:t>
      </w:r>
      <w:r w:rsidR="0043319E">
        <w:t xml:space="preserve">only 6 of the 23 flowsheets succeed in achieving </w:t>
      </w:r>
      <w:r w:rsidR="0043319E" w:rsidRPr="000D12A9">
        <w:rPr>
          <w:rFonts w:asciiTheme="majorBidi" w:hAnsiTheme="majorBidi" w:cstheme="majorBidi"/>
        </w:rPr>
        <w:t>100 g L</w:t>
      </w:r>
      <w:r w:rsidR="0043319E" w:rsidRPr="000D12A9">
        <w:rPr>
          <w:rFonts w:asciiTheme="majorBidi" w:hAnsiTheme="majorBidi" w:cstheme="majorBidi"/>
          <w:vertAlign w:val="superscript"/>
        </w:rPr>
        <w:t>–1</w:t>
      </w:r>
      <w:r w:rsidR="0043319E">
        <w:rPr>
          <w:rFonts w:asciiTheme="majorBidi" w:hAnsiTheme="majorBidi" w:cstheme="majorBidi"/>
        </w:rPr>
        <w:t xml:space="preserve"> (namely 1, 2, 6, 11, 20, 21). </w:t>
      </w:r>
      <w:r w:rsidR="0043319E">
        <w:t xml:space="preserve">All designs failing the 90% polishing recovery yield also fail the said ultrafiltration target. </w:t>
      </w:r>
      <w:r w:rsidR="0043319E">
        <w:rPr>
          <w:rFonts w:asciiTheme="majorBidi" w:hAnsiTheme="majorBidi" w:cstheme="majorBidi"/>
        </w:rPr>
        <w:t>Key flowsheet success factors include a low pH, a short elution time domain and a salt concentration that is high enough to elute large quantities of the main mAb variant, fast.</w:t>
      </w:r>
    </w:p>
    <w:p w14:paraId="3385D313" w14:textId="12721CEA" w:rsidR="00F20D90" w:rsidRPr="0043319E" w:rsidRDefault="0043319E" w:rsidP="00F20D90">
      <w:pPr>
        <w:pStyle w:val="Els-body-text"/>
        <w:spacing w:before="120"/>
      </w:pPr>
      <w:r>
        <w:rPr>
          <w:rFonts w:asciiTheme="majorBidi" w:hAnsiTheme="majorBidi" w:cstheme="majorBidi"/>
        </w:rPr>
        <w:t>Clearly, there is a correlation</w:t>
      </w:r>
      <w:r w:rsidRPr="000D12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between purified stream concentration and pressure drop. </w:t>
      </w:r>
      <w:r w:rsidRPr="000D12A9">
        <w:rPr>
          <w:rFonts w:asciiTheme="majorBidi" w:hAnsiTheme="majorBidi" w:cstheme="majorBidi"/>
        </w:rPr>
        <w:t xml:space="preserve">In every ultrafiltration </w:t>
      </w:r>
      <w:r>
        <w:rPr>
          <w:rFonts w:asciiTheme="majorBidi" w:hAnsiTheme="majorBidi" w:cstheme="majorBidi"/>
        </w:rPr>
        <w:t>case simulated here</w:t>
      </w:r>
      <w:r w:rsidRPr="000D12A9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a </w:t>
      </w:r>
      <w:r w:rsidRPr="000D12A9">
        <w:rPr>
          <w:rFonts w:asciiTheme="majorBidi" w:hAnsiTheme="majorBidi" w:cstheme="majorBidi"/>
        </w:rPr>
        <w:t xml:space="preserve">fixed pressure drop operation </w:t>
      </w:r>
      <w:r>
        <w:rPr>
          <w:rFonts w:asciiTheme="majorBidi" w:hAnsiTheme="majorBidi" w:cstheme="majorBidi"/>
        </w:rPr>
        <w:t>is considered</w:t>
      </w:r>
      <w:r w:rsidRPr="000D12A9">
        <w:rPr>
          <w:rFonts w:asciiTheme="majorBidi" w:hAnsiTheme="majorBidi" w:cstheme="majorBidi"/>
        </w:rPr>
        <w:t xml:space="preserve">. Every ultrafiltration </w:t>
      </w:r>
      <w:r>
        <w:rPr>
          <w:rFonts w:asciiTheme="majorBidi" w:hAnsiTheme="majorBidi" w:cstheme="majorBidi"/>
        </w:rPr>
        <w:t>has</w:t>
      </w:r>
      <w:r w:rsidRPr="000D12A9">
        <w:rPr>
          <w:rFonts w:asciiTheme="majorBidi" w:hAnsiTheme="majorBidi" w:cstheme="majorBidi"/>
        </w:rPr>
        <w:t xml:space="preserve"> an upper limit of</w:t>
      </w:r>
      <w:r>
        <w:rPr>
          <w:rFonts w:asciiTheme="majorBidi" w:hAnsiTheme="majorBidi" w:cstheme="majorBidi"/>
        </w:rPr>
        <w:t xml:space="preserve"> pressure drop; if this value i</w:t>
      </w:r>
      <w:r w:rsidRPr="000D12A9">
        <w:rPr>
          <w:rFonts w:asciiTheme="majorBidi" w:hAnsiTheme="majorBidi" w:cstheme="majorBidi"/>
        </w:rPr>
        <w:t>s exceeded it causes negative fluxes to arise within the final set of filters, thus</w:t>
      </w:r>
      <w:r>
        <w:rPr>
          <w:rFonts w:asciiTheme="majorBidi" w:hAnsiTheme="majorBidi" w:cstheme="majorBidi"/>
        </w:rPr>
        <w:t xml:space="preserve"> clearly</w:t>
      </w:r>
      <w:r w:rsidRPr="000D12A9">
        <w:rPr>
          <w:rFonts w:asciiTheme="majorBidi" w:hAnsiTheme="majorBidi" w:cstheme="majorBidi"/>
        </w:rPr>
        <w:t xml:space="preserve"> leading to system failure.</w:t>
      </w:r>
      <w:r>
        <w:rPr>
          <w:rFonts w:asciiTheme="majorBidi" w:hAnsiTheme="majorBidi" w:cstheme="majorBidi"/>
        </w:rPr>
        <w:t xml:space="preserve">  </w:t>
      </w:r>
      <w:r>
        <w:t>The</w:t>
      </w:r>
      <w:r w:rsidR="00F20D90">
        <w:rPr>
          <w:rFonts w:asciiTheme="majorBidi" w:hAnsiTheme="majorBidi" w:cstheme="majorBidi"/>
        </w:rPr>
        <w:t xml:space="preserve"> wide variation of pressure drops</w:t>
      </w:r>
      <w:r>
        <w:rPr>
          <w:rFonts w:asciiTheme="majorBidi" w:hAnsiTheme="majorBidi" w:cstheme="majorBidi"/>
        </w:rPr>
        <w:t xml:space="preserve"> is because</w:t>
      </w:r>
      <w:r w:rsidR="002D2596">
        <w:rPr>
          <w:rFonts w:asciiTheme="majorBidi" w:hAnsiTheme="majorBidi" w:cstheme="majorBidi"/>
        </w:rPr>
        <w:t xml:space="preserve"> every flowsheet i</w:t>
      </w:r>
      <w:r w:rsidR="00465992" w:rsidRPr="000D12A9">
        <w:rPr>
          <w:rFonts w:asciiTheme="majorBidi" w:hAnsiTheme="majorBidi" w:cstheme="majorBidi"/>
        </w:rPr>
        <w:t>s operated just below the upper pressure drop</w:t>
      </w:r>
      <w:r w:rsidR="00F20D90">
        <w:rPr>
          <w:rFonts w:asciiTheme="majorBidi" w:hAnsiTheme="majorBidi" w:cstheme="majorBidi"/>
        </w:rPr>
        <w:t xml:space="preserve"> limit, to</w:t>
      </w:r>
      <w:r w:rsidR="00465992" w:rsidRPr="000D12A9">
        <w:rPr>
          <w:rFonts w:asciiTheme="majorBidi" w:hAnsiTheme="majorBidi" w:cstheme="majorBidi"/>
        </w:rPr>
        <w:t xml:space="preserve"> elucidate the maximum outlet final mAb concentration.</w:t>
      </w:r>
      <w:r>
        <w:rPr>
          <w:rFonts w:asciiTheme="majorBidi" w:hAnsiTheme="majorBidi" w:cstheme="majorBidi"/>
        </w:rPr>
        <w:t xml:space="preserve"> </w:t>
      </w:r>
    </w:p>
    <w:tbl>
      <w:tblPr>
        <w:tblStyle w:val="TableGrid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</w:tblGrid>
      <w:tr w:rsidR="00A4598B" w14:paraId="62F6C4F8" w14:textId="77777777" w:rsidTr="0043319E">
        <w:tc>
          <w:tcPr>
            <w:tcW w:w="7087" w:type="dxa"/>
          </w:tcPr>
          <w:p w14:paraId="51A5DC06" w14:textId="30F87AAC" w:rsidR="00A4598B" w:rsidRDefault="00A4598B" w:rsidP="00273270">
            <w:pPr>
              <w:pStyle w:val="Els-body-tex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2DBB420" wp14:editId="665D2B1D">
                  <wp:extent cx="4393484" cy="361950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433" cy="362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98B" w14:paraId="08D40B65" w14:textId="77777777" w:rsidTr="0043319E">
        <w:trPr>
          <w:trHeight w:val="295"/>
        </w:trPr>
        <w:tc>
          <w:tcPr>
            <w:tcW w:w="7087" w:type="dxa"/>
          </w:tcPr>
          <w:p w14:paraId="2FEF426D" w14:textId="316455BC" w:rsidR="00A4598B" w:rsidRDefault="00D16E54" w:rsidP="00D16E54">
            <w:pPr>
              <w:pStyle w:val="Els-body-text"/>
              <w:jc w:val="center"/>
            </w:pPr>
            <w:r w:rsidRPr="00D16E54">
              <w:rPr>
                <w:b/>
                <w:bCs/>
              </w:rPr>
              <w:t>Figure 2</w:t>
            </w:r>
            <w:r>
              <w:t>: Maximum pressure drop and final concentration of the ultrafilter designs.</w:t>
            </w:r>
          </w:p>
        </w:tc>
      </w:tr>
    </w:tbl>
    <w:p w14:paraId="43F9F0C7" w14:textId="0628474E" w:rsidR="005118ED" w:rsidRDefault="006E7AAC" w:rsidP="00BD7E0B">
      <w:pPr>
        <w:pStyle w:val="Els-2ndorder-head"/>
        <w:spacing w:before="240"/>
      </w:pPr>
      <w:r>
        <w:t xml:space="preserve">Ultrafiltration </w:t>
      </w:r>
      <w:r w:rsidR="005118ED">
        <w:t>Configuration</w:t>
      </w:r>
      <w:r w:rsidR="00A4598B">
        <w:t xml:space="preserve"> </w:t>
      </w:r>
      <w:r>
        <w:t xml:space="preserve">Performance </w:t>
      </w:r>
      <w:r w:rsidR="00EA27A0">
        <w:t>Analysis</w:t>
      </w:r>
    </w:p>
    <w:p w14:paraId="02C5E446" w14:textId="257CDD32" w:rsidR="006B51F2" w:rsidRDefault="00E6378D" w:rsidP="006B51F2">
      <w:pPr>
        <w:pStyle w:val="Els-body-text"/>
        <w:spacing w:before="120" w:after="120"/>
      </w:pPr>
      <w:r>
        <w:t>T</w:t>
      </w:r>
      <w:r w:rsidR="00C341D2">
        <w:t>he</w:t>
      </w:r>
      <w:r w:rsidR="00DB7C3D">
        <w:t xml:space="preserve"> ultrafilter</w:t>
      </w:r>
      <w:r w:rsidR="00EA27A0">
        <w:t xml:space="preserve"> </w:t>
      </w:r>
      <w:r w:rsidR="00C341D2">
        <w:t>configuration</w:t>
      </w:r>
      <w:r w:rsidR="00DB7C3D">
        <w:t xml:space="preserve"> used in the</w:t>
      </w:r>
      <w:r w:rsidR="006E7AAC">
        <w:t xml:space="preserve"> foregoing</w:t>
      </w:r>
      <w:r w:rsidR="00DB7C3D">
        <w:t xml:space="preserve"> flowsheet</w:t>
      </w:r>
      <w:r>
        <w:t>s</w:t>
      </w:r>
      <w:r w:rsidR="006E7AAC">
        <w:t xml:space="preserve"> we consider</w:t>
      </w:r>
      <w:r w:rsidR="00DB7C3D">
        <w:t xml:space="preserve"> is arbitrary</w:t>
      </w:r>
      <w:r>
        <w:t>, but the number of its stages and units per stage</w:t>
      </w:r>
      <w:r w:rsidR="00DB7C3D">
        <w:t xml:space="preserve"> can be optimi</w:t>
      </w:r>
      <w:r>
        <w:t>sed (</w:t>
      </w:r>
      <w:r w:rsidR="00C341D2">
        <w:t>Thakur and Rathore</w:t>
      </w:r>
      <w:r>
        <w:t xml:space="preserve">, </w:t>
      </w:r>
      <w:r w:rsidR="00DB7C3D">
        <w:t xml:space="preserve">2021). Figure 3 </w:t>
      </w:r>
      <w:r>
        <w:t>shows how two other</w:t>
      </w:r>
      <w:r w:rsidR="00DB7C3D">
        <w:t xml:space="preserve"> configurations (5-5-3</w:t>
      </w:r>
      <w:r>
        <w:t>,</w:t>
      </w:r>
      <w:r w:rsidR="00DB7C3D">
        <w:t xml:space="preserve"> 5-4-4), </w:t>
      </w:r>
      <w:r w:rsidR="006B51F2">
        <w:t>also with</w:t>
      </w:r>
      <w:r>
        <w:t xml:space="preserve"> </w:t>
      </w:r>
      <w:r w:rsidR="00DB7C3D">
        <w:t>13 filter</w:t>
      </w:r>
      <w:r>
        <w:t xml:space="preserve">s in total, </w:t>
      </w:r>
      <w:r w:rsidR="006B51F2">
        <w:t>perform in purifying</w:t>
      </w:r>
      <w:r w:rsidR="00DB7C3D">
        <w:t xml:space="preserve"> the polishing</w:t>
      </w:r>
      <w:r>
        <w:t xml:space="preserve"> chromatography</w:t>
      </w:r>
      <w:r w:rsidR="00DB7C3D">
        <w:t xml:space="preserve"> outlet</w:t>
      </w:r>
      <w:r>
        <w:t xml:space="preserve"> stream: none of the two 3-stage cascades match</w:t>
      </w:r>
      <w:r w:rsidR="006B51F2">
        <w:t>es</w:t>
      </w:r>
      <w:r>
        <w:t xml:space="preserve"> the high purity of the 7-stage</w:t>
      </w:r>
      <w:r w:rsidR="00DB7C3D">
        <w:t xml:space="preserve"> </w:t>
      </w:r>
      <w:r w:rsidR="006B51F2">
        <w:t>one</w:t>
      </w:r>
      <w:r>
        <w:t>,</w:t>
      </w:r>
      <w:r w:rsidR="006B51F2">
        <w:t xml:space="preserve"> indicating system design is critical.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EA27A0" w14:paraId="710E2509" w14:textId="77777777" w:rsidTr="00EA27A0">
        <w:tc>
          <w:tcPr>
            <w:tcW w:w="7076" w:type="dxa"/>
          </w:tcPr>
          <w:p w14:paraId="10DFB422" w14:textId="6B39C1D2" w:rsidR="00EA27A0" w:rsidRDefault="00EA27A0" w:rsidP="00EA27A0">
            <w:pPr>
              <w:pStyle w:val="Els-body-text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36EAE4" wp14:editId="2A5C0987">
                  <wp:extent cx="3075214" cy="219807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59" cy="224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7A0" w:rsidRPr="006E7AAC" w14:paraId="5ED80E38" w14:textId="77777777" w:rsidTr="00EA27A0">
        <w:tc>
          <w:tcPr>
            <w:tcW w:w="7076" w:type="dxa"/>
          </w:tcPr>
          <w:p w14:paraId="46AFBC4F" w14:textId="381CE6BA" w:rsidR="00EA27A0" w:rsidRDefault="00EA27A0" w:rsidP="00EA27A0">
            <w:pPr>
              <w:pStyle w:val="Els-body-text"/>
              <w:jc w:val="center"/>
            </w:pPr>
            <w:r w:rsidRPr="00EA27A0">
              <w:rPr>
                <w:b/>
                <w:bCs/>
              </w:rPr>
              <w:t>Figure 3</w:t>
            </w:r>
            <w:r>
              <w:t>: Final conc</w:t>
            </w:r>
            <w:r w:rsidR="008F2398">
              <w:t>entration</w:t>
            </w:r>
            <w:r>
              <w:t xml:space="preserve"> of </w:t>
            </w:r>
            <w:r w:rsidR="008F2398">
              <w:t>successful elution-</w:t>
            </w:r>
            <w:r w:rsidR="006E7AAC">
              <w:t>ultra</w:t>
            </w:r>
            <w:r>
              <w:t>filter configuration</w:t>
            </w:r>
            <w:r w:rsidR="008F2398">
              <w:t xml:space="preserve"> systems</w:t>
            </w:r>
            <w:r>
              <w:t>.</w:t>
            </w:r>
          </w:p>
        </w:tc>
      </w:tr>
    </w:tbl>
    <w:p w14:paraId="144DE6A5" w14:textId="3D93BF1F" w:rsidR="008D2649" w:rsidRDefault="00BA5623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Conclusions</w:t>
      </w:r>
    </w:p>
    <w:p w14:paraId="302E61AE" w14:textId="7BC31354" w:rsidR="00EA27A0" w:rsidRPr="00273270" w:rsidRDefault="003D791B" w:rsidP="00937014">
      <w:pPr>
        <w:pStyle w:val="Els-body-text"/>
        <w:rPr>
          <w:lang w:val="en-GB"/>
        </w:rPr>
      </w:pPr>
      <w:r>
        <w:rPr>
          <w:lang w:val="en-GB"/>
        </w:rPr>
        <w:t>Dynamic simulation of polishing</w:t>
      </w:r>
      <w:r w:rsidR="00C640FF">
        <w:rPr>
          <w:lang w:val="en-GB"/>
        </w:rPr>
        <w:t xml:space="preserve"> chromatography</w:t>
      </w:r>
      <w:r>
        <w:rPr>
          <w:lang w:val="en-GB"/>
        </w:rPr>
        <w:t xml:space="preserve">-ultrafilter </w:t>
      </w:r>
      <w:r w:rsidR="00C640FF">
        <w:rPr>
          <w:lang w:val="en-GB"/>
        </w:rPr>
        <w:t>systems</w:t>
      </w:r>
      <w:r>
        <w:rPr>
          <w:lang w:val="en-GB"/>
        </w:rPr>
        <w:t xml:space="preserve"> for industrial mAb </w:t>
      </w:r>
      <w:r w:rsidR="00C640FF">
        <w:rPr>
          <w:lang w:val="en-GB"/>
        </w:rPr>
        <w:t>production</w:t>
      </w:r>
      <w:r>
        <w:rPr>
          <w:lang w:val="en-GB"/>
        </w:rPr>
        <w:t xml:space="preserve"> </w:t>
      </w:r>
      <w:r w:rsidR="00C640FF">
        <w:rPr>
          <w:lang w:val="en-GB"/>
        </w:rPr>
        <w:t xml:space="preserve">has great value in comparative visualisation of </w:t>
      </w:r>
      <w:r>
        <w:rPr>
          <w:lang w:val="en-GB"/>
        </w:rPr>
        <w:t>design and operating strateg</w:t>
      </w:r>
      <w:r w:rsidR="00C640FF">
        <w:rPr>
          <w:lang w:val="en-GB"/>
        </w:rPr>
        <w:t>ies</w:t>
      </w:r>
      <w:r>
        <w:rPr>
          <w:lang w:val="en-GB"/>
        </w:rPr>
        <w:t>. A pH</w:t>
      </w:r>
      <w:r w:rsidR="00C640FF">
        <w:rPr>
          <w:lang w:val="en-GB"/>
        </w:rPr>
        <w:t>-</w:t>
      </w:r>
      <w:r>
        <w:rPr>
          <w:lang w:val="en-GB"/>
        </w:rPr>
        <w:t xml:space="preserve">dependent steric mass action model </w:t>
      </w:r>
      <w:r w:rsidR="00C640FF">
        <w:rPr>
          <w:lang w:val="en-GB"/>
        </w:rPr>
        <w:t>for</w:t>
      </w:r>
      <w:r>
        <w:rPr>
          <w:lang w:val="en-GB"/>
        </w:rPr>
        <w:t xml:space="preserve"> polishing chromatography</w:t>
      </w:r>
      <w:r w:rsidR="00C640FF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="00C640FF">
        <w:rPr>
          <w:lang w:val="en-GB"/>
        </w:rPr>
        <w:t xml:space="preserve">a </w:t>
      </w:r>
      <w:r>
        <w:rPr>
          <w:lang w:val="en-GB"/>
        </w:rPr>
        <w:t>sem</w:t>
      </w:r>
      <w:r w:rsidR="00C640FF">
        <w:rPr>
          <w:lang w:val="en-GB"/>
        </w:rPr>
        <w:t>i-</w:t>
      </w:r>
      <w:r>
        <w:rPr>
          <w:lang w:val="en-GB"/>
        </w:rPr>
        <w:t xml:space="preserve"> empirical </w:t>
      </w:r>
      <w:r w:rsidR="00C640FF">
        <w:rPr>
          <w:lang w:val="en-GB"/>
        </w:rPr>
        <w:t>(</w:t>
      </w:r>
      <w:r>
        <w:rPr>
          <w:lang w:val="en-GB"/>
        </w:rPr>
        <w:t>Darcy</w:t>
      </w:r>
      <w:r w:rsidR="00C640FF">
        <w:rPr>
          <w:lang w:val="en-GB"/>
        </w:rPr>
        <w:t xml:space="preserve"> </w:t>
      </w:r>
      <w:r>
        <w:rPr>
          <w:lang w:val="en-GB"/>
        </w:rPr>
        <w:t>and Gra</w:t>
      </w:r>
      <w:r w:rsidR="00C640FF">
        <w:rPr>
          <w:lang w:val="en-GB"/>
        </w:rPr>
        <w:t>et</w:t>
      </w:r>
      <w:r>
        <w:rPr>
          <w:lang w:val="en-GB"/>
        </w:rPr>
        <w:t>z-Laveque</w:t>
      </w:r>
      <w:r w:rsidR="00C640FF">
        <w:rPr>
          <w:lang w:val="en-GB"/>
        </w:rPr>
        <w:t>)</w:t>
      </w:r>
      <w:r>
        <w:rPr>
          <w:lang w:val="en-GB"/>
        </w:rPr>
        <w:t xml:space="preserve"> </w:t>
      </w:r>
      <w:r w:rsidR="00C640FF">
        <w:rPr>
          <w:lang w:val="en-GB"/>
        </w:rPr>
        <w:t>model</w:t>
      </w:r>
      <w:r w:rsidR="002D2596">
        <w:rPr>
          <w:lang w:val="en-GB"/>
        </w:rPr>
        <w:t xml:space="preserve"> </w:t>
      </w:r>
      <w:r w:rsidR="00C640FF">
        <w:rPr>
          <w:lang w:val="en-GB"/>
        </w:rPr>
        <w:t xml:space="preserve">for </w:t>
      </w:r>
      <w:r w:rsidR="00937014">
        <w:rPr>
          <w:lang w:val="en-GB"/>
        </w:rPr>
        <w:t xml:space="preserve">ultrafiltration </w:t>
      </w:r>
      <w:r w:rsidR="00C640FF">
        <w:rPr>
          <w:lang w:val="en-GB"/>
        </w:rPr>
        <w:t>have been combined here</w:t>
      </w:r>
      <w:r w:rsidR="00937014">
        <w:rPr>
          <w:lang w:val="en-GB"/>
        </w:rPr>
        <w:t xml:space="preserve">. A series of </w:t>
      </w:r>
      <w:r w:rsidR="00C640FF">
        <w:rPr>
          <w:lang w:val="en-GB"/>
        </w:rPr>
        <w:t>23 (either</w:t>
      </w:r>
      <w:r w:rsidR="00937014">
        <w:rPr>
          <w:lang w:val="en-GB"/>
        </w:rPr>
        <w:t xml:space="preserve"> gradient</w:t>
      </w:r>
      <w:r w:rsidR="00C640FF">
        <w:rPr>
          <w:lang w:val="en-GB"/>
        </w:rPr>
        <w:t>-</w:t>
      </w:r>
      <w:r w:rsidR="00937014">
        <w:rPr>
          <w:lang w:val="en-GB"/>
        </w:rPr>
        <w:t xml:space="preserve"> </w:t>
      </w:r>
      <w:r w:rsidR="00C640FF">
        <w:rPr>
          <w:lang w:val="en-GB"/>
        </w:rPr>
        <w:t>or</w:t>
      </w:r>
      <w:r w:rsidR="00937014">
        <w:rPr>
          <w:lang w:val="en-GB"/>
        </w:rPr>
        <w:t xml:space="preserve"> step</w:t>
      </w:r>
      <w:r w:rsidR="00C640FF">
        <w:rPr>
          <w:lang w:val="en-GB"/>
        </w:rPr>
        <w:t>-</w:t>
      </w:r>
      <w:r w:rsidR="00937014">
        <w:rPr>
          <w:lang w:val="en-GB"/>
        </w:rPr>
        <w:t>based</w:t>
      </w:r>
      <w:r w:rsidR="00C640FF">
        <w:rPr>
          <w:lang w:val="en-GB"/>
        </w:rPr>
        <w:t>) elution strategies</w:t>
      </w:r>
      <w:r w:rsidR="00937014">
        <w:rPr>
          <w:lang w:val="en-GB"/>
        </w:rPr>
        <w:t xml:space="preserve"> </w:t>
      </w:r>
      <w:r w:rsidR="00C640FF">
        <w:rPr>
          <w:lang w:val="en-GB"/>
        </w:rPr>
        <w:t>(</w:t>
      </w:r>
      <w:r w:rsidR="00937014">
        <w:rPr>
          <w:lang w:val="en-GB"/>
        </w:rPr>
        <w:t>Saleh at el., 2</w:t>
      </w:r>
      <w:r w:rsidR="002D2596">
        <w:rPr>
          <w:lang w:val="en-GB"/>
        </w:rPr>
        <w:t xml:space="preserve">020) </w:t>
      </w:r>
      <w:r w:rsidR="00C640FF">
        <w:rPr>
          <w:lang w:val="en-GB"/>
        </w:rPr>
        <w:t>have been analysed for performance vs.</w:t>
      </w:r>
      <w:r w:rsidR="00937014">
        <w:rPr>
          <w:lang w:val="en-GB"/>
        </w:rPr>
        <w:t xml:space="preserve"> a target recovery yield of 90%</w:t>
      </w:r>
      <w:r w:rsidR="00C640FF">
        <w:rPr>
          <w:lang w:val="en-GB"/>
        </w:rPr>
        <w:t xml:space="preserve"> in mAb manufacturing. A 7-stage (</w:t>
      </w:r>
      <w:r w:rsidR="00937014">
        <w:rPr>
          <w:lang w:val="en-GB"/>
        </w:rPr>
        <w:t>3-3-2-2-1-1-1</w:t>
      </w:r>
      <w:r w:rsidR="00C640FF">
        <w:rPr>
          <w:lang w:val="en-GB"/>
        </w:rPr>
        <w:t>)</w:t>
      </w:r>
      <w:r w:rsidR="00937014">
        <w:rPr>
          <w:lang w:val="en-GB"/>
        </w:rPr>
        <w:t xml:space="preserve"> ultrafiltration system </w:t>
      </w:r>
      <w:r w:rsidR="00C640FF">
        <w:rPr>
          <w:lang w:val="en-GB"/>
        </w:rPr>
        <w:t>(</w:t>
      </w:r>
      <w:r w:rsidR="00937014">
        <w:rPr>
          <w:lang w:val="en-GB"/>
        </w:rPr>
        <w:t>Cadence Single Pass</w:t>
      </w:r>
      <w:r w:rsidR="00C640FF">
        <w:rPr>
          <w:lang w:val="en-GB"/>
        </w:rPr>
        <w:t xml:space="preserve">, </w:t>
      </w:r>
      <w:r w:rsidR="002D2596">
        <w:rPr>
          <w:lang w:val="en-GB"/>
        </w:rPr>
        <w:t>Pall Corporation</w:t>
      </w:r>
      <w:r w:rsidR="00C640FF">
        <w:rPr>
          <w:lang w:val="en-GB"/>
        </w:rPr>
        <w:t>)</w:t>
      </w:r>
      <w:r w:rsidR="002D2596">
        <w:rPr>
          <w:lang w:val="en-GB"/>
        </w:rPr>
        <w:t xml:space="preserve"> </w:t>
      </w:r>
      <w:r w:rsidR="00C640FF">
        <w:rPr>
          <w:lang w:val="en-GB"/>
        </w:rPr>
        <w:t xml:space="preserve">has been subsequently considered to receive </w:t>
      </w:r>
      <w:r w:rsidR="00D43395">
        <w:rPr>
          <w:lang w:val="en-GB"/>
        </w:rPr>
        <w:t>and</w:t>
      </w:r>
      <w:r w:rsidR="00C640FF">
        <w:rPr>
          <w:lang w:val="en-GB"/>
        </w:rPr>
        <w:t xml:space="preserve"> purify </w:t>
      </w:r>
      <w:r w:rsidR="00937014">
        <w:rPr>
          <w:lang w:val="en-GB"/>
        </w:rPr>
        <w:t>the outlet of each</w:t>
      </w:r>
      <w:r w:rsidR="00D43395">
        <w:rPr>
          <w:lang w:val="en-GB"/>
        </w:rPr>
        <w:t xml:space="preserve"> of these</w:t>
      </w:r>
      <w:r w:rsidR="00937014">
        <w:rPr>
          <w:lang w:val="en-GB"/>
        </w:rPr>
        <w:t xml:space="preserve"> elutions</w:t>
      </w:r>
      <w:r w:rsidR="00D43395">
        <w:rPr>
          <w:lang w:val="en-GB"/>
        </w:rPr>
        <w:t>,</w:t>
      </w:r>
      <w:r w:rsidR="00937014">
        <w:rPr>
          <w:lang w:val="en-GB"/>
        </w:rPr>
        <w:t xml:space="preserve"> </w:t>
      </w:r>
      <w:r w:rsidR="00D43395">
        <w:rPr>
          <w:lang w:val="en-GB"/>
        </w:rPr>
        <w:t>and assessed vs.</w:t>
      </w:r>
      <w:r w:rsidR="00937014">
        <w:rPr>
          <w:lang w:val="en-GB"/>
        </w:rPr>
        <w:t xml:space="preserve"> achieving a target</w:t>
      </w:r>
      <w:r w:rsidR="00D43395">
        <w:rPr>
          <w:lang w:val="en-GB"/>
        </w:rPr>
        <w:t xml:space="preserve"> (purified effluent) mAb</w:t>
      </w:r>
      <w:r w:rsidR="00937014">
        <w:rPr>
          <w:lang w:val="en-GB"/>
        </w:rPr>
        <w:t xml:space="preserve"> concentration of </w:t>
      </w:r>
      <w:r w:rsidR="00937014">
        <w:t>100 g L</w:t>
      </w:r>
      <w:r w:rsidR="00937014">
        <w:rPr>
          <w:rFonts w:ascii="Arial Narrow" w:hAnsi="Arial Narrow"/>
          <w:vertAlign w:val="superscript"/>
        </w:rPr>
        <w:t>–</w:t>
      </w:r>
      <w:r w:rsidR="00937014">
        <w:rPr>
          <w:vertAlign w:val="superscript"/>
        </w:rPr>
        <w:t>1</w:t>
      </w:r>
      <w:r w:rsidR="00937014">
        <w:rPr>
          <w:lang w:val="en-GB"/>
        </w:rPr>
        <w:t xml:space="preserve">. </w:t>
      </w:r>
      <w:r w:rsidR="00D43395">
        <w:rPr>
          <w:lang w:val="en-GB"/>
        </w:rPr>
        <w:t>Only 6 of the</w:t>
      </w:r>
      <w:r w:rsidR="00937014">
        <w:rPr>
          <w:lang w:val="en-GB"/>
        </w:rPr>
        <w:t xml:space="preserve"> 2</w:t>
      </w:r>
      <w:r w:rsidR="002D2596">
        <w:rPr>
          <w:lang w:val="en-GB"/>
        </w:rPr>
        <w:t>3</w:t>
      </w:r>
      <w:r w:rsidR="00D43395">
        <w:rPr>
          <w:lang w:val="en-GB"/>
        </w:rPr>
        <w:t xml:space="preserve"> integrated polishing chromatography-ultrafiltration</w:t>
      </w:r>
      <w:r w:rsidR="002D2596">
        <w:rPr>
          <w:lang w:val="en-GB"/>
        </w:rPr>
        <w:t xml:space="preserve"> flowsheets proposed</w:t>
      </w:r>
      <w:r w:rsidR="00D43395">
        <w:rPr>
          <w:lang w:val="en-GB"/>
        </w:rPr>
        <w:t xml:space="preserve"> are shown as</w:t>
      </w:r>
      <w:r w:rsidR="00937014">
        <w:rPr>
          <w:lang w:val="en-GB"/>
        </w:rPr>
        <w:t xml:space="preserve"> successful </w:t>
      </w:r>
      <w:r w:rsidR="00D43395">
        <w:rPr>
          <w:lang w:val="en-GB"/>
        </w:rPr>
        <w:t>vs.</w:t>
      </w:r>
      <w:r w:rsidR="00937014">
        <w:rPr>
          <w:lang w:val="en-GB"/>
        </w:rPr>
        <w:t xml:space="preserve"> both specifications. Finally, two n</w:t>
      </w:r>
      <w:r w:rsidR="002D2596">
        <w:rPr>
          <w:lang w:val="en-GB"/>
        </w:rPr>
        <w:t>ew ultrafilter configurations a</w:t>
      </w:r>
      <w:r w:rsidR="00937014">
        <w:rPr>
          <w:lang w:val="en-GB"/>
        </w:rPr>
        <w:t>re</w:t>
      </w:r>
      <w:r w:rsidR="00D43395">
        <w:rPr>
          <w:lang w:val="en-GB"/>
        </w:rPr>
        <w:t xml:space="preserve"> computationally</w:t>
      </w:r>
      <w:r w:rsidR="00937014">
        <w:rPr>
          <w:lang w:val="en-GB"/>
        </w:rPr>
        <w:t xml:space="preserve"> implemented</w:t>
      </w:r>
      <w:r w:rsidR="00D43395">
        <w:rPr>
          <w:lang w:val="en-GB"/>
        </w:rPr>
        <w:t>,</w:t>
      </w:r>
      <w:r w:rsidR="00937014">
        <w:rPr>
          <w:lang w:val="en-GB"/>
        </w:rPr>
        <w:t xml:space="preserve"> to probe whether </w:t>
      </w:r>
      <w:r w:rsidR="00D43395">
        <w:rPr>
          <w:lang w:val="en-GB"/>
        </w:rPr>
        <w:t>shorter</w:t>
      </w:r>
      <w:r w:rsidR="00937014">
        <w:rPr>
          <w:lang w:val="en-GB"/>
        </w:rPr>
        <w:t xml:space="preserve"> series </w:t>
      </w:r>
      <w:r w:rsidR="00D43395">
        <w:rPr>
          <w:lang w:val="en-GB"/>
        </w:rPr>
        <w:t>(fewer stages, but</w:t>
      </w:r>
      <w:r w:rsidR="00937014">
        <w:rPr>
          <w:lang w:val="en-GB"/>
        </w:rPr>
        <w:t xml:space="preserve"> using the same number of total membrane units</w:t>
      </w:r>
      <w:r w:rsidR="00D43395">
        <w:rPr>
          <w:lang w:val="en-GB"/>
        </w:rPr>
        <w:t xml:space="preserve">, </w:t>
      </w:r>
      <w:r w:rsidR="00937014">
        <w:rPr>
          <w:lang w:val="en-GB"/>
        </w:rPr>
        <w:t xml:space="preserve">13) </w:t>
      </w:r>
      <w:r w:rsidR="00D43395">
        <w:rPr>
          <w:lang w:val="en-GB"/>
        </w:rPr>
        <w:t>can achieve matching mAb</w:t>
      </w:r>
      <w:r w:rsidR="00937014">
        <w:rPr>
          <w:lang w:val="en-GB"/>
        </w:rPr>
        <w:t xml:space="preserve"> performance. </w:t>
      </w:r>
      <w:r w:rsidR="00D43395">
        <w:rPr>
          <w:lang w:val="en-GB"/>
        </w:rPr>
        <w:t>The original 7-stage (</w:t>
      </w:r>
      <w:r w:rsidR="00937014">
        <w:rPr>
          <w:lang w:val="en-GB"/>
        </w:rPr>
        <w:t>3-3-2-2-1-1-1</w:t>
      </w:r>
      <w:r w:rsidR="00D43395">
        <w:rPr>
          <w:lang w:val="en-GB"/>
        </w:rPr>
        <w:t xml:space="preserve">) </w:t>
      </w:r>
      <w:r w:rsidR="00937014">
        <w:rPr>
          <w:lang w:val="en-GB"/>
        </w:rPr>
        <w:t xml:space="preserve">configuration </w:t>
      </w:r>
      <w:r w:rsidR="00D43395">
        <w:rPr>
          <w:lang w:val="en-GB"/>
        </w:rPr>
        <w:t>outperforms by far both 3-stage ones</w:t>
      </w:r>
      <w:r w:rsidR="00937014">
        <w:rPr>
          <w:lang w:val="en-GB"/>
        </w:rPr>
        <w:t xml:space="preserve">, </w:t>
      </w:r>
      <w:r w:rsidR="00D43395">
        <w:rPr>
          <w:lang w:val="en-GB"/>
        </w:rPr>
        <w:t xml:space="preserve">showing that structural </w:t>
      </w:r>
      <w:r w:rsidR="00937014">
        <w:rPr>
          <w:lang w:val="en-GB"/>
        </w:rPr>
        <w:t xml:space="preserve">optimisation </w:t>
      </w:r>
      <w:r w:rsidR="00D43395">
        <w:rPr>
          <w:lang w:val="en-GB"/>
        </w:rPr>
        <w:t xml:space="preserve">can tremendously benefit mAb </w:t>
      </w:r>
      <w:r w:rsidR="00937014">
        <w:rPr>
          <w:lang w:val="en-GB"/>
        </w:rPr>
        <w:t xml:space="preserve">flowsheet </w:t>
      </w:r>
      <w:r w:rsidR="00D43395">
        <w:rPr>
          <w:lang w:val="en-GB"/>
        </w:rPr>
        <w:t>efficiency</w:t>
      </w:r>
      <w:r w:rsidR="00937014">
        <w:rPr>
          <w:lang w:val="en-GB"/>
        </w:rPr>
        <w:t>.</w:t>
      </w:r>
    </w:p>
    <w:p w14:paraId="0B11C7E1" w14:textId="77777777" w:rsidR="00BA5623" w:rsidRPr="009F42EA" w:rsidRDefault="00BA5623" w:rsidP="001447D3">
      <w:pPr>
        <w:keepNext/>
        <w:spacing w:before="300" w:after="20"/>
        <w:jc w:val="both"/>
        <w:rPr>
          <w:b/>
          <w:sz w:val="22"/>
        </w:rPr>
      </w:pPr>
      <w:r w:rsidRPr="009F42EA">
        <w:rPr>
          <w:b/>
          <w:sz w:val="22"/>
        </w:rPr>
        <w:t>Acknowledgements</w:t>
      </w:r>
    </w:p>
    <w:p w14:paraId="519ECDA4" w14:textId="708F28BE" w:rsidR="00BA5623" w:rsidRDefault="00BA5623" w:rsidP="00BA5623">
      <w:pPr>
        <w:jc w:val="both"/>
      </w:pPr>
      <w:r w:rsidRPr="009F42EA">
        <w:t>The authors gratefully acknowledge</w:t>
      </w:r>
      <w:r w:rsidR="003A33ED">
        <w:t xml:space="preserve"> UKRI and</w:t>
      </w:r>
      <w:r w:rsidRPr="009F42EA">
        <w:t xml:space="preserve"> the Engineering and Physical Sciences Research Council (EPSRC) Doctoral Training Partnership (DTP) PhD Scholarship awarded to W.J., a</w:t>
      </w:r>
      <w:r w:rsidR="003A33ED">
        <w:t>nd</w:t>
      </w:r>
      <w:r w:rsidRPr="009F42EA">
        <w:t xml:space="preserve"> a Royal Society Industrial Fellowship (2020-2</w:t>
      </w:r>
      <w:r w:rsidR="003A33ED">
        <w:t>2</w:t>
      </w:r>
      <w:r w:rsidRPr="009F42EA">
        <w:t>) awarded to D.I.G.</w:t>
      </w:r>
    </w:p>
    <w:p w14:paraId="44AF99C4" w14:textId="40508869" w:rsidR="003A33ED" w:rsidRPr="00BA5623" w:rsidRDefault="003A33ED" w:rsidP="00BA5623">
      <w:pPr>
        <w:jc w:val="both"/>
      </w:pPr>
      <w:r>
        <w:t>F</w:t>
      </w:r>
      <w:r w:rsidRPr="003A33ED">
        <w:t xml:space="preserve">inancial support </w:t>
      </w:r>
      <w:r>
        <w:t xml:space="preserve">via another </w:t>
      </w:r>
      <w:r w:rsidRPr="003A33ED">
        <w:t>UKRI</w:t>
      </w:r>
      <w:r>
        <w:t>-EPSRC</w:t>
      </w:r>
      <w:r w:rsidRPr="003A33ED">
        <w:t xml:space="preserve"> grant (</w:t>
      </w:r>
      <w:r w:rsidRPr="003A33ED">
        <w:rPr>
          <w:i/>
          <w:iCs/>
        </w:rPr>
        <w:t>RAPID: ReAltime Process ModellIng &amp; Diagnostics–Powering Digital Factories EP/V028618/1</w:t>
      </w:r>
      <w:r w:rsidRPr="003A33ED">
        <w:t>)</w:t>
      </w:r>
      <w:r>
        <w:t xml:space="preserve"> is also </w:t>
      </w:r>
      <w:r w:rsidR="00F92F73">
        <w:t>hereby</w:t>
      </w:r>
      <w:r>
        <w:t xml:space="preserve"> acknowledged</w:t>
      </w:r>
      <w:r w:rsidRPr="003A33ED">
        <w:t>.</w:t>
      </w:r>
    </w:p>
    <w:p w14:paraId="144DE6BF" w14:textId="608D0AD6" w:rsidR="008D2649" w:rsidRDefault="008D2649" w:rsidP="001447D3">
      <w:pPr>
        <w:pStyle w:val="Els-reference-head"/>
        <w:spacing w:before="360" w:after="20"/>
      </w:pPr>
      <w:r>
        <w:t>References</w:t>
      </w:r>
    </w:p>
    <w:p w14:paraId="69491EEF" w14:textId="75ECE441" w:rsidR="00465992" w:rsidRPr="00465992" w:rsidRDefault="00465992" w:rsidP="00465992">
      <w:pPr>
        <w:pStyle w:val="Els-referenceno-number"/>
        <w:rPr>
          <w:lang w:val="en-US"/>
        </w:rPr>
      </w:pPr>
      <w:r w:rsidRPr="00D42EDA">
        <w:rPr>
          <w:lang w:val="en-US"/>
        </w:rPr>
        <w:t xml:space="preserve">S. Badr, &amp; H. Sugiyama. (2020). A PSE perspective for the efficient production of monoclonal antibodies: integration of process, cell, and product design aspects. </w:t>
      </w:r>
      <w:r w:rsidRPr="00D42EDA">
        <w:rPr>
          <w:i/>
          <w:iCs/>
          <w:lang w:val="en-US"/>
        </w:rPr>
        <w:t>Curr</w:t>
      </w:r>
      <w:r w:rsidR="00BD7E0B" w:rsidRPr="00D42EDA">
        <w:rPr>
          <w:i/>
          <w:iCs/>
          <w:lang w:val="en-US"/>
        </w:rPr>
        <w:t>. Opin</w:t>
      </w:r>
      <w:r w:rsidR="00D42EDA" w:rsidRPr="00D42EDA">
        <w:rPr>
          <w:i/>
          <w:iCs/>
          <w:lang w:val="en-US"/>
        </w:rPr>
        <w:t xml:space="preserve">. </w:t>
      </w:r>
      <w:r w:rsidR="00BD7E0B" w:rsidRPr="00D42EDA">
        <w:rPr>
          <w:i/>
          <w:iCs/>
          <w:lang w:val="en-US"/>
        </w:rPr>
        <w:t>Chem. Eng.</w:t>
      </w:r>
      <w:r w:rsidR="00BD7E0B" w:rsidRPr="00D42EDA">
        <w:rPr>
          <w:lang w:val="en-US"/>
        </w:rPr>
        <w:t>,</w:t>
      </w:r>
      <w:r w:rsidRPr="00D42EDA">
        <w:rPr>
          <w:lang w:val="en-US"/>
        </w:rPr>
        <w:t xml:space="preserve"> 27, 121-128.</w:t>
      </w:r>
    </w:p>
    <w:p w14:paraId="3534A1BF" w14:textId="37F4FFE9" w:rsidR="00465992" w:rsidRPr="00D42EDA" w:rsidRDefault="00465992" w:rsidP="00465992">
      <w:pPr>
        <w:pStyle w:val="Els-referenceno-number"/>
        <w:rPr>
          <w:lang w:val="en-US"/>
        </w:rPr>
      </w:pPr>
      <w:r w:rsidRPr="00465992">
        <w:rPr>
          <w:lang w:val="en-US"/>
        </w:rPr>
        <w:t>Y. Baek, N. Singh, A. Arunkumar, M. Borys, Z. J. Li, &amp; A. L. Zydney. (2017). Ultrafiltration behavior of monoclonal antibodies and Fc</w:t>
      </w:r>
      <w:r w:rsidRPr="00D42EDA">
        <w:rPr>
          <w:lang w:val="en-US"/>
        </w:rPr>
        <w:t xml:space="preserve">‐fusion proteins: Effects of physical properties. </w:t>
      </w:r>
      <w:r w:rsidRPr="00D42EDA">
        <w:rPr>
          <w:i/>
          <w:iCs/>
          <w:lang w:val="en-US"/>
        </w:rPr>
        <w:t>Biotech</w:t>
      </w:r>
      <w:r w:rsidR="00391752" w:rsidRPr="00D42EDA">
        <w:rPr>
          <w:i/>
          <w:iCs/>
          <w:lang w:val="en-US"/>
        </w:rPr>
        <w:t>nol</w:t>
      </w:r>
      <w:r w:rsidR="00BD7E0B" w:rsidRPr="00D42EDA">
        <w:rPr>
          <w:i/>
          <w:iCs/>
          <w:lang w:val="en-US"/>
        </w:rPr>
        <w:t>. Bioeng.</w:t>
      </w:r>
      <w:r w:rsidR="00BD7E0B" w:rsidRPr="00D42EDA">
        <w:rPr>
          <w:lang w:val="en-US"/>
        </w:rPr>
        <w:t>,</w:t>
      </w:r>
      <w:r w:rsidRPr="00D42EDA">
        <w:rPr>
          <w:lang w:val="en-US"/>
        </w:rPr>
        <w:t xml:space="preserve"> 114, 2057-2065.</w:t>
      </w:r>
    </w:p>
    <w:p w14:paraId="3F2DFDF2" w14:textId="77E20545" w:rsidR="00465992" w:rsidRPr="00465992" w:rsidRDefault="00465992" w:rsidP="00465992">
      <w:pPr>
        <w:pStyle w:val="Els-referenceno-number"/>
        <w:rPr>
          <w:lang w:val="en-US"/>
        </w:rPr>
      </w:pPr>
      <w:r w:rsidRPr="00D42EDA">
        <w:rPr>
          <w:lang w:val="en-US"/>
        </w:rPr>
        <w:t>J. H. Chon,</w:t>
      </w:r>
      <w:r w:rsidR="008F2398" w:rsidRPr="00D42EDA">
        <w:rPr>
          <w:lang w:val="en-US"/>
        </w:rPr>
        <w:t xml:space="preserve"> </w:t>
      </w:r>
      <w:r w:rsidRPr="00D42EDA">
        <w:rPr>
          <w:lang w:val="en-US"/>
        </w:rPr>
        <w:t xml:space="preserve">G. Zarbis-Papastoitsis. (2011). Advances in the production and downstream processing of antibodies. </w:t>
      </w:r>
      <w:r w:rsidRPr="00D42EDA">
        <w:rPr>
          <w:i/>
          <w:iCs/>
          <w:lang w:val="en-US"/>
        </w:rPr>
        <w:t xml:space="preserve">New </w:t>
      </w:r>
      <w:r w:rsidR="00BD7E0B" w:rsidRPr="00D42EDA">
        <w:rPr>
          <w:i/>
          <w:iCs/>
          <w:lang w:val="en-US"/>
        </w:rPr>
        <w:t>B</w:t>
      </w:r>
      <w:r w:rsidRPr="00D42EDA">
        <w:rPr>
          <w:i/>
          <w:iCs/>
          <w:lang w:val="en-US"/>
        </w:rPr>
        <w:t>iotech</w:t>
      </w:r>
      <w:r w:rsidR="00D42EDA" w:rsidRPr="00D42EDA">
        <w:rPr>
          <w:i/>
          <w:iCs/>
          <w:lang w:val="en-US"/>
        </w:rPr>
        <w:t>nol.</w:t>
      </w:r>
      <w:r w:rsidR="00BD7E0B">
        <w:rPr>
          <w:lang w:val="en-US"/>
        </w:rPr>
        <w:t>,</w:t>
      </w:r>
      <w:r w:rsidRPr="00465992">
        <w:rPr>
          <w:lang w:val="en-US"/>
        </w:rPr>
        <w:t xml:space="preserve"> 28, 458-463.</w:t>
      </w:r>
    </w:p>
    <w:p w14:paraId="6273F36B" w14:textId="5D1C165F" w:rsidR="00465992" w:rsidRPr="00D42EDA" w:rsidRDefault="00465992" w:rsidP="00465992">
      <w:pPr>
        <w:pStyle w:val="Els-referenceno-number"/>
        <w:rPr>
          <w:lang w:val="en-US"/>
        </w:rPr>
      </w:pPr>
      <w:r w:rsidRPr="00465992">
        <w:rPr>
          <w:lang w:val="en-US"/>
        </w:rPr>
        <w:t>M. DiLeo, A. Ley, A. E. Nixon,</w:t>
      </w:r>
      <w:r w:rsidR="008F2398">
        <w:rPr>
          <w:lang w:val="en-US"/>
        </w:rPr>
        <w:t xml:space="preserve"> </w:t>
      </w:r>
      <w:r w:rsidRPr="00465992">
        <w:rPr>
          <w:lang w:val="en-US"/>
        </w:rPr>
        <w:t xml:space="preserve">J. Chen. (2017). Choices of </w:t>
      </w:r>
      <w:r w:rsidRPr="00391752">
        <w:rPr>
          <w:lang w:val="en-US"/>
        </w:rPr>
        <w:t xml:space="preserve">capture chromatography technology in antibody manufacturing processes. </w:t>
      </w:r>
      <w:r w:rsidRPr="00391752">
        <w:rPr>
          <w:i/>
          <w:iCs/>
          <w:lang w:val="en-US"/>
        </w:rPr>
        <w:t>J</w:t>
      </w:r>
      <w:r w:rsidR="00BD7E0B" w:rsidRPr="00391752">
        <w:rPr>
          <w:i/>
          <w:iCs/>
          <w:lang w:val="en-US"/>
        </w:rPr>
        <w:t xml:space="preserve">. </w:t>
      </w:r>
      <w:r w:rsidRPr="00D42EDA">
        <w:rPr>
          <w:i/>
          <w:iCs/>
          <w:lang w:val="en-US"/>
        </w:rPr>
        <w:t>Chromatogr</w:t>
      </w:r>
      <w:r w:rsidR="00391752" w:rsidRPr="00D42EDA">
        <w:rPr>
          <w:i/>
          <w:iCs/>
          <w:lang w:val="en-US"/>
        </w:rPr>
        <w:t xml:space="preserve">. </w:t>
      </w:r>
      <w:r w:rsidRPr="00D42EDA">
        <w:rPr>
          <w:i/>
          <w:iCs/>
          <w:lang w:val="en-US"/>
        </w:rPr>
        <w:t>B</w:t>
      </w:r>
      <w:r w:rsidRPr="00D42EDA">
        <w:rPr>
          <w:lang w:val="en-US"/>
        </w:rPr>
        <w:t>, 1068, 136-148.</w:t>
      </w:r>
    </w:p>
    <w:p w14:paraId="154E4D27" w14:textId="6E2D6328" w:rsidR="00465992" w:rsidRPr="00D42EDA" w:rsidRDefault="00465992" w:rsidP="00465992">
      <w:pPr>
        <w:pStyle w:val="Els-referenceno-number"/>
        <w:rPr>
          <w:lang w:val="en-US"/>
        </w:rPr>
      </w:pPr>
      <w:r w:rsidRPr="00D42EDA">
        <w:rPr>
          <w:lang w:val="en-US"/>
        </w:rPr>
        <w:t>É. Kollár, B. Balázs, T. Tari,</w:t>
      </w:r>
      <w:r w:rsidR="008F2398" w:rsidRPr="00D42EDA">
        <w:rPr>
          <w:lang w:val="en-US"/>
        </w:rPr>
        <w:t xml:space="preserve"> </w:t>
      </w:r>
      <w:r w:rsidRPr="00D42EDA">
        <w:rPr>
          <w:lang w:val="en-US"/>
        </w:rPr>
        <w:t xml:space="preserve">I. Siró. (2020). Development challenges of high concentration monoclonal antibody formulations. </w:t>
      </w:r>
      <w:r w:rsidRPr="00D42EDA">
        <w:rPr>
          <w:i/>
          <w:iCs/>
          <w:lang w:val="en-US"/>
        </w:rPr>
        <w:t>Drug Disco</w:t>
      </w:r>
      <w:r w:rsidR="00D42EDA" w:rsidRPr="00D42EDA">
        <w:rPr>
          <w:i/>
          <w:iCs/>
          <w:lang w:val="en-US"/>
        </w:rPr>
        <w:t xml:space="preserve">v. </w:t>
      </w:r>
      <w:r w:rsidRPr="00D42EDA">
        <w:rPr>
          <w:i/>
          <w:iCs/>
          <w:lang w:val="en-US"/>
        </w:rPr>
        <w:t>Today: Technologies</w:t>
      </w:r>
      <w:r w:rsidRPr="00D42EDA">
        <w:rPr>
          <w:lang w:val="en-US"/>
        </w:rPr>
        <w:t>, 37, 31-40.</w:t>
      </w:r>
    </w:p>
    <w:p w14:paraId="77F29F9D" w14:textId="1C65B3B5" w:rsidR="00465992" w:rsidRPr="00465992" w:rsidRDefault="00465992" w:rsidP="00465992">
      <w:pPr>
        <w:pStyle w:val="Els-referenceno-number"/>
        <w:rPr>
          <w:lang w:val="en-US"/>
        </w:rPr>
      </w:pPr>
      <w:r w:rsidRPr="00D42EDA">
        <w:rPr>
          <w:lang w:val="en-US"/>
        </w:rPr>
        <w:t>T. Müller-Späth, G. Ströhlein, L. Aumann, H. Kornmann, P. Valax, L. Delegrange, E. Charbaut, G. Baer, A. Lamproye, &amp; M. Jöhnck. (2011). Model</w:t>
      </w:r>
      <w:r w:rsidRPr="00391752">
        <w:rPr>
          <w:lang w:val="en-US"/>
        </w:rPr>
        <w:t xml:space="preserve"> simulation and experimental verification of a cation-exchange IgG capture step in batch and continuous chromatography. </w:t>
      </w:r>
      <w:r w:rsidRPr="00391752">
        <w:rPr>
          <w:i/>
          <w:iCs/>
          <w:lang w:val="en-US"/>
        </w:rPr>
        <w:t>J</w:t>
      </w:r>
      <w:r w:rsidR="00BD7E0B" w:rsidRPr="00391752">
        <w:rPr>
          <w:i/>
          <w:iCs/>
          <w:lang w:val="en-US"/>
        </w:rPr>
        <w:t>.</w:t>
      </w:r>
      <w:r w:rsidRPr="00391752">
        <w:rPr>
          <w:i/>
          <w:iCs/>
          <w:lang w:val="en-US"/>
        </w:rPr>
        <w:t xml:space="preserve"> Chromatog</w:t>
      </w:r>
      <w:r w:rsidR="00391752" w:rsidRPr="00391752">
        <w:rPr>
          <w:i/>
          <w:iCs/>
          <w:lang w:val="en-US"/>
        </w:rPr>
        <w:t>r.</w:t>
      </w:r>
      <w:r w:rsidRPr="00391752">
        <w:rPr>
          <w:i/>
          <w:iCs/>
          <w:lang w:val="en-US"/>
        </w:rPr>
        <w:t xml:space="preserve"> A</w:t>
      </w:r>
      <w:r w:rsidRPr="00391752">
        <w:rPr>
          <w:lang w:val="en-US"/>
        </w:rPr>
        <w:t>, 1218, 5195-</w:t>
      </w:r>
      <w:r w:rsidRPr="00465992">
        <w:rPr>
          <w:lang w:val="en-US"/>
        </w:rPr>
        <w:t>5204.</w:t>
      </w:r>
    </w:p>
    <w:p w14:paraId="31E2510F" w14:textId="572DF9F0" w:rsidR="00465992" w:rsidRPr="00391752" w:rsidRDefault="00465992" w:rsidP="00465992">
      <w:pPr>
        <w:pStyle w:val="Els-referenceno-number"/>
        <w:rPr>
          <w:lang w:val="en-US"/>
        </w:rPr>
      </w:pPr>
      <w:r w:rsidRPr="00465992">
        <w:rPr>
          <w:lang w:val="en-US"/>
        </w:rPr>
        <w:t>A. S. Rathore, D. Kumar,</w:t>
      </w:r>
      <w:r w:rsidR="00BD7E0B">
        <w:rPr>
          <w:lang w:val="en-US"/>
        </w:rPr>
        <w:t xml:space="preserve">, </w:t>
      </w:r>
      <w:r w:rsidRPr="00465992">
        <w:rPr>
          <w:lang w:val="en-US"/>
        </w:rPr>
        <w:t>N. Kateja. (2018). Recent dev</w:t>
      </w:r>
      <w:r w:rsidRPr="00391752">
        <w:rPr>
          <w:lang w:val="en-US"/>
        </w:rPr>
        <w:t>elopments in chromatographic purification of biopharmaceuticals.</w:t>
      </w:r>
      <w:r w:rsidRPr="00391752">
        <w:rPr>
          <w:i/>
          <w:iCs/>
          <w:lang w:val="en-US"/>
        </w:rPr>
        <w:t xml:space="preserve"> Biotech</w:t>
      </w:r>
      <w:r w:rsidR="00391752" w:rsidRPr="00391752">
        <w:rPr>
          <w:i/>
          <w:iCs/>
          <w:lang w:val="en-US"/>
        </w:rPr>
        <w:t>nol</w:t>
      </w:r>
      <w:r w:rsidR="00BD7E0B" w:rsidRPr="00391752">
        <w:rPr>
          <w:i/>
          <w:iCs/>
          <w:lang w:val="en-US"/>
        </w:rPr>
        <w:t>.</w:t>
      </w:r>
      <w:r w:rsidRPr="00391752">
        <w:rPr>
          <w:i/>
          <w:iCs/>
          <w:lang w:val="en-US"/>
        </w:rPr>
        <w:t xml:space="preserve"> </w:t>
      </w:r>
      <w:r w:rsidR="00BD7E0B" w:rsidRPr="00391752">
        <w:rPr>
          <w:i/>
          <w:iCs/>
          <w:lang w:val="en-US"/>
        </w:rPr>
        <w:t>Le</w:t>
      </w:r>
      <w:r w:rsidRPr="00391752">
        <w:rPr>
          <w:i/>
          <w:iCs/>
          <w:lang w:val="en-US"/>
        </w:rPr>
        <w:t>tt</w:t>
      </w:r>
      <w:r w:rsidR="00391752" w:rsidRPr="00391752">
        <w:rPr>
          <w:i/>
          <w:iCs/>
          <w:lang w:val="en-US"/>
        </w:rPr>
        <w:t>.</w:t>
      </w:r>
      <w:r w:rsidRPr="00391752">
        <w:rPr>
          <w:lang w:val="en-US"/>
        </w:rPr>
        <w:t>,</w:t>
      </w:r>
      <w:r w:rsidRPr="00465992">
        <w:rPr>
          <w:lang w:val="en-US"/>
        </w:rPr>
        <w:t xml:space="preserve"> </w:t>
      </w:r>
      <w:r w:rsidRPr="00391752">
        <w:rPr>
          <w:lang w:val="en-US"/>
        </w:rPr>
        <w:t>40, 895-905.</w:t>
      </w:r>
    </w:p>
    <w:p w14:paraId="524C6C36" w14:textId="7F66C56F" w:rsidR="00465992" w:rsidRPr="00465992" w:rsidRDefault="00465992" w:rsidP="00465992">
      <w:pPr>
        <w:pStyle w:val="Els-referenceno-number"/>
        <w:rPr>
          <w:lang w:val="en-US"/>
        </w:rPr>
      </w:pPr>
      <w:r w:rsidRPr="00391752">
        <w:rPr>
          <w:lang w:val="en-US"/>
        </w:rPr>
        <w:t xml:space="preserve">D. Saleh, G. Wang, B. Müller, F. Rischawy, S. Kluters, J. Studts, &amp; J. Hubbuch. (2020). Straightforward method for calibration of mechanistic cation exchange chromatography models for industrial applications. </w:t>
      </w:r>
      <w:r w:rsidRPr="00391752">
        <w:rPr>
          <w:i/>
          <w:iCs/>
          <w:lang w:val="en-US"/>
        </w:rPr>
        <w:t>Biotech</w:t>
      </w:r>
      <w:r w:rsidR="00391752" w:rsidRPr="00391752">
        <w:rPr>
          <w:i/>
          <w:iCs/>
          <w:lang w:val="en-US"/>
        </w:rPr>
        <w:t>nol.</w:t>
      </w:r>
      <w:r w:rsidR="00BD7E0B" w:rsidRPr="00391752">
        <w:rPr>
          <w:i/>
          <w:iCs/>
          <w:lang w:val="en-US"/>
        </w:rPr>
        <w:t xml:space="preserve"> P</w:t>
      </w:r>
      <w:r w:rsidRPr="00391752">
        <w:rPr>
          <w:i/>
          <w:iCs/>
          <w:lang w:val="en-US"/>
        </w:rPr>
        <w:t>rogr</w:t>
      </w:r>
      <w:r w:rsidR="00391752" w:rsidRPr="00391752">
        <w:rPr>
          <w:i/>
          <w:iCs/>
          <w:lang w:val="en-US"/>
        </w:rPr>
        <w:t>.</w:t>
      </w:r>
      <w:r w:rsidRPr="00391752">
        <w:rPr>
          <w:lang w:val="en-US"/>
        </w:rPr>
        <w:t>,</w:t>
      </w:r>
      <w:r w:rsidRPr="00465992">
        <w:rPr>
          <w:lang w:val="en-US"/>
        </w:rPr>
        <w:t xml:space="preserve"> 36, e2984.</w:t>
      </w:r>
    </w:p>
    <w:p w14:paraId="58E0438F" w14:textId="735407C6" w:rsidR="00465992" w:rsidRPr="00465992" w:rsidRDefault="00465992" w:rsidP="00465992">
      <w:pPr>
        <w:pStyle w:val="Els-referenceno-number"/>
        <w:rPr>
          <w:lang w:val="en-US"/>
        </w:rPr>
      </w:pPr>
      <w:r w:rsidRPr="00465992">
        <w:rPr>
          <w:lang w:val="en-US"/>
        </w:rPr>
        <w:t>G. Thakur,</w:t>
      </w:r>
      <w:r w:rsidR="00BD7E0B">
        <w:rPr>
          <w:lang w:val="en-US"/>
        </w:rPr>
        <w:t xml:space="preserve"> </w:t>
      </w:r>
      <w:r w:rsidRPr="00465992">
        <w:rPr>
          <w:lang w:val="en-US"/>
        </w:rPr>
        <w:t>A.S. Rathore. (2021). Modelling and optimization of single-pass ta</w:t>
      </w:r>
      <w:r w:rsidRPr="00391752">
        <w:rPr>
          <w:lang w:val="en-US"/>
        </w:rPr>
        <w:t>ngential flow ultrafiltration for continuous manufacturing of m</w:t>
      </w:r>
      <w:r w:rsidR="0043319E" w:rsidRPr="00391752">
        <w:rPr>
          <w:lang w:val="en-US"/>
        </w:rPr>
        <w:t>Abs</w:t>
      </w:r>
      <w:r w:rsidRPr="00391752">
        <w:rPr>
          <w:lang w:val="en-US"/>
        </w:rPr>
        <w:t xml:space="preserve">. </w:t>
      </w:r>
      <w:r w:rsidRPr="00391752">
        <w:rPr>
          <w:i/>
          <w:iCs/>
          <w:lang w:val="en-US"/>
        </w:rPr>
        <w:t>Sep</w:t>
      </w:r>
      <w:r w:rsidR="00BD7E0B" w:rsidRPr="00391752">
        <w:rPr>
          <w:i/>
          <w:iCs/>
          <w:lang w:val="en-US"/>
        </w:rPr>
        <w:t>. Purif. Tech</w:t>
      </w:r>
      <w:r w:rsidR="00391752" w:rsidRPr="00391752">
        <w:rPr>
          <w:i/>
          <w:iCs/>
          <w:lang w:val="en-US"/>
        </w:rPr>
        <w:t>nol</w:t>
      </w:r>
      <w:r w:rsidR="00BD7E0B" w:rsidRPr="00391752">
        <w:rPr>
          <w:i/>
          <w:iCs/>
          <w:lang w:val="en-US"/>
        </w:rPr>
        <w:t>.</w:t>
      </w:r>
      <w:r w:rsidRPr="00391752">
        <w:rPr>
          <w:lang w:val="en-US"/>
        </w:rPr>
        <w:t>,</w:t>
      </w:r>
      <w:r w:rsidRPr="00465992">
        <w:rPr>
          <w:lang w:val="en-US"/>
        </w:rPr>
        <w:t xml:space="preserve"> 276, 119341.</w:t>
      </w:r>
    </w:p>
    <w:p w14:paraId="144DE6C3" w14:textId="55AA4495" w:rsidR="008D2649" w:rsidRDefault="00465992" w:rsidP="00465992">
      <w:pPr>
        <w:pStyle w:val="Els-referenceno-number"/>
        <w:rPr>
          <w:lang w:val="en-US"/>
        </w:rPr>
      </w:pPr>
      <w:r w:rsidRPr="00465992">
        <w:rPr>
          <w:lang w:val="en-US"/>
        </w:rPr>
        <w:t>X. Zhang, T. Chen, V. Li, T. Bo, M. Du,</w:t>
      </w:r>
      <w:r w:rsidR="00391752">
        <w:rPr>
          <w:lang w:val="en-US"/>
        </w:rPr>
        <w:t xml:space="preserve"> </w:t>
      </w:r>
      <w:r w:rsidRPr="00465992">
        <w:rPr>
          <w:lang w:val="en-US"/>
        </w:rPr>
        <w:t xml:space="preserve">T. Huang. (2023). Cutting-edge mass spectrometry strategy based on imaged capillary isoelectric focusing (icIEF) </w:t>
      </w:r>
      <w:r w:rsidRPr="00391752">
        <w:rPr>
          <w:lang w:val="en-US"/>
        </w:rPr>
        <w:t xml:space="preserve">technology for characterizing charge heterogeneity of monoclonal antibody. </w:t>
      </w:r>
      <w:r w:rsidRPr="00391752">
        <w:rPr>
          <w:i/>
          <w:iCs/>
          <w:lang w:val="en-US"/>
        </w:rPr>
        <w:t>Anal</w:t>
      </w:r>
      <w:r w:rsidR="00391752" w:rsidRPr="00391752">
        <w:rPr>
          <w:i/>
          <w:iCs/>
          <w:lang w:val="en-US"/>
        </w:rPr>
        <w:t xml:space="preserve">. </w:t>
      </w:r>
      <w:r w:rsidRPr="00391752">
        <w:rPr>
          <w:i/>
          <w:iCs/>
          <w:lang w:val="en-US"/>
        </w:rPr>
        <w:t>Biochem</w:t>
      </w:r>
      <w:r w:rsidR="00391752" w:rsidRPr="00391752">
        <w:rPr>
          <w:i/>
          <w:iCs/>
          <w:lang w:val="en-US"/>
        </w:rPr>
        <w:t>.</w:t>
      </w:r>
      <w:r w:rsidR="00391752" w:rsidRPr="00391752">
        <w:rPr>
          <w:lang w:val="en-US"/>
        </w:rPr>
        <w:t>,</w:t>
      </w:r>
      <w:r w:rsidRPr="00465992">
        <w:rPr>
          <w:lang w:val="en-US"/>
        </w:rPr>
        <w:t xml:space="preserve"> 660, 114961.</w:t>
      </w:r>
    </w:p>
    <w:sectPr w:rsidR="008D2649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E1FB" w14:textId="77777777" w:rsidR="008529AF" w:rsidRDefault="008529AF">
      <w:r>
        <w:separator/>
      </w:r>
    </w:p>
  </w:endnote>
  <w:endnote w:type="continuationSeparator" w:id="0">
    <w:p w14:paraId="61D20687" w14:textId="77777777" w:rsidR="008529AF" w:rsidRDefault="0085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8849" w14:textId="77777777" w:rsidR="008529AF" w:rsidRDefault="008529AF">
      <w:r>
        <w:separator/>
      </w:r>
    </w:p>
  </w:footnote>
  <w:footnote w:type="continuationSeparator" w:id="0">
    <w:p w14:paraId="250569F0" w14:textId="77777777" w:rsidR="008529AF" w:rsidRDefault="0085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BC424C5" w:rsidR="00823C48" w:rsidRDefault="00823C48" w:rsidP="006658A4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>
      <w:rPr>
        <w:i/>
      </w:rPr>
      <w:t>W. Jones</w:t>
    </w:r>
    <w:r w:rsidR="00052D3D">
      <w:rPr>
        <w:i/>
      </w:rPr>
      <w:t xml:space="preserve"> and D.I. Gerogiorgis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405CFD68" w:rsidR="00823C48" w:rsidRPr="00052D3D" w:rsidRDefault="00052D3D" w:rsidP="00052D3D">
    <w:pPr>
      <w:pStyle w:val="Header"/>
    </w:pPr>
    <w:r w:rsidRPr="00052D3D">
      <w:rPr>
        <w:bCs/>
        <w:i/>
      </w:rPr>
      <w:t>Dynamic simulation of integrated chromatography-ultrafiltration in mAb production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823C48" w:rsidRPr="003B50B5" w:rsidRDefault="00823C48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823C48" w:rsidRDefault="00823C48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03D14"/>
    <w:rsid w:val="000136F1"/>
    <w:rsid w:val="00034187"/>
    <w:rsid w:val="00036062"/>
    <w:rsid w:val="00052D3D"/>
    <w:rsid w:val="000779C1"/>
    <w:rsid w:val="000D12A9"/>
    <w:rsid w:val="000D3D9B"/>
    <w:rsid w:val="0010102F"/>
    <w:rsid w:val="001175AA"/>
    <w:rsid w:val="001433CC"/>
    <w:rsid w:val="001447D3"/>
    <w:rsid w:val="0016032F"/>
    <w:rsid w:val="001879F6"/>
    <w:rsid w:val="00194178"/>
    <w:rsid w:val="001B2110"/>
    <w:rsid w:val="001C0148"/>
    <w:rsid w:val="001C757E"/>
    <w:rsid w:val="0020390F"/>
    <w:rsid w:val="00222D87"/>
    <w:rsid w:val="00264926"/>
    <w:rsid w:val="002712BB"/>
    <w:rsid w:val="00273270"/>
    <w:rsid w:val="002B65A9"/>
    <w:rsid w:val="002C4F1C"/>
    <w:rsid w:val="002D2596"/>
    <w:rsid w:val="002E2ACB"/>
    <w:rsid w:val="0031619D"/>
    <w:rsid w:val="00386E6A"/>
    <w:rsid w:val="00391752"/>
    <w:rsid w:val="003A33ED"/>
    <w:rsid w:val="003C403A"/>
    <w:rsid w:val="003D1582"/>
    <w:rsid w:val="003D791B"/>
    <w:rsid w:val="003D7E4C"/>
    <w:rsid w:val="003E41C2"/>
    <w:rsid w:val="003F1248"/>
    <w:rsid w:val="0043319E"/>
    <w:rsid w:val="00465992"/>
    <w:rsid w:val="0049772C"/>
    <w:rsid w:val="004B4C55"/>
    <w:rsid w:val="004C7655"/>
    <w:rsid w:val="004E213C"/>
    <w:rsid w:val="004F0784"/>
    <w:rsid w:val="004F343D"/>
    <w:rsid w:val="005118ED"/>
    <w:rsid w:val="00552EEB"/>
    <w:rsid w:val="005819D7"/>
    <w:rsid w:val="005E1CD1"/>
    <w:rsid w:val="00612AAB"/>
    <w:rsid w:val="0063706A"/>
    <w:rsid w:val="006658A4"/>
    <w:rsid w:val="006A69BF"/>
    <w:rsid w:val="006B51F2"/>
    <w:rsid w:val="006D36D9"/>
    <w:rsid w:val="006E7AAC"/>
    <w:rsid w:val="006F4C93"/>
    <w:rsid w:val="00711DF4"/>
    <w:rsid w:val="00717385"/>
    <w:rsid w:val="00743940"/>
    <w:rsid w:val="00785617"/>
    <w:rsid w:val="007D70A1"/>
    <w:rsid w:val="00811B87"/>
    <w:rsid w:val="008132E8"/>
    <w:rsid w:val="00823407"/>
    <w:rsid w:val="00823C48"/>
    <w:rsid w:val="008414C1"/>
    <w:rsid w:val="008529AF"/>
    <w:rsid w:val="00855C4B"/>
    <w:rsid w:val="008B0184"/>
    <w:rsid w:val="008C5D02"/>
    <w:rsid w:val="008D2649"/>
    <w:rsid w:val="008E28DC"/>
    <w:rsid w:val="008F2398"/>
    <w:rsid w:val="00901EED"/>
    <w:rsid w:val="0090568D"/>
    <w:rsid w:val="00912444"/>
    <w:rsid w:val="009125C9"/>
    <w:rsid w:val="00913879"/>
    <w:rsid w:val="009140C3"/>
    <w:rsid w:val="0091557D"/>
    <w:rsid w:val="00917661"/>
    <w:rsid w:val="00927338"/>
    <w:rsid w:val="00937014"/>
    <w:rsid w:val="00970E5D"/>
    <w:rsid w:val="0097701C"/>
    <w:rsid w:val="00980A65"/>
    <w:rsid w:val="009825D1"/>
    <w:rsid w:val="00990EF0"/>
    <w:rsid w:val="009A6C07"/>
    <w:rsid w:val="009F722C"/>
    <w:rsid w:val="00A236D1"/>
    <w:rsid w:val="00A25E70"/>
    <w:rsid w:val="00A2630D"/>
    <w:rsid w:val="00A33765"/>
    <w:rsid w:val="00A4598B"/>
    <w:rsid w:val="00A63269"/>
    <w:rsid w:val="00A8611E"/>
    <w:rsid w:val="00A92377"/>
    <w:rsid w:val="00AB29ED"/>
    <w:rsid w:val="00AC3E21"/>
    <w:rsid w:val="00AD2251"/>
    <w:rsid w:val="00AE4BD8"/>
    <w:rsid w:val="00B4388F"/>
    <w:rsid w:val="00B5384F"/>
    <w:rsid w:val="00B63237"/>
    <w:rsid w:val="00BA5623"/>
    <w:rsid w:val="00BD7E0B"/>
    <w:rsid w:val="00C32D44"/>
    <w:rsid w:val="00C341D2"/>
    <w:rsid w:val="00C4532C"/>
    <w:rsid w:val="00C640FF"/>
    <w:rsid w:val="00C960DC"/>
    <w:rsid w:val="00CE36C3"/>
    <w:rsid w:val="00D02C75"/>
    <w:rsid w:val="00D10E22"/>
    <w:rsid w:val="00D13D2C"/>
    <w:rsid w:val="00D16E54"/>
    <w:rsid w:val="00D2202F"/>
    <w:rsid w:val="00D42EDA"/>
    <w:rsid w:val="00D43395"/>
    <w:rsid w:val="00D61EF9"/>
    <w:rsid w:val="00D707AA"/>
    <w:rsid w:val="00DB7C3D"/>
    <w:rsid w:val="00DC2F94"/>
    <w:rsid w:val="00DD1E1E"/>
    <w:rsid w:val="00DD3D9E"/>
    <w:rsid w:val="00DD7908"/>
    <w:rsid w:val="00DF7537"/>
    <w:rsid w:val="00E268B8"/>
    <w:rsid w:val="00E6378D"/>
    <w:rsid w:val="00E82297"/>
    <w:rsid w:val="00E8589E"/>
    <w:rsid w:val="00EA27A0"/>
    <w:rsid w:val="00EA33C3"/>
    <w:rsid w:val="00EB2CFE"/>
    <w:rsid w:val="00EC125A"/>
    <w:rsid w:val="00EF39FD"/>
    <w:rsid w:val="00F06842"/>
    <w:rsid w:val="00F107FD"/>
    <w:rsid w:val="00F20D90"/>
    <w:rsid w:val="00F56433"/>
    <w:rsid w:val="00F63C56"/>
    <w:rsid w:val="00F91987"/>
    <w:rsid w:val="00F92F73"/>
    <w:rsid w:val="00FA18BA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leGrid">
    <w:name w:val="Table Grid"/>
    <w:basedOn w:val="TableNormal"/>
    <w:rsid w:val="00D2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B74F-C146-4775-BA09-265BD130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148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Dimitrios Gerogiorgis</cp:lastModifiedBy>
  <cp:revision>29</cp:revision>
  <cp:lastPrinted>2023-10-17T11:38:00Z</cp:lastPrinted>
  <dcterms:created xsi:type="dcterms:W3CDTF">2023-10-17T11:51:00Z</dcterms:created>
  <dcterms:modified xsi:type="dcterms:W3CDTF">2024-01-21T11:59:00Z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