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913D2BD" w:rsidR="00DD3D9E" w:rsidRPr="00DE03F5" w:rsidRDefault="00C82B97" w:rsidP="0BDCBAF5">
      <w:pPr>
        <w:pBdr>
          <w:top w:val="nil"/>
          <w:left w:val="nil"/>
          <w:bottom w:val="nil"/>
          <w:right w:val="nil"/>
          <w:between w:val="nil"/>
        </w:pBdr>
        <w:spacing w:after="240"/>
        <w:rPr>
          <w:b/>
          <w:bCs/>
          <w:color w:val="000000"/>
          <w:sz w:val="32"/>
          <w:szCs w:val="32"/>
          <w:lang w:val="en-US"/>
        </w:rPr>
      </w:pPr>
      <w:r w:rsidRPr="00DE03F5">
        <w:rPr>
          <w:b/>
          <w:bCs/>
          <w:color w:val="000000" w:themeColor="text1"/>
          <w:sz w:val="32"/>
          <w:szCs w:val="32"/>
          <w:lang w:val="en-US"/>
        </w:rPr>
        <w:t xml:space="preserve">Using Mathematical Optimization for the Transition to </w:t>
      </w:r>
      <w:r w:rsidR="4BEE5AF0" w:rsidRPr="00DE03F5">
        <w:rPr>
          <w:b/>
          <w:bCs/>
          <w:color w:val="000000" w:themeColor="text1"/>
          <w:sz w:val="32"/>
          <w:szCs w:val="32"/>
          <w:lang w:val="en-US"/>
        </w:rPr>
        <w:t xml:space="preserve">Sustainable and </w:t>
      </w:r>
      <w:r w:rsidRPr="00DE03F5">
        <w:rPr>
          <w:b/>
          <w:bCs/>
          <w:color w:val="000000" w:themeColor="text1"/>
          <w:sz w:val="32"/>
          <w:szCs w:val="32"/>
          <w:lang w:val="en-US"/>
        </w:rPr>
        <w:t>Circular Agriculture</w:t>
      </w:r>
    </w:p>
    <w:p w14:paraId="63D4E6D9" w14:textId="46A9F806" w:rsidR="00C82B97" w:rsidRPr="00DE03F5" w:rsidRDefault="00C82B97" w:rsidP="00C82B97">
      <w:pPr>
        <w:keepNext/>
        <w:pBdr>
          <w:top w:val="nil"/>
          <w:left w:val="nil"/>
          <w:bottom w:val="nil"/>
          <w:right w:val="nil"/>
          <w:between w:val="nil"/>
        </w:pBdr>
        <w:spacing w:after="60" w:line="310" w:lineRule="auto"/>
        <w:rPr>
          <w:color w:val="000000"/>
          <w:sz w:val="22"/>
          <w:szCs w:val="22"/>
          <w:lang w:val="en-US"/>
        </w:rPr>
      </w:pPr>
      <w:r w:rsidRPr="00DE03F5">
        <w:rPr>
          <w:color w:val="000000"/>
          <w:sz w:val="22"/>
          <w:szCs w:val="22"/>
          <w:lang w:val="en-US"/>
        </w:rPr>
        <w:t xml:space="preserve">Jan </w:t>
      </w:r>
      <w:proofErr w:type="spellStart"/>
      <w:r w:rsidRPr="00DE03F5">
        <w:rPr>
          <w:color w:val="000000"/>
          <w:sz w:val="22"/>
          <w:szCs w:val="22"/>
          <w:lang w:val="en-US"/>
        </w:rPr>
        <w:t>Drofenik</w:t>
      </w:r>
      <w:r w:rsidRPr="00DE03F5">
        <w:rPr>
          <w:color w:val="000000"/>
          <w:sz w:val="22"/>
          <w:szCs w:val="22"/>
          <w:vertAlign w:val="superscript"/>
          <w:lang w:val="en-US"/>
        </w:rPr>
        <w:t>a</w:t>
      </w:r>
      <w:proofErr w:type="spellEnd"/>
      <w:r w:rsidRPr="00DE03F5">
        <w:rPr>
          <w:color w:val="000000"/>
          <w:sz w:val="22"/>
          <w:szCs w:val="22"/>
          <w:lang w:val="en-US"/>
        </w:rPr>
        <w:t xml:space="preserve">, Bojan </w:t>
      </w:r>
      <w:proofErr w:type="spellStart"/>
      <w:proofErr w:type="gramStart"/>
      <w:r w:rsidRPr="00DE03F5">
        <w:rPr>
          <w:color w:val="000000"/>
          <w:sz w:val="22"/>
          <w:szCs w:val="22"/>
          <w:lang w:val="en-US"/>
        </w:rPr>
        <w:t>Pahor</w:t>
      </w:r>
      <w:r w:rsidRPr="00DE03F5">
        <w:rPr>
          <w:color w:val="000000"/>
          <w:sz w:val="22"/>
          <w:szCs w:val="22"/>
          <w:vertAlign w:val="superscript"/>
          <w:lang w:val="en-US"/>
        </w:rPr>
        <w:t>b,a</w:t>
      </w:r>
      <w:proofErr w:type="spellEnd"/>
      <w:proofErr w:type="gramEnd"/>
      <w:r w:rsidRPr="00DE03F5">
        <w:rPr>
          <w:color w:val="000000"/>
          <w:sz w:val="22"/>
          <w:szCs w:val="22"/>
          <w:lang w:val="en-US"/>
        </w:rPr>
        <w:t xml:space="preserve">, Zdravko </w:t>
      </w:r>
      <w:proofErr w:type="spellStart"/>
      <w:r w:rsidRPr="00DE03F5">
        <w:rPr>
          <w:color w:val="000000"/>
          <w:sz w:val="22"/>
          <w:szCs w:val="22"/>
          <w:lang w:val="en-US"/>
        </w:rPr>
        <w:t>Kravanja</w:t>
      </w:r>
      <w:r w:rsidRPr="00DE03F5">
        <w:rPr>
          <w:color w:val="000000"/>
          <w:sz w:val="22"/>
          <w:szCs w:val="22"/>
          <w:vertAlign w:val="superscript"/>
          <w:lang w:val="en-US"/>
        </w:rPr>
        <w:t>a</w:t>
      </w:r>
      <w:proofErr w:type="spellEnd"/>
      <w:r w:rsidRPr="00DE03F5">
        <w:rPr>
          <w:color w:val="000000"/>
          <w:sz w:val="22"/>
          <w:szCs w:val="22"/>
          <w:lang w:val="en-US"/>
        </w:rPr>
        <w:t xml:space="preserve">, Zorka Novak </w:t>
      </w:r>
      <w:proofErr w:type="spellStart"/>
      <w:r w:rsidRPr="00DE03F5">
        <w:rPr>
          <w:color w:val="000000"/>
          <w:sz w:val="22"/>
          <w:szCs w:val="22"/>
          <w:lang w:val="en-US"/>
        </w:rPr>
        <w:t>Pintarič</w:t>
      </w:r>
      <w:r w:rsidRPr="00DE03F5">
        <w:rPr>
          <w:color w:val="000000"/>
          <w:sz w:val="22"/>
          <w:szCs w:val="22"/>
          <w:vertAlign w:val="superscript"/>
          <w:lang w:val="en-US"/>
        </w:rPr>
        <w:t>a</w:t>
      </w:r>
      <w:proofErr w:type="spellEnd"/>
      <w:r w:rsidR="000F7615" w:rsidRPr="00DE03F5">
        <w:rPr>
          <w:color w:val="000000"/>
          <w:sz w:val="22"/>
          <w:szCs w:val="22"/>
          <w:lang w:val="en-US"/>
        </w:rPr>
        <w:t>*</w:t>
      </w:r>
    </w:p>
    <w:p w14:paraId="4609252E" w14:textId="10844971" w:rsidR="00C82B97" w:rsidRPr="00DE03F5" w:rsidRDefault="00C82B97" w:rsidP="00335987">
      <w:pPr>
        <w:pStyle w:val="Affiliations"/>
        <w:rPr>
          <w:lang w:val="en-US"/>
        </w:rPr>
      </w:pPr>
      <w:proofErr w:type="spellStart"/>
      <w:r w:rsidRPr="00DE03F5">
        <w:rPr>
          <w:vertAlign w:val="superscript"/>
          <w:lang w:val="en-US"/>
        </w:rPr>
        <w:t>a</w:t>
      </w:r>
      <w:r w:rsidRPr="00DE03F5">
        <w:rPr>
          <w:lang w:val="en-US"/>
        </w:rPr>
        <w:t>University</w:t>
      </w:r>
      <w:proofErr w:type="spellEnd"/>
      <w:r w:rsidRPr="00DE03F5">
        <w:rPr>
          <w:lang w:val="en-US"/>
        </w:rPr>
        <w:t xml:space="preserve"> of Maribor, Faculty of Chemistry and Chemical Engineering, </w:t>
      </w:r>
      <w:proofErr w:type="spellStart"/>
      <w:r w:rsidRPr="00DE03F5">
        <w:rPr>
          <w:lang w:val="en-US"/>
        </w:rPr>
        <w:t>Smetanova</w:t>
      </w:r>
      <w:proofErr w:type="spellEnd"/>
      <w:r w:rsidRPr="00DE03F5">
        <w:rPr>
          <w:lang w:val="en-US"/>
        </w:rPr>
        <w:t xml:space="preserve"> 17, 2000 Maribor, Slovenia</w:t>
      </w:r>
    </w:p>
    <w:p w14:paraId="156F47BC" w14:textId="77777777" w:rsidR="00335987" w:rsidRPr="00DE03F5" w:rsidRDefault="00C82B97" w:rsidP="00335987">
      <w:pPr>
        <w:pStyle w:val="Affiliations"/>
        <w:rPr>
          <w:lang w:val="en-US"/>
        </w:rPr>
      </w:pPr>
      <w:r w:rsidRPr="00986AED">
        <w:rPr>
          <w:vertAlign w:val="superscript"/>
          <w:lang w:val="de-AT"/>
        </w:rPr>
        <w:t>b</w:t>
      </w:r>
      <w:r w:rsidRPr="00986AED">
        <w:rPr>
          <w:lang w:val="de-AT"/>
        </w:rPr>
        <w:t xml:space="preserve">Saubermacher Slovenija d.o.o., Sp. </w:t>
      </w:r>
      <w:proofErr w:type="spellStart"/>
      <w:r w:rsidRPr="00DE03F5">
        <w:rPr>
          <w:lang w:val="en-US"/>
        </w:rPr>
        <w:t>Porčič</w:t>
      </w:r>
      <w:proofErr w:type="spellEnd"/>
      <w:r w:rsidRPr="00DE03F5">
        <w:rPr>
          <w:lang w:val="en-US"/>
        </w:rPr>
        <w:t xml:space="preserve"> 4a, 2230 Lenart, Slovenia</w:t>
      </w:r>
    </w:p>
    <w:p w14:paraId="3AA76760" w14:textId="0B69BC1A" w:rsidR="00C82B97" w:rsidRPr="00DE03F5" w:rsidRDefault="001B2585" w:rsidP="00335987">
      <w:pPr>
        <w:pStyle w:val="Affiliations"/>
        <w:rPr>
          <w:lang w:val="en-US"/>
        </w:rPr>
      </w:pPr>
      <w:r w:rsidRPr="00DE03F5">
        <w:rPr>
          <w:lang w:val="en-US"/>
        </w:rPr>
        <w:t>*</w:t>
      </w:r>
      <w:r w:rsidR="00C82B97" w:rsidRPr="00DE03F5">
        <w:rPr>
          <w:lang w:val="en-US"/>
        </w:rPr>
        <w:t>zorka.novak@um.si</w:t>
      </w:r>
    </w:p>
    <w:p w14:paraId="144DE684" w14:textId="77777777" w:rsidR="008D2649" w:rsidRPr="00DE03F5" w:rsidRDefault="008D2649" w:rsidP="2C72A4CD">
      <w:pPr>
        <w:pStyle w:val="Els-Abstract"/>
        <w:rPr>
          <w:color w:val="000000" w:themeColor="text1"/>
        </w:rPr>
      </w:pPr>
      <w:r w:rsidRPr="00DE03F5">
        <w:rPr>
          <w:color w:val="000000" w:themeColor="text1"/>
        </w:rPr>
        <w:t>Abstract</w:t>
      </w:r>
    </w:p>
    <w:p w14:paraId="63DDAB9E" w14:textId="5416137D" w:rsidR="4FFD4217" w:rsidRPr="00DE03F5" w:rsidRDefault="4FFD4217" w:rsidP="58442380">
      <w:pPr>
        <w:spacing w:after="120"/>
        <w:rPr>
          <w:color w:val="1F1F1F"/>
          <w:lang w:val="en-US"/>
        </w:rPr>
      </w:pPr>
      <w:r w:rsidRPr="00DE03F5">
        <w:rPr>
          <w:color w:val="1F1F1F"/>
          <w:lang w:val="en-US"/>
        </w:rPr>
        <w:t>This paper introduces a novel index, the Agricultural Circularity and Sustainability (ACS) index, for evaluating the circular</w:t>
      </w:r>
      <w:r w:rsidR="3A1BF7F3" w:rsidRPr="00DE03F5">
        <w:rPr>
          <w:color w:val="1F1F1F"/>
          <w:lang w:val="en-US"/>
        </w:rPr>
        <w:t>ity</w:t>
      </w:r>
      <w:r w:rsidRPr="00DE03F5">
        <w:rPr>
          <w:color w:val="1F1F1F"/>
          <w:lang w:val="en-US"/>
        </w:rPr>
        <w:t xml:space="preserve"> and sustainability of agriculture. Implemented as a multi-criteria objective function within a MILP model of the food supply chain, the ACS index optimizes various measures for transition </w:t>
      </w:r>
      <w:r w:rsidR="4C0FEDB5" w:rsidRPr="00DE03F5">
        <w:rPr>
          <w:color w:val="1F1F1F"/>
          <w:lang w:val="en-US"/>
        </w:rPr>
        <w:t xml:space="preserve">of agriculture </w:t>
      </w:r>
      <w:r w:rsidRPr="00DE03F5">
        <w:rPr>
          <w:color w:val="1F1F1F"/>
          <w:lang w:val="en-US"/>
        </w:rPr>
        <w:t>to circular and sustainab</w:t>
      </w:r>
      <w:r w:rsidR="35F655BA" w:rsidRPr="00DE03F5">
        <w:rPr>
          <w:color w:val="1F1F1F"/>
          <w:lang w:val="en-US"/>
        </w:rPr>
        <w:t>le performance</w:t>
      </w:r>
      <w:r w:rsidRPr="00DE03F5">
        <w:rPr>
          <w:color w:val="1F1F1F"/>
          <w:lang w:val="en-US"/>
        </w:rPr>
        <w:t xml:space="preserve">. Inspired by the circularity index developed by </w:t>
      </w:r>
      <w:proofErr w:type="spellStart"/>
      <w:r w:rsidRPr="00DE03F5">
        <w:rPr>
          <w:color w:val="1F1F1F"/>
          <w:lang w:val="en-US"/>
        </w:rPr>
        <w:t>Baratsas</w:t>
      </w:r>
      <w:proofErr w:type="spellEnd"/>
      <w:r w:rsidRPr="00DE03F5">
        <w:rPr>
          <w:color w:val="1F1F1F"/>
          <w:lang w:val="en-US"/>
        </w:rPr>
        <w:t xml:space="preserve"> et al. (2022) for companies, the ACS index is tailored for agricultural applications. It assesses measures such as reducing artificial fertilizer use, food waste generation, and </w:t>
      </w:r>
      <w:r w:rsidR="00D50421" w:rsidRPr="00DE03F5">
        <w:rPr>
          <w:color w:val="1F1F1F"/>
          <w:lang w:val="en-US"/>
        </w:rPr>
        <w:t>a change of dietary habits</w:t>
      </w:r>
      <w:r w:rsidRPr="00DE03F5">
        <w:rPr>
          <w:color w:val="1F1F1F"/>
          <w:lang w:val="en-US"/>
        </w:rPr>
        <w:t>, while promoting organic farming, enhancing food production efficiency, and balancing the import and export of animal-origin food products. A case study for Slovenia demonstrates that implementing these measures would more than double the overall ACS index. The optimization model, equipped with the new ACS index, serves as a unique tool for systematically planning and implementing long-term measures to transform national agriculture towards a sustainable and circular economy.</w:t>
      </w:r>
    </w:p>
    <w:p w14:paraId="144DE687" w14:textId="2AD504FA" w:rsidR="008D2649" w:rsidRPr="00DE03F5" w:rsidRDefault="008D2649" w:rsidP="00FE2AAE">
      <w:pPr>
        <w:pStyle w:val="Els-body-text"/>
        <w:spacing w:after="120"/>
        <w:rPr>
          <w:color w:val="F79646" w:themeColor="accent6"/>
        </w:rPr>
      </w:pPr>
      <w:r w:rsidRPr="00DE03F5">
        <w:rPr>
          <w:b/>
          <w:bCs/>
          <w:color w:val="000000" w:themeColor="text1"/>
        </w:rPr>
        <w:t>Keywords</w:t>
      </w:r>
      <w:r w:rsidRPr="00DE03F5">
        <w:rPr>
          <w:color w:val="000000" w:themeColor="text1"/>
        </w:rPr>
        <w:t>:</w:t>
      </w:r>
      <w:r w:rsidRPr="00DE03F5">
        <w:rPr>
          <w:color w:val="F79646" w:themeColor="accent6"/>
        </w:rPr>
        <w:t xml:space="preserve"> </w:t>
      </w:r>
      <w:r w:rsidR="00FE2AAE" w:rsidRPr="00DE03F5">
        <w:rPr>
          <w:color w:val="000000" w:themeColor="text1"/>
        </w:rPr>
        <w:t>circular</w:t>
      </w:r>
      <w:r w:rsidR="7C028794" w:rsidRPr="00DE03F5">
        <w:rPr>
          <w:color w:val="000000" w:themeColor="text1"/>
        </w:rPr>
        <w:t>,</w:t>
      </w:r>
      <w:r w:rsidR="00FE2AAE" w:rsidRPr="00DE03F5">
        <w:rPr>
          <w:color w:val="000000" w:themeColor="text1"/>
        </w:rPr>
        <w:t xml:space="preserve"> </w:t>
      </w:r>
      <w:r w:rsidR="7C028794" w:rsidRPr="00DE03F5">
        <w:rPr>
          <w:color w:val="000000" w:themeColor="text1"/>
        </w:rPr>
        <w:t>sustainable,</w:t>
      </w:r>
      <w:r w:rsidR="00FE2AAE" w:rsidRPr="00DE03F5">
        <w:rPr>
          <w:color w:val="000000" w:themeColor="text1"/>
        </w:rPr>
        <w:t xml:space="preserve"> agriculture, food supply chain, MILP</w:t>
      </w:r>
      <w:r w:rsidR="0CD243F8" w:rsidRPr="00DE03F5">
        <w:rPr>
          <w:color w:val="000000" w:themeColor="text1"/>
        </w:rPr>
        <w:t xml:space="preserve"> optimization</w:t>
      </w:r>
    </w:p>
    <w:p w14:paraId="79877038" w14:textId="23564822" w:rsidR="00C036AD" w:rsidRPr="00DE03F5" w:rsidRDefault="1EA56128" w:rsidP="00FE66D9">
      <w:pPr>
        <w:pStyle w:val="Els-1storder-head"/>
        <w:rPr>
          <w:color w:val="000000" w:themeColor="text1"/>
        </w:rPr>
      </w:pPr>
      <w:r w:rsidRPr="00DE03F5">
        <w:rPr>
          <w:color w:val="000000" w:themeColor="text1"/>
        </w:rPr>
        <w:t>Introduction</w:t>
      </w:r>
    </w:p>
    <w:p w14:paraId="4B1EBF5D" w14:textId="7AF54138" w:rsidR="067BABFD" w:rsidRPr="00DE03F5" w:rsidRDefault="1E61382F" w:rsidP="072AC361">
      <w:pPr>
        <w:spacing w:line="259" w:lineRule="auto"/>
        <w:rPr>
          <w:color w:val="1F1F1F"/>
          <w:lang w:val="en-US"/>
        </w:rPr>
      </w:pPr>
      <w:r w:rsidRPr="00DE03F5">
        <w:rPr>
          <w:color w:val="1F1F1F"/>
          <w:lang w:val="en-US"/>
        </w:rPr>
        <w:t xml:space="preserve">Food production and the agricultural sector are of paramount strategic importance for every country and the </w:t>
      </w:r>
      <w:proofErr w:type="gramStart"/>
      <w:r w:rsidRPr="00DE03F5">
        <w:rPr>
          <w:color w:val="1F1F1F"/>
          <w:lang w:val="en-US"/>
        </w:rPr>
        <w:t>world as a whole, especially</w:t>
      </w:r>
      <w:proofErr w:type="gramEnd"/>
      <w:r w:rsidRPr="00DE03F5">
        <w:rPr>
          <w:color w:val="1F1F1F"/>
          <w:lang w:val="en-US"/>
        </w:rPr>
        <w:t xml:space="preserve"> in light of a growing population</w:t>
      </w:r>
      <w:r w:rsidR="00BA5E4D">
        <w:rPr>
          <w:color w:val="1F1F1F"/>
          <w:lang w:val="en-US"/>
        </w:rPr>
        <w:t xml:space="preserve"> and </w:t>
      </w:r>
      <w:r w:rsidR="00BA5E4D" w:rsidRPr="00BA5E4D">
        <w:rPr>
          <w:color w:val="1F1F1F"/>
        </w:rPr>
        <w:t>the increasing rate of climate change</w:t>
      </w:r>
      <w:r w:rsidRPr="00DE03F5">
        <w:rPr>
          <w:color w:val="1F1F1F"/>
          <w:lang w:val="en-US"/>
        </w:rPr>
        <w:t>. The current state of agriculture, however, raises significant environmental</w:t>
      </w:r>
      <w:r w:rsidR="6EE00765" w:rsidRPr="00DE03F5">
        <w:rPr>
          <w:color w:val="1F1F1F"/>
          <w:lang w:val="en-US"/>
        </w:rPr>
        <w:t xml:space="preserve"> and social </w:t>
      </w:r>
      <w:r w:rsidRPr="00DE03F5">
        <w:rPr>
          <w:color w:val="1F1F1F"/>
          <w:lang w:val="en-US"/>
        </w:rPr>
        <w:t xml:space="preserve">concerns. Agriculture is a major contributor to climate change, accounting for approximately 10.3% of the EU's greenhouse gas </w:t>
      </w:r>
      <w:r w:rsidR="551C7F7A" w:rsidRPr="00DE03F5">
        <w:rPr>
          <w:color w:val="1F1F1F"/>
          <w:lang w:val="en-US"/>
        </w:rPr>
        <w:t>(GHG)</w:t>
      </w:r>
      <w:r w:rsidRPr="00DE03F5">
        <w:rPr>
          <w:color w:val="1F1F1F"/>
          <w:lang w:val="en-US"/>
        </w:rPr>
        <w:t xml:space="preserve"> emissions (European Commission, 2020). Overuse of fertilizers and pesticides pollutes soils, watercourses, and groundwater. Excessive soil cultivation leads to erosion and fertility loss. Another issue in the food sector is the excessive consumption of animal protein, resulting in vast areas of arable land being used for animal feed</w:t>
      </w:r>
      <w:r w:rsidR="76FB9F80" w:rsidRPr="00DE03F5">
        <w:rPr>
          <w:color w:val="1F1F1F"/>
          <w:lang w:val="en-US"/>
        </w:rPr>
        <w:t>,</w:t>
      </w:r>
      <w:r w:rsidRPr="00DE03F5">
        <w:rPr>
          <w:color w:val="1F1F1F"/>
          <w:lang w:val="en-US"/>
        </w:rPr>
        <w:t xml:space="preserve"> and substantial food loss and waste (Circle Economy, 2020). Agriculture remains predominantly linear, necessitating a shift towards circularity to mitigate its environmental impact. A unified metric for quantitatively assessing agricultural circularity is yet to be adopted.</w:t>
      </w:r>
      <w:r w:rsidR="69D63CD2" w:rsidRPr="00DE03F5">
        <w:rPr>
          <w:color w:val="1F1F1F"/>
          <w:lang w:val="en-US"/>
        </w:rPr>
        <w:t xml:space="preserve"> </w:t>
      </w:r>
      <w:r w:rsidR="67E9D032" w:rsidRPr="00DE03F5">
        <w:rPr>
          <w:color w:val="1F1F1F"/>
          <w:lang w:val="en-US"/>
        </w:rPr>
        <w:t xml:space="preserve">Despite the absence of a standardized metric, the theoretical </w:t>
      </w:r>
      <w:proofErr w:type="gramStart"/>
      <w:r w:rsidR="67E9D032" w:rsidRPr="00DE03F5">
        <w:rPr>
          <w:color w:val="1F1F1F"/>
          <w:lang w:val="en-US"/>
        </w:rPr>
        <w:t>principles</w:t>
      </w:r>
      <w:proofErr w:type="gramEnd"/>
      <w:r w:rsidR="67E9D032" w:rsidRPr="00DE03F5">
        <w:rPr>
          <w:color w:val="1F1F1F"/>
          <w:lang w:val="en-US"/>
        </w:rPr>
        <w:t xml:space="preserve"> and </w:t>
      </w:r>
      <w:r w:rsidR="0031131D">
        <w:rPr>
          <w:color w:val="1F1F1F"/>
          <w:lang w:val="en-US"/>
        </w:rPr>
        <w:t>some</w:t>
      </w:r>
      <w:r w:rsidR="67E9D032" w:rsidRPr="00DE03F5">
        <w:rPr>
          <w:color w:val="1F1F1F"/>
          <w:lang w:val="en-US"/>
        </w:rPr>
        <w:t xml:space="preserve"> indicators for measuring agricultural circularity are established (Velasco-Muñoz et al., 2021). Circular agriculture adheres to the principle of maximizing resource efficiency, utilizing both raw materials and waste effectively (Circle Economy, 2020). This can be achieved through various measures, such as localizing livestock</w:t>
      </w:r>
      <w:r w:rsidR="0EE72502" w:rsidRPr="00DE03F5">
        <w:rPr>
          <w:color w:val="1F1F1F"/>
          <w:lang w:val="en-US"/>
        </w:rPr>
        <w:t xml:space="preserve">, </w:t>
      </w:r>
      <w:proofErr w:type="gramStart"/>
      <w:r w:rsidR="08808E9E" w:rsidRPr="00DE03F5">
        <w:rPr>
          <w:color w:val="1F1F1F"/>
          <w:lang w:val="en-US"/>
        </w:rPr>
        <w:t>feed</w:t>
      </w:r>
      <w:proofErr w:type="gramEnd"/>
      <w:r w:rsidR="5D78CAC2" w:rsidRPr="00DE03F5">
        <w:rPr>
          <w:color w:val="1F1F1F"/>
          <w:lang w:val="en-US"/>
        </w:rPr>
        <w:t xml:space="preserve"> and food</w:t>
      </w:r>
      <w:r w:rsidR="08808E9E" w:rsidRPr="00DE03F5">
        <w:rPr>
          <w:color w:val="1F1F1F"/>
          <w:lang w:val="en-US"/>
        </w:rPr>
        <w:t xml:space="preserve"> </w:t>
      </w:r>
      <w:r w:rsidR="67E9D032" w:rsidRPr="00DE03F5">
        <w:rPr>
          <w:color w:val="1F1F1F"/>
          <w:lang w:val="en-US"/>
        </w:rPr>
        <w:t xml:space="preserve">production, minimizing </w:t>
      </w:r>
      <w:r w:rsidR="67E9D032" w:rsidRPr="00DE03F5">
        <w:rPr>
          <w:color w:val="1F1F1F"/>
          <w:lang w:val="en-US"/>
        </w:rPr>
        <w:lastRenderedPageBreak/>
        <w:t xml:space="preserve">edible food waste and </w:t>
      </w:r>
      <w:r w:rsidR="327CEDC0" w:rsidRPr="00DE03F5">
        <w:rPr>
          <w:color w:val="1F1F1F"/>
          <w:lang w:val="en-US"/>
        </w:rPr>
        <w:t>GHG</w:t>
      </w:r>
      <w:r w:rsidR="67E9D032" w:rsidRPr="00DE03F5">
        <w:rPr>
          <w:color w:val="1F1F1F"/>
          <w:lang w:val="en-US"/>
        </w:rPr>
        <w:t xml:space="preserve"> emissions, optimizing bio-waste utilization within the chain (e.g., for animal feed) or bio-based products and fuels production (Circle Economy, 2020). Agricultural practices must incorporate the principles of regeneration, recycling, and minimization (</w:t>
      </w:r>
      <w:proofErr w:type="spellStart"/>
      <w:r w:rsidR="67E9D032" w:rsidRPr="00DE03F5">
        <w:rPr>
          <w:color w:val="1F1F1F"/>
          <w:lang w:val="en-US"/>
        </w:rPr>
        <w:t>Dagevos</w:t>
      </w:r>
      <w:proofErr w:type="spellEnd"/>
      <w:r w:rsidR="67E9D032" w:rsidRPr="00DE03F5">
        <w:rPr>
          <w:color w:val="1F1F1F"/>
          <w:lang w:val="en-US"/>
        </w:rPr>
        <w:t xml:space="preserve"> et al., 2021), such as composting</w:t>
      </w:r>
      <w:r w:rsidR="00D50421" w:rsidRPr="00DE03F5">
        <w:rPr>
          <w:color w:val="1F1F1F"/>
          <w:lang w:val="en-US"/>
        </w:rPr>
        <w:t xml:space="preserve"> and anaerobic</w:t>
      </w:r>
      <w:r w:rsidR="67E9D032" w:rsidRPr="00DE03F5">
        <w:rPr>
          <w:color w:val="1F1F1F"/>
          <w:lang w:val="en-US"/>
        </w:rPr>
        <w:t xml:space="preserve"> systems that reduce waste generation. Advanced production techniques also play a</w:t>
      </w:r>
      <w:r w:rsidR="00D50421" w:rsidRPr="00DE03F5">
        <w:rPr>
          <w:color w:val="1F1F1F"/>
          <w:lang w:val="en-US"/>
        </w:rPr>
        <w:t>n important</w:t>
      </w:r>
      <w:r w:rsidR="67E9D032" w:rsidRPr="00DE03F5">
        <w:rPr>
          <w:color w:val="1F1F1F"/>
          <w:lang w:val="en-US"/>
        </w:rPr>
        <w:t xml:space="preserve"> role, including conservation agriculture, precision agriculture utilizing drones and sensors, digitalization, and geographically adapted food production to address the ongoing negative impacts of global warming (Ali Chandio, 2023).</w:t>
      </w:r>
      <w:r w:rsidR="4FE8A501" w:rsidRPr="00DE03F5">
        <w:rPr>
          <w:color w:val="1F1F1F"/>
          <w:lang w:val="en-US"/>
        </w:rPr>
        <w:t xml:space="preserve"> The intricate nature of the food supply chain necessitates a systemic approach to developing effective measures that promote circular and sustainable agriculture. In our previous work, </w:t>
      </w:r>
      <w:r w:rsidR="0005186B" w:rsidRPr="00DE03F5">
        <w:rPr>
          <w:color w:val="1F1F1F"/>
          <w:lang w:val="en-US"/>
        </w:rPr>
        <w:t>a</w:t>
      </w:r>
      <w:r w:rsidR="4FE8A501" w:rsidRPr="00DE03F5">
        <w:rPr>
          <w:color w:val="1F1F1F"/>
          <w:lang w:val="en-US"/>
        </w:rPr>
        <w:t xml:space="preserve"> mixed-integer linear programming (MILP) model for optimizing arable land allocation to major food and feed crops</w:t>
      </w:r>
      <w:r w:rsidR="0005186B" w:rsidRPr="00DE03F5">
        <w:rPr>
          <w:color w:val="1F1F1F"/>
          <w:lang w:val="en-US"/>
        </w:rPr>
        <w:t xml:space="preserve"> was developed</w:t>
      </w:r>
      <w:r w:rsidR="4FE8A501" w:rsidRPr="00DE03F5">
        <w:rPr>
          <w:color w:val="1F1F1F"/>
          <w:lang w:val="en-US"/>
        </w:rPr>
        <w:t xml:space="preserve"> (Drofenik et al., 2023). This model helped identify key conflicts and synergies within the food supply chain. </w:t>
      </w:r>
      <w:r w:rsidR="3510A262" w:rsidRPr="00DE03F5">
        <w:rPr>
          <w:color w:val="1F1F1F"/>
          <w:lang w:val="en-US"/>
        </w:rPr>
        <w:t>The aim</w:t>
      </w:r>
      <w:r w:rsidR="067BABFD" w:rsidRPr="00DE03F5">
        <w:rPr>
          <w:color w:val="1F1F1F"/>
          <w:lang w:val="en-US"/>
        </w:rPr>
        <w:t xml:space="preserve"> of this study</w:t>
      </w:r>
      <w:r w:rsidR="3510A262" w:rsidRPr="00DE03F5">
        <w:rPr>
          <w:color w:val="1F1F1F"/>
          <w:lang w:val="en-US"/>
        </w:rPr>
        <w:t xml:space="preserve"> is to extend</w:t>
      </w:r>
      <w:r w:rsidR="067BABFD" w:rsidRPr="00DE03F5">
        <w:rPr>
          <w:color w:val="1F1F1F"/>
          <w:lang w:val="en-US"/>
        </w:rPr>
        <w:t xml:space="preserve"> previous work</w:t>
      </w:r>
      <w:r w:rsidR="3510A262" w:rsidRPr="00DE03F5">
        <w:rPr>
          <w:color w:val="1F1F1F"/>
          <w:lang w:val="en-US"/>
        </w:rPr>
        <w:t xml:space="preserve"> </w:t>
      </w:r>
      <w:proofErr w:type="gramStart"/>
      <w:r w:rsidR="3510A262" w:rsidRPr="00DE03F5">
        <w:rPr>
          <w:color w:val="1F1F1F"/>
          <w:lang w:val="en-US"/>
        </w:rPr>
        <w:t>by</w:t>
      </w:r>
      <w:r w:rsidR="4C3C406D" w:rsidRPr="00DE03F5">
        <w:rPr>
          <w:color w:val="1F1F1F"/>
          <w:lang w:val="en-US"/>
        </w:rPr>
        <w:t>:</w:t>
      </w:r>
      <w:proofErr w:type="gramEnd"/>
      <w:r w:rsidR="3CA9D11E" w:rsidRPr="00DE03F5">
        <w:rPr>
          <w:color w:val="1F1F1F"/>
          <w:lang w:val="en-US"/>
        </w:rPr>
        <w:t xml:space="preserve"> a)</w:t>
      </w:r>
      <w:r w:rsidR="067BABFD" w:rsidRPr="00DE03F5">
        <w:rPr>
          <w:color w:val="1F1F1F"/>
          <w:lang w:val="en-US"/>
        </w:rPr>
        <w:t xml:space="preserve"> </w:t>
      </w:r>
      <w:r w:rsidR="3510A262" w:rsidRPr="00DE03F5">
        <w:rPr>
          <w:color w:val="1F1F1F"/>
          <w:lang w:val="en-US"/>
        </w:rPr>
        <w:t>developing</w:t>
      </w:r>
      <w:r w:rsidR="067BABFD" w:rsidRPr="00DE03F5">
        <w:rPr>
          <w:color w:val="1F1F1F"/>
          <w:lang w:val="en-US"/>
        </w:rPr>
        <w:t xml:space="preserve"> a novel multi-criteria metric </w:t>
      </w:r>
      <w:r w:rsidR="3510A262" w:rsidRPr="00DE03F5">
        <w:rPr>
          <w:color w:val="1F1F1F"/>
          <w:lang w:val="en-US"/>
        </w:rPr>
        <w:t>to maximize</w:t>
      </w:r>
      <w:r w:rsidR="067BABFD" w:rsidRPr="00DE03F5">
        <w:rPr>
          <w:color w:val="1F1F1F"/>
          <w:lang w:val="en-US"/>
        </w:rPr>
        <w:t xml:space="preserve"> circularity </w:t>
      </w:r>
      <w:r w:rsidR="29A53910" w:rsidRPr="00DE03F5">
        <w:rPr>
          <w:color w:val="1F1F1F"/>
          <w:lang w:val="en-US"/>
        </w:rPr>
        <w:t>and sustainability</w:t>
      </w:r>
      <w:r w:rsidR="067BABFD" w:rsidRPr="00DE03F5">
        <w:rPr>
          <w:color w:val="1F1F1F"/>
          <w:lang w:val="en-US"/>
        </w:rPr>
        <w:t xml:space="preserve"> </w:t>
      </w:r>
      <w:r w:rsidR="001D664A">
        <w:rPr>
          <w:color w:val="1F1F1F"/>
          <w:lang w:val="en-US"/>
        </w:rPr>
        <w:t xml:space="preserve">of agriculture </w:t>
      </w:r>
      <w:r w:rsidR="067BABFD" w:rsidRPr="00DE03F5">
        <w:rPr>
          <w:color w:val="1F1F1F"/>
          <w:lang w:val="en-US"/>
        </w:rPr>
        <w:t xml:space="preserve">and </w:t>
      </w:r>
      <w:r w:rsidR="5F8F82F1" w:rsidRPr="00DE03F5">
        <w:rPr>
          <w:color w:val="1F1F1F"/>
          <w:lang w:val="en-US"/>
        </w:rPr>
        <w:t>b)</w:t>
      </w:r>
      <w:r w:rsidR="067BABFD" w:rsidRPr="00DE03F5">
        <w:rPr>
          <w:color w:val="1F1F1F"/>
          <w:lang w:val="en-US"/>
        </w:rPr>
        <w:t xml:space="preserve"> </w:t>
      </w:r>
      <w:r w:rsidR="3510A262" w:rsidRPr="00DE03F5">
        <w:rPr>
          <w:color w:val="1F1F1F"/>
          <w:lang w:val="en-US"/>
        </w:rPr>
        <w:t>assessing</w:t>
      </w:r>
      <w:r w:rsidR="067BABFD" w:rsidRPr="00DE03F5">
        <w:rPr>
          <w:color w:val="1F1F1F"/>
          <w:lang w:val="en-US"/>
        </w:rPr>
        <w:t xml:space="preserve"> the impact of </w:t>
      </w:r>
      <w:r w:rsidR="3510A262" w:rsidRPr="00DE03F5">
        <w:rPr>
          <w:color w:val="1F1F1F"/>
          <w:lang w:val="en-US"/>
        </w:rPr>
        <w:t>different</w:t>
      </w:r>
      <w:r w:rsidR="067BABFD" w:rsidRPr="00DE03F5">
        <w:rPr>
          <w:color w:val="1F1F1F"/>
          <w:lang w:val="en-US"/>
        </w:rPr>
        <w:t xml:space="preserve"> measures on </w:t>
      </w:r>
      <w:r w:rsidR="3510A262" w:rsidRPr="00DE03F5">
        <w:rPr>
          <w:color w:val="1F1F1F"/>
          <w:lang w:val="en-US"/>
        </w:rPr>
        <w:t>the</w:t>
      </w:r>
      <w:r w:rsidR="067BABFD" w:rsidRPr="00DE03F5">
        <w:rPr>
          <w:color w:val="1F1F1F"/>
          <w:lang w:val="en-US"/>
        </w:rPr>
        <w:t xml:space="preserve"> transition </w:t>
      </w:r>
      <w:r w:rsidR="3510A262" w:rsidRPr="00DE03F5">
        <w:rPr>
          <w:color w:val="1F1F1F"/>
          <w:lang w:val="en-US"/>
        </w:rPr>
        <w:t>of agriculture to</w:t>
      </w:r>
      <w:r w:rsidR="067BABFD" w:rsidRPr="00DE03F5">
        <w:rPr>
          <w:color w:val="1F1F1F"/>
          <w:lang w:val="en-US"/>
        </w:rPr>
        <w:t xml:space="preserve"> a circular economy.</w:t>
      </w:r>
    </w:p>
    <w:p w14:paraId="61A87C9D" w14:textId="315904DF" w:rsidR="00C036AD" w:rsidRPr="00DE03F5" w:rsidRDefault="1EA56128" w:rsidP="00C036AD">
      <w:pPr>
        <w:pStyle w:val="Els-1storder-head"/>
      </w:pPr>
      <w:r w:rsidRPr="00DE03F5">
        <w:t>Method</w:t>
      </w:r>
      <w:r w:rsidR="00267E4D" w:rsidRPr="00DE03F5">
        <w:t>ology</w:t>
      </w:r>
    </w:p>
    <w:p w14:paraId="144DE69A" w14:textId="0B892E21" w:rsidR="008D2649" w:rsidRPr="00DE03F5" w:rsidRDefault="1EA56128" w:rsidP="008D2649">
      <w:pPr>
        <w:pStyle w:val="Els-2ndorder-head"/>
        <w:rPr>
          <w:color w:val="000000" w:themeColor="text1"/>
        </w:rPr>
      </w:pPr>
      <w:r w:rsidRPr="00DE03F5">
        <w:rPr>
          <w:color w:val="000000" w:themeColor="text1"/>
        </w:rPr>
        <w:t>Basic mathematical model</w:t>
      </w:r>
    </w:p>
    <w:p w14:paraId="7E43AB44" w14:textId="280B4ED3" w:rsidR="5CB5D1C9" w:rsidRPr="00DE03F5" w:rsidRDefault="4950BEC1" w:rsidP="58442380">
      <w:pPr>
        <w:pStyle w:val="Els-body-text"/>
        <w:spacing w:line="259" w:lineRule="auto"/>
      </w:pPr>
      <w:r w:rsidRPr="00DE03F5">
        <w:rPr>
          <w:rFonts w:eastAsia="Segoe UI"/>
          <w:color w:val="000000" w:themeColor="text1"/>
        </w:rPr>
        <w:t>The basis of the present study is</w:t>
      </w:r>
      <w:r w:rsidR="5CB5D1C9" w:rsidRPr="00DE03F5">
        <w:rPr>
          <w:color w:val="1F1F1F"/>
        </w:rPr>
        <w:t xml:space="preserve"> the MILP model by Drofenik et al. (2023), encompassing primary food production, processing, distribution, consumption, and waste management</w:t>
      </w:r>
      <w:r w:rsidR="79444A55" w:rsidRPr="00DE03F5">
        <w:rPr>
          <w:color w:val="1F1F1F"/>
        </w:rPr>
        <w:t>. This model</w:t>
      </w:r>
      <w:r w:rsidR="5CB5D1C9" w:rsidRPr="00DE03F5">
        <w:rPr>
          <w:color w:val="1F1F1F"/>
        </w:rPr>
        <w:t xml:space="preserve"> </w:t>
      </w:r>
      <w:r w:rsidR="0F18D9A7" w:rsidRPr="00DE03F5">
        <w:rPr>
          <w:color w:val="1F1F1F"/>
        </w:rPr>
        <w:t>optimiz</w:t>
      </w:r>
      <w:r w:rsidR="5CB5D1C9" w:rsidRPr="00DE03F5">
        <w:rPr>
          <w:color w:val="1F1F1F"/>
        </w:rPr>
        <w:t>es</w:t>
      </w:r>
      <w:r w:rsidR="6E59110E" w:rsidRPr="00DE03F5">
        <w:rPr>
          <w:color w:val="1F1F1F"/>
        </w:rPr>
        <w:t xml:space="preserve"> distribution of</w:t>
      </w:r>
      <w:r w:rsidR="5CB5D1C9" w:rsidRPr="00DE03F5">
        <w:rPr>
          <w:color w:val="1F1F1F"/>
        </w:rPr>
        <w:t xml:space="preserve"> crop cultivation areas, crop yields, agricultural production types, livestock numbers, and various indicators such as </w:t>
      </w:r>
      <w:r w:rsidR="1B5AB6FB" w:rsidRPr="00DE03F5">
        <w:rPr>
          <w:color w:val="1F1F1F"/>
        </w:rPr>
        <w:t>GHG</w:t>
      </w:r>
      <w:r w:rsidR="5CB5D1C9" w:rsidRPr="00DE03F5">
        <w:rPr>
          <w:color w:val="1F1F1F"/>
        </w:rPr>
        <w:t xml:space="preserve"> emissions, fertilizer consumption, self-sufficiency rates, economic potential</w:t>
      </w:r>
      <w:r w:rsidR="6AADC1CB" w:rsidRPr="00DE03F5">
        <w:rPr>
          <w:color w:val="1F1F1F"/>
        </w:rPr>
        <w:t xml:space="preserve"> etc</w:t>
      </w:r>
      <w:r w:rsidR="5CB5D1C9" w:rsidRPr="00DE03F5">
        <w:rPr>
          <w:color w:val="1F1F1F"/>
        </w:rPr>
        <w:t xml:space="preserve">. The model's implementation was validated using a case study on the optimization of the entire food chain in Slovenia. This work </w:t>
      </w:r>
      <w:r w:rsidR="06F28CD0" w:rsidRPr="00DE03F5">
        <w:rPr>
          <w:color w:val="1F1F1F"/>
        </w:rPr>
        <w:t>i</w:t>
      </w:r>
      <w:r w:rsidR="5CB5D1C9" w:rsidRPr="00DE03F5">
        <w:rPr>
          <w:color w:val="1F1F1F"/>
        </w:rPr>
        <w:t>d</w:t>
      </w:r>
      <w:r w:rsidR="06F28CD0" w:rsidRPr="00DE03F5">
        <w:rPr>
          <w:color w:val="1F1F1F"/>
        </w:rPr>
        <w:t>entified</w:t>
      </w:r>
      <w:r w:rsidR="5CB5D1C9" w:rsidRPr="00DE03F5">
        <w:rPr>
          <w:color w:val="1F1F1F"/>
        </w:rPr>
        <w:t xml:space="preserve"> the crucial trade-offs and clearly demonstrated that food production decisions must prioritize food security and environmental protection beyond mere economic considerations.</w:t>
      </w:r>
    </w:p>
    <w:p w14:paraId="637328C6" w14:textId="34FA02DB" w:rsidR="006B4521" w:rsidRPr="00DE03F5" w:rsidRDefault="00FA2731" w:rsidP="008D2649">
      <w:pPr>
        <w:pStyle w:val="Els-2ndorder-head"/>
        <w:rPr>
          <w:color w:val="000000" w:themeColor="text1"/>
        </w:rPr>
      </w:pPr>
      <w:r w:rsidRPr="00DE03F5">
        <w:rPr>
          <w:color w:val="000000" w:themeColor="text1"/>
        </w:rPr>
        <w:t xml:space="preserve">Agriculture circularity and sustainability </w:t>
      </w:r>
      <w:r w:rsidR="00806B43" w:rsidRPr="00DE03F5">
        <w:rPr>
          <w:color w:val="000000" w:themeColor="text1"/>
        </w:rPr>
        <w:t>(ACS)</w:t>
      </w:r>
      <w:r w:rsidR="00806B43">
        <w:rPr>
          <w:color w:val="000000" w:themeColor="text1"/>
        </w:rPr>
        <w:t xml:space="preserve"> </w:t>
      </w:r>
      <w:r w:rsidRPr="00DE03F5">
        <w:rPr>
          <w:color w:val="000000" w:themeColor="text1"/>
        </w:rPr>
        <w:t>index</w:t>
      </w:r>
    </w:p>
    <w:p w14:paraId="769769AA" w14:textId="4FFF6CC1" w:rsidR="00BA5A64" w:rsidRPr="00DE03F5" w:rsidRDefault="0AFD4D10" w:rsidP="364B31AE">
      <w:pPr>
        <w:rPr>
          <w:color w:val="1F1F1F"/>
          <w:lang w:val="en-US"/>
        </w:rPr>
      </w:pPr>
      <w:r w:rsidRPr="00DE03F5">
        <w:rPr>
          <w:color w:val="1F1F1F"/>
          <w:lang w:val="en-US"/>
        </w:rPr>
        <w:t xml:space="preserve">To drive circular and sustainable solutions within the food supply chain, a novel Agricultural Circularity and Sustainability (ACS) index </w:t>
      </w:r>
      <w:r w:rsidR="16095FDF" w:rsidRPr="00DE03F5">
        <w:rPr>
          <w:color w:val="1F1F1F"/>
          <w:lang w:val="en-US"/>
        </w:rPr>
        <w:t>i</w:t>
      </w:r>
      <w:r w:rsidRPr="00DE03F5">
        <w:rPr>
          <w:color w:val="1F1F1F"/>
          <w:lang w:val="en-US"/>
        </w:rPr>
        <w:t>s developed and integrated into the mathematical model as a multi-objective function. Inspired by the MICRON system (</w:t>
      </w:r>
      <w:proofErr w:type="spellStart"/>
      <w:r w:rsidRPr="00DE03F5">
        <w:rPr>
          <w:color w:val="1F1F1F"/>
          <w:lang w:val="en-US"/>
        </w:rPr>
        <w:t>Baratsas</w:t>
      </w:r>
      <w:proofErr w:type="spellEnd"/>
      <w:r w:rsidRPr="00DE03F5">
        <w:rPr>
          <w:color w:val="1F1F1F"/>
          <w:lang w:val="en-US"/>
        </w:rPr>
        <w:t xml:space="preserve"> et al., 2022) initially designed for the industrial sector, the ACS index incorporates the three pillars of sustainable development (economy, society, and environment) as primary categories. Additionally, food losses and waste (FLW) were included as a separate category due to its significance in achieving the United Nations' (2015) goals and its detrimental impact on all sustainability aspects.</w:t>
      </w:r>
    </w:p>
    <w:p w14:paraId="6B8F7CB1" w14:textId="7A331CA7" w:rsidR="00387377" w:rsidRPr="00DE03F5" w:rsidRDefault="00420AAB" w:rsidP="58442380">
      <w:pPr>
        <w:rPr>
          <w:color w:val="1F1F1F"/>
          <w:lang w:val="en-US"/>
        </w:rPr>
      </w:pPr>
      <w:r w:rsidRPr="00DE03F5">
        <w:rPr>
          <w:color w:val="000000" w:themeColor="text1"/>
          <w:lang w:val="en-US"/>
        </w:rPr>
        <w:t xml:space="preserve">Table 1 </w:t>
      </w:r>
      <w:r w:rsidR="371A3443" w:rsidRPr="00DE03F5">
        <w:rPr>
          <w:color w:val="000000" w:themeColor="text1"/>
          <w:lang w:val="en-US"/>
        </w:rPr>
        <w:t xml:space="preserve">shows the </w:t>
      </w:r>
      <w:r w:rsidR="210F8485" w:rsidRPr="00DE03F5">
        <w:rPr>
          <w:color w:val="000000" w:themeColor="text1"/>
          <w:lang w:val="en-US"/>
        </w:rPr>
        <w:t>indicators of the principal categor</w:t>
      </w:r>
      <w:r w:rsidR="006153D2" w:rsidRPr="00DE03F5">
        <w:rPr>
          <w:color w:val="000000" w:themeColor="text1"/>
          <w:lang w:val="en-US"/>
        </w:rPr>
        <w:t>ies</w:t>
      </w:r>
      <w:r w:rsidR="210F8485" w:rsidRPr="00DE03F5">
        <w:rPr>
          <w:color w:val="000000" w:themeColor="text1"/>
          <w:lang w:val="en-US"/>
        </w:rPr>
        <w:t xml:space="preserve"> Economy</w:t>
      </w:r>
      <w:r w:rsidR="371A3443" w:rsidRPr="00DE03F5">
        <w:rPr>
          <w:color w:val="000000" w:themeColor="text1"/>
          <w:lang w:val="en-US"/>
        </w:rPr>
        <w:t>,</w:t>
      </w:r>
      <w:r w:rsidR="006153D2" w:rsidRPr="00DE03F5">
        <w:rPr>
          <w:color w:val="000000" w:themeColor="text1"/>
          <w:lang w:val="en-US"/>
        </w:rPr>
        <w:t xml:space="preserve"> Society, Environment and </w:t>
      </w:r>
      <w:r w:rsidR="00806B43">
        <w:rPr>
          <w:color w:val="000000" w:themeColor="text1"/>
          <w:lang w:val="en-US"/>
        </w:rPr>
        <w:t>FLW</w:t>
      </w:r>
      <w:r w:rsidR="006153D2" w:rsidRPr="00DE03F5">
        <w:rPr>
          <w:color w:val="000000" w:themeColor="text1"/>
          <w:lang w:val="en-US"/>
        </w:rPr>
        <w:t>.</w:t>
      </w:r>
      <w:r w:rsidR="00654073" w:rsidRPr="00DE03F5">
        <w:rPr>
          <w:color w:val="000000" w:themeColor="text1"/>
          <w:lang w:val="en-US"/>
        </w:rPr>
        <w:t xml:space="preserve"> </w:t>
      </w:r>
      <w:r w:rsidR="006153D2" w:rsidRPr="00DE03F5">
        <w:rPr>
          <w:color w:val="000000" w:themeColor="text1"/>
          <w:lang w:val="en-US"/>
        </w:rPr>
        <w:t xml:space="preserve">Economy indicators </w:t>
      </w:r>
      <w:r w:rsidR="00654073" w:rsidRPr="00DE03F5">
        <w:rPr>
          <w:color w:val="000000" w:themeColor="text1"/>
          <w:lang w:val="en-US"/>
        </w:rPr>
        <w:t xml:space="preserve">(econ) </w:t>
      </w:r>
      <w:r w:rsidR="006153D2" w:rsidRPr="00DE03F5">
        <w:rPr>
          <w:color w:val="000000" w:themeColor="text1"/>
          <w:lang w:val="en-US"/>
        </w:rPr>
        <w:t>are</w:t>
      </w:r>
      <w:r w:rsidR="371A3443" w:rsidRPr="00DE03F5">
        <w:rPr>
          <w:color w:val="000000" w:themeColor="text1"/>
          <w:lang w:val="en-US"/>
        </w:rPr>
        <w:t xml:space="preserve"> defined on the production side </w:t>
      </w:r>
      <w:r w:rsidR="00654073" w:rsidRPr="00DE03F5">
        <w:rPr>
          <w:color w:val="000000" w:themeColor="text1"/>
          <w:lang w:val="en-US"/>
        </w:rPr>
        <w:t xml:space="preserve">as </w:t>
      </w:r>
      <w:r w:rsidR="4D4D2D6B" w:rsidRPr="00DE03F5">
        <w:rPr>
          <w:color w:val="000000" w:themeColor="text1"/>
          <w:lang w:val="en-US"/>
        </w:rPr>
        <w:t xml:space="preserve">annual </w:t>
      </w:r>
      <w:r w:rsidR="00654073" w:rsidRPr="00DE03F5">
        <w:rPr>
          <w:color w:val="000000" w:themeColor="text1"/>
          <w:lang w:val="en-US"/>
        </w:rPr>
        <w:t>production costs and revenues</w:t>
      </w:r>
      <w:r w:rsidR="57BA911E" w:rsidRPr="00DE03F5">
        <w:rPr>
          <w:color w:val="000000" w:themeColor="text1"/>
          <w:lang w:val="en-US"/>
        </w:rPr>
        <w:t xml:space="preserve"> per capita</w:t>
      </w:r>
      <w:r w:rsidRPr="00DE03F5">
        <w:rPr>
          <w:color w:val="000000" w:themeColor="text1"/>
          <w:lang w:val="en-US"/>
        </w:rPr>
        <w:t>.</w:t>
      </w:r>
      <w:r w:rsidR="0122CCE2" w:rsidRPr="00DE03F5">
        <w:rPr>
          <w:color w:val="000000" w:themeColor="text1"/>
          <w:lang w:val="en-US"/>
        </w:rPr>
        <w:t xml:space="preserve"> </w:t>
      </w:r>
      <w:r w:rsidR="006153D2" w:rsidRPr="00DE03F5">
        <w:rPr>
          <w:color w:val="1F1F1F"/>
          <w:lang w:val="en-US"/>
        </w:rPr>
        <w:t>I</w:t>
      </w:r>
      <w:r w:rsidR="0122CCE2" w:rsidRPr="00DE03F5">
        <w:rPr>
          <w:color w:val="1F1F1F"/>
          <w:lang w:val="en-US"/>
        </w:rPr>
        <w:t>ndicators for the Society category</w:t>
      </w:r>
      <w:r w:rsidR="00654073" w:rsidRPr="00DE03F5">
        <w:rPr>
          <w:color w:val="1F1F1F"/>
          <w:lang w:val="en-US"/>
        </w:rPr>
        <w:t xml:space="preserve"> </w:t>
      </w:r>
      <w:r w:rsidR="00654073" w:rsidRPr="00DE03F5">
        <w:rPr>
          <w:color w:val="000000" w:themeColor="text1"/>
          <w:lang w:val="en-US"/>
        </w:rPr>
        <w:t xml:space="preserve">(soc) </w:t>
      </w:r>
      <w:proofErr w:type="gramStart"/>
      <w:r w:rsidR="00654073" w:rsidRPr="00DE03F5">
        <w:rPr>
          <w:color w:val="1F1F1F"/>
          <w:lang w:val="en-US"/>
        </w:rPr>
        <w:t>are</w:t>
      </w:r>
      <w:proofErr w:type="gramEnd"/>
      <w:r w:rsidR="0122CCE2" w:rsidRPr="00DE03F5">
        <w:rPr>
          <w:color w:val="1F1F1F"/>
          <w:lang w:val="en-US"/>
        </w:rPr>
        <w:t xml:space="preserve"> defined as modified self-sufficiency rates for Slovenia's seven most consumed food groups. The self-sufficiency rate for each food group (</w:t>
      </w:r>
      <w:proofErr w:type="spellStart"/>
      <w:r w:rsidR="0122CCE2" w:rsidRPr="00DE03F5">
        <w:rPr>
          <w:i/>
          <w:iCs/>
          <w:color w:val="000000" w:themeColor="text1"/>
          <w:lang w:val="en-US"/>
        </w:rPr>
        <w:t>SS</w:t>
      </w:r>
      <w:r w:rsidR="0122CCE2" w:rsidRPr="00DE03F5">
        <w:rPr>
          <w:i/>
          <w:iCs/>
          <w:color w:val="000000" w:themeColor="text1"/>
          <w:vertAlign w:val="subscript"/>
          <w:lang w:val="en-US"/>
        </w:rPr>
        <w:t>i</w:t>
      </w:r>
      <w:proofErr w:type="spellEnd"/>
      <w:r w:rsidR="0122CCE2" w:rsidRPr="00DE03F5">
        <w:rPr>
          <w:color w:val="1F1F1F"/>
          <w:lang w:val="en-US"/>
        </w:rPr>
        <w:t xml:space="preserve">) is </w:t>
      </w:r>
      <w:r w:rsidR="00585659">
        <w:rPr>
          <w:color w:val="1F1F1F"/>
          <w:lang w:val="en-US"/>
        </w:rPr>
        <w:t>reduced</w:t>
      </w:r>
      <w:r w:rsidR="0122CCE2" w:rsidRPr="00DE03F5">
        <w:rPr>
          <w:color w:val="1F1F1F"/>
          <w:lang w:val="en-US"/>
        </w:rPr>
        <w:t xml:space="preserve"> by the export-to-consumption ratio (Eq. 1), </w:t>
      </w:r>
      <w:r w:rsidR="00095E89">
        <w:rPr>
          <w:color w:val="1F1F1F"/>
          <w:lang w:val="en-US"/>
        </w:rPr>
        <w:t xml:space="preserve">thus </w:t>
      </w:r>
      <w:r w:rsidR="0122CCE2" w:rsidRPr="00DE03F5">
        <w:rPr>
          <w:color w:val="1F1F1F"/>
          <w:lang w:val="en-US"/>
        </w:rPr>
        <w:t xml:space="preserve">reflecting the </w:t>
      </w:r>
      <w:r w:rsidR="0054160F">
        <w:rPr>
          <w:color w:val="1F1F1F"/>
          <w:lang w:val="en-US"/>
        </w:rPr>
        <w:t>pro</w:t>
      </w:r>
      <w:r w:rsidR="0122CCE2" w:rsidRPr="00DE03F5">
        <w:rPr>
          <w:color w:val="1F1F1F"/>
          <w:lang w:val="en-US"/>
        </w:rPr>
        <w:t xml:space="preserve">portion of domestically produced food that is available for local consumption. </w:t>
      </w:r>
      <w:r w:rsidR="00A179FD" w:rsidRPr="00A179FD">
        <w:rPr>
          <w:color w:val="1F1F1F"/>
          <w:lang w:val="en-US"/>
        </w:rPr>
        <w:t>This modified indicator promotes local food production and thus corresponds to the objectives of this main category.</w:t>
      </w:r>
    </w:p>
    <w:tbl>
      <w:tblPr>
        <w:tblW w:w="7087" w:type="dxa"/>
        <w:tblLook w:val="04A0" w:firstRow="1" w:lastRow="0" w:firstColumn="1" w:lastColumn="0" w:noHBand="0" w:noVBand="1"/>
      </w:tblPr>
      <w:tblGrid>
        <w:gridCol w:w="6565"/>
        <w:gridCol w:w="522"/>
      </w:tblGrid>
      <w:tr w:rsidR="00654073" w:rsidRPr="00DE03F5" w14:paraId="628AE5EC" w14:textId="77777777" w:rsidTr="00710759">
        <w:tc>
          <w:tcPr>
            <w:tcW w:w="6565" w:type="dxa"/>
            <w:shd w:val="clear" w:color="auto" w:fill="auto"/>
            <w:vAlign w:val="center"/>
          </w:tcPr>
          <w:p w14:paraId="67EF1F7B" w14:textId="7B0FEDD9" w:rsidR="00654073" w:rsidRPr="00DE03F5" w:rsidRDefault="00EA4672" w:rsidP="00710759">
            <w:pPr>
              <w:pStyle w:val="Els-body-text"/>
              <w:spacing w:before="120" w:after="120" w:line="264" w:lineRule="auto"/>
              <w:rPr>
                <w:color w:val="F79646" w:themeColor="accent6"/>
              </w:rPr>
            </w:pPr>
            <w:r w:rsidRPr="00DE03F5">
              <w:rPr>
                <w:color w:val="F79646" w:themeColor="accent6"/>
                <w:position w:val="-26"/>
              </w:rPr>
              <w:object w:dxaOrig="6380" w:dyaOrig="620" w14:anchorId="257A8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pt;height:30.6pt" o:ole="">
                  <v:imagedata r:id="rId8" o:title=""/>
                </v:shape>
                <o:OLEObject Type="Embed" ProgID="Equation.DSMT4" ShapeID="_x0000_i1025" DrawAspect="Content" ObjectID="_1764606052" r:id="rId9"/>
              </w:object>
            </w:r>
          </w:p>
        </w:tc>
        <w:tc>
          <w:tcPr>
            <w:tcW w:w="522" w:type="dxa"/>
            <w:shd w:val="clear" w:color="auto" w:fill="auto"/>
            <w:vAlign w:val="center"/>
          </w:tcPr>
          <w:p w14:paraId="5B979DBB" w14:textId="77777777" w:rsidR="00654073" w:rsidRPr="00DE03F5" w:rsidRDefault="00654073" w:rsidP="00710759">
            <w:pPr>
              <w:pStyle w:val="Els-body-text"/>
              <w:spacing w:before="120" w:after="120" w:line="264" w:lineRule="auto"/>
              <w:jc w:val="right"/>
              <w:rPr>
                <w:color w:val="F79646" w:themeColor="accent6"/>
              </w:rPr>
            </w:pPr>
            <w:r w:rsidRPr="00DE03F5">
              <w:rPr>
                <w:color w:val="000000" w:themeColor="text1"/>
              </w:rPr>
              <w:t>(1)</w:t>
            </w:r>
          </w:p>
        </w:tc>
      </w:tr>
    </w:tbl>
    <w:p w14:paraId="6E05C67D" w14:textId="6421B776" w:rsidR="00654073" w:rsidRPr="00DE03F5" w:rsidRDefault="00654073" w:rsidP="00654073">
      <w:pPr>
        <w:rPr>
          <w:lang w:val="en-US"/>
        </w:rPr>
      </w:pPr>
      <w:r w:rsidRPr="00DE03F5">
        <w:rPr>
          <w:color w:val="1F1F1F"/>
          <w:lang w:val="en-US"/>
        </w:rPr>
        <w:t>The first three indicators of Environment principal category</w:t>
      </w:r>
      <w:r w:rsidR="00353556" w:rsidRPr="00DE03F5">
        <w:rPr>
          <w:color w:val="1F1F1F"/>
          <w:lang w:val="en-US"/>
        </w:rPr>
        <w:t xml:space="preserve"> </w:t>
      </w:r>
      <w:r w:rsidR="00353556" w:rsidRPr="00DE03F5">
        <w:rPr>
          <w:color w:val="000000" w:themeColor="text1"/>
          <w:lang w:val="en-US"/>
        </w:rPr>
        <w:t>(env)</w:t>
      </w:r>
      <w:r w:rsidRPr="00DE03F5">
        <w:rPr>
          <w:color w:val="1F1F1F"/>
          <w:lang w:val="en-US"/>
        </w:rPr>
        <w:t xml:space="preserve">, focusing on GHG emissions, mineral fertilizers, and organic farming, align with the objectives of the Farm to Fork Strategy (European Commission, 2020). Our previous research (Drofenik et al., 2023) revealed that minimizing agriculture's environmental impact could lead to increased food imports, potentially causing carbon leakage. Therefore, indicators for annual food and feed imports (env4) and exports (env5) were incorporated to mitigate cross-border environmental impact transfers. </w:t>
      </w:r>
      <w:r w:rsidRPr="00DE03F5">
        <w:rPr>
          <w:lang w:val="en-US"/>
        </w:rPr>
        <w:t>The indicators of the category F</w:t>
      </w:r>
      <w:r w:rsidR="00353556" w:rsidRPr="00DE03F5">
        <w:rPr>
          <w:lang w:val="en-US"/>
        </w:rPr>
        <w:t>ood loss and waste (</w:t>
      </w:r>
      <w:r w:rsidR="00C54BE6" w:rsidRPr="00DE03F5">
        <w:rPr>
          <w:lang w:val="en-US"/>
        </w:rPr>
        <w:t>FLW</w:t>
      </w:r>
      <w:r w:rsidR="00353556" w:rsidRPr="00DE03F5">
        <w:rPr>
          <w:lang w:val="en-US"/>
        </w:rPr>
        <w:t xml:space="preserve">) </w:t>
      </w:r>
      <w:r w:rsidRPr="00DE03F5">
        <w:rPr>
          <w:lang w:val="en-US"/>
        </w:rPr>
        <w:t xml:space="preserve">are the amount of total and edible food waste. Edible food waste is given a special indicator as it can be directly influenced by encouraging residents to handle food more responsibly, while the amount of inedible food waste is very difficult to reduce. </w:t>
      </w:r>
    </w:p>
    <w:p w14:paraId="5EBBC8CE" w14:textId="07BA1ABF" w:rsidR="006153D2" w:rsidRPr="00DE03F5" w:rsidRDefault="00654073" w:rsidP="58442380">
      <w:pPr>
        <w:spacing w:line="259" w:lineRule="auto"/>
        <w:rPr>
          <w:lang w:val="en-US"/>
        </w:rPr>
      </w:pPr>
      <w:r w:rsidRPr="00DE03F5">
        <w:rPr>
          <w:lang w:val="en-US"/>
        </w:rPr>
        <w:t xml:space="preserve">Table </w:t>
      </w:r>
      <w:r w:rsidR="00D6437B" w:rsidRPr="00DE03F5">
        <w:rPr>
          <w:lang w:val="en-US"/>
        </w:rPr>
        <w:fldChar w:fldCharType="begin"/>
      </w:r>
      <w:r w:rsidR="00D6437B" w:rsidRPr="00DE03F5">
        <w:rPr>
          <w:lang w:val="en-US"/>
        </w:rPr>
        <w:instrText xml:space="preserve"> SEQ Table \* ARABIC </w:instrText>
      </w:r>
      <w:r w:rsidR="00D6437B" w:rsidRPr="00DE03F5">
        <w:rPr>
          <w:lang w:val="en-US"/>
        </w:rPr>
        <w:fldChar w:fldCharType="separate"/>
      </w:r>
      <w:r w:rsidRPr="00DE03F5">
        <w:rPr>
          <w:noProof/>
          <w:lang w:val="en-US"/>
        </w:rPr>
        <w:t>1</w:t>
      </w:r>
      <w:r w:rsidR="00D6437B" w:rsidRPr="00DE03F5">
        <w:rPr>
          <w:noProof/>
          <w:lang w:val="en-US"/>
        </w:rPr>
        <w:fldChar w:fldCharType="end"/>
      </w:r>
      <w:r w:rsidRPr="00DE03F5">
        <w:rPr>
          <w:lang w:val="en-US"/>
        </w:rPr>
        <w:t>: Indicators of principal categories</w:t>
      </w:r>
    </w:p>
    <w:tbl>
      <w:tblPr>
        <w:tblStyle w:val="TableGrid"/>
        <w:tblW w:w="5001" w:type="pct"/>
        <w:tblLook w:val="04A0" w:firstRow="1" w:lastRow="0" w:firstColumn="1" w:lastColumn="0" w:noHBand="0" w:noVBand="1"/>
      </w:tblPr>
      <w:tblGrid>
        <w:gridCol w:w="846"/>
        <w:gridCol w:w="3260"/>
        <w:gridCol w:w="992"/>
        <w:gridCol w:w="1979"/>
      </w:tblGrid>
      <w:tr w:rsidR="006153D2" w:rsidRPr="00DE03F5" w14:paraId="56AEBC0F" w14:textId="77777777" w:rsidTr="00654073">
        <w:trPr>
          <w:trHeight w:val="306"/>
        </w:trPr>
        <w:tc>
          <w:tcPr>
            <w:tcW w:w="598" w:type="pct"/>
          </w:tcPr>
          <w:p w14:paraId="5A19AEBA" w14:textId="77777777" w:rsidR="006153D2" w:rsidRPr="00DE03F5" w:rsidRDefault="006153D2" w:rsidP="00710759">
            <w:pPr>
              <w:pStyle w:val="Tabela-besedilo"/>
              <w:rPr>
                <w:lang w:val="en-US"/>
              </w:rPr>
            </w:pPr>
            <w:r w:rsidRPr="00DE03F5">
              <w:rPr>
                <w:lang w:val="en-US"/>
              </w:rPr>
              <w:t>Metric</w:t>
            </w:r>
          </w:p>
        </w:tc>
        <w:tc>
          <w:tcPr>
            <w:tcW w:w="2303" w:type="pct"/>
          </w:tcPr>
          <w:p w14:paraId="2651055D" w14:textId="77777777" w:rsidR="006153D2" w:rsidRPr="00DE03F5" w:rsidRDefault="006153D2" w:rsidP="00710759">
            <w:pPr>
              <w:pStyle w:val="Tabela-besedilo"/>
              <w:rPr>
                <w:lang w:val="en-US"/>
              </w:rPr>
            </w:pPr>
            <w:r w:rsidRPr="00DE03F5">
              <w:rPr>
                <w:lang w:val="en-US"/>
              </w:rPr>
              <w:t>Indicator</w:t>
            </w:r>
          </w:p>
        </w:tc>
        <w:tc>
          <w:tcPr>
            <w:tcW w:w="701" w:type="pct"/>
          </w:tcPr>
          <w:p w14:paraId="0D479AED" w14:textId="77777777" w:rsidR="006153D2" w:rsidRPr="00DE03F5" w:rsidRDefault="006153D2" w:rsidP="00710759">
            <w:pPr>
              <w:pStyle w:val="Tabela-besedilo"/>
              <w:rPr>
                <w:lang w:val="en-US"/>
              </w:rPr>
            </w:pPr>
            <w:r w:rsidRPr="00DE03F5">
              <w:rPr>
                <w:lang w:val="en-US"/>
              </w:rPr>
              <w:t>Unit</w:t>
            </w:r>
          </w:p>
        </w:tc>
        <w:tc>
          <w:tcPr>
            <w:tcW w:w="1398" w:type="pct"/>
          </w:tcPr>
          <w:p w14:paraId="0F0F3D48" w14:textId="77777777" w:rsidR="006153D2" w:rsidRPr="00DE03F5" w:rsidRDefault="006153D2" w:rsidP="00710759">
            <w:pPr>
              <w:pStyle w:val="Tabela-besedilo"/>
              <w:rPr>
                <w:lang w:val="en-US"/>
              </w:rPr>
            </w:pPr>
            <w:r w:rsidRPr="00DE03F5">
              <w:rPr>
                <w:lang w:val="en-US"/>
              </w:rPr>
              <w:t>Formula used</w:t>
            </w:r>
          </w:p>
        </w:tc>
      </w:tr>
      <w:tr w:rsidR="006153D2" w:rsidRPr="00DE03F5" w14:paraId="25C5F03A" w14:textId="77777777" w:rsidTr="00654073">
        <w:tc>
          <w:tcPr>
            <w:tcW w:w="598" w:type="pct"/>
            <w:vAlign w:val="center"/>
          </w:tcPr>
          <w:p w14:paraId="0871818A" w14:textId="77777777" w:rsidR="006153D2" w:rsidRPr="00DE03F5" w:rsidRDefault="006153D2" w:rsidP="006153D2">
            <w:pPr>
              <w:pStyle w:val="Tabela-besedilo"/>
              <w:jc w:val="left"/>
              <w:rPr>
                <w:lang w:val="en-US"/>
              </w:rPr>
            </w:pPr>
            <w:r w:rsidRPr="00DE03F5">
              <w:rPr>
                <w:lang w:val="en-US"/>
              </w:rPr>
              <w:t>econ1</w:t>
            </w:r>
          </w:p>
        </w:tc>
        <w:tc>
          <w:tcPr>
            <w:tcW w:w="2303" w:type="pct"/>
            <w:vAlign w:val="center"/>
          </w:tcPr>
          <w:p w14:paraId="058348CD" w14:textId="77777777" w:rsidR="006153D2" w:rsidRPr="00DE03F5" w:rsidRDefault="006153D2" w:rsidP="006153D2">
            <w:pPr>
              <w:pStyle w:val="Tabela-besedilo"/>
              <w:jc w:val="left"/>
              <w:rPr>
                <w:lang w:val="en-US"/>
              </w:rPr>
            </w:pPr>
            <w:r w:rsidRPr="00DE03F5">
              <w:rPr>
                <w:lang w:val="en-US"/>
              </w:rPr>
              <w:t>Production costs per capita</w:t>
            </w:r>
          </w:p>
        </w:tc>
        <w:tc>
          <w:tcPr>
            <w:tcW w:w="701" w:type="pct"/>
            <w:vAlign w:val="center"/>
          </w:tcPr>
          <w:p w14:paraId="188CA6C2" w14:textId="77777777" w:rsidR="006153D2" w:rsidRPr="00DE03F5" w:rsidRDefault="006153D2" w:rsidP="006153D2">
            <w:pPr>
              <w:pStyle w:val="Tabela-besedilo"/>
              <w:jc w:val="left"/>
              <w:rPr>
                <w:lang w:val="en-US"/>
              </w:rPr>
            </w:pPr>
            <w:r w:rsidRPr="00DE03F5">
              <w:rPr>
                <w:lang w:val="en-US"/>
              </w:rPr>
              <w:t>EUR/y</w:t>
            </w:r>
          </w:p>
        </w:tc>
        <w:tc>
          <w:tcPr>
            <w:tcW w:w="1398" w:type="pct"/>
            <w:vAlign w:val="center"/>
          </w:tcPr>
          <w:p w14:paraId="66E6227D" w14:textId="77777777" w:rsidR="006153D2" w:rsidRPr="00DE03F5" w:rsidRDefault="006153D2" w:rsidP="006153D2">
            <w:pPr>
              <w:pStyle w:val="Tabela-besedilo"/>
              <w:jc w:val="left"/>
              <w:rPr>
                <w:lang w:val="en-US"/>
              </w:rPr>
            </w:pPr>
            <w:r w:rsidRPr="00DE03F5">
              <w:rPr>
                <w:lang w:val="en-US"/>
              </w:rPr>
              <w:t>100∙(1-norm[econ1])</w:t>
            </w:r>
          </w:p>
        </w:tc>
      </w:tr>
      <w:tr w:rsidR="006153D2" w:rsidRPr="00DE03F5" w14:paraId="3C01B8E9" w14:textId="77777777" w:rsidTr="00654073">
        <w:tc>
          <w:tcPr>
            <w:tcW w:w="598" w:type="pct"/>
            <w:vAlign w:val="center"/>
          </w:tcPr>
          <w:p w14:paraId="359D9A3E" w14:textId="77777777" w:rsidR="006153D2" w:rsidRPr="00DE03F5" w:rsidRDefault="006153D2" w:rsidP="006153D2">
            <w:pPr>
              <w:pStyle w:val="Tabela-besedilo"/>
              <w:jc w:val="left"/>
              <w:rPr>
                <w:lang w:val="en-US"/>
              </w:rPr>
            </w:pPr>
            <w:r w:rsidRPr="00DE03F5">
              <w:rPr>
                <w:lang w:val="en-US"/>
              </w:rPr>
              <w:t>econ2</w:t>
            </w:r>
          </w:p>
        </w:tc>
        <w:tc>
          <w:tcPr>
            <w:tcW w:w="2303" w:type="pct"/>
            <w:vAlign w:val="center"/>
          </w:tcPr>
          <w:p w14:paraId="7A3306B3" w14:textId="77777777" w:rsidR="006153D2" w:rsidRPr="00DE03F5" w:rsidRDefault="006153D2" w:rsidP="006153D2">
            <w:pPr>
              <w:pStyle w:val="Tabela-besedilo"/>
              <w:jc w:val="left"/>
              <w:rPr>
                <w:lang w:val="en-US"/>
              </w:rPr>
            </w:pPr>
            <w:r w:rsidRPr="00DE03F5">
              <w:rPr>
                <w:lang w:val="en-US"/>
              </w:rPr>
              <w:t>Production revenue per capita</w:t>
            </w:r>
          </w:p>
        </w:tc>
        <w:tc>
          <w:tcPr>
            <w:tcW w:w="701" w:type="pct"/>
            <w:vAlign w:val="center"/>
          </w:tcPr>
          <w:p w14:paraId="1294FA7D" w14:textId="77777777" w:rsidR="006153D2" w:rsidRPr="00DE03F5" w:rsidRDefault="006153D2" w:rsidP="006153D2">
            <w:pPr>
              <w:pStyle w:val="Tabela-besedilo"/>
              <w:jc w:val="left"/>
              <w:rPr>
                <w:lang w:val="en-US"/>
              </w:rPr>
            </w:pPr>
            <w:r w:rsidRPr="00DE03F5">
              <w:rPr>
                <w:lang w:val="en-US"/>
              </w:rPr>
              <w:t>EUR/y</w:t>
            </w:r>
          </w:p>
        </w:tc>
        <w:tc>
          <w:tcPr>
            <w:tcW w:w="1398" w:type="pct"/>
            <w:vAlign w:val="center"/>
          </w:tcPr>
          <w:p w14:paraId="785A51D1" w14:textId="77777777" w:rsidR="006153D2" w:rsidRPr="00DE03F5" w:rsidRDefault="006153D2" w:rsidP="006153D2">
            <w:pPr>
              <w:pStyle w:val="Tabela-besedilo"/>
              <w:jc w:val="left"/>
              <w:rPr>
                <w:lang w:val="en-US"/>
              </w:rPr>
            </w:pPr>
            <w:r w:rsidRPr="00DE03F5">
              <w:rPr>
                <w:lang w:val="en-US"/>
              </w:rPr>
              <w:t>100∙norm[econ2])</w:t>
            </w:r>
          </w:p>
        </w:tc>
      </w:tr>
      <w:tr w:rsidR="00654073" w:rsidRPr="00DE03F5" w14:paraId="039C7153" w14:textId="77777777" w:rsidTr="00654073">
        <w:tc>
          <w:tcPr>
            <w:tcW w:w="598" w:type="pct"/>
            <w:vAlign w:val="center"/>
          </w:tcPr>
          <w:p w14:paraId="291F9165" w14:textId="77777777" w:rsidR="006153D2" w:rsidRPr="00DE03F5" w:rsidRDefault="006153D2" w:rsidP="006153D2">
            <w:pPr>
              <w:pStyle w:val="Tabela-besedilo"/>
              <w:jc w:val="left"/>
              <w:rPr>
                <w:lang w:val="en-US"/>
              </w:rPr>
            </w:pPr>
            <w:r w:rsidRPr="00DE03F5">
              <w:rPr>
                <w:lang w:val="en-US"/>
              </w:rPr>
              <w:t>soc1</w:t>
            </w:r>
          </w:p>
        </w:tc>
        <w:tc>
          <w:tcPr>
            <w:tcW w:w="2303" w:type="pct"/>
            <w:vAlign w:val="center"/>
          </w:tcPr>
          <w:p w14:paraId="3B19A5DC" w14:textId="77777777" w:rsidR="006153D2" w:rsidRPr="00DE03F5" w:rsidRDefault="006153D2" w:rsidP="006153D2">
            <w:pPr>
              <w:pStyle w:val="Tabela-besedilo"/>
              <w:jc w:val="left"/>
              <w:rPr>
                <w:lang w:val="en-US"/>
              </w:rPr>
            </w:pPr>
            <w:r w:rsidRPr="00DE03F5">
              <w:rPr>
                <w:lang w:val="en-US"/>
              </w:rPr>
              <w:t>Social indicator – cereals</w:t>
            </w:r>
          </w:p>
        </w:tc>
        <w:tc>
          <w:tcPr>
            <w:tcW w:w="701" w:type="pct"/>
            <w:vAlign w:val="center"/>
          </w:tcPr>
          <w:p w14:paraId="61FCBE6A" w14:textId="77777777" w:rsidR="006153D2" w:rsidRPr="00DE03F5" w:rsidRDefault="006153D2" w:rsidP="006153D2">
            <w:pPr>
              <w:pStyle w:val="Tabela-besedilo"/>
              <w:jc w:val="left"/>
              <w:rPr>
                <w:lang w:val="en-US"/>
              </w:rPr>
            </w:pPr>
            <w:r w:rsidRPr="00DE03F5">
              <w:rPr>
                <w:lang w:val="en-US"/>
              </w:rPr>
              <w:t>-</w:t>
            </w:r>
          </w:p>
        </w:tc>
        <w:tc>
          <w:tcPr>
            <w:tcW w:w="1398" w:type="pct"/>
            <w:vAlign w:val="center"/>
          </w:tcPr>
          <w:p w14:paraId="3821CC03" w14:textId="77777777" w:rsidR="006153D2" w:rsidRPr="00DE03F5" w:rsidRDefault="006153D2" w:rsidP="006153D2">
            <w:pPr>
              <w:pStyle w:val="Tabela-besedilo"/>
              <w:jc w:val="left"/>
              <w:rPr>
                <w:lang w:val="en-US"/>
              </w:rPr>
            </w:pPr>
            <w:r w:rsidRPr="00DE03F5">
              <w:rPr>
                <w:lang w:val="en-US"/>
              </w:rPr>
              <w:t>100∙soc1</w:t>
            </w:r>
          </w:p>
        </w:tc>
      </w:tr>
      <w:tr w:rsidR="00654073" w:rsidRPr="00DE03F5" w14:paraId="7EB926DC" w14:textId="77777777" w:rsidTr="00654073">
        <w:tc>
          <w:tcPr>
            <w:tcW w:w="598" w:type="pct"/>
            <w:vAlign w:val="center"/>
          </w:tcPr>
          <w:p w14:paraId="23B435A6" w14:textId="77777777" w:rsidR="006153D2" w:rsidRPr="00DE03F5" w:rsidRDefault="006153D2" w:rsidP="006153D2">
            <w:pPr>
              <w:pStyle w:val="Tabela-besedilo"/>
              <w:jc w:val="left"/>
              <w:rPr>
                <w:lang w:val="en-US"/>
              </w:rPr>
            </w:pPr>
            <w:r w:rsidRPr="00DE03F5">
              <w:rPr>
                <w:lang w:val="en-US"/>
              </w:rPr>
              <w:t>soc2</w:t>
            </w:r>
          </w:p>
        </w:tc>
        <w:tc>
          <w:tcPr>
            <w:tcW w:w="2303" w:type="pct"/>
            <w:vAlign w:val="center"/>
          </w:tcPr>
          <w:p w14:paraId="537AF97F" w14:textId="77777777" w:rsidR="006153D2" w:rsidRPr="00DE03F5" w:rsidRDefault="006153D2" w:rsidP="006153D2">
            <w:pPr>
              <w:pStyle w:val="Tabela-besedilo"/>
              <w:jc w:val="left"/>
              <w:rPr>
                <w:lang w:val="en-US"/>
              </w:rPr>
            </w:pPr>
            <w:r w:rsidRPr="00DE03F5">
              <w:rPr>
                <w:lang w:val="en-US"/>
              </w:rPr>
              <w:t>Social indicator – potatoes</w:t>
            </w:r>
          </w:p>
        </w:tc>
        <w:tc>
          <w:tcPr>
            <w:tcW w:w="701" w:type="pct"/>
            <w:vAlign w:val="center"/>
          </w:tcPr>
          <w:p w14:paraId="2FC24EF6" w14:textId="77777777" w:rsidR="006153D2" w:rsidRPr="00DE03F5" w:rsidRDefault="006153D2" w:rsidP="006153D2">
            <w:pPr>
              <w:pStyle w:val="Tabela-besedilo"/>
              <w:jc w:val="left"/>
              <w:rPr>
                <w:lang w:val="en-US"/>
              </w:rPr>
            </w:pPr>
            <w:r w:rsidRPr="00DE03F5">
              <w:rPr>
                <w:lang w:val="en-US"/>
              </w:rPr>
              <w:t>-</w:t>
            </w:r>
          </w:p>
        </w:tc>
        <w:tc>
          <w:tcPr>
            <w:tcW w:w="1398" w:type="pct"/>
            <w:vAlign w:val="center"/>
          </w:tcPr>
          <w:p w14:paraId="4C5BF454" w14:textId="77777777" w:rsidR="006153D2" w:rsidRPr="00DE03F5" w:rsidRDefault="006153D2" w:rsidP="006153D2">
            <w:pPr>
              <w:pStyle w:val="Tabela-besedilo"/>
              <w:jc w:val="left"/>
              <w:rPr>
                <w:lang w:val="en-US"/>
              </w:rPr>
            </w:pPr>
            <w:r w:rsidRPr="00DE03F5">
              <w:rPr>
                <w:lang w:val="en-US"/>
              </w:rPr>
              <w:t>100∙soc2</w:t>
            </w:r>
          </w:p>
        </w:tc>
      </w:tr>
      <w:tr w:rsidR="00654073" w:rsidRPr="00DE03F5" w14:paraId="68777F58" w14:textId="77777777" w:rsidTr="00654073">
        <w:tc>
          <w:tcPr>
            <w:tcW w:w="598" w:type="pct"/>
            <w:vAlign w:val="center"/>
          </w:tcPr>
          <w:p w14:paraId="2014B8CA" w14:textId="77777777" w:rsidR="006153D2" w:rsidRPr="00DE03F5" w:rsidRDefault="006153D2" w:rsidP="006153D2">
            <w:pPr>
              <w:pStyle w:val="Tabela-besedilo"/>
              <w:jc w:val="left"/>
              <w:rPr>
                <w:lang w:val="en-US"/>
              </w:rPr>
            </w:pPr>
            <w:r w:rsidRPr="00DE03F5">
              <w:rPr>
                <w:lang w:val="en-US"/>
              </w:rPr>
              <w:t>soc3</w:t>
            </w:r>
          </w:p>
        </w:tc>
        <w:tc>
          <w:tcPr>
            <w:tcW w:w="2303" w:type="pct"/>
            <w:vAlign w:val="center"/>
          </w:tcPr>
          <w:p w14:paraId="5601E264" w14:textId="77777777" w:rsidR="006153D2" w:rsidRPr="00DE03F5" w:rsidRDefault="006153D2" w:rsidP="006153D2">
            <w:pPr>
              <w:pStyle w:val="Tabela-besedilo"/>
              <w:jc w:val="left"/>
              <w:rPr>
                <w:lang w:val="en-US"/>
              </w:rPr>
            </w:pPr>
            <w:r w:rsidRPr="00DE03F5">
              <w:rPr>
                <w:lang w:val="en-US"/>
              </w:rPr>
              <w:t>Social indicator – vegetables</w:t>
            </w:r>
          </w:p>
        </w:tc>
        <w:tc>
          <w:tcPr>
            <w:tcW w:w="701" w:type="pct"/>
            <w:vAlign w:val="center"/>
          </w:tcPr>
          <w:p w14:paraId="2156FB55" w14:textId="77777777" w:rsidR="006153D2" w:rsidRPr="00DE03F5" w:rsidRDefault="006153D2" w:rsidP="006153D2">
            <w:pPr>
              <w:pStyle w:val="Tabela-besedilo"/>
              <w:jc w:val="left"/>
              <w:rPr>
                <w:lang w:val="en-US"/>
              </w:rPr>
            </w:pPr>
            <w:r w:rsidRPr="00DE03F5">
              <w:rPr>
                <w:lang w:val="en-US"/>
              </w:rPr>
              <w:t>-</w:t>
            </w:r>
          </w:p>
        </w:tc>
        <w:tc>
          <w:tcPr>
            <w:tcW w:w="1398" w:type="pct"/>
            <w:vAlign w:val="center"/>
          </w:tcPr>
          <w:p w14:paraId="20F4C007" w14:textId="77777777" w:rsidR="006153D2" w:rsidRPr="00DE03F5" w:rsidRDefault="006153D2" w:rsidP="006153D2">
            <w:pPr>
              <w:pStyle w:val="Tabela-besedilo"/>
              <w:jc w:val="left"/>
              <w:rPr>
                <w:lang w:val="en-US"/>
              </w:rPr>
            </w:pPr>
            <w:r w:rsidRPr="00DE03F5">
              <w:rPr>
                <w:lang w:val="en-US"/>
              </w:rPr>
              <w:t>100∙soc3</w:t>
            </w:r>
          </w:p>
        </w:tc>
      </w:tr>
      <w:tr w:rsidR="00654073" w:rsidRPr="00DE03F5" w14:paraId="12CECB7B" w14:textId="77777777" w:rsidTr="00654073">
        <w:tc>
          <w:tcPr>
            <w:tcW w:w="598" w:type="pct"/>
            <w:vAlign w:val="center"/>
          </w:tcPr>
          <w:p w14:paraId="4B5D32A7" w14:textId="77777777" w:rsidR="006153D2" w:rsidRPr="00DE03F5" w:rsidRDefault="006153D2" w:rsidP="006153D2">
            <w:pPr>
              <w:pStyle w:val="Tabela-besedilo"/>
              <w:jc w:val="left"/>
              <w:rPr>
                <w:lang w:val="en-US"/>
              </w:rPr>
            </w:pPr>
            <w:r w:rsidRPr="00DE03F5">
              <w:rPr>
                <w:lang w:val="en-US"/>
              </w:rPr>
              <w:t>soc4</w:t>
            </w:r>
          </w:p>
        </w:tc>
        <w:tc>
          <w:tcPr>
            <w:tcW w:w="2303" w:type="pct"/>
            <w:vAlign w:val="center"/>
          </w:tcPr>
          <w:p w14:paraId="516D08C8" w14:textId="77777777" w:rsidR="006153D2" w:rsidRPr="00DE03F5" w:rsidRDefault="006153D2" w:rsidP="006153D2">
            <w:pPr>
              <w:pStyle w:val="Tabela-besedilo"/>
              <w:jc w:val="left"/>
              <w:rPr>
                <w:lang w:val="en-US"/>
              </w:rPr>
            </w:pPr>
            <w:r w:rsidRPr="00DE03F5">
              <w:rPr>
                <w:lang w:val="en-US"/>
              </w:rPr>
              <w:t>Social indicator – fruit</w:t>
            </w:r>
          </w:p>
        </w:tc>
        <w:tc>
          <w:tcPr>
            <w:tcW w:w="701" w:type="pct"/>
            <w:vAlign w:val="center"/>
          </w:tcPr>
          <w:p w14:paraId="5EF6D1DF" w14:textId="77777777" w:rsidR="006153D2" w:rsidRPr="00DE03F5" w:rsidRDefault="006153D2" w:rsidP="006153D2">
            <w:pPr>
              <w:pStyle w:val="Tabela-besedilo"/>
              <w:jc w:val="left"/>
              <w:rPr>
                <w:lang w:val="en-US"/>
              </w:rPr>
            </w:pPr>
            <w:r w:rsidRPr="00DE03F5">
              <w:rPr>
                <w:lang w:val="en-US"/>
              </w:rPr>
              <w:t>-</w:t>
            </w:r>
          </w:p>
        </w:tc>
        <w:tc>
          <w:tcPr>
            <w:tcW w:w="1398" w:type="pct"/>
            <w:vAlign w:val="center"/>
          </w:tcPr>
          <w:p w14:paraId="3DDE4376" w14:textId="77777777" w:rsidR="006153D2" w:rsidRPr="00DE03F5" w:rsidRDefault="006153D2" w:rsidP="006153D2">
            <w:pPr>
              <w:pStyle w:val="Tabela-besedilo"/>
              <w:jc w:val="left"/>
              <w:rPr>
                <w:lang w:val="en-US"/>
              </w:rPr>
            </w:pPr>
            <w:r w:rsidRPr="00DE03F5">
              <w:rPr>
                <w:lang w:val="en-US"/>
              </w:rPr>
              <w:t>100∙soc4</w:t>
            </w:r>
          </w:p>
        </w:tc>
      </w:tr>
      <w:tr w:rsidR="00654073" w:rsidRPr="00DE03F5" w14:paraId="595B2A92" w14:textId="77777777" w:rsidTr="00654073">
        <w:tc>
          <w:tcPr>
            <w:tcW w:w="598" w:type="pct"/>
            <w:vAlign w:val="center"/>
          </w:tcPr>
          <w:p w14:paraId="2260D759" w14:textId="77777777" w:rsidR="006153D2" w:rsidRPr="00DE03F5" w:rsidRDefault="006153D2" w:rsidP="006153D2">
            <w:pPr>
              <w:pStyle w:val="Tabela-besedilo"/>
              <w:jc w:val="left"/>
              <w:rPr>
                <w:lang w:val="en-US"/>
              </w:rPr>
            </w:pPr>
            <w:r w:rsidRPr="00DE03F5">
              <w:rPr>
                <w:lang w:val="en-US"/>
              </w:rPr>
              <w:t>soc5</w:t>
            </w:r>
          </w:p>
        </w:tc>
        <w:tc>
          <w:tcPr>
            <w:tcW w:w="2303" w:type="pct"/>
            <w:vAlign w:val="center"/>
          </w:tcPr>
          <w:p w14:paraId="78322481" w14:textId="77777777" w:rsidR="006153D2" w:rsidRPr="00DE03F5" w:rsidRDefault="006153D2" w:rsidP="006153D2">
            <w:pPr>
              <w:pStyle w:val="Tabela-besedilo"/>
              <w:jc w:val="left"/>
              <w:rPr>
                <w:lang w:val="en-US"/>
              </w:rPr>
            </w:pPr>
            <w:r w:rsidRPr="00DE03F5">
              <w:rPr>
                <w:lang w:val="en-US"/>
              </w:rPr>
              <w:t>Social indicator – meat</w:t>
            </w:r>
          </w:p>
        </w:tc>
        <w:tc>
          <w:tcPr>
            <w:tcW w:w="701" w:type="pct"/>
            <w:vAlign w:val="center"/>
          </w:tcPr>
          <w:p w14:paraId="36AF6B64" w14:textId="77777777" w:rsidR="006153D2" w:rsidRPr="00DE03F5" w:rsidRDefault="006153D2" w:rsidP="006153D2">
            <w:pPr>
              <w:pStyle w:val="Tabela-besedilo"/>
              <w:jc w:val="left"/>
              <w:rPr>
                <w:lang w:val="en-US"/>
              </w:rPr>
            </w:pPr>
            <w:r w:rsidRPr="00DE03F5">
              <w:rPr>
                <w:lang w:val="en-US"/>
              </w:rPr>
              <w:t>-</w:t>
            </w:r>
          </w:p>
        </w:tc>
        <w:tc>
          <w:tcPr>
            <w:tcW w:w="1398" w:type="pct"/>
            <w:vAlign w:val="center"/>
          </w:tcPr>
          <w:p w14:paraId="02B79EFE" w14:textId="77777777" w:rsidR="006153D2" w:rsidRPr="00DE03F5" w:rsidRDefault="006153D2" w:rsidP="006153D2">
            <w:pPr>
              <w:pStyle w:val="Tabela-besedilo"/>
              <w:jc w:val="left"/>
              <w:rPr>
                <w:lang w:val="en-US"/>
              </w:rPr>
            </w:pPr>
            <w:r w:rsidRPr="00DE03F5">
              <w:rPr>
                <w:lang w:val="en-US"/>
              </w:rPr>
              <w:t>100∙soc5</w:t>
            </w:r>
          </w:p>
        </w:tc>
      </w:tr>
      <w:tr w:rsidR="00654073" w:rsidRPr="00DE03F5" w14:paraId="3AD969B7" w14:textId="77777777" w:rsidTr="00654073">
        <w:tc>
          <w:tcPr>
            <w:tcW w:w="598" w:type="pct"/>
            <w:vAlign w:val="center"/>
          </w:tcPr>
          <w:p w14:paraId="197D1B01" w14:textId="77777777" w:rsidR="006153D2" w:rsidRPr="00DE03F5" w:rsidRDefault="006153D2" w:rsidP="006153D2">
            <w:pPr>
              <w:pStyle w:val="Tabela-besedilo"/>
              <w:jc w:val="left"/>
              <w:rPr>
                <w:lang w:val="en-US"/>
              </w:rPr>
            </w:pPr>
            <w:r w:rsidRPr="00DE03F5">
              <w:rPr>
                <w:lang w:val="en-US"/>
              </w:rPr>
              <w:t>soc6</w:t>
            </w:r>
          </w:p>
        </w:tc>
        <w:tc>
          <w:tcPr>
            <w:tcW w:w="2303" w:type="pct"/>
            <w:vAlign w:val="center"/>
          </w:tcPr>
          <w:p w14:paraId="6F81B86C" w14:textId="77777777" w:rsidR="006153D2" w:rsidRPr="00DE03F5" w:rsidRDefault="006153D2" w:rsidP="006153D2">
            <w:pPr>
              <w:pStyle w:val="Tabela-besedilo"/>
              <w:jc w:val="left"/>
              <w:rPr>
                <w:lang w:val="en-US"/>
              </w:rPr>
            </w:pPr>
            <w:r w:rsidRPr="00DE03F5">
              <w:rPr>
                <w:lang w:val="en-US"/>
              </w:rPr>
              <w:t>Social indicator – milk and dairy products</w:t>
            </w:r>
          </w:p>
        </w:tc>
        <w:tc>
          <w:tcPr>
            <w:tcW w:w="701" w:type="pct"/>
            <w:vAlign w:val="center"/>
          </w:tcPr>
          <w:p w14:paraId="5E8CF6E0" w14:textId="77777777" w:rsidR="006153D2" w:rsidRPr="00DE03F5" w:rsidRDefault="006153D2" w:rsidP="006153D2">
            <w:pPr>
              <w:pStyle w:val="Tabela-besedilo"/>
              <w:jc w:val="left"/>
              <w:rPr>
                <w:lang w:val="en-US"/>
              </w:rPr>
            </w:pPr>
            <w:r w:rsidRPr="00DE03F5">
              <w:rPr>
                <w:lang w:val="en-US"/>
              </w:rPr>
              <w:t>-</w:t>
            </w:r>
          </w:p>
        </w:tc>
        <w:tc>
          <w:tcPr>
            <w:tcW w:w="1398" w:type="pct"/>
            <w:vAlign w:val="center"/>
          </w:tcPr>
          <w:p w14:paraId="60E7E217" w14:textId="77777777" w:rsidR="006153D2" w:rsidRPr="00DE03F5" w:rsidRDefault="006153D2" w:rsidP="006153D2">
            <w:pPr>
              <w:pStyle w:val="Tabela-besedilo"/>
              <w:jc w:val="left"/>
              <w:rPr>
                <w:lang w:val="en-US"/>
              </w:rPr>
            </w:pPr>
            <w:r w:rsidRPr="00DE03F5">
              <w:rPr>
                <w:lang w:val="en-US"/>
              </w:rPr>
              <w:t>100∙soc6</w:t>
            </w:r>
          </w:p>
        </w:tc>
      </w:tr>
      <w:tr w:rsidR="00654073" w:rsidRPr="00DE03F5" w14:paraId="726EA8E4" w14:textId="77777777" w:rsidTr="00654073">
        <w:tc>
          <w:tcPr>
            <w:tcW w:w="598" w:type="pct"/>
            <w:vAlign w:val="center"/>
          </w:tcPr>
          <w:p w14:paraId="41B977C2" w14:textId="77777777" w:rsidR="006153D2" w:rsidRPr="00DE03F5" w:rsidRDefault="006153D2" w:rsidP="006153D2">
            <w:pPr>
              <w:pStyle w:val="Tabela-besedilo"/>
              <w:jc w:val="left"/>
              <w:rPr>
                <w:lang w:val="en-US"/>
              </w:rPr>
            </w:pPr>
            <w:r w:rsidRPr="00DE03F5">
              <w:rPr>
                <w:lang w:val="en-US"/>
              </w:rPr>
              <w:t>soc7</w:t>
            </w:r>
          </w:p>
        </w:tc>
        <w:tc>
          <w:tcPr>
            <w:tcW w:w="2303" w:type="pct"/>
            <w:vAlign w:val="center"/>
          </w:tcPr>
          <w:p w14:paraId="033424FF" w14:textId="77777777" w:rsidR="006153D2" w:rsidRPr="00DE03F5" w:rsidRDefault="006153D2" w:rsidP="006153D2">
            <w:pPr>
              <w:pStyle w:val="Tabela-besedilo"/>
              <w:jc w:val="left"/>
              <w:rPr>
                <w:lang w:val="en-US"/>
              </w:rPr>
            </w:pPr>
            <w:r w:rsidRPr="00DE03F5">
              <w:rPr>
                <w:lang w:val="en-US"/>
              </w:rPr>
              <w:t>Social indicator - eggs</w:t>
            </w:r>
          </w:p>
        </w:tc>
        <w:tc>
          <w:tcPr>
            <w:tcW w:w="701" w:type="pct"/>
            <w:vAlign w:val="center"/>
          </w:tcPr>
          <w:p w14:paraId="027C041C" w14:textId="77777777" w:rsidR="006153D2" w:rsidRPr="00DE03F5" w:rsidRDefault="006153D2" w:rsidP="006153D2">
            <w:pPr>
              <w:pStyle w:val="Tabela-besedilo"/>
              <w:jc w:val="left"/>
              <w:rPr>
                <w:lang w:val="en-US"/>
              </w:rPr>
            </w:pPr>
            <w:r w:rsidRPr="00DE03F5">
              <w:rPr>
                <w:lang w:val="en-US"/>
              </w:rPr>
              <w:t>-</w:t>
            </w:r>
          </w:p>
        </w:tc>
        <w:tc>
          <w:tcPr>
            <w:tcW w:w="1398" w:type="pct"/>
            <w:vAlign w:val="center"/>
          </w:tcPr>
          <w:p w14:paraId="6AB665DC" w14:textId="77777777" w:rsidR="006153D2" w:rsidRPr="00DE03F5" w:rsidRDefault="006153D2" w:rsidP="006153D2">
            <w:pPr>
              <w:pStyle w:val="Tabela-besedilo"/>
              <w:jc w:val="left"/>
              <w:rPr>
                <w:lang w:val="en-US"/>
              </w:rPr>
            </w:pPr>
            <w:r w:rsidRPr="00DE03F5">
              <w:rPr>
                <w:lang w:val="en-US"/>
              </w:rPr>
              <w:t>100∙soc7</w:t>
            </w:r>
          </w:p>
        </w:tc>
      </w:tr>
      <w:tr w:rsidR="006153D2" w:rsidRPr="00DE03F5" w14:paraId="1D4EFD73" w14:textId="77777777" w:rsidTr="00654073">
        <w:tc>
          <w:tcPr>
            <w:tcW w:w="598" w:type="pct"/>
            <w:vAlign w:val="center"/>
          </w:tcPr>
          <w:p w14:paraId="1E8098C9" w14:textId="77777777" w:rsidR="001D525D" w:rsidRPr="00DE03F5" w:rsidRDefault="001D525D" w:rsidP="006153D2">
            <w:pPr>
              <w:pStyle w:val="Tabela-besedilo"/>
              <w:jc w:val="left"/>
              <w:rPr>
                <w:lang w:val="en-US"/>
              </w:rPr>
            </w:pPr>
            <w:r w:rsidRPr="00DE03F5">
              <w:rPr>
                <w:lang w:val="en-US"/>
              </w:rPr>
              <w:t>env1</w:t>
            </w:r>
          </w:p>
        </w:tc>
        <w:tc>
          <w:tcPr>
            <w:tcW w:w="2303" w:type="pct"/>
            <w:vAlign w:val="center"/>
          </w:tcPr>
          <w:p w14:paraId="467224DF" w14:textId="33A6F41E" w:rsidR="001D525D" w:rsidRPr="00DE03F5" w:rsidRDefault="001D525D" w:rsidP="006153D2">
            <w:pPr>
              <w:pStyle w:val="Tabela-besedilo"/>
              <w:jc w:val="left"/>
              <w:rPr>
                <w:lang w:val="en-US"/>
              </w:rPr>
            </w:pPr>
            <w:r w:rsidRPr="00DE03F5">
              <w:rPr>
                <w:lang w:val="en-US"/>
              </w:rPr>
              <w:t>GHG emissions per capita</w:t>
            </w:r>
          </w:p>
        </w:tc>
        <w:tc>
          <w:tcPr>
            <w:tcW w:w="701" w:type="pct"/>
            <w:vAlign w:val="center"/>
          </w:tcPr>
          <w:p w14:paraId="496A6336" w14:textId="77777777" w:rsidR="001D525D" w:rsidRPr="00DE03F5" w:rsidRDefault="001D525D" w:rsidP="006153D2">
            <w:pPr>
              <w:pStyle w:val="Tabela-besedilo"/>
              <w:jc w:val="left"/>
              <w:rPr>
                <w:lang w:val="en-US"/>
              </w:rPr>
            </w:pPr>
            <w:r w:rsidRPr="00DE03F5">
              <w:rPr>
                <w:lang w:val="en-US"/>
              </w:rPr>
              <w:t>kg/y</w:t>
            </w:r>
          </w:p>
        </w:tc>
        <w:tc>
          <w:tcPr>
            <w:tcW w:w="1398" w:type="pct"/>
            <w:vAlign w:val="center"/>
          </w:tcPr>
          <w:p w14:paraId="116CFDBD" w14:textId="77777777" w:rsidR="001D525D" w:rsidRPr="00DE03F5" w:rsidRDefault="001D525D" w:rsidP="006153D2">
            <w:pPr>
              <w:pStyle w:val="Tabela-besedilo"/>
              <w:jc w:val="left"/>
              <w:rPr>
                <w:lang w:val="en-US"/>
              </w:rPr>
            </w:pPr>
            <w:r w:rsidRPr="00DE03F5">
              <w:rPr>
                <w:lang w:val="en-US"/>
              </w:rPr>
              <w:t>100∙(1-norm[env1])</w:t>
            </w:r>
          </w:p>
        </w:tc>
      </w:tr>
      <w:tr w:rsidR="006153D2" w:rsidRPr="00DE03F5" w14:paraId="7B4FE21A" w14:textId="77777777" w:rsidTr="00654073">
        <w:tc>
          <w:tcPr>
            <w:tcW w:w="598" w:type="pct"/>
            <w:vAlign w:val="center"/>
          </w:tcPr>
          <w:p w14:paraId="0001277A" w14:textId="77777777" w:rsidR="001D525D" w:rsidRPr="00DE03F5" w:rsidRDefault="001D525D" w:rsidP="006153D2">
            <w:pPr>
              <w:pStyle w:val="Tabela-besedilo"/>
              <w:jc w:val="left"/>
              <w:rPr>
                <w:lang w:val="en-US"/>
              </w:rPr>
            </w:pPr>
            <w:r w:rsidRPr="00DE03F5">
              <w:rPr>
                <w:lang w:val="en-US"/>
              </w:rPr>
              <w:t>env2</w:t>
            </w:r>
          </w:p>
        </w:tc>
        <w:tc>
          <w:tcPr>
            <w:tcW w:w="2303" w:type="pct"/>
            <w:vAlign w:val="center"/>
          </w:tcPr>
          <w:p w14:paraId="47541603" w14:textId="5A4211B6" w:rsidR="001D525D" w:rsidRPr="00DE03F5" w:rsidRDefault="008C2797" w:rsidP="006153D2">
            <w:pPr>
              <w:pStyle w:val="Tabela-besedilo"/>
              <w:jc w:val="left"/>
              <w:rPr>
                <w:lang w:val="en-US"/>
              </w:rPr>
            </w:pPr>
            <w:r w:rsidRPr="00DE03F5">
              <w:rPr>
                <w:lang w:val="en-US"/>
              </w:rPr>
              <w:t>M</w:t>
            </w:r>
            <w:r w:rsidR="001D525D" w:rsidRPr="00DE03F5">
              <w:rPr>
                <w:lang w:val="en-US"/>
              </w:rPr>
              <w:t>ineral fertilizers use per hectare of land</w:t>
            </w:r>
          </w:p>
        </w:tc>
        <w:tc>
          <w:tcPr>
            <w:tcW w:w="701" w:type="pct"/>
            <w:vAlign w:val="center"/>
          </w:tcPr>
          <w:p w14:paraId="68230566" w14:textId="0BF32795" w:rsidR="001D525D" w:rsidRPr="00DE03F5" w:rsidRDefault="001D525D" w:rsidP="006153D2">
            <w:pPr>
              <w:pStyle w:val="Tabela-besedilo"/>
              <w:jc w:val="left"/>
              <w:rPr>
                <w:highlight w:val="yellow"/>
                <w:lang w:val="en-US"/>
              </w:rPr>
            </w:pPr>
            <w:r w:rsidRPr="00DE03F5">
              <w:rPr>
                <w:lang w:val="en-US"/>
              </w:rPr>
              <w:t>t</w:t>
            </w:r>
            <w:r w:rsidR="007A7992" w:rsidRPr="00DE03F5">
              <w:rPr>
                <w:lang w:val="en-US"/>
              </w:rPr>
              <w:t xml:space="preserve"> </w:t>
            </w:r>
            <w:r w:rsidRPr="00DE03F5">
              <w:rPr>
                <w:lang w:val="en-US"/>
              </w:rPr>
              <w:t>/</w:t>
            </w:r>
            <w:r w:rsidR="008C2797" w:rsidRPr="00DE03F5">
              <w:rPr>
                <w:lang w:val="en-US"/>
              </w:rPr>
              <w:t>(</w:t>
            </w:r>
            <w:proofErr w:type="spellStart"/>
            <w:r w:rsidR="007A7992" w:rsidRPr="00DE03F5">
              <w:rPr>
                <w:lang w:val="en-US"/>
              </w:rPr>
              <w:t>ha∙</w:t>
            </w:r>
            <w:r w:rsidRPr="00DE03F5">
              <w:rPr>
                <w:lang w:val="en-US"/>
              </w:rPr>
              <w:t>y</w:t>
            </w:r>
            <w:proofErr w:type="spellEnd"/>
            <w:r w:rsidR="008C2797" w:rsidRPr="00DE03F5">
              <w:rPr>
                <w:lang w:val="en-US"/>
              </w:rPr>
              <w:t>)</w:t>
            </w:r>
          </w:p>
        </w:tc>
        <w:tc>
          <w:tcPr>
            <w:tcW w:w="1398" w:type="pct"/>
            <w:vAlign w:val="center"/>
          </w:tcPr>
          <w:p w14:paraId="2292F864" w14:textId="77777777" w:rsidR="001D525D" w:rsidRPr="00DE03F5" w:rsidRDefault="001D525D" w:rsidP="006153D2">
            <w:pPr>
              <w:pStyle w:val="Tabela-besedilo"/>
              <w:jc w:val="left"/>
              <w:rPr>
                <w:lang w:val="en-US"/>
              </w:rPr>
            </w:pPr>
            <w:r w:rsidRPr="00DE03F5">
              <w:rPr>
                <w:lang w:val="en-US"/>
              </w:rPr>
              <w:t>100</w:t>
            </w:r>
            <w:proofErr w:type="gramStart"/>
            <w:r w:rsidRPr="00DE03F5">
              <w:rPr>
                <w:lang w:val="en-US"/>
              </w:rPr>
              <w:t>∙(</w:t>
            </w:r>
            <w:proofErr w:type="gramEnd"/>
            <w:r w:rsidRPr="00DE03F5">
              <w:rPr>
                <w:lang w:val="en-US"/>
              </w:rPr>
              <w:t>1-norm[env 2])</w:t>
            </w:r>
          </w:p>
        </w:tc>
      </w:tr>
      <w:tr w:rsidR="006153D2" w:rsidRPr="00DE03F5" w14:paraId="1C4EE81D" w14:textId="77777777" w:rsidTr="00654073">
        <w:tc>
          <w:tcPr>
            <w:tcW w:w="598" w:type="pct"/>
            <w:vAlign w:val="center"/>
          </w:tcPr>
          <w:p w14:paraId="5938B350" w14:textId="77777777" w:rsidR="001D525D" w:rsidRPr="00DE03F5" w:rsidRDefault="001D525D" w:rsidP="006153D2">
            <w:pPr>
              <w:pStyle w:val="Tabela-besedilo"/>
              <w:jc w:val="left"/>
              <w:rPr>
                <w:lang w:val="en-US"/>
              </w:rPr>
            </w:pPr>
            <w:r w:rsidRPr="00DE03F5">
              <w:rPr>
                <w:lang w:val="en-US"/>
              </w:rPr>
              <w:t>env3</w:t>
            </w:r>
          </w:p>
        </w:tc>
        <w:tc>
          <w:tcPr>
            <w:tcW w:w="2303" w:type="pct"/>
            <w:vAlign w:val="center"/>
          </w:tcPr>
          <w:p w14:paraId="6F43E9AA" w14:textId="77777777" w:rsidR="001D525D" w:rsidRPr="00DE03F5" w:rsidRDefault="001D525D" w:rsidP="006153D2">
            <w:pPr>
              <w:pStyle w:val="Tabela-besedilo"/>
              <w:jc w:val="left"/>
              <w:rPr>
                <w:lang w:val="en-US"/>
              </w:rPr>
            </w:pPr>
            <w:r w:rsidRPr="00DE03F5">
              <w:rPr>
                <w:lang w:val="en-US"/>
              </w:rPr>
              <w:t>Share of land for organic farming</w:t>
            </w:r>
          </w:p>
        </w:tc>
        <w:tc>
          <w:tcPr>
            <w:tcW w:w="701" w:type="pct"/>
            <w:vAlign w:val="center"/>
          </w:tcPr>
          <w:p w14:paraId="00794328" w14:textId="77777777" w:rsidR="001D525D" w:rsidRPr="00DE03F5" w:rsidRDefault="001D525D" w:rsidP="006153D2">
            <w:pPr>
              <w:pStyle w:val="Tabela-besedilo"/>
              <w:jc w:val="left"/>
              <w:rPr>
                <w:lang w:val="en-US"/>
              </w:rPr>
            </w:pPr>
            <w:r w:rsidRPr="00DE03F5">
              <w:rPr>
                <w:lang w:val="en-US"/>
              </w:rPr>
              <w:t>-</w:t>
            </w:r>
          </w:p>
        </w:tc>
        <w:tc>
          <w:tcPr>
            <w:tcW w:w="1398" w:type="pct"/>
            <w:vAlign w:val="center"/>
          </w:tcPr>
          <w:p w14:paraId="471218D1" w14:textId="77777777" w:rsidR="001D525D" w:rsidRPr="00DE03F5" w:rsidRDefault="001D525D" w:rsidP="006153D2">
            <w:pPr>
              <w:pStyle w:val="Tabela-besedilo"/>
              <w:jc w:val="left"/>
              <w:rPr>
                <w:lang w:val="en-US"/>
              </w:rPr>
            </w:pPr>
            <w:r w:rsidRPr="00DE03F5">
              <w:rPr>
                <w:lang w:val="en-US"/>
              </w:rPr>
              <w:t>100∙env3</w:t>
            </w:r>
          </w:p>
        </w:tc>
      </w:tr>
      <w:tr w:rsidR="006153D2" w:rsidRPr="00DE03F5" w14:paraId="5BA65DA8" w14:textId="77777777" w:rsidTr="00654073">
        <w:tc>
          <w:tcPr>
            <w:tcW w:w="598" w:type="pct"/>
            <w:vAlign w:val="center"/>
          </w:tcPr>
          <w:p w14:paraId="0ED4DFA4" w14:textId="77777777" w:rsidR="001D525D" w:rsidRPr="00DE03F5" w:rsidRDefault="001D525D" w:rsidP="006153D2">
            <w:pPr>
              <w:pStyle w:val="Tabela-besedilo"/>
              <w:jc w:val="left"/>
              <w:rPr>
                <w:lang w:val="en-US"/>
              </w:rPr>
            </w:pPr>
            <w:r w:rsidRPr="00DE03F5">
              <w:rPr>
                <w:lang w:val="en-US"/>
              </w:rPr>
              <w:t>env4</w:t>
            </w:r>
          </w:p>
        </w:tc>
        <w:tc>
          <w:tcPr>
            <w:tcW w:w="2303" w:type="pct"/>
            <w:vAlign w:val="center"/>
          </w:tcPr>
          <w:p w14:paraId="17944377" w14:textId="77777777" w:rsidR="001D525D" w:rsidRPr="00DE03F5" w:rsidRDefault="001D525D" w:rsidP="006153D2">
            <w:pPr>
              <w:pStyle w:val="Tabela-besedilo"/>
              <w:jc w:val="left"/>
              <w:rPr>
                <w:lang w:val="en-US"/>
              </w:rPr>
            </w:pPr>
            <w:r w:rsidRPr="00DE03F5">
              <w:rPr>
                <w:lang w:val="en-US"/>
              </w:rPr>
              <w:t>Food and feed imported per capita</w:t>
            </w:r>
          </w:p>
        </w:tc>
        <w:tc>
          <w:tcPr>
            <w:tcW w:w="701" w:type="pct"/>
            <w:vAlign w:val="center"/>
          </w:tcPr>
          <w:p w14:paraId="722CA17C" w14:textId="77777777" w:rsidR="001D525D" w:rsidRPr="00DE03F5" w:rsidRDefault="001D525D" w:rsidP="006153D2">
            <w:pPr>
              <w:pStyle w:val="Tabela-besedilo"/>
              <w:jc w:val="left"/>
              <w:rPr>
                <w:lang w:val="en-US"/>
              </w:rPr>
            </w:pPr>
            <w:r w:rsidRPr="00DE03F5">
              <w:rPr>
                <w:lang w:val="en-US"/>
              </w:rPr>
              <w:t>t/y</w:t>
            </w:r>
          </w:p>
        </w:tc>
        <w:tc>
          <w:tcPr>
            <w:tcW w:w="1398" w:type="pct"/>
            <w:vAlign w:val="center"/>
          </w:tcPr>
          <w:p w14:paraId="353C0C08" w14:textId="77777777" w:rsidR="001D525D" w:rsidRPr="00DE03F5" w:rsidRDefault="001D525D" w:rsidP="006153D2">
            <w:pPr>
              <w:pStyle w:val="Tabela-besedilo"/>
              <w:jc w:val="left"/>
              <w:rPr>
                <w:lang w:val="en-US"/>
              </w:rPr>
            </w:pPr>
            <w:r w:rsidRPr="00DE03F5">
              <w:rPr>
                <w:lang w:val="en-US"/>
              </w:rPr>
              <w:t>100∙(1-norm[env4])</w:t>
            </w:r>
          </w:p>
        </w:tc>
      </w:tr>
      <w:tr w:rsidR="006153D2" w:rsidRPr="00DE03F5" w14:paraId="4A5F7D32" w14:textId="77777777" w:rsidTr="00654073">
        <w:tc>
          <w:tcPr>
            <w:tcW w:w="598" w:type="pct"/>
            <w:vAlign w:val="center"/>
          </w:tcPr>
          <w:p w14:paraId="479D9605" w14:textId="77777777" w:rsidR="001D525D" w:rsidRPr="00DE03F5" w:rsidRDefault="001D525D" w:rsidP="006153D2">
            <w:pPr>
              <w:pStyle w:val="Tabela-besedilo"/>
              <w:jc w:val="left"/>
              <w:rPr>
                <w:lang w:val="en-US"/>
              </w:rPr>
            </w:pPr>
            <w:r w:rsidRPr="00DE03F5">
              <w:rPr>
                <w:lang w:val="en-US"/>
              </w:rPr>
              <w:t>env5</w:t>
            </w:r>
          </w:p>
        </w:tc>
        <w:tc>
          <w:tcPr>
            <w:tcW w:w="2303" w:type="pct"/>
            <w:vAlign w:val="center"/>
          </w:tcPr>
          <w:p w14:paraId="03912153" w14:textId="77777777" w:rsidR="001D525D" w:rsidRPr="00DE03F5" w:rsidRDefault="001D525D" w:rsidP="006153D2">
            <w:pPr>
              <w:pStyle w:val="Tabela-besedilo"/>
              <w:jc w:val="left"/>
              <w:rPr>
                <w:lang w:val="en-US"/>
              </w:rPr>
            </w:pPr>
            <w:r w:rsidRPr="00DE03F5">
              <w:rPr>
                <w:lang w:val="en-US"/>
              </w:rPr>
              <w:t>Food and feed exported per capita</w:t>
            </w:r>
          </w:p>
        </w:tc>
        <w:tc>
          <w:tcPr>
            <w:tcW w:w="701" w:type="pct"/>
            <w:vAlign w:val="center"/>
          </w:tcPr>
          <w:p w14:paraId="410A83AD" w14:textId="77777777" w:rsidR="001D525D" w:rsidRPr="00DE03F5" w:rsidRDefault="001D525D" w:rsidP="006153D2">
            <w:pPr>
              <w:pStyle w:val="Tabela-besedilo"/>
              <w:jc w:val="left"/>
              <w:rPr>
                <w:lang w:val="en-US"/>
              </w:rPr>
            </w:pPr>
            <w:r w:rsidRPr="00DE03F5">
              <w:rPr>
                <w:lang w:val="en-US"/>
              </w:rPr>
              <w:t>t/y</w:t>
            </w:r>
          </w:p>
        </w:tc>
        <w:tc>
          <w:tcPr>
            <w:tcW w:w="1398" w:type="pct"/>
            <w:vAlign w:val="center"/>
          </w:tcPr>
          <w:p w14:paraId="4B6A5C30" w14:textId="77777777" w:rsidR="001D525D" w:rsidRPr="00DE03F5" w:rsidRDefault="001D525D" w:rsidP="006153D2">
            <w:pPr>
              <w:pStyle w:val="Tabela-besedilo"/>
              <w:jc w:val="left"/>
              <w:rPr>
                <w:lang w:val="en-US"/>
              </w:rPr>
            </w:pPr>
            <w:r w:rsidRPr="00DE03F5">
              <w:rPr>
                <w:lang w:val="en-US"/>
              </w:rPr>
              <w:t>100∙(1-norm[env5])</w:t>
            </w:r>
          </w:p>
        </w:tc>
      </w:tr>
      <w:tr w:rsidR="006153D2" w:rsidRPr="00DE03F5" w14:paraId="20945DFE" w14:textId="77777777" w:rsidTr="00654073">
        <w:tc>
          <w:tcPr>
            <w:tcW w:w="598" w:type="pct"/>
            <w:vAlign w:val="center"/>
          </w:tcPr>
          <w:p w14:paraId="301094BD" w14:textId="2D741148" w:rsidR="006153D2" w:rsidRPr="00DE03F5" w:rsidRDefault="006153D2" w:rsidP="006153D2">
            <w:pPr>
              <w:pStyle w:val="Tabela-besedilo"/>
              <w:jc w:val="left"/>
              <w:rPr>
                <w:lang w:val="en-US"/>
              </w:rPr>
            </w:pPr>
            <w:r w:rsidRPr="00DE03F5">
              <w:rPr>
                <w:lang w:val="en-US"/>
              </w:rPr>
              <w:t>flw1</w:t>
            </w:r>
          </w:p>
        </w:tc>
        <w:tc>
          <w:tcPr>
            <w:tcW w:w="2303" w:type="pct"/>
            <w:vAlign w:val="center"/>
          </w:tcPr>
          <w:p w14:paraId="0726F659" w14:textId="58C7C54E" w:rsidR="006153D2" w:rsidRPr="00DE03F5" w:rsidRDefault="006153D2" w:rsidP="006153D2">
            <w:pPr>
              <w:pStyle w:val="Tabela-besedilo"/>
              <w:jc w:val="left"/>
              <w:rPr>
                <w:lang w:val="en-US"/>
              </w:rPr>
            </w:pPr>
            <w:r w:rsidRPr="00DE03F5">
              <w:rPr>
                <w:lang w:val="en-US"/>
              </w:rPr>
              <w:t>FLW per capita</w:t>
            </w:r>
          </w:p>
        </w:tc>
        <w:tc>
          <w:tcPr>
            <w:tcW w:w="701" w:type="pct"/>
            <w:vAlign w:val="center"/>
          </w:tcPr>
          <w:p w14:paraId="7CC56615" w14:textId="02E92C7D" w:rsidR="006153D2" w:rsidRPr="00DE03F5" w:rsidRDefault="006153D2" w:rsidP="006153D2">
            <w:pPr>
              <w:pStyle w:val="Tabela-besedilo"/>
              <w:jc w:val="left"/>
              <w:rPr>
                <w:lang w:val="en-US"/>
              </w:rPr>
            </w:pPr>
            <w:r w:rsidRPr="00DE03F5">
              <w:rPr>
                <w:lang w:val="en-US"/>
              </w:rPr>
              <w:t>kg/y</w:t>
            </w:r>
          </w:p>
        </w:tc>
        <w:tc>
          <w:tcPr>
            <w:tcW w:w="1398" w:type="pct"/>
            <w:vAlign w:val="center"/>
          </w:tcPr>
          <w:p w14:paraId="3BEA24D9" w14:textId="465C6125" w:rsidR="006153D2" w:rsidRPr="00DE03F5" w:rsidRDefault="006153D2" w:rsidP="006153D2">
            <w:pPr>
              <w:pStyle w:val="Tabela-besedilo"/>
              <w:jc w:val="left"/>
              <w:rPr>
                <w:lang w:val="en-US"/>
              </w:rPr>
            </w:pPr>
            <w:r w:rsidRPr="00DE03F5">
              <w:rPr>
                <w:lang w:val="en-US"/>
              </w:rPr>
              <w:t>100∙(1-norm[flw1])</w:t>
            </w:r>
          </w:p>
        </w:tc>
      </w:tr>
      <w:tr w:rsidR="006153D2" w:rsidRPr="00DE03F5" w14:paraId="32A7F4A5" w14:textId="77777777" w:rsidTr="00654073">
        <w:tc>
          <w:tcPr>
            <w:tcW w:w="598" w:type="pct"/>
            <w:vAlign w:val="center"/>
          </w:tcPr>
          <w:p w14:paraId="513B121B" w14:textId="6107A8F3" w:rsidR="006153D2" w:rsidRPr="00DE03F5" w:rsidRDefault="006153D2" w:rsidP="006153D2">
            <w:pPr>
              <w:pStyle w:val="Tabela-besedilo"/>
              <w:jc w:val="left"/>
              <w:rPr>
                <w:lang w:val="en-US"/>
              </w:rPr>
            </w:pPr>
            <w:r w:rsidRPr="00DE03F5">
              <w:rPr>
                <w:lang w:val="en-US"/>
              </w:rPr>
              <w:t>flw2</w:t>
            </w:r>
          </w:p>
        </w:tc>
        <w:tc>
          <w:tcPr>
            <w:tcW w:w="2303" w:type="pct"/>
            <w:vAlign w:val="center"/>
          </w:tcPr>
          <w:p w14:paraId="62328560" w14:textId="7DE96151" w:rsidR="006153D2" w:rsidRPr="00DE03F5" w:rsidRDefault="006153D2" w:rsidP="006153D2">
            <w:pPr>
              <w:pStyle w:val="Tabela-besedilo"/>
              <w:jc w:val="left"/>
              <w:rPr>
                <w:lang w:val="en-US"/>
              </w:rPr>
            </w:pPr>
            <w:r w:rsidRPr="00DE03F5">
              <w:rPr>
                <w:lang w:val="en-US"/>
              </w:rPr>
              <w:t>Edible FLW per capita</w:t>
            </w:r>
          </w:p>
        </w:tc>
        <w:tc>
          <w:tcPr>
            <w:tcW w:w="701" w:type="pct"/>
            <w:vAlign w:val="center"/>
          </w:tcPr>
          <w:p w14:paraId="47339F79" w14:textId="7D4767F8" w:rsidR="006153D2" w:rsidRPr="00DE03F5" w:rsidRDefault="006153D2" w:rsidP="006153D2">
            <w:pPr>
              <w:pStyle w:val="Tabela-besedilo"/>
              <w:jc w:val="left"/>
              <w:rPr>
                <w:lang w:val="en-US"/>
              </w:rPr>
            </w:pPr>
            <w:r w:rsidRPr="00DE03F5">
              <w:rPr>
                <w:lang w:val="en-US"/>
              </w:rPr>
              <w:t>kg/y</w:t>
            </w:r>
          </w:p>
        </w:tc>
        <w:tc>
          <w:tcPr>
            <w:tcW w:w="1398" w:type="pct"/>
            <w:vAlign w:val="center"/>
          </w:tcPr>
          <w:p w14:paraId="2279B881" w14:textId="376C8590" w:rsidR="006153D2" w:rsidRPr="00DE03F5" w:rsidRDefault="006153D2" w:rsidP="006153D2">
            <w:pPr>
              <w:pStyle w:val="Tabela-besedilo"/>
              <w:jc w:val="left"/>
              <w:rPr>
                <w:lang w:val="en-US"/>
              </w:rPr>
            </w:pPr>
            <w:r w:rsidRPr="00DE03F5">
              <w:rPr>
                <w:lang w:val="en-US"/>
              </w:rPr>
              <w:t>100∙(1-norm[flw1])</w:t>
            </w:r>
          </w:p>
        </w:tc>
      </w:tr>
    </w:tbl>
    <w:p w14:paraId="458A8F36" w14:textId="1C697692" w:rsidR="3F9CF88E" w:rsidRPr="00DE03F5" w:rsidRDefault="6CBE3A20" w:rsidP="58442380">
      <w:pPr>
        <w:spacing w:line="259" w:lineRule="auto"/>
        <w:rPr>
          <w:color w:val="1F1F1F"/>
          <w:lang w:val="en-US"/>
        </w:rPr>
      </w:pPr>
      <w:r w:rsidRPr="00DE03F5">
        <w:rPr>
          <w:color w:val="1F1F1F"/>
          <w:lang w:val="en-US"/>
        </w:rPr>
        <w:t xml:space="preserve">Indicators are normalized using the method of </w:t>
      </w:r>
      <w:proofErr w:type="spellStart"/>
      <w:r w:rsidRPr="00DE03F5">
        <w:rPr>
          <w:color w:val="1F1F1F"/>
          <w:lang w:val="en-US"/>
        </w:rPr>
        <w:t>Baratsas</w:t>
      </w:r>
      <w:proofErr w:type="spellEnd"/>
      <w:r w:rsidRPr="00DE03F5">
        <w:rPr>
          <w:color w:val="1F1F1F"/>
          <w:lang w:val="en-US"/>
        </w:rPr>
        <w:t xml:space="preserve"> et al. (2022), ranging from 0 </w:t>
      </w:r>
      <w:r w:rsidR="57F79217" w:rsidRPr="00DE03F5">
        <w:rPr>
          <w:color w:val="1F1F1F"/>
          <w:lang w:val="en-US"/>
        </w:rPr>
        <w:t>point</w:t>
      </w:r>
      <w:r w:rsidRPr="00DE03F5">
        <w:rPr>
          <w:color w:val="1F1F1F"/>
          <w:lang w:val="en-US"/>
        </w:rPr>
        <w:t xml:space="preserve"> (complete linearity) to 100 </w:t>
      </w:r>
      <w:r w:rsidR="6911A0C2" w:rsidRPr="00DE03F5">
        <w:rPr>
          <w:color w:val="1F1F1F"/>
          <w:lang w:val="en-US"/>
        </w:rPr>
        <w:t xml:space="preserve">points </w:t>
      </w:r>
      <w:r w:rsidRPr="00DE03F5">
        <w:rPr>
          <w:color w:val="1F1F1F"/>
          <w:lang w:val="en-US"/>
        </w:rPr>
        <w:t xml:space="preserve">(complete circularity). Category sub-indices are calculated as the average of category indicators, and </w:t>
      </w:r>
      <w:r w:rsidR="00353556" w:rsidRPr="00DE03F5">
        <w:rPr>
          <w:color w:val="1F1F1F"/>
          <w:lang w:val="en-US"/>
        </w:rPr>
        <w:t xml:space="preserve">the </w:t>
      </w:r>
      <w:r w:rsidRPr="00DE03F5">
        <w:rPr>
          <w:color w:val="1F1F1F"/>
          <w:lang w:val="en-US"/>
        </w:rPr>
        <w:t>overall ACS index is obtained by combining category sub-indices.</w:t>
      </w:r>
    </w:p>
    <w:p w14:paraId="6B09D1E5" w14:textId="0418063B" w:rsidR="00C656A9" w:rsidRPr="00DE03F5" w:rsidRDefault="1EA56128" w:rsidP="00C656A9">
      <w:pPr>
        <w:pStyle w:val="Els-2ndorder-head"/>
      </w:pPr>
      <w:r w:rsidRPr="00DE03F5">
        <w:rPr>
          <w:color w:val="000000" w:themeColor="text1"/>
        </w:rPr>
        <w:t>Measures</w:t>
      </w:r>
      <w:r w:rsidR="23B0E223" w:rsidRPr="00DE03F5">
        <w:rPr>
          <w:color w:val="000000" w:themeColor="text1"/>
        </w:rPr>
        <w:t xml:space="preserve"> for circular agriculture and sustainable food production</w:t>
      </w:r>
    </w:p>
    <w:p w14:paraId="178BED61" w14:textId="62E8C523" w:rsidR="00914B68" w:rsidRPr="00DE03F5" w:rsidRDefault="50AB2A94" w:rsidP="008D2649">
      <w:pPr>
        <w:pStyle w:val="Els-3rdorder-head"/>
        <w:rPr>
          <w:color w:val="000000" w:themeColor="text1"/>
        </w:rPr>
      </w:pPr>
      <w:r w:rsidRPr="00DE03F5">
        <w:rPr>
          <w:color w:val="000000" w:themeColor="text1"/>
        </w:rPr>
        <w:t>Narrow</w:t>
      </w:r>
      <w:r w:rsidR="3FABC55A" w:rsidRPr="00DE03F5">
        <w:rPr>
          <w:color w:val="000000" w:themeColor="text1"/>
        </w:rPr>
        <w:t xml:space="preserve"> </w:t>
      </w:r>
      <w:r w:rsidRPr="00DE03F5">
        <w:rPr>
          <w:color w:val="000000" w:themeColor="text1"/>
        </w:rPr>
        <w:t xml:space="preserve">use of </w:t>
      </w:r>
      <w:r w:rsidR="5CB4DDC5" w:rsidRPr="00DE03F5">
        <w:rPr>
          <w:color w:val="000000" w:themeColor="text1"/>
        </w:rPr>
        <w:t>fertilizers and pesticides</w:t>
      </w:r>
      <w:r w:rsidR="00E0257D" w:rsidRPr="00DE03F5">
        <w:rPr>
          <w:color w:val="000000" w:themeColor="text1"/>
        </w:rPr>
        <w:t xml:space="preserve"> </w:t>
      </w:r>
    </w:p>
    <w:p w14:paraId="6B8B7472" w14:textId="702FC899" w:rsidR="0D10CE08" w:rsidRPr="00DE03F5" w:rsidRDefault="0D10CE08" w:rsidP="5206E244">
      <w:pPr>
        <w:pStyle w:val="Els-body-text"/>
      </w:pPr>
      <w:r w:rsidRPr="00DE03F5">
        <w:rPr>
          <w:color w:val="1F1F1F"/>
        </w:rPr>
        <w:t>The Farm to Fork strategy calls for a minimum 20% reduction in fertilizer and pesticide use. Decreasing mineral fertilizer consumption can mitigate water pollution, nitrogen oxide emissions, and contribute to climate protection (European Commission, 2020). This measure also enhances agricultural circularity by enabling the utilization of waste products like compost, manure, and litter as organic fertilizer alternatives to mineral fertilizers.</w:t>
      </w:r>
    </w:p>
    <w:p w14:paraId="2F6F168A" w14:textId="1A0B1ED6" w:rsidR="00914B68" w:rsidRPr="00DE03F5" w:rsidRDefault="363F958D" w:rsidP="008D2649">
      <w:pPr>
        <w:pStyle w:val="Els-3rdorder-head"/>
        <w:rPr>
          <w:i w:val="0"/>
          <w:color w:val="000000" w:themeColor="text1"/>
        </w:rPr>
      </w:pPr>
      <w:r w:rsidRPr="00DE03F5">
        <w:rPr>
          <w:color w:val="000000" w:themeColor="text1"/>
        </w:rPr>
        <w:lastRenderedPageBreak/>
        <w:t>Use r</w:t>
      </w:r>
      <w:r w:rsidR="2CC7C939" w:rsidRPr="00DE03F5">
        <w:rPr>
          <w:color w:val="000000" w:themeColor="text1"/>
        </w:rPr>
        <w:t>egenerat</w:t>
      </w:r>
      <w:r w:rsidR="11C4615B" w:rsidRPr="00DE03F5">
        <w:rPr>
          <w:color w:val="000000" w:themeColor="text1"/>
        </w:rPr>
        <w:t>ion</w:t>
      </w:r>
      <w:r w:rsidR="2CC7C939" w:rsidRPr="00DE03F5">
        <w:rPr>
          <w:color w:val="000000" w:themeColor="text1"/>
        </w:rPr>
        <w:t xml:space="preserve"> </w:t>
      </w:r>
      <w:proofErr w:type="gramStart"/>
      <w:r w:rsidR="2CC7C939" w:rsidRPr="00DE03F5">
        <w:rPr>
          <w:color w:val="000000" w:themeColor="text1"/>
        </w:rPr>
        <w:t>strategies</w:t>
      </w:r>
      <w:proofErr w:type="gramEnd"/>
      <w:r w:rsidR="009B7FF7" w:rsidRPr="00DE03F5">
        <w:rPr>
          <w:color w:val="000000" w:themeColor="text1"/>
        </w:rPr>
        <w:t xml:space="preserve"> </w:t>
      </w:r>
    </w:p>
    <w:p w14:paraId="41E589A0" w14:textId="2A251AF7" w:rsidR="57FEADDF" w:rsidRPr="00DE03F5" w:rsidRDefault="57FEADDF" w:rsidP="6E3A534B">
      <w:pPr>
        <w:pStyle w:val="Els-body-text"/>
      </w:pPr>
      <w:r w:rsidRPr="00DE03F5">
        <w:rPr>
          <w:color w:val="1F1F1F"/>
        </w:rPr>
        <w:t>The Farm to Fork strategy seeks to expand the share of land dedicated to organic food production to at least 25%. Organic farming plays a significant role in enhancing agricultural circularity by employing various measures to minimize waste and optimize resource utilization. It produces sustainable crops without resorting to artificial chemicals. Organic farms have well-established practices for recycling and composting waste, along with the utilization of organic fertilizers. Organic farmers typically raise fewer animals compared to their conventional counterparts, contributing to soil fertility preservation and pollution reduction.</w:t>
      </w:r>
    </w:p>
    <w:p w14:paraId="0A1B8750" w14:textId="20BA9EF4" w:rsidR="00914B68" w:rsidRPr="00DE03F5" w:rsidRDefault="6ACEBAA2" w:rsidP="008D2649">
      <w:pPr>
        <w:pStyle w:val="Els-3rdorder-head"/>
        <w:rPr>
          <w:color w:val="000000" w:themeColor="text1"/>
        </w:rPr>
      </w:pPr>
      <w:r w:rsidRPr="00DE03F5">
        <w:rPr>
          <w:color w:val="000000" w:themeColor="text1"/>
        </w:rPr>
        <w:t>Narro</w:t>
      </w:r>
      <w:r w:rsidR="2248BC09" w:rsidRPr="00DE03F5">
        <w:rPr>
          <w:color w:val="000000" w:themeColor="text1"/>
        </w:rPr>
        <w:t>w</w:t>
      </w:r>
      <w:r w:rsidR="1EA56128" w:rsidRPr="00DE03F5">
        <w:rPr>
          <w:color w:val="000000" w:themeColor="text1"/>
        </w:rPr>
        <w:t xml:space="preserve"> </w:t>
      </w:r>
      <w:r w:rsidR="78D20420" w:rsidRPr="00DE03F5">
        <w:rPr>
          <w:color w:val="000000" w:themeColor="text1"/>
        </w:rPr>
        <w:t xml:space="preserve">food </w:t>
      </w:r>
      <w:r w:rsidR="1EA56128" w:rsidRPr="00DE03F5">
        <w:rPr>
          <w:color w:val="000000" w:themeColor="text1"/>
        </w:rPr>
        <w:t>consumption</w:t>
      </w:r>
    </w:p>
    <w:p w14:paraId="32456D5A" w14:textId="78B7EF50" w:rsidR="0AABF8DF" w:rsidRPr="00DE03F5" w:rsidRDefault="0AABF8DF" w:rsidP="364B31AE">
      <w:pPr>
        <w:pStyle w:val="Els-body-text"/>
      </w:pPr>
      <w:r w:rsidRPr="00DE03F5">
        <w:rPr>
          <w:color w:val="1F1F1F"/>
        </w:rPr>
        <w:t>According to the CGR report for the Netherlands, the ratio of animal to plant protein in the human diet used to be around 40/60, while in Western countries it is now around 60/40 (Circle Economy, 2020). In Slovenia, this ratio is even higher at 68.6/31.4, leading to excessive consumption of resources for animal feed and health problems due to obesity and environmental pollution.</w:t>
      </w:r>
      <w:r w:rsidR="00D50421" w:rsidRPr="00DE03F5">
        <w:rPr>
          <w:color w:val="1F1F1F"/>
        </w:rPr>
        <w:t xml:space="preserve"> Balancing the dietary habits with more plant-based foods and less meat consumption </w:t>
      </w:r>
      <w:r w:rsidRPr="00DE03F5">
        <w:rPr>
          <w:color w:val="1F1F1F"/>
        </w:rPr>
        <w:t>is an important measure for circular agriculture. For example, halving red meat consumption (RMC) would reduce total daily protein intake from 100 g per capita to 86 g and the ratio of animal to plant protein to 63.4/36.6, still providing more than enough protein for the average person, according to health recommendations.</w:t>
      </w:r>
    </w:p>
    <w:p w14:paraId="2DB2AB79" w14:textId="1E8B6877" w:rsidR="25F5E88E" w:rsidRPr="00DE03F5" w:rsidRDefault="25F5E88E" w:rsidP="48CA4F1C">
      <w:pPr>
        <w:pStyle w:val="Els-3rdorder-head"/>
      </w:pPr>
      <w:r w:rsidRPr="00DE03F5">
        <w:t>Reduc</w:t>
      </w:r>
      <w:r w:rsidR="11DCBD7D" w:rsidRPr="00DE03F5">
        <w:t xml:space="preserve">e </w:t>
      </w:r>
      <w:proofErr w:type="gramStart"/>
      <w:r w:rsidR="11DCBD7D" w:rsidRPr="00DE03F5">
        <w:t>waste</w:t>
      </w:r>
      <w:proofErr w:type="gramEnd"/>
    </w:p>
    <w:p w14:paraId="6D66D04F" w14:textId="5D0822D5" w:rsidR="13AFD19A" w:rsidRPr="00DE03F5" w:rsidRDefault="13AFD19A" w:rsidP="0D4B383B">
      <w:pPr>
        <w:pStyle w:val="Els-body-text"/>
        <w:rPr>
          <w:color w:val="1F1F1F"/>
        </w:rPr>
      </w:pPr>
      <w:r w:rsidRPr="00DE03F5">
        <w:rPr>
          <w:color w:val="1F1F1F"/>
        </w:rPr>
        <w:t xml:space="preserve">Minimizing food loss and waste is crucial for </w:t>
      </w:r>
      <w:r w:rsidR="6F231B8C" w:rsidRPr="00DE03F5">
        <w:rPr>
          <w:color w:val="1F1F1F"/>
        </w:rPr>
        <w:t>the circular economy, because producing food that is ultimately not eaten consumes large</w:t>
      </w:r>
      <w:r w:rsidRPr="00DE03F5">
        <w:rPr>
          <w:color w:val="1F1F1F"/>
        </w:rPr>
        <w:t xml:space="preserve"> amounts of resources. United Nations Sustainable Development Goal 12.3 targets a 50% reduction in food loss and waste (United Nations, 2015). Edible food waste (</w:t>
      </w:r>
      <w:proofErr w:type="spellStart"/>
      <w:r w:rsidRPr="00DE03F5">
        <w:rPr>
          <w:color w:val="1F1F1F"/>
        </w:rPr>
        <w:t>eFLW</w:t>
      </w:r>
      <w:proofErr w:type="spellEnd"/>
      <w:r w:rsidRPr="00DE03F5">
        <w:rPr>
          <w:color w:val="1F1F1F"/>
        </w:rPr>
        <w:t xml:space="preserve">) should be addressed through dietary changes, humanitarian initiatives, and education. Unavoidable food </w:t>
      </w:r>
      <w:r w:rsidR="320F3985" w:rsidRPr="00DE03F5">
        <w:rPr>
          <w:color w:val="1F1F1F"/>
        </w:rPr>
        <w:t>loss</w:t>
      </w:r>
      <w:r w:rsidRPr="00DE03F5">
        <w:rPr>
          <w:color w:val="1F1F1F"/>
        </w:rPr>
        <w:t xml:space="preserve"> and</w:t>
      </w:r>
      <w:r w:rsidR="320F3985" w:rsidRPr="00DE03F5">
        <w:rPr>
          <w:color w:val="1F1F1F"/>
        </w:rPr>
        <w:t xml:space="preserve"> </w:t>
      </w:r>
      <w:r w:rsidRPr="00DE03F5">
        <w:rPr>
          <w:color w:val="1F1F1F"/>
        </w:rPr>
        <w:t>waste should be transformed into bio-based products and bioenergy through cascading utilization.</w:t>
      </w:r>
    </w:p>
    <w:p w14:paraId="1F2F85CE" w14:textId="5B267FA9" w:rsidR="00914B68" w:rsidRPr="00DE03F5" w:rsidRDefault="6993E27F" w:rsidP="00914B68">
      <w:pPr>
        <w:pStyle w:val="Els-3rdorder-head"/>
        <w:rPr>
          <w:color w:val="000000" w:themeColor="text1"/>
        </w:rPr>
      </w:pPr>
      <w:r w:rsidRPr="00DE03F5">
        <w:rPr>
          <w:color w:val="000000" w:themeColor="text1"/>
        </w:rPr>
        <w:t xml:space="preserve">Produce </w:t>
      </w:r>
      <w:proofErr w:type="gramStart"/>
      <w:r w:rsidRPr="00DE03F5">
        <w:rPr>
          <w:color w:val="000000" w:themeColor="text1"/>
        </w:rPr>
        <w:t>local</w:t>
      </w:r>
      <w:proofErr w:type="gramEnd"/>
    </w:p>
    <w:p w14:paraId="1F660C79" w14:textId="40061F35" w:rsidR="68AB4BBE" w:rsidRPr="00DE03F5" w:rsidRDefault="68AB4BBE" w:rsidP="58442380">
      <w:pPr>
        <w:pStyle w:val="Els-body-text"/>
        <w:spacing w:line="259" w:lineRule="auto"/>
      </w:pPr>
      <w:r w:rsidRPr="00DE03F5">
        <w:rPr>
          <w:color w:val="1F1F1F"/>
        </w:rPr>
        <w:t>Local feed and meat production is crucial for a circular economy, according to the CGR report for the Netherlands</w:t>
      </w:r>
      <w:r w:rsidR="00B440ED" w:rsidRPr="00DE03F5">
        <w:rPr>
          <w:color w:val="1F1F1F"/>
        </w:rPr>
        <w:t xml:space="preserve"> (Circle Economy, 2020)</w:t>
      </w:r>
      <w:r w:rsidRPr="00DE03F5">
        <w:rPr>
          <w:color w:val="1F1F1F"/>
        </w:rPr>
        <w:t>. Eliminating animal product and feed imports and exports could boost the Netherlands' circularity metric by 1.5% and reduce its material footprint by 5.4%. Prioritizing local production would lessen cross-border transportation emissions.</w:t>
      </w:r>
      <w:r w:rsidR="54CDC93D" w:rsidRPr="00DE03F5">
        <w:rPr>
          <w:color w:val="1F1F1F"/>
        </w:rPr>
        <w:t xml:space="preserve"> The EU's principle of free movement of goods and services may hinder agricultural circularity and sustainability. Importing </w:t>
      </w:r>
      <w:r w:rsidR="6EB5BECA" w:rsidRPr="00DE03F5">
        <w:rPr>
          <w:color w:val="1F1F1F"/>
        </w:rPr>
        <w:t xml:space="preserve">cheap </w:t>
      </w:r>
      <w:r w:rsidR="54CDC93D" w:rsidRPr="00DE03F5">
        <w:rPr>
          <w:color w:val="1F1F1F"/>
        </w:rPr>
        <w:t xml:space="preserve">food from abroad while exporting the same </w:t>
      </w:r>
      <w:r w:rsidR="62C8E77C" w:rsidRPr="00DE03F5">
        <w:rPr>
          <w:color w:val="1F1F1F"/>
        </w:rPr>
        <w:t xml:space="preserve">type of </w:t>
      </w:r>
      <w:r w:rsidR="54CDC93D" w:rsidRPr="00DE03F5">
        <w:rPr>
          <w:color w:val="1F1F1F"/>
        </w:rPr>
        <w:t>domestically produced food lead</w:t>
      </w:r>
      <w:r w:rsidR="5AAD4F61" w:rsidRPr="00DE03F5">
        <w:rPr>
          <w:color w:val="1F1F1F"/>
        </w:rPr>
        <w:t>s</w:t>
      </w:r>
      <w:r w:rsidR="54CDC93D" w:rsidRPr="00DE03F5">
        <w:rPr>
          <w:color w:val="1F1F1F"/>
        </w:rPr>
        <w:t xml:space="preserve"> to unnecessary transportation emissions. Home-grown animals can consume local agricultural and food waste, reducing reliance on external sources. This shift would require political and financial incentives to discourage animal product imports and exports while supporting local producers through subsidies.</w:t>
      </w:r>
    </w:p>
    <w:p w14:paraId="0F3A96C3" w14:textId="45185A5F" w:rsidR="25F5E88E" w:rsidRPr="00DE03F5" w:rsidRDefault="3297CAA8" w:rsidP="48CA4F1C">
      <w:pPr>
        <w:pStyle w:val="Els-3rdorder-head"/>
        <w:rPr>
          <w:color w:val="000000" w:themeColor="text1"/>
        </w:rPr>
      </w:pPr>
      <w:r w:rsidRPr="00DE03F5">
        <w:rPr>
          <w:color w:val="000000" w:themeColor="text1"/>
        </w:rPr>
        <w:t>Minimize inputs,</w:t>
      </w:r>
      <w:r w:rsidR="009A5CB9" w:rsidRPr="00DE03F5">
        <w:rPr>
          <w:color w:val="000000" w:themeColor="text1"/>
        </w:rPr>
        <w:t xml:space="preserve"> </w:t>
      </w:r>
      <w:r w:rsidRPr="00DE03F5">
        <w:rPr>
          <w:color w:val="000000" w:themeColor="text1"/>
        </w:rPr>
        <w:t xml:space="preserve">maximize </w:t>
      </w:r>
      <w:proofErr w:type="gramStart"/>
      <w:r w:rsidRPr="00DE03F5">
        <w:rPr>
          <w:color w:val="000000" w:themeColor="text1"/>
        </w:rPr>
        <w:t>outputs</w:t>
      </w:r>
      <w:proofErr w:type="gramEnd"/>
    </w:p>
    <w:p w14:paraId="45478B12" w14:textId="08135878" w:rsidR="044243BC" w:rsidRPr="00DE03F5" w:rsidRDefault="04B29DFF" w:rsidP="685CBA5A">
      <w:pPr>
        <w:pStyle w:val="Els-body-text"/>
      </w:pPr>
      <w:r w:rsidRPr="00DE03F5">
        <w:rPr>
          <w:color w:val="1F1F1F"/>
        </w:rPr>
        <w:t>Circular food production necessitates maximizing output with minimal resource utilization. According to the European Commission (2016), crop yields have increased steadily, with cereal yields rising from an average of 5 t/ha to 6.2 t/ha between 1993 and 2015, representing a 24% increase. Yield improvements are expected to continue due to technological advancements, new crop varieties, enhanced management practices, and improved organization. Considering the uncertainty surrounding these forecasts, a conservative assumption was made for the next measure: a 10% increase in yield per hectare and a 10% reduction in mineral fertilizer use over the coming decades.</w:t>
      </w:r>
    </w:p>
    <w:p w14:paraId="144DE6A1" w14:textId="091EC03E" w:rsidR="008D2649" w:rsidRPr="00DE03F5" w:rsidRDefault="1EA56128" w:rsidP="008D2649">
      <w:pPr>
        <w:pStyle w:val="Els-1storder-head"/>
        <w:spacing w:after="120"/>
        <w:rPr>
          <w:color w:val="000000" w:themeColor="text1"/>
        </w:rPr>
      </w:pPr>
      <w:r w:rsidRPr="00DE03F5">
        <w:rPr>
          <w:color w:val="000000" w:themeColor="text1"/>
        </w:rPr>
        <w:lastRenderedPageBreak/>
        <w:t>Results</w:t>
      </w:r>
    </w:p>
    <w:p w14:paraId="44CDEA68" w14:textId="34EEB55F" w:rsidR="26D45F74" w:rsidRPr="00DE03F5" w:rsidRDefault="26D45F74" w:rsidP="3B391206">
      <w:pPr>
        <w:rPr>
          <w:lang w:val="en-US"/>
        </w:rPr>
      </w:pPr>
      <w:r w:rsidRPr="00DE03F5">
        <w:rPr>
          <w:lang w:val="en-US"/>
        </w:rPr>
        <w:t>The estimated value of the ACS index for the current situation of Slovenian agriculture is 32.1 points</w:t>
      </w:r>
      <w:r w:rsidR="7BE0320A" w:rsidRPr="00DE03F5">
        <w:rPr>
          <w:lang w:val="en-US"/>
        </w:rPr>
        <w:t xml:space="preserve"> (</w:t>
      </w:r>
      <w:r w:rsidR="00C42217">
        <w:rPr>
          <w:lang w:val="en-US"/>
        </w:rPr>
        <w:t xml:space="preserve">left rectangle in </w:t>
      </w:r>
      <w:r w:rsidR="7BE0320A" w:rsidRPr="00DE03F5">
        <w:rPr>
          <w:lang w:val="en-US"/>
        </w:rPr>
        <w:t>Figure 1)</w:t>
      </w:r>
      <w:r w:rsidRPr="00DE03F5">
        <w:rPr>
          <w:lang w:val="en-US"/>
        </w:rPr>
        <w:t xml:space="preserve">, </w:t>
      </w:r>
      <w:r w:rsidRPr="00F372A6">
        <w:rPr>
          <w:lang w:val="en-US"/>
        </w:rPr>
        <w:t xml:space="preserve">with the highest value for the Economy sub-index </w:t>
      </w:r>
      <w:r w:rsidRPr="009A31AD">
        <w:rPr>
          <w:color w:val="FF0000"/>
          <w:lang w:val="en-US"/>
        </w:rPr>
        <w:t>(45</w:t>
      </w:r>
      <w:r w:rsidR="00D17447" w:rsidRPr="009A31AD">
        <w:rPr>
          <w:color w:val="FF0000"/>
          <w:lang w:val="en-US"/>
        </w:rPr>
        <w:t xml:space="preserve"> </w:t>
      </w:r>
      <w:r w:rsidR="00D83E5F" w:rsidRPr="002153B8">
        <w:rPr>
          <w:color w:val="FF0000"/>
          <w:lang w:val="en-US"/>
        </w:rPr>
        <w:t>points</w:t>
      </w:r>
      <w:r w:rsidR="0089336F" w:rsidRPr="002153B8">
        <w:rPr>
          <w:color w:val="FF0000"/>
          <w:lang w:val="en-US"/>
        </w:rPr>
        <w:t>, grey column</w:t>
      </w:r>
      <w:r w:rsidRPr="002153B8">
        <w:rPr>
          <w:color w:val="FF0000"/>
          <w:lang w:val="en-US"/>
        </w:rPr>
        <w:t>)</w:t>
      </w:r>
      <w:r w:rsidR="00FA1BD2" w:rsidRPr="002153B8">
        <w:rPr>
          <w:color w:val="FF0000"/>
          <w:lang w:val="en-US"/>
        </w:rPr>
        <w:t xml:space="preserve"> following by the Environment (</w:t>
      </w:r>
      <w:r w:rsidR="007B28BA" w:rsidRPr="002153B8">
        <w:rPr>
          <w:color w:val="FF0000"/>
          <w:lang w:val="en-US"/>
        </w:rPr>
        <w:t xml:space="preserve">39, green) and </w:t>
      </w:r>
      <w:r w:rsidR="009028E8" w:rsidRPr="002153B8">
        <w:rPr>
          <w:color w:val="FF0000"/>
          <w:lang w:val="en-US"/>
        </w:rPr>
        <w:t>Society (3</w:t>
      </w:r>
      <w:r w:rsidR="008D0A56">
        <w:rPr>
          <w:color w:val="FF0000"/>
          <w:lang w:val="en-US"/>
        </w:rPr>
        <w:t>6</w:t>
      </w:r>
      <w:r w:rsidR="009028E8" w:rsidRPr="002153B8">
        <w:rPr>
          <w:color w:val="FF0000"/>
          <w:lang w:val="en-US"/>
        </w:rPr>
        <w:t>,</w:t>
      </w:r>
      <w:r w:rsidR="00360375" w:rsidRPr="002153B8">
        <w:rPr>
          <w:color w:val="FF0000"/>
          <w:lang w:val="en-US"/>
        </w:rPr>
        <w:t xml:space="preserve"> blue)</w:t>
      </w:r>
      <w:r w:rsidR="00DE03F5" w:rsidRPr="002153B8">
        <w:rPr>
          <w:color w:val="FF0000"/>
          <w:lang w:val="en-US"/>
        </w:rPr>
        <w:t>,</w:t>
      </w:r>
      <w:r w:rsidRPr="002153B8">
        <w:rPr>
          <w:color w:val="FF0000"/>
          <w:lang w:val="en-US"/>
        </w:rPr>
        <w:t xml:space="preserve"> </w:t>
      </w:r>
      <w:r w:rsidR="00DE03F5" w:rsidRPr="002153B8">
        <w:rPr>
          <w:color w:val="FF0000"/>
          <w:lang w:val="en-US"/>
        </w:rPr>
        <w:t>while the lowest value is for the FLW sub-index (8, brown)</w:t>
      </w:r>
      <w:r w:rsidRPr="002153B8">
        <w:rPr>
          <w:color w:val="FF0000"/>
          <w:lang w:val="en-US"/>
        </w:rPr>
        <w:t>.</w:t>
      </w:r>
    </w:p>
    <w:p w14:paraId="6852FD20" w14:textId="009DF568" w:rsidR="00EB3E92" w:rsidRPr="00DE03F5" w:rsidRDefault="00EB3E92" w:rsidP="364B31AE">
      <w:pPr>
        <w:keepNext/>
        <w:rPr>
          <w:lang w:val="en-US"/>
        </w:rPr>
      </w:pPr>
      <w:r>
        <w:rPr>
          <w:noProof/>
          <w:lang w:val="en-US"/>
        </w:rPr>
        <w:drawing>
          <wp:inline distT="0" distB="0" distL="0" distR="0" wp14:anchorId="46DC40F7" wp14:editId="26031530">
            <wp:extent cx="4367793" cy="1938532"/>
            <wp:effectExtent l="0" t="0" r="0" b="5080"/>
            <wp:docPr id="2075689526"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89526" name="Picture 1" descr="A screenshot of a computer scree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67793" cy="1938532"/>
                    </a:xfrm>
                    <a:prstGeom prst="rect">
                      <a:avLst/>
                    </a:prstGeom>
                  </pic:spPr>
                </pic:pic>
              </a:graphicData>
            </a:graphic>
          </wp:inline>
        </w:drawing>
      </w:r>
    </w:p>
    <w:p w14:paraId="79A0AE36" w14:textId="4960FD1A" w:rsidR="43DAA5E5" w:rsidRPr="00DE03F5" w:rsidRDefault="43DAA5E5" w:rsidP="364B31AE">
      <w:pPr>
        <w:pStyle w:val="Caption"/>
        <w:jc w:val="both"/>
      </w:pPr>
      <w:r w:rsidRPr="00DE03F5">
        <w:t xml:space="preserve">Figure </w:t>
      </w:r>
      <w:r w:rsidRPr="00DE03F5">
        <w:fldChar w:fldCharType="begin"/>
      </w:r>
      <w:r w:rsidRPr="00DE03F5">
        <w:instrText xml:space="preserve"> SEQ Figure \* ARABIC </w:instrText>
      </w:r>
      <w:r w:rsidRPr="00DE03F5">
        <w:fldChar w:fldCharType="separate"/>
      </w:r>
      <w:r w:rsidRPr="00DE03F5">
        <w:rPr>
          <w:noProof/>
        </w:rPr>
        <w:t>1</w:t>
      </w:r>
      <w:r w:rsidRPr="00DE03F5">
        <w:fldChar w:fldCharType="end"/>
      </w:r>
      <w:r w:rsidRPr="00DE03F5">
        <w:t>: ACS index and principal category sub-indexes</w:t>
      </w:r>
    </w:p>
    <w:p w14:paraId="69C5E452" w14:textId="2F56DAD6" w:rsidR="00FA119F" w:rsidRDefault="450E6909" w:rsidP="58442380">
      <w:pPr>
        <w:rPr>
          <w:color w:val="1F1F1F"/>
          <w:lang w:val="en-US"/>
        </w:rPr>
      </w:pPr>
      <w:r w:rsidRPr="00DE03F5">
        <w:rPr>
          <w:color w:val="1F1F1F"/>
          <w:lang w:val="en-US"/>
        </w:rPr>
        <w:t xml:space="preserve">Limiting </w:t>
      </w:r>
      <w:r w:rsidR="003C41A4" w:rsidRPr="003C41A4">
        <w:rPr>
          <w:color w:val="1F1F1F"/>
        </w:rPr>
        <w:t xml:space="preserve">mineral fertilizer use to a maximum of 80% of current levels (-20% MF in Figure 1) raises the ACS index to 54.8 points. </w:t>
      </w:r>
      <w:r w:rsidR="003C41A4" w:rsidRPr="00992F83">
        <w:rPr>
          <w:color w:val="FF0000"/>
        </w:rPr>
        <w:t xml:space="preserve">This </w:t>
      </w:r>
      <w:r w:rsidR="006F2DB0">
        <w:rPr>
          <w:color w:val="FF0000"/>
        </w:rPr>
        <w:t xml:space="preserve">significant </w:t>
      </w:r>
      <w:r w:rsidR="003C41A4" w:rsidRPr="00992F83">
        <w:rPr>
          <w:color w:val="FF0000"/>
        </w:rPr>
        <w:t>uplift stems from a substantial surge in the Society sub</w:t>
      </w:r>
      <w:r w:rsidR="00992F83">
        <w:rPr>
          <w:color w:val="FF0000"/>
        </w:rPr>
        <w:t>-</w:t>
      </w:r>
      <w:r w:rsidR="003C41A4" w:rsidRPr="00992F83">
        <w:rPr>
          <w:color w:val="FF0000"/>
        </w:rPr>
        <w:t>index (from 36 to 95 points), primarily attributed to the enhanced local food production</w:t>
      </w:r>
      <w:r w:rsidR="007822BD">
        <w:rPr>
          <w:color w:val="FF0000"/>
        </w:rPr>
        <w:t xml:space="preserve"> which is the result of the </w:t>
      </w:r>
      <w:r w:rsidR="005B0565">
        <w:rPr>
          <w:color w:val="FF0000"/>
        </w:rPr>
        <w:t>optimized distribution of agricultural land</w:t>
      </w:r>
      <w:r w:rsidR="003C41A4" w:rsidRPr="00992F83">
        <w:rPr>
          <w:color w:val="FF0000"/>
        </w:rPr>
        <w:t xml:space="preserve">. The Environmental sub-index also experiences a substantial boost, reaching 70 points. This advancement is driven by a 66% reduction in mineral fertilizer consumption compared to the current level, coupled with an increase in the share of organic agriculture from 7.7% to 43.5%. </w:t>
      </w:r>
      <w:r w:rsidR="003C41A4" w:rsidRPr="003C41A4">
        <w:rPr>
          <w:color w:val="1F1F1F"/>
        </w:rPr>
        <w:t xml:space="preserve">This achievement aligns with the Farm to Fork strategy's mandate of at least 25% organic agriculture, </w:t>
      </w:r>
      <w:r w:rsidR="00056E05">
        <w:rPr>
          <w:color w:val="1F1F1F"/>
        </w:rPr>
        <w:t>explaining</w:t>
      </w:r>
      <w:r w:rsidR="003C41A4" w:rsidRPr="003C41A4">
        <w:rPr>
          <w:color w:val="1F1F1F"/>
        </w:rPr>
        <w:t xml:space="preserve"> that the same </w:t>
      </w:r>
      <w:r w:rsidR="000E08E5">
        <w:rPr>
          <w:color w:val="1F1F1F"/>
        </w:rPr>
        <w:t xml:space="preserve">optimal </w:t>
      </w:r>
      <w:r w:rsidR="003C41A4" w:rsidRPr="003C41A4">
        <w:rPr>
          <w:color w:val="1F1F1F"/>
        </w:rPr>
        <w:t xml:space="preserve">solution </w:t>
      </w:r>
      <w:r w:rsidR="00436633">
        <w:rPr>
          <w:color w:val="1F1F1F"/>
        </w:rPr>
        <w:t>was</w:t>
      </w:r>
      <w:r w:rsidR="003C41A4" w:rsidRPr="003C41A4">
        <w:rPr>
          <w:color w:val="1F1F1F"/>
        </w:rPr>
        <w:t xml:space="preserve"> attained </w:t>
      </w:r>
      <w:r w:rsidR="00436633">
        <w:rPr>
          <w:color w:val="1F1F1F"/>
        </w:rPr>
        <w:t xml:space="preserve">also </w:t>
      </w:r>
      <w:r w:rsidR="003C41A4" w:rsidRPr="003C41A4">
        <w:rPr>
          <w:color w:val="1F1F1F"/>
        </w:rPr>
        <w:t>by implementing the second measure</w:t>
      </w:r>
      <w:r w:rsidR="00B14E0B">
        <w:rPr>
          <w:color w:val="1F1F1F"/>
        </w:rPr>
        <w:t xml:space="preserve"> </w:t>
      </w:r>
      <w:r w:rsidR="00B14E0B" w:rsidRPr="003C41A4">
        <w:rPr>
          <w:color w:val="1F1F1F"/>
        </w:rPr>
        <w:t>(25% OF</w:t>
      </w:r>
      <w:r w:rsidR="00B14E0B">
        <w:rPr>
          <w:color w:val="1F1F1F"/>
        </w:rPr>
        <w:t xml:space="preserve"> in Figure 1</w:t>
      </w:r>
      <w:r w:rsidR="00B14E0B" w:rsidRPr="003C41A4">
        <w:rPr>
          <w:color w:val="1F1F1F"/>
        </w:rPr>
        <w:t>)</w:t>
      </w:r>
      <w:r w:rsidR="003C41A4" w:rsidRPr="003C41A4">
        <w:rPr>
          <w:color w:val="1F1F1F"/>
        </w:rPr>
        <w:t>.</w:t>
      </w:r>
    </w:p>
    <w:p w14:paraId="5F383FFA" w14:textId="56F9DD4C" w:rsidR="001B3F82" w:rsidRDefault="2F50D056" w:rsidP="58442380">
      <w:r w:rsidRPr="00DE03F5">
        <w:rPr>
          <w:color w:val="1F1F1F"/>
          <w:lang w:val="en-US"/>
        </w:rPr>
        <w:t xml:space="preserve">Reducing red meat consumption by half </w:t>
      </w:r>
      <w:r w:rsidR="1AF2AF37" w:rsidRPr="00DE03F5">
        <w:rPr>
          <w:color w:val="1F1F1F"/>
          <w:lang w:val="en-US"/>
        </w:rPr>
        <w:t xml:space="preserve">(-50% RMC) </w:t>
      </w:r>
      <w:r w:rsidRPr="00DE03F5">
        <w:rPr>
          <w:color w:val="1F1F1F"/>
          <w:lang w:val="en-US"/>
        </w:rPr>
        <w:t>increases the ACS index to</w:t>
      </w:r>
      <w:r w:rsidR="00DF3D2E">
        <w:rPr>
          <w:color w:val="1F1F1F"/>
          <w:lang w:val="en-US"/>
        </w:rPr>
        <w:t xml:space="preserve"> </w:t>
      </w:r>
      <w:r w:rsidR="00DF3D2E" w:rsidRPr="00DE03F5">
        <w:rPr>
          <w:color w:val="1F1F1F"/>
          <w:lang w:val="en-US"/>
        </w:rPr>
        <w:t>57.5 points</w:t>
      </w:r>
      <w:r w:rsidRPr="00DE03F5">
        <w:rPr>
          <w:color w:val="1F1F1F"/>
          <w:lang w:val="en-US"/>
        </w:rPr>
        <w:t xml:space="preserve">. </w:t>
      </w:r>
      <w:r w:rsidRPr="00C00796">
        <w:rPr>
          <w:color w:val="FF0000"/>
          <w:lang w:val="en-US"/>
        </w:rPr>
        <w:t xml:space="preserve">The Society sub-index value nears its maximum (99.5), indicating </w:t>
      </w:r>
      <w:r w:rsidR="00AA6597" w:rsidRPr="00C00796">
        <w:rPr>
          <w:color w:val="FF0000"/>
        </w:rPr>
        <w:t>a</w:t>
      </w:r>
      <w:r w:rsidR="009E6276">
        <w:rPr>
          <w:color w:val="FF0000"/>
        </w:rPr>
        <w:t>n abundant</w:t>
      </w:r>
      <w:r w:rsidR="00AA6597" w:rsidRPr="00C00796">
        <w:rPr>
          <w:color w:val="FF0000"/>
        </w:rPr>
        <w:t xml:space="preserve"> supply of local</w:t>
      </w:r>
      <w:r w:rsidR="003B237F">
        <w:rPr>
          <w:color w:val="FF0000"/>
        </w:rPr>
        <w:t xml:space="preserve"> </w:t>
      </w:r>
      <w:r w:rsidR="00AA6597" w:rsidRPr="00C00796">
        <w:rPr>
          <w:color w:val="FF0000"/>
        </w:rPr>
        <w:t xml:space="preserve">food. The Environment sub-index also </w:t>
      </w:r>
      <w:r w:rsidR="00A13DCD">
        <w:rPr>
          <w:color w:val="FF0000"/>
        </w:rPr>
        <w:t xml:space="preserve">reaches a high value of </w:t>
      </w:r>
      <w:r w:rsidR="00AA6597" w:rsidRPr="00C00796">
        <w:rPr>
          <w:color w:val="FF0000"/>
        </w:rPr>
        <w:t>71 points</w:t>
      </w:r>
      <w:r w:rsidR="00396AD3">
        <w:rPr>
          <w:color w:val="FF0000"/>
        </w:rPr>
        <w:t>, as</w:t>
      </w:r>
      <w:r w:rsidR="00585B9E">
        <w:rPr>
          <w:color w:val="FF0000"/>
        </w:rPr>
        <w:t xml:space="preserve"> </w:t>
      </w:r>
      <w:r w:rsidR="00AA6597" w:rsidRPr="00C00796">
        <w:rPr>
          <w:color w:val="FF0000"/>
        </w:rPr>
        <w:t xml:space="preserve">emissions, </w:t>
      </w:r>
      <w:r w:rsidR="006D6C04">
        <w:rPr>
          <w:color w:val="FF0000"/>
        </w:rPr>
        <w:t>particularly</w:t>
      </w:r>
      <w:r w:rsidR="00585B9E">
        <w:rPr>
          <w:color w:val="FF0000"/>
        </w:rPr>
        <w:t xml:space="preserve"> </w:t>
      </w:r>
      <w:r w:rsidR="003B237F">
        <w:rPr>
          <w:color w:val="FF0000"/>
        </w:rPr>
        <w:t xml:space="preserve">from animal husbandry, would </w:t>
      </w:r>
      <w:r w:rsidR="00203027">
        <w:rPr>
          <w:color w:val="FF0000"/>
        </w:rPr>
        <w:t>fall</w:t>
      </w:r>
      <w:r w:rsidR="00AA6597" w:rsidRPr="00C00796">
        <w:rPr>
          <w:color w:val="FF0000"/>
        </w:rPr>
        <w:t>.</w:t>
      </w:r>
      <w:r w:rsidR="008C196E">
        <w:rPr>
          <w:color w:val="FF0000"/>
        </w:rPr>
        <w:t xml:space="preserve"> </w:t>
      </w:r>
      <w:r w:rsidR="0EA342EF" w:rsidRPr="00DE03F5">
        <w:rPr>
          <w:color w:val="1F1F1F"/>
          <w:lang w:val="en-US"/>
        </w:rPr>
        <w:t xml:space="preserve">Eliminating half of the edible FLW </w:t>
      </w:r>
      <w:r w:rsidR="10763E9A" w:rsidRPr="00DE03F5">
        <w:rPr>
          <w:color w:val="1F1F1F"/>
          <w:lang w:val="en-US"/>
        </w:rPr>
        <w:t xml:space="preserve">(-50% </w:t>
      </w:r>
      <w:proofErr w:type="spellStart"/>
      <w:r w:rsidR="10763E9A" w:rsidRPr="00DE03F5">
        <w:rPr>
          <w:color w:val="1F1F1F"/>
          <w:lang w:val="en-US"/>
        </w:rPr>
        <w:t>eFLW</w:t>
      </w:r>
      <w:proofErr w:type="spellEnd"/>
      <w:r w:rsidR="10763E9A" w:rsidRPr="00DE03F5">
        <w:rPr>
          <w:color w:val="1F1F1F"/>
          <w:lang w:val="en-US"/>
        </w:rPr>
        <w:t>)</w:t>
      </w:r>
      <w:r w:rsidR="0EA342EF" w:rsidRPr="00DE03F5">
        <w:rPr>
          <w:color w:val="1F1F1F"/>
          <w:lang w:val="en-US"/>
        </w:rPr>
        <w:t xml:space="preserve"> would double the ACS index, surpassing the impact of all other measures. Abolishing animal product imports and exports</w:t>
      </w:r>
      <w:r w:rsidR="21E444DC" w:rsidRPr="00DE03F5">
        <w:rPr>
          <w:color w:val="1F1F1F"/>
          <w:lang w:val="en-US"/>
        </w:rPr>
        <w:t xml:space="preserve"> (IMP-EXP)</w:t>
      </w:r>
      <w:r w:rsidR="0EA342EF" w:rsidRPr="00DE03F5">
        <w:rPr>
          <w:color w:val="1F1F1F"/>
          <w:lang w:val="en-US"/>
        </w:rPr>
        <w:t xml:space="preserve">, as proposed in the Netherlands' CGR report, </w:t>
      </w:r>
      <w:r w:rsidR="00B66720">
        <w:rPr>
          <w:color w:val="1F1F1F"/>
          <w:lang w:val="en-US"/>
        </w:rPr>
        <w:t xml:space="preserve">would </w:t>
      </w:r>
      <w:r w:rsidR="0EA342EF" w:rsidRPr="00DE03F5">
        <w:rPr>
          <w:color w:val="1F1F1F"/>
          <w:lang w:val="en-US"/>
        </w:rPr>
        <w:t xml:space="preserve">raise the ACS index. </w:t>
      </w:r>
      <w:r w:rsidR="00B605E9">
        <w:rPr>
          <w:color w:val="FF0000"/>
          <w:lang w:val="en-US"/>
        </w:rPr>
        <w:t>However,</w:t>
      </w:r>
      <w:r w:rsidR="0EA342EF" w:rsidRPr="00B4057B">
        <w:rPr>
          <w:color w:val="FF0000"/>
          <w:lang w:val="en-US"/>
        </w:rPr>
        <w:t xml:space="preserve"> </w:t>
      </w:r>
      <w:r w:rsidR="00C86E97" w:rsidRPr="00B4057B">
        <w:rPr>
          <w:color w:val="FF0000"/>
          <w:lang w:val="en-US"/>
        </w:rPr>
        <w:t>if meat consumption remains unchanged, this measure</w:t>
      </w:r>
      <w:r w:rsidR="00B4057B" w:rsidRPr="00B4057B">
        <w:rPr>
          <w:color w:val="FF0000"/>
          <w:lang w:val="en-US"/>
        </w:rPr>
        <w:t xml:space="preserve"> </w:t>
      </w:r>
      <w:r w:rsidR="0EA342EF" w:rsidRPr="00B4057B">
        <w:rPr>
          <w:color w:val="FF0000"/>
          <w:lang w:val="en-US"/>
        </w:rPr>
        <w:t>lead</w:t>
      </w:r>
      <w:r w:rsidR="00B605E9">
        <w:rPr>
          <w:color w:val="FF0000"/>
          <w:lang w:val="en-US"/>
        </w:rPr>
        <w:t>s</w:t>
      </w:r>
      <w:r w:rsidR="0EA342EF" w:rsidRPr="00B4057B">
        <w:rPr>
          <w:color w:val="FF0000"/>
          <w:lang w:val="en-US"/>
        </w:rPr>
        <w:t xml:space="preserve"> </w:t>
      </w:r>
      <w:r w:rsidR="0EA342EF" w:rsidRPr="00B4273A">
        <w:rPr>
          <w:color w:val="FF0000"/>
          <w:lang w:val="en-US"/>
        </w:rPr>
        <w:t xml:space="preserve">to </w:t>
      </w:r>
      <w:r w:rsidR="00677570">
        <w:rPr>
          <w:color w:val="FF0000"/>
          <w:lang w:val="en-US"/>
        </w:rPr>
        <w:t xml:space="preserve">an </w:t>
      </w:r>
      <w:r w:rsidR="0EA342EF" w:rsidRPr="00B4273A">
        <w:rPr>
          <w:color w:val="FF0000"/>
          <w:lang w:val="en-US"/>
        </w:rPr>
        <w:t>increase</w:t>
      </w:r>
      <w:r w:rsidR="00677570">
        <w:rPr>
          <w:color w:val="FF0000"/>
          <w:lang w:val="en-US"/>
        </w:rPr>
        <w:t xml:space="preserve"> in</w:t>
      </w:r>
      <w:r w:rsidR="0EA342EF" w:rsidRPr="00B4273A">
        <w:rPr>
          <w:color w:val="FF0000"/>
          <w:lang w:val="en-US"/>
        </w:rPr>
        <w:t xml:space="preserve"> GHG emissions and fertilizer use </w:t>
      </w:r>
      <w:r w:rsidR="00204360">
        <w:rPr>
          <w:color w:val="FF0000"/>
          <w:lang w:val="en-US"/>
        </w:rPr>
        <w:t xml:space="preserve">compared to previous measures </w:t>
      </w:r>
      <w:r w:rsidR="00220A41">
        <w:rPr>
          <w:color w:val="FF0000"/>
          <w:lang w:val="en-US"/>
        </w:rPr>
        <w:t>as</w:t>
      </w:r>
      <w:r w:rsidR="0EA342EF" w:rsidRPr="00B4273A">
        <w:rPr>
          <w:color w:val="FF0000"/>
          <w:lang w:val="en-US"/>
        </w:rPr>
        <w:t xml:space="preserve"> all animal-based food</w:t>
      </w:r>
      <w:r w:rsidR="00506CEE">
        <w:rPr>
          <w:color w:val="FF0000"/>
          <w:lang w:val="en-US"/>
        </w:rPr>
        <w:t>s</w:t>
      </w:r>
      <w:r w:rsidR="00220A41">
        <w:rPr>
          <w:color w:val="FF0000"/>
          <w:lang w:val="en-US"/>
        </w:rPr>
        <w:t xml:space="preserve"> are produced domestically</w:t>
      </w:r>
      <w:r w:rsidR="7D6ADED2" w:rsidRPr="00B4273A">
        <w:rPr>
          <w:color w:val="FF0000"/>
          <w:lang w:val="en-US"/>
        </w:rPr>
        <w:t>.</w:t>
      </w:r>
      <w:r w:rsidR="0C361BA4" w:rsidRPr="00B4273A">
        <w:rPr>
          <w:color w:val="FF0000"/>
          <w:lang w:val="en-US"/>
        </w:rPr>
        <w:t xml:space="preserve"> </w:t>
      </w:r>
      <w:r w:rsidR="18BA3A1A" w:rsidRPr="00DE03F5">
        <w:rPr>
          <w:color w:val="1F1F1F"/>
          <w:lang w:val="en-US"/>
        </w:rPr>
        <w:t xml:space="preserve">A 10% increase in agricultural productivity </w:t>
      </w:r>
      <w:r w:rsidR="6950EF0A" w:rsidRPr="00DE03F5">
        <w:rPr>
          <w:color w:val="1F1F1F"/>
          <w:lang w:val="en-US"/>
        </w:rPr>
        <w:t xml:space="preserve">(10% HY, -10% MF) </w:t>
      </w:r>
      <w:r w:rsidR="18BA3A1A" w:rsidRPr="00DE03F5">
        <w:rPr>
          <w:color w:val="1F1F1F"/>
          <w:lang w:val="en-US"/>
        </w:rPr>
        <w:t xml:space="preserve">would </w:t>
      </w:r>
      <w:r w:rsidR="006C732E">
        <w:rPr>
          <w:color w:val="1F1F1F"/>
          <w:lang w:val="en-US"/>
        </w:rPr>
        <w:t>additionally</w:t>
      </w:r>
      <w:r w:rsidR="18BA3A1A" w:rsidRPr="00DE03F5">
        <w:rPr>
          <w:color w:val="1F1F1F"/>
          <w:lang w:val="en-US"/>
        </w:rPr>
        <w:t xml:space="preserve"> improve the ACS index compared to implementing the measures of Farm to Fork strategy (</w:t>
      </w:r>
      <w:r w:rsidR="00F30C8C" w:rsidRPr="00910B80">
        <w:rPr>
          <w:color w:val="FF0000"/>
          <w:lang w:val="en-US"/>
        </w:rPr>
        <w:t>-20% MF and 25% OF</w:t>
      </w:r>
      <w:r w:rsidR="18BA3A1A" w:rsidRPr="00DE03F5">
        <w:rPr>
          <w:color w:val="1F1F1F"/>
          <w:lang w:val="en-US"/>
        </w:rPr>
        <w:t xml:space="preserve">). </w:t>
      </w:r>
      <w:r w:rsidR="0029082A" w:rsidRPr="0029082A">
        <w:rPr>
          <w:color w:val="FF0000"/>
          <w:lang w:val="en-US"/>
        </w:rPr>
        <w:t xml:space="preserve">This improvement is primarily due to the higher Environment sub-index, as the higher productivity enables an increase in </w:t>
      </w:r>
      <w:r w:rsidR="002E4157">
        <w:rPr>
          <w:color w:val="FF0000"/>
          <w:lang w:val="en-US"/>
        </w:rPr>
        <w:t xml:space="preserve">the share of </w:t>
      </w:r>
      <w:r w:rsidR="0029082A" w:rsidRPr="0029082A">
        <w:rPr>
          <w:color w:val="FF0000"/>
          <w:lang w:val="en-US"/>
        </w:rPr>
        <w:t xml:space="preserve">organic production to 50%, which </w:t>
      </w:r>
      <w:r w:rsidR="00A66E9B">
        <w:rPr>
          <w:color w:val="FF0000"/>
          <w:lang w:val="en-US"/>
        </w:rPr>
        <w:t xml:space="preserve">substantially </w:t>
      </w:r>
      <w:r w:rsidR="0029082A" w:rsidRPr="0029082A">
        <w:rPr>
          <w:color w:val="FF0000"/>
          <w:lang w:val="en-US"/>
        </w:rPr>
        <w:t>reduces the use of mineral fertilizers</w:t>
      </w:r>
      <w:r w:rsidR="002A50EF">
        <w:rPr>
          <w:color w:val="FF0000"/>
          <w:lang w:val="en-US"/>
        </w:rPr>
        <w:t>.</w:t>
      </w:r>
    </w:p>
    <w:p w14:paraId="03A26899" w14:textId="1B73EF52" w:rsidR="005F64DC" w:rsidRPr="000275EA" w:rsidRDefault="18BA3A1A" w:rsidP="58442380">
      <w:pPr>
        <w:rPr>
          <w:color w:val="1F1F1F"/>
          <w:lang w:val="en-US"/>
        </w:rPr>
      </w:pPr>
      <w:r w:rsidRPr="00DE03F5">
        <w:rPr>
          <w:color w:val="1F1F1F"/>
          <w:lang w:val="en-US"/>
        </w:rPr>
        <w:t xml:space="preserve">Implementing all proposed measures would boost the ACS index from </w:t>
      </w:r>
      <w:r w:rsidR="00EE1772">
        <w:rPr>
          <w:color w:val="1F1F1F"/>
          <w:lang w:val="en-US"/>
        </w:rPr>
        <w:t xml:space="preserve">the current </w:t>
      </w:r>
      <w:r w:rsidRPr="00DE03F5">
        <w:rPr>
          <w:color w:val="1F1F1F"/>
          <w:lang w:val="en-US"/>
        </w:rPr>
        <w:t xml:space="preserve">32.1 to 67.6 points. This scenario would maximize the Society sub-index to 100 points, indicating local availability of essential food groups. This would significantly mitigate </w:t>
      </w:r>
      <w:r w:rsidRPr="00DE03F5">
        <w:rPr>
          <w:color w:val="1F1F1F"/>
          <w:lang w:val="en-US"/>
        </w:rPr>
        <w:lastRenderedPageBreak/>
        <w:t xml:space="preserve">environmental impact, reduce food waste, and </w:t>
      </w:r>
      <w:r w:rsidR="001E4ED4">
        <w:rPr>
          <w:color w:val="1F1F1F"/>
          <w:lang w:val="en-US"/>
        </w:rPr>
        <w:t>maintain economic</w:t>
      </w:r>
      <w:r w:rsidRPr="00DE03F5">
        <w:rPr>
          <w:color w:val="1F1F1F"/>
          <w:lang w:val="en-US"/>
        </w:rPr>
        <w:t xml:space="preserve"> </w:t>
      </w:r>
      <w:r w:rsidR="009D6578">
        <w:rPr>
          <w:color w:val="1F1F1F"/>
          <w:lang w:val="en-US"/>
        </w:rPr>
        <w:t>performance</w:t>
      </w:r>
      <w:r w:rsidRPr="00DE03F5">
        <w:rPr>
          <w:color w:val="1F1F1F"/>
          <w:lang w:val="en-US"/>
        </w:rPr>
        <w:t>.</w:t>
      </w:r>
      <w:r w:rsidR="008C196E">
        <w:rPr>
          <w:color w:val="1F1F1F"/>
          <w:lang w:val="en-US"/>
        </w:rPr>
        <w:t xml:space="preserve"> </w:t>
      </w:r>
      <w:r w:rsidR="005B1D7B" w:rsidRPr="00C72C7C">
        <w:rPr>
          <w:color w:val="FF0000"/>
        </w:rPr>
        <w:t xml:space="preserve">It is noteworthy that the </w:t>
      </w:r>
      <w:r w:rsidR="000275EA">
        <w:rPr>
          <w:color w:val="FF0000"/>
        </w:rPr>
        <w:t>ACS index</w:t>
      </w:r>
      <w:r w:rsidR="005B1D7B" w:rsidRPr="00C72C7C">
        <w:rPr>
          <w:color w:val="FF0000"/>
        </w:rPr>
        <w:t xml:space="preserve"> </w:t>
      </w:r>
      <w:r w:rsidR="008A3D60">
        <w:rPr>
          <w:color w:val="FF0000"/>
        </w:rPr>
        <w:t xml:space="preserve">of </w:t>
      </w:r>
      <w:r w:rsidR="005B1D7B" w:rsidRPr="00C72C7C">
        <w:rPr>
          <w:color w:val="FF0000"/>
        </w:rPr>
        <w:t xml:space="preserve">the solution obtained by maximizing the </w:t>
      </w:r>
      <w:r w:rsidR="00B26E29">
        <w:rPr>
          <w:color w:val="FF0000"/>
        </w:rPr>
        <w:t xml:space="preserve">production of </w:t>
      </w:r>
      <w:r w:rsidR="005B1D7B" w:rsidRPr="00C72C7C">
        <w:rPr>
          <w:color w:val="FF0000"/>
        </w:rPr>
        <w:t xml:space="preserve">food and feed in our previous work </w:t>
      </w:r>
      <w:r w:rsidR="00AC6AB3" w:rsidRPr="00C72C7C">
        <w:rPr>
          <w:color w:val="FF0000"/>
        </w:rPr>
        <w:t xml:space="preserve">(Drofenik et al., 2023) </w:t>
      </w:r>
      <w:r w:rsidR="008A3D60">
        <w:rPr>
          <w:color w:val="FF0000"/>
        </w:rPr>
        <w:t>was</w:t>
      </w:r>
      <w:r w:rsidR="005B1D7B" w:rsidRPr="00C72C7C">
        <w:rPr>
          <w:color w:val="FF0000"/>
        </w:rPr>
        <w:t xml:space="preserve"> </w:t>
      </w:r>
      <w:r w:rsidR="004E6802">
        <w:rPr>
          <w:color w:val="FF0000"/>
        </w:rPr>
        <w:t>a mere</w:t>
      </w:r>
      <w:r w:rsidR="005B1D7B" w:rsidRPr="00C72C7C">
        <w:rPr>
          <w:color w:val="FF0000"/>
        </w:rPr>
        <w:t xml:space="preserve"> 39 points. </w:t>
      </w:r>
      <w:r w:rsidR="005F64DC" w:rsidRPr="00FF47C5">
        <w:rPr>
          <w:color w:val="FF0000"/>
        </w:rPr>
        <w:t xml:space="preserve">This </w:t>
      </w:r>
      <w:r w:rsidR="000F092E">
        <w:rPr>
          <w:color w:val="FF0000"/>
        </w:rPr>
        <w:t>highlight</w:t>
      </w:r>
      <w:r w:rsidR="005F64DC" w:rsidRPr="00FF47C5">
        <w:rPr>
          <w:color w:val="FF0000"/>
        </w:rPr>
        <w:t xml:space="preserve">s the </w:t>
      </w:r>
      <w:r w:rsidR="000F092E">
        <w:rPr>
          <w:color w:val="FF0000"/>
        </w:rPr>
        <w:t>central</w:t>
      </w:r>
      <w:r w:rsidR="005F64DC" w:rsidRPr="00FF47C5">
        <w:rPr>
          <w:color w:val="FF0000"/>
        </w:rPr>
        <w:t xml:space="preserve"> role of optimization with an appropriately tailored multi-objective function. </w:t>
      </w:r>
      <w:r w:rsidR="001D40E8" w:rsidRPr="001D40E8">
        <w:rPr>
          <w:color w:val="FF0000"/>
        </w:rPr>
        <w:t xml:space="preserve">This approach can lead to solutions that not only achieve a </w:t>
      </w:r>
      <w:r w:rsidR="004223D6">
        <w:rPr>
          <w:color w:val="FF0000"/>
        </w:rPr>
        <w:t xml:space="preserve">high </w:t>
      </w:r>
      <w:r w:rsidR="001D40E8" w:rsidRPr="001D40E8">
        <w:rPr>
          <w:color w:val="FF0000"/>
        </w:rPr>
        <w:t>level of food security</w:t>
      </w:r>
      <w:r w:rsidR="00572849">
        <w:rPr>
          <w:color w:val="FF0000"/>
        </w:rPr>
        <w:t>,</w:t>
      </w:r>
      <w:r w:rsidR="001D40E8" w:rsidRPr="001D40E8">
        <w:rPr>
          <w:color w:val="FF0000"/>
        </w:rPr>
        <w:t xml:space="preserve"> but are also environmentally and economically sound</w:t>
      </w:r>
      <w:r w:rsidR="005F64DC" w:rsidRPr="00FF47C5">
        <w:rPr>
          <w:color w:val="FF0000"/>
        </w:rPr>
        <w:t>.</w:t>
      </w:r>
    </w:p>
    <w:p w14:paraId="398A6785" w14:textId="1C4E4F98" w:rsidR="00DA4FA7" w:rsidRPr="00DE03F5" w:rsidRDefault="1EA56128" w:rsidP="00DA4FA7">
      <w:pPr>
        <w:pStyle w:val="Els-1storder-head"/>
        <w:spacing w:after="120"/>
        <w:rPr>
          <w:color w:val="000000" w:themeColor="text1"/>
        </w:rPr>
      </w:pPr>
      <w:r w:rsidRPr="00DE03F5">
        <w:rPr>
          <w:color w:val="000000" w:themeColor="text1"/>
        </w:rPr>
        <w:t>Conclusions</w:t>
      </w:r>
    </w:p>
    <w:p w14:paraId="52DAEE5C" w14:textId="1593D58D" w:rsidR="33D03A13" w:rsidRPr="00DE03F5" w:rsidRDefault="33D03A13" w:rsidP="58442380">
      <w:pPr>
        <w:pStyle w:val="Els-body-text"/>
        <w:spacing w:line="259" w:lineRule="auto"/>
      </w:pPr>
      <w:r w:rsidRPr="00DE03F5">
        <w:rPr>
          <w:color w:val="1F1F1F"/>
        </w:rPr>
        <w:t xml:space="preserve">A novel metric, the 'Agriculture Circularity and Sustainability index' (ACS), was introduced and integrated as a multi-criteria objective function into the MILP model to optimize the food supply chain. The ACS index enables the evaluation of agricultural sector performance and promotes circular and sustainable food production solutions. The individual impacts of six measures were assessed: reducing artificial fertilizer use, food waste production, </w:t>
      </w:r>
      <w:r w:rsidR="00D50421" w:rsidRPr="00DE03F5">
        <w:rPr>
          <w:color w:val="1F1F1F"/>
        </w:rPr>
        <w:t>a change of dietary habits</w:t>
      </w:r>
      <w:r w:rsidR="00837A32" w:rsidRPr="00DE03F5">
        <w:rPr>
          <w:color w:val="1F1F1F"/>
        </w:rPr>
        <w:t>,</w:t>
      </w:r>
      <w:r w:rsidRPr="00DE03F5">
        <w:rPr>
          <w:color w:val="1F1F1F"/>
        </w:rPr>
        <w:t xml:space="preserve"> promoting organic farming</w:t>
      </w:r>
      <w:r w:rsidR="00837A32" w:rsidRPr="00DE03F5">
        <w:rPr>
          <w:color w:val="1F1F1F"/>
        </w:rPr>
        <w:t>,</w:t>
      </w:r>
      <w:r w:rsidRPr="00DE03F5">
        <w:rPr>
          <w:color w:val="1F1F1F"/>
        </w:rPr>
        <w:t xml:space="preserve"> enhancing food production productivity</w:t>
      </w:r>
      <w:r w:rsidR="00837A32" w:rsidRPr="00DE03F5">
        <w:rPr>
          <w:color w:val="1F1F1F"/>
        </w:rPr>
        <w:t>,</w:t>
      </w:r>
      <w:r w:rsidRPr="00DE03F5">
        <w:rPr>
          <w:color w:val="1F1F1F"/>
        </w:rPr>
        <w:t xml:space="preserve"> and balancing the import and export of animal-derived food. The case study for Slovenia revealed that implementing all measures would </w:t>
      </w:r>
      <w:r w:rsidR="00D47FF6" w:rsidRPr="00DE03F5">
        <w:rPr>
          <w:color w:val="1F1F1F"/>
        </w:rPr>
        <w:t>more than double the overall</w:t>
      </w:r>
      <w:r w:rsidRPr="00DE03F5">
        <w:rPr>
          <w:color w:val="1F1F1F"/>
        </w:rPr>
        <w:t xml:space="preserve"> ACS index, from the current 32.1 points to 67.6 points. Food waste reduction and red meat consumption reduction have the most significant contributions to this improvement. Additionally, investing in increased agricultural productivity is crucial due to projected population growth and climate change.</w:t>
      </w:r>
    </w:p>
    <w:p w14:paraId="54081212" w14:textId="0B50EE19" w:rsidR="00C656A9" w:rsidRPr="00DE03F5" w:rsidRDefault="00C656A9" w:rsidP="00C656A9">
      <w:pPr>
        <w:pStyle w:val="Els-reference-head"/>
        <w:rPr>
          <w:color w:val="000000" w:themeColor="text1"/>
        </w:rPr>
      </w:pPr>
      <w:r w:rsidRPr="00DE03F5">
        <w:rPr>
          <w:color w:val="000000" w:themeColor="text1"/>
        </w:rPr>
        <w:t>Acknowledgement</w:t>
      </w:r>
    </w:p>
    <w:p w14:paraId="12B085A3" w14:textId="7722CCC9" w:rsidR="00047F52" w:rsidRPr="00DE03F5" w:rsidRDefault="00047F52" w:rsidP="00C656A9">
      <w:pPr>
        <w:rPr>
          <w:lang w:val="en-US"/>
        </w:rPr>
      </w:pPr>
      <w:r w:rsidRPr="00DE03F5">
        <w:rPr>
          <w:lang w:val="en-US"/>
        </w:rPr>
        <w:t xml:space="preserve">The authors thank the Ministry of </w:t>
      </w:r>
      <w:r w:rsidR="00C656A9" w:rsidRPr="00DE03F5">
        <w:rPr>
          <w:lang w:val="en-US"/>
        </w:rPr>
        <w:t>the Environment, Climate and Energy and Slovenian Research and Innovation Agency (Project V2-2279</w:t>
      </w:r>
      <w:r w:rsidR="00D843BD" w:rsidRPr="00DE03F5">
        <w:rPr>
          <w:lang w:val="en-US"/>
        </w:rPr>
        <w:t xml:space="preserve"> and Program P2-0414</w:t>
      </w:r>
      <w:r w:rsidR="00C656A9" w:rsidRPr="00DE03F5">
        <w:rPr>
          <w:lang w:val="en-US"/>
        </w:rPr>
        <w:t>) for support.</w:t>
      </w:r>
    </w:p>
    <w:p w14:paraId="144DE6BF" w14:textId="58CAE1EB" w:rsidR="008D2649" w:rsidRPr="00DE03F5" w:rsidRDefault="008D2649" w:rsidP="008D2649">
      <w:pPr>
        <w:pStyle w:val="Els-reference-head"/>
        <w:rPr>
          <w:color w:val="000000" w:themeColor="text1"/>
        </w:rPr>
      </w:pPr>
      <w:bookmarkStart w:id="0" w:name="_Hlk151722666"/>
      <w:r w:rsidRPr="00DE03F5">
        <w:rPr>
          <w:color w:val="000000" w:themeColor="text1"/>
        </w:rPr>
        <w:t>References</w:t>
      </w:r>
    </w:p>
    <w:bookmarkEnd w:id="0"/>
    <w:p w14:paraId="417F5C38" w14:textId="51C13E8F" w:rsidR="00280B41" w:rsidRPr="00DE03F5" w:rsidRDefault="00280B41" w:rsidP="008D2649">
      <w:pPr>
        <w:pStyle w:val="Els-referenceno-number"/>
        <w:rPr>
          <w:color w:val="000000" w:themeColor="text1"/>
          <w:lang w:val="en-US"/>
        </w:rPr>
      </w:pPr>
      <w:r w:rsidRPr="00DE03F5">
        <w:rPr>
          <w:color w:val="000000" w:themeColor="text1"/>
          <w:lang w:val="en-US"/>
        </w:rPr>
        <w:t>A. Ali Chandio</w:t>
      </w:r>
      <w:r w:rsidR="00B23658" w:rsidRPr="00DE03F5">
        <w:rPr>
          <w:color w:val="000000" w:themeColor="text1"/>
          <w:lang w:val="en-US"/>
        </w:rPr>
        <w:t>, D. Ozdemir, Y. Jiang, 2023, Mod</w:t>
      </w:r>
      <w:r w:rsidR="00E040BF" w:rsidRPr="00DE03F5">
        <w:rPr>
          <w:color w:val="000000" w:themeColor="text1"/>
          <w:lang w:val="en-US"/>
        </w:rPr>
        <w:t>elling the impact of climate change and a</w:t>
      </w:r>
      <w:r w:rsidR="0064647C" w:rsidRPr="00DE03F5">
        <w:rPr>
          <w:color w:val="000000" w:themeColor="text1"/>
          <w:lang w:val="en-US"/>
        </w:rPr>
        <w:t>dvanced agricultural technologies on grain output: Recent evidence from China</w:t>
      </w:r>
      <w:r w:rsidR="007F6FEB" w:rsidRPr="00DE03F5">
        <w:rPr>
          <w:color w:val="000000" w:themeColor="text1"/>
          <w:lang w:val="en-US"/>
        </w:rPr>
        <w:t>,</w:t>
      </w:r>
      <w:r w:rsidR="0008586C" w:rsidRPr="00DE03F5">
        <w:rPr>
          <w:color w:val="000000" w:themeColor="text1"/>
          <w:lang w:val="en-US"/>
        </w:rPr>
        <w:t xml:space="preserve"> Ecological Modelling, 485, 110501.</w:t>
      </w:r>
    </w:p>
    <w:p w14:paraId="6D4AA589" w14:textId="75947A24" w:rsidR="00911E26" w:rsidRPr="00DE03F5" w:rsidRDefault="00911E26" w:rsidP="008D2649">
      <w:pPr>
        <w:pStyle w:val="Els-referenceno-number"/>
        <w:rPr>
          <w:color w:val="000000"/>
          <w:szCs w:val="18"/>
          <w:lang w:val="en-US"/>
        </w:rPr>
      </w:pPr>
      <w:r w:rsidRPr="00DE03F5">
        <w:rPr>
          <w:color w:val="000000" w:themeColor="text1"/>
          <w:lang w:val="en-US"/>
        </w:rPr>
        <w:t xml:space="preserve">S. G. Baratsas, </w:t>
      </w:r>
      <w:r w:rsidRPr="00DE03F5">
        <w:rPr>
          <w:color w:val="000000"/>
          <w:szCs w:val="18"/>
          <w:lang w:val="en-US"/>
        </w:rPr>
        <w:t xml:space="preserve">E. N. Pistikopoulos, S. Avraamidou, </w:t>
      </w:r>
      <w:r w:rsidR="00047F52" w:rsidRPr="00DE03F5">
        <w:rPr>
          <w:color w:val="000000"/>
          <w:szCs w:val="18"/>
          <w:lang w:val="en-US"/>
        </w:rPr>
        <w:t>2022, A quantitative and holistic circular economy assessment framework at the micro level</w:t>
      </w:r>
      <w:r w:rsidR="00831760" w:rsidRPr="00DE03F5">
        <w:rPr>
          <w:color w:val="000000"/>
          <w:szCs w:val="18"/>
          <w:lang w:val="en-US"/>
        </w:rPr>
        <w:t>,</w:t>
      </w:r>
      <w:r w:rsidR="00047F52" w:rsidRPr="00DE03F5">
        <w:rPr>
          <w:color w:val="000000"/>
          <w:szCs w:val="18"/>
          <w:lang w:val="en-US"/>
        </w:rPr>
        <w:t xml:space="preserve"> Computers &amp; Chemical Engineering, 160, 107697.</w:t>
      </w:r>
    </w:p>
    <w:p w14:paraId="45AE7317" w14:textId="1E7B46FF" w:rsidR="0023665C" w:rsidRPr="00DE03F5" w:rsidRDefault="0023665C" w:rsidP="008D2649">
      <w:pPr>
        <w:pStyle w:val="Els-referenceno-number"/>
        <w:rPr>
          <w:color w:val="000000" w:themeColor="text1"/>
          <w:lang w:val="en-US"/>
        </w:rPr>
      </w:pPr>
      <w:r w:rsidRPr="00DE03F5">
        <w:rPr>
          <w:color w:val="000000" w:themeColor="text1"/>
          <w:lang w:val="en-US"/>
        </w:rPr>
        <w:t>Circle Economy, 2020</w:t>
      </w:r>
      <w:r w:rsidR="007576A7" w:rsidRPr="00DE03F5">
        <w:rPr>
          <w:color w:val="000000" w:themeColor="text1"/>
          <w:lang w:val="en-US"/>
        </w:rPr>
        <w:t>,</w:t>
      </w:r>
      <w:r w:rsidR="00FF55CB" w:rsidRPr="00DE03F5">
        <w:rPr>
          <w:color w:val="000000" w:themeColor="text1"/>
          <w:lang w:val="en-US"/>
        </w:rPr>
        <w:t xml:space="preserve"> The Circularity Gap Report: the Netherlands</w:t>
      </w:r>
      <w:r w:rsidR="00261507" w:rsidRPr="00DE03F5">
        <w:rPr>
          <w:color w:val="000000" w:themeColor="text1"/>
          <w:lang w:val="en-US"/>
        </w:rPr>
        <w:t xml:space="preserve">, </w:t>
      </w:r>
      <w:r w:rsidR="00DA4FA7" w:rsidRPr="00DE03F5">
        <w:rPr>
          <w:color w:val="000000" w:themeColor="text1"/>
          <w:lang w:val="en-US"/>
        </w:rPr>
        <w:t>https://www.circularity-gap.world/netherlands, accessed on September 27, 2023.</w:t>
      </w:r>
    </w:p>
    <w:p w14:paraId="2BF3212F" w14:textId="74AAEBA5" w:rsidR="0008586C" w:rsidRPr="00DE03F5" w:rsidRDefault="0008586C" w:rsidP="000F5C8F">
      <w:pPr>
        <w:pStyle w:val="Els-referenceno-number"/>
        <w:rPr>
          <w:color w:val="000000" w:themeColor="text1"/>
          <w:lang w:val="en-US"/>
        </w:rPr>
      </w:pPr>
      <w:r w:rsidRPr="00DE03F5">
        <w:rPr>
          <w:color w:val="000000" w:themeColor="text1"/>
          <w:lang w:val="en-US"/>
        </w:rPr>
        <w:t xml:space="preserve">H. Dagevos, C. de Lauwere, 2021, </w:t>
      </w:r>
      <w:r w:rsidR="000F5C8F" w:rsidRPr="00DE03F5">
        <w:rPr>
          <w:color w:val="000000" w:themeColor="text1"/>
          <w:lang w:val="en-US"/>
        </w:rPr>
        <w:t>Circular Business Models and Circular Agriculture: Perceptions and Practices of Dutch Farmers, Sustainability, 13, 1282</w:t>
      </w:r>
      <w:r w:rsidR="000D330F" w:rsidRPr="00DE03F5">
        <w:rPr>
          <w:color w:val="000000" w:themeColor="text1"/>
          <w:lang w:val="en-US"/>
        </w:rPr>
        <w:t>.</w:t>
      </w:r>
    </w:p>
    <w:p w14:paraId="0E09576F" w14:textId="7D89D667" w:rsidR="00E91384" w:rsidRPr="00DE03F5" w:rsidRDefault="00E91384" w:rsidP="00E91384">
      <w:pPr>
        <w:pStyle w:val="Els-referenceno-number"/>
        <w:rPr>
          <w:color w:val="000000"/>
          <w:szCs w:val="18"/>
          <w:lang w:val="en-US"/>
        </w:rPr>
      </w:pPr>
      <w:r w:rsidRPr="00DE03F5">
        <w:rPr>
          <w:color w:val="000000" w:themeColor="text1"/>
          <w:lang w:val="en-US"/>
        </w:rPr>
        <w:t>J. Drofenik,</w:t>
      </w:r>
      <w:r w:rsidR="00A45CCB" w:rsidRPr="00DE03F5">
        <w:rPr>
          <w:color w:val="000000" w:themeColor="text1"/>
          <w:lang w:val="en-US"/>
        </w:rPr>
        <w:t xml:space="preserve"> </w:t>
      </w:r>
      <w:r w:rsidRPr="00DE03F5">
        <w:rPr>
          <w:color w:val="000000" w:themeColor="text1"/>
          <w:lang w:val="en-US"/>
        </w:rPr>
        <w:t>B. Pahor, Z. Kravanja, Z. Novak Pintarič, 202</w:t>
      </w:r>
      <w:r w:rsidR="00A45CCB" w:rsidRPr="00DE03F5">
        <w:rPr>
          <w:color w:val="000000" w:themeColor="text1"/>
          <w:lang w:val="en-US"/>
        </w:rPr>
        <w:t>3</w:t>
      </w:r>
      <w:r w:rsidRPr="00DE03F5">
        <w:rPr>
          <w:color w:val="000000" w:themeColor="text1"/>
          <w:lang w:val="en-US"/>
        </w:rPr>
        <w:t xml:space="preserve">, </w:t>
      </w:r>
      <w:r w:rsidR="00A45CCB" w:rsidRPr="00DE03F5">
        <w:rPr>
          <w:color w:val="000000" w:themeColor="text1"/>
          <w:lang w:val="en-US"/>
        </w:rPr>
        <w:t>Multi-objective scenario optimization</w:t>
      </w:r>
      <w:r w:rsidR="00134E38" w:rsidRPr="00DE03F5">
        <w:rPr>
          <w:color w:val="000000" w:themeColor="text1"/>
          <w:lang w:val="en-US"/>
        </w:rPr>
        <w:t xml:space="preserve"> of the food supply chain – Slovenian case study</w:t>
      </w:r>
      <w:r w:rsidRPr="00DE03F5">
        <w:rPr>
          <w:color w:val="000000" w:themeColor="text1"/>
          <w:lang w:val="en-US"/>
        </w:rPr>
        <w:t xml:space="preserve">, Computer </w:t>
      </w:r>
      <w:r w:rsidR="00A45CCB" w:rsidRPr="00DE03F5">
        <w:rPr>
          <w:color w:val="000000" w:themeColor="text1"/>
          <w:lang w:val="en-US"/>
        </w:rPr>
        <w:t>and</w:t>
      </w:r>
      <w:r w:rsidRPr="00DE03F5">
        <w:rPr>
          <w:color w:val="000000" w:themeColor="text1"/>
          <w:lang w:val="en-US"/>
        </w:rPr>
        <w:t xml:space="preserve"> Chemical Engineering, 1</w:t>
      </w:r>
      <w:r w:rsidR="00A45CCB" w:rsidRPr="00DE03F5">
        <w:rPr>
          <w:color w:val="000000" w:themeColor="text1"/>
          <w:lang w:val="en-US"/>
        </w:rPr>
        <w:t>72</w:t>
      </w:r>
      <w:r w:rsidRPr="00DE03F5">
        <w:rPr>
          <w:color w:val="000000" w:themeColor="text1"/>
          <w:lang w:val="en-US"/>
        </w:rPr>
        <w:t xml:space="preserve">, </w:t>
      </w:r>
      <w:r w:rsidR="00A45CCB" w:rsidRPr="00DE03F5">
        <w:rPr>
          <w:color w:val="000000" w:themeColor="text1"/>
          <w:lang w:val="en-US"/>
        </w:rPr>
        <w:t>108197</w:t>
      </w:r>
      <w:r w:rsidRPr="00DE03F5">
        <w:rPr>
          <w:color w:val="000000" w:themeColor="text1"/>
          <w:lang w:val="en-US"/>
        </w:rPr>
        <w:t>.</w:t>
      </w:r>
    </w:p>
    <w:p w14:paraId="764018AA" w14:textId="0E5B878B" w:rsidR="00835F63" w:rsidRPr="00DE03F5" w:rsidRDefault="00835F63" w:rsidP="00E4058B">
      <w:pPr>
        <w:pStyle w:val="Els-referenceno-number"/>
        <w:rPr>
          <w:szCs w:val="18"/>
          <w:lang w:val="en-US"/>
        </w:rPr>
      </w:pPr>
      <w:r w:rsidRPr="00DE03F5">
        <w:rPr>
          <w:szCs w:val="18"/>
          <w:lang w:val="en-US"/>
        </w:rPr>
        <w:t>European Co</w:t>
      </w:r>
      <w:r w:rsidR="00D57E1B" w:rsidRPr="00DE03F5">
        <w:rPr>
          <w:szCs w:val="18"/>
          <w:lang w:val="en-US"/>
        </w:rPr>
        <w:t>m</w:t>
      </w:r>
      <w:r w:rsidRPr="00DE03F5">
        <w:rPr>
          <w:szCs w:val="18"/>
          <w:lang w:val="en-US"/>
        </w:rPr>
        <w:t>mission, 201</w:t>
      </w:r>
      <w:r w:rsidR="00D57E1B" w:rsidRPr="00DE03F5">
        <w:rPr>
          <w:szCs w:val="18"/>
          <w:lang w:val="en-US"/>
        </w:rPr>
        <w:t xml:space="preserve">6, Productivity in EU agriculture – slowly but steadily growing, </w:t>
      </w:r>
      <w:r w:rsidR="00E93EA0" w:rsidRPr="00DE03F5">
        <w:rPr>
          <w:szCs w:val="18"/>
          <w:lang w:val="en-US"/>
        </w:rPr>
        <w:t>https://agriculture.ec.europa.eu/system/files/2019-10/agri-market-brief-10_en_0.pdf, accessed November 26, 2023</w:t>
      </w:r>
    </w:p>
    <w:p w14:paraId="69BC45C4" w14:textId="56898F02" w:rsidR="00E4058B" w:rsidRPr="00DE03F5" w:rsidRDefault="006F5592" w:rsidP="00E4058B">
      <w:pPr>
        <w:pStyle w:val="Els-referenceno-number"/>
        <w:rPr>
          <w:szCs w:val="18"/>
          <w:lang w:val="en-US"/>
        </w:rPr>
      </w:pPr>
      <w:r w:rsidRPr="00DE03F5">
        <w:rPr>
          <w:szCs w:val="18"/>
          <w:lang w:val="en-US"/>
        </w:rPr>
        <w:t>European Commission, 2020,</w:t>
      </w:r>
      <w:r w:rsidR="00035379" w:rsidRPr="00DE03F5">
        <w:rPr>
          <w:szCs w:val="18"/>
          <w:lang w:val="en-US"/>
        </w:rPr>
        <w:t xml:space="preserve"> Farm to Fork Strategy,</w:t>
      </w:r>
      <w:r w:rsidRPr="00DE03F5">
        <w:rPr>
          <w:szCs w:val="18"/>
          <w:lang w:val="en-US"/>
        </w:rPr>
        <w:t xml:space="preserve"> ec.europa.eu/food/system/files/2020-05/f2f_action-plan_2020_strategy-info_en.pdf, accessed </w:t>
      </w:r>
      <w:r w:rsidR="00D14B23" w:rsidRPr="00DE03F5">
        <w:rPr>
          <w:szCs w:val="18"/>
          <w:lang w:val="en-US"/>
        </w:rPr>
        <w:t xml:space="preserve">October </w:t>
      </w:r>
      <w:r w:rsidR="00CC283F" w:rsidRPr="00DE03F5">
        <w:rPr>
          <w:szCs w:val="18"/>
          <w:lang w:val="en-US"/>
        </w:rPr>
        <w:t>18,</w:t>
      </w:r>
      <w:r w:rsidRPr="00DE03F5">
        <w:rPr>
          <w:szCs w:val="18"/>
          <w:lang w:val="en-US"/>
        </w:rPr>
        <w:t xml:space="preserve"> 2021.</w:t>
      </w:r>
    </w:p>
    <w:p w14:paraId="0B83FE23" w14:textId="77777777" w:rsidR="002A07DC" w:rsidRPr="00DE03F5" w:rsidRDefault="002A07DC" w:rsidP="002A07DC">
      <w:pPr>
        <w:pStyle w:val="Els-referenceno-number"/>
        <w:rPr>
          <w:color w:val="000000" w:themeColor="text1"/>
          <w:lang w:val="en-US"/>
        </w:rPr>
      </w:pPr>
      <w:r w:rsidRPr="00DE03F5">
        <w:rPr>
          <w:color w:val="000000" w:themeColor="text1"/>
          <w:lang w:val="en-US"/>
        </w:rPr>
        <w:t>United Nations, 2015, Sustainable Development Goals, Target 12.3, https://sdgs.un.org/goals/goal12#targets_and_indicators, accessed November 26, 2023.</w:t>
      </w:r>
    </w:p>
    <w:p w14:paraId="7820FD0C" w14:textId="7E15BD81" w:rsidR="00254D3B" w:rsidRPr="00DE03F5" w:rsidRDefault="00E4058B" w:rsidP="00254D3B">
      <w:pPr>
        <w:pStyle w:val="Els-referenceno-number"/>
        <w:rPr>
          <w:szCs w:val="18"/>
          <w:lang w:val="en-US"/>
        </w:rPr>
      </w:pPr>
      <w:r w:rsidRPr="00DE03F5">
        <w:rPr>
          <w:szCs w:val="18"/>
          <w:lang w:val="en-US"/>
        </w:rPr>
        <w:t>J</w:t>
      </w:r>
      <w:r w:rsidR="00E33EEC" w:rsidRPr="00DE03F5">
        <w:rPr>
          <w:szCs w:val="18"/>
          <w:lang w:val="en-US"/>
        </w:rPr>
        <w:t>. F. Velasco-Muñoz</w:t>
      </w:r>
      <w:r w:rsidR="00947F09" w:rsidRPr="00DE03F5">
        <w:rPr>
          <w:szCs w:val="18"/>
          <w:lang w:val="en-US"/>
        </w:rPr>
        <w:t>, J. M. F. Menoza</w:t>
      </w:r>
      <w:r w:rsidR="007736D0" w:rsidRPr="00DE03F5">
        <w:rPr>
          <w:szCs w:val="18"/>
          <w:lang w:val="en-US"/>
        </w:rPr>
        <w:t>, J. A. Aznar-Sánchez</w:t>
      </w:r>
      <w:r w:rsidR="003E718D" w:rsidRPr="00DE03F5">
        <w:rPr>
          <w:szCs w:val="18"/>
          <w:lang w:val="en-US"/>
        </w:rPr>
        <w:t>, A. Gallego-Schmid</w:t>
      </w:r>
      <w:r w:rsidR="00904C1D" w:rsidRPr="00DE03F5">
        <w:rPr>
          <w:szCs w:val="18"/>
          <w:lang w:val="en-US"/>
        </w:rPr>
        <w:t xml:space="preserve">, 2021, </w:t>
      </w:r>
      <w:r w:rsidR="000271D3" w:rsidRPr="00DE03F5">
        <w:rPr>
          <w:szCs w:val="18"/>
          <w:lang w:val="en-US"/>
        </w:rPr>
        <w:t>Circular economy implementation in the agricultural sector: Definition, strategies and indicators,</w:t>
      </w:r>
      <w:r w:rsidR="00265DED" w:rsidRPr="00DE03F5">
        <w:rPr>
          <w:szCs w:val="18"/>
          <w:lang w:val="en-US"/>
        </w:rPr>
        <w:t xml:space="preserve"> Resources, Conservation and Recycling, </w:t>
      </w:r>
      <w:r w:rsidR="001A7A91" w:rsidRPr="00DE03F5">
        <w:rPr>
          <w:szCs w:val="18"/>
          <w:lang w:val="en-US"/>
        </w:rPr>
        <w:t>170, 105618.</w:t>
      </w:r>
    </w:p>
    <w:p w14:paraId="214A2DA0" w14:textId="77777777" w:rsidR="009819A5" w:rsidRPr="00DE03F5" w:rsidRDefault="009819A5" w:rsidP="00920F8A">
      <w:pPr>
        <w:pStyle w:val="Els-referenceno-number"/>
        <w:ind w:left="0" w:firstLine="0"/>
        <w:rPr>
          <w:szCs w:val="18"/>
          <w:lang w:val="en-US"/>
        </w:rPr>
      </w:pPr>
    </w:p>
    <w:sectPr w:rsidR="009819A5" w:rsidRPr="00DE03F5"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5FDE" w14:textId="77777777" w:rsidR="0076390D" w:rsidRDefault="0076390D">
      <w:r>
        <w:separator/>
      </w:r>
    </w:p>
  </w:endnote>
  <w:endnote w:type="continuationSeparator" w:id="0">
    <w:p w14:paraId="031173EB" w14:textId="77777777" w:rsidR="0076390D" w:rsidRDefault="0076390D">
      <w:r>
        <w:continuationSeparator/>
      </w:r>
    </w:p>
  </w:endnote>
  <w:endnote w:type="continuationNotice" w:id="1">
    <w:p w14:paraId="2E28634F" w14:textId="77777777" w:rsidR="0076390D" w:rsidRDefault="00763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D175" w14:textId="77777777" w:rsidR="0076390D" w:rsidRDefault="0076390D">
      <w:r>
        <w:separator/>
      </w:r>
    </w:p>
  </w:footnote>
  <w:footnote w:type="continuationSeparator" w:id="0">
    <w:p w14:paraId="683926E1" w14:textId="77777777" w:rsidR="0076390D" w:rsidRDefault="0076390D">
      <w:r>
        <w:continuationSeparator/>
      </w:r>
    </w:p>
  </w:footnote>
  <w:footnote w:type="continuationNotice" w:id="1">
    <w:p w14:paraId="45BF9415" w14:textId="77777777" w:rsidR="0076390D" w:rsidRDefault="00763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9B23A45" w:rsidR="00DD3D9E" w:rsidRDefault="00DD3D9E">
    <w:pPr>
      <w:pStyle w:val="Header"/>
      <w:tabs>
        <w:tab w:val="clear" w:pos="7200"/>
        <w:tab w:val="right" w:pos="7088"/>
      </w:tabs>
    </w:pPr>
    <w:r>
      <w:rPr>
        <w:rStyle w:val="PageNumber"/>
      </w:rPr>
      <w:tab/>
    </w:r>
    <w:r>
      <w:rPr>
        <w:rStyle w:val="PageNumber"/>
        <w:i/>
      </w:rPr>
      <w:tab/>
    </w:r>
    <w:r w:rsidR="00C82B97">
      <w:rPr>
        <w:i/>
      </w:rPr>
      <w:t>J. Drofenik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8D82" w14:textId="15A57E4D" w:rsidR="002D709F" w:rsidRPr="002D709F" w:rsidRDefault="002D709F" w:rsidP="002D709F">
    <w:pPr>
      <w:rPr>
        <w:i/>
        <w:iCs/>
      </w:rPr>
    </w:pPr>
    <w:r w:rsidRPr="002D709F">
      <w:rPr>
        <w:i/>
        <w:iCs/>
      </w:rPr>
      <w:t>Using Mathematical Optimization for the Transition to</w:t>
    </w:r>
    <w:r w:rsidR="009819A5">
      <w:rPr>
        <w:i/>
        <w:iCs/>
      </w:rPr>
      <w:t xml:space="preserve"> Sustainable and</w:t>
    </w:r>
    <w:r w:rsidRPr="002D709F">
      <w:rPr>
        <w:i/>
        <w:iCs/>
      </w:rPr>
      <w:t xml:space="preserve"> Circular Agriculture</w:t>
    </w:r>
  </w:p>
  <w:p w14:paraId="144DE6CA" w14:textId="2ABFA2F0"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65D914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CFD865"/>
    <w:multiLevelType w:val="hybridMultilevel"/>
    <w:tmpl w:val="7336790C"/>
    <w:lvl w:ilvl="0" w:tplc="67B86268">
      <w:start w:val="1"/>
      <w:numFmt w:val="bullet"/>
      <w:lvlText w:val=""/>
      <w:lvlJc w:val="left"/>
      <w:pPr>
        <w:ind w:left="720" w:hanging="360"/>
      </w:pPr>
      <w:rPr>
        <w:rFonts w:ascii="Symbol" w:hAnsi="Symbol" w:hint="default"/>
      </w:rPr>
    </w:lvl>
    <w:lvl w:ilvl="1" w:tplc="BB7C3C06">
      <w:start w:val="1"/>
      <w:numFmt w:val="bullet"/>
      <w:lvlText w:val="o"/>
      <w:lvlJc w:val="left"/>
      <w:pPr>
        <w:ind w:left="1440" w:hanging="360"/>
      </w:pPr>
      <w:rPr>
        <w:rFonts w:ascii="Courier New" w:hAnsi="Courier New" w:hint="default"/>
      </w:rPr>
    </w:lvl>
    <w:lvl w:ilvl="2" w:tplc="3B8E3CBC">
      <w:start w:val="1"/>
      <w:numFmt w:val="bullet"/>
      <w:lvlText w:val=""/>
      <w:lvlJc w:val="left"/>
      <w:pPr>
        <w:ind w:left="2160" w:hanging="360"/>
      </w:pPr>
      <w:rPr>
        <w:rFonts w:ascii="Wingdings" w:hAnsi="Wingdings" w:hint="default"/>
      </w:rPr>
    </w:lvl>
    <w:lvl w:ilvl="3" w:tplc="45A650F8">
      <w:start w:val="1"/>
      <w:numFmt w:val="bullet"/>
      <w:lvlText w:val=""/>
      <w:lvlJc w:val="left"/>
      <w:pPr>
        <w:ind w:left="2880" w:hanging="360"/>
      </w:pPr>
      <w:rPr>
        <w:rFonts w:ascii="Symbol" w:hAnsi="Symbol" w:hint="default"/>
      </w:rPr>
    </w:lvl>
    <w:lvl w:ilvl="4" w:tplc="A906BDD4">
      <w:start w:val="1"/>
      <w:numFmt w:val="bullet"/>
      <w:lvlText w:val="o"/>
      <w:lvlJc w:val="left"/>
      <w:pPr>
        <w:ind w:left="3600" w:hanging="360"/>
      </w:pPr>
      <w:rPr>
        <w:rFonts w:ascii="Courier New" w:hAnsi="Courier New" w:hint="default"/>
      </w:rPr>
    </w:lvl>
    <w:lvl w:ilvl="5" w:tplc="29481764">
      <w:start w:val="1"/>
      <w:numFmt w:val="bullet"/>
      <w:lvlText w:val=""/>
      <w:lvlJc w:val="left"/>
      <w:pPr>
        <w:ind w:left="4320" w:hanging="360"/>
      </w:pPr>
      <w:rPr>
        <w:rFonts w:ascii="Wingdings" w:hAnsi="Wingdings" w:hint="default"/>
      </w:rPr>
    </w:lvl>
    <w:lvl w:ilvl="6" w:tplc="DBAAA990">
      <w:start w:val="1"/>
      <w:numFmt w:val="bullet"/>
      <w:lvlText w:val=""/>
      <w:lvlJc w:val="left"/>
      <w:pPr>
        <w:ind w:left="5040" w:hanging="360"/>
      </w:pPr>
      <w:rPr>
        <w:rFonts w:ascii="Symbol" w:hAnsi="Symbol" w:hint="default"/>
      </w:rPr>
    </w:lvl>
    <w:lvl w:ilvl="7" w:tplc="79DA399C">
      <w:start w:val="1"/>
      <w:numFmt w:val="bullet"/>
      <w:lvlText w:val="o"/>
      <w:lvlJc w:val="left"/>
      <w:pPr>
        <w:ind w:left="5760" w:hanging="360"/>
      </w:pPr>
      <w:rPr>
        <w:rFonts w:ascii="Courier New" w:hAnsi="Courier New" w:hint="default"/>
      </w:rPr>
    </w:lvl>
    <w:lvl w:ilvl="8" w:tplc="79728254">
      <w:start w:val="1"/>
      <w:numFmt w:val="bullet"/>
      <w:lvlText w:val=""/>
      <w:lvlJc w:val="left"/>
      <w:pPr>
        <w:ind w:left="6480" w:hanging="360"/>
      </w:pPr>
      <w:rPr>
        <w:rFonts w:ascii="Wingdings" w:hAnsi="Wingdings" w:hint="default"/>
      </w:r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41331753">
    <w:abstractNumId w:val="10"/>
  </w:num>
  <w:num w:numId="2" w16cid:durableId="632910568">
    <w:abstractNumId w:val="13"/>
  </w:num>
  <w:num w:numId="3" w16cid:durableId="47382885">
    <w:abstractNumId w:val="13"/>
  </w:num>
  <w:num w:numId="4" w16cid:durableId="967853731">
    <w:abstractNumId w:val="13"/>
  </w:num>
  <w:num w:numId="5" w16cid:durableId="1739282265">
    <w:abstractNumId w:val="13"/>
  </w:num>
  <w:num w:numId="6" w16cid:durableId="698892343">
    <w:abstractNumId w:val="0"/>
  </w:num>
  <w:num w:numId="7" w16cid:durableId="1660883641">
    <w:abstractNumId w:val="7"/>
  </w:num>
  <w:num w:numId="8" w16cid:durableId="1863349795">
    <w:abstractNumId w:val="14"/>
  </w:num>
  <w:num w:numId="9" w16cid:durableId="1750734252">
    <w:abstractNumId w:val="2"/>
  </w:num>
  <w:num w:numId="10" w16cid:durableId="203061615">
    <w:abstractNumId w:val="12"/>
  </w:num>
  <w:num w:numId="11" w16cid:durableId="1478497114">
    <w:abstractNumId w:val="16"/>
  </w:num>
  <w:num w:numId="12" w16cid:durableId="1896693444">
    <w:abstractNumId w:val="15"/>
  </w:num>
  <w:num w:numId="13" w16cid:durableId="774787662">
    <w:abstractNumId w:val="6"/>
  </w:num>
  <w:num w:numId="14" w16cid:durableId="1525900646">
    <w:abstractNumId w:val="9"/>
  </w:num>
  <w:num w:numId="15" w16cid:durableId="1455515963">
    <w:abstractNumId w:val="3"/>
  </w:num>
  <w:num w:numId="16" w16cid:durableId="446657998">
    <w:abstractNumId w:val="8"/>
  </w:num>
  <w:num w:numId="17" w16cid:durableId="322592235">
    <w:abstractNumId w:val="4"/>
  </w:num>
  <w:num w:numId="18" w16cid:durableId="596719075">
    <w:abstractNumId w:val="5"/>
  </w:num>
  <w:num w:numId="19" w16cid:durableId="886648604">
    <w:abstractNumId w:val="11"/>
  </w:num>
  <w:num w:numId="20" w16cid:durableId="812796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DF6"/>
    <w:rsid w:val="00004627"/>
    <w:rsid w:val="00004BB9"/>
    <w:rsid w:val="000053D5"/>
    <w:rsid w:val="00005FCC"/>
    <w:rsid w:val="00005FF0"/>
    <w:rsid w:val="00010AEA"/>
    <w:rsid w:val="00011B39"/>
    <w:rsid w:val="00011D29"/>
    <w:rsid w:val="00011FED"/>
    <w:rsid w:val="000123F3"/>
    <w:rsid w:val="0001699A"/>
    <w:rsid w:val="00017138"/>
    <w:rsid w:val="00023716"/>
    <w:rsid w:val="00023DFE"/>
    <w:rsid w:val="00025C86"/>
    <w:rsid w:val="000271D3"/>
    <w:rsid w:val="000271F2"/>
    <w:rsid w:val="0002755B"/>
    <w:rsid w:val="000275EA"/>
    <w:rsid w:val="00031DCB"/>
    <w:rsid w:val="00034F40"/>
    <w:rsid w:val="00035379"/>
    <w:rsid w:val="0003563F"/>
    <w:rsid w:val="0003583B"/>
    <w:rsid w:val="0003585F"/>
    <w:rsid w:val="00035ED8"/>
    <w:rsid w:val="00036B6D"/>
    <w:rsid w:val="00036BB1"/>
    <w:rsid w:val="00037D31"/>
    <w:rsid w:val="00044C74"/>
    <w:rsid w:val="000452B7"/>
    <w:rsid w:val="00046DF5"/>
    <w:rsid w:val="00047D71"/>
    <w:rsid w:val="00047F52"/>
    <w:rsid w:val="0005186B"/>
    <w:rsid w:val="00051F80"/>
    <w:rsid w:val="000553EB"/>
    <w:rsid w:val="00056E05"/>
    <w:rsid w:val="00057A3E"/>
    <w:rsid w:val="00060FF2"/>
    <w:rsid w:val="000612CE"/>
    <w:rsid w:val="000619A5"/>
    <w:rsid w:val="000645A3"/>
    <w:rsid w:val="00065936"/>
    <w:rsid w:val="00065A8F"/>
    <w:rsid w:val="00067859"/>
    <w:rsid w:val="0007086D"/>
    <w:rsid w:val="00072532"/>
    <w:rsid w:val="00072805"/>
    <w:rsid w:val="0007311E"/>
    <w:rsid w:val="000738B9"/>
    <w:rsid w:val="0007682B"/>
    <w:rsid w:val="00076BA2"/>
    <w:rsid w:val="00080769"/>
    <w:rsid w:val="000809E4"/>
    <w:rsid w:val="00081615"/>
    <w:rsid w:val="00084B57"/>
    <w:rsid w:val="00085830"/>
    <w:rsid w:val="0008586C"/>
    <w:rsid w:val="00086132"/>
    <w:rsid w:val="00090604"/>
    <w:rsid w:val="000907F0"/>
    <w:rsid w:val="000933D4"/>
    <w:rsid w:val="000937D4"/>
    <w:rsid w:val="00093E50"/>
    <w:rsid w:val="00095E89"/>
    <w:rsid w:val="00097871"/>
    <w:rsid w:val="000A0424"/>
    <w:rsid w:val="000A0AEF"/>
    <w:rsid w:val="000A1C10"/>
    <w:rsid w:val="000A2164"/>
    <w:rsid w:val="000A55B6"/>
    <w:rsid w:val="000A7755"/>
    <w:rsid w:val="000A7C6E"/>
    <w:rsid w:val="000A7F42"/>
    <w:rsid w:val="000B1EC7"/>
    <w:rsid w:val="000B2751"/>
    <w:rsid w:val="000B3290"/>
    <w:rsid w:val="000B5213"/>
    <w:rsid w:val="000B7425"/>
    <w:rsid w:val="000C535B"/>
    <w:rsid w:val="000C5A39"/>
    <w:rsid w:val="000C6323"/>
    <w:rsid w:val="000D100E"/>
    <w:rsid w:val="000D330F"/>
    <w:rsid w:val="000D3D9B"/>
    <w:rsid w:val="000D45E9"/>
    <w:rsid w:val="000D5548"/>
    <w:rsid w:val="000E00F9"/>
    <w:rsid w:val="000E08E5"/>
    <w:rsid w:val="000E4FE8"/>
    <w:rsid w:val="000E6C61"/>
    <w:rsid w:val="000E7AB0"/>
    <w:rsid w:val="000F092E"/>
    <w:rsid w:val="000F1F3A"/>
    <w:rsid w:val="000F5C8F"/>
    <w:rsid w:val="000F7615"/>
    <w:rsid w:val="0010026B"/>
    <w:rsid w:val="001006CC"/>
    <w:rsid w:val="00101789"/>
    <w:rsid w:val="00106159"/>
    <w:rsid w:val="0010653E"/>
    <w:rsid w:val="001078A7"/>
    <w:rsid w:val="00110EE4"/>
    <w:rsid w:val="001115B1"/>
    <w:rsid w:val="00113C83"/>
    <w:rsid w:val="00115F90"/>
    <w:rsid w:val="00117A89"/>
    <w:rsid w:val="0012148F"/>
    <w:rsid w:val="00124285"/>
    <w:rsid w:val="001244F7"/>
    <w:rsid w:val="00124DAD"/>
    <w:rsid w:val="00132945"/>
    <w:rsid w:val="00133ACC"/>
    <w:rsid w:val="00134E38"/>
    <w:rsid w:val="00135125"/>
    <w:rsid w:val="00135710"/>
    <w:rsid w:val="00136E28"/>
    <w:rsid w:val="001375F7"/>
    <w:rsid w:val="001409E9"/>
    <w:rsid w:val="00141E0A"/>
    <w:rsid w:val="001423BB"/>
    <w:rsid w:val="00142EB9"/>
    <w:rsid w:val="00142FD8"/>
    <w:rsid w:val="00143FA8"/>
    <w:rsid w:val="00144C46"/>
    <w:rsid w:val="00145EAF"/>
    <w:rsid w:val="00146139"/>
    <w:rsid w:val="0014656D"/>
    <w:rsid w:val="001468DF"/>
    <w:rsid w:val="001471B2"/>
    <w:rsid w:val="00152589"/>
    <w:rsid w:val="001526CE"/>
    <w:rsid w:val="0015453D"/>
    <w:rsid w:val="001545FC"/>
    <w:rsid w:val="001567BD"/>
    <w:rsid w:val="001574C9"/>
    <w:rsid w:val="0016032F"/>
    <w:rsid w:val="00161AAC"/>
    <w:rsid w:val="00161FD7"/>
    <w:rsid w:val="001641BC"/>
    <w:rsid w:val="00164A6A"/>
    <w:rsid w:val="001651AE"/>
    <w:rsid w:val="00165C4C"/>
    <w:rsid w:val="001660A1"/>
    <w:rsid w:val="00166B2D"/>
    <w:rsid w:val="001674B6"/>
    <w:rsid w:val="001702F9"/>
    <w:rsid w:val="00172C00"/>
    <w:rsid w:val="00172CE9"/>
    <w:rsid w:val="00174226"/>
    <w:rsid w:val="00174475"/>
    <w:rsid w:val="00174B10"/>
    <w:rsid w:val="00174EC5"/>
    <w:rsid w:val="00182C62"/>
    <w:rsid w:val="001834C5"/>
    <w:rsid w:val="00184D3D"/>
    <w:rsid w:val="00185FAE"/>
    <w:rsid w:val="001860D7"/>
    <w:rsid w:val="001879F6"/>
    <w:rsid w:val="001907C5"/>
    <w:rsid w:val="00194637"/>
    <w:rsid w:val="001974FE"/>
    <w:rsid w:val="00197890"/>
    <w:rsid w:val="001A03BE"/>
    <w:rsid w:val="001A0C62"/>
    <w:rsid w:val="001A29AD"/>
    <w:rsid w:val="001A4437"/>
    <w:rsid w:val="001A45CE"/>
    <w:rsid w:val="001A52F1"/>
    <w:rsid w:val="001A53E0"/>
    <w:rsid w:val="001A6DD9"/>
    <w:rsid w:val="001A79E5"/>
    <w:rsid w:val="001A7A91"/>
    <w:rsid w:val="001B168A"/>
    <w:rsid w:val="001B2585"/>
    <w:rsid w:val="001B3F82"/>
    <w:rsid w:val="001B454C"/>
    <w:rsid w:val="001B6894"/>
    <w:rsid w:val="001B692F"/>
    <w:rsid w:val="001B6ADA"/>
    <w:rsid w:val="001B6FBC"/>
    <w:rsid w:val="001C0148"/>
    <w:rsid w:val="001C2FBF"/>
    <w:rsid w:val="001C3260"/>
    <w:rsid w:val="001C5E43"/>
    <w:rsid w:val="001C66ED"/>
    <w:rsid w:val="001C7149"/>
    <w:rsid w:val="001C757E"/>
    <w:rsid w:val="001C78E3"/>
    <w:rsid w:val="001C78EA"/>
    <w:rsid w:val="001D007E"/>
    <w:rsid w:val="001D0291"/>
    <w:rsid w:val="001D1C77"/>
    <w:rsid w:val="001D3078"/>
    <w:rsid w:val="001D40E8"/>
    <w:rsid w:val="001D4AC8"/>
    <w:rsid w:val="001D4E08"/>
    <w:rsid w:val="001D525D"/>
    <w:rsid w:val="001D6203"/>
    <w:rsid w:val="001D664A"/>
    <w:rsid w:val="001D71C1"/>
    <w:rsid w:val="001D722D"/>
    <w:rsid w:val="001D7638"/>
    <w:rsid w:val="001E0E25"/>
    <w:rsid w:val="001E1811"/>
    <w:rsid w:val="001E1E5B"/>
    <w:rsid w:val="001E374A"/>
    <w:rsid w:val="001E3CE6"/>
    <w:rsid w:val="001E4ED4"/>
    <w:rsid w:val="001E7445"/>
    <w:rsid w:val="001F1639"/>
    <w:rsid w:val="001F3764"/>
    <w:rsid w:val="001F3EDC"/>
    <w:rsid w:val="001F723A"/>
    <w:rsid w:val="002005F4"/>
    <w:rsid w:val="00200DE8"/>
    <w:rsid w:val="002019B7"/>
    <w:rsid w:val="002020D3"/>
    <w:rsid w:val="002021FF"/>
    <w:rsid w:val="00202C69"/>
    <w:rsid w:val="00202EFB"/>
    <w:rsid w:val="00203027"/>
    <w:rsid w:val="0020390F"/>
    <w:rsid w:val="00204360"/>
    <w:rsid w:val="00206427"/>
    <w:rsid w:val="00210E46"/>
    <w:rsid w:val="002118C6"/>
    <w:rsid w:val="00211BCF"/>
    <w:rsid w:val="00212CBB"/>
    <w:rsid w:val="00213826"/>
    <w:rsid w:val="00213B51"/>
    <w:rsid w:val="002151F7"/>
    <w:rsid w:val="002153B8"/>
    <w:rsid w:val="00220376"/>
    <w:rsid w:val="00220A41"/>
    <w:rsid w:val="00221B66"/>
    <w:rsid w:val="00222FA5"/>
    <w:rsid w:val="00223134"/>
    <w:rsid w:val="002242E6"/>
    <w:rsid w:val="00224654"/>
    <w:rsid w:val="00226182"/>
    <w:rsid w:val="00226FDC"/>
    <w:rsid w:val="00230844"/>
    <w:rsid w:val="00230A22"/>
    <w:rsid w:val="0023194C"/>
    <w:rsid w:val="00232F6A"/>
    <w:rsid w:val="00232F8E"/>
    <w:rsid w:val="00233A5F"/>
    <w:rsid w:val="00234242"/>
    <w:rsid w:val="0023590F"/>
    <w:rsid w:val="0023665C"/>
    <w:rsid w:val="002366A7"/>
    <w:rsid w:val="00236A8E"/>
    <w:rsid w:val="002402A9"/>
    <w:rsid w:val="00241121"/>
    <w:rsid w:val="00241567"/>
    <w:rsid w:val="002423E8"/>
    <w:rsid w:val="00243138"/>
    <w:rsid w:val="0024410F"/>
    <w:rsid w:val="00245EBC"/>
    <w:rsid w:val="00246372"/>
    <w:rsid w:val="002503A4"/>
    <w:rsid w:val="0025058B"/>
    <w:rsid w:val="002514E8"/>
    <w:rsid w:val="002519B5"/>
    <w:rsid w:val="00251B62"/>
    <w:rsid w:val="0025288A"/>
    <w:rsid w:val="00252936"/>
    <w:rsid w:val="0025367A"/>
    <w:rsid w:val="00253E45"/>
    <w:rsid w:val="00254468"/>
    <w:rsid w:val="00254D3B"/>
    <w:rsid w:val="00257105"/>
    <w:rsid w:val="002613BA"/>
    <w:rsid w:val="00261507"/>
    <w:rsid w:val="00263AAF"/>
    <w:rsid w:val="00264926"/>
    <w:rsid w:val="0026528C"/>
    <w:rsid w:val="00265395"/>
    <w:rsid w:val="00265DED"/>
    <w:rsid w:val="00266DB5"/>
    <w:rsid w:val="00267CA6"/>
    <w:rsid w:val="00267E4D"/>
    <w:rsid w:val="0027045D"/>
    <w:rsid w:val="002719A4"/>
    <w:rsid w:val="00273989"/>
    <w:rsid w:val="00276146"/>
    <w:rsid w:val="00280B41"/>
    <w:rsid w:val="00281118"/>
    <w:rsid w:val="00281AF4"/>
    <w:rsid w:val="00283108"/>
    <w:rsid w:val="00283997"/>
    <w:rsid w:val="002848E6"/>
    <w:rsid w:val="00286AD6"/>
    <w:rsid w:val="002901C8"/>
    <w:rsid w:val="0029026F"/>
    <w:rsid w:val="00290369"/>
    <w:rsid w:val="0029082A"/>
    <w:rsid w:val="0029095F"/>
    <w:rsid w:val="002933F6"/>
    <w:rsid w:val="00295665"/>
    <w:rsid w:val="00296BE4"/>
    <w:rsid w:val="00297D6E"/>
    <w:rsid w:val="002A07DC"/>
    <w:rsid w:val="002A0912"/>
    <w:rsid w:val="002A1AAF"/>
    <w:rsid w:val="002A4C4A"/>
    <w:rsid w:val="002A50EF"/>
    <w:rsid w:val="002A575A"/>
    <w:rsid w:val="002A58BF"/>
    <w:rsid w:val="002A60F1"/>
    <w:rsid w:val="002A651C"/>
    <w:rsid w:val="002A68E5"/>
    <w:rsid w:val="002A752B"/>
    <w:rsid w:val="002A7A52"/>
    <w:rsid w:val="002B1E1E"/>
    <w:rsid w:val="002B24C5"/>
    <w:rsid w:val="002B40A0"/>
    <w:rsid w:val="002B4C19"/>
    <w:rsid w:val="002B71CE"/>
    <w:rsid w:val="002C0F65"/>
    <w:rsid w:val="002C2201"/>
    <w:rsid w:val="002C4280"/>
    <w:rsid w:val="002C46D4"/>
    <w:rsid w:val="002C4B7C"/>
    <w:rsid w:val="002C505F"/>
    <w:rsid w:val="002C6F5B"/>
    <w:rsid w:val="002C70F3"/>
    <w:rsid w:val="002C7B4E"/>
    <w:rsid w:val="002D1D1B"/>
    <w:rsid w:val="002D5A69"/>
    <w:rsid w:val="002D709F"/>
    <w:rsid w:val="002D71FA"/>
    <w:rsid w:val="002E02AD"/>
    <w:rsid w:val="002E05E9"/>
    <w:rsid w:val="002E1E44"/>
    <w:rsid w:val="002E3337"/>
    <w:rsid w:val="002E4157"/>
    <w:rsid w:val="002E47A2"/>
    <w:rsid w:val="002E5153"/>
    <w:rsid w:val="002E51DB"/>
    <w:rsid w:val="002E5501"/>
    <w:rsid w:val="002F0027"/>
    <w:rsid w:val="002F41D7"/>
    <w:rsid w:val="002F5068"/>
    <w:rsid w:val="002F550B"/>
    <w:rsid w:val="002F5603"/>
    <w:rsid w:val="002F5B37"/>
    <w:rsid w:val="0030119C"/>
    <w:rsid w:val="00301203"/>
    <w:rsid w:val="00301C8D"/>
    <w:rsid w:val="00302F29"/>
    <w:rsid w:val="00302FD0"/>
    <w:rsid w:val="0030317E"/>
    <w:rsid w:val="003059BE"/>
    <w:rsid w:val="00306EE9"/>
    <w:rsid w:val="003079A4"/>
    <w:rsid w:val="0031131D"/>
    <w:rsid w:val="00311D43"/>
    <w:rsid w:val="00312B53"/>
    <w:rsid w:val="00314206"/>
    <w:rsid w:val="00314A04"/>
    <w:rsid w:val="00323242"/>
    <w:rsid w:val="00325608"/>
    <w:rsid w:val="003271BE"/>
    <w:rsid w:val="003273F2"/>
    <w:rsid w:val="003306EE"/>
    <w:rsid w:val="00331EA7"/>
    <w:rsid w:val="003327A1"/>
    <w:rsid w:val="003334AC"/>
    <w:rsid w:val="0033408E"/>
    <w:rsid w:val="00334126"/>
    <w:rsid w:val="00334955"/>
    <w:rsid w:val="00334C78"/>
    <w:rsid w:val="00335617"/>
    <w:rsid w:val="00335987"/>
    <w:rsid w:val="00337B59"/>
    <w:rsid w:val="00337D8E"/>
    <w:rsid w:val="00341241"/>
    <w:rsid w:val="003422C2"/>
    <w:rsid w:val="003440EE"/>
    <w:rsid w:val="003460E9"/>
    <w:rsid w:val="00350F7A"/>
    <w:rsid w:val="003521F6"/>
    <w:rsid w:val="00353556"/>
    <w:rsid w:val="003575BD"/>
    <w:rsid w:val="00357D3F"/>
    <w:rsid w:val="00360375"/>
    <w:rsid w:val="00360BBA"/>
    <w:rsid w:val="003627F8"/>
    <w:rsid w:val="00362D59"/>
    <w:rsid w:val="003632E8"/>
    <w:rsid w:val="00364583"/>
    <w:rsid w:val="00364E64"/>
    <w:rsid w:val="003656E1"/>
    <w:rsid w:val="0036644F"/>
    <w:rsid w:val="003664C4"/>
    <w:rsid w:val="00366600"/>
    <w:rsid w:val="00366914"/>
    <w:rsid w:val="00367644"/>
    <w:rsid w:val="003721F0"/>
    <w:rsid w:val="00372733"/>
    <w:rsid w:val="003740B6"/>
    <w:rsid w:val="003746CD"/>
    <w:rsid w:val="00374DC1"/>
    <w:rsid w:val="00380603"/>
    <w:rsid w:val="00380A6F"/>
    <w:rsid w:val="00382AF5"/>
    <w:rsid w:val="00382E5A"/>
    <w:rsid w:val="00382F32"/>
    <w:rsid w:val="00383C83"/>
    <w:rsid w:val="00384822"/>
    <w:rsid w:val="00385843"/>
    <w:rsid w:val="00387377"/>
    <w:rsid w:val="0038747E"/>
    <w:rsid w:val="00390C10"/>
    <w:rsid w:val="0039191F"/>
    <w:rsid w:val="003922DA"/>
    <w:rsid w:val="00394F1C"/>
    <w:rsid w:val="003955A5"/>
    <w:rsid w:val="00396AD3"/>
    <w:rsid w:val="003A0F0E"/>
    <w:rsid w:val="003A1333"/>
    <w:rsid w:val="003A15C9"/>
    <w:rsid w:val="003A2C18"/>
    <w:rsid w:val="003A2C1A"/>
    <w:rsid w:val="003A33D8"/>
    <w:rsid w:val="003B0603"/>
    <w:rsid w:val="003B237F"/>
    <w:rsid w:val="003B2C30"/>
    <w:rsid w:val="003B414B"/>
    <w:rsid w:val="003B7382"/>
    <w:rsid w:val="003B7F70"/>
    <w:rsid w:val="003C070A"/>
    <w:rsid w:val="003C1154"/>
    <w:rsid w:val="003C2A49"/>
    <w:rsid w:val="003C302F"/>
    <w:rsid w:val="003C3AF1"/>
    <w:rsid w:val="003C41A4"/>
    <w:rsid w:val="003C4E0F"/>
    <w:rsid w:val="003C6168"/>
    <w:rsid w:val="003C7D99"/>
    <w:rsid w:val="003D0CFD"/>
    <w:rsid w:val="003D1582"/>
    <w:rsid w:val="003D418D"/>
    <w:rsid w:val="003D7E4C"/>
    <w:rsid w:val="003E120A"/>
    <w:rsid w:val="003E2330"/>
    <w:rsid w:val="003E2796"/>
    <w:rsid w:val="003E31CE"/>
    <w:rsid w:val="003E41C2"/>
    <w:rsid w:val="003E5D8C"/>
    <w:rsid w:val="003E718D"/>
    <w:rsid w:val="003F059C"/>
    <w:rsid w:val="003F2BB1"/>
    <w:rsid w:val="003F3C62"/>
    <w:rsid w:val="00401910"/>
    <w:rsid w:val="00401BB1"/>
    <w:rsid w:val="00403972"/>
    <w:rsid w:val="00404CDA"/>
    <w:rsid w:val="00407113"/>
    <w:rsid w:val="004107DE"/>
    <w:rsid w:val="00412FEC"/>
    <w:rsid w:val="004138AE"/>
    <w:rsid w:val="00414163"/>
    <w:rsid w:val="004147E3"/>
    <w:rsid w:val="00415C60"/>
    <w:rsid w:val="00420AAB"/>
    <w:rsid w:val="0042170B"/>
    <w:rsid w:val="004223D6"/>
    <w:rsid w:val="004228DB"/>
    <w:rsid w:val="0042342F"/>
    <w:rsid w:val="0042454D"/>
    <w:rsid w:val="004247B2"/>
    <w:rsid w:val="00425A42"/>
    <w:rsid w:val="00426830"/>
    <w:rsid w:val="00430EBF"/>
    <w:rsid w:val="004323F4"/>
    <w:rsid w:val="00432EFF"/>
    <w:rsid w:val="004332D7"/>
    <w:rsid w:val="0043361D"/>
    <w:rsid w:val="0043377B"/>
    <w:rsid w:val="00435727"/>
    <w:rsid w:val="00436633"/>
    <w:rsid w:val="0043670D"/>
    <w:rsid w:val="00437D7E"/>
    <w:rsid w:val="00443A88"/>
    <w:rsid w:val="0044460F"/>
    <w:rsid w:val="00447117"/>
    <w:rsid w:val="00447392"/>
    <w:rsid w:val="004477E5"/>
    <w:rsid w:val="00451872"/>
    <w:rsid w:val="00452346"/>
    <w:rsid w:val="00453459"/>
    <w:rsid w:val="00453C0F"/>
    <w:rsid w:val="004548AE"/>
    <w:rsid w:val="00456204"/>
    <w:rsid w:val="00456D63"/>
    <w:rsid w:val="00457CAA"/>
    <w:rsid w:val="0046367C"/>
    <w:rsid w:val="00473070"/>
    <w:rsid w:val="004741A3"/>
    <w:rsid w:val="00474F1D"/>
    <w:rsid w:val="004767F8"/>
    <w:rsid w:val="00480B0B"/>
    <w:rsid w:val="00481945"/>
    <w:rsid w:val="00482455"/>
    <w:rsid w:val="004832A6"/>
    <w:rsid w:val="0048469A"/>
    <w:rsid w:val="00486651"/>
    <w:rsid w:val="00487872"/>
    <w:rsid w:val="00487CE3"/>
    <w:rsid w:val="00490D0A"/>
    <w:rsid w:val="004916E4"/>
    <w:rsid w:val="00492040"/>
    <w:rsid w:val="004946E3"/>
    <w:rsid w:val="00495229"/>
    <w:rsid w:val="00496023"/>
    <w:rsid w:val="004970F9"/>
    <w:rsid w:val="00497265"/>
    <w:rsid w:val="0049772C"/>
    <w:rsid w:val="004A29B6"/>
    <w:rsid w:val="004A2F1E"/>
    <w:rsid w:val="004A3253"/>
    <w:rsid w:val="004A3398"/>
    <w:rsid w:val="004A657E"/>
    <w:rsid w:val="004B00D6"/>
    <w:rsid w:val="004B0785"/>
    <w:rsid w:val="004B1250"/>
    <w:rsid w:val="004B1350"/>
    <w:rsid w:val="004B1493"/>
    <w:rsid w:val="004B17CD"/>
    <w:rsid w:val="004B2335"/>
    <w:rsid w:val="004B275A"/>
    <w:rsid w:val="004B3C82"/>
    <w:rsid w:val="004B487A"/>
    <w:rsid w:val="004B5339"/>
    <w:rsid w:val="004B6FA3"/>
    <w:rsid w:val="004C07C2"/>
    <w:rsid w:val="004C1307"/>
    <w:rsid w:val="004C1B72"/>
    <w:rsid w:val="004C3924"/>
    <w:rsid w:val="004C4B0E"/>
    <w:rsid w:val="004C5E47"/>
    <w:rsid w:val="004D486D"/>
    <w:rsid w:val="004D4FC2"/>
    <w:rsid w:val="004D60E7"/>
    <w:rsid w:val="004D6FCD"/>
    <w:rsid w:val="004D7D4D"/>
    <w:rsid w:val="004E0237"/>
    <w:rsid w:val="004E3F94"/>
    <w:rsid w:val="004E53A6"/>
    <w:rsid w:val="004E5BCC"/>
    <w:rsid w:val="004E5DAA"/>
    <w:rsid w:val="004E64B7"/>
    <w:rsid w:val="004E6802"/>
    <w:rsid w:val="004E708D"/>
    <w:rsid w:val="004F0E70"/>
    <w:rsid w:val="004F1637"/>
    <w:rsid w:val="005005DA"/>
    <w:rsid w:val="00501218"/>
    <w:rsid w:val="00501791"/>
    <w:rsid w:val="00503123"/>
    <w:rsid w:val="00504461"/>
    <w:rsid w:val="005045CF"/>
    <w:rsid w:val="00505CAF"/>
    <w:rsid w:val="00506CEE"/>
    <w:rsid w:val="00506E90"/>
    <w:rsid w:val="00506F66"/>
    <w:rsid w:val="0051162E"/>
    <w:rsid w:val="005128C3"/>
    <w:rsid w:val="00512A22"/>
    <w:rsid w:val="00512B31"/>
    <w:rsid w:val="00512C28"/>
    <w:rsid w:val="00512C2E"/>
    <w:rsid w:val="00514365"/>
    <w:rsid w:val="005148E3"/>
    <w:rsid w:val="005210E0"/>
    <w:rsid w:val="00521EA3"/>
    <w:rsid w:val="00522E15"/>
    <w:rsid w:val="00525FBF"/>
    <w:rsid w:val="00527C55"/>
    <w:rsid w:val="005313F5"/>
    <w:rsid w:val="0053299D"/>
    <w:rsid w:val="00532CD2"/>
    <w:rsid w:val="00532F35"/>
    <w:rsid w:val="005344D7"/>
    <w:rsid w:val="0054160F"/>
    <w:rsid w:val="00541B48"/>
    <w:rsid w:val="005427A1"/>
    <w:rsid w:val="00544838"/>
    <w:rsid w:val="00545AED"/>
    <w:rsid w:val="00545BBD"/>
    <w:rsid w:val="00545C65"/>
    <w:rsid w:val="00546569"/>
    <w:rsid w:val="00547C9E"/>
    <w:rsid w:val="0055051A"/>
    <w:rsid w:val="005506D5"/>
    <w:rsid w:val="00552EEB"/>
    <w:rsid w:val="00553846"/>
    <w:rsid w:val="00554250"/>
    <w:rsid w:val="00555E6E"/>
    <w:rsid w:val="00556D65"/>
    <w:rsid w:val="00560A73"/>
    <w:rsid w:val="00561DC7"/>
    <w:rsid w:val="00562C7E"/>
    <w:rsid w:val="00564911"/>
    <w:rsid w:val="00564E75"/>
    <w:rsid w:val="0056535C"/>
    <w:rsid w:val="00566F32"/>
    <w:rsid w:val="005673F3"/>
    <w:rsid w:val="00567D87"/>
    <w:rsid w:val="005713CC"/>
    <w:rsid w:val="0057238A"/>
    <w:rsid w:val="00572849"/>
    <w:rsid w:val="00572905"/>
    <w:rsid w:val="005738C6"/>
    <w:rsid w:val="0057494D"/>
    <w:rsid w:val="005754F1"/>
    <w:rsid w:val="00575EC8"/>
    <w:rsid w:val="00576F7B"/>
    <w:rsid w:val="00581B15"/>
    <w:rsid w:val="005853DB"/>
    <w:rsid w:val="00585659"/>
    <w:rsid w:val="00585B9E"/>
    <w:rsid w:val="005877EE"/>
    <w:rsid w:val="00590118"/>
    <w:rsid w:val="00592231"/>
    <w:rsid w:val="005923BA"/>
    <w:rsid w:val="00592E41"/>
    <w:rsid w:val="005933C5"/>
    <w:rsid w:val="00594316"/>
    <w:rsid w:val="00595AA0"/>
    <w:rsid w:val="00595BF4"/>
    <w:rsid w:val="00596244"/>
    <w:rsid w:val="00597408"/>
    <w:rsid w:val="005A2A1B"/>
    <w:rsid w:val="005A2B2A"/>
    <w:rsid w:val="005A3975"/>
    <w:rsid w:val="005A611B"/>
    <w:rsid w:val="005A6883"/>
    <w:rsid w:val="005A7885"/>
    <w:rsid w:val="005A7A02"/>
    <w:rsid w:val="005B0565"/>
    <w:rsid w:val="005B13FA"/>
    <w:rsid w:val="005B1D7B"/>
    <w:rsid w:val="005B3727"/>
    <w:rsid w:val="005B48FD"/>
    <w:rsid w:val="005B6123"/>
    <w:rsid w:val="005B6769"/>
    <w:rsid w:val="005C0463"/>
    <w:rsid w:val="005C0977"/>
    <w:rsid w:val="005C4A94"/>
    <w:rsid w:val="005C7053"/>
    <w:rsid w:val="005D326B"/>
    <w:rsid w:val="005D40EA"/>
    <w:rsid w:val="005D4E24"/>
    <w:rsid w:val="005D5BDF"/>
    <w:rsid w:val="005D5D0F"/>
    <w:rsid w:val="005D6C04"/>
    <w:rsid w:val="005D6F1B"/>
    <w:rsid w:val="005E1D17"/>
    <w:rsid w:val="005E219B"/>
    <w:rsid w:val="005E411F"/>
    <w:rsid w:val="005E45D8"/>
    <w:rsid w:val="005E6CF4"/>
    <w:rsid w:val="005F1901"/>
    <w:rsid w:val="005F248C"/>
    <w:rsid w:val="005F2E91"/>
    <w:rsid w:val="005F34F8"/>
    <w:rsid w:val="005F476C"/>
    <w:rsid w:val="005F5435"/>
    <w:rsid w:val="005F6051"/>
    <w:rsid w:val="005F64D0"/>
    <w:rsid w:val="005F64DC"/>
    <w:rsid w:val="005F6B27"/>
    <w:rsid w:val="00602228"/>
    <w:rsid w:val="00602E41"/>
    <w:rsid w:val="00604185"/>
    <w:rsid w:val="00604A95"/>
    <w:rsid w:val="00604DCC"/>
    <w:rsid w:val="00606E25"/>
    <w:rsid w:val="006144CF"/>
    <w:rsid w:val="00614C59"/>
    <w:rsid w:val="006153D2"/>
    <w:rsid w:val="006160EF"/>
    <w:rsid w:val="00616178"/>
    <w:rsid w:val="006167BF"/>
    <w:rsid w:val="00620057"/>
    <w:rsid w:val="00621FA9"/>
    <w:rsid w:val="00622027"/>
    <w:rsid w:val="006220B0"/>
    <w:rsid w:val="0062281D"/>
    <w:rsid w:val="00625340"/>
    <w:rsid w:val="00625C80"/>
    <w:rsid w:val="0062605C"/>
    <w:rsid w:val="00626529"/>
    <w:rsid w:val="006272EE"/>
    <w:rsid w:val="00631E74"/>
    <w:rsid w:val="00632509"/>
    <w:rsid w:val="006365EC"/>
    <w:rsid w:val="006366B9"/>
    <w:rsid w:val="00636DB9"/>
    <w:rsid w:val="00644536"/>
    <w:rsid w:val="00644A84"/>
    <w:rsid w:val="006453C7"/>
    <w:rsid w:val="00645770"/>
    <w:rsid w:val="0064647C"/>
    <w:rsid w:val="006464DE"/>
    <w:rsid w:val="00646AA5"/>
    <w:rsid w:val="00647903"/>
    <w:rsid w:val="00647962"/>
    <w:rsid w:val="0065369E"/>
    <w:rsid w:val="00653B31"/>
    <w:rsid w:val="00653C10"/>
    <w:rsid w:val="00654073"/>
    <w:rsid w:val="006555C9"/>
    <w:rsid w:val="00656517"/>
    <w:rsid w:val="00662BDA"/>
    <w:rsid w:val="00663475"/>
    <w:rsid w:val="00663883"/>
    <w:rsid w:val="00663E5F"/>
    <w:rsid w:val="00665802"/>
    <w:rsid w:val="006660CA"/>
    <w:rsid w:val="006665EB"/>
    <w:rsid w:val="0066792B"/>
    <w:rsid w:val="0067118F"/>
    <w:rsid w:val="0067271F"/>
    <w:rsid w:val="00672B2E"/>
    <w:rsid w:val="00672C86"/>
    <w:rsid w:val="0067384E"/>
    <w:rsid w:val="00675C35"/>
    <w:rsid w:val="0067697B"/>
    <w:rsid w:val="00676A8D"/>
    <w:rsid w:val="00677570"/>
    <w:rsid w:val="006820D9"/>
    <w:rsid w:val="00684168"/>
    <w:rsid w:val="00684395"/>
    <w:rsid w:val="006851EA"/>
    <w:rsid w:val="00686CED"/>
    <w:rsid w:val="0068772E"/>
    <w:rsid w:val="00691233"/>
    <w:rsid w:val="006913AF"/>
    <w:rsid w:val="00691A49"/>
    <w:rsid w:val="00695124"/>
    <w:rsid w:val="006A0031"/>
    <w:rsid w:val="006A2AC6"/>
    <w:rsid w:val="006A4509"/>
    <w:rsid w:val="006A5C30"/>
    <w:rsid w:val="006A69BF"/>
    <w:rsid w:val="006A6E05"/>
    <w:rsid w:val="006A6E77"/>
    <w:rsid w:val="006B241A"/>
    <w:rsid w:val="006B288E"/>
    <w:rsid w:val="006B2C1E"/>
    <w:rsid w:val="006B4521"/>
    <w:rsid w:val="006B4569"/>
    <w:rsid w:val="006B5298"/>
    <w:rsid w:val="006B73FF"/>
    <w:rsid w:val="006C16D9"/>
    <w:rsid w:val="006C2F47"/>
    <w:rsid w:val="006C4350"/>
    <w:rsid w:val="006C452C"/>
    <w:rsid w:val="006C4691"/>
    <w:rsid w:val="006C4CB7"/>
    <w:rsid w:val="006C708B"/>
    <w:rsid w:val="006C732E"/>
    <w:rsid w:val="006D0E37"/>
    <w:rsid w:val="006D36E0"/>
    <w:rsid w:val="006D49A5"/>
    <w:rsid w:val="006D4AB9"/>
    <w:rsid w:val="006D6742"/>
    <w:rsid w:val="006D6C04"/>
    <w:rsid w:val="006E1534"/>
    <w:rsid w:val="006E3459"/>
    <w:rsid w:val="006E3CFE"/>
    <w:rsid w:val="006E5FC1"/>
    <w:rsid w:val="006E6091"/>
    <w:rsid w:val="006E817C"/>
    <w:rsid w:val="006F1C24"/>
    <w:rsid w:val="006F1D02"/>
    <w:rsid w:val="006F2DB0"/>
    <w:rsid w:val="006F461E"/>
    <w:rsid w:val="006F5592"/>
    <w:rsid w:val="006F579B"/>
    <w:rsid w:val="006F6309"/>
    <w:rsid w:val="006F69F7"/>
    <w:rsid w:val="0070101B"/>
    <w:rsid w:val="00702282"/>
    <w:rsid w:val="007022A5"/>
    <w:rsid w:val="0070318E"/>
    <w:rsid w:val="007066C5"/>
    <w:rsid w:val="007078AB"/>
    <w:rsid w:val="007111AD"/>
    <w:rsid w:val="0071147E"/>
    <w:rsid w:val="007118FB"/>
    <w:rsid w:val="00711DF4"/>
    <w:rsid w:val="00713F58"/>
    <w:rsid w:val="00713F82"/>
    <w:rsid w:val="007174BA"/>
    <w:rsid w:val="007174E8"/>
    <w:rsid w:val="00720125"/>
    <w:rsid w:val="0072052D"/>
    <w:rsid w:val="007216C6"/>
    <w:rsid w:val="007221E1"/>
    <w:rsid w:val="007224B3"/>
    <w:rsid w:val="007227DE"/>
    <w:rsid w:val="00722DDF"/>
    <w:rsid w:val="00726D19"/>
    <w:rsid w:val="00726F46"/>
    <w:rsid w:val="007309D1"/>
    <w:rsid w:val="0073179C"/>
    <w:rsid w:val="00734357"/>
    <w:rsid w:val="00734564"/>
    <w:rsid w:val="0073786C"/>
    <w:rsid w:val="0074080D"/>
    <w:rsid w:val="0074162B"/>
    <w:rsid w:val="00750D11"/>
    <w:rsid w:val="00753CF5"/>
    <w:rsid w:val="00754588"/>
    <w:rsid w:val="00755C58"/>
    <w:rsid w:val="00756780"/>
    <w:rsid w:val="007576A7"/>
    <w:rsid w:val="00761D94"/>
    <w:rsid w:val="00763658"/>
    <w:rsid w:val="0076390D"/>
    <w:rsid w:val="00764898"/>
    <w:rsid w:val="00764CE4"/>
    <w:rsid w:val="007664FB"/>
    <w:rsid w:val="007678A9"/>
    <w:rsid w:val="00767AFF"/>
    <w:rsid w:val="00770489"/>
    <w:rsid w:val="00770FC9"/>
    <w:rsid w:val="0077198E"/>
    <w:rsid w:val="007736D0"/>
    <w:rsid w:val="00774497"/>
    <w:rsid w:val="00777542"/>
    <w:rsid w:val="00777C27"/>
    <w:rsid w:val="00781E66"/>
    <w:rsid w:val="007822BD"/>
    <w:rsid w:val="00782D79"/>
    <w:rsid w:val="007867BD"/>
    <w:rsid w:val="0078771F"/>
    <w:rsid w:val="00787724"/>
    <w:rsid w:val="007909FD"/>
    <w:rsid w:val="007927A6"/>
    <w:rsid w:val="00793330"/>
    <w:rsid w:val="00796B31"/>
    <w:rsid w:val="007A009B"/>
    <w:rsid w:val="007A1285"/>
    <w:rsid w:val="007A2F1F"/>
    <w:rsid w:val="007A2F81"/>
    <w:rsid w:val="007A56EA"/>
    <w:rsid w:val="007A6ED7"/>
    <w:rsid w:val="007A7992"/>
    <w:rsid w:val="007A7C3A"/>
    <w:rsid w:val="007A7C5B"/>
    <w:rsid w:val="007B06AB"/>
    <w:rsid w:val="007B1A1F"/>
    <w:rsid w:val="007B28BA"/>
    <w:rsid w:val="007B2C3F"/>
    <w:rsid w:val="007B5CDB"/>
    <w:rsid w:val="007B7CA9"/>
    <w:rsid w:val="007C0374"/>
    <w:rsid w:val="007C080D"/>
    <w:rsid w:val="007C19E4"/>
    <w:rsid w:val="007C6A65"/>
    <w:rsid w:val="007C767F"/>
    <w:rsid w:val="007D02B6"/>
    <w:rsid w:val="007D0351"/>
    <w:rsid w:val="007D1C61"/>
    <w:rsid w:val="007D48F7"/>
    <w:rsid w:val="007D4EEE"/>
    <w:rsid w:val="007D70A1"/>
    <w:rsid w:val="007E00A9"/>
    <w:rsid w:val="007E30F2"/>
    <w:rsid w:val="007E33EA"/>
    <w:rsid w:val="007E52D6"/>
    <w:rsid w:val="007E536E"/>
    <w:rsid w:val="007E6335"/>
    <w:rsid w:val="007E6426"/>
    <w:rsid w:val="007F0D51"/>
    <w:rsid w:val="007F14E4"/>
    <w:rsid w:val="007F3331"/>
    <w:rsid w:val="007F402E"/>
    <w:rsid w:val="007F680B"/>
    <w:rsid w:val="007F6FEB"/>
    <w:rsid w:val="007F7283"/>
    <w:rsid w:val="007F779C"/>
    <w:rsid w:val="00801EFF"/>
    <w:rsid w:val="00802BE8"/>
    <w:rsid w:val="00803BC7"/>
    <w:rsid w:val="008046C0"/>
    <w:rsid w:val="00805540"/>
    <w:rsid w:val="00805C09"/>
    <w:rsid w:val="00806561"/>
    <w:rsid w:val="00806B43"/>
    <w:rsid w:val="00806C96"/>
    <w:rsid w:val="008076D0"/>
    <w:rsid w:val="008114F6"/>
    <w:rsid w:val="008115D5"/>
    <w:rsid w:val="00811A7F"/>
    <w:rsid w:val="008132E8"/>
    <w:rsid w:val="00813632"/>
    <w:rsid w:val="008165FB"/>
    <w:rsid w:val="008179C8"/>
    <w:rsid w:val="00820101"/>
    <w:rsid w:val="00822D31"/>
    <w:rsid w:val="00823407"/>
    <w:rsid w:val="00824E71"/>
    <w:rsid w:val="00825FB3"/>
    <w:rsid w:val="00826E84"/>
    <w:rsid w:val="00831760"/>
    <w:rsid w:val="00833162"/>
    <w:rsid w:val="008337FD"/>
    <w:rsid w:val="0083479D"/>
    <w:rsid w:val="0083531E"/>
    <w:rsid w:val="00835F63"/>
    <w:rsid w:val="00836683"/>
    <w:rsid w:val="00837A32"/>
    <w:rsid w:val="00837B69"/>
    <w:rsid w:val="00837BEC"/>
    <w:rsid w:val="00841A58"/>
    <w:rsid w:val="00841DA3"/>
    <w:rsid w:val="008423B9"/>
    <w:rsid w:val="00842C2A"/>
    <w:rsid w:val="008431FD"/>
    <w:rsid w:val="0084599A"/>
    <w:rsid w:val="00851173"/>
    <w:rsid w:val="0085171E"/>
    <w:rsid w:val="00853B74"/>
    <w:rsid w:val="0085403E"/>
    <w:rsid w:val="00861007"/>
    <w:rsid w:val="0086428C"/>
    <w:rsid w:val="008643C1"/>
    <w:rsid w:val="00865200"/>
    <w:rsid w:val="00866D78"/>
    <w:rsid w:val="00870183"/>
    <w:rsid w:val="00870C8D"/>
    <w:rsid w:val="00870F8F"/>
    <w:rsid w:val="0087183F"/>
    <w:rsid w:val="00872C79"/>
    <w:rsid w:val="008739AA"/>
    <w:rsid w:val="008740FA"/>
    <w:rsid w:val="0087431E"/>
    <w:rsid w:val="00874457"/>
    <w:rsid w:val="00875576"/>
    <w:rsid w:val="008756FF"/>
    <w:rsid w:val="00876700"/>
    <w:rsid w:val="00877915"/>
    <w:rsid w:val="00877C53"/>
    <w:rsid w:val="008801B6"/>
    <w:rsid w:val="00880584"/>
    <w:rsid w:val="008809FF"/>
    <w:rsid w:val="00881F3D"/>
    <w:rsid w:val="008822D1"/>
    <w:rsid w:val="00883336"/>
    <w:rsid w:val="00884610"/>
    <w:rsid w:val="008847CA"/>
    <w:rsid w:val="00884832"/>
    <w:rsid w:val="00885774"/>
    <w:rsid w:val="00887028"/>
    <w:rsid w:val="0089023D"/>
    <w:rsid w:val="008929FF"/>
    <w:rsid w:val="0089336F"/>
    <w:rsid w:val="00893B88"/>
    <w:rsid w:val="008A08D5"/>
    <w:rsid w:val="008A3D60"/>
    <w:rsid w:val="008A414E"/>
    <w:rsid w:val="008A63EA"/>
    <w:rsid w:val="008A6707"/>
    <w:rsid w:val="008A6C4A"/>
    <w:rsid w:val="008A7468"/>
    <w:rsid w:val="008B0184"/>
    <w:rsid w:val="008B103C"/>
    <w:rsid w:val="008B7055"/>
    <w:rsid w:val="008C08E3"/>
    <w:rsid w:val="008C196E"/>
    <w:rsid w:val="008C198F"/>
    <w:rsid w:val="008C2797"/>
    <w:rsid w:val="008C3354"/>
    <w:rsid w:val="008C42AC"/>
    <w:rsid w:val="008C4793"/>
    <w:rsid w:val="008C5241"/>
    <w:rsid w:val="008C5D02"/>
    <w:rsid w:val="008C6889"/>
    <w:rsid w:val="008D05E6"/>
    <w:rsid w:val="008D0A56"/>
    <w:rsid w:val="008D11DD"/>
    <w:rsid w:val="008D2649"/>
    <w:rsid w:val="008D37DB"/>
    <w:rsid w:val="008D38AE"/>
    <w:rsid w:val="008D53DE"/>
    <w:rsid w:val="008D5BF5"/>
    <w:rsid w:val="008D64C3"/>
    <w:rsid w:val="008E0690"/>
    <w:rsid w:val="008E4122"/>
    <w:rsid w:val="008E6882"/>
    <w:rsid w:val="008E72ED"/>
    <w:rsid w:val="008F0153"/>
    <w:rsid w:val="008F404E"/>
    <w:rsid w:val="008F43AB"/>
    <w:rsid w:val="008F6C47"/>
    <w:rsid w:val="00901372"/>
    <w:rsid w:val="009028E8"/>
    <w:rsid w:val="00902E6B"/>
    <w:rsid w:val="009047E7"/>
    <w:rsid w:val="00904C1D"/>
    <w:rsid w:val="00905408"/>
    <w:rsid w:val="0090568D"/>
    <w:rsid w:val="00906F7C"/>
    <w:rsid w:val="00910B80"/>
    <w:rsid w:val="00910F10"/>
    <w:rsid w:val="00911E26"/>
    <w:rsid w:val="009125C9"/>
    <w:rsid w:val="00913879"/>
    <w:rsid w:val="009140CA"/>
    <w:rsid w:val="00914B68"/>
    <w:rsid w:val="00917363"/>
    <w:rsid w:val="009174EC"/>
    <w:rsid w:val="00917661"/>
    <w:rsid w:val="00920F8A"/>
    <w:rsid w:val="00921283"/>
    <w:rsid w:val="009227D3"/>
    <w:rsid w:val="00923921"/>
    <w:rsid w:val="00923EA7"/>
    <w:rsid w:val="00924588"/>
    <w:rsid w:val="00926712"/>
    <w:rsid w:val="0093065D"/>
    <w:rsid w:val="009315C4"/>
    <w:rsid w:val="00937032"/>
    <w:rsid w:val="009371A3"/>
    <w:rsid w:val="00940BA2"/>
    <w:rsid w:val="00941961"/>
    <w:rsid w:val="00944485"/>
    <w:rsid w:val="00944CA2"/>
    <w:rsid w:val="00947F09"/>
    <w:rsid w:val="0095259F"/>
    <w:rsid w:val="00952629"/>
    <w:rsid w:val="00952CF1"/>
    <w:rsid w:val="00953666"/>
    <w:rsid w:val="00955088"/>
    <w:rsid w:val="00956A32"/>
    <w:rsid w:val="0096068E"/>
    <w:rsid w:val="0096133B"/>
    <w:rsid w:val="00961611"/>
    <w:rsid w:val="00964927"/>
    <w:rsid w:val="009655D7"/>
    <w:rsid w:val="00970E5D"/>
    <w:rsid w:val="00973FEF"/>
    <w:rsid w:val="009752F9"/>
    <w:rsid w:val="0097701C"/>
    <w:rsid w:val="00980A65"/>
    <w:rsid w:val="009819A5"/>
    <w:rsid w:val="0098342E"/>
    <w:rsid w:val="0098623F"/>
    <w:rsid w:val="00986AED"/>
    <w:rsid w:val="00990050"/>
    <w:rsid w:val="009907CE"/>
    <w:rsid w:val="00990AC0"/>
    <w:rsid w:val="0099195C"/>
    <w:rsid w:val="00991CD8"/>
    <w:rsid w:val="00992F83"/>
    <w:rsid w:val="009930C6"/>
    <w:rsid w:val="0099333E"/>
    <w:rsid w:val="00993BA8"/>
    <w:rsid w:val="00993E35"/>
    <w:rsid w:val="009941AB"/>
    <w:rsid w:val="009954EB"/>
    <w:rsid w:val="009A1CFC"/>
    <w:rsid w:val="009A2899"/>
    <w:rsid w:val="009A31AD"/>
    <w:rsid w:val="009A5027"/>
    <w:rsid w:val="009A5CB9"/>
    <w:rsid w:val="009A7C94"/>
    <w:rsid w:val="009B02E0"/>
    <w:rsid w:val="009B034F"/>
    <w:rsid w:val="009B7FF7"/>
    <w:rsid w:val="009C40BF"/>
    <w:rsid w:val="009C443C"/>
    <w:rsid w:val="009C517A"/>
    <w:rsid w:val="009C7422"/>
    <w:rsid w:val="009C75B1"/>
    <w:rsid w:val="009D2A06"/>
    <w:rsid w:val="009D5D76"/>
    <w:rsid w:val="009D6184"/>
    <w:rsid w:val="009D6189"/>
    <w:rsid w:val="009D6578"/>
    <w:rsid w:val="009D6CA4"/>
    <w:rsid w:val="009D7179"/>
    <w:rsid w:val="009E0DC0"/>
    <w:rsid w:val="009E2C44"/>
    <w:rsid w:val="009E31DA"/>
    <w:rsid w:val="009E3AC0"/>
    <w:rsid w:val="009E53FF"/>
    <w:rsid w:val="009E5BB2"/>
    <w:rsid w:val="009E6276"/>
    <w:rsid w:val="009E7607"/>
    <w:rsid w:val="009E79CE"/>
    <w:rsid w:val="009E7D99"/>
    <w:rsid w:val="009F2401"/>
    <w:rsid w:val="009F68FF"/>
    <w:rsid w:val="00A00F0A"/>
    <w:rsid w:val="00A024EF"/>
    <w:rsid w:val="00A03EF1"/>
    <w:rsid w:val="00A043AB"/>
    <w:rsid w:val="00A05FD4"/>
    <w:rsid w:val="00A064A2"/>
    <w:rsid w:val="00A07A9B"/>
    <w:rsid w:val="00A102D0"/>
    <w:rsid w:val="00A1059F"/>
    <w:rsid w:val="00A13C01"/>
    <w:rsid w:val="00A13DCD"/>
    <w:rsid w:val="00A14F18"/>
    <w:rsid w:val="00A173B2"/>
    <w:rsid w:val="00A179FD"/>
    <w:rsid w:val="00A20064"/>
    <w:rsid w:val="00A21E29"/>
    <w:rsid w:val="00A22543"/>
    <w:rsid w:val="00A22E31"/>
    <w:rsid w:val="00A24050"/>
    <w:rsid w:val="00A24740"/>
    <w:rsid w:val="00A25132"/>
    <w:rsid w:val="00A25DF8"/>
    <w:rsid w:val="00A25E70"/>
    <w:rsid w:val="00A30CC1"/>
    <w:rsid w:val="00A31218"/>
    <w:rsid w:val="00A33765"/>
    <w:rsid w:val="00A34025"/>
    <w:rsid w:val="00A351A6"/>
    <w:rsid w:val="00A36B2A"/>
    <w:rsid w:val="00A36D32"/>
    <w:rsid w:val="00A373D0"/>
    <w:rsid w:val="00A374D7"/>
    <w:rsid w:val="00A423CC"/>
    <w:rsid w:val="00A42BA9"/>
    <w:rsid w:val="00A4308E"/>
    <w:rsid w:val="00A4433E"/>
    <w:rsid w:val="00A4460D"/>
    <w:rsid w:val="00A446FF"/>
    <w:rsid w:val="00A45C7D"/>
    <w:rsid w:val="00A45CCB"/>
    <w:rsid w:val="00A46241"/>
    <w:rsid w:val="00A51DEB"/>
    <w:rsid w:val="00A528E5"/>
    <w:rsid w:val="00A52BCB"/>
    <w:rsid w:val="00A543A0"/>
    <w:rsid w:val="00A55916"/>
    <w:rsid w:val="00A55D0C"/>
    <w:rsid w:val="00A56625"/>
    <w:rsid w:val="00A56663"/>
    <w:rsid w:val="00A60428"/>
    <w:rsid w:val="00A60AED"/>
    <w:rsid w:val="00A63269"/>
    <w:rsid w:val="00A6362D"/>
    <w:rsid w:val="00A66E9B"/>
    <w:rsid w:val="00A67AE6"/>
    <w:rsid w:val="00A7286C"/>
    <w:rsid w:val="00A74CAB"/>
    <w:rsid w:val="00A75B20"/>
    <w:rsid w:val="00A769C8"/>
    <w:rsid w:val="00A804A1"/>
    <w:rsid w:val="00A83017"/>
    <w:rsid w:val="00A8435A"/>
    <w:rsid w:val="00A843E0"/>
    <w:rsid w:val="00A91D55"/>
    <w:rsid w:val="00A91FEA"/>
    <w:rsid w:val="00A92377"/>
    <w:rsid w:val="00A928CF"/>
    <w:rsid w:val="00A95852"/>
    <w:rsid w:val="00A95B99"/>
    <w:rsid w:val="00A9689E"/>
    <w:rsid w:val="00A971B9"/>
    <w:rsid w:val="00AA119B"/>
    <w:rsid w:val="00AA1CCF"/>
    <w:rsid w:val="00AA2E8D"/>
    <w:rsid w:val="00AA6597"/>
    <w:rsid w:val="00AB0D36"/>
    <w:rsid w:val="00AB1505"/>
    <w:rsid w:val="00AB29ED"/>
    <w:rsid w:val="00AB6FE3"/>
    <w:rsid w:val="00AB7DF4"/>
    <w:rsid w:val="00AC1B90"/>
    <w:rsid w:val="00AC25D1"/>
    <w:rsid w:val="00AC3E13"/>
    <w:rsid w:val="00AC4036"/>
    <w:rsid w:val="00AC45B7"/>
    <w:rsid w:val="00AC4787"/>
    <w:rsid w:val="00AC6AB3"/>
    <w:rsid w:val="00AC72C9"/>
    <w:rsid w:val="00AD0500"/>
    <w:rsid w:val="00AD1114"/>
    <w:rsid w:val="00AD3AF9"/>
    <w:rsid w:val="00AD6993"/>
    <w:rsid w:val="00AE09C2"/>
    <w:rsid w:val="00AE0F11"/>
    <w:rsid w:val="00AE1250"/>
    <w:rsid w:val="00AE1A23"/>
    <w:rsid w:val="00AE1DBD"/>
    <w:rsid w:val="00AE4548"/>
    <w:rsid w:val="00AE4BD8"/>
    <w:rsid w:val="00AE63C2"/>
    <w:rsid w:val="00AE6441"/>
    <w:rsid w:val="00AE78CC"/>
    <w:rsid w:val="00AF0CA7"/>
    <w:rsid w:val="00AF24AC"/>
    <w:rsid w:val="00AF49D4"/>
    <w:rsid w:val="00AF4C5E"/>
    <w:rsid w:val="00AF4FB7"/>
    <w:rsid w:val="00AF6EA2"/>
    <w:rsid w:val="00B0031B"/>
    <w:rsid w:val="00B06324"/>
    <w:rsid w:val="00B06F4A"/>
    <w:rsid w:val="00B07CC7"/>
    <w:rsid w:val="00B14E0B"/>
    <w:rsid w:val="00B1693C"/>
    <w:rsid w:val="00B16D0E"/>
    <w:rsid w:val="00B222CE"/>
    <w:rsid w:val="00B22BBF"/>
    <w:rsid w:val="00B23658"/>
    <w:rsid w:val="00B249E0"/>
    <w:rsid w:val="00B24CAA"/>
    <w:rsid w:val="00B26189"/>
    <w:rsid w:val="00B26E29"/>
    <w:rsid w:val="00B30357"/>
    <w:rsid w:val="00B30413"/>
    <w:rsid w:val="00B3510F"/>
    <w:rsid w:val="00B4057B"/>
    <w:rsid w:val="00B41964"/>
    <w:rsid w:val="00B4205D"/>
    <w:rsid w:val="00B4213B"/>
    <w:rsid w:val="00B4273A"/>
    <w:rsid w:val="00B430AD"/>
    <w:rsid w:val="00B4388F"/>
    <w:rsid w:val="00B440ED"/>
    <w:rsid w:val="00B44FEE"/>
    <w:rsid w:val="00B458C1"/>
    <w:rsid w:val="00B459E1"/>
    <w:rsid w:val="00B5278C"/>
    <w:rsid w:val="00B52E43"/>
    <w:rsid w:val="00B53C46"/>
    <w:rsid w:val="00B53E13"/>
    <w:rsid w:val="00B60376"/>
    <w:rsid w:val="00B605E9"/>
    <w:rsid w:val="00B60B87"/>
    <w:rsid w:val="00B63237"/>
    <w:rsid w:val="00B6366A"/>
    <w:rsid w:val="00B63C79"/>
    <w:rsid w:val="00B65AB8"/>
    <w:rsid w:val="00B665CA"/>
    <w:rsid w:val="00B66720"/>
    <w:rsid w:val="00B703BD"/>
    <w:rsid w:val="00B70984"/>
    <w:rsid w:val="00B73954"/>
    <w:rsid w:val="00B74F7C"/>
    <w:rsid w:val="00B75943"/>
    <w:rsid w:val="00B767C4"/>
    <w:rsid w:val="00B768DA"/>
    <w:rsid w:val="00B76D78"/>
    <w:rsid w:val="00B813D3"/>
    <w:rsid w:val="00B8169B"/>
    <w:rsid w:val="00B82F16"/>
    <w:rsid w:val="00B87D88"/>
    <w:rsid w:val="00B90A50"/>
    <w:rsid w:val="00B90C39"/>
    <w:rsid w:val="00B914D0"/>
    <w:rsid w:val="00B941B1"/>
    <w:rsid w:val="00BA0A55"/>
    <w:rsid w:val="00BA0D75"/>
    <w:rsid w:val="00BA1F66"/>
    <w:rsid w:val="00BA216C"/>
    <w:rsid w:val="00BA30C6"/>
    <w:rsid w:val="00BA3E43"/>
    <w:rsid w:val="00BA4B54"/>
    <w:rsid w:val="00BA5A64"/>
    <w:rsid w:val="00BA5E4D"/>
    <w:rsid w:val="00BA76A3"/>
    <w:rsid w:val="00BA7E40"/>
    <w:rsid w:val="00BB053B"/>
    <w:rsid w:val="00BB0B5F"/>
    <w:rsid w:val="00BB198A"/>
    <w:rsid w:val="00BB2A75"/>
    <w:rsid w:val="00BB40E0"/>
    <w:rsid w:val="00BB443C"/>
    <w:rsid w:val="00BB6375"/>
    <w:rsid w:val="00BB6B76"/>
    <w:rsid w:val="00BC1019"/>
    <w:rsid w:val="00BC52EE"/>
    <w:rsid w:val="00BC57D2"/>
    <w:rsid w:val="00BC5C26"/>
    <w:rsid w:val="00BD1019"/>
    <w:rsid w:val="00BE02AF"/>
    <w:rsid w:val="00BE044D"/>
    <w:rsid w:val="00BE0949"/>
    <w:rsid w:val="00BE0D58"/>
    <w:rsid w:val="00BE1BE3"/>
    <w:rsid w:val="00BE1DFF"/>
    <w:rsid w:val="00BE23B9"/>
    <w:rsid w:val="00BE74BF"/>
    <w:rsid w:val="00BE7DFD"/>
    <w:rsid w:val="00BF0F4E"/>
    <w:rsid w:val="00BF195E"/>
    <w:rsid w:val="00BF1F4F"/>
    <w:rsid w:val="00BF3448"/>
    <w:rsid w:val="00BF3795"/>
    <w:rsid w:val="00BF41BD"/>
    <w:rsid w:val="00BF4652"/>
    <w:rsid w:val="00BF6012"/>
    <w:rsid w:val="00BF7DB6"/>
    <w:rsid w:val="00C00796"/>
    <w:rsid w:val="00C017A3"/>
    <w:rsid w:val="00C036AD"/>
    <w:rsid w:val="00C04242"/>
    <w:rsid w:val="00C049E6"/>
    <w:rsid w:val="00C053D8"/>
    <w:rsid w:val="00C06713"/>
    <w:rsid w:val="00C069DA"/>
    <w:rsid w:val="00C06AE0"/>
    <w:rsid w:val="00C11C84"/>
    <w:rsid w:val="00C1200C"/>
    <w:rsid w:val="00C15796"/>
    <w:rsid w:val="00C16AD7"/>
    <w:rsid w:val="00C17230"/>
    <w:rsid w:val="00C20775"/>
    <w:rsid w:val="00C212B1"/>
    <w:rsid w:val="00C22155"/>
    <w:rsid w:val="00C23B72"/>
    <w:rsid w:val="00C26706"/>
    <w:rsid w:val="00C26ED2"/>
    <w:rsid w:val="00C27D6C"/>
    <w:rsid w:val="00C318CB"/>
    <w:rsid w:val="00C31C47"/>
    <w:rsid w:val="00C32EDD"/>
    <w:rsid w:val="00C3352D"/>
    <w:rsid w:val="00C339CB"/>
    <w:rsid w:val="00C34BAC"/>
    <w:rsid w:val="00C353B8"/>
    <w:rsid w:val="00C35CB5"/>
    <w:rsid w:val="00C362CB"/>
    <w:rsid w:val="00C36DF8"/>
    <w:rsid w:val="00C37E03"/>
    <w:rsid w:val="00C41108"/>
    <w:rsid w:val="00C41E2A"/>
    <w:rsid w:val="00C42217"/>
    <w:rsid w:val="00C42281"/>
    <w:rsid w:val="00C42D53"/>
    <w:rsid w:val="00C4460F"/>
    <w:rsid w:val="00C547D5"/>
    <w:rsid w:val="00C54BE6"/>
    <w:rsid w:val="00C54FF5"/>
    <w:rsid w:val="00C6164F"/>
    <w:rsid w:val="00C62EF8"/>
    <w:rsid w:val="00C63409"/>
    <w:rsid w:val="00C650D0"/>
    <w:rsid w:val="00C656A9"/>
    <w:rsid w:val="00C663AA"/>
    <w:rsid w:val="00C67484"/>
    <w:rsid w:val="00C70E67"/>
    <w:rsid w:val="00C72C7C"/>
    <w:rsid w:val="00C72FF2"/>
    <w:rsid w:val="00C73E34"/>
    <w:rsid w:val="00C73FD6"/>
    <w:rsid w:val="00C75724"/>
    <w:rsid w:val="00C7661E"/>
    <w:rsid w:val="00C804D3"/>
    <w:rsid w:val="00C80CFB"/>
    <w:rsid w:val="00C816DE"/>
    <w:rsid w:val="00C81978"/>
    <w:rsid w:val="00C82B97"/>
    <w:rsid w:val="00C867EE"/>
    <w:rsid w:val="00C86E97"/>
    <w:rsid w:val="00C877BD"/>
    <w:rsid w:val="00C93546"/>
    <w:rsid w:val="00C937FA"/>
    <w:rsid w:val="00C9550F"/>
    <w:rsid w:val="00C95936"/>
    <w:rsid w:val="00C960DC"/>
    <w:rsid w:val="00CA107F"/>
    <w:rsid w:val="00CA1F5D"/>
    <w:rsid w:val="00CA4683"/>
    <w:rsid w:val="00CA4D6E"/>
    <w:rsid w:val="00CA54EF"/>
    <w:rsid w:val="00CA5941"/>
    <w:rsid w:val="00CA5B88"/>
    <w:rsid w:val="00CA675C"/>
    <w:rsid w:val="00CA67AC"/>
    <w:rsid w:val="00CA7555"/>
    <w:rsid w:val="00CC283F"/>
    <w:rsid w:val="00CC4392"/>
    <w:rsid w:val="00CC5E1F"/>
    <w:rsid w:val="00CC66C1"/>
    <w:rsid w:val="00CC6786"/>
    <w:rsid w:val="00CD0D0D"/>
    <w:rsid w:val="00CD0DB0"/>
    <w:rsid w:val="00CD109F"/>
    <w:rsid w:val="00CD1D6A"/>
    <w:rsid w:val="00CD4D69"/>
    <w:rsid w:val="00CD5FA3"/>
    <w:rsid w:val="00CD613A"/>
    <w:rsid w:val="00CD6D31"/>
    <w:rsid w:val="00CE23BD"/>
    <w:rsid w:val="00CE2C91"/>
    <w:rsid w:val="00CE3FA5"/>
    <w:rsid w:val="00CF2E72"/>
    <w:rsid w:val="00CF5622"/>
    <w:rsid w:val="00CF6A94"/>
    <w:rsid w:val="00CF775E"/>
    <w:rsid w:val="00D0003D"/>
    <w:rsid w:val="00D007EE"/>
    <w:rsid w:val="00D022A9"/>
    <w:rsid w:val="00D02C75"/>
    <w:rsid w:val="00D03325"/>
    <w:rsid w:val="00D03859"/>
    <w:rsid w:val="00D03A05"/>
    <w:rsid w:val="00D03F49"/>
    <w:rsid w:val="00D04F28"/>
    <w:rsid w:val="00D055E6"/>
    <w:rsid w:val="00D06F63"/>
    <w:rsid w:val="00D07361"/>
    <w:rsid w:val="00D10E22"/>
    <w:rsid w:val="00D11A5A"/>
    <w:rsid w:val="00D13D2C"/>
    <w:rsid w:val="00D14B23"/>
    <w:rsid w:val="00D151D9"/>
    <w:rsid w:val="00D16B7A"/>
    <w:rsid w:val="00D17447"/>
    <w:rsid w:val="00D216F6"/>
    <w:rsid w:val="00D21795"/>
    <w:rsid w:val="00D22044"/>
    <w:rsid w:val="00D22868"/>
    <w:rsid w:val="00D22EDC"/>
    <w:rsid w:val="00D22F4F"/>
    <w:rsid w:val="00D24055"/>
    <w:rsid w:val="00D25A14"/>
    <w:rsid w:val="00D265EB"/>
    <w:rsid w:val="00D279AE"/>
    <w:rsid w:val="00D30F2C"/>
    <w:rsid w:val="00D313A4"/>
    <w:rsid w:val="00D321B7"/>
    <w:rsid w:val="00D350F0"/>
    <w:rsid w:val="00D376BB"/>
    <w:rsid w:val="00D42907"/>
    <w:rsid w:val="00D42EB6"/>
    <w:rsid w:val="00D44A96"/>
    <w:rsid w:val="00D44CF8"/>
    <w:rsid w:val="00D4502B"/>
    <w:rsid w:val="00D4527F"/>
    <w:rsid w:val="00D4574D"/>
    <w:rsid w:val="00D45DE8"/>
    <w:rsid w:val="00D47D09"/>
    <w:rsid w:val="00D47FF6"/>
    <w:rsid w:val="00D50421"/>
    <w:rsid w:val="00D51674"/>
    <w:rsid w:val="00D552F3"/>
    <w:rsid w:val="00D57E1B"/>
    <w:rsid w:val="00D60D29"/>
    <w:rsid w:val="00D61BA8"/>
    <w:rsid w:val="00D62774"/>
    <w:rsid w:val="00D6437B"/>
    <w:rsid w:val="00D644DE"/>
    <w:rsid w:val="00D65118"/>
    <w:rsid w:val="00D65929"/>
    <w:rsid w:val="00D66F10"/>
    <w:rsid w:val="00D66FCA"/>
    <w:rsid w:val="00D67598"/>
    <w:rsid w:val="00D71609"/>
    <w:rsid w:val="00D71EB6"/>
    <w:rsid w:val="00D74DCF"/>
    <w:rsid w:val="00D80BF1"/>
    <w:rsid w:val="00D81A9F"/>
    <w:rsid w:val="00D83C02"/>
    <w:rsid w:val="00D83E5F"/>
    <w:rsid w:val="00D84018"/>
    <w:rsid w:val="00D843BD"/>
    <w:rsid w:val="00D85121"/>
    <w:rsid w:val="00D855F9"/>
    <w:rsid w:val="00D86BD1"/>
    <w:rsid w:val="00D90A75"/>
    <w:rsid w:val="00D90D6C"/>
    <w:rsid w:val="00D91D2E"/>
    <w:rsid w:val="00D92F25"/>
    <w:rsid w:val="00D936E5"/>
    <w:rsid w:val="00D94243"/>
    <w:rsid w:val="00D951A6"/>
    <w:rsid w:val="00D95BAF"/>
    <w:rsid w:val="00D97A97"/>
    <w:rsid w:val="00DA045D"/>
    <w:rsid w:val="00DA477E"/>
    <w:rsid w:val="00DA4FA7"/>
    <w:rsid w:val="00DA6388"/>
    <w:rsid w:val="00DA6A6D"/>
    <w:rsid w:val="00DB167D"/>
    <w:rsid w:val="00DB3EC4"/>
    <w:rsid w:val="00DB4F62"/>
    <w:rsid w:val="00DB5D3F"/>
    <w:rsid w:val="00DC272D"/>
    <w:rsid w:val="00DC2F94"/>
    <w:rsid w:val="00DC67E5"/>
    <w:rsid w:val="00DD1D89"/>
    <w:rsid w:val="00DD3D9E"/>
    <w:rsid w:val="00DD77A8"/>
    <w:rsid w:val="00DD7908"/>
    <w:rsid w:val="00DD7C81"/>
    <w:rsid w:val="00DE03F5"/>
    <w:rsid w:val="00DE10AF"/>
    <w:rsid w:val="00DE1D49"/>
    <w:rsid w:val="00DE28FC"/>
    <w:rsid w:val="00DE2B44"/>
    <w:rsid w:val="00DE555D"/>
    <w:rsid w:val="00DE6640"/>
    <w:rsid w:val="00DE6B1F"/>
    <w:rsid w:val="00DF0984"/>
    <w:rsid w:val="00DF0D2A"/>
    <w:rsid w:val="00DF0D69"/>
    <w:rsid w:val="00DF2A14"/>
    <w:rsid w:val="00DF3D2E"/>
    <w:rsid w:val="00DF4102"/>
    <w:rsid w:val="00DF5740"/>
    <w:rsid w:val="00DF770E"/>
    <w:rsid w:val="00E00016"/>
    <w:rsid w:val="00E00358"/>
    <w:rsid w:val="00E01BDC"/>
    <w:rsid w:val="00E0257D"/>
    <w:rsid w:val="00E040BF"/>
    <w:rsid w:val="00E05BA3"/>
    <w:rsid w:val="00E05BDA"/>
    <w:rsid w:val="00E0614A"/>
    <w:rsid w:val="00E06464"/>
    <w:rsid w:val="00E06504"/>
    <w:rsid w:val="00E066F9"/>
    <w:rsid w:val="00E06C0F"/>
    <w:rsid w:val="00E077C4"/>
    <w:rsid w:val="00E11F96"/>
    <w:rsid w:val="00E13D55"/>
    <w:rsid w:val="00E1692D"/>
    <w:rsid w:val="00E16F55"/>
    <w:rsid w:val="00E202CC"/>
    <w:rsid w:val="00E2178D"/>
    <w:rsid w:val="00E22251"/>
    <w:rsid w:val="00E25770"/>
    <w:rsid w:val="00E25C9D"/>
    <w:rsid w:val="00E274FC"/>
    <w:rsid w:val="00E27803"/>
    <w:rsid w:val="00E315BF"/>
    <w:rsid w:val="00E31AD3"/>
    <w:rsid w:val="00E32452"/>
    <w:rsid w:val="00E33EEC"/>
    <w:rsid w:val="00E3473A"/>
    <w:rsid w:val="00E34B17"/>
    <w:rsid w:val="00E363E2"/>
    <w:rsid w:val="00E4058B"/>
    <w:rsid w:val="00E4216B"/>
    <w:rsid w:val="00E478C3"/>
    <w:rsid w:val="00E4F800"/>
    <w:rsid w:val="00E51AD2"/>
    <w:rsid w:val="00E54EAE"/>
    <w:rsid w:val="00E5676D"/>
    <w:rsid w:val="00E56F73"/>
    <w:rsid w:val="00E60CBD"/>
    <w:rsid w:val="00E61988"/>
    <w:rsid w:val="00E62209"/>
    <w:rsid w:val="00E62D02"/>
    <w:rsid w:val="00E6321F"/>
    <w:rsid w:val="00E6384D"/>
    <w:rsid w:val="00E667ED"/>
    <w:rsid w:val="00E667FD"/>
    <w:rsid w:val="00E66DE8"/>
    <w:rsid w:val="00E676A1"/>
    <w:rsid w:val="00E67BA4"/>
    <w:rsid w:val="00E708D3"/>
    <w:rsid w:val="00E71DD8"/>
    <w:rsid w:val="00E71E7F"/>
    <w:rsid w:val="00E72B75"/>
    <w:rsid w:val="00E73304"/>
    <w:rsid w:val="00E74A7F"/>
    <w:rsid w:val="00E7585C"/>
    <w:rsid w:val="00E760C3"/>
    <w:rsid w:val="00E765AB"/>
    <w:rsid w:val="00E770E7"/>
    <w:rsid w:val="00E77EE3"/>
    <w:rsid w:val="00E81540"/>
    <w:rsid w:val="00E82297"/>
    <w:rsid w:val="00E82EBC"/>
    <w:rsid w:val="00E84167"/>
    <w:rsid w:val="00E864A9"/>
    <w:rsid w:val="00E90346"/>
    <w:rsid w:val="00E90C04"/>
    <w:rsid w:val="00E91384"/>
    <w:rsid w:val="00E91CE6"/>
    <w:rsid w:val="00E93EA0"/>
    <w:rsid w:val="00E96D2C"/>
    <w:rsid w:val="00E97766"/>
    <w:rsid w:val="00EA11B8"/>
    <w:rsid w:val="00EA184C"/>
    <w:rsid w:val="00EA1CD2"/>
    <w:rsid w:val="00EA3D1E"/>
    <w:rsid w:val="00EA4672"/>
    <w:rsid w:val="00EA4CFC"/>
    <w:rsid w:val="00EA66F6"/>
    <w:rsid w:val="00EA7965"/>
    <w:rsid w:val="00EA7EFF"/>
    <w:rsid w:val="00EAC772"/>
    <w:rsid w:val="00EB2068"/>
    <w:rsid w:val="00EB31E2"/>
    <w:rsid w:val="00EB348F"/>
    <w:rsid w:val="00EB3E92"/>
    <w:rsid w:val="00EB400D"/>
    <w:rsid w:val="00EB5ED7"/>
    <w:rsid w:val="00EB643F"/>
    <w:rsid w:val="00EB7629"/>
    <w:rsid w:val="00EC0245"/>
    <w:rsid w:val="00EC05A6"/>
    <w:rsid w:val="00EC164F"/>
    <w:rsid w:val="00EC1E5B"/>
    <w:rsid w:val="00EC27A5"/>
    <w:rsid w:val="00EC2BE0"/>
    <w:rsid w:val="00EC2F52"/>
    <w:rsid w:val="00EC385F"/>
    <w:rsid w:val="00EC3A9C"/>
    <w:rsid w:val="00EC51B6"/>
    <w:rsid w:val="00EC528A"/>
    <w:rsid w:val="00EC588B"/>
    <w:rsid w:val="00EC60AF"/>
    <w:rsid w:val="00ED0795"/>
    <w:rsid w:val="00ED223D"/>
    <w:rsid w:val="00ED303B"/>
    <w:rsid w:val="00ED39D0"/>
    <w:rsid w:val="00ED6308"/>
    <w:rsid w:val="00EE1772"/>
    <w:rsid w:val="00EE273F"/>
    <w:rsid w:val="00EE2FD2"/>
    <w:rsid w:val="00EE32B6"/>
    <w:rsid w:val="00EE50F0"/>
    <w:rsid w:val="00EE7E6E"/>
    <w:rsid w:val="00EF05B7"/>
    <w:rsid w:val="00EF1282"/>
    <w:rsid w:val="00EF1B95"/>
    <w:rsid w:val="00EF3081"/>
    <w:rsid w:val="00EF39FD"/>
    <w:rsid w:val="00EF514A"/>
    <w:rsid w:val="00EF5E91"/>
    <w:rsid w:val="00F001E3"/>
    <w:rsid w:val="00F01135"/>
    <w:rsid w:val="00F02160"/>
    <w:rsid w:val="00F05761"/>
    <w:rsid w:val="00F061C4"/>
    <w:rsid w:val="00F06842"/>
    <w:rsid w:val="00F071E6"/>
    <w:rsid w:val="00F107ED"/>
    <w:rsid w:val="00F107FD"/>
    <w:rsid w:val="00F1475E"/>
    <w:rsid w:val="00F14DA7"/>
    <w:rsid w:val="00F15DBB"/>
    <w:rsid w:val="00F20B36"/>
    <w:rsid w:val="00F20C38"/>
    <w:rsid w:val="00F236EF"/>
    <w:rsid w:val="00F23928"/>
    <w:rsid w:val="00F24233"/>
    <w:rsid w:val="00F25ACB"/>
    <w:rsid w:val="00F25E3A"/>
    <w:rsid w:val="00F274AC"/>
    <w:rsid w:val="00F30000"/>
    <w:rsid w:val="00F300C0"/>
    <w:rsid w:val="00F308AF"/>
    <w:rsid w:val="00F30C8C"/>
    <w:rsid w:val="00F30F2F"/>
    <w:rsid w:val="00F33DF0"/>
    <w:rsid w:val="00F34755"/>
    <w:rsid w:val="00F36122"/>
    <w:rsid w:val="00F36711"/>
    <w:rsid w:val="00F372A6"/>
    <w:rsid w:val="00F421D0"/>
    <w:rsid w:val="00F50762"/>
    <w:rsid w:val="00F50CC7"/>
    <w:rsid w:val="00F513A8"/>
    <w:rsid w:val="00F5369C"/>
    <w:rsid w:val="00F53981"/>
    <w:rsid w:val="00F54BBC"/>
    <w:rsid w:val="00F559D5"/>
    <w:rsid w:val="00F55CAB"/>
    <w:rsid w:val="00F560CD"/>
    <w:rsid w:val="00F566B0"/>
    <w:rsid w:val="00F56737"/>
    <w:rsid w:val="00F56E87"/>
    <w:rsid w:val="00F61AC4"/>
    <w:rsid w:val="00F61C56"/>
    <w:rsid w:val="00F62465"/>
    <w:rsid w:val="00F6365F"/>
    <w:rsid w:val="00F66B41"/>
    <w:rsid w:val="00F66C17"/>
    <w:rsid w:val="00F671B0"/>
    <w:rsid w:val="00F70991"/>
    <w:rsid w:val="00F71581"/>
    <w:rsid w:val="00F71B66"/>
    <w:rsid w:val="00F742F0"/>
    <w:rsid w:val="00F74912"/>
    <w:rsid w:val="00F75ABC"/>
    <w:rsid w:val="00F75DAA"/>
    <w:rsid w:val="00F80027"/>
    <w:rsid w:val="00F80058"/>
    <w:rsid w:val="00F80710"/>
    <w:rsid w:val="00F81FD6"/>
    <w:rsid w:val="00F8376D"/>
    <w:rsid w:val="00F86F32"/>
    <w:rsid w:val="00F91A91"/>
    <w:rsid w:val="00F94E93"/>
    <w:rsid w:val="00F96420"/>
    <w:rsid w:val="00F969EE"/>
    <w:rsid w:val="00F9C272"/>
    <w:rsid w:val="00FA119F"/>
    <w:rsid w:val="00FA1BD2"/>
    <w:rsid w:val="00FA2473"/>
    <w:rsid w:val="00FA2731"/>
    <w:rsid w:val="00FA3509"/>
    <w:rsid w:val="00FA5415"/>
    <w:rsid w:val="00FA5455"/>
    <w:rsid w:val="00FA6041"/>
    <w:rsid w:val="00FA6CCE"/>
    <w:rsid w:val="00FA78AB"/>
    <w:rsid w:val="00FA7F0D"/>
    <w:rsid w:val="00FB2169"/>
    <w:rsid w:val="00FB237A"/>
    <w:rsid w:val="00FB6013"/>
    <w:rsid w:val="00FB64A8"/>
    <w:rsid w:val="00FB64BF"/>
    <w:rsid w:val="00FB695E"/>
    <w:rsid w:val="00FC0436"/>
    <w:rsid w:val="00FC06B4"/>
    <w:rsid w:val="00FC2BA5"/>
    <w:rsid w:val="00FC36E2"/>
    <w:rsid w:val="00FC47C0"/>
    <w:rsid w:val="00FC5615"/>
    <w:rsid w:val="00FC6346"/>
    <w:rsid w:val="00FC7761"/>
    <w:rsid w:val="00FD0E4E"/>
    <w:rsid w:val="00FD26BE"/>
    <w:rsid w:val="00FD28FE"/>
    <w:rsid w:val="00FD29A1"/>
    <w:rsid w:val="00FD5BED"/>
    <w:rsid w:val="00FD6087"/>
    <w:rsid w:val="00FE10AE"/>
    <w:rsid w:val="00FE1B78"/>
    <w:rsid w:val="00FE1C1C"/>
    <w:rsid w:val="00FE290A"/>
    <w:rsid w:val="00FE2AAE"/>
    <w:rsid w:val="00FE3708"/>
    <w:rsid w:val="00FE66D9"/>
    <w:rsid w:val="00FF0B45"/>
    <w:rsid w:val="00FF252B"/>
    <w:rsid w:val="00FF2B5F"/>
    <w:rsid w:val="00FF45CC"/>
    <w:rsid w:val="00FF47C5"/>
    <w:rsid w:val="00FF55CB"/>
    <w:rsid w:val="00FF788C"/>
    <w:rsid w:val="01083E19"/>
    <w:rsid w:val="0122CCE2"/>
    <w:rsid w:val="0123C023"/>
    <w:rsid w:val="012537EB"/>
    <w:rsid w:val="012E1040"/>
    <w:rsid w:val="01316FC7"/>
    <w:rsid w:val="013209D5"/>
    <w:rsid w:val="014EE60E"/>
    <w:rsid w:val="0173CE03"/>
    <w:rsid w:val="0176B758"/>
    <w:rsid w:val="017DC480"/>
    <w:rsid w:val="01C1895B"/>
    <w:rsid w:val="01C844F4"/>
    <w:rsid w:val="01CA5968"/>
    <w:rsid w:val="02092E8F"/>
    <w:rsid w:val="021CEA80"/>
    <w:rsid w:val="0231A9CF"/>
    <w:rsid w:val="026DAEB2"/>
    <w:rsid w:val="02A1B9CC"/>
    <w:rsid w:val="02ACA5F1"/>
    <w:rsid w:val="02AE2927"/>
    <w:rsid w:val="02AEBE11"/>
    <w:rsid w:val="02E5A0D2"/>
    <w:rsid w:val="0302C443"/>
    <w:rsid w:val="0334ECC4"/>
    <w:rsid w:val="03512EDF"/>
    <w:rsid w:val="039D5447"/>
    <w:rsid w:val="03AC6479"/>
    <w:rsid w:val="03B98EB0"/>
    <w:rsid w:val="03D2F33B"/>
    <w:rsid w:val="03E4B4E7"/>
    <w:rsid w:val="03F94E33"/>
    <w:rsid w:val="0405786C"/>
    <w:rsid w:val="040857AD"/>
    <w:rsid w:val="04220465"/>
    <w:rsid w:val="04378CAE"/>
    <w:rsid w:val="0439A122"/>
    <w:rsid w:val="044243BC"/>
    <w:rsid w:val="0445B235"/>
    <w:rsid w:val="044E4D77"/>
    <w:rsid w:val="045E74B0"/>
    <w:rsid w:val="04832005"/>
    <w:rsid w:val="048686D0"/>
    <w:rsid w:val="04A9DB2E"/>
    <w:rsid w:val="04B078E8"/>
    <w:rsid w:val="04B29DFF"/>
    <w:rsid w:val="04DEE171"/>
    <w:rsid w:val="04E77D0A"/>
    <w:rsid w:val="04FEB6C6"/>
    <w:rsid w:val="051D040D"/>
    <w:rsid w:val="053D1821"/>
    <w:rsid w:val="0545BC88"/>
    <w:rsid w:val="05505505"/>
    <w:rsid w:val="057DF794"/>
    <w:rsid w:val="059491B4"/>
    <w:rsid w:val="05A0D2E4"/>
    <w:rsid w:val="05E1997D"/>
    <w:rsid w:val="05E33922"/>
    <w:rsid w:val="06069579"/>
    <w:rsid w:val="06225731"/>
    <w:rsid w:val="0636135D"/>
    <w:rsid w:val="0640F0CA"/>
    <w:rsid w:val="06490F7A"/>
    <w:rsid w:val="06552D93"/>
    <w:rsid w:val="06586F58"/>
    <w:rsid w:val="0660D6C2"/>
    <w:rsid w:val="066E6191"/>
    <w:rsid w:val="067BABFD"/>
    <w:rsid w:val="06A2A389"/>
    <w:rsid w:val="06BC64DB"/>
    <w:rsid w:val="06D14C8B"/>
    <w:rsid w:val="06F28CD0"/>
    <w:rsid w:val="0725F4AE"/>
    <w:rsid w:val="072AC361"/>
    <w:rsid w:val="073FF86F"/>
    <w:rsid w:val="074F0A0F"/>
    <w:rsid w:val="0794796F"/>
    <w:rsid w:val="07969C47"/>
    <w:rsid w:val="07BE2792"/>
    <w:rsid w:val="07CD9364"/>
    <w:rsid w:val="07D5E403"/>
    <w:rsid w:val="07DD2305"/>
    <w:rsid w:val="080F92AD"/>
    <w:rsid w:val="0825A672"/>
    <w:rsid w:val="084331A9"/>
    <w:rsid w:val="0843AD9D"/>
    <w:rsid w:val="084627CA"/>
    <w:rsid w:val="087CC132"/>
    <w:rsid w:val="087DFB9C"/>
    <w:rsid w:val="08808E9E"/>
    <w:rsid w:val="0893AC8B"/>
    <w:rsid w:val="089FEF34"/>
    <w:rsid w:val="08A266E8"/>
    <w:rsid w:val="08B778BC"/>
    <w:rsid w:val="08D325C9"/>
    <w:rsid w:val="08E79CA7"/>
    <w:rsid w:val="08F6E586"/>
    <w:rsid w:val="0900987B"/>
    <w:rsid w:val="090A9B2C"/>
    <w:rsid w:val="0919417D"/>
    <w:rsid w:val="09468541"/>
    <w:rsid w:val="094DDF3C"/>
    <w:rsid w:val="09614486"/>
    <w:rsid w:val="09662AC2"/>
    <w:rsid w:val="096DB41F"/>
    <w:rsid w:val="09724736"/>
    <w:rsid w:val="097F12B9"/>
    <w:rsid w:val="098B4D7D"/>
    <w:rsid w:val="0995B27D"/>
    <w:rsid w:val="099E4DEF"/>
    <w:rsid w:val="09B894C3"/>
    <w:rsid w:val="09C624AB"/>
    <w:rsid w:val="09CE4949"/>
    <w:rsid w:val="09F04A76"/>
    <w:rsid w:val="0A139779"/>
    <w:rsid w:val="0A18E742"/>
    <w:rsid w:val="0A1F3E34"/>
    <w:rsid w:val="0A2FC3B1"/>
    <w:rsid w:val="0A5C7C9F"/>
    <w:rsid w:val="0A64CE9D"/>
    <w:rsid w:val="0A64CE9F"/>
    <w:rsid w:val="0A6991F8"/>
    <w:rsid w:val="0A88B0A4"/>
    <w:rsid w:val="0AABF8DF"/>
    <w:rsid w:val="0AB50B7D"/>
    <w:rsid w:val="0AFD4D10"/>
    <w:rsid w:val="0B42A34E"/>
    <w:rsid w:val="0B6CC95A"/>
    <w:rsid w:val="0B7C997E"/>
    <w:rsid w:val="0B7DBBC0"/>
    <w:rsid w:val="0BCB8A12"/>
    <w:rsid w:val="0BDCBAF5"/>
    <w:rsid w:val="0BF2BE26"/>
    <w:rsid w:val="0C136992"/>
    <w:rsid w:val="0C1F86D5"/>
    <w:rsid w:val="0C361BA4"/>
    <w:rsid w:val="0C41831A"/>
    <w:rsid w:val="0C558937"/>
    <w:rsid w:val="0C6B769E"/>
    <w:rsid w:val="0C7BCA57"/>
    <w:rsid w:val="0C876A0E"/>
    <w:rsid w:val="0C890A87"/>
    <w:rsid w:val="0CBAEEF5"/>
    <w:rsid w:val="0CCBEA61"/>
    <w:rsid w:val="0CD243F8"/>
    <w:rsid w:val="0CF66641"/>
    <w:rsid w:val="0D059F3C"/>
    <w:rsid w:val="0D10CE08"/>
    <w:rsid w:val="0D128348"/>
    <w:rsid w:val="0D1F10D3"/>
    <w:rsid w:val="0D4B383B"/>
    <w:rsid w:val="0D54767E"/>
    <w:rsid w:val="0D67629F"/>
    <w:rsid w:val="0DB5E4FF"/>
    <w:rsid w:val="0DE3F402"/>
    <w:rsid w:val="0DF300EA"/>
    <w:rsid w:val="0E03908E"/>
    <w:rsid w:val="0E2DBEEC"/>
    <w:rsid w:val="0E5A90EB"/>
    <w:rsid w:val="0E81BFAF"/>
    <w:rsid w:val="0EA342EF"/>
    <w:rsid w:val="0EB49239"/>
    <w:rsid w:val="0EBAE134"/>
    <w:rsid w:val="0EE72502"/>
    <w:rsid w:val="0EF19C9D"/>
    <w:rsid w:val="0F18D9A7"/>
    <w:rsid w:val="0F3F5F91"/>
    <w:rsid w:val="0F439BF6"/>
    <w:rsid w:val="0F47C71C"/>
    <w:rsid w:val="0F4CF8FE"/>
    <w:rsid w:val="0F50316E"/>
    <w:rsid w:val="0F9157DE"/>
    <w:rsid w:val="0FB99003"/>
    <w:rsid w:val="0FD74AEC"/>
    <w:rsid w:val="0FD94B34"/>
    <w:rsid w:val="0FF8EE06"/>
    <w:rsid w:val="0FFC48E1"/>
    <w:rsid w:val="0FFF1723"/>
    <w:rsid w:val="1019FD93"/>
    <w:rsid w:val="1063B7A9"/>
    <w:rsid w:val="10763E9A"/>
    <w:rsid w:val="108B6F7E"/>
    <w:rsid w:val="10934E47"/>
    <w:rsid w:val="109E105D"/>
    <w:rsid w:val="10B6296C"/>
    <w:rsid w:val="10C4A753"/>
    <w:rsid w:val="10C99E83"/>
    <w:rsid w:val="10CB6503"/>
    <w:rsid w:val="10E0BA6D"/>
    <w:rsid w:val="10E2C269"/>
    <w:rsid w:val="10F739A7"/>
    <w:rsid w:val="11223C04"/>
    <w:rsid w:val="1163C6AB"/>
    <w:rsid w:val="11656305"/>
    <w:rsid w:val="1170D705"/>
    <w:rsid w:val="117EFC76"/>
    <w:rsid w:val="118B478B"/>
    <w:rsid w:val="11C4615B"/>
    <w:rsid w:val="11C4B2CF"/>
    <w:rsid w:val="11CD3ECA"/>
    <w:rsid w:val="11DAD156"/>
    <w:rsid w:val="11DB87A5"/>
    <w:rsid w:val="11DCBD7D"/>
    <w:rsid w:val="1207D867"/>
    <w:rsid w:val="121F639E"/>
    <w:rsid w:val="12273FDF"/>
    <w:rsid w:val="123B8E30"/>
    <w:rsid w:val="124570B4"/>
    <w:rsid w:val="125A6B67"/>
    <w:rsid w:val="12779B37"/>
    <w:rsid w:val="127F2119"/>
    <w:rsid w:val="128F1C14"/>
    <w:rsid w:val="12A3E8A4"/>
    <w:rsid w:val="12AECAC9"/>
    <w:rsid w:val="12B08153"/>
    <w:rsid w:val="12BE0C65"/>
    <w:rsid w:val="12C634A1"/>
    <w:rsid w:val="12F2239E"/>
    <w:rsid w:val="12FF2933"/>
    <w:rsid w:val="1308D3D5"/>
    <w:rsid w:val="13667094"/>
    <w:rsid w:val="136FD051"/>
    <w:rsid w:val="137AB2B5"/>
    <w:rsid w:val="137BCCB6"/>
    <w:rsid w:val="138207C8"/>
    <w:rsid w:val="1394E10F"/>
    <w:rsid w:val="13A0DFAF"/>
    <w:rsid w:val="13AD014F"/>
    <w:rsid w:val="13AFD19A"/>
    <w:rsid w:val="13AFFEAF"/>
    <w:rsid w:val="13C31040"/>
    <w:rsid w:val="13F17FCD"/>
    <w:rsid w:val="13FCD565"/>
    <w:rsid w:val="140273D9"/>
    <w:rsid w:val="14395250"/>
    <w:rsid w:val="14B8225B"/>
    <w:rsid w:val="14B90E8C"/>
    <w:rsid w:val="14CC8C9F"/>
    <w:rsid w:val="14FD70C4"/>
    <w:rsid w:val="1504DF8C"/>
    <w:rsid w:val="151E1E44"/>
    <w:rsid w:val="155EE0A1"/>
    <w:rsid w:val="1582FABA"/>
    <w:rsid w:val="1585B89E"/>
    <w:rsid w:val="158E9DAA"/>
    <w:rsid w:val="15947E03"/>
    <w:rsid w:val="159E443A"/>
    <w:rsid w:val="15A84B8D"/>
    <w:rsid w:val="15B3B704"/>
    <w:rsid w:val="15CC2A97"/>
    <w:rsid w:val="15F2F475"/>
    <w:rsid w:val="15F3E238"/>
    <w:rsid w:val="16095FDF"/>
    <w:rsid w:val="161FAEC5"/>
    <w:rsid w:val="164C5354"/>
    <w:rsid w:val="16598469"/>
    <w:rsid w:val="16783711"/>
    <w:rsid w:val="167C03D7"/>
    <w:rsid w:val="16F6D0D0"/>
    <w:rsid w:val="16F8B2B3"/>
    <w:rsid w:val="173BA9DD"/>
    <w:rsid w:val="17758A49"/>
    <w:rsid w:val="1775DCCB"/>
    <w:rsid w:val="179A8B1D"/>
    <w:rsid w:val="179AD62C"/>
    <w:rsid w:val="17DDE556"/>
    <w:rsid w:val="17DFA64D"/>
    <w:rsid w:val="17E581B3"/>
    <w:rsid w:val="17E63212"/>
    <w:rsid w:val="17F4DD33"/>
    <w:rsid w:val="18071BC2"/>
    <w:rsid w:val="1810E79E"/>
    <w:rsid w:val="18394A3F"/>
    <w:rsid w:val="183C804E"/>
    <w:rsid w:val="183F31F2"/>
    <w:rsid w:val="18900FD4"/>
    <w:rsid w:val="18948314"/>
    <w:rsid w:val="18968163"/>
    <w:rsid w:val="18A0B4DA"/>
    <w:rsid w:val="18BA3A1A"/>
    <w:rsid w:val="18C3381D"/>
    <w:rsid w:val="190382E8"/>
    <w:rsid w:val="1915612D"/>
    <w:rsid w:val="19291123"/>
    <w:rsid w:val="19657743"/>
    <w:rsid w:val="1969A45F"/>
    <w:rsid w:val="19870C96"/>
    <w:rsid w:val="1996A2DC"/>
    <w:rsid w:val="19ADB124"/>
    <w:rsid w:val="1A39E9F2"/>
    <w:rsid w:val="1A45EEC2"/>
    <w:rsid w:val="1A7035C0"/>
    <w:rsid w:val="1AA96AE3"/>
    <w:rsid w:val="1AAB95F2"/>
    <w:rsid w:val="1AF2AF37"/>
    <w:rsid w:val="1AF62CC2"/>
    <w:rsid w:val="1B072F25"/>
    <w:rsid w:val="1B0ED901"/>
    <w:rsid w:val="1B3F0E8A"/>
    <w:rsid w:val="1B3F9EBB"/>
    <w:rsid w:val="1B53B7DF"/>
    <w:rsid w:val="1B5AB6FB"/>
    <w:rsid w:val="1B6DAD57"/>
    <w:rsid w:val="1BB471B7"/>
    <w:rsid w:val="1BCF0750"/>
    <w:rsid w:val="1BE210B1"/>
    <w:rsid w:val="1C2C460A"/>
    <w:rsid w:val="1C4964E2"/>
    <w:rsid w:val="1C752D63"/>
    <w:rsid w:val="1CACFBE5"/>
    <w:rsid w:val="1CBDBABD"/>
    <w:rsid w:val="1CC4ABE6"/>
    <w:rsid w:val="1CD92486"/>
    <w:rsid w:val="1CE1120C"/>
    <w:rsid w:val="1CE45E2E"/>
    <w:rsid w:val="1D160E0E"/>
    <w:rsid w:val="1D203260"/>
    <w:rsid w:val="1D7C2492"/>
    <w:rsid w:val="1D95E452"/>
    <w:rsid w:val="1D9A1386"/>
    <w:rsid w:val="1DC7ECC8"/>
    <w:rsid w:val="1DF98054"/>
    <w:rsid w:val="1E33FE7D"/>
    <w:rsid w:val="1E512F56"/>
    <w:rsid w:val="1E61382F"/>
    <w:rsid w:val="1E9D9A46"/>
    <w:rsid w:val="1E9ED358"/>
    <w:rsid w:val="1EA56128"/>
    <w:rsid w:val="1EC0E06C"/>
    <w:rsid w:val="1EC22249"/>
    <w:rsid w:val="1ECFBA34"/>
    <w:rsid w:val="1EEBBC4A"/>
    <w:rsid w:val="1EF2B211"/>
    <w:rsid w:val="1F07EDF6"/>
    <w:rsid w:val="1F0F484B"/>
    <w:rsid w:val="1F1F18A4"/>
    <w:rsid w:val="1F29A9E0"/>
    <w:rsid w:val="1F3F5A68"/>
    <w:rsid w:val="1F8D6BF4"/>
    <w:rsid w:val="1F969E07"/>
    <w:rsid w:val="1FB12F3A"/>
    <w:rsid w:val="1FBE5DBB"/>
    <w:rsid w:val="1FC2050B"/>
    <w:rsid w:val="1FCC22B6"/>
    <w:rsid w:val="1FCFCEDE"/>
    <w:rsid w:val="1FD4B8C7"/>
    <w:rsid w:val="1FECFFB7"/>
    <w:rsid w:val="1FED57F1"/>
    <w:rsid w:val="200A4516"/>
    <w:rsid w:val="20164C7E"/>
    <w:rsid w:val="202C561D"/>
    <w:rsid w:val="2055756C"/>
    <w:rsid w:val="205D1316"/>
    <w:rsid w:val="20794161"/>
    <w:rsid w:val="20838E9A"/>
    <w:rsid w:val="209D9389"/>
    <w:rsid w:val="20C896D8"/>
    <w:rsid w:val="20D2C030"/>
    <w:rsid w:val="20EA33FE"/>
    <w:rsid w:val="2103BEED"/>
    <w:rsid w:val="210F8485"/>
    <w:rsid w:val="2120F628"/>
    <w:rsid w:val="2141EB43"/>
    <w:rsid w:val="216B1A45"/>
    <w:rsid w:val="216D60C7"/>
    <w:rsid w:val="21771609"/>
    <w:rsid w:val="21A195BA"/>
    <w:rsid w:val="21A58001"/>
    <w:rsid w:val="21A8031D"/>
    <w:rsid w:val="21AA6F10"/>
    <w:rsid w:val="21D35D66"/>
    <w:rsid w:val="21DB4649"/>
    <w:rsid w:val="21E444DC"/>
    <w:rsid w:val="21FA79E7"/>
    <w:rsid w:val="22435446"/>
    <w:rsid w:val="2248BC09"/>
    <w:rsid w:val="226D84A9"/>
    <w:rsid w:val="22728310"/>
    <w:rsid w:val="2283D93D"/>
    <w:rsid w:val="228F1791"/>
    <w:rsid w:val="22B213A6"/>
    <w:rsid w:val="22F9FDF3"/>
    <w:rsid w:val="23012DFC"/>
    <w:rsid w:val="23297C31"/>
    <w:rsid w:val="2334B204"/>
    <w:rsid w:val="23354ECF"/>
    <w:rsid w:val="233C314C"/>
    <w:rsid w:val="2342AF26"/>
    <w:rsid w:val="23B0E223"/>
    <w:rsid w:val="23B83D34"/>
    <w:rsid w:val="23B95374"/>
    <w:rsid w:val="23C5BA22"/>
    <w:rsid w:val="23CB129F"/>
    <w:rsid w:val="23D24480"/>
    <w:rsid w:val="23ED960F"/>
    <w:rsid w:val="23EEFDD9"/>
    <w:rsid w:val="23F19899"/>
    <w:rsid w:val="23FEEED5"/>
    <w:rsid w:val="241BB0AE"/>
    <w:rsid w:val="244721D4"/>
    <w:rsid w:val="247A0034"/>
    <w:rsid w:val="2497C52D"/>
    <w:rsid w:val="24A2BB07"/>
    <w:rsid w:val="24A34001"/>
    <w:rsid w:val="24B6E637"/>
    <w:rsid w:val="24C0C914"/>
    <w:rsid w:val="24C5E40A"/>
    <w:rsid w:val="24FBDADE"/>
    <w:rsid w:val="250B666E"/>
    <w:rsid w:val="251A5AFB"/>
    <w:rsid w:val="251E8D56"/>
    <w:rsid w:val="2538E600"/>
    <w:rsid w:val="253EA1A9"/>
    <w:rsid w:val="25725FC3"/>
    <w:rsid w:val="2582F688"/>
    <w:rsid w:val="25CB2F1D"/>
    <w:rsid w:val="25E4CE26"/>
    <w:rsid w:val="25E77960"/>
    <w:rsid w:val="25E8DD23"/>
    <w:rsid w:val="25F5E88E"/>
    <w:rsid w:val="25FBFC86"/>
    <w:rsid w:val="264F9F01"/>
    <w:rsid w:val="26612608"/>
    <w:rsid w:val="269AE98E"/>
    <w:rsid w:val="26B4024F"/>
    <w:rsid w:val="26C2E9F9"/>
    <w:rsid w:val="26D45F74"/>
    <w:rsid w:val="26EBCAAC"/>
    <w:rsid w:val="27013DD6"/>
    <w:rsid w:val="2702B361"/>
    <w:rsid w:val="2705FCBF"/>
    <w:rsid w:val="27137D66"/>
    <w:rsid w:val="272AC762"/>
    <w:rsid w:val="27C4991A"/>
    <w:rsid w:val="27D35766"/>
    <w:rsid w:val="27DBF818"/>
    <w:rsid w:val="280C4F4A"/>
    <w:rsid w:val="28108B38"/>
    <w:rsid w:val="281CB75B"/>
    <w:rsid w:val="282BA0F4"/>
    <w:rsid w:val="284D85A5"/>
    <w:rsid w:val="28660CE5"/>
    <w:rsid w:val="28858504"/>
    <w:rsid w:val="28C509BC"/>
    <w:rsid w:val="28E43DCA"/>
    <w:rsid w:val="28F5ADF5"/>
    <w:rsid w:val="28FD064D"/>
    <w:rsid w:val="2900F997"/>
    <w:rsid w:val="2910535F"/>
    <w:rsid w:val="2911EEFF"/>
    <w:rsid w:val="292326D4"/>
    <w:rsid w:val="2927B7BF"/>
    <w:rsid w:val="292BF30A"/>
    <w:rsid w:val="29342594"/>
    <w:rsid w:val="293E75CE"/>
    <w:rsid w:val="2972B270"/>
    <w:rsid w:val="297A4618"/>
    <w:rsid w:val="29818E91"/>
    <w:rsid w:val="299962C2"/>
    <w:rsid w:val="299E044E"/>
    <w:rsid w:val="29A53910"/>
    <w:rsid w:val="29B78C74"/>
    <w:rsid w:val="29F0B6AC"/>
    <w:rsid w:val="2A069EE9"/>
    <w:rsid w:val="2A444789"/>
    <w:rsid w:val="2A493686"/>
    <w:rsid w:val="2A5CA293"/>
    <w:rsid w:val="2A60DA1D"/>
    <w:rsid w:val="2A900BB1"/>
    <w:rsid w:val="2AA31DE0"/>
    <w:rsid w:val="2ABC7382"/>
    <w:rsid w:val="2AD5A9F2"/>
    <w:rsid w:val="2ADD5370"/>
    <w:rsid w:val="2AFB0DB4"/>
    <w:rsid w:val="2B3CB905"/>
    <w:rsid w:val="2B43C4AC"/>
    <w:rsid w:val="2B779BD5"/>
    <w:rsid w:val="2B7C98BF"/>
    <w:rsid w:val="2B983105"/>
    <w:rsid w:val="2B9ED567"/>
    <w:rsid w:val="2BA19723"/>
    <w:rsid w:val="2BA8A792"/>
    <w:rsid w:val="2BAC55F4"/>
    <w:rsid w:val="2BCD48A1"/>
    <w:rsid w:val="2BE5C87A"/>
    <w:rsid w:val="2BFCAA7E"/>
    <w:rsid w:val="2C39B2AE"/>
    <w:rsid w:val="2C4F97A7"/>
    <w:rsid w:val="2C72A4CD"/>
    <w:rsid w:val="2C791779"/>
    <w:rsid w:val="2C96DE15"/>
    <w:rsid w:val="2CA37A2B"/>
    <w:rsid w:val="2CC78065"/>
    <w:rsid w:val="2CC7C939"/>
    <w:rsid w:val="2D8A81A8"/>
    <w:rsid w:val="2D96CC35"/>
    <w:rsid w:val="2D987ADF"/>
    <w:rsid w:val="2DA6A3EA"/>
    <w:rsid w:val="2DC79DF7"/>
    <w:rsid w:val="2E0EF8AC"/>
    <w:rsid w:val="2E2BFE41"/>
    <w:rsid w:val="2E83B79B"/>
    <w:rsid w:val="2E8CF84F"/>
    <w:rsid w:val="2E969CA4"/>
    <w:rsid w:val="2ECCFF66"/>
    <w:rsid w:val="2EDAD8E3"/>
    <w:rsid w:val="2EED2AA6"/>
    <w:rsid w:val="2EF1A15C"/>
    <w:rsid w:val="2EF37339"/>
    <w:rsid w:val="2F249E9A"/>
    <w:rsid w:val="2F2F4D16"/>
    <w:rsid w:val="2F3174AC"/>
    <w:rsid w:val="2F50D056"/>
    <w:rsid w:val="2F5875C5"/>
    <w:rsid w:val="2F866D16"/>
    <w:rsid w:val="2FA11A08"/>
    <w:rsid w:val="2FB2D727"/>
    <w:rsid w:val="2FC9F1BD"/>
    <w:rsid w:val="2FDBE567"/>
    <w:rsid w:val="2FE1D242"/>
    <w:rsid w:val="2FEDE02E"/>
    <w:rsid w:val="2FF4761B"/>
    <w:rsid w:val="30061193"/>
    <w:rsid w:val="300D9C74"/>
    <w:rsid w:val="30267868"/>
    <w:rsid w:val="302CAFFF"/>
    <w:rsid w:val="303EE631"/>
    <w:rsid w:val="304C7B26"/>
    <w:rsid w:val="307611CC"/>
    <w:rsid w:val="3085A2F1"/>
    <w:rsid w:val="30A81E6E"/>
    <w:rsid w:val="30D0206C"/>
    <w:rsid w:val="30EFC598"/>
    <w:rsid w:val="30FE066A"/>
    <w:rsid w:val="313A92C6"/>
    <w:rsid w:val="3141F2A3"/>
    <w:rsid w:val="317297A1"/>
    <w:rsid w:val="31751743"/>
    <w:rsid w:val="3189B08F"/>
    <w:rsid w:val="3193CE4B"/>
    <w:rsid w:val="31D11C23"/>
    <w:rsid w:val="31E2F90A"/>
    <w:rsid w:val="320F3985"/>
    <w:rsid w:val="322B4803"/>
    <w:rsid w:val="327CEDC0"/>
    <w:rsid w:val="328795B4"/>
    <w:rsid w:val="3297CAA8"/>
    <w:rsid w:val="329AADB8"/>
    <w:rsid w:val="32B565CE"/>
    <w:rsid w:val="32B58ADF"/>
    <w:rsid w:val="32C98704"/>
    <w:rsid w:val="32D420F4"/>
    <w:rsid w:val="32E9D3D7"/>
    <w:rsid w:val="3317B71D"/>
    <w:rsid w:val="331865B9"/>
    <w:rsid w:val="335F068E"/>
    <w:rsid w:val="336C139A"/>
    <w:rsid w:val="33793077"/>
    <w:rsid w:val="33A1A4FB"/>
    <w:rsid w:val="33AF6036"/>
    <w:rsid w:val="33BB2021"/>
    <w:rsid w:val="33D03A13"/>
    <w:rsid w:val="33D50B50"/>
    <w:rsid w:val="33E4CCA9"/>
    <w:rsid w:val="3410C97D"/>
    <w:rsid w:val="34542FBC"/>
    <w:rsid w:val="3465FE83"/>
    <w:rsid w:val="347A363E"/>
    <w:rsid w:val="349E3FB5"/>
    <w:rsid w:val="34E1977A"/>
    <w:rsid w:val="35002122"/>
    <w:rsid w:val="3510A262"/>
    <w:rsid w:val="3550E59A"/>
    <w:rsid w:val="356E094B"/>
    <w:rsid w:val="357179A5"/>
    <w:rsid w:val="35741746"/>
    <w:rsid w:val="357C81D7"/>
    <w:rsid w:val="3588121A"/>
    <w:rsid w:val="358FB892"/>
    <w:rsid w:val="359251ED"/>
    <w:rsid w:val="35A5DD2A"/>
    <w:rsid w:val="35A7869F"/>
    <w:rsid w:val="35A9C545"/>
    <w:rsid w:val="35AAFE2B"/>
    <w:rsid w:val="35AD26BE"/>
    <w:rsid w:val="35D4D08A"/>
    <w:rsid w:val="35EB5AA1"/>
    <w:rsid w:val="35F5FEAB"/>
    <w:rsid w:val="35F655BA"/>
    <w:rsid w:val="36033D73"/>
    <w:rsid w:val="363F958D"/>
    <w:rsid w:val="364B31AE"/>
    <w:rsid w:val="36573387"/>
    <w:rsid w:val="36D1EC34"/>
    <w:rsid w:val="36D715D1"/>
    <w:rsid w:val="36ED6BD8"/>
    <w:rsid w:val="36FD81C5"/>
    <w:rsid w:val="371A3443"/>
    <w:rsid w:val="37483B50"/>
    <w:rsid w:val="3756D97F"/>
    <w:rsid w:val="376095BF"/>
    <w:rsid w:val="37BC8549"/>
    <w:rsid w:val="37C184D4"/>
    <w:rsid w:val="37CF9B77"/>
    <w:rsid w:val="37DC2EB6"/>
    <w:rsid w:val="37EDD47C"/>
    <w:rsid w:val="37F4313A"/>
    <w:rsid w:val="37F62ABF"/>
    <w:rsid w:val="3810460D"/>
    <w:rsid w:val="382A4CE3"/>
    <w:rsid w:val="38743F68"/>
    <w:rsid w:val="38A32609"/>
    <w:rsid w:val="38A5AA0D"/>
    <w:rsid w:val="38C6B6BE"/>
    <w:rsid w:val="38E06CF6"/>
    <w:rsid w:val="38F4F860"/>
    <w:rsid w:val="39244C01"/>
    <w:rsid w:val="39379998"/>
    <w:rsid w:val="393A9AC1"/>
    <w:rsid w:val="39406974"/>
    <w:rsid w:val="395FD2F6"/>
    <w:rsid w:val="39621AA5"/>
    <w:rsid w:val="3973AB97"/>
    <w:rsid w:val="399CC13A"/>
    <w:rsid w:val="39A5ECD2"/>
    <w:rsid w:val="39E8BB53"/>
    <w:rsid w:val="39EAA339"/>
    <w:rsid w:val="39EAB95C"/>
    <w:rsid w:val="39EF626F"/>
    <w:rsid w:val="39FDA255"/>
    <w:rsid w:val="3A111B3C"/>
    <w:rsid w:val="3A1BF7F3"/>
    <w:rsid w:val="3A207EDE"/>
    <w:rsid w:val="3A250C9A"/>
    <w:rsid w:val="3A63C35C"/>
    <w:rsid w:val="3A705D39"/>
    <w:rsid w:val="3A754249"/>
    <w:rsid w:val="3A8DBFE4"/>
    <w:rsid w:val="3A975CAF"/>
    <w:rsid w:val="3A9AC9DC"/>
    <w:rsid w:val="3AC1670D"/>
    <w:rsid w:val="3AC55E2E"/>
    <w:rsid w:val="3ACA4FB7"/>
    <w:rsid w:val="3B1C5461"/>
    <w:rsid w:val="3B2B1283"/>
    <w:rsid w:val="3B391206"/>
    <w:rsid w:val="3B3B0F2E"/>
    <w:rsid w:val="3B8B6046"/>
    <w:rsid w:val="3B8FACBA"/>
    <w:rsid w:val="3B9821CA"/>
    <w:rsid w:val="3B9C8CAB"/>
    <w:rsid w:val="3BB929F2"/>
    <w:rsid w:val="3BC0DCFB"/>
    <w:rsid w:val="3BD2A2E1"/>
    <w:rsid w:val="3C20C8F8"/>
    <w:rsid w:val="3C2294AA"/>
    <w:rsid w:val="3C568454"/>
    <w:rsid w:val="3C5C9B6E"/>
    <w:rsid w:val="3C602269"/>
    <w:rsid w:val="3CA9D11E"/>
    <w:rsid w:val="3CAD1CDA"/>
    <w:rsid w:val="3D0784B5"/>
    <w:rsid w:val="3D35EA69"/>
    <w:rsid w:val="3D531058"/>
    <w:rsid w:val="3D5B5FAB"/>
    <w:rsid w:val="3D5CAD5C"/>
    <w:rsid w:val="3D6C3050"/>
    <w:rsid w:val="3D7D0F08"/>
    <w:rsid w:val="3D802794"/>
    <w:rsid w:val="3DAD0292"/>
    <w:rsid w:val="3DEFEE56"/>
    <w:rsid w:val="3DF40EB5"/>
    <w:rsid w:val="3DF8CA66"/>
    <w:rsid w:val="3E08B922"/>
    <w:rsid w:val="3E1915CE"/>
    <w:rsid w:val="3E4BD4FE"/>
    <w:rsid w:val="3E59452C"/>
    <w:rsid w:val="3E6CD4F1"/>
    <w:rsid w:val="3EE7BD9F"/>
    <w:rsid w:val="3EE8950D"/>
    <w:rsid w:val="3EE9662B"/>
    <w:rsid w:val="3EFCB7A2"/>
    <w:rsid w:val="3F228ED5"/>
    <w:rsid w:val="3F290ADD"/>
    <w:rsid w:val="3F5EA79D"/>
    <w:rsid w:val="3F6CEE17"/>
    <w:rsid w:val="3F9CF88E"/>
    <w:rsid w:val="3FABC55A"/>
    <w:rsid w:val="3FB22AC6"/>
    <w:rsid w:val="3FC34D2A"/>
    <w:rsid w:val="3FDD11C2"/>
    <w:rsid w:val="3FF20F51"/>
    <w:rsid w:val="400D0EFA"/>
    <w:rsid w:val="40164A42"/>
    <w:rsid w:val="40329B33"/>
    <w:rsid w:val="40332813"/>
    <w:rsid w:val="4052ECA7"/>
    <w:rsid w:val="40682415"/>
    <w:rsid w:val="40703EF2"/>
    <w:rsid w:val="408E988C"/>
    <w:rsid w:val="408EB9A6"/>
    <w:rsid w:val="4091B46A"/>
    <w:rsid w:val="40AC0AA2"/>
    <w:rsid w:val="40C541E7"/>
    <w:rsid w:val="40C61B28"/>
    <w:rsid w:val="40D0F364"/>
    <w:rsid w:val="40DB6852"/>
    <w:rsid w:val="40FDD49E"/>
    <w:rsid w:val="413B8723"/>
    <w:rsid w:val="413FB859"/>
    <w:rsid w:val="41478702"/>
    <w:rsid w:val="4153A342"/>
    <w:rsid w:val="415661E3"/>
    <w:rsid w:val="4159EBE3"/>
    <w:rsid w:val="4162D422"/>
    <w:rsid w:val="417465F8"/>
    <w:rsid w:val="41917824"/>
    <w:rsid w:val="41A532AE"/>
    <w:rsid w:val="41BC4541"/>
    <w:rsid w:val="41F590FF"/>
    <w:rsid w:val="41F69E29"/>
    <w:rsid w:val="42183F2D"/>
    <w:rsid w:val="42615E52"/>
    <w:rsid w:val="427157FE"/>
    <w:rsid w:val="427982C7"/>
    <w:rsid w:val="42A3EFF0"/>
    <w:rsid w:val="42BF4386"/>
    <w:rsid w:val="42C2DB90"/>
    <w:rsid w:val="42EC484F"/>
    <w:rsid w:val="42F9BD39"/>
    <w:rsid w:val="42FAA9DA"/>
    <w:rsid w:val="42FDAD8B"/>
    <w:rsid w:val="435F6469"/>
    <w:rsid w:val="4364AC4F"/>
    <w:rsid w:val="437E6C24"/>
    <w:rsid w:val="4384CD0F"/>
    <w:rsid w:val="438D23DF"/>
    <w:rsid w:val="43CFB054"/>
    <w:rsid w:val="43DAA5E5"/>
    <w:rsid w:val="43EAF2ED"/>
    <w:rsid w:val="43FD2472"/>
    <w:rsid w:val="4409D8DF"/>
    <w:rsid w:val="442BBD7C"/>
    <w:rsid w:val="44357560"/>
    <w:rsid w:val="4455D4F4"/>
    <w:rsid w:val="44885752"/>
    <w:rsid w:val="448E02A5"/>
    <w:rsid w:val="44CB0F1F"/>
    <w:rsid w:val="450DFA5C"/>
    <w:rsid w:val="450E6909"/>
    <w:rsid w:val="451A1BA9"/>
    <w:rsid w:val="45276753"/>
    <w:rsid w:val="45278D9B"/>
    <w:rsid w:val="452F736B"/>
    <w:rsid w:val="4560E810"/>
    <w:rsid w:val="456EF890"/>
    <w:rsid w:val="4580A100"/>
    <w:rsid w:val="4584D04F"/>
    <w:rsid w:val="458C1A9B"/>
    <w:rsid w:val="45A84DB0"/>
    <w:rsid w:val="45F2DA95"/>
    <w:rsid w:val="45FB2577"/>
    <w:rsid w:val="4636740B"/>
    <w:rsid w:val="4641239D"/>
    <w:rsid w:val="46423B72"/>
    <w:rsid w:val="4649A81B"/>
    <w:rsid w:val="46637603"/>
    <w:rsid w:val="468CA802"/>
    <w:rsid w:val="468F4CD4"/>
    <w:rsid w:val="4694C52D"/>
    <w:rsid w:val="46B4DDF6"/>
    <w:rsid w:val="46CA6FB4"/>
    <w:rsid w:val="46D56A74"/>
    <w:rsid w:val="4703EC7F"/>
    <w:rsid w:val="472E7EBB"/>
    <w:rsid w:val="474952E6"/>
    <w:rsid w:val="4757EC21"/>
    <w:rsid w:val="475D3553"/>
    <w:rsid w:val="476B10EB"/>
    <w:rsid w:val="476B94AD"/>
    <w:rsid w:val="4777282D"/>
    <w:rsid w:val="4792564E"/>
    <w:rsid w:val="47A2FAE8"/>
    <w:rsid w:val="4800B9A8"/>
    <w:rsid w:val="4805610E"/>
    <w:rsid w:val="4817EBF9"/>
    <w:rsid w:val="4824C3E8"/>
    <w:rsid w:val="482B1D35"/>
    <w:rsid w:val="483032AE"/>
    <w:rsid w:val="483481AC"/>
    <w:rsid w:val="48574EEF"/>
    <w:rsid w:val="48A4D0E8"/>
    <w:rsid w:val="48AB73A4"/>
    <w:rsid w:val="48B18F2F"/>
    <w:rsid w:val="48C3BB5D"/>
    <w:rsid w:val="48CA4F1C"/>
    <w:rsid w:val="48F562C1"/>
    <w:rsid w:val="490274B9"/>
    <w:rsid w:val="4909B3D0"/>
    <w:rsid w:val="490DC115"/>
    <w:rsid w:val="4946AD2B"/>
    <w:rsid w:val="4950BEC1"/>
    <w:rsid w:val="4963B5FB"/>
    <w:rsid w:val="498C3D8F"/>
    <w:rsid w:val="49BAB10F"/>
    <w:rsid w:val="49D90E3A"/>
    <w:rsid w:val="49E5B6C0"/>
    <w:rsid w:val="49E8E750"/>
    <w:rsid w:val="4A061856"/>
    <w:rsid w:val="4A10A133"/>
    <w:rsid w:val="4A1E69D0"/>
    <w:rsid w:val="4A1F617C"/>
    <w:rsid w:val="4A3A4152"/>
    <w:rsid w:val="4A3EC204"/>
    <w:rsid w:val="4A4E6025"/>
    <w:rsid w:val="4A5353DD"/>
    <w:rsid w:val="4AB6AAC2"/>
    <w:rsid w:val="4AFF865C"/>
    <w:rsid w:val="4B09B539"/>
    <w:rsid w:val="4B45C9D4"/>
    <w:rsid w:val="4B462906"/>
    <w:rsid w:val="4B4A5C60"/>
    <w:rsid w:val="4B568170"/>
    <w:rsid w:val="4B654329"/>
    <w:rsid w:val="4B80E2B0"/>
    <w:rsid w:val="4B86907B"/>
    <w:rsid w:val="4B999785"/>
    <w:rsid w:val="4BA3C858"/>
    <w:rsid w:val="4BC20418"/>
    <w:rsid w:val="4BD31E78"/>
    <w:rsid w:val="4BD99349"/>
    <w:rsid w:val="4BEE5AF0"/>
    <w:rsid w:val="4C0FEDB5"/>
    <w:rsid w:val="4C203E9C"/>
    <w:rsid w:val="4C2B09E6"/>
    <w:rsid w:val="4C3C406D"/>
    <w:rsid w:val="4C448CB6"/>
    <w:rsid w:val="4C49B539"/>
    <w:rsid w:val="4C785366"/>
    <w:rsid w:val="4C7E0911"/>
    <w:rsid w:val="4C9B56BD"/>
    <w:rsid w:val="4CA49AF1"/>
    <w:rsid w:val="4CA6F7C3"/>
    <w:rsid w:val="4CADDAF2"/>
    <w:rsid w:val="4CB85A66"/>
    <w:rsid w:val="4CCE5F6E"/>
    <w:rsid w:val="4CD1F46A"/>
    <w:rsid w:val="4CDBFB3B"/>
    <w:rsid w:val="4CF251D1"/>
    <w:rsid w:val="4D1CB311"/>
    <w:rsid w:val="4D29C314"/>
    <w:rsid w:val="4D4D2D6B"/>
    <w:rsid w:val="4D4F72CA"/>
    <w:rsid w:val="4D536346"/>
    <w:rsid w:val="4D94F9EA"/>
    <w:rsid w:val="4DAFE05A"/>
    <w:rsid w:val="4DB30788"/>
    <w:rsid w:val="4DF5169F"/>
    <w:rsid w:val="4E0E8989"/>
    <w:rsid w:val="4E10F106"/>
    <w:rsid w:val="4EB927E3"/>
    <w:rsid w:val="4EBB06BB"/>
    <w:rsid w:val="4ED30028"/>
    <w:rsid w:val="4EE7EFC3"/>
    <w:rsid w:val="4EEE5795"/>
    <w:rsid w:val="4F089CDA"/>
    <w:rsid w:val="4F16B919"/>
    <w:rsid w:val="4F46F6FF"/>
    <w:rsid w:val="4F4A0F8F"/>
    <w:rsid w:val="4F6AB3CD"/>
    <w:rsid w:val="4F704A34"/>
    <w:rsid w:val="4F7356C7"/>
    <w:rsid w:val="4F7E6147"/>
    <w:rsid w:val="4F82E00B"/>
    <w:rsid w:val="4F86D126"/>
    <w:rsid w:val="4FB5D47B"/>
    <w:rsid w:val="4FC00485"/>
    <w:rsid w:val="4FE8A501"/>
    <w:rsid w:val="4FFCA203"/>
    <w:rsid w:val="4FFD4217"/>
    <w:rsid w:val="500EA9F1"/>
    <w:rsid w:val="5026B6A2"/>
    <w:rsid w:val="5029F293"/>
    <w:rsid w:val="5050AE85"/>
    <w:rsid w:val="505F24D3"/>
    <w:rsid w:val="50689A5D"/>
    <w:rsid w:val="506ED089"/>
    <w:rsid w:val="50717302"/>
    <w:rsid w:val="50777F24"/>
    <w:rsid w:val="5093EA43"/>
    <w:rsid w:val="50AB2A94"/>
    <w:rsid w:val="50C374ED"/>
    <w:rsid w:val="50CB4C35"/>
    <w:rsid w:val="50CFD05A"/>
    <w:rsid w:val="50E1D8E5"/>
    <w:rsid w:val="50F43D5E"/>
    <w:rsid w:val="50F982FB"/>
    <w:rsid w:val="50F9AC41"/>
    <w:rsid w:val="5109FC92"/>
    <w:rsid w:val="51205CA0"/>
    <w:rsid w:val="519E8298"/>
    <w:rsid w:val="51A7EA9C"/>
    <w:rsid w:val="51ADB906"/>
    <w:rsid w:val="51C5C2F4"/>
    <w:rsid w:val="51CC775F"/>
    <w:rsid w:val="51E8B2AB"/>
    <w:rsid w:val="5206E244"/>
    <w:rsid w:val="5209E6F0"/>
    <w:rsid w:val="520E77EE"/>
    <w:rsid w:val="523D6FB1"/>
    <w:rsid w:val="5292667C"/>
    <w:rsid w:val="52953F65"/>
    <w:rsid w:val="529B59CB"/>
    <w:rsid w:val="52B04B9D"/>
    <w:rsid w:val="52F16FE4"/>
    <w:rsid w:val="52FD3077"/>
    <w:rsid w:val="52FF0AD3"/>
    <w:rsid w:val="5303379B"/>
    <w:rsid w:val="53121D34"/>
    <w:rsid w:val="533E4AB0"/>
    <w:rsid w:val="534D27CE"/>
    <w:rsid w:val="537ABBB2"/>
    <w:rsid w:val="538C9906"/>
    <w:rsid w:val="538FE91D"/>
    <w:rsid w:val="53DA37C5"/>
    <w:rsid w:val="53E776C3"/>
    <w:rsid w:val="541D9817"/>
    <w:rsid w:val="542BDE20"/>
    <w:rsid w:val="54306B96"/>
    <w:rsid w:val="54332F2F"/>
    <w:rsid w:val="54461090"/>
    <w:rsid w:val="54462911"/>
    <w:rsid w:val="54745583"/>
    <w:rsid w:val="547F3493"/>
    <w:rsid w:val="548AFE12"/>
    <w:rsid w:val="54A46398"/>
    <w:rsid w:val="54AA3BAF"/>
    <w:rsid w:val="54B5722C"/>
    <w:rsid w:val="54B7A145"/>
    <w:rsid w:val="54C72D4A"/>
    <w:rsid w:val="54CDC93D"/>
    <w:rsid w:val="54E8CFB7"/>
    <w:rsid w:val="54F76FAD"/>
    <w:rsid w:val="54FD63B6"/>
    <w:rsid w:val="550A31B2"/>
    <w:rsid w:val="55168C13"/>
    <w:rsid w:val="551C7F7A"/>
    <w:rsid w:val="55286967"/>
    <w:rsid w:val="55339417"/>
    <w:rsid w:val="557C848D"/>
    <w:rsid w:val="5583BC1A"/>
    <w:rsid w:val="558482E0"/>
    <w:rsid w:val="55970E36"/>
    <w:rsid w:val="55C7AE81"/>
    <w:rsid w:val="55CD8BDA"/>
    <w:rsid w:val="55D9ED2B"/>
    <w:rsid w:val="55FA0E1A"/>
    <w:rsid w:val="561AD12B"/>
    <w:rsid w:val="5621A4AD"/>
    <w:rsid w:val="56324AB5"/>
    <w:rsid w:val="5672D9BE"/>
    <w:rsid w:val="56857359"/>
    <w:rsid w:val="5688873D"/>
    <w:rsid w:val="569AC675"/>
    <w:rsid w:val="56A2D8A9"/>
    <w:rsid w:val="56AF3312"/>
    <w:rsid w:val="56D30215"/>
    <w:rsid w:val="56DD2CB3"/>
    <w:rsid w:val="57007116"/>
    <w:rsid w:val="577641EF"/>
    <w:rsid w:val="57764A26"/>
    <w:rsid w:val="5796F135"/>
    <w:rsid w:val="57B6D555"/>
    <w:rsid w:val="57BA911E"/>
    <w:rsid w:val="57C5999B"/>
    <w:rsid w:val="57F79217"/>
    <w:rsid w:val="57FEADDF"/>
    <w:rsid w:val="58442380"/>
    <w:rsid w:val="585532A3"/>
    <w:rsid w:val="585A8F78"/>
    <w:rsid w:val="58779CED"/>
    <w:rsid w:val="58934D1A"/>
    <w:rsid w:val="589B61E3"/>
    <w:rsid w:val="58A26B9F"/>
    <w:rsid w:val="58A2FBA1"/>
    <w:rsid w:val="58ACB135"/>
    <w:rsid w:val="58B0B674"/>
    <w:rsid w:val="58B47355"/>
    <w:rsid w:val="58B909F6"/>
    <w:rsid w:val="58C44D96"/>
    <w:rsid w:val="58F60639"/>
    <w:rsid w:val="58FAA4C8"/>
    <w:rsid w:val="5917A0FB"/>
    <w:rsid w:val="591E60AD"/>
    <w:rsid w:val="593F9BB7"/>
    <w:rsid w:val="594A2801"/>
    <w:rsid w:val="594FC675"/>
    <w:rsid w:val="5960B168"/>
    <w:rsid w:val="5975CC45"/>
    <w:rsid w:val="59797681"/>
    <w:rsid w:val="598037BE"/>
    <w:rsid w:val="59BE60E7"/>
    <w:rsid w:val="59FFEB70"/>
    <w:rsid w:val="5A136D4E"/>
    <w:rsid w:val="5A3AE68E"/>
    <w:rsid w:val="5A4A03EB"/>
    <w:rsid w:val="5A707BFB"/>
    <w:rsid w:val="5AAD4F61"/>
    <w:rsid w:val="5AD35985"/>
    <w:rsid w:val="5AD86378"/>
    <w:rsid w:val="5AD930D9"/>
    <w:rsid w:val="5ADDB6AE"/>
    <w:rsid w:val="5AE043F5"/>
    <w:rsid w:val="5AE8B2D6"/>
    <w:rsid w:val="5AEE7617"/>
    <w:rsid w:val="5AF52123"/>
    <w:rsid w:val="5B585001"/>
    <w:rsid w:val="5B6CA53A"/>
    <w:rsid w:val="5B724031"/>
    <w:rsid w:val="5BC7F85A"/>
    <w:rsid w:val="5BD3F688"/>
    <w:rsid w:val="5BDBCB93"/>
    <w:rsid w:val="5C0D5B61"/>
    <w:rsid w:val="5C107D4C"/>
    <w:rsid w:val="5C202B0A"/>
    <w:rsid w:val="5C2A17AB"/>
    <w:rsid w:val="5C3CE78A"/>
    <w:rsid w:val="5C5FB0F9"/>
    <w:rsid w:val="5C76A501"/>
    <w:rsid w:val="5C785A24"/>
    <w:rsid w:val="5C89AF9F"/>
    <w:rsid w:val="5CB3CDC7"/>
    <w:rsid w:val="5CB4DDC5"/>
    <w:rsid w:val="5CB5D1C9"/>
    <w:rsid w:val="5CC5D01E"/>
    <w:rsid w:val="5CE1E336"/>
    <w:rsid w:val="5D1EAC06"/>
    <w:rsid w:val="5D219DF8"/>
    <w:rsid w:val="5D31112E"/>
    <w:rsid w:val="5D3B68D2"/>
    <w:rsid w:val="5D67077A"/>
    <w:rsid w:val="5D6A40B6"/>
    <w:rsid w:val="5D6E0DFA"/>
    <w:rsid w:val="5D78CAC2"/>
    <w:rsid w:val="5D95EDB9"/>
    <w:rsid w:val="5D9AAC2B"/>
    <w:rsid w:val="5DDC01FD"/>
    <w:rsid w:val="5DE58BAA"/>
    <w:rsid w:val="5DF8E781"/>
    <w:rsid w:val="5E4F9E28"/>
    <w:rsid w:val="5E51AD2C"/>
    <w:rsid w:val="5E615CAD"/>
    <w:rsid w:val="5EA04372"/>
    <w:rsid w:val="5EA19EE4"/>
    <w:rsid w:val="5ED9180B"/>
    <w:rsid w:val="5F0D8F7F"/>
    <w:rsid w:val="5F27DE56"/>
    <w:rsid w:val="5F55ED64"/>
    <w:rsid w:val="5F6E47FA"/>
    <w:rsid w:val="5F8F82F1"/>
    <w:rsid w:val="5F906E7E"/>
    <w:rsid w:val="5F938ACA"/>
    <w:rsid w:val="5FABEDDB"/>
    <w:rsid w:val="5FBF07F9"/>
    <w:rsid w:val="5FD3B2E7"/>
    <w:rsid w:val="5FD8412F"/>
    <w:rsid w:val="60171820"/>
    <w:rsid w:val="601D3D17"/>
    <w:rsid w:val="6023BB41"/>
    <w:rsid w:val="60376A53"/>
    <w:rsid w:val="6037882F"/>
    <w:rsid w:val="60563350"/>
    <w:rsid w:val="60D7B109"/>
    <w:rsid w:val="60EEF7C3"/>
    <w:rsid w:val="61024C64"/>
    <w:rsid w:val="614A97A0"/>
    <w:rsid w:val="614AE06D"/>
    <w:rsid w:val="615829CD"/>
    <w:rsid w:val="616D5579"/>
    <w:rsid w:val="619F14D8"/>
    <w:rsid w:val="61ADC4E8"/>
    <w:rsid w:val="61BA988A"/>
    <w:rsid w:val="61CB73FC"/>
    <w:rsid w:val="61CD82D5"/>
    <w:rsid w:val="620ED9F5"/>
    <w:rsid w:val="6239D105"/>
    <w:rsid w:val="6243CD64"/>
    <w:rsid w:val="624509E9"/>
    <w:rsid w:val="62794FE4"/>
    <w:rsid w:val="6281D3E7"/>
    <w:rsid w:val="62BC01B3"/>
    <w:rsid w:val="62C2BDDB"/>
    <w:rsid w:val="62C8E77C"/>
    <w:rsid w:val="6304F72C"/>
    <w:rsid w:val="630FBCD9"/>
    <w:rsid w:val="63115070"/>
    <w:rsid w:val="63331E5C"/>
    <w:rsid w:val="63546B57"/>
    <w:rsid w:val="6359177B"/>
    <w:rsid w:val="639BE452"/>
    <w:rsid w:val="639F0305"/>
    <w:rsid w:val="63C020EA"/>
    <w:rsid w:val="6411AFEB"/>
    <w:rsid w:val="64464EA9"/>
    <w:rsid w:val="64536633"/>
    <w:rsid w:val="649F0D28"/>
    <w:rsid w:val="64D858E6"/>
    <w:rsid w:val="64DB8014"/>
    <w:rsid w:val="64F72C64"/>
    <w:rsid w:val="653AFCAB"/>
    <w:rsid w:val="65467AB7"/>
    <w:rsid w:val="6559B38B"/>
    <w:rsid w:val="6566DC4D"/>
    <w:rsid w:val="6585D805"/>
    <w:rsid w:val="658C81BF"/>
    <w:rsid w:val="65AF730D"/>
    <w:rsid w:val="65F8774B"/>
    <w:rsid w:val="6611598D"/>
    <w:rsid w:val="663CA5AD"/>
    <w:rsid w:val="663D5220"/>
    <w:rsid w:val="663F2285"/>
    <w:rsid w:val="665FFEF0"/>
    <w:rsid w:val="66880EEC"/>
    <w:rsid w:val="668C40AF"/>
    <w:rsid w:val="668D9744"/>
    <w:rsid w:val="669D6823"/>
    <w:rsid w:val="66AE3E53"/>
    <w:rsid w:val="66CD282C"/>
    <w:rsid w:val="66D090C9"/>
    <w:rsid w:val="66E311C5"/>
    <w:rsid w:val="670055FE"/>
    <w:rsid w:val="67120014"/>
    <w:rsid w:val="6722D6D9"/>
    <w:rsid w:val="672D177D"/>
    <w:rsid w:val="6741BD71"/>
    <w:rsid w:val="675972EF"/>
    <w:rsid w:val="6781AB14"/>
    <w:rsid w:val="679414DB"/>
    <w:rsid w:val="67AB360C"/>
    <w:rsid w:val="67E9D032"/>
    <w:rsid w:val="68057988"/>
    <w:rsid w:val="681AB352"/>
    <w:rsid w:val="68299346"/>
    <w:rsid w:val="682ECD26"/>
    <w:rsid w:val="685CBA5A"/>
    <w:rsid w:val="686AD239"/>
    <w:rsid w:val="68724B4F"/>
    <w:rsid w:val="68797EA7"/>
    <w:rsid w:val="689E65F5"/>
    <w:rsid w:val="68A4C4F4"/>
    <w:rsid w:val="68AB4BBE"/>
    <w:rsid w:val="68AFB1FF"/>
    <w:rsid w:val="68B8D042"/>
    <w:rsid w:val="68CEC7C4"/>
    <w:rsid w:val="68D7678F"/>
    <w:rsid w:val="68DDC015"/>
    <w:rsid w:val="68F87F2D"/>
    <w:rsid w:val="68F98D6B"/>
    <w:rsid w:val="690AD379"/>
    <w:rsid w:val="6911A0C2"/>
    <w:rsid w:val="69248EEB"/>
    <w:rsid w:val="69302BD7"/>
    <w:rsid w:val="6933E421"/>
    <w:rsid w:val="6950EF0A"/>
    <w:rsid w:val="6981FE4D"/>
    <w:rsid w:val="6993E27F"/>
    <w:rsid w:val="69AE6A57"/>
    <w:rsid w:val="69CA9D87"/>
    <w:rsid w:val="69D63CD2"/>
    <w:rsid w:val="69DC5429"/>
    <w:rsid w:val="69F27D7F"/>
    <w:rsid w:val="69F55681"/>
    <w:rsid w:val="6A62B85D"/>
    <w:rsid w:val="6A6A9825"/>
    <w:rsid w:val="6A795C26"/>
    <w:rsid w:val="6A7D7D38"/>
    <w:rsid w:val="6A81CBC7"/>
    <w:rsid w:val="6A8B0E18"/>
    <w:rsid w:val="6AADC1CB"/>
    <w:rsid w:val="6ABD1E53"/>
    <w:rsid w:val="6AC67555"/>
    <w:rsid w:val="6ACBFC38"/>
    <w:rsid w:val="6ACEBAA2"/>
    <w:rsid w:val="6ACF0C16"/>
    <w:rsid w:val="6AD7CC3F"/>
    <w:rsid w:val="6B06712F"/>
    <w:rsid w:val="6B35CD01"/>
    <w:rsid w:val="6B40958F"/>
    <w:rsid w:val="6B610867"/>
    <w:rsid w:val="6B7B58CC"/>
    <w:rsid w:val="6B9F8695"/>
    <w:rsid w:val="6BFCB593"/>
    <w:rsid w:val="6C19FFA8"/>
    <w:rsid w:val="6C4A3A54"/>
    <w:rsid w:val="6C6DD3EA"/>
    <w:rsid w:val="6CAC6F0E"/>
    <w:rsid w:val="6CB23E69"/>
    <w:rsid w:val="6CB69F1F"/>
    <w:rsid w:val="6CB9D537"/>
    <w:rsid w:val="6CBE3A20"/>
    <w:rsid w:val="6CD24B2F"/>
    <w:rsid w:val="6CE482C4"/>
    <w:rsid w:val="6CE5D075"/>
    <w:rsid w:val="6CFCD8C8"/>
    <w:rsid w:val="6D1B6304"/>
    <w:rsid w:val="6D2322CD"/>
    <w:rsid w:val="6D3E435C"/>
    <w:rsid w:val="6D449DFB"/>
    <w:rsid w:val="6D699A03"/>
    <w:rsid w:val="6DB4FBC8"/>
    <w:rsid w:val="6DEA6B6B"/>
    <w:rsid w:val="6DFB5039"/>
    <w:rsid w:val="6E208BC2"/>
    <w:rsid w:val="6E3A534B"/>
    <w:rsid w:val="6E59110E"/>
    <w:rsid w:val="6E70E0B8"/>
    <w:rsid w:val="6E76D5A4"/>
    <w:rsid w:val="6E84474E"/>
    <w:rsid w:val="6E966917"/>
    <w:rsid w:val="6EAFC54C"/>
    <w:rsid w:val="6EB5BECA"/>
    <w:rsid w:val="6EBDE9A9"/>
    <w:rsid w:val="6EE00765"/>
    <w:rsid w:val="6EF60693"/>
    <w:rsid w:val="6F1D1024"/>
    <w:rsid w:val="6F229EB8"/>
    <w:rsid w:val="6F231B8C"/>
    <w:rsid w:val="6F3E0948"/>
    <w:rsid w:val="6F4AC7FC"/>
    <w:rsid w:val="6F51A06A"/>
    <w:rsid w:val="6F6634E1"/>
    <w:rsid w:val="6F739597"/>
    <w:rsid w:val="6FDB5D4F"/>
    <w:rsid w:val="70097FD9"/>
    <w:rsid w:val="700CB119"/>
    <w:rsid w:val="7054AE8D"/>
    <w:rsid w:val="707BD91B"/>
    <w:rsid w:val="7084B5FD"/>
    <w:rsid w:val="7086F7B7"/>
    <w:rsid w:val="70AFC659"/>
    <w:rsid w:val="70B1D6D9"/>
    <w:rsid w:val="70C9EB5B"/>
    <w:rsid w:val="70CBCDF7"/>
    <w:rsid w:val="70D02D34"/>
    <w:rsid w:val="70EA703C"/>
    <w:rsid w:val="70EB9FCB"/>
    <w:rsid w:val="70ED70CB"/>
    <w:rsid w:val="71168C05"/>
    <w:rsid w:val="711DFBB7"/>
    <w:rsid w:val="71393C4C"/>
    <w:rsid w:val="713D9F04"/>
    <w:rsid w:val="7159A4C7"/>
    <w:rsid w:val="71741F46"/>
    <w:rsid w:val="717BC8EB"/>
    <w:rsid w:val="71930B0E"/>
    <w:rsid w:val="71A5E7DC"/>
    <w:rsid w:val="71C33B24"/>
    <w:rsid w:val="71E429B0"/>
    <w:rsid w:val="71F3DC96"/>
    <w:rsid w:val="71FEA1FE"/>
    <w:rsid w:val="7211B47F"/>
    <w:rsid w:val="7277FD4A"/>
    <w:rsid w:val="7299BEC3"/>
    <w:rsid w:val="729D262B"/>
    <w:rsid w:val="72B4F85A"/>
    <w:rsid w:val="72B9CC18"/>
    <w:rsid w:val="72BC2E15"/>
    <w:rsid w:val="73028B0C"/>
    <w:rsid w:val="736A2160"/>
    <w:rsid w:val="7383366F"/>
    <w:rsid w:val="738448DF"/>
    <w:rsid w:val="73A5AD1A"/>
    <w:rsid w:val="73A9BB2D"/>
    <w:rsid w:val="73B13ADA"/>
    <w:rsid w:val="73C76FE1"/>
    <w:rsid w:val="73CD04E2"/>
    <w:rsid w:val="73D038A7"/>
    <w:rsid w:val="7448C024"/>
    <w:rsid w:val="744F0B42"/>
    <w:rsid w:val="74523BFF"/>
    <w:rsid w:val="74683001"/>
    <w:rsid w:val="746F0C0E"/>
    <w:rsid w:val="74961543"/>
    <w:rsid w:val="749C05B9"/>
    <w:rsid w:val="74A56147"/>
    <w:rsid w:val="74AB0DF4"/>
    <w:rsid w:val="74BB9579"/>
    <w:rsid w:val="74C6EAA1"/>
    <w:rsid w:val="752AB251"/>
    <w:rsid w:val="75458357"/>
    <w:rsid w:val="75458B8E"/>
    <w:rsid w:val="754C32DA"/>
    <w:rsid w:val="75712215"/>
    <w:rsid w:val="75790B3D"/>
    <w:rsid w:val="757A029B"/>
    <w:rsid w:val="75867B76"/>
    <w:rsid w:val="758CC1C9"/>
    <w:rsid w:val="75B672DE"/>
    <w:rsid w:val="75D72DEC"/>
    <w:rsid w:val="75F64EF6"/>
    <w:rsid w:val="760525BF"/>
    <w:rsid w:val="76228C70"/>
    <w:rsid w:val="762A11F4"/>
    <w:rsid w:val="764F3A0E"/>
    <w:rsid w:val="764FDFF8"/>
    <w:rsid w:val="765F9900"/>
    <w:rsid w:val="767634E5"/>
    <w:rsid w:val="76826D20"/>
    <w:rsid w:val="7699C369"/>
    <w:rsid w:val="76C79FB5"/>
    <w:rsid w:val="76DC2D2F"/>
    <w:rsid w:val="76FB9F80"/>
    <w:rsid w:val="7726E6E2"/>
    <w:rsid w:val="7789DCC1"/>
    <w:rsid w:val="77983F18"/>
    <w:rsid w:val="77C1E9F8"/>
    <w:rsid w:val="783A59CD"/>
    <w:rsid w:val="783F1D96"/>
    <w:rsid w:val="78B80273"/>
    <w:rsid w:val="78C950F3"/>
    <w:rsid w:val="78D20420"/>
    <w:rsid w:val="78EE767A"/>
    <w:rsid w:val="78F320DC"/>
    <w:rsid w:val="79132C67"/>
    <w:rsid w:val="79193252"/>
    <w:rsid w:val="7937B689"/>
    <w:rsid w:val="79444A55"/>
    <w:rsid w:val="795E1C19"/>
    <w:rsid w:val="796C15C0"/>
    <w:rsid w:val="796ED9D9"/>
    <w:rsid w:val="79774202"/>
    <w:rsid w:val="79A67F85"/>
    <w:rsid w:val="79B4D649"/>
    <w:rsid w:val="79D9BA76"/>
    <w:rsid w:val="79E29E14"/>
    <w:rsid w:val="79ECDC7C"/>
    <w:rsid w:val="79F6D7E0"/>
    <w:rsid w:val="7A00262C"/>
    <w:rsid w:val="7A2F8F23"/>
    <w:rsid w:val="7A3A62FE"/>
    <w:rsid w:val="7A414CE2"/>
    <w:rsid w:val="7A4D73BE"/>
    <w:rsid w:val="7A4F23C9"/>
    <w:rsid w:val="7A5E0F23"/>
    <w:rsid w:val="7A7BDC9E"/>
    <w:rsid w:val="7AD084F5"/>
    <w:rsid w:val="7ADDC0B2"/>
    <w:rsid w:val="7B4CBAF4"/>
    <w:rsid w:val="7B5C4191"/>
    <w:rsid w:val="7B659E5B"/>
    <w:rsid w:val="7B7A6607"/>
    <w:rsid w:val="7B9F304F"/>
    <w:rsid w:val="7BA00491"/>
    <w:rsid w:val="7BA1A269"/>
    <w:rsid w:val="7BA748AA"/>
    <w:rsid w:val="7BA844C9"/>
    <w:rsid w:val="7BAC5C13"/>
    <w:rsid w:val="7BCF301C"/>
    <w:rsid w:val="7BE0320A"/>
    <w:rsid w:val="7BF0B301"/>
    <w:rsid w:val="7BFF24E7"/>
    <w:rsid w:val="7C028794"/>
    <w:rsid w:val="7C08FE63"/>
    <w:rsid w:val="7C192580"/>
    <w:rsid w:val="7C281D0F"/>
    <w:rsid w:val="7C2BCA1C"/>
    <w:rsid w:val="7C4797A9"/>
    <w:rsid w:val="7C4D016A"/>
    <w:rsid w:val="7C554A65"/>
    <w:rsid w:val="7C6A0C49"/>
    <w:rsid w:val="7C70961C"/>
    <w:rsid w:val="7C8025F4"/>
    <w:rsid w:val="7CB9B13C"/>
    <w:rsid w:val="7CCAEC90"/>
    <w:rsid w:val="7CFC2E4F"/>
    <w:rsid w:val="7D0C2EDF"/>
    <w:rsid w:val="7D146915"/>
    <w:rsid w:val="7D5A5E81"/>
    <w:rsid w:val="7D69BC59"/>
    <w:rsid w:val="7D6ADED2"/>
    <w:rsid w:val="7D75D876"/>
    <w:rsid w:val="7D88E856"/>
    <w:rsid w:val="7DB5C02F"/>
    <w:rsid w:val="7DD5CEE3"/>
    <w:rsid w:val="7E092516"/>
    <w:rsid w:val="7E0B203B"/>
    <w:rsid w:val="7E0CA008"/>
    <w:rsid w:val="7E26D679"/>
    <w:rsid w:val="7E495E33"/>
    <w:rsid w:val="7E4A46F4"/>
    <w:rsid w:val="7EC65200"/>
    <w:rsid w:val="7EC6FDBA"/>
    <w:rsid w:val="7F09F512"/>
    <w:rsid w:val="7F3A7807"/>
    <w:rsid w:val="7F442AFA"/>
    <w:rsid w:val="7F49279E"/>
    <w:rsid w:val="7FA4F577"/>
    <w:rsid w:val="7FBFF25C"/>
    <w:rsid w:val="7FCAD21D"/>
    <w:rsid w:val="7FE0A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D5AA3E02-831E-46CA-BB2B-5972A3EC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A75"/>
    <w:pPr>
      <w:spacing w:before="120"/>
      <w:jc w:val="both"/>
    </w:pPr>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8"/>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8"/>
      </w:numPr>
      <w:suppressAutoHyphens/>
      <w:spacing w:before="80"/>
    </w:pPr>
    <w:rPr>
      <w:i/>
    </w:rPr>
  </w:style>
  <w:style w:type="paragraph" w:customStyle="1" w:styleId="Els-3rdorder-head">
    <w:name w:val="Els-3rdorder-head"/>
    <w:basedOn w:val="Els-body-text"/>
    <w:next w:val="Els-body-text"/>
    <w:rsid w:val="008B0184"/>
    <w:pPr>
      <w:keepNext/>
      <w:numPr>
        <w:ilvl w:val="3"/>
        <w:numId w:val="18"/>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6"/>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8"/>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Strong">
    <w:name w:val="Strong"/>
    <w:basedOn w:val="DefaultParagraphFont"/>
    <w:qFormat/>
    <w:rsid w:val="00C656A9"/>
    <w:rPr>
      <w:b/>
      <w:bCs/>
    </w:rPr>
  </w:style>
  <w:style w:type="table" w:styleId="TableGrid">
    <w:name w:val="Table Grid"/>
    <w:basedOn w:val="TableNormal"/>
    <w:rsid w:val="0020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Tabela-besedilo">
    <w:name w:val="Tabela - besedilo"/>
    <w:basedOn w:val="Normal"/>
    <w:link w:val="Tabela-besediloChar"/>
    <w:qFormat/>
    <w:rsid w:val="00BB2A75"/>
    <w:pPr>
      <w:spacing w:before="0"/>
    </w:pPr>
    <w:rPr>
      <w:color w:val="000000" w:themeColor="text1"/>
    </w:rPr>
  </w:style>
  <w:style w:type="character" w:customStyle="1" w:styleId="Tabela-besediloChar">
    <w:name w:val="Tabela - besedilo Char"/>
    <w:basedOn w:val="DefaultParagraphFont"/>
    <w:link w:val="Tabela-besedilo"/>
    <w:rsid w:val="00BB2A75"/>
    <w:rPr>
      <w:color w:val="000000" w:themeColor="text1"/>
      <w:lang w:eastAsia="en-US"/>
    </w:rPr>
  </w:style>
  <w:style w:type="character" w:styleId="FollowedHyperlink">
    <w:name w:val="FollowedHyperlink"/>
    <w:basedOn w:val="DefaultParagraphFont"/>
    <w:semiHidden/>
    <w:unhideWhenUsed/>
    <w:rsid w:val="00E4058B"/>
    <w:rPr>
      <w:color w:val="800080" w:themeColor="followedHyperlink"/>
      <w:u w:val="single"/>
    </w:rPr>
  </w:style>
  <w:style w:type="character" w:styleId="UnresolvedMention">
    <w:name w:val="Unresolved Mention"/>
    <w:basedOn w:val="DefaultParagraphFont"/>
    <w:uiPriority w:val="99"/>
    <w:semiHidden/>
    <w:unhideWhenUsed/>
    <w:rsid w:val="00CC283F"/>
    <w:rPr>
      <w:color w:val="605E5C"/>
      <w:shd w:val="clear" w:color="auto" w:fill="E1DFDD"/>
    </w:rPr>
  </w:style>
  <w:style w:type="paragraph" w:customStyle="1" w:styleId="Affiliations">
    <w:name w:val="Affiliations"/>
    <w:basedOn w:val="Normal"/>
    <w:link w:val="AffiliationsChar"/>
    <w:qFormat/>
    <w:rsid w:val="00335987"/>
    <w:pPr>
      <w:spacing w:before="0"/>
    </w:pPr>
    <w:rPr>
      <w:i/>
    </w:rPr>
  </w:style>
  <w:style w:type="character" w:customStyle="1" w:styleId="AffiliationsChar">
    <w:name w:val="Affiliations Char"/>
    <w:basedOn w:val="DefaultParagraphFont"/>
    <w:link w:val="Affiliations"/>
    <w:rsid w:val="00335987"/>
    <w:rPr>
      <w:i/>
      <w:lang w:eastAsia="en-US"/>
    </w:rPr>
  </w:style>
  <w:style w:type="paragraph" w:styleId="Revision">
    <w:name w:val="Revision"/>
    <w:hidden/>
    <w:uiPriority w:val="99"/>
    <w:semiHidden/>
    <w:rsid w:val="0005186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2962">
      <w:bodyDiv w:val="1"/>
      <w:marLeft w:val="0"/>
      <w:marRight w:val="0"/>
      <w:marTop w:val="0"/>
      <w:marBottom w:val="0"/>
      <w:divBdr>
        <w:top w:val="none" w:sz="0" w:space="0" w:color="auto"/>
        <w:left w:val="none" w:sz="0" w:space="0" w:color="auto"/>
        <w:bottom w:val="none" w:sz="0" w:space="0" w:color="auto"/>
        <w:right w:val="none" w:sz="0" w:space="0" w:color="auto"/>
      </w:divBdr>
    </w:div>
    <w:div w:id="1371957002">
      <w:bodyDiv w:val="1"/>
      <w:marLeft w:val="0"/>
      <w:marRight w:val="0"/>
      <w:marTop w:val="0"/>
      <w:marBottom w:val="0"/>
      <w:divBdr>
        <w:top w:val="none" w:sz="0" w:space="0" w:color="auto"/>
        <w:left w:val="none" w:sz="0" w:space="0" w:color="auto"/>
        <w:bottom w:val="none" w:sz="0" w:space="0" w:color="auto"/>
        <w:right w:val="none" w:sz="0" w:space="0" w:color="auto"/>
      </w:divBdr>
    </w:div>
    <w:div w:id="1606381663">
      <w:bodyDiv w:val="1"/>
      <w:marLeft w:val="0"/>
      <w:marRight w:val="0"/>
      <w:marTop w:val="0"/>
      <w:marBottom w:val="0"/>
      <w:divBdr>
        <w:top w:val="none" w:sz="0" w:space="0" w:color="auto"/>
        <w:left w:val="none" w:sz="0" w:space="0" w:color="auto"/>
        <w:bottom w:val="none" w:sz="0" w:space="0" w:color="auto"/>
        <w:right w:val="none" w:sz="0" w:space="0" w:color="auto"/>
      </w:divBdr>
    </w:div>
    <w:div w:id="19746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14</TotalTime>
  <Pages>6</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Jan Drofenik</cp:lastModifiedBy>
  <cp:revision>2</cp:revision>
  <cp:lastPrinted>2004-12-18T12:20:00Z</cp:lastPrinted>
  <dcterms:created xsi:type="dcterms:W3CDTF">2023-12-20T18:34:00Z</dcterms:created>
  <dcterms:modified xsi:type="dcterms:W3CDTF">2023-12-20T18:34:00Z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